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C35F" w14:textId="77777777" w:rsidR="00D340FB" w:rsidRPr="00D84065" w:rsidRDefault="00D340FB" w:rsidP="00CD0E29">
      <w:pPr>
        <w:tabs>
          <w:tab w:val="clear" w:pos="4419"/>
          <w:tab w:val="clear" w:pos="8838"/>
        </w:tabs>
        <w:ind w:right="-138"/>
        <w:jc w:val="both"/>
        <w:rPr>
          <w:rFonts w:eastAsia="MS Mincho" w:cs="Times New Roman"/>
          <w:sz w:val="16"/>
          <w:szCs w:val="16"/>
          <w:lang w:val="en-US"/>
        </w:rPr>
      </w:pPr>
    </w:p>
    <w:p w14:paraId="12D9046F" w14:textId="77777777" w:rsidR="00CD0E29" w:rsidRPr="00D84065" w:rsidRDefault="00CD0E29" w:rsidP="00CD0E29">
      <w:pPr>
        <w:tabs>
          <w:tab w:val="clear" w:pos="4419"/>
          <w:tab w:val="clear" w:pos="8838"/>
        </w:tabs>
        <w:ind w:right="-138"/>
        <w:jc w:val="both"/>
        <w:rPr>
          <w:rFonts w:eastAsia="MS Mincho" w:cs="Times New Roman"/>
          <w:sz w:val="16"/>
          <w:szCs w:val="16"/>
          <w:lang w:val="en-US"/>
        </w:rPr>
      </w:pPr>
    </w:p>
    <w:p w14:paraId="2A8BBF9D" w14:textId="77777777" w:rsidR="00CD0E29" w:rsidRPr="00D84065" w:rsidRDefault="00CD0E29" w:rsidP="00CD0E29">
      <w:pPr>
        <w:tabs>
          <w:tab w:val="clear" w:pos="4419"/>
          <w:tab w:val="clear" w:pos="8838"/>
        </w:tabs>
        <w:ind w:right="-138"/>
        <w:jc w:val="both"/>
        <w:rPr>
          <w:rFonts w:eastAsia="MS Mincho" w:cs="Times New Roman"/>
          <w:sz w:val="16"/>
          <w:szCs w:val="16"/>
          <w:lang w:val="en-US"/>
        </w:rPr>
      </w:pPr>
    </w:p>
    <w:p w14:paraId="4E42A0BB" w14:textId="77777777" w:rsidR="00902DAA" w:rsidRPr="00D84065" w:rsidRDefault="00902DAA" w:rsidP="00140440">
      <w:pPr>
        <w:tabs>
          <w:tab w:val="clear" w:pos="4419"/>
          <w:tab w:val="clear" w:pos="8838"/>
        </w:tabs>
        <w:ind w:left="-142" w:right="-138"/>
        <w:jc w:val="both"/>
        <w:rPr>
          <w:rFonts w:eastAsia="MS Mincho" w:cs="Times New Roman"/>
          <w:sz w:val="16"/>
          <w:szCs w:val="16"/>
          <w:lang w:val="en-US"/>
        </w:rPr>
      </w:pPr>
    </w:p>
    <w:p w14:paraId="6D1D16B3" w14:textId="77777777" w:rsidR="00BA1ACF" w:rsidRPr="00D84065" w:rsidRDefault="00BA1ACF" w:rsidP="00140440">
      <w:pPr>
        <w:tabs>
          <w:tab w:val="clear" w:pos="4419"/>
          <w:tab w:val="clear" w:pos="8838"/>
        </w:tabs>
        <w:ind w:left="-142" w:right="-138"/>
        <w:jc w:val="both"/>
        <w:rPr>
          <w:rFonts w:eastAsia="MS Mincho" w:cs="Times New Roman"/>
          <w:b/>
          <w:szCs w:val="20"/>
          <w:lang w:val="en-US"/>
        </w:rPr>
      </w:pPr>
    </w:p>
    <w:p w14:paraId="0FFCB908"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6D531FE0"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28FAC884"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37EB3869"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55DFE06C" w14:textId="77777777" w:rsidR="00204E1F" w:rsidRPr="00D84065" w:rsidRDefault="00204E1F" w:rsidP="00140440">
      <w:pPr>
        <w:tabs>
          <w:tab w:val="clear" w:pos="4419"/>
          <w:tab w:val="clear" w:pos="8838"/>
        </w:tabs>
        <w:ind w:left="-142" w:right="-138"/>
        <w:jc w:val="center"/>
        <w:rPr>
          <w:rFonts w:eastAsia="MS Mincho" w:cs="Times New Roman"/>
          <w:b/>
          <w:szCs w:val="20"/>
          <w:lang w:val="en-US"/>
        </w:rPr>
      </w:pPr>
    </w:p>
    <w:p w14:paraId="08B165A1" w14:textId="77777777" w:rsidR="00204E1F" w:rsidRPr="00D84065" w:rsidRDefault="00204E1F" w:rsidP="00140440">
      <w:pPr>
        <w:tabs>
          <w:tab w:val="clear" w:pos="4419"/>
          <w:tab w:val="clear" w:pos="8838"/>
        </w:tabs>
        <w:ind w:left="-142" w:right="-138"/>
        <w:jc w:val="center"/>
        <w:rPr>
          <w:rFonts w:eastAsia="MS Mincho" w:cs="Times New Roman"/>
          <w:b/>
          <w:szCs w:val="20"/>
          <w:lang w:val="en-US"/>
        </w:rPr>
      </w:pPr>
    </w:p>
    <w:p w14:paraId="18949587"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17390CD3"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02ADB7A6" w14:textId="77777777" w:rsidR="000228D0" w:rsidRPr="00D84065" w:rsidRDefault="000228D0" w:rsidP="00140440">
      <w:pPr>
        <w:tabs>
          <w:tab w:val="clear" w:pos="4419"/>
          <w:tab w:val="clear" w:pos="8838"/>
        </w:tabs>
        <w:ind w:left="-142" w:right="-138"/>
        <w:jc w:val="center"/>
        <w:rPr>
          <w:rFonts w:eastAsia="MS Mincho" w:cs="Times New Roman"/>
          <w:b/>
          <w:szCs w:val="20"/>
          <w:lang w:val="en-US"/>
        </w:rPr>
      </w:pPr>
    </w:p>
    <w:p w14:paraId="5D6B093C" w14:textId="77777777" w:rsidR="00BA1ACF" w:rsidRPr="00FE50A6" w:rsidRDefault="000228D0" w:rsidP="00140440">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INTER-AMERICAN COURT OF HUMAN RIGHTS</w:t>
      </w:r>
    </w:p>
    <w:p w14:paraId="6E4E29E6" w14:textId="77777777" w:rsidR="000228D0" w:rsidRPr="00FE50A6" w:rsidRDefault="000228D0" w:rsidP="00140440">
      <w:pPr>
        <w:tabs>
          <w:tab w:val="clear" w:pos="4419"/>
          <w:tab w:val="clear" w:pos="8838"/>
        </w:tabs>
        <w:ind w:left="-142" w:right="-138"/>
        <w:jc w:val="center"/>
        <w:rPr>
          <w:rFonts w:eastAsia="MS Mincho" w:cs="Times New Roman"/>
          <w:b/>
          <w:szCs w:val="20"/>
          <w:lang w:val="en-US"/>
        </w:rPr>
      </w:pPr>
    </w:p>
    <w:p w14:paraId="47AA4B00" w14:textId="77777777" w:rsidR="00BA1ACF" w:rsidRPr="00FE50A6" w:rsidRDefault="00BA1ACF" w:rsidP="00140440">
      <w:pPr>
        <w:tabs>
          <w:tab w:val="clear" w:pos="4419"/>
          <w:tab w:val="clear" w:pos="8838"/>
        </w:tabs>
        <w:ind w:left="-142" w:right="-138"/>
        <w:jc w:val="center"/>
        <w:rPr>
          <w:rFonts w:eastAsia="MS Mincho" w:cs="Times New Roman"/>
          <w:b/>
          <w:sz w:val="16"/>
          <w:szCs w:val="20"/>
          <w:lang w:val="en-US"/>
        </w:rPr>
      </w:pPr>
    </w:p>
    <w:p w14:paraId="6B0C0EF2" w14:textId="77777777" w:rsidR="00BA1ACF" w:rsidRPr="00FE50A6" w:rsidRDefault="00BA1ACF" w:rsidP="00140440">
      <w:pPr>
        <w:tabs>
          <w:tab w:val="clear" w:pos="4419"/>
          <w:tab w:val="clear" w:pos="8838"/>
        </w:tabs>
        <w:ind w:left="-142" w:right="-138"/>
        <w:jc w:val="center"/>
        <w:rPr>
          <w:rFonts w:eastAsia="MS Mincho" w:cs="Times New Roman"/>
          <w:b/>
          <w:sz w:val="16"/>
          <w:szCs w:val="20"/>
          <w:lang w:val="en-US"/>
        </w:rPr>
      </w:pPr>
      <w:r w:rsidRPr="00FE50A6">
        <w:rPr>
          <w:rFonts w:eastAsia="MS Mincho" w:cs="Times New Roman"/>
          <w:b/>
          <w:szCs w:val="20"/>
          <w:lang w:val="en-US"/>
        </w:rPr>
        <w:t>CAS</w:t>
      </w:r>
      <w:r w:rsidR="000228D0" w:rsidRPr="00FE50A6">
        <w:rPr>
          <w:rFonts w:eastAsia="MS Mincho" w:cs="Times New Roman"/>
          <w:b/>
          <w:szCs w:val="20"/>
          <w:lang w:val="en-US"/>
        </w:rPr>
        <w:t xml:space="preserve">E OF </w:t>
      </w:r>
      <w:r w:rsidR="00030C17" w:rsidRPr="00FE50A6">
        <w:rPr>
          <w:rFonts w:eastAsia="MS Mincho" w:cs="Times New Roman"/>
          <w:b/>
          <w:szCs w:val="20"/>
          <w:lang w:val="en-US"/>
        </w:rPr>
        <w:t xml:space="preserve">THE HACIENDA </w:t>
      </w:r>
      <w:r w:rsidR="00322241" w:rsidRPr="00FE50A6">
        <w:rPr>
          <w:rFonts w:eastAsia="MS Mincho" w:cs="Times New Roman"/>
          <w:b/>
          <w:szCs w:val="20"/>
          <w:lang w:val="en-US"/>
        </w:rPr>
        <w:t>BRASIL VERDE</w:t>
      </w:r>
      <w:r w:rsidR="00030C17" w:rsidRPr="00FE50A6">
        <w:rPr>
          <w:rFonts w:eastAsia="MS Mincho" w:cs="Times New Roman"/>
          <w:b/>
          <w:szCs w:val="20"/>
          <w:lang w:val="en-US"/>
        </w:rPr>
        <w:t xml:space="preserve"> WORKERS</w:t>
      </w:r>
      <w:r w:rsidRPr="00FE50A6">
        <w:rPr>
          <w:rFonts w:eastAsia="MS Mincho" w:cs="Times New Roman"/>
          <w:b/>
          <w:szCs w:val="20"/>
          <w:lang w:val="en-US"/>
        </w:rPr>
        <w:t xml:space="preserve"> </w:t>
      </w:r>
      <w:r w:rsidRPr="00FE50A6">
        <w:rPr>
          <w:rFonts w:eastAsia="MS Mincho" w:cs="Times New Roman"/>
          <w:b/>
          <w:i/>
          <w:szCs w:val="20"/>
          <w:lang w:val="en-US"/>
        </w:rPr>
        <w:t>V</w:t>
      </w:r>
      <w:r w:rsidRPr="00FE50A6">
        <w:rPr>
          <w:rFonts w:eastAsia="MS Mincho" w:cs="Times New Roman"/>
          <w:b/>
          <w:szCs w:val="20"/>
          <w:lang w:val="en-US"/>
        </w:rPr>
        <w:t>. BRA</w:t>
      </w:r>
      <w:r w:rsidR="000228D0" w:rsidRPr="00FE50A6">
        <w:rPr>
          <w:rFonts w:eastAsia="MS Mincho" w:cs="Times New Roman"/>
          <w:b/>
          <w:szCs w:val="20"/>
          <w:lang w:val="en-US"/>
        </w:rPr>
        <w:t>Z</w:t>
      </w:r>
      <w:r w:rsidRPr="00FE50A6">
        <w:rPr>
          <w:rFonts w:eastAsia="MS Mincho" w:cs="Times New Roman"/>
          <w:b/>
          <w:szCs w:val="20"/>
          <w:lang w:val="en-US"/>
        </w:rPr>
        <w:t>IL</w:t>
      </w:r>
    </w:p>
    <w:p w14:paraId="48A652D9" w14:textId="77777777" w:rsidR="00BA1ACF" w:rsidRPr="00FE50A6" w:rsidRDefault="00BA1ACF" w:rsidP="00140440">
      <w:pPr>
        <w:tabs>
          <w:tab w:val="clear" w:pos="4419"/>
          <w:tab w:val="clear" w:pos="8838"/>
        </w:tabs>
        <w:ind w:left="-142" w:right="-138"/>
        <w:jc w:val="center"/>
        <w:rPr>
          <w:rFonts w:eastAsia="MS Mincho" w:cs="Times New Roman"/>
          <w:b/>
          <w:szCs w:val="20"/>
          <w:lang w:val="en-US"/>
        </w:rPr>
      </w:pPr>
    </w:p>
    <w:p w14:paraId="2FC52F44" w14:textId="77777777" w:rsidR="000228D0" w:rsidRPr="00FE50A6" w:rsidRDefault="000228D0" w:rsidP="00140440">
      <w:pPr>
        <w:tabs>
          <w:tab w:val="clear" w:pos="4419"/>
          <w:tab w:val="clear" w:pos="8838"/>
        </w:tabs>
        <w:ind w:left="-142" w:right="-138"/>
        <w:jc w:val="center"/>
        <w:rPr>
          <w:rFonts w:eastAsia="MS Mincho" w:cs="Times New Roman"/>
          <w:b/>
          <w:szCs w:val="20"/>
          <w:lang w:val="en-US"/>
        </w:rPr>
      </w:pPr>
    </w:p>
    <w:p w14:paraId="3AB314C7" w14:textId="77777777" w:rsidR="00BA1ACF" w:rsidRPr="00FE50A6" w:rsidRDefault="000228D0" w:rsidP="00140440">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JUDGMENT OF OCTOBER</w:t>
      </w:r>
      <w:r w:rsidR="00BA1ACF" w:rsidRPr="00FE50A6">
        <w:rPr>
          <w:rFonts w:eastAsia="MS Mincho" w:cs="Times New Roman"/>
          <w:b/>
          <w:szCs w:val="20"/>
          <w:lang w:val="en-US"/>
        </w:rPr>
        <w:t xml:space="preserve"> </w:t>
      </w:r>
      <w:r w:rsidR="00702C18" w:rsidRPr="00FE50A6">
        <w:rPr>
          <w:rFonts w:eastAsia="MS Mincho" w:cs="Times New Roman"/>
          <w:b/>
          <w:szCs w:val="20"/>
          <w:lang w:val="en-US"/>
        </w:rPr>
        <w:t>20</w:t>
      </w:r>
      <w:r w:rsidRPr="00FE50A6">
        <w:rPr>
          <w:rFonts w:eastAsia="MS Mincho" w:cs="Times New Roman"/>
          <w:b/>
          <w:szCs w:val="20"/>
          <w:lang w:val="en-US"/>
        </w:rPr>
        <w:t xml:space="preserve">, </w:t>
      </w:r>
      <w:r w:rsidR="00BA1ACF" w:rsidRPr="00FE50A6">
        <w:rPr>
          <w:rFonts w:eastAsia="MS Mincho" w:cs="Times New Roman"/>
          <w:b/>
          <w:szCs w:val="20"/>
          <w:lang w:val="en-US"/>
        </w:rPr>
        <w:t>2016</w:t>
      </w:r>
    </w:p>
    <w:p w14:paraId="0330DE4E" w14:textId="77777777" w:rsidR="000228D0" w:rsidRPr="00FE50A6" w:rsidRDefault="000228D0" w:rsidP="00140440">
      <w:pPr>
        <w:tabs>
          <w:tab w:val="clear" w:pos="4419"/>
          <w:tab w:val="clear" w:pos="8838"/>
        </w:tabs>
        <w:ind w:left="-142" w:right="-138"/>
        <w:jc w:val="center"/>
        <w:rPr>
          <w:rFonts w:eastAsia="MS Mincho" w:cs="Times New Roman"/>
          <w:b/>
          <w:szCs w:val="20"/>
          <w:lang w:val="en-US"/>
        </w:rPr>
      </w:pPr>
    </w:p>
    <w:p w14:paraId="04CCF8CF" w14:textId="77777777" w:rsidR="000228D0" w:rsidRPr="00FE50A6" w:rsidRDefault="000228D0" w:rsidP="00140440">
      <w:pPr>
        <w:tabs>
          <w:tab w:val="clear" w:pos="4419"/>
          <w:tab w:val="clear" w:pos="8838"/>
        </w:tabs>
        <w:ind w:left="-142" w:right="-138"/>
        <w:jc w:val="center"/>
        <w:rPr>
          <w:rFonts w:eastAsia="MS Mincho" w:cs="Times New Roman"/>
          <w:b/>
          <w:i/>
          <w:szCs w:val="20"/>
          <w:lang w:val="en-US"/>
        </w:rPr>
      </w:pPr>
      <w:r w:rsidRPr="00FE50A6">
        <w:rPr>
          <w:rFonts w:eastAsia="MS Mincho" w:cs="Times New Roman"/>
          <w:b/>
          <w:i/>
          <w:szCs w:val="20"/>
          <w:lang w:val="en-US"/>
        </w:rPr>
        <w:t>(Preliminary objections, merits, reparations and costs)</w:t>
      </w:r>
    </w:p>
    <w:p w14:paraId="4671BF98" w14:textId="77777777" w:rsidR="00BA1ACF" w:rsidRPr="00FE50A6" w:rsidRDefault="00BA1ACF" w:rsidP="00140440">
      <w:pPr>
        <w:tabs>
          <w:tab w:val="clear" w:pos="4419"/>
          <w:tab w:val="clear" w:pos="8838"/>
        </w:tabs>
        <w:ind w:left="-142" w:right="-138"/>
        <w:jc w:val="center"/>
        <w:rPr>
          <w:rFonts w:eastAsia="MS Mincho" w:cs="Times New Roman"/>
          <w:b/>
          <w:szCs w:val="20"/>
          <w:lang w:val="en-US"/>
        </w:rPr>
      </w:pPr>
    </w:p>
    <w:p w14:paraId="14D00301" w14:textId="77777777" w:rsidR="00BA1ACF" w:rsidRPr="00FE50A6" w:rsidRDefault="00BA1ACF" w:rsidP="00140440">
      <w:pPr>
        <w:tabs>
          <w:tab w:val="clear" w:pos="4419"/>
          <w:tab w:val="clear" w:pos="8838"/>
        </w:tabs>
        <w:ind w:left="-142" w:right="-138"/>
        <w:jc w:val="both"/>
        <w:rPr>
          <w:rFonts w:eastAsia="Batang" w:cs="Times"/>
          <w:szCs w:val="20"/>
          <w:lang w:val="en-US"/>
        </w:rPr>
      </w:pPr>
    </w:p>
    <w:p w14:paraId="0B0FEAEC" w14:textId="77777777" w:rsidR="00BA1ACF" w:rsidRPr="00FE50A6" w:rsidRDefault="00BA1ACF" w:rsidP="00140440">
      <w:pPr>
        <w:tabs>
          <w:tab w:val="clear" w:pos="4419"/>
          <w:tab w:val="clear" w:pos="8838"/>
        </w:tabs>
        <w:ind w:left="-142" w:right="-138"/>
        <w:jc w:val="both"/>
        <w:rPr>
          <w:rFonts w:eastAsia="Batang" w:cs="Times"/>
          <w:szCs w:val="20"/>
          <w:lang w:val="en-US"/>
        </w:rPr>
      </w:pPr>
    </w:p>
    <w:p w14:paraId="7CB423FE" w14:textId="77777777" w:rsidR="000228D0" w:rsidRPr="00FE50A6" w:rsidRDefault="000228D0" w:rsidP="00140440">
      <w:pPr>
        <w:tabs>
          <w:tab w:val="clear" w:pos="4419"/>
          <w:tab w:val="clear" w:pos="8838"/>
        </w:tabs>
        <w:ind w:left="-142" w:right="-138"/>
        <w:jc w:val="both"/>
        <w:rPr>
          <w:rFonts w:eastAsia="Batang" w:cs="Times"/>
          <w:szCs w:val="20"/>
          <w:lang w:val="en-US"/>
        </w:rPr>
      </w:pPr>
    </w:p>
    <w:p w14:paraId="25D5B352" w14:textId="77777777" w:rsidR="00BA1ACF" w:rsidRPr="00FE50A6" w:rsidRDefault="00BA1ACF" w:rsidP="00140440">
      <w:pPr>
        <w:tabs>
          <w:tab w:val="clear" w:pos="4419"/>
          <w:tab w:val="clear" w:pos="8838"/>
        </w:tabs>
        <w:ind w:left="-142" w:right="-138"/>
        <w:jc w:val="both"/>
        <w:rPr>
          <w:rFonts w:eastAsia="Batang" w:cs="Times"/>
          <w:szCs w:val="20"/>
          <w:lang w:val="en-US"/>
        </w:rPr>
      </w:pPr>
    </w:p>
    <w:p w14:paraId="124D27EF" w14:textId="77777777" w:rsidR="00BA1ACF" w:rsidRPr="00FE50A6" w:rsidRDefault="000228D0" w:rsidP="00140440">
      <w:pPr>
        <w:tabs>
          <w:tab w:val="clear" w:pos="4419"/>
          <w:tab w:val="clear" w:pos="8838"/>
        </w:tabs>
        <w:jc w:val="both"/>
        <w:rPr>
          <w:rFonts w:eastAsia="Batang" w:cs="Times"/>
          <w:szCs w:val="20"/>
          <w:lang w:val="en-US"/>
        </w:rPr>
      </w:pPr>
      <w:r w:rsidRPr="00FE50A6">
        <w:rPr>
          <w:rFonts w:eastAsia="Batang" w:cs="Times"/>
          <w:szCs w:val="20"/>
          <w:lang w:val="en-US"/>
        </w:rPr>
        <w:t>In the case of the</w:t>
      </w:r>
      <w:r w:rsidR="00BA1ACF" w:rsidRPr="00FE50A6">
        <w:rPr>
          <w:rFonts w:eastAsia="Batang" w:cs="Times"/>
          <w:szCs w:val="20"/>
          <w:lang w:val="en-US"/>
        </w:rPr>
        <w:t xml:space="preserve"> </w:t>
      </w:r>
      <w:r w:rsidR="00030C17" w:rsidRPr="00FE50A6">
        <w:rPr>
          <w:rFonts w:eastAsia="Batang" w:cs="Times"/>
          <w:i/>
          <w:szCs w:val="20"/>
          <w:lang w:val="en-US"/>
        </w:rPr>
        <w:t xml:space="preserve">Hacienda </w:t>
      </w:r>
      <w:r w:rsidR="00322241" w:rsidRPr="00FE50A6">
        <w:rPr>
          <w:rFonts w:eastAsia="Batang" w:cs="Times"/>
          <w:i/>
          <w:szCs w:val="20"/>
          <w:lang w:val="en-US"/>
        </w:rPr>
        <w:t>Brasil Verde</w:t>
      </w:r>
      <w:r w:rsidR="00030C17" w:rsidRPr="00FE50A6">
        <w:rPr>
          <w:rFonts w:eastAsia="Batang" w:cs="Times"/>
          <w:i/>
          <w:szCs w:val="20"/>
          <w:lang w:val="en-US"/>
        </w:rPr>
        <w:t xml:space="preserve"> Workers</w:t>
      </w:r>
      <w:r w:rsidR="00BA1ACF" w:rsidRPr="00FE50A6">
        <w:rPr>
          <w:rFonts w:eastAsia="Batang" w:cs="Times"/>
          <w:i/>
          <w:szCs w:val="20"/>
          <w:lang w:val="en-US"/>
        </w:rPr>
        <w:t>,</w:t>
      </w:r>
    </w:p>
    <w:p w14:paraId="3501B8D1" w14:textId="77777777" w:rsidR="00BA1ACF" w:rsidRPr="00FE50A6" w:rsidRDefault="00BA1ACF" w:rsidP="00140440">
      <w:pPr>
        <w:tabs>
          <w:tab w:val="clear" w:pos="4419"/>
          <w:tab w:val="clear" w:pos="8838"/>
        </w:tabs>
        <w:ind w:left="-142" w:right="-138"/>
        <w:jc w:val="both"/>
        <w:rPr>
          <w:rFonts w:eastAsia="Batang" w:cs="Times"/>
          <w:szCs w:val="20"/>
          <w:lang w:val="en-US"/>
        </w:rPr>
      </w:pPr>
    </w:p>
    <w:p w14:paraId="1E1BFE39" w14:textId="77777777" w:rsidR="00BA1ACF" w:rsidRPr="00FE50A6" w:rsidRDefault="000228D0" w:rsidP="00140440">
      <w:pPr>
        <w:tabs>
          <w:tab w:val="clear" w:pos="4419"/>
          <w:tab w:val="clear" w:pos="8838"/>
        </w:tabs>
        <w:ind w:right="-138"/>
        <w:jc w:val="both"/>
        <w:rPr>
          <w:rFonts w:eastAsia="Batang" w:cs="Times"/>
          <w:szCs w:val="24"/>
          <w:lang w:val="en-US"/>
        </w:rPr>
      </w:pPr>
      <w:r w:rsidRPr="00FE50A6">
        <w:rPr>
          <w:rFonts w:eastAsia="Batang" w:cs="Times"/>
          <w:szCs w:val="24"/>
          <w:lang w:val="en-US"/>
        </w:rPr>
        <w:t>the Inter-American Court of Human Rights</w:t>
      </w:r>
      <w:r w:rsidR="00BA1ACF" w:rsidRPr="00FE50A6">
        <w:rPr>
          <w:rFonts w:eastAsia="Batang" w:cs="Times"/>
          <w:szCs w:val="24"/>
          <w:lang w:val="en-US"/>
        </w:rPr>
        <w:t xml:space="preserve"> (</w:t>
      </w:r>
      <w:r w:rsidRPr="00FE50A6">
        <w:rPr>
          <w:rFonts w:eastAsia="Batang" w:cs="Times"/>
          <w:szCs w:val="24"/>
          <w:lang w:val="en-US"/>
        </w:rPr>
        <w:t>hereinafter</w:t>
      </w:r>
      <w:r w:rsidR="00BA1ACF" w:rsidRPr="00FE50A6">
        <w:rPr>
          <w:rFonts w:eastAsia="Batang" w:cs="Times"/>
          <w:szCs w:val="24"/>
          <w:lang w:val="en-US"/>
        </w:rPr>
        <w:t xml:space="preserve"> </w:t>
      </w:r>
      <w:r w:rsidR="009C48A4" w:rsidRPr="00FE50A6">
        <w:rPr>
          <w:rFonts w:eastAsia="Batang" w:cs="Times"/>
          <w:szCs w:val="24"/>
          <w:lang w:val="en-US"/>
        </w:rPr>
        <w:t>“</w:t>
      </w:r>
      <w:r w:rsidRPr="00FE50A6">
        <w:rPr>
          <w:rFonts w:eastAsia="Batang" w:cs="Times"/>
          <w:szCs w:val="24"/>
          <w:lang w:val="en-US"/>
        </w:rPr>
        <w:t>the Inter-American Court</w:t>
      </w:r>
      <w:r w:rsidR="009C48A4" w:rsidRPr="00FE50A6">
        <w:rPr>
          <w:rFonts w:eastAsia="Batang" w:cs="Times"/>
          <w:szCs w:val="24"/>
          <w:lang w:val="en-US"/>
        </w:rPr>
        <w:t>”</w:t>
      </w:r>
      <w:r w:rsidRPr="00FE50A6">
        <w:rPr>
          <w:rFonts w:eastAsia="Batang" w:cs="Times"/>
          <w:szCs w:val="24"/>
          <w:lang w:val="en-US"/>
        </w:rPr>
        <w:t xml:space="preserve"> or</w:t>
      </w:r>
      <w:r w:rsidR="00BA1ACF" w:rsidRPr="00FE50A6">
        <w:rPr>
          <w:rFonts w:eastAsia="Batang" w:cs="Times"/>
          <w:szCs w:val="24"/>
          <w:lang w:val="en-US"/>
        </w:rPr>
        <w:t xml:space="preserve"> </w:t>
      </w:r>
      <w:r w:rsidR="009C48A4" w:rsidRPr="00FE50A6">
        <w:rPr>
          <w:rFonts w:eastAsia="Batang" w:cs="Times"/>
          <w:szCs w:val="24"/>
          <w:lang w:val="en-US"/>
        </w:rPr>
        <w:t>“</w:t>
      </w:r>
      <w:r w:rsidRPr="00FE50A6">
        <w:rPr>
          <w:rFonts w:eastAsia="Batang" w:cs="Times"/>
          <w:szCs w:val="24"/>
          <w:lang w:val="en-US"/>
        </w:rPr>
        <w:t>the Court</w:t>
      </w:r>
      <w:r w:rsidR="009C48A4" w:rsidRPr="00FE50A6">
        <w:rPr>
          <w:rFonts w:eastAsia="Batang" w:cs="Times"/>
          <w:szCs w:val="24"/>
          <w:lang w:val="en-US"/>
        </w:rPr>
        <w:t>”</w:t>
      </w:r>
      <w:r w:rsidR="00BA1ACF" w:rsidRPr="00FE50A6">
        <w:rPr>
          <w:rFonts w:eastAsia="Batang" w:cs="Times"/>
          <w:szCs w:val="24"/>
          <w:lang w:val="en-US"/>
        </w:rPr>
        <w:t xml:space="preserve">), </w:t>
      </w:r>
      <w:r w:rsidRPr="00FE50A6">
        <w:rPr>
          <w:rFonts w:eastAsia="Batang" w:cs="Times"/>
          <w:szCs w:val="24"/>
          <w:lang w:val="en-US"/>
        </w:rPr>
        <w:t>composed of the following judges:</w:t>
      </w:r>
      <w:r w:rsidR="00BA1ACF" w:rsidRPr="00FE50A6">
        <w:rPr>
          <w:rStyle w:val="Refdenotaalpie"/>
          <w:rFonts w:eastAsia="Batang"/>
          <w:lang w:val="en-US"/>
        </w:rPr>
        <w:footnoteReference w:id="1"/>
      </w:r>
    </w:p>
    <w:p w14:paraId="32F49172" w14:textId="77777777" w:rsidR="00BA1ACF" w:rsidRPr="00FE50A6" w:rsidRDefault="00BA1ACF" w:rsidP="00140440">
      <w:pPr>
        <w:tabs>
          <w:tab w:val="clear" w:pos="4419"/>
          <w:tab w:val="clear" w:pos="8838"/>
        </w:tabs>
        <w:ind w:right="-138"/>
        <w:jc w:val="both"/>
        <w:rPr>
          <w:rFonts w:eastAsia="Batang" w:cs="Times"/>
          <w:sz w:val="16"/>
          <w:szCs w:val="24"/>
          <w:lang w:val="en-US"/>
        </w:rPr>
      </w:pPr>
    </w:p>
    <w:p w14:paraId="6B7C99DA" w14:textId="77777777" w:rsidR="00BA1ACF" w:rsidRPr="00FE50A6" w:rsidRDefault="00BA1ACF" w:rsidP="00140440">
      <w:pPr>
        <w:tabs>
          <w:tab w:val="clear" w:pos="4419"/>
          <w:tab w:val="clear" w:pos="8838"/>
        </w:tabs>
        <w:ind w:right="-138"/>
        <w:jc w:val="both"/>
        <w:rPr>
          <w:rFonts w:eastAsia="Times New Roman" w:cs="Times New Roman"/>
          <w:szCs w:val="20"/>
          <w:lang w:val="en-US"/>
        </w:rPr>
      </w:pPr>
      <w:r w:rsidRPr="00FE50A6">
        <w:rPr>
          <w:rFonts w:eastAsia="Times New Roman" w:cs="Times New Roman"/>
          <w:szCs w:val="20"/>
          <w:lang w:val="en-US"/>
        </w:rPr>
        <w:t xml:space="preserve">Eduardo Ferrer Mac-Gregor Poisot, </w:t>
      </w:r>
      <w:r w:rsidR="000228D0" w:rsidRPr="00FE50A6">
        <w:rPr>
          <w:rFonts w:eastAsia="Times New Roman" w:cs="Times New Roman"/>
          <w:szCs w:val="20"/>
          <w:lang w:val="en-US"/>
        </w:rPr>
        <w:t>acting President</w:t>
      </w:r>
    </w:p>
    <w:p w14:paraId="26273F6D" w14:textId="77777777" w:rsidR="00BA1ACF" w:rsidRPr="00FE50A6" w:rsidRDefault="00BA1ACF" w:rsidP="00140440">
      <w:pPr>
        <w:tabs>
          <w:tab w:val="clear" w:pos="4419"/>
          <w:tab w:val="clear" w:pos="8838"/>
        </w:tabs>
        <w:ind w:right="-138"/>
        <w:jc w:val="both"/>
        <w:rPr>
          <w:rFonts w:eastAsia="Times New Roman" w:cs="Times New Roman"/>
          <w:szCs w:val="20"/>
          <w:lang w:val="en-US"/>
        </w:rPr>
      </w:pPr>
      <w:r w:rsidRPr="00FE50A6">
        <w:rPr>
          <w:rFonts w:eastAsia="Times New Roman" w:cs="Times New Roman"/>
          <w:szCs w:val="20"/>
          <w:lang w:val="en-US"/>
        </w:rPr>
        <w:t xml:space="preserve">Eduardo Vio Grossi, </w:t>
      </w:r>
      <w:r w:rsidR="000228D0" w:rsidRPr="00FE50A6">
        <w:rPr>
          <w:rFonts w:eastAsia="Times New Roman" w:cs="Times New Roman"/>
          <w:szCs w:val="20"/>
          <w:lang w:val="en-US"/>
        </w:rPr>
        <w:t xml:space="preserve">acting </w:t>
      </w:r>
      <w:r w:rsidRPr="00FE50A6">
        <w:rPr>
          <w:rFonts w:eastAsia="Times New Roman" w:cs="Times New Roman"/>
          <w:szCs w:val="20"/>
          <w:lang w:val="en-US"/>
        </w:rPr>
        <w:t>Vice</w:t>
      </w:r>
      <w:r w:rsidR="000228D0" w:rsidRPr="00FE50A6">
        <w:rPr>
          <w:rFonts w:eastAsia="Times New Roman" w:cs="Times New Roman"/>
          <w:szCs w:val="20"/>
          <w:lang w:val="en-US"/>
        </w:rPr>
        <w:t xml:space="preserve"> Pr</w:t>
      </w:r>
      <w:r w:rsidRPr="00FE50A6">
        <w:rPr>
          <w:rFonts w:eastAsia="Times New Roman" w:cs="Times New Roman"/>
          <w:szCs w:val="20"/>
          <w:lang w:val="en-US"/>
        </w:rPr>
        <w:t>esident</w:t>
      </w:r>
    </w:p>
    <w:p w14:paraId="4AB8FC8F" w14:textId="77777777" w:rsidR="00BA1ACF" w:rsidRPr="00FE50A6" w:rsidRDefault="00BA1ACF" w:rsidP="00140440">
      <w:pPr>
        <w:tabs>
          <w:tab w:val="clear" w:pos="4419"/>
          <w:tab w:val="clear" w:pos="8838"/>
        </w:tabs>
        <w:ind w:right="-138"/>
        <w:jc w:val="both"/>
        <w:rPr>
          <w:rFonts w:eastAsia="Times New Roman" w:cs="Times New Roman"/>
          <w:szCs w:val="20"/>
        </w:rPr>
      </w:pPr>
      <w:r w:rsidRPr="00FE50A6">
        <w:rPr>
          <w:rFonts w:eastAsia="Times New Roman" w:cs="Times New Roman"/>
          <w:szCs w:val="20"/>
        </w:rPr>
        <w:t xml:space="preserve">Humberto </w:t>
      </w:r>
      <w:r w:rsidR="00D60654" w:rsidRPr="00FE50A6">
        <w:rPr>
          <w:rFonts w:eastAsia="Times New Roman" w:cs="Times New Roman"/>
          <w:szCs w:val="20"/>
        </w:rPr>
        <w:t xml:space="preserve">Antônio </w:t>
      </w:r>
      <w:r w:rsidRPr="00FE50A6">
        <w:rPr>
          <w:rFonts w:eastAsia="Times New Roman" w:cs="Times New Roman"/>
          <w:szCs w:val="20"/>
        </w:rPr>
        <w:t xml:space="preserve">Sierra Porto, </w:t>
      </w:r>
      <w:r w:rsidR="000228D0" w:rsidRPr="00FE50A6">
        <w:rPr>
          <w:rFonts w:eastAsia="Times New Roman" w:cs="Times New Roman"/>
          <w:szCs w:val="20"/>
        </w:rPr>
        <w:t>Judge</w:t>
      </w:r>
    </w:p>
    <w:p w14:paraId="35BDCA20" w14:textId="77777777" w:rsidR="000228D0" w:rsidRPr="00FE50A6" w:rsidRDefault="00BA1ACF" w:rsidP="00140440">
      <w:pPr>
        <w:tabs>
          <w:tab w:val="clear" w:pos="4419"/>
          <w:tab w:val="clear" w:pos="8838"/>
        </w:tabs>
        <w:ind w:right="-138"/>
        <w:jc w:val="both"/>
        <w:rPr>
          <w:rFonts w:eastAsia="Times New Roman" w:cs="Times New Roman"/>
          <w:szCs w:val="20"/>
        </w:rPr>
      </w:pPr>
      <w:r w:rsidRPr="00FE50A6">
        <w:rPr>
          <w:rFonts w:eastAsia="Times New Roman" w:cs="Times New Roman"/>
          <w:szCs w:val="20"/>
        </w:rPr>
        <w:t xml:space="preserve">Elizabeth Odio Benito, </w:t>
      </w:r>
      <w:r w:rsidR="000228D0" w:rsidRPr="00FE50A6">
        <w:rPr>
          <w:rFonts w:eastAsia="Times New Roman" w:cs="Times New Roman"/>
          <w:szCs w:val="20"/>
        </w:rPr>
        <w:t>Judge</w:t>
      </w:r>
    </w:p>
    <w:p w14:paraId="4CFFEEBD" w14:textId="77777777" w:rsidR="00BA1ACF" w:rsidRPr="00FE50A6" w:rsidRDefault="00BA1ACF" w:rsidP="00140440">
      <w:pPr>
        <w:tabs>
          <w:tab w:val="clear" w:pos="4419"/>
          <w:tab w:val="clear" w:pos="8838"/>
        </w:tabs>
        <w:ind w:right="-138"/>
        <w:jc w:val="both"/>
        <w:rPr>
          <w:rFonts w:eastAsia="Times New Roman" w:cs="Times New Roman"/>
          <w:szCs w:val="20"/>
          <w:lang w:val="en-US"/>
        </w:rPr>
      </w:pPr>
      <w:r w:rsidRPr="00FE50A6">
        <w:rPr>
          <w:rFonts w:eastAsia="Times New Roman" w:cs="Times New Roman"/>
          <w:szCs w:val="20"/>
          <w:lang w:val="en-US"/>
        </w:rPr>
        <w:t xml:space="preserve">Eugenio Raúl Zaffaroni, </w:t>
      </w:r>
      <w:r w:rsidR="000228D0" w:rsidRPr="00FE50A6">
        <w:rPr>
          <w:rFonts w:eastAsia="Times New Roman" w:cs="Times New Roman"/>
          <w:szCs w:val="20"/>
          <w:lang w:val="en-US"/>
        </w:rPr>
        <w:t>Judge</w:t>
      </w:r>
      <w:r w:rsidRPr="00FE50A6">
        <w:rPr>
          <w:rFonts w:eastAsia="Times New Roman" w:cs="Times New Roman"/>
          <w:szCs w:val="20"/>
          <w:lang w:val="en-US"/>
        </w:rPr>
        <w:t xml:space="preserve">, </w:t>
      </w:r>
      <w:r w:rsidR="000228D0" w:rsidRPr="00FE50A6">
        <w:rPr>
          <w:rFonts w:eastAsia="Times New Roman" w:cs="Times New Roman"/>
          <w:szCs w:val="20"/>
          <w:lang w:val="en-US"/>
        </w:rPr>
        <w:t>and</w:t>
      </w:r>
      <w:r w:rsidRPr="00FE50A6">
        <w:rPr>
          <w:rFonts w:eastAsia="Times New Roman" w:cs="Times New Roman"/>
          <w:szCs w:val="20"/>
          <w:lang w:val="en-US"/>
        </w:rPr>
        <w:t xml:space="preserve"> </w:t>
      </w:r>
    </w:p>
    <w:p w14:paraId="11769C95" w14:textId="77777777" w:rsidR="00BA1ACF" w:rsidRPr="00FE50A6" w:rsidRDefault="00BA1ACF" w:rsidP="00140440">
      <w:pPr>
        <w:tabs>
          <w:tab w:val="clear" w:pos="4419"/>
          <w:tab w:val="clear" w:pos="8838"/>
        </w:tabs>
        <w:ind w:right="-138"/>
        <w:jc w:val="both"/>
        <w:rPr>
          <w:rFonts w:eastAsia="Batang" w:cs="Times"/>
          <w:szCs w:val="24"/>
          <w:lang w:val="en-US"/>
        </w:rPr>
      </w:pPr>
      <w:r w:rsidRPr="00FE50A6">
        <w:rPr>
          <w:rFonts w:eastAsia="Batang" w:cs="Times"/>
          <w:szCs w:val="24"/>
          <w:lang w:val="en-US"/>
        </w:rPr>
        <w:t xml:space="preserve">L. Patricio Pazmiño Freire, </w:t>
      </w:r>
      <w:r w:rsidR="000228D0" w:rsidRPr="00FE50A6">
        <w:rPr>
          <w:rFonts w:eastAsia="Batang" w:cs="Times"/>
          <w:szCs w:val="24"/>
          <w:lang w:val="en-US"/>
        </w:rPr>
        <w:t>Judge</w:t>
      </w:r>
      <w:r w:rsidRPr="00FE50A6">
        <w:rPr>
          <w:rFonts w:eastAsia="Batang" w:cs="Times"/>
          <w:szCs w:val="24"/>
          <w:lang w:val="en-US"/>
        </w:rPr>
        <w:t xml:space="preserve">; </w:t>
      </w:r>
    </w:p>
    <w:p w14:paraId="0E61C464" w14:textId="77777777" w:rsidR="00BA1ACF" w:rsidRPr="00FE50A6" w:rsidRDefault="00BA1ACF" w:rsidP="00140440">
      <w:pPr>
        <w:tabs>
          <w:tab w:val="clear" w:pos="4419"/>
          <w:tab w:val="clear" w:pos="8838"/>
        </w:tabs>
        <w:ind w:right="-138"/>
        <w:jc w:val="both"/>
        <w:rPr>
          <w:rFonts w:eastAsia="Batang" w:cs="Times"/>
          <w:szCs w:val="24"/>
          <w:lang w:val="en-US"/>
        </w:rPr>
      </w:pPr>
    </w:p>
    <w:p w14:paraId="57B7F603" w14:textId="77777777" w:rsidR="00BA1ACF" w:rsidRPr="00FE50A6" w:rsidRDefault="000228D0" w:rsidP="00140440">
      <w:pPr>
        <w:tabs>
          <w:tab w:val="clear" w:pos="4419"/>
          <w:tab w:val="clear" w:pos="8838"/>
        </w:tabs>
        <w:ind w:right="-138"/>
        <w:jc w:val="both"/>
        <w:rPr>
          <w:rFonts w:eastAsia="Batang" w:cs="Times"/>
          <w:szCs w:val="24"/>
          <w:lang w:val="en-US"/>
        </w:rPr>
      </w:pPr>
      <w:r w:rsidRPr="00FE50A6">
        <w:rPr>
          <w:rFonts w:eastAsia="Batang" w:cs="Times"/>
          <w:szCs w:val="24"/>
          <w:lang w:val="en-US"/>
        </w:rPr>
        <w:t>also present</w:t>
      </w:r>
      <w:r w:rsidR="00BA1ACF" w:rsidRPr="00FE50A6">
        <w:rPr>
          <w:rFonts w:eastAsia="Batang" w:cs="Times"/>
          <w:szCs w:val="24"/>
          <w:lang w:val="en-US"/>
        </w:rPr>
        <w:t>,</w:t>
      </w:r>
    </w:p>
    <w:p w14:paraId="4765A815" w14:textId="77777777" w:rsidR="00BA1ACF" w:rsidRPr="00FE50A6" w:rsidRDefault="00BA1ACF" w:rsidP="00140440">
      <w:pPr>
        <w:tabs>
          <w:tab w:val="clear" w:pos="4419"/>
          <w:tab w:val="clear" w:pos="8838"/>
        </w:tabs>
        <w:ind w:right="-138"/>
        <w:jc w:val="both"/>
        <w:rPr>
          <w:rFonts w:eastAsia="Batang" w:cs="Times"/>
          <w:szCs w:val="24"/>
          <w:lang w:val="en-US"/>
        </w:rPr>
      </w:pPr>
    </w:p>
    <w:p w14:paraId="21EE030D" w14:textId="77777777" w:rsidR="00BA1ACF" w:rsidRPr="00FE50A6" w:rsidRDefault="00BA1ACF" w:rsidP="00140440">
      <w:pPr>
        <w:tabs>
          <w:tab w:val="clear" w:pos="4419"/>
          <w:tab w:val="clear" w:pos="8838"/>
        </w:tabs>
        <w:jc w:val="both"/>
        <w:rPr>
          <w:rFonts w:eastAsia="Batang" w:cs="Times"/>
          <w:szCs w:val="24"/>
          <w:lang w:val="en-US"/>
        </w:rPr>
      </w:pPr>
      <w:r w:rsidRPr="00FE50A6">
        <w:rPr>
          <w:rFonts w:eastAsia="Batang" w:cs="Times"/>
          <w:szCs w:val="24"/>
          <w:lang w:val="en-US"/>
        </w:rPr>
        <w:t>Pablo Saavedra Alessandri, Secretar</w:t>
      </w:r>
      <w:r w:rsidR="000228D0" w:rsidRPr="00FE50A6">
        <w:rPr>
          <w:rFonts w:eastAsia="Batang" w:cs="Times"/>
          <w:szCs w:val="24"/>
          <w:lang w:val="en-US"/>
        </w:rPr>
        <w:t>y</w:t>
      </w:r>
      <w:r w:rsidRPr="00FE50A6">
        <w:rPr>
          <w:rFonts w:eastAsia="Batang" w:cs="Times"/>
          <w:szCs w:val="24"/>
          <w:lang w:val="en-US"/>
        </w:rPr>
        <w:t xml:space="preserve">, </w:t>
      </w:r>
      <w:r w:rsidR="000228D0" w:rsidRPr="00FE50A6">
        <w:rPr>
          <w:rFonts w:eastAsia="Batang" w:cs="Times"/>
          <w:szCs w:val="24"/>
          <w:lang w:val="en-US"/>
        </w:rPr>
        <w:t>and</w:t>
      </w:r>
    </w:p>
    <w:p w14:paraId="42F7BFE5" w14:textId="77777777" w:rsidR="00BA1ACF" w:rsidRPr="00FE50A6" w:rsidRDefault="00BA1ACF" w:rsidP="00140440">
      <w:pPr>
        <w:tabs>
          <w:tab w:val="clear" w:pos="4419"/>
          <w:tab w:val="clear" w:pos="8838"/>
        </w:tabs>
        <w:ind w:right="-138"/>
        <w:jc w:val="both"/>
        <w:rPr>
          <w:rFonts w:eastAsia="Batang" w:cs="Times"/>
          <w:szCs w:val="24"/>
          <w:lang w:val="en-US"/>
        </w:rPr>
      </w:pPr>
      <w:r w:rsidRPr="00FE50A6">
        <w:rPr>
          <w:rFonts w:eastAsia="Batang" w:cs="Times"/>
          <w:szCs w:val="24"/>
          <w:lang w:val="en-US"/>
        </w:rPr>
        <w:t xml:space="preserve">Emilia Segares Rodríguez, </w:t>
      </w:r>
      <w:r w:rsidR="000228D0" w:rsidRPr="00FE50A6">
        <w:rPr>
          <w:rFonts w:eastAsia="Batang" w:cs="Times"/>
          <w:szCs w:val="24"/>
          <w:lang w:val="en-US"/>
        </w:rPr>
        <w:t xml:space="preserve">Deputy </w:t>
      </w:r>
      <w:r w:rsidRPr="00FE50A6">
        <w:rPr>
          <w:rFonts w:eastAsia="Batang" w:cs="Times"/>
          <w:szCs w:val="24"/>
          <w:lang w:val="en-US"/>
        </w:rPr>
        <w:t>Secretar</w:t>
      </w:r>
      <w:r w:rsidR="000228D0" w:rsidRPr="00FE50A6">
        <w:rPr>
          <w:rFonts w:eastAsia="Batang" w:cs="Times"/>
          <w:szCs w:val="24"/>
          <w:lang w:val="en-US"/>
        </w:rPr>
        <w:t>y</w:t>
      </w:r>
      <w:r w:rsidRPr="00FE50A6">
        <w:rPr>
          <w:rFonts w:eastAsia="Batang" w:cs="Times"/>
          <w:szCs w:val="24"/>
          <w:lang w:val="en-US"/>
        </w:rPr>
        <w:t>,</w:t>
      </w:r>
    </w:p>
    <w:p w14:paraId="35899A8B" w14:textId="77777777" w:rsidR="00BA1ACF" w:rsidRPr="00FE50A6" w:rsidRDefault="00BA1ACF" w:rsidP="00140440">
      <w:pPr>
        <w:tabs>
          <w:tab w:val="clear" w:pos="4419"/>
          <w:tab w:val="clear" w:pos="8838"/>
        </w:tabs>
        <w:ind w:right="-138"/>
        <w:jc w:val="both"/>
        <w:rPr>
          <w:rFonts w:eastAsia="Batang" w:cs="Times"/>
          <w:szCs w:val="24"/>
          <w:lang w:val="en-US"/>
        </w:rPr>
      </w:pPr>
    </w:p>
    <w:p w14:paraId="7AFAA4FA" w14:textId="77777777" w:rsidR="00BA1ACF" w:rsidRPr="00FE50A6" w:rsidRDefault="00763F27" w:rsidP="00140440">
      <w:pPr>
        <w:tabs>
          <w:tab w:val="clear" w:pos="4419"/>
          <w:tab w:val="clear" w:pos="8838"/>
        </w:tabs>
        <w:ind w:right="-138"/>
        <w:jc w:val="both"/>
        <w:rPr>
          <w:rFonts w:eastAsia="Batang" w:cs="Times"/>
          <w:szCs w:val="24"/>
          <w:lang w:val="en-US"/>
        </w:rPr>
      </w:pPr>
      <w:r w:rsidRPr="00FE50A6">
        <w:rPr>
          <w:rFonts w:eastAsia="Batang" w:cs="Times"/>
          <w:szCs w:val="24"/>
          <w:lang w:val="en-US"/>
        </w:rPr>
        <w:t>p</w:t>
      </w:r>
      <w:r w:rsidR="000228D0" w:rsidRPr="00FE50A6">
        <w:rPr>
          <w:rFonts w:eastAsia="Batang" w:cs="Times"/>
          <w:szCs w:val="24"/>
          <w:lang w:val="en-US"/>
        </w:rPr>
        <w:t>ursuant to</w:t>
      </w:r>
      <w:r w:rsidR="00BA1ACF" w:rsidRPr="00FE50A6">
        <w:rPr>
          <w:rFonts w:eastAsia="Batang" w:cs="Times"/>
          <w:szCs w:val="24"/>
          <w:lang w:val="en-US"/>
        </w:rPr>
        <w:t xml:space="preserve"> </w:t>
      </w:r>
      <w:r w:rsidR="000228D0" w:rsidRPr="00FE50A6">
        <w:rPr>
          <w:rFonts w:eastAsia="Batang" w:cs="Times"/>
          <w:szCs w:val="24"/>
          <w:lang w:val="en-US"/>
        </w:rPr>
        <w:t>Articles</w:t>
      </w:r>
      <w:r w:rsidR="00BA1ACF" w:rsidRPr="00FE50A6">
        <w:rPr>
          <w:rFonts w:eastAsia="Batang" w:cs="Times"/>
          <w:szCs w:val="24"/>
          <w:lang w:val="en-US"/>
        </w:rPr>
        <w:t xml:space="preserve"> </w:t>
      </w:r>
      <w:r w:rsidR="000228D0" w:rsidRPr="00FE50A6">
        <w:rPr>
          <w:rFonts w:eastAsia="Batang" w:cs="Times"/>
          <w:szCs w:val="24"/>
          <w:lang w:val="en-US"/>
        </w:rPr>
        <w:t>62(3)</w:t>
      </w:r>
      <w:r w:rsidR="00BA1ACF" w:rsidRPr="00FE50A6">
        <w:rPr>
          <w:rFonts w:eastAsia="Batang" w:cs="Times"/>
          <w:szCs w:val="24"/>
          <w:lang w:val="en-US"/>
        </w:rPr>
        <w:t xml:space="preserve"> </w:t>
      </w:r>
      <w:r w:rsidR="000228D0" w:rsidRPr="00FE50A6">
        <w:rPr>
          <w:rFonts w:eastAsia="Batang" w:cs="Times"/>
          <w:szCs w:val="24"/>
          <w:lang w:val="en-US"/>
        </w:rPr>
        <w:t>and</w:t>
      </w:r>
      <w:r w:rsidR="00BA1ACF" w:rsidRPr="00FE50A6">
        <w:rPr>
          <w:rFonts w:eastAsia="Batang" w:cs="Times"/>
          <w:szCs w:val="24"/>
          <w:lang w:val="en-US"/>
        </w:rPr>
        <w:t xml:space="preserve"> </w:t>
      </w:r>
      <w:r w:rsidR="000228D0" w:rsidRPr="00FE50A6">
        <w:rPr>
          <w:rFonts w:eastAsia="Batang" w:cs="Times"/>
          <w:szCs w:val="24"/>
          <w:lang w:val="en-US"/>
        </w:rPr>
        <w:t>63(1) of the American Convention on Human Rights</w:t>
      </w:r>
      <w:r w:rsidR="00BA1ACF" w:rsidRPr="00FE50A6">
        <w:rPr>
          <w:rFonts w:eastAsia="Batang" w:cs="Times"/>
          <w:szCs w:val="24"/>
          <w:lang w:val="en-US"/>
        </w:rPr>
        <w:t xml:space="preserve"> (</w:t>
      </w:r>
      <w:r w:rsidR="000228D0" w:rsidRPr="00FE50A6">
        <w:rPr>
          <w:rFonts w:eastAsia="Batang" w:cs="Times"/>
          <w:szCs w:val="24"/>
          <w:lang w:val="en-US"/>
        </w:rPr>
        <w:t>hereinafter</w:t>
      </w:r>
      <w:r w:rsidR="00BA1ACF" w:rsidRPr="00FE50A6">
        <w:rPr>
          <w:rFonts w:eastAsia="Batang" w:cs="Times"/>
          <w:szCs w:val="24"/>
          <w:lang w:val="en-US"/>
        </w:rPr>
        <w:t xml:space="preserve">, </w:t>
      </w:r>
      <w:r w:rsidR="009C48A4" w:rsidRPr="00FE50A6">
        <w:rPr>
          <w:rFonts w:eastAsia="Batang" w:cs="Times"/>
          <w:szCs w:val="24"/>
          <w:lang w:val="en-US"/>
        </w:rPr>
        <w:t>“</w:t>
      </w:r>
      <w:r w:rsidR="000228D0" w:rsidRPr="00FE50A6">
        <w:rPr>
          <w:rFonts w:eastAsia="Batang" w:cs="Times"/>
          <w:szCs w:val="24"/>
          <w:lang w:val="en-US"/>
        </w:rPr>
        <w:t>the American Convention</w:t>
      </w:r>
      <w:r w:rsidR="009C48A4" w:rsidRPr="00FE50A6">
        <w:rPr>
          <w:rFonts w:eastAsia="Batang" w:cs="Times"/>
          <w:szCs w:val="24"/>
          <w:lang w:val="en-US"/>
        </w:rPr>
        <w:t>”</w:t>
      </w:r>
      <w:r w:rsidR="00BA1ACF" w:rsidRPr="00FE50A6">
        <w:rPr>
          <w:rFonts w:eastAsia="Batang" w:cs="Times"/>
          <w:szCs w:val="24"/>
          <w:lang w:val="en-US"/>
        </w:rPr>
        <w:t xml:space="preserve"> o</w:t>
      </w:r>
      <w:r w:rsidR="000228D0" w:rsidRPr="00FE50A6">
        <w:rPr>
          <w:rFonts w:eastAsia="Batang" w:cs="Times"/>
          <w:szCs w:val="24"/>
          <w:lang w:val="en-US"/>
        </w:rPr>
        <w:t>r</w:t>
      </w:r>
      <w:r w:rsidR="00BA1ACF" w:rsidRPr="00FE50A6">
        <w:rPr>
          <w:rFonts w:eastAsia="Batang" w:cs="Times"/>
          <w:szCs w:val="24"/>
          <w:lang w:val="en-US"/>
        </w:rPr>
        <w:t xml:space="preserve"> </w:t>
      </w:r>
      <w:r w:rsidR="009C48A4" w:rsidRPr="00FE50A6">
        <w:rPr>
          <w:rFonts w:eastAsia="Batang" w:cs="Times"/>
          <w:szCs w:val="24"/>
          <w:lang w:val="en-US"/>
        </w:rPr>
        <w:t>“</w:t>
      </w:r>
      <w:r w:rsidR="000228D0" w:rsidRPr="00FE50A6">
        <w:rPr>
          <w:rFonts w:eastAsia="Batang" w:cs="Times"/>
          <w:szCs w:val="24"/>
          <w:lang w:val="en-US"/>
        </w:rPr>
        <w:t>the Convention</w:t>
      </w:r>
      <w:r w:rsidR="009C48A4" w:rsidRPr="00FE50A6">
        <w:rPr>
          <w:rFonts w:eastAsia="Batang" w:cs="Times"/>
          <w:szCs w:val="24"/>
          <w:lang w:val="en-US"/>
        </w:rPr>
        <w:t>”</w:t>
      </w:r>
      <w:r w:rsidR="00BA1ACF" w:rsidRPr="00FE50A6">
        <w:rPr>
          <w:rFonts w:eastAsia="Batang" w:cs="Times"/>
          <w:szCs w:val="24"/>
          <w:lang w:val="en-US"/>
        </w:rPr>
        <w:t xml:space="preserve">) </w:t>
      </w:r>
      <w:r w:rsidR="000228D0" w:rsidRPr="00FE50A6">
        <w:rPr>
          <w:rFonts w:eastAsia="Batang" w:cs="Times"/>
          <w:szCs w:val="24"/>
          <w:lang w:val="en-US"/>
        </w:rPr>
        <w:t>and</w:t>
      </w:r>
      <w:r w:rsidR="00BA1ACF" w:rsidRPr="00FE50A6">
        <w:rPr>
          <w:rFonts w:eastAsia="Batang" w:cs="Times"/>
          <w:szCs w:val="24"/>
          <w:lang w:val="en-US"/>
        </w:rPr>
        <w:t xml:space="preserve"> </w:t>
      </w:r>
      <w:r w:rsidR="000228D0" w:rsidRPr="00FE50A6">
        <w:rPr>
          <w:rFonts w:eastAsia="Batang" w:cs="Times"/>
          <w:szCs w:val="24"/>
          <w:lang w:val="en-US"/>
        </w:rPr>
        <w:t>Articles</w:t>
      </w:r>
      <w:r w:rsidR="00BA1ACF" w:rsidRPr="00FE50A6">
        <w:rPr>
          <w:rFonts w:eastAsia="Batang" w:cs="Times"/>
          <w:szCs w:val="24"/>
          <w:lang w:val="en-US"/>
        </w:rPr>
        <w:t xml:space="preserve"> 31, 32, 42, 65 </w:t>
      </w:r>
      <w:r w:rsidR="000228D0" w:rsidRPr="00FE50A6">
        <w:rPr>
          <w:rFonts w:eastAsia="Batang" w:cs="Times"/>
          <w:szCs w:val="24"/>
          <w:lang w:val="en-US"/>
        </w:rPr>
        <w:t>and</w:t>
      </w:r>
      <w:r w:rsidR="00BA1ACF" w:rsidRPr="00FE50A6">
        <w:rPr>
          <w:rFonts w:eastAsia="Batang" w:cs="Times"/>
          <w:szCs w:val="24"/>
          <w:lang w:val="en-US"/>
        </w:rPr>
        <w:t xml:space="preserve"> 67 </w:t>
      </w:r>
      <w:r w:rsidR="000228D0" w:rsidRPr="00FE50A6">
        <w:rPr>
          <w:rFonts w:eastAsia="Batang" w:cs="Times"/>
          <w:szCs w:val="24"/>
          <w:lang w:val="en-US"/>
        </w:rPr>
        <w:t>of the Rules of Procedure of the Court</w:t>
      </w:r>
      <w:r w:rsidR="00BA1ACF" w:rsidRPr="00FE50A6">
        <w:rPr>
          <w:rFonts w:eastAsia="Batang" w:cs="Times"/>
          <w:szCs w:val="24"/>
          <w:lang w:val="en-US"/>
        </w:rPr>
        <w:t xml:space="preserve"> (</w:t>
      </w:r>
      <w:r w:rsidR="000228D0" w:rsidRPr="00FE50A6">
        <w:rPr>
          <w:rFonts w:eastAsia="Batang" w:cs="Times"/>
          <w:szCs w:val="24"/>
          <w:lang w:val="en-US"/>
        </w:rPr>
        <w:t>hereinafter</w:t>
      </w:r>
      <w:r w:rsidR="00BA1ACF" w:rsidRPr="00FE50A6">
        <w:rPr>
          <w:rFonts w:eastAsia="Batang" w:cs="Times"/>
          <w:szCs w:val="24"/>
          <w:lang w:val="en-US"/>
        </w:rPr>
        <w:t xml:space="preserve"> </w:t>
      </w:r>
      <w:r w:rsidR="009C48A4" w:rsidRPr="00FE50A6">
        <w:rPr>
          <w:rFonts w:eastAsia="Batang" w:cs="Times"/>
          <w:szCs w:val="24"/>
          <w:lang w:val="en-US"/>
        </w:rPr>
        <w:t>“</w:t>
      </w:r>
      <w:r w:rsidR="000228D0" w:rsidRPr="00FE50A6">
        <w:rPr>
          <w:rFonts w:eastAsia="Batang" w:cs="Times"/>
          <w:szCs w:val="24"/>
          <w:lang w:val="en-US"/>
        </w:rPr>
        <w:t>the Rules of Procedure</w:t>
      </w:r>
      <w:r w:rsidR="009C48A4" w:rsidRPr="00FE50A6">
        <w:rPr>
          <w:rFonts w:eastAsia="Batang" w:cs="Times"/>
          <w:szCs w:val="24"/>
          <w:lang w:val="en-US"/>
        </w:rPr>
        <w:t>”</w:t>
      </w:r>
      <w:r w:rsidR="00BA1ACF" w:rsidRPr="00FE50A6">
        <w:rPr>
          <w:rFonts w:eastAsia="Batang" w:cs="Times"/>
          <w:szCs w:val="24"/>
          <w:lang w:val="en-US"/>
        </w:rPr>
        <w:t xml:space="preserve"> o</w:t>
      </w:r>
      <w:r w:rsidR="000228D0" w:rsidRPr="00FE50A6">
        <w:rPr>
          <w:rFonts w:eastAsia="Batang" w:cs="Times"/>
          <w:szCs w:val="24"/>
          <w:lang w:val="en-US"/>
        </w:rPr>
        <w:t>r</w:t>
      </w:r>
      <w:r w:rsidR="00BA1ACF" w:rsidRPr="00FE50A6">
        <w:rPr>
          <w:rFonts w:eastAsia="Batang" w:cs="Times"/>
          <w:szCs w:val="24"/>
          <w:lang w:val="en-US"/>
        </w:rPr>
        <w:t xml:space="preserve"> </w:t>
      </w:r>
      <w:r w:rsidR="009C48A4" w:rsidRPr="00FE50A6">
        <w:rPr>
          <w:rFonts w:eastAsia="Batang" w:cs="Times"/>
          <w:szCs w:val="24"/>
          <w:lang w:val="en-US"/>
        </w:rPr>
        <w:t>“</w:t>
      </w:r>
      <w:r w:rsidR="000228D0" w:rsidRPr="00FE50A6">
        <w:rPr>
          <w:rFonts w:eastAsia="Batang" w:cs="Times"/>
          <w:szCs w:val="24"/>
          <w:lang w:val="en-US"/>
        </w:rPr>
        <w:t>the Court’s Rules of Procedure</w:t>
      </w:r>
      <w:r w:rsidR="009C48A4" w:rsidRPr="00FE50A6">
        <w:rPr>
          <w:rFonts w:eastAsia="Batang" w:cs="Times"/>
          <w:szCs w:val="24"/>
          <w:lang w:val="en-US"/>
        </w:rPr>
        <w:t>”</w:t>
      </w:r>
      <w:r w:rsidR="00BA1ACF" w:rsidRPr="00FE50A6">
        <w:rPr>
          <w:rFonts w:eastAsia="Batang" w:cs="Times"/>
          <w:szCs w:val="24"/>
          <w:lang w:val="en-US"/>
        </w:rPr>
        <w:t>), d</w:t>
      </w:r>
      <w:r w:rsidR="000228D0" w:rsidRPr="00FE50A6">
        <w:rPr>
          <w:rFonts w:eastAsia="Batang" w:cs="Times"/>
          <w:szCs w:val="24"/>
          <w:lang w:val="en-US"/>
        </w:rPr>
        <w:t>elivers this judgment, structured as follows</w:t>
      </w:r>
      <w:r w:rsidR="005F5A3A" w:rsidRPr="00FE50A6">
        <w:rPr>
          <w:rFonts w:eastAsia="Batang" w:cs="Times"/>
          <w:szCs w:val="24"/>
          <w:lang w:val="en-US"/>
        </w:rPr>
        <w:t>:</w:t>
      </w:r>
    </w:p>
    <w:p w14:paraId="7C980CE4" w14:textId="77777777" w:rsidR="00BA1ACF" w:rsidRPr="00FE50A6" w:rsidRDefault="00BA1ACF" w:rsidP="00CC20FF">
      <w:pPr>
        <w:tabs>
          <w:tab w:val="clear" w:pos="4419"/>
          <w:tab w:val="clear" w:pos="8838"/>
        </w:tabs>
        <w:spacing w:after="40"/>
        <w:ind w:right="-138"/>
        <w:jc w:val="center"/>
        <w:rPr>
          <w:rFonts w:eastAsia="Batang" w:cs="Times"/>
          <w:b/>
          <w:noProof/>
          <w:szCs w:val="20"/>
          <w:lang w:val="en-US"/>
        </w:rPr>
      </w:pPr>
      <w:r w:rsidRPr="00FE50A6">
        <w:rPr>
          <w:rFonts w:eastAsia="Batang" w:cs="Times"/>
          <w:szCs w:val="24"/>
          <w:lang w:val="en-US"/>
        </w:rPr>
        <w:br w:type="page"/>
      </w:r>
      <w:r w:rsidR="005C2091" w:rsidRPr="00FE50A6">
        <w:rPr>
          <w:rFonts w:eastAsia="Batang" w:cs="Times"/>
          <w:b/>
          <w:noProof/>
          <w:szCs w:val="20"/>
          <w:lang w:val="en-US"/>
        </w:rPr>
        <w:lastRenderedPageBreak/>
        <w:t>TABLE OF CONTENTS</w:t>
      </w:r>
    </w:p>
    <w:p w14:paraId="7033939E" w14:textId="77777777" w:rsidR="00BA1ACF" w:rsidRPr="00FE50A6" w:rsidRDefault="00BA1ACF" w:rsidP="00CC20FF">
      <w:pPr>
        <w:tabs>
          <w:tab w:val="clear" w:pos="4419"/>
          <w:tab w:val="clear" w:pos="8838"/>
        </w:tabs>
        <w:spacing w:after="40"/>
        <w:jc w:val="both"/>
        <w:rPr>
          <w:rFonts w:eastAsia="Batang" w:cs="Times"/>
          <w:noProof/>
          <w:szCs w:val="20"/>
          <w:lang w:val="en-US"/>
        </w:rPr>
      </w:pPr>
    </w:p>
    <w:p w14:paraId="05B2F9EE" w14:textId="77777777" w:rsidR="00B2396C" w:rsidRPr="00FE50A6" w:rsidRDefault="00FF5DA8" w:rsidP="005F1946">
      <w:pPr>
        <w:pStyle w:val="TDC1"/>
        <w:rPr>
          <w:rFonts w:eastAsiaTheme="minorEastAsia"/>
          <w:noProof/>
          <w:lang w:val="en-US" w:eastAsia="es-ES"/>
        </w:rPr>
      </w:pPr>
      <w:r w:rsidRPr="00FE50A6">
        <w:rPr>
          <w:rFonts w:eastAsia="Batang" w:cs="Times"/>
          <w:noProof/>
          <w:lang w:val="en-US"/>
        </w:rPr>
        <w:fldChar w:fldCharType="begin"/>
      </w:r>
      <w:r w:rsidR="00BA1ACF" w:rsidRPr="00FE50A6">
        <w:rPr>
          <w:rFonts w:eastAsia="Batang" w:cs="Times"/>
          <w:noProof/>
          <w:lang w:val="en-US"/>
        </w:rPr>
        <w:instrText xml:space="preserve"> TOC \o "1-5" \h \z \u </w:instrText>
      </w:r>
      <w:r w:rsidRPr="00FE50A6">
        <w:rPr>
          <w:rFonts w:eastAsia="Batang" w:cs="Times"/>
          <w:noProof/>
          <w:lang w:val="en-US"/>
        </w:rPr>
        <w:fldChar w:fldCharType="separate"/>
      </w:r>
      <w:hyperlink w:anchor="_Toc464813884" w:history="1">
        <w:r w:rsidR="00B2396C" w:rsidRPr="00FE50A6">
          <w:rPr>
            <w:rStyle w:val="Hipervnculo"/>
            <w:noProof/>
            <w:sz w:val="20"/>
            <w:szCs w:val="20"/>
            <w:u w:val="none"/>
            <w:lang w:val="en-US"/>
          </w:rPr>
          <w:t xml:space="preserve">I </w:t>
        </w:r>
        <w:r w:rsidR="000228D0" w:rsidRPr="00FE50A6">
          <w:rPr>
            <w:rStyle w:val="Hipervnculo"/>
            <w:noProof/>
            <w:sz w:val="20"/>
            <w:szCs w:val="20"/>
            <w:u w:val="none"/>
            <w:lang w:val="en-US"/>
          </w:rPr>
          <w:t>INTRODUCTION OF THE CASE AND PURPOSE OF THE DISPUTE</w:t>
        </w:r>
        <w:r w:rsidR="00B2396C" w:rsidRPr="00FE50A6">
          <w:rPr>
            <w:noProof/>
            <w:webHidden/>
            <w:lang w:val="en-US"/>
          </w:rPr>
          <w:tab/>
        </w:r>
        <w:r w:rsidR="005F1946" w:rsidRPr="00FE50A6">
          <w:rPr>
            <w:noProof/>
            <w:webHidden/>
            <w:lang w:val="en-US"/>
          </w:rPr>
          <w:t xml:space="preserve">                    </w:t>
        </w:r>
        <w:r w:rsidR="00B2396C" w:rsidRPr="00FE50A6">
          <w:rPr>
            <w:noProof/>
            <w:webHidden/>
            <w:lang w:val="en-US"/>
          </w:rPr>
          <w:fldChar w:fldCharType="begin"/>
        </w:r>
        <w:r w:rsidR="00B2396C" w:rsidRPr="00FE50A6">
          <w:rPr>
            <w:noProof/>
            <w:webHidden/>
            <w:lang w:val="en-US"/>
          </w:rPr>
          <w:instrText xml:space="preserve"> PAGEREF _Toc464813884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4</w:t>
        </w:r>
        <w:r w:rsidR="00B2396C" w:rsidRPr="00FE50A6">
          <w:rPr>
            <w:noProof/>
            <w:webHidden/>
            <w:lang w:val="en-US"/>
          </w:rPr>
          <w:fldChar w:fldCharType="end"/>
        </w:r>
      </w:hyperlink>
    </w:p>
    <w:p w14:paraId="3E2AD7BC" w14:textId="77777777" w:rsidR="00B2396C" w:rsidRPr="00FE50A6" w:rsidRDefault="005D2144" w:rsidP="005F1946">
      <w:pPr>
        <w:pStyle w:val="TDC1"/>
        <w:rPr>
          <w:rFonts w:eastAsiaTheme="minorEastAsia"/>
          <w:noProof/>
          <w:lang w:val="en-US" w:eastAsia="es-ES"/>
        </w:rPr>
      </w:pPr>
      <w:hyperlink w:anchor="_Toc464813885" w:history="1">
        <w:r w:rsidR="00B2396C" w:rsidRPr="00FE50A6">
          <w:rPr>
            <w:rStyle w:val="Hipervnculo"/>
            <w:noProof/>
            <w:sz w:val="20"/>
            <w:szCs w:val="20"/>
            <w:u w:val="none"/>
            <w:lang w:val="en-US"/>
          </w:rPr>
          <w:t xml:space="preserve">II </w:t>
        </w:r>
        <w:r w:rsidR="005F1946" w:rsidRPr="00FE50A6">
          <w:rPr>
            <w:rStyle w:val="Hipervnculo"/>
            <w:noProof/>
            <w:sz w:val="20"/>
            <w:szCs w:val="20"/>
            <w:u w:val="none"/>
            <w:lang w:val="en-US"/>
          </w:rPr>
          <w:t>PROCEEDINGS BEFORE</w:t>
        </w:r>
        <w:r w:rsidR="00B2396C" w:rsidRPr="00FE50A6">
          <w:rPr>
            <w:rStyle w:val="Hipervnculo"/>
            <w:noProof/>
            <w:sz w:val="20"/>
            <w:szCs w:val="20"/>
            <w:u w:val="none"/>
            <w:lang w:val="en-US"/>
          </w:rPr>
          <w:t xml:space="preserve"> </w:t>
        </w:r>
        <w:r w:rsidR="000228D0" w:rsidRPr="00FE50A6">
          <w:rPr>
            <w:rStyle w:val="Hipervnculo"/>
            <w:noProof/>
            <w:sz w:val="20"/>
            <w:szCs w:val="20"/>
            <w:u w:val="none"/>
            <w:lang w:val="en-US"/>
          </w:rPr>
          <w:t>THE COURT</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_Toc464813885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6</w:t>
        </w:r>
        <w:r w:rsidR="00B2396C" w:rsidRPr="00FE50A6">
          <w:rPr>
            <w:noProof/>
            <w:webHidden/>
            <w:lang w:val="en-US"/>
          </w:rPr>
          <w:fldChar w:fldCharType="end"/>
        </w:r>
      </w:hyperlink>
    </w:p>
    <w:p w14:paraId="0CA30A96" w14:textId="77777777" w:rsidR="00B2396C" w:rsidRPr="00FE50A6" w:rsidRDefault="005D2144" w:rsidP="005F1946">
      <w:pPr>
        <w:pStyle w:val="TDC1"/>
        <w:rPr>
          <w:rFonts w:eastAsiaTheme="minorEastAsia"/>
          <w:noProof/>
          <w:lang w:val="en-US" w:eastAsia="es-ES"/>
        </w:rPr>
      </w:pPr>
      <w:hyperlink w:anchor="_Toc464813886" w:history="1">
        <w:r w:rsidR="00B2396C" w:rsidRPr="00FE50A6">
          <w:rPr>
            <w:rStyle w:val="Hipervnculo"/>
            <w:rFonts w:eastAsia="Times New Roman" w:cs="Verdana"/>
            <w:bCs/>
            <w:noProof/>
            <w:snapToGrid w:val="0"/>
            <w:sz w:val="20"/>
            <w:szCs w:val="20"/>
            <w:u w:val="none"/>
            <w:lang w:val="en-US" w:eastAsia="es-ES"/>
          </w:rPr>
          <w:t xml:space="preserve">III </w:t>
        </w:r>
        <w:r w:rsidR="005F1946" w:rsidRPr="00FE50A6">
          <w:rPr>
            <w:rStyle w:val="Hipervnculo"/>
            <w:rFonts w:eastAsia="Times New Roman" w:cs="Verdana"/>
            <w:bCs/>
            <w:noProof/>
            <w:snapToGrid w:val="0"/>
            <w:sz w:val="20"/>
            <w:szCs w:val="20"/>
            <w:u w:val="none"/>
            <w:lang w:val="en-US" w:eastAsia="es-ES"/>
          </w:rPr>
          <w:t>JURISDICTION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_Toc464813886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B2396C" w:rsidRPr="00FE50A6">
          <w:rPr>
            <w:noProof/>
            <w:webHidden/>
            <w:lang w:val="en-US"/>
          </w:rPr>
          <w:fldChar w:fldCharType="end"/>
        </w:r>
      </w:hyperlink>
    </w:p>
    <w:p w14:paraId="65D9D450" w14:textId="77777777" w:rsidR="00B2396C" w:rsidRPr="00FE50A6" w:rsidRDefault="005D2144" w:rsidP="005F1946">
      <w:pPr>
        <w:pStyle w:val="TDC1"/>
        <w:rPr>
          <w:rFonts w:eastAsiaTheme="minorEastAsia"/>
          <w:noProof/>
          <w:lang w:val="en-US" w:eastAsia="es-ES"/>
        </w:rPr>
      </w:pPr>
      <w:hyperlink w:anchor="_Toc464813887" w:history="1">
        <w:r w:rsidR="00B2396C" w:rsidRPr="00FE50A6">
          <w:rPr>
            <w:rStyle w:val="Hipervnculo"/>
            <w:rFonts w:eastAsia="Times New Roman" w:cs="Verdana"/>
            <w:bCs/>
            <w:caps/>
            <w:noProof/>
            <w:snapToGrid w:val="0"/>
            <w:sz w:val="20"/>
            <w:szCs w:val="20"/>
            <w:u w:val="none"/>
            <w:lang w:val="en-US" w:eastAsia="es-ES"/>
          </w:rPr>
          <w:t xml:space="preserve">IV </w:t>
        </w:r>
        <w:r w:rsidR="005F1946" w:rsidRPr="00FE50A6">
          <w:rPr>
            <w:rStyle w:val="Hipervnculo"/>
            <w:rFonts w:eastAsia="Times New Roman" w:cs="Verdana"/>
            <w:bCs/>
            <w:caps/>
            <w:noProof/>
            <w:snapToGrid w:val="0"/>
            <w:sz w:val="20"/>
            <w:szCs w:val="20"/>
            <w:u w:val="none"/>
            <w:lang w:val="en-US" w:eastAsia="es-ES"/>
          </w:rPr>
          <w:t>PRELIMINARY OBJECTIONS</w:t>
        </w:r>
        <w:r w:rsidR="00B2396C" w:rsidRPr="00FE50A6">
          <w:rPr>
            <w:noProof/>
            <w:webHidden/>
            <w:lang w:val="en-US"/>
          </w:rPr>
          <w:tab/>
        </w:r>
        <w:r w:rsidR="00DB5B82" w:rsidRPr="00FE50A6">
          <w:rPr>
            <w:noProof/>
            <w:webHidden/>
            <w:lang w:val="en-US"/>
          </w:rPr>
          <w:t>8</w:t>
        </w:r>
      </w:hyperlink>
    </w:p>
    <w:p w14:paraId="70B2E743" w14:textId="77777777" w:rsidR="00B2396C" w:rsidRPr="00FE50A6" w:rsidRDefault="005D2144" w:rsidP="007078C6">
      <w:pPr>
        <w:pStyle w:val="TDC2"/>
        <w:rPr>
          <w:rFonts w:eastAsiaTheme="minorEastAsia"/>
          <w:noProof/>
          <w:lang w:val="en-US" w:eastAsia="es-ES"/>
        </w:rPr>
      </w:pPr>
      <w:hyperlink w:anchor="_Toc464813888" w:history="1">
        <w:r w:rsidR="00B2396C" w:rsidRPr="00FE50A6">
          <w:rPr>
            <w:rStyle w:val="Hipervnculo"/>
            <w:rFonts w:eastAsia="Batang"/>
            <w:noProof/>
            <w:szCs w:val="20"/>
            <w:u w:val="none"/>
            <w:lang w:val="en-US" w:eastAsia="es-ES"/>
          </w:rPr>
          <w:t>A.</w:t>
        </w:r>
        <w:r w:rsidR="00B2396C" w:rsidRPr="00FE50A6">
          <w:rPr>
            <w:rFonts w:eastAsiaTheme="minorEastAsia"/>
            <w:noProof/>
            <w:lang w:val="en-US" w:eastAsia="es-ES"/>
          </w:rPr>
          <w:tab/>
        </w:r>
        <w:r w:rsidR="006B1A95" w:rsidRPr="00FE50A6">
          <w:rPr>
            <w:rFonts w:eastAsiaTheme="minorEastAsia"/>
            <w:noProof/>
            <w:lang w:val="en-US" w:eastAsia="es-ES"/>
          </w:rPr>
          <w:t xml:space="preserve"> </w:t>
        </w:r>
        <w:r w:rsidR="005B65F5" w:rsidRPr="00FE50A6">
          <w:rPr>
            <w:rStyle w:val="Hipervnculo"/>
            <w:rFonts w:eastAsia="Batang"/>
            <w:noProof/>
            <w:szCs w:val="20"/>
            <w:u w:val="none"/>
            <w:lang w:val="en-US" w:eastAsia="es-ES"/>
          </w:rPr>
          <w:t>Alleged inadmissibility</w:t>
        </w:r>
        <w:r w:rsidR="00822837" w:rsidRPr="00FE50A6">
          <w:rPr>
            <w:rStyle w:val="Hipervnculo"/>
            <w:rFonts w:eastAsia="Batang"/>
            <w:noProof/>
            <w:szCs w:val="20"/>
            <w:u w:val="none"/>
            <w:lang w:val="en-US" w:eastAsia="es-ES"/>
          </w:rPr>
          <w:t xml:space="preserve"> of the submission of the case to</w:t>
        </w:r>
        <w:r w:rsidR="00B2396C" w:rsidRPr="00FE50A6">
          <w:rPr>
            <w:rStyle w:val="Hipervnculo"/>
            <w:rFonts w:eastAsia="Batang"/>
            <w:noProof/>
            <w:szCs w:val="20"/>
            <w:u w:val="none"/>
            <w:lang w:val="en-US" w:eastAsia="es-ES"/>
          </w:rPr>
          <w:t xml:space="preserve"> </w:t>
        </w:r>
        <w:r w:rsidR="000228D0" w:rsidRPr="00FE50A6">
          <w:rPr>
            <w:rStyle w:val="Hipervnculo"/>
            <w:rFonts w:eastAsia="Batang"/>
            <w:noProof/>
            <w:szCs w:val="20"/>
            <w:u w:val="none"/>
            <w:lang w:val="en-US" w:eastAsia="es-ES"/>
          </w:rPr>
          <w:t>the Court</w:t>
        </w:r>
        <w:r w:rsidR="00B2396C" w:rsidRPr="00FE50A6">
          <w:rPr>
            <w:rStyle w:val="Hipervnculo"/>
            <w:rFonts w:eastAsia="Batang"/>
            <w:noProof/>
            <w:szCs w:val="20"/>
            <w:u w:val="none"/>
            <w:lang w:val="en-US" w:eastAsia="es-ES"/>
          </w:rPr>
          <w:t xml:space="preserve"> </w:t>
        </w:r>
        <w:r w:rsidR="00822837" w:rsidRPr="00FE50A6">
          <w:rPr>
            <w:rStyle w:val="Hipervnculo"/>
            <w:rFonts w:eastAsia="Batang"/>
            <w:noProof/>
            <w:szCs w:val="20"/>
            <w:u w:val="none"/>
            <w:lang w:val="en-US" w:eastAsia="es-ES"/>
          </w:rPr>
          <w:t>owing to the publication of the Merits Report by</w:t>
        </w:r>
        <w:r w:rsidR="000228D0" w:rsidRPr="00FE50A6">
          <w:rPr>
            <w:rStyle w:val="Hipervnculo"/>
            <w:rFonts w:eastAsia="Batang"/>
            <w:noProof/>
            <w:szCs w:val="20"/>
            <w:u w:val="none"/>
            <w:lang w:val="en-US" w:eastAsia="es-ES"/>
          </w:rPr>
          <w:t xml:space="preserve"> the Commission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_Toc464813888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9</w:t>
        </w:r>
        <w:r w:rsidR="00B2396C" w:rsidRPr="00FE50A6">
          <w:rPr>
            <w:noProof/>
            <w:webHidden/>
            <w:lang w:val="en-US"/>
          </w:rPr>
          <w:fldChar w:fldCharType="end"/>
        </w:r>
      </w:hyperlink>
    </w:p>
    <w:p w14:paraId="1A5EEC41" w14:textId="77777777" w:rsidR="00B2396C" w:rsidRPr="00FE50A6" w:rsidRDefault="005D2144" w:rsidP="007078C6">
      <w:pPr>
        <w:pStyle w:val="TDC2"/>
        <w:rPr>
          <w:rFonts w:eastAsiaTheme="minorEastAsia"/>
          <w:noProof/>
          <w:lang w:val="en-US" w:eastAsia="es-ES"/>
        </w:rPr>
      </w:pPr>
      <w:hyperlink w:anchor="_Toc464813891" w:history="1">
        <w:r w:rsidR="00B2396C" w:rsidRPr="00FE50A6">
          <w:rPr>
            <w:rStyle w:val="Hipervnculo"/>
            <w:rFonts w:eastAsia="Batang"/>
            <w:noProof/>
            <w:szCs w:val="20"/>
            <w:u w:val="none"/>
            <w:lang w:val="en-US" w:eastAsia="es-ES"/>
          </w:rPr>
          <w:t>B.</w:t>
        </w:r>
        <w:r w:rsidR="009F4724" w:rsidRPr="00FE50A6">
          <w:rPr>
            <w:rStyle w:val="Hipervnculo"/>
            <w:rFonts w:eastAsia="Batang"/>
            <w:noProof/>
            <w:szCs w:val="20"/>
            <w:u w:val="none"/>
            <w:lang w:val="en-US" w:eastAsia="es-ES"/>
          </w:rPr>
          <w:t xml:space="preserve"> </w:t>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personae</w:t>
        </w:r>
        <w:r w:rsidR="00B2396C" w:rsidRPr="00FE50A6">
          <w:rPr>
            <w:rStyle w:val="Hipervnculo"/>
            <w:rFonts w:eastAsia="Batang"/>
            <w:noProof/>
            <w:szCs w:val="20"/>
            <w:u w:val="none"/>
            <w:lang w:val="en-US" w:eastAsia="es-ES"/>
          </w:rPr>
          <w:t xml:space="preserve"> </w:t>
        </w:r>
        <w:r w:rsidR="008A7089" w:rsidRPr="00FE50A6">
          <w:rPr>
            <w:rStyle w:val="Hipervnculo"/>
            <w:rFonts w:eastAsia="Batang"/>
            <w:noProof/>
            <w:szCs w:val="20"/>
            <w:u w:val="none"/>
            <w:lang w:val="en-US" w:eastAsia="es-ES"/>
          </w:rPr>
          <w:t>regarding the presumed</w:t>
        </w:r>
        <w:r w:rsidR="0017587B" w:rsidRPr="00FE50A6">
          <w:rPr>
            <w:rStyle w:val="Hipervnculo"/>
            <w:rFonts w:eastAsia="Batang"/>
            <w:noProof/>
            <w:szCs w:val="20"/>
            <w:u w:val="none"/>
            <w:lang w:val="en-US" w:eastAsia="es-ES"/>
          </w:rPr>
          <w:t xml:space="preserve"> victims</w:t>
        </w:r>
        <w:r w:rsidR="009F4724" w:rsidRPr="00FE50A6">
          <w:rPr>
            <w:rStyle w:val="Hipervnculo"/>
            <w:rFonts w:eastAsia="Batang"/>
            <w:noProof/>
            <w:szCs w:val="20"/>
            <w:u w:val="none"/>
            <w:lang w:val="en-US" w:eastAsia="es-ES"/>
          </w:rPr>
          <w:t xml:space="preserve"> </w:t>
        </w:r>
        <w:r w:rsidR="009F4724" w:rsidRPr="00FE50A6">
          <w:rPr>
            <w:rStyle w:val="Hipervnculo"/>
            <w:rFonts w:eastAsia="Batang"/>
            <w:noProof/>
            <w:szCs w:val="20"/>
            <w:u w:val="none"/>
            <w:lang w:val="en-US" w:eastAsia="es-ES"/>
          </w:rPr>
          <w:tab/>
        </w:r>
        <w:r w:rsidR="00B2396C" w:rsidRPr="00FE50A6">
          <w:rPr>
            <w:noProof/>
            <w:webHidden/>
            <w:lang w:val="en-US"/>
          </w:rPr>
          <w:fldChar w:fldCharType="begin"/>
        </w:r>
        <w:r w:rsidR="00B2396C" w:rsidRPr="00FE50A6">
          <w:rPr>
            <w:noProof/>
            <w:webHidden/>
            <w:lang w:val="en-US"/>
          </w:rPr>
          <w:instrText xml:space="preserve"> PAGEREF _Toc464813891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11</w:t>
        </w:r>
        <w:r w:rsidR="00B2396C" w:rsidRPr="00FE50A6">
          <w:rPr>
            <w:noProof/>
            <w:webHidden/>
            <w:lang w:val="en-US"/>
          </w:rPr>
          <w:fldChar w:fldCharType="end"/>
        </w:r>
      </w:hyperlink>
    </w:p>
    <w:p w14:paraId="469A3747" w14:textId="77777777" w:rsidR="00B2396C" w:rsidRPr="00FE50A6" w:rsidRDefault="005D2144" w:rsidP="007078C6">
      <w:pPr>
        <w:pStyle w:val="TDC2"/>
        <w:rPr>
          <w:rFonts w:eastAsiaTheme="minorEastAsia"/>
          <w:noProof/>
          <w:lang w:val="en-US" w:eastAsia="es-ES"/>
        </w:rPr>
      </w:pPr>
      <w:hyperlink w:anchor="_Toc464813896" w:history="1">
        <w:r w:rsidR="00B2396C" w:rsidRPr="00FE50A6">
          <w:rPr>
            <w:rStyle w:val="Hipervnculo"/>
            <w:rFonts w:eastAsia="Batang"/>
            <w:noProof/>
            <w:szCs w:val="20"/>
            <w:u w:val="none"/>
            <w:lang w:val="en-US" w:eastAsia="es-ES"/>
          </w:rPr>
          <w:t>C.</w:t>
        </w:r>
        <w:r w:rsidR="009F4724" w:rsidRPr="00FE50A6">
          <w:rPr>
            <w:rStyle w:val="Hipervnculo"/>
            <w:rFonts w:eastAsia="Batang"/>
            <w:noProof/>
            <w:szCs w:val="20"/>
            <w:u w:val="none"/>
            <w:lang w:val="en-US" w:eastAsia="es-ES"/>
          </w:rPr>
          <w:t xml:space="preserve"> </w:t>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ratione personae </w:t>
        </w:r>
        <w:r w:rsidR="00822837" w:rsidRPr="00FE50A6">
          <w:rPr>
            <w:rStyle w:val="Hipervnculo"/>
            <w:rFonts w:eastAsia="Batang"/>
            <w:noProof/>
            <w:szCs w:val="20"/>
            <w:u w:val="none"/>
            <w:lang w:val="en-US" w:eastAsia="es-ES"/>
          </w:rPr>
          <w:t>for violations in abstract terms</w:t>
        </w:r>
        <w:r w:rsidR="009F4724" w:rsidRPr="00FE50A6">
          <w:rPr>
            <w:rStyle w:val="Hipervnculo"/>
            <w:rFonts w:eastAsia="Batang"/>
            <w:noProof/>
            <w:szCs w:val="20"/>
            <w:u w:val="none"/>
            <w:lang w:val="en-US" w:eastAsia="es-ES"/>
          </w:rPr>
          <w:t xml:space="preserve"> </w:t>
        </w:r>
        <w:r w:rsidR="009F4724" w:rsidRPr="00FE50A6">
          <w:rPr>
            <w:rStyle w:val="Hipervnculo"/>
            <w:rFonts w:eastAsia="Batang"/>
            <w:noProof/>
            <w:szCs w:val="20"/>
            <w:u w:val="none"/>
            <w:lang w:val="en-US" w:eastAsia="es-ES"/>
          </w:rPr>
          <w:tab/>
        </w:r>
        <w:r w:rsidR="00B2396C" w:rsidRPr="00FE50A6">
          <w:rPr>
            <w:noProof/>
            <w:webHidden/>
            <w:lang w:val="en-US"/>
          </w:rPr>
          <w:fldChar w:fldCharType="begin"/>
        </w:r>
        <w:r w:rsidR="00B2396C" w:rsidRPr="00FE50A6">
          <w:rPr>
            <w:noProof/>
            <w:webHidden/>
            <w:lang w:val="en-US"/>
          </w:rPr>
          <w:instrText xml:space="preserve"> PAGEREF _Toc464813896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5</w:t>
        </w:r>
        <w:r w:rsidR="00B2396C" w:rsidRPr="00FE50A6">
          <w:rPr>
            <w:noProof/>
            <w:webHidden/>
            <w:lang w:val="en-US"/>
          </w:rPr>
          <w:fldChar w:fldCharType="end"/>
        </w:r>
      </w:hyperlink>
    </w:p>
    <w:p w14:paraId="25478B71" w14:textId="77777777" w:rsidR="00B2396C" w:rsidRPr="00FE50A6" w:rsidRDefault="005D2144" w:rsidP="007078C6">
      <w:pPr>
        <w:pStyle w:val="TDC2"/>
        <w:rPr>
          <w:rFonts w:eastAsiaTheme="minorEastAsia"/>
          <w:noProof/>
          <w:lang w:val="en-US" w:eastAsia="es-ES"/>
        </w:rPr>
      </w:pPr>
      <w:hyperlink w:anchor="_Toc464813899" w:history="1">
        <w:r w:rsidR="00B2396C" w:rsidRPr="00FE50A6">
          <w:rPr>
            <w:rStyle w:val="Hipervnculo"/>
            <w:rFonts w:eastAsia="Batang"/>
            <w:noProof/>
            <w:szCs w:val="20"/>
            <w:u w:val="none"/>
            <w:lang w:val="en-US" w:eastAsia="es-ES"/>
          </w:rPr>
          <w:t>D.</w:t>
        </w:r>
        <w:r w:rsidR="006B1A95" w:rsidRPr="00FE50A6">
          <w:rPr>
            <w:rStyle w:val="Hipervnculo"/>
            <w:rFonts w:eastAsia="Batang"/>
            <w:noProof/>
            <w:szCs w:val="20"/>
            <w:u w:val="none"/>
            <w:lang w:val="en-US" w:eastAsia="es-ES"/>
          </w:rPr>
          <w:t xml:space="preserve"> </w:t>
        </w:r>
        <w:r w:rsidR="00B2396C" w:rsidRPr="00FE50A6">
          <w:rPr>
            <w:rFonts w:eastAsiaTheme="minorEastAsia"/>
            <w:noProof/>
            <w:lang w:val="en-US" w:eastAsia="es-ES"/>
          </w:rPr>
          <w:tab/>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temporis</w:t>
        </w:r>
        <w:r w:rsidR="00B2396C" w:rsidRPr="00FE50A6">
          <w:rPr>
            <w:rStyle w:val="Hipervnculo"/>
            <w:rFonts w:eastAsia="Batang"/>
            <w:noProof/>
            <w:szCs w:val="20"/>
            <w:u w:val="none"/>
            <w:lang w:val="en-US" w:eastAsia="es-ES"/>
          </w:rPr>
          <w:t xml:space="preserve"> </w:t>
        </w:r>
        <w:r w:rsidR="00E343BC" w:rsidRPr="00FE50A6">
          <w:rPr>
            <w:rStyle w:val="Hipervnculo"/>
            <w:rFonts w:eastAsia="Batang"/>
            <w:noProof/>
            <w:szCs w:val="20"/>
            <w:u w:val="none"/>
            <w:lang w:val="en-US" w:eastAsia="es-ES"/>
          </w:rPr>
          <w:t>with regard to fact</w:t>
        </w:r>
        <w:r w:rsidR="0084006F" w:rsidRPr="00FE50A6">
          <w:rPr>
            <w:rStyle w:val="Hipervnculo"/>
            <w:rFonts w:eastAsia="Batang"/>
            <w:noProof/>
            <w:szCs w:val="20"/>
            <w:u w:val="none"/>
            <w:lang w:val="en-US" w:eastAsia="es-ES"/>
          </w:rPr>
          <w:t>s</w:t>
        </w:r>
        <w:r w:rsidR="00E343BC" w:rsidRPr="00FE50A6">
          <w:rPr>
            <w:rStyle w:val="Hipervnculo"/>
            <w:rFonts w:eastAsia="Batang"/>
            <w:noProof/>
            <w:szCs w:val="20"/>
            <w:u w:val="none"/>
            <w:lang w:val="en-US" w:eastAsia="es-ES"/>
          </w:rPr>
          <w:t xml:space="preserve"> prior to the date of acceptance of the Court’s jurisdiction</w:t>
        </w:r>
        <w:r w:rsidR="00B2396C" w:rsidRPr="00FE50A6">
          <w:rPr>
            <w:rStyle w:val="Hipervnculo"/>
            <w:rFonts w:eastAsia="Batang"/>
            <w:noProof/>
            <w:szCs w:val="20"/>
            <w:u w:val="none"/>
            <w:lang w:val="en-US" w:eastAsia="es-ES"/>
          </w:rPr>
          <w:t>,</w:t>
        </w:r>
        <w:r w:rsidR="00030C17" w:rsidRPr="00FE50A6">
          <w:rPr>
            <w:rStyle w:val="Hipervnculo"/>
            <w:rFonts w:eastAsia="Batang"/>
            <w:noProof/>
            <w:szCs w:val="20"/>
            <w:u w:val="none"/>
            <w:lang w:val="en-US" w:eastAsia="es-ES"/>
          </w:rPr>
          <w:t xml:space="preserve"> and </w:t>
        </w:r>
        <w:r w:rsidR="0084006F" w:rsidRPr="00FE50A6">
          <w:rPr>
            <w:rStyle w:val="Hipervnculo"/>
            <w:rFonts w:eastAsia="Batang"/>
            <w:noProof/>
            <w:szCs w:val="20"/>
            <w:u w:val="none"/>
            <w:lang w:val="en-US" w:eastAsia="es-ES"/>
          </w:rPr>
          <w:t>a</w:t>
        </w:r>
        <w:r w:rsidR="008A7089" w:rsidRPr="00FE50A6">
          <w:rPr>
            <w:rStyle w:val="Hipervnculo"/>
            <w:rFonts w:eastAsia="Batang"/>
            <w:noProof/>
            <w:szCs w:val="20"/>
            <w:u w:val="none"/>
            <w:lang w:val="en-US" w:eastAsia="es-ES"/>
          </w:rPr>
          <w:t xml:space="preserve">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temporis</w:t>
        </w:r>
        <w:r w:rsidR="00B2396C" w:rsidRPr="00FE50A6">
          <w:rPr>
            <w:rStyle w:val="Hipervnculo"/>
            <w:rFonts w:eastAsia="Batang"/>
            <w:noProof/>
            <w:szCs w:val="20"/>
            <w:u w:val="none"/>
            <w:lang w:val="en-US" w:eastAsia="es-ES"/>
          </w:rPr>
          <w:t xml:space="preserve"> </w:t>
        </w:r>
        <w:r w:rsidR="00E343BC" w:rsidRPr="00FE50A6">
          <w:rPr>
            <w:rStyle w:val="Hipervnculo"/>
            <w:rFonts w:eastAsia="Batang"/>
            <w:noProof/>
            <w:szCs w:val="20"/>
            <w:u w:val="none"/>
            <w:lang w:val="en-US" w:eastAsia="es-ES"/>
          </w:rPr>
          <w:t>in relation to facts prior to the State’s adhesion to the Convention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_Toc464813899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6</w:t>
        </w:r>
        <w:r w:rsidR="00B2396C" w:rsidRPr="00FE50A6">
          <w:rPr>
            <w:noProof/>
            <w:webHidden/>
            <w:lang w:val="en-US"/>
          </w:rPr>
          <w:fldChar w:fldCharType="end"/>
        </w:r>
      </w:hyperlink>
    </w:p>
    <w:p w14:paraId="44BD3010" w14:textId="77777777" w:rsidR="00B2396C" w:rsidRPr="00FE50A6" w:rsidRDefault="005D2144" w:rsidP="007078C6">
      <w:pPr>
        <w:pStyle w:val="TDC2"/>
        <w:rPr>
          <w:rFonts w:eastAsiaTheme="minorEastAsia"/>
          <w:noProof/>
          <w:lang w:val="en-US" w:eastAsia="es-ES"/>
        </w:rPr>
      </w:pPr>
      <w:hyperlink w:anchor="_Toc464813902" w:history="1">
        <w:r w:rsidR="00B2396C" w:rsidRPr="00FE50A6">
          <w:rPr>
            <w:rStyle w:val="Hipervnculo"/>
            <w:rFonts w:eastAsia="Batang"/>
            <w:noProof/>
            <w:szCs w:val="20"/>
            <w:u w:val="none"/>
            <w:lang w:val="en-US" w:eastAsia="es-ES"/>
          </w:rPr>
          <w:t>E.</w:t>
        </w:r>
        <w:r w:rsidR="00B2396C" w:rsidRPr="00FE50A6">
          <w:rPr>
            <w:rFonts w:eastAsiaTheme="minorEastAsia"/>
            <w:noProof/>
            <w:lang w:val="en-US" w:eastAsia="es-ES"/>
          </w:rPr>
          <w:tab/>
        </w:r>
        <w:r w:rsidR="006B1A95" w:rsidRPr="00FE50A6">
          <w:rPr>
            <w:rFonts w:eastAsiaTheme="minorEastAsia"/>
            <w:noProof/>
            <w:lang w:val="en-US" w:eastAsia="es-ES"/>
          </w:rPr>
          <w:t xml:space="preserve"> </w:t>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materiae</w:t>
        </w:r>
        <w:r w:rsidR="00B2396C" w:rsidRPr="00FE50A6">
          <w:rPr>
            <w:rStyle w:val="Hipervnculo"/>
            <w:rFonts w:eastAsia="Batang"/>
            <w:noProof/>
            <w:szCs w:val="20"/>
            <w:u w:val="none"/>
            <w:lang w:val="en-US" w:eastAsia="es-ES"/>
          </w:rPr>
          <w:t xml:space="preserve"> </w:t>
        </w:r>
        <w:r w:rsidR="00822837" w:rsidRPr="00FE50A6">
          <w:rPr>
            <w:rStyle w:val="Hipervnculo"/>
            <w:rFonts w:eastAsia="Batang"/>
            <w:noProof/>
            <w:szCs w:val="20"/>
            <w:u w:val="none"/>
            <w:lang w:val="en-US" w:eastAsia="es-ES"/>
          </w:rPr>
          <w:t>based on violation of the principle of the subsidiary nature of the</w:t>
        </w:r>
        <w:r w:rsidR="00B2396C" w:rsidRPr="00FE50A6">
          <w:rPr>
            <w:rStyle w:val="Hipervnculo"/>
            <w:rFonts w:eastAsia="Batang"/>
            <w:noProof/>
            <w:szCs w:val="20"/>
            <w:u w:val="none"/>
            <w:lang w:val="en-US" w:eastAsia="es-ES"/>
          </w:rPr>
          <w:t xml:space="preserve"> </w:t>
        </w:r>
        <w:r w:rsidR="0084006F" w:rsidRPr="00FE50A6">
          <w:rPr>
            <w:rStyle w:val="Hipervnculo"/>
            <w:rFonts w:eastAsia="Batang"/>
            <w:noProof/>
            <w:szCs w:val="20"/>
            <w:u w:val="none"/>
            <w:lang w:val="en-US" w:eastAsia="es-ES"/>
          </w:rPr>
          <w:t>inter-American system</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_Toc464813902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8</w:t>
        </w:r>
        <w:r w:rsidR="00B2396C" w:rsidRPr="00FE50A6">
          <w:rPr>
            <w:noProof/>
            <w:webHidden/>
            <w:lang w:val="en-US"/>
          </w:rPr>
          <w:fldChar w:fldCharType="end"/>
        </w:r>
      </w:hyperlink>
    </w:p>
    <w:p w14:paraId="28E9B0A1" w14:textId="77777777" w:rsidR="00B2396C" w:rsidRPr="00FE50A6" w:rsidRDefault="005D2144" w:rsidP="007078C6">
      <w:pPr>
        <w:pStyle w:val="TDC2"/>
        <w:rPr>
          <w:rFonts w:eastAsiaTheme="minorEastAsia"/>
          <w:noProof/>
          <w:lang w:val="en-US" w:eastAsia="es-ES"/>
        </w:rPr>
      </w:pPr>
      <w:hyperlink w:anchor="_Toc464813905" w:history="1">
        <w:r w:rsidR="00B2396C" w:rsidRPr="00FE50A6">
          <w:rPr>
            <w:rStyle w:val="Hipervnculo"/>
            <w:rFonts w:eastAsia="Batang"/>
            <w:noProof/>
            <w:szCs w:val="20"/>
            <w:u w:val="none"/>
            <w:lang w:val="en-US" w:eastAsia="es-ES"/>
          </w:rPr>
          <w:t>F.</w:t>
        </w:r>
        <w:r w:rsidR="006B1A95" w:rsidRPr="00FE50A6">
          <w:rPr>
            <w:rStyle w:val="Hipervnculo"/>
            <w:rFonts w:eastAsia="Batang"/>
            <w:noProof/>
            <w:szCs w:val="20"/>
            <w:u w:val="none"/>
            <w:lang w:val="en-US" w:eastAsia="es-ES"/>
          </w:rPr>
          <w:t xml:space="preserve"> </w:t>
        </w:r>
        <w:r w:rsidR="00B2396C" w:rsidRPr="00FE50A6">
          <w:rPr>
            <w:rFonts w:eastAsiaTheme="minorEastAsia"/>
            <w:noProof/>
            <w:lang w:val="en-US" w:eastAsia="es-ES"/>
          </w:rPr>
          <w:tab/>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materiae</w:t>
        </w:r>
        <w:r w:rsidR="00B2396C" w:rsidRPr="00FE50A6">
          <w:rPr>
            <w:rStyle w:val="Hipervnculo"/>
            <w:rFonts w:eastAsia="Batang"/>
            <w:noProof/>
            <w:szCs w:val="20"/>
            <w:u w:val="none"/>
            <w:lang w:val="en-US" w:eastAsia="es-ES"/>
          </w:rPr>
          <w:t xml:space="preserve"> </w:t>
        </w:r>
        <w:r w:rsidR="00822837" w:rsidRPr="00FE50A6">
          <w:rPr>
            <w:rStyle w:val="Hipervnculo"/>
            <w:rFonts w:eastAsia="Batang"/>
            <w:noProof/>
            <w:szCs w:val="20"/>
            <w:u w:val="none"/>
            <w:lang w:val="en-US" w:eastAsia="es-ES"/>
          </w:rPr>
          <w:t>regarding presumed violations of the prohibition of</w:t>
        </w:r>
        <w:r w:rsidR="00B2396C" w:rsidRPr="00FE50A6">
          <w:rPr>
            <w:rStyle w:val="Hipervnculo"/>
            <w:rFonts w:eastAsia="Batang"/>
            <w:noProof/>
            <w:szCs w:val="20"/>
            <w:u w:val="none"/>
            <w:lang w:val="en-US" w:eastAsia="es-ES"/>
          </w:rPr>
          <w:t xml:space="preserve"> </w:t>
        </w:r>
        <w:r w:rsidR="000C2A19" w:rsidRPr="00FE50A6">
          <w:rPr>
            <w:rStyle w:val="Hipervnculo"/>
            <w:rFonts w:eastAsia="Batang"/>
            <w:noProof/>
            <w:szCs w:val="20"/>
            <w:u w:val="none"/>
            <w:lang w:val="en-US" w:eastAsia="es-ES"/>
          </w:rPr>
          <w:t>trafficking in persons</w:t>
        </w:r>
        <w:r w:rsidR="00615E39" w:rsidRPr="00FE50A6">
          <w:rPr>
            <w:rStyle w:val="Hipervnculo"/>
            <w:rFonts w:eastAsia="Batang"/>
            <w:noProof/>
            <w:szCs w:val="20"/>
            <w:u w:val="none"/>
            <w:lang w:val="en-US" w:eastAsia="es-ES"/>
          </w:rPr>
          <w:t xml:space="preserve"> </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_Toc464813905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w:t>
        </w:r>
        <w:r w:rsidR="00DB5B82" w:rsidRPr="00FE50A6">
          <w:rPr>
            <w:noProof/>
            <w:webHidden/>
            <w:lang w:val="en-US"/>
          </w:rPr>
          <w:t>0</w:t>
        </w:r>
        <w:r w:rsidR="00B2396C" w:rsidRPr="00FE50A6">
          <w:rPr>
            <w:noProof/>
            <w:webHidden/>
            <w:lang w:val="en-US"/>
          </w:rPr>
          <w:fldChar w:fldCharType="end"/>
        </w:r>
      </w:hyperlink>
    </w:p>
    <w:p w14:paraId="2829C9A9" w14:textId="77777777" w:rsidR="00B2396C" w:rsidRPr="00FE50A6" w:rsidRDefault="005D2144" w:rsidP="007078C6">
      <w:pPr>
        <w:pStyle w:val="TDC2"/>
        <w:rPr>
          <w:rFonts w:eastAsiaTheme="minorEastAsia"/>
          <w:noProof/>
          <w:lang w:val="en-US" w:eastAsia="es-ES"/>
        </w:rPr>
      </w:pPr>
      <w:hyperlink w:anchor="_Toc464813908" w:history="1">
        <w:r w:rsidR="00B2396C" w:rsidRPr="00FE50A6">
          <w:rPr>
            <w:rStyle w:val="Hipervnculo"/>
            <w:rFonts w:eastAsia="Batang"/>
            <w:noProof/>
            <w:szCs w:val="20"/>
            <w:u w:val="none"/>
            <w:lang w:val="en-US" w:eastAsia="es-ES"/>
          </w:rPr>
          <w:t>G.</w:t>
        </w:r>
        <w:r w:rsidR="00B2396C" w:rsidRPr="00FE50A6">
          <w:rPr>
            <w:rFonts w:eastAsiaTheme="minorEastAsia"/>
            <w:noProof/>
            <w:lang w:val="en-US" w:eastAsia="es-ES"/>
          </w:rPr>
          <w:tab/>
        </w:r>
        <w:r w:rsidR="006B1A95" w:rsidRPr="00FE50A6">
          <w:rPr>
            <w:rFonts w:eastAsiaTheme="minorEastAsia"/>
            <w:noProof/>
            <w:lang w:val="en-US" w:eastAsia="es-ES"/>
          </w:rPr>
          <w:t xml:space="preserve"> </w:t>
        </w:r>
        <w:r w:rsidR="008A7089" w:rsidRPr="00FE50A6">
          <w:rPr>
            <w:rStyle w:val="Hipervnculo"/>
            <w:rFonts w:eastAsia="Batang"/>
            <w:noProof/>
            <w:szCs w:val="20"/>
            <w:u w:val="none"/>
            <w:lang w:val="en-US" w:eastAsia="es-ES"/>
          </w:rPr>
          <w:t xml:space="preserve">Alleged lack </w:t>
        </w:r>
        <w:r w:rsidR="00822837" w:rsidRPr="00FE50A6">
          <w:rPr>
            <w:rStyle w:val="Hipervnculo"/>
            <w:rFonts w:eastAsia="Batang"/>
            <w:noProof/>
            <w:szCs w:val="20"/>
            <w:u w:val="none"/>
            <w:lang w:val="en-US" w:eastAsia="es-ES"/>
          </w:rPr>
          <w:t>of jurisdiction</w:t>
        </w:r>
        <w:r w:rsidR="00B2396C" w:rsidRPr="00FE50A6">
          <w:rPr>
            <w:rStyle w:val="Hipervnculo"/>
            <w:rFonts w:eastAsia="Batang"/>
            <w:noProof/>
            <w:szCs w:val="20"/>
            <w:u w:val="none"/>
            <w:lang w:val="en-US" w:eastAsia="es-ES"/>
          </w:rPr>
          <w:t xml:space="preserve"> </w:t>
        </w:r>
        <w:r w:rsidR="00B2396C" w:rsidRPr="00FE50A6">
          <w:rPr>
            <w:rStyle w:val="Hipervnculo"/>
            <w:rFonts w:eastAsia="Batang"/>
            <w:i/>
            <w:noProof/>
            <w:szCs w:val="20"/>
            <w:u w:val="none"/>
            <w:lang w:val="en-US" w:eastAsia="es-ES"/>
          </w:rPr>
          <w:t>ratione materiae</w:t>
        </w:r>
        <w:r w:rsidR="00B2396C" w:rsidRPr="00FE50A6">
          <w:rPr>
            <w:rStyle w:val="Hipervnculo"/>
            <w:rFonts w:eastAsia="Batang"/>
            <w:noProof/>
            <w:szCs w:val="20"/>
            <w:u w:val="none"/>
            <w:lang w:val="en-US" w:eastAsia="es-ES"/>
          </w:rPr>
          <w:t xml:space="preserve"> </w:t>
        </w:r>
        <w:r w:rsidR="00822837" w:rsidRPr="00FE50A6">
          <w:rPr>
            <w:rStyle w:val="Hipervnculo"/>
            <w:rFonts w:eastAsia="Batang"/>
            <w:noProof/>
            <w:szCs w:val="20"/>
            <w:u w:val="none"/>
            <w:lang w:val="en-US" w:eastAsia="es-ES"/>
          </w:rPr>
          <w:t>concerning supposed violations of labor rights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_Toc464813908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w:t>
        </w:r>
        <w:r w:rsidR="00DB5B82" w:rsidRPr="00FE50A6">
          <w:rPr>
            <w:noProof/>
            <w:webHidden/>
            <w:lang w:val="en-US"/>
          </w:rPr>
          <w:t>1</w:t>
        </w:r>
        <w:r w:rsidR="00B2396C" w:rsidRPr="00FE50A6">
          <w:rPr>
            <w:noProof/>
            <w:webHidden/>
            <w:lang w:val="en-US"/>
          </w:rPr>
          <w:fldChar w:fldCharType="end"/>
        </w:r>
      </w:hyperlink>
    </w:p>
    <w:p w14:paraId="662A2292" w14:textId="77777777" w:rsidR="00B2396C" w:rsidRPr="00FE50A6" w:rsidRDefault="005D2144" w:rsidP="007078C6">
      <w:pPr>
        <w:pStyle w:val="TDC2"/>
        <w:rPr>
          <w:rFonts w:eastAsiaTheme="minorEastAsia"/>
          <w:noProof/>
          <w:lang w:val="en-US" w:eastAsia="es-ES"/>
        </w:rPr>
      </w:pPr>
      <w:hyperlink w:anchor="_Toc464813911" w:history="1">
        <w:r w:rsidR="00B2396C" w:rsidRPr="00FE50A6">
          <w:rPr>
            <w:rStyle w:val="Hipervnculo"/>
            <w:rFonts w:eastAsia="Batang"/>
            <w:noProof/>
            <w:szCs w:val="20"/>
            <w:u w:val="none"/>
            <w:lang w:val="en-US" w:eastAsia="es-ES"/>
          </w:rPr>
          <w:t>H.</w:t>
        </w:r>
        <w:r w:rsidR="009F4724" w:rsidRPr="00FE50A6">
          <w:rPr>
            <w:rStyle w:val="Hipervnculo"/>
            <w:rFonts w:eastAsia="Batang"/>
            <w:noProof/>
            <w:szCs w:val="20"/>
            <w:u w:val="none"/>
            <w:lang w:val="en-US" w:eastAsia="es-ES"/>
          </w:rPr>
          <w:t xml:space="preserve"> </w:t>
        </w:r>
        <w:r w:rsidR="003957EA" w:rsidRPr="00FE50A6">
          <w:rPr>
            <w:rStyle w:val="Hipervnculo"/>
            <w:rFonts w:eastAsia="Batang"/>
            <w:noProof/>
            <w:szCs w:val="20"/>
            <w:u w:val="none"/>
            <w:lang w:val="en-US" w:eastAsia="es-ES"/>
          </w:rPr>
          <w:t>Alleged failure</w:t>
        </w:r>
        <w:r w:rsidR="00822837" w:rsidRPr="00FE50A6">
          <w:rPr>
            <w:rStyle w:val="Hipervnculo"/>
            <w:rFonts w:eastAsia="Batang"/>
            <w:noProof/>
            <w:szCs w:val="20"/>
            <w:u w:val="none"/>
            <w:lang w:val="en-US" w:eastAsia="es-ES"/>
          </w:rPr>
          <w:t xml:space="preserve"> to exhaust domestic remedies</w:t>
        </w:r>
        <w:r w:rsidR="009F4724" w:rsidRPr="00FE50A6">
          <w:rPr>
            <w:noProof/>
            <w:webHidden/>
            <w:lang w:val="en-US"/>
          </w:rPr>
          <w:t xml:space="preserve"> </w:t>
        </w:r>
        <w:r w:rsidR="009F4724"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_Toc464813911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22</w:t>
        </w:r>
        <w:r w:rsidR="00B2396C" w:rsidRPr="00FE50A6">
          <w:rPr>
            <w:noProof/>
            <w:webHidden/>
            <w:lang w:val="en-US"/>
          </w:rPr>
          <w:fldChar w:fldCharType="end"/>
        </w:r>
      </w:hyperlink>
    </w:p>
    <w:p w14:paraId="797D347F" w14:textId="77777777" w:rsidR="00B2396C" w:rsidRPr="00FE50A6" w:rsidRDefault="005D2144" w:rsidP="007078C6">
      <w:pPr>
        <w:pStyle w:val="TDC2"/>
        <w:rPr>
          <w:rStyle w:val="Hipervnculo"/>
          <w:szCs w:val="20"/>
          <w:lang w:val="en-US"/>
        </w:rPr>
      </w:pPr>
      <w:hyperlink w:anchor="_Toc464813914" w:history="1">
        <w:r w:rsidR="00B2396C" w:rsidRPr="00FE50A6">
          <w:rPr>
            <w:rStyle w:val="Hipervnculo"/>
            <w:noProof/>
            <w:szCs w:val="20"/>
            <w:lang w:val="en-US"/>
          </w:rPr>
          <w:t>I.</w:t>
        </w:r>
        <w:r w:rsidR="00B2396C" w:rsidRPr="00FE50A6">
          <w:rPr>
            <w:rStyle w:val="Hipervnculo"/>
            <w:szCs w:val="20"/>
            <w:lang w:val="en-US"/>
          </w:rPr>
          <w:tab/>
        </w:r>
        <w:r w:rsidR="006B1A95" w:rsidRPr="00FE50A6">
          <w:rPr>
            <w:rStyle w:val="Hipervnculo"/>
            <w:szCs w:val="20"/>
            <w:lang w:val="en-US"/>
          </w:rPr>
          <w:t xml:space="preserve"> </w:t>
        </w:r>
        <w:r w:rsidR="00B2396C" w:rsidRPr="00FE50A6">
          <w:rPr>
            <w:rStyle w:val="Hipervnculo"/>
            <w:noProof/>
            <w:szCs w:val="20"/>
            <w:lang w:val="en-US"/>
          </w:rPr>
          <w:t>Al</w:t>
        </w:r>
        <w:r w:rsidR="005C2091" w:rsidRPr="00FE50A6">
          <w:rPr>
            <w:rStyle w:val="Hipervnculo"/>
            <w:noProof/>
            <w:szCs w:val="20"/>
            <w:lang w:val="en-US"/>
          </w:rPr>
          <w:t>leged</w:t>
        </w:r>
        <w:r w:rsidR="00B2396C" w:rsidRPr="00FE50A6">
          <w:rPr>
            <w:rStyle w:val="Hipervnculo"/>
            <w:noProof/>
            <w:szCs w:val="20"/>
            <w:lang w:val="en-US"/>
          </w:rPr>
          <w:t xml:space="preserve"> </w:t>
        </w:r>
        <w:r w:rsidR="004B38CC" w:rsidRPr="00FE50A6">
          <w:rPr>
            <w:rStyle w:val="Hipervnculo"/>
            <w:noProof/>
            <w:szCs w:val="20"/>
            <w:lang w:val="en-US"/>
          </w:rPr>
          <w:t xml:space="preserve">prescription of the </w:t>
        </w:r>
        <w:r w:rsidR="005C2091" w:rsidRPr="00FE50A6">
          <w:rPr>
            <w:rStyle w:val="Hipervnculo"/>
            <w:noProof/>
            <w:szCs w:val="20"/>
            <w:lang w:val="en-US"/>
          </w:rPr>
          <w:t>claim</w:t>
        </w:r>
        <w:r w:rsidR="004B38CC" w:rsidRPr="00FE50A6">
          <w:rPr>
            <w:rStyle w:val="Hipervnculo"/>
            <w:noProof/>
            <w:szCs w:val="20"/>
            <w:lang w:val="en-US"/>
          </w:rPr>
          <w:t xml:space="preserve"> </w:t>
        </w:r>
        <w:r w:rsidR="005450DB" w:rsidRPr="00FE50A6">
          <w:rPr>
            <w:rStyle w:val="Hipervnculo"/>
            <w:noProof/>
            <w:szCs w:val="20"/>
            <w:lang w:val="en-US"/>
          </w:rPr>
          <w:t>for reparation for pecuniary and non-pecuniary damage</w:t>
        </w:r>
        <w:r w:rsidR="005C2091" w:rsidRPr="00FE50A6">
          <w:rPr>
            <w:rStyle w:val="Hipervnculo"/>
            <w:noProof/>
            <w:szCs w:val="20"/>
            <w:lang w:val="en-US"/>
          </w:rPr>
          <w:t xml:space="preserve"> before the Commission</w:t>
        </w:r>
        <w:r w:rsidR="00B2396C" w:rsidRPr="00FE50A6">
          <w:rPr>
            <w:rStyle w:val="Hipervnculo"/>
            <w:webHidden/>
            <w:szCs w:val="20"/>
            <w:lang w:val="en-US"/>
          </w:rPr>
          <w:tab/>
        </w:r>
        <w:r w:rsidR="00B2396C" w:rsidRPr="00FE50A6">
          <w:rPr>
            <w:rStyle w:val="Hipervnculo"/>
            <w:webHidden/>
            <w:szCs w:val="20"/>
            <w:lang w:val="en-US"/>
          </w:rPr>
          <w:fldChar w:fldCharType="begin"/>
        </w:r>
        <w:r w:rsidR="00B2396C" w:rsidRPr="00FE50A6">
          <w:rPr>
            <w:rStyle w:val="Hipervnculo"/>
            <w:webHidden/>
            <w:szCs w:val="20"/>
            <w:lang w:val="en-US"/>
          </w:rPr>
          <w:instrText xml:space="preserve"> PAGEREF _Toc464813914 \h </w:instrText>
        </w:r>
        <w:r w:rsidR="00B2396C" w:rsidRPr="00FE50A6">
          <w:rPr>
            <w:rStyle w:val="Hipervnculo"/>
            <w:webHidden/>
            <w:szCs w:val="20"/>
            <w:lang w:val="en-US"/>
          </w:rPr>
        </w:r>
        <w:r w:rsidR="00B2396C" w:rsidRPr="00FE50A6">
          <w:rPr>
            <w:rStyle w:val="Hipervnculo"/>
            <w:webHidden/>
            <w:szCs w:val="20"/>
            <w:lang w:val="en-US"/>
          </w:rPr>
          <w:fldChar w:fldCharType="separate"/>
        </w:r>
        <w:r w:rsidR="000D4C30" w:rsidRPr="00FE50A6">
          <w:rPr>
            <w:rStyle w:val="Hipervnculo"/>
            <w:noProof/>
            <w:webHidden/>
            <w:szCs w:val="20"/>
            <w:lang w:val="en-US"/>
          </w:rPr>
          <w:t>24</w:t>
        </w:r>
        <w:r w:rsidR="00B2396C" w:rsidRPr="00FE50A6">
          <w:rPr>
            <w:rStyle w:val="Hipervnculo"/>
            <w:webHidden/>
            <w:szCs w:val="20"/>
            <w:lang w:val="en-US"/>
          </w:rPr>
          <w:fldChar w:fldCharType="end"/>
        </w:r>
      </w:hyperlink>
    </w:p>
    <w:p w14:paraId="5353D6D5" w14:textId="77777777" w:rsidR="00B2396C" w:rsidRPr="00FE50A6" w:rsidRDefault="005D2144" w:rsidP="005F1946">
      <w:pPr>
        <w:pStyle w:val="TDC1"/>
        <w:rPr>
          <w:rFonts w:eastAsiaTheme="minorEastAsia"/>
          <w:noProof/>
          <w:lang w:val="en-US" w:eastAsia="es-ES"/>
        </w:rPr>
      </w:pPr>
      <w:hyperlink w:anchor="_Toc464813917" w:history="1">
        <w:r w:rsidR="00B2396C" w:rsidRPr="00FE50A6">
          <w:rPr>
            <w:rStyle w:val="Hipervnculo"/>
            <w:rFonts w:eastAsia="Times New Roman" w:cs="Verdana"/>
            <w:bCs/>
            <w:caps/>
            <w:noProof/>
            <w:snapToGrid w:val="0"/>
            <w:sz w:val="20"/>
            <w:szCs w:val="20"/>
            <w:u w:val="none"/>
            <w:lang w:val="en-US" w:eastAsia="es-ES"/>
          </w:rPr>
          <w:t xml:space="preserve">V </w:t>
        </w:r>
        <w:r w:rsidR="005F1946" w:rsidRPr="00FE50A6">
          <w:rPr>
            <w:rStyle w:val="Hipervnculo"/>
            <w:rFonts w:eastAsia="Times New Roman" w:cs="Verdana"/>
            <w:bCs/>
            <w:caps/>
            <w:noProof/>
            <w:snapToGrid w:val="0"/>
            <w:sz w:val="20"/>
            <w:szCs w:val="20"/>
            <w:u w:val="none"/>
            <w:lang w:val="en-US" w:eastAsia="es-ES"/>
          </w:rPr>
          <w:t>EVIDENCE</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_Toc464813917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25</w:t>
        </w:r>
        <w:r w:rsidR="00B2396C" w:rsidRPr="00FE50A6">
          <w:rPr>
            <w:noProof/>
            <w:webHidden/>
            <w:lang w:val="en-US"/>
          </w:rPr>
          <w:fldChar w:fldCharType="end"/>
        </w:r>
      </w:hyperlink>
    </w:p>
    <w:p w14:paraId="52659C65" w14:textId="77777777" w:rsidR="00FD3A54" w:rsidRPr="00FE50A6" w:rsidRDefault="00FD3A54" w:rsidP="007078C6">
      <w:pPr>
        <w:pStyle w:val="TDC2"/>
        <w:rPr>
          <w:rFonts w:eastAsiaTheme="minorEastAsia"/>
          <w:noProof/>
          <w:lang w:val="en-US" w:eastAsia="es-ES"/>
        </w:rPr>
      </w:pPr>
      <w:r w:rsidRPr="00FE50A6">
        <w:rPr>
          <w:noProof/>
          <w:lang w:val="en-US"/>
        </w:rPr>
        <w:t xml:space="preserve">A. </w:t>
      </w:r>
      <w:hyperlink w:anchor="_Toc464813918" w:history="1">
        <w:r w:rsidR="00314608" w:rsidRPr="00FE50A6">
          <w:rPr>
            <w:rStyle w:val="Hipervnculo"/>
            <w:rFonts w:eastAsia="Batang"/>
            <w:noProof/>
            <w:szCs w:val="20"/>
            <w:u w:val="none"/>
            <w:lang w:val="en-US" w:eastAsia="es-ES"/>
          </w:rPr>
          <w:t>Documentary, testimonial and expert evidence</w:t>
        </w:r>
        <w:r w:rsidR="009F4724" w:rsidRPr="00FE50A6">
          <w:rPr>
            <w:noProof/>
            <w:webHidden/>
            <w:lang w:val="en-US"/>
          </w:rPr>
          <w:t xml:space="preserve"> </w:t>
        </w:r>
        <w:r w:rsidR="009F4724"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_Toc464813918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25</w:t>
        </w:r>
        <w:r w:rsidR="00B2396C" w:rsidRPr="00FE50A6">
          <w:rPr>
            <w:noProof/>
            <w:webHidden/>
            <w:lang w:val="en-US"/>
          </w:rPr>
          <w:fldChar w:fldCharType="end"/>
        </w:r>
      </w:hyperlink>
    </w:p>
    <w:p w14:paraId="1F2DA190" w14:textId="77777777" w:rsidR="00B2396C" w:rsidRPr="00FE50A6" w:rsidRDefault="00FD3A54" w:rsidP="007078C6">
      <w:pPr>
        <w:pStyle w:val="TDC2"/>
        <w:rPr>
          <w:rFonts w:eastAsiaTheme="minorEastAsia"/>
          <w:noProof/>
          <w:lang w:val="en-US" w:eastAsia="es-ES"/>
        </w:rPr>
      </w:pPr>
      <w:r w:rsidRPr="00FE50A6">
        <w:rPr>
          <w:rStyle w:val="Hipervnculo"/>
          <w:noProof/>
          <w:color w:val="auto"/>
          <w:szCs w:val="20"/>
          <w:u w:val="none"/>
          <w:lang w:val="en-US"/>
        </w:rPr>
        <w:t xml:space="preserve">B. </w:t>
      </w:r>
      <w:r w:rsidR="00314608" w:rsidRPr="00FE50A6">
        <w:rPr>
          <w:rStyle w:val="Hipervnculo"/>
          <w:noProof/>
          <w:color w:val="auto"/>
          <w:szCs w:val="20"/>
          <w:u w:val="none"/>
          <w:lang w:val="en-US"/>
        </w:rPr>
        <w:t>Admission of the evidence</w:t>
      </w:r>
      <w:hyperlink w:anchor="_Toc464813919" w:history="1">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_Toc464813919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w:t>
        </w:r>
        <w:r w:rsidR="00DB5B82" w:rsidRPr="00FE50A6">
          <w:rPr>
            <w:noProof/>
            <w:webHidden/>
            <w:lang w:val="en-US"/>
          </w:rPr>
          <w:t>5</w:t>
        </w:r>
        <w:r w:rsidR="00B2396C" w:rsidRPr="00FE50A6">
          <w:rPr>
            <w:noProof/>
            <w:webHidden/>
            <w:lang w:val="en-US"/>
          </w:rPr>
          <w:fldChar w:fldCharType="end"/>
        </w:r>
      </w:hyperlink>
    </w:p>
    <w:p w14:paraId="349BE71B" w14:textId="77777777" w:rsidR="00B2396C" w:rsidRPr="00FE50A6" w:rsidRDefault="00FD3A54" w:rsidP="007078C6">
      <w:pPr>
        <w:pStyle w:val="TDC2"/>
        <w:rPr>
          <w:rFonts w:eastAsiaTheme="minorEastAsia"/>
          <w:noProof/>
          <w:lang w:val="en-US" w:eastAsia="es-ES"/>
        </w:rPr>
      </w:pPr>
      <w:r w:rsidRPr="00FE50A6">
        <w:rPr>
          <w:rStyle w:val="Hipervnculo"/>
          <w:noProof/>
          <w:color w:val="auto"/>
          <w:szCs w:val="20"/>
          <w:u w:val="none"/>
          <w:lang w:val="en-US"/>
        </w:rPr>
        <w:t xml:space="preserve">C. </w:t>
      </w:r>
      <w:hyperlink w:anchor="_Toc464813920" w:history="1">
        <w:r w:rsidR="00314608" w:rsidRPr="00FE50A6">
          <w:rPr>
            <w:lang w:val="en-US"/>
          </w:rPr>
          <w:t>Assessment of the evidence</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_Toc464813920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26</w:t>
        </w:r>
        <w:r w:rsidR="00B2396C" w:rsidRPr="00FE50A6">
          <w:rPr>
            <w:noProof/>
            <w:webHidden/>
            <w:lang w:val="en-US"/>
          </w:rPr>
          <w:fldChar w:fldCharType="end"/>
        </w:r>
      </w:hyperlink>
    </w:p>
    <w:p w14:paraId="5BFDCFD2" w14:textId="77777777" w:rsidR="00B2396C" w:rsidRPr="00FE50A6" w:rsidRDefault="005D2144" w:rsidP="005F1946">
      <w:pPr>
        <w:pStyle w:val="TDC1"/>
        <w:rPr>
          <w:rFonts w:eastAsiaTheme="minorEastAsia"/>
          <w:noProof/>
          <w:sz w:val="20"/>
          <w:szCs w:val="20"/>
          <w:lang w:val="en-US" w:eastAsia="es-ES"/>
        </w:rPr>
      </w:pPr>
      <w:hyperlink w:anchor="_Toc464813921" w:history="1">
        <w:r w:rsidR="00B2396C" w:rsidRPr="00FE50A6">
          <w:rPr>
            <w:rStyle w:val="Hipervnculo"/>
            <w:rFonts w:eastAsia="Times New Roman" w:cs="Verdana"/>
            <w:bCs/>
            <w:caps/>
            <w:noProof/>
            <w:snapToGrid w:val="0"/>
            <w:sz w:val="20"/>
            <w:szCs w:val="20"/>
            <w:u w:val="none"/>
            <w:lang w:val="en-US" w:eastAsia="es-ES"/>
          </w:rPr>
          <w:t>VI</w:t>
        </w:r>
        <w:r w:rsidR="009F4724" w:rsidRPr="00FE50A6">
          <w:rPr>
            <w:rStyle w:val="Hipervnculo"/>
            <w:rFonts w:eastAsia="Times New Roman" w:cs="Verdana"/>
            <w:bCs/>
            <w:caps/>
            <w:noProof/>
            <w:snapToGrid w:val="0"/>
            <w:sz w:val="20"/>
            <w:szCs w:val="20"/>
            <w:u w:val="none"/>
            <w:lang w:val="en-US" w:eastAsia="es-ES"/>
          </w:rPr>
          <w:t xml:space="preserve"> </w:t>
        </w:r>
      </w:hyperlink>
      <w:hyperlink w:anchor="_Toc464813922" w:history="1">
        <w:r w:rsidR="005F1946" w:rsidRPr="00FE50A6">
          <w:rPr>
            <w:rStyle w:val="Hipervnculo"/>
            <w:rFonts w:eastAsia="Times New Roman" w:cs="Verdana"/>
            <w:bCs/>
            <w:caps/>
            <w:noProof/>
            <w:snapToGrid w:val="0"/>
            <w:sz w:val="20"/>
            <w:szCs w:val="20"/>
            <w:u w:val="none"/>
            <w:lang w:val="en-US" w:eastAsia="es-ES"/>
          </w:rPr>
          <w:t>FACTS</w:t>
        </w:r>
        <w:r w:rsidR="00B2396C" w:rsidRPr="00FE50A6">
          <w:rPr>
            <w:noProof/>
            <w:webHidden/>
            <w:sz w:val="20"/>
            <w:szCs w:val="20"/>
            <w:lang w:val="en-US"/>
          </w:rPr>
          <w:tab/>
        </w:r>
        <w:r w:rsidR="00B2396C" w:rsidRPr="00FE50A6">
          <w:rPr>
            <w:noProof/>
            <w:webHidden/>
            <w:sz w:val="20"/>
            <w:szCs w:val="20"/>
            <w:lang w:val="en-US"/>
          </w:rPr>
          <w:fldChar w:fldCharType="begin"/>
        </w:r>
        <w:r w:rsidR="00B2396C" w:rsidRPr="00FE50A6">
          <w:rPr>
            <w:noProof/>
            <w:webHidden/>
            <w:sz w:val="20"/>
            <w:szCs w:val="20"/>
            <w:lang w:val="en-US"/>
          </w:rPr>
          <w:instrText xml:space="preserve"> PAGEREF _Toc464813922 \h </w:instrText>
        </w:r>
        <w:r w:rsidR="00B2396C" w:rsidRPr="00FE50A6">
          <w:rPr>
            <w:noProof/>
            <w:webHidden/>
            <w:sz w:val="20"/>
            <w:szCs w:val="20"/>
            <w:lang w:val="en-US"/>
          </w:rPr>
        </w:r>
        <w:r w:rsidR="00B2396C" w:rsidRPr="00FE50A6">
          <w:rPr>
            <w:noProof/>
            <w:webHidden/>
            <w:sz w:val="20"/>
            <w:szCs w:val="20"/>
            <w:lang w:val="en-US"/>
          </w:rPr>
          <w:fldChar w:fldCharType="separate"/>
        </w:r>
        <w:r w:rsidR="000D4C30" w:rsidRPr="00FE50A6">
          <w:rPr>
            <w:noProof/>
            <w:webHidden/>
            <w:sz w:val="20"/>
            <w:szCs w:val="20"/>
            <w:lang w:val="en-US"/>
          </w:rPr>
          <w:t>2</w:t>
        </w:r>
        <w:r w:rsidR="00DB5B82" w:rsidRPr="00FE50A6">
          <w:rPr>
            <w:noProof/>
            <w:webHidden/>
            <w:sz w:val="20"/>
            <w:szCs w:val="20"/>
            <w:lang w:val="en-US"/>
          </w:rPr>
          <w:t>6</w:t>
        </w:r>
        <w:r w:rsidR="00B2396C" w:rsidRPr="00FE50A6">
          <w:rPr>
            <w:noProof/>
            <w:webHidden/>
            <w:sz w:val="20"/>
            <w:szCs w:val="20"/>
            <w:lang w:val="en-US"/>
          </w:rPr>
          <w:fldChar w:fldCharType="end"/>
        </w:r>
      </w:hyperlink>
    </w:p>
    <w:p w14:paraId="331AA366" w14:textId="77777777" w:rsidR="00B2396C" w:rsidRPr="00FE50A6" w:rsidRDefault="005D2144" w:rsidP="007078C6">
      <w:pPr>
        <w:pStyle w:val="TDC2"/>
        <w:rPr>
          <w:rFonts w:eastAsiaTheme="minorEastAsia"/>
          <w:noProof/>
          <w:lang w:val="en-US" w:eastAsia="es-ES"/>
        </w:rPr>
      </w:pPr>
      <w:hyperlink w:anchor="_Toc464813923" w:history="1">
        <w:r w:rsidR="00B2396C" w:rsidRPr="00FE50A6">
          <w:rPr>
            <w:rStyle w:val="Hipervnculo"/>
            <w:rFonts w:cs="Arial"/>
            <w:noProof/>
            <w:szCs w:val="20"/>
            <w:u w:val="none"/>
            <w:lang w:val="en-US"/>
          </w:rPr>
          <w:t>A.</w:t>
        </w:r>
        <w:r w:rsidR="009F4724" w:rsidRPr="00FE50A6">
          <w:rPr>
            <w:rStyle w:val="Hipervnculo"/>
            <w:rFonts w:cs="Arial"/>
            <w:noProof/>
            <w:szCs w:val="20"/>
            <w:u w:val="none"/>
            <w:lang w:val="en-US"/>
          </w:rPr>
          <w:t xml:space="preserve"> </w:t>
        </w:r>
        <w:r w:rsidR="00B2396C" w:rsidRPr="00FE50A6">
          <w:rPr>
            <w:rStyle w:val="Hipervnculo"/>
            <w:rFonts w:eastAsia="Batang"/>
            <w:noProof/>
            <w:szCs w:val="20"/>
            <w:u w:val="none"/>
            <w:lang w:val="en-US" w:eastAsia="es-ES"/>
          </w:rPr>
          <w:t>Context</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_Toc464813923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2</w:t>
        </w:r>
        <w:r w:rsidR="00DB5B82" w:rsidRPr="00FE50A6">
          <w:rPr>
            <w:noProof/>
            <w:webHidden/>
            <w:lang w:val="en-US"/>
          </w:rPr>
          <w:t>6</w:t>
        </w:r>
        <w:r w:rsidR="00B2396C" w:rsidRPr="00FE50A6">
          <w:rPr>
            <w:noProof/>
            <w:webHidden/>
            <w:lang w:val="en-US"/>
          </w:rPr>
          <w:fldChar w:fldCharType="end"/>
        </w:r>
      </w:hyperlink>
    </w:p>
    <w:p w14:paraId="1FFB606A" w14:textId="77777777" w:rsidR="00B2396C" w:rsidRPr="00FE50A6" w:rsidRDefault="005D2144" w:rsidP="007078C6">
      <w:pPr>
        <w:pStyle w:val="TDC2"/>
        <w:rPr>
          <w:rFonts w:eastAsiaTheme="minorEastAsia"/>
          <w:noProof/>
          <w:lang w:val="en-US" w:eastAsia="es-ES"/>
        </w:rPr>
      </w:pPr>
      <w:hyperlink w:anchor="_Toc464813938" w:history="1">
        <w:r w:rsidR="00B2396C" w:rsidRPr="00FE50A6">
          <w:rPr>
            <w:rStyle w:val="Hipervnculo"/>
            <w:rFonts w:eastAsia="Batang"/>
            <w:noProof/>
            <w:szCs w:val="20"/>
            <w:lang w:val="en-US" w:eastAsia="es-ES"/>
          </w:rPr>
          <w:t>B.</w:t>
        </w:r>
        <w:r w:rsidR="009F4724" w:rsidRPr="00FE50A6">
          <w:rPr>
            <w:rStyle w:val="Hipervnculo"/>
            <w:rFonts w:eastAsia="Batang"/>
            <w:noProof/>
            <w:szCs w:val="20"/>
            <w:lang w:val="en-US" w:eastAsia="es-ES"/>
          </w:rPr>
          <w:t xml:space="preserve"> </w:t>
        </w:r>
        <w:r w:rsidR="009C48A4" w:rsidRPr="00FE50A6">
          <w:rPr>
            <w:rStyle w:val="Hipervnculo"/>
            <w:rFonts w:eastAsia="Batang"/>
            <w:noProof/>
            <w:szCs w:val="20"/>
            <w:lang w:val="en-US" w:eastAsia="es-ES"/>
          </w:rPr>
          <w:t>Facts that fall within the Court’s temporal jurisdiction</w:t>
        </w:r>
        <w:r w:rsidR="009F4724" w:rsidRPr="00FE50A6">
          <w:rPr>
            <w:rStyle w:val="Hipervnculo"/>
            <w:rFonts w:eastAsia="Batang"/>
            <w:noProof/>
            <w:szCs w:val="20"/>
            <w:lang w:val="en-US" w:eastAsia="es-ES"/>
          </w:rPr>
          <w:t xml:space="preserve">  </w:t>
        </w:r>
        <w:r w:rsidR="00A056D4" w:rsidRPr="00FE50A6">
          <w:rPr>
            <w:rStyle w:val="Hipervnculo"/>
            <w:rFonts w:eastAsia="Batang"/>
            <w:noProof/>
            <w:szCs w:val="20"/>
            <w:lang w:val="en-US" w:eastAsia="es-ES"/>
          </w:rPr>
          <w:tab/>
        </w:r>
        <w:r w:rsidR="00B2396C" w:rsidRPr="00FE50A6">
          <w:rPr>
            <w:noProof/>
            <w:webHidden/>
            <w:lang w:val="en-US"/>
          </w:rPr>
          <w:fldChar w:fldCharType="begin"/>
        </w:r>
        <w:r w:rsidR="00B2396C" w:rsidRPr="00FE50A6">
          <w:rPr>
            <w:noProof/>
            <w:webHidden/>
            <w:lang w:val="en-US"/>
          </w:rPr>
          <w:instrText xml:space="preserve"> PAGEREF _Toc464813938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3</w:t>
        </w:r>
        <w:r w:rsidR="00DB5B82" w:rsidRPr="00FE50A6">
          <w:rPr>
            <w:noProof/>
            <w:webHidden/>
            <w:lang w:val="en-US"/>
          </w:rPr>
          <w:t>7</w:t>
        </w:r>
        <w:r w:rsidR="00B2396C" w:rsidRPr="00FE50A6">
          <w:rPr>
            <w:noProof/>
            <w:webHidden/>
            <w:lang w:val="en-US"/>
          </w:rPr>
          <w:fldChar w:fldCharType="end"/>
        </w:r>
      </w:hyperlink>
    </w:p>
    <w:p w14:paraId="09AE8C9E" w14:textId="77777777" w:rsidR="00B2396C" w:rsidRPr="00FE50A6" w:rsidRDefault="005D2144" w:rsidP="005F1946">
      <w:pPr>
        <w:pStyle w:val="TDC1"/>
        <w:rPr>
          <w:rFonts w:eastAsiaTheme="minorEastAsia"/>
          <w:noProof/>
          <w:lang w:val="en-US" w:eastAsia="es-ES"/>
        </w:rPr>
      </w:pPr>
      <w:hyperlink w:anchor="_Toc464813945" w:history="1">
        <w:r w:rsidR="00B2396C" w:rsidRPr="00FE50A6">
          <w:rPr>
            <w:rStyle w:val="Hipervnculo"/>
            <w:rFonts w:eastAsia="Times New Roman" w:cs="Verdana"/>
            <w:bCs/>
            <w:caps/>
            <w:noProof/>
            <w:snapToGrid w:val="0"/>
            <w:sz w:val="20"/>
            <w:szCs w:val="20"/>
            <w:lang w:val="en-US" w:eastAsia="es-ES"/>
          </w:rPr>
          <w:t>VII</w:t>
        </w:r>
      </w:hyperlink>
      <w:r w:rsidR="00ED3F15" w:rsidRPr="00FE50A6">
        <w:rPr>
          <w:rStyle w:val="Hipervnculo"/>
          <w:noProof/>
          <w:sz w:val="20"/>
          <w:szCs w:val="20"/>
          <w:u w:val="none"/>
          <w:lang w:val="en-US"/>
        </w:rPr>
        <w:t xml:space="preserve"> </w:t>
      </w:r>
      <w:hyperlink w:anchor="_Toc464813946" w:history="1">
        <w:r w:rsidR="009C27BB" w:rsidRPr="00FE50A6">
          <w:rPr>
            <w:rStyle w:val="Hipervnculo"/>
            <w:rFonts w:eastAsia="Times New Roman" w:cs="Verdana"/>
            <w:bCs/>
            <w:caps/>
            <w:noProof/>
            <w:snapToGrid w:val="0"/>
            <w:sz w:val="20"/>
            <w:szCs w:val="20"/>
            <w:lang w:val="en-US" w:eastAsia="es-ES"/>
          </w:rPr>
          <w:t>DETERMINATION OF THE</w:t>
        </w:r>
        <w:r w:rsidR="0017587B" w:rsidRPr="00FE50A6">
          <w:rPr>
            <w:rStyle w:val="Hipervnculo"/>
            <w:rFonts w:eastAsia="Times New Roman" w:cs="Verdana"/>
            <w:bCs/>
            <w:caps/>
            <w:noProof/>
            <w:snapToGrid w:val="0"/>
            <w:sz w:val="20"/>
            <w:szCs w:val="20"/>
            <w:lang w:val="en-US" w:eastAsia="es-ES"/>
          </w:rPr>
          <w:t xml:space="preserve"> PRESUMED VICTIMS</w:t>
        </w:r>
        <w:r w:rsidR="009F4724" w:rsidRPr="00FE50A6">
          <w:rPr>
            <w:rStyle w:val="Hipervnculo"/>
            <w:rFonts w:eastAsia="Times New Roman" w:cs="Verdana"/>
            <w:bCs/>
            <w:caps/>
            <w:noProof/>
            <w:snapToGrid w:val="0"/>
            <w:sz w:val="20"/>
            <w:szCs w:val="20"/>
            <w:lang w:val="en-US" w:eastAsia="es-ES"/>
          </w:rPr>
          <w:t xml:space="preserve"> </w:t>
        </w:r>
        <w:r w:rsidR="009F4724" w:rsidRPr="00FE50A6">
          <w:rPr>
            <w:rStyle w:val="Hipervnculo"/>
            <w:rFonts w:eastAsia="Times New Roman" w:cs="Verdana"/>
            <w:bCs/>
            <w:caps/>
            <w:noProof/>
            <w:snapToGrid w:val="0"/>
            <w:sz w:val="20"/>
            <w:szCs w:val="20"/>
            <w:lang w:val="en-US" w:eastAsia="es-ES"/>
          </w:rPr>
          <w:tab/>
        </w:r>
        <w:r w:rsidR="00B2396C" w:rsidRPr="00FE50A6">
          <w:rPr>
            <w:noProof/>
            <w:webHidden/>
            <w:lang w:val="en-US"/>
          </w:rPr>
          <w:fldChar w:fldCharType="begin"/>
        </w:r>
        <w:r w:rsidR="00B2396C" w:rsidRPr="00FE50A6">
          <w:rPr>
            <w:noProof/>
            <w:webHidden/>
            <w:lang w:val="en-US"/>
          </w:rPr>
          <w:instrText xml:space="preserve"> PAGEREF _Toc464813946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4</w:t>
        </w:r>
        <w:r w:rsidR="00DB5B82" w:rsidRPr="00FE50A6">
          <w:rPr>
            <w:noProof/>
            <w:webHidden/>
            <w:lang w:val="en-US"/>
          </w:rPr>
          <w:t>5</w:t>
        </w:r>
        <w:r w:rsidR="00B2396C" w:rsidRPr="00FE50A6">
          <w:rPr>
            <w:noProof/>
            <w:webHidden/>
            <w:lang w:val="en-US"/>
          </w:rPr>
          <w:fldChar w:fldCharType="end"/>
        </w:r>
      </w:hyperlink>
    </w:p>
    <w:p w14:paraId="08552F2B" w14:textId="77777777" w:rsidR="00B2396C" w:rsidRPr="00FE50A6" w:rsidRDefault="00FD3A54" w:rsidP="007078C6">
      <w:pPr>
        <w:pStyle w:val="TDC2"/>
        <w:rPr>
          <w:rFonts w:eastAsiaTheme="minorEastAsia"/>
          <w:noProof/>
          <w:lang w:val="en-US" w:eastAsia="es-ES"/>
        </w:rPr>
      </w:pPr>
      <w:r w:rsidRPr="00FE50A6">
        <w:rPr>
          <w:noProof/>
          <w:lang w:val="en-US"/>
        </w:rPr>
        <w:t xml:space="preserve">A. </w:t>
      </w:r>
      <w:hyperlink w:anchor="_Toc464813947" w:history="1">
        <w:r w:rsidR="009C27BB" w:rsidRPr="00FE50A6">
          <w:rPr>
            <w:rStyle w:val="Hipervnculo"/>
            <w:noProof/>
            <w:szCs w:val="20"/>
            <w:lang w:val="en-US"/>
          </w:rPr>
          <w:t>April 1997 inspection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_Toc464813947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4</w:t>
        </w:r>
        <w:r w:rsidR="00DB5B82" w:rsidRPr="00FE50A6">
          <w:rPr>
            <w:noProof/>
            <w:webHidden/>
            <w:lang w:val="en-US"/>
          </w:rPr>
          <w:t>6</w:t>
        </w:r>
        <w:r w:rsidR="00B2396C" w:rsidRPr="00FE50A6">
          <w:rPr>
            <w:noProof/>
            <w:webHidden/>
            <w:lang w:val="en-US"/>
          </w:rPr>
          <w:fldChar w:fldCharType="end"/>
        </w:r>
      </w:hyperlink>
    </w:p>
    <w:p w14:paraId="46FF26B7" w14:textId="77777777" w:rsidR="00B2396C" w:rsidRPr="00FE50A6" w:rsidRDefault="00FD3A54" w:rsidP="007078C6">
      <w:pPr>
        <w:pStyle w:val="TDC2"/>
        <w:rPr>
          <w:rFonts w:eastAsiaTheme="minorEastAsia"/>
          <w:noProof/>
          <w:lang w:val="en-US" w:eastAsia="es-ES"/>
        </w:rPr>
      </w:pPr>
      <w:r w:rsidRPr="00FE50A6">
        <w:rPr>
          <w:noProof/>
          <w:lang w:val="en-US"/>
        </w:rPr>
        <w:t xml:space="preserve">B. </w:t>
      </w:r>
      <w:hyperlink w:anchor="_Toc464813950" w:history="1">
        <w:r w:rsidR="00CD0E29" w:rsidRPr="00FE50A6">
          <w:rPr>
            <w:rStyle w:val="Hipervnculo"/>
            <w:noProof/>
            <w:szCs w:val="20"/>
            <w:lang w:val="en-US"/>
          </w:rPr>
          <w:t>March</w:t>
        </w:r>
        <w:r w:rsidR="00B2396C" w:rsidRPr="00FE50A6">
          <w:rPr>
            <w:rStyle w:val="Hipervnculo"/>
            <w:noProof/>
            <w:szCs w:val="20"/>
            <w:lang w:val="en-US"/>
          </w:rPr>
          <w:t xml:space="preserve"> 2000</w:t>
        </w:r>
        <w:r w:rsidR="00CD0E29" w:rsidRPr="00FE50A6">
          <w:rPr>
            <w:rStyle w:val="Hipervnculo"/>
            <w:noProof/>
            <w:szCs w:val="20"/>
            <w:lang w:val="en-US"/>
          </w:rPr>
          <w:t xml:space="preserve"> inspection</w:t>
        </w:r>
        <w:r w:rsidR="00B2396C" w:rsidRPr="00FE50A6">
          <w:rPr>
            <w:noProof/>
            <w:webHidden/>
            <w:lang w:val="en-US"/>
          </w:rPr>
          <w:tab/>
        </w:r>
        <w:r w:rsidR="00DB5B82" w:rsidRPr="00FE50A6">
          <w:rPr>
            <w:noProof/>
            <w:webHidden/>
            <w:lang w:val="en-US"/>
          </w:rPr>
          <w:t>49</w:t>
        </w:r>
      </w:hyperlink>
    </w:p>
    <w:p w14:paraId="457D06C2" w14:textId="77777777" w:rsidR="00B2396C" w:rsidRPr="00FE50A6" w:rsidRDefault="005D2144" w:rsidP="005F1946">
      <w:pPr>
        <w:pStyle w:val="TDC1"/>
        <w:rPr>
          <w:rFonts w:eastAsiaTheme="minorEastAsia"/>
          <w:noProof/>
          <w:sz w:val="20"/>
          <w:szCs w:val="20"/>
          <w:lang w:val="en-US" w:eastAsia="es-ES"/>
        </w:rPr>
      </w:pPr>
      <w:hyperlink w:anchor="_Toc464813953" w:history="1">
        <w:r w:rsidR="00B2396C" w:rsidRPr="00FE50A6">
          <w:rPr>
            <w:rStyle w:val="Hipervnculo"/>
            <w:rFonts w:eastAsia="Times New Roman" w:cs="Verdana"/>
            <w:bCs/>
            <w:caps/>
            <w:noProof/>
            <w:snapToGrid w:val="0"/>
            <w:sz w:val="20"/>
            <w:szCs w:val="20"/>
            <w:lang w:val="en-US" w:eastAsia="es-ES"/>
          </w:rPr>
          <w:t>VIII</w:t>
        </w:r>
      </w:hyperlink>
      <w:r w:rsidR="00ED3F15" w:rsidRPr="00FE50A6">
        <w:rPr>
          <w:rStyle w:val="Hipervnculo"/>
          <w:noProof/>
          <w:sz w:val="20"/>
          <w:szCs w:val="20"/>
          <w:u w:val="none"/>
          <w:lang w:val="en-US"/>
        </w:rPr>
        <w:t xml:space="preserve"> </w:t>
      </w:r>
      <w:hyperlink w:anchor="_Toc464813954" w:history="1">
        <w:r w:rsidR="00B11237" w:rsidRPr="00FE50A6">
          <w:rPr>
            <w:rStyle w:val="Hipervnculo"/>
            <w:rFonts w:eastAsia="Times New Roman" w:cs="Verdana"/>
            <w:bCs/>
            <w:caps/>
            <w:noProof/>
            <w:snapToGrid w:val="0"/>
            <w:sz w:val="20"/>
            <w:szCs w:val="20"/>
            <w:u w:val="none"/>
            <w:lang w:val="en-US" w:eastAsia="es-ES"/>
          </w:rPr>
          <w:t>MERITS</w:t>
        </w:r>
        <w:r w:rsidR="00B2396C" w:rsidRPr="00FE50A6">
          <w:rPr>
            <w:noProof/>
            <w:webHidden/>
            <w:sz w:val="20"/>
            <w:szCs w:val="20"/>
            <w:lang w:val="en-US"/>
          </w:rPr>
          <w:tab/>
        </w:r>
        <w:r w:rsidR="00B2396C" w:rsidRPr="00FE50A6">
          <w:rPr>
            <w:noProof/>
            <w:webHidden/>
            <w:sz w:val="20"/>
            <w:szCs w:val="20"/>
            <w:lang w:val="en-US"/>
          </w:rPr>
          <w:fldChar w:fldCharType="begin"/>
        </w:r>
        <w:r w:rsidR="00B2396C" w:rsidRPr="00FE50A6">
          <w:rPr>
            <w:noProof/>
            <w:webHidden/>
            <w:sz w:val="20"/>
            <w:szCs w:val="20"/>
            <w:lang w:val="en-US"/>
          </w:rPr>
          <w:instrText xml:space="preserve"> PAGEREF _Toc464813954 \h </w:instrText>
        </w:r>
        <w:r w:rsidR="00B2396C" w:rsidRPr="00FE50A6">
          <w:rPr>
            <w:noProof/>
            <w:webHidden/>
            <w:sz w:val="20"/>
            <w:szCs w:val="20"/>
            <w:lang w:val="en-US"/>
          </w:rPr>
        </w:r>
        <w:r w:rsidR="00B2396C" w:rsidRPr="00FE50A6">
          <w:rPr>
            <w:noProof/>
            <w:webHidden/>
            <w:sz w:val="20"/>
            <w:szCs w:val="20"/>
            <w:lang w:val="en-US"/>
          </w:rPr>
          <w:fldChar w:fldCharType="separate"/>
        </w:r>
        <w:r w:rsidR="000D4C30" w:rsidRPr="00FE50A6">
          <w:rPr>
            <w:noProof/>
            <w:webHidden/>
            <w:sz w:val="20"/>
            <w:szCs w:val="20"/>
            <w:lang w:val="en-US"/>
          </w:rPr>
          <w:t>5</w:t>
        </w:r>
        <w:r w:rsidR="00DB5B82" w:rsidRPr="00FE50A6">
          <w:rPr>
            <w:noProof/>
            <w:webHidden/>
            <w:sz w:val="20"/>
            <w:szCs w:val="20"/>
            <w:lang w:val="en-US"/>
          </w:rPr>
          <w:t>4</w:t>
        </w:r>
        <w:r w:rsidR="00B2396C" w:rsidRPr="00FE50A6">
          <w:rPr>
            <w:noProof/>
            <w:webHidden/>
            <w:sz w:val="20"/>
            <w:szCs w:val="20"/>
            <w:lang w:val="en-US"/>
          </w:rPr>
          <w:fldChar w:fldCharType="end"/>
        </w:r>
      </w:hyperlink>
    </w:p>
    <w:p w14:paraId="687916DE" w14:textId="77777777" w:rsidR="00B2396C" w:rsidRPr="00FE50A6" w:rsidRDefault="005D2144" w:rsidP="005F1946">
      <w:pPr>
        <w:pStyle w:val="TDC1"/>
        <w:rPr>
          <w:rFonts w:eastAsiaTheme="minorEastAsia"/>
          <w:noProof/>
          <w:lang w:val="en-US" w:eastAsia="es-ES"/>
        </w:rPr>
      </w:pPr>
      <w:hyperlink w:anchor="_Toc464813955" w:history="1">
        <w:r w:rsidR="00B2396C" w:rsidRPr="00FE50A6">
          <w:rPr>
            <w:rStyle w:val="Hipervnculo"/>
            <w:noProof/>
            <w:sz w:val="20"/>
            <w:szCs w:val="20"/>
            <w:u w:val="none"/>
            <w:lang w:val="en-US"/>
          </w:rPr>
          <w:t>VIII-1</w:t>
        </w:r>
      </w:hyperlink>
      <w:r w:rsidR="00ED3F15" w:rsidRPr="00FE50A6">
        <w:rPr>
          <w:rStyle w:val="Hipervnculo"/>
          <w:noProof/>
          <w:sz w:val="20"/>
          <w:szCs w:val="20"/>
          <w:u w:val="none"/>
          <w:lang w:val="en-US"/>
        </w:rPr>
        <w:t xml:space="preserve"> </w:t>
      </w:r>
      <w:hyperlink w:anchor="_Toc464813956" w:history="1">
        <w:r w:rsidR="00E94340" w:rsidRPr="00FE50A6">
          <w:rPr>
            <w:rStyle w:val="Hipervnculo"/>
            <w:rFonts w:eastAsia="Times New Roman" w:cs="Verdana"/>
            <w:bCs/>
            <w:caps/>
            <w:noProof/>
            <w:snapToGrid w:val="0"/>
            <w:sz w:val="20"/>
            <w:szCs w:val="20"/>
            <w:lang w:val="en-US" w:eastAsia="es-ES"/>
          </w:rPr>
          <w:t>PROHIBITION OF SLAVERY</w:t>
        </w:r>
        <w:r w:rsidR="00195514" w:rsidRPr="00FE50A6">
          <w:rPr>
            <w:rStyle w:val="Hipervnculo"/>
            <w:rFonts w:eastAsia="Times New Roman" w:cs="Verdana"/>
            <w:bCs/>
            <w:caps/>
            <w:noProof/>
            <w:snapToGrid w:val="0"/>
            <w:sz w:val="20"/>
            <w:szCs w:val="20"/>
            <w:lang w:val="en-US" w:eastAsia="es-ES"/>
          </w:rPr>
          <w:t>,</w:t>
        </w:r>
        <w:r w:rsidR="00B2396C" w:rsidRPr="00FE50A6">
          <w:rPr>
            <w:rStyle w:val="Hipervnculo"/>
            <w:rFonts w:eastAsia="Times New Roman" w:cs="Verdana"/>
            <w:bCs/>
            <w:caps/>
            <w:noProof/>
            <w:snapToGrid w:val="0"/>
            <w:sz w:val="20"/>
            <w:szCs w:val="20"/>
            <w:lang w:val="en-US" w:eastAsia="es-ES"/>
          </w:rPr>
          <w:t xml:space="preserve"> </w:t>
        </w:r>
        <w:r w:rsidR="00125A00" w:rsidRPr="00FE50A6">
          <w:rPr>
            <w:rStyle w:val="Hipervnculo"/>
            <w:rFonts w:eastAsia="Times New Roman" w:cs="Verdana"/>
            <w:bCs/>
            <w:caps/>
            <w:noProof/>
            <w:snapToGrid w:val="0"/>
            <w:sz w:val="20"/>
            <w:szCs w:val="20"/>
            <w:lang w:val="en-US" w:eastAsia="es-ES"/>
          </w:rPr>
          <w:t>SERVITUDE</w:t>
        </w:r>
        <w:r w:rsidR="00195514" w:rsidRPr="00FE50A6">
          <w:rPr>
            <w:rStyle w:val="Hipervnculo"/>
            <w:rFonts w:eastAsia="Times New Roman" w:cs="Verdana"/>
            <w:bCs/>
            <w:caps/>
            <w:noProof/>
            <w:snapToGrid w:val="0"/>
            <w:sz w:val="20"/>
            <w:szCs w:val="20"/>
            <w:lang w:val="en-US" w:eastAsia="es-ES"/>
          </w:rPr>
          <w:t xml:space="preserve">, </w:t>
        </w:r>
        <w:r w:rsidR="005F1946" w:rsidRPr="00FE50A6">
          <w:rPr>
            <w:rStyle w:val="Hipervnculo"/>
            <w:rFonts w:eastAsia="Times New Roman" w:cs="Verdana"/>
            <w:bCs/>
            <w:caps/>
            <w:noProof/>
            <w:snapToGrid w:val="0"/>
            <w:sz w:val="20"/>
            <w:szCs w:val="20"/>
            <w:lang w:val="en-US" w:eastAsia="es-ES"/>
          </w:rPr>
          <w:t>forced labor</w:t>
        </w:r>
        <w:r w:rsidR="00030C17" w:rsidRPr="00FE50A6">
          <w:rPr>
            <w:rStyle w:val="Hipervnculo"/>
            <w:rFonts w:eastAsia="Times New Roman" w:cs="Verdana"/>
            <w:bCs/>
            <w:caps/>
            <w:noProof/>
            <w:snapToGrid w:val="0"/>
            <w:sz w:val="20"/>
            <w:szCs w:val="20"/>
            <w:lang w:val="en-US" w:eastAsia="es-ES"/>
          </w:rPr>
          <w:t xml:space="preserve"> and </w:t>
        </w:r>
        <w:r w:rsidR="00B11237" w:rsidRPr="00FE50A6">
          <w:rPr>
            <w:rStyle w:val="Hipervnculo"/>
            <w:rFonts w:eastAsia="Times New Roman" w:cs="Verdana"/>
            <w:bCs/>
            <w:caps/>
            <w:noProof/>
            <w:snapToGrid w:val="0"/>
            <w:sz w:val="20"/>
            <w:szCs w:val="20"/>
            <w:lang w:val="en-US" w:eastAsia="es-ES"/>
          </w:rPr>
          <w:t>THE SLAVE TRADE AND TRAFFIC IN WOMEN</w:t>
        </w:r>
        <w:r w:rsidR="00B2396C" w:rsidRPr="00FE50A6">
          <w:rPr>
            <w:rStyle w:val="Hipervnculo"/>
            <w:rFonts w:eastAsia="Times New Roman" w:cs="Verdana"/>
            <w:bCs/>
            <w:caps/>
            <w:noProof/>
            <w:snapToGrid w:val="0"/>
            <w:sz w:val="20"/>
            <w:szCs w:val="20"/>
            <w:lang w:val="en-US" w:eastAsia="es-ES"/>
          </w:rPr>
          <w:t xml:space="preserve">, </w:t>
        </w:r>
        <w:r w:rsidR="00B11237" w:rsidRPr="00FE50A6">
          <w:rPr>
            <w:rStyle w:val="Hipervnculo"/>
            <w:rFonts w:eastAsia="Times New Roman" w:cs="Verdana"/>
            <w:bCs/>
            <w:caps/>
            <w:noProof/>
            <w:snapToGrid w:val="0"/>
            <w:sz w:val="20"/>
            <w:szCs w:val="20"/>
            <w:lang w:val="en-US" w:eastAsia="es-ES"/>
          </w:rPr>
          <w:t>THE RIGHTS TO</w:t>
        </w:r>
        <w:r w:rsidR="00B2396C" w:rsidRPr="00FE50A6">
          <w:rPr>
            <w:rStyle w:val="Hipervnculo"/>
            <w:rFonts w:eastAsia="Times New Roman" w:cs="Verdana"/>
            <w:bCs/>
            <w:caps/>
            <w:noProof/>
            <w:snapToGrid w:val="0"/>
            <w:sz w:val="20"/>
            <w:szCs w:val="20"/>
            <w:lang w:val="en-US" w:eastAsia="es-ES"/>
          </w:rPr>
          <w:t xml:space="preserve"> </w:t>
        </w:r>
        <w:r w:rsidR="00D11A9F" w:rsidRPr="00FE50A6">
          <w:rPr>
            <w:rStyle w:val="Hipervnculo"/>
            <w:rFonts w:eastAsia="Times New Roman" w:cs="Verdana"/>
            <w:bCs/>
            <w:caps/>
            <w:noProof/>
            <w:snapToGrid w:val="0"/>
            <w:sz w:val="20"/>
            <w:szCs w:val="20"/>
            <w:lang w:val="en-US" w:eastAsia="es-ES"/>
          </w:rPr>
          <w:t>PERSONAL INTEGRITY</w:t>
        </w:r>
        <w:r w:rsidR="00B2396C" w:rsidRPr="00FE50A6">
          <w:rPr>
            <w:rStyle w:val="Hipervnculo"/>
            <w:rFonts w:eastAsia="Times New Roman" w:cs="Verdana"/>
            <w:bCs/>
            <w:caps/>
            <w:noProof/>
            <w:snapToGrid w:val="0"/>
            <w:sz w:val="20"/>
            <w:szCs w:val="20"/>
            <w:lang w:val="en-US" w:eastAsia="es-ES"/>
          </w:rPr>
          <w:t xml:space="preserve">, </w:t>
        </w:r>
        <w:r w:rsidR="00B11237" w:rsidRPr="00FE50A6">
          <w:rPr>
            <w:rStyle w:val="Hipervnculo"/>
            <w:rFonts w:eastAsia="Times New Roman" w:cs="Verdana"/>
            <w:bCs/>
            <w:caps/>
            <w:noProof/>
            <w:snapToGrid w:val="0"/>
            <w:sz w:val="20"/>
            <w:szCs w:val="20"/>
            <w:lang w:val="en-US" w:eastAsia="es-ES"/>
          </w:rPr>
          <w:t>PERSONAL LIBERTY, RECOGNITION OF JURIDICAL PERSONALITY, FREEDOM OF MOVEMENT AND RESIDENCE</w:t>
        </w:r>
        <w:r w:rsidR="007C0422" w:rsidRPr="00FE50A6">
          <w:rPr>
            <w:rStyle w:val="Hipervnculo"/>
            <w:rFonts w:eastAsia="Times New Roman" w:cs="Verdana"/>
            <w:bCs/>
            <w:caps/>
            <w:noProof/>
            <w:snapToGrid w:val="0"/>
            <w:sz w:val="20"/>
            <w:szCs w:val="20"/>
            <w:lang w:val="en-US" w:eastAsia="es-ES"/>
          </w:rPr>
          <w:t>,</w:t>
        </w:r>
        <w:r w:rsidR="00030C17" w:rsidRPr="00FE50A6">
          <w:rPr>
            <w:rStyle w:val="Hipervnculo"/>
            <w:rFonts w:eastAsia="Times New Roman" w:cs="Verdana"/>
            <w:bCs/>
            <w:caps/>
            <w:noProof/>
            <w:snapToGrid w:val="0"/>
            <w:sz w:val="20"/>
            <w:szCs w:val="20"/>
            <w:lang w:val="en-US" w:eastAsia="es-ES"/>
          </w:rPr>
          <w:t xml:space="preserve"> and </w:t>
        </w:r>
        <w:r w:rsidR="00B11237" w:rsidRPr="00FE50A6">
          <w:rPr>
            <w:rStyle w:val="Hipervnculo"/>
            <w:rFonts w:eastAsia="Times New Roman" w:cs="Verdana"/>
            <w:bCs/>
            <w:caps/>
            <w:noProof/>
            <w:snapToGrid w:val="0"/>
            <w:sz w:val="20"/>
            <w:szCs w:val="20"/>
            <w:lang w:val="en-US" w:eastAsia="es-ES"/>
          </w:rPr>
          <w:t>THE RIGHTS OF THE CHILD</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_Toc464813956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5</w:t>
        </w:r>
        <w:r w:rsidR="007C0422" w:rsidRPr="00FE50A6">
          <w:rPr>
            <w:noProof/>
            <w:webHidden/>
            <w:lang w:val="en-US"/>
          </w:rPr>
          <w:t>5</w:t>
        </w:r>
        <w:r w:rsidR="00B2396C" w:rsidRPr="00FE50A6">
          <w:rPr>
            <w:noProof/>
            <w:webHidden/>
            <w:lang w:val="en-US"/>
          </w:rPr>
          <w:fldChar w:fldCharType="end"/>
        </w:r>
      </w:hyperlink>
    </w:p>
    <w:p w14:paraId="086F2D0D" w14:textId="77777777" w:rsidR="00B2396C" w:rsidRPr="00FE50A6" w:rsidRDefault="00FD3A54" w:rsidP="007078C6">
      <w:pPr>
        <w:pStyle w:val="TDC2"/>
        <w:rPr>
          <w:rFonts w:eastAsiaTheme="minorEastAsia"/>
          <w:noProof/>
          <w:lang w:val="en-US" w:eastAsia="es-ES"/>
        </w:rPr>
      </w:pPr>
      <w:r w:rsidRPr="00FE50A6">
        <w:rPr>
          <w:noProof/>
          <w:lang w:val="en-US"/>
        </w:rPr>
        <w:t xml:space="preserve">A. </w:t>
      </w:r>
      <w:r w:rsidR="00D76D70" w:rsidRPr="00FE50A6">
        <w:rPr>
          <w:noProof/>
          <w:lang w:val="en-US"/>
        </w:rPr>
        <w:t>A</w:t>
      </w:r>
      <w:hyperlink w:anchor="_Toc464813957" w:history="1">
        <w:r w:rsidR="00B2396C" w:rsidRPr="00FE50A6">
          <w:rPr>
            <w:rStyle w:val="Hipervnculo"/>
            <w:noProof/>
            <w:szCs w:val="20"/>
            <w:lang w:val="en-US"/>
          </w:rPr>
          <w:t xml:space="preserve">rguments </w:t>
        </w:r>
        <w:r w:rsidR="00CD0E29" w:rsidRPr="00FE50A6">
          <w:rPr>
            <w:rStyle w:val="Hipervnculo"/>
            <w:noProof/>
            <w:szCs w:val="20"/>
            <w:lang w:val="en-US"/>
          </w:rPr>
          <w:t>of the parties</w:t>
        </w:r>
        <w:r w:rsidR="00030C17" w:rsidRPr="00FE50A6">
          <w:rPr>
            <w:rStyle w:val="Hipervnculo"/>
            <w:noProof/>
            <w:szCs w:val="20"/>
            <w:lang w:val="en-US"/>
          </w:rPr>
          <w:t xml:space="preserve"> and </w:t>
        </w:r>
        <w:r w:rsidR="000228D0" w:rsidRPr="00FE50A6">
          <w:rPr>
            <w:rStyle w:val="Hipervnculo"/>
            <w:noProof/>
            <w:szCs w:val="20"/>
            <w:lang w:val="en-US"/>
          </w:rPr>
          <w:t>of the Commission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_Toc464813957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5</w:t>
        </w:r>
        <w:r w:rsidR="00DB5B82" w:rsidRPr="00FE50A6">
          <w:rPr>
            <w:noProof/>
            <w:webHidden/>
            <w:lang w:val="en-US"/>
          </w:rPr>
          <w:t>5</w:t>
        </w:r>
        <w:r w:rsidR="00B2396C" w:rsidRPr="00FE50A6">
          <w:rPr>
            <w:noProof/>
            <w:webHidden/>
            <w:lang w:val="en-US"/>
          </w:rPr>
          <w:fldChar w:fldCharType="end"/>
        </w:r>
      </w:hyperlink>
    </w:p>
    <w:p w14:paraId="2C1FFC81" w14:textId="77777777" w:rsidR="00B2396C" w:rsidRPr="00FE50A6" w:rsidRDefault="00FD3A54" w:rsidP="007078C6">
      <w:pPr>
        <w:pStyle w:val="TDC2"/>
        <w:rPr>
          <w:rFonts w:eastAsiaTheme="minorEastAsia"/>
          <w:noProof/>
          <w:lang w:val="en-US" w:eastAsia="es-ES"/>
        </w:rPr>
      </w:pPr>
      <w:r w:rsidRPr="00FE50A6">
        <w:rPr>
          <w:rStyle w:val="Hipervnculo"/>
          <w:noProof/>
          <w:color w:val="auto"/>
          <w:szCs w:val="20"/>
          <w:u w:val="none"/>
          <w:lang w:val="en-US"/>
        </w:rPr>
        <w:t xml:space="preserve">B. </w:t>
      </w:r>
      <w:r w:rsidR="009F4724" w:rsidRPr="00FE50A6">
        <w:rPr>
          <w:rStyle w:val="Hipervnculo"/>
          <w:noProof/>
          <w:color w:val="auto"/>
          <w:szCs w:val="20"/>
          <w:u w:val="none"/>
          <w:lang w:val="en-US"/>
        </w:rPr>
        <w:t>C</w:t>
      </w:r>
      <w:hyperlink w:anchor="_Toc464813958" w:history="1">
        <w:r w:rsidR="00B2396C" w:rsidRPr="00FE50A6">
          <w:rPr>
            <w:rStyle w:val="Hipervnculo"/>
            <w:noProof/>
            <w:szCs w:val="20"/>
            <w:u w:val="none"/>
            <w:lang w:val="en-US"/>
          </w:rPr>
          <w:t>onsidera</w:t>
        </w:r>
        <w:r w:rsidR="00CD0E29" w:rsidRPr="00FE50A6">
          <w:rPr>
            <w:rStyle w:val="Hipervnculo"/>
            <w:noProof/>
            <w:szCs w:val="20"/>
            <w:u w:val="none"/>
            <w:lang w:val="en-US"/>
          </w:rPr>
          <w:t>tions</w:t>
        </w:r>
        <w:r w:rsidR="000228D0" w:rsidRPr="00FE50A6">
          <w:rPr>
            <w:rStyle w:val="Hipervnculo"/>
            <w:noProof/>
            <w:szCs w:val="20"/>
            <w:u w:val="none"/>
            <w:lang w:val="en-US"/>
          </w:rPr>
          <w:t xml:space="preserve"> of the Court</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_Toc464813958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6</w:t>
        </w:r>
        <w:r w:rsidR="00DB5B82" w:rsidRPr="00FE50A6">
          <w:rPr>
            <w:noProof/>
            <w:webHidden/>
            <w:lang w:val="en-US"/>
          </w:rPr>
          <w:t>1</w:t>
        </w:r>
        <w:r w:rsidR="00B2396C" w:rsidRPr="00FE50A6">
          <w:rPr>
            <w:noProof/>
            <w:webHidden/>
            <w:lang w:val="en-US"/>
          </w:rPr>
          <w:fldChar w:fldCharType="end"/>
        </w:r>
      </w:hyperlink>
    </w:p>
    <w:p w14:paraId="62269DDA" w14:textId="77777777" w:rsidR="00B2396C" w:rsidRPr="00FE50A6" w:rsidRDefault="005D2144" w:rsidP="00FF2C34">
      <w:pPr>
        <w:pStyle w:val="TDC3"/>
        <w:rPr>
          <w:rFonts w:eastAsiaTheme="minorEastAsia"/>
          <w:noProof/>
          <w:lang w:val="en-US" w:eastAsia="es-ES"/>
        </w:rPr>
      </w:pPr>
      <w:hyperlink w:anchor="_Toc464813959" w:history="1">
        <w:r w:rsidR="00B2396C" w:rsidRPr="00FE50A6">
          <w:rPr>
            <w:rStyle w:val="Hipervnculo"/>
            <w:noProof/>
            <w:szCs w:val="20"/>
            <w:lang w:val="en-US"/>
          </w:rPr>
          <w:t xml:space="preserve">B.1 </w:t>
        </w:r>
        <w:r w:rsidR="00693AB2" w:rsidRPr="00FE50A6">
          <w:rPr>
            <w:rStyle w:val="Hipervnculo"/>
            <w:noProof/>
            <w:szCs w:val="20"/>
            <w:lang w:val="en-US"/>
          </w:rPr>
          <w:t>The evolution of the prohibition of slavery, servitude, forced labor</w:t>
        </w:r>
        <w:r w:rsidR="00030C17" w:rsidRPr="00FE50A6">
          <w:rPr>
            <w:rStyle w:val="Hipervnculo"/>
            <w:noProof/>
            <w:szCs w:val="20"/>
            <w:lang w:val="en-US"/>
          </w:rPr>
          <w:t xml:space="preserve"> and </w:t>
        </w:r>
        <w:r w:rsidR="00693AB2" w:rsidRPr="00FE50A6">
          <w:rPr>
            <w:rStyle w:val="Hipervnculo"/>
            <w:noProof/>
            <w:szCs w:val="20"/>
            <w:lang w:val="en-US"/>
          </w:rPr>
          <w:t>practices similar to slavery in</w:t>
        </w:r>
        <w:r w:rsidR="00B2396C" w:rsidRPr="00FE50A6">
          <w:rPr>
            <w:rStyle w:val="Hipervnculo"/>
            <w:noProof/>
            <w:szCs w:val="20"/>
            <w:lang w:val="en-US"/>
          </w:rPr>
          <w:t xml:space="preserve"> </w:t>
        </w:r>
        <w:r w:rsidR="00931A2D" w:rsidRPr="00FE50A6">
          <w:rPr>
            <w:rStyle w:val="Hipervnculo"/>
            <w:noProof/>
            <w:szCs w:val="20"/>
            <w:lang w:val="en-US"/>
          </w:rPr>
          <w:t>international law</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_Toc464813959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6</w:t>
        </w:r>
        <w:r w:rsidR="00DB5B82" w:rsidRPr="00FE50A6">
          <w:rPr>
            <w:noProof/>
            <w:webHidden/>
            <w:lang w:val="en-US"/>
          </w:rPr>
          <w:t>3</w:t>
        </w:r>
        <w:r w:rsidR="00B2396C" w:rsidRPr="00FE50A6">
          <w:rPr>
            <w:noProof/>
            <w:webHidden/>
            <w:lang w:val="en-US"/>
          </w:rPr>
          <w:fldChar w:fldCharType="end"/>
        </w:r>
      </w:hyperlink>
    </w:p>
    <w:p w14:paraId="7E82AED9" w14:textId="77777777" w:rsidR="00B2396C" w:rsidRPr="00FE50A6" w:rsidRDefault="005D2144" w:rsidP="00FF2C34">
      <w:pPr>
        <w:pStyle w:val="TDC3"/>
        <w:rPr>
          <w:rFonts w:eastAsiaTheme="minorEastAsia"/>
          <w:noProof/>
          <w:lang w:val="en-US" w:eastAsia="es-ES"/>
        </w:rPr>
      </w:pPr>
      <w:hyperlink w:anchor="_Toc464813960" w:history="1">
        <w:r w:rsidR="00B2396C" w:rsidRPr="00FE50A6">
          <w:rPr>
            <w:rStyle w:val="Hipervnculo"/>
            <w:noProof/>
            <w:szCs w:val="20"/>
            <w:lang w:val="en-US"/>
          </w:rPr>
          <w:t xml:space="preserve">B.2 </w:t>
        </w:r>
        <w:r w:rsidR="006417F7" w:rsidRPr="00FE50A6">
          <w:rPr>
            <w:rStyle w:val="Hipervnculo"/>
            <w:noProof/>
            <w:szCs w:val="20"/>
            <w:lang w:val="en-US"/>
          </w:rPr>
          <w:t>International tribunals and quasi-judicial bodies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_Toc464813960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6</w:t>
        </w:r>
        <w:r w:rsidR="00DB5B82" w:rsidRPr="00FE50A6">
          <w:rPr>
            <w:noProof/>
            <w:webHidden/>
            <w:lang w:val="en-US"/>
          </w:rPr>
          <w:t>6</w:t>
        </w:r>
        <w:r w:rsidR="00B2396C" w:rsidRPr="00FE50A6">
          <w:rPr>
            <w:noProof/>
            <w:webHidden/>
            <w:lang w:val="en-US"/>
          </w:rPr>
          <w:fldChar w:fldCharType="end"/>
        </w:r>
      </w:hyperlink>
    </w:p>
    <w:p w14:paraId="767AC84B" w14:textId="77777777" w:rsidR="00B2396C" w:rsidRPr="00FE50A6" w:rsidRDefault="005D2144" w:rsidP="00FF2C34">
      <w:pPr>
        <w:pStyle w:val="TDC3"/>
        <w:rPr>
          <w:rFonts w:eastAsiaTheme="minorEastAsia"/>
          <w:noProof/>
          <w:lang w:val="en-US" w:eastAsia="es-ES"/>
        </w:rPr>
      </w:pPr>
      <w:hyperlink w:anchor="_Toc464813961" w:history="1">
        <w:r w:rsidR="00B2396C" w:rsidRPr="00FE50A6">
          <w:rPr>
            <w:rStyle w:val="Hipervnculo"/>
            <w:noProof/>
            <w:szCs w:val="20"/>
            <w:lang w:val="en-US"/>
          </w:rPr>
          <w:t xml:space="preserve">B.3 </w:t>
        </w:r>
        <w:r w:rsidR="002A3B9B" w:rsidRPr="00FE50A6">
          <w:rPr>
            <w:rStyle w:val="Hipervnculo"/>
            <w:noProof/>
            <w:szCs w:val="20"/>
            <w:lang w:val="en-US"/>
          </w:rPr>
          <w:t>Aspects of the concept of</w:t>
        </w:r>
        <w:r w:rsidR="00B2396C" w:rsidRPr="00FE50A6">
          <w:rPr>
            <w:rStyle w:val="Hipervnculo"/>
            <w:noProof/>
            <w:szCs w:val="20"/>
            <w:lang w:val="en-US"/>
          </w:rPr>
          <w:t xml:space="preserve"> </w:t>
        </w:r>
        <w:r w:rsidR="00D11A9F" w:rsidRPr="00FE50A6">
          <w:rPr>
            <w:rStyle w:val="Hipervnculo"/>
            <w:noProof/>
            <w:szCs w:val="20"/>
            <w:lang w:val="en-US"/>
          </w:rPr>
          <w:t>slavery</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_Toc464813961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7</w:t>
        </w:r>
        <w:r w:rsidR="00DB5B82" w:rsidRPr="00FE50A6">
          <w:rPr>
            <w:noProof/>
            <w:webHidden/>
            <w:lang w:val="en-US"/>
          </w:rPr>
          <w:t>0</w:t>
        </w:r>
        <w:r w:rsidR="00B2396C" w:rsidRPr="00FE50A6">
          <w:rPr>
            <w:noProof/>
            <w:webHidden/>
            <w:lang w:val="en-US"/>
          </w:rPr>
          <w:fldChar w:fldCharType="end"/>
        </w:r>
      </w:hyperlink>
    </w:p>
    <w:p w14:paraId="5F62E30D" w14:textId="77777777" w:rsidR="00B2396C" w:rsidRPr="00FE50A6" w:rsidRDefault="005D2144" w:rsidP="00FF2C34">
      <w:pPr>
        <w:pStyle w:val="TDC3"/>
        <w:rPr>
          <w:rFonts w:eastAsiaTheme="minorEastAsia"/>
          <w:noProof/>
          <w:lang w:val="en-US" w:eastAsia="es-ES"/>
        </w:rPr>
      </w:pPr>
      <w:hyperlink w:anchor="_Toc464813962" w:history="1">
        <w:r w:rsidR="00B2396C" w:rsidRPr="00FE50A6">
          <w:rPr>
            <w:rStyle w:val="Hipervnculo"/>
            <w:noProof/>
            <w:szCs w:val="20"/>
            <w:lang w:val="en-US"/>
          </w:rPr>
          <w:t xml:space="preserve">B.4 </w:t>
        </w:r>
        <w:r w:rsidR="00CD5AB8" w:rsidRPr="00FE50A6">
          <w:rPr>
            <w:rStyle w:val="Hipervnculo"/>
            <w:noProof/>
            <w:szCs w:val="20"/>
            <w:lang w:val="en-US"/>
          </w:rPr>
          <w:t>Prohibition of servitude and its definition as a practice similar to slavery</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_Toc464813962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7</w:t>
        </w:r>
        <w:r w:rsidR="00DB5B82" w:rsidRPr="00FE50A6">
          <w:rPr>
            <w:noProof/>
            <w:webHidden/>
            <w:lang w:val="en-US"/>
          </w:rPr>
          <w:t>1</w:t>
        </w:r>
        <w:r w:rsidR="00B2396C" w:rsidRPr="00FE50A6">
          <w:rPr>
            <w:noProof/>
            <w:webHidden/>
            <w:lang w:val="en-US"/>
          </w:rPr>
          <w:fldChar w:fldCharType="end"/>
        </w:r>
      </w:hyperlink>
    </w:p>
    <w:p w14:paraId="6FAD42A9" w14:textId="77777777" w:rsidR="00B2396C" w:rsidRPr="00FE50A6" w:rsidRDefault="005D2144" w:rsidP="00FF2C34">
      <w:pPr>
        <w:pStyle w:val="TDC3"/>
        <w:rPr>
          <w:rFonts w:eastAsiaTheme="minorEastAsia"/>
          <w:noProof/>
          <w:lang w:val="en-US" w:eastAsia="es-ES"/>
        </w:rPr>
      </w:pPr>
      <w:hyperlink w:anchor="_Toc464813963" w:history="1">
        <w:r w:rsidR="00B2396C" w:rsidRPr="00FE50A6">
          <w:rPr>
            <w:rStyle w:val="Hipervnculo"/>
            <w:noProof/>
            <w:szCs w:val="20"/>
            <w:lang w:val="en-US"/>
          </w:rPr>
          <w:t xml:space="preserve">B.5 </w:t>
        </w:r>
        <w:r w:rsidR="00596519" w:rsidRPr="00FE50A6">
          <w:rPr>
            <w:rStyle w:val="Hipervnculo"/>
            <w:noProof/>
            <w:szCs w:val="20"/>
            <w:lang w:val="en-US"/>
          </w:rPr>
          <w:t>Definition of the slave trade and traffic in women and their prohibition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_Toc464813963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7</w:t>
        </w:r>
        <w:r w:rsidR="00DB5B82" w:rsidRPr="00FE50A6">
          <w:rPr>
            <w:noProof/>
            <w:webHidden/>
            <w:lang w:val="en-US"/>
          </w:rPr>
          <w:t>3</w:t>
        </w:r>
        <w:r w:rsidR="00B2396C" w:rsidRPr="00FE50A6">
          <w:rPr>
            <w:noProof/>
            <w:webHidden/>
            <w:lang w:val="en-US"/>
          </w:rPr>
          <w:fldChar w:fldCharType="end"/>
        </w:r>
      </w:hyperlink>
    </w:p>
    <w:p w14:paraId="64E33E89" w14:textId="77777777" w:rsidR="00B2396C" w:rsidRPr="00FE50A6" w:rsidRDefault="005D2144" w:rsidP="00FF2C34">
      <w:pPr>
        <w:pStyle w:val="TDC3"/>
        <w:rPr>
          <w:rFonts w:eastAsiaTheme="minorEastAsia"/>
          <w:noProof/>
          <w:lang w:val="en-US" w:eastAsia="es-ES"/>
        </w:rPr>
      </w:pPr>
      <w:hyperlink w:anchor="_Toc464813964" w:history="1">
        <w:r w:rsidR="00B2396C" w:rsidRPr="00FE50A6">
          <w:rPr>
            <w:rStyle w:val="Hipervnculo"/>
            <w:noProof/>
            <w:szCs w:val="20"/>
            <w:lang w:val="en-US"/>
          </w:rPr>
          <w:t xml:space="preserve">B.6 </w:t>
        </w:r>
        <w:r w:rsidR="001217DE" w:rsidRPr="00FE50A6">
          <w:rPr>
            <w:rStyle w:val="Hipervnculo"/>
            <w:noProof/>
            <w:szCs w:val="20"/>
            <w:lang w:val="en-US"/>
          </w:rPr>
          <w:t>Forced or compulsory labor</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_Toc464813964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7</w:t>
        </w:r>
        <w:r w:rsidR="00DB5B82" w:rsidRPr="00FE50A6">
          <w:rPr>
            <w:noProof/>
            <w:webHidden/>
            <w:lang w:val="en-US"/>
          </w:rPr>
          <w:t>6</w:t>
        </w:r>
        <w:r w:rsidR="00B2396C" w:rsidRPr="00FE50A6">
          <w:rPr>
            <w:noProof/>
            <w:webHidden/>
            <w:lang w:val="en-US"/>
          </w:rPr>
          <w:fldChar w:fldCharType="end"/>
        </w:r>
      </w:hyperlink>
    </w:p>
    <w:p w14:paraId="7CE2F265" w14:textId="77777777" w:rsidR="00B2396C" w:rsidRPr="00FE50A6" w:rsidRDefault="005D2144" w:rsidP="00FF2C34">
      <w:pPr>
        <w:pStyle w:val="TDC3"/>
        <w:rPr>
          <w:rFonts w:eastAsiaTheme="minorEastAsia"/>
          <w:noProof/>
          <w:lang w:val="en-US" w:eastAsia="es-ES"/>
        </w:rPr>
      </w:pPr>
      <w:hyperlink w:anchor="_Toc464813965" w:history="1">
        <w:r w:rsidR="00B2396C" w:rsidRPr="00FE50A6">
          <w:rPr>
            <w:rStyle w:val="Hipervnculo"/>
            <w:noProof/>
            <w:szCs w:val="20"/>
            <w:lang w:val="en-US"/>
          </w:rPr>
          <w:t xml:space="preserve">B.7 </w:t>
        </w:r>
        <w:r w:rsidR="00BF60A9" w:rsidRPr="00FE50A6">
          <w:rPr>
            <w:rStyle w:val="Hipervnculo"/>
            <w:noProof/>
            <w:szCs w:val="20"/>
            <w:lang w:val="en-US"/>
          </w:rPr>
          <w:t>The facts of this case in light of the international standards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_Toc464813965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7</w:t>
        </w:r>
        <w:r w:rsidR="00DB5B82" w:rsidRPr="00FE50A6">
          <w:rPr>
            <w:noProof/>
            <w:webHidden/>
            <w:lang w:val="en-US"/>
          </w:rPr>
          <w:t>7</w:t>
        </w:r>
        <w:r w:rsidR="00B2396C" w:rsidRPr="00FE50A6">
          <w:rPr>
            <w:noProof/>
            <w:webHidden/>
            <w:lang w:val="en-US"/>
          </w:rPr>
          <w:fldChar w:fldCharType="end"/>
        </w:r>
      </w:hyperlink>
    </w:p>
    <w:p w14:paraId="297A0AB9" w14:textId="77777777" w:rsidR="00B2396C" w:rsidRPr="00FE50A6" w:rsidRDefault="005D2144" w:rsidP="00FF2C34">
      <w:pPr>
        <w:pStyle w:val="TDC3"/>
        <w:rPr>
          <w:rFonts w:eastAsiaTheme="minorEastAsia"/>
          <w:noProof/>
          <w:lang w:val="en-US" w:eastAsia="es-ES"/>
        </w:rPr>
      </w:pPr>
      <w:hyperlink w:anchor="_Toc464813966" w:history="1">
        <w:r w:rsidR="00B2396C" w:rsidRPr="00FE50A6">
          <w:rPr>
            <w:rStyle w:val="Hipervnculo"/>
            <w:noProof/>
            <w:szCs w:val="20"/>
            <w:lang w:val="en-US"/>
          </w:rPr>
          <w:t xml:space="preserve">B.8 </w:t>
        </w:r>
        <w:r w:rsidR="00684A00" w:rsidRPr="00FE50A6">
          <w:rPr>
            <w:rStyle w:val="Hipervnculo"/>
            <w:noProof/>
            <w:szCs w:val="20"/>
            <w:lang w:val="en-US"/>
          </w:rPr>
          <w:t>Brazil’s criminal l</w:t>
        </w:r>
        <w:r w:rsidR="00852473" w:rsidRPr="00FE50A6">
          <w:rPr>
            <w:rStyle w:val="Hipervnculo"/>
            <w:noProof/>
            <w:szCs w:val="20"/>
            <w:lang w:val="en-US"/>
          </w:rPr>
          <w:t>aws</w:t>
        </w:r>
        <w:r w:rsidR="00B2396C" w:rsidRPr="00FE50A6">
          <w:rPr>
            <w:noProof/>
            <w:webHidden/>
            <w:lang w:val="en-US"/>
          </w:rPr>
          <w:tab/>
        </w:r>
        <w:r w:rsidR="00852473" w:rsidRPr="00FE50A6">
          <w:rPr>
            <w:noProof/>
            <w:webHidden/>
            <w:lang w:val="en-US"/>
          </w:rPr>
          <w:t>79</w:t>
        </w:r>
      </w:hyperlink>
    </w:p>
    <w:p w14:paraId="49FA22C3" w14:textId="77777777" w:rsidR="00B2396C" w:rsidRPr="00FE50A6" w:rsidRDefault="005D2144" w:rsidP="00FF2C34">
      <w:pPr>
        <w:pStyle w:val="TDC3"/>
        <w:rPr>
          <w:rFonts w:eastAsiaTheme="minorEastAsia"/>
          <w:noProof/>
          <w:lang w:val="en-US" w:eastAsia="es-ES"/>
        </w:rPr>
      </w:pPr>
      <w:hyperlink w:anchor="_Toc464813967" w:history="1">
        <w:r w:rsidR="00B2396C" w:rsidRPr="00FE50A6">
          <w:rPr>
            <w:rStyle w:val="Hipervnculo"/>
            <w:noProof/>
            <w:szCs w:val="20"/>
            <w:lang w:val="en-US"/>
          </w:rPr>
          <w:t xml:space="preserve">B.9 </w:t>
        </w:r>
        <w:r w:rsidR="00305E15" w:rsidRPr="00FE50A6">
          <w:rPr>
            <w:rStyle w:val="Hipervnculo"/>
            <w:noProof/>
            <w:szCs w:val="20"/>
            <w:lang w:val="en-US"/>
          </w:rPr>
          <w:t>State responsibility in this case</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DB5B82" w:rsidRPr="00FE50A6">
          <w:rPr>
            <w:noProof/>
            <w:webHidden/>
            <w:lang w:val="en-US"/>
          </w:rPr>
          <w:t>1</w:t>
        </w:r>
        <w:r w:rsidR="00B2396C" w:rsidRPr="00FE50A6">
          <w:rPr>
            <w:noProof/>
            <w:webHidden/>
            <w:lang w:val="en-US"/>
          </w:rPr>
          <w:fldChar w:fldCharType="end"/>
        </w:r>
      </w:hyperlink>
    </w:p>
    <w:p w14:paraId="1C147E97" w14:textId="77777777" w:rsidR="00B2396C" w:rsidRPr="00FE50A6" w:rsidRDefault="005D2144" w:rsidP="00FF2C34">
      <w:pPr>
        <w:pStyle w:val="TDC3"/>
        <w:rPr>
          <w:rFonts w:eastAsiaTheme="minorEastAsia"/>
          <w:noProof/>
          <w:lang w:val="en-US" w:eastAsia="es-ES"/>
        </w:rPr>
      </w:pPr>
      <w:hyperlink w:anchor="_Toc464813968" w:history="1">
        <w:r w:rsidR="00B2396C" w:rsidRPr="00FE50A6">
          <w:rPr>
            <w:rStyle w:val="Hipervnculo"/>
            <w:noProof/>
            <w:szCs w:val="20"/>
            <w:lang w:val="en-US"/>
          </w:rPr>
          <w:t xml:space="preserve">B.10 </w:t>
        </w:r>
        <w:r w:rsidR="00430530" w:rsidRPr="00FE50A6">
          <w:rPr>
            <w:rStyle w:val="Hipervnculo"/>
            <w:noProof/>
            <w:szCs w:val="20"/>
            <w:lang w:val="en-US"/>
          </w:rPr>
          <w:t>Obligation of prevention and non-discrimination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DB5B82" w:rsidRPr="00FE50A6">
          <w:rPr>
            <w:noProof/>
            <w:webHidden/>
            <w:lang w:val="en-US"/>
          </w:rPr>
          <w:t>2</w:t>
        </w:r>
        <w:r w:rsidR="00B2396C" w:rsidRPr="00FE50A6">
          <w:rPr>
            <w:noProof/>
            <w:webHidden/>
            <w:lang w:val="en-US"/>
          </w:rPr>
          <w:fldChar w:fldCharType="end"/>
        </w:r>
      </w:hyperlink>
    </w:p>
    <w:p w14:paraId="594921F9" w14:textId="77777777" w:rsidR="00B2396C" w:rsidRPr="00FE50A6" w:rsidRDefault="005D2144" w:rsidP="00FF2C34">
      <w:pPr>
        <w:pStyle w:val="TDC3"/>
        <w:rPr>
          <w:rFonts w:eastAsiaTheme="minorEastAsia"/>
          <w:noProof/>
          <w:lang w:val="en-US" w:eastAsia="es-ES"/>
        </w:rPr>
      </w:pPr>
      <w:hyperlink w:anchor="_Toc464813969" w:history="1">
        <w:r w:rsidR="00B2396C" w:rsidRPr="00FE50A6">
          <w:rPr>
            <w:rStyle w:val="Hipervnculo"/>
            <w:noProof/>
            <w:szCs w:val="20"/>
            <w:lang w:val="en-US"/>
          </w:rPr>
          <w:t xml:space="preserve">B.11 </w:t>
        </w:r>
        <w:r w:rsidR="00AE2C60" w:rsidRPr="00FE50A6">
          <w:rPr>
            <w:rStyle w:val="Hipervnculo"/>
            <w:noProof/>
            <w:szCs w:val="20"/>
            <w:lang w:val="en-US"/>
          </w:rPr>
          <w:t>The rights of the child</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_Toc464813969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DB5B82" w:rsidRPr="00FE50A6">
          <w:rPr>
            <w:noProof/>
            <w:webHidden/>
            <w:lang w:val="en-US"/>
          </w:rPr>
          <w:t>4</w:t>
        </w:r>
        <w:r w:rsidR="00B2396C" w:rsidRPr="00FE50A6">
          <w:rPr>
            <w:noProof/>
            <w:webHidden/>
            <w:lang w:val="en-US"/>
          </w:rPr>
          <w:fldChar w:fldCharType="end"/>
        </w:r>
      </w:hyperlink>
    </w:p>
    <w:p w14:paraId="65A9335C" w14:textId="77777777" w:rsidR="00B2396C" w:rsidRPr="00FE50A6" w:rsidRDefault="005D2144" w:rsidP="00FF2C34">
      <w:pPr>
        <w:pStyle w:val="TDC3"/>
        <w:rPr>
          <w:rFonts w:eastAsiaTheme="minorEastAsia"/>
          <w:noProof/>
          <w:lang w:val="en-US" w:eastAsia="es-ES"/>
        </w:rPr>
      </w:pPr>
      <w:hyperlink w:anchor="_Toc464813970" w:history="1">
        <w:r w:rsidR="00B2396C" w:rsidRPr="00FE50A6">
          <w:rPr>
            <w:rStyle w:val="Hipervnculo"/>
            <w:noProof/>
            <w:szCs w:val="20"/>
            <w:lang w:val="en-US"/>
          </w:rPr>
          <w:t xml:space="preserve">B.12 </w:t>
        </w:r>
        <w:r w:rsidR="00A26FEC" w:rsidRPr="00FE50A6">
          <w:rPr>
            <w:rStyle w:val="Hipervnculo"/>
            <w:noProof/>
            <w:szCs w:val="20"/>
            <w:lang w:val="en-US"/>
          </w:rPr>
          <w:t>Structural discrimination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_Toc464813970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DB5B82" w:rsidRPr="00FE50A6">
          <w:rPr>
            <w:noProof/>
            <w:webHidden/>
            <w:lang w:val="en-US"/>
          </w:rPr>
          <w:t>5</w:t>
        </w:r>
        <w:r w:rsidR="00B2396C" w:rsidRPr="00FE50A6">
          <w:rPr>
            <w:noProof/>
            <w:webHidden/>
            <w:lang w:val="en-US"/>
          </w:rPr>
          <w:fldChar w:fldCharType="end"/>
        </w:r>
      </w:hyperlink>
    </w:p>
    <w:p w14:paraId="27242B76" w14:textId="77777777" w:rsidR="00B2396C" w:rsidRPr="00FE50A6" w:rsidRDefault="005D2144" w:rsidP="00FF2C34">
      <w:pPr>
        <w:pStyle w:val="TDC3"/>
        <w:rPr>
          <w:rFonts w:eastAsiaTheme="minorEastAsia"/>
          <w:noProof/>
          <w:lang w:val="en-US" w:eastAsia="es-ES"/>
        </w:rPr>
      </w:pPr>
      <w:hyperlink w:anchor="_Toc464813971" w:history="1">
        <w:r w:rsidR="00B2396C" w:rsidRPr="00FE50A6">
          <w:rPr>
            <w:rStyle w:val="Hipervnculo"/>
            <w:noProof/>
            <w:szCs w:val="20"/>
            <w:lang w:val="en-US"/>
          </w:rPr>
          <w:t xml:space="preserve">B.13 </w:t>
        </w:r>
        <w:r w:rsidR="00AF42D1" w:rsidRPr="00FE50A6">
          <w:rPr>
            <w:rStyle w:val="Hipervnculo"/>
            <w:noProof/>
            <w:szCs w:val="20"/>
            <w:lang w:val="en-US"/>
          </w:rPr>
          <w:t>Conclusion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_Toc464813971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8</w:t>
        </w:r>
        <w:r w:rsidR="00DB5B82" w:rsidRPr="00FE50A6">
          <w:rPr>
            <w:noProof/>
            <w:webHidden/>
            <w:lang w:val="en-US"/>
          </w:rPr>
          <w:t>7</w:t>
        </w:r>
        <w:r w:rsidR="00B2396C" w:rsidRPr="00FE50A6">
          <w:rPr>
            <w:noProof/>
            <w:webHidden/>
            <w:lang w:val="en-US"/>
          </w:rPr>
          <w:fldChar w:fldCharType="end"/>
        </w:r>
      </w:hyperlink>
    </w:p>
    <w:p w14:paraId="31A41BF2" w14:textId="77777777" w:rsidR="00B2396C" w:rsidRPr="00FE50A6" w:rsidRDefault="005D2144" w:rsidP="00FF2C34">
      <w:pPr>
        <w:pStyle w:val="TDC1"/>
        <w:rPr>
          <w:rFonts w:eastAsiaTheme="minorEastAsia"/>
          <w:noProof/>
          <w:lang w:val="en-US" w:eastAsia="es-ES"/>
        </w:rPr>
      </w:pPr>
      <w:hyperlink w:anchor="_Toc464813972" w:history="1">
        <w:r w:rsidR="00B2396C" w:rsidRPr="00FE50A6">
          <w:rPr>
            <w:rStyle w:val="Hipervnculo"/>
            <w:noProof/>
            <w:sz w:val="20"/>
            <w:szCs w:val="20"/>
            <w:lang w:val="en-US"/>
          </w:rPr>
          <w:t>VIII-2</w:t>
        </w:r>
        <w:r w:rsidR="009F4724" w:rsidRPr="00FE50A6">
          <w:rPr>
            <w:rStyle w:val="Hipervnculo"/>
            <w:noProof/>
            <w:sz w:val="20"/>
            <w:szCs w:val="20"/>
            <w:lang w:val="en-US"/>
          </w:rPr>
          <w:t xml:space="preserve"> </w:t>
        </w:r>
      </w:hyperlink>
      <w:hyperlink w:anchor="_Toc464813973" w:history="1">
        <w:r w:rsidR="00B11237" w:rsidRPr="00FE50A6">
          <w:rPr>
            <w:rStyle w:val="Hipervnculo"/>
            <w:noProof/>
            <w:sz w:val="20"/>
            <w:szCs w:val="20"/>
            <w:lang w:val="en-US"/>
          </w:rPr>
          <w:t xml:space="preserve">THE </w:t>
        </w:r>
        <w:r w:rsidR="00977CD5" w:rsidRPr="00FE50A6">
          <w:rPr>
            <w:rStyle w:val="Hipervnculo"/>
            <w:noProof/>
            <w:sz w:val="20"/>
            <w:szCs w:val="20"/>
            <w:lang w:val="en-US"/>
          </w:rPr>
          <w:t>RIGHTS TO JUDICIAL</w:t>
        </w:r>
        <w:r w:rsidR="00D11A9F" w:rsidRPr="00FE50A6">
          <w:rPr>
            <w:rStyle w:val="Hipervnculo"/>
            <w:noProof/>
            <w:sz w:val="20"/>
            <w:szCs w:val="20"/>
            <w:lang w:val="en-US"/>
          </w:rPr>
          <w:t xml:space="preserve"> GUARANTEES</w:t>
        </w:r>
        <w:r w:rsidR="00030C17" w:rsidRPr="00FE50A6">
          <w:rPr>
            <w:rStyle w:val="Hipervnculo"/>
            <w:noProof/>
            <w:sz w:val="20"/>
            <w:szCs w:val="20"/>
            <w:lang w:val="en-US"/>
          </w:rPr>
          <w:t xml:space="preserve"> </w:t>
        </w:r>
        <w:r w:rsidR="00977CD5" w:rsidRPr="00FE50A6">
          <w:rPr>
            <w:rStyle w:val="Hipervnculo"/>
            <w:noProof/>
            <w:sz w:val="20"/>
            <w:szCs w:val="20"/>
            <w:lang w:val="en-US"/>
          </w:rPr>
          <w:t>AND TO JUDICIAL</w:t>
        </w:r>
        <w:r w:rsidR="00D11A9F" w:rsidRPr="00FE50A6">
          <w:rPr>
            <w:rStyle w:val="Hipervnculo"/>
            <w:noProof/>
            <w:sz w:val="20"/>
            <w:szCs w:val="20"/>
            <w:lang w:val="en-US"/>
          </w:rPr>
          <w:t xml:space="preserve"> PROTECTION</w:t>
        </w:r>
        <w:r w:rsidR="00B2396C" w:rsidRPr="00FE50A6">
          <w:rPr>
            <w:noProof/>
            <w:webHidden/>
            <w:lang w:val="en-US"/>
          </w:rPr>
          <w:tab/>
        </w:r>
        <w:r w:rsidR="00DB5B82" w:rsidRPr="00FE50A6">
          <w:rPr>
            <w:noProof/>
            <w:webHidden/>
            <w:lang w:val="en-US"/>
          </w:rPr>
          <w:t>88</w:t>
        </w:r>
      </w:hyperlink>
    </w:p>
    <w:p w14:paraId="7FD0D0BA" w14:textId="77777777" w:rsidR="00B2396C" w:rsidRPr="00FE50A6" w:rsidRDefault="00FD3A54" w:rsidP="00FF2C34">
      <w:pPr>
        <w:pStyle w:val="TDC2"/>
        <w:tabs>
          <w:tab w:val="center" w:pos="9270"/>
        </w:tabs>
        <w:rPr>
          <w:rFonts w:eastAsiaTheme="minorEastAsia"/>
          <w:noProof/>
          <w:lang w:val="en-US" w:eastAsia="es-ES"/>
        </w:rPr>
      </w:pPr>
      <w:r w:rsidRPr="00FE50A6">
        <w:rPr>
          <w:noProof/>
          <w:lang w:val="en-US"/>
        </w:rPr>
        <w:t xml:space="preserve">A. </w:t>
      </w:r>
      <w:r w:rsidR="006513B0" w:rsidRPr="00FE50A6">
        <w:rPr>
          <w:noProof/>
          <w:lang w:val="en-US"/>
        </w:rPr>
        <w:t>A</w:t>
      </w:r>
      <w:hyperlink w:anchor="_Toc464813974" w:history="1">
        <w:r w:rsidR="00B2396C" w:rsidRPr="00FE50A6">
          <w:rPr>
            <w:rStyle w:val="Hipervnculo"/>
            <w:noProof/>
            <w:szCs w:val="20"/>
            <w:lang w:val="en-US"/>
          </w:rPr>
          <w:t>rgument</w:t>
        </w:r>
        <w:r w:rsidR="00FF2C34" w:rsidRPr="00FE50A6">
          <w:rPr>
            <w:rStyle w:val="Hipervnculo"/>
            <w:noProof/>
            <w:szCs w:val="20"/>
            <w:lang w:val="en-US"/>
          </w:rPr>
          <w:t>s of the parties</w:t>
        </w:r>
        <w:r w:rsidR="00030C17" w:rsidRPr="00FE50A6">
          <w:rPr>
            <w:rStyle w:val="Hipervnculo"/>
            <w:noProof/>
            <w:szCs w:val="20"/>
            <w:lang w:val="en-US"/>
          </w:rPr>
          <w:t xml:space="preserve"> and </w:t>
        </w:r>
        <w:r w:rsidR="000228D0" w:rsidRPr="00FE50A6">
          <w:rPr>
            <w:rStyle w:val="Hipervnculo"/>
            <w:noProof/>
            <w:szCs w:val="20"/>
            <w:lang w:val="en-US"/>
          </w:rPr>
          <w:t>of the Commission</w:t>
        </w:r>
        <w:r w:rsidR="00B2396C" w:rsidRPr="00FE50A6">
          <w:rPr>
            <w:noProof/>
            <w:webHidden/>
            <w:lang w:val="en-US"/>
          </w:rPr>
          <w:tab/>
        </w:r>
        <w:r w:rsidR="00DB5B82" w:rsidRPr="00FE50A6">
          <w:rPr>
            <w:noProof/>
            <w:webHidden/>
            <w:lang w:val="en-US"/>
          </w:rPr>
          <w:t>89</w:t>
        </w:r>
      </w:hyperlink>
    </w:p>
    <w:p w14:paraId="08E46A28" w14:textId="77777777" w:rsidR="00B2396C" w:rsidRPr="00FE50A6" w:rsidRDefault="00FD3A54" w:rsidP="00FF2C34">
      <w:pPr>
        <w:pStyle w:val="TDC2"/>
        <w:tabs>
          <w:tab w:val="center" w:pos="9270"/>
        </w:tabs>
        <w:rPr>
          <w:rFonts w:eastAsiaTheme="minorEastAsia"/>
          <w:noProof/>
          <w:lang w:val="en-US" w:eastAsia="es-ES"/>
        </w:rPr>
      </w:pPr>
      <w:r w:rsidRPr="00FE50A6">
        <w:rPr>
          <w:noProof/>
          <w:lang w:val="en-US"/>
        </w:rPr>
        <w:t xml:space="preserve">B. </w:t>
      </w:r>
      <w:hyperlink w:anchor="_Toc464813975" w:history="1">
        <w:r w:rsidR="000702CF" w:rsidRPr="00FE50A6">
          <w:rPr>
            <w:rStyle w:val="Hipervnculo"/>
            <w:noProof/>
            <w:szCs w:val="20"/>
            <w:lang w:val="en-US"/>
          </w:rPr>
          <w:t>Considerations</w:t>
        </w:r>
        <w:r w:rsidR="000228D0" w:rsidRPr="00FE50A6">
          <w:rPr>
            <w:rStyle w:val="Hipervnculo"/>
            <w:noProof/>
            <w:szCs w:val="20"/>
            <w:lang w:val="en-US"/>
          </w:rPr>
          <w:t xml:space="preserve"> of the Court</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_Toc464813975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9</w:t>
        </w:r>
        <w:r w:rsidR="00DB5B82" w:rsidRPr="00FE50A6">
          <w:rPr>
            <w:noProof/>
            <w:webHidden/>
            <w:lang w:val="en-US"/>
          </w:rPr>
          <w:t>1</w:t>
        </w:r>
        <w:r w:rsidR="00B2396C" w:rsidRPr="00FE50A6">
          <w:rPr>
            <w:noProof/>
            <w:webHidden/>
            <w:lang w:val="en-US"/>
          </w:rPr>
          <w:fldChar w:fldCharType="end"/>
        </w:r>
      </w:hyperlink>
    </w:p>
    <w:p w14:paraId="3DC93A4D" w14:textId="77777777" w:rsidR="00B2396C" w:rsidRPr="00FE50A6" w:rsidRDefault="005D2144" w:rsidP="00FF2C34">
      <w:pPr>
        <w:pStyle w:val="TDC3"/>
        <w:rPr>
          <w:rFonts w:eastAsiaTheme="minorEastAsia"/>
          <w:noProof/>
          <w:lang w:val="en-US" w:eastAsia="es-ES"/>
        </w:rPr>
      </w:pPr>
      <w:hyperlink w:anchor="_Toc464813976" w:history="1">
        <w:r w:rsidR="00B2396C" w:rsidRPr="00FE50A6">
          <w:rPr>
            <w:rStyle w:val="Hipervnculo"/>
            <w:noProof/>
            <w:szCs w:val="20"/>
            <w:lang w:val="en-US" w:eastAsia="es-ES"/>
          </w:rPr>
          <w:t xml:space="preserve">B.1 </w:t>
        </w:r>
        <w:r w:rsidR="00576F80" w:rsidRPr="00FE50A6">
          <w:rPr>
            <w:rStyle w:val="Hipervnculo"/>
            <w:noProof/>
            <w:szCs w:val="20"/>
            <w:lang w:val="en-US" w:eastAsia="es-ES"/>
          </w:rPr>
          <w:t>Due diligence</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9</w:t>
        </w:r>
        <w:r w:rsidR="00DB5B82" w:rsidRPr="00FE50A6">
          <w:rPr>
            <w:noProof/>
            <w:webHidden/>
            <w:lang w:val="en-US"/>
          </w:rPr>
          <w:t>1</w:t>
        </w:r>
        <w:r w:rsidR="00B2396C" w:rsidRPr="00FE50A6">
          <w:rPr>
            <w:noProof/>
            <w:webHidden/>
            <w:lang w:val="en-US"/>
          </w:rPr>
          <w:fldChar w:fldCharType="end"/>
        </w:r>
      </w:hyperlink>
    </w:p>
    <w:p w14:paraId="6BCE7788" w14:textId="77777777" w:rsidR="00B2396C" w:rsidRPr="00FE50A6" w:rsidRDefault="005D2144" w:rsidP="00FF2C34">
      <w:pPr>
        <w:pStyle w:val="TDC3"/>
        <w:rPr>
          <w:rFonts w:eastAsiaTheme="minorEastAsia"/>
          <w:noProof/>
          <w:lang w:val="en-US" w:eastAsia="es-ES"/>
        </w:rPr>
      </w:pPr>
      <w:hyperlink w:anchor="_Toc464813977" w:history="1">
        <w:r w:rsidR="00B2396C" w:rsidRPr="00FE50A6">
          <w:rPr>
            <w:rStyle w:val="Hipervnculo"/>
            <w:noProof/>
            <w:szCs w:val="20"/>
            <w:lang w:val="en-US"/>
          </w:rPr>
          <w:t xml:space="preserve">B.2 </w:t>
        </w:r>
        <w:r w:rsidR="00F37838" w:rsidRPr="00FE50A6">
          <w:rPr>
            <w:rStyle w:val="Hipervnculo"/>
            <w:noProof/>
            <w:szCs w:val="20"/>
            <w:lang w:val="en-US"/>
          </w:rPr>
          <w:t>Reasonable time</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9</w:t>
        </w:r>
        <w:r w:rsidR="00DB5B82" w:rsidRPr="00FE50A6">
          <w:rPr>
            <w:noProof/>
            <w:webHidden/>
            <w:lang w:val="en-US"/>
          </w:rPr>
          <w:t>3</w:t>
        </w:r>
        <w:r w:rsidR="00B2396C" w:rsidRPr="00FE50A6">
          <w:rPr>
            <w:noProof/>
            <w:webHidden/>
            <w:lang w:val="en-US"/>
          </w:rPr>
          <w:fldChar w:fldCharType="end"/>
        </w:r>
      </w:hyperlink>
    </w:p>
    <w:p w14:paraId="6ACC9B42" w14:textId="77777777" w:rsidR="00B2396C" w:rsidRPr="00FE50A6" w:rsidRDefault="005D2144" w:rsidP="00FF2C34">
      <w:pPr>
        <w:pStyle w:val="TDC3"/>
        <w:rPr>
          <w:rFonts w:eastAsiaTheme="minorEastAsia"/>
          <w:noProof/>
          <w:lang w:val="en-US" w:eastAsia="es-ES"/>
        </w:rPr>
      </w:pPr>
      <w:hyperlink w:anchor="_Toc464813978" w:history="1">
        <w:r w:rsidR="00B2396C" w:rsidRPr="00FE50A6">
          <w:rPr>
            <w:rStyle w:val="Hipervnculo"/>
            <w:noProof/>
            <w:szCs w:val="20"/>
            <w:lang w:val="en-US"/>
          </w:rPr>
          <w:t xml:space="preserve">B.3 </w:t>
        </w:r>
        <w:r w:rsidR="00AE55E2" w:rsidRPr="00FE50A6">
          <w:rPr>
            <w:rStyle w:val="Hipervnculo"/>
            <w:noProof/>
            <w:szCs w:val="20"/>
            <w:lang w:val="en-US"/>
          </w:rPr>
          <w:t>Absence of effective judicial protection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9</w:t>
        </w:r>
        <w:r w:rsidR="00DB5B82" w:rsidRPr="00FE50A6">
          <w:rPr>
            <w:noProof/>
            <w:webHidden/>
            <w:lang w:val="en-US"/>
          </w:rPr>
          <w:t>6</w:t>
        </w:r>
        <w:r w:rsidR="00B2396C" w:rsidRPr="00FE50A6">
          <w:rPr>
            <w:noProof/>
            <w:webHidden/>
            <w:lang w:val="en-US"/>
          </w:rPr>
          <w:fldChar w:fldCharType="end"/>
        </w:r>
      </w:hyperlink>
    </w:p>
    <w:p w14:paraId="466D20BF" w14:textId="77777777" w:rsidR="00B2396C" w:rsidRPr="00FE50A6" w:rsidRDefault="005D2144" w:rsidP="00FF2C34">
      <w:pPr>
        <w:pStyle w:val="TDC3"/>
        <w:rPr>
          <w:rFonts w:eastAsiaTheme="minorEastAsia"/>
          <w:noProof/>
          <w:lang w:val="en-US" w:eastAsia="es-ES"/>
        </w:rPr>
      </w:pPr>
      <w:hyperlink w:anchor="_Toc464813979" w:history="1">
        <w:r w:rsidR="00B2396C" w:rsidRPr="00FE50A6">
          <w:rPr>
            <w:rStyle w:val="Hipervnculo"/>
            <w:noProof/>
            <w:szCs w:val="20"/>
            <w:lang w:val="en-US"/>
          </w:rPr>
          <w:t xml:space="preserve">B.4 </w:t>
        </w:r>
        <w:r w:rsidR="00871B48" w:rsidRPr="00FE50A6">
          <w:rPr>
            <w:noProof/>
            <w:lang w:val="en-US"/>
          </w:rPr>
          <w:t xml:space="preserve">The investigations </w:t>
        </w:r>
        <w:r w:rsidR="00CD0E29" w:rsidRPr="00FE50A6">
          <w:rPr>
            <w:noProof/>
            <w:lang w:val="en-US"/>
          </w:rPr>
          <w:t>in</w:t>
        </w:r>
        <w:r w:rsidR="00871B48" w:rsidRPr="00FE50A6">
          <w:rPr>
            <w:noProof/>
            <w:lang w:val="en-US"/>
          </w:rPr>
          <w:t>to the alleged disappearance of</w:t>
        </w:r>
        <w:r w:rsidR="00B2396C" w:rsidRPr="00FE50A6">
          <w:rPr>
            <w:rStyle w:val="Hipervnculo"/>
            <w:noProof/>
            <w:szCs w:val="20"/>
            <w:lang w:val="en-US"/>
          </w:rPr>
          <w:t xml:space="preserve"> </w:t>
        </w:r>
        <w:r w:rsidR="008B075C" w:rsidRPr="00FE50A6">
          <w:rPr>
            <w:rStyle w:val="Hipervnculo"/>
            <w:noProof/>
            <w:szCs w:val="20"/>
            <w:lang w:val="en-US"/>
          </w:rPr>
          <w:t xml:space="preserve">Iron Canuto </w:t>
        </w:r>
        <w:r w:rsidR="00BE63A6" w:rsidRPr="00FE50A6">
          <w:rPr>
            <w:rStyle w:val="Hipervnculo"/>
            <w:noProof/>
            <w:szCs w:val="20"/>
            <w:lang w:val="en-US"/>
          </w:rPr>
          <w:t>da Silva</w:t>
        </w:r>
        <w:r w:rsidR="00030C17" w:rsidRPr="00FE50A6">
          <w:rPr>
            <w:rStyle w:val="Hipervnculo"/>
            <w:noProof/>
            <w:szCs w:val="20"/>
            <w:lang w:val="en-US"/>
          </w:rPr>
          <w:t xml:space="preserve"> and </w:t>
        </w:r>
        <w:r w:rsidR="00200C04" w:rsidRPr="00FE50A6">
          <w:rPr>
            <w:rStyle w:val="Hipervnculo"/>
            <w:noProof/>
            <w:szCs w:val="20"/>
            <w:lang w:val="en-US"/>
          </w:rPr>
          <w:t xml:space="preserve">Luis Ferreira </w:t>
        </w:r>
        <w:r w:rsidR="00867094" w:rsidRPr="00FE50A6">
          <w:rPr>
            <w:rStyle w:val="Hipervnculo"/>
            <w:noProof/>
            <w:szCs w:val="20"/>
            <w:lang w:val="en-US"/>
          </w:rPr>
          <w:t>da Cruz</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_Toc464813979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10</w:t>
        </w:r>
        <w:r w:rsidR="00DB5B82" w:rsidRPr="00FE50A6">
          <w:rPr>
            <w:noProof/>
            <w:webHidden/>
            <w:lang w:val="en-US"/>
          </w:rPr>
          <w:t>3</w:t>
        </w:r>
        <w:r w:rsidR="00B2396C" w:rsidRPr="00FE50A6">
          <w:rPr>
            <w:noProof/>
            <w:webHidden/>
            <w:lang w:val="en-US"/>
          </w:rPr>
          <w:fldChar w:fldCharType="end"/>
        </w:r>
      </w:hyperlink>
    </w:p>
    <w:p w14:paraId="638E1D45" w14:textId="77777777" w:rsidR="00B2396C" w:rsidRPr="00FE50A6" w:rsidRDefault="005D2144" w:rsidP="005F1946">
      <w:pPr>
        <w:pStyle w:val="TDC1"/>
        <w:rPr>
          <w:rFonts w:eastAsiaTheme="minorEastAsia"/>
          <w:noProof/>
          <w:sz w:val="20"/>
          <w:szCs w:val="20"/>
          <w:lang w:val="en-US" w:eastAsia="es-ES"/>
        </w:rPr>
      </w:pPr>
      <w:hyperlink w:anchor="_Toc464813982" w:history="1">
        <w:r w:rsidR="00B2396C" w:rsidRPr="00FE50A6">
          <w:rPr>
            <w:rStyle w:val="Hipervnculo"/>
            <w:rFonts w:eastAsia="Times New Roman" w:cs="Verdana"/>
            <w:bCs/>
            <w:caps/>
            <w:noProof/>
            <w:snapToGrid w:val="0"/>
            <w:sz w:val="20"/>
            <w:szCs w:val="20"/>
            <w:lang w:val="en-US" w:eastAsia="es-ES"/>
          </w:rPr>
          <w:t>IX</w:t>
        </w:r>
      </w:hyperlink>
      <w:r w:rsidR="00ED3F15" w:rsidRPr="00FE50A6">
        <w:rPr>
          <w:rStyle w:val="Hipervnculo"/>
          <w:noProof/>
          <w:sz w:val="20"/>
          <w:szCs w:val="20"/>
          <w:u w:val="none"/>
          <w:lang w:val="en-US"/>
        </w:rPr>
        <w:t xml:space="preserve"> </w:t>
      </w:r>
      <w:hyperlink w:anchor="_Toc464813983" w:history="1">
        <w:r w:rsidR="00A47E50" w:rsidRPr="00FE50A6">
          <w:rPr>
            <w:rStyle w:val="Hipervnculo"/>
            <w:rFonts w:eastAsia="Times New Roman" w:cs="Verdana"/>
            <w:bCs/>
            <w:caps/>
            <w:noProof/>
            <w:snapToGrid w:val="0"/>
            <w:sz w:val="20"/>
            <w:szCs w:val="20"/>
            <w:lang w:val="en-US" w:eastAsia="es-ES"/>
          </w:rPr>
          <w:t>REPARATIONS</w:t>
        </w:r>
        <w:r w:rsidR="00B2396C" w:rsidRPr="00FE50A6">
          <w:rPr>
            <w:noProof/>
            <w:webHidden/>
            <w:sz w:val="20"/>
            <w:szCs w:val="20"/>
            <w:lang w:val="en-US"/>
          </w:rPr>
          <w:tab/>
        </w:r>
        <w:r w:rsidR="00B2396C" w:rsidRPr="00FE50A6">
          <w:rPr>
            <w:noProof/>
            <w:webHidden/>
            <w:sz w:val="20"/>
            <w:szCs w:val="20"/>
            <w:lang w:val="en-US"/>
          </w:rPr>
          <w:fldChar w:fldCharType="begin"/>
        </w:r>
        <w:r w:rsidR="00B2396C" w:rsidRPr="00FE50A6">
          <w:rPr>
            <w:noProof/>
            <w:webHidden/>
            <w:sz w:val="20"/>
            <w:szCs w:val="20"/>
            <w:lang w:val="en-US"/>
          </w:rPr>
          <w:instrText xml:space="preserve"> PAGEREF _Toc464813983 \h </w:instrText>
        </w:r>
        <w:r w:rsidR="00B2396C" w:rsidRPr="00FE50A6">
          <w:rPr>
            <w:noProof/>
            <w:webHidden/>
            <w:sz w:val="20"/>
            <w:szCs w:val="20"/>
            <w:lang w:val="en-US"/>
          </w:rPr>
        </w:r>
        <w:r w:rsidR="00B2396C" w:rsidRPr="00FE50A6">
          <w:rPr>
            <w:noProof/>
            <w:webHidden/>
            <w:sz w:val="20"/>
            <w:szCs w:val="20"/>
            <w:lang w:val="en-US"/>
          </w:rPr>
          <w:fldChar w:fldCharType="separate"/>
        </w:r>
        <w:r w:rsidR="000D4C30" w:rsidRPr="00FE50A6">
          <w:rPr>
            <w:noProof/>
            <w:webHidden/>
            <w:sz w:val="20"/>
            <w:szCs w:val="20"/>
            <w:lang w:val="en-US"/>
          </w:rPr>
          <w:t>10</w:t>
        </w:r>
        <w:r w:rsidR="00DB5B82" w:rsidRPr="00FE50A6">
          <w:rPr>
            <w:noProof/>
            <w:webHidden/>
            <w:sz w:val="20"/>
            <w:szCs w:val="20"/>
            <w:lang w:val="en-US"/>
          </w:rPr>
          <w:t>6</w:t>
        </w:r>
        <w:r w:rsidR="00B2396C" w:rsidRPr="00FE50A6">
          <w:rPr>
            <w:noProof/>
            <w:webHidden/>
            <w:sz w:val="20"/>
            <w:szCs w:val="20"/>
            <w:lang w:val="en-US"/>
          </w:rPr>
          <w:fldChar w:fldCharType="end"/>
        </w:r>
      </w:hyperlink>
    </w:p>
    <w:p w14:paraId="5E05D0C2" w14:textId="77777777" w:rsidR="00B2396C" w:rsidRPr="00FE50A6" w:rsidRDefault="00FD3A54" w:rsidP="007078C6">
      <w:pPr>
        <w:pStyle w:val="TDC2"/>
        <w:rPr>
          <w:rFonts w:eastAsiaTheme="minorEastAsia"/>
          <w:noProof/>
          <w:lang w:val="en-US" w:eastAsia="es-ES"/>
        </w:rPr>
      </w:pPr>
      <w:r w:rsidRPr="00FE50A6">
        <w:rPr>
          <w:noProof/>
          <w:lang w:val="en-US"/>
        </w:rPr>
        <w:t xml:space="preserve">A. </w:t>
      </w:r>
      <w:hyperlink w:anchor="_Toc464813985" w:history="1">
        <w:r w:rsidR="00A47E50" w:rsidRPr="00FE50A6">
          <w:rPr>
            <w:rStyle w:val="Hipervnculo"/>
            <w:noProof/>
            <w:szCs w:val="20"/>
            <w:lang w:val="en-US"/>
          </w:rPr>
          <w:t>Injured party</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_Toc464813985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10</w:t>
        </w:r>
        <w:r w:rsidR="00DB5B82" w:rsidRPr="00FE50A6">
          <w:rPr>
            <w:noProof/>
            <w:webHidden/>
            <w:lang w:val="en-US"/>
          </w:rPr>
          <w:t>7</w:t>
        </w:r>
        <w:r w:rsidR="00B2396C" w:rsidRPr="00FE50A6">
          <w:rPr>
            <w:noProof/>
            <w:webHidden/>
            <w:lang w:val="en-US"/>
          </w:rPr>
          <w:fldChar w:fldCharType="end"/>
        </w:r>
      </w:hyperlink>
    </w:p>
    <w:p w14:paraId="20268383" w14:textId="77777777" w:rsidR="00B2396C" w:rsidRPr="00FE50A6" w:rsidRDefault="00FD3A54" w:rsidP="007078C6">
      <w:pPr>
        <w:pStyle w:val="TDC2"/>
        <w:rPr>
          <w:rFonts w:eastAsiaTheme="minorEastAsia"/>
          <w:noProof/>
          <w:lang w:val="en-US" w:eastAsia="es-ES"/>
        </w:rPr>
      </w:pPr>
      <w:r w:rsidRPr="00FE50A6">
        <w:rPr>
          <w:noProof/>
          <w:lang w:val="en-US"/>
        </w:rPr>
        <w:t xml:space="preserve">B. </w:t>
      </w:r>
      <w:hyperlink w:anchor="_Toc464813986" w:history="1">
        <w:r w:rsidR="00A67683" w:rsidRPr="00FE50A6">
          <w:rPr>
            <w:rStyle w:val="Hipervnculo"/>
            <w:noProof/>
            <w:szCs w:val="20"/>
            <w:lang w:val="en-US"/>
          </w:rPr>
          <w:t>Investigative measures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_Toc464813986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08</w:t>
        </w:r>
        <w:r w:rsidR="00B2396C" w:rsidRPr="00FE50A6">
          <w:rPr>
            <w:noProof/>
            <w:webHidden/>
            <w:lang w:val="en-US"/>
          </w:rPr>
          <w:fldChar w:fldCharType="end"/>
        </w:r>
      </w:hyperlink>
    </w:p>
    <w:p w14:paraId="008FF4B0" w14:textId="77777777" w:rsidR="00B2396C" w:rsidRPr="00FE50A6" w:rsidRDefault="00FD3A54" w:rsidP="007078C6">
      <w:pPr>
        <w:pStyle w:val="TDC2"/>
        <w:rPr>
          <w:rFonts w:eastAsiaTheme="minorEastAsia"/>
          <w:noProof/>
          <w:lang w:val="en-US" w:eastAsia="es-ES"/>
        </w:rPr>
      </w:pPr>
      <w:r w:rsidRPr="00FE50A6">
        <w:rPr>
          <w:noProof/>
          <w:lang w:val="en-US"/>
        </w:rPr>
        <w:t xml:space="preserve">C. </w:t>
      </w:r>
      <w:hyperlink w:anchor="_Toc464813987" w:history="1">
        <w:r w:rsidR="007A61B7" w:rsidRPr="00FE50A6">
          <w:rPr>
            <w:rStyle w:val="Hipervnculo"/>
            <w:noProof/>
            <w:szCs w:val="20"/>
            <w:lang w:val="en-US"/>
          </w:rPr>
          <w:t>Measures of satisfaction and guarantees of non-repetition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_Toc464813987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09</w:t>
        </w:r>
        <w:r w:rsidR="00B2396C" w:rsidRPr="00FE50A6">
          <w:rPr>
            <w:noProof/>
            <w:webHidden/>
            <w:lang w:val="en-US"/>
          </w:rPr>
          <w:fldChar w:fldCharType="end"/>
        </w:r>
      </w:hyperlink>
    </w:p>
    <w:p w14:paraId="2DAAAAFA" w14:textId="77777777" w:rsidR="00B2396C" w:rsidRPr="00FE50A6" w:rsidRDefault="00FD3A54" w:rsidP="007078C6">
      <w:pPr>
        <w:pStyle w:val="TDC2"/>
        <w:rPr>
          <w:rFonts w:eastAsiaTheme="minorEastAsia"/>
          <w:noProof/>
          <w:lang w:val="en-US" w:eastAsia="es-ES"/>
        </w:rPr>
      </w:pPr>
      <w:r w:rsidRPr="00FE50A6">
        <w:rPr>
          <w:noProof/>
          <w:lang w:val="en-US"/>
        </w:rPr>
        <w:t xml:space="preserve">D. </w:t>
      </w:r>
      <w:hyperlink w:anchor="_Toc464813993" w:history="1">
        <w:r w:rsidR="007A61B7" w:rsidRPr="00FE50A6">
          <w:rPr>
            <w:rStyle w:val="Hipervnculo"/>
            <w:noProof/>
            <w:szCs w:val="20"/>
            <w:lang w:val="en-US"/>
          </w:rPr>
          <w:t>Other measures requested</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_Toc464813993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11</w:t>
        </w:r>
        <w:r w:rsidR="00DB5B82" w:rsidRPr="00FE50A6">
          <w:rPr>
            <w:noProof/>
            <w:webHidden/>
            <w:lang w:val="en-US"/>
          </w:rPr>
          <w:t>5</w:t>
        </w:r>
        <w:r w:rsidR="00B2396C" w:rsidRPr="00FE50A6">
          <w:rPr>
            <w:noProof/>
            <w:webHidden/>
            <w:lang w:val="en-US"/>
          </w:rPr>
          <w:fldChar w:fldCharType="end"/>
        </w:r>
      </w:hyperlink>
    </w:p>
    <w:p w14:paraId="076E04A7" w14:textId="77777777" w:rsidR="00B2396C" w:rsidRPr="00FE50A6" w:rsidRDefault="00FD3A54" w:rsidP="007078C6">
      <w:pPr>
        <w:pStyle w:val="TDC2"/>
        <w:rPr>
          <w:rFonts w:eastAsiaTheme="minorEastAsia"/>
          <w:noProof/>
          <w:lang w:val="en-US" w:eastAsia="es-ES"/>
        </w:rPr>
      </w:pPr>
      <w:r w:rsidRPr="00FE50A6">
        <w:rPr>
          <w:noProof/>
          <w:lang w:val="en-US"/>
        </w:rPr>
        <w:t xml:space="preserve">E. </w:t>
      </w:r>
      <w:hyperlink w:anchor="_Toc464813994" w:history="1">
        <w:r w:rsidR="007A61B7" w:rsidRPr="00FE50A6">
          <w:rPr>
            <w:rStyle w:val="Hipervnculo"/>
            <w:noProof/>
            <w:szCs w:val="20"/>
            <w:lang w:val="en-US"/>
          </w:rPr>
          <w:t>Compensation</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_Toc464813994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16</w:t>
        </w:r>
        <w:r w:rsidR="00B2396C" w:rsidRPr="00FE50A6">
          <w:rPr>
            <w:noProof/>
            <w:webHidden/>
            <w:lang w:val="en-US"/>
          </w:rPr>
          <w:fldChar w:fldCharType="end"/>
        </w:r>
      </w:hyperlink>
    </w:p>
    <w:p w14:paraId="22B532C1" w14:textId="77777777" w:rsidR="00B2396C" w:rsidRPr="00FE50A6" w:rsidRDefault="00FD3A54" w:rsidP="007078C6">
      <w:pPr>
        <w:pStyle w:val="TDC2"/>
        <w:rPr>
          <w:rFonts w:eastAsiaTheme="minorEastAsia"/>
          <w:noProof/>
          <w:lang w:val="en-US" w:eastAsia="es-ES"/>
        </w:rPr>
      </w:pPr>
      <w:r w:rsidRPr="00FE50A6">
        <w:rPr>
          <w:noProof/>
          <w:lang w:val="en-US"/>
        </w:rPr>
        <w:t xml:space="preserve">F. </w:t>
      </w:r>
      <w:hyperlink w:anchor="_Toc464813997" w:history="1">
        <w:r w:rsidR="008D6C50" w:rsidRPr="00FE50A6">
          <w:rPr>
            <w:rStyle w:val="Hipervnculo"/>
            <w:noProof/>
            <w:szCs w:val="20"/>
            <w:lang w:val="en-US"/>
          </w:rPr>
          <w:t>Costs and expenses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_Toc464813997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17</w:t>
        </w:r>
        <w:r w:rsidR="00B2396C" w:rsidRPr="00FE50A6">
          <w:rPr>
            <w:noProof/>
            <w:webHidden/>
            <w:lang w:val="en-US"/>
          </w:rPr>
          <w:fldChar w:fldCharType="end"/>
        </w:r>
      </w:hyperlink>
    </w:p>
    <w:p w14:paraId="1C68DB2A" w14:textId="77777777" w:rsidR="00B2396C" w:rsidRPr="00FE50A6" w:rsidRDefault="00FD3A54" w:rsidP="007078C6">
      <w:pPr>
        <w:pStyle w:val="TDC2"/>
        <w:rPr>
          <w:rFonts w:eastAsiaTheme="minorEastAsia"/>
          <w:noProof/>
          <w:lang w:val="en-US" w:eastAsia="es-ES"/>
        </w:rPr>
      </w:pPr>
      <w:r w:rsidRPr="00FE50A6">
        <w:rPr>
          <w:noProof/>
          <w:lang w:val="en-US"/>
        </w:rPr>
        <w:t xml:space="preserve">G. </w:t>
      </w:r>
      <w:hyperlink w:anchor="_Toc464813998" w:history="1">
        <w:r w:rsidR="007A61B7" w:rsidRPr="00FE50A6">
          <w:rPr>
            <w:rStyle w:val="Hipervnculo"/>
            <w:noProof/>
            <w:szCs w:val="20"/>
            <w:lang w:val="en-US"/>
          </w:rPr>
          <w:t>Method of complying with the payments ordered</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_Toc464813998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18</w:t>
        </w:r>
        <w:r w:rsidR="00B2396C" w:rsidRPr="00FE50A6">
          <w:rPr>
            <w:noProof/>
            <w:webHidden/>
            <w:lang w:val="en-US"/>
          </w:rPr>
          <w:fldChar w:fldCharType="end"/>
        </w:r>
      </w:hyperlink>
    </w:p>
    <w:p w14:paraId="7DAC8932" w14:textId="77777777" w:rsidR="00B2396C" w:rsidRPr="00FE50A6" w:rsidRDefault="005D2144" w:rsidP="005F1946">
      <w:pPr>
        <w:pStyle w:val="TDC1"/>
        <w:rPr>
          <w:rFonts w:eastAsiaTheme="minorEastAsia"/>
          <w:noProof/>
          <w:lang w:val="en-US" w:eastAsia="es-ES"/>
        </w:rPr>
      </w:pPr>
      <w:hyperlink w:anchor="_Toc464813999" w:history="1">
        <w:r w:rsidR="00B2396C" w:rsidRPr="00FE50A6">
          <w:rPr>
            <w:rStyle w:val="Hipervnculo"/>
            <w:rFonts w:eastAsia="Cambria" w:cs="Verdana"/>
            <w:bCs/>
            <w:caps/>
            <w:noProof/>
            <w:snapToGrid w:val="0"/>
            <w:kern w:val="32"/>
            <w:sz w:val="20"/>
            <w:szCs w:val="20"/>
            <w:lang w:val="en-US"/>
          </w:rPr>
          <w:t xml:space="preserve">X </w:t>
        </w:r>
        <w:r w:rsidR="00351E20" w:rsidRPr="00FE50A6">
          <w:rPr>
            <w:rStyle w:val="Hipervnculo"/>
            <w:rFonts w:eastAsia="Cambria" w:cs="Verdana"/>
            <w:bCs/>
            <w:caps/>
            <w:noProof/>
            <w:snapToGrid w:val="0"/>
            <w:kern w:val="32"/>
            <w:sz w:val="20"/>
            <w:szCs w:val="20"/>
            <w:lang w:val="en-US"/>
          </w:rPr>
          <w:t>OPERATIVE PARAGRAPHS</w:t>
        </w:r>
        <w:r w:rsidR="00B2396C" w:rsidRPr="00FE50A6">
          <w:rPr>
            <w:noProof/>
            <w:webHidden/>
            <w:lang w:val="en-US"/>
          </w:rPr>
          <w:tab/>
        </w:r>
        <w:r w:rsidR="00B2396C" w:rsidRPr="00FE50A6">
          <w:rPr>
            <w:noProof/>
            <w:webHidden/>
            <w:lang w:val="en-US"/>
          </w:rPr>
          <w:fldChar w:fldCharType="begin"/>
        </w:r>
        <w:r w:rsidR="00B2396C" w:rsidRPr="00FE50A6">
          <w:rPr>
            <w:noProof/>
            <w:webHidden/>
            <w:lang w:val="en-US"/>
          </w:rPr>
          <w:instrText xml:space="preserve"> PAGEREF _Toc464813999 \h </w:instrText>
        </w:r>
        <w:r w:rsidR="00B2396C" w:rsidRPr="00FE50A6">
          <w:rPr>
            <w:noProof/>
            <w:webHidden/>
            <w:lang w:val="en-US"/>
          </w:rPr>
        </w:r>
        <w:r w:rsidR="00B2396C" w:rsidRPr="00FE50A6">
          <w:rPr>
            <w:noProof/>
            <w:webHidden/>
            <w:lang w:val="en-US"/>
          </w:rPr>
          <w:fldChar w:fldCharType="separate"/>
        </w:r>
        <w:r w:rsidR="000D4C30" w:rsidRPr="00FE50A6">
          <w:rPr>
            <w:noProof/>
            <w:webHidden/>
            <w:lang w:val="en-US"/>
          </w:rPr>
          <w:t>1</w:t>
        </w:r>
        <w:r w:rsidR="00DB5B82" w:rsidRPr="00FE50A6">
          <w:rPr>
            <w:noProof/>
            <w:webHidden/>
            <w:lang w:val="en-US"/>
          </w:rPr>
          <w:t>19</w:t>
        </w:r>
        <w:r w:rsidR="00B2396C" w:rsidRPr="00FE50A6">
          <w:rPr>
            <w:noProof/>
            <w:webHidden/>
            <w:lang w:val="en-US"/>
          </w:rPr>
          <w:fldChar w:fldCharType="end"/>
        </w:r>
      </w:hyperlink>
    </w:p>
    <w:p w14:paraId="5F184ECB" w14:textId="77777777" w:rsidR="00BA1ACF" w:rsidRPr="00FE50A6" w:rsidRDefault="00FF5DA8" w:rsidP="00A056D4">
      <w:pPr>
        <w:pStyle w:val="Ttulo1"/>
        <w:tabs>
          <w:tab w:val="center" w:pos="0"/>
        </w:tabs>
        <w:spacing w:after="40"/>
        <w:rPr>
          <w:rFonts w:eastAsia="Batang" w:cs="Times"/>
          <w:noProof/>
          <w:sz w:val="18"/>
          <w:szCs w:val="18"/>
          <w:lang w:val="en-US"/>
        </w:rPr>
      </w:pPr>
      <w:r w:rsidRPr="00FE50A6">
        <w:rPr>
          <w:rFonts w:eastAsia="Batang" w:cs="Times"/>
          <w:noProof/>
          <w:lang w:val="en-US"/>
        </w:rPr>
        <w:fldChar w:fldCharType="end"/>
      </w:r>
      <w:r w:rsidR="00BA1ACF" w:rsidRPr="00FE50A6">
        <w:rPr>
          <w:noProof/>
          <w:sz w:val="18"/>
          <w:szCs w:val="18"/>
          <w:lang w:val="en-US"/>
        </w:rPr>
        <w:br w:type="page"/>
      </w:r>
      <w:bookmarkStart w:id="0" w:name="_Toc369989729"/>
      <w:bookmarkStart w:id="1" w:name="_Toc404770054"/>
      <w:bookmarkStart w:id="2" w:name="_Toc416164784"/>
      <w:bookmarkStart w:id="3" w:name="_Toc464813884"/>
      <w:r w:rsidR="00BA1ACF" w:rsidRPr="00FE50A6">
        <w:rPr>
          <w:noProof/>
          <w:lang w:val="en-US"/>
        </w:rPr>
        <w:lastRenderedPageBreak/>
        <w:t>I</w:t>
      </w:r>
      <w:bookmarkStart w:id="4" w:name="_Toc288744729"/>
      <w:r w:rsidR="00BA1ACF" w:rsidRPr="00FE50A6">
        <w:rPr>
          <w:noProof/>
          <w:color w:val="FFFFFF"/>
          <w:lang w:val="en-US"/>
        </w:rPr>
        <w:t>.</w:t>
      </w:r>
      <w:r w:rsidR="00BA1ACF" w:rsidRPr="00FE50A6">
        <w:rPr>
          <w:noProof/>
          <w:lang w:val="en-US"/>
        </w:rPr>
        <w:br/>
      </w:r>
      <w:r w:rsidR="000228D0" w:rsidRPr="00FE50A6">
        <w:rPr>
          <w:noProof/>
          <w:lang w:val="en-US"/>
        </w:rPr>
        <w:t>INTRODUCTION OF THE CASE AND PURPOSE OF THE DISPUTE</w:t>
      </w:r>
      <w:bookmarkEnd w:id="0"/>
      <w:bookmarkEnd w:id="1"/>
      <w:bookmarkEnd w:id="2"/>
      <w:bookmarkEnd w:id="3"/>
      <w:bookmarkEnd w:id="4"/>
    </w:p>
    <w:p w14:paraId="42939B23" w14:textId="77777777" w:rsidR="00BA1ACF" w:rsidRPr="00FE50A6" w:rsidRDefault="00BA1ACF" w:rsidP="00140440">
      <w:pPr>
        <w:tabs>
          <w:tab w:val="clear" w:pos="4419"/>
          <w:tab w:val="clear" w:pos="8838"/>
        </w:tabs>
        <w:jc w:val="both"/>
        <w:rPr>
          <w:rFonts w:eastAsia="Batang" w:cs="Times"/>
          <w:noProof/>
          <w:szCs w:val="24"/>
          <w:lang w:val="en-US" w:eastAsia="es-ES"/>
        </w:rPr>
      </w:pPr>
    </w:p>
    <w:p w14:paraId="33B35BF1" w14:textId="77777777" w:rsidR="00BA1ACF" w:rsidRPr="00FE50A6" w:rsidRDefault="000228D0" w:rsidP="008B65CD">
      <w:pPr>
        <w:numPr>
          <w:ilvl w:val="0"/>
          <w:numId w:val="1"/>
        </w:numPr>
        <w:tabs>
          <w:tab w:val="clear" w:pos="4419"/>
          <w:tab w:val="clear" w:pos="8838"/>
          <w:tab w:val="left" w:pos="540"/>
        </w:tabs>
        <w:autoSpaceDE w:val="0"/>
        <w:autoSpaceDN w:val="0"/>
        <w:adjustRightInd w:val="0"/>
        <w:ind w:right="4"/>
        <w:jc w:val="both"/>
        <w:rPr>
          <w:rFonts w:eastAsia="Batang" w:cs="Times"/>
          <w:noProof/>
          <w:szCs w:val="24"/>
          <w:lang w:val="en-US"/>
        </w:rPr>
      </w:pPr>
      <w:r w:rsidRPr="00FE50A6">
        <w:rPr>
          <w:rFonts w:eastAsia="Batang" w:cs="Times"/>
          <w:i/>
          <w:noProof/>
          <w:szCs w:val="20"/>
          <w:lang w:val="en-US"/>
        </w:rPr>
        <w:t>The case submitted to</w:t>
      </w:r>
      <w:r w:rsidR="00BA1ACF" w:rsidRPr="00FE50A6">
        <w:rPr>
          <w:rFonts w:eastAsia="Batang" w:cs="Times"/>
          <w:i/>
          <w:noProof/>
          <w:szCs w:val="20"/>
          <w:lang w:val="en-US"/>
        </w:rPr>
        <w:t xml:space="preserve"> </w:t>
      </w:r>
      <w:r w:rsidRPr="00FE50A6">
        <w:rPr>
          <w:rFonts w:eastAsia="Batang" w:cs="Times"/>
          <w:i/>
          <w:noProof/>
          <w:szCs w:val="20"/>
          <w:lang w:val="en-US"/>
        </w:rPr>
        <w:t>the Court</w:t>
      </w:r>
      <w:r w:rsidR="00BA1ACF" w:rsidRPr="00FE50A6">
        <w:rPr>
          <w:rFonts w:eastAsia="Batang" w:cs="Times"/>
          <w:i/>
          <w:noProof/>
          <w:szCs w:val="20"/>
          <w:lang w:val="en-US"/>
        </w:rPr>
        <w:t>.</w:t>
      </w:r>
      <w:r w:rsidR="00BA1ACF" w:rsidRPr="00FE50A6">
        <w:rPr>
          <w:rFonts w:eastAsia="Calibri" w:cs="Times"/>
          <w:noProof/>
          <w:szCs w:val="20"/>
          <w:lang w:val="en-US"/>
        </w:rPr>
        <w:t xml:space="preserve"> </w:t>
      </w:r>
      <w:bookmarkStart w:id="5" w:name="_Ref363651855"/>
      <w:r w:rsidRPr="00FE50A6">
        <w:rPr>
          <w:rFonts w:eastAsia="Batang" w:cs="Times"/>
          <w:noProof/>
          <w:szCs w:val="24"/>
          <w:lang w:val="en-US"/>
        </w:rPr>
        <w:t>On M</w:t>
      </w:r>
      <w:r w:rsidR="008B65CD" w:rsidRPr="00FE50A6">
        <w:rPr>
          <w:rFonts w:eastAsia="Batang" w:cs="Times"/>
          <w:noProof/>
          <w:szCs w:val="24"/>
          <w:lang w:val="en-US"/>
        </w:rPr>
        <w:t>a</w:t>
      </w:r>
      <w:r w:rsidRPr="00FE50A6">
        <w:rPr>
          <w:rFonts w:eastAsia="Batang" w:cs="Times"/>
          <w:noProof/>
          <w:szCs w:val="24"/>
          <w:lang w:val="en-US"/>
        </w:rPr>
        <w:t>rch 4,</w:t>
      </w:r>
      <w:r w:rsidR="00BA1ACF" w:rsidRPr="00FE50A6">
        <w:rPr>
          <w:rFonts w:eastAsia="Batang" w:cs="Times"/>
          <w:noProof/>
          <w:szCs w:val="24"/>
          <w:lang w:val="en-US"/>
        </w:rPr>
        <w:t xml:space="preserve"> 2015, </w:t>
      </w:r>
      <w:r w:rsidRPr="00FE50A6">
        <w:rPr>
          <w:rFonts w:eastAsia="Batang" w:cs="Times"/>
          <w:noProof/>
          <w:szCs w:val="24"/>
          <w:lang w:val="en-US"/>
        </w:rPr>
        <w:t>the Inter-American Commission on Human Rights</w:t>
      </w:r>
      <w:r w:rsidR="00BA1ACF" w:rsidRPr="00FE50A6">
        <w:rPr>
          <w:rFonts w:eastAsia="Batang" w:cs="Times"/>
          <w:noProof/>
          <w:szCs w:val="24"/>
          <w:lang w:val="en-US"/>
        </w:rPr>
        <w:t xml:space="preserve"> (</w:t>
      </w:r>
      <w:r w:rsidRPr="00FE50A6">
        <w:rPr>
          <w:rFonts w:eastAsia="Batang" w:cs="Times"/>
          <w:noProof/>
          <w:szCs w:val="24"/>
          <w:lang w:val="en-US"/>
        </w:rPr>
        <w:t>hereinafter</w:t>
      </w:r>
      <w:r w:rsidR="00BA1ACF" w:rsidRPr="00FE50A6">
        <w:rPr>
          <w:rFonts w:eastAsia="Batang" w:cs="Times"/>
          <w:noProof/>
          <w:szCs w:val="24"/>
          <w:lang w:val="en-US"/>
        </w:rPr>
        <w:t xml:space="preserve"> </w:t>
      </w:r>
      <w:r w:rsidR="009C48A4" w:rsidRPr="00FE50A6">
        <w:rPr>
          <w:rFonts w:eastAsia="Batang" w:cs="Times"/>
          <w:noProof/>
          <w:szCs w:val="24"/>
          <w:lang w:val="en-US"/>
        </w:rPr>
        <w:t>“</w:t>
      </w:r>
      <w:r w:rsidRPr="00FE50A6">
        <w:rPr>
          <w:rFonts w:eastAsia="Batang" w:cs="Times"/>
          <w:noProof/>
          <w:szCs w:val="24"/>
          <w:lang w:val="en-US"/>
        </w:rPr>
        <w:t>the Inter-American Commission</w:t>
      </w:r>
      <w:r w:rsidR="009C48A4" w:rsidRPr="00FE50A6">
        <w:rPr>
          <w:rFonts w:eastAsia="Batang" w:cs="Times"/>
          <w:noProof/>
          <w:szCs w:val="24"/>
          <w:lang w:val="en-US"/>
        </w:rPr>
        <w:t>”</w:t>
      </w:r>
      <w:r w:rsidR="00BA1ACF" w:rsidRPr="00FE50A6">
        <w:rPr>
          <w:rFonts w:eastAsia="Batang" w:cs="Times"/>
          <w:noProof/>
          <w:szCs w:val="24"/>
          <w:lang w:val="en-US"/>
        </w:rPr>
        <w:t xml:space="preserve"> o</w:t>
      </w:r>
      <w:r w:rsidRPr="00FE50A6">
        <w:rPr>
          <w:rFonts w:eastAsia="Batang" w:cs="Times"/>
          <w:noProof/>
          <w:szCs w:val="24"/>
          <w:lang w:val="en-US"/>
        </w:rPr>
        <w:t>r</w:t>
      </w:r>
      <w:r w:rsidR="00BA1ACF" w:rsidRPr="00FE50A6">
        <w:rPr>
          <w:rFonts w:eastAsia="Batang" w:cs="Times"/>
          <w:noProof/>
          <w:szCs w:val="24"/>
          <w:lang w:val="en-US"/>
        </w:rPr>
        <w:t xml:space="preserve"> </w:t>
      </w:r>
      <w:r w:rsidR="009C48A4" w:rsidRPr="00FE50A6">
        <w:rPr>
          <w:rFonts w:eastAsia="Batang" w:cs="Times"/>
          <w:noProof/>
          <w:szCs w:val="24"/>
          <w:lang w:val="en-US"/>
        </w:rPr>
        <w:t>“</w:t>
      </w:r>
      <w:r w:rsidRPr="00FE50A6">
        <w:rPr>
          <w:rFonts w:eastAsia="Batang" w:cs="Times"/>
          <w:noProof/>
          <w:szCs w:val="24"/>
          <w:lang w:val="en-US"/>
        </w:rPr>
        <w:t>the Commission</w:t>
      </w:r>
      <w:r w:rsidR="009C48A4" w:rsidRPr="00FE50A6">
        <w:rPr>
          <w:rFonts w:eastAsia="Batang" w:cs="Times"/>
          <w:noProof/>
          <w:szCs w:val="24"/>
          <w:lang w:val="en-US"/>
        </w:rPr>
        <w:t>”</w:t>
      </w:r>
      <w:r w:rsidR="00BA1ACF" w:rsidRPr="00FE50A6">
        <w:rPr>
          <w:rFonts w:eastAsia="Batang" w:cs="Times"/>
          <w:noProof/>
          <w:szCs w:val="24"/>
          <w:lang w:val="en-US"/>
        </w:rPr>
        <w:t xml:space="preserve">) </w:t>
      </w:r>
      <w:r w:rsidRPr="00FE50A6">
        <w:rPr>
          <w:rFonts w:eastAsia="Batang" w:cs="Times"/>
          <w:noProof/>
          <w:szCs w:val="24"/>
          <w:lang w:val="en-US"/>
        </w:rPr>
        <w:t>su</w:t>
      </w:r>
      <w:r w:rsidR="005F1946" w:rsidRPr="00FE50A6">
        <w:rPr>
          <w:rFonts w:eastAsia="Batang" w:cs="Times"/>
          <w:noProof/>
          <w:szCs w:val="24"/>
          <w:lang w:val="en-US"/>
        </w:rPr>
        <w:t>b</w:t>
      </w:r>
      <w:r w:rsidRPr="00FE50A6">
        <w:rPr>
          <w:rFonts w:eastAsia="Batang" w:cs="Times"/>
          <w:noProof/>
          <w:szCs w:val="24"/>
          <w:lang w:val="en-US"/>
        </w:rPr>
        <w:t>mitted to</w:t>
      </w:r>
      <w:r w:rsidR="00BA1ACF" w:rsidRPr="00FE50A6">
        <w:rPr>
          <w:rFonts w:eastAsia="Batang" w:cs="Times"/>
          <w:noProof/>
          <w:szCs w:val="24"/>
          <w:lang w:val="en-US"/>
        </w:rPr>
        <w:t xml:space="preserve"> </w:t>
      </w:r>
      <w:r w:rsidRPr="00FE50A6">
        <w:rPr>
          <w:rFonts w:eastAsia="Batang" w:cs="Times"/>
          <w:noProof/>
          <w:szCs w:val="24"/>
          <w:lang w:val="en-US"/>
        </w:rPr>
        <w:t>the</w:t>
      </w:r>
      <w:r w:rsidR="005F1946" w:rsidRPr="00FE50A6">
        <w:rPr>
          <w:rFonts w:eastAsia="Batang" w:cs="Times"/>
          <w:noProof/>
          <w:szCs w:val="24"/>
          <w:lang w:val="en-US"/>
        </w:rPr>
        <w:t xml:space="preserve"> Court</w:t>
      </w:r>
      <w:r w:rsidRPr="00FE50A6">
        <w:rPr>
          <w:rFonts w:eastAsia="Batang" w:cs="Times"/>
          <w:noProof/>
          <w:szCs w:val="24"/>
          <w:lang w:val="en-US"/>
        </w:rPr>
        <w:t xml:space="preserve"> the case of the</w:t>
      </w:r>
      <w:r w:rsidR="00BA1ACF" w:rsidRPr="00FE50A6">
        <w:rPr>
          <w:rFonts w:eastAsia="Batang" w:cs="Times"/>
          <w:noProof/>
          <w:szCs w:val="24"/>
          <w:lang w:val="en-US"/>
        </w:rPr>
        <w:t xml:space="preserve"> </w:t>
      </w:r>
      <w:r w:rsidR="00030C17" w:rsidRPr="00FE50A6">
        <w:rPr>
          <w:rFonts w:eastAsia="Batang" w:cs="Times"/>
          <w:i/>
          <w:noProof/>
          <w:szCs w:val="24"/>
          <w:lang w:val="en-US"/>
        </w:rPr>
        <w:t xml:space="preserve">Hacienda </w:t>
      </w:r>
      <w:r w:rsidR="00322241" w:rsidRPr="00FE50A6">
        <w:rPr>
          <w:rFonts w:eastAsia="Batang" w:cs="Times"/>
          <w:i/>
          <w:noProof/>
          <w:szCs w:val="24"/>
          <w:lang w:val="en-US"/>
        </w:rPr>
        <w:t>Brasil Verde</w:t>
      </w:r>
      <w:r w:rsidR="00030C17" w:rsidRPr="00FE50A6">
        <w:rPr>
          <w:rFonts w:eastAsia="Batang" w:cs="Times"/>
          <w:i/>
          <w:noProof/>
          <w:szCs w:val="24"/>
          <w:lang w:val="en-US"/>
        </w:rPr>
        <w:t xml:space="preserve"> Workers</w:t>
      </w:r>
      <w:r w:rsidR="00BA1ACF" w:rsidRPr="00FE50A6">
        <w:rPr>
          <w:rFonts w:eastAsia="Batang" w:cs="Times"/>
          <w:i/>
          <w:noProof/>
          <w:szCs w:val="24"/>
          <w:lang w:val="en-US"/>
        </w:rPr>
        <w:t xml:space="preserve"> </w:t>
      </w:r>
      <w:r w:rsidRPr="00FE50A6">
        <w:rPr>
          <w:rFonts w:eastAsia="Batang" w:cs="Times"/>
          <w:i/>
          <w:noProof/>
          <w:szCs w:val="24"/>
          <w:lang w:val="en-US"/>
        </w:rPr>
        <w:t>v</w:t>
      </w:r>
      <w:r w:rsidR="0017587B" w:rsidRPr="00FE50A6">
        <w:rPr>
          <w:rFonts w:eastAsia="Batang" w:cs="Times"/>
          <w:i/>
          <w:noProof/>
          <w:szCs w:val="24"/>
          <w:lang w:val="en-US"/>
        </w:rPr>
        <w:t>.</w:t>
      </w:r>
      <w:r w:rsidR="00BA1ACF" w:rsidRPr="00FE50A6">
        <w:rPr>
          <w:rFonts w:eastAsia="Batang" w:cs="Times"/>
          <w:i/>
          <w:noProof/>
          <w:szCs w:val="24"/>
          <w:lang w:val="en-US"/>
        </w:rPr>
        <w:t xml:space="preserve"> </w:t>
      </w:r>
      <w:r w:rsidRPr="00FE50A6">
        <w:rPr>
          <w:rFonts w:eastAsia="Batang" w:cs="Times"/>
          <w:i/>
          <w:noProof/>
          <w:szCs w:val="24"/>
          <w:lang w:val="en-US"/>
        </w:rPr>
        <w:t>the Federative Republic of</w:t>
      </w:r>
      <w:r w:rsidR="00BA1ACF" w:rsidRPr="00FE50A6">
        <w:rPr>
          <w:rFonts w:eastAsia="Batang" w:cs="Times"/>
          <w:i/>
          <w:noProof/>
          <w:szCs w:val="24"/>
          <w:lang w:val="en-US"/>
        </w:rPr>
        <w:t xml:space="preserve"> </w:t>
      </w:r>
      <w:r w:rsidRPr="00FE50A6">
        <w:rPr>
          <w:rFonts w:eastAsia="Batang" w:cs="Times"/>
          <w:i/>
          <w:noProof/>
          <w:szCs w:val="24"/>
          <w:lang w:val="en-US"/>
        </w:rPr>
        <w:t>Brazil</w:t>
      </w:r>
      <w:r w:rsidR="00BA1ACF" w:rsidRPr="00FE50A6">
        <w:rPr>
          <w:rFonts w:eastAsia="Batang" w:cs="Times"/>
          <w:i/>
          <w:noProof/>
          <w:szCs w:val="24"/>
          <w:lang w:val="en-US"/>
        </w:rPr>
        <w:t xml:space="preserve"> </w:t>
      </w:r>
      <w:r w:rsidR="00BA1ACF" w:rsidRPr="00FE50A6">
        <w:rPr>
          <w:rFonts w:eastAsia="Batang" w:cs="Times"/>
          <w:noProof/>
          <w:szCs w:val="24"/>
          <w:lang w:val="en-US"/>
        </w:rPr>
        <w:t>(</w:t>
      </w:r>
      <w:r w:rsidRPr="00FE50A6">
        <w:rPr>
          <w:rFonts w:eastAsia="Batang" w:cs="Times"/>
          <w:noProof/>
          <w:szCs w:val="24"/>
          <w:lang w:val="en-US"/>
        </w:rPr>
        <w:t>hereinafter</w:t>
      </w:r>
      <w:r w:rsidR="00BA1ACF" w:rsidRPr="00FE50A6">
        <w:rPr>
          <w:rFonts w:eastAsia="Batang" w:cs="Times"/>
          <w:noProof/>
          <w:szCs w:val="24"/>
          <w:lang w:val="en-US"/>
        </w:rPr>
        <w:t xml:space="preserve"> </w:t>
      </w:r>
      <w:r w:rsidR="009C48A4" w:rsidRPr="00FE50A6">
        <w:rPr>
          <w:rFonts w:eastAsia="Batang" w:cs="Times"/>
          <w:noProof/>
          <w:szCs w:val="24"/>
          <w:lang w:val="en-US"/>
        </w:rPr>
        <w:t>“</w:t>
      </w:r>
      <w:r w:rsidRPr="00FE50A6">
        <w:rPr>
          <w:rFonts w:eastAsia="Batang" w:cs="Times"/>
          <w:noProof/>
          <w:szCs w:val="24"/>
          <w:lang w:val="en-US"/>
        </w:rPr>
        <w:t>the State</w:t>
      </w:r>
      <w:r w:rsidR="009C48A4" w:rsidRPr="00FE50A6">
        <w:rPr>
          <w:rFonts w:eastAsia="Batang" w:cs="Times"/>
          <w:noProof/>
          <w:szCs w:val="24"/>
          <w:lang w:val="en-US"/>
        </w:rPr>
        <w:t>”</w:t>
      </w:r>
      <w:r w:rsidR="00BA1ACF" w:rsidRPr="00FE50A6">
        <w:rPr>
          <w:rFonts w:eastAsia="Batang" w:cs="Times"/>
          <w:noProof/>
          <w:szCs w:val="24"/>
          <w:lang w:val="en-US"/>
        </w:rPr>
        <w:t xml:space="preserve"> o</w:t>
      </w:r>
      <w:r w:rsidR="008B65CD" w:rsidRPr="00FE50A6">
        <w:rPr>
          <w:rFonts w:eastAsia="Batang" w:cs="Times"/>
          <w:noProof/>
          <w:szCs w:val="24"/>
          <w:lang w:val="en-US"/>
        </w:rPr>
        <w:t>r</w:t>
      </w:r>
      <w:r w:rsidR="00BA1ACF" w:rsidRPr="00FE50A6">
        <w:rPr>
          <w:rFonts w:eastAsia="Batang" w:cs="Times"/>
          <w:noProof/>
          <w:szCs w:val="24"/>
          <w:lang w:val="en-US"/>
        </w:rPr>
        <w:t xml:space="preserve"> </w:t>
      </w:r>
      <w:r w:rsidR="009C48A4" w:rsidRPr="00FE50A6">
        <w:rPr>
          <w:rFonts w:eastAsia="Batang" w:cs="Times"/>
          <w:noProof/>
          <w:szCs w:val="24"/>
          <w:lang w:val="en-US"/>
        </w:rPr>
        <w:t>“</w:t>
      </w:r>
      <w:r w:rsidRPr="00FE50A6">
        <w:rPr>
          <w:rFonts w:eastAsia="Batang" w:cs="Times"/>
          <w:noProof/>
          <w:szCs w:val="24"/>
          <w:lang w:val="en-US"/>
        </w:rPr>
        <w:t>Brazil</w:t>
      </w:r>
      <w:r w:rsidR="009C48A4" w:rsidRPr="00FE50A6">
        <w:rPr>
          <w:rFonts w:eastAsia="Batang" w:cs="Times"/>
          <w:noProof/>
          <w:szCs w:val="24"/>
          <w:lang w:val="en-US"/>
        </w:rPr>
        <w:t>”</w:t>
      </w:r>
      <w:r w:rsidR="00BA1ACF" w:rsidRPr="00FE50A6">
        <w:rPr>
          <w:rFonts w:eastAsia="Batang" w:cs="Times"/>
          <w:noProof/>
          <w:szCs w:val="24"/>
          <w:lang w:val="en-US"/>
        </w:rPr>
        <w:t>).</w:t>
      </w:r>
      <w:r w:rsidR="00BA1ACF" w:rsidRPr="00FE50A6">
        <w:rPr>
          <w:rFonts w:eastAsia="Batang" w:cs="Times"/>
          <w:noProof/>
          <w:color w:val="000000"/>
          <w:szCs w:val="24"/>
          <w:lang w:val="en-US"/>
        </w:rPr>
        <w:t xml:space="preserve"> </w:t>
      </w:r>
      <w:r w:rsidR="008B65CD" w:rsidRPr="00FE50A6">
        <w:rPr>
          <w:rFonts w:eastAsia="Batang" w:cs="Times"/>
          <w:noProof/>
          <w:szCs w:val="24"/>
          <w:lang w:val="en-US"/>
        </w:rPr>
        <w:t>The case relates to a supposed practice of forced labor and debt bo</w:t>
      </w:r>
      <w:r w:rsidR="0017587B" w:rsidRPr="00FE50A6">
        <w:rPr>
          <w:rFonts w:eastAsia="Batang" w:cs="Times"/>
          <w:noProof/>
          <w:szCs w:val="24"/>
          <w:lang w:val="en-US"/>
        </w:rPr>
        <w:t>n</w:t>
      </w:r>
      <w:r w:rsidR="008B65CD" w:rsidRPr="00FE50A6">
        <w:rPr>
          <w:rFonts w:eastAsia="Batang" w:cs="Times"/>
          <w:noProof/>
          <w:szCs w:val="24"/>
          <w:lang w:val="en-US"/>
        </w:rPr>
        <w:t xml:space="preserve">dage </w:t>
      </w:r>
      <w:r w:rsidR="00B4312B" w:rsidRPr="00FE50A6">
        <w:rPr>
          <w:rFonts w:eastAsia="Batang" w:cs="Times"/>
          <w:noProof/>
          <w:szCs w:val="24"/>
          <w:lang w:val="en-US"/>
        </w:rPr>
        <w:t>in</w:t>
      </w:r>
      <w:r w:rsidR="008B65CD" w:rsidRPr="00FE50A6">
        <w:rPr>
          <w:rFonts w:eastAsia="Batang" w:cs="Times"/>
          <w:noProof/>
          <w:szCs w:val="24"/>
          <w:lang w:val="en-US"/>
        </w:rPr>
        <w:t xml:space="preserve"> </w:t>
      </w:r>
      <w:r w:rsidR="00B64BE7" w:rsidRPr="00FE50A6">
        <w:rPr>
          <w:rFonts w:eastAsia="Batang" w:cs="Times"/>
          <w:noProof/>
          <w:szCs w:val="24"/>
          <w:lang w:val="en-US"/>
        </w:rPr>
        <w:t>Hacienda</w:t>
      </w:r>
      <w:r w:rsidR="00BA1ACF" w:rsidRPr="00FE50A6">
        <w:rPr>
          <w:rFonts w:eastAsia="Batang" w:cs="Times"/>
          <w:noProof/>
          <w:szCs w:val="24"/>
          <w:lang w:val="en-US"/>
        </w:rPr>
        <w:t xml:space="preserve"> </w:t>
      </w:r>
      <w:r w:rsidR="00322241" w:rsidRPr="00FE50A6">
        <w:rPr>
          <w:rFonts w:eastAsia="Batang" w:cs="Times"/>
          <w:noProof/>
          <w:szCs w:val="24"/>
          <w:lang w:val="en-US"/>
        </w:rPr>
        <w:t>Brasil Verde</w:t>
      </w:r>
      <w:r w:rsidR="00BA1ACF" w:rsidRPr="00FE50A6">
        <w:rPr>
          <w:rFonts w:eastAsia="Batang" w:cs="Times"/>
          <w:noProof/>
          <w:szCs w:val="24"/>
          <w:lang w:val="en-US"/>
        </w:rPr>
        <w:t xml:space="preserve">, </w:t>
      </w:r>
      <w:r w:rsidR="008B65CD" w:rsidRPr="00FE50A6">
        <w:rPr>
          <w:rFonts w:eastAsia="Batang" w:cs="Times"/>
          <w:noProof/>
          <w:szCs w:val="24"/>
          <w:lang w:val="en-US"/>
        </w:rPr>
        <w:t>located in</w:t>
      </w:r>
      <w:r w:rsidR="00BA1ACF" w:rsidRPr="00FE50A6">
        <w:rPr>
          <w:rFonts w:eastAsia="Batang" w:cs="Times"/>
          <w:noProof/>
          <w:szCs w:val="24"/>
          <w:lang w:val="en-US"/>
        </w:rPr>
        <w:t xml:space="preserve"> </w:t>
      </w:r>
      <w:r w:rsidR="008B65CD" w:rsidRPr="00FE50A6">
        <w:rPr>
          <w:rFonts w:eastAsia="Batang" w:cs="Times"/>
          <w:noProof/>
          <w:szCs w:val="24"/>
          <w:lang w:val="en-US"/>
        </w:rPr>
        <w:t>the state of Pará</w:t>
      </w:r>
      <w:r w:rsidR="00BA1ACF" w:rsidRPr="00FE50A6">
        <w:rPr>
          <w:rFonts w:eastAsia="Batang" w:cs="Times"/>
          <w:noProof/>
          <w:szCs w:val="24"/>
          <w:lang w:val="en-US"/>
        </w:rPr>
        <w:t xml:space="preserve">. </w:t>
      </w:r>
      <w:r w:rsidR="008B65CD" w:rsidRPr="00FE50A6">
        <w:rPr>
          <w:rFonts w:eastAsia="Batang" w:cs="Times"/>
          <w:noProof/>
          <w:szCs w:val="24"/>
          <w:lang w:val="en-US"/>
        </w:rPr>
        <w:t xml:space="preserve">It is alleged that the facts of the case took place in a context in which, each year, tens of thousands of workers were subjected to slave labor. In addition, it is alleged that the workers who were able to escape gave declarations </w:t>
      </w:r>
      <w:r w:rsidR="0017587B" w:rsidRPr="00FE50A6">
        <w:rPr>
          <w:rFonts w:eastAsia="Batang" w:cs="Times"/>
          <w:noProof/>
          <w:szCs w:val="24"/>
          <w:lang w:val="en-US"/>
        </w:rPr>
        <w:t>regarding</w:t>
      </w:r>
      <w:r w:rsidR="008B65CD" w:rsidRPr="00FE50A6">
        <w:rPr>
          <w:rFonts w:eastAsia="Batang" w:cs="Times"/>
          <w:noProof/>
          <w:szCs w:val="24"/>
          <w:lang w:val="en-US"/>
        </w:rPr>
        <w:t xml:space="preserve"> the existence of death threats </w:t>
      </w:r>
      <w:r w:rsidR="007B78D5" w:rsidRPr="00FE50A6">
        <w:rPr>
          <w:rFonts w:eastAsia="Batang" w:cs="Times"/>
          <w:noProof/>
          <w:szCs w:val="24"/>
          <w:lang w:val="en-US"/>
        </w:rPr>
        <w:t>to</w:t>
      </w:r>
      <w:r w:rsidR="008B65CD" w:rsidRPr="00FE50A6">
        <w:rPr>
          <w:rFonts w:eastAsia="Batang" w:cs="Times"/>
          <w:noProof/>
          <w:szCs w:val="24"/>
          <w:lang w:val="en-US"/>
        </w:rPr>
        <w:t xml:space="preserve"> those who abandoned the hacienda; the prohibitio</w:t>
      </w:r>
      <w:r w:rsidR="0017587B" w:rsidRPr="00FE50A6">
        <w:rPr>
          <w:rFonts w:eastAsia="Batang" w:cs="Times"/>
          <w:noProof/>
          <w:szCs w:val="24"/>
          <w:lang w:val="en-US"/>
        </w:rPr>
        <w:t>n</w:t>
      </w:r>
      <w:r w:rsidR="008B65CD" w:rsidRPr="00FE50A6">
        <w:rPr>
          <w:rFonts w:eastAsia="Batang" w:cs="Times"/>
          <w:noProof/>
          <w:szCs w:val="24"/>
          <w:lang w:val="en-US"/>
        </w:rPr>
        <w:t xml:space="preserve"> to leave freely; the absence of </w:t>
      </w:r>
      <w:r w:rsidR="007B78D5" w:rsidRPr="00FE50A6">
        <w:rPr>
          <w:rFonts w:eastAsia="Batang" w:cs="Times"/>
          <w:noProof/>
          <w:szCs w:val="24"/>
          <w:lang w:val="en-US"/>
        </w:rPr>
        <w:t>salarie</w:t>
      </w:r>
      <w:r w:rsidR="008B65CD" w:rsidRPr="00FE50A6">
        <w:rPr>
          <w:rFonts w:eastAsia="Batang" w:cs="Times"/>
          <w:noProof/>
          <w:szCs w:val="24"/>
          <w:lang w:val="en-US"/>
        </w:rPr>
        <w:t>s or the existence of a paltry wage; their debts to the hacienda</w:t>
      </w:r>
      <w:r w:rsidR="0017587B" w:rsidRPr="00FE50A6">
        <w:rPr>
          <w:rFonts w:eastAsia="Batang" w:cs="Times"/>
          <w:noProof/>
          <w:szCs w:val="24"/>
          <w:lang w:val="en-US"/>
        </w:rPr>
        <w:t>, and</w:t>
      </w:r>
      <w:r w:rsidR="008B65CD" w:rsidRPr="00FE50A6">
        <w:rPr>
          <w:rFonts w:eastAsia="Batang" w:cs="Times"/>
          <w:noProof/>
          <w:szCs w:val="24"/>
          <w:lang w:val="en-US"/>
        </w:rPr>
        <w:t xml:space="preserve"> the lack of decent housing, food and health care. </w:t>
      </w:r>
      <w:r w:rsidR="0017587B" w:rsidRPr="00FE50A6">
        <w:rPr>
          <w:rFonts w:eastAsia="Batang" w:cs="Times"/>
          <w:noProof/>
          <w:szCs w:val="24"/>
          <w:lang w:val="en-US"/>
        </w:rPr>
        <w:t>T</w:t>
      </w:r>
      <w:r w:rsidR="008B65CD" w:rsidRPr="00FE50A6">
        <w:rPr>
          <w:rFonts w:eastAsia="Batang" w:cs="Times"/>
          <w:noProof/>
          <w:szCs w:val="24"/>
          <w:lang w:val="en-US"/>
        </w:rPr>
        <w:t>his situation could presumably be attributed to the State because</w:t>
      </w:r>
      <w:r w:rsidR="005F1946" w:rsidRPr="00FE50A6">
        <w:rPr>
          <w:rFonts w:eastAsia="Batang" w:cs="Times"/>
          <w:noProof/>
          <w:szCs w:val="24"/>
          <w:lang w:val="en-US"/>
        </w:rPr>
        <w:t>, since 1989,</w:t>
      </w:r>
      <w:r w:rsidR="008B65CD" w:rsidRPr="00FE50A6">
        <w:rPr>
          <w:rFonts w:eastAsia="Batang" w:cs="Times"/>
          <w:noProof/>
          <w:szCs w:val="24"/>
          <w:lang w:val="en-US"/>
        </w:rPr>
        <w:t xml:space="preserve"> it had been aware of the existence of these practices in general, and specifically in the </w:t>
      </w:r>
      <w:r w:rsidR="00B64BE7" w:rsidRPr="00FE50A6">
        <w:rPr>
          <w:rFonts w:eastAsia="Batang" w:cs="Times"/>
          <w:noProof/>
          <w:szCs w:val="24"/>
          <w:lang w:val="en-US"/>
        </w:rPr>
        <w:t>Hacienda</w:t>
      </w:r>
      <w:r w:rsidR="00BA1ACF" w:rsidRPr="00FE50A6">
        <w:rPr>
          <w:rFonts w:eastAsia="Batang" w:cs="Times"/>
          <w:noProof/>
          <w:szCs w:val="24"/>
          <w:lang w:val="en-US"/>
        </w:rPr>
        <w:t xml:space="preserve"> </w:t>
      </w:r>
      <w:r w:rsidR="00322241" w:rsidRPr="00FE50A6">
        <w:rPr>
          <w:rFonts w:eastAsia="Batang" w:cs="Times"/>
          <w:noProof/>
          <w:szCs w:val="24"/>
          <w:lang w:val="en-US"/>
        </w:rPr>
        <w:t>Brasil Verde</w:t>
      </w:r>
      <w:r w:rsidR="005F1946" w:rsidRPr="00FE50A6">
        <w:rPr>
          <w:rFonts w:eastAsia="Batang" w:cs="Times"/>
          <w:noProof/>
          <w:szCs w:val="24"/>
          <w:lang w:val="en-US"/>
        </w:rPr>
        <w:t xml:space="preserve"> </w:t>
      </w:r>
      <w:r w:rsidR="0017587B" w:rsidRPr="00FE50A6">
        <w:rPr>
          <w:rFonts w:eastAsia="Batang" w:cs="Times"/>
          <w:noProof/>
          <w:szCs w:val="24"/>
          <w:lang w:val="en-US"/>
        </w:rPr>
        <w:t xml:space="preserve">and, despite this awareness, it had not taken reasonable steps to prevent </w:t>
      </w:r>
      <w:r w:rsidR="005F1946" w:rsidRPr="00FE50A6">
        <w:rPr>
          <w:rFonts w:eastAsia="Batang" w:cs="Times"/>
          <w:noProof/>
          <w:szCs w:val="24"/>
          <w:lang w:val="en-US"/>
        </w:rPr>
        <w:t>or</w:t>
      </w:r>
      <w:r w:rsidR="0017587B" w:rsidRPr="00FE50A6">
        <w:rPr>
          <w:rFonts w:eastAsia="Batang" w:cs="Times"/>
          <w:noProof/>
          <w:szCs w:val="24"/>
          <w:lang w:val="en-US"/>
        </w:rPr>
        <w:t xml:space="preserve"> to respond to the situation, and had not provided the presumed victims with an effective judicial mechanism to protect their rights, </w:t>
      </w:r>
      <w:r w:rsidR="005F1946" w:rsidRPr="00FE50A6">
        <w:rPr>
          <w:rFonts w:eastAsia="Batang" w:cs="Times"/>
          <w:noProof/>
          <w:szCs w:val="24"/>
          <w:lang w:val="en-US"/>
        </w:rPr>
        <w:t xml:space="preserve">to </w:t>
      </w:r>
      <w:r w:rsidR="0017587B" w:rsidRPr="00FE50A6">
        <w:rPr>
          <w:rFonts w:eastAsia="Batang" w:cs="Times"/>
          <w:noProof/>
          <w:szCs w:val="24"/>
          <w:lang w:val="en-US"/>
        </w:rPr>
        <w:t xml:space="preserve">punish those responsible, and </w:t>
      </w:r>
      <w:r w:rsidR="005F1946" w:rsidRPr="00FE50A6">
        <w:rPr>
          <w:rFonts w:eastAsia="Batang" w:cs="Times"/>
          <w:noProof/>
          <w:szCs w:val="24"/>
          <w:lang w:val="en-US"/>
        </w:rPr>
        <w:t xml:space="preserve">to </w:t>
      </w:r>
      <w:r w:rsidR="0017587B" w:rsidRPr="00FE50A6">
        <w:rPr>
          <w:rFonts w:eastAsia="Batang" w:cs="Times"/>
          <w:noProof/>
          <w:szCs w:val="24"/>
          <w:lang w:val="en-US"/>
        </w:rPr>
        <w:t>allow the</w:t>
      </w:r>
      <w:r w:rsidR="005F1946" w:rsidRPr="00FE50A6">
        <w:rPr>
          <w:rFonts w:eastAsia="Batang" w:cs="Times"/>
          <w:noProof/>
          <w:szCs w:val="24"/>
          <w:lang w:val="en-US"/>
        </w:rPr>
        <w:t xml:space="preserve"> presumed victims</w:t>
      </w:r>
      <w:r w:rsidR="0017587B" w:rsidRPr="00FE50A6">
        <w:rPr>
          <w:rFonts w:eastAsia="Batang" w:cs="Times"/>
          <w:noProof/>
          <w:szCs w:val="24"/>
          <w:lang w:val="en-US"/>
        </w:rPr>
        <w:t xml:space="preserve"> to obtain redress</w:t>
      </w:r>
      <w:r w:rsidR="00BA1ACF" w:rsidRPr="00FE50A6">
        <w:rPr>
          <w:rFonts w:eastAsia="Batang" w:cs="Times"/>
          <w:noProof/>
          <w:szCs w:val="24"/>
          <w:lang w:val="en-US"/>
        </w:rPr>
        <w:t xml:space="preserve">. </w:t>
      </w:r>
      <w:r w:rsidR="0017587B" w:rsidRPr="00FE50A6">
        <w:rPr>
          <w:rFonts w:eastAsia="Batang" w:cs="Times"/>
          <w:noProof/>
          <w:szCs w:val="24"/>
          <w:lang w:val="en-US"/>
        </w:rPr>
        <w:t>Lastly, it was alleged that the State was internationally responsible for the disappearance of two adolescents</w:t>
      </w:r>
      <w:r w:rsidR="007B78D5" w:rsidRPr="00FE50A6">
        <w:rPr>
          <w:rFonts w:eastAsia="Batang" w:cs="Times"/>
          <w:noProof/>
          <w:szCs w:val="24"/>
          <w:lang w:val="en-US"/>
        </w:rPr>
        <w:t xml:space="preserve"> that</w:t>
      </w:r>
      <w:r w:rsidR="0017587B" w:rsidRPr="00FE50A6">
        <w:rPr>
          <w:rFonts w:eastAsia="Batang" w:cs="Times"/>
          <w:noProof/>
          <w:szCs w:val="24"/>
          <w:lang w:val="en-US"/>
        </w:rPr>
        <w:t xml:space="preserve"> had been reported to the state authorities on December 21, 1988, allegedly without any effective measures having been taken to discover their whereabouts</w:t>
      </w:r>
      <w:r w:rsidR="00BA1ACF" w:rsidRPr="00FE50A6">
        <w:rPr>
          <w:rFonts w:eastAsia="Batang" w:cs="Times"/>
          <w:noProof/>
          <w:szCs w:val="24"/>
          <w:lang w:val="en-US"/>
        </w:rPr>
        <w:t>.</w:t>
      </w:r>
    </w:p>
    <w:p w14:paraId="02DAF84F" w14:textId="77777777" w:rsidR="00BA1ACF" w:rsidRPr="00FE50A6" w:rsidRDefault="00BA1ACF" w:rsidP="00140440">
      <w:pPr>
        <w:tabs>
          <w:tab w:val="clear" w:pos="4419"/>
          <w:tab w:val="clear" w:pos="8838"/>
        </w:tabs>
        <w:autoSpaceDE w:val="0"/>
        <w:autoSpaceDN w:val="0"/>
        <w:adjustRightInd w:val="0"/>
        <w:ind w:right="4"/>
        <w:jc w:val="both"/>
        <w:rPr>
          <w:rFonts w:eastAsia="Batang" w:cs="Times"/>
          <w:szCs w:val="20"/>
          <w:lang w:val="en-US"/>
        </w:rPr>
      </w:pPr>
    </w:p>
    <w:p w14:paraId="25749451" w14:textId="77777777" w:rsidR="00BA1ACF" w:rsidRPr="00FE50A6" w:rsidRDefault="005F1946" w:rsidP="00140440">
      <w:pPr>
        <w:numPr>
          <w:ilvl w:val="0"/>
          <w:numId w:val="1"/>
        </w:numPr>
        <w:tabs>
          <w:tab w:val="clear" w:pos="4419"/>
          <w:tab w:val="clear" w:pos="8838"/>
          <w:tab w:val="left" w:pos="540"/>
        </w:tabs>
        <w:ind w:right="4"/>
        <w:jc w:val="both"/>
        <w:rPr>
          <w:rFonts w:eastAsia="Batang" w:cs="Times"/>
          <w:szCs w:val="24"/>
          <w:lang w:val="en-US"/>
        </w:rPr>
      </w:pPr>
      <w:r w:rsidRPr="00FE50A6">
        <w:rPr>
          <w:rFonts w:eastAsia="Batang" w:cs="Times"/>
          <w:i/>
          <w:szCs w:val="24"/>
          <w:lang w:val="en-US"/>
        </w:rPr>
        <w:t>Procedure before</w:t>
      </w:r>
      <w:r w:rsidR="00BA1ACF" w:rsidRPr="00FE50A6">
        <w:rPr>
          <w:rFonts w:eastAsia="Batang" w:cs="Times"/>
          <w:i/>
          <w:szCs w:val="24"/>
          <w:lang w:val="en-US"/>
        </w:rPr>
        <w:t xml:space="preserve"> </w:t>
      </w:r>
      <w:r w:rsidR="000228D0" w:rsidRPr="00FE50A6">
        <w:rPr>
          <w:rFonts w:eastAsia="Batang" w:cs="Times"/>
          <w:i/>
          <w:szCs w:val="24"/>
          <w:lang w:val="en-US"/>
        </w:rPr>
        <w:t>the Commission</w:t>
      </w:r>
      <w:r w:rsidR="00BA1ACF" w:rsidRPr="00FE50A6">
        <w:rPr>
          <w:rFonts w:eastAsia="Batang" w:cs="Times"/>
          <w:i/>
          <w:szCs w:val="24"/>
          <w:lang w:val="en-US"/>
        </w:rPr>
        <w:t>.</w:t>
      </w:r>
      <w:bookmarkEnd w:id="5"/>
      <w:r w:rsidRPr="00FE50A6">
        <w:rPr>
          <w:rFonts w:eastAsia="Batang" w:cs="Times"/>
          <w:szCs w:val="24"/>
          <w:lang w:val="en-US"/>
        </w:rPr>
        <w:t xml:space="preserve"> The case was processed before</w:t>
      </w:r>
      <w:r w:rsidR="00BA1ACF" w:rsidRPr="00FE50A6">
        <w:rPr>
          <w:rFonts w:eastAsia="Batang" w:cs="Times"/>
          <w:szCs w:val="24"/>
          <w:lang w:val="en-US"/>
        </w:rPr>
        <w:t xml:space="preserve"> </w:t>
      </w:r>
      <w:r w:rsidR="000228D0" w:rsidRPr="00FE50A6">
        <w:rPr>
          <w:rFonts w:eastAsia="Batang" w:cs="Times"/>
          <w:szCs w:val="24"/>
          <w:lang w:val="en-US"/>
        </w:rPr>
        <w:t>the Inter-American Commission</w:t>
      </w:r>
      <w:r w:rsidRPr="00FE50A6">
        <w:rPr>
          <w:rFonts w:eastAsia="Batang" w:cs="Times"/>
          <w:szCs w:val="24"/>
          <w:lang w:val="en-US"/>
        </w:rPr>
        <w:t xml:space="preserve"> as follows</w:t>
      </w:r>
      <w:r w:rsidR="00BA1ACF" w:rsidRPr="00FE50A6">
        <w:rPr>
          <w:rFonts w:eastAsia="Batang" w:cs="Times"/>
          <w:szCs w:val="24"/>
          <w:lang w:val="en-US"/>
        </w:rPr>
        <w:t>:</w:t>
      </w:r>
    </w:p>
    <w:p w14:paraId="046AA1F3" w14:textId="77777777" w:rsidR="00BA1ACF" w:rsidRPr="00FE50A6" w:rsidRDefault="00BA1ACF" w:rsidP="00140440">
      <w:pPr>
        <w:tabs>
          <w:tab w:val="clear" w:pos="4419"/>
          <w:tab w:val="clear" w:pos="8838"/>
        </w:tabs>
        <w:jc w:val="both"/>
        <w:rPr>
          <w:rFonts w:eastAsia="Batang" w:cs="Times"/>
          <w:szCs w:val="24"/>
          <w:lang w:val="en-US"/>
        </w:rPr>
      </w:pPr>
    </w:p>
    <w:p w14:paraId="09D3AC71" w14:textId="77777777" w:rsidR="00BA1ACF" w:rsidRPr="00FE50A6" w:rsidRDefault="00BA1ACF" w:rsidP="00140440">
      <w:pPr>
        <w:numPr>
          <w:ilvl w:val="0"/>
          <w:numId w:val="2"/>
        </w:numPr>
        <w:tabs>
          <w:tab w:val="clear" w:pos="4419"/>
          <w:tab w:val="clear" w:pos="8838"/>
        </w:tabs>
        <w:ind w:right="4"/>
        <w:jc w:val="both"/>
        <w:rPr>
          <w:rFonts w:eastAsia="Batang" w:cs="Times"/>
          <w:szCs w:val="24"/>
          <w:lang w:val="en-US"/>
        </w:rPr>
      </w:pPr>
      <w:r w:rsidRPr="00FE50A6">
        <w:rPr>
          <w:rFonts w:eastAsia="Batang" w:cs="Times"/>
          <w:i/>
          <w:szCs w:val="24"/>
          <w:lang w:val="en-US"/>
        </w:rPr>
        <w:t>Peti</w:t>
      </w:r>
      <w:r w:rsidR="005F1946" w:rsidRPr="00FE50A6">
        <w:rPr>
          <w:rFonts w:eastAsia="Batang" w:cs="Times"/>
          <w:i/>
          <w:szCs w:val="24"/>
          <w:lang w:val="en-US"/>
        </w:rPr>
        <w:t>tio</w:t>
      </w:r>
      <w:r w:rsidRPr="00FE50A6">
        <w:rPr>
          <w:rFonts w:eastAsia="Batang" w:cs="Times"/>
          <w:i/>
          <w:szCs w:val="24"/>
          <w:lang w:val="en-US"/>
        </w:rPr>
        <w:t xml:space="preserve">n. </w:t>
      </w:r>
      <w:r w:rsidR="005F1946" w:rsidRPr="00FE50A6">
        <w:rPr>
          <w:rFonts w:eastAsia="Batang" w:cs="Times"/>
          <w:szCs w:val="24"/>
          <w:lang w:val="en-US"/>
        </w:rPr>
        <w:t>On</w:t>
      </w:r>
      <w:r w:rsidRPr="00FE50A6">
        <w:rPr>
          <w:rFonts w:eastAsia="Batang" w:cs="Times"/>
          <w:szCs w:val="24"/>
          <w:lang w:val="en-US"/>
        </w:rPr>
        <w:t xml:space="preserve"> </w:t>
      </w:r>
      <w:r w:rsidR="005F1946" w:rsidRPr="00FE50A6">
        <w:rPr>
          <w:rFonts w:eastAsia="Batang" w:cs="Times"/>
          <w:szCs w:val="24"/>
          <w:lang w:val="en-US"/>
        </w:rPr>
        <w:t>November 12,</w:t>
      </w:r>
      <w:r w:rsidRPr="00FE50A6">
        <w:rPr>
          <w:rFonts w:eastAsia="Batang" w:cs="Times"/>
          <w:szCs w:val="24"/>
          <w:lang w:val="en-US"/>
        </w:rPr>
        <w:t xml:space="preserve"> 1998</w:t>
      </w:r>
      <w:r w:rsidR="005F1946" w:rsidRPr="00FE50A6">
        <w:rPr>
          <w:rFonts w:eastAsia="Batang" w:cs="Times"/>
          <w:szCs w:val="24"/>
          <w:lang w:val="en-US"/>
        </w:rPr>
        <w:t>,</w:t>
      </w:r>
      <w:r w:rsidRPr="00FE50A6">
        <w:rPr>
          <w:rFonts w:eastAsia="Batang" w:cs="Times"/>
          <w:szCs w:val="24"/>
          <w:lang w:val="en-US"/>
        </w:rPr>
        <w:t xml:space="preserve"> </w:t>
      </w:r>
      <w:r w:rsidR="000228D0" w:rsidRPr="00FE50A6">
        <w:rPr>
          <w:rFonts w:eastAsia="Batang" w:cs="Times"/>
          <w:szCs w:val="24"/>
          <w:lang w:val="en-US"/>
        </w:rPr>
        <w:t>the Inter-American Commission</w:t>
      </w:r>
      <w:r w:rsidRPr="00FE50A6">
        <w:rPr>
          <w:rFonts w:eastAsia="Batang" w:cs="Times"/>
          <w:szCs w:val="24"/>
          <w:lang w:val="en-US"/>
        </w:rPr>
        <w:t xml:space="preserve"> rec</w:t>
      </w:r>
      <w:r w:rsidR="005F1946" w:rsidRPr="00FE50A6">
        <w:rPr>
          <w:rFonts w:eastAsia="Batang" w:cs="Times"/>
          <w:szCs w:val="24"/>
          <w:lang w:val="en-US"/>
        </w:rPr>
        <w:t xml:space="preserve">eived the initial </w:t>
      </w:r>
      <w:r w:rsidR="00030C17" w:rsidRPr="00FE50A6">
        <w:rPr>
          <w:rFonts w:eastAsia="Batang" w:cs="Times"/>
          <w:szCs w:val="24"/>
          <w:lang w:val="en-US"/>
        </w:rPr>
        <w:t>p</w:t>
      </w:r>
      <w:r w:rsidR="005F1946" w:rsidRPr="00FE50A6">
        <w:rPr>
          <w:rFonts w:eastAsia="Batang" w:cs="Times"/>
          <w:szCs w:val="24"/>
          <w:lang w:val="en-US"/>
        </w:rPr>
        <w:t xml:space="preserve">etition lodged by the </w:t>
      </w:r>
      <w:r w:rsidR="000228D0" w:rsidRPr="00FE50A6">
        <w:rPr>
          <w:rFonts w:eastAsia="Batang" w:cs="Times"/>
          <w:i/>
          <w:szCs w:val="24"/>
          <w:lang w:val="en-US"/>
        </w:rPr>
        <w:t>Com</w:t>
      </w:r>
      <w:r w:rsidR="00030C17" w:rsidRPr="00FE50A6">
        <w:rPr>
          <w:rFonts w:eastAsia="Batang" w:cs="Times"/>
          <w:i/>
          <w:szCs w:val="24"/>
          <w:lang w:val="en-US"/>
        </w:rPr>
        <w:t>is</w:t>
      </w:r>
      <w:r w:rsidR="00C61525" w:rsidRPr="00FE50A6">
        <w:rPr>
          <w:rFonts w:eastAsia="Batang" w:cs="Times"/>
          <w:i/>
          <w:szCs w:val="24"/>
          <w:lang w:val="en-US"/>
        </w:rPr>
        <w:t>são</w:t>
      </w:r>
      <w:r w:rsidR="00030C17" w:rsidRPr="00FE50A6">
        <w:rPr>
          <w:rFonts w:eastAsia="Batang" w:cs="Times"/>
          <w:i/>
          <w:szCs w:val="24"/>
          <w:lang w:val="en-US"/>
        </w:rPr>
        <w:t xml:space="preserve"> </w:t>
      </w:r>
      <w:r w:rsidRPr="00FE50A6">
        <w:rPr>
          <w:rFonts w:eastAsia="Batang" w:cs="Times"/>
          <w:i/>
          <w:szCs w:val="24"/>
          <w:lang w:val="en-US"/>
        </w:rPr>
        <w:t>Pastor</w:t>
      </w:r>
      <w:r w:rsidR="007B4B35" w:rsidRPr="00FE50A6">
        <w:rPr>
          <w:rFonts w:eastAsia="Batang" w:cs="Times"/>
          <w:i/>
          <w:szCs w:val="24"/>
          <w:lang w:val="en-US"/>
        </w:rPr>
        <w:t>al da Terra</w:t>
      </w:r>
      <w:r w:rsidR="007B4B35" w:rsidRPr="00FE50A6">
        <w:rPr>
          <w:rFonts w:eastAsia="Batang" w:cs="Times"/>
          <w:szCs w:val="24"/>
          <w:lang w:val="en-US"/>
        </w:rPr>
        <w:t xml:space="preserve"> (</w:t>
      </w:r>
      <w:r w:rsidR="000228D0" w:rsidRPr="00FE50A6">
        <w:rPr>
          <w:rFonts w:eastAsia="Batang" w:cs="Times"/>
          <w:szCs w:val="24"/>
          <w:lang w:val="en-US"/>
        </w:rPr>
        <w:t>hereinafter</w:t>
      </w:r>
      <w:r w:rsidR="007B78D5" w:rsidRPr="00FE50A6">
        <w:rPr>
          <w:rFonts w:eastAsia="Batang" w:cs="Times"/>
          <w:szCs w:val="24"/>
          <w:lang w:val="en-US"/>
        </w:rPr>
        <w:t xml:space="preserve"> also</w:t>
      </w:r>
      <w:r w:rsidR="007B4B35" w:rsidRPr="00FE50A6">
        <w:rPr>
          <w:rFonts w:eastAsia="Batang" w:cs="Times"/>
          <w:szCs w:val="24"/>
          <w:lang w:val="en-US"/>
        </w:rPr>
        <w:t xml:space="preserve"> </w:t>
      </w:r>
      <w:r w:rsidR="009C48A4" w:rsidRPr="00FE50A6">
        <w:rPr>
          <w:rFonts w:eastAsia="Batang" w:cs="Times"/>
          <w:szCs w:val="24"/>
          <w:lang w:val="en-US"/>
        </w:rPr>
        <w:t>“</w:t>
      </w:r>
      <w:r w:rsidR="007B4B35" w:rsidRPr="00FE50A6">
        <w:rPr>
          <w:rFonts w:eastAsia="Batang" w:cs="Times"/>
          <w:szCs w:val="24"/>
          <w:lang w:val="en-US"/>
        </w:rPr>
        <w:t>C</w:t>
      </w:r>
      <w:r w:rsidRPr="00FE50A6">
        <w:rPr>
          <w:rFonts w:eastAsia="Batang" w:cs="Times"/>
          <w:szCs w:val="24"/>
          <w:lang w:val="en-US"/>
        </w:rPr>
        <w:t>P</w:t>
      </w:r>
      <w:r w:rsidR="007B4B35" w:rsidRPr="00FE50A6">
        <w:rPr>
          <w:rFonts w:eastAsia="Batang" w:cs="Times"/>
          <w:szCs w:val="24"/>
          <w:lang w:val="en-US"/>
        </w:rPr>
        <w:t>T</w:t>
      </w:r>
      <w:r w:rsidR="009C48A4" w:rsidRPr="00FE50A6">
        <w:rPr>
          <w:rFonts w:eastAsia="Batang" w:cs="Times"/>
          <w:szCs w:val="24"/>
          <w:lang w:val="en-US"/>
        </w:rPr>
        <w:t>”</w:t>
      </w:r>
      <w:r w:rsidRPr="00FE50A6">
        <w:rPr>
          <w:rFonts w:eastAsia="Batang" w:cs="Times"/>
          <w:szCs w:val="24"/>
          <w:lang w:val="en-US"/>
        </w:rPr>
        <w:t xml:space="preserve">) </w:t>
      </w:r>
      <w:r w:rsidR="00030C17" w:rsidRPr="00FE50A6">
        <w:rPr>
          <w:rFonts w:eastAsia="Batang" w:cs="Times"/>
          <w:szCs w:val="24"/>
          <w:lang w:val="en-US"/>
        </w:rPr>
        <w:t>and</w:t>
      </w:r>
      <w:r w:rsidRPr="00FE50A6">
        <w:rPr>
          <w:rFonts w:eastAsia="Batang" w:cs="Times"/>
          <w:szCs w:val="24"/>
          <w:lang w:val="en-US"/>
        </w:rPr>
        <w:t xml:space="preserve"> </w:t>
      </w:r>
      <w:r w:rsidR="00030C17" w:rsidRPr="00FE50A6">
        <w:rPr>
          <w:rFonts w:eastAsia="Batang" w:cs="Times"/>
          <w:szCs w:val="24"/>
          <w:lang w:val="en-US"/>
        </w:rPr>
        <w:t>the Center for Justice and International Law</w:t>
      </w:r>
      <w:r w:rsidRPr="00FE50A6">
        <w:rPr>
          <w:rFonts w:eastAsia="Batang" w:cs="Times"/>
          <w:szCs w:val="24"/>
          <w:lang w:val="en-US"/>
        </w:rPr>
        <w:t xml:space="preserve"> (</w:t>
      </w:r>
      <w:r w:rsidR="000228D0" w:rsidRPr="00FE50A6">
        <w:rPr>
          <w:rFonts w:eastAsia="Batang" w:cs="Times"/>
          <w:szCs w:val="24"/>
          <w:lang w:val="en-US"/>
        </w:rPr>
        <w:t>hereinafter</w:t>
      </w:r>
      <w:r w:rsidRPr="00FE50A6">
        <w:rPr>
          <w:rFonts w:eastAsia="Batang" w:cs="Times"/>
          <w:szCs w:val="24"/>
          <w:lang w:val="en-US"/>
        </w:rPr>
        <w:t xml:space="preserve"> </w:t>
      </w:r>
      <w:r w:rsidR="009C48A4" w:rsidRPr="00FE50A6">
        <w:rPr>
          <w:rFonts w:eastAsia="Batang" w:cs="Times"/>
          <w:szCs w:val="24"/>
          <w:lang w:val="en-US"/>
        </w:rPr>
        <w:t>“</w:t>
      </w:r>
      <w:r w:rsidRPr="00FE50A6">
        <w:rPr>
          <w:rFonts w:eastAsia="Batang" w:cs="Times"/>
          <w:szCs w:val="24"/>
          <w:lang w:val="en-US"/>
        </w:rPr>
        <w:t>CEJIL</w:t>
      </w:r>
      <w:r w:rsidR="009C48A4" w:rsidRPr="00FE50A6">
        <w:rPr>
          <w:rFonts w:eastAsia="Batang" w:cs="Times"/>
          <w:szCs w:val="24"/>
          <w:lang w:val="en-US"/>
        </w:rPr>
        <w:t>”</w:t>
      </w:r>
      <w:r w:rsidRPr="00FE50A6">
        <w:rPr>
          <w:rFonts w:eastAsia="Batang" w:cs="Times"/>
          <w:szCs w:val="24"/>
          <w:lang w:val="en-US"/>
        </w:rPr>
        <w:t>).</w:t>
      </w:r>
      <w:r w:rsidRPr="00FE50A6">
        <w:rPr>
          <w:rFonts w:eastAsia="Batang" w:cs="Times"/>
          <w:b/>
          <w:szCs w:val="24"/>
          <w:lang w:val="en-US"/>
        </w:rPr>
        <w:t xml:space="preserve"> </w:t>
      </w:r>
    </w:p>
    <w:p w14:paraId="188B1144" w14:textId="77777777" w:rsidR="00BA1ACF" w:rsidRPr="00FE50A6" w:rsidRDefault="00BA1ACF" w:rsidP="00140440">
      <w:pPr>
        <w:tabs>
          <w:tab w:val="clear" w:pos="4419"/>
          <w:tab w:val="clear" w:pos="8838"/>
        </w:tabs>
        <w:jc w:val="both"/>
        <w:rPr>
          <w:rFonts w:eastAsia="Batang" w:cs="Times"/>
          <w:szCs w:val="24"/>
          <w:lang w:val="en-US"/>
        </w:rPr>
      </w:pPr>
    </w:p>
    <w:p w14:paraId="2A22299B" w14:textId="77777777" w:rsidR="00BA1ACF" w:rsidRPr="00FE50A6" w:rsidRDefault="00030C17" w:rsidP="00140440">
      <w:pPr>
        <w:numPr>
          <w:ilvl w:val="0"/>
          <w:numId w:val="2"/>
        </w:numPr>
        <w:tabs>
          <w:tab w:val="clear" w:pos="4419"/>
          <w:tab w:val="clear" w:pos="8838"/>
        </w:tabs>
        <w:ind w:right="4"/>
        <w:jc w:val="both"/>
        <w:rPr>
          <w:rFonts w:eastAsia="Batang" w:cs="Times"/>
          <w:szCs w:val="24"/>
          <w:lang w:val="en-US"/>
        </w:rPr>
      </w:pPr>
      <w:r w:rsidRPr="00FE50A6">
        <w:rPr>
          <w:rFonts w:eastAsia="Batang" w:cs="Times"/>
          <w:i/>
          <w:szCs w:val="24"/>
          <w:lang w:val="en-US"/>
        </w:rPr>
        <w:t>Admissibility and Merits Report</w:t>
      </w:r>
      <w:r w:rsidR="00BA1ACF" w:rsidRPr="00FE50A6">
        <w:rPr>
          <w:rFonts w:eastAsia="Batang" w:cs="Times"/>
          <w:i/>
          <w:szCs w:val="24"/>
          <w:lang w:val="en-US"/>
        </w:rPr>
        <w:t>.</w:t>
      </w:r>
      <w:r w:rsidRPr="00FE50A6">
        <w:rPr>
          <w:rFonts w:eastAsia="Batang" w:cs="Times"/>
          <w:i/>
          <w:szCs w:val="24"/>
          <w:lang w:val="en-US"/>
        </w:rPr>
        <w:t xml:space="preserve"> </w:t>
      </w:r>
      <w:r w:rsidRPr="00FE50A6">
        <w:rPr>
          <w:rFonts w:eastAsia="Batang" w:cs="Times"/>
          <w:noProof/>
          <w:szCs w:val="24"/>
          <w:lang w:val="en-US"/>
        </w:rPr>
        <w:t>On November 3,</w:t>
      </w:r>
      <w:r w:rsidR="00BA1ACF" w:rsidRPr="00FE50A6">
        <w:rPr>
          <w:rFonts w:eastAsia="Batang" w:cs="Times"/>
          <w:noProof/>
          <w:szCs w:val="24"/>
          <w:lang w:val="en-US"/>
        </w:rPr>
        <w:t xml:space="preserve"> 2011</w:t>
      </w:r>
      <w:r w:rsidRPr="00FE50A6">
        <w:rPr>
          <w:rFonts w:eastAsia="Batang" w:cs="Times"/>
          <w:noProof/>
          <w:szCs w:val="24"/>
          <w:lang w:val="en-US"/>
        </w:rPr>
        <w:t>,</w:t>
      </w:r>
      <w:r w:rsidR="00BA1ACF" w:rsidRPr="00FE50A6">
        <w:rPr>
          <w:rFonts w:eastAsia="Batang" w:cs="Times"/>
          <w:noProof/>
          <w:szCs w:val="24"/>
          <w:lang w:val="en-US"/>
        </w:rPr>
        <w:t xml:space="preserve"> </w:t>
      </w:r>
      <w:r w:rsidR="000228D0" w:rsidRPr="00FE50A6">
        <w:rPr>
          <w:rFonts w:eastAsia="Batang" w:cs="Times"/>
          <w:noProof/>
          <w:szCs w:val="24"/>
          <w:lang w:val="en-US"/>
        </w:rPr>
        <w:t>the Commission</w:t>
      </w:r>
      <w:r w:rsidR="00BA1ACF" w:rsidRPr="00FE50A6">
        <w:rPr>
          <w:rFonts w:eastAsia="Batang" w:cs="Times"/>
          <w:noProof/>
          <w:szCs w:val="24"/>
          <w:lang w:val="en-US"/>
        </w:rPr>
        <w:t xml:space="preserve"> </w:t>
      </w:r>
      <w:r w:rsidRPr="00FE50A6">
        <w:rPr>
          <w:rFonts w:eastAsia="Batang" w:cs="Times"/>
          <w:noProof/>
          <w:szCs w:val="24"/>
          <w:lang w:val="en-US"/>
        </w:rPr>
        <w:t>issued</w:t>
      </w:r>
      <w:r w:rsidR="00BA1ACF" w:rsidRPr="00FE50A6">
        <w:rPr>
          <w:rFonts w:eastAsia="Batang" w:cs="Times"/>
          <w:noProof/>
          <w:szCs w:val="24"/>
          <w:lang w:val="en-US"/>
        </w:rPr>
        <w:t xml:space="preserve"> </w:t>
      </w:r>
      <w:r w:rsidRPr="00FE50A6">
        <w:rPr>
          <w:rFonts w:eastAsia="Batang" w:cs="Times"/>
          <w:noProof/>
          <w:szCs w:val="24"/>
          <w:lang w:val="en-US"/>
        </w:rPr>
        <w:t>Admissibility and Merits Report</w:t>
      </w:r>
      <w:r w:rsidR="00BA1ACF" w:rsidRPr="00FE50A6">
        <w:rPr>
          <w:rFonts w:eastAsia="Batang" w:cs="Times"/>
          <w:noProof/>
          <w:szCs w:val="24"/>
          <w:lang w:val="en-US"/>
        </w:rPr>
        <w:t xml:space="preserve"> No. 169/11</w:t>
      </w:r>
      <w:r w:rsidRPr="00FE50A6">
        <w:rPr>
          <w:rFonts w:eastAsia="Batang" w:cs="Times"/>
          <w:noProof/>
          <w:szCs w:val="24"/>
          <w:lang w:val="en-US"/>
        </w:rPr>
        <w:t xml:space="preserve"> pursuant to </w:t>
      </w:r>
      <w:r w:rsidR="000228D0" w:rsidRPr="00FE50A6">
        <w:rPr>
          <w:rFonts w:eastAsia="Batang" w:cs="Times"/>
          <w:noProof/>
          <w:szCs w:val="24"/>
          <w:lang w:val="en-US"/>
        </w:rPr>
        <w:t>Article</w:t>
      </w:r>
      <w:r w:rsidR="00BA1ACF" w:rsidRPr="00FE50A6">
        <w:rPr>
          <w:rFonts w:eastAsia="Batang" w:cs="Times"/>
          <w:noProof/>
          <w:szCs w:val="24"/>
          <w:lang w:val="en-US"/>
        </w:rPr>
        <w:t xml:space="preserve"> 50</w:t>
      </w:r>
      <w:r w:rsidR="000228D0" w:rsidRPr="00FE50A6">
        <w:rPr>
          <w:rFonts w:eastAsia="Batang" w:cs="Times"/>
          <w:noProof/>
          <w:szCs w:val="24"/>
          <w:lang w:val="en-US"/>
        </w:rPr>
        <w:t xml:space="preserve"> of the American Convention</w:t>
      </w:r>
      <w:r w:rsidR="00BA1ACF" w:rsidRPr="00FE50A6">
        <w:rPr>
          <w:rFonts w:eastAsia="Batang" w:cs="Times"/>
          <w:noProof/>
          <w:szCs w:val="24"/>
          <w:lang w:val="en-US"/>
        </w:rPr>
        <w:t xml:space="preserve"> (</w:t>
      </w:r>
      <w:r w:rsidR="000228D0" w:rsidRPr="00FE50A6">
        <w:rPr>
          <w:rFonts w:eastAsia="Batang" w:cs="Times"/>
          <w:noProof/>
          <w:szCs w:val="24"/>
          <w:lang w:val="en-US"/>
        </w:rPr>
        <w:t>hereinafter</w:t>
      </w:r>
      <w:r w:rsidR="00BA1ACF" w:rsidRPr="00FE50A6">
        <w:rPr>
          <w:rFonts w:eastAsia="Batang" w:cs="Times"/>
          <w:noProof/>
          <w:szCs w:val="24"/>
          <w:lang w:val="en-US"/>
        </w:rPr>
        <w:t xml:space="preserve"> </w:t>
      </w:r>
      <w:r w:rsidR="009C48A4" w:rsidRPr="00FE50A6">
        <w:rPr>
          <w:rFonts w:eastAsia="Batang" w:cs="Times"/>
          <w:noProof/>
          <w:szCs w:val="24"/>
          <w:lang w:val="en-US"/>
        </w:rPr>
        <w:t>“</w:t>
      </w:r>
      <w:r w:rsidRPr="00FE50A6">
        <w:rPr>
          <w:rFonts w:eastAsia="Batang" w:cs="Times"/>
          <w:noProof/>
          <w:szCs w:val="24"/>
          <w:lang w:val="en-US"/>
        </w:rPr>
        <w:t>Admissibility and Merits Report</w:t>
      </w:r>
      <w:r w:rsidR="009C48A4" w:rsidRPr="00FE50A6">
        <w:rPr>
          <w:rFonts w:eastAsia="Batang" w:cs="Times"/>
          <w:noProof/>
          <w:szCs w:val="24"/>
          <w:lang w:val="en-US"/>
        </w:rPr>
        <w:t>”</w:t>
      </w:r>
      <w:r w:rsidR="00BA1ACF" w:rsidRPr="00FE50A6">
        <w:rPr>
          <w:rFonts w:eastAsia="Batang" w:cs="Times"/>
          <w:noProof/>
          <w:szCs w:val="24"/>
          <w:lang w:val="en-US"/>
        </w:rPr>
        <w:t xml:space="preserve">), </w:t>
      </w:r>
      <w:r w:rsidRPr="00FE50A6">
        <w:rPr>
          <w:rFonts w:eastAsia="Batang" w:cs="Times"/>
          <w:noProof/>
          <w:szCs w:val="24"/>
          <w:lang w:val="en-US"/>
        </w:rPr>
        <w:t>in which it reached a</w:t>
      </w:r>
      <w:r w:rsidR="00BA1ACF" w:rsidRPr="00FE50A6">
        <w:rPr>
          <w:rFonts w:eastAsia="Batang" w:cs="Times"/>
          <w:noProof/>
          <w:szCs w:val="24"/>
          <w:lang w:val="en-US"/>
        </w:rPr>
        <w:t xml:space="preserve"> </w:t>
      </w:r>
      <w:r w:rsidRPr="00FE50A6">
        <w:rPr>
          <w:rFonts w:eastAsia="Batang" w:cs="Times"/>
          <w:noProof/>
          <w:szCs w:val="24"/>
          <w:lang w:val="en-US"/>
        </w:rPr>
        <w:t>s</w:t>
      </w:r>
      <w:r w:rsidR="005F1946" w:rsidRPr="00FE50A6">
        <w:rPr>
          <w:rFonts w:eastAsia="Batang" w:cs="Times"/>
          <w:noProof/>
          <w:szCs w:val="24"/>
          <w:lang w:val="en-US"/>
        </w:rPr>
        <w:t xml:space="preserve">eries </w:t>
      </w:r>
      <w:r w:rsidRPr="00FE50A6">
        <w:rPr>
          <w:rFonts w:eastAsia="Batang" w:cs="Times"/>
          <w:noProof/>
          <w:szCs w:val="24"/>
          <w:lang w:val="en-US"/>
        </w:rPr>
        <w:t>of conclusions and made several recommendations to the State</w:t>
      </w:r>
      <w:r w:rsidR="00BA1ACF" w:rsidRPr="00FE50A6">
        <w:rPr>
          <w:rFonts w:eastAsia="Batang" w:cs="Times"/>
          <w:noProof/>
          <w:szCs w:val="24"/>
          <w:lang w:val="en-US"/>
        </w:rPr>
        <w:t xml:space="preserve">. </w:t>
      </w:r>
    </w:p>
    <w:p w14:paraId="7BA2F938" w14:textId="77777777" w:rsidR="00D131BC" w:rsidRPr="00FE50A6" w:rsidRDefault="00D131BC" w:rsidP="00140440">
      <w:pPr>
        <w:tabs>
          <w:tab w:val="clear" w:pos="4419"/>
          <w:tab w:val="clear" w:pos="8838"/>
        </w:tabs>
        <w:jc w:val="both"/>
        <w:rPr>
          <w:rFonts w:eastAsia="Batang" w:cs="Times"/>
          <w:szCs w:val="24"/>
          <w:lang w:val="en-US"/>
        </w:rPr>
      </w:pPr>
    </w:p>
    <w:p w14:paraId="363FD859" w14:textId="77777777" w:rsidR="00BA1ACF" w:rsidRPr="00FE50A6" w:rsidRDefault="00BA1ACF" w:rsidP="002540C6">
      <w:pPr>
        <w:numPr>
          <w:ilvl w:val="0"/>
          <w:numId w:val="3"/>
        </w:numPr>
        <w:tabs>
          <w:tab w:val="clear" w:pos="4419"/>
          <w:tab w:val="clear" w:pos="8838"/>
          <w:tab w:val="left" w:pos="426"/>
        </w:tabs>
        <w:ind w:left="1418" w:right="29"/>
        <w:jc w:val="both"/>
        <w:rPr>
          <w:rFonts w:eastAsia="Calibri" w:cs="Times New Roman"/>
          <w:noProof/>
          <w:szCs w:val="20"/>
          <w:lang w:val="en-US"/>
        </w:rPr>
      </w:pPr>
      <w:r w:rsidRPr="00FE50A6">
        <w:rPr>
          <w:rFonts w:eastAsia="Calibri" w:cs="Times New Roman"/>
          <w:i/>
          <w:noProof/>
          <w:szCs w:val="20"/>
          <w:lang w:val="en-US"/>
        </w:rPr>
        <w:t xml:space="preserve">Conclusions. </w:t>
      </w:r>
      <w:r w:rsidR="000228D0" w:rsidRPr="00FE50A6">
        <w:rPr>
          <w:rFonts w:eastAsia="Calibri" w:cs="Times New Roman"/>
          <w:noProof/>
          <w:szCs w:val="20"/>
          <w:lang w:val="en-US"/>
        </w:rPr>
        <w:t>The Commission</w:t>
      </w:r>
      <w:r w:rsidRPr="00FE50A6">
        <w:rPr>
          <w:rFonts w:eastAsia="Calibri" w:cs="Times New Roman"/>
          <w:noProof/>
          <w:szCs w:val="20"/>
          <w:lang w:val="en-US"/>
        </w:rPr>
        <w:t xml:space="preserve"> </w:t>
      </w:r>
      <w:r w:rsidR="00B4312B" w:rsidRPr="00FE50A6">
        <w:rPr>
          <w:rFonts w:eastAsia="Calibri" w:cs="Times New Roman"/>
          <w:noProof/>
          <w:szCs w:val="20"/>
          <w:lang w:val="en-US"/>
        </w:rPr>
        <w:t>concluded</w:t>
      </w:r>
      <w:r w:rsidR="00030C17" w:rsidRPr="00FE50A6">
        <w:rPr>
          <w:rFonts w:eastAsia="Calibri" w:cs="Times New Roman"/>
          <w:noProof/>
          <w:szCs w:val="20"/>
          <w:lang w:val="en-US"/>
        </w:rPr>
        <w:t xml:space="preserve"> that the State was internationally responsible for: </w:t>
      </w:r>
    </w:p>
    <w:p w14:paraId="4A5BA3AD" w14:textId="77777777" w:rsidR="00BA1ACF" w:rsidRPr="00FE50A6" w:rsidRDefault="00BA1ACF" w:rsidP="00140440">
      <w:pPr>
        <w:tabs>
          <w:tab w:val="clear" w:pos="4419"/>
          <w:tab w:val="clear" w:pos="8838"/>
          <w:tab w:val="left" w:pos="426"/>
        </w:tabs>
        <w:ind w:left="2214" w:right="29"/>
        <w:jc w:val="both"/>
        <w:rPr>
          <w:rFonts w:eastAsia="Calibri" w:cs="Times New Roman"/>
          <w:noProof/>
          <w:szCs w:val="20"/>
          <w:lang w:val="en-US"/>
        </w:rPr>
      </w:pPr>
      <w:r w:rsidRPr="00FE50A6">
        <w:rPr>
          <w:rFonts w:eastAsia="Calibri" w:cs="Times New Roman"/>
          <w:noProof/>
          <w:szCs w:val="20"/>
          <w:lang w:val="en-US"/>
        </w:rPr>
        <w:t xml:space="preserve"> </w:t>
      </w:r>
    </w:p>
    <w:p w14:paraId="38A2F96B" w14:textId="77777777" w:rsidR="00BA1ACF" w:rsidRPr="00FE50A6" w:rsidRDefault="007B78D5"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V</w:t>
      </w:r>
      <w:r w:rsidR="00703850" w:rsidRPr="00FE50A6">
        <w:rPr>
          <w:rFonts w:eastAsia="Calibri" w:cs="Times New Roman"/>
          <w:noProof/>
          <w:sz w:val="18"/>
          <w:szCs w:val="18"/>
          <w:lang w:val="en-US"/>
        </w:rPr>
        <w:t>iolation</w:t>
      </w:r>
      <w:r w:rsidR="00030C17" w:rsidRPr="00FE50A6">
        <w:rPr>
          <w:rFonts w:eastAsia="Calibri" w:cs="Times New Roman"/>
          <w:noProof/>
          <w:sz w:val="18"/>
          <w:szCs w:val="18"/>
          <w:lang w:val="en-US"/>
        </w:rPr>
        <w:t xml:space="preserve"> of the rights reco</w:t>
      </w:r>
      <w:r w:rsidR="000B587F" w:rsidRPr="00FE50A6">
        <w:rPr>
          <w:rFonts w:eastAsia="Calibri" w:cs="Times New Roman"/>
          <w:noProof/>
          <w:sz w:val="18"/>
          <w:szCs w:val="18"/>
          <w:lang w:val="en-US"/>
        </w:rPr>
        <w:t>g</w:t>
      </w:r>
      <w:r w:rsidR="00030C17" w:rsidRPr="00FE50A6">
        <w:rPr>
          <w:rFonts w:eastAsia="Calibri" w:cs="Times New Roman"/>
          <w:noProof/>
          <w:sz w:val="18"/>
          <w:szCs w:val="18"/>
          <w:lang w:val="en-US"/>
        </w:rPr>
        <w:t>nized in</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6, 5, 7, 22, 8</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25</w:t>
      </w:r>
      <w:r w:rsidR="000228D0" w:rsidRPr="00FE50A6">
        <w:rPr>
          <w:rFonts w:eastAsia="Calibri" w:cs="Times New Roman"/>
          <w:noProof/>
          <w:sz w:val="18"/>
          <w:szCs w:val="18"/>
          <w:lang w:val="en-US"/>
        </w:rPr>
        <w:t xml:space="preserve"> of the Convention</w:t>
      </w:r>
      <w:r w:rsidR="00BA1ACF" w:rsidRPr="00FE50A6">
        <w:rPr>
          <w:rFonts w:eastAsia="Calibri" w:cs="Times New Roman"/>
          <w:noProof/>
          <w:sz w:val="18"/>
          <w:szCs w:val="18"/>
          <w:lang w:val="en-US"/>
        </w:rPr>
        <w:t xml:space="preserve">, </w:t>
      </w:r>
      <w:r w:rsidR="000B587F" w:rsidRPr="00FE50A6">
        <w:rPr>
          <w:rFonts w:eastAsia="Calibri" w:cs="Times New Roman"/>
          <w:noProof/>
          <w:sz w:val="18"/>
          <w:szCs w:val="18"/>
          <w:lang w:val="en-US"/>
        </w:rPr>
        <w:t>in relation to Article 1(1)</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of this instrument</w:t>
      </w:r>
      <w:r w:rsidR="00100481"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of the</w:t>
      </w:r>
      <w:r w:rsidR="00BA1ACF" w:rsidRPr="00FE50A6">
        <w:rPr>
          <w:rFonts w:eastAsia="Calibri" w:cs="Times New Roman"/>
          <w:noProof/>
          <w:sz w:val="18"/>
          <w:szCs w:val="18"/>
          <w:lang w:val="en-US"/>
        </w:rPr>
        <w:t xml:space="preserve"> </w:t>
      </w:r>
      <w:r w:rsidR="00030C17" w:rsidRPr="00FE50A6">
        <w:rPr>
          <w:rFonts w:eastAsia="Calibri" w:cs="Times New Roman"/>
          <w:noProof/>
          <w:sz w:val="18"/>
          <w:szCs w:val="18"/>
          <w:lang w:val="en-US"/>
        </w:rPr>
        <w:t xml:space="preserve">Hacienda </w:t>
      </w:r>
      <w:r w:rsidR="00322241" w:rsidRPr="00FE50A6">
        <w:rPr>
          <w:rFonts w:eastAsia="Calibri" w:cs="Times New Roman"/>
          <w:noProof/>
          <w:sz w:val="18"/>
          <w:szCs w:val="18"/>
          <w:lang w:val="en-US"/>
        </w:rPr>
        <w:t>Brasil Verde</w:t>
      </w:r>
      <w:r w:rsidR="00030C17" w:rsidRPr="00FE50A6">
        <w:rPr>
          <w:rFonts w:eastAsia="Calibri" w:cs="Times New Roman"/>
          <w:noProof/>
          <w:sz w:val="18"/>
          <w:szCs w:val="18"/>
          <w:lang w:val="en-US"/>
        </w:rPr>
        <w:t xml:space="preserve"> Workers</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found in the inspections carried out in</w:t>
      </w:r>
      <w:r w:rsidR="00BA1ACF" w:rsidRPr="00FE50A6">
        <w:rPr>
          <w:rFonts w:eastAsia="Calibri" w:cs="Times New Roman"/>
          <w:noProof/>
          <w:sz w:val="18"/>
          <w:szCs w:val="18"/>
          <w:lang w:val="en-US"/>
        </w:rPr>
        <w:t xml:space="preserve"> 1993, 1996, 1997</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2000.</w:t>
      </w:r>
    </w:p>
    <w:p w14:paraId="5F4741FB" w14:textId="77777777" w:rsidR="00BA1ACF" w:rsidRPr="00FE50A6" w:rsidRDefault="007B78D5"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V</w:t>
      </w:r>
      <w:r w:rsidR="00703850" w:rsidRPr="00FE50A6">
        <w:rPr>
          <w:rFonts w:eastAsia="Calibri" w:cs="Times New Roman"/>
          <w:noProof/>
          <w:sz w:val="18"/>
          <w:szCs w:val="18"/>
          <w:lang w:val="en-US"/>
        </w:rPr>
        <w:t>iolation</w:t>
      </w:r>
      <w:r w:rsidR="00030C17" w:rsidRPr="00FE50A6">
        <w:rPr>
          <w:rFonts w:eastAsia="Calibri" w:cs="Times New Roman"/>
          <w:noProof/>
          <w:sz w:val="18"/>
          <w:szCs w:val="18"/>
          <w:lang w:val="en-US"/>
        </w:rPr>
        <w:t xml:space="preserve"> of the rights reco</w:t>
      </w:r>
      <w:r w:rsidR="000B587F" w:rsidRPr="00FE50A6">
        <w:rPr>
          <w:rFonts w:eastAsia="Calibri" w:cs="Times New Roman"/>
          <w:noProof/>
          <w:sz w:val="18"/>
          <w:szCs w:val="18"/>
          <w:lang w:val="en-US"/>
        </w:rPr>
        <w:t>g</w:t>
      </w:r>
      <w:r w:rsidR="00030C17" w:rsidRPr="00FE50A6">
        <w:rPr>
          <w:rFonts w:eastAsia="Calibri" w:cs="Times New Roman"/>
          <w:noProof/>
          <w:sz w:val="18"/>
          <w:szCs w:val="18"/>
          <w:lang w:val="en-US"/>
        </w:rPr>
        <w:t>nized in</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I, II, XIV, VIII</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XVIII</w:t>
      </w:r>
      <w:r w:rsidR="00703850" w:rsidRPr="00FE50A6">
        <w:rPr>
          <w:rFonts w:eastAsia="Calibri" w:cs="Times New Roman"/>
          <w:noProof/>
          <w:sz w:val="18"/>
          <w:szCs w:val="18"/>
          <w:lang w:val="en-US"/>
        </w:rPr>
        <w:t xml:space="preserve"> of the American Declaration of the Rights and Duties of Man </w:t>
      </w:r>
      <w:r w:rsidR="00BA1ACF" w:rsidRPr="00FE50A6">
        <w:rPr>
          <w:rFonts w:eastAsia="Calibri" w:cs="Times New Roman"/>
          <w:noProof/>
          <w:sz w:val="18"/>
          <w:szCs w:val="18"/>
          <w:lang w:val="en-US"/>
        </w:rPr>
        <w:t>(</w:t>
      </w:r>
      <w:r w:rsidR="000228D0" w:rsidRPr="00FE50A6">
        <w:rPr>
          <w:rFonts w:eastAsia="Calibri" w:cs="Times New Roman"/>
          <w:noProof/>
          <w:sz w:val="18"/>
          <w:szCs w:val="18"/>
          <w:lang w:val="en-US"/>
        </w:rPr>
        <w:t>hereinafter</w:t>
      </w:r>
      <w:r w:rsidR="00BA1ACF" w:rsidRPr="00FE50A6">
        <w:rPr>
          <w:rFonts w:eastAsia="Calibri" w:cs="Times New Roman"/>
          <w:noProof/>
          <w:sz w:val="18"/>
          <w:szCs w:val="18"/>
          <w:lang w:val="en-US"/>
        </w:rPr>
        <w:t xml:space="preserve"> </w:t>
      </w:r>
      <w:r w:rsidR="009C48A4" w:rsidRPr="00FE50A6">
        <w:rPr>
          <w:rFonts w:eastAsia="Calibri" w:cs="Times New Roman"/>
          <w:noProof/>
          <w:sz w:val="18"/>
          <w:szCs w:val="18"/>
          <w:lang w:val="en-US"/>
        </w:rPr>
        <w:t>“</w:t>
      </w:r>
      <w:r w:rsidRPr="00FE50A6">
        <w:rPr>
          <w:rFonts w:eastAsia="Calibri" w:cs="Times New Roman"/>
          <w:noProof/>
          <w:sz w:val="18"/>
          <w:szCs w:val="18"/>
          <w:lang w:val="en-US"/>
        </w:rPr>
        <w:t xml:space="preserve">the </w:t>
      </w:r>
      <w:r w:rsidR="00703850" w:rsidRPr="00FE50A6">
        <w:rPr>
          <w:rFonts w:eastAsia="Calibri" w:cs="Times New Roman"/>
          <w:noProof/>
          <w:sz w:val="18"/>
          <w:szCs w:val="18"/>
          <w:lang w:val="en-US"/>
        </w:rPr>
        <w:t>American Declaration</w:t>
      </w:r>
      <w:r w:rsidR="009C48A4"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o</w:t>
      </w:r>
      <w:r w:rsidR="00703850" w:rsidRPr="00FE50A6">
        <w:rPr>
          <w:rFonts w:eastAsia="Calibri" w:cs="Times New Roman"/>
          <w:noProof/>
          <w:sz w:val="18"/>
          <w:szCs w:val="18"/>
          <w:lang w:val="en-US"/>
        </w:rPr>
        <w:t>r</w:t>
      </w:r>
      <w:r w:rsidR="00BA1ACF" w:rsidRPr="00FE50A6">
        <w:rPr>
          <w:rFonts w:eastAsia="Calibri" w:cs="Times New Roman"/>
          <w:noProof/>
          <w:sz w:val="18"/>
          <w:szCs w:val="18"/>
          <w:lang w:val="en-US"/>
        </w:rPr>
        <w:t xml:space="preserve"> </w:t>
      </w:r>
      <w:r w:rsidR="009C48A4" w:rsidRPr="00FE50A6">
        <w:rPr>
          <w:rFonts w:eastAsia="Calibri" w:cs="Times New Roman"/>
          <w:noProof/>
          <w:sz w:val="18"/>
          <w:szCs w:val="18"/>
          <w:lang w:val="en-US"/>
        </w:rPr>
        <w:t>“</w:t>
      </w:r>
      <w:r w:rsidRPr="00FE50A6">
        <w:rPr>
          <w:rFonts w:eastAsia="Calibri" w:cs="Times New Roman"/>
          <w:noProof/>
          <w:sz w:val="18"/>
          <w:szCs w:val="18"/>
          <w:lang w:val="en-US"/>
        </w:rPr>
        <w:t xml:space="preserve">the </w:t>
      </w:r>
      <w:r w:rsidR="00703850" w:rsidRPr="00FE50A6">
        <w:rPr>
          <w:rFonts w:eastAsia="Calibri" w:cs="Times New Roman"/>
          <w:noProof/>
          <w:sz w:val="18"/>
          <w:szCs w:val="18"/>
          <w:lang w:val="en-US"/>
        </w:rPr>
        <w:t>Declaration</w:t>
      </w:r>
      <w:r w:rsidR="009C48A4"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and, after September 25,</w:t>
      </w:r>
      <w:r w:rsidR="00BA1ACF" w:rsidRPr="00FE50A6">
        <w:rPr>
          <w:rFonts w:eastAsia="Calibri" w:cs="Times New Roman"/>
          <w:noProof/>
          <w:sz w:val="18"/>
          <w:szCs w:val="18"/>
          <w:lang w:val="en-US"/>
        </w:rPr>
        <w:t xml:space="preserve"> 1992, </w:t>
      </w:r>
      <w:r w:rsidR="00703850" w:rsidRPr="00FE50A6">
        <w:rPr>
          <w:rFonts w:eastAsia="Calibri" w:cs="Times New Roman"/>
          <w:noProof/>
          <w:sz w:val="18"/>
          <w:szCs w:val="18"/>
          <w:lang w:val="en-US"/>
        </w:rPr>
        <w:t>violation</w:t>
      </w:r>
      <w:r w:rsidR="00030C17" w:rsidRPr="00FE50A6">
        <w:rPr>
          <w:rFonts w:eastAsia="Calibri" w:cs="Times New Roman"/>
          <w:noProof/>
          <w:sz w:val="18"/>
          <w:szCs w:val="18"/>
          <w:lang w:val="en-US"/>
        </w:rPr>
        <w:t xml:space="preserve"> of</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8</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25</w:t>
      </w:r>
      <w:r w:rsidR="000228D0" w:rsidRPr="00FE50A6">
        <w:rPr>
          <w:rFonts w:eastAsia="Calibri" w:cs="Times New Roman"/>
          <w:noProof/>
          <w:sz w:val="18"/>
          <w:szCs w:val="18"/>
          <w:lang w:val="en-US"/>
        </w:rPr>
        <w:t xml:space="preserve"> of the Convention</w:t>
      </w:r>
      <w:r w:rsidR="00BA1ACF" w:rsidRPr="00FE50A6">
        <w:rPr>
          <w:rFonts w:eastAsia="Calibri" w:cs="Times New Roman"/>
          <w:noProof/>
          <w:sz w:val="18"/>
          <w:szCs w:val="18"/>
          <w:lang w:val="en-US"/>
        </w:rPr>
        <w:t xml:space="preserve">, </w:t>
      </w:r>
      <w:r w:rsidR="000B587F" w:rsidRPr="00FE50A6">
        <w:rPr>
          <w:rFonts w:eastAsia="Calibri" w:cs="Times New Roman"/>
          <w:noProof/>
          <w:sz w:val="18"/>
          <w:szCs w:val="18"/>
          <w:lang w:val="en-US"/>
        </w:rPr>
        <w:t>in relation to Article 1(1)</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of this instrument</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 xml:space="preserve">to the detrimen </w:t>
      </w:r>
      <w:r w:rsidR="00703850" w:rsidRPr="00FE50A6">
        <w:rPr>
          <w:rFonts w:eastAsia="Calibri" w:cs="Times New Roman"/>
          <w:noProof/>
          <w:sz w:val="18"/>
          <w:szCs w:val="18"/>
          <w:lang w:val="en-US"/>
        </w:rPr>
        <w:t>of</w:t>
      </w:r>
      <w:r w:rsidR="00BA1ACF" w:rsidRPr="00FE50A6">
        <w:rPr>
          <w:rFonts w:eastAsia="Calibri" w:cs="Times New Roman"/>
          <w:noProof/>
          <w:sz w:val="18"/>
          <w:szCs w:val="18"/>
          <w:lang w:val="en-US"/>
        </w:rPr>
        <w:t xml:space="preserve">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030C17" w:rsidRPr="00FE50A6">
        <w:rPr>
          <w:rFonts w:eastAsia="Calibri" w:cs="Times New Roman"/>
          <w:noProof/>
          <w:sz w:val="18"/>
          <w:szCs w:val="18"/>
          <w:lang w:val="en-US"/>
        </w:rPr>
        <w:t xml:space="preserve"> and </w:t>
      </w:r>
      <w:r w:rsidR="00200C04" w:rsidRPr="00FE50A6">
        <w:rPr>
          <w:rFonts w:eastAsia="Calibri" w:cs="Times New Roman"/>
          <w:noProof/>
          <w:sz w:val="18"/>
          <w:szCs w:val="18"/>
          <w:lang w:val="en-US"/>
        </w:rPr>
        <w:t xml:space="preserve">Luis Ferreira </w:t>
      </w:r>
      <w:r w:rsidR="00867094" w:rsidRPr="00FE50A6">
        <w:rPr>
          <w:rFonts w:eastAsia="Calibri" w:cs="Times New Roman"/>
          <w:noProof/>
          <w:sz w:val="18"/>
          <w:szCs w:val="18"/>
          <w:lang w:val="en-US"/>
        </w:rPr>
        <w:t>da Cruz</w:t>
      </w:r>
      <w:r w:rsidR="00BA1ACF" w:rsidRPr="00FE50A6">
        <w:rPr>
          <w:rFonts w:eastAsia="Calibri" w:cs="Times New Roman"/>
          <w:noProof/>
          <w:sz w:val="18"/>
          <w:szCs w:val="18"/>
          <w:lang w:val="en-US"/>
        </w:rPr>
        <w:t>,</w:t>
      </w:r>
      <w:r w:rsidR="00030C17" w:rsidRPr="00FE50A6">
        <w:rPr>
          <w:rFonts w:eastAsia="Calibri" w:cs="Times New Roman"/>
          <w:noProof/>
          <w:sz w:val="18"/>
          <w:szCs w:val="18"/>
          <w:lang w:val="en-US"/>
        </w:rPr>
        <w:t xml:space="preserve"> and </w:t>
      </w:r>
      <w:r w:rsidR="00703850" w:rsidRPr="00FE50A6">
        <w:rPr>
          <w:rFonts w:eastAsia="Calibri" w:cs="Times New Roman"/>
          <w:noProof/>
          <w:sz w:val="18"/>
          <w:szCs w:val="18"/>
          <w:lang w:val="en-US"/>
        </w:rPr>
        <w:t>their next of kin, incl</w:t>
      </w:r>
      <w:r w:rsidR="00700B79" w:rsidRPr="00FE50A6">
        <w:rPr>
          <w:rFonts w:eastAsia="Calibri" w:cs="Times New Roman"/>
          <w:noProof/>
          <w:sz w:val="18"/>
          <w:szCs w:val="18"/>
          <w:lang w:val="en-US"/>
        </w:rPr>
        <w:t>u</w:t>
      </w:r>
      <w:r w:rsidR="00703850" w:rsidRPr="00FE50A6">
        <w:rPr>
          <w:rFonts w:eastAsia="Calibri" w:cs="Times New Roman"/>
          <w:noProof/>
          <w:sz w:val="18"/>
          <w:szCs w:val="18"/>
          <w:lang w:val="en-US"/>
        </w:rPr>
        <w:t>ding</w:t>
      </w:r>
      <w:r w:rsidR="00BA1ACF" w:rsidRPr="00FE50A6">
        <w:rPr>
          <w:rFonts w:eastAsia="Calibri" w:cs="Times New Roman"/>
          <w:noProof/>
          <w:sz w:val="18"/>
          <w:szCs w:val="18"/>
          <w:lang w:val="en-US"/>
        </w:rPr>
        <w:t xml:space="preserve"> José Teodoro da Silva</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Miguel Ferreira da Cruz</w:t>
      </w:r>
      <w:r w:rsidR="00100481"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A</w:t>
      </w:r>
      <w:r w:rsidR="00703850" w:rsidRPr="00FE50A6">
        <w:rPr>
          <w:rFonts w:eastAsia="Calibri" w:cs="Times New Roman"/>
          <w:noProof/>
          <w:sz w:val="18"/>
          <w:szCs w:val="18"/>
          <w:lang w:val="en-US"/>
        </w:rPr>
        <w:t>lso, for violation of Article</w:t>
      </w:r>
      <w:r w:rsidR="00BA1ACF" w:rsidRPr="00FE50A6">
        <w:rPr>
          <w:rFonts w:eastAsia="Calibri" w:cs="Times New Roman"/>
          <w:noProof/>
          <w:sz w:val="18"/>
          <w:szCs w:val="18"/>
          <w:lang w:val="en-US"/>
        </w:rPr>
        <w:t xml:space="preserve"> I </w:t>
      </w:r>
      <w:r w:rsidR="00703850" w:rsidRPr="00FE50A6">
        <w:rPr>
          <w:rFonts w:eastAsia="Calibri" w:cs="Times New Roman"/>
          <w:noProof/>
          <w:sz w:val="18"/>
          <w:szCs w:val="18"/>
          <w:lang w:val="en-US"/>
        </w:rPr>
        <w:t>of the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Declaration</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and, after September 25,</w:t>
      </w:r>
      <w:r w:rsidR="00BA1ACF" w:rsidRPr="00FE50A6">
        <w:rPr>
          <w:rFonts w:eastAsia="Calibri" w:cs="Times New Roman"/>
          <w:noProof/>
          <w:sz w:val="18"/>
          <w:szCs w:val="18"/>
          <w:lang w:val="en-US"/>
        </w:rPr>
        <w:t xml:space="preserve"> 1992, </w:t>
      </w:r>
      <w:r w:rsidR="00703850" w:rsidRPr="00FE50A6">
        <w:rPr>
          <w:rFonts w:eastAsia="Calibri" w:cs="Times New Roman"/>
          <w:noProof/>
          <w:sz w:val="18"/>
          <w:szCs w:val="18"/>
          <w:lang w:val="en-US"/>
        </w:rPr>
        <w:t>of Article</w:t>
      </w:r>
      <w:r w:rsidR="00BA1ACF" w:rsidRPr="00FE50A6">
        <w:rPr>
          <w:rFonts w:eastAsia="Calibri" w:cs="Times New Roman"/>
          <w:noProof/>
          <w:sz w:val="18"/>
          <w:szCs w:val="18"/>
          <w:lang w:val="en-US"/>
        </w:rPr>
        <w:t xml:space="preserve"> 5</w:t>
      </w:r>
      <w:r w:rsidR="000228D0" w:rsidRPr="00FE50A6">
        <w:rPr>
          <w:rFonts w:eastAsia="Calibri" w:cs="Times New Roman"/>
          <w:noProof/>
          <w:sz w:val="18"/>
          <w:szCs w:val="18"/>
          <w:lang w:val="en-US"/>
        </w:rPr>
        <w:t xml:space="preserve"> of the Convention</w:t>
      </w:r>
      <w:r w:rsidR="00100481"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of the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next of kin of</w:t>
      </w:r>
      <w:r w:rsidR="00BA1ACF" w:rsidRPr="00FE50A6">
        <w:rPr>
          <w:rFonts w:eastAsia="Calibri" w:cs="Times New Roman"/>
          <w:noProof/>
          <w:sz w:val="18"/>
          <w:szCs w:val="18"/>
          <w:lang w:val="en-US"/>
        </w:rPr>
        <w:t xml:space="preserve">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030C17" w:rsidRPr="00FE50A6">
        <w:rPr>
          <w:rFonts w:eastAsia="Calibri" w:cs="Times New Roman"/>
          <w:noProof/>
          <w:sz w:val="18"/>
          <w:szCs w:val="18"/>
          <w:lang w:val="en-US"/>
        </w:rPr>
        <w:t xml:space="preserve"> and </w:t>
      </w:r>
      <w:r w:rsidR="00200C04" w:rsidRPr="00FE50A6">
        <w:rPr>
          <w:rFonts w:eastAsia="Calibri" w:cs="Times New Roman"/>
          <w:noProof/>
          <w:sz w:val="18"/>
          <w:szCs w:val="18"/>
          <w:lang w:val="en-US"/>
        </w:rPr>
        <w:t xml:space="preserve">Luis Ferreira </w:t>
      </w:r>
      <w:r w:rsidR="00867094" w:rsidRPr="00FE50A6">
        <w:rPr>
          <w:rFonts w:eastAsia="Calibri" w:cs="Times New Roman"/>
          <w:noProof/>
          <w:sz w:val="18"/>
          <w:szCs w:val="18"/>
          <w:lang w:val="en-US"/>
        </w:rPr>
        <w:t>da Cruz</w:t>
      </w:r>
      <w:r w:rsidR="00BA1ACF" w:rsidRPr="00FE50A6">
        <w:rPr>
          <w:rFonts w:eastAsia="Calibri" w:cs="Times New Roman"/>
          <w:noProof/>
          <w:sz w:val="18"/>
          <w:szCs w:val="18"/>
          <w:lang w:val="en-US"/>
        </w:rPr>
        <w:t>.</w:t>
      </w:r>
    </w:p>
    <w:p w14:paraId="4BBB184B" w14:textId="77777777" w:rsidR="00BA1ACF" w:rsidRPr="00FE50A6" w:rsidRDefault="00D614F2"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V</w:t>
      </w:r>
      <w:r w:rsidR="00703850" w:rsidRPr="00FE50A6">
        <w:rPr>
          <w:rFonts w:eastAsia="Calibri" w:cs="Times New Roman"/>
          <w:noProof/>
          <w:sz w:val="18"/>
          <w:szCs w:val="18"/>
          <w:lang w:val="en-US"/>
        </w:rPr>
        <w:t>iolation</w:t>
      </w:r>
      <w:r w:rsidR="00030C17" w:rsidRPr="00FE50A6">
        <w:rPr>
          <w:rFonts w:eastAsia="Calibri" w:cs="Times New Roman"/>
          <w:noProof/>
          <w:sz w:val="18"/>
          <w:szCs w:val="18"/>
          <w:lang w:val="en-US"/>
        </w:rPr>
        <w:t xml:space="preserve"> of</w:t>
      </w:r>
      <w:r w:rsidR="001F559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Articles</w:t>
      </w:r>
      <w:r w:rsidR="001F559F" w:rsidRPr="00FE50A6">
        <w:rPr>
          <w:rFonts w:eastAsia="Calibri" w:cs="Times New Roman"/>
          <w:noProof/>
          <w:sz w:val="18"/>
          <w:szCs w:val="18"/>
          <w:lang w:val="en-US"/>
        </w:rPr>
        <w:t xml:space="preserve"> I, VII</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 xml:space="preserve">XIV </w:t>
      </w:r>
      <w:r w:rsidR="00703850" w:rsidRPr="00FE50A6">
        <w:rPr>
          <w:rFonts w:eastAsia="Calibri" w:cs="Times New Roman"/>
          <w:noProof/>
          <w:sz w:val="18"/>
          <w:szCs w:val="18"/>
          <w:lang w:val="en-US"/>
        </w:rPr>
        <w:t>of the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Declaration</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and, after September 25,</w:t>
      </w:r>
      <w:r w:rsidR="00BA1ACF" w:rsidRPr="00FE50A6">
        <w:rPr>
          <w:rFonts w:eastAsia="Calibri" w:cs="Times New Roman"/>
          <w:noProof/>
          <w:sz w:val="18"/>
          <w:szCs w:val="18"/>
          <w:lang w:val="en-US"/>
        </w:rPr>
        <w:t xml:space="preserve"> 1992, </w:t>
      </w:r>
      <w:r w:rsidR="00703850" w:rsidRPr="00FE50A6">
        <w:rPr>
          <w:rFonts w:eastAsia="Calibri" w:cs="Times New Roman"/>
          <w:noProof/>
          <w:sz w:val="18"/>
          <w:szCs w:val="18"/>
          <w:lang w:val="en-US"/>
        </w:rPr>
        <w:t>of</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7,</w:t>
      </w:r>
      <w:r w:rsidR="0086259C" w:rsidRPr="00FE50A6">
        <w:rPr>
          <w:rFonts w:eastAsia="Calibri" w:cs="Times New Roman"/>
          <w:noProof/>
          <w:sz w:val="18"/>
          <w:szCs w:val="18"/>
          <w:lang w:val="en-US"/>
        </w:rPr>
        <w:t xml:space="preserve"> </w:t>
      </w:r>
      <w:r w:rsidR="00BA1ACF" w:rsidRPr="00FE50A6">
        <w:rPr>
          <w:rFonts w:eastAsia="Calibri" w:cs="Times New Roman"/>
          <w:noProof/>
          <w:sz w:val="18"/>
          <w:szCs w:val="18"/>
          <w:lang w:val="en-US"/>
        </w:rPr>
        <w:t>5, 4, 3</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19</w:t>
      </w:r>
      <w:r w:rsidR="000228D0" w:rsidRPr="00FE50A6">
        <w:rPr>
          <w:rFonts w:eastAsia="Calibri" w:cs="Times New Roman"/>
          <w:noProof/>
          <w:sz w:val="18"/>
          <w:szCs w:val="18"/>
          <w:lang w:val="en-US"/>
        </w:rPr>
        <w:t xml:space="preserve"> of the Convention</w:t>
      </w:r>
      <w:r w:rsidR="00100481"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w:t>
      </w:r>
      <w:r w:rsidR="000B587F" w:rsidRPr="00FE50A6">
        <w:rPr>
          <w:rFonts w:eastAsia="Calibri" w:cs="Times New Roman"/>
          <w:noProof/>
          <w:sz w:val="18"/>
          <w:szCs w:val="18"/>
          <w:lang w:val="en-US"/>
        </w:rPr>
        <w:t>in relation to Article</w:t>
      </w:r>
      <w:r w:rsidR="000228D0" w:rsidRPr="00FE50A6">
        <w:rPr>
          <w:rFonts w:eastAsia="Calibri" w:cs="Times New Roman"/>
          <w:noProof/>
          <w:sz w:val="18"/>
          <w:szCs w:val="18"/>
          <w:lang w:val="en-US"/>
        </w:rPr>
        <w:t>s</w:t>
      </w:r>
      <w:r w:rsidR="00BA1ACF" w:rsidRPr="00FE50A6">
        <w:rPr>
          <w:rFonts w:eastAsia="Calibri" w:cs="Times New Roman"/>
          <w:noProof/>
          <w:sz w:val="18"/>
          <w:szCs w:val="18"/>
          <w:lang w:val="en-US"/>
        </w:rPr>
        <w:t xml:space="preserve"> 8, 25</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1</w:t>
      </w:r>
      <w:r w:rsidR="00703850" w:rsidRPr="00FE50A6">
        <w:rPr>
          <w:rFonts w:eastAsia="Calibri" w:cs="Times New Roman"/>
          <w:noProof/>
          <w:sz w:val="18"/>
          <w:szCs w:val="18"/>
          <w:lang w:val="en-US"/>
        </w:rPr>
        <w:t>(1)</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of this instrument</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 xml:space="preserve">to the detriment </w:t>
      </w:r>
      <w:r w:rsidR="00703850" w:rsidRPr="00FE50A6">
        <w:rPr>
          <w:rFonts w:eastAsia="Calibri" w:cs="Times New Roman"/>
          <w:noProof/>
          <w:sz w:val="18"/>
          <w:szCs w:val="18"/>
          <w:lang w:val="en-US"/>
        </w:rPr>
        <w:t>of</w:t>
      </w:r>
      <w:r w:rsidR="00BA1ACF" w:rsidRPr="00FE50A6">
        <w:rPr>
          <w:rFonts w:eastAsia="Calibri" w:cs="Times New Roman"/>
          <w:noProof/>
          <w:sz w:val="18"/>
          <w:szCs w:val="18"/>
          <w:lang w:val="en-US"/>
        </w:rPr>
        <w:t xml:space="preserve">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030C17" w:rsidRPr="00FE50A6">
        <w:rPr>
          <w:rFonts w:eastAsia="Calibri" w:cs="Times New Roman"/>
          <w:noProof/>
          <w:sz w:val="18"/>
          <w:szCs w:val="18"/>
          <w:lang w:val="en-US"/>
        </w:rPr>
        <w:t xml:space="preserve"> and </w:t>
      </w:r>
      <w:r w:rsidR="00200C04" w:rsidRPr="00FE50A6">
        <w:rPr>
          <w:rFonts w:eastAsia="Calibri" w:cs="Times New Roman"/>
          <w:noProof/>
          <w:sz w:val="18"/>
          <w:szCs w:val="18"/>
          <w:lang w:val="en-US"/>
        </w:rPr>
        <w:t>Luis Ferreira da Cruz</w:t>
      </w:r>
      <w:r w:rsidR="00BA1ACF" w:rsidRPr="00FE50A6">
        <w:rPr>
          <w:rFonts w:eastAsia="Calibri" w:cs="Times New Roman"/>
          <w:noProof/>
          <w:sz w:val="18"/>
          <w:szCs w:val="18"/>
          <w:lang w:val="en-US"/>
        </w:rPr>
        <w:t>.</w:t>
      </w:r>
    </w:p>
    <w:p w14:paraId="639FD47A" w14:textId="77777777" w:rsidR="00BA1ACF" w:rsidRPr="00FE50A6" w:rsidRDefault="00D614F2"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F</w:t>
      </w:r>
      <w:r w:rsidR="00703850" w:rsidRPr="00FE50A6">
        <w:rPr>
          <w:rFonts w:eastAsia="Calibri" w:cs="Times New Roman"/>
          <w:noProof/>
          <w:sz w:val="18"/>
          <w:szCs w:val="18"/>
          <w:lang w:val="en-US"/>
        </w:rPr>
        <w:t xml:space="preserve">ailure to adopt sufficient and effective measures to ensure, without discrimination, the rights of the workers found during the </w:t>
      </w:r>
      <w:r w:rsidR="00BA1ACF" w:rsidRPr="00FE50A6">
        <w:rPr>
          <w:rFonts w:eastAsia="Calibri" w:cs="Times New Roman"/>
          <w:noProof/>
          <w:sz w:val="18"/>
          <w:szCs w:val="18"/>
          <w:lang w:val="en-US"/>
        </w:rPr>
        <w:t>1993, 1996, 1997</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lastRenderedPageBreak/>
        <w:t>2000</w:t>
      </w:r>
      <w:r w:rsidR="00703850" w:rsidRPr="00FE50A6">
        <w:rPr>
          <w:rFonts w:eastAsia="Calibri" w:cs="Times New Roman"/>
          <w:noProof/>
          <w:sz w:val="18"/>
          <w:szCs w:val="18"/>
          <w:lang w:val="en-US"/>
        </w:rPr>
        <w:t xml:space="preserve"> inspections, in accordamce with </w:t>
      </w:r>
      <w:r w:rsidR="000B587F" w:rsidRPr="00FE50A6">
        <w:rPr>
          <w:rFonts w:eastAsia="Calibri" w:cs="Times New Roman"/>
          <w:noProof/>
          <w:sz w:val="18"/>
          <w:szCs w:val="18"/>
          <w:lang w:val="en-US"/>
        </w:rPr>
        <w:t>Article 1(1)</w:t>
      </w:r>
      <w:r w:rsidR="000228D0" w:rsidRPr="00FE50A6">
        <w:rPr>
          <w:rFonts w:eastAsia="Calibri" w:cs="Times New Roman"/>
          <w:noProof/>
          <w:sz w:val="18"/>
          <w:szCs w:val="18"/>
          <w:lang w:val="en-US"/>
        </w:rPr>
        <w:t xml:space="preserve"> of the Convention</w:t>
      </w:r>
      <w:r w:rsidR="00BA1ACF" w:rsidRPr="00FE50A6">
        <w:rPr>
          <w:rFonts w:eastAsia="Calibri" w:cs="Times New Roman"/>
          <w:noProof/>
          <w:sz w:val="18"/>
          <w:szCs w:val="18"/>
          <w:lang w:val="en-US"/>
        </w:rPr>
        <w:t>,</w:t>
      </w:r>
      <w:r w:rsidR="00703850" w:rsidRPr="00FE50A6">
        <w:rPr>
          <w:rFonts w:eastAsia="Calibri" w:cs="Times New Roman"/>
          <w:noProof/>
          <w:sz w:val="18"/>
          <w:szCs w:val="18"/>
          <w:lang w:val="en-US"/>
        </w:rPr>
        <w:t xml:space="preserve"> in relation to the rights recognized in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6, 5, 7, 22, 8</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 xml:space="preserve">25 </w:t>
      </w:r>
      <w:r w:rsidR="00703850" w:rsidRPr="00FE50A6">
        <w:rPr>
          <w:rFonts w:eastAsia="Calibri" w:cs="Times New Roman"/>
          <w:noProof/>
          <w:sz w:val="18"/>
          <w:szCs w:val="18"/>
          <w:lang w:val="en-US"/>
        </w:rPr>
        <w:t>of this instrument</w:t>
      </w:r>
      <w:r w:rsidR="00BA1ACF" w:rsidRPr="00FE50A6">
        <w:rPr>
          <w:rFonts w:eastAsia="Calibri" w:cs="Times New Roman"/>
          <w:noProof/>
          <w:sz w:val="18"/>
          <w:szCs w:val="18"/>
          <w:lang w:val="en-US"/>
        </w:rPr>
        <w:t>.</w:t>
      </w:r>
    </w:p>
    <w:p w14:paraId="05A7475B" w14:textId="77777777" w:rsidR="00BA1ACF" w:rsidRPr="00FE50A6" w:rsidRDefault="00D614F2"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F</w:t>
      </w:r>
      <w:r w:rsidR="00703850" w:rsidRPr="00FE50A6">
        <w:rPr>
          <w:rFonts w:eastAsia="Calibri" w:cs="Times New Roman"/>
          <w:noProof/>
          <w:sz w:val="18"/>
          <w:szCs w:val="18"/>
          <w:lang w:val="en-US"/>
        </w:rPr>
        <w:t xml:space="preserve">ailure to adopt measures in accordance with </w:t>
      </w:r>
      <w:r w:rsidR="000228D0" w:rsidRPr="00FE50A6">
        <w:rPr>
          <w:rFonts w:eastAsia="Calibri" w:cs="Times New Roman"/>
          <w:noProof/>
          <w:sz w:val="18"/>
          <w:szCs w:val="18"/>
          <w:lang w:val="en-US"/>
        </w:rPr>
        <w:t>Article</w:t>
      </w:r>
      <w:r w:rsidR="00BA1ACF" w:rsidRPr="00FE50A6">
        <w:rPr>
          <w:rFonts w:eastAsia="Calibri" w:cs="Times New Roman"/>
          <w:noProof/>
          <w:sz w:val="18"/>
          <w:szCs w:val="18"/>
          <w:lang w:val="en-US"/>
        </w:rPr>
        <w:t xml:space="preserve"> II </w:t>
      </w:r>
      <w:r w:rsidR="00703850" w:rsidRPr="00FE50A6">
        <w:rPr>
          <w:rFonts w:eastAsia="Calibri" w:cs="Times New Roman"/>
          <w:noProof/>
          <w:sz w:val="18"/>
          <w:szCs w:val="18"/>
          <w:lang w:val="en-US"/>
        </w:rPr>
        <w:t>of the Declaration</w:t>
      </w:r>
      <w:r w:rsidR="00BA1ACF" w:rsidRPr="00FE50A6">
        <w:rPr>
          <w:rFonts w:eastAsia="Calibri" w:cs="Times New Roman"/>
          <w:noProof/>
          <w:sz w:val="18"/>
          <w:szCs w:val="18"/>
          <w:lang w:val="en-US"/>
        </w:rPr>
        <w:t xml:space="preserve">, </w:t>
      </w:r>
      <w:r w:rsidR="000B587F" w:rsidRPr="00FE50A6">
        <w:rPr>
          <w:rFonts w:eastAsia="Calibri" w:cs="Times New Roman"/>
          <w:noProof/>
          <w:sz w:val="18"/>
          <w:szCs w:val="18"/>
          <w:lang w:val="en-US"/>
        </w:rPr>
        <w:t>in relation to Article</w:t>
      </w:r>
      <w:r w:rsidR="00BA1ACF" w:rsidRPr="00FE50A6">
        <w:rPr>
          <w:rFonts w:eastAsia="Calibri" w:cs="Times New Roman"/>
          <w:noProof/>
          <w:sz w:val="18"/>
          <w:szCs w:val="18"/>
          <w:lang w:val="en-US"/>
        </w:rPr>
        <w:t xml:space="preserve"> XVIII </w:t>
      </w:r>
      <w:r w:rsidR="00703850" w:rsidRPr="00FE50A6">
        <w:rPr>
          <w:rFonts w:eastAsia="Calibri" w:cs="Times New Roman"/>
          <w:noProof/>
          <w:sz w:val="18"/>
          <w:szCs w:val="18"/>
          <w:lang w:val="en-US"/>
        </w:rPr>
        <w:t>of this instrument</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and, after</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September 25,</w:t>
      </w:r>
      <w:r w:rsidR="00BA1ACF" w:rsidRPr="00FE50A6">
        <w:rPr>
          <w:rFonts w:eastAsia="Calibri" w:cs="Times New Roman"/>
          <w:noProof/>
          <w:sz w:val="18"/>
          <w:szCs w:val="18"/>
          <w:lang w:val="en-US"/>
        </w:rPr>
        <w:t xml:space="preserve"> 1992, </w:t>
      </w:r>
      <w:r w:rsidR="00703850" w:rsidRPr="00FE50A6">
        <w:rPr>
          <w:rFonts w:eastAsia="Calibri" w:cs="Times New Roman"/>
          <w:noProof/>
          <w:sz w:val="18"/>
          <w:szCs w:val="18"/>
          <w:lang w:val="en-US"/>
        </w:rPr>
        <w:t>with</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Article</w:t>
      </w:r>
      <w:r w:rsidR="00BA1ACF" w:rsidRPr="00FE50A6">
        <w:rPr>
          <w:rFonts w:eastAsia="Calibri" w:cs="Times New Roman"/>
          <w:noProof/>
          <w:sz w:val="18"/>
          <w:szCs w:val="18"/>
          <w:lang w:val="en-US"/>
        </w:rPr>
        <w:t xml:space="preserve"> 1</w:t>
      </w:r>
      <w:r w:rsidR="00703850" w:rsidRPr="00FE50A6">
        <w:rPr>
          <w:rFonts w:eastAsia="Calibri" w:cs="Times New Roman"/>
          <w:noProof/>
          <w:sz w:val="18"/>
          <w:szCs w:val="18"/>
          <w:lang w:val="en-US"/>
        </w:rPr>
        <w:t>(2)</w:t>
      </w:r>
      <w:r w:rsidR="000228D0" w:rsidRPr="00FE50A6">
        <w:rPr>
          <w:rFonts w:eastAsia="Calibri" w:cs="Times New Roman"/>
          <w:noProof/>
          <w:sz w:val="18"/>
          <w:szCs w:val="18"/>
          <w:lang w:val="en-US"/>
        </w:rPr>
        <w:t xml:space="preserve"> of the Convention</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in relatio</w:t>
      </w:r>
      <w:r w:rsidR="00700B79" w:rsidRPr="00FE50A6">
        <w:rPr>
          <w:rFonts w:eastAsia="Calibri" w:cs="Times New Roman"/>
          <w:noProof/>
          <w:sz w:val="18"/>
          <w:szCs w:val="18"/>
          <w:lang w:val="en-US"/>
        </w:rPr>
        <w:t>n</w:t>
      </w:r>
      <w:r w:rsidR="00703850" w:rsidRPr="00FE50A6">
        <w:rPr>
          <w:rFonts w:eastAsia="Calibri" w:cs="Times New Roman"/>
          <w:noProof/>
          <w:sz w:val="18"/>
          <w:szCs w:val="18"/>
          <w:lang w:val="en-US"/>
        </w:rPr>
        <w:t xml:space="preserve"> to the rights recognized in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8</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 xml:space="preserve">25 </w:t>
      </w:r>
      <w:r w:rsidR="00703850" w:rsidRPr="00FE50A6">
        <w:rPr>
          <w:rFonts w:eastAsia="Calibri" w:cs="Times New Roman"/>
          <w:noProof/>
          <w:sz w:val="18"/>
          <w:szCs w:val="18"/>
          <w:lang w:val="en-US"/>
        </w:rPr>
        <w:t>of this instrument</w:t>
      </w:r>
      <w:r w:rsidR="00100481" w:rsidRPr="00FE50A6">
        <w:rPr>
          <w:rFonts w:eastAsia="Calibri" w:cs="Times New Roman"/>
          <w:noProof/>
          <w:sz w:val="18"/>
          <w:szCs w:val="18"/>
          <w:lang w:val="en-US"/>
        </w:rPr>
        <w:t>,</w:t>
      </w:r>
      <w:r w:rsidR="00BA1ACF" w:rsidRPr="00FE50A6">
        <w:rPr>
          <w:rFonts w:eastAsia="Calibri" w:cs="Times New Roman"/>
          <w:noProof/>
          <w:sz w:val="18"/>
          <w:szCs w:val="18"/>
          <w:lang w:val="en-US"/>
        </w:rPr>
        <w:t xml:space="preserve"> </w:t>
      </w:r>
      <w:r w:rsidR="00700B79" w:rsidRPr="00FE50A6">
        <w:rPr>
          <w:rFonts w:eastAsia="Calibri" w:cs="Times New Roman"/>
          <w:noProof/>
          <w:sz w:val="18"/>
          <w:szCs w:val="18"/>
          <w:lang w:val="en-US"/>
        </w:rPr>
        <w:t xml:space="preserve">to the detriment </w:t>
      </w:r>
      <w:r w:rsidR="00703850" w:rsidRPr="00FE50A6">
        <w:rPr>
          <w:rFonts w:eastAsia="Calibri" w:cs="Times New Roman"/>
          <w:noProof/>
          <w:sz w:val="18"/>
          <w:szCs w:val="18"/>
          <w:lang w:val="en-US"/>
        </w:rPr>
        <w:t>of the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 xml:space="preserve">workers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BA1ACF" w:rsidRPr="00FE50A6">
        <w:rPr>
          <w:rFonts w:eastAsia="Calibri" w:cs="Times New Roman"/>
          <w:noProof/>
          <w:sz w:val="18"/>
          <w:szCs w:val="18"/>
          <w:lang w:val="en-US"/>
        </w:rPr>
        <w:t xml:space="preserve">, </w:t>
      </w:r>
      <w:r w:rsidR="00200C04" w:rsidRPr="00FE50A6">
        <w:rPr>
          <w:rFonts w:eastAsia="Calibri" w:cs="Times New Roman"/>
          <w:noProof/>
          <w:sz w:val="18"/>
          <w:szCs w:val="18"/>
          <w:lang w:val="en-US"/>
        </w:rPr>
        <w:t xml:space="preserve">Luis Ferreira </w:t>
      </w:r>
      <w:r w:rsidR="00867094" w:rsidRPr="00FE50A6">
        <w:rPr>
          <w:rFonts w:eastAsia="Calibri" w:cs="Times New Roman"/>
          <w:noProof/>
          <w:sz w:val="18"/>
          <w:szCs w:val="18"/>
          <w:lang w:val="en-US"/>
        </w:rPr>
        <w:t>da Cruz</w:t>
      </w:r>
      <w:r w:rsidR="00BA1ACF" w:rsidRPr="00FE50A6">
        <w:rPr>
          <w:rFonts w:eastAsia="Calibri" w:cs="Times New Roman"/>
          <w:noProof/>
          <w:sz w:val="18"/>
          <w:szCs w:val="18"/>
          <w:lang w:val="en-US"/>
        </w:rPr>
        <w:t xml:space="preserve">, Adailton Martins dos Reis, </w:t>
      </w:r>
      <w:r w:rsidR="00D63260" w:rsidRPr="00FE50A6">
        <w:rPr>
          <w:rFonts w:eastAsia="Calibri" w:cs="Times New Roman"/>
          <w:noProof/>
          <w:sz w:val="18"/>
          <w:szCs w:val="18"/>
          <w:lang w:val="en-US"/>
        </w:rPr>
        <w:t xml:space="preserve">José </w:t>
      </w:r>
      <w:r w:rsidR="00BA1ACF" w:rsidRPr="00FE50A6">
        <w:rPr>
          <w:rFonts w:eastAsia="Calibri" w:cs="Times New Roman"/>
          <w:noProof/>
          <w:sz w:val="18"/>
          <w:szCs w:val="18"/>
          <w:lang w:val="en-US"/>
        </w:rPr>
        <w:t>Soriano Da Costa,</w:t>
      </w:r>
      <w:r w:rsidR="00030C17" w:rsidRPr="00FE50A6">
        <w:rPr>
          <w:rFonts w:eastAsia="Calibri" w:cs="Times New Roman"/>
          <w:noProof/>
          <w:sz w:val="18"/>
          <w:szCs w:val="18"/>
          <w:lang w:val="en-US"/>
        </w:rPr>
        <w:t xml:space="preserve"> and </w:t>
      </w:r>
      <w:r w:rsidR="00703850" w:rsidRPr="00FE50A6">
        <w:rPr>
          <w:rFonts w:eastAsia="Calibri" w:cs="Times New Roman"/>
          <w:noProof/>
          <w:sz w:val="18"/>
          <w:szCs w:val="18"/>
          <w:lang w:val="en-US"/>
        </w:rPr>
        <w:t xml:space="preserve">of the next of kin of the first two, who include </w:t>
      </w:r>
      <w:r w:rsidR="00D63260" w:rsidRPr="00FE50A6">
        <w:rPr>
          <w:rFonts w:eastAsia="Calibri" w:cs="Times New Roman"/>
          <w:noProof/>
          <w:sz w:val="18"/>
          <w:szCs w:val="18"/>
          <w:lang w:val="en-US"/>
        </w:rPr>
        <w:t xml:space="preserve">José </w:t>
      </w:r>
      <w:r w:rsidR="00BA1ACF" w:rsidRPr="00FE50A6">
        <w:rPr>
          <w:rFonts w:eastAsia="Calibri" w:cs="Times New Roman"/>
          <w:noProof/>
          <w:sz w:val="18"/>
          <w:szCs w:val="18"/>
          <w:lang w:val="en-US"/>
        </w:rPr>
        <w:t>Teodoro da Silva</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Miguel Ferreira da Cruz.</w:t>
      </w:r>
    </w:p>
    <w:p w14:paraId="7D692B46" w14:textId="77777777" w:rsidR="00BA1ACF" w:rsidRPr="00FE50A6" w:rsidRDefault="00D614F2"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A</w:t>
      </w:r>
      <w:r w:rsidR="00703850" w:rsidRPr="00FE50A6">
        <w:rPr>
          <w:rFonts w:eastAsia="Calibri" w:cs="Times New Roman"/>
          <w:noProof/>
          <w:sz w:val="18"/>
          <w:szCs w:val="18"/>
          <w:lang w:val="en-US"/>
        </w:rPr>
        <w:t xml:space="preserve">pplication of the statute of limitations in this case in violation of </w:t>
      </w:r>
      <w:r w:rsidR="000228D0" w:rsidRPr="00FE50A6">
        <w:rPr>
          <w:rFonts w:eastAsia="Calibri" w:cs="Times New Roman"/>
          <w:noProof/>
          <w:sz w:val="18"/>
          <w:szCs w:val="18"/>
          <w:lang w:val="en-US"/>
        </w:rPr>
        <w:t>Articles</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8(1)</w:t>
      </w:r>
      <w:r w:rsidR="00030C17" w:rsidRPr="00FE50A6">
        <w:rPr>
          <w:rFonts w:eastAsia="Calibri" w:cs="Times New Roman"/>
          <w:noProof/>
          <w:sz w:val="18"/>
          <w:szCs w:val="18"/>
          <w:lang w:val="en-US"/>
        </w:rPr>
        <w:t xml:space="preserve"> and </w:t>
      </w:r>
      <w:r w:rsidR="00703850" w:rsidRPr="00FE50A6">
        <w:rPr>
          <w:rFonts w:eastAsia="Calibri" w:cs="Times New Roman"/>
          <w:noProof/>
          <w:sz w:val="18"/>
          <w:szCs w:val="18"/>
          <w:lang w:val="en-US"/>
        </w:rPr>
        <w:t>25(1)</w:t>
      </w:r>
      <w:r w:rsidR="000228D0" w:rsidRPr="00FE50A6">
        <w:rPr>
          <w:rFonts w:eastAsia="Calibri" w:cs="Times New Roman"/>
          <w:noProof/>
          <w:sz w:val="18"/>
          <w:szCs w:val="18"/>
          <w:lang w:val="en-US"/>
        </w:rPr>
        <w:t xml:space="preserve"> of the Convention</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in relation to the obligations established in</w:t>
      </w:r>
      <w:r w:rsidR="00BA1ACF" w:rsidRPr="00FE50A6">
        <w:rPr>
          <w:rFonts w:eastAsia="Calibri" w:cs="Times New Roman"/>
          <w:noProof/>
          <w:sz w:val="18"/>
          <w:szCs w:val="18"/>
          <w:lang w:val="en-US"/>
        </w:rPr>
        <w:t xml:space="preserve"> </w:t>
      </w:r>
      <w:r w:rsidR="000B587F" w:rsidRPr="00FE50A6">
        <w:rPr>
          <w:rFonts w:eastAsia="Calibri" w:cs="Times New Roman"/>
          <w:noProof/>
          <w:sz w:val="18"/>
          <w:szCs w:val="18"/>
          <w:lang w:val="en-US"/>
        </w:rPr>
        <w:t>Article 1(1)</w:t>
      </w:r>
      <w:r w:rsidR="00030C17" w:rsidRPr="00FE50A6">
        <w:rPr>
          <w:rFonts w:eastAsia="Calibri" w:cs="Times New Roman"/>
          <w:noProof/>
          <w:sz w:val="18"/>
          <w:szCs w:val="18"/>
          <w:lang w:val="en-US"/>
        </w:rPr>
        <w:t xml:space="preserve"> and </w:t>
      </w:r>
      <w:r w:rsidR="00703850" w:rsidRPr="00FE50A6">
        <w:rPr>
          <w:rFonts w:eastAsia="Calibri" w:cs="Times New Roman"/>
          <w:noProof/>
          <w:sz w:val="18"/>
          <w:szCs w:val="18"/>
          <w:lang w:val="en-US"/>
        </w:rPr>
        <w:t>i</w:t>
      </w:r>
      <w:r w:rsidR="00BA1ACF" w:rsidRPr="00FE50A6">
        <w:rPr>
          <w:rFonts w:eastAsia="Calibri" w:cs="Times New Roman"/>
          <w:noProof/>
          <w:sz w:val="18"/>
          <w:szCs w:val="18"/>
          <w:lang w:val="en-US"/>
        </w:rPr>
        <w:t xml:space="preserve">n </w:t>
      </w:r>
      <w:r w:rsidR="000228D0" w:rsidRPr="00FE50A6">
        <w:rPr>
          <w:rFonts w:eastAsia="Calibri" w:cs="Times New Roman"/>
          <w:noProof/>
          <w:sz w:val="18"/>
          <w:szCs w:val="18"/>
          <w:lang w:val="en-US"/>
        </w:rPr>
        <w:t>Article</w:t>
      </w:r>
      <w:r w:rsidR="00BA1ACF" w:rsidRPr="00FE50A6">
        <w:rPr>
          <w:rFonts w:eastAsia="Calibri" w:cs="Times New Roman"/>
          <w:noProof/>
          <w:sz w:val="18"/>
          <w:szCs w:val="18"/>
          <w:lang w:val="en-US"/>
        </w:rPr>
        <w:t xml:space="preserve"> 2 </w:t>
      </w:r>
      <w:r w:rsidR="00703850" w:rsidRPr="00FE50A6">
        <w:rPr>
          <w:rFonts w:eastAsia="Calibri" w:cs="Times New Roman"/>
          <w:noProof/>
          <w:sz w:val="18"/>
          <w:szCs w:val="18"/>
          <w:lang w:val="en-US"/>
        </w:rPr>
        <w:t>of this</w:t>
      </w:r>
      <w:r w:rsidR="00BA1ACF" w:rsidRPr="00FE50A6">
        <w:rPr>
          <w:rFonts w:eastAsia="Calibri" w:cs="Times New Roman"/>
          <w:noProof/>
          <w:sz w:val="18"/>
          <w:szCs w:val="18"/>
          <w:lang w:val="en-US"/>
        </w:rPr>
        <w:t xml:space="preserve"> instrument, </w:t>
      </w:r>
      <w:r w:rsidR="00703850" w:rsidRPr="00FE50A6">
        <w:rPr>
          <w:rFonts w:eastAsia="Calibri" w:cs="Times New Roman"/>
          <w:noProof/>
          <w:sz w:val="18"/>
          <w:szCs w:val="18"/>
          <w:lang w:val="en-US"/>
        </w:rPr>
        <w:t>to the detriment of the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worker</w:t>
      </w:r>
      <w:r w:rsidR="00BA1ACF" w:rsidRPr="00FE50A6">
        <w:rPr>
          <w:rFonts w:eastAsia="Calibri" w:cs="Times New Roman"/>
          <w:noProof/>
          <w:sz w:val="18"/>
          <w:szCs w:val="18"/>
          <w:lang w:val="en-US"/>
        </w:rPr>
        <w:t xml:space="preserve">s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BA1ACF" w:rsidRPr="00FE50A6">
        <w:rPr>
          <w:rFonts w:eastAsia="Calibri" w:cs="Times New Roman"/>
          <w:noProof/>
          <w:sz w:val="18"/>
          <w:szCs w:val="18"/>
          <w:lang w:val="en-US"/>
        </w:rPr>
        <w:t xml:space="preserve">, </w:t>
      </w:r>
      <w:r w:rsidR="00200C04" w:rsidRPr="00FE50A6">
        <w:rPr>
          <w:rFonts w:eastAsia="Calibri" w:cs="Times New Roman"/>
          <w:noProof/>
          <w:sz w:val="18"/>
          <w:szCs w:val="18"/>
          <w:lang w:val="en-US"/>
        </w:rPr>
        <w:t xml:space="preserve">Luis Ferreira </w:t>
      </w:r>
      <w:r w:rsidR="00867094" w:rsidRPr="00FE50A6">
        <w:rPr>
          <w:rFonts w:eastAsia="Calibri" w:cs="Times New Roman"/>
          <w:noProof/>
          <w:sz w:val="18"/>
          <w:szCs w:val="18"/>
          <w:lang w:val="en-US"/>
        </w:rPr>
        <w:t>da Cruz</w:t>
      </w:r>
      <w:r w:rsidR="00BA1ACF" w:rsidRPr="00FE50A6">
        <w:rPr>
          <w:rFonts w:eastAsia="Calibri" w:cs="Times New Roman"/>
          <w:noProof/>
          <w:sz w:val="18"/>
          <w:szCs w:val="18"/>
          <w:lang w:val="en-US"/>
        </w:rPr>
        <w:t xml:space="preserve">, Adailton Martins dos Reis, </w:t>
      </w:r>
      <w:r w:rsidR="00D63260" w:rsidRPr="00FE50A6">
        <w:rPr>
          <w:rFonts w:eastAsia="Calibri" w:cs="Times New Roman"/>
          <w:noProof/>
          <w:sz w:val="18"/>
          <w:szCs w:val="18"/>
          <w:lang w:val="en-US"/>
        </w:rPr>
        <w:t xml:space="preserve">José </w:t>
      </w:r>
      <w:r w:rsidR="00BA1ACF" w:rsidRPr="00FE50A6">
        <w:rPr>
          <w:rFonts w:eastAsia="Calibri" w:cs="Times New Roman"/>
          <w:noProof/>
          <w:sz w:val="18"/>
          <w:szCs w:val="18"/>
          <w:lang w:val="en-US"/>
        </w:rPr>
        <w:t xml:space="preserve">Soriano Da Costa, </w:t>
      </w:r>
      <w:r w:rsidRPr="00FE50A6">
        <w:rPr>
          <w:rFonts w:eastAsia="Calibri" w:cs="Times New Roman"/>
          <w:noProof/>
          <w:sz w:val="18"/>
          <w:szCs w:val="18"/>
          <w:lang w:val="en-US"/>
        </w:rPr>
        <w:t xml:space="preserve">and of the next of kin of the first two, who include </w:t>
      </w:r>
      <w:r w:rsidR="00D63260" w:rsidRPr="00FE50A6">
        <w:rPr>
          <w:rFonts w:eastAsia="Calibri" w:cs="Times New Roman"/>
          <w:noProof/>
          <w:sz w:val="18"/>
          <w:szCs w:val="18"/>
          <w:lang w:val="en-US"/>
        </w:rPr>
        <w:t xml:space="preserve">José </w:t>
      </w:r>
      <w:r w:rsidR="00BA1ACF" w:rsidRPr="00FE50A6">
        <w:rPr>
          <w:rFonts w:eastAsia="Calibri" w:cs="Times New Roman"/>
          <w:noProof/>
          <w:sz w:val="18"/>
          <w:szCs w:val="18"/>
          <w:lang w:val="en-US"/>
        </w:rPr>
        <w:t>Teodoro da Silva</w:t>
      </w:r>
      <w:r w:rsidR="00030C17" w:rsidRPr="00FE50A6">
        <w:rPr>
          <w:rFonts w:eastAsia="Calibri" w:cs="Times New Roman"/>
          <w:noProof/>
          <w:sz w:val="18"/>
          <w:szCs w:val="18"/>
          <w:lang w:val="en-US"/>
        </w:rPr>
        <w:t xml:space="preserve"> and </w:t>
      </w:r>
      <w:r w:rsidR="00BA1ACF" w:rsidRPr="00FE50A6">
        <w:rPr>
          <w:rFonts w:eastAsia="Calibri" w:cs="Times New Roman"/>
          <w:noProof/>
          <w:sz w:val="18"/>
          <w:szCs w:val="18"/>
          <w:lang w:val="en-US"/>
        </w:rPr>
        <w:t>Miguel Ferreira da Cruz, as</w:t>
      </w:r>
      <w:r w:rsidR="00703850" w:rsidRPr="00FE50A6">
        <w:rPr>
          <w:rFonts w:eastAsia="Calibri" w:cs="Times New Roman"/>
          <w:noProof/>
          <w:sz w:val="18"/>
          <w:szCs w:val="18"/>
          <w:lang w:val="en-US"/>
        </w:rPr>
        <w:t xml:space="preserve"> well as of the workers who were in </w:t>
      </w:r>
      <w:r w:rsidR="00B64BE7" w:rsidRPr="00FE50A6">
        <w:rPr>
          <w:rFonts w:eastAsia="Calibri" w:cs="Times New Roman"/>
          <w:noProof/>
          <w:sz w:val="18"/>
          <w:szCs w:val="18"/>
          <w:lang w:val="en-US"/>
        </w:rPr>
        <w:t>Hacienda</w:t>
      </w:r>
      <w:r w:rsidR="00BA1ACF" w:rsidRPr="00FE50A6">
        <w:rPr>
          <w:rFonts w:eastAsia="Calibri" w:cs="Times New Roman"/>
          <w:noProof/>
          <w:sz w:val="18"/>
          <w:szCs w:val="18"/>
          <w:lang w:val="en-US"/>
        </w:rPr>
        <w:t xml:space="preserve"> </w:t>
      </w:r>
      <w:r w:rsidR="00322241" w:rsidRPr="00FE50A6">
        <w:rPr>
          <w:rFonts w:eastAsia="Calibri" w:cs="Times New Roman"/>
          <w:noProof/>
          <w:sz w:val="18"/>
          <w:szCs w:val="18"/>
          <w:lang w:val="en-US"/>
        </w:rPr>
        <w:t>Brasil Verde</w:t>
      </w:r>
      <w:r w:rsidR="00BA1ACF" w:rsidRPr="00FE50A6">
        <w:rPr>
          <w:rFonts w:eastAsia="Calibri" w:cs="Times New Roman"/>
          <w:noProof/>
          <w:sz w:val="18"/>
          <w:szCs w:val="18"/>
          <w:lang w:val="en-US"/>
        </w:rPr>
        <w:t xml:space="preserve"> </w:t>
      </w:r>
      <w:r w:rsidR="00703850" w:rsidRPr="00FE50A6">
        <w:rPr>
          <w:rFonts w:eastAsia="Calibri" w:cs="Times New Roman"/>
          <w:noProof/>
          <w:sz w:val="18"/>
          <w:szCs w:val="18"/>
          <w:lang w:val="en-US"/>
        </w:rPr>
        <w:t>during the</w:t>
      </w:r>
      <w:r w:rsidR="00BA1ACF" w:rsidRPr="00FE50A6">
        <w:rPr>
          <w:rFonts w:eastAsia="Calibri" w:cs="Times New Roman"/>
          <w:noProof/>
          <w:sz w:val="18"/>
          <w:szCs w:val="18"/>
          <w:lang w:val="en-US"/>
        </w:rPr>
        <w:t xml:space="preserve"> 1997</w:t>
      </w:r>
      <w:r w:rsidR="00703850" w:rsidRPr="00FE50A6">
        <w:rPr>
          <w:rFonts w:eastAsia="Calibri" w:cs="Times New Roman"/>
          <w:noProof/>
          <w:sz w:val="18"/>
          <w:szCs w:val="18"/>
          <w:lang w:val="en-US"/>
        </w:rPr>
        <w:t xml:space="preserve"> inspections</w:t>
      </w:r>
      <w:r w:rsidR="00BA1ACF" w:rsidRPr="00FE50A6">
        <w:rPr>
          <w:rFonts w:eastAsia="Calibri" w:cs="Times New Roman"/>
          <w:noProof/>
          <w:sz w:val="18"/>
          <w:szCs w:val="18"/>
          <w:lang w:val="en-US"/>
        </w:rPr>
        <w:t>.</w:t>
      </w:r>
    </w:p>
    <w:p w14:paraId="46AE05A1" w14:textId="77777777" w:rsidR="00BA1ACF" w:rsidRPr="00FE50A6" w:rsidRDefault="00BA1ACF" w:rsidP="00140440">
      <w:pPr>
        <w:tabs>
          <w:tab w:val="clear" w:pos="4419"/>
          <w:tab w:val="clear" w:pos="8838"/>
          <w:tab w:val="left" w:pos="426"/>
        </w:tabs>
        <w:ind w:right="29" w:firstLine="357"/>
        <w:jc w:val="both"/>
        <w:rPr>
          <w:rFonts w:eastAsia="Calibri" w:cs="Times New Roman"/>
          <w:noProof/>
          <w:sz w:val="18"/>
          <w:szCs w:val="18"/>
          <w:lang w:val="en-US"/>
        </w:rPr>
      </w:pPr>
    </w:p>
    <w:p w14:paraId="1D1ACC3B" w14:textId="77777777" w:rsidR="00BA1ACF" w:rsidRPr="00FE50A6" w:rsidRDefault="00BA1ACF" w:rsidP="002540C6">
      <w:pPr>
        <w:numPr>
          <w:ilvl w:val="0"/>
          <w:numId w:val="3"/>
        </w:numPr>
        <w:tabs>
          <w:tab w:val="clear" w:pos="4419"/>
          <w:tab w:val="clear" w:pos="8838"/>
          <w:tab w:val="left" w:pos="426"/>
        </w:tabs>
        <w:ind w:left="1418" w:right="29"/>
        <w:jc w:val="both"/>
        <w:rPr>
          <w:rFonts w:eastAsia="Calibri" w:cs="Times New Roman"/>
          <w:noProof/>
          <w:szCs w:val="20"/>
          <w:lang w:val="en-US"/>
        </w:rPr>
      </w:pPr>
      <w:r w:rsidRPr="00FE50A6">
        <w:rPr>
          <w:rFonts w:eastAsia="Calibri" w:cs="Verdana"/>
          <w:i/>
          <w:szCs w:val="20"/>
          <w:lang w:val="en-US" w:eastAsia="es-ES"/>
        </w:rPr>
        <w:t>Recom</w:t>
      </w:r>
      <w:r w:rsidR="00703850" w:rsidRPr="00FE50A6">
        <w:rPr>
          <w:rFonts w:eastAsia="Calibri" w:cs="Verdana"/>
          <w:i/>
          <w:szCs w:val="20"/>
          <w:lang w:val="en-US" w:eastAsia="es-ES"/>
        </w:rPr>
        <w:t>m</w:t>
      </w:r>
      <w:r w:rsidRPr="00FE50A6">
        <w:rPr>
          <w:rFonts w:eastAsia="Calibri" w:cs="Verdana"/>
          <w:i/>
          <w:szCs w:val="20"/>
          <w:lang w:val="en-US" w:eastAsia="es-ES"/>
        </w:rPr>
        <w:t>enda</w:t>
      </w:r>
      <w:r w:rsidR="00703850" w:rsidRPr="00FE50A6">
        <w:rPr>
          <w:rFonts w:eastAsia="Calibri" w:cs="Verdana"/>
          <w:i/>
          <w:szCs w:val="20"/>
          <w:lang w:val="en-US" w:eastAsia="es-ES"/>
        </w:rPr>
        <w:t>tion</w:t>
      </w:r>
      <w:r w:rsidRPr="00FE50A6">
        <w:rPr>
          <w:rFonts w:eastAsia="Calibri" w:cs="Verdana"/>
          <w:i/>
          <w:szCs w:val="20"/>
          <w:lang w:val="en-US" w:eastAsia="es-ES"/>
        </w:rPr>
        <w:t>s</w:t>
      </w:r>
      <w:r w:rsidRPr="00FE50A6">
        <w:rPr>
          <w:rFonts w:eastAsia="Calibri" w:cs="Verdana"/>
          <w:szCs w:val="20"/>
          <w:lang w:val="en-US" w:eastAsia="es-ES"/>
        </w:rPr>
        <w:t xml:space="preserve">. </w:t>
      </w:r>
      <w:r w:rsidR="00703850" w:rsidRPr="00FE50A6">
        <w:rPr>
          <w:rFonts w:eastAsia="Calibri" w:cs="Times New Roman"/>
          <w:szCs w:val="20"/>
          <w:lang w:val="en-US"/>
        </w:rPr>
        <w:t xml:space="preserve">Consequently, </w:t>
      </w:r>
      <w:r w:rsidR="000228D0" w:rsidRPr="00FE50A6">
        <w:rPr>
          <w:rFonts w:eastAsia="Calibri" w:cs="Times New Roman"/>
          <w:szCs w:val="20"/>
          <w:lang w:val="en-US"/>
        </w:rPr>
        <w:t>the Commission</w:t>
      </w:r>
      <w:r w:rsidRPr="00FE50A6">
        <w:rPr>
          <w:rFonts w:eastAsia="Calibri" w:cs="Times New Roman"/>
          <w:szCs w:val="20"/>
          <w:lang w:val="en-US"/>
        </w:rPr>
        <w:t xml:space="preserve"> </w:t>
      </w:r>
      <w:r w:rsidR="00703850" w:rsidRPr="00FE50A6">
        <w:rPr>
          <w:rFonts w:eastAsia="Calibri" w:cs="Times New Roman"/>
          <w:szCs w:val="20"/>
          <w:lang w:val="en-US"/>
        </w:rPr>
        <w:t>made the following recommendations to</w:t>
      </w:r>
      <w:r w:rsidR="00030C17" w:rsidRPr="00FE50A6">
        <w:rPr>
          <w:rFonts w:eastAsia="Calibri" w:cs="Times New Roman"/>
          <w:szCs w:val="20"/>
          <w:lang w:val="en-US"/>
        </w:rPr>
        <w:t xml:space="preserve"> the State</w:t>
      </w:r>
      <w:r w:rsidRPr="00FE50A6">
        <w:rPr>
          <w:rFonts w:eastAsia="Calibri" w:cs="Times New Roman"/>
          <w:szCs w:val="20"/>
          <w:lang w:val="en-US"/>
        </w:rPr>
        <w:t xml:space="preserve">: </w:t>
      </w:r>
    </w:p>
    <w:p w14:paraId="2819A5A3" w14:textId="77777777" w:rsidR="00BA1ACF" w:rsidRPr="00FE50A6" w:rsidRDefault="00BA1ACF" w:rsidP="002540C6">
      <w:pPr>
        <w:tabs>
          <w:tab w:val="clear" w:pos="4419"/>
          <w:tab w:val="clear" w:pos="8838"/>
          <w:tab w:val="left" w:pos="426"/>
        </w:tabs>
        <w:ind w:left="1418" w:right="29"/>
        <w:jc w:val="both"/>
        <w:rPr>
          <w:rFonts w:eastAsia="Calibri" w:cs="Times New Roman"/>
          <w:szCs w:val="20"/>
          <w:lang w:val="en-US"/>
        </w:rPr>
      </w:pPr>
      <w:r w:rsidRPr="00FE50A6">
        <w:rPr>
          <w:rFonts w:eastAsia="Calibri" w:cs="Times New Roman"/>
          <w:szCs w:val="20"/>
          <w:lang w:val="en-US"/>
        </w:rPr>
        <w:t xml:space="preserve"> </w:t>
      </w:r>
    </w:p>
    <w:p w14:paraId="7AF42C83" w14:textId="77777777" w:rsidR="00BA1ACF" w:rsidRPr="00FE50A6" w:rsidRDefault="00EB5CB3"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Make adequate pecuniary and non-pecuniary reparation for</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the human rights violations</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In particular</w:t>
      </w:r>
      <w:r w:rsidR="00BA1ACF" w:rsidRPr="00FE50A6">
        <w:rPr>
          <w:rFonts w:eastAsia="Calibri" w:cs="Times New Roman"/>
          <w:noProof/>
          <w:sz w:val="18"/>
          <w:szCs w:val="18"/>
          <w:lang w:val="en-US"/>
        </w:rPr>
        <w:t xml:space="preserve">, </w:t>
      </w:r>
      <w:r w:rsidR="000228D0" w:rsidRPr="00FE50A6">
        <w:rPr>
          <w:rFonts w:eastAsia="Calibri" w:cs="Times New Roman"/>
          <w:noProof/>
          <w:sz w:val="18"/>
          <w:szCs w:val="18"/>
          <w:lang w:val="en-US"/>
        </w:rPr>
        <w:t>the State</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 xml:space="preserve">should ensure </w:t>
      </w:r>
      <w:r w:rsidR="00700B79" w:rsidRPr="00FE50A6">
        <w:rPr>
          <w:rFonts w:eastAsia="Calibri" w:cs="Times New Roman"/>
          <w:noProof/>
          <w:sz w:val="18"/>
          <w:szCs w:val="18"/>
          <w:lang w:val="en-US"/>
        </w:rPr>
        <w:t>restitution to</w:t>
      </w:r>
      <w:r w:rsidRPr="00FE50A6">
        <w:rPr>
          <w:rFonts w:eastAsia="Calibri" w:cs="Times New Roman"/>
          <w:noProof/>
          <w:sz w:val="18"/>
          <w:szCs w:val="18"/>
          <w:lang w:val="en-US"/>
        </w:rPr>
        <w:t xml:space="preserve"> the victims of the </w:t>
      </w:r>
      <w:r w:rsidR="00D614F2" w:rsidRPr="00FE50A6">
        <w:rPr>
          <w:rFonts w:eastAsia="Calibri" w:cs="Times New Roman"/>
          <w:noProof/>
          <w:sz w:val="18"/>
          <w:szCs w:val="18"/>
          <w:lang w:val="en-US"/>
        </w:rPr>
        <w:t>salaries</w:t>
      </w:r>
      <w:r w:rsidRPr="00FE50A6">
        <w:rPr>
          <w:rFonts w:eastAsia="Calibri" w:cs="Times New Roman"/>
          <w:noProof/>
          <w:sz w:val="18"/>
          <w:szCs w:val="18"/>
          <w:lang w:val="en-US"/>
        </w:rPr>
        <w:t xml:space="preserve"> owed for the work performe</w:t>
      </w:r>
      <w:r w:rsidR="00700B79" w:rsidRPr="00FE50A6">
        <w:rPr>
          <w:rFonts w:eastAsia="Calibri" w:cs="Times New Roman"/>
          <w:noProof/>
          <w:sz w:val="18"/>
          <w:szCs w:val="18"/>
          <w:lang w:val="en-US"/>
        </w:rPr>
        <w:t>d</w:t>
      </w:r>
      <w:r w:rsidRPr="00FE50A6">
        <w:rPr>
          <w:rFonts w:eastAsia="Calibri" w:cs="Times New Roman"/>
          <w:noProof/>
          <w:sz w:val="18"/>
          <w:szCs w:val="18"/>
          <w:lang w:val="en-US"/>
        </w:rPr>
        <w:t xml:space="preserve">, together with the sums of money taken from them illegally. If necessary, this restitution may be made from the illegal earnings of the </w:t>
      </w:r>
      <w:r w:rsidR="00B64BE7" w:rsidRPr="00FE50A6">
        <w:rPr>
          <w:rFonts w:eastAsia="Calibri" w:cs="Times New Roman"/>
          <w:noProof/>
          <w:sz w:val="18"/>
          <w:szCs w:val="18"/>
          <w:lang w:val="en-US"/>
        </w:rPr>
        <w:t>Haciend</w:t>
      </w:r>
      <w:r w:rsidR="00D614F2" w:rsidRPr="00FE50A6">
        <w:rPr>
          <w:rFonts w:eastAsia="Calibri" w:cs="Times New Roman"/>
          <w:noProof/>
          <w:sz w:val="18"/>
          <w:szCs w:val="18"/>
          <w:lang w:val="en-US"/>
        </w:rPr>
        <w:t>a’s</w:t>
      </w:r>
      <w:r w:rsidR="00700B79" w:rsidRPr="00FE50A6">
        <w:rPr>
          <w:rFonts w:eastAsia="Calibri" w:cs="Times New Roman"/>
          <w:noProof/>
          <w:sz w:val="18"/>
          <w:szCs w:val="18"/>
          <w:lang w:val="en-US"/>
        </w:rPr>
        <w:t xml:space="preserve"> owners</w:t>
      </w:r>
      <w:r w:rsidR="00BA1ACF" w:rsidRPr="00FE50A6">
        <w:rPr>
          <w:rFonts w:eastAsia="Calibri" w:cs="Times New Roman"/>
          <w:noProof/>
          <w:sz w:val="18"/>
          <w:szCs w:val="18"/>
          <w:lang w:val="en-US"/>
        </w:rPr>
        <w:t>.</w:t>
      </w:r>
    </w:p>
    <w:p w14:paraId="045C96AE" w14:textId="77777777" w:rsidR="00BA1ACF" w:rsidRPr="00FE50A6" w:rsidRDefault="00EB5CB3"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Investigate the facts relat</w:t>
      </w:r>
      <w:r w:rsidR="00D614F2" w:rsidRPr="00FE50A6">
        <w:rPr>
          <w:rFonts w:eastAsia="Calibri" w:cs="Times New Roman"/>
          <w:noProof/>
          <w:sz w:val="18"/>
          <w:szCs w:val="18"/>
          <w:lang w:val="en-US"/>
        </w:rPr>
        <w:t>ing</w:t>
      </w:r>
      <w:r w:rsidRPr="00FE50A6">
        <w:rPr>
          <w:rFonts w:eastAsia="Calibri" w:cs="Times New Roman"/>
          <w:noProof/>
          <w:sz w:val="18"/>
          <w:szCs w:val="18"/>
          <w:lang w:val="en-US"/>
        </w:rPr>
        <w:t xml:space="preserve"> to</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the human rights violations</w:t>
      </w:r>
      <w:r w:rsidR="00BA1ACF" w:rsidRPr="00FE50A6">
        <w:rPr>
          <w:rFonts w:eastAsia="Calibri" w:cs="Times New Roman"/>
          <w:noProof/>
          <w:sz w:val="18"/>
          <w:szCs w:val="18"/>
          <w:lang w:val="en-US"/>
        </w:rPr>
        <w:t xml:space="preserve"> declar</w:t>
      </w:r>
      <w:r w:rsidRPr="00FE50A6">
        <w:rPr>
          <w:rFonts w:eastAsia="Calibri" w:cs="Times New Roman"/>
          <w:noProof/>
          <w:sz w:val="18"/>
          <w:szCs w:val="18"/>
          <w:lang w:val="en-US"/>
        </w:rPr>
        <w:t>ed in the</w:t>
      </w:r>
      <w:r w:rsidR="00BA1ACF" w:rsidRPr="00FE50A6">
        <w:rPr>
          <w:rFonts w:eastAsia="Calibri" w:cs="Times New Roman"/>
          <w:noProof/>
          <w:sz w:val="18"/>
          <w:szCs w:val="18"/>
          <w:lang w:val="en-US"/>
        </w:rPr>
        <w:t xml:space="preserve"> </w:t>
      </w:r>
      <w:r w:rsidR="00030C17" w:rsidRPr="00FE50A6">
        <w:rPr>
          <w:rFonts w:eastAsia="Calibri" w:cs="Times New Roman"/>
          <w:noProof/>
          <w:sz w:val="18"/>
          <w:szCs w:val="18"/>
          <w:lang w:val="en-US"/>
        </w:rPr>
        <w:t>Admissibility and Merits Report</w:t>
      </w:r>
      <w:r w:rsidR="00BA1ACF" w:rsidRPr="00FE50A6">
        <w:rPr>
          <w:rFonts w:eastAsia="Calibri" w:cs="Times New Roman"/>
          <w:noProof/>
          <w:sz w:val="18"/>
          <w:szCs w:val="18"/>
          <w:lang w:val="en-US"/>
        </w:rPr>
        <w:t xml:space="preserve"> </w:t>
      </w:r>
      <w:r w:rsidRPr="00FE50A6">
        <w:rPr>
          <w:rFonts w:eastAsia="Calibri" w:cs="Times New Roman"/>
          <w:noProof/>
          <w:sz w:val="18"/>
          <w:szCs w:val="18"/>
          <w:lang w:val="en-US"/>
        </w:rPr>
        <w:t xml:space="preserve">concerning </w:t>
      </w:r>
      <w:r w:rsidR="005F1946" w:rsidRPr="00FE50A6">
        <w:rPr>
          <w:rFonts w:eastAsia="Calibri" w:cs="Times New Roman"/>
          <w:noProof/>
          <w:sz w:val="18"/>
          <w:szCs w:val="18"/>
          <w:lang w:val="en-US"/>
        </w:rPr>
        <w:t>slave labor</w:t>
      </w:r>
      <w:r w:rsidR="00100481" w:rsidRPr="00FE50A6">
        <w:rPr>
          <w:rFonts w:eastAsia="Calibri" w:cs="Times New Roman"/>
          <w:noProof/>
          <w:sz w:val="18"/>
          <w:szCs w:val="18"/>
          <w:lang w:val="en-US"/>
        </w:rPr>
        <w:t>,</w:t>
      </w:r>
      <w:r w:rsidR="00030C17" w:rsidRPr="00FE50A6">
        <w:rPr>
          <w:rFonts w:eastAsia="Calibri" w:cs="Times New Roman"/>
          <w:noProof/>
          <w:sz w:val="18"/>
          <w:szCs w:val="18"/>
          <w:lang w:val="en-US"/>
        </w:rPr>
        <w:t xml:space="preserve"> and </w:t>
      </w:r>
      <w:r w:rsidRPr="00FE50A6">
        <w:rPr>
          <w:rFonts w:eastAsia="Calibri" w:cs="Times New Roman"/>
          <w:noProof/>
          <w:sz w:val="18"/>
          <w:szCs w:val="18"/>
          <w:lang w:val="en-US"/>
        </w:rPr>
        <w:t xml:space="preserve">conduct the investigation impartially and effectively and within a reasonable time in order to clarify the facts fully, identify those responsible, and impose the corresponding </w:t>
      </w:r>
      <w:r w:rsidR="00D614F2" w:rsidRPr="00FE50A6">
        <w:rPr>
          <w:rFonts w:eastAsia="Calibri" w:cs="Times New Roman"/>
          <w:noProof/>
          <w:sz w:val="18"/>
          <w:szCs w:val="18"/>
          <w:lang w:val="en-US"/>
        </w:rPr>
        <w:t>sanctions.</w:t>
      </w:r>
    </w:p>
    <w:p w14:paraId="6F0D32B4" w14:textId="77777777" w:rsidR="00BA1ACF" w:rsidRPr="00FE50A6" w:rsidRDefault="00EB5CB3"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 xml:space="preserve">Investigate the facts related to the disapperance of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00030C17" w:rsidRPr="00FE50A6">
        <w:rPr>
          <w:rFonts w:eastAsia="Calibri" w:cs="Times New Roman"/>
          <w:noProof/>
          <w:sz w:val="18"/>
          <w:szCs w:val="18"/>
          <w:lang w:val="en-US"/>
        </w:rPr>
        <w:t xml:space="preserve"> and </w:t>
      </w:r>
      <w:r w:rsidR="00200C04" w:rsidRPr="00FE50A6">
        <w:rPr>
          <w:rFonts w:eastAsia="Calibri" w:cs="Times New Roman"/>
          <w:noProof/>
          <w:sz w:val="18"/>
          <w:szCs w:val="18"/>
          <w:lang w:val="en-US"/>
        </w:rPr>
        <w:t xml:space="preserve">Luis Ferreira </w:t>
      </w:r>
      <w:r w:rsidR="00701BB2" w:rsidRPr="00FE50A6">
        <w:rPr>
          <w:rFonts w:eastAsia="Calibri" w:cs="Times New Roman"/>
          <w:noProof/>
          <w:sz w:val="18"/>
          <w:szCs w:val="18"/>
          <w:lang w:val="en-US"/>
        </w:rPr>
        <w:t>da Cruz</w:t>
      </w:r>
      <w:r w:rsidR="00030C17" w:rsidRPr="00FE50A6">
        <w:rPr>
          <w:rFonts w:eastAsia="Calibri" w:cs="Times New Roman"/>
          <w:noProof/>
          <w:sz w:val="18"/>
          <w:szCs w:val="18"/>
          <w:lang w:val="en-US"/>
        </w:rPr>
        <w:t xml:space="preserve"> and</w:t>
      </w:r>
      <w:r w:rsidRPr="00FE50A6">
        <w:rPr>
          <w:rFonts w:eastAsia="Calibri" w:cs="Times New Roman"/>
          <w:noProof/>
          <w:sz w:val="18"/>
          <w:szCs w:val="18"/>
          <w:lang w:val="en-US"/>
        </w:rPr>
        <w:t xml:space="preserve"> conduct the investigations impartially and effectively and within a reasonable time</w:t>
      </w:r>
      <w:r w:rsidR="00030C17" w:rsidRPr="00FE50A6">
        <w:rPr>
          <w:rFonts w:eastAsia="Calibri" w:cs="Times New Roman"/>
          <w:noProof/>
          <w:sz w:val="18"/>
          <w:szCs w:val="18"/>
          <w:lang w:val="en-US"/>
        </w:rPr>
        <w:t xml:space="preserve"> </w:t>
      </w:r>
      <w:r w:rsidRPr="00FE50A6">
        <w:rPr>
          <w:rFonts w:eastAsia="Calibri" w:cs="Times New Roman"/>
          <w:noProof/>
          <w:sz w:val="18"/>
          <w:szCs w:val="18"/>
          <w:lang w:val="en-US"/>
        </w:rPr>
        <w:t xml:space="preserve">in order to clarify the facts fully, identify those responsible, and impose the corresponding </w:t>
      </w:r>
      <w:r w:rsidR="00D614F2" w:rsidRPr="00FE50A6">
        <w:rPr>
          <w:rFonts w:eastAsia="Calibri" w:cs="Times New Roman"/>
          <w:noProof/>
          <w:sz w:val="18"/>
          <w:szCs w:val="18"/>
          <w:lang w:val="en-US"/>
        </w:rPr>
        <w:t>sanctions.</w:t>
      </w:r>
    </w:p>
    <w:p w14:paraId="685F04A5" w14:textId="77777777" w:rsidR="00BA1ACF" w:rsidRPr="00FE50A6" w:rsidRDefault="0049704E" w:rsidP="00FE1903">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 xml:space="preserve">Order the corresponding administrative, disciplinary or criminal measures </w:t>
      </w:r>
      <w:r w:rsidR="00D614F2" w:rsidRPr="00FE50A6">
        <w:rPr>
          <w:rFonts w:eastAsia="Calibri" w:cs="Times New Roman"/>
          <w:noProof/>
          <w:sz w:val="18"/>
          <w:szCs w:val="18"/>
          <w:lang w:val="en-US"/>
        </w:rPr>
        <w:t xml:space="preserve">in </w:t>
      </w:r>
      <w:r w:rsidR="00700B79" w:rsidRPr="00FE50A6">
        <w:rPr>
          <w:rFonts w:eastAsia="Calibri" w:cs="Times New Roman"/>
          <w:noProof/>
          <w:sz w:val="18"/>
          <w:szCs w:val="18"/>
          <w:lang w:val="en-US"/>
        </w:rPr>
        <w:t>relati</w:t>
      </w:r>
      <w:r w:rsidR="00D614F2" w:rsidRPr="00FE50A6">
        <w:rPr>
          <w:rFonts w:eastAsia="Calibri" w:cs="Times New Roman"/>
          <w:noProof/>
          <w:sz w:val="18"/>
          <w:szCs w:val="18"/>
          <w:lang w:val="en-US"/>
        </w:rPr>
        <w:t>on</w:t>
      </w:r>
      <w:r w:rsidR="00700B79" w:rsidRPr="00FE50A6">
        <w:rPr>
          <w:rFonts w:eastAsia="Calibri" w:cs="Times New Roman"/>
          <w:noProof/>
          <w:sz w:val="18"/>
          <w:szCs w:val="18"/>
          <w:lang w:val="en-US"/>
        </w:rPr>
        <w:t xml:space="preserve"> to</w:t>
      </w:r>
      <w:r w:rsidRPr="00FE50A6">
        <w:rPr>
          <w:rFonts w:eastAsia="Calibri" w:cs="Times New Roman"/>
          <w:noProof/>
          <w:sz w:val="18"/>
          <w:szCs w:val="18"/>
          <w:lang w:val="en-US"/>
        </w:rPr>
        <w:t xml:space="preserve"> the acts or omissions of the </w:t>
      </w:r>
      <w:r w:rsidR="00D614F2" w:rsidRPr="00FE50A6">
        <w:rPr>
          <w:rFonts w:eastAsia="Calibri" w:cs="Times New Roman"/>
          <w:noProof/>
          <w:sz w:val="18"/>
          <w:szCs w:val="18"/>
          <w:lang w:val="en-US"/>
        </w:rPr>
        <w:t>S</w:t>
      </w:r>
      <w:r w:rsidRPr="00FE50A6">
        <w:rPr>
          <w:rFonts w:eastAsia="Calibri" w:cs="Times New Roman"/>
          <w:noProof/>
          <w:sz w:val="18"/>
          <w:szCs w:val="18"/>
          <w:lang w:val="en-US"/>
        </w:rPr>
        <w:t xml:space="preserve">tate officials that contributed to the denial of justice and to </w:t>
      </w:r>
      <w:r w:rsidR="00FE1903" w:rsidRPr="00FE50A6">
        <w:rPr>
          <w:rFonts w:eastAsia="Calibri" w:cs="Times New Roman"/>
          <w:noProof/>
          <w:sz w:val="18"/>
          <w:szCs w:val="18"/>
          <w:lang w:val="en-US"/>
        </w:rPr>
        <w:t xml:space="preserve">the </w:t>
      </w:r>
      <w:r w:rsidRPr="00FE50A6">
        <w:rPr>
          <w:rFonts w:eastAsia="Calibri" w:cs="Times New Roman"/>
          <w:noProof/>
          <w:sz w:val="18"/>
          <w:szCs w:val="18"/>
          <w:lang w:val="en-US"/>
        </w:rPr>
        <w:t>impunity</w:t>
      </w:r>
      <w:r w:rsidR="00FE1903" w:rsidRPr="00FE50A6">
        <w:rPr>
          <w:rFonts w:eastAsia="Calibri" w:cs="Times New Roman"/>
          <w:noProof/>
          <w:sz w:val="18"/>
          <w:szCs w:val="18"/>
          <w:lang w:val="en-US"/>
        </w:rPr>
        <w:t xml:space="preserve"> of the facts of the case. In this regard, special emphasis should be placed on the fact that administrative rather than criminal proceedings were instituted to investigate disappearance; that administrative and labor proceedings were instituted to investigate </w:t>
      </w:r>
      <w:r w:rsidR="005F1946" w:rsidRPr="00FE50A6">
        <w:rPr>
          <w:rFonts w:eastAsia="Calibri" w:cs="Times New Roman"/>
          <w:noProof/>
          <w:sz w:val="18"/>
          <w:szCs w:val="18"/>
          <w:lang w:val="en-US"/>
        </w:rPr>
        <w:t>slave labor</w:t>
      </w:r>
      <w:r w:rsidR="00BA1ACF" w:rsidRPr="00FE50A6">
        <w:rPr>
          <w:rFonts w:eastAsia="Calibri" w:cs="Times New Roman"/>
          <w:noProof/>
          <w:sz w:val="18"/>
          <w:szCs w:val="18"/>
          <w:lang w:val="en-US"/>
        </w:rPr>
        <w:t>,</w:t>
      </w:r>
      <w:r w:rsidR="00030C17" w:rsidRPr="00FE50A6">
        <w:rPr>
          <w:rFonts w:eastAsia="Calibri" w:cs="Times New Roman"/>
          <w:noProof/>
          <w:sz w:val="18"/>
          <w:szCs w:val="18"/>
          <w:lang w:val="en-US"/>
        </w:rPr>
        <w:t xml:space="preserve"> and </w:t>
      </w:r>
      <w:r w:rsidR="00FE1903" w:rsidRPr="00FE50A6">
        <w:rPr>
          <w:rFonts w:eastAsia="Calibri" w:cs="Times New Roman"/>
          <w:noProof/>
          <w:sz w:val="18"/>
          <w:szCs w:val="18"/>
          <w:lang w:val="en-US"/>
        </w:rPr>
        <w:t xml:space="preserve">that the statute of limitations was applied to the only criminal investigation </w:t>
      </w:r>
      <w:r w:rsidR="00700B79" w:rsidRPr="00FE50A6">
        <w:rPr>
          <w:rFonts w:eastAsia="Calibri" w:cs="Times New Roman"/>
          <w:noProof/>
          <w:sz w:val="18"/>
          <w:szCs w:val="18"/>
          <w:lang w:val="en-US"/>
        </w:rPr>
        <w:t>opened</w:t>
      </w:r>
      <w:r w:rsidR="00FE1903" w:rsidRPr="00FE50A6">
        <w:rPr>
          <w:rFonts w:eastAsia="Calibri" w:cs="Times New Roman"/>
          <w:noProof/>
          <w:sz w:val="18"/>
          <w:szCs w:val="18"/>
          <w:lang w:val="en-US"/>
        </w:rPr>
        <w:t xml:space="preserve"> with regard to this crime</w:t>
      </w:r>
      <w:r w:rsidR="00BA1ACF" w:rsidRPr="00FE50A6">
        <w:rPr>
          <w:rFonts w:eastAsia="Calibri" w:cs="Times New Roman"/>
          <w:noProof/>
          <w:sz w:val="18"/>
          <w:szCs w:val="18"/>
          <w:lang w:val="en-US"/>
        </w:rPr>
        <w:t xml:space="preserve">.  </w:t>
      </w:r>
    </w:p>
    <w:p w14:paraId="20422574" w14:textId="77777777" w:rsidR="00BA1ACF" w:rsidRPr="00FE50A6"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Establ</w:t>
      </w:r>
      <w:r w:rsidR="00FE1903" w:rsidRPr="00FE50A6">
        <w:rPr>
          <w:rFonts w:eastAsia="Calibri" w:cs="Times New Roman"/>
          <w:noProof/>
          <w:sz w:val="18"/>
          <w:szCs w:val="18"/>
          <w:lang w:val="en-US"/>
        </w:rPr>
        <w:t xml:space="preserve">ish a mechanism to help </w:t>
      </w:r>
      <w:r w:rsidR="00D614F2" w:rsidRPr="00FE50A6">
        <w:rPr>
          <w:rFonts w:eastAsia="Calibri" w:cs="Times New Roman"/>
          <w:noProof/>
          <w:sz w:val="18"/>
          <w:szCs w:val="18"/>
          <w:lang w:val="en-US"/>
        </w:rPr>
        <w:t>locate</w:t>
      </w:r>
      <w:r w:rsidR="00FE1903" w:rsidRPr="00FE50A6">
        <w:rPr>
          <w:rFonts w:eastAsia="Calibri" w:cs="Times New Roman"/>
          <w:noProof/>
          <w:sz w:val="18"/>
          <w:szCs w:val="18"/>
          <w:lang w:val="en-US"/>
        </w:rPr>
        <w:t xml:space="preserve"> the victims of </w:t>
      </w:r>
      <w:r w:rsidR="005F1946" w:rsidRPr="00FE50A6">
        <w:rPr>
          <w:rFonts w:eastAsia="Calibri" w:cs="Times New Roman"/>
          <w:noProof/>
          <w:sz w:val="18"/>
          <w:szCs w:val="18"/>
          <w:lang w:val="en-US"/>
        </w:rPr>
        <w:t>slave labor</w:t>
      </w:r>
      <w:r w:rsidRPr="00FE50A6">
        <w:rPr>
          <w:rFonts w:eastAsia="Calibri" w:cs="Times New Roman"/>
          <w:noProof/>
          <w:sz w:val="18"/>
          <w:szCs w:val="18"/>
          <w:lang w:val="en-US"/>
        </w:rPr>
        <w:t xml:space="preserve"> </w:t>
      </w:r>
      <w:r w:rsidR="00FE1903" w:rsidRPr="00FE50A6">
        <w:rPr>
          <w:rFonts w:eastAsia="Calibri" w:cs="Times New Roman"/>
          <w:noProof/>
          <w:sz w:val="18"/>
          <w:szCs w:val="18"/>
          <w:lang w:val="en-US"/>
        </w:rPr>
        <w:t xml:space="preserve">and </w:t>
      </w:r>
      <w:r w:rsidR="008B075C" w:rsidRPr="00FE50A6">
        <w:rPr>
          <w:rFonts w:eastAsia="Calibri" w:cs="Times New Roman"/>
          <w:noProof/>
          <w:sz w:val="18"/>
          <w:szCs w:val="18"/>
          <w:lang w:val="en-US"/>
        </w:rPr>
        <w:t xml:space="preserve">Iron Canuto </w:t>
      </w:r>
      <w:r w:rsidR="00BE63A6" w:rsidRPr="00FE50A6">
        <w:rPr>
          <w:rFonts w:eastAsia="Calibri" w:cs="Times New Roman"/>
          <w:noProof/>
          <w:sz w:val="18"/>
          <w:szCs w:val="18"/>
          <w:lang w:val="en-US"/>
        </w:rPr>
        <w:t>da Silva</w:t>
      </w:r>
      <w:r w:rsidRPr="00FE50A6">
        <w:rPr>
          <w:rFonts w:eastAsia="Calibri" w:cs="Times New Roman"/>
          <w:noProof/>
          <w:sz w:val="18"/>
          <w:szCs w:val="18"/>
          <w:lang w:val="en-US"/>
        </w:rPr>
        <w:t xml:space="preserve">, </w:t>
      </w:r>
      <w:r w:rsidR="00200C04" w:rsidRPr="00FE50A6">
        <w:rPr>
          <w:rFonts w:eastAsia="Calibri" w:cs="Times New Roman"/>
          <w:noProof/>
          <w:sz w:val="18"/>
          <w:szCs w:val="18"/>
          <w:lang w:val="en-US"/>
        </w:rPr>
        <w:t xml:space="preserve">Luis Ferreira </w:t>
      </w:r>
      <w:r w:rsidR="00867094" w:rsidRPr="00FE50A6">
        <w:rPr>
          <w:rFonts w:eastAsia="Calibri" w:cs="Times New Roman"/>
          <w:noProof/>
          <w:sz w:val="18"/>
          <w:szCs w:val="18"/>
          <w:lang w:val="en-US"/>
        </w:rPr>
        <w:t>da Cruz</w:t>
      </w:r>
      <w:r w:rsidRPr="00FE50A6">
        <w:rPr>
          <w:rFonts w:eastAsia="Calibri" w:cs="Times New Roman"/>
          <w:noProof/>
          <w:sz w:val="18"/>
          <w:szCs w:val="18"/>
          <w:lang w:val="en-US"/>
        </w:rPr>
        <w:t>, A</w:t>
      </w:r>
      <w:r w:rsidR="001F559F" w:rsidRPr="00FE50A6">
        <w:rPr>
          <w:rFonts w:eastAsia="Calibri" w:cs="Times New Roman"/>
          <w:noProof/>
          <w:sz w:val="18"/>
          <w:szCs w:val="18"/>
          <w:lang w:val="en-US"/>
        </w:rPr>
        <w:t xml:space="preserve">dailton Martins dos Reis, </w:t>
      </w:r>
      <w:r w:rsidR="00D63260" w:rsidRPr="00FE50A6">
        <w:rPr>
          <w:rFonts w:eastAsia="Calibri" w:cs="Times New Roman"/>
          <w:noProof/>
          <w:sz w:val="18"/>
          <w:szCs w:val="18"/>
          <w:lang w:val="en-US"/>
        </w:rPr>
        <w:t xml:space="preserve">José </w:t>
      </w:r>
      <w:r w:rsidR="001F559F" w:rsidRPr="00FE50A6">
        <w:rPr>
          <w:rFonts w:eastAsia="Calibri" w:cs="Times New Roman"/>
          <w:noProof/>
          <w:sz w:val="18"/>
          <w:szCs w:val="18"/>
          <w:lang w:val="en-US"/>
        </w:rPr>
        <w:t>S</w:t>
      </w:r>
      <w:r w:rsidRPr="00FE50A6">
        <w:rPr>
          <w:rFonts w:eastAsia="Calibri" w:cs="Times New Roman"/>
          <w:noProof/>
          <w:sz w:val="18"/>
          <w:szCs w:val="18"/>
          <w:lang w:val="en-US"/>
        </w:rPr>
        <w:t>oriano da Costa, a</w:t>
      </w:r>
      <w:r w:rsidR="00FE1903" w:rsidRPr="00FE50A6">
        <w:rPr>
          <w:rFonts w:eastAsia="Calibri" w:cs="Times New Roman"/>
          <w:noProof/>
          <w:sz w:val="18"/>
          <w:szCs w:val="18"/>
          <w:lang w:val="en-US"/>
        </w:rPr>
        <w:t>s well as the next of kin of the first two</w:t>
      </w:r>
      <w:r w:rsidRPr="00FE50A6">
        <w:rPr>
          <w:rFonts w:eastAsia="Calibri" w:cs="Times New Roman"/>
          <w:noProof/>
          <w:sz w:val="18"/>
          <w:szCs w:val="18"/>
          <w:lang w:val="en-US"/>
        </w:rPr>
        <w:t xml:space="preserve">, </w:t>
      </w:r>
      <w:r w:rsidR="00D63260" w:rsidRPr="00FE50A6">
        <w:rPr>
          <w:rFonts w:eastAsia="Calibri" w:cs="Times New Roman"/>
          <w:noProof/>
          <w:sz w:val="18"/>
          <w:szCs w:val="18"/>
          <w:lang w:val="en-US"/>
        </w:rPr>
        <w:t xml:space="preserve">José </w:t>
      </w:r>
      <w:r w:rsidRPr="00FE50A6">
        <w:rPr>
          <w:rFonts w:eastAsia="Calibri" w:cs="Times New Roman"/>
          <w:noProof/>
          <w:sz w:val="18"/>
          <w:szCs w:val="18"/>
          <w:lang w:val="en-US"/>
        </w:rPr>
        <w:t>Teodoro da Silva</w:t>
      </w:r>
      <w:r w:rsidR="00030C17" w:rsidRPr="00FE50A6">
        <w:rPr>
          <w:rFonts w:eastAsia="Calibri" w:cs="Times New Roman"/>
          <w:noProof/>
          <w:sz w:val="18"/>
          <w:szCs w:val="18"/>
          <w:lang w:val="en-US"/>
        </w:rPr>
        <w:t xml:space="preserve"> and </w:t>
      </w:r>
      <w:r w:rsidRPr="00FE50A6">
        <w:rPr>
          <w:rFonts w:eastAsia="Calibri" w:cs="Times New Roman"/>
          <w:noProof/>
          <w:sz w:val="18"/>
          <w:szCs w:val="18"/>
          <w:lang w:val="en-US"/>
        </w:rPr>
        <w:t xml:space="preserve">Miguel Ferreira da Cruz, </w:t>
      </w:r>
      <w:r w:rsidR="00FE1903" w:rsidRPr="00FE50A6">
        <w:rPr>
          <w:rFonts w:eastAsia="Calibri" w:cs="Times New Roman"/>
          <w:noProof/>
          <w:sz w:val="18"/>
          <w:szCs w:val="18"/>
          <w:lang w:val="en-US"/>
        </w:rPr>
        <w:t>in order to make reparation to them</w:t>
      </w:r>
      <w:r w:rsidRPr="00FE50A6">
        <w:rPr>
          <w:rFonts w:eastAsia="Calibri" w:cs="Times New Roman"/>
          <w:noProof/>
          <w:sz w:val="18"/>
          <w:szCs w:val="18"/>
          <w:lang w:val="en-US"/>
        </w:rPr>
        <w:t>.</w:t>
      </w:r>
    </w:p>
    <w:p w14:paraId="24A3A21E" w14:textId="77777777" w:rsidR="00BA1ACF" w:rsidRPr="00FE50A6" w:rsidRDefault="00BA1ACF"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Continu</w:t>
      </w:r>
      <w:r w:rsidR="00FE1903" w:rsidRPr="00FE50A6">
        <w:rPr>
          <w:rFonts w:eastAsia="Calibri" w:cs="Times New Roman"/>
          <w:noProof/>
          <w:sz w:val="18"/>
          <w:szCs w:val="18"/>
          <w:lang w:val="en-US"/>
        </w:rPr>
        <w:t xml:space="preserve">e implementing public polices, and legislative and other measures to eradicate </w:t>
      </w:r>
      <w:r w:rsidR="005F1946" w:rsidRPr="00FE50A6">
        <w:rPr>
          <w:rFonts w:eastAsia="Calibri" w:cs="Times New Roman"/>
          <w:noProof/>
          <w:sz w:val="18"/>
          <w:szCs w:val="18"/>
          <w:lang w:val="en-US"/>
        </w:rPr>
        <w:t>slave labor</w:t>
      </w:r>
      <w:r w:rsidRPr="00FE50A6">
        <w:rPr>
          <w:rFonts w:eastAsia="Calibri" w:cs="Times New Roman"/>
          <w:noProof/>
          <w:sz w:val="18"/>
          <w:szCs w:val="18"/>
          <w:lang w:val="en-US"/>
        </w:rPr>
        <w:t xml:space="preserve">. </w:t>
      </w:r>
      <w:r w:rsidR="00FE1903" w:rsidRPr="00FE50A6">
        <w:rPr>
          <w:rFonts w:eastAsia="Calibri" w:cs="Times New Roman"/>
          <w:noProof/>
          <w:sz w:val="18"/>
          <w:szCs w:val="18"/>
          <w:lang w:val="en-US"/>
        </w:rPr>
        <w:t xml:space="preserve">In particular, the State should monitor </w:t>
      </w:r>
      <w:r w:rsidR="00ED229E" w:rsidRPr="00FE50A6">
        <w:rPr>
          <w:rFonts w:eastAsia="Calibri" w:cs="Times New Roman"/>
          <w:noProof/>
          <w:sz w:val="18"/>
          <w:szCs w:val="18"/>
          <w:lang w:val="en-US"/>
        </w:rPr>
        <w:t>slave labor</w:t>
      </w:r>
      <w:r w:rsidR="00FE1903" w:rsidRPr="00FE50A6">
        <w:rPr>
          <w:rFonts w:eastAsia="Calibri" w:cs="Times New Roman"/>
          <w:noProof/>
          <w:sz w:val="18"/>
          <w:szCs w:val="18"/>
          <w:lang w:val="en-US"/>
        </w:rPr>
        <w:t xml:space="preserve"> and punish</w:t>
      </w:r>
      <w:r w:rsidR="00ED229E" w:rsidRPr="00FE50A6">
        <w:rPr>
          <w:rFonts w:eastAsia="Calibri" w:cs="Times New Roman"/>
          <w:noProof/>
          <w:sz w:val="18"/>
          <w:szCs w:val="18"/>
          <w:lang w:val="en-US"/>
        </w:rPr>
        <w:t xml:space="preserve"> those resposble at all levels</w:t>
      </w:r>
      <w:r w:rsidRPr="00FE50A6">
        <w:rPr>
          <w:rFonts w:eastAsia="Calibri" w:cs="Times New Roman"/>
          <w:noProof/>
          <w:sz w:val="18"/>
          <w:szCs w:val="18"/>
          <w:lang w:val="en-US"/>
        </w:rPr>
        <w:t>.</w:t>
      </w:r>
    </w:p>
    <w:p w14:paraId="348F1D9C" w14:textId="77777777" w:rsidR="00BA1ACF" w:rsidRPr="00FE50A6" w:rsidRDefault="00ED229E"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 xml:space="preserve">Reinforce the legal system and create mechanisms for coordination betwen the criminal jurisdiction and the labor jurisdiction in order to </w:t>
      </w:r>
      <w:r w:rsidR="007345F6" w:rsidRPr="00FE50A6">
        <w:rPr>
          <w:rFonts w:eastAsia="Calibri" w:cs="Times New Roman"/>
          <w:noProof/>
          <w:sz w:val="18"/>
          <w:szCs w:val="18"/>
          <w:lang w:val="en-US"/>
        </w:rPr>
        <w:t>close</w:t>
      </w:r>
      <w:r w:rsidRPr="00FE50A6">
        <w:rPr>
          <w:rFonts w:eastAsia="Calibri" w:cs="Times New Roman"/>
          <w:noProof/>
          <w:sz w:val="18"/>
          <w:szCs w:val="18"/>
          <w:lang w:val="en-US"/>
        </w:rPr>
        <w:t xml:space="preserve"> </w:t>
      </w:r>
      <w:r w:rsidR="00D614F2" w:rsidRPr="00FE50A6">
        <w:rPr>
          <w:rFonts w:eastAsia="Calibri" w:cs="Times New Roman"/>
          <w:noProof/>
          <w:sz w:val="18"/>
          <w:szCs w:val="18"/>
          <w:lang w:val="en-US"/>
        </w:rPr>
        <w:t>any</w:t>
      </w:r>
      <w:r w:rsidRPr="00FE50A6">
        <w:rPr>
          <w:rFonts w:eastAsia="Calibri" w:cs="Times New Roman"/>
          <w:noProof/>
          <w:sz w:val="18"/>
          <w:szCs w:val="18"/>
          <w:lang w:val="en-US"/>
        </w:rPr>
        <w:t xml:space="preserve"> gaps in the investigation, prosecution and punishment of those responsible for the crimes of </w:t>
      </w:r>
      <w:r w:rsidR="00125A00" w:rsidRPr="00FE50A6">
        <w:rPr>
          <w:rFonts w:eastAsia="Calibri" w:cs="Times New Roman"/>
          <w:noProof/>
          <w:sz w:val="18"/>
          <w:szCs w:val="18"/>
          <w:lang w:val="en-US"/>
        </w:rPr>
        <w:t>servitude</w:t>
      </w:r>
      <w:r w:rsidR="00030C17" w:rsidRPr="00FE50A6">
        <w:rPr>
          <w:rFonts w:eastAsia="Calibri" w:cs="Times New Roman"/>
          <w:noProof/>
          <w:sz w:val="18"/>
          <w:szCs w:val="18"/>
          <w:lang w:val="en-US"/>
        </w:rPr>
        <w:t xml:space="preserve"> and </w:t>
      </w:r>
      <w:r w:rsidR="005F1946" w:rsidRPr="00FE50A6">
        <w:rPr>
          <w:rFonts w:eastAsia="Calibri" w:cs="Times New Roman"/>
          <w:noProof/>
          <w:sz w:val="18"/>
          <w:szCs w:val="18"/>
          <w:lang w:val="en-US"/>
        </w:rPr>
        <w:t>forced labor</w:t>
      </w:r>
      <w:r w:rsidR="00BA1ACF" w:rsidRPr="00FE50A6">
        <w:rPr>
          <w:rFonts w:eastAsia="Calibri" w:cs="Times New Roman"/>
          <w:noProof/>
          <w:sz w:val="18"/>
          <w:szCs w:val="18"/>
          <w:lang w:val="en-US"/>
        </w:rPr>
        <w:t>.</w:t>
      </w:r>
    </w:p>
    <w:p w14:paraId="716FB2CD" w14:textId="77777777" w:rsidR="00BA1ACF" w:rsidRPr="00FE50A6" w:rsidRDefault="00ED229E"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 xml:space="preserve">Ensure strict compliance with labor laws </w:t>
      </w:r>
      <w:r w:rsidR="007345F6" w:rsidRPr="00FE50A6">
        <w:rPr>
          <w:rFonts w:eastAsia="Calibri" w:cs="Times New Roman"/>
          <w:noProof/>
          <w:sz w:val="18"/>
          <w:szCs w:val="18"/>
          <w:lang w:val="en-US"/>
        </w:rPr>
        <w:t>concerning</w:t>
      </w:r>
      <w:r w:rsidRPr="00FE50A6">
        <w:rPr>
          <w:rFonts w:eastAsia="Calibri" w:cs="Times New Roman"/>
          <w:noProof/>
          <w:sz w:val="18"/>
          <w:szCs w:val="18"/>
          <w:lang w:val="en-US"/>
        </w:rPr>
        <w:t xml:space="preserve"> work shifts and </w:t>
      </w:r>
      <w:r w:rsidR="00700B79" w:rsidRPr="00FE50A6">
        <w:rPr>
          <w:rFonts w:eastAsia="Calibri" w:cs="Times New Roman"/>
          <w:noProof/>
          <w:sz w:val="18"/>
          <w:szCs w:val="18"/>
          <w:lang w:val="en-US"/>
        </w:rPr>
        <w:t xml:space="preserve">payment </w:t>
      </w:r>
      <w:r w:rsidRPr="00FE50A6">
        <w:rPr>
          <w:rFonts w:eastAsia="Calibri" w:cs="Times New Roman"/>
          <w:noProof/>
          <w:sz w:val="18"/>
          <w:szCs w:val="18"/>
          <w:lang w:val="en-US"/>
        </w:rPr>
        <w:t xml:space="preserve">equal </w:t>
      </w:r>
      <w:r w:rsidR="00700B79" w:rsidRPr="00FE50A6">
        <w:rPr>
          <w:rFonts w:eastAsia="Calibri" w:cs="Times New Roman"/>
          <w:noProof/>
          <w:sz w:val="18"/>
          <w:szCs w:val="18"/>
          <w:lang w:val="en-US"/>
        </w:rPr>
        <w:t>to that of</w:t>
      </w:r>
      <w:r w:rsidRPr="00FE50A6">
        <w:rPr>
          <w:rFonts w:eastAsia="Calibri" w:cs="Times New Roman"/>
          <w:noProof/>
          <w:sz w:val="18"/>
          <w:szCs w:val="18"/>
          <w:lang w:val="en-US"/>
        </w:rPr>
        <w:t xml:space="preserve"> other </w:t>
      </w:r>
      <w:r w:rsidR="007345F6" w:rsidRPr="00FE50A6">
        <w:rPr>
          <w:rFonts w:eastAsia="Calibri" w:cs="Times New Roman"/>
          <w:noProof/>
          <w:sz w:val="18"/>
          <w:szCs w:val="18"/>
          <w:lang w:val="en-US"/>
        </w:rPr>
        <w:t>salaried workers</w:t>
      </w:r>
      <w:r w:rsidR="00BA1ACF" w:rsidRPr="00FE50A6">
        <w:rPr>
          <w:rFonts w:eastAsia="Calibri" w:cs="Times New Roman"/>
          <w:noProof/>
          <w:sz w:val="18"/>
          <w:szCs w:val="18"/>
          <w:lang w:val="en-US"/>
        </w:rPr>
        <w:t>.</w:t>
      </w:r>
    </w:p>
    <w:p w14:paraId="652B4719" w14:textId="77777777" w:rsidR="00BA1ACF" w:rsidRPr="00FE50A6" w:rsidRDefault="00ED229E" w:rsidP="002540C6">
      <w:pPr>
        <w:numPr>
          <w:ilvl w:val="1"/>
          <w:numId w:val="3"/>
        </w:numPr>
        <w:tabs>
          <w:tab w:val="clear" w:pos="4419"/>
          <w:tab w:val="clear" w:pos="8838"/>
          <w:tab w:val="left" w:pos="426"/>
        </w:tabs>
        <w:ind w:left="1701" w:right="29" w:hanging="283"/>
        <w:jc w:val="both"/>
        <w:rPr>
          <w:rFonts w:eastAsia="Calibri" w:cs="Times New Roman"/>
          <w:noProof/>
          <w:sz w:val="18"/>
          <w:szCs w:val="18"/>
          <w:lang w:val="en-US"/>
        </w:rPr>
      </w:pPr>
      <w:r w:rsidRPr="00FE50A6">
        <w:rPr>
          <w:rFonts w:eastAsia="Calibri" w:cs="Times New Roman"/>
          <w:noProof/>
          <w:sz w:val="18"/>
          <w:szCs w:val="18"/>
          <w:lang w:val="en-US"/>
        </w:rPr>
        <w:t>Take the necessary measures to eliminate any type of racial discrimination; in particular, organize campaigns to raise the awareness of the general p</w:t>
      </w:r>
      <w:r w:rsidR="007345F6" w:rsidRPr="00FE50A6">
        <w:rPr>
          <w:rFonts w:eastAsia="Calibri" w:cs="Times New Roman"/>
          <w:noProof/>
          <w:sz w:val="18"/>
          <w:szCs w:val="18"/>
          <w:lang w:val="en-US"/>
        </w:rPr>
        <w:t>ubic</w:t>
      </w:r>
      <w:r w:rsidRPr="00FE50A6">
        <w:rPr>
          <w:rFonts w:eastAsia="Calibri" w:cs="Times New Roman"/>
          <w:noProof/>
          <w:sz w:val="18"/>
          <w:szCs w:val="18"/>
          <w:lang w:val="en-US"/>
        </w:rPr>
        <w:t xml:space="preserve"> and </w:t>
      </w:r>
      <w:r w:rsidR="007345F6" w:rsidRPr="00FE50A6">
        <w:rPr>
          <w:rFonts w:eastAsia="Calibri" w:cs="Times New Roman"/>
          <w:noProof/>
          <w:sz w:val="18"/>
          <w:szCs w:val="18"/>
          <w:lang w:val="en-US"/>
        </w:rPr>
        <w:t>S</w:t>
      </w:r>
      <w:r w:rsidRPr="00FE50A6">
        <w:rPr>
          <w:rFonts w:eastAsia="Calibri" w:cs="Times New Roman"/>
          <w:noProof/>
          <w:sz w:val="18"/>
          <w:szCs w:val="18"/>
          <w:lang w:val="en-US"/>
        </w:rPr>
        <w:t xml:space="preserve">tate officials, including agents of justice, regarding discrimination and subjection to </w:t>
      </w:r>
      <w:r w:rsidR="00125A00" w:rsidRPr="00FE50A6">
        <w:rPr>
          <w:rFonts w:eastAsia="Calibri" w:cs="Times New Roman"/>
          <w:noProof/>
          <w:sz w:val="18"/>
          <w:szCs w:val="18"/>
          <w:lang w:val="en-US"/>
        </w:rPr>
        <w:t>servitude</w:t>
      </w:r>
      <w:r w:rsidR="00030C17" w:rsidRPr="00FE50A6">
        <w:rPr>
          <w:rFonts w:eastAsia="Calibri" w:cs="Times New Roman"/>
          <w:noProof/>
          <w:sz w:val="18"/>
          <w:szCs w:val="18"/>
          <w:lang w:val="en-US"/>
        </w:rPr>
        <w:t xml:space="preserve"> and </w:t>
      </w:r>
      <w:r w:rsidR="005F1946" w:rsidRPr="00FE50A6">
        <w:rPr>
          <w:rFonts w:eastAsia="Calibri" w:cs="Times New Roman"/>
          <w:noProof/>
          <w:sz w:val="18"/>
          <w:szCs w:val="18"/>
          <w:lang w:val="en-US"/>
        </w:rPr>
        <w:t>forced labor</w:t>
      </w:r>
      <w:r w:rsidR="00BA1ACF" w:rsidRPr="00FE50A6">
        <w:rPr>
          <w:rFonts w:eastAsia="Calibri" w:cs="Times New Roman"/>
          <w:noProof/>
          <w:sz w:val="18"/>
          <w:szCs w:val="18"/>
          <w:lang w:val="en-US"/>
        </w:rPr>
        <w:t xml:space="preserve">. </w:t>
      </w:r>
    </w:p>
    <w:p w14:paraId="48538830" w14:textId="77777777" w:rsidR="00BA1ACF" w:rsidRPr="00FE50A6" w:rsidRDefault="00BA1ACF" w:rsidP="00140440">
      <w:pPr>
        <w:tabs>
          <w:tab w:val="clear" w:pos="4419"/>
          <w:tab w:val="clear" w:pos="8838"/>
        </w:tabs>
        <w:ind w:right="4"/>
        <w:jc w:val="both"/>
        <w:rPr>
          <w:rFonts w:eastAsia="Batang" w:cs="Times"/>
          <w:i/>
          <w:szCs w:val="20"/>
          <w:lang w:val="en-US"/>
        </w:rPr>
      </w:pPr>
    </w:p>
    <w:p w14:paraId="479C67D0" w14:textId="77777777" w:rsidR="00BA1ACF" w:rsidRPr="00FE50A6" w:rsidRDefault="00BA1ACF" w:rsidP="00140440">
      <w:pPr>
        <w:numPr>
          <w:ilvl w:val="0"/>
          <w:numId w:val="2"/>
        </w:numPr>
        <w:tabs>
          <w:tab w:val="clear" w:pos="4419"/>
          <w:tab w:val="clear" w:pos="8838"/>
          <w:tab w:val="left" w:pos="567"/>
          <w:tab w:val="left" w:pos="1134"/>
        </w:tabs>
        <w:autoSpaceDE w:val="0"/>
        <w:autoSpaceDN w:val="0"/>
        <w:adjustRightInd w:val="0"/>
        <w:jc w:val="both"/>
        <w:rPr>
          <w:rFonts w:eastAsia="Batang" w:cs="Times"/>
          <w:b/>
          <w:i/>
          <w:szCs w:val="24"/>
          <w:lang w:val="en-US"/>
        </w:rPr>
      </w:pPr>
      <w:r w:rsidRPr="00FE50A6">
        <w:rPr>
          <w:rFonts w:eastAsia="Batang" w:cs="Times"/>
          <w:i/>
          <w:szCs w:val="24"/>
          <w:lang w:val="en-US"/>
        </w:rPr>
        <w:lastRenderedPageBreak/>
        <w:t xml:space="preserve"> </w:t>
      </w:r>
      <w:r w:rsidRPr="00FE50A6">
        <w:rPr>
          <w:rFonts w:eastAsia="Batang" w:cs="Times"/>
          <w:i/>
          <w:szCs w:val="24"/>
          <w:lang w:val="en-US"/>
        </w:rPr>
        <w:tab/>
        <w:t>Notifica</w:t>
      </w:r>
      <w:r w:rsidR="00ED229E" w:rsidRPr="00FE50A6">
        <w:rPr>
          <w:rFonts w:eastAsia="Batang" w:cs="Times"/>
          <w:i/>
          <w:szCs w:val="24"/>
          <w:lang w:val="en-US"/>
        </w:rPr>
        <w:t>tion</w:t>
      </w:r>
      <w:r w:rsidRPr="00FE50A6">
        <w:rPr>
          <w:rFonts w:eastAsia="Batang" w:cs="Times"/>
          <w:i/>
          <w:szCs w:val="24"/>
          <w:lang w:val="en-US"/>
        </w:rPr>
        <w:t xml:space="preserve"> </w:t>
      </w:r>
      <w:r w:rsidR="00030C17" w:rsidRPr="00FE50A6">
        <w:rPr>
          <w:rFonts w:eastAsia="Batang" w:cs="Times"/>
          <w:i/>
          <w:szCs w:val="24"/>
          <w:lang w:val="en-US"/>
        </w:rPr>
        <w:t>to the State</w:t>
      </w:r>
      <w:r w:rsidRPr="00FE50A6">
        <w:rPr>
          <w:rFonts w:eastAsia="Batang" w:cs="Times"/>
          <w:i/>
          <w:szCs w:val="24"/>
          <w:lang w:val="en-US"/>
        </w:rPr>
        <w:t xml:space="preserve">. </w:t>
      </w:r>
      <w:r w:rsidR="00ED229E" w:rsidRPr="00FE50A6">
        <w:rPr>
          <w:rFonts w:eastAsia="Batang" w:cs="Times"/>
          <w:szCs w:val="24"/>
          <w:lang w:val="en-US"/>
        </w:rPr>
        <w:t>The</w:t>
      </w:r>
      <w:r w:rsidRPr="00FE50A6">
        <w:rPr>
          <w:rFonts w:eastAsia="Batang" w:cs="Times"/>
          <w:szCs w:val="24"/>
          <w:lang w:val="en-US"/>
        </w:rPr>
        <w:t xml:space="preserve"> </w:t>
      </w:r>
      <w:r w:rsidR="00030C17" w:rsidRPr="00FE50A6">
        <w:rPr>
          <w:rFonts w:eastAsia="Batang" w:cs="Times"/>
          <w:szCs w:val="24"/>
          <w:lang w:val="en-US"/>
        </w:rPr>
        <w:t>Admissibility and Merits Report</w:t>
      </w:r>
      <w:r w:rsidRPr="00FE50A6">
        <w:rPr>
          <w:rFonts w:eastAsia="Batang" w:cs="Times"/>
          <w:szCs w:val="24"/>
          <w:lang w:val="en-US"/>
        </w:rPr>
        <w:t xml:space="preserve"> </w:t>
      </w:r>
      <w:r w:rsidR="00ED229E" w:rsidRPr="00FE50A6">
        <w:rPr>
          <w:rFonts w:eastAsia="Batang" w:cs="Times"/>
          <w:szCs w:val="24"/>
          <w:lang w:val="en-US"/>
        </w:rPr>
        <w:t>was notified</w:t>
      </w:r>
      <w:r w:rsidRPr="00FE50A6">
        <w:rPr>
          <w:rFonts w:eastAsia="Batang" w:cs="Times"/>
          <w:szCs w:val="24"/>
          <w:lang w:val="en-US"/>
        </w:rPr>
        <w:t xml:space="preserve"> </w:t>
      </w:r>
      <w:r w:rsidR="00030C17" w:rsidRPr="00FE50A6">
        <w:rPr>
          <w:rFonts w:eastAsia="Batang" w:cs="Times"/>
          <w:szCs w:val="24"/>
          <w:lang w:val="en-US"/>
        </w:rPr>
        <w:t>to the State</w:t>
      </w:r>
      <w:r w:rsidRPr="00FE50A6">
        <w:rPr>
          <w:rFonts w:eastAsia="Batang" w:cs="Times"/>
          <w:szCs w:val="24"/>
          <w:lang w:val="en-US"/>
        </w:rPr>
        <w:t xml:space="preserve"> </w:t>
      </w:r>
      <w:r w:rsidR="00ED229E" w:rsidRPr="00FE50A6">
        <w:rPr>
          <w:rFonts w:eastAsia="Batang" w:cs="Times"/>
          <w:szCs w:val="24"/>
          <w:lang w:val="en-US"/>
        </w:rPr>
        <w:t>in a communication of January 4,</w:t>
      </w:r>
      <w:r w:rsidRPr="00FE50A6">
        <w:rPr>
          <w:rFonts w:eastAsia="Batang" w:cs="Times"/>
          <w:szCs w:val="24"/>
          <w:lang w:val="en-US"/>
        </w:rPr>
        <w:t xml:space="preserve"> 2012, </w:t>
      </w:r>
      <w:r w:rsidR="00ED229E" w:rsidRPr="00FE50A6">
        <w:rPr>
          <w:rFonts w:eastAsia="Batang" w:cs="Times"/>
          <w:szCs w:val="24"/>
          <w:lang w:val="en-US"/>
        </w:rPr>
        <w:t>and the State was granted two mont</w:t>
      </w:r>
      <w:r w:rsidR="00700B79" w:rsidRPr="00FE50A6">
        <w:rPr>
          <w:rFonts w:eastAsia="Batang" w:cs="Times"/>
          <w:szCs w:val="24"/>
          <w:lang w:val="en-US"/>
        </w:rPr>
        <w:t xml:space="preserve">hs </w:t>
      </w:r>
      <w:r w:rsidR="00ED229E" w:rsidRPr="00FE50A6">
        <w:rPr>
          <w:rFonts w:eastAsia="Batang" w:cs="Times"/>
          <w:szCs w:val="24"/>
          <w:lang w:val="en-US"/>
        </w:rPr>
        <w:t>to provide information on compliance with the recommendations. Following ten extensions of this time limit</w:t>
      </w:r>
      <w:r w:rsidR="00700B79" w:rsidRPr="00FE50A6">
        <w:rPr>
          <w:rFonts w:eastAsia="Batang" w:cs="Times"/>
          <w:szCs w:val="24"/>
          <w:lang w:val="en-US"/>
        </w:rPr>
        <w:t xml:space="preserve">, </w:t>
      </w:r>
      <w:r w:rsidR="000228D0" w:rsidRPr="00FE50A6">
        <w:rPr>
          <w:rFonts w:eastAsia="Batang" w:cs="Times"/>
          <w:szCs w:val="24"/>
          <w:lang w:val="en-US"/>
        </w:rPr>
        <w:t>the Commission</w:t>
      </w:r>
      <w:r w:rsidR="001F559F" w:rsidRPr="00FE50A6">
        <w:rPr>
          <w:rFonts w:eastAsia="Batang" w:cs="Times"/>
          <w:szCs w:val="24"/>
          <w:lang w:val="en-US"/>
        </w:rPr>
        <w:t xml:space="preserve"> determin</w:t>
      </w:r>
      <w:r w:rsidR="00700B79" w:rsidRPr="00FE50A6">
        <w:rPr>
          <w:rFonts w:eastAsia="Batang" w:cs="Times"/>
          <w:szCs w:val="24"/>
          <w:lang w:val="en-US"/>
        </w:rPr>
        <w:t>ed that</w:t>
      </w:r>
      <w:r w:rsidR="001F559F" w:rsidRPr="00FE50A6">
        <w:rPr>
          <w:rFonts w:eastAsia="Batang" w:cs="Times"/>
          <w:szCs w:val="24"/>
          <w:lang w:val="en-US"/>
        </w:rPr>
        <w:t xml:space="preserve"> </w:t>
      </w:r>
      <w:r w:rsidR="000228D0" w:rsidRPr="00FE50A6">
        <w:rPr>
          <w:rFonts w:eastAsia="Batang" w:cs="Times"/>
          <w:szCs w:val="24"/>
          <w:lang w:val="en-US"/>
        </w:rPr>
        <w:t>the State</w:t>
      </w:r>
      <w:r w:rsidRPr="00FE50A6">
        <w:rPr>
          <w:rFonts w:eastAsia="Batang" w:cs="Times"/>
          <w:szCs w:val="24"/>
          <w:lang w:val="en-US"/>
        </w:rPr>
        <w:t xml:space="preserve"> </w:t>
      </w:r>
      <w:r w:rsidR="00700B79" w:rsidRPr="00FE50A6">
        <w:rPr>
          <w:rFonts w:eastAsia="Batang" w:cs="Times"/>
          <w:szCs w:val="24"/>
          <w:lang w:val="en-US"/>
        </w:rPr>
        <w:t>had made no concrete progress in complying with the recommendations</w:t>
      </w:r>
      <w:r w:rsidRPr="00FE50A6">
        <w:rPr>
          <w:rFonts w:eastAsia="Batang" w:cs="Times"/>
          <w:szCs w:val="24"/>
          <w:lang w:val="en-US"/>
        </w:rPr>
        <w:t xml:space="preserve">. </w:t>
      </w:r>
    </w:p>
    <w:p w14:paraId="56477040" w14:textId="77777777" w:rsidR="00BA1ACF" w:rsidRPr="00FE50A6"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n-US" w:eastAsia="es-ES"/>
        </w:rPr>
      </w:pPr>
    </w:p>
    <w:p w14:paraId="0DAA315A" w14:textId="77777777" w:rsidR="00BA1ACF" w:rsidRPr="00FE50A6" w:rsidRDefault="00700B79" w:rsidP="00140440">
      <w:pPr>
        <w:numPr>
          <w:ilvl w:val="0"/>
          <w:numId w:val="1"/>
        </w:numPr>
        <w:tabs>
          <w:tab w:val="clear" w:pos="4419"/>
          <w:tab w:val="clear" w:pos="8838"/>
          <w:tab w:val="left" w:pos="567"/>
          <w:tab w:val="left" w:pos="1134"/>
        </w:tabs>
        <w:autoSpaceDE w:val="0"/>
        <w:autoSpaceDN w:val="0"/>
        <w:adjustRightInd w:val="0"/>
        <w:jc w:val="both"/>
        <w:rPr>
          <w:rFonts w:eastAsia="Batang" w:cs="Verdana"/>
          <w:szCs w:val="20"/>
          <w:lang w:val="en-US" w:eastAsia="es-ES"/>
        </w:rPr>
      </w:pPr>
      <w:r w:rsidRPr="00FE50A6">
        <w:rPr>
          <w:rFonts w:eastAsia="Batang" w:cs="Verdana"/>
          <w:i/>
          <w:szCs w:val="20"/>
          <w:lang w:val="en-US" w:eastAsia="es-ES"/>
        </w:rPr>
        <w:t>Submission to</w:t>
      </w:r>
      <w:r w:rsidR="00BA1ACF" w:rsidRPr="00FE50A6">
        <w:rPr>
          <w:rFonts w:eastAsia="Batang" w:cs="Verdana"/>
          <w:i/>
          <w:szCs w:val="20"/>
          <w:lang w:val="en-US" w:eastAsia="es-ES"/>
        </w:rPr>
        <w:t xml:space="preserve"> </w:t>
      </w:r>
      <w:r w:rsidR="000228D0" w:rsidRPr="00FE50A6">
        <w:rPr>
          <w:rFonts w:eastAsia="Batang" w:cs="Verdana"/>
          <w:i/>
          <w:szCs w:val="20"/>
          <w:lang w:val="en-US" w:eastAsia="es-ES"/>
        </w:rPr>
        <w:t>the Court</w:t>
      </w:r>
      <w:r w:rsidR="00BA1ACF" w:rsidRPr="00FE50A6">
        <w:rPr>
          <w:rFonts w:eastAsia="Batang" w:cs="Verdana"/>
          <w:i/>
          <w:szCs w:val="20"/>
          <w:lang w:val="en-US" w:eastAsia="es-ES"/>
        </w:rPr>
        <w:t>.</w:t>
      </w:r>
      <w:r w:rsidR="00BA1ACF" w:rsidRPr="00FE50A6">
        <w:rPr>
          <w:rFonts w:eastAsia="Batang" w:cs="Verdana"/>
          <w:szCs w:val="20"/>
          <w:lang w:val="en-US" w:eastAsia="es-ES"/>
        </w:rPr>
        <w:t xml:space="preserve"> </w:t>
      </w:r>
      <w:r w:rsidRPr="00FE50A6">
        <w:rPr>
          <w:rFonts w:eastAsia="Batang" w:cs="Verdana"/>
          <w:szCs w:val="20"/>
          <w:lang w:val="en-US" w:eastAsia="es-ES"/>
        </w:rPr>
        <w:t>On March 4,</w:t>
      </w:r>
      <w:r w:rsidR="00BA1ACF" w:rsidRPr="00FE50A6">
        <w:rPr>
          <w:rFonts w:eastAsia="Batang" w:cs="Verdana"/>
          <w:szCs w:val="20"/>
          <w:lang w:val="en-US" w:eastAsia="es-ES"/>
        </w:rPr>
        <w:t xml:space="preserve"> 2015</w:t>
      </w:r>
      <w:r w:rsidRPr="00FE50A6">
        <w:rPr>
          <w:rFonts w:eastAsia="Batang" w:cs="Verdana"/>
          <w:szCs w:val="20"/>
          <w:lang w:val="en-US" w:eastAsia="es-ES"/>
        </w:rPr>
        <w:t>,</w:t>
      </w:r>
      <w:r w:rsidR="00BA1ACF" w:rsidRPr="00FE50A6">
        <w:rPr>
          <w:rFonts w:eastAsia="Batang" w:cs="Verdana"/>
          <w:szCs w:val="20"/>
          <w:lang w:val="en-US" w:eastAsia="es-ES"/>
        </w:rPr>
        <w:t xml:space="preserve"> </w:t>
      </w:r>
      <w:r w:rsidR="000228D0" w:rsidRPr="00FE50A6">
        <w:rPr>
          <w:rFonts w:eastAsia="Batang" w:cs="Verdana"/>
          <w:szCs w:val="20"/>
          <w:lang w:val="en-US" w:eastAsia="es-ES"/>
        </w:rPr>
        <w:t>the Commission</w:t>
      </w:r>
      <w:r w:rsidR="00BA1ACF" w:rsidRPr="00FE50A6">
        <w:rPr>
          <w:rFonts w:eastAsia="Batang" w:cs="Verdana"/>
          <w:szCs w:val="20"/>
          <w:lang w:val="en-US" w:eastAsia="es-ES"/>
        </w:rPr>
        <w:t xml:space="preserve"> </w:t>
      </w:r>
      <w:r w:rsidRPr="00FE50A6">
        <w:rPr>
          <w:rFonts w:eastAsia="Batang" w:cs="Verdana"/>
          <w:szCs w:val="20"/>
          <w:lang w:val="en-US" w:eastAsia="es-ES"/>
        </w:rPr>
        <w:t xml:space="preserve">submitted the facts and </w:t>
      </w:r>
      <w:r w:rsidR="007345F6" w:rsidRPr="00FE50A6">
        <w:rPr>
          <w:rFonts w:eastAsia="Batang" w:cs="Verdana"/>
          <w:szCs w:val="20"/>
          <w:lang w:val="en-US" w:eastAsia="es-ES"/>
        </w:rPr>
        <w:t xml:space="preserve">the </w:t>
      </w:r>
      <w:r w:rsidRPr="00FE50A6">
        <w:rPr>
          <w:rFonts w:eastAsia="Batang" w:cs="Verdana"/>
          <w:szCs w:val="20"/>
          <w:lang w:val="en-US" w:eastAsia="es-ES"/>
        </w:rPr>
        <w:t xml:space="preserve">human rights violations described in the Merits Report to the jurisdiction </w:t>
      </w:r>
      <w:r w:rsidR="000228D0" w:rsidRPr="00FE50A6">
        <w:rPr>
          <w:rFonts w:eastAsia="Batang" w:cs="Verdana"/>
          <w:szCs w:val="20"/>
          <w:lang w:val="en-US" w:eastAsia="es-ES"/>
        </w:rPr>
        <w:t>of the Court</w:t>
      </w:r>
      <w:r w:rsidR="00BA1ACF" w:rsidRPr="00FE50A6">
        <w:rPr>
          <w:rFonts w:eastAsia="Batang" w:cs="Verdana"/>
          <w:szCs w:val="20"/>
          <w:lang w:val="en-US" w:eastAsia="es-ES"/>
        </w:rPr>
        <w:t xml:space="preserve">, </w:t>
      </w:r>
      <w:r w:rsidR="009C48A4" w:rsidRPr="00FE50A6">
        <w:rPr>
          <w:rFonts w:eastAsia="Batang" w:cs="Verdana"/>
          <w:szCs w:val="20"/>
          <w:lang w:val="en-US" w:eastAsia="es-ES"/>
        </w:rPr>
        <w:t>“</w:t>
      </w:r>
      <w:r w:rsidRPr="00FE50A6">
        <w:rPr>
          <w:rFonts w:eastAsia="Batang" w:cs="Verdana"/>
          <w:szCs w:val="20"/>
          <w:lang w:val="en-US" w:eastAsia="es-ES"/>
        </w:rPr>
        <w:t>in order to obtain justice.</w:t>
      </w:r>
      <w:r w:rsidR="009C48A4" w:rsidRPr="00FE50A6">
        <w:rPr>
          <w:rFonts w:eastAsia="Batang" w:cs="Verdana"/>
          <w:szCs w:val="20"/>
          <w:lang w:val="en-US" w:eastAsia="es-ES"/>
        </w:rPr>
        <w:t>”</w:t>
      </w:r>
      <w:r w:rsidR="00BA1ACF" w:rsidRPr="00FE50A6">
        <w:rPr>
          <w:rFonts w:eastAsia="Batang" w:cs="Times New Roman"/>
          <w:szCs w:val="20"/>
          <w:vertAlign w:val="superscript"/>
          <w:lang w:val="en-US" w:eastAsia="es-ES"/>
        </w:rPr>
        <w:footnoteReference w:id="2"/>
      </w:r>
      <w:r w:rsidR="00BA1ACF" w:rsidRPr="00FE50A6">
        <w:rPr>
          <w:rFonts w:eastAsia="Batang" w:cs="Verdana"/>
          <w:szCs w:val="20"/>
          <w:lang w:val="en-US" w:eastAsia="es-ES"/>
        </w:rPr>
        <w:t xml:space="preserve"> </w:t>
      </w:r>
      <w:r w:rsidRPr="00FE50A6">
        <w:rPr>
          <w:rFonts w:eastAsia="Batang" w:cs="Verdana"/>
          <w:szCs w:val="20"/>
          <w:lang w:val="en-US" w:eastAsia="es-ES"/>
        </w:rPr>
        <w:t>Specifically</w:t>
      </w:r>
      <w:r w:rsidR="00BA1ACF" w:rsidRPr="00FE50A6">
        <w:rPr>
          <w:rFonts w:eastAsia="Batang" w:cs="Verdana"/>
          <w:szCs w:val="20"/>
          <w:lang w:val="en-US" w:eastAsia="es-ES"/>
        </w:rPr>
        <w:t xml:space="preserve">, </w:t>
      </w:r>
      <w:r w:rsidR="000228D0" w:rsidRPr="00FE50A6">
        <w:rPr>
          <w:rFonts w:eastAsia="Batang" w:cs="Verdana"/>
          <w:szCs w:val="20"/>
          <w:lang w:val="en-US" w:eastAsia="es-ES"/>
        </w:rPr>
        <w:t>the Commission</w:t>
      </w:r>
      <w:r w:rsidR="00BA1ACF" w:rsidRPr="00FE50A6">
        <w:rPr>
          <w:rFonts w:eastAsia="Batang" w:cs="Verdana"/>
          <w:szCs w:val="20"/>
          <w:lang w:val="en-US" w:eastAsia="es-ES"/>
        </w:rPr>
        <w:t xml:space="preserve"> </w:t>
      </w:r>
      <w:r w:rsidRPr="00FE50A6">
        <w:rPr>
          <w:rFonts w:eastAsia="Batang" w:cs="Verdana"/>
          <w:szCs w:val="20"/>
          <w:lang w:val="en-US" w:eastAsia="es-ES"/>
        </w:rPr>
        <w:t>submitted to</w:t>
      </w:r>
      <w:r w:rsidR="00BA1ACF" w:rsidRPr="00FE50A6">
        <w:rPr>
          <w:rFonts w:eastAsia="Batang" w:cs="Verdana"/>
          <w:szCs w:val="20"/>
          <w:lang w:val="en-US" w:eastAsia="es-ES"/>
        </w:rPr>
        <w:t xml:space="preserve"> </w:t>
      </w:r>
      <w:r w:rsidR="000228D0" w:rsidRPr="00FE50A6">
        <w:rPr>
          <w:rFonts w:eastAsia="Batang" w:cs="Verdana"/>
          <w:szCs w:val="20"/>
          <w:lang w:val="en-US" w:eastAsia="es-ES"/>
        </w:rPr>
        <w:t>the Court</w:t>
      </w:r>
      <w:r w:rsidR="00BA1ACF" w:rsidRPr="00FE50A6">
        <w:rPr>
          <w:rFonts w:eastAsia="Batang" w:cs="Verdana"/>
          <w:szCs w:val="20"/>
          <w:lang w:val="en-US" w:eastAsia="es-ES"/>
        </w:rPr>
        <w:t xml:space="preserve"> </w:t>
      </w:r>
      <w:r w:rsidRPr="00FE50A6">
        <w:rPr>
          <w:rFonts w:eastAsia="Batang" w:cs="Verdana"/>
          <w:szCs w:val="20"/>
          <w:lang w:val="en-US" w:eastAsia="es-ES"/>
        </w:rPr>
        <w:t>the State’s acts and omission that took place or continued to occur after</w:t>
      </w:r>
      <w:r w:rsidR="00BA1ACF" w:rsidRPr="00FE50A6">
        <w:rPr>
          <w:rFonts w:eastAsia="Batang" w:cs="Verdana"/>
          <w:szCs w:val="20"/>
          <w:lang w:val="en-US" w:eastAsia="es-ES"/>
        </w:rPr>
        <w:t xml:space="preserve"> </w:t>
      </w:r>
      <w:r w:rsidRPr="00FE50A6">
        <w:rPr>
          <w:rFonts w:eastAsia="Batang" w:cs="Verdana"/>
          <w:szCs w:val="20"/>
          <w:lang w:val="en-US" w:eastAsia="es-ES"/>
        </w:rPr>
        <w:t>December 10,</w:t>
      </w:r>
      <w:r w:rsidR="00BA1ACF" w:rsidRPr="00FE50A6">
        <w:rPr>
          <w:rFonts w:eastAsia="Batang" w:cs="Verdana"/>
          <w:szCs w:val="20"/>
          <w:lang w:val="en-US" w:eastAsia="es-ES"/>
        </w:rPr>
        <w:t xml:space="preserve"> 1998, </w:t>
      </w:r>
      <w:r w:rsidRPr="00FE50A6">
        <w:rPr>
          <w:rFonts w:eastAsia="Batang" w:cs="Verdana"/>
          <w:szCs w:val="20"/>
          <w:lang w:val="en-US" w:eastAsia="es-ES"/>
        </w:rPr>
        <w:t>date on which the State accepted the Court’s jurisdiction,</w:t>
      </w:r>
      <w:r w:rsidR="00BA1ACF" w:rsidRPr="00FE50A6">
        <w:rPr>
          <w:rFonts w:eastAsia="Batang" w:cs="Times New Roman"/>
          <w:szCs w:val="20"/>
          <w:vertAlign w:val="superscript"/>
          <w:lang w:val="en-US" w:eastAsia="es-ES"/>
        </w:rPr>
        <w:footnoteReference w:id="3"/>
      </w:r>
      <w:r w:rsidRPr="00FE50A6">
        <w:rPr>
          <w:rFonts w:eastAsia="Batang" w:cs="Verdana"/>
          <w:szCs w:val="20"/>
          <w:lang w:val="en-US" w:eastAsia="es-ES"/>
        </w:rPr>
        <w:t xml:space="preserve"> without prejudice to the possibility that the State accept the Court’s jurisdiction to examine the totality of this case as stipulated in </w:t>
      </w:r>
      <w:r w:rsidR="000228D0" w:rsidRPr="00FE50A6">
        <w:rPr>
          <w:rFonts w:eastAsia="Batang" w:cs="Verdana"/>
          <w:szCs w:val="20"/>
          <w:lang w:val="en-US" w:eastAsia="es-ES"/>
        </w:rPr>
        <w:t>Article</w:t>
      </w:r>
      <w:r w:rsidR="00BA1ACF" w:rsidRPr="00FE50A6">
        <w:rPr>
          <w:rFonts w:eastAsia="Batang" w:cs="Verdana"/>
          <w:szCs w:val="20"/>
          <w:lang w:val="en-US" w:eastAsia="es-ES"/>
        </w:rPr>
        <w:t xml:space="preserve"> </w:t>
      </w:r>
      <w:r w:rsidRPr="00FE50A6">
        <w:rPr>
          <w:rFonts w:eastAsia="Batang" w:cs="Verdana"/>
          <w:szCs w:val="20"/>
          <w:lang w:val="en-US" w:eastAsia="es-ES"/>
        </w:rPr>
        <w:t>62(2)</w:t>
      </w:r>
      <w:r w:rsidR="000228D0" w:rsidRPr="00FE50A6">
        <w:rPr>
          <w:rFonts w:eastAsia="Batang" w:cs="Verdana"/>
          <w:szCs w:val="20"/>
          <w:lang w:val="en-US" w:eastAsia="es-ES"/>
        </w:rPr>
        <w:t xml:space="preserve"> of the Convention</w:t>
      </w:r>
      <w:r w:rsidR="00BA1ACF" w:rsidRPr="00FE50A6">
        <w:rPr>
          <w:rFonts w:eastAsia="Batang" w:cs="Verdana"/>
          <w:szCs w:val="20"/>
          <w:lang w:val="en-US" w:eastAsia="es-ES"/>
        </w:rPr>
        <w:t xml:space="preserve">. </w:t>
      </w:r>
    </w:p>
    <w:p w14:paraId="553404F6" w14:textId="77777777" w:rsidR="00BA1ACF" w:rsidRPr="00FE50A6"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n-US" w:eastAsia="es-ES"/>
        </w:rPr>
      </w:pPr>
    </w:p>
    <w:p w14:paraId="47AF4535" w14:textId="77777777" w:rsidR="00BA1ACF" w:rsidRPr="00FE50A6" w:rsidRDefault="00700B79" w:rsidP="00140440">
      <w:pPr>
        <w:numPr>
          <w:ilvl w:val="0"/>
          <w:numId w:val="1"/>
        </w:numPr>
        <w:tabs>
          <w:tab w:val="clear" w:pos="4419"/>
          <w:tab w:val="clear" w:pos="8838"/>
          <w:tab w:val="left" w:pos="567"/>
          <w:tab w:val="left" w:pos="1134"/>
        </w:tabs>
        <w:autoSpaceDE w:val="0"/>
        <w:autoSpaceDN w:val="0"/>
        <w:adjustRightInd w:val="0"/>
        <w:jc w:val="both"/>
        <w:rPr>
          <w:rFonts w:eastAsia="Batang" w:cs="Verdana"/>
          <w:szCs w:val="20"/>
          <w:lang w:val="en-US" w:eastAsia="es-ES"/>
        </w:rPr>
      </w:pPr>
      <w:r w:rsidRPr="00FE50A6">
        <w:rPr>
          <w:rFonts w:eastAsia="Batang" w:cs="Verdana"/>
          <w:i/>
          <w:szCs w:val="20"/>
          <w:lang w:val="en-US" w:eastAsia="es-ES"/>
        </w:rPr>
        <w:t>Requests</w:t>
      </w:r>
      <w:r w:rsidR="000228D0" w:rsidRPr="00FE50A6">
        <w:rPr>
          <w:rFonts w:eastAsia="Batang" w:cs="Verdana"/>
          <w:i/>
          <w:szCs w:val="20"/>
          <w:lang w:val="en-US" w:eastAsia="es-ES"/>
        </w:rPr>
        <w:t xml:space="preserve"> of the Inter-American Commission</w:t>
      </w:r>
      <w:r w:rsidR="00BA1ACF" w:rsidRPr="00FE50A6">
        <w:rPr>
          <w:rFonts w:eastAsia="Batang" w:cs="Verdana"/>
          <w:i/>
          <w:szCs w:val="20"/>
          <w:lang w:val="en-US" w:eastAsia="es-ES"/>
        </w:rPr>
        <w:t xml:space="preserve">. </w:t>
      </w:r>
      <w:r w:rsidRPr="00FE50A6">
        <w:rPr>
          <w:rFonts w:eastAsia="Batang" w:cs="Verdana"/>
          <w:szCs w:val="20"/>
          <w:lang w:val="en-US" w:eastAsia="es-ES"/>
        </w:rPr>
        <w:t>Based on the above,</w:t>
      </w:r>
      <w:r w:rsidR="00BA1ACF" w:rsidRPr="00FE50A6">
        <w:rPr>
          <w:rFonts w:eastAsia="Batang" w:cs="Verdana"/>
          <w:szCs w:val="20"/>
          <w:lang w:val="en-US" w:eastAsia="es-ES"/>
        </w:rPr>
        <w:t xml:space="preserve"> </w:t>
      </w:r>
      <w:r w:rsidR="000228D0" w:rsidRPr="00FE50A6">
        <w:rPr>
          <w:rFonts w:eastAsia="Batang" w:cs="Verdana"/>
          <w:szCs w:val="20"/>
          <w:lang w:val="en-US" w:eastAsia="es-ES"/>
        </w:rPr>
        <w:t>the Inter-American Commission</w:t>
      </w:r>
      <w:r w:rsidR="00BA1ACF" w:rsidRPr="00FE50A6">
        <w:rPr>
          <w:rFonts w:eastAsia="Batang" w:cs="Verdana"/>
          <w:szCs w:val="20"/>
          <w:lang w:val="en-US" w:eastAsia="es-ES"/>
        </w:rPr>
        <w:t xml:space="preserve"> </w:t>
      </w:r>
      <w:r w:rsidRPr="00FE50A6">
        <w:rPr>
          <w:rFonts w:eastAsia="Batang" w:cs="Verdana"/>
          <w:szCs w:val="20"/>
          <w:lang w:val="en-US" w:eastAsia="es-ES"/>
        </w:rPr>
        <w:t xml:space="preserve">asked the Court to declare the international responsibility of Brazil for the violations </w:t>
      </w:r>
      <w:r w:rsidR="007345F6" w:rsidRPr="00FE50A6">
        <w:rPr>
          <w:rFonts w:eastAsia="Batang" w:cs="Verdana"/>
          <w:szCs w:val="20"/>
          <w:lang w:val="en-US" w:eastAsia="es-ES"/>
        </w:rPr>
        <w:t>described</w:t>
      </w:r>
      <w:r w:rsidRPr="00FE50A6">
        <w:rPr>
          <w:rFonts w:eastAsia="Batang" w:cs="Verdana"/>
          <w:szCs w:val="20"/>
          <w:lang w:val="en-US" w:eastAsia="es-ES"/>
        </w:rPr>
        <w:t xml:space="preserve"> in the</w:t>
      </w:r>
      <w:r w:rsidR="00BA1ACF" w:rsidRPr="00FE50A6">
        <w:rPr>
          <w:rFonts w:eastAsia="Batang" w:cs="Verdana"/>
          <w:szCs w:val="20"/>
          <w:lang w:val="en-US" w:eastAsia="es-ES"/>
        </w:rPr>
        <w:t xml:space="preserve"> </w:t>
      </w:r>
      <w:r w:rsidR="00030C17" w:rsidRPr="00FE50A6">
        <w:rPr>
          <w:rFonts w:eastAsia="Batang" w:cs="Verdana"/>
          <w:szCs w:val="20"/>
          <w:lang w:val="en-US" w:eastAsia="es-ES"/>
        </w:rPr>
        <w:t xml:space="preserve">Admissibility and Merits Report and </w:t>
      </w:r>
      <w:r w:rsidRPr="00FE50A6">
        <w:rPr>
          <w:rFonts w:eastAsia="Batang" w:cs="Verdana"/>
          <w:szCs w:val="20"/>
          <w:lang w:val="en-US" w:eastAsia="es-ES"/>
        </w:rPr>
        <w:t xml:space="preserve">to order </w:t>
      </w:r>
      <w:r w:rsidR="00030C17" w:rsidRPr="00FE50A6">
        <w:rPr>
          <w:rFonts w:eastAsia="Batang" w:cs="Verdana"/>
          <w:szCs w:val="20"/>
          <w:lang w:val="en-US" w:eastAsia="es-ES"/>
        </w:rPr>
        <w:t>the State</w:t>
      </w:r>
      <w:r w:rsidR="00BA1ACF" w:rsidRPr="00FE50A6">
        <w:rPr>
          <w:rFonts w:eastAsia="Batang" w:cs="Verdana"/>
          <w:szCs w:val="20"/>
          <w:lang w:val="en-US" w:eastAsia="es-ES"/>
        </w:rPr>
        <w:t xml:space="preserve">, </w:t>
      </w:r>
      <w:r w:rsidRPr="00FE50A6">
        <w:rPr>
          <w:rFonts w:eastAsia="Batang" w:cs="Verdana"/>
          <w:szCs w:val="20"/>
          <w:lang w:val="en-US" w:eastAsia="es-ES"/>
        </w:rPr>
        <w:t xml:space="preserve">as measures of reparations, to comply with the recommendations included in that report </w:t>
      </w:r>
      <w:r w:rsidR="00BA1ACF" w:rsidRPr="00FE50A6">
        <w:rPr>
          <w:rFonts w:eastAsia="Batang" w:cs="Verdana"/>
          <w:szCs w:val="20"/>
          <w:lang w:val="en-US" w:eastAsia="es-ES"/>
        </w:rPr>
        <w:t>(</w:t>
      </w:r>
      <w:r w:rsidR="00BA1ACF" w:rsidRPr="00FE50A6">
        <w:rPr>
          <w:rFonts w:eastAsia="Batang" w:cs="Verdana"/>
          <w:i/>
          <w:szCs w:val="20"/>
          <w:lang w:val="en-US" w:eastAsia="es-ES"/>
        </w:rPr>
        <w:t xml:space="preserve">supra </w:t>
      </w:r>
      <w:r w:rsidRPr="00FE50A6">
        <w:rPr>
          <w:rFonts w:eastAsia="Batang" w:cs="Verdana"/>
          <w:szCs w:val="20"/>
          <w:lang w:val="en-US" w:eastAsia="es-ES"/>
        </w:rPr>
        <w:t>para.</w:t>
      </w:r>
      <w:r w:rsidR="00BA1ACF" w:rsidRPr="00FE50A6">
        <w:rPr>
          <w:rFonts w:eastAsia="Batang" w:cs="Verdana"/>
          <w:szCs w:val="20"/>
          <w:lang w:val="en-US" w:eastAsia="es-ES"/>
        </w:rPr>
        <w:t xml:space="preserve"> </w:t>
      </w:r>
      <w:r w:rsidR="002B3561" w:rsidRPr="00FE50A6">
        <w:rPr>
          <w:rFonts w:eastAsia="Batang" w:cs="Verdana"/>
          <w:szCs w:val="20"/>
          <w:lang w:val="en-US" w:eastAsia="es-ES"/>
        </w:rPr>
        <w:t>2</w:t>
      </w:r>
      <w:r w:rsidR="00BA1ACF" w:rsidRPr="00FE50A6">
        <w:rPr>
          <w:rFonts w:eastAsia="Batang" w:cs="Verdana"/>
          <w:szCs w:val="20"/>
          <w:lang w:val="en-US" w:eastAsia="es-ES"/>
        </w:rPr>
        <w:t>).</w:t>
      </w:r>
    </w:p>
    <w:p w14:paraId="29FED50D" w14:textId="77777777" w:rsidR="00BA1ACF" w:rsidRPr="00FE50A6" w:rsidRDefault="00BA1ACF" w:rsidP="00140440">
      <w:pPr>
        <w:tabs>
          <w:tab w:val="clear" w:pos="4419"/>
          <w:tab w:val="clear" w:pos="8838"/>
        </w:tabs>
        <w:jc w:val="both"/>
        <w:rPr>
          <w:rFonts w:eastAsia="Batang" w:cs="Verdana"/>
          <w:i/>
          <w:szCs w:val="20"/>
          <w:lang w:val="en-US" w:eastAsia="es-ES"/>
        </w:rPr>
      </w:pPr>
    </w:p>
    <w:p w14:paraId="3040228C" w14:textId="77777777" w:rsidR="00BA1ACF" w:rsidRPr="00FE50A6" w:rsidRDefault="00BA1ACF" w:rsidP="00140440">
      <w:pPr>
        <w:pStyle w:val="Style1"/>
        <w:spacing w:after="0"/>
        <w:rPr>
          <w:lang w:val="en-US"/>
        </w:rPr>
      </w:pPr>
      <w:bookmarkStart w:id="6" w:name="_Toc359314415"/>
      <w:bookmarkStart w:id="7" w:name="_Toc361671572"/>
      <w:bookmarkStart w:id="8" w:name="_Toc361671992"/>
      <w:bookmarkStart w:id="9" w:name="_Toc361732789"/>
      <w:bookmarkStart w:id="10" w:name="_Toc361732832"/>
      <w:bookmarkStart w:id="11" w:name="_Toc362456863"/>
      <w:bookmarkStart w:id="12" w:name="_Toc365021392"/>
      <w:bookmarkStart w:id="13" w:name="_Toc369076778"/>
      <w:bookmarkStart w:id="14" w:name="_Toc369989362"/>
      <w:bookmarkStart w:id="15" w:name="_Toc369989449"/>
      <w:bookmarkStart w:id="16" w:name="_Toc369989730"/>
      <w:bookmarkStart w:id="17" w:name="_Toc404770055"/>
      <w:bookmarkStart w:id="18" w:name="_Toc416164785"/>
      <w:bookmarkStart w:id="19" w:name="_Toc464813885"/>
      <w:r w:rsidRPr="00FE50A6">
        <w:rPr>
          <w:lang w:val="en-US"/>
        </w:rPr>
        <w:t>II</w:t>
      </w:r>
      <w:r w:rsidRPr="00FE50A6">
        <w:rPr>
          <w:lang w:val="en-US"/>
        </w:rPr>
        <w:br/>
      </w:r>
      <w:bookmarkStart w:id="20" w:name="_Toc311128156"/>
      <w:bookmarkStart w:id="21" w:name="_Toc311128353"/>
      <w:r w:rsidR="005F1946" w:rsidRPr="00FE50A6">
        <w:rPr>
          <w:lang w:val="en-US"/>
        </w:rPr>
        <w:t>PROCEEDINGS BEFORE</w:t>
      </w:r>
      <w:r w:rsidRPr="00FE50A6">
        <w:rPr>
          <w:lang w:val="en-US"/>
        </w:rPr>
        <w:t xml:space="preserve"> </w:t>
      </w:r>
      <w:r w:rsidR="000228D0" w:rsidRPr="00FE50A6">
        <w:rPr>
          <w:lang w:val="en-US"/>
        </w:rPr>
        <w:t>THE COURT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7A31FF" w14:textId="77777777" w:rsidR="00BA1ACF" w:rsidRPr="00FE50A6"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n-US" w:eastAsia="es-ES"/>
        </w:rPr>
      </w:pPr>
    </w:p>
    <w:p w14:paraId="15DCD503" w14:textId="77777777" w:rsidR="00BA1ACF" w:rsidRPr="00FE50A6" w:rsidRDefault="00BA1ACF" w:rsidP="00140440">
      <w:pPr>
        <w:numPr>
          <w:ilvl w:val="0"/>
          <w:numId w:val="1"/>
        </w:numPr>
        <w:tabs>
          <w:tab w:val="clear" w:pos="4419"/>
          <w:tab w:val="clear" w:pos="8838"/>
          <w:tab w:val="left" w:pos="567"/>
          <w:tab w:val="left" w:pos="1134"/>
        </w:tabs>
        <w:jc w:val="both"/>
        <w:rPr>
          <w:rFonts w:eastAsia="Batang" w:cs="Times New Roman"/>
          <w:b/>
          <w:i/>
          <w:noProof/>
          <w:szCs w:val="20"/>
          <w:lang w:val="en-US" w:eastAsia="es-ES"/>
        </w:rPr>
      </w:pPr>
      <w:r w:rsidRPr="00FE50A6">
        <w:rPr>
          <w:rFonts w:eastAsia="Batang" w:cs="Times New Roman"/>
          <w:i/>
          <w:noProof/>
          <w:szCs w:val="20"/>
          <w:lang w:val="en-US" w:eastAsia="es-ES"/>
        </w:rPr>
        <w:t>Notifica</w:t>
      </w:r>
      <w:r w:rsidR="00700B79" w:rsidRPr="00FE50A6">
        <w:rPr>
          <w:rFonts w:eastAsia="Batang" w:cs="Times New Roman"/>
          <w:i/>
          <w:noProof/>
          <w:szCs w:val="20"/>
          <w:lang w:val="en-US" w:eastAsia="es-ES"/>
        </w:rPr>
        <w:t>tio</w:t>
      </w:r>
      <w:r w:rsidRPr="00FE50A6">
        <w:rPr>
          <w:rFonts w:eastAsia="Batang" w:cs="Times New Roman"/>
          <w:i/>
          <w:noProof/>
          <w:szCs w:val="20"/>
          <w:lang w:val="en-US" w:eastAsia="es-ES"/>
        </w:rPr>
        <w:t xml:space="preserve">n </w:t>
      </w:r>
      <w:r w:rsidR="00030C17" w:rsidRPr="00FE50A6">
        <w:rPr>
          <w:rFonts w:eastAsia="Batang" w:cs="Times New Roman"/>
          <w:i/>
          <w:noProof/>
          <w:szCs w:val="20"/>
          <w:lang w:val="en-US" w:eastAsia="es-ES"/>
        </w:rPr>
        <w:t xml:space="preserve">to the State and </w:t>
      </w:r>
      <w:r w:rsidR="00700B79" w:rsidRPr="00FE50A6">
        <w:rPr>
          <w:rFonts w:eastAsia="Batang" w:cs="Times New Roman"/>
          <w:i/>
          <w:noProof/>
          <w:szCs w:val="20"/>
          <w:lang w:val="en-US" w:eastAsia="es-ES"/>
        </w:rPr>
        <w:t>to</w:t>
      </w:r>
      <w:r w:rsidRPr="00FE50A6">
        <w:rPr>
          <w:rFonts w:eastAsia="Batang" w:cs="Times New Roman"/>
          <w:i/>
          <w:noProof/>
          <w:szCs w:val="20"/>
          <w:lang w:val="en-US" w:eastAsia="es-ES"/>
        </w:rPr>
        <w:t xml:space="preserve"> </w:t>
      </w:r>
      <w:r w:rsidR="00700B79" w:rsidRPr="00FE50A6">
        <w:rPr>
          <w:rFonts w:eastAsia="Batang" w:cs="Times New Roman"/>
          <w:i/>
          <w:noProof/>
          <w:szCs w:val="20"/>
          <w:lang w:val="en-US" w:eastAsia="es-ES"/>
        </w:rPr>
        <w:t>the representatives</w:t>
      </w:r>
      <w:r w:rsidRPr="00FE50A6">
        <w:rPr>
          <w:rFonts w:eastAsia="Batang" w:cs="Times New Roman"/>
          <w:i/>
          <w:noProof/>
          <w:szCs w:val="20"/>
          <w:lang w:val="en-US" w:eastAsia="es-ES"/>
        </w:rPr>
        <w:t xml:space="preserve">. </w:t>
      </w:r>
      <w:r w:rsidR="00700B79" w:rsidRPr="00FE50A6">
        <w:rPr>
          <w:rFonts w:eastAsia="Batang" w:cs="Times New Roman"/>
          <w:noProof/>
          <w:szCs w:val="20"/>
          <w:lang w:val="en-US"/>
        </w:rPr>
        <w:t>The Commission’s submission of the c</w:t>
      </w:r>
      <w:r w:rsidR="00207CAC" w:rsidRPr="00FE50A6">
        <w:rPr>
          <w:rFonts w:eastAsia="Batang" w:cs="Times New Roman"/>
          <w:noProof/>
          <w:szCs w:val="20"/>
          <w:lang w:val="en-US"/>
        </w:rPr>
        <w:t>a</w:t>
      </w:r>
      <w:r w:rsidR="00700B79" w:rsidRPr="00FE50A6">
        <w:rPr>
          <w:rFonts w:eastAsia="Batang" w:cs="Times New Roman"/>
          <w:noProof/>
          <w:szCs w:val="20"/>
          <w:lang w:val="en-US"/>
        </w:rPr>
        <w:t xml:space="preserve">se was notified </w:t>
      </w:r>
      <w:r w:rsidR="00030C17" w:rsidRPr="00FE50A6">
        <w:rPr>
          <w:rFonts w:eastAsia="Batang" w:cs="Times New Roman"/>
          <w:noProof/>
          <w:szCs w:val="20"/>
          <w:lang w:val="en-US"/>
        </w:rPr>
        <w:t xml:space="preserve">to the State and </w:t>
      </w:r>
      <w:r w:rsidR="00700B79" w:rsidRPr="00FE50A6">
        <w:rPr>
          <w:rFonts w:eastAsia="Batang" w:cs="Times New Roman"/>
          <w:noProof/>
          <w:szCs w:val="20"/>
          <w:lang w:val="en-US"/>
        </w:rPr>
        <w:t>to</w:t>
      </w:r>
      <w:r w:rsidRPr="00FE50A6">
        <w:rPr>
          <w:rFonts w:eastAsia="Batang" w:cs="Times New Roman"/>
          <w:noProof/>
          <w:szCs w:val="20"/>
          <w:lang w:val="en-US"/>
        </w:rPr>
        <w:t xml:space="preserve"> </w:t>
      </w:r>
      <w:r w:rsidR="00700B79" w:rsidRPr="00FE50A6">
        <w:rPr>
          <w:rFonts w:eastAsia="Batang" w:cs="Times New Roman"/>
          <w:noProof/>
          <w:szCs w:val="20"/>
          <w:lang w:val="en-US"/>
        </w:rPr>
        <w:t>the representatives</w:t>
      </w:r>
      <w:r w:rsidRPr="00FE50A6">
        <w:rPr>
          <w:rFonts w:eastAsia="Batang" w:cs="Times New Roman"/>
          <w:noProof/>
          <w:szCs w:val="20"/>
          <w:lang w:val="en-US"/>
        </w:rPr>
        <w:t xml:space="preserve"> </w:t>
      </w:r>
      <w:r w:rsidR="00700B79" w:rsidRPr="00FE50A6">
        <w:rPr>
          <w:rFonts w:eastAsia="Batang" w:cs="Times New Roman"/>
          <w:noProof/>
          <w:szCs w:val="20"/>
          <w:lang w:val="en-US"/>
        </w:rPr>
        <w:t>on April 14,</w:t>
      </w:r>
      <w:r w:rsidR="004C7778" w:rsidRPr="00FE50A6">
        <w:rPr>
          <w:rFonts w:eastAsia="Batang" w:cs="Times New Roman"/>
          <w:noProof/>
          <w:szCs w:val="20"/>
          <w:lang w:val="en-US"/>
        </w:rPr>
        <w:t xml:space="preserve"> 2015</w:t>
      </w:r>
      <w:r w:rsidRPr="00FE50A6">
        <w:rPr>
          <w:rFonts w:eastAsia="Batang" w:cs="Times New Roman"/>
          <w:noProof/>
          <w:szCs w:val="20"/>
          <w:lang w:val="en-US"/>
        </w:rPr>
        <w:t>.</w:t>
      </w:r>
      <w:r w:rsidR="004C7778" w:rsidRPr="00FE50A6">
        <w:rPr>
          <w:rFonts w:eastAsia="Batang" w:cs="Times New Roman"/>
          <w:noProof/>
          <w:szCs w:val="20"/>
          <w:lang w:val="en-US"/>
        </w:rPr>
        <w:t xml:space="preserve"> </w:t>
      </w:r>
    </w:p>
    <w:p w14:paraId="53E4919B" w14:textId="77777777" w:rsidR="004C7778" w:rsidRPr="00FE50A6" w:rsidRDefault="004C7778" w:rsidP="00140440">
      <w:pPr>
        <w:tabs>
          <w:tab w:val="clear" w:pos="4419"/>
          <w:tab w:val="clear" w:pos="8838"/>
          <w:tab w:val="left" w:pos="567"/>
          <w:tab w:val="left" w:pos="1134"/>
        </w:tabs>
        <w:jc w:val="both"/>
        <w:rPr>
          <w:rFonts w:eastAsia="Batang" w:cs="Times New Roman"/>
          <w:b/>
          <w:i/>
          <w:noProof/>
          <w:szCs w:val="20"/>
          <w:lang w:val="en-US" w:eastAsia="es-ES"/>
        </w:rPr>
      </w:pPr>
    </w:p>
    <w:p w14:paraId="02B2C606" w14:textId="77777777" w:rsidR="00BA1ACF" w:rsidRPr="00FE50A6" w:rsidRDefault="00700B79" w:rsidP="00140440">
      <w:pPr>
        <w:numPr>
          <w:ilvl w:val="0"/>
          <w:numId w:val="1"/>
        </w:numPr>
        <w:tabs>
          <w:tab w:val="clear" w:pos="4419"/>
          <w:tab w:val="clear" w:pos="8838"/>
          <w:tab w:val="left" w:pos="567"/>
          <w:tab w:val="left" w:pos="1134"/>
        </w:tabs>
        <w:jc w:val="both"/>
        <w:rPr>
          <w:rFonts w:eastAsia="Batang" w:cs="Times New Roman"/>
          <w:i/>
          <w:noProof/>
          <w:szCs w:val="20"/>
          <w:lang w:val="en-US" w:eastAsia="es-ES"/>
        </w:rPr>
      </w:pPr>
      <w:r w:rsidRPr="00FE50A6">
        <w:rPr>
          <w:rFonts w:eastAsia="Batang" w:cs="Times New Roman"/>
          <w:i/>
          <w:noProof/>
          <w:szCs w:val="20"/>
          <w:lang w:val="en-US" w:eastAsia="es-ES"/>
        </w:rPr>
        <w:t>Brief with motions, pleadings and evidence</w:t>
      </w:r>
      <w:r w:rsidR="00BA1ACF" w:rsidRPr="00FE50A6">
        <w:rPr>
          <w:rFonts w:eastAsia="Batang" w:cs="Times New Roman"/>
          <w:i/>
          <w:noProof/>
          <w:szCs w:val="20"/>
          <w:lang w:val="en-US" w:eastAsia="es-ES"/>
        </w:rPr>
        <w:t xml:space="preserve">. </w:t>
      </w:r>
      <w:r w:rsidRPr="00FE50A6">
        <w:rPr>
          <w:rFonts w:eastAsia="Batang" w:cs="Times New Roman"/>
          <w:noProof/>
          <w:szCs w:val="20"/>
          <w:lang w:val="en-US"/>
        </w:rPr>
        <w:t>On June 17,</w:t>
      </w:r>
      <w:r w:rsidR="00BA1ACF" w:rsidRPr="00FE50A6">
        <w:rPr>
          <w:rFonts w:eastAsia="Batang" w:cs="Times New Roman"/>
          <w:noProof/>
          <w:szCs w:val="20"/>
          <w:lang w:val="en-US"/>
        </w:rPr>
        <w:t xml:space="preserve"> 2015</w:t>
      </w:r>
      <w:r w:rsidRPr="00FE50A6">
        <w:rPr>
          <w:rFonts w:eastAsia="Batang" w:cs="Times New Roman"/>
          <w:noProof/>
          <w:szCs w:val="20"/>
          <w:lang w:val="en-US"/>
        </w:rPr>
        <w:t>,</w:t>
      </w:r>
      <w:r w:rsidR="00BA1ACF" w:rsidRPr="00FE50A6">
        <w:rPr>
          <w:rFonts w:eastAsia="Batang" w:cs="Times New Roman"/>
          <w:noProof/>
          <w:szCs w:val="20"/>
          <w:lang w:val="en-US"/>
        </w:rPr>
        <w:t xml:space="preserve"> </w:t>
      </w:r>
      <w:r w:rsidRPr="00FE50A6">
        <w:rPr>
          <w:rFonts w:eastAsia="Batang" w:cs="Times New Roman"/>
          <w:noProof/>
          <w:szCs w:val="20"/>
          <w:lang w:val="en-US"/>
        </w:rPr>
        <w:t>the representatives</w:t>
      </w:r>
      <w:r w:rsidR="00BA1ACF" w:rsidRPr="00FE50A6">
        <w:rPr>
          <w:rFonts w:eastAsia="Batang" w:cs="Times New Roman"/>
          <w:noProof/>
          <w:szCs w:val="20"/>
          <w:lang w:val="en-US"/>
        </w:rPr>
        <w:t xml:space="preserve"> present</w:t>
      </w:r>
      <w:r w:rsidRPr="00FE50A6">
        <w:rPr>
          <w:rFonts w:eastAsia="Batang" w:cs="Times New Roman"/>
          <w:noProof/>
          <w:szCs w:val="20"/>
          <w:lang w:val="en-US"/>
        </w:rPr>
        <w:t>ed their</w:t>
      </w:r>
      <w:r w:rsidR="00BA1ACF" w:rsidRPr="00FE50A6">
        <w:rPr>
          <w:rFonts w:eastAsia="Batang" w:cs="Times New Roman"/>
          <w:noProof/>
          <w:szCs w:val="20"/>
          <w:lang w:val="en-US"/>
        </w:rPr>
        <w:t xml:space="preserve"> </w:t>
      </w:r>
      <w:r w:rsidRPr="00FE50A6">
        <w:rPr>
          <w:rFonts w:eastAsia="Batang" w:cs="Times New Roman"/>
          <w:noProof/>
          <w:szCs w:val="20"/>
          <w:lang w:val="en-US"/>
        </w:rPr>
        <w:t>brief with motions, pleadings and evidence</w:t>
      </w:r>
      <w:r w:rsidR="00BA1ACF" w:rsidRPr="00FE50A6">
        <w:rPr>
          <w:rFonts w:eastAsia="Batang" w:cs="Times New Roman"/>
          <w:noProof/>
          <w:szCs w:val="20"/>
          <w:lang w:val="en-US"/>
        </w:rPr>
        <w:t xml:space="preserve"> (</w:t>
      </w:r>
      <w:r w:rsidR="000228D0" w:rsidRPr="00FE50A6">
        <w:rPr>
          <w:rFonts w:eastAsia="Batang" w:cs="Times New Roman"/>
          <w:noProof/>
          <w:szCs w:val="20"/>
          <w:lang w:val="en-US"/>
        </w:rPr>
        <w:t>hereinafter</w:t>
      </w:r>
      <w:r w:rsidR="00BA1ACF" w:rsidRPr="00FE50A6">
        <w:rPr>
          <w:rFonts w:eastAsia="Batang" w:cs="Times New Roman"/>
          <w:noProof/>
          <w:szCs w:val="20"/>
          <w:lang w:val="en-US"/>
        </w:rPr>
        <w:t xml:space="preserve"> </w:t>
      </w:r>
      <w:r w:rsidR="009C48A4" w:rsidRPr="00FE50A6">
        <w:rPr>
          <w:rFonts w:eastAsia="Batang" w:cs="Times New Roman"/>
          <w:noProof/>
          <w:szCs w:val="20"/>
          <w:lang w:val="en-US"/>
        </w:rPr>
        <w:t>“</w:t>
      </w:r>
      <w:r w:rsidRPr="00FE50A6">
        <w:rPr>
          <w:rFonts w:eastAsia="Batang" w:cs="Times New Roman"/>
          <w:noProof/>
          <w:szCs w:val="20"/>
          <w:lang w:val="en-US"/>
        </w:rPr>
        <w:t>motions and pleadings brief</w:t>
      </w:r>
      <w:r w:rsidR="009C48A4" w:rsidRPr="00FE50A6">
        <w:rPr>
          <w:rFonts w:eastAsia="Batang" w:cs="Times New Roman"/>
          <w:noProof/>
          <w:szCs w:val="20"/>
          <w:lang w:val="en-US"/>
        </w:rPr>
        <w:t>”</w:t>
      </w:r>
      <w:r w:rsidR="00BA1ACF" w:rsidRPr="00FE50A6">
        <w:rPr>
          <w:rFonts w:eastAsia="Batang" w:cs="Times New Roman"/>
          <w:noProof/>
          <w:szCs w:val="20"/>
          <w:lang w:val="en-US"/>
        </w:rPr>
        <w:t xml:space="preserve">), </w:t>
      </w:r>
      <w:r w:rsidR="000E0C85" w:rsidRPr="00FE50A6">
        <w:rPr>
          <w:rFonts w:eastAsia="Batang" w:cs="Times New Roman"/>
          <w:noProof/>
          <w:szCs w:val="20"/>
          <w:lang w:val="en-US"/>
        </w:rPr>
        <w:t>pursuant to</w:t>
      </w:r>
      <w:r w:rsidR="00BA1ACF" w:rsidRPr="00FE50A6">
        <w:rPr>
          <w:rFonts w:eastAsia="Batang" w:cs="Times New Roman"/>
          <w:noProof/>
          <w:szCs w:val="20"/>
          <w:lang w:val="en-US"/>
        </w:rPr>
        <w:t xml:space="preserve"> </w:t>
      </w:r>
      <w:r w:rsidR="000228D0" w:rsidRPr="00FE50A6">
        <w:rPr>
          <w:rFonts w:eastAsia="Batang" w:cs="Times New Roman"/>
          <w:noProof/>
          <w:szCs w:val="20"/>
          <w:lang w:val="en-US"/>
        </w:rPr>
        <w:t>Articles</w:t>
      </w:r>
      <w:r w:rsidR="00BA1ACF" w:rsidRPr="00FE50A6">
        <w:rPr>
          <w:rFonts w:eastAsia="Batang" w:cs="Times New Roman"/>
          <w:noProof/>
          <w:szCs w:val="20"/>
          <w:lang w:val="en-US"/>
        </w:rPr>
        <w:t xml:space="preserve"> 25</w:t>
      </w:r>
      <w:r w:rsidR="00030C17" w:rsidRPr="00FE50A6">
        <w:rPr>
          <w:rFonts w:eastAsia="Batang" w:cs="Times New Roman"/>
          <w:noProof/>
          <w:szCs w:val="20"/>
          <w:lang w:val="en-US"/>
        </w:rPr>
        <w:t xml:space="preserve"> and </w:t>
      </w:r>
      <w:r w:rsidR="00BA1ACF" w:rsidRPr="00FE50A6">
        <w:rPr>
          <w:rFonts w:eastAsia="Batang" w:cs="Times New Roman"/>
          <w:noProof/>
          <w:szCs w:val="20"/>
          <w:lang w:val="en-US"/>
        </w:rPr>
        <w:t>40</w:t>
      </w:r>
      <w:r w:rsidR="00703850" w:rsidRPr="00FE50A6">
        <w:rPr>
          <w:rFonts w:eastAsia="Batang" w:cs="Times New Roman"/>
          <w:noProof/>
          <w:szCs w:val="20"/>
          <w:lang w:val="en-US"/>
        </w:rPr>
        <w:t xml:space="preserve"> of the </w:t>
      </w:r>
      <w:r w:rsidRPr="00FE50A6">
        <w:rPr>
          <w:rFonts w:eastAsia="Batang" w:cs="Times New Roman"/>
          <w:noProof/>
          <w:szCs w:val="20"/>
          <w:lang w:val="en-US"/>
        </w:rPr>
        <w:t xml:space="preserve">Court’s </w:t>
      </w:r>
      <w:r w:rsidR="000228D0" w:rsidRPr="00FE50A6">
        <w:rPr>
          <w:rFonts w:eastAsia="Batang" w:cs="Times New Roman"/>
          <w:noProof/>
          <w:szCs w:val="20"/>
          <w:lang w:val="en-US"/>
        </w:rPr>
        <w:t>Rules of Procedure</w:t>
      </w:r>
      <w:r w:rsidRPr="00FE50A6">
        <w:rPr>
          <w:rFonts w:eastAsia="Batang" w:cs="Times New Roman"/>
          <w:noProof/>
          <w:szCs w:val="20"/>
          <w:lang w:val="en-US"/>
        </w:rPr>
        <w:t>.</w:t>
      </w:r>
      <w:r w:rsidR="00225FE9" w:rsidRPr="00FE50A6">
        <w:rPr>
          <w:rStyle w:val="Refdenotaalpie"/>
          <w:rFonts w:eastAsia="Batang"/>
          <w:noProof/>
          <w:lang w:val="en-US"/>
        </w:rPr>
        <w:footnoteReference w:id="4"/>
      </w:r>
      <w:r w:rsidR="004C7778" w:rsidRPr="00FE50A6">
        <w:rPr>
          <w:rFonts w:eastAsia="Batang" w:cs="Times New Roman"/>
          <w:noProof/>
          <w:szCs w:val="20"/>
          <w:lang w:val="en-US"/>
        </w:rPr>
        <w:t xml:space="preserve"> </w:t>
      </w:r>
    </w:p>
    <w:p w14:paraId="1F637813" w14:textId="77777777" w:rsidR="004C7778" w:rsidRPr="00FE50A6" w:rsidRDefault="004C7778" w:rsidP="00140440">
      <w:pPr>
        <w:tabs>
          <w:tab w:val="clear" w:pos="4419"/>
          <w:tab w:val="clear" w:pos="8838"/>
          <w:tab w:val="left" w:pos="567"/>
          <w:tab w:val="left" w:pos="1134"/>
        </w:tabs>
        <w:jc w:val="both"/>
        <w:rPr>
          <w:rFonts w:eastAsia="Batang" w:cs="Times New Roman"/>
          <w:i/>
          <w:noProof/>
          <w:szCs w:val="20"/>
          <w:lang w:val="en-US" w:eastAsia="es-ES"/>
        </w:rPr>
      </w:pPr>
    </w:p>
    <w:p w14:paraId="4602249B" w14:textId="77777777" w:rsidR="00BA1ACF" w:rsidRPr="00FE50A6" w:rsidRDefault="00700B79" w:rsidP="00140440">
      <w:pPr>
        <w:numPr>
          <w:ilvl w:val="0"/>
          <w:numId w:val="1"/>
        </w:numPr>
        <w:tabs>
          <w:tab w:val="clear" w:pos="4419"/>
          <w:tab w:val="clear" w:pos="8838"/>
          <w:tab w:val="left" w:pos="567"/>
          <w:tab w:val="left" w:pos="1134"/>
        </w:tabs>
        <w:jc w:val="both"/>
        <w:rPr>
          <w:rFonts w:eastAsia="Batang" w:cs="Times New Roman"/>
          <w:noProof/>
          <w:szCs w:val="20"/>
          <w:lang w:val="en-US" w:eastAsia="es-ES"/>
        </w:rPr>
      </w:pPr>
      <w:r w:rsidRPr="00FE50A6">
        <w:rPr>
          <w:rFonts w:eastAsia="Calibri" w:cs="Times New Roman"/>
          <w:bCs/>
          <w:i/>
          <w:noProof/>
          <w:szCs w:val="20"/>
          <w:lang w:val="en-US"/>
        </w:rPr>
        <w:t>Answering brief</w:t>
      </w:r>
      <w:r w:rsidR="00BA1ACF" w:rsidRPr="00FE50A6">
        <w:rPr>
          <w:rFonts w:eastAsia="Calibri" w:cs="Times New Roman"/>
          <w:bCs/>
          <w:i/>
          <w:noProof/>
          <w:szCs w:val="20"/>
          <w:lang w:val="en-US"/>
        </w:rPr>
        <w:t xml:space="preserve">. </w:t>
      </w:r>
      <w:r w:rsidRPr="00FE50A6">
        <w:rPr>
          <w:rFonts w:eastAsia="Batang" w:cs="Times New Roman"/>
          <w:noProof/>
          <w:szCs w:val="20"/>
          <w:lang w:val="en-US"/>
        </w:rPr>
        <w:t>On</w:t>
      </w:r>
      <w:r w:rsidR="00BA1ACF" w:rsidRPr="00FE50A6">
        <w:rPr>
          <w:rFonts w:eastAsia="Batang" w:cs="Times New Roman"/>
          <w:noProof/>
          <w:szCs w:val="20"/>
          <w:lang w:val="en-US"/>
        </w:rPr>
        <w:t xml:space="preserve"> </w:t>
      </w:r>
      <w:r w:rsidRPr="00FE50A6">
        <w:rPr>
          <w:rFonts w:eastAsia="Batang" w:cs="Times New Roman"/>
          <w:noProof/>
          <w:szCs w:val="20"/>
          <w:lang w:val="en-US"/>
        </w:rPr>
        <w:t>September 14,</w:t>
      </w:r>
      <w:r w:rsidR="00BA1ACF" w:rsidRPr="00FE50A6">
        <w:rPr>
          <w:rFonts w:eastAsia="Batang" w:cs="Times New Roman"/>
          <w:noProof/>
          <w:szCs w:val="20"/>
          <w:lang w:val="en-US"/>
        </w:rPr>
        <w:t xml:space="preserve"> 2015</w:t>
      </w:r>
      <w:r w:rsidRPr="00FE50A6">
        <w:rPr>
          <w:rFonts w:eastAsia="Batang" w:cs="Times New Roman"/>
          <w:noProof/>
          <w:szCs w:val="20"/>
          <w:lang w:val="en-US"/>
        </w:rPr>
        <w:t>,</w:t>
      </w:r>
      <w:r w:rsidR="00BA1ACF" w:rsidRPr="00FE50A6">
        <w:rPr>
          <w:rFonts w:eastAsia="Batang" w:cs="Times New Roman"/>
          <w:noProof/>
          <w:szCs w:val="20"/>
          <w:lang w:val="en-US"/>
        </w:rPr>
        <w:t xml:space="preserve"> </w:t>
      </w:r>
      <w:r w:rsidR="000228D0" w:rsidRPr="00FE50A6">
        <w:rPr>
          <w:rFonts w:eastAsia="Batang" w:cs="Times New Roman"/>
          <w:noProof/>
          <w:szCs w:val="20"/>
          <w:lang w:val="en-US"/>
        </w:rPr>
        <w:t>the State</w:t>
      </w:r>
      <w:r w:rsidR="00BA1ACF" w:rsidRPr="00FE50A6">
        <w:rPr>
          <w:rFonts w:eastAsia="Batang" w:cs="Times New Roman"/>
          <w:noProof/>
          <w:szCs w:val="20"/>
          <w:lang w:val="en-US"/>
        </w:rPr>
        <w:t xml:space="preserve"> </w:t>
      </w:r>
      <w:r w:rsidRPr="00FE50A6">
        <w:rPr>
          <w:rFonts w:eastAsia="Batang" w:cs="Times New Roman"/>
          <w:noProof/>
          <w:szCs w:val="20"/>
          <w:lang w:val="en-US"/>
        </w:rPr>
        <w:t>submitted to</w:t>
      </w:r>
      <w:r w:rsidR="00BA1ACF" w:rsidRPr="00FE50A6">
        <w:rPr>
          <w:rFonts w:eastAsia="Batang" w:cs="Times New Roman"/>
          <w:noProof/>
          <w:szCs w:val="20"/>
          <w:lang w:val="en-US"/>
        </w:rPr>
        <w:t xml:space="preserve"> </w:t>
      </w:r>
      <w:r w:rsidR="000228D0" w:rsidRPr="00FE50A6">
        <w:rPr>
          <w:rFonts w:eastAsia="Batang" w:cs="Times New Roman"/>
          <w:noProof/>
          <w:szCs w:val="20"/>
          <w:lang w:val="en-US"/>
        </w:rPr>
        <w:t>the Court</w:t>
      </w:r>
      <w:r w:rsidR="00BA1ACF" w:rsidRPr="00FE50A6">
        <w:rPr>
          <w:rFonts w:eastAsia="Batang" w:cs="Times New Roman"/>
          <w:noProof/>
          <w:szCs w:val="20"/>
          <w:lang w:val="en-US"/>
        </w:rPr>
        <w:t xml:space="preserve"> </w:t>
      </w:r>
      <w:r w:rsidRPr="00FE50A6">
        <w:rPr>
          <w:rFonts w:eastAsia="Batang" w:cs="Times New Roman"/>
          <w:noProof/>
          <w:szCs w:val="20"/>
          <w:lang w:val="en-US"/>
        </w:rPr>
        <w:t>its</w:t>
      </w:r>
      <w:r w:rsidR="00BA1ACF" w:rsidRPr="00FE50A6">
        <w:rPr>
          <w:rFonts w:eastAsia="Batang" w:cs="Times New Roman"/>
          <w:noProof/>
          <w:szCs w:val="20"/>
          <w:lang w:val="en-US"/>
        </w:rPr>
        <w:t xml:space="preserve"> </w:t>
      </w:r>
      <w:r w:rsidRPr="00FE50A6">
        <w:rPr>
          <w:rFonts w:eastAsia="Batang" w:cs="Times New Roman"/>
          <w:noProof/>
          <w:szCs w:val="20"/>
          <w:lang w:val="en-US"/>
        </w:rPr>
        <w:t>brief</w:t>
      </w:r>
      <w:r w:rsidR="00BA1ACF" w:rsidRPr="00FE50A6">
        <w:rPr>
          <w:rFonts w:eastAsia="Batang" w:cs="Times New Roman"/>
          <w:noProof/>
          <w:szCs w:val="20"/>
          <w:lang w:val="en-US"/>
        </w:rPr>
        <w:t xml:space="preserve"> </w:t>
      </w:r>
      <w:r w:rsidRPr="00FE50A6">
        <w:rPr>
          <w:rFonts w:eastAsia="Batang" w:cs="Times New Roman"/>
          <w:noProof/>
          <w:szCs w:val="20"/>
          <w:lang w:val="en-US"/>
        </w:rPr>
        <w:t>answering the submission of the case and the motions and pleadings brief</w:t>
      </w:r>
      <w:r w:rsidR="00030C17" w:rsidRPr="00FE50A6">
        <w:rPr>
          <w:rFonts w:eastAsia="Batang" w:cs="Times New Roman"/>
          <w:noProof/>
          <w:szCs w:val="20"/>
          <w:lang w:val="en-US"/>
        </w:rPr>
        <w:t xml:space="preserve"> and </w:t>
      </w:r>
      <w:r w:rsidR="000E0C85" w:rsidRPr="00FE50A6">
        <w:rPr>
          <w:rFonts w:eastAsia="Batang" w:cs="Times New Roman"/>
          <w:noProof/>
          <w:szCs w:val="20"/>
          <w:lang w:val="en-US"/>
        </w:rPr>
        <w:t>with</w:t>
      </w:r>
      <w:r w:rsidR="00BA1ACF" w:rsidRPr="00FE50A6">
        <w:rPr>
          <w:rFonts w:eastAsia="Batang" w:cs="Times New Roman"/>
          <w:noProof/>
          <w:szCs w:val="20"/>
          <w:lang w:val="en-US"/>
        </w:rPr>
        <w:t xml:space="preserve"> </w:t>
      </w:r>
      <w:r w:rsidRPr="00FE50A6">
        <w:rPr>
          <w:rFonts w:eastAsia="Batang" w:cs="Times New Roman"/>
          <w:noProof/>
          <w:szCs w:val="20"/>
          <w:lang w:val="en-US"/>
        </w:rPr>
        <w:lastRenderedPageBreak/>
        <w:t>preliminary objections</w:t>
      </w:r>
      <w:r w:rsidR="00BA1ACF" w:rsidRPr="00FE50A6">
        <w:rPr>
          <w:rFonts w:eastAsia="Batang" w:cs="Times New Roman"/>
          <w:noProof/>
          <w:szCs w:val="20"/>
          <w:lang w:val="en-US"/>
        </w:rPr>
        <w:t xml:space="preserve"> (</w:t>
      </w:r>
      <w:r w:rsidR="000228D0" w:rsidRPr="00FE50A6">
        <w:rPr>
          <w:rFonts w:eastAsia="Batang" w:cs="Times New Roman"/>
          <w:noProof/>
          <w:szCs w:val="20"/>
          <w:lang w:val="en-US"/>
        </w:rPr>
        <w:t>hereinafter</w:t>
      </w:r>
      <w:r w:rsidR="00BA1ACF" w:rsidRPr="00FE50A6">
        <w:rPr>
          <w:rFonts w:eastAsia="Batang" w:cs="Times New Roman"/>
          <w:noProof/>
          <w:szCs w:val="20"/>
          <w:lang w:val="en-US"/>
        </w:rPr>
        <w:t xml:space="preserve"> </w:t>
      </w:r>
      <w:r w:rsidR="009C48A4" w:rsidRPr="00FE50A6">
        <w:rPr>
          <w:rFonts w:eastAsia="Batang" w:cs="Times New Roman"/>
          <w:noProof/>
          <w:szCs w:val="20"/>
          <w:lang w:val="en-US"/>
        </w:rPr>
        <w:t>“</w:t>
      </w:r>
      <w:r w:rsidRPr="00FE50A6">
        <w:rPr>
          <w:rFonts w:eastAsia="Batang" w:cs="Times New Roman"/>
          <w:noProof/>
          <w:szCs w:val="20"/>
          <w:lang w:val="en-US"/>
        </w:rPr>
        <w:t>answer</w:t>
      </w:r>
      <w:r w:rsidR="009C48A4" w:rsidRPr="00FE50A6">
        <w:rPr>
          <w:rFonts w:eastAsia="Batang" w:cs="Times New Roman"/>
          <w:noProof/>
          <w:szCs w:val="20"/>
          <w:lang w:val="en-US"/>
        </w:rPr>
        <w:t>”</w:t>
      </w:r>
      <w:r w:rsidR="00BA1ACF" w:rsidRPr="00FE50A6">
        <w:rPr>
          <w:rFonts w:eastAsia="Batang" w:cs="Times New Roman"/>
          <w:noProof/>
          <w:szCs w:val="20"/>
          <w:lang w:val="en-US"/>
        </w:rPr>
        <w:t xml:space="preserve"> o</w:t>
      </w:r>
      <w:r w:rsidRPr="00FE50A6">
        <w:rPr>
          <w:rFonts w:eastAsia="Batang" w:cs="Times New Roman"/>
          <w:noProof/>
          <w:szCs w:val="20"/>
          <w:lang w:val="en-US"/>
        </w:rPr>
        <w:t>r</w:t>
      </w:r>
      <w:r w:rsidR="00BA1ACF" w:rsidRPr="00FE50A6">
        <w:rPr>
          <w:rFonts w:eastAsia="Batang" w:cs="Times New Roman"/>
          <w:noProof/>
          <w:szCs w:val="20"/>
          <w:lang w:val="en-US"/>
        </w:rPr>
        <w:t xml:space="preserve"> </w:t>
      </w:r>
      <w:r w:rsidR="009C48A4" w:rsidRPr="00FE50A6">
        <w:rPr>
          <w:rFonts w:eastAsia="Batang" w:cs="Times New Roman"/>
          <w:noProof/>
          <w:szCs w:val="20"/>
          <w:lang w:val="en-US"/>
        </w:rPr>
        <w:t>“</w:t>
      </w:r>
      <w:r w:rsidRPr="00FE50A6">
        <w:rPr>
          <w:rFonts w:eastAsia="Batang" w:cs="Times New Roman"/>
          <w:noProof/>
          <w:szCs w:val="20"/>
          <w:lang w:val="en-US"/>
        </w:rPr>
        <w:t>answering brief</w:t>
      </w:r>
      <w:r w:rsidR="009C48A4" w:rsidRPr="00FE50A6">
        <w:rPr>
          <w:rFonts w:eastAsia="Batang" w:cs="Times New Roman"/>
          <w:noProof/>
          <w:szCs w:val="20"/>
          <w:lang w:val="en-US"/>
        </w:rPr>
        <w:t>”</w:t>
      </w:r>
      <w:r w:rsidR="00BA1ACF" w:rsidRPr="00FE50A6">
        <w:rPr>
          <w:rFonts w:eastAsia="Batang" w:cs="Times New Roman"/>
          <w:noProof/>
          <w:szCs w:val="20"/>
          <w:lang w:val="en-US"/>
        </w:rPr>
        <w:t xml:space="preserve">), </w:t>
      </w:r>
      <w:r w:rsidR="000E0C85" w:rsidRPr="00FE50A6">
        <w:rPr>
          <w:rFonts w:eastAsia="Batang" w:cs="Times New Roman"/>
          <w:noProof/>
          <w:szCs w:val="20"/>
          <w:lang w:val="en-US"/>
        </w:rPr>
        <w:t>in accordance with</w:t>
      </w:r>
      <w:r w:rsidR="00703850" w:rsidRPr="00FE50A6">
        <w:rPr>
          <w:rFonts w:eastAsia="Batang" w:cs="Times New Roman"/>
          <w:noProof/>
          <w:szCs w:val="20"/>
          <w:lang w:val="en-US"/>
        </w:rPr>
        <w:t xml:space="preserve"> Article</w:t>
      </w:r>
      <w:r w:rsidR="00BA1ACF" w:rsidRPr="00FE50A6">
        <w:rPr>
          <w:rFonts w:eastAsia="Batang" w:cs="Times New Roman"/>
          <w:noProof/>
          <w:szCs w:val="20"/>
          <w:lang w:val="en-US"/>
        </w:rPr>
        <w:t xml:space="preserve"> 41</w:t>
      </w:r>
      <w:r w:rsidR="00703850" w:rsidRPr="00FE50A6">
        <w:rPr>
          <w:rFonts w:eastAsia="Batang" w:cs="Times New Roman"/>
          <w:noProof/>
          <w:szCs w:val="20"/>
          <w:lang w:val="en-US"/>
        </w:rPr>
        <w:t xml:space="preserve"> of the </w:t>
      </w:r>
      <w:r w:rsidRPr="00FE50A6">
        <w:rPr>
          <w:rFonts w:eastAsia="Batang" w:cs="Times New Roman"/>
          <w:noProof/>
          <w:szCs w:val="20"/>
          <w:lang w:val="en-US"/>
        </w:rPr>
        <w:t xml:space="preserve">Court’s </w:t>
      </w:r>
      <w:r w:rsidR="000228D0" w:rsidRPr="00FE50A6">
        <w:rPr>
          <w:rFonts w:eastAsia="Batang" w:cs="Times New Roman"/>
          <w:noProof/>
          <w:szCs w:val="20"/>
          <w:lang w:val="en-US"/>
        </w:rPr>
        <w:t>Rules of Procedure</w:t>
      </w:r>
      <w:r w:rsidRPr="00FE50A6">
        <w:rPr>
          <w:rFonts w:eastAsia="Batang" w:cs="Times New Roman"/>
          <w:noProof/>
          <w:szCs w:val="20"/>
          <w:lang w:val="en-US"/>
        </w:rPr>
        <w:t>.</w:t>
      </w:r>
      <w:r w:rsidR="00BA1ACF" w:rsidRPr="00FE50A6">
        <w:rPr>
          <w:rFonts w:eastAsia="Batang" w:cs="Times New Roman"/>
          <w:noProof/>
          <w:szCs w:val="20"/>
          <w:vertAlign w:val="superscript"/>
          <w:lang w:val="en-US"/>
        </w:rPr>
        <w:footnoteReference w:id="5"/>
      </w:r>
      <w:r w:rsidR="006E5A83" w:rsidRPr="00FE50A6">
        <w:rPr>
          <w:rFonts w:eastAsia="Batang" w:cs="Verdana"/>
          <w:noProof/>
          <w:szCs w:val="20"/>
          <w:lang w:val="en-US"/>
        </w:rPr>
        <w:t xml:space="preserve"> </w:t>
      </w:r>
    </w:p>
    <w:p w14:paraId="5B432586" w14:textId="77777777" w:rsidR="004C7778" w:rsidRPr="00FE50A6" w:rsidRDefault="004C7778" w:rsidP="00140440">
      <w:pPr>
        <w:tabs>
          <w:tab w:val="clear" w:pos="4419"/>
          <w:tab w:val="clear" w:pos="8838"/>
          <w:tab w:val="left" w:pos="567"/>
          <w:tab w:val="left" w:pos="1134"/>
        </w:tabs>
        <w:jc w:val="both"/>
        <w:rPr>
          <w:rFonts w:eastAsia="Batang" w:cs="Times New Roman"/>
          <w:noProof/>
          <w:szCs w:val="20"/>
          <w:lang w:val="en-US" w:eastAsia="es-ES"/>
        </w:rPr>
      </w:pPr>
    </w:p>
    <w:p w14:paraId="3A037001" w14:textId="77777777" w:rsidR="00BA1ACF" w:rsidRPr="00FE50A6" w:rsidRDefault="002071B1" w:rsidP="00140440">
      <w:pPr>
        <w:numPr>
          <w:ilvl w:val="0"/>
          <w:numId w:val="1"/>
        </w:numPr>
        <w:tabs>
          <w:tab w:val="clear" w:pos="4419"/>
          <w:tab w:val="clear" w:pos="8838"/>
          <w:tab w:val="left" w:pos="567"/>
          <w:tab w:val="left" w:pos="1134"/>
        </w:tabs>
        <w:jc w:val="both"/>
        <w:rPr>
          <w:rFonts w:eastAsia="Batang" w:cs="Times New Roman"/>
          <w:noProof/>
          <w:szCs w:val="20"/>
          <w:lang w:val="en-US" w:eastAsia="es-ES"/>
        </w:rPr>
      </w:pPr>
      <w:r w:rsidRPr="00FE50A6">
        <w:rPr>
          <w:rFonts w:eastAsia="Batang" w:cs="Times New Roman"/>
          <w:i/>
          <w:noProof/>
          <w:szCs w:val="20"/>
          <w:lang w:val="en-US" w:eastAsia="es-ES"/>
        </w:rPr>
        <w:t>Observations</w:t>
      </w:r>
      <w:r w:rsidR="00BA1ACF" w:rsidRPr="00FE50A6">
        <w:rPr>
          <w:rFonts w:eastAsia="Batang" w:cs="Times New Roman"/>
          <w:i/>
          <w:noProof/>
          <w:szCs w:val="20"/>
          <w:lang w:val="en-US" w:eastAsia="es-ES"/>
        </w:rPr>
        <w:t xml:space="preserve"> </w:t>
      </w:r>
      <w:r w:rsidRPr="00FE50A6">
        <w:rPr>
          <w:rFonts w:eastAsia="Batang" w:cs="Times New Roman"/>
          <w:i/>
          <w:noProof/>
          <w:szCs w:val="20"/>
          <w:lang w:val="en-US" w:eastAsia="es-ES"/>
        </w:rPr>
        <w:t>on the</w:t>
      </w:r>
      <w:r w:rsidR="00BA1ACF" w:rsidRPr="00FE50A6">
        <w:rPr>
          <w:rFonts w:eastAsia="Batang" w:cs="Times New Roman"/>
          <w:i/>
          <w:noProof/>
          <w:szCs w:val="20"/>
          <w:lang w:val="en-US" w:eastAsia="es-ES"/>
        </w:rPr>
        <w:t xml:space="preserve"> </w:t>
      </w:r>
      <w:r w:rsidR="00700B79" w:rsidRPr="00FE50A6">
        <w:rPr>
          <w:rFonts w:eastAsia="Batang" w:cs="Times New Roman"/>
          <w:i/>
          <w:noProof/>
          <w:szCs w:val="20"/>
          <w:lang w:val="en-US" w:eastAsia="es-ES"/>
        </w:rPr>
        <w:t>preliminary objections</w:t>
      </w:r>
      <w:r w:rsidR="00BA1ACF" w:rsidRPr="00FE50A6">
        <w:rPr>
          <w:rFonts w:eastAsia="Batang" w:cs="Times New Roman"/>
          <w:i/>
          <w:noProof/>
          <w:szCs w:val="20"/>
          <w:lang w:val="en-US" w:eastAsia="es-ES"/>
        </w:rPr>
        <w:t xml:space="preserve">. </w:t>
      </w:r>
      <w:r w:rsidRPr="00FE50A6">
        <w:rPr>
          <w:rFonts w:eastAsia="Batang" w:cs="Times New Roman"/>
          <w:noProof/>
          <w:szCs w:val="20"/>
          <w:lang w:val="en-US" w:eastAsia="es-ES"/>
        </w:rPr>
        <w:t xml:space="preserve">In briefs received on October 28 and 30, </w:t>
      </w:r>
      <w:r w:rsidR="006E5A83" w:rsidRPr="00FE50A6">
        <w:rPr>
          <w:rFonts w:eastAsia="Batang" w:cs="Times New Roman"/>
          <w:noProof/>
          <w:szCs w:val="20"/>
          <w:lang w:val="en-US" w:eastAsia="es-ES"/>
        </w:rPr>
        <w:t>2015</w:t>
      </w:r>
      <w:r w:rsidR="00BA1ACF" w:rsidRPr="00FE50A6">
        <w:rPr>
          <w:rFonts w:eastAsia="Batang" w:cs="Times New Roman"/>
          <w:noProof/>
          <w:szCs w:val="20"/>
          <w:lang w:val="en-US" w:eastAsia="es-ES"/>
        </w:rPr>
        <w:t xml:space="preserve">, </w:t>
      </w:r>
      <w:r w:rsidR="00700B79" w:rsidRPr="00FE50A6">
        <w:rPr>
          <w:rFonts w:eastAsia="Batang" w:cs="Times New Roman"/>
          <w:noProof/>
          <w:szCs w:val="20"/>
          <w:lang w:val="en-US" w:eastAsia="es-ES"/>
        </w:rPr>
        <w:t>the representatives</w:t>
      </w:r>
      <w:r w:rsidR="00030C17" w:rsidRPr="00FE50A6">
        <w:rPr>
          <w:rFonts w:eastAsia="Batang" w:cs="Times New Roman"/>
          <w:noProof/>
          <w:szCs w:val="20"/>
          <w:lang w:val="en-US" w:eastAsia="es-ES"/>
        </w:rPr>
        <w:t xml:space="preserve"> and </w:t>
      </w:r>
      <w:r w:rsidR="000228D0" w:rsidRPr="00FE50A6">
        <w:rPr>
          <w:rFonts w:eastAsia="Batang" w:cs="Times New Roman"/>
          <w:noProof/>
          <w:szCs w:val="20"/>
          <w:lang w:val="en-US" w:eastAsia="es-ES"/>
        </w:rPr>
        <w:t>the Commission</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submitted their observations</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on the</w:t>
      </w:r>
      <w:r w:rsidR="00BA1ACF" w:rsidRPr="00FE50A6">
        <w:rPr>
          <w:rFonts w:eastAsia="Batang" w:cs="Times New Roman"/>
          <w:noProof/>
          <w:szCs w:val="20"/>
          <w:lang w:val="en-US" w:eastAsia="es-ES"/>
        </w:rPr>
        <w:t xml:space="preserve"> </w:t>
      </w:r>
      <w:r w:rsidR="00700B79" w:rsidRPr="00FE50A6">
        <w:rPr>
          <w:rFonts w:eastAsia="Batang" w:cs="Times New Roman"/>
          <w:noProof/>
          <w:szCs w:val="20"/>
          <w:lang w:val="en-US" w:eastAsia="es-ES"/>
        </w:rPr>
        <w:t>preliminary objections</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filed by</w:t>
      </w:r>
      <w:r w:rsidR="00BA1ACF" w:rsidRPr="00FE50A6">
        <w:rPr>
          <w:rFonts w:eastAsia="Batang" w:cs="Times New Roman"/>
          <w:noProof/>
          <w:szCs w:val="20"/>
          <w:lang w:val="en-US" w:eastAsia="es-ES"/>
        </w:rPr>
        <w:t xml:space="preserve"> </w:t>
      </w:r>
      <w:r w:rsidR="000228D0" w:rsidRPr="00FE50A6">
        <w:rPr>
          <w:rFonts w:eastAsia="Batang" w:cs="Times New Roman"/>
          <w:noProof/>
          <w:szCs w:val="20"/>
          <w:lang w:val="en-US" w:eastAsia="es-ES"/>
        </w:rPr>
        <w:t>the State</w:t>
      </w:r>
      <w:r w:rsidR="00BA1ACF" w:rsidRPr="00FE50A6">
        <w:rPr>
          <w:rFonts w:eastAsia="Batang" w:cs="Times New Roman"/>
          <w:noProof/>
          <w:szCs w:val="20"/>
          <w:lang w:val="en-US" w:eastAsia="es-ES"/>
        </w:rPr>
        <w:t>.</w:t>
      </w:r>
      <w:r w:rsidR="006E5A83" w:rsidRPr="00FE50A6">
        <w:rPr>
          <w:rFonts w:eastAsia="Batang" w:cs="Times New Roman"/>
          <w:noProof/>
          <w:szCs w:val="20"/>
          <w:lang w:val="en-US" w:eastAsia="es-ES"/>
        </w:rPr>
        <w:t xml:space="preserve"> </w:t>
      </w:r>
    </w:p>
    <w:p w14:paraId="30ECA68A" w14:textId="77777777" w:rsidR="00263F22" w:rsidRPr="00FE50A6" w:rsidRDefault="00263F22" w:rsidP="00140440">
      <w:pPr>
        <w:tabs>
          <w:tab w:val="clear" w:pos="4419"/>
          <w:tab w:val="clear" w:pos="8838"/>
          <w:tab w:val="left" w:pos="567"/>
          <w:tab w:val="left" w:pos="1134"/>
        </w:tabs>
        <w:autoSpaceDE w:val="0"/>
        <w:autoSpaceDN w:val="0"/>
        <w:adjustRightInd w:val="0"/>
        <w:jc w:val="both"/>
        <w:rPr>
          <w:rFonts w:eastAsia="Batang" w:cs="Verdana"/>
          <w:noProof/>
          <w:szCs w:val="20"/>
          <w:lang w:val="en-US" w:eastAsia="es-ES"/>
        </w:rPr>
      </w:pPr>
    </w:p>
    <w:p w14:paraId="01BDBD40" w14:textId="77777777" w:rsidR="00BA1ACF" w:rsidRPr="00FE50A6" w:rsidRDefault="002071B1" w:rsidP="00140440">
      <w:pPr>
        <w:numPr>
          <w:ilvl w:val="0"/>
          <w:numId w:val="1"/>
        </w:numPr>
        <w:tabs>
          <w:tab w:val="clear" w:pos="4419"/>
          <w:tab w:val="clear" w:pos="8838"/>
          <w:tab w:val="left" w:pos="567"/>
          <w:tab w:val="left" w:pos="1134"/>
        </w:tabs>
        <w:jc w:val="both"/>
        <w:rPr>
          <w:rFonts w:eastAsia="Batang" w:cs="Arial"/>
          <w:noProof/>
          <w:szCs w:val="20"/>
          <w:lang w:val="en-US"/>
        </w:rPr>
      </w:pPr>
      <w:r w:rsidRPr="00FE50A6">
        <w:rPr>
          <w:rFonts w:eastAsia="Batang" w:cs="Times New Roman"/>
          <w:i/>
          <w:noProof/>
          <w:szCs w:val="20"/>
          <w:lang w:val="en-US" w:eastAsia="es-ES"/>
        </w:rPr>
        <w:t>Public hearing</w:t>
      </w:r>
      <w:r w:rsidR="00BA1ACF" w:rsidRPr="00FE50A6">
        <w:rPr>
          <w:rFonts w:eastAsia="Batang" w:cs="Times New Roman"/>
          <w:i/>
          <w:noProof/>
          <w:szCs w:val="20"/>
          <w:lang w:val="en-US" w:eastAsia="es-ES"/>
        </w:rPr>
        <w:t xml:space="preserve">. </w:t>
      </w:r>
      <w:r w:rsidRPr="00FE50A6">
        <w:rPr>
          <w:rFonts w:eastAsia="Batang" w:cs="Times New Roman"/>
          <w:noProof/>
          <w:szCs w:val="20"/>
          <w:lang w:val="en-US" w:eastAsia="es-ES"/>
        </w:rPr>
        <w:t>In an order of the President</w:t>
      </w:r>
      <w:r w:rsidR="000228D0" w:rsidRPr="00FE50A6">
        <w:rPr>
          <w:rFonts w:eastAsia="Batang" w:cs="Times New Roman"/>
          <w:noProof/>
          <w:szCs w:val="20"/>
          <w:lang w:val="en-US" w:eastAsia="es-ES"/>
        </w:rPr>
        <w:t xml:space="preserve"> of the Court</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of December 11,</w:t>
      </w:r>
      <w:r w:rsidR="00BA1ACF" w:rsidRPr="00FE50A6">
        <w:rPr>
          <w:rFonts w:eastAsia="Batang" w:cs="Times New Roman"/>
          <w:noProof/>
          <w:szCs w:val="20"/>
          <w:lang w:val="en-US" w:eastAsia="es-ES"/>
        </w:rPr>
        <w:t xml:space="preserve"> 2015</w:t>
      </w:r>
      <w:r w:rsidRPr="00FE50A6">
        <w:rPr>
          <w:rFonts w:eastAsia="Batang" w:cs="Times New Roman"/>
          <w:noProof/>
          <w:szCs w:val="20"/>
          <w:lang w:val="en-US" w:eastAsia="es-ES"/>
        </w:rPr>
        <w:t>,</w:t>
      </w:r>
      <w:r w:rsidR="00A46292" w:rsidRPr="00FE50A6">
        <w:rPr>
          <w:rStyle w:val="Refdenotaalpie"/>
          <w:rFonts w:eastAsia="Batang"/>
          <w:noProof/>
          <w:lang w:val="en-US" w:eastAsia="es-ES"/>
        </w:rPr>
        <w:footnoteReference w:id="6"/>
      </w:r>
      <w:r w:rsidR="00030C17" w:rsidRPr="00FE50A6">
        <w:rPr>
          <w:rFonts w:eastAsia="Batang" w:cs="Times New Roman"/>
          <w:noProof/>
          <w:szCs w:val="20"/>
          <w:lang w:val="en-US" w:eastAsia="es-ES"/>
        </w:rPr>
        <w:t xml:space="preserve"> and </w:t>
      </w:r>
      <w:r w:rsidRPr="00FE50A6">
        <w:rPr>
          <w:rFonts w:eastAsia="Batang" w:cs="Times New Roman"/>
          <w:noProof/>
          <w:szCs w:val="20"/>
          <w:lang w:val="en-US" w:eastAsia="es-ES"/>
        </w:rPr>
        <w:t xml:space="preserve">an order </w:t>
      </w:r>
      <w:r w:rsidR="000228D0" w:rsidRPr="00FE50A6">
        <w:rPr>
          <w:rFonts w:eastAsia="Batang" w:cs="Times New Roman"/>
          <w:noProof/>
          <w:szCs w:val="20"/>
          <w:lang w:val="en-US" w:eastAsia="es-ES"/>
        </w:rPr>
        <w:t>of the Court</w:t>
      </w:r>
      <w:r w:rsidR="00A46292" w:rsidRPr="00FE50A6">
        <w:rPr>
          <w:rFonts w:eastAsia="Batang" w:cs="Times New Roman"/>
          <w:noProof/>
          <w:szCs w:val="20"/>
          <w:lang w:val="en-US" w:eastAsia="es-ES"/>
        </w:rPr>
        <w:t xml:space="preserve"> </w:t>
      </w:r>
      <w:r w:rsidRPr="00FE50A6">
        <w:rPr>
          <w:rFonts w:eastAsia="Batang" w:cs="Times New Roman"/>
          <w:noProof/>
          <w:szCs w:val="20"/>
          <w:lang w:val="en-US" w:eastAsia="es-ES"/>
        </w:rPr>
        <w:t>of February 15,</w:t>
      </w:r>
      <w:r w:rsidR="00A46292" w:rsidRPr="00FE50A6">
        <w:rPr>
          <w:rFonts w:eastAsia="Batang" w:cs="Times New Roman"/>
          <w:noProof/>
          <w:szCs w:val="20"/>
          <w:lang w:val="en-US" w:eastAsia="es-ES"/>
        </w:rPr>
        <w:t xml:space="preserve"> 2016</w:t>
      </w:r>
      <w:r w:rsidRPr="00FE50A6">
        <w:rPr>
          <w:rFonts w:eastAsia="Batang" w:cs="Times New Roman"/>
          <w:noProof/>
          <w:szCs w:val="20"/>
          <w:lang w:val="en-US" w:eastAsia="es-ES"/>
        </w:rPr>
        <w:t>,</w:t>
      </w:r>
      <w:r w:rsidR="00A46292" w:rsidRPr="00FE50A6">
        <w:rPr>
          <w:rStyle w:val="Refdenotaalpie"/>
          <w:rFonts w:eastAsia="Batang"/>
          <w:noProof/>
          <w:lang w:val="en-US" w:eastAsia="es-ES"/>
        </w:rPr>
        <w:footnoteReference w:id="7"/>
      </w:r>
      <w:r w:rsidRPr="00FE50A6">
        <w:rPr>
          <w:rFonts w:eastAsia="Batang" w:cs="Times New Roman"/>
          <w:noProof/>
          <w:szCs w:val="20"/>
          <w:lang w:val="en-US" w:eastAsia="es-ES"/>
        </w:rPr>
        <w:t xml:space="preserve"> the parties and</w:t>
      </w:r>
      <w:r w:rsidR="00BA1ACF" w:rsidRPr="00FE50A6">
        <w:rPr>
          <w:rFonts w:eastAsia="Batang" w:cs="Times New Roman"/>
          <w:noProof/>
          <w:szCs w:val="20"/>
          <w:lang w:val="en-US" w:eastAsia="es-ES"/>
        </w:rPr>
        <w:t xml:space="preserve"> </w:t>
      </w:r>
      <w:r w:rsidR="000228D0" w:rsidRPr="00FE50A6">
        <w:rPr>
          <w:rFonts w:eastAsia="Batang" w:cs="Times New Roman"/>
          <w:noProof/>
          <w:szCs w:val="20"/>
          <w:lang w:val="en-US" w:eastAsia="es-ES"/>
        </w:rPr>
        <w:t>the Commission</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were called to a</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public hearing</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that was held on February</w:t>
      </w:r>
      <w:r w:rsidR="00BA1ACF" w:rsidRPr="00FE50A6">
        <w:rPr>
          <w:rFonts w:eastAsia="Batang" w:cs="Times New Roman"/>
          <w:noProof/>
          <w:szCs w:val="20"/>
          <w:lang w:val="en-US" w:eastAsia="es-ES"/>
        </w:rPr>
        <w:t xml:space="preserve"> </w:t>
      </w:r>
      <w:r w:rsidR="000B4B4B" w:rsidRPr="00FE50A6">
        <w:rPr>
          <w:rFonts w:eastAsia="Batang" w:cs="Times New Roman"/>
          <w:noProof/>
          <w:szCs w:val="20"/>
          <w:lang w:val="en-US" w:eastAsia="es-ES"/>
        </w:rPr>
        <w:t>18</w:t>
      </w:r>
      <w:r w:rsidR="00030C17" w:rsidRPr="00FE50A6">
        <w:rPr>
          <w:rFonts w:eastAsia="Batang" w:cs="Times New Roman"/>
          <w:noProof/>
          <w:szCs w:val="20"/>
          <w:lang w:val="en-US" w:eastAsia="es-ES"/>
        </w:rPr>
        <w:t xml:space="preserve"> and </w:t>
      </w:r>
      <w:r w:rsidR="000B4B4B" w:rsidRPr="00FE50A6">
        <w:rPr>
          <w:rFonts w:eastAsia="Batang" w:cs="Times New Roman"/>
          <w:noProof/>
          <w:szCs w:val="20"/>
          <w:lang w:val="en-US" w:eastAsia="es-ES"/>
        </w:rPr>
        <w:t>19</w:t>
      </w:r>
      <w:r w:rsidRPr="00FE50A6">
        <w:rPr>
          <w:rFonts w:eastAsia="Batang" w:cs="Times New Roman"/>
          <w:noProof/>
          <w:szCs w:val="20"/>
          <w:lang w:val="en-US" w:eastAsia="es-ES"/>
        </w:rPr>
        <w:t xml:space="preserve">, </w:t>
      </w:r>
      <w:r w:rsidR="007B4B35" w:rsidRPr="00FE50A6">
        <w:rPr>
          <w:rFonts w:eastAsia="Batang" w:cs="Times New Roman"/>
          <w:noProof/>
          <w:szCs w:val="20"/>
          <w:lang w:val="en-US" w:eastAsia="es-ES"/>
        </w:rPr>
        <w:t xml:space="preserve">2016, </w:t>
      </w:r>
      <w:r w:rsidRPr="00FE50A6">
        <w:rPr>
          <w:rFonts w:eastAsia="Batang" w:cs="Times New Roman"/>
          <w:noProof/>
          <w:szCs w:val="20"/>
          <w:lang w:val="en-US" w:eastAsia="es-ES"/>
        </w:rPr>
        <w:t>during the Court’s</w:t>
      </w:r>
      <w:r w:rsidR="00BA1ACF" w:rsidRPr="00FE50A6">
        <w:rPr>
          <w:rFonts w:eastAsia="Batang" w:cs="Times New Roman"/>
          <w:noProof/>
          <w:szCs w:val="20"/>
          <w:lang w:val="en-US" w:eastAsia="es-ES"/>
        </w:rPr>
        <w:t xml:space="preserve"> </w:t>
      </w:r>
      <w:r w:rsidR="000B4B4B" w:rsidRPr="00FE50A6">
        <w:rPr>
          <w:rFonts w:eastAsia="Batang" w:cs="Verdana"/>
          <w:noProof/>
          <w:szCs w:val="20"/>
          <w:lang w:val="en-US" w:bidi="en-US"/>
        </w:rPr>
        <w:t>113</w:t>
      </w:r>
      <w:r w:rsidRPr="00FE50A6">
        <w:rPr>
          <w:rFonts w:eastAsia="Batang" w:cs="Verdana"/>
          <w:noProof/>
          <w:szCs w:val="20"/>
          <w:lang w:val="en-US" w:bidi="en-US"/>
        </w:rPr>
        <w:t>th regular session.</w:t>
      </w:r>
      <w:r w:rsidR="00BA1ACF" w:rsidRPr="00FE50A6">
        <w:rPr>
          <w:rFonts w:eastAsia="Batang" w:cs="Times New Roman"/>
          <w:noProof/>
          <w:szCs w:val="20"/>
          <w:vertAlign w:val="superscript"/>
          <w:lang w:val="en-US"/>
        </w:rPr>
        <w:footnoteReference w:id="8"/>
      </w:r>
      <w:r w:rsidRPr="00FE50A6">
        <w:rPr>
          <w:rFonts w:eastAsia="Batang" w:cs="Times New Roman"/>
          <w:noProof/>
          <w:szCs w:val="20"/>
          <w:lang w:val="en-US" w:eastAsia="es-ES"/>
        </w:rPr>
        <w:t xml:space="preserve"> During the hearing, the Court received the statements of two witnesses proposed by </w:t>
      </w:r>
      <w:r w:rsidR="00700B79" w:rsidRPr="00FE50A6">
        <w:rPr>
          <w:szCs w:val="20"/>
          <w:lang w:val="en-US"/>
        </w:rPr>
        <w:t>the representatives</w:t>
      </w:r>
      <w:r w:rsidR="00030C17" w:rsidRPr="00FE50A6">
        <w:rPr>
          <w:szCs w:val="20"/>
          <w:lang w:val="en-US"/>
        </w:rPr>
        <w:t xml:space="preserve"> and </w:t>
      </w:r>
      <w:r w:rsidRPr="00FE50A6">
        <w:rPr>
          <w:szCs w:val="20"/>
          <w:lang w:val="en-US"/>
        </w:rPr>
        <w:t>four</w:t>
      </w:r>
      <w:r w:rsidR="004C5B3B" w:rsidRPr="00FE50A6">
        <w:rPr>
          <w:szCs w:val="20"/>
          <w:lang w:val="en-US"/>
        </w:rPr>
        <w:t xml:space="preserve"> </w:t>
      </w:r>
      <w:r w:rsidRPr="00FE50A6">
        <w:rPr>
          <w:szCs w:val="20"/>
          <w:lang w:val="en-US"/>
        </w:rPr>
        <w:t>expert witnesses</w:t>
      </w:r>
      <w:r w:rsidR="004C5B3B" w:rsidRPr="00FE50A6">
        <w:rPr>
          <w:szCs w:val="20"/>
          <w:lang w:val="en-US"/>
        </w:rPr>
        <w:t xml:space="preserve"> prop</w:t>
      </w:r>
      <w:r w:rsidRPr="00FE50A6">
        <w:rPr>
          <w:szCs w:val="20"/>
          <w:lang w:val="en-US"/>
        </w:rPr>
        <w:t>osed</w:t>
      </w:r>
      <w:r w:rsidR="004C5B3B" w:rsidRPr="00FE50A6">
        <w:rPr>
          <w:szCs w:val="20"/>
          <w:lang w:val="en-US"/>
        </w:rPr>
        <w:t xml:space="preserve"> </w:t>
      </w:r>
      <w:r w:rsidRPr="00FE50A6">
        <w:rPr>
          <w:szCs w:val="20"/>
          <w:lang w:val="en-US"/>
        </w:rPr>
        <w:t>by</w:t>
      </w:r>
      <w:r w:rsidR="004C5B3B" w:rsidRPr="00FE50A6">
        <w:rPr>
          <w:szCs w:val="20"/>
          <w:lang w:val="en-US"/>
        </w:rPr>
        <w:t xml:space="preserve"> </w:t>
      </w:r>
      <w:r w:rsidR="000228D0" w:rsidRPr="00FE50A6">
        <w:rPr>
          <w:szCs w:val="20"/>
          <w:lang w:val="en-US"/>
        </w:rPr>
        <w:t>the Commission</w:t>
      </w:r>
      <w:r w:rsidR="004C5B3B" w:rsidRPr="00FE50A6">
        <w:rPr>
          <w:szCs w:val="20"/>
          <w:lang w:val="en-US"/>
        </w:rPr>
        <w:t xml:space="preserve">, </w:t>
      </w:r>
      <w:r w:rsidR="00700B79" w:rsidRPr="00FE50A6">
        <w:rPr>
          <w:szCs w:val="20"/>
          <w:lang w:val="en-US"/>
        </w:rPr>
        <w:t>the representatives</w:t>
      </w:r>
      <w:r w:rsidR="000E0C85" w:rsidRPr="00FE50A6">
        <w:rPr>
          <w:szCs w:val="20"/>
          <w:lang w:val="en-US"/>
        </w:rPr>
        <w:t>,</w:t>
      </w:r>
      <w:r w:rsidR="00030C17" w:rsidRPr="00FE50A6">
        <w:rPr>
          <w:szCs w:val="20"/>
          <w:lang w:val="en-US"/>
        </w:rPr>
        <w:t xml:space="preserve"> and </w:t>
      </w:r>
      <w:r w:rsidR="000228D0" w:rsidRPr="00FE50A6">
        <w:rPr>
          <w:szCs w:val="20"/>
          <w:lang w:val="en-US"/>
        </w:rPr>
        <w:t>the State</w:t>
      </w:r>
      <w:r w:rsidR="00BA1ACF" w:rsidRPr="00FE50A6">
        <w:rPr>
          <w:rFonts w:eastAsia="Batang" w:cs="Times New Roman"/>
          <w:noProof/>
          <w:szCs w:val="20"/>
          <w:lang w:val="en-US" w:eastAsia="es-ES"/>
        </w:rPr>
        <w:t>, as</w:t>
      </w:r>
      <w:r w:rsidRPr="00FE50A6">
        <w:rPr>
          <w:rFonts w:eastAsia="Batang" w:cs="Times New Roman"/>
          <w:noProof/>
          <w:szCs w:val="20"/>
          <w:lang w:val="en-US" w:eastAsia="es-ES"/>
        </w:rPr>
        <w:t xml:space="preserve"> well as the final oral observations </w:t>
      </w:r>
      <w:r w:rsidR="000228D0" w:rsidRPr="00FE50A6">
        <w:rPr>
          <w:rFonts w:eastAsia="Batang" w:cs="Times New Roman"/>
          <w:noProof/>
          <w:szCs w:val="20"/>
          <w:lang w:val="en-US" w:eastAsia="es-ES"/>
        </w:rPr>
        <w:t>of the Commission</w:t>
      </w:r>
      <w:r w:rsidR="00BA1ACF" w:rsidRPr="00FE50A6">
        <w:rPr>
          <w:rFonts w:eastAsia="Batang" w:cs="Times New Roman"/>
          <w:noProof/>
          <w:szCs w:val="20"/>
          <w:lang w:val="en-US" w:eastAsia="es-ES"/>
        </w:rPr>
        <w:t xml:space="preserve">, </w:t>
      </w:r>
      <w:r w:rsidR="000E0C85" w:rsidRPr="00FE50A6">
        <w:rPr>
          <w:rFonts w:eastAsia="Batang" w:cs="Times New Roman"/>
          <w:noProof/>
          <w:szCs w:val="20"/>
          <w:lang w:val="en-US" w:eastAsia="es-ES"/>
        </w:rPr>
        <w:t xml:space="preserve">and the final oral arguments of </w:t>
      </w:r>
      <w:r w:rsidR="00700B79" w:rsidRPr="00FE50A6">
        <w:rPr>
          <w:rFonts w:eastAsia="Batang" w:cs="Times New Roman"/>
          <w:noProof/>
          <w:szCs w:val="20"/>
          <w:lang w:val="en-US" w:eastAsia="es-ES"/>
        </w:rPr>
        <w:t>the representatives</w:t>
      </w:r>
      <w:r w:rsidR="00030C17" w:rsidRPr="00FE50A6">
        <w:rPr>
          <w:rFonts w:eastAsia="Batang" w:cs="Times New Roman"/>
          <w:noProof/>
          <w:szCs w:val="20"/>
          <w:lang w:val="en-US" w:eastAsia="es-ES"/>
        </w:rPr>
        <w:t xml:space="preserve"> and </w:t>
      </w:r>
      <w:r w:rsidR="000228D0" w:rsidRPr="00FE50A6">
        <w:rPr>
          <w:rFonts w:eastAsia="Batang" w:cs="Times New Roman"/>
          <w:noProof/>
          <w:szCs w:val="20"/>
          <w:lang w:val="en-US" w:eastAsia="es-ES"/>
        </w:rPr>
        <w:t>the State</w:t>
      </w:r>
      <w:r w:rsidR="00BA1ACF" w:rsidRPr="00FE50A6">
        <w:rPr>
          <w:rFonts w:eastAsia="Batang" w:cs="Times New Roman"/>
          <w:noProof/>
          <w:szCs w:val="20"/>
          <w:lang w:val="en-US" w:eastAsia="es-ES"/>
        </w:rPr>
        <w:t xml:space="preserve">. </w:t>
      </w:r>
      <w:r w:rsidRPr="00FE50A6">
        <w:rPr>
          <w:rFonts w:eastAsia="Batang" w:cs="Times New Roman"/>
          <w:noProof/>
          <w:szCs w:val="20"/>
          <w:lang w:val="en-US" w:eastAsia="es-ES"/>
        </w:rPr>
        <w:t>In addition, the said orders required seven witnesses and ten expert witnesses</w:t>
      </w:r>
      <w:r w:rsidR="004C5B3B" w:rsidRPr="00FE50A6">
        <w:rPr>
          <w:rFonts w:eastAsia="Batang" w:cs="Times New Roman"/>
          <w:noProof/>
          <w:szCs w:val="20"/>
          <w:lang w:val="en-US" w:eastAsia="es-ES"/>
        </w:rPr>
        <w:t xml:space="preserve"> </w:t>
      </w:r>
      <w:r w:rsidRPr="00FE50A6">
        <w:rPr>
          <w:rFonts w:eastAsia="Batang" w:cs="Times New Roman"/>
          <w:noProof/>
          <w:szCs w:val="20"/>
          <w:lang w:val="en-US" w:eastAsia="es-ES"/>
        </w:rPr>
        <w:t>proposed by</w:t>
      </w:r>
      <w:r w:rsidR="004C5B3B" w:rsidRPr="00FE50A6">
        <w:rPr>
          <w:rFonts w:eastAsia="Batang" w:cs="Times New Roman"/>
          <w:noProof/>
          <w:szCs w:val="20"/>
          <w:lang w:val="en-US" w:eastAsia="es-ES"/>
        </w:rPr>
        <w:t xml:space="preserve"> </w:t>
      </w:r>
      <w:r w:rsidR="00700B79" w:rsidRPr="00FE50A6">
        <w:rPr>
          <w:rFonts w:eastAsia="Batang" w:cs="Times New Roman"/>
          <w:noProof/>
          <w:szCs w:val="20"/>
          <w:lang w:val="en-US" w:eastAsia="es-ES"/>
        </w:rPr>
        <w:t>the representatives</w:t>
      </w:r>
      <w:r w:rsidR="00030C17" w:rsidRPr="00FE50A6">
        <w:rPr>
          <w:rFonts w:eastAsia="Batang" w:cs="Times New Roman"/>
          <w:noProof/>
          <w:szCs w:val="20"/>
          <w:lang w:val="en-US" w:eastAsia="es-ES"/>
        </w:rPr>
        <w:t xml:space="preserve"> and </w:t>
      </w:r>
      <w:r w:rsidR="000228D0" w:rsidRPr="00FE50A6">
        <w:rPr>
          <w:rFonts w:eastAsia="Batang" w:cs="Times New Roman"/>
          <w:noProof/>
          <w:szCs w:val="20"/>
          <w:lang w:val="en-US" w:eastAsia="es-ES"/>
        </w:rPr>
        <w:t>the State</w:t>
      </w:r>
      <w:r w:rsidR="000E0C85" w:rsidRPr="00FE50A6">
        <w:rPr>
          <w:rFonts w:eastAsia="Batang" w:cs="Times New Roman"/>
          <w:noProof/>
          <w:szCs w:val="20"/>
          <w:lang w:val="en-US" w:eastAsia="es-ES"/>
        </w:rPr>
        <w:t xml:space="preserve"> to submit affidavits</w:t>
      </w:r>
      <w:r w:rsidR="00BA1ACF" w:rsidRPr="00FE50A6">
        <w:rPr>
          <w:rFonts w:eastAsia="Batang" w:cs="Times New Roman"/>
          <w:noProof/>
          <w:szCs w:val="20"/>
          <w:lang w:val="en-US" w:eastAsia="es-ES"/>
        </w:rPr>
        <w:t>.</w:t>
      </w:r>
      <w:r w:rsidR="004C5B3B" w:rsidRPr="00FE50A6">
        <w:rPr>
          <w:rFonts w:eastAsia="Batang" w:cs="Times New Roman"/>
          <w:noProof/>
          <w:szCs w:val="20"/>
          <w:lang w:val="en-US" w:eastAsia="es-ES"/>
        </w:rPr>
        <w:t xml:space="preserve"> </w:t>
      </w:r>
    </w:p>
    <w:p w14:paraId="6711EDCE" w14:textId="77777777" w:rsidR="004C7778" w:rsidRPr="00FE50A6" w:rsidRDefault="004C7778" w:rsidP="00140440">
      <w:pPr>
        <w:tabs>
          <w:tab w:val="clear" w:pos="4419"/>
          <w:tab w:val="clear" w:pos="8838"/>
          <w:tab w:val="left" w:pos="567"/>
          <w:tab w:val="left" w:pos="1134"/>
        </w:tabs>
        <w:jc w:val="both"/>
        <w:rPr>
          <w:rFonts w:eastAsia="Batang" w:cs="Arial"/>
          <w:noProof/>
          <w:szCs w:val="20"/>
          <w:lang w:val="en-US"/>
        </w:rPr>
      </w:pPr>
    </w:p>
    <w:p w14:paraId="35DCE276" w14:textId="77777777" w:rsidR="001A317E" w:rsidRPr="00FE50A6" w:rsidRDefault="00BA1ACF" w:rsidP="00140440">
      <w:pPr>
        <w:numPr>
          <w:ilvl w:val="0"/>
          <w:numId w:val="1"/>
        </w:numPr>
        <w:tabs>
          <w:tab w:val="clear" w:pos="4419"/>
          <w:tab w:val="clear" w:pos="8838"/>
          <w:tab w:val="left" w:pos="567"/>
          <w:tab w:val="left" w:pos="1134"/>
        </w:tabs>
        <w:jc w:val="both"/>
        <w:rPr>
          <w:rFonts w:eastAsia="Batang" w:cs="Arial"/>
          <w:noProof/>
          <w:szCs w:val="20"/>
          <w:lang w:val="en-US"/>
        </w:rPr>
      </w:pPr>
      <w:r w:rsidRPr="00FE50A6">
        <w:rPr>
          <w:rFonts w:eastAsia="Batang" w:cs="Times New Roman"/>
          <w:i/>
          <w:noProof/>
          <w:szCs w:val="20"/>
          <w:lang w:val="en-US"/>
        </w:rPr>
        <w:t xml:space="preserve">Amici </w:t>
      </w:r>
      <w:r w:rsidR="00952C89" w:rsidRPr="00FE50A6">
        <w:rPr>
          <w:rFonts w:eastAsia="Batang" w:cs="Times New Roman"/>
          <w:i/>
          <w:noProof/>
          <w:szCs w:val="20"/>
          <w:lang w:val="en-US"/>
        </w:rPr>
        <w:t>c</w:t>
      </w:r>
      <w:r w:rsidRPr="00FE50A6">
        <w:rPr>
          <w:rFonts w:eastAsia="Batang" w:cs="Times New Roman"/>
          <w:i/>
          <w:noProof/>
          <w:szCs w:val="20"/>
          <w:lang w:val="en-US"/>
        </w:rPr>
        <w:t>uriae.</w:t>
      </w:r>
      <w:r w:rsidRPr="00FE50A6">
        <w:rPr>
          <w:rFonts w:eastAsia="Batang" w:cs="Arial"/>
          <w:i/>
          <w:noProof/>
          <w:szCs w:val="20"/>
          <w:lang w:val="en-US"/>
        </w:rPr>
        <w:t xml:space="preserve"> </w:t>
      </w:r>
      <w:r w:rsidR="002071B1" w:rsidRPr="00FE50A6">
        <w:rPr>
          <w:rFonts w:eastAsia="Batang" w:cs="Arial"/>
          <w:noProof/>
          <w:szCs w:val="20"/>
          <w:lang w:val="en-US"/>
        </w:rPr>
        <w:t>The Court</w:t>
      </w:r>
      <w:r w:rsidRPr="00FE50A6">
        <w:rPr>
          <w:rFonts w:eastAsia="Batang" w:cs="Times New Roman"/>
          <w:noProof/>
          <w:szCs w:val="20"/>
          <w:lang w:val="en-US"/>
        </w:rPr>
        <w:t xml:space="preserve"> </w:t>
      </w:r>
      <w:r w:rsidR="002071B1" w:rsidRPr="00FE50A6">
        <w:rPr>
          <w:rFonts w:eastAsia="Batang" w:cs="Times New Roman"/>
          <w:noProof/>
          <w:szCs w:val="20"/>
          <w:lang w:val="en-US"/>
        </w:rPr>
        <w:t>received seven</w:t>
      </w:r>
      <w:r w:rsidRPr="00FE50A6">
        <w:rPr>
          <w:rFonts w:eastAsia="Batang" w:cs="Times New Roman"/>
          <w:noProof/>
          <w:szCs w:val="20"/>
          <w:lang w:val="en-US"/>
        </w:rPr>
        <w:t xml:space="preserve"> </w:t>
      </w:r>
      <w:r w:rsidRPr="00FE50A6">
        <w:rPr>
          <w:rFonts w:eastAsia="Batang" w:cs="Times New Roman"/>
          <w:i/>
          <w:noProof/>
          <w:szCs w:val="20"/>
          <w:lang w:val="en-US"/>
        </w:rPr>
        <w:t>amici curiae</w:t>
      </w:r>
      <w:r w:rsidR="002071B1" w:rsidRPr="00FE50A6">
        <w:rPr>
          <w:rFonts w:eastAsia="Batang" w:cs="Times New Roman"/>
          <w:i/>
          <w:noProof/>
          <w:szCs w:val="20"/>
          <w:lang w:val="en-US"/>
        </w:rPr>
        <w:t xml:space="preserve"> </w:t>
      </w:r>
      <w:r w:rsidR="002071B1" w:rsidRPr="00FE50A6">
        <w:rPr>
          <w:rFonts w:eastAsia="Batang" w:cs="Times New Roman"/>
          <w:noProof/>
          <w:szCs w:val="20"/>
          <w:lang w:val="en-US"/>
        </w:rPr>
        <w:t>briefs</w:t>
      </w:r>
      <w:r w:rsidR="00695EC7" w:rsidRPr="00FE50A6">
        <w:rPr>
          <w:rStyle w:val="Refdenotaalpie"/>
          <w:rFonts w:eastAsia="Batang"/>
          <w:i/>
          <w:noProof/>
          <w:lang w:val="en-US"/>
        </w:rPr>
        <w:footnoteReference w:id="9"/>
      </w:r>
      <w:r w:rsidRPr="00FE50A6">
        <w:rPr>
          <w:rFonts w:eastAsia="Batang" w:cs="Times New Roman"/>
          <w:noProof/>
          <w:szCs w:val="20"/>
          <w:lang w:val="en-US"/>
        </w:rPr>
        <w:t xml:space="preserve"> present</w:t>
      </w:r>
      <w:r w:rsidR="002071B1" w:rsidRPr="00FE50A6">
        <w:rPr>
          <w:rFonts w:eastAsia="Batang" w:cs="Times New Roman"/>
          <w:noProof/>
          <w:szCs w:val="20"/>
          <w:lang w:val="en-US"/>
        </w:rPr>
        <w:t>ed by</w:t>
      </w:r>
      <w:r w:rsidRPr="00FE50A6">
        <w:rPr>
          <w:rFonts w:eastAsia="Batang" w:cs="Times New Roman"/>
          <w:noProof/>
          <w:szCs w:val="20"/>
          <w:lang w:val="en-US"/>
        </w:rPr>
        <w:t xml:space="preserve">: </w:t>
      </w:r>
      <w:r w:rsidR="002071B1" w:rsidRPr="00FE50A6">
        <w:rPr>
          <w:rFonts w:eastAsia="Batang" w:cs="Times New Roman"/>
          <w:noProof/>
          <w:szCs w:val="20"/>
          <w:lang w:val="en-US"/>
        </w:rPr>
        <w:t>(</w:t>
      </w:r>
      <w:r w:rsidRPr="00FE50A6">
        <w:rPr>
          <w:rFonts w:eastAsia="Batang" w:cs="Times New Roman"/>
          <w:noProof/>
          <w:szCs w:val="20"/>
          <w:lang w:val="en-US"/>
        </w:rPr>
        <w:t>1)</w:t>
      </w:r>
      <w:r w:rsidR="002B787B" w:rsidRPr="00FE50A6">
        <w:rPr>
          <w:rFonts w:eastAsia="Batang" w:cs="Times New Roman"/>
          <w:noProof/>
          <w:szCs w:val="20"/>
          <w:lang w:val="en-US"/>
        </w:rPr>
        <w:t xml:space="preserve"> </w:t>
      </w:r>
      <w:r w:rsidR="002071B1" w:rsidRPr="00FE50A6">
        <w:rPr>
          <w:rFonts w:eastAsia="Batang" w:cs="Times New Roman"/>
          <w:noProof/>
          <w:szCs w:val="20"/>
          <w:lang w:val="en-US"/>
        </w:rPr>
        <w:t xml:space="preserve">the Amazonian Human Rights Clinic, </w:t>
      </w:r>
      <w:r w:rsidR="002B787B" w:rsidRPr="00FE50A6">
        <w:rPr>
          <w:rFonts w:eastAsia="Batang" w:cs="Times New Roman"/>
          <w:noProof/>
          <w:szCs w:val="20"/>
          <w:lang w:val="en-US"/>
        </w:rPr>
        <w:t>Universidad</w:t>
      </w:r>
      <w:r w:rsidR="00C55C57" w:rsidRPr="00FE50A6">
        <w:rPr>
          <w:rFonts w:eastAsia="Batang" w:cs="Times New Roman"/>
          <w:noProof/>
          <w:szCs w:val="20"/>
          <w:lang w:val="en-US"/>
        </w:rPr>
        <w:t>e</w:t>
      </w:r>
      <w:r w:rsidR="002B787B" w:rsidRPr="00FE50A6">
        <w:rPr>
          <w:rFonts w:eastAsia="Batang" w:cs="Times New Roman"/>
          <w:noProof/>
          <w:szCs w:val="20"/>
          <w:lang w:val="en-US"/>
        </w:rPr>
        <w:t xml:space="preserve"> Federal d</w:t>
      </w:r>
      <w:r w:rsidR="00C55C57" w:rsidRPr="00FE50A6">
        <w:rPr>
          <w:rFonts w:eastAsia="Batang" w:cs="Times New Roman"/>
          <w:noProof/>
          <w:szCs w:val="20"/>
          <w:lang w:val="en-US"/>
        </w:rPr>
        <w:t>o</w:t>
      </w:r>
      <w:r w:rsidR="002B787B" w:rsidRPr="00FE50A6">
        <w:rPr>
          <w:rFonts w:eastAsia="Batang" w:cs="Times New Roman"/>
          <w:noProof/>
          <w:szCs w:val="20"/>
          <w:lang w:val="en-US"/>
        </w:rPr>
        <w:t xml:space="preserve"> Pará</w:t>
      </w:r>
      <w:r w:rsidR="002071B1" w:rsidRPr="00FE50A6">
        <w:rPr>
          <w:rFonts w:eastAsia="Batang" w:cs="Times New Roman"/>
          <w:noProof/>
          <w:szCs w:val="20"/>
          <w:lang w:val="en-US"/>
        </w:rPr>
        <w:t>;</w:t>
      </w:r>
      <w:r w:rsidR="00C60214" w:rsidRPr="00FE50A6">
        <w:rPr>
          <w:rStyle w:val="Refdenotaalpie"/>
          <w:rFonts w:eastAsia="Batang"/>
          <w:noProof/>
          <w:lang w:val="en-US"/>
        </w:rPr>
        <w:footnoteReference w:id="10"/>
      </w:r>
      <w:r w:rsidRPr="00FE50A6">
        <w:rPr>
          <w:rFonts w:eastAsia="Batang" w:cs="Times New Roman"/>
          <w:noProof/>
          <w:szCs w:val="20"/>
          <w:lang w:val="en-US"/>
        </w:rPr>
        <w:t xml:space="preserve"> </w:t>
      </w:r>
      <w:r w:rsidR="002071B1" w:rsidRPr="00FE50A6">
        <w:rPr>
          <w:rFonts w:eastAsia="Batang" w:cs="Times New Roman"/>
          <w:noProof/>
          <w:szCs w:val="20"/>
          <w:lang w:val="en-US"/>
        </w:rPr>
        <w:t>(</w:t>
      </w:r>
      <w:r w:rsidRPr="00FE50A6">
        <w:rPr>
          <w:rFonts w:eastAsia="Batang" w:cs="Times New Roman"/>
          <w:noProof/>
          <w:szCs w:val="20"/>
          <w:lang w:val="en-US"/>
        </w:rPr>
        <w:t xml:space="preserve">2) </w:t>
      </w:r>
      <w:r w:rsidR="002071B1" w:rsidRPr="00FE50A6">
        <w:rPr>
          <w:rFonts w:eastAsia="Batang" w:cs="Times New Roman"/>
          <w:noProof/>
          <w:szCs w:val="20"/>
          <w:lang w:val="en-US"/>
        </w:rPr>
        <w:t>the Huma</w:t>
      </w:r>
      <w:r w:rsidR="00C428B3" w:rsidRPr="00FE50A6">
        <w:rPr>
          <w:rFonts w:eastAsia="Batang" w:cs="Times New Roman"/>
          <w:noProof/>
          <w:szCs w:val="20"/>
          <w:lang w:val="en-US"/>
        </w:rPr>
        <w:t>n</w:t>
      </w:r>
      <w:r w:rsidR="002071B1" w:rsidRPr="00FE50A6">
        <w:rPr>
          <w:rFonts w:eastAsia="Batang" w:cs="Times New Roman"/>
          <w:noProof/>
          <w:szCs w:val="20"/>
          <w:lang w:val="en-US"/>
        </w:rPr>
        <w:t xml:space="preserve"> Rights and Democracy Institute of the </w:t>
      </w:r>
      <w:r w:rsidR="006745A1" w:rsidRPr="00FE50A6">
        <w:rPr>
          <w:rFonts w:cs="Calibri"/>
          <w:szCs w:val="20"/>
          <w:lang w:val="en-US"/>
        </w:rPr>
        <w:t>Pontificia Universidad Católica</w:t>
      </w:r>
      <w:r w:rsidR="009871B4" w:rsidRPr="00FE50A6">
        <w:rPr>
          <w:rFonts w:cs="Calibri"/>
          <w:szCs w:val="20"/>
          <w:lang w:val="en-US"/>
        </w:rPr>
        <w:t xml:space="preserve"> del Perú</w:t>
      </w:r>
      <w:r w:rsidR="002071B1" w:rsidRPr="00FE50A6">
        <w:rPr>
          <w:rFonts w:cs="Calibri"/>
          <w:szCs w:val="20"/>
          <w:lang w:val="en-US"/>
        </w:rPr>
        <w:t>;</w:t>
      </w:r>
      <w:r w:rsidR="009871B4" w:rsidRPr="00FE50A6">
        <w:rPr>
          <w:rStyle w:val="Refdenotaalpie"/>
          <w:lang w:val="en-US"/>
        </w:rPr>
        <w:footnoteReference w:id="11"/>
      </w:r>
      <w:r w:rsidR="006745A1" w:rsidRPr="00FE50A6">
        <w:rPr>
          <w:rFonts w:cs="Calibri"/>
          <w:szCs w:val="20"/>
          <w:lang w:val="en-US"/>
        </w:rPr>
        <w:t xml:space="preserve"> </w:t>
      </w:r>
      <w:r w:rsidR="002071B1" w:rsidRPr="00FE50A6">
        <w:rPr>
          <w:rFonts w:cs="Calibri"/>
          <w:szCs w:val="20"/>
          <w:lang w:val="en-US"/>
        </w:rPr>
        <w:t>(</w:t>
      </w:r>
      <w:r w:rsidR="006745A1" w:rsidRPr="00FE50A6">
        <w:rPr>
          <w:rFonts w:cs="Calibri"/>
          <w:szCs w:val="20"/>
          <w:lang w:val="en-US"/>
        </w:rPr>
        <w:t xml:space="preserve">3) </w:t>
      </w:r>
      <w:r w:rsidR="002071B1" w:rsidRPr="00FE50A6">
        <w:rPr>
          <w:rFonts w:cs="Calibri"/>
          <w:szCs w:val="20"/>
          <w:lang w:val="en-US"/>
        </w:rPr>
        <w:t>the</w:t>
      </w:r>
      <w:r w:rsidR="002B787B" w:rsidRPr="00FE50A6">
        <w:rPr>
          <w:rFonts w:cs="Calibri"/>
          <w:szCs w:val="20"/>
          <w:lang w:val="en-US"/>
        </w:rPr>
        <w:t xml:space="preserve"> International Trade Union Confederation</w:t>
      </w:r>
      <w:r w:rsidR="002071B1" w:rsidRPr="00FE50A6">
        <w:rPr>
          <w:rFonts w:cs="Calibri"/>
          <w:szCs w:val="20"/>
          <w:lang w:val="en-US"/>
        </w:rPr>
        <w:t>;</w:t>
      </w:r>
      <w:r w:rsidR="009871B4" w:rsidRPr="00FE50A6">
        <w:rPr>
          <w:rStyle w:val="Refdenotaalpie"/>
          <w:lang w:val="en-US"/>
        </w:rPr>
        <w:footnoteReference w:id="12"/>
      </w:r>
      <w:r w:rsidR="006745A1" w:rsidRPr="00FE50A6">
        <w:rPr>
          <w:rFonts w:cs="18dgiyl"/>
          <w:szCs w:val="20"/>
          <w:lang w:val="en-US"/>
        </w:rPr>
        <w:t xml:space="preserve"> </w:t>
      </w:r>
      <w:r w:rsidR="002071B1" w:rsidRPr="00FE50A6">
        <w:rPr>
          <w:rFonts w:cs="18dgiyl"/>
          <w:szCs w:val="20"/>
          <w:lang w:val="en-US"/>
        </w:rPr>
        <w:t>(</w:t>
      </w:r>
      <w:r w:rsidR="006745A1" w:rsidRPr="00FE50A6">
        <w:rPr>
          <w:rFonts w:cs="18dgiyl"/>
          <w:szCs w:val="20"/>
          <w:lang w:val="en-US"/>
        </w:rPr>
        <w:t xml:space="preserve">4) </w:t>
      </w:r>
      <w:r w:rsidR="002071B1" w:rsidRPr="00FE50A6">
        <w:rPr>
          <w:rFonts w:cs="18dgiyl"/>
          <w:szCs w:val="20"/>
          <w:lang w:val="en-US"/>
        </w:rPr>
        <w:t xml:space="preserve">the </w:t>
      </w:r>
      <w:r w:rsidR="006745A1" w:rsidRPr="00FE50A6">
        <w:rPr>
          <w:rFonts w:cs="19efu"/>
          <w:szCs w:val="20"/>
          <w:lang w:val="en-US"/>
        </w:rPr>
        <w:t>Universidad del Norte</w:t>
      </w:r>
      <w:r w:rsidR="00523A5B" w:rsidRPr="00FE50A6">
        <w:rPr>
          <w:rFonts w:cs="19efu"/>
          <w:szCs w:val="20"/>
          <w:lang w:val="en-US"/>
        </w:rPr>
        <w:t xml:space="preserve"> de Colombia</w:t>
      </w:r>
      <w:r w:rsidR="002071B1" w:rsidRPr="00FE50A6">
        <w:rPr>
          <w:rFonts w:cs="19efu"/>
          <w:szCs w:val="20"/>
          <w:lang w:val="en-US"/>
        </w:rPr>
        <w:t>;</w:t>
      </w:r>
      <w:r w:rsidR="00523A5B" w:rsidRPr="00FE50A6">
        <w:rPr>
          <w:rStyle w:val="Refdenotaalpie"/>
          <w:lang w:val="en-US"/>
        </w:rPr>
        <w:footnoteReference w:id="13"/>
      </w:r>
      <w:r w:rsidR="006745A1" w:rsidRPr="00FE50A6">
        <w:rPr>
          <w:rFonts w:cs="19efu"/>
          <w:szCs w:val="20"/>
          <w:lang w:val="en-US"/>
        </w:rPr>
        <w:t xml:space="preserve"> </w:t>
      </w:r>
      <w:r w:rsidR="002071B1" w:rsidRPr="00FE50A6">
        <w:rPr>
          <w:rFonts w:cs="19efu"/>
          <w:szCs w:val="20"/>
          <w:lang w:val="en-US"/>
        </w:rPr>
        <w:t>(</w:t>
      </w:r>
      <w:r w:rsidR="006745A1" w:rsidRPr="00FE50A6">
        <w:rPr>
          <w:rFonts w:cs="19efu"/>
          <w:szCs w:val="20"/>
          <w:lang w:val="en-US"/>
        </w:rPr>
        <w:t xml:space="preserve">5) Human </w:t>
      </w:r>
      <w:r w:rsidR="006745A1" w:rsidRPr="00FE50A6">
        <w:rPr>
          <w:rFonts w:cs="19efu"/>
          <w:szCs w:val="20"/>
          <w:lang w:val="en-US"/>
        </w:rPr>
        <w:lastRenderedPageBreak/>
        <w:t>Rights in Practice</w:t>
      </w:r>
      <w:r w:rsidR="002071B1" w:rsidRPr="00FE50A6">
        <w:rPr>
          <w:rFonts w:cs="19efu"/>
          <w:szCs w:val="20"/>
          <w:lang w:val="en-US"/>
        </w:rPr>
        <w:t>;</w:t>
      </w:r>
      <w:r w:rsidR="00523A5B" w:rsidRPr="00FE50A6">
        <w:rPr>
          <w:rStyle w:val="Refdenotaalpie"/>
          <w:lang w:val="en-US"/>
        </w:rPr>
        <w:footnoteReference w:id="14"/>
      </w:r>
      <w:r w:rsidR="006745A1" w:rsidRPr="00FE50A6">
        <w:rPr>
          <w:rFonts w:cs="19efu"/>
          <w:szCs w:val="20"/>
          <w:lang w:val="en-US"/>
        </w:rPr>
        <w:t xml:space="preserve"> </w:t>
      </w:r>
      <w:r w:rsidR="002071B1" w:rsidRPr="00FE50A6">
        <w:rPr>
          <w:rFonts w:cs="19efu"/>
          <w:szCs w:val="20"/>
          <w:lang w:val="en-US"/>
        </w:rPr>
        <w:t>(</w:t>
      </w:r>
      <w:r w:rsidR="006745A1" w:rsidRPr="00FE50A6">
        <w:rPr>
          <w:rFonts w:cs="19efu"/>
          <w:szCs w:val="20"/>
          <w:lang w:val="en-US"/>
        </w:rPr>
        <w:t xml:space="preserve">6) </w:t>
      </w:r>
      <w:r w:rsidR="001A22AC" w:rsidRPr="00FE50A6">
        <w:rPr>
          <w:rFonts w:cs="19efu"/>
          <w:szCs w:val="20"/>
          <w:lang w:val="en-US"/>
        </w:rPr>
        <w:t>Tara Melish</w:t>
      </w:r>
      <w:r w:rsidR="002B787B" w:rsidRPr="00FE50A6">
        <w:rPr>
          <w:rFonts w:cs="19efu"/>
          <w:szCs w:val="20"/>
          <w:lang w:val="en-US"/>
        </w:rPr>
        <w:t xml:space="preserve">, </w:t>
      </w:r>
      <w:r w:rsidR="002071B1" w:rsidRPr="00FE50A6">
        <w:rPr>
          <w:rFonts w:cs="19efu"/>
          <w:szCs w:val="20"/>
          <w:lang w:val="en-US"/>
        </w:rPr>
        <w:t xml:space="preserve">associate professor at the </w:t>
      </w:r>
      <w:r w:rsidR="002B787B" w:rsidRPr="00FE50A6">
        <w:rPr>
          <w:rFonts w:cs="19efu"/>
          <w:szCs w:val="20"/>
          <w:lang w:val="en-US"/>
        </w:rPr>
        <w:t>State University of New York</w:t>
      </w:r>
      <w:r w:rsidR="001A22AC" w:rsidRPr="00FE50A6">
        <w:rPr>
          <w:rFonts w:cs="19efu"/>
          <w:szCs w:val="20"/>
          <w:lang w:val="en-US"/>
        </w:rPr>
        <w:t>,</w:t>
      </w:r>
      <w:r w:rsidR="00030C17" w:rsidRPr="00FE50A6">
        <w:rPr>
          <w:rFonts w:cs="19efu"/>
          <w:szCs w:val="20"/>
          <w:lang w:val="en-US"/>
        </w:rPr>
        <w:t xml:space="preserve"> and </w:t>
      </w:r>
      <w:r w:rsidR="002071B1" w:rsidRPr="00FE50A6">
        <w:rPr>
          <w:rFonts w:cs="19efu"/>
          <w:szCs w:val="20"/>
          <w:lang w:val="en-US"/>
        </w:rPr>
        <w:t>(</w:t>
      </w:r>
      <w:r w:rsidR="001A22AC" w:rsidRPr="00FE50A6">
        <w:rPr>
          <w:rFonts w:cs="19efu"/>
          <w:szCs w:val="20"/>
          <w:lang w:val="en-US"/>
        </w:rPr>
        <w:t xml:space="preserve">7) </w:t>
      </w:r>
      <w:r w:rsidR="002071B1" w:rsidRPr="00FE50A6">
        <w:rPr>
          <w:rFonts w:cs="19efu"/>
          <w:szCs w:val="20"/>
          <w:lang w:val="en-US"/>
        </w:rPr>
        <w:t>the</w:t>
      </w:r>
      <w:r w:rsidR="001A22AC" w:rsidRPr="00FE50A6">
        <w:rPr>
          <w:rFonts w:cs="Calibri"/>
          <w:szCs w:val="20"/>
          <w:lang w:val="en-US"/>
        </w:rPr>
        <w:t xml:space="preserve"> Business and Human Rights Project </w:t>
      </w:r>
      <w:r w:rsidR="002071B1" w:rsidRPr="00FE50A6">
        <w:rPr>
          <w:rFonts w:cs="Calibri"/>
          <w:szCs w:val="20"/>
          <w:lang w:val="en-US"/>
        </w:rPr>
        <w:t>of the</w:t>
      </w:r>
      <w:r w:rsidR="001A22AC" w:rsidRPr="00FE50A6">
        <w:rPr>
          <w:rFonts w:cs="Calibri"/>
          <w:szCs w:val="20"/>
          <w:lang w:val="en-US"/>
        </w:rPr>
        <w:t xml:space="preserve"> </w:t>
      </w:r>
      <w:r w:rsidR="00C84B6A" w:rsidRPr="00FE50A6">
        <w:rPr>
          <w:rFonts w:cs="Calibri"/>
          <w:szCs w:val="20"/>
          <w:lang w:val="en-US"/>
        </w:rPr>
        <w:t>University of</w:t>
      </w:r>
      <w:r w:rsidR="00D26428" w:rsidRPr="00FE50A6">
        <w:rPr>
          <w:rFonts w:cs="Calibri"/>
          <w:szCs w:val="20"/>
          <w:lang w:val="en-US"/>
        </w:rPr>
        <w:t xml:space="preserve"> Essex</w:t>
      </w:r>
      <w:r w:rsidR="002071B1" w:rsidRPr="00FE50A6">
        <w:rPr>
          <w:rFonts w:cs="Calibri"/>
          <w:szCs w:val="20"/>
          <w:lang w:val="en-US"/>
        </w:rPr>
        <w:t>.</w:t>
      </w:r>
      <w:r w:rsidR="00523A5B" w:rsidRPr="00FE50A6">
        <w:rPr>
          <w:rStyle w:val="Refdenotaalpie"/>
          <w:lang w:val="en-US"/>
        </w:rPr>
        <w:footnoteReference w:id="15"/>
      </w:r>
      <w:r w:rsidR="00D26428" w:rsidRPr="00FE50A6">
        <w:rPr>
          <w:rFonts w:cs="Calibri"/>
          <w:szCs w:val="20"/>
          <w:lang w:val="en-US"/>
        </w:rPr>
        <w:t xml:space="preserve"> </w:t>
      </w:r>
    </w:p>
    <w:p w14:paraId="75E8A58D" w14:textId="77777777" w:rsidR="001A317E" w:rsidRPr="00FE50A6" w:rsidRDefault="001A317E" w:rsidP="00140440">
      <w:pPr>
        <w:pStyle w:val="Prrafodelista"/>
        <w:contextualSpacing w:val="0"/>
        <w:rPr>
          <w:szCs w:val="20"/>
          <w:lang w:val="en-US"/>
        </w:rPr>
      </w:pPr>
    </w:p>
    <w:p w14:paraId="79240682" w14:textId="77777777" w:rsidR="00303488" w:rsidRPr="00FE50A6" w:rsidRDefault="002071B1" w:rsidP="007571DF">
      <w:pPr>
        <w:numPr>
          <w:ilvl w:val="0"/>
          <w:numId w:val="1"/>
        </w:numPr>
        <w:tabs>
          <w:tab w:val="clear" w:pos="4419"/>
          <w:tab w:val="clear" w:pos="8838"/>
          <w:tab w:val="left" w:pos="567"/>
          <w:tab w:val="left" w:pos="1134"/>
        </w:tabs>
        <w:jc w:val="both"/>
        <w:rPr>
          <w:rFonts w:eastAsia="Batang" w:cs="Arial"/>
          <w:noProof/>
          <w:szCs w:val="20"/>
          <w:lang w:val="en-US"/>
        </w:rPr>
      </w:pPr>
      <w:r w:rsidRPr="00FE50A6">
        <w:rPr>
          <w:i/>
          <w:szCs w:val="20"/>
          <w:lang w:val="en-US"/>
        </w:rPr>
        <w:t>On-site procedure</w:t>
      </w:r>
      <w:r w:rsidR="001A22AC" w:rsidRPr="00FE50A6">
        <w:rPr>
          <w:i/>
          <w:szCs w:val="20"/>
          <w:lang w:val="en-US"/>
        </w:rPr>
        <w:t>.</w:t>
      </w:r>
      <w:r w:rsidR="001A22AC" w:rsidRPr="00FE50A6">
        <w:rPr>
          <w:szCs w:val="20"/>
          <w:lang w:val="en-US"/>
        </w:rPr>
        <w:t xml:space="preserve"> </w:t>
      </w:r>
      <w:r w:rsidRPr="00FE50A6">
        <w:rPr>
          <w:szCs w:val="20"/>
          <w:lang w:val="en-US"/>
        </w:rPr>
        <w:t>In an order of the</w:t>
      </w:r>
      <w:r w:rsidR="001A317E" w:rsidRPr="00FE50A6">
        <w:rPr>
          <w:szCs w:val="20"/>
          <w:lang w:val="en-US"/>
        </w:rPr>
        <w:t xml:space="preserve"> </w:t>
      </w:r>
      <w:r w:rsidR="000228D0" w:rsidRPr="00FE50A6">
        <w:rPr>
          <w:szCs w:val="20"/>
          <w:lang w:val="en-US"/>
        </w:rPr>
        <w:t>acting President</w:t>
      </w:r>
      <w:r w:rsidR="001A317E" w:rsidRPr="00FE50A6">
        <w:rPr>
          <w:szCs w:val="20"/>
          <w:lang w:val="en-US"/>
        </w:rPr>
        <w:t xml:space="preserve"> </w:t>
      </w:r>
      <w:r w:rsidR="00160056" w:rsidRPr="00FE50A6">
        <w:rPr>
          <w:szCs w:val="20"/>
          <w:lang w:val="en-US"/>
        </w:rPr>
        <w:t>o</w:t>
      </w:r>
      <w:r w:rsidRPr="00FE50A6">
        <w:rPr>
          <w:szCs w:val="20"/>
          <w:lang w:val="en-US"/>
        </w:rPr>
        <w:t>f February 23,</w:t>
      </w:r>
      <w:r w:rsidR="001A317E" w:rsidRPr="00FE50A6">
        <w:rPr>
          <w:szCs w:val="20"/>
          <w:lang w:val="en-US"/>
        </w:rPr>
        <w:t xml:space="preserve"> 2016</w:t>
      </w:r>
      <w:r w:rsidRPr="00FE50A6">
        <w:rPr>
          <w:szCs w:val="20"/>
          <w:lang w:val="en-US"/>
        </w:rPr>
        <w:t>,</w:t>
      </w:r>
      <w:r w:rsidR="007B4B35" w:rsidRPr="00FE50A6">
        <w:rPr>
          <w:rStyle w:val="Refdenotaalpie"/>
          <w:lang w:val="en-US"/>
        </w:rPr>
        <w:footnoteReference w:id="16"/>
      </w:r>
      <w:r w:rsidRPr="00FE50A6">
        <w:rPr>
          <w:szCs w:val="20"/>
          <w:lang w:val="en-US"/>
        </w:rPr>
        <w:t xml:space="preserve"> </w:t>
      </w:r>
      <w:r w:rsidR="00160056" w:rsidRPr="00FE50A6">
        <w:rPr>
          <w:szCs w:val="20"/>
          <w:lang w:val="en-US"/>
        </w:rPr>
        <w:t>it was decided to conduct an on-site procedure in</w:t>
      </w:r>
      <w:r w:rsidR="00160056" w:rsidRPr="00FE50A6">
        <w:rPr>
          <w:rFonts w:eastAsia="Batang" w:cs="Arial"/>
          <w:noProof/>
          <w:szCs w:val="20"/>
          <w:lang w:val="en-US"/>
        </w:rPr>
        <w:t xml:space="preserve"> </w:t>
      </w:r>
      <w:r w:rsidR="00160056" w:rsidRPr="00FE50A6">
        <w:rPr>
          <w:szCs w:val="20"/>
          <w:lang w:val="en-US"/>
        </w:rPr>
        <w:t xml:space="preserve">the Federative Republic of Brazil </w:t>
      </w:r>
      <w:r w:rsidRPr="00FE50A6">
        <w:rPr>
          <w:szCs w:val="20"/>
          <w:lang w:val="en-US"/>
        </w:rPr>
        <w:t>owing to the contested facts</w:t>
      </w:r>
      <w:r w:rsidR="007571DF" w:rsidRPr="00FE50A6">
        <w:rPr>
          <w:szCs w:val="20"/>
          <w:lang w:val="en-US"/>
        </w:rPr>
        <w:t xml:space="preserve"> that are the purpose of the litigation and taking into account the need to obtain specific evidence to decide the dispute</w:t>
      </w:r>
      <w:r w:rsidR="00160056" w:rsidRPr="00FE50A6">
        <w:rPr>
          <w:szCs w:val="20"/>
          <w:lang w:val="en-US"/>
        </w:rPr>
        <w:t>. This decision was taken by</w:t>
      </w:r>
      <w:r w:rsidR="007571DF" w:rsidRPr="00FE50A6">
        <w:rPr>
          <w:szCs w:val="20"/>
          <w:lang w:val="en-US"/>
        </w:rPr>
        <w:t xml:space="preserve"> the full Court in application of Article 58(a) and</w:t>
      </w:r>
      <w:r w:rsidR="00C55C57" w:rsidRPr="00FE50A6">
        <w:rPr>
          <w:szCs w:val="20"/>
          <w:lang w:val="en-US"/>
        </w:rPr>
        <w:t xml:space="preserve"> </w:t>
      </w:r>
      <w:r w:rsidR="007571DF" w:rsidRPr="00FE50A6">
        <w:rPr>
          <w:szCs w:val="20"/>
          <w:lang w:val="en-US"/>
        </w:rPr>
        <w:t>(d) of the Rules of Procedure</w:t>
      </w:r>
      <w:r w:rsidR="001A317E" w:rsidRPr="00FE50A6">
        <w:rPr>
          <w:szCs w:val="20"/>
          <w:lang w:val="en-US"/>
        </w:rPr>
        <w:t xml:space="preserve">. </w:t>
      </w:r>
      <w:r w:rsidR="007571DF" w:rsidRPr="00FE50A6">
        <w:rPr>
          <w:szCs w:val="20"/>
          <w:lang w:val="en-US"/>
        </w:rPr>
        <w:t xml:space="preserve">Thus, on June </w:t>
      </w:r>
      <w:r w:rsidR="00303488" w:rsidRPr="00FE50A6">
        <w:rPr>
          <w:szCs w:val="20"/>
          <w:lang w:val="en-US"/>
        </w:rPr>
        <w:t>6</w:t>
      </w:r>
      <w:r w:rsidR="00030C17" w:rsidRPr="00FE50A6">
        <w:rPr>
          <w:szCs w:val="20"/>
          <w:lang w:val="en-US"/>
        </w:rPr>
        <w:t xml:space="preserve"> and </w:t>
      </w:r>
      <w:r w:rsidR="00303488" w:rsidRPr="00FE50A6">
        <w:rPr>
          <w:szCs w:val="20"/>
          <w:lang w:val="en-US"/>
        </w:rPr>
        <w:t>7</w:t>
      </w:r>
      <w:r w:rsidR="007571DF" w:rsidRPr="00FE50A6">
        <w:rPr>
          <w:szCs w:val="20"/>
          <w:lang w:val="en-US"/>
        </w:rPr>
        <w:t xml:space="preserve">, </w:t>
      </w:r>
      <w:r w:rsidR="00303488" w:rsidRPr="00FE50A6">
        <w:rPr>
          <w:szCs w:val="20"/>
          <w:lang w:val="en-US"/>
        </w:rPr>
        <w:t>2016</w:t>
      </w:r>
      <w:r w:rsidR="007571DF" w:rsidRPr="00FE50A6">
        <w:rPr>
          <w:szCs w:val="20"/>
          <w:lang w:val="en-US"/>
        </w:rPr>
        <w:t>, a delegation from</w:t>
      </w:r>
      <w:r w:rsidR="001A22AC" w:rsidRPr="00FE50A6">
        <w:rPr>
          <w:szCs w:val="20"/>
          <w:lang w:val="en-US"/>
        </w:rPr>
        <w:t xml:space="preserve"> </w:t>
      </w:r>
      <w:r w:rsidR="007571DF" w:rsidRPr="00FE50A6">
        <w:rPr>
          <w:szCs w:val="20"/>
          <w:lang w:val="en-US"/>
        </w:rPr>
        <w:t xml:space="preserve">the </w:t>
      </w:r>
      <w:r w:rsidRPr="00FE50A6">
        <w:rPr>
          <w:szCs w:val="20"/>
          <w:lang w:val="en-US"/>
        </w:rPr>
        <w:t>Court</w:t>
      </w:r>
      <w:r w:rsidR="00750080" w:rsidRPr="00FE50A6">
        <w:rPr>
          <w:rStyle w:val="Refdenotaalpie"/>
          <w:lang w:val="en-US"/>
        </w:rPr>
        <w:footnoteReference w:id="17"/>
      </w:r>
      <w:r w:rsidR="001A22AC" w:rsidRPr="00FE50A6">
        <w:rPr>
          <w:szCs w:val="20"/>
          <w:lang w:val="en-US"/>
        </w:rPr>
        <w:t xml:space="preserve"> </w:t>
      </w:r>
      <w:r w:rsidR="00C55C57" w:rsidRPr="00FE50A6">
        <w:rPr>
          <w:szCs w:val="20"/>
          <w:lang w:val="en-US"/>
        </w:rPr>
        <w:t>conducted</w:t>
      </w:r>
      <w:r w:rsidR="007571DF" w:rsidRPr="00FE50A6">
        <w:rPr>
          <w:szCs w:val="20"/>
          <w:lang w:val="en-US"/>
        </w:rPr>
        <w:t xml:space="preserve"> an</w:t>
      </w:r>
      <w:r w:rsidR="001A22AC" w:rsidRPr="00FE50A6">
        <w:rPr>
          <w:szCs w:val="20"/>
          <w:lang w:val="en-US"/>
        </w:rPr>
        <w:t xml:space="preserve"> </w:t>
      </w:r>
      <w:r w:rsidR="007571DF" w:rsidRPr="00FE50A6">
        <w:rPr>
          <w:szCs w:val="20"/>
          <w:lang w:val="en-US"/>
        </w:rPr>
        <w:t>on-site procedure</w:t>
      </w:r>
      <w:r w:rsidR="001A22AC" w:rsidRPr="00FE50A6">
        <w:rPr>
          <w:szCs w:val="20"/>
          <w:lang w:val="en-US"/>
        </w:rPr>
        <w:t xml:space="preserve"> </w:t>
      </w:r>
      <w:r w:rsidR="007571DF" w:rsidRPr="00FE50A6">
        <w:rPr>
          <w:szCs w:val="20"/>
          <w:lang w:val="en-US"/>
        </w:rPr>
        <w:t>in order to receive the statements of five presumed victims in this case and the statements for information purposes</w:t>
      </w:r>
      <w:r w:rsidR="00773F1A" w:rsidRPr="00FE50A6">
        <w:rPr>
          <w:szCs w:val="20"/>
          <w:lang w:val="en-US"/>
        </w:rPr>
        <w:t xml:space="preserve"> </w:t>
      </w:r>
      <w:r w:rsidR="007571DF" w:rsidRPr="00FE50A6">
        <w:rPr>
          <w:szCs w:val="20"/>
          <w:lang w:val="en-US"/>
        </w:rPr>
        <w:t xml:space="preserve">of five </w:t>
      </w:r>
      <w:r w:rsidR="00C55C57" w:rsidRPr="00FE50A6">
        <w:rPr>
          <w:szCs w:val="20"/>
          <w:lang w:val="en-US"/>
        </w:rPr>
        <w:t>S</w:t>
      </w:r>
      <w:r w:rsidR="007571DF" w:rsidRPr="00FE50A6">
        <w:rPr>
          <w:szCs w:val="20"/>
          <w:lang w:val="en-US"/>
        </w:rPr>
        <w:t xml:space="preserve">tate officials responsible for combating </w:t>
      </w:r>
      <w:r w:rsidR="00D11A9F" w:rsidRPr="00FE50A6">
        <w:rPr>
          <w:szCs w:val="20"/>
          <w:lang w:val="en-US"/>
        </w:rPr>
        <w:t>slavery</w:t>
      </w:r>
      <w:r w:rsidR="00773F1A" w:rsidRPr="00FE50A6">
        <w:rPr>
          <w:szCs w:val="20"/>
          <w:lang w:val="en-US"/>
        </w:rPr>
        <w:t xml:space="preserve"> </w:t>
      </w:r>
      <w:r w:rsidR="007571DF" w:rsidRPr="00FE50A6">
        <w:rPr>
          <w:szCs w:val="20"/>
          <w:lang w:val="en-US"/>
        </w:rPr>
        <w:t>i</w:t>
      </w:r>
      <w:r w:rsidR="00773F1A" w:rsidRPr="00FE50A6">
        <w:rPr>
          <w:szCs w:val="20"/>
          <w:lang w:val="en-US"/>
        </w:rPr>
        <w:t xml:space="preserve">n </w:t>
      </w:r>
      <w:r w:rsidR="000228D0" w:rsidRPr="00FE50A6">
        <w:rPr>
          <w:szCs w:val="20"/>
          <w:lang w:val="en-US"/>
        </w:rPr>
        <w:t>Brazil</w:t>
      </w:r>
      <w:r w:rsidR="001A22AC" w:rsidRPr="00FE50A6">
        <w:rPr>
          <w:szCs w:val="20"/>
          <w:lang w:val="en-US"/>
        </w:rPr>
        <w:t xml:space="preserve">. </w:t>
      </w:r>
    </w:p>
    <w:p w14:paraId="761AA5D4" w14:textId="77777777" w:rsidR="006745A1" w:rsidRPr="00FE50A6" w:rsidRDefault="006745A1" w:rsidP="00140440">
      <w:pPr>
        <w:tabs>
          <w:tab w:val="clear" w:pos="4419"/>
          <w:tab w:val="clear" w:pos="8838"/>
          <w:tab w:val="left" w:pos="567"/>
          <w:tab w:val="left" w:pos="1134"/>
        </w:tabs>
        <w:jc w:val="both"/>
        <w:rPr>
          <w:rFonts w:eastAsia="Batang" w:cs="Arial"/>
          <w:noProof/>
          <w:szCs w:val="20"/>
          <w:lang w:val="en-US"/>
        </w:rPr>
      </w:pPr>
    </w:p>
    <w:p w14:paraId="7758B8EA" w14:textId="77777777" w:rsidR="00BA1ACF" w:rsidRPr="00FE50A6" w:rsidRDefault="007571DF" w:rsidP="00140440">
      <w:pPr>
        <w:numPr>
          <w:ilvl w:val="0"/>
          <w:numId w:val="1"/>
        </w:numPr>
        <w:tabs>
          <w:tab w:val="clear" w:pos="4419"/>
          <w:tab w:val="clear" w:pos="8838"/>
          <w:tab w:val="left" w:pos="567"/>
          <w:tab w:val="left" w:pos="1134"/>
        </w:tabs>
        <w:jc w:val="both"/>
        <w:rPr>
          <w:rFonts w:eastAsia="Batang" w:cs="Verdana"/>
          <w:i/>
          <w:noProof/>
          <w:szCs w:val="20"/>
          <w:lang w:val="en-US" w:eastAsia="es-ES"/>
        </w:rPr>
      </w:pPr>
      <w:r w:rsidRPr="00FE50A6">
        <w:rPr>
          <w:rFonts w:eastAsia="Batang" w:cs="Arial"/>
          <w:i/>
          <w:noProof/>
          <w:szCs w:val="20"/>
          <w:lang w:val="en-US" w:eastAsia="es-ES"/>
        </w:rPr>
        <w:t xml:space="preserve">Final written arguments and </w:t>
      </w:r>
      <w:r w:rsidR="002071B1" w:rsidRPr="00FE50A6">
        <w:rPr>
          <w:rFonts w:eastAsia="Batang" w:cs="Verdana"/>
          <w:i/>
          <w:noProof/>
          <w:szCs w:val="20"/>
          <w:lang w:val="en-US" w:eastAsia="es-ES"/>
        </w:rPr>
        <w:t>observations</w:t>
      </w:r>
      <w:r w:rsidR="00BA1ACF" w:rsidRPr="00FE50A6">
        <w:rPr>
          <w:rFonts w:eastAsia="Batang" w:cs="Verdana"/>
          <w:i/>
          <w:noProof/>
          <w:szCs w:val="20"/>
          <w:lang w:val="en-US" w:eastAsia="es-ES"/>
        </w:rPr>
        <w:t>.</w:t>
      </w:r>
      <w:r w:rsidR="00BA1ACF" w:rsidRPr="00FE50A6">
        <w:rPr>
          <w:rFonts w:eastAsia="Batang" w:cs="Verdana"/>
          <w:noProof/>
          <w:szCs w:val="20"/>
          <w:lang w:val="en-US" w:eastAsia="es-ES"/>
        </w:rPr>
        <w:t xml:space="preserve"> </w:t>
      </w:r>
      <w:bookmarkStart w:id="22" w:name="_Ref313990861"/>
      <w:r w:rsidRPr="00FE50A6">
        <w:rPr>
          <w:rFonts w:eastAsia="Batang" w:cs="Verdana"/>
          <w:noProof/>
          <w:szCs w:val="20"/>
          <w:lang w:val="en-US" w:eastAsia="es-ES"/>
        </w:rPr>
        <w:t>On June 28,</w:t>
      </w:r>
      <w:r w:rsidR="00480CED" w:rsidRPr="00FE50A6">
        <w:rPr>
          <w:rFonts w:eastAsia="Batang" w:cs="Verdana"/>
          <w:noProof/>
          <w:szCs w:val="20"/>
          <w:lang w:val="en-US" w:eastAsia="es-ES"/>
        </w:rPr>
        <w:t xml:space="preserve"> 2016</w:t>
      </w:r>
      <w:r w:rsidRPr="00FE50A6">
        <w:rPr>
          <w:rFonts w:eastAsia="Batang" w:cs="Verdana"/>
          <w:noProof/>
          <w:szCs w:val="20"/>
          <w:lang w:val="en-US" w:eastAsia="es-ES"/>
        </w:rPr>
        <w:t>,</w:t>
      </w:r>
      <w:r w:rsidR="00BA1ACF" w:rsidRPr="00FE50A6">
        <w:rPr>
          <w:rFonts w:eastAsia="Batang" w:cs="Verdana"/>
          <w:noProof/>
          <w:szCs w:val="20"/>
          <w:lang w:val="en-US" w:eastAsia="es-ES"/>
        </w:rPr>
        <w:t xml:space="preserve"> </w:t>
      </w:r>
      <w:r w:rsidR="00700B79" w:rsidRPr="00FE50A6">
        <w:rPr>
          <w:rFonts w:eastAsia="Batang" w:cs="Verdana"/>
          <w:noProof/>
          <w:szCs w:val="20"/>
          <w:lang w:val="en-US" w:eastAsia="es-ES"/>
        </w:rPr>
        <w:t>the representatives</w:t>
      </w:r>
      <w:r w:rsidR="00030C17" w:rsidRPr="00FE50A6">
        <w:rPr>
          <w:rFonts w:eastAsia="Batang" w:cs="Verdana"/>
          <w:noProof/>
          <w:szCs w:val="20"/>
          <w:lang w:val="en-US" w:eastAsia="es-ES"/>
        </w:rPr>
        <w:t xml:space="preserve"> and </w:t>
      </w:r>
      <w:r w:rsidR="000228D0" w:rsidRPr="00FE50A6">
        <w:rPr>
          <w:rFonts w:eastAsia="Batang" w:cs="Verdana"/>
          <w:noProof/>
          <w:szCs w:val="20"/>
          <w:lang w:val="en-US" w:eastAsia="es-ES"/>
        </w:rPr>
        <w:t>the State</w:t>
      </w:r>
      <w:r w:rsidR="00BA1ACF" w:rsidRPr="00FE50A6">
        <w:rPr>
          <w:rFonts w:eastAsia="Batang" w:cs="Verdana"/>
          <w:noProof/>
          <w:szCs w:val="20"/>
          <w:lang w:val="en-US" w:eastAsia="es-ES"/>
        </w:rPr>
        <w:t xml:space="preserve"> present</w:t>
      </w:r>
      <w:r w:rsidRPr="00FE50A6">
        <w:rPr>
          <w:rFonts w:eastAsia="Batang" w:cs="Verdana"/>
          <w:noProof/>
          <w:szCs w:val="20"/>
          <w:lang w:val="en-US" w:eastAsia="es-ES"/>
        </w:rPr>
        <w:t xml:space="preserve">ed their respective final written arguments </w:t>
      </w:r>
      <w:r w:rsidR="00030C17" w:rsidRPr="00FE50A6">
        <w:rPr>
          <w:rFonts w:eastAsia="Batang" w:cs="Verdana"/>
          <w:noProof/>
          <w:szCs w:val="20"/>
          <w:lang w:val="en-US" w:eastAsia="es-ES"/>
        </w:rPr>
        <w:t xml:space="preserve">and </w:t>
      </w:r>
      <w:r w:rsidR="000228D0" w:rsidRPr="00FE50A6">
        <w:rPr>
          <w:rFonts w:eastAsia="Batang" w:cs="Verdana"/>
          <w:noProof/>
          <w:szCs w:val="20"/>
          <w:lang w:val="en-US" w:eastAsia="es-ES"/>
        </w:rPr>
        <w:t>the Inter-American Commission</w:t>
      </w:r>
      <w:r w:rsidR="00BA1ACF" w:rsidRPr="00FE50A6">
        <w:rPr>
          <w:rFonts w:eastAsia="Batang" w:cs="Verdana"/>
          <w:noProof/>
          <w:szCs w:val="20"/>
          <w:lang w:val="en-US" w:eastAsia="es-ES"/>
        </w:rPr>
        <w:t xml:space="preserve"> </w:t>
      </w:r>
      <w:r w:rsidRPr="00FE50A6">
        <w:rPr>
          <w:rFonts w:eastAsia="Batang" w:cs="Verdana"/>
          <w:noProof/>
          <w:szCs w:val="20"/>
          <w:lang w:val="en-US" w:eastAsia="es-ES"/>
        </w:rPr>
        <w:t>forwarded its final written</w:t>
      </w:r>
      <w:r w:rsidR="00BA1ACF" w:rsidRPr="00FE50A6">
        <w:rPr>
          <w:rFonts w:eastAsia="Batang" w:cs="Verdana"/>
          <w:noProof/>
          <w:szCs w:val="20"/>
          <w:lang w:val="en-US" w:eastAsia="es-ES"/>
        </w:rPr>
        <w:t xml:space="preserve"> </w:t>
      </w:r>
      <w:r w:rsidR="002071B1" w:rsidRPr="00FE50A6">
        <w:rPr>
          <w:rFonts w:eastAsia="Batang" w:cs="Verdana"/>
          <w:noProof/>
          <w:szCs w:val="20"/>
          <w:lang w:val="en-US" w:eastAsia="es-ES"/>
        </w:rPr>
        <w:t>observations</w:t>
      </w:r>
      <w:r w:rsidR="00480CED" w:rsidRPr="00FE50A6">
        <w:rPr>
          <w:rFonts w:eastAsia="Batang" w:cs="Verdana"/>
          <w:noProof/>
          <w:szCs w:val="20"/>
          <w:lang w:val="en-US" w:eastAsia="es-ES"/>
        </w:rPr>
        <w:t xml:space="preserve">. </w:t>
      </w:r>
    </w:p>
    <w:p w14:paraId="21BACF70" w14:textId="77777777" w:rsidR="0023110E" w:rsidRPr="00FE50A6" w:rsidRDefault="0023110E" w:rsidP="0023110E">
      <w:pPr>
        <w:pStyle w:val="Prrafodelista"/>
        <w:rPr>
          <w:rFonts w:eastAsia="Batang" w:cs="Verdana"/>
          <w:i/>
          <w:noProof/>
          <w:szCs w:val="20"/>
          <w:lang w:val="en-US" w:eastAsia="es-ES"/>
        </w:rPr>
      </w:pPr>
    </w:p>
    <w:p w14:paraId="16B4BADB" w14:textId="77777777" w:rsidR="0023110E" w:rsidRPr="00FE50A6" w:rsidRDefault="002071B1" w:rsidP="0023110E">
      <w:pPr>
        <w:pStyle w:val="Prrafodelista"/>
        <w:widowControl w:val="0"/>
        <w:numPr>
          <w:ilvl w:val="0"/>
          <w:numId w:val="1"/>
        </w:numPr>
        <w:tabs>
          <w:tab w:val="left" w:pos="567"/>
        </w:tabs>
        <w:autoSpaceDE w:val="0"/>
        <w:autoSpaceDN w:val="0"/>
        <w:adjustRightInd w:val="0"/>
        <w:rPr>
          <w:rFonts w:eastAsia="Calibri" w:cs="Verdana"/>
          <w:snapToGrid w:val="0"/>
          <w:szCs w:val="20"/>
          <w:lang w:val="en-US" w:eastAsia="es-ES"/>
        </w:rPr>
      </w:pPr>
      <w:r w:rsidRPr="00FE50A6">
        <w:rPr>
          <w:rFonts w:eastAsia="Calibri" w:cs="Verdana"/>
          <w:i/>
          <w:snapToGrid w:val="0"/>
          <w:szCs w:val="20"/>
          <w:lang w:val="en-US" w:eastAsia="es-ES"/>
        </w:rPr>
        <w:t>Observations</w:t>
      </w:r>
      <w:r w:rsidR="0023110E" w:rsidRPr="00FE50A6">
        <w:rPr>
          <w:rFonts w:eastAsia="Calibri" w:cs="Verdana"/>
          <w:i/>
          <w:snapToGrid w:val="0"/>
          <w:szCs w:val="20"/>
          <w:lang w:val="en-US" w:eastAsia="es-ES"/>
        </w:rPr>
        <w:t xml:space="preserve"> </w:t>
      </w:r>
      <w:r w:rsidR="007571DF" w:rsidRPr="00FE50A6">
        <w:rPr>
          <w:rFonts w:eastAsia="Calibri" w:cs="Verdana"/>
          <w:i/>
          <w:snapToGrid w:val="0"/>
          <w:szCs w:val="20"/>
          <w:lang w:val="en-US" w:eastAsia="es-ES"/>
        </w:rPr>
        <w:t>of the parties</w:t>
      </w:r>
      <w:r w:rsidR="00030C17" w:rsidRPr="00FE50A6">
        <w:rPr>
          <w:rFonts w:eastAsia="Calibri" w:cs="Verdana"/>
          <w:i/>
          <w:snapToGrid w:val="0"/>
          <w:szCs w:val="20"/>
          <w:lang w:val="en-US" w:eastAsia="es-ES"/>
        </w:rPr>
        <w:t xml:space="preserve"> and </w:t>
      </w:r>
      <w:r w:rsidR="000228D0" w:rsidRPr="00FE50A6">
        <w:rPr>
          <w:rFonts w:eastAsia="Calibri" w:cs="Verdana"/>
          <w:i/>
          <w:snapToGrid w:val="0"/>
          <w:szCs w:val="20"/>
          <w:lang w:val="en-US" w:eastAsia="es-ES"/>
        </w:rPr>
        <w:t>the Commission</w:t>
      </w:r>
      <w:r w:rsidR="0023110E" w:rsidRPr="00FE50A6">
        <w:rPr>
          <w:rFonts w:eastAsia="Calibri" w:cs="Verdana"/>
          <w:i/>
          <w:snapToGrid w:val="0"/>
          <w:szCs w:val="20"/>
          <w:lang w:val="en-US" w:eastAsia="es-ES"/>
        </w:rPr>
        <w:t xml:space="preserve">. </w:t>
      </w:r>
      <w:r w:rsidR="007571DF" w:rsidRPr="00FE50A6">
        <w:rPr>
          <w:rFonts w:eastAsia="Calibri" w:cs="Verdana"/>
          <w:snapToGrid w:val="0"/>
          <w:szCs w:val="20"/>
          <w:lang w:val="en-US" w:eastAsia="es-ES"/>
        </w:rPr>
        <w:t>The</w:t>
      </w:r>
      <w:r w:rsidR="0023110E" w:rsidRPr="00FE50A6">
        <w:rPr>
          <w:rFonts w:eastAsia="Calibri" w:cs="Verdana"/>
          <w:snapToGrid w:val="0"/>
          <w:szCs w:val="20"/>
          <w:lang w:val="en-US" w:eastAsia="es-ES"/>
        </w:rPr>
        <w:t xml:space="preserve"> </w:t>
      </w:r>
      <w:r w:rsidR="000228D0" w:rsidRPr="00FE50A6">
        <w:rPr>
          <w:rFonts w:eastAsia="Calibri" w:cs="Verdana"/>
          <w:snapToGrid w:val="0"/>
          <w:szCs w:val="20"/>
          <w:lang w:val="en-US" w:eastAsia="es-ES"/>
        </w:rPr>
        <w:t>acting President</w:t>
      </w:r>
      <w:r w:rsidR="0023110E" w:rsidRPr="00FE50A6">
        <w:rPr>
          <w:rFonts w:eastAsia="Calibri" w:cs="Verdana"/>
          <w:snapToGrid w:val="0"/>
          <w:szCs w:val="20"/>
          <w:lang w:val="en-US" w:eastAsia="es-ES"/>
        </w:rPr>
        <w:t xml:space="preserve"> </w:t>
      </w:r>
      <w:r w:rsidR="007571DF" w:rsidRPr="00FE50A6">
        <w:rPr>
          <w:rFonts w:eastAsia="Calibri" w:cs="Verdana"/>
          <w:snapToGrid w:val="0"/>
          <w:szCs w:val="20"/>
          <w:lang w:val="en-US" w:eastAsia="es-ES"/>
        </w:rPr>
        <w:t>granted the parties</w:t>
      </w:r>
      <w:r w:rsidR="0023110E" w:rsidRPr="00FE50A6">
        <w:rPr>
          <w:rFonts w:eastAsia="Calibri" w:cs="Verdana"/>
          <w:snapToGrid w:val="0"/>
          <w:szCs w:val="20"/>
          <w:lang w:val="en-US" w:eastAsia="es-ES"/>
        </w:rPr>
        <w:t xml:space="preserve"> </w:t>
      </w:r>
      <w:r w:rsidR="007571DF" w:rsidRPr="00FE50A6">
        <w:rPr>
          <w:rFonts w:eastAsia="Calibri" w:cs="Verdana"/>
          <w:snapToGrid w:val="0"/>
          <w:szCs w:val="20"/>
          <w:lang w:val="en-US" w:eastAsia="es-ES"/>
        </w:rPr>
        <w:t>and</w:t>
      </w:r>
      <w:r w:rsidR="0023110E" w:rsidRPr="00FE50A6">
        <w:rPr>
          <w:rFonts w:eastAsia="Calibri" w:cs="Verdana"/>
          <w:snapToGrid w:val="0"/>
          <w:szCs w:val="20"/>
          <w:lang w:val="en-US" w:eastAsia="es-ES"/>
        </w:rPr>
        <w:t xml:space="preserve"> </w:t>
      </w:r>
      <w:r w:rsidR="000228D0" w:rsidRPr="00FE50A6">
        <w:rPr>
          <w:rFonts w:eastAsia="Calibri" w:cs="Verdana"/>
          <w:snapToGrid w:val="0"/>
          <w:szCs w:val="20"/>
          <w:lang w:val="en-US" w:eastAsia="es-ES"/>
        </w:rPr>
        <w:t>the Commission</w:t>
      </w:r>
      <w:r w:rsidR="007571DF" w:rsidRPr="00FE50A6">
        <w:rPr>
          <w:rFonts w:eastAsia="Calibri" w:cs="Verdana"/>
          <w:snapToGrid w:val="0"/>
          <w:szCs w:val="20"/>
          <w:lang w:val="en-US" w:eastAsia="es-ES"/>
        </w:rPr>
        <w:t xml:space="preserve"> a time frame for presenting any</w:t>
      </w:r>
      <w:r w:rsidR="0023110E" w:rsidRPr="00FE50A6">
        <w:rPr>
          <w:rFonts w:eastAsia="Calibri" w:cs="Verdana"/>
          <w:snapToGrid w:val="0"/>
          <w:szCs w:val="20"/>
          <w:lang w:val="en-US" w:eastAsia="es-ES"/>
        </w:rPr>
        <w:t xml:space="preserve"> </w:t>
      </w:r>
      <w:r w:rsidRPr="00FE50A6">
        <w:rPr>
          <w:rFonts w:eastAsia="Calibri" w:cs="Verdana"/>
          <w:snapToGrid w:val="0"/>
          <w:szCs w:val="20"/>
          <w:lang w:val="en-US" w:eastAsia="es-ES"/>
        </w:rPr>
        <w:t>observations</w:t>
      </w:r>
      <w:r w:rsidR="0023110E" w:rsidRPr="00FE50A6">
        <w:rPr>
          <w:rFonts w:eastAsia="Calibri" w:cs="Verdana"/>
          <w:snapToGrid w:val="0"/>
          <w:szCs w:val="20"/>
          <w:lang w:val="en-US" w:eastAsia="es-ES"/>
        </w:rPr>
        <w:t xml:space="preserve"> </w:t>
      </w:r>
      <w:r w:rsidR="007571DF" w:rsidRPr="00FE50A6">
        <w:rPr>
          <w:rFonts w:eastAsia="Calibri" w:cs="Verdana"/>
          <w:snapToGrid w:val="0"/>
          <w:szCs w:val="20"/>
          <w:lang w:val="en-US" w:eastAsia="es-ES"/>
        </w:rPr>
        <w:t>they deemed pertinent on the annexes forwarded by</w:t>
      </w:r>
      <w:r w:rsidR="0023110E" w:rsidRPr="00FE50A6">
        <w:rPr>
          <w:rFonts w:eastAsia="Calibri" w:cs="Verdana"/>
          <w:snapToGrid w:val="0"/>
          <w:szCs w:val="20"/>
          <w:lang w:val="en-US" w:eastAsia="es-ES"/>
        </w:rPr>
        <w:t xml:space="preserve"> </w:t>
      </w:r>
      <w:r w:rsidR="000228D0" w:rsidRPr="00FE50A6">
        <w:rPr>
          <w:rFonts w:eastAsia="Calibri" w:cs="Verdana"/>
          <w:snapToGrid w:val="0"/>
          <w:szCs w:val="20"/>
          <w:lang w:val="en-US" w:eastAsia="es-ES"/>
        </w:rPr>
        <w:t>the State</w:t>
      </w:r>
      <w:r w:rsidR="00030C17" w:rsidRPr="00FE50A6">
        <w:rPr>
          <w:rFonts w:eastAsia="Calibri" w:cs="Verdana"/>
          <w:snapToGrid w:val="0"/>
          <w:szCs w:val="20"/>
          <w:lang w:val="en-US" w:eastAsia="es-ES"/>
        </w:rPr>
        <w:t xml:space="preserve"> and </w:t>
      </w:r>
      <w:r w:rsidR="00700B79" w:rsidRPr="00FE50A6">
        <w:rPr>
          <w:rFonts w:eastAsia="Calibri" w:cs="Verdana"/>
          <w:snapToGrid w:val="0"/>
          <w:szCs w:val="20"/>
          <w:lang w:val="en-US" w:eastAsia="es-ES"/>
        </w:rPr>
        <w:t>the representatives</w:t>
      </w:r>
      <w:r w:rsidR="0023110E" w:rsidRPr="00FE50A6">
        <w:rPr>
          <w:rFonts w:eastAsia="Calibri" w:cs="Verdana"/>
          <w:snapToGrid w:val="0"/>
          <w:szCs w:val="20"/>
          <w:lang w:val="en-US" w:eastAsia="es-ES"/>
        </w:rPr>
        <w:t xml:space="preserve"> </w:t>
      </w:r>
      <w:r w:rsidR="007571DF" w:rsidRPr="00FE50A6">
        <w:rPr>
          <w:rFonts w:eastAsia="Calibri" w:cs="Verdana"/>
          <w:snapToGrid w:val="0"/>
          <w:szCs w:val="20"/>
          <w:lang w:val="en-US" w:eastAsia="es-ES"/>
        </w:rPr>
        <w:t xml:space="preserve">with their final written arguments. On August </w:t>
      </w:r>
      <w:bookmarkStart w:id="23" w:name="_Ref303582878"/>
      <w:r w:rsidR="0023110E" w:rsidRPr="00FE50A6">
        <w:rPr>
          <w:rFonts w:eastAsia="Calibri" w:cs="Verdana"/>
          <w:snapToGrid w:val="0"/>
          <w:szCs w:val="20"/>
          <w:lang w:val="en-US" w:eastAsia="es-ES"/>
        </w:rPr>
        <w:t>5</w:t>
      </w:r>
      <w:r w:rsidR="00030C17" w:rsidRPr="00FE50A6">
        <w:rPr>
          <w:rFonts w:eastAsia="Calibri" w:cs="Verdana"/>
          <w:snapToGrid w:val="0"/>
          <w:szCs w:val="20"/>
          <w:lang w:val="en-US" w:eastAsia="es-ES"/>
        </w:rPr>
        <w:t xml:space="preserve"> and </w:t>
      </w:r>
      <w:r w:rsidR="0023110E" w:rsidRPr="00FE50A6">
        <w:rPr>
          <w:rFonts w:eastAsia="Calibri" w:cs="Verdana"/>
          <w:snapToGrid w:val="0"/>
          <w:szCs w:val="20"/>
          <w:lang w:val="en-US" w:eastAsia="es-ES"/>
        </w:rPr>
        <w:t xml:space="preserve">6, </w:t>
      </w:r>
      <w:r w:rsidR="000228D0" w:rsidRPr="00FE50A6">
        <w:rPr>
          <w:rFonts w:eastAsia="Calibri" w:cs="Verdana"/>
          <w:snapToGrid w:val="0"/>
          <w:szCs w:val="20"/>
          <w:lang w:val="en-US" w:eastAsia="es-ES"/>
        </w:rPr>
        <w:t>the State</w:t>
      </w:r>
      <w:r w:rsidR="00030C17" w:rsidRPr="00FE50A6">
        <w:rPr>
          <w:rFonts w:eastAsia="Calibri" w:cs="Verdana"/>
          <w:snapToGrid w:val="0"/>
          <w:szCs w:val="20"/>
          <w:lang w:val="en-US" w:eastAsia="es-ES"/>
        </w:rPr>
        <w:t xml:space="preserve"> and </w:t>
      </w:r>
      <w:r w:rsidR="000228D0" w:rsidRPr="00FE50A6">
        <w:rPr>
          <w:rFonts w:eastAsia="Calibri" w:cs="Verdana"/>
          <w:snapToGrid w:val="0"/>
          <w:szCs w:val="20"/>
          <w:lang w:val="en-US" w:eastAsia="es-ES"/>
        </w:rPr>
        <w:t>the Commission</w:t>
      </w:r>
      <w:r w:rsidR="0023110E" w:rsidRPr="00FE50A6">
        <w:rPr>
          <w:rFonts w:eastAsia="Calibri" w:cs="Verdana"/>
          <w:snapToGrid w:val="0"/>
          <w:szCs w:val="20"/>
          <w:lang w:val="en-US" w:eastAsia="es-ES"/>
        </w:rPr>
        <w:t>, respectiv</w:t>
      </w:r>
      <w:r w:rsidR="007571DF" w:rsidRPr="00FE50A6">
        <w:rPr>
          <w:rFonts w:eastAsia="Calibri" w:cs="Verdana"/>
          <w:snapToGrid w:val="0"/>
          <w:szCs w:val="20"/>
          <w:lang w:val="en-US" w:eastAsia="es-ES"/>
        </w:rPr>
        <w:t xml:space="preserve">ely, forwarded the requested </w:t>
      </w:r>
      <w:r w:rsidRPr="00FE50A6">
        <w:rPr>
          <w:rFonts w:eastAsia="Calibri" w:cs="Verdana"/>
          <w:snapToGrid w:val="0"/>
          <w:szCs w:val="20"/>
          <w:lang w:val="en-US" w:eastAsia="es-ES"/>
        </w:rPr>
        <w:t>observations</w:t>
      </w:r>
      <w:r w:rsidR="0023110E" w:rsidRPr="00FE50A6">
        <w:rPr>
          <w:rFonts w:eastAsia="Calibri" w:cs="Verdana"/>
          <w:snapToGrid w:val="0"/>
          <w:szCs w:val="20"/>
          <w:lang w:val="en-US" w:eastAsia="es-ES"/>
        </w:rPr>
        <w:t>.</w:t>
      </w:r>
      <w:bookmarkEnd w:id="23"/>
      <w:r w:rsidR="0023110E" w:rsidRPr="00FE50A6">
        <w:rPr>
          <w:rFonts w:eastAsia="Calibri" w:cs="Verdana"/>
          <w:snapToGrid w:val="0"/>
          <w:szCs w:val="20"/>
          <w:lang w:val="en-US" w:eastAsia="es-ES"/>
        </w:rPr>
        <w:t xml:space="preserve"> </w:t>
      </w:r>
      <w:r w:rsidR="00700B79" w:rsidRPr="00FE50A6">
        <w:rPr>
          <w:rFonts w:eastAsia="Calibri" w:cs="Verdana"/>
          <w:snapToGrid w:val="0"/>
          <w:szCs w:val="20"/>
          <w:lang w:val="en-US" w:eastAsia="es-ES"/>
        </w:rPr>
        <w:t>The representatives</w:t>
      </w:r>
      <w:r w:rsidR="0023110E" w:rsidRPr="00FE50A6">
        <w:rPr>
          <w:rFonts w:eastAsia="Calibri" w:cs="Verdana"/>
          <w:snapToGrid w:val="0"/>
          <w:szCs w:val="20"/>
          <w:lang w:val="en-US" w:eastAsia="es-ES"/>
        </w:rPr>
        <w:t xml:space="preserve"> </w:t>
      </w:r>
      <w:r w:rsidR="00160056" w:rsidRPr="00FE50A6">
        <w:rPr>
          <w:rFonts w:eastAsia="Calibri" w:cs="Verdana"/>
          <w:snapToGrid w:val="0"/>
          <w:szCs w:val="20"/>
          <w:lang w:val="en-US" w:eastAsia="es-ES"/>
        </w:rPr>
        <w:t>sent no</w:t>
      </w:r>
      <w:r w:rsidR="007571DF" w:rsidRPr="00FE50A6">
        <w:rPr>
          <w:rFonts w:eastAsia="Calibri" w:cs="Verdana"/>
          <w:snapToGrid w:val="0"/>
          <w:szCs w:val="20"/>
          <w:lang w:val="en-US" w:eastAsia="es-ES"/>
        </w:rPr>
        <w:t xml:space="preserve"> observations within the respective time frame.</w:t>
      </w:r>
    </w:p>
    <w:p w14:paraId="2E711BC2" w14:textId="77777777" w:rsidR="004C7778" w:rsidRPr="00FE50A6" w:rsidRDefault="004C7778" w:rsidP="00140440">
      <w:pPr>
        <w:tabs>
          <w:tab w:val="clear" w:pos="4419"/>
          <w:tab w:val="clear" w:pos="8838"/>
          <w:tab w:val="left" w:pos="567"/>
          <w:tab w:val="left" w:pos="1134"/>
        </w:tabs>
        <w:jc w:val="both"/>
        <w:rPr>
          <w:rFonts w:eastAsia="Batang" w:cs="Verdana"/>
          <w:i/>
          <w:noProof/>
          <w:szCs w:val="20"/>
          <w:lang w:val="en-US" w:eastAsia="es-ES"/>
        </w:rPr>
      </w:pPr>
    </w:p>
    <w:bookmarkEnd w:id="22"/>
    <w:p w14:paraId="44429DCB" w14:textId="77777777" w:rsidR="00BA1ACF" w:rsidRPr="00FE50A6" w:rsidRDefault="00BA1ACF" w:rsidP="00140440">
      <w:pPr>
        <w:numPr>
          <w:ilvl w:val="0"/>
          <w:numId w:val="1"/>
        </w:numPr>
        <w:tabs>
          <w:tab w:val="clear" w:pos="4419"/>
          <w:tab w:val="clear" w:pos="8838"/>
          <w:tab w:val="left" w:pos="567"/>
          <w:tab w:val="left" w:pos="1134"/>
        </w:tabs>
        <w:jc w:val="both"/>
        <w:rPr>
          <w:rFonts w:eastAsia="Batang" w:cs="Verdana"/>
          <w:noProof/>
          <w:szCs w:val="20"/>
          <w:lang w:val="en-US" w:eastAsia="es-ES"/>
        </w:rPr>
      </w:pPr>
      <w:r w:rsidRPr="00FE50A6">
        <w:rPr>
          <w:rFonts w:eastAsia="Batang" w:cs="Times New Roman"/>
          <w:i/>
          <w:noProof/>
          <w:szCs w:val="24"/>
          <w:lang w:val="en-US" w:eastAsia="es-CR"/>
        </w:rPr>
        <w:t>Delibera</w:t>
      </w:r>
      <w:r w:rsidR="007571DF" w:rsidRPr="00FE50A6">
        <w:rPr>
          <w:rFonts w:eastAsia="Batang" w:cs="Times New Roman"/>
          <w:i/>
          <w:noProof/>
          <w:szCs w:val="24"/>
          <w:lang w:val="en-US" w:eastAsia="es-CR"/>
        </w:rPr>
        <w:t xml:space="preserve">tion of this case. </w:t>
      </w:r>
      <w:r w:rsidR="000228D0" w:rsidRPr="00FE50A6">
        <w:rPr>
          <w:rFonts w:eastAsia="Batang" w:cs="Times New Roman"/>
          <w:noProof/>
          <w:szCs w:val="24"/>
          <w:lang w:val="en-US" w:eastAsia="es-CR"/>
        </w:rPr>
        <w:t>The Court</w:t>
      </w:r>
      <w:r w:rsidRPr="00FE50A6">
        <w:rPr>
          <w:rFonts w:eastAsia="Batang" w:cs="Times New Roman"/>
          <w:noProof/>
          <w:szCs w:val="24"/>
          <w:lang w:val="en-US" w:eastAsia="es-CR"/>
        </w:rPr>
        <w:t xml:space="preserve"> </w:t>
      </w:r>
      <w:r w:rsidR="007571DF" w:rsidRPr="00FE50A6">
        <w:rPr>
          <w:rFonts w:eastAsia="Batang" w:cs="Times New Roman"/>
          <w:noProof/>
          <w:szCs w:val="24"/>
          <w:lang w:val="en-US" w:eastAsia="es-CR"/>
        </w:rPr>
        <w:t xml:space="preserve">began deliberating this judgment on October 18, </w:t>
      </w:r>
      <w:r w:rsidR="00416610" w:rsidRPr="00FE50A6">
        <w:rPr>
          <w:rFonts w:eastAsia="Batang" w:cs="Times New Roman"/>
          <w:noProof/>
          <w:szCs w:val="24"/>
          <w:lang w:val="en-US" w:eastAsia="es-CR"/>
        </w:rPr>
        <w:t>2016</w:t>
      </w:r>
      <w:r w:rsidRPr="00FE50A6">
        <w:rPr>
          <w:rFonts w:eastAsia="Batang" w:cs="Times New Roman"/>
          <w:noProof/>
          <w:szCs w:val="24"/>
          <w:lang w:val="en-US" w:eastAsia="es-CR"/>
        </w:rPr>
        <w:t>.</w:t>
      </w:r>
    </w:p>
    <w:p w14:paraId="4AAC570D" w14:textId="77777777" w:rsidR="00BA1ACF" w:rsidRPr="00FE50A6" w:rsidRDefault="00BA1ACF" w:rsidP="00140440">
      <w:pPr>
        <w:tabs>
          <w:tab w:val="clear" w:pos="4419"/>
          <w:tab w:val="clear" w:pos="8838"/>
          <w:tab w:val="left" w:pos="567"/>
          <w:tab w:val="left" w:pos="1134"/>
        </w:tabs>
        <w:autoSpaceDE w:val="0"/>
        <w:autoSpaceDN w:val="0"/>
        <w:adjustRightInd w:val="0"/>
        <w:jc w:val="both"/>
        <w:rPr>
          <w:rFonts w:eastAsia="Batang" w:cs="Verdana"/>
          <w:szCs w:val="20"/>
          <w:lang w:val="en-US" w:eastAsia="es-ES"/>
        </w:rPr>
      </w:pPr>
    </w:p>
    <w:p w14:paraId="5094738D" w14:textId="77777777" w:rsidR="00BA1ACF" w:rsidRPr="00FE50A6" w:rsidRDefault="00BA1ACF" w:rsidP="00140440">
      <w:pPr>
        <w:keepNext/>
        <w:keepLines/>
        <w:tabs>
          <w:tab w:val="clear" w:pos="4419"/>
          <w:tab w:val="clear" w:pos="8838"/>
        </w:tabs>
        <w:jc w:val="center"/>
        <w:outlineLvl w:val="0"/>
        <w:rPr>
          <w:rFonts w:eastAsia="Times New Roman" w:cs="Verdana"/>
          <w:b/>
          <w:bCs/>
          <w:snapToGrid w:val="0"/>
          <w:szCs w:val="20"/>
          <w:lang w:val="en-US" w:eastAsia="es-ES"/>
        </w:rPr>
      </w:pPr>
      <w:bookmarkStart w:id="24" w:name="_Toc404770056"/>
      <w:bookmarkStart w:id="25" w:name="_Toc416164786"/>
      <w:bookmarkStart w:id="26" w:name="_Toc464813886"/>
      <w:bookmarkStart w:id="27" w:name="_Toc315133576"/>
      <w:bookmarkStart w:id="28" w:name="_Toc316919761"/>
      <w:bookmarkStart w:id="29" w:name="_Toc329703866"/>
      <w:bookmarkStart w:id="30" w:name="_Toc336638903"/>
      <w:bookmarkStart w:id="31" w:name="_Toc359314423"/>
      <w:bookmarkStart w:id="32" w:name="_Toc361671573"/>
      <w:bookmarkStart w:id="33" w:name="_Toc361671993"/>
      <w:bookmarkStart w:id="34" w:name="_Toc361732790"/>
      <w:bookmarkStart w:id="35" w:name="_Toc361732833"/>
      <w:bookmarkStart w:id="36" w:name="_Toc362456864"/>
      <w:bookmarkStart w:id="37" w:name="_Toc365021393"/>
      <w:bookmarkStart w:id="38" w:name="_Toc369076779"/>
      <w:bookmarkStart w:id="39" w:name="_Toc369989363"/>
      <w:bookmarkStart w:id="40" w:name="_Toc369989450"/>
      <w:bookmarkStart w:id="41" w:name="_Toc369989731"/>
      <w:r w:rsidRPr="00FE50A6">
        <w:rPr>
          <w:rFonts w:eastAsia="Times New Roman" w:cs="Verdana"/>
          <w:b/>
          <w:bCs/>
          <w:snapToGrid w:val="0"/>
          <w:szCs w:val="20"/>
          <w:lang w:val="en-US" w:eastAsia="es-ES"/>
        </w:rPr>
        <w:t>III</w:t>
      </w:r>
      <w:r w:rsidRPr="00FE50A6">
        <w:rPr>
          <w:rFonts w:eastAsia="Times New Roman" w:cs="Verdana"/>
          <w:b/>
          <w:bCs/>
          <w:snapToGrid w:val="0"/>
          <w:szCs w:val="20"/>
          <w:lang w:val="en-US" w:eastAsia="es-ES"/>
        </w:rPr>
        <w:br/>
      </w:r>
      <w:r w:rsidR="005F1946" w:rsidRPr="00FE50A6">
        <w:rPr>
          <w:rFonts w:eastAsia="Times New Roman" w:cs="Verdana"/>
          <w:b/>
          <w:bCs/>
          <w:snapToGrid w:val="0"/>
          <w:szCs w:val="20"/>
          <w:lang w:val="en-US" w:eastAsia="es-ES"/>
        </w:rPr>
        <w:t>JURISDICTION</w:t>
      </w:r>
      <w:bookmarkEnd w:id="24"/>
      <w:bookmarkEnd w:id="25"/>
      <w:bookmarkEnd w:id="26"/>
    </w:p>
    <w:p w14:paraId="6A21BC4A" w14:textId="77777777" w:rsidR="00BA1ACF" w:rsidRPr="00FE50A6" w:rsidRDefault="00BA1ACF" w:rsidP="00140440">
      <w:pPr>
        <w:tabs>
          <w:tab w:val="clear" w:pos="4419"/>
          <w:tab w:val="clear" w:pos="8838"/>
        </w:tabs>
        <w:jc w:val="both"/>
        <w:rPr>
          <w:rFonts w:eastAsia="Batang" w:cs="Times"/>
          <w:noProof/>
          <w:szCs w:val="24"/>
          <w:lang w:val="en-US" w:eastAsia="es-ES"/>
        </w:rPr>
      </w:pPr>
    </w:p>
    <w:p w14:paraId="2B415B72" w14:textId="77777777" w:rsidR="00BA1ACF" w:rsidRPr="00FE50A6" w:rsidRDefault="000228D0" w:rsidP="00140440">
      <w:pPr>
        <w:numPr>
          <w:ilvl w:val="0"/>
          <w:numId w:val="1"/>
        </w:numPr>
        <w:tabs>
          <w:tab w:val="clear" w:pos="4419"/>
          <w:tab w:val="clear" w:pos="8838"/>
        </w:tabs>
        <w:jc w:val="both"/>
        <w:rPr>
          <w:rFonts w:eastAsia="Batang" w:cs="Times"/>
          <w:noProof/>
          <w:szCs w:val="20"/>
          <w:lang w:val="en-US"/>
        </w:rPr>
      </w:pPr>
      <w:r w:rsidRPr="00FE50A6">
        <w:rPr>
          <w:rFonts w:eastAsia="Batang" w:cs="Times"/>
          <w:noProof/>
          <w:szCs w:val="20"/>
          <w:lang w:val="en-US"/>
        </w:rPr>
        <w:t>The Inter-American Court</w:t>
      </w:r>
      <w:r w:rsidR="00BA1ACF" w:rsidRPr="00FE50A6">
        <w:rPr>
          <w:rFonts w:eastAsia="Batang" w:cs="Times"/>
          <w:noProof/>
          <w:szCs w:val="20"/>
          <w:lang w:val="en-US"/>
        </w:rPr>
        <w:t xml:space="preserve"> </w:t>
      </w:r>
      <w:r w:rsidR="00822837" w:rsidRPr="00FE50A6">
        <w:rPr>
          <w:rFonts w:eastAsia="Batang" w:cs="Times"/>
          <w:noProof/>
          <w:szCs w:val="20"/>
          <w:lang w:val="en-US"/>
        </w:rPr>
        <w:t>has jurisdiction</w:t>
      </w:r>
      <w:r w:rsidR="00322241" w:rsidRPr="00FE50A6">
        <w:rPr>
          <w:rFonts w:eastAsia="Batang" w:cs="Times"/>
          <w:noProof/>
          <w:szCs w:val="20"/>
          <w:lang w:val="en-US"/>
        </w:rPr>
        <w:t xml:space="preserve"> to hear this case pursuant to </w:t>
      </w:r>
      <w:r w:rsidR="00703850" w:rsidRPr="00FE50A6">
        <w:rPr>
          <w:rFonts w:eastAsia="Batang" w:cs="Times"/>
          <w:noProof/>
          <w:szCs w:val="20"/>
          <w:lang w:val="en-US"/>
        </w:rPr>
        <w:t>Article</w:t>
      </w:r>
      <w:r w:rsidR="00BA1ACF" w:rsidRPr="00FE50A6">
        <w:rPr>
          <w:rFonts w:eastAsia="Batang" w:cs="Times"/>
          <w:noProof/>
          <w:szCs w:val="20"/>
          <w:lang w:val="en-US"/>
        </w:rPr>
        <w:t xml:space="preserve"> </w:t>
      </w:r>
      <w:r w:rsidRPr="00FE50A6">
        <w:rPr>
          <w:rFonts w:eastAsia="Batang" w:cs="Times"/>
          <w:noProof/>
          <w:szCs w:val="20"/>
          <w:lang w:val="en-US"/>
        </w:rPr>
        <w:t>62(3) of the Convention</w:t>
      </w:r>
      <w:r w:rsidR="00322241" w:rsidRPr="00FE50A6">
        <w:rPr>
          <w:rFonts w:eastAsia="Batang" w:cs="Times"/>
          <w:noProof/>
          <w:szCs w:val="20"/>
          <w:lang w:val="en-US"/>
        </w:rPr>
        <w:t xml:space="preserve"> because</w:t>
      </w:r>
      <w:r w:rsidR="00BA1ACF" w:rsidRPr="00FE50A6">
        <w:rPr>
          <w:rFonts w:eastAsia="Batang" w:cs="Times"/>
          <w:noProof/>
          <w:szCs w:val="20"/>
          <w:lang w:val="en-US"/>
        </w:rPr>
        <w:t xml:space="preserve"> </w:t>
      </w:r>
      <w:r w:rsidRPr="00FE50A6">
        <w:rPr>
          <w:rFonts w:eastAsia="Batang" w:cs="Times"/>
          <w:noProof/>
          <w:szCs w:val="20"/>
          <w:lang w:val="en-US"/>
        </w:rPr>
        <w:t>Brazil</w:t>
      </w:r>
      <w:r w:rsidR="00BA1ACF" w:rsidRPr="00FE50A6">
        <w:rPr>
          <w:rFonts w:eastAsia="Batang" w:cs="Times"/>
          <w:noProof/>
          <w:szCs w:val="20"/>
          <w:lang w:val="en-US"/>
        </w:rPr>
        <w:t xml:space="preserve"> </w:t>
      </w:r>
      <w:r w:rsidR="00322241" w:rsidRPr="00FE50A6">
        <w:rPr>
          <w:rFonts w:eastAsia="Batang" w:cs="Times"/>
          <w:noProof/>
          <w:szCs w:val="20"/>
          <w:lang w:val="en-US"/>
        </w:rPr>
        <w:t xml:space="preserve">has been a State Party to </w:t>
      </w:r>
      <w:r w:rsidRPr="00FE50A6">
        <w:rPr>
          <w:rFonts w:eastAsia="Batang" w:cs="Times"/>
          <w:noProof/>
          <w:szCs w:val="20"/>
          <w:lang w:val="en-US"/>
        </w:rPr>
        <w:t>the American Convention</w:t>
      </w:r>
      <w:r w:rsidR="00BA1ACF" w:rsidRPr="00FE50A6">
        <w:rPr>
          <w:rFonts w:eastAsia="Batang" w:cs="Times"/>
          <w:noProof/>
          <w:szCs w:val="20"/>
          <w:lang w:val="en-US"/>
        </w:rPr>
        <w:t xml:space="preserve"> </w:t>
      </w:r>
      <w:r w:rsidR="00322241" w:rsidRPr="00FE50A6">
        <w:rPr>
          <w:rFonts w:eastAsia="Batang" w:cs="Times"/>
          <w:noProof/>
          <w:szCs w:val="20"/>
          <w:lang w:val="en-US"/>
        </w:rPr>
        <w:t>since</w:t>
      </w:r>
      <w:r w:rsidR="00BA1ACF" w:rsidRPr="00FE50A6">
        <w:rPr>
          <w:rFonts w:eastAsia="Batang" w:cs="Times"/>
          <w:noProof/>
          <w:szCs w:val="20"/>
          <w:lang w:val="en-US"/>
        </w:rPr>
        <w:t xml:space="preserve"> </w:t>
      </w:r>
      <w:r w:rsidR="00703850" w:rsidRPr="00FE50A6">
        <w:rPr>
          <w:rFonts w:eastAsia="Batang" w:cs="Times"/>
          <w:noProof/>
          <w:szCs w:val="20"/>
          <w:lang w:val="en-US"/>
        </w:rPr>
        <w:t>September 25,</w:t>
      </w:r>
      <w:r w:rsidR="00BA1ACF" w:rsidRPr="00FE50A6">
        <w:rPr>
          <w:rFonts w:eastAsia="Batang" w:cs="Times"/>
          <w:noProof/>
          <w:szCs w:val="20"/>
          <w:lang w:val="en-US"/>
        </w:rPr>
        <w:t xml:space="preserve"> 1992</w:t>
      </w:r>
      <w:r w:rsidR="00322241" w:rsidRPr="00FE50A6">
        <w:rPr>
          <w:rFonts w:eastAsia="Batang" w:cs="Times"/>
          <w:noProof/>
          <w:szCs w:val="20"/>
          <w:lang w:val="en-US"/>
        </w:rPr>
        <w:t xml:space="preserve">, and accepted the contentious jurisdiction </w:t>
      </w:r>
      <w:r w:rsidRPr="00FE50A6">
        <w:rPr>
          <w:rFonts w:eastAsia="Batang" w:cs="Times"/>
          <w:noProof/>
          <w:szCs w:val="20"/>
          <w:lang w:val="en-US"/>
        </w:rPr>
        <w:t>of the Court</w:t>
      </w:r>
      <w:r w:rsidR="00BA1ACF" w:rsidRPr="00FE50A6">
        <w:rPr>
          <w:rFonts w:eastAsia="Batang" w:cs="Times"/>
          <w:noProof/>
          <w:szCs w:val="20"/>
          <w:lang w:val="en-US"/>
        </w:rPr>
        <w:t xml:space="preserve"> </w:t>
      </w:r>
      <w:r w:rsidR="00322241" w:rsidRPr="00FE50A6">
        <w:rPr>
          <w:rFonts w:eastAsia="Batang" w:cs="Times"/>
          <w:noProof/>
          <w:szCs w:val="20"/>
          <w:lang w:val="en-US"/>
        </w:rPr>
        <w:t>on</w:t>
      </w:r>
      <w:r w:rsidR="00BA1ACF" w:rsidRPr="00FE50A6">
        <w:rPr>
          <w:rFonts w:eastAsia="Batang" w:cs="Times"/>
          <w:noProof/>
          <w:szCs w:val="20"/>
          <w:lang w:val="en-US"/>
        </w:rPr>
        <w:t xml:space="preserve"> </w:t>
      </w:r>
      <w:r w:rsidR="00700B79" w:rsidRPr="00FE50A6">
        <w:rPr>
          <w:rFonts w:eastAsia="Batang" w:cs="Times"/>
          <w:noProof/>
          <w:szCs w:val="20"/>
          <w:lang w:val="en-US"/>
        </w:rPr>
        <w:t>December 10,</w:t>
      </w:r>
      <w:r w:rsidR="00BA1ACF" w:rsidRPr="00FE50A6">
        <w:rPr>
          <w:rFonts w:eastAsia="Batang" w:cs="Times"/>
          <w:noProof/>
          <w:szCs w:val="20"/>
          <w:lang w:val="en-US"/>
        </w:rPr>
        <w:t xml:space="preserve"> 1998.</w:t>
      </w:r>
    </w:p>
    <w:p w14:paraId="055DE1DC" w14:textId="77777777" w:rsidR="00BA1ACF" w:rsidRPr="00FE50A6" w:rsidRDefault="00BA1ACF" w:rsidP="00140440">
      <w:pPr>
        <w:tabs>
          <w:tab w:val="clear" w:pos="4419"/>
          <w:tab w:val="clear" w:pos="8838"/>
        </w:tabs>
        <w:jc w:val="both"/>
        <w:rPr>
          <w:rFonts w:eastAsia="Batang" w:cs="Times"/>
          <w:szCs w:val="24"/>
          <w:lang w:val="en-US"/>
        </w:rPr>
      </w:pPr>
    </w:p>
    <w:p w14:paraId="7DAE664C" w14:textId="77777777" w:rsidR="00BA1ACF" w:rsidRPr="00FE50A6" w:rsidRDefault="00BA1ACF"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42" w:name="_Toc416164787"/>
      <w:bookmarkStart w:id="43" w:name="_Toc464813887"/>
      <w:r w:rsidRPr="00FE50A6">
        <w:rPr>
          <w:rFonts w:eastAsia="Times New Roman" w:cs="Verdana"/>
          <w:b/>
          <w:bCs/>
          <w:caps/>
          <w:noProof/>
          <w:snapToGrid w:val="0"/>
          <w:szCs w:val="20"/>
          <w:lang w:val="en-US" w:eastAsia="es-ES"/>
        </w:rPr>
        <w:t>IV</w:t>
      </w:r>
      <w:r w:rsidRPr="00FE50A6">
        <w:rPr>
          <w:rFonts w:eastAsia="Times New Roman" w:cs="Verdana"/>
          <w:b/>
          <w:bCs/>
          <w:caps/>
          <w:noProof/>
          <w:snapToGrid w:val="0"/>
          <w:szCs w:val="20"/>
          <w:lang w:val="en-US" w:eastAsia="es-ES"/>
        </w:rPr>
        <w:br/>
      </w:r>
      <w:bookmarkEnd w:id="42"/>
      <w:r w:rsidR="005F1946" w:rsidRPr="00FE50A6">
        <w:rPr>
          <w:rFonts w:eastAsia="Times New Roman" w:cs="Verdana"/>
          <w:b/>
          <w:bCs/>
          <w:caps/>
          <w:noProof/>
          <w:snapToGrid w:val="0"/>
          <w:szCs w:val="20"/>
          <w:lang w:val="en-US" w:eastAsia="es-ES"/>
        </w:rPr>
        <w:t>PRELIMINARY OBJECTIONS</w:t>
      </w:r>
      <w:bookmarkEnd w:id="43"/>
    </w:p>
    <w:p w14:paraId="26976659" w14:textId="77777777" w:rsidR="00BA1ACF" w:rsidRPr="00FE50A6" w:rsidRDefault="00BA1ACF" w:rsidP="00140440">
      <w:pPr>
        <w:tabs>
          <w:tab w:val="clear" w:pos="4419"/>
          <w:tab w:val="clear" w:pos="8838"/>
        </w:tabs>
        <w:jc w:val="both"/>
        <w:rPr>
          <w:rFonts w:eastAsia="Batang" w:cs="Times"/>
          <w:noProof/>
          <w:szCs w:val="24"/>
          <w:lang w:val="en-US" w:eastAsia="es-ES"/>
        </w:rPr>
      </w:pPr>
    </w:p>
    <w:p w14:paraId="193E3E2C" w14:textId="77777777" w:rsidR="000A52D5" w:rsidRPr="00FE50A6" w:rsidRDefault="00CF7D61"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w:t>
      </w:r>
      <w:r w:rsidR="000228D0" w:rsidRPr="00FE50A6">
        <w:rPr>
          <w:rFonts w:eastAsia="Batang" w:cs="Times"/>
          <w:noProof/>
          <w:szCs w:val="24"/>
          <w:lang w:val="en-US" w:eastAsia="es-ES"/>
        </w:rPr>
        <w:t>he State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filed</w:t>
      </w:r>
      <w:r w:rsidR="000A52D5" w:rsidRPr="00FE50A6">
        <w:rPr>
          <w:rFonts w:eastAsia="Batang" w:cs="Times"/>
          <w:noProof/>
          <w:szCs w:val="24"/>
          <w:lang w:val="en-US" w:eastAsia="es-ES"/>
        </w:rPr>
        <w:t xml:space="preserve"> 10 </w:t>
      </w:r>
      <w:r w:rsidR="00700B79" w:rsidRPr="00FE50A6">
        <w:rPr>
          <w:rFonts w:eastAsia="Batang" w:cs="Times"/>
          <w:noProof/>
          <w:szCs w:val="24"/>
          <w:lang w:val="en-US" w:eastAsia="es-ES"/>
        </w:rPr>
        <w:t>preliminary objections</w:t>
      </w:r>
      <w:r w:rsidRPr="00FE50A6">
        <w:rPr>
          <w:rFonts w:eastAsia="Batang" w:cs="Times"/>
          <w:noProof/>
          <w:szCs w:val="24"/>
          <w:lang w:val="en-US" w:eastAsia="es-ES"/>
        </w:rPr>
        <w:t xml:space="preserve"> in its answering brief. They related to:</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A</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Inadmissibility of the submission of the case to</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owing to the publication of the Merits Report by</w:t>
      </w:r>
      <w:r w:rsidR="000228D0" w:rsidRPr="00FE50A6">
        <w:rPr>
          <w:rFonts w:eastAsia="Batang" w:cs="Times"/>
          <w:noProof/>
          <w:szCs w:val="24"/>
          <w:lang w:val="en-US" w:eastAsia="es-ES"/>
        </w:rPr>
        <w:t xml:space="preserve"> the Commission</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B</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personae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with regard to unidentified presumed victims</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 xml:space="preserve">those who were identified but </w:t>
      </w:r>
      <w:r w:rsidRPr="00FE50A6">
        <w:rPr>
          <w:rFonts w:eastAsia="Batang" w:cs="Times"/>
          <w:noProof/>
          <w:szCs w:val="24"/>
          <w:lang w:val="en-US" w:eastAsia="es-ES"/>
        </w:rPr>
        <w:t>had not</w:t>
      </w:r>
      <w:r w:rsidR="00822837" w:rsidRPr="00FE50A6">
        <w:rPr>
          <w:rFonts w:eastAsia="Batang" w:cs="Times"/>
          <w:noProof/>
          <w:szCs w:val="24"/>
          <w:lang w:val="en-US" w:eastAsia="es-ES"/>
        </w:rPr>
        <w:t xml:space="preserve"> grant</w:t>
      </w:r>
      <w:r w:rsidRPr="00FE50A6">
        <w:rPr>
          <w:rFonts w:eastAsia="Batang" w:cs="Times"/>
          <w:noProof/>
          <w:szCs w:val="24"/>
          <w:lang w:val="en-US" w:eastAsia="es-ES"/>
        </w:rPr>
        <w:t>ed</w:t>
      </w:r>
      <w:r w:rsidR="00822837" w:rsidRPr="00FE50A6">
        <w:rPr>
          <w:rFonts w:eastAsia="Batang" w:cs="Times"/>
          <w:noProof/>
          <w:szCs w:val="24"/>
          <w:lang w:val="en-US" w:eastAsia="es-ES"/>
        </w:rPr>
        <w:t xml:space="preserve"> a power of </w:t>
      </w:r>
      <w:r w:rsidR="00C55C57" w:rsidRPr="00FE50A6">
        <w:rPr>
          <w:rFonts w:eastAsia="Batang" w:cs="Times"/>
          <w:noProof/>
          <w:szCs w:val="24"/>
          <w:lang w:val="en-US" w:eastAsia="es-ES"/>
        </w:rPr>
        <w:t>attorney</w:t>
      </w:r>
      <w:r w:rsidR="000A52D5" w:rsidRPr="00FE50A6">
        <w:rPr>
          <w:rFonts w:eastAsia="Batang" w:cs="Times"/>
          <w:noProof/>
          <w:szCs w:val="24"/>
          <w:lang w:val="en-US" w:eastAsia="es-ES"/>
        </w:rPr>
        <w:t>,</w:t>
      </w:r>
      <w:r w:rsidR="00976FE4" w:rsidRPr="00FE50A6">
        <w:rPr>
          <w:rFonts w:eastAsia="Batang" w:cs="Times"/>
          <w:noProof/>
          <w:szCs w:val="24"/>
          <w:lang w:val="en-US" w:eastAsia="es-ES"/>
        </w:rPr>
        <w:t xml:space="preserve"> </w:t>
      </w:r>
      <w:r w:rsidRPr="00FE50A6">
        <w:rPr>
          <w:rFonts w:eastAsia="Batang" w:cs="Times"/>
          <w:noProof/>
          <w:szCs w:val="24"/>
          <w:lang w:val="en-US" w:eastAsia="es-ES"/>
        </w:rPr>
        <w:t xml:space="preserve">and </w:t>
      </w:r>
      <w:r w:rsidR="00822837" w:rsidRPr="00FE50A6">
        <w:rPr>
          <w:rFonts w:eastAsia="Batang" w:cs="Times"/>
          <w:noProof/>
          <w:szCs w:val="24"/>
          <w:lang w:val="en-US" w:eastAsia="es-ES"/>
        </w:rPr>
        <w:t>those who did not appear in the Commission’s Merits Report</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or who were not involved in the facts of the case</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C</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personae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for violations in abstract terms</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D</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temporis</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with regard to facts prior to the date on which the State accepted the Court’s jurisdiction</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temporis</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concerning facts prior to the State’s adhesion to</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American Convention</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F</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lastRenderedPageBreak/>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materiae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based on violation of the principle of the subsidiary nature of the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inter-American system</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rule of the fourth instance</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G</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materiae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regarding presumed violations of the prohibition of</w:t>
      </w:r>
      <w:r w:rsidR="000A52D5" w:rsidRPr="00FE50A6">
        <w:rPr>
          <w:rFonts w:eastAsia="Batang" w:cs="Times"/>
          <w:noProof/>
          <w:szCs w:val="24"/>
          <w:lang w:val="en-US" w:eastAsia="es-ES"/>
        </w:rPr>
        <w:t xml:space="preserve"> </w:t>
      </w:r>
      <w:r w:rsidR="000C2A19" w:rsidRPr="00FE50A6">
        <w:rPr>
          <w:rFonts w:eastAsia="Batang" w:cs="Times"/>
          <w:noProof/>
          <w:szCs w:val="24"/>
          <w:lang w:val="en-US" w:eastAsia="es-ES"/>
        </w:rPr>
        <w:t>trafficking in persons</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H</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Lack of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materiae</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concerning supposed violations of labor rights</w:t>
      </w:r>
      <w:r w:rsidR="000A52D5" w:rsidRPr="00FE50A6">
        <w:rPr>
          <w:rFonts w:eastAsia="Batang" w:cs="Times"/>
          <w:noProof/>
          <w:szCs w:val="24"/>
          <w:lang w:val="en-US" w:eastAsia="es-ES"/>
        </w:rPr>
        <w:t xml:space="preserve">; </w:t>
      </w:r>
      <w:r w:rsidR="000A52D5" w:rsidRPr="00FE50A6">
        <w:rPr>
          <w:rFonts w:eastAsia="Batang" w:cs="Times"/>
          <w:b/>
          <w:noProof/>
          <w:szCs w:val="24"/>
          <w:lang w:val="en-US" w:eastAsia="es-ES"/>
        </w:rPr>
        <w:t>I</w:t>
      </w:r>
      <w:r w:rsidR="000A52D5" w:rsidRPr="00FE50A6">
        <w:rPr>
          <w:rFonts w:eastAsia="Batang" w:cs="Times"/>
          <w:noProof/>
          <w:szCs w:val="24"/>
          <w:lang w:val="en-US" w:eastAsia="es-ES"/>
        </w:rPr>
        <w:t xml:space="preserve">. </w:t>
      </w:r>
      <w:r w:rsidR="00822837" w:rsidRPr="00FE50A6">
        <w:rPr>
          <w:rFonts w:eastAsia="Batang" w:cs="Times"/>
          <w:noProof/>
          <w:szCs w:val="24"/>
          <w:lang w:val="en-US" w:eastAsia="es-ES"/>
        </w:rPr>
        <w:t>Failure to exhaust domestic remedies,</w:t>
      </w:r>
      <w:r w:rsidR="00030C17" w:rsidRPr="00FE50A6">
        <w:rPr>
          <w:rFonts w:eastAsia="Batang" w:cs="Times"/>
          <w:noProof/>
          <w:szCs w:val="24"/>
          <w:lang w:val="en-US" w:eastAsia="es-ES"/>
        </w:rPr>
        <w:t xml:space="preserve"> and </w:t>
      </w:r>
      <w:r w:rsidR="000A52D5" w:rsidRPr="00FE50A6">
        <w:rPr>
          <w:rFonts w:eastAsia="Batang" w:cs="Times"/>
          <w:b/>
          <w:noProof/>
          <w:szCs w:val="24"/>
          <w:lang w:val="en-US" w:eastAsia="es-ES"/>
        </w:rPr>
        <w:t>J</w:t>
      </w:r>
      <w:r w:rsidR="000A52D5" w:rsidRPr="00FE50A6">
        <w:rPr>
          <w:rFonts w:eastAsia="Batang" w:cs="Times"/>
          <w:noProof/>
          <w:szCs w:val="24"/>
          <w:lang w:val="en-US" w:eastAsia="es-ES"/>
        </w:rPr>
        <w:t xml:space="preserve">. </w:t>
      </w:r>
      <w:r w:rsidR="004B38CC" w:rsidRPr="00FE50A6">
        <w:rPr>
          <w:rFonts w:eastAsia="Batang" w:cs="Times"/>
          <w:noProof/>
          <w:szCs w:val="24"/>
          <w:lang w:val="en-US" w:eastAsia="es-ES"/>
        </w:rPr>
        <w:t>Prescription of the petition before</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4B38CC" w:rsidRPr="00FE50A6">
        <w:rPr>
          <w:rFonts w:eastAsia="Batang" w:cs="Times"/>
          <w:noProof/>
          <w:szCs w:val="24"/>
          <w:lang w:val="en-US" w:eastAsia="es-ES"/>
        </w:rPr>
        <w:t>as regards the claims for reparation for pecuniary and non-pecuniary damage</w:t>
      </w:r>
      <w:r w:rsidR="000A52D5" w:rsidRPr="00FE50A6">
        <w:rPr>
          <w:rFonts w:eastAsia="Batang" w:cs="Times"/>
          <w:noProof/>
          <w:szCs w:val="24"/>
          <w:lang w:val="en-US" w:eastAsia="es-ES"/>
        </w:rPr>
        <w:t xml:space="preserve">. </w:t>
      </w:r>
    </w:p>
    <w:p w14:paraId="03E3EFA9"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A6DD96B" w14:textId="77777777" w:rsidR="000A52D5" w:rsidRPr="00FE50A6" w:rsidRDefault="004B38CC" w:rsidP="007F1767">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Subsequently, in its final written arguments, the State filed a new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CF7D61" w:rsidRPr="00FE50A6">
        <w:rPr>
          <w:rFonts w:eastAsia="Batang" w:cs="Times"/>
          <w:noProof/>
          <w:szCs w:val="24"/>
          <w:lang w:val="en-US" w:eastAsia="es-ES"/>
        </w:rPr>
        <w:t>concerning</w:t>
      </w:r>
      <w:r w:rsidRPr="00FE50A6">
        <w:rPr>
          <w:rFonts w:eastAsia="Batang" w:cs="Times"/>
          <w:noProof/>
          <w:szCs w:val="24"/>
          <w:lang w:val="en-US" w:eastAsia="es-ES"/>
        </w:rPr>
        <w:t xml:space="preserve"> the Court’s supposed l</w:t>
      </w:r>
      <w:r w:rsidR="00822837" w:rsidRPr="00FE50A6">
        <w:rPr>
          <w:rFonts w:eastAsia="Batang" w:cs="Times"/>
          <w:noProof/>
          <w:szCs w:val="24"/>
          <w:lang w:val="en-US" w:eastAsia="es-ES"/>
        </w:rPr>
        <w:t>ack of jurisdiction</w:t>
      </w:r>
      <w:r w:rsidR="000228D0" w:rsidRPr="00FE50A6">
        <w:rPr>
          <w:rFonts w:eastAsia="Batang" w:cs="Times"/>
          <w:noProof/>
          <w:szCs w:val="24"/>
          <w:lang w:val="en-US" w:eastAsia="es-ES"/>
        </w:rPr>
        <w:t xml:space="preserve"> </w:t>
      </w:r>
      <w:r w:rsidRPr="00FE50A6">
        <w:rPr>
          <w:rFonts w:eastAsia="Batang" w:cs="Times"/>
          <w:noProof/>
          <w:szCs w:val="24"/>
          <w:lang w:val="en-US" w:eastAsia="es-ES"/>
        </w:rPr>
        <w:t>in relation to the inspections carried out in</w:t>
      </w:r>
      <w:r w:rsidR="000A52D5" w:rsidRPr="00FE50A6">
        <w:rPr>
          <w:rFonts w:eastAsia="Batang" w:cs="Times"/>
          <w:noProof/>
          <w:szCs w:val="24"/>
          <w:lang w:val="en-US" w:eastAsia="es-ES"/>
        </w:rPr>
        <w:t xml:space="preserve"> 1999</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2002.</w:t>
      </w:r>
      <w:r w:rsidR="007F1767" w:rsidRPr="00FE50A6">
        <w:rPr>
          <w:rFonts w:eastAsia="Batang" w:cs="Times"/>
          <w:noProof/>
          <w:szCs w:val="24"/>
          <w:lang w:val="en-US" w:eastAsia="es-ES"/>
        </w:rPr>
        <w:t xml:space="preserve"> </w:t>
      </w:r>
      <w:r w:rsidRPr="00FE50A6">
        <w:rPr>
          <w:rFonts w:eastAsia="Batang" w:cs="Times"/>
          <w:noProof/>
          <w:szCs w:val="24"/>
          <w:lang w:val="en-US" w:eastAsia="es-ES"/>
        </w:rPr>
        <w:t>This</w:t>
      </w:r>
      <w:r w:rsidR="007F1767"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w:t>
      </w:r>
      <w:r w:rsidR="007F1767" w:rsidRPr="00FE50A6">
        <w:rPr>
          <w:rFonts w:eastAsia="Batang" w:cs="Times"/>
          <w:noProof/>
          <w:szCs w:val="24"/>
          <w:lang w:val="en-US" w:eastAsia="es-ES"/>
        </w:rPr>
        <w:t xml:space="preserve"> </w:t>
      </w:r>
      <w:r w:rsidRPr="00FE50A6">
        <w:rPr>
          <w:rFonts w:eastAsia="Batang" w:cs="Times"/>
          <w:noProof/>
          <w:szCs w:val="24"/>
          <w:lang w:val="en-US" w:eastAsia="es-ES"/>
        </w:rPr>
        <w:t>will not be examined due to late presentation.</w:t>
      </w:r>
    </w:p>
    <w:p w14:paraId="433AD276"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2A8C49F" w14:textId="77777777" w:rsidR="0090752B" w:rsidRPr="00FE50A6" w:rsidRDefault="00CF7D61"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When</w:t>
      </w:r>
      <w:r w:rsidR="004B38CC" w:rsidRPr="00FE50A6">
        <w:rPr>
          <w:rFonts w:eastAsia="Batang" w:cs="Times"/>
          <w:noProof/>
          <w:szCs w:val="24"/>
          <w:lang w:val="en-US" w:eastAsia="es-ES"/>
        </w:rPr>
        <w:t xml:space="preserve"> decid</w:t>
      </w:r>
      <w:r w:rsidRPr="00FE50A6">
        <w:rPr>
          <w:rFonts w:eastAsia="Batang" w:cs="Times"/>
          <w:noProof/>
          <w:szCs w:val="24"/>
          <w:lang w:val="en-US" w:eastAsia="es-ES"/>
        </w:rPr>
        <w:t>ing</w:t>
      </w:r>
      <w:r w:rsidR="004B38CC" w:rsidRPr="00FE50A6">
        <w:rPr>
          <w:rFonts w:eastAsia="Batang" w:cs="Times"/>
          <w:noProof/>
          <w:szCs w:val="24"/>
          <w:lang w:val="en-US" w:eastAsia="es-ES"/>
        </w:rPr>
        <w:t xml:space="preserve"> the objections filed by the State, the Court recalls that it will only consider </w:t>
      </w:r>
      <w:r w:rsidRPr="00FE50A6">
        <w:rPr>
          <w:rFonts w:eastAsia="Batang" w:cs="Times"/>
          <w:noProof/>
          <w:szCs w:val="24"/>
          <w:lang w:val="en-US" w:eastAsia="es-ES"/>
        </w:rPr>
        <w:t>as</w:t>
      </w:r>
      <w:r w:rsidR="004B38CC"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objections</w:t>
      </w:r>
      <w:r w:rsidR="004B38CC" w:rsidRPr="00FE50A6">
        <w:rPr>
          <w:rFonts w:eastAsia="Batang" w:cs="Times"/>
          <w:noProof/>
          <w:szCs w:val="24"/>
          <w:lang w:val="en-US" w:eastAsia="es-ES"/>
        </w:rPr>
        <w:t xml:space="preserve"> those arguments that, exclusively, are or could be of this nature based on their content and purpose</w:t>
      </w:r>
      <w:r w:rsidR="006E4CE8" w:rsidRPr="00FE50A6">
        <w:rPr>
          <w:rFonts w:eastAsia="Batang" w:cs="Times"/>
          <w:noProof/>
          <w:szCs w:val="24"/>
          <w:lang w:val="en-US" w:eastAsia="es-ES"/>
        </w:rPr>
        <w:t>; i</w:t>
      </w:r>
      <w:r w:rsidR="004B38CC" w:rsidRPr="00FE50A6">
        <w:rPr>
          <w:rFonts w:eastAsia="Batang" w:cs="Times"/>
          <w:noProof/>
          <w:szCs w:val="24"/>
          <w:lang w:val="en-US" w:eastAsia="es-ES"/>
        </w:rPr>
        <w:t>n other words, if decided favorably, they would prevent the continuation of the proceedings and a ruling on the merits.</w:t>
      </w:r>
      <w:r w:rsidR="0090752B" w:rsidRPr="00FE50A6">
        <w:rPr>
          <w:rFonts w:eastAsia="Batang" w:cs="Times"/>
          <w:noProof/>
          <w:szCs w:val="24"/>
          <w:vertAlign w:val="superscript"/>
          <w:lang w:val="en-US" w:eastAsia="es-ES"/>
        </w:rPr>
        <w:footnoteReference w:id="18"/>
      </w:r>
      <w:r w:rsidR="0090752B" w:rsidRPr="00FE50A6">
        <w:rPr>
          <w:rFonts w:eastAsia="Batang" w:cs="Times"/>
          <w:noProof/>
          <w:szCs w:val="24"/>
          <w:lang w:val="en-US" w:eastAsia="es-ES"/>
        </w:rPr>
        <w:t xml:space="preserve"> </w:t>
      </w:r>
      <w:r w:rsidR="004B38CC" w:rsidRPr="00FE50A6">
        <w:rPr>
          <w:rFonts w:eastAsia="Batang" w:cs="Times"/>
          <w:noProof/>
          <w:szCs w:val="24"/>
          <w:lang w:val="en-US" w:eastAsia="es-ES"/>
        </w:rPr>
        <w:t>It has been the Court’s consistent criteria that a preliminary objection should present objections relat</w:t>
      </w:r>
      <w:r w:rsidRPr="00FE50A6">
        <w:rPr>
          <w:rFonts w:eastAsia="Batang" w:cs="Times"/>
          <w:noProof/>
          <w:szCs w:val="24"/>
          <w:lang w:val="en-US" w:eastAsia="es-ES"/>
        </w:rPr>
        <w:t>ing</w:t>
      </w:r>
      <w:r w:rsidR="004B38CC" w:rsidRPr="00FE50A6">
        <w:rPr>
          <w:rFonts w:eastAsia="Batang" w:cs="Times"/>
          <w:noProof/>
          <w:szCs w:val="24"/>
          <w:lang w:val="en-US" w:eastAsia="es-ES"/>
        </w:rPr>
        <w:t xml:space="preserve"> to the admissibility of a case or to </w:t>
      </w:r>
      <w:r w:rsidRPr="00FE50A6">
        <w:rPr>
          <w:rFonts w:eastAsia="Batang" w:cs="Times"/>
          <w:noProof/>
          <w:szCs w:val="24"/>
          <w:lang w:val="en-US" w:eastAsia="es-ES"/>
        </w:rPr>
        <w:t>the Court’s</w:t>
      </w:r>
      <w:r w:rsidR="004B38CC" w:rsidRPr="00FE50A6">
        <w:rPr>
          <w:rFonts w:eastAsia="Batang" w:cs="Times"/>
          <w:noProof/>
          <w:szCs w:val="24"/>
          <w:lang w:val="en-US" w:eastAsia="es-ES"/>
        </w:rPr>
        <w:t xml:space="preserve"> </w:t>
      </w:r>
      <w:r w:rsidRPr="00FE50A6">
        <w:rPr>
          <w:rFonts w:eastAsia="Batang" w:cs="Times"/>
          <w:noProof/>
          <w:szCs w:val="24"/>
          <w:lang w:val="en-US" w:eastAsia="es-ES"/>
        </w:rPr>
        <w:t>competence</w:t>
      </w:r>
      <w:r w:rsidR="004B38CC" w:rsidRPr="00FE50A6">
        <w:rPr>
          <w:rFonts w:eastAsia="Batang" w:cs="Times"/>
          <w:noProof/>
          <w:szCs w:val="24"/>
          <w:lang w:val="en-US" w:eastAsia="es-ES"/>
        </w:rPr>
        <w:t xml:space="preserve"> to examine a speci</w:t>
      </w:r>
      <w:r w:rsidR="006E4CE8" w:rsidRPr="00FE50A6">
        <w:rPr>
          <w:rFonts w:eastAsia="Batang" w:cs="Times"/>
          <w:noProof/>
          <w:szCs w:val="24"/>
          <w:lang w:val="en-US" w:eastAsia="es-ES"/>
        </w:rPr>
        <w:t>f</w:t>
      </w:r>
      <w:r w:rsidR="004B38CC" w:rsidRPr="00FE50A6">
        <w:rPr>
          <w:rFonts w:eastAsia="Batang" w:cs="Times"/>
          <w:noProof/>
          <w:szCs w:val="24"/>
          <w:lang w:val="en-US" w:eastAsia="es-ES"/>
        </w:rPr>
        <w:t xml:space="preserve">ic matter or part of </w:t>
      </w:r>
      <w:r w:rsidRPr="00FE50A6">
        <w:rPr>
          <w:rFonts w:eastAsia="Batang" w:cs="Times"/>
          <w:noProof/>
          <w:szCs w:val="24"/>
          <w:lang w:val="en-US" w:eastAsia="es-ES"/>
        </w:rPr>
        <w:t>one</w:t>
      </w:r>
      <w:r w:rsidR="004B38CC" w:rsidRPr="00FE50A6">
        <w:rPr>
          <w:rFonts w:eastAsia="Batang" w:cs="Times"/>
          <w:noProof/>
          <w:szCs w:val="24"/>
          <w:lang w:val="en-US" w:eastAsia="es-ES"/>
        </w:rPr>
        <w:t xml:space="preserve">, </w:t>
      </w:r>
      <w:r w:rsidR="00BA1AAE" w:rsidRPr="00FE50A6">
        <w:rPr>
          <w:rFonts w:eastAsia="Batang" w:cs="Times"/>
          <w:noProof/>
          <w:szCs w:val="24"/>
          <w:lang w:val="en-US" w:eastAsia="es-ES"/>
        </w:rPr>
        <w:t>due</w:t>
      </w:r>
      <w:r w:rsidR="004B38CC" w:rsidRPr="00FE50A6">
        <w:rPr>
          <w:rFonts w:eastAsia="Batang" w:cs="Times"/>
          <w:noProof/>
          <w:szCs w:val="24"/>
          <w:lang w:val="en-US" w:eastAsia="es-ES"/>
        </w:rPr>
        <w:t xml:space="preserve"> to the perso</w:t>
      </w:r>
      <w:r w:rsidR="006E4CE8" w:rsidRPr="00FE50A6">
        <w:rPr>
          <w:rFonts w:eastAsia="Batang" w:cs="Times"/>
          <w:noProof/>
          <w:szCs w:val="24"/>
          <w:lang w:val="en-US" w:eastAsia="es-ES"/>
        </w:rPr>
        <w:t>n</w:t>
      </w:r>
      <w:r w:rsidR="004B38CC" w:rsidRPr="00FE50A6">
        <w:rPr>
          <w:rFonts w:eastAsia="Batang" w:cs="Times"/>
          <w:noProof/>
          <w:szCs w:val="24"/>
          <w:lang w:val="en-US" w:eastAsia="es-ES"/>
        </w:rPr>
        <w:t>, matter, time or place.</w:t>
      </w:r>
      <w:r w:rsidR="0090752B" w:rsidRPr="00FE50A6">
        <w:rPr>
          <w:rFonts w:eastAsia="Batang" w:cs="Times"/>
          <w:noProof/>
          <w:szCs w:val="24"/>
          <w:vertAlign w:val="superscript"/>
          <w:lang w:val="en-US" w:eastAsia="es-ES"/>
        </w:rPr>
        <w:footnoteReference w:id="19"/>
      </w:r>
    </w:p>
    <w:p w14:paraId="5F8BD3BD" w14:textId="77777777" w:rsidR="0090752B" w:rsidRPr="00FE50A6" w:rsidRDefault="0090752B" w:rsidP="00CF7D61">
      <w:pPr>
        <w:rPr>
          <w:rFonts w:eastAsia="Batang" w:cs="Times"/>
          <w:noProof/>
          <w:szCs w:val="24"/>
          <w:lang w:val="en-US" w:eastAsia="es-ES"/>
        </w:rPr>
      </w:pPr>
    </w:p>
    <w:p w14:paraId="1246DA8C" w14:textId="77777777" w:rsidR="000A52D5" w:rsidRPr="00FE50A6" w:rsidRDefault="006E4CE8"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 will no</w:t>
      </w:r>
      <w:r w:rsidR="00CF7D61" w:rsidRPr="00FE50A6">
        <w:rPr>
          <w:rFonts w:eastAsia="Batang" w:cs="Times"/>
          <w:noProof/>
          <w:szCs w:val="24"/>
          <w:lang w:val="en-US" w:eastAsia="es-ES"/>
        </w:rPr>
        <w:t>w</w:t>
      </w:r>
      <w:r w:rsidRPr="00FE50A6">
        <w:rPr>
          <w:rFonts w:eastAsia="Batang" w:cs="Times"/>
          <w:noProof/>
          <w:szCs w:val="24"/>
          <w:lang w:val="en-US" w:eastAsia="es-ES"/>
        </w:rPr>
        <w:t xml:space="preserve"> proceed to analyze the aforementioned </w:t>
      </w:r>
      <w:r w:rsidR="00700B79" w:rsidRPr="00FE50A6">
        <w:rPr>
          <w:rFonts w:eastAsia="Batang" w:cs="Times"/>
          <w:noProof/>
          <w:szCs w:val="24"/>
          <w:lang w:val="en-US" w:eastAsia="es-ES"/>
        </w:rPr>
        <w:t>preliminary objections</w:t>
      </w:r>
      <w:r w:rsidRPr="00FE50A6">
        <w:rPr>
          <w:rFonts w:eastAsia="Batang" w:cs="Times"/>
          <w:noProof/>
          <w:szCs w:val="24"/>
          <w:lang w:val="en-US" w:eastAsia="es-ES"/>
        </w:rPr>
        <w:t xml:space="preserve"> in the order in which the State presented them</w:t>
      </w:r>
      <w:r w:rsidR="000A52D5" w:rsidRPr="00FE50A6">
        <w:rPr>
          <w:rFonts w:eastAsia="Batang" w:cs="Times"/>
          <w:noProof/>
          <w:szCs w:val="24"/>
          <w:lang w:val="en-US" w:eastAsia="es-ES"/>
        </w:rPr>
        <w:t xml:space="preserve">. </w:t>
      </w:r>
    </w:p>
    <w:p w14:paraId="433ADB04" w14:textId="77777777" w:rsidR="000A52D5" w:rsidRPr="00FE50A6" w:rsidRDefault="000A52D5" w:rsidP="005B65F5">
      <w:pPr>
        <w:tabs>
          <w:tab w:val="clear" w:pos="4419"/>
          <w:tab w:val="clear" w:pos="8838"/>
        </w:tabs>
        <w:jc w:val="center"/>
        <w:rPr>
          <w:rFonts w:eastAsia="Batang" w:cs="Times"/>
          <w:noProof/>
          <w:szCs w:val="24"/>
          <w:lang w:val="en-US" w:eastAsia="es-ES"/>
        </w:rPr>
      </w:pPr>
    </w:p>
    <w:p w14:paraId="43F0FE19" w14:textId="77777777" w:rsidR="000A52D5" w:rsidRPr="00FE50A6" w:rsidRDefault="005B65F5" w:rsidP="008B0BCC">
      <w:pPr>
        <w:pStyle w:val="Ttulo2"/>
        <w:numPr>
          <w:ilvl w:val="0"/>
          <w:numId w:val="15"/>
        </w:numPr>
      </w:pPr>
      <w:bookmarkStart w:id="44" w:name="_Toc464813888"/>
      <w:r w:rsidRPr="00FE50A6">
        <w:t>Alleged inadmissibility</w:t>
      </w:r>
      <w:r w:rsidR="00822837" w:rsidRPr="00FE50A6">
        <w:t xml:space="preserve"> of the submission of the case to</w:t>
      </w:r>
      <w:r w:rsidR="000A52D5" w:rsidRPr="00FE50A6">
        <w:t xml:space="preserve"> </w:t>
      </w:r>
      <w:r w:rsidR="000228D0" w:rsidRPr="00FE50A6">
        <w:t>the Court</w:t>
      </w:r>
      <w:r w:rsidR="000A52D5" w:rsidRPr="00FE50A6">
        <w:t xml:space="preserve"> </w:t>
      </w:r>
      <w:r w:rsidR="00822837" w:rsidRPr="00FE50A6">
        <w:t>owing to the publication of the Merits Report by</w:t>
      </w:r>
      <w:r w:rsidR="000228D0" w:rsidRPr="00FE50A6">
        <w:t xml:space="preserve"> the Commission</w:t>
      </w:r>
      <w:bookmarkEnd w:id="44"/>
    </w:p>
    <w:p w14:paraId="0F50D02A"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A4E8EE3" w14:textId="77777777" w:rsidR="000A52D5" w:rsidRPr="00FE50A6" w:rsidRDefault="000A52D5" w:rsidP="000A20C1">
      <w:pPr>
        <w:pStyle w:val="Ttulo3"/>
        <w:rPr>
          <w:noProof/>
          <w:lang w:val="en-US" w:eastAsia="es-ES"/>
        </w:rPr>
      </w:pPr>
      <w:bookmarkStart w:id="45" w:name="_Toc460432962"/>
      <w:bookmarkStart w:id="46" w:name="_Toc460441893"/>
      <w:bookmarkStart w:id="47" w:name="_Toc462750713"/>
      <w:bookmarkStart w:id="48" w:name="_Toc462751037"/>
      <w:bookmarkStart w:id="49" w:name="_Toc464813889"/>
      <w:r w:rsidRPr="00FE50A6">
        <w:rPr>
          <w:noProof/>
          <w:lang w:val="en-US" w:eastAsia="es-ES"/>
        </w:rPr>
        <w:t xml:space="preserve">A.1.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45"/>
      <w:bookmarkEnd w:id="46"/>
      <w:bookmarkEnd w:id="47"/>
      <w:bookmarkEnd w:id="48"/>
      <w:bookmarkEnd w:id="49"/>
    </w:p>
    <w:p w14:paraId="22CC53B6"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3B43E44" w14:textId="77777777" w:rsidR="000A52D5" w:rsidRPr="00FE50A6" w:rsidRDefault="000228D0" w:rsidP="00D15FDE">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indic</w:t>
      </w:r>
      <w:r w:rsidR="00D15FDE" w:rsidRPr="00FE50A6">
        <w:rPr>
          <w:rFonts w:eastAsia="Batang" w:cs="Times"/>
          <w:noProof/>
          <w:szCs w:val="24"/>
          <w:lang w:val="en-US" w:eastAsia="es-ES"/>
        </w:rPr>
        <w:t>ated that the preliminary report issued by</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D15FDE" w:rsidRPr="00FE50A6">
        <w:rPr>
          <w:rFonts w:eastAsia="Batang" w:cs="Times"/>
          <w:noProof/>
          <w:szCs w:val="24"/>
          <w:lang w:val="en-US" w:eastAsia="es-ES"/>
        </w:rPr>
        <w:t>c</w:t>
      </w:r>
      <w:r w:rsidR="00CF7D61" w:rsidRPr="00FE50A6">
        <w:rPr>
          <w:rFonts w:eastAsia="Batang" w:cs="Times"/>
          <w:noProof/>
          <w:szCs w:val="24"/>
          <w:lang w:val="en-US" w:eastAsia="es-ES"/>
        </w:rPr>
        <w:t>ould not</w:t>
      </w:r>
      <w:r w:rsidR="00D15FDE" w:rsidRPr="00FE50A6">
        <w:rPr>
          <w:rFonts w:eastAsia="Batang" w:cs="Times"/>
          <w:noProof/>
          <w:szCs w:val="24"/>
          <w:lang w:val="en-US" w:eastAsia="es-ES"/>
        </w:rPr>
        <w:t xml:space="preserve"> be published by either the parties or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D15FDE" w:rsidRPr="00FE50A6">
        <w:rPr>
          <w:rFonts w:eastAsia="Batang" w:cs="Times"/>
          <w:noProof/>
          <w:szCs w:val="24"/>
          <w:lang w:val="en-US" w:eastAsia="es-ES"/>
        </w:rPr>
        <w:t xml:space="preserve">It also argued that the Commission’s final report, referred to in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50</w:t>
      </w:r>
      <w:r w:rsidRPr="00FE50A6">
        <w:rPr>
          <w:rFonts w:eastAsia="Batang" w:cs="Times"/>
          <w:noProof/>
          <w:szCs w:val="24"/>
          <w:lang w:val="en-US" w:eastAsia="es-ES"/>
        </w:rPr>
        <w:t xml:space="preserve"> of the American Convention</w:t>
      </w:r>
      <w:r w:rsidR="000A52D5" w:rsidRPr="00FE50A6">
        <w:rPr>
          <w:rFonts w:eastAsia="Batang" w:cs="Times"/>
          <w:noProof/>
          <w:szCs w:val="24"/>
          <w:lang w:val="en-US" w:eastAsia="es-ES"/>
        </w:rPr>
        <w:t>,</w:t>
      </w:r>
      <w:r w:rsidR="00B54FB3" w:rsidRPr="00FE50A6">
        <w:rPr>
          <w:rFonts w:eastAsia="Batang" w:cs="Times"/>
          <w:noProof/>
          <w:szCs w:val="24"/>
          <w:lang w:val="en-US" w:eastAsia="es-ES"/>
        </w:rPr>
        <w:t xml:space="preserve"> </w:t>
      </w:r>
      <w:r w:rsidR="00D15FDE" w:rsidRPr="00FE50A6">
        <w:rPr>
          <w:rFonts w:eastAsia="Batang" w:cs="Times"/>
          <w:noProof/>
          <w:szCs w:val="24"/>
          <w:lang w:val="en-US" w:eastAsia="es-ES"/>
        </w:rPr>
        <w:t>c</w:t>
      </w:r>
      <w:r w:rsidR="00CF7D61" w:rsidRPr="00FE50A6">
        <w:rPr>
          <w:rFonts w:eastAsia="Batang" w:cs="Times"/>
          <w:noProof/>
          <w:szCs w:val="24"/>
          <w:lang w:val="en-US" w:eastAsia="es-ES"/>
        </w:rPr>
        <w:t>ould</w:t>
      </w:r>
      <w:r w:rsidR="00D15FDE" w:rsidRPr="00FE50A6">
        <w:rPr>
          <w:rFonts w:eastAsia="Batang" w:cs="Times"/>
          <w:noProof/>
          <w:szCs w:val="24"/>
          <w:lang w:val="en-US" w:eastAsia="es-ES"/>
        </w:rPr>
        <w:t xml:space="preserve"> only be published </w:t>
      </w:r>
      <w:r w:rsidR="0096263F" w:rsidRPr="00FE50A6">
        <w:rPr>
          <w:rFonts w:eastAsia="Batang" w:cs="Times"/>
          <w:noProof/>
          <w:szCs w:val="24"/>
          <w:lang w:val="en-US" w:eastAsia="es-ES"/>
        </w:rPr>
        <w:t>when</w:t>
      </w:r>
      <w:r w:rsidR="00D15FDE" w:rsidRPr="00FE50A6">
        <w:rPr>
          <w:rFonts w:eastAsia="Batang" w:cs="Times"/>
          <w:noProof/>
          <w:szCs w:val="24"/>
          <w:lang w:val="en-US" w:eastAsia="es-ES"/>
        </w:rPr>
        <w:t xml:space="preserve"> the time frame established for complying with the recommended measures ha</w:t>
      </w:r>
      <w:r w:rsidR="0096263F" w:rsidRPr="00FE50A6">
        <w:rPr>
          <w:rFonts w:eastAsia="Batang" w:cs="Times"/>
          <w:noProof/>
          <w:szCs w:val="24"/>
          <w:lang w:val="en-US" w:eastAsia="es-ES"/>
        </w:rPr>
        <w:t>d</w:t>
      </w:r>
      <w:r w:rsidR="00D15FDE" w:rsidRPr="00FE50A6">
        <w:rPr>
          <w:rFonts w:eastAsia="Batang" w:cs="Times"/>
          <w:noProof/>
          <w:szCs w:val="24"/>
          <w:lang w:val="en-US" w:eastAsia="es-ES"/>
        </w:rPr>
        <w:t xml:space="preserve"> e</w:t>
      </w:r>
      <w:r w:rsidR="0096263F" w:rsidRPr="00FE50A6">
        <w:rPr>
          <w:rFonts w:eastAsia="Batang" w:cs="Times"/>
          <w:noProof/>
          <w:szCs w:val="24"/>
          <w:lang w:val="en-US" w:eastAsia="es-ES"/>
        </w:rPr>
        <w:t>xpired</w:t>
      </w:r>
      <w:r w:rsidR="00D15FDE" w:rsidRPr="00FE50A6">
        <w:rPr>
          <w:rFonts w:eastAsia="Batang" w:cs="Times"/>
          <w:noProof/>
          <w:szCs w:val="24"/>
          <w:lang w:val="en-US" w:eastAsia="es-ES"/>
        </w:rPr>
        <w:t xml:space="preserve"> or by </w:t>
      </w:r>
      <w:r w:rsidR="0096263F" w:rsidRPr="00FE50A6">
        <w:rPr>
          <w:rFonts w:eastAsia="Batang" w:cs="Times"/>
          <w:noProof/>
          <w:szCs w:val="24"/>
          <w:lang w:val="en-US" w:eastAsia="es-ES"/>
        </w:rPr>
        <w:t>the</w:t>
      </w:r>
      <w:r w:rsidR="00D15FDE" w:rsidRPr="00FE50A6">
        <w:rPr>
          <w:rFonts w:eastAsia="Batang" w:cs="Times"/>
          <w:noProof/>
          <w:szCs w:val="24"/>
          <w:lang w:val="en-US" w:eastAsia="es-ES"/>
        </w:rPr>
        <w:t xml:space="preserve"> vote of the absolute majority of its members. The publication of that final report constituted </w:t>
      </w:r>
      <w:r w:rsidR="009C48A4" w:rsidRPr="00FE50A6">
        <w:rPr>
          <w:rFonts w:eastAsia="Batang" w:cs="Times"/>
          <w:noProof/>
          <w:szCs w:val="24"/>
          <w:lang w:val="en-US" w:eastAsia="es-ES"/>
        </w:rPr>
        <w:t>“</w:t>
      </w:r>
      <w:r w:rsidR="00D15FDE" w:rsidRPr="00FE50A6">
        <w:rPr>
          <w:rFonts w:eastAsia="Batang" w:cs="Times"/>
          <w:noProof/>
          <w:szCs w:val="24"/>
          <w:lang w:val="en-US" w:eastAsia="es-ES"/>
        </w:rPr>
        <w:t>the maximum sanction</w:t>
      </w:r>
      <w:r w:rsidR="009C48A4" w:rsidRPr="00FE50A6">
        <w:rPr>
          <w:rFonts w:eastAsia="Batang" w:cs="Times"/>
          <w:noProof/>
          <w:szCs w:val="24"/>
          <w:lang w:val="en-US" w:eastAsia="es-ES"/>
        </w:rPr>
        <w:t>”</w:t>
      </w:r>
      <w:r w:rsidR="00D15FDE" w:rsidRPr="00FE50A6">
        <w:rPr>
          <w:rFonts w:eastAsia="Batang" w:cs="Times"/>
          <w:noProof/>
          <w:szCs w:val="24"/>
          <w:lang w:val="en-US" w:eastAsia="es-ES"/>
        </w:rPr>
        <w:t xml:space="preserve"> that a State c</w:t>
      </w:r>
      <w:r w:rsidR="0096263F" w:rsidRPr="00FE50A6">
        <w:rPr>
          <w:rFonts w:eastAsia="Batang" w:cs="Times"/>
          <w:noProof/>
          <w:szCs w:val="24"/>
          <w:lang w:val="en-US" w:eastAsia="es-ES"/>
        </w:rPr>
        <w:t>ould</w:t>
      </w:r>
      <w:r w:rsidR="00D15FDE" w:rsidRPr="00FE50A6">
        <w:rPr>
          <w:rFonts w:eastAsia="Batang" w:cs="Times"/>
          <w:noProof/>
          <w:szCs w:val="24"/>
          <w:lang w:val="en-US" w:eastAsia="es-ES"/>
        </w:rPr>
        <w:t xml:space="preserve"> suffer </w:t>
      </w:r>
      <w:r w:rsidR="0096263F" w:rsidRPr="00FE50A6">
        <w:rPr>
          <w:rFonts w:eastAsia="Batang" w:cs="Times"/>
          <w:noProof/>
          <w:szCs w:val="24"/>
          <w:lang w:val="en-US" w:eastAsia="es-ES"/>
        </w:rPr>
        <w:t>under</w:t>
      </w:r>
      <w:r w:rsidR="00D15FDE" w:rsidRPr="00FE50A6">
        <w:rPr>
          <w:rFonts w:eastAsia="Batang" w:cs="Times"/>
          <w:noProof/>
          <w:szCs w:val="24"/>
          <w:lang w:val="en-US" w:eastAsia="es-ES"/>
        </w:rPr>
        <w:t xml:space="preserve"> the procedure before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D15FDE" w:rsidRPr="00FE50A6">
        <w:rPr>
          <w:rFonts w:eastAsia="Batang" w:cs="Times"/>
          <w:noProof/>
          <w:szCs w:val="24"/>
          <w:lang w:val="en-US" w:eastAsia="es-ES"/>
        </w:rPr>
        <w:t>asserted that, before submitting this case to the Court,</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ha</w:t>
      </w:r>
      <w:r w:rsidR="00D15FDE" w:rsidRPr="00FE50A6">
        <w:rPr>
          <w:rFonts w:eastAsia="Batang" w:cs="Times"/>
          <w:noProof/>
          <w:szCs w:val="24"/>
          <w:lang w:val="en-US" w:eastAsia="es-ES"/>
        </w:rPr>
        <w:t>d published</w:t>
      </w:r>
      <w:r w:rsidR="0096263F" w:rsidRPr="00FE50A6">
        <w:rPr>
          <w:rFonts w:eastAsia="Batang" w:cs="Times"/>
          <w:noProof/>
          <w:szCs w:val="24"/>
          <w:lang w:val="en-US" w:eastAsia="es-ES"/>
        </w:rPr>
        <w:t xml:space="preserve"> on its website</w:t>
      </w:r>
      <w:r w:rsidR="00D15FDE" w:rsidRPr="00FE50A6">
        <w:rPr>
          <w:rFonts w:eastAsia="Batang" w:cs="Times"/>
          <w:noProof/>
          <w:szCs w:val="24"/>
          <w:lang w:val="en-US" w:eastAsia="es-ES"/>
        </w:rPr>
        <w:t xml:space="preserve"> the complete text of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No. 169/2011 </w:t>
      </w:r>
      <w:r w:rsidR="00D15FDE" w:rsidRPr="00FE50A6">
        <w:rPr>
          <w:rFonts w:eastAsia="Batang" w:cs="Times"/>
          <w:noProof/>
          <w:szCs w:val="24"/>
          <w:lang w:val="en-US" w:eastAsia="es-ES"/>
        </w:rPr>
        <w:t>of</w:t>
      </w:r>
      <w:r w:rsidR="000A52D5" w:rsidRPr="00FE50A6">
        <w:rPr>
          <w:rFonts w:eastAsia="Batang" w:cs="Times"/>
          <w:noProof/>
          <w:szCs w:val="24"/>
          <w:lang w:val="en-US" w:eastAsia="es-ES"/>
        </w:rPr>
        <w:t xml:space="preserve"> </w:t>
      </w:r>
      <w:r w:rsidR="00030C17" w:rsidRPr="00FE50A6">
        <w:rPr>
          <w:rFonts w:eastAsia="Batang" w:cs="Times"/>
          <w:noProof/>
          <w:szCs w:val="24"/>
          <w:lang w:val="en-US" w:eastAsia="es-ES"/>
        </w:rPr>
        <w:t>November 3,</w:t>
      </w:r>
      <w:r w:rsidR="000A52D5" w:rsidRPr="00FE50A6">
        <w:rPr>
          <w:rFonts w:eastAsia="Batang" w:cs="Times"/>
          <w:noProof/>
          <w:szCs w:val="24"/>
          <w:lang w:val="en-US" w:eastAsia="es-ES"/>
        </w:rPr>
        <w:t xml:space="preserve"> 2011, </w:t>
      </w:r>
      <w:r w:rsidR="00D15FDE" w:rsidRPr="00FE50A6">
        <w:rPr>
          <w:rFonts w:eastAsia="Batang" w:cs="Times"/>
          <w:noProof/>
          <w:szCs w:val="24"/>
          <w:lang w:val="en-US" w:eastAsia="es-ES"/>
        </w:rPr>
        <w:t xml:space="preserve">and that this </w:t>
      </w:r>
      <w:r w:rsidR="0096263F" w:rsidRPr="00FE50A6">
        <w:rPr>
          <w:rFonts w:eastAsia="Batang" w:cs="Times"/>
          <w:noProof/>
          <w:szCs w:val="24"/>
          <w:lang w:val="en-US" w:eastAsia="es-ES"/>
        </w:rPr>
        <w:t>meant that it was logically</w:t>
      </w:r>
      <w:r w:rsidR="0073613A" w:rsidRPr="00FE50A6">
        <w:rPr>
          <w:rFonts w:eastAsia="Batang" w:cs="Times"/>
          <w:noProof/>
          <w:szCs w:val="24"/>
          <w:lang w:val="en-US" w:eastAsia="es-ES"/>
        </w:rPr>
        <w:t xml:space="preserve"> </w:t>
      </w:r>
      <w:r w:rsidR="00D15FDE" w:rsidRPr="00FE50A6">
        <w:rPr>
          <w:rFonts w:eastAsia="Batang" w:cs="Times"/>
          <w:noProof/>
          <w:szCs w:val="24"/>
          <w:lang w:val="en-US" w:eastAsia="es-ES"/>
        </w:rPr>
        <w:t>impossib</w:t>
      </w:r>
      <w:r w:rsidR="0096263F" w:rsidRPr="00FE50A6">
        <w:rPr>
          <w:rFonts w:eastAsia="Batang" w:cs="Times"/>
          <w:noProof/>
          <w:szCs w:val="24"/>
          <w:lang w:val="en-US" w:eastAsia="es-ES"/>
        </w:rPr>
        <w:t>le to</w:t>
      </w:r>
      <w:r w:rsidR="00D15FDE" w:rsidRPr="00FE50A6">
        <w:rPr>
          <w:rFonts w:eastAsia="Batang" w:cs="Times"/>
          <w:noProof/>
          <w:szCs w:val="24"/>
          <w:lang w:val="en-US" w:eastAsia="es-ES"/>
        </w:rPr>
        <w:t xml:space="preserve"> submit the case </w:t>
      </w:r>
      <w:r w:rsidR="0073613A" w:rsidRPr="00FE50A6">
        <w:rPr>
          <w:rFonts w:eastAsia="Batang" w:cs="Times"/>
          <w:noProof/>
          <w:szCs w:val="24"/>
          <w:lang w:val="en-US" w:eastAsia="es-ES"/>
        </w:rPr>
        <w:t>to</w:t>
      </w:r>
      <w:r w:rsidR="00D15FDE" w:rsidRPr="00FE50A6">
        <w:rPr>
          <w:rFonts w:eastAsia="Batang" w:cs="Times"/>
          <w:noProof/>
          <w:szCs w:val="24"/>
          <w:lang w:val="en-US" w:eastAsia="es-ES"/>
        </w:rPr>
        <w:t xml:space="preserve"> the Court’s consideration, because </w:t>
      </w:r>
      <w:r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aut</w:t>
      </w:r>
      <w:r w:rsidR="0096263F" w:rsidRPr="00FE50A6">
        <w:rPr>
          <w:rFonts w:eastAsia="Batang" w:cs="Times"/>
          <w:noProof/>
          <w:szCs w:val="24"/>
          <w:lang w:val="en-US" w:eastAsia="es-ES"/>
        </w:rPr>
        <w:t>h</w:t>
      </w:r>
      <w:r w:rsidR="000A52D5" w:rsidRPr="00FE50A6">
        <w:rPr>
          <w:rFonts w:eastAsia="Batang" w:cs="Times"/>
          <w:noProof/>
          <w:szCs w:val="24"/>
          <w:lang w:val="en-US" w:eastAsia="es-ES"/>
        </w:rPr>
        <w:t>oriz</w:t>
      </w:r>
      <w:r w:rsidR="00D15FDE" w:rsidRPr="00FE50A6">
        <w:rPr>
          <w:rFonts w:eastAsia="Batang" w:cs="Times"/>
          <w:noProof/>
          <w:szCs w:val="24"/>
          <w:lang w:val="en-US" w:eastAsia="es-ES"/>
        </w:rPr>
        <w:t>e</w:t>
      </w:r>
      <w:r w:rsidR="0073613A" w:rsidRPr="00FE50A6">
        <w:rPr>
          <w:rFonts w:eastAsia="Batang" w:cs="Times"/>
          <w:noProof/>
          <w:szCs w:val="24"/>
          <w:lang w:val="en-US" w:eastAsia="es-ES"/>
        </w:rPr>
        <w:t>d</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D15FDE" w:rsidRPr="00FE50A6">
        <w:rPr>
          <w:rFonts w:eastAsia="Batang" w:cs="Times"/>
          <w:noProof/>
          <w:szCs w:val="24"/>
          <w:lang w:val="en-US" w:eastAsia="es-ES"/>
        </w:rPr>
        <w:t xml:space="preserve">to issue a final report and eventually publish it, or </w:t>
      </w:r>
      <w:r w:rsidR="0073613A" w:rsidRPr="00FE50A6">
        <w:rPr>
          <w:rFonts w:eastAsia="Batang" w:cs="Times"/>
          <w:noProof/>
          <w:szCs w:val="24"/>
          <w:lang w:val="en-US" w:eastAsia="es-ES"/>
        </w:rPr>
        <w:t xml:space="preserve">to </w:t>
      </w:r>
      <w:r w:rsidR="00D15FDE" w:rsidRPr="00FE50A6">
        <w:rPr>
          <w:rFonts w:eastAsia="Batang" w:cs="Times"/>
          <w:noProof/>
          <w:szCs w:val="24"/>
          <w:lang w:val="en-US" w:eastAsia="es-ES"/>
        </w:rPr>
        <w:t>submit t</w:t>
      </w:r>
      <w:r w:rsidR="0073613A" w:rsidRPr="00FE50A6">
        <w:rPr>
          <w:rFonts w:eastAsia="Batang" w:cs="Times"/>
          <w:noProof/>
          <w:szCs w:val="24"/>
          <w:lang w:val="en-US" w:eastAsia="es-ES"/>
        </w:rPr>
        <w:t>h</w:t>
      </w:r>
      <w:r w:rsidR="00D15FDE" w:rsidRPr="00FE50A6">
        <w:rPr>
          <w:rFonts w:eastAsia="Batang" w:cs="Times"/>
          <w:noProof/>
          <w:szCs w:val="24"/>
          <w:lang w:val="en-US" w:eastAsia="es-ES"/>
        </w:rPr>
        <w:t xml:space="preserve">e case to the jurisdiction </w:t>
      </w:r>
      <w:r w:rsidRPr="00FE50A6">
        <w:rPr>
          <w:rFonts w:eastAsia="Batang" w:cs="Times"/>
          <w:noProof/>
          <w:szCs w:val="24"/>
          <w:lang w:val="en-US" w:eastAsia="es-ES"/>
        </w:rPr>
        <w:t>of the Court</w:t>
      </w:r>
      <w:r w:rsidR="000A52D5" w:rsidRPr="00FE50A6">
        <w:rPr>
          <w:rFonts w:eastAsia="Batang" w:cs="Times"/>
          <w:noProof/>
          <w:szCs w:val="24"/>
          <w:lang w:val="en-US" w:eastAsia="es-ES"/>
        </w:rPr>
        <w:t>, pos</w:t>
      </w:r>
      <w:r w:rsidR="0073613A" w:rsidRPr="00FE50A6">
        <w:rPr>
          <w:rFonts w:eastAsia="Batang" w:cs="Times"/>
          <w:noProof/>
          <w:szCs w:val="24"/>
          <w:lang w:val="en-US" w:eastAsia="es-ES"/>
        </w:rPr>
        <w:t xml:space="preserve">sibilities that </w:t>
      </w:r>
      <w:r w:rsidR="0096263F" w:rsidRPr="00FE50A6">
        <w:rPr>
          <w:rFonts w:eastAsia="Batang" w:cs="Times"/>
          <w:noProof/>
          <w:szCs w:val="24"/>
          <w:lang w:val="en-US" w:eastAsia="es-ES"/>
        </w:rPr>
        <w:t>we</w:t>
      </w:r>
      <w:r w:rsidR="0073613A" w:rsidRPr="00FE50A6">
        <w:rPr>
          <w:rFonts w:eastAsia="Batang" w:cs="Times"/>
          <w:noProof/>
          <w:szCs w:val="24"/>
          <w:lang w:val="en-US" w:eastAsia="es-ES"/>
        </w:rPr>
        <w:t xml:space="preserve">re mutually exclusive. </w:t>
      </w: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consider</w:t>
      </w:r>
      <w:r w:rsidR="0073613A" w:rsidRPr="00FE50A6">
        <w:rPr>
          <w:rFonts w:eastAsia="Batang" w:cs="Times"/>
          <w:noProof/>
          <w:szCs w:val="24"/>
          <w:lang w:val="en-US" w:eastAsia="es-ES"/>
        </w:rPr>
        <w:t xml:space="preserve">ed that the publication of the Commission’s report </w:t>
      </w:r>
      <w:r w:rsidR="0096263F" w:rsidRPr="00FE50A6">
        <w:rPr>
          <w:rFonts w:eastAsia="Batang" w:cs="Times"/>
          <w:noProof/>
          <w:szCs w:val="24"/>
          <w:lang w:val="en-US" w:eastAsia="es-ES"/>
        </w:rPr>
        <w:t>had</w:t>
      </w:r>
      <w:r w:rsidR="0073613A" w:rsidRPr="00FE50A6">
        <w:rPr>
          <w:rFonts w:eastAsia="Batang" w:cs="Times"/>
          <w:noProof/>
          <w:szCs w:val="24"/>
          <w:lang w:val="en-US" w:eastAsia="es-ES"/>
        </w:rPr>
        <w:t xml:space="preserve"> violated </w:t>
      </w:r>
      <w:r w:rsidRPr="00FE50A6">
        <w:rPr>
          <w:rFonts w:eastAsia="Batang" w:cs="Times"/>
          <w:noProof/>
          <w:szCs w:val="24"/>
          <w:lang w:val="en-US" w:eastAsia="es-ES"/>
        </w:rPr>
        <w:t>Articles</w:t>
      </w:r>
      <w:r w:rsidR="000A52D5" w:rsidRPr="00FE50A6">
        <w:rPr>
          <w:rFonts w:eastAsia="Batang" w:cs="Times"/>
          <w:noProof/>
          <w:szCs w:val="24"/>
          <w:lang w:val="en-US" w:eastAsia="es-ES"/>
        </w:rPr>
        <w:t xml:space="preserve"> 50</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51</w:t>
      </w:r>
      <w:r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73613A" w:rsidRPr="00FE50A6">
        <w:rPr>
          <w:rFonts w:eastAsia="Batang" w:cs="Times"/>
          <w:noProof/>
          <w:szCs w:val="24"/>
          <w:lang w:val="en-US" w:eastAsia="es-ES"/>
        </w:rPr>
        <w:t>and therefore asked the Court to declare the case inadmissible</w:t>
      </w:r>
      <w:r w:rsidR="000A52D5" w:rsidRPr="00FE50A6">
        <w:rPr>
          <w:rFonts w:eastAsia="Batang" w:cs="Times"/>
          <w:noProof/>
          <w:szCs w:val="24"/>
          <w:lang w:val="en-US" w:eastAsia="es-ES"/>
        </w:rPr>
        <w:t>.</w:t>
      </w:r>
    </w:p>
    <w:p w14:paraId="04C585A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8A628EC" w14:textId="77777777" w:rsidR="000A52D5" w:rsidRPr="00FE50A6" w:rsidRDefault="000A52D5"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 </w:t>
      </w:r>
      <w:r w:rsidR="000228D0" w:rsidRPr="00FE50A6">
        <w:rPr>
          <w:rFonts w:eastAsia="Batang" w:cs="Times"/>
          <w:noProof/>
          <w:szCs w:val="24"/>
          <w:lang w:val="en-US" w:eastAsia="es-ES"/>
        </w:rPr>
        <w:t xml:space="preserve">The </w:t>
      </w:r>
      <w:r w:rsidR="000228D0" w:rsidRPr="00FE50A6">
        <w:rPr>
          <w:rFonts w:eastAsia="Batang" w:cs="Times"/>
          <w:b/>
          <w:i/>
          <w:noProof/>
          <w:szCs w:val="24"/>
          <w:lang w:val="en-US" w:eastAsia="es-ES"/>
        </w:rPr>
        <w:t>Commission</w:t>
      </w:r>
      <w:r w:rsidRPr="00FE50A6">
        <w:rPr>
          <w:rFonts w:eastAsia="Batang" w:cs="Times"/>
          <w:noProof/>
          <w:szCs w:val="24"/>
          <w:lang w:val="en-US" w:eastAsia="es-ES"/>
        </w:rPr>
        <w:t xml:space="preserve"> </w:t>
      </w:r>
      <w:r w:rsidR="0073613A" w:rsidRPr="00FE50A6">
        <w:rPr>
          <w:rFonts w:eastAsia="Batang" w:cs="Times"/>
          <w:noProof/>
          <w:szCs w:val="24"/>
          <w:lang w:val="en-US" w:eastAsia="es-ES"/>
        </w:rPr>
        <w:t xml:space="preserve">indicated that the State’s allegation did not constitute a </w:t>
      </w:r>
      <w:r w:rsidR="00700B79" w:rsidRPr="00FE50A6">
        <w:rPr>
          <w:rFonts w:eastAsia="Batang" w:cs="Times"/>
          <w:noProof/>
          <w:szCs w:val="24"/>
          <w:lang w:val="en-US" w:eastAsia="es-ES"/>
        </w:rPr>
        <w:t>preliminary objection</w:t>
      </w:r>
      <w:r w:rsidRPr="00FE50A6">
        <w:rPr>
          <w:rFonts w:eastAsia="Batang" w:cs="Times"/>
          <w:noProof/>
          <w:szCs w:val="24"/>
          <w:lang w:val="en-US" w:eastAsia="es-ES"/>
        </w:rPr>
        <w:t xml:space="preserve"> </w:t>
      </w:r>
      <w:r w:rsidR="0073613A" w:rsidRPr="00FE50A6">
        <w:rPr>
          <w:rFonts w:eastAsia="Batang" w:cs="Times"/>
          <w:noProof/>
          <w:szCs w:val="24"/>
          <w:lang w:val="en-US" w:eastAsia="es-ES"/>
        </w:rPr>
        <w:t xml:space="preserve">because it did </w:t>
      </w:r>
      <w:r w:rsidR="0096263F" w:rsidRPr="00FE50A6">
        <w:rPr>
          <w:rFonts w:eastAsia="Batang" w:cs="Times"/>
          <w:noProof/>
          <w:szCs w:val="24"/>
          <w:lang w:val="en-US" w:eastAsia="es-ES"/>
        </w:rPr>
        <w:t>n</w:t>
      </w:r>
      <w:r w:rsidR="0073613A" w:rsidRPr="00FE50A6">
        <w:rPr>
          <w:rFonts w:eastAsia="Batang" w:cs="Times"/>
          <w:noProof/>
          <w:szCs w:val="24"/>
          <w:lang w:val="en-US" w:eastAsia="es-ES"/>
        </w:rPr>
        <w:t xml:space="preserve">ot refer to </w:t>
      </w:r>
      <w:r w:rsidR="0096263F" w:rsidRPr="00FE50A6">
        <w:rPr>
          <w:rFonts w:eastAsia="Batang" w:cs="Times"/>
          <w:noProof/>
          <w:szCs w:val="24"/>
          <w:lang w:val="en-US" w:eastAsia="es-ES"/>
        </w:rPr>
        <w:t>issues</w:t>
      </w:r>
      <w:r w:rsidR="0073613A" w:rsidRPr="00FE50A6">
        <w:rPr>
          <w:rFonts w:eastAsia="Batang" w:cs="Times"/>
          <w:noProof/>
          <w:szCs w:val="24"/>
          <w:lang w:val="en-US" w:eastAsia="es-ES"/>
        </w:rPr>
        <w:t xml:space="preserve"> of jurisdiction, or to the admissibility requirements established in </w:t>
      </w:r>
      <w:r w:rsidR="000228D0" w:rsidRPr="00FE50A6">
        <w:rPr>
          <w:rFonts w:eastAsia="Batang" w:cs="Times"/>
          <w:noProof/>
          <w:szCs w:val="24"/>
          <w:lang w:val="en-US" w:eastAsia="es-ES"/>
        </w:rPr>
        <w:t>the Convention</w:t>
      </w:r>
      <w:r w:rsidRPr="00FE50A6">
        <w:rPr>
          <w:rFonts w:eastAsia="Batang" w:cs="Times"/>
          <w:noProof/>
          <w:szCs w:val="24"/>
          <w:lang w:val="en-US" w:eastAsia="es-ES"/>
        </w:rPr>
        <w:t xml:space="preserve">. </w:t>
      </w:r>
      <w:r w:rsidR="0073613A" w:rsidRPr="00FE50A6">
        <w:rPr>
          <w:rFonts w:eastAsia="Batang" w:cs="Times"/>
          <w:noProof/>
          <w:szCs w:val="24"/>
          <w:lang w:val="en-US" w:eastAsia="es-ES"/>
        </w:rPr>
        <w:t xml:space="preserve">It also </w:t>
      </w:r>
      <w:r w:rsidR="0096263F" w:rsidRPr="00FE50A6">
        <w:rPr>
          <w:rFonts w:eastAsia="Batang" w:cs="Times"/>
          <w:noProof/>
          <w:szCs w:val="24"/>
          <w:lang w:val="en-US" w:eastAsia="es-ES"/>
        </w:rPr>
        <w:t>asserted</w:t>
      </w:r>
      <w:r w:rsidR="0073613A" w:rsidRPr="00FE50A6">
        <w:rPr>
          <w:rFonts w:eastAsia="Batang" w:cs="Times"/>
          <w:noProof/>
          <w:szCs w:val="24"/>
          <w:lang w:val="en-US" w:eastAsia="es-ES"/>
        </w:rPr>
        <w:t xml:space="preserve"> that the report issued </w:t>
      </w:r>
      <w:r w:rsidR="00BA1AAE" w:rsidRPr="00FE50A6">
        <w:rPr>
          <w:rFonts w:eastAsia="Batang" w:cs="Times"/>
          <w:noProof/>
          <w:szCs w:val="24"/>
          <w:lang w:val="en-US" w:eastAsia="es-ES"/>
        </w:rPr>
        <w:t>under</w:t>
      </w:r>
      <w:r w:rsidR="0073613A" w:rsidRPr="00FE50A6">
        <w:rPr>
          <w:rFonts w:eastAsia="Batang" w:cs="Times"/>
          <w:noProof/>
          <w:szCs w:val="24"/>
          <w:lang w:val="en-US" w:eastAsia="es-ES"/>
        </w:rPr>
        <w:t xml:space="preserve"> </w:t>
      </w:r>
      <w:r w:rsidR="000228D0" w:rsidRPr="00FE50A6">
        <w:rPr>
          <w:rFonts w:eastAsia="Batang" w:cs="Times"/>
          <w:noProof/>
          <w:szCs w:val="24"/>
          <w:lang w:val="en-US" w:eastAsia="es-ES"/>
        </w:rPr>
        <w:t>Article</w:t>
      </w:r>
      <w:r w:rsidRPr="00FE50A6">
        <w:rPr>
          <w:rFonts w:eastAsia="Batang" w:cs="Times"/>
          <w:noProof/>
          <w:szCs w:val="24"/>
          <w:lang w:val="en-US" w:eastAsia="es-ES"/>
        </w:rPr>
        <w:t xml:space="preserve"> 50</w:t>
      </w:r>
      <w:r w:rsidR="000228D0" w:rsidRPr="00FE50A6">
        <w:rPr>
          <w:rFonts w:eastAsia="Batang" w:cs="Times"/>
          <w:noProof/>
          <w:szCs w:val="24"/>
          <w:lang w:val="en-US" w:eastAsia="es-ES"/>
        </w:rPr>
        <w:t xml:space="preserve"> of the Convention</w:t>
      </w:r>
      <w:r w:rsidRPr="00FE50A6">
        <w:rPr>
          <w:rFonts w:eastAsia="Batang" w:cs="Times"/>
          <w:noProof/>
          <w:szCs w:val="24"/>
          <w:lang w:val="en-US" w:eastAsia="es-ES"/>
        </w:rPr>
        <w:t xml:space="preserve"> constitu</w:t>
      </w:r>
      <w:r w:rsidR="0073613A" w:rsidRPr="00FE50A6">
        <w:rPr>
          <w:rFonts w:eastAsia="Batang" w:cs="Times"/>
          <w:noProof/>
          <w:szCs w:val="24"/>
          <w:lang w:val="en-US" w:eastAsia="es-ES"/>
        </w:rPr>
        <w:t>te</w:t>
      </w:r>
      <w:r w:rsidR="0096263F" w:rsidRPr="00FE50A6">
        <w:rPr>
          <w:rFonts w:eastAsia="Batang" w:cs="Times"/>
          <w:noProof/>
          <w:szCs w:val="24"/>
          <w:lang w:val="en-US" w:eastAsia="es-ES"/>
        </w:rPr>
        <w:t>d</w:t>
      </w:r>
      <w:r w:rsidR="0073613A" w:rsidRPr="00FE50A6">
        <w:rPr>
          <w:rFonts w:eastAsia="Batang" w:cs="Times"/>
          <w:noProof/>
          <w:szCs w:val="24"/>
          <w:lang w:val="en-US" w:eastAsia="es-ES"/>
        </w:rPr>
        <w:t xml:space="preserve"> a preliminary report of a confidential nature, which </w:t>
      </w:r>
      <w:r w:rsidR="0073613A" w:rsidRPr="00FE50A6">
        <w:rPr>
          <w:rFonts w:eastAsia="Batang" w:cs="Times"/>
          <w:noProof/>
          <w:szCs w:val="24"/>
          <w:lang w:val="en-US" w:eastAsia="es-ES"/>
        </w:rPr>
        <w:lastRenderedPageBreak/>
        <w:t>c</w:t>
      </w:r>
      <w:r w:rsidR="0096263F" w:rsidRPr="00FE50A6">
        <w:rPr>
          <w:rFonts w:eastAsia="Batang" w:cs="Times"/>
          <w:noProof/>
          <w:szCs w:val="24"/>
          <w:lang w:val="en-US" w:eastAsia="es-ES"/>
        </w:rPr>
        <w:t>ould</w:t>
      </w:r>
      <w:r w:rsidR="0073613A" w:rsidRPr="00FE50A6">
        <w:rPr>
          <w:rFonts w:eastAsia="Batang" w:cs="Times"/>
          <w:noProof/>
          <w:szCs w:val="24"/>
          <w:lang w:val="en-US" w:eastAsia="es-ES"/>
        </w:rPr>
        <w:t xml:space="preserve"> lead to two actions: submission of the case to </w:t>
      </w:r>
      <w:r w:rsidR="000228D0" w:rsidRPr="00FE50A6">
        <w:rPr>
          <w:rFonts w:eastAsia="Batang" w:cs="Times"/>
          <w:noProof/>
          <w:szCs w:val="24"/>
          <w:lang w:val="en-US" w:eastAsia="es-ES"/>
        </w:rPr>
        <w:t>the Court</w:t>
      </w:r>
      <w:r w:rsidRPr="00FE50A6">
        <w:rPr>
          <w:rFonts w:eastAsia="Batang" w:cs="Times"/>
          <w:noProof/>
          <w:szCs w:val="24"/>
          <w:lang w:val="en-US" w:eastAsia="es-ES"/>
        </w:rPr>
        <w:t xml:space="preserve"> o</w:t>
      </w:r>
      <w:r w:rsidR="0073613A" w:rsidRPr="00FE50A6">
        <w:rPr>
          <w:rFonts w:eastAsia="Batang" w:cs="Times"/>
          <w:noProof/>
          <w:szCs w:val="24"/>
          <w:lang w:val="en-US" w:eastAsia="es-ES"/>
        </w:rPr>
        <w:t>r publication of the report. However, once one of th</w:t>
      </w:r>
      <w:r w:rsidR="0096263F" w:rsidRPr="00FE50A6">
        <w:rPr>
          <w:rFonts w:eastAsia="Batang" w:cs="Times"/>
          <w:noProof/>
          <w:szCs w:val="24"/>
          <w:lang w:val="en-US" w:eastAsia="es-ES"/>
        </w:rPr>
        <w:t>o</w:t>
      </w:r>
      <w:r w:rsidR="0073613A" w:rsidRPr="00FE50A6">
        <w:rPr>
          <w:rFonts w:eastAsia="Batang" w:cs="Times"/>
          <w:noProof/>
          <w:szCs w:val="24"/>
          <w:lang w:val="en-US" w:eastAsia="es-ES"/>
        </w:rPr>
        <w:t>se options ha</w:t>
      </w:r>
      <w:r w:rsidR="0096263F" w:rsidRPr="00FE50A6">
        <w:rPr>
          <w:rFonts w:eastAsia="Batang" w:cs="Times"/>
          <w:noProof/>
          <w:szCs w:val="24"/>
          <w:lang w:val="en-US" w:eastAsia="es-ES"/>
        </w:rPr>
        <w:t>d</w:t>
      </w:r>
      <w:r w:rsidR="0073613A" w:rsidRPr="00FE50A6">
        <w:rPr>
          <w:rFonts w:eastAsia="Batang" w:cs="Times"/>
          <w:noProof/>
          <w:szCs w:val="24"/>
          <w:lang w:val="en-US" w:eastAsia="es-ES"/>
        </w:rPr>
        <w:t xml:space="preserve"> been chosen, the report relinquishe</w:t>
      </w:r>
      <w:r w:rsidR="0096263F" w:rsidRPr="00FE50A6">
        <w:rPr>
          <w:rFonts w:eastAsia="Batang" w:cs="Times"/>
          <w:noProof/>
          <w:szCs w:val="24"/>
          <w:lang w:val="en-US" w:eastAsia="es-ES"/>
        </w:rPr>
        <w:t>d</w:t>
      </w:r>
      <w:r w:rsidR="0073613A" w:rsidRPr="00FE50A6">
        <w:rPr>
          <w:rFonts w:eastAsia="Batang" w:cs="Times"/>
          <w:noProof/>
          <w:szCs w:val="24"/>
          <w:lang w:val="en-US" w:eastAsia="es-ES"/>
        </w:rPr>
        <w:t xml:space="preserve"> its initial nature. </w:t>
      </w:r>
      <w:r w:rsidR="000228D0" w:rsidRPr="00FE50A6">
        <w:rPr>
          <w:rFonts w:eastAsia="Batang" w:cs="Times"/>
          <w:noProof/>
          <w:szCs w:val="24"/>
          <w:lang w:val="en-US" w:eastAsia="es-ES"/>
        </w:rPr>
        <w:t>The Commission</w:t>
      </w:r>
      <w:r w:rsidRPr="00FE50A6">
        <w:rPr>
          <w:rFonts w:eastAsia="Batang" w:cs="Times"/>
          <w:noProof/>
          <w:szCs w:val="24"/>
          <w:lang w:val="en-US" w:eastAsia="es-ES"/>
        </w:rPr>
        <w:t xml:space="preserve"> indic</w:t>
      </w:r>
      <w:r w:rsidR="0073613A" w:rsidRPr="00FE50A6">
        <w:rPr>
          <w:rFonts w:eastAsia="Batang" w:cs="Times"/>
          <w:noProof/>
          <w:szCs w:val="24"/>
          <w:lang w:val="en-US" w:eastAsia="es-ES"/>
        </w:rPr>
        <w:t xml:space="preserve">ated that, </w:t>
      </w:r>
      <w:r w:rsidR="00BA1AAE" w:rsidRPr="00FE50A6">
        <w:rPr>
          <w:rFonts w:eastAsia="Batang" w:cs="Times"/>
          <w:noProof/>
          <w:szCs w:val="24"/>
          <w:lang w:val="en-US" w:eastAsia="es-ES"/>
        </w:rPr>
        <w:t>after submitting</w:t>
      </w:r>
      <w:r w:rsidR="0073613A" w:rsidRPr="00FE50A6">
        <w:rPr>
          <w:rFonts w:eastAsia="Batang" w:cs="Times"/>
          <w:noProof/>
          <w:szCs w:val="24"/>
          <w:lang w:val="en-US" w:eastAsia="es-ES"/>
        </w:rPr>
        <w:t xml:space="preserve"> the matter to the Cour</w:t>
      </w:r>
      <w:r w:rsidR="0096263F" w:rsidRPr="00FE50A6">
        <w:rPr>
          <w:rFonts w:eastAsia="Batang" w:cs="Times"/>
          <w:noProof/>
          <w:szCs w:val="24"/>
          <w:lang w:val="en-US" w:eastAsia="es-ES"/>
        </w:rPr>
        <w:t>t</w:t>
      </w:r>
      <w:r w:rsidR="0073613A" w:rsidRPr="00FE50A6">
        <w:rPr>
          <w:rFonts w:eastAsia="Batang" w:cs="Times"/>
          <w:noProof/>
          <w:szCs w:val="24"/>
          <w:lang w:val="en-US" w:eastAsia="es-ES"/>
        </w:rPr>
        <w:t xml:space="preserve">, it </w:t>
      </w:r>
      <w:r w:rsidR="0096263F" w:rsidRPr="00FE50A6">
        <w:rPr>
          <w:rFonts w:eastAsia="Batang" w:cs="Times"/>
          <w:noProof/>
          <w:szCs w:val="24"/>
          <w:lang w:val="en-US" w:eastAsia="es-ES"/>
        </w:rPr>
        <w:t xml:space="preserve">had </w:t>
      </w:r>
      <w:r w:rsidR="0073613A" w:rsidRPr="00FE50A6">
        <w:rPr>
          <w:rFonts w:eastAsia="Batang" w:cs="Times"/>
          <w:noProof/>
          <w:szCs w:val="24"/>
          <w:lang w:val="en-US" w:eastAsia="es-ES"/>
        </w:rPr>
        <w:t>published the final report (on Admissibility and Merits) on its website according to its consistent practice</w:t>
      </w:r>
      <w:r w:rsidR="0096263F" w:rsidRPr="00FE50A6">
        <w:rPr>
          <w:rFonts w:eastAsia="Batang" w:cs="Times"/>
          <w:noProof/>
          <w:szCs w:val="24"/>
          <w:lang w:val="en-US" w:eastAsia="es-ES"/>
        </w:rPr>
        <w:t>;</w:t>
      </w:r>
      <w:r w:rsidR="0073613A" w:rsidRPr="00FE50A6">
        <w:rPr>
          <w:rFonts w:eastAsia="Batang" w:cs="Times"/>
          <w:noProof/>
          <w:szCs w:val="24"/>
          <w:lang w:val="en-US" w:eastAsia="es-ES"/>
        </w:rPr>
        <w:t xml:space="preserve"> an act</w:t>
      </w:r>
      <w:r w:rsidR="0096263F" w:rsidRPr="00FE50A6">
        <w:rPr>
          <w:rFonts w:eastAsia="Batang" w:cs="Times"/>
          <w:noProof/>
          <w:szCs w:val="24"/>
          <w:lang w:val="en-US" w:eastAsia="es-ES"/>
        </w:rPr>
        <w:t>ion</w:t>
      </w:r>
      <w:r w:rsidR="0073613A" w:rsidRPr="00FE50A6">
        <w:rPr>
          <w:rFonts w:eastAsia="Batang" w:cs="Times"/>
          <w:noProof/>
          <w:szCs w:val="24"/>
          <w:lang w:val="en-US" w:eastAsia="es-ES"/>
        </w:rPr>
        <w:t xml:space="preserve"> that did not violate</w:t>
      </w:r>
      <w:r w:rsidRPr="00FE50A6">
        <w:rPr>
          <w:rFonts w:eastAsia="Batang" w:cs="Times"/>
          <w:noProof/>
          <w:szCs w:val="24"/>
          <w:lang w:val="en-US" w:eastAsia="es-ES"/>
        </w:rPr>
        <w:t xml:space="preserve"> </w:t>
      </w:r>
      <w:r w:rsidR="000228D0" w:rsidRPr="00FE50A6">
        <w:rPr>
          <w:rFonts w:eastAsia="Batang" w:cs="Times"/>
          <w:noProof/>
          <w:szCs w:val="24"/>
          <w:lang w:val="en-US" w:eastAsia="es-ES"/>
        </w:rPr>
        <w:t>the Convention</w:t>
      </w:r>
      <w:r w:rsidRPr="00FE50A6">
        <w:rPr>
          <w:rFonts w:eastAsia="Batang" w:cs="Times"/>
          <w:noProof/>
          <w:szCs w:val="24"/>
          <w:lang w:val="en-US" w:eastAsia="es-ES"/>
        </w:rPr>
        <w:t>.</w:t>
      </w:r>
      <w:r w:rsidR="0096263F" w:rsidRPr="00FE50A6">
        <w:rPr>
          <w:rFonts w:eastAsia="Batang" w:cs="Times"/>
          <w:noProof/>
          <w:szCs w:val="24"/>
          <w:lang w:val="en-US" w:eastAsia="es-ES"/>
        </w:rPr>
        <w:t xml:space="preserve"> </w:t>
      </w:r>
      <w:r w:rsidR="0073613A" w:rsidRPr="00FE50A6">
        <w:rPr>
          <w:rFonts w:eastAsia="Batang" w:cs="Times"/>
          <w:noProof/>
          <w:szCs w:val="24"/>
          <w:lang w:val="en-US" w:eastAsia="es-ES"/>
        </w:rPr>
        <w:t>Furthermore</w:t>
      </w:r>
      <w:r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Pr="00FE50A6">
        <w:rPr>
          <w:rFonts w:eastAsia="Batang" w:cs="Times"/>
          <w:noProof/>
          <w:szCs w:val="24"/>
          <w:lang w:val="en-US" w:eastAsia="es-ES"/>
        </w:rPr>
        <w:t xml:space="preserve"> observ</w:t>
      </w:r>
      <w:r w:rsidR="0073613A" w:rsidRPr="00FE50A6">
        <w:rPr>
          <w:rFonts w:eastAsia="Batang" w:cs="Times"/>
          <w:noProof/>
          <w:szCs w:val="24"/>
          <w:lang w:val="en-US" w:eastAsia="es-ES"/>
        </w:rPr>
        <w:t xml:space="preserve">ed that the State’s </w:t>
      </w:r>
      <w:r w:rsidR="0096263F" w:rsidRPr="00FE50A6">
        <w:rPr>
          <w:rFonts w:eastAsia="Batang" w:cs="Times"/>
          <w:noProof/>
          <w:szCs w:val="24"/>
          <w:lang w:val="en-US" w:eastAsia="es-ES"/>
        </w:rPr>
        <w:t>indication</w:t>
      </w:r>
      <w:r w:rsidR="0073613A" w:rsidRPr="00FE50A6">
        <w:rPr>
          <w:rFonts w:eastAsia="Batang" w:cs="Times"/>
          <w:noProof/>
          <w:szCs w:val="24"/>
          <w:lang w:val="en-US" w:eastAsia="es-ES"/>
        </w:rPr>
        <w:t xml:space="preserve"> that the </w:t>
      </w:r>
      <w:r w:rsidR="00030C17" w:rsidRPr="00FE50A6">
        <w:rPr>
          <w:rFonts w:eastAsia="Batang" w:cs="Times"/>
          <w:noProof/>
          <w:szCs w:val="24"/>
          <w:lang w:val="en-US" w:eastAsia="es-ES"/>
        </w:rPr>
        <w:t>Admissibility and Merits Report</w:t>
      </w:r>
      <w:r w:rsidR="0073613A" w:rsidRPr="00FE50A6">
        <w:rPr>
          <w:rFonts w:eastAsia="Batang" w:cs="Times"/>
          <w:noProof/>
          <w:szCs w:val="24"/>
          <w:lang w:val="en-US" w:eastAsia="es-ES"/>
        </w:rPr>
        <w:t xml:space="preserve"> </w:t>
      </w:r>
      <w:r w:rsidR="0096263F" w:rsidRPr="00FE50A6">
        <w:rPr>
          <w:rFonts w:eastAsia="Batang" w:cs="Times"/>
          <w:noProof/>
          <w:szCs w:val="24"/>
          <w:lang w:val="en-US" w:eastAsia="es-ES"/>
        </w:rPr>
        <w:t xml:space="preserve">had been </w:t>
      </w:r>
      <w:r w:rsidR="0073613A" w:rsidRPr="00FE50A6">
        <w:rPr>
          <w:rFonts w:eastAsia="Batang" w:cs="Times"/>
          <w:noProof/>
          <w:szCs w:val="24"/>
          <w:lang w:val="en-US" w:eastAsia="es-ES"/>
        </w:rPr>
        <w:t xml:space="preserve">published before the case was submitted to the Court related to an electronic link with access as of September 10, 2015, </w:t>
      </w:r>
      <w:r w:rsidR="00512E9A" w:rsidRPr="00FE50A6">
        <w:rPr>
          <w:rFonts w:eastAsia="Batang" w:cs="Times"/>
          <w:noProof/>
          <w:szCs w:val="24"/>
          <w:lang w:val="en-US" w:eastAsia="es-ES"/>
        </w:rPr>
        <w:t xml:space="preserve">which was </w:t>
      </w:r>
      <w:r w:rsidR="00BA1AAE" w:rsidRPr="00FE50A6">
        <w:rPr>
          <w:rFonts w:eastAsia="Batang" w:cs="Times"/>
          <w:noProof/>
          <w:szCs w:val="24"/>
          <w:lang w:val="en-US" w:eastAsia="es-ES"/>
        </w:rPr>
        <w:t>after</w:t>
      </w:r>
      <w:r w:rsidR="00512E9A" w:rsidRPr="00FE50A6">
        <w:rPr>
          <w:rFonts w:eastAsia="Batang" w:cs="Times"/>
          <w:noProof/>
          <w:szCs w:val="24"/>
          <w:lang w:val="en-US" w:eastAsia="es-ES"/>
        </w:rPr>
        <w:t xml:space="preserve"> the submission of the case. Lastly, </w:t>
      </w:r>
      <w:r w:rsidR="000228D0" w:rsidRPr="00FE50A6">
        <w:rPr>
          <w:rFonts w:eastAsia="Batang" w:cs="Times"/>
          <w:noProof/>
          <w:szCs w:val="24"/>
          <w:lang w:val="en-US" w:eastAsia="es-ES"/>
        </w:rPr>
        <w:t>the Commission</w:t>
      </w:r>
      <w:r w:rsidRPr="00FE50A6">
        <w:rPr>
          <w:rFonts w:eastAsia="Batang" w:cs="Times"/>
          <w:noProof/>
          <w:szCs w:val="24"/>
          <w:lang w:val="en-US" w:eastAsia="es-ES"/>
        </w:rPr>
        <w:t xml:space="preserve"> </w:t>
      </w:r>
      <w:r w:rsidR="00512E9A" w:rsidRPr="00FE50A6">
        <w:rPr>
          <w:rFonts w:eastAsia="Batang" w:cs="Times"/>
          <w:noProof/>
          <w:szCs w:val="24"/>
          <w:lang w:val="en-US" w:eastAsia="es-ES"/>
        </w:rPr>
        <w:t>indicated that</w:t>
      </w:r>
      <w:r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Pr="00FE50A6">
        <w:rPr>
          <w:rFonts w:eastAsia="Batang" w:cs="Times"/>
          <w:noProof/>
          <w:szCs w:val="24"/>
          <w:lang w:val="en-US" w:eastAsia="es-ES"/>
        </w:rPr>
        <w:t xml:space="preserve"> </w:t>
      </w:r>
      <w:r w:rsidR="00512E9A" w:rsidRPr="00FE50A6">
        <w:rPr>
          <w:rFonts w:eastAsia="Batang" w:cs="Times"/>
          <w:noProof/>
          <w:szCs w:val="24"/>
          <w:lang w:val="en-US" w:eastAsia="es-ES"/>
        </w:rPr>
        <w:t>had failed to present any evidence of this supposedly undue publication</w:t>
      </w:r>
      <w:r w:rsidRPr="00FE50A6">
        <w:rPr>
          <w:rFonts w:eastAsia="Batang" w:cs="Times"/>
          <w:noProof/>
          <w:szCs w:val="24"/>
          <w:lang w:val="en-US" w:eastAsia="es-ES"/>
        </w:rPr>
        <w:t>.</w:t>
      </w:r>
    </w:p>
    <w:p w14:paraId="097CAED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F4D38EB"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indica</w:t>
      </w:r>
      <w:r w:rsidR="00512E9A" w:rsidRPr="00FE50A6">
        <w:rPr>
          <w:rFonts w:eastAsia="Batang" w:cs="Times"/>
          <w:noProof/>
          <w:szCs w:val="24"/>
          <w:lang w:val="en-US" w:eastAsia="es-ES"/>
        </w:rPr>
        <w:t xml:space="preserve">ted that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512E9A" w:rsidRPr="00FE50A6">
        <w:rPr>
          <w:rFonts w:eastAsia="Batang" w:cs="Times"/>
          <w:noProof/>
          <w:szCs w:val="24"/>
          <w:lang w:val="en-US" w:eastAsia="es-ES"/>
        </w:rPr>
        <w:t xml:space="preserve">had not presented any argument based on person, matter, time or place that could affect the Court’s </w:t>
      </w:r>
      <w:r w:rsidR="0096263F" w:rsidRPr="00FE50A6">
        <w:rPr>
          <w:rFonts w:eastAsia="Batang" w:cs="Times"/>
          <w:noProof/>
          <w:szCs w:val="24"/>
          <w:lang w:val="en-US" w:eastAsia="es-ES"/>
        </w:rPr>
        <w:t>competence</w:t>
      </w:r>
      <w:r w:rsidR="00512E9A" w:rsidRPr="00FE50A6">
        <w:rPr>
          <w:rFonts w:eastAsia="Batang" w:cs="Times"/>
          <w:noProof/>
          <w:szCs w:val="24"/>
          <w:lang w:val="en-US" w:eastAsia="es-ES"/>
        </w:rPr>
        <w:t xml:space="preserve">, and therefore asked the Court to reject this objection. In addition, they indicated that the State was attempting to present aspects of the procedure before the Commission as a </w:t>
      </w:r>
      <w:r w:rsidRPr="00FE50A6">
        <w:rPr>
          <w:rFonts w:eastAsia="Batang" w:cs="Times"/>
          <w:noProof/>
          <w:szCs w:val="24"/>
          <w:lang w:val="en-US" w:eastAsia="es-ES"/>
        </w:rPr>
        <w:t>preliminary objectio</w:t>
      </w:r>
      <w:r w:rsidR="00512E9A" w:rsidRPr="00FE50A6">
        <w:rPr>
          <w:rFonts w:eastAsia="Batang" w:cs="Times"/>
          <w:noProof/>
          <w:szCs w:val="24"/>
          <w:lang w:val="en-US" w:eastAsia="es-ES"/>
        </w:rPr>
        <w:t>n</w:t>
      </w:r>
      <w:r w:rsidR="000A52D5" w:rsidRPr="00FE50A6">
        <w:rPr>
          <w:rFonts w:eastAsia="Batang" w:cs="Times"/>
          <w:noProof/>
          <w:szCs w:val="24"/>
          <w:lang w:val="en-US" w:eastAsia="es-ES"/>
        </w:rPr>
        <w:t xml:space="preserve">. </w:t>
      </w:r>
      <w:r w:rsidR="00512E9A" w:rsidRPr="00FE50A6">
        <w:rPr>
          <w:rFonts w:eastAsia="Batang" w:cs="Times"/>
          <w:noProof/>
          <w:szCs w:val="24"/>
          <w:lang w:val="en-US" w:eastAsia="es-ES"/>
        </w:rPr>
        <w:t>Lastly</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a</w:t>
      </w:r>
      <w:r w:rsidR="00512E9A" w:rsidRPr="00FE50A6">
        <w:rPr>
          <w:rFonts w:eastAsia="Batang" w:cs="Times"/>
          <w:noProof/>
          <w:szCs w:val="24"/>
          <w:lang w:val="en-US" w:eastAsia="es-ES"/>
        </w:rPr>
        <w:t>rgued that the publication of the Merits Report did not constitute a grave error</w:t>
      </w:r>
      <w:r w:rsidR="0096263F" w:rsidRPr="00FE50A6">
        <w:rPr>
          <w:rFonts w:eastAsia="Batang" w:cs="Times"/>
          <w:noProof/>
          <w:szCs w:val="24"/>
          <w:lang w:val="en-US" w:eastAsia="es-ES"/>
        </w:rPr>
        <w:t xml:space="preserve">, </w:t>
      </w:r>
      <w:r w:rsidR="00BA1AAE" w:rsidRPr="00FE50A6">
        <w:rPr>
          <w:rFonts w:eastAsia="Batang" w:cs="Times"/>
          <w:noProof/>
          <w:szCs w:val="24"/>
          <w:lang w:val="en-US" w:eastAsia="es-ES"/>
        </w:rPr>
        <w:t>and it was not</w:t>
      </w:r>
      <w:r w:rsidR="00512E9A" w:rsidRPr="00FE50A6">
        <w:rPr>
          <w:rFonts w:eastAsia="Batang" w:cs="Times"/>
          <w:noProof/>
          <w:szCs w:val="24"/>
          <w:lang w:val="en-US" w:eastAsia="es-ES"/>
        </w:rPr>
        <w:t xml:space="preserve"> prohibit</w:t>
      </w:r>
      <w:r w:rsidR="0096263F" w:rsidRPr="00FE50A6">
        <w:rPr>
          <w:rFonts w:eastAsia="Batang" w:cs="Times"/>
          <w:noProof/>
          <w:szCs w:val="24"/>
          <w:lang w:val="en-US" w:eastAsia="es-ES"/>
        </w:rPr>
        <w:t xml:space="preserve">ed from publishing </w:t>
      </w:r>
      <w:r w:rsidR="00512E9A" w:rsidRPr="00FE50A6">
        <w:rPr>
          <w:rFonts w:eastAsia="Batang" w:cs="Times"/>
          <w:noProof/>
          <w:szCs w:val="24"/>
          <w:lang w:val="en-US" w:eastAsia="es-ES"/>
        </w:rPr>
        <w:t>it</w:t>
      </w:r>
      <w:r w:rsidR="000A52D5" w:rsidRPr="00FE50A6">
        <w:rPr>
          <w:rFonts w:eastAsia="Batang" w:cs="Times"/>
          <w:noProof/>
          <w:szCs w:val="24"/>
          <w:lang w:val="en-US" w:eastAsia="es-ES"/>
        </w:rPr>
        <w:t>.</w:t>
      </w:r>
    </w:p>
    <w:p w14:paraId="208D40AD"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5F6F441" w14:textId="77777777" w:rsidR="000A52D5" w:rsidRPr="00FE50A6" w:rsidRDefault="000A52D5" w:rsidP="000A20C1">
      <w:pPr>
        <w:pStyle w:val="Ttulo3"/>
        <w:rPr>
          <w:noProof/>
          <w:lang w:val="en-US" w:eastAsia="es-ES"/>
        </w:rPr>
      </w:pPr>
      <w:bookmarkStart w:id="50" w:name="_Toc460432963"/>
      <w:bookmarkStart w:id="51" w:name="_Toc460441894"/>
      <w:bookmarkStart w:id="52" w:name="_Toc462750714"/>
      <w:bookmarkStart w:id="53" w:name="_Toc462751038"/>
      <w:bookmarkStart w:id="54" w:name="_Toc464813890"/>
      <w:r w:rsidRPr="00FE50A6">
        <w:rPr>
          <w:noProof/>
          <w:lang w:val="en-US" w:eastAsia="es-ES"/>
        </w:rPr>
        <w:t xml:space="preserve">A.2. </w:t>
      </w:r>
      <w:r w:rsidR="000702CF" w:rsidRPr="00FE50A6">
        <w:rPr>
          <w:noProof/>
          <w:lang w:val="en-US" w:eastAsia="es-ES"/>
        </w:rPr>
        <w:t>Considerations</w:t>
      </w:r>
      <w:r w:rsidR="000228D0" w:rsidRPr="00FE50A6">
        <w:rPr>
          <w:noProof/>
          <w:lang w:val="en-US" w:eastAsia="es-ES"/>
        </w:rPr>
        <w:t xml:space="preserve"> of the Court</w:t>
      </w:r>
      <w:bookmarkEnd w:id="50"/>
      <w:bookmarkEnd w:id="51"/>
      <w:bookmarkEnd w:id="52"/>
      <w:bookmarkEnd w:id="53"/>
      <w:bookmarkEnd w:id="54"/>
    </w:p>
    <w:p w14:paraId="4E053F6C"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A5EFBF5" w14:textId="77777777" w:rsidR="000A52D5" w:rsidRPr="00FE50A6" w:rsidRDefault="000702CF"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This Court has consistently interpreted that </w:t>
      </w:r>
      <w:r w:rsidR="000228D0" w:rsidRPr="00FE50A6">
        <w:rPr>
          <w:rFonts w:eastAsia="Batang" w:cs="Times"/>
          <w:noProof/>
          <w:szCs w:val="24"/>
          <w:lang w:val="en-US" w:eastAsia="es-ES"/>
        </w:rPr>
        <w:t>Articles</w:t>
      </w:r>
      <w:r w:rsidR="000A52D5" w:rsidRPr="00FE50A6">
        <w:rPr>
          <w:rFonts w:eastAsia="Batang" w:cs="Times"/>
          <w:noProof/>
          <w:szCs w:val="24"/>
          <w:lang w:val="en-US" w:eastAsia="es-ES"/>
        </w:rPr>
        <w:t xml:space="preserve"> 50</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51</w:t>
      </w:r>
      <w:r w:rsidR="000228D0"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al</w:t>
      </w:r>
      <w:r w:rsidRPr="00FE50A6">
        <w:rPr>
          <w:rFonts w:eastAsia="Batang" w:cs="Times"/>
          <w:noProof/>
          <w:szCs w:val="24"/>
          <w:lang w:val="en-US" w:eastAsia="es-ES"/>
        </w:rPr>
        <w:t xml:space="preserve">lude to two different reports; the first identified as a preliminary report and the second as the final report. Each </w:t>
      </w:r>
      <w:r w:rsidR="00931E2E" w:rsidRPr="00FE50A6">
        <w:rPr>
          <w:rFonts w:eastAsia="Batang" w:cs="Times"/>
          <w:noProof/>
          <w:szCs w:val="24"/>
          <w:lang w:val="en-US" w:eastAsia="es-ES"/>
        </w:rPr>
        <w:t>report</w:t>
      </w:r>
      <w:r w:rsidRPr="00FE50A6">
        <w:rPr>
          <w:rFonts w:eastAsia="Batang" w:cs="Times"/>
          <w:noProof/>
          <w:szCs w:val="24"/>
          <w:lang w:val="en-US" w:eastAsia="es-ES"/>
        </w:rPr>
        <w:t xml:space="preserve"> has a distinct nature, because they correspond to different stages.</w:t>
      </w:r>
      <w:r w:rsidR="000A52D5" w:rsidRPr="00FE50A6">
        <w:rPr>
          <w:rFonts w:eastAsia="Batang" w:cs="Times"/>
          <w:noProof/>
          <w:szCs w:val="24"/>
          <w:vertAlign w:val="superscript"/>
          <w:lang w:val="en-US" w:eastAsia="es-ES"/>
        </w:rPr>
        <w:footnoteReference w:id="20"/>
      </w:r>
    </w:p>
    <w:p w14:paraId="68F4CB28"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2229F9E" w14:textId="77777777" w:rsidR="000A52D5" w:rsidRPr="00FE50A6" w:rsidRDefault="000702CF" w:rsidP="000702CF">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preliminary report responds to the first stage of the procedure and is established in </w:t>
      </w:r>
      <w:r w:rsidR="000228D0" w:rsidRPr="00FE50A6">
        <w:rPr>
          <w:rFonts w:eastAsia="Batang" w:cs="Times"/>
          <w:noProof/>
          <w:szCs w:val="24"/>
          <w:lang w:val="en-US" w:eastAsia="es-ES"/>
        </w:rPr>
        <w:t>Article</w:t>
      </w:r>
      <w:r w:rsidR="000A52D5" w:rsidRPr="00FE50A6">
        <w:rPr>
          <w:rFonts w:eastAsia="Batang" w:cs="Times"/>
          <w:noProof/>
          <w:szCs w:val="24"/>
          <w:lang w:val="en-US" w:eastAsia="es-ES"/>
        </w:rPr>
        <w:t xml:space="preserve"> 50</w:t>
      </w:r>
      <w:r w:rsidR="000228D0"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which stipulates that, </w:t>
      </w:r>
      <w:r w:rsidR="009C48A4" w:rsidRPr="00FE50A6">
        <w:rPr>
          <w:rFonts w:eastAsia="Batang" w:cs="Times"/>
          <w:noProof/>
          <w:szCs w:val="24"/>
          <w:lang w:val="en-US" w:eastAsia="es-ES"/>
        </w:rPr>
        <w:t>“</w:t>
      </w:r>
      <w:r w:rsidRPr="00FE50A6">
        <w:rPr>
          <w:rFonts w:eastAsia="Batang" w:cs="Times"/>
          <w:noProof/>
          <w:szCs w:val="24"/>
          <w:lang w:val="en-US" w:eastAsia="es-ES"/>
        </w:rPr>
        <w:t>if a settlement is not reached,</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Pr="00FE50A6">
        <w:rPr>
          <w:rFonts w:eastAsia="Batang" w:cs="Times"/>
          <w:noProof/>
          <w:szCs w:val="24"/>
          <w:lang w:val="en-US" w:eastAsia="es-ES"/>
        </w:rPr>
        <w:t xml:space="preserve"> </w:t>
      </w:r>
      <w:r w:rsidR="00D345B1" w:rsidRPr="00FE50A6">
        <w:rPr>
          <w:rFonts w:eastAsia="Batang" w:cs="Times"/>
          <w:noProof/>
          <w:szCs w:val="24"/>
          <w:lang w:val="en-US" w:eastAsia="es-ES"/>
        </w:rPr>
        <w:t>sha</w:t>
      </w:r>
      <w:r w:rsidRPr="00FE50A6">
        <w:rPr>
          <w:rFonts w:eastAsia="Batang" w:cs="Times"/>
          <w:noProof/>
          <w:szCs w:val="24"/>
          <w:lang w:val="en-US" w:eastAsia="es-ES"/>
        </w:rPr>
        <w:t>ll draw up a report setting forth the facts and stating its conclusions</w:t>
      </w:r>
      <w:r w:rsidR="009C48A4" w:rsidRPr="00FE50A6">
        <w:rPr>
          <w:rFonts w:eastAsia="Batang" w:cs="Times"/>
          <w:noProof/>
          <w:szCs w:val="24"/>
          <w:lang w:val="en-US" w:eastAsia="es-ES"/>
        </w:rPr>
        <w:t>”</w:t>
      </w:r>
      <w:r w:rsidR="00D345B1" w:rsidRPr="00FE50A6">
        <w:rPr>
          <w:rFonts w:eastAsia="Batang" w:cs="Times"/>
          <w:noProof/>
          <w:szCs w:val="24"/>
          <w:lang w:val="en-US" w:eastAsia="es-ES"/>
        </w:rPr>
        <w:t>;</w:t>
      </w:r>
      <w:r w:rsidRPr="00FE50A6">
        <w:rPr>
          <w:rFonts w:eastAsia="Batang" w:cs="Times"/>
          <w:noProof/>
          <w:szCs w:val="24"/>
          <w:lang w:val="en-US" w:eastAsia="es-ES"/>
        </w:rPr>
        <w:t xml:space="preserve"> th</w:t>
      </w:r>
      <w:r w:rsidR="00D345B1" w:rsidRPr="00FE50A6">
        <w:rPr>
          <w:rFonts w:eastAsia="Batang" w:cs="Times"/>
          <w:noProof/>
          <w:szCs w:val="24"/>
          <w:lang w:val="en-US" w:eastAsia="es-ES"/>
        </w:rPr>
        <w:t>e report</w:t>
      </w:r>
      <w:r w:rsidRPr="00FE50A6">
        <w:rPr>
          <w:rFonts w:eastAsia="Batang" w:cs="Times"/>
          <w:noProof/>
          <w:szCs w:val="24"/>
          <w:lang w:val="en-US" w:eastAsia="es-ES"/>
        </w:rPr>
        <w:t xml:space="preserve"> </w:t>
      </w:r>
      <w:r w:rsidR="00D345B1" w:rsidRPr="00FE50A6">
        <w:rPr>
          <w:rFonts w:eastAsia="Batang" w:cs="Times"/>
          <w:noProof/>
          <w:szCs w:val="24"/>
          <w:lang w:val="en-US" w:eastAsia="es-ES"/>
        </w:rPr>
        <w:t>is</w:t>
      </w:r>
      <w:r w:rsidRPr="00FE50A6">
        <w:rPr>
          <w:rFonts w:eastAsia="Batang" w:cs="Times"/>
          <w:noProof/>
          <w:szCs w:val="24"/>
          <w:lang w:val="en-US" w:eastAsia="es-ES"/>
        </w:rPr>
        <w:t xml:space="preserve"> </w:t>
      </w:r>
      <w:r w:rsidR="00D345B1" w:rsidRPr="00FE50A6">
        <w:rPr>
          <w:rFonts w:eastAsia="Batang" w:cs="Times"/>
          <w:noProof/>
          <w:szCs w:val="24"/>
          <w:lang w:val="en-US" w:eastAsia="es-ES"/>
        </w:rPr>
        <w:t xml:space="preserve">then </w:t>
      </w:r>
      <w:r w:rsidRPr="00FE50A6">
        <w:rPr>
          <w:rFonts w:eastAsia="Batang" w:cs="Times"/>
          <w:noProof/>
          <w:szCs w:val="24"/>
          <w:lang w:val="en-US" w:eastAsia="es-ES"/>
        </w:rPr>
        <w:t>forwarded to the State concerned. This document is of a preliminary nature, so</w:t>
      </w:r>
      <w:r w:rsidR="00D345B1" w:rsidRPr="00FE50A6">
        <w:rPr>
          <w:rFonts w:eastAsia="Batang" w:cs="Times"/>
          <w:noProof/>
          <w:szCs w:val="24"/>
          <w:lang w:val="en-US" w:eastAsia="es-ES"/>
        </w:rPr>
        <w:t xml:space="preserve"> </w:t>
      </w:r>
      <w:r w:rsidRPr="00FE50A6">
        <w:rPr>
          <w:rFonts w:eastAsia="Batang" w:cs="Times"/>
          <w:noProof/>
          <w:szCs w:val="24"/>
          <w:lang w:val="en-US" w:eastAsia="es-ES"/>
        </w:rPr>
        <w:t xml:space="preserve">that the report </w:t>
      </w:r>
      <w:r w:rsidR="00BA1AAE" w:rsidRPr="00FE50A6">
        <w:rPr>
          <w:rFonts w:eastAsia="Batang" w:cs="Times"/>
          <w:noProof/>
          <w:szCs w:val="24"/>
          <w:lang w:val="en-US" w:eastAsia="es-ES"/>
        </w:rPr>
        <w:t xml:space="preserve">transmitted </w:t>
      </w:r>
      <w:r w:rsidR="00D345B1" w:rsidRPr="00FE50A6">
        <w:rPr>
          <w:rFonts w:eastAsia="Batang" w:cs="Times"/>
          <w:noProof/>
          <w:szCs w:val="24"/>
          <w:lang w:val="en-US" w:eastAsia="es-ES"/>
        </w:rPr>
        <w:t xml:space="preserve">to the State is confidential in nature to allow the </w:t>
      </w:r>
      <w:r w:rsidR="00931E2E" w:rsidRPr="00FE50A6">
        <w:rPr>
          <w:rFonts w:eastAsia="Batang" w:cs="Times"/>
          <w:noProof/>
          <w:szCs w:val="24"/>
          <w:lang w:val="en-US" w:eastAsia="es-ES"/>
        </w:rPr>
        <w:t>latter</w:t>
      </w:r>
      <w:r w:rsidR="00D345B1" w:rsidRPr="00FE50A6">
        <w:rPr>
          <w:rFonts w:eastAsia="Batang" w:cs="Times"/>
          <w:noProof/>
          <w:szCs w:val="24"/>
          <w:lang w:val="en-US" w:eastAsia="es-ES"/>
        </w:rPr>
        <w:t xml:space="preserve"> to adopt the Commission’s suggestions and recommendations and thus settle the dispute. The preliminary and confidential nature of the document means that the State is not authorized to publish it</w:t>
      </w:r>
      <w:r w:rsidR="00931E2E" w:rsidRPr="00FE50A6">
        <w:rPr>
          <w:rFonts w:eastAsia="Batang" w:cs="Times"/>
          <w:noProof/>
          <w:szCs w:val="24"/>
          <w:lang w:val="en-US" w:eastAsia="es-ES"/>
        </w:rPr>
        <w:t>. Accordingly,</w:t>
      </w:r>
      <w:r w:rsidR="00D345B1" w:rsidRPr="00FE50A6">
        <w:rPr>
          <w:rFonts w:eastAsia="Batang" w:cs="Times"/>
          <w:noProof/>
          <w:szCs w:val="24"/>
          <w:lang w:val="en-US" w:eastAsia="es-ES"/>
        </w:rPr>
        <w:t xml:space="preserve"> based on the principles of equality and procedural balance between the parties, it is reasonable to consider that the Commission</w:t>
      </w:r>
      <w:r w:rsidR="00931E2E" w:rsidRPr="00FE50A6">
        <w:rPr>
          <w:rFonts w:eastAsia="Batang" w:cs="Times"/>
          <w:noProof/>
          <w:szCs w:val="24"/>
          <w:lang w:val="en-US" w:eastAsia="es-ES"/>
        </w:rPr>
        <w:t>, also, is un</w:t>
      </w:r>
      <w:r w:rsidR="00D345B1" w:rsidRPr="00FE50A6">
        <w:rPr>
          <w:rFonts w:eastAsia="Batang" w:cs="Times"/>
          <w:noProof/>
          <w:szCs w:val="24"/>
          <w:lang w:val="en-US" w:eastAsia="es-ES"/>
        </w:rPr>
        <w:t>able</w:t>
      </w:r>
      <w:r w:rsidR="00931E2E" w:rsidRPr="00FE50A6">
        <w:rPr>
          <w:rFonts w:eastAsia="Batang" w:cs="Times"/>
          <w:noProof/>
          <w:szCs w:val="24"/>
          <w:lang w:val="en-US" w:eastAsia="es-ES"/>
        </w:rPr>
        <w:t>,</w:t>
      </w:r>
      <w:r w:rsidR="00D345B1" w:rsidRPr="00FE50A6">
        <w:rPr>
          <w:rFonts w:eastAsia="Batang" w:cs="Times"/>
          <w:noProof/>
          <w:szCs w:val="24"/>
          <w:lang w:val="en-US" w:eastAsia="es-ES"/>
        </w:rPr>
        <w:t xml:space="preserve"> either practically or legally</w:t>
      </w:r>
      <w:r w:rsidR="00931E2E" w:rsidRPr="00FE50A6">
        <w:rPr>
          <w:rFonts w:eastAsia="Batang" w:cs="Times"/>
          <w:noProof/>
          <w:szCs w:val="24"/>
          <w:lang w:val="en-US" w:eastAsia="es-ES"/>
        </w:rPr>
        <w:t>,</w:t>
      </w:r>
      <w:r w:rsidR="00D345B1" w:rsidRPr="00FE50A6">
        <w:rPr>
          <w:rFonts w:eastAsia="Batang" w:cs="Times"/>
          <w:noProof/>
          <w:szCs w:val="24"/>
          <w:lang w:val="en-US" w:eastAsia="es-ES"/>
        </w:rPr>
        <w:t xml:space="preserve"> to publish this preliminary report.</w:t>
      </w:r>
      <w:r w:rsidR="000A52D5" w:rsidRPr="00FE50A6">
        <w:rPr>
          <w:rFonts w:eastAsia="Batang" w:cs="Times"/>
          <w:noProof/>
          <w:szCs w:val="24"/>
          <w:vertAlign w:val="superscript"/>
          <w:lang w:val="en-US" w:eastAsia="es-ES"/>
        </w:rPr>
        <w:footnoteReference w:id="21"/>
      </w:r>
      <w:r w:rsidR="000A52D5" w:rsidRPr="00FE50A6">
        <w:rPr>
          <w:rFonts w:eastAsia="Batang" w:cs="Times"/>
          <w:noProof/>
          <w:szCs w:val="24"/>
          <w:lang w:val="en-US" w:eastAsia="es-ES"/>
        </w:rPr>
        <w:t xml:space="preserve">  </w:t>
      </w:r>
    </w:p>
    <w:p w14:paraId="55521AF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9E10970" w14:textId="77777777" w:rsidR="000A52D5" w:rsidRPr="00FE50A6" w:rsidRDefault="00D345B1" w:rsidP="009F5F31">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When three months have elapsed</w:t>
      </w:r>
      <w:r w:rsidR="009F5F31" w:rsidRPr="00FE50A6">
        <w:rPr>
          <w:rFonts w:eastAsia="Batang" w:cs="Times"/>
          <w:noProof/>
          <w:szCs w:val="24"/>
          <w:lang w:val="en-US" w:eastAsia="es-ES"/>
        </w:rPr>
        <w:t>,</w:t>
      </w:r>
      <w:r w:rsidRPr="00FE50A6">
        <w:rPr>
          <w:rFonts w:eastAsia="Batang" w:cs="Times"/>
          <w:noProof/>
          <w:szCs w:val="24"/>
          <w:lang w:val="en-US" w:eastAsia="es-ES"/>
        </w:rPr>
        <w:t xml:space="preserve"> if the </w:t>
      </w:r>
      <w:r w:rsidR="009F5F31" w:rsidRPr="00FE50A6">
        <w:rPr>
          <w:rFonts w:eastAsia="Batang" w:cs="Times"/>
          <w:noProof/>
          <w:szCs w:val="24"/>
          <w:lang w:val="en-US" w:eastAsia="es-ES"/>
        </w:rPr>
        <w:t>matter</w:t>
      </w:r>
      <w:r w:rsidRPr="00FE50A6">
        <w:rPr>
          <w:rFonts w:eastAsia="Batang" w:cs="Times"/>
          <w:noProof/>
          <w:szCs w:val="24"/>
          <w:lang w:val="en-US" w:eastAsia="es-ES"/>
        </w:rPr>
        <w:t xml:space="preserve"> has not </w:t>
      </w:r>
      <w:r w:rsidR="009F5F31" w:rsidRPr="00FE50A6">
        <w:rPr>
          <w:rFonts w:eastAsia="Batang" w:cs="Times"/>
          <w:noProof/>
          <w:szCs w:val="24"/>
          <w:lang w:val="en-US" w:eastAsia="es-ES"/>
        </w:rPr>
        <w:t xml:space="preserve">been </w:t>
      </w:r>
      <w:r w:rsidRPr="00FE50A6">
        <w:rPr>
          <w:rFonts w:eastAsia="Batang" w:cs="Times"/>
          <w:noProof/>
          <w:szCs w:val="24"/>
          <w:lang w:val="en-US" w:eastAsia="es-ES"/>
        </w:rPr>
        <w:t xml:space="preserve">resolved </w:t>
      </w:r>
      <w:r w:rsidR="009F5F31" w:rsidRPr="00FE50A6">
        <w:rPr>
          <w:rFonts w:eastAsia="Batang" w:cs="Times"/>
          <w:noProof/>
          <w:szCs w:val="24"/>
          <w:lang w:val="en-US" w:eastAsia="es-ES"/>
        </w:rPr>
        <w:t xml:space="preserve">by </w:t>
      </w:r>
      <w:r w:rsidRPr="00FE50A6">
        <w:rPr>
          <w:rFonts w:eastAsia="Batang" w:cs="Times"/>
          <w:noProof/>
          <w:szCs w:val="24"/>
          <w:lang w:val="en-US" w:eastAsia="es-ES"/>
        </w:rPr>
        <w:t xml:space="preserve">the </w:t>
      </w:r>
      <w:r w:rsidR="009F5F31" w:rsidRPr="00FE50A6">
        <w:rPr>
          <w:rFonts w:eastAsia="Batang" w:cs="Times"/>
          <w:noProof/>
          <w:szCs w:val="24"/>
          <w:lang w:val="en-US" w:eastAsia="es-ES"/>
        </w:rPr>
        <w:t>State to which the preliminary report was sent by complying with the recommendations made therein, the Commission is authorized, within that period, to decide whether to submit the case to the Court or to publish the report in accordance with Article 51.</w:t>
      </w:r>
      <w:r w:rsidR="000A52D5" w:rsidRPr="00FE50A6">
        <w:rPr>
          <w:rFonts w:eastAsia="Batang" w:cs="Times"/>
          <w:noProof/>
          <w:szCs w:val="24"/>
          <w:vertAlign w:val="superscript"/>
          <w:lang w:val="en-US" w:eastAsia="es-ES"/>
        </w:rPr>
        <w:footnoteReference w:id="22"/>
      </w:r>
      <w:r w:rsidR="000A52D5" w:rsidRPr="00FE50A6">
        <w:rPr>
          <w:rFonts w:eastAsia="Batang" w:cs="Times"/>
          <w:noProof/>
          <w:szCs w:val="24"/>
          <w:lang w:val="en-US" w:eastAsia="es-ES"/>
        </w:rPr>
        <w:t xml:space="preserve"> </w:t>
      </w:r>
    </w:p>
    <w:p w14:paraId="5933DEC2"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5F5A6D9" w14:textId="77777777" w:rsidR="000A52D5" w:rsidRPr="00FE50A6" w:rsidRDefault="009F5F31"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Therefore, the report established in </w:t>
      </w:r>
      <w:r w:rsidR="000228D0" w:rsidRPr="00FE50A6">
        <w:rPr>
          <w:rFonts w:eastAsia="Batang" w:cs="Times"/>
          <w:noProof/>
          <w:szCs w:val="24"/>
          <w:lang w:val="en-US" w:eastAsia="es-ES"/>
        </w:rPr>
        <w:t>Article</w:t>
      </w:r>
      <w:r w:rsidR="000A52D5" w:rsidRPr="00FE50A6">
        <w:rPr>
          <w:rFonts w:eastAsia="Batang" w:cs="Times"/>
          <w:noProof/>
          <w:szCs w:val="24"/>
          <w:lang w:val="en-US" w:eastAsia="es-ES"/>
        </w:rPr>
        <w:t xml:space="preserve"> 50 </w:t>
      </w:r>
      <w:r w:rsidRPr="00FE50A6">
        <w:rPr>
          <w:rFonts w:eastAsia="Batang" w:cs="Times"/>
          <w:noProof/>
          <w:szCs w:val="24"/>
          <w:lang w:val="en-US" w:eastAsia="es-ES"/>
        </w:rPr>
        <w:t xml:space="preserve">may be published, provided this occurs after the case has been submitted to the Court. This is because, at that moment of the procedure, the State is aware of its contents and </w:t>
      </w:r>
      <w:r w:rsidR="00931E2E" w:rsidRPr="00FE50A6">
        <w:rPr>
          <w:rFonts w:eastAsia="Batang" w:cs="Times"/>
          <w:noProof/>
          <w:szCs w:val="24"/>
          <w:lang w:val="en-US" w:eastAsia="es-ES"/>
        </w:rPr>
        <w:t xml:space="preserve">has </w:t>
      </w:r>
      <w:r w:rsidRPr="00FE50A6">
        <w:rPr>
          <w:rFonts w:eastAsia="Batang" w:cs="Times"/>
          <w:noProof/>
          <w:szCs w:val="24"/>
          <w:lang w:val="en-US" w:eastAsia="es-ES"/>
        </w:rPr>
        <w:t>had the opportunity to comply with the recommendations. Th</w:t>
      </w:r>
      <w:r w:rsidR="00931E2E" w:rsidRPr="00FE50A6">
        <w:rPr>
          <w:rFonts w:eastAsia="Batang" w:cs="Times"/>
          <w:noProof/>
          <w:szCs w:val="24"/>
          <w:lang w:val="en-US" w:eastAsia="es-ES"/>
        </w:rPr>
        <w:t>erefore</w:t>
      </w:r>
      <w:r w:rsidR="000A52D5" w:rsidRPr="00FE50A6">
        <w:rPr>
          <w:rFonts w:eastAsia="Batang" w:cs="Times"/>
          <w:noProof/>
          <w:szCs w:val="24"/>
          <w:lang w:val="en-US" w:eastAsia="es-ES"/>
        </w:rPr>
        <w:t>,</w:t>
      </w:r>
      <w:r w:rsidRPr="00FE50A6">
        <w:rPr>
          <w:rFonts w:eastAsia="Batang" w:cs="Times"/>
          <w:noProof/>
          <w:szCs w:val="24"/>
          <w:lang w:val="en-US" w:eastAsia="es-ES"/>
        </w:rPr>
        <w:t xml:space="preserve"> it cannot be considered that the principle of the procedural balance between the parties has been violated. This has been the Commission’s consistent practice for many years, in particular since the 2009 amendment of its Rules of Procedure.</w:t>
      </w:r>
    </w:p>
    <w:p w14:paraId="2C0E9BAA"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7769183" w14:textId="77777777" w:rsidR="000A52D5" w:rsidRPr="00FE50A6" w:rsidRDefault="009F5F31"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lastRenderedPageBreak/>
        <w:t>In this case</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Pr="00FE50A6">
        <w:rPr>
          <w:rFonts w:eastAsia="Batang" w:cs="Times"/>
          <w:noProof/>
          <w:szCs w:val="24"/>
          <w:lang w:val="en-US" w:eastAsia="es-ES"/>
        </w:rPr>
        <w:t>affirmed that</w:t>
      </w:r>
      <w:r w:rsidR="003D4FF7"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3D4FF7" w:rsidRPr="00FE50A6">
        <w:rPr>
          <w:rFonts w:eastAsia="Batang" w:cs="Times"/>
          <w:noProof/>
          <w:szCs w:val="24"/>
          <w:lang w:val="en-US" w:eastAsia="es-ES"/>
        </w:rPr>
        <w:t xml:space="preserve"> </w:t>
      </w:r>
      <w:r w:rsidR="00931E2E" w:rsidRPr="00FE50A6">
        <w:rPr>
          <w:rFonts w:eastAsia="Batang" w:cs="Times"/>
          <w:noProof/>
          <w:szCs w:val="24"/>
          <w:lang w:val="en-US" w:eastAsia="es-ES"/>
        </w:rPr>
        <w:t xml:space="preserve">had </w:t>
      </w:r>
      <w:r w:rsidRPr="00FE50A6">
        <w:rPr>
          <w:rFonts w:eastAsia="Batang" w:cs="Times"/>
          <w:noProof/>
          <w:szCs w:val="24"/>
          <w:lang w:val="en-US" w:eastAsia="es-ES"/>
        </w:rPr>
        <w:t>published</w:t>
      </w:r>
      <w:r w:rsidR="003D4FF7" w:rsidRPr="00FE50A6">
        <w:rPr>
          <w:rFonts w:eastAsia="Batang" w:cs="Times"/>
          <w:noProof/>
          <w:szCs w:val="24"/>
          <w:lang w:val="en-US" w:eastAsia="es-ES"/>
        </w:rPr>
        <w:t xml:space="preserve">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No. 169/2011</w:t>
      </w:r>
      <w:r w:rsidR="003D4FF7" w:rsidRPr="00FE50A6">
        <w:rPr>
          <w:rFonts w:eastAsia="Batang" w:cs="Times"/>
          <w:noProof/>
          <w:szCs w:val="24"/>
          <w:lang w:val="en-US" w:eastAsia="es-ES"/>
        </w:rPr>
        <w:t xml:space="preserve"> </w:t>
      </w:r>
      <w:r w:rsidRPr="00FE50A6">
        <w:rPr>
          <w:rFonts w:eastAsia="Batang" w:cs="Times"/>
          <w:noProof/>
          <w:szCs w:val="24"/>
          <w:lang w:val="en-US" w:eastAsia="es-ES"/>
        </w:rPr>
        <w:t xml:space="preserve">before submitting it to </w:t>
      </w:r>
      <w:r w:rsidR="000228D0" w:rsidRPr="00FE50A6">
        <w:rPr>
          <w:rFonts w:eastAsia="Batang" w:cs="Times"/>
          <w:noProof/>
          <w:szCs w:val="24"/>
          <w:lang w:val="en-US" w:eastAsia="es-ES"/>
        </w:rPr>
        <w:t>the Court</w:t>
      </w:r>
      <w:r w:rsidR="003D4FF7"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indicated that it published the report on its website on September 10, </w:t>
      </w:r>
      <w:r w:rsidR="000A52D5" w:rsidRPr="00FE50A6">
        <w:rPr>
          <w:rFonts w:eastAsia="Batang" w:cs="Times"/>
          <w:noProof/>
          <w:szCs w:val="24"/>
          <w:lang w:val="en-US" w:eastAsia="es-ES"/>
        </w:rPr>
        <w:t xml:space="preserve">2015, </w:t>
      </w:r>
      <w:r w:rsidRPr="00FE50A6">
        <w:rPr>
          <w:rFonts w:eastAsia="Batang" w:cs="Times"/>
          <w:noProof/>
          <w:szCs w:val="24"/>
          <w:lang w:val="en-US" w:eastAsia="es-ES"/>
        </w:rPr>
        <w:t>after submitting the matter to the jurisdiction of the Court on March 12, 2015, and presented evidence</w:t>
      </w:r>
      <w:r w:rsidR="00931E2E" w:rsidRPr="00FE50A6">
        <w:rPr>
          <w:rFonts w:eastAsia="Batang" w:cs="Times"/>
          <w:noProof/>
          <w:szCs w:val="24"/>
          <w:lang w:val="en-US" w:eastAsia="es-ES"/>
        </w:rPr>
        <w:t xml:space="preserve"> to prove </w:t>
      </w:r>
      <w:r w:rsidRPr="00FE50A6">
        <w:rPr>
          <w:rFonts w:eastAsia="Batang" w:cs="Times"/>
          <w:noProof/>
          <w:szCs w:val="24"/>
          <w:lang w:val="en-US" w:eastAsia="es-ES"/>
        </w:rPr>
        <w:t xml:space="preserve">this. </w:t>
      </w:r>
      <w:r w:rsidR="008A7089" w:rsidRPr="00FE50A6">
        <w:rPr>
          <w:rFonts w:eastAsia="Batang" w:cs="Times"/>
          <w:noProof/>
          <w:szCs w:val="24"/>
          <w:lang w:val="en-US" w:eastAsia="es-ES"/>
        </w:rPr>
        <w:t xml:space="preserve">The State failed to prove its assertion that the report in this case was published in a way that differed from that described by </w:t>
      </w:r>
      <w:r w:rsidR="000228D0" w:rsidRPr="00FE50A6">
        <w:rPr>
          <w:rFonts w:eastAsia="Batang" w:cs="Times"/>
          <w:noProof/>
          <w:szCs w:val="24"/>
          <w:lang w:val="en-US" w:eastAsia="es-ES"/>
        </w:rPr>
        <w:t>the Commission</w:t>
      </w:r>
      <w:r w:rsidR="00C278B7" w:rsidRPr="00FE50A6">
        <w:rPr>
          <w:rFonts w:eastAsia="Batang" w:cs="Times"/>
          <w:noProof/>
          <w:szCs w:val="24"/>
          <w:lang w:val="en-US" w:eastAsia="es-ES"/>
        </w:rPr>
        <w:t xml:space="preserve"> o</w:t>
      </w:r>
      <w:r w:rsidR="008A7089" w:rsidRPr="00FE50A6">
        <w:rPr>
          <w:rFonts w:eastAsia="Batang" w:cs="Times"/>
          <w:noProof/>
          <w:szCs w:val="24"/>
          <w:lang w:val="en-US" w:eastAsia="es-ES"/>
        </w:rPr>
        <w:t xml:space="preserve">r in a manner that was contrary to </w:t>
      </w:r>
      <w:r w:rsidR="000228D0" w:rsidRPr="00FE50A6">
        <w:rPr>
          <w:rFonts w:eastAsia="Batang" w:cs="Times"/>
          <w:noProof/>
          <w:szCs w:val="24"/>
          <w:lang w:val="en-US" w:eastAsia="es-ES"/>
        </w:rPr>
        <w:t>the American Convention</w:t>
      </w:r>
      <w:r w:rsidR="00C278B7" w:rsidRPr="00FE50A6">
        <w:rPr>
          <w:rFonts w:eastAsia="Batang" w:cs="Times"/>
          <w:noProof/>
          <w:szCs w:val="24"/>
          <w:lang w:val="en-US" w:eastAsia="es-ES"/>
        </w:rPr>
        <w:t>.</w:t>
      </w:r>
    </w:p>
    <w:p w14:paraId="2AB936B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E75DCEF" w14:textId="77777777" w:rsidR="000A52D5" w:rsidRPr="00FE50A6" w:rsidRDefault="008A708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Consequently, the Court finds that the State’s argument is inadmissible.</w:t>
      </w:r>
      <w:r w:rsidR="00123606" w:rsidRPr="00FE50A6">
        <w:rPr>
          <w:rFonts w:eastAsia="Batang" w:cs="Times"/>
          <w:noProof/>
          <w:szCs w:val="24"/>
          <w:lang w:val="en-US" w:eastAsia="es-ES"/>
        </w:rPr>
        <w:t xml:space="preserve"> </w:t>
      </w:r>
    </w:p>
    <w:p w14:paraId="2AA9825C" w14:textId="77777777" w:rsidR="00544C53" w:rsidRPr="00FE50A6" w:rsidRDefault="00544C53" w:rsidP="00140440">
      <w:pPr>
        <w:tabs>
          <w:tab w:val="clear" w:pos="4419"/>
          <w:tab w:val="clear" w:pos="8838"/>
        </w:tabs>
        <w:jc w:val="both"/>
        <w:rPr>
          <w:rFonts w:eastAsia="Batang" w:cs="Times"/>
          <w:noProof/>
          <w:szCs w:val="24"/>
          <w:u w:val="single"/>
          <w:lang w:val="en-US" w:eastAsia="es-ES"/>
        </w:rPr>
      </w:pPr>
    </w:p>
    <w:p w14:paraId="43FACC7A" w14:textId="77777777" w:rsidR="000A52D5" w:rsidRPr="00FE50A6" w:rsidRDefault="008A7089" w:rsidP="008B0BCC">
      <w:pPr>
        <w:pStyle w:val="Ttulo2"/>
        <w:numPr>
          <w:ilvl w:val="0"/>
          <w:numId w:val="15"/>
        </w:numPr>
      </w:pPr>
      <w:bookmarkStart w:id="55" w:name="_Toc464813891"/>
      <w:r w:rsidRPr="00FE50A6">
        <w:t xml:space="preserve">Alleged lack </w:t>
      </w:r>
      <w:r w:rsidR="00822837" w:rsidRPr="00FE50A6">
        <w:t>of jurisdiction</w:t>
      </w:r>
      <w:r w:rsidR="000A52D5" w:rsidRPr="00FE50A6">
        <w:t xml:space="preserve"> </w:t>
      </w:r>
      <w:r w:rsidR="000A52D5" w:rsidRPr="00FE50A6">
        <w:rPr>
          <w:i w:val="0"/>
        </w:rPr>
        <w:t>ratione personae</w:t>
      </w:r>
      <w:r w:rsidR="000A52D5" w:rsidRPr="00FE50A6">
        <w:t xml:space="preserve"> </w:t>
      </w:r>
      <w:r w:rsidRPr="00FE50A6">
        <w:t>regarding the presumed</w:t>
      </w:r>
      <w:r w:rsidR="0017587B" w:rsidRPr="00FE50A6">
        <w:t xml:space="preserve"> victims</w:t>
      </w:r>
      <w:bookmarkEnd w:id="55"/>
    </w:p>
    <w:p w14:paraId="078341FC" w14:textId="77777777" w:rsidR="000A52D5" w:rsidRPr="00FE50A6" w:rsidRDefault="000A52D5" w:rsidP="00140440">
      <w:pPr>
        <w:tabs>
          <w:tab w:val="clear" w:pos="4419"/>
          <w:tab w:val="clear" w:pos="8838"/>
        </w:tabs>
        <w:jc w:val="both"/>
        <w:rPr>
          <w:rFonts w:eastAsia="Batang" w:cs="Times"/>
          <w:b/>
          <w:noProof/>
          <w:szCs w:val="24"/>
          <w:lang w:val="en-US" w:eastAsia="es-ES"/>
        </w:rPr>
      </w:pPr>
      <w:r w:rsidRPr="00FE50A6">
        <w:rPr>
          <w:rFonts w:eastAsia="Batang" w:cs="Times"/>
          <w:b/>
          <w:noProof/>
          <w:szCs w:val="24"/>
          <w:lang w:val="en-US" w:eastAsia="es-ES"/>
        </w:rPr>
        <w:t xml:space="preserve"> </w:t>
      </w:r>
    </w:p>
    <w:p w14:paraId="518715F8" w14:textId="77777777" w:rsidR="000A52D5" w:rsidRPr="00FE50A6" w:rsidRDefault="008A7089" w:rsidP="00A82588">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The Court will now indicate, first, the State’s arguments concerning the objections related to presumed victims: (</w:t>
      </w:r>
      <w:r w:rsidR="005862BF" w:rsidRPr="00FE50A6">
        <w:rPr>
          <w:rFonts w:eastAsia="Batang" w:cs="Times"/>
          <w:noProof/>
          <w:szCs w:val="24"/>
          <w:lang w:val="en-US" w:eastAsia="es-ES"/>
        </w:rPr>
        <w:t>i) identifi</w:t>
      </w:r>
      <w:r w:rsidRPr="00FE50A6">
        <w:rPr>
          <w:rFonts w:eastAsia="Batang" w:cs="Times"/>
          <w:noProof/>
          <w:szCs w:val="24"/>
          <w:lang w:val="en-US" w:eastAsia="es-ES"/>
        </w:rPr>
        <w:t xml:space="preserve">ed and represented; (ii) without proof of representation; (iii) without power of </w:t>
      </w:r>
      <w:r w:rsidR="002713C8" w:rsidRPr="00FE50A6">
        <w:rPr>
          <w:rFonts w:eastAsia="Batang" w:cs="Times"/>
          <w:noProof/>
          <w:szCs w:val="24"/>
          <w:lang w:val="en-US" w:eastAsia="es-ES"/>
        </w:rPr>
        <w:t>attorney</w:t>
      </w:r>
      <w:r w:rsidRPr="00FE50A6">
        <w:rPr>
          <w:rFonts w:eastAsia="Batang" w:cs="Times"/>
          <w:noProof/>
          <w:szCs w:val="24"/>
          <w:lang w:val="en-US" w:eastAsia="es-ES"/>
        </w:rPr>
        <w:t xml:space="preserve">; (iv) unrelated to the facts of the case; (v) with a different identity, or </w:t>
      </w:r>
      <w:r w:rsidR="00931E2E" w:rsidRPr="00FE50A6">
        <w:rPr>
          <w:rFonts w:eastAsia="Batang" w:cs="Times"/>
          <w:noProof/>
          <w:szCs w:val="24"/>
          <w:lang w:val="en-US" w:eastAsia="es-ES"/>
        </w:rPr>
        <w:t>without</w:t>
      </w:r>
      <w:r w:rsidRPr="00FE50A6">
        <w:rPr>
          <w:rFonts w:eastAsia="Batang" w:cs="Times"/>
          <w:noProof/>
          <w:szCs w:val="24"/>
          <w:lang w:val="en-US" w:eastAsia="es-ES"/>
        </w:rPr>
        <w:t xml:space="preserve"> due representation for next of kin, and (vi) who were not mentioned in the Merits Report. Second, the Court will review the</w:t>
      </w:r>
      <w:r w:rsidR="000A52D5" w:rsidRPr="00FE50A6">
        <w:rPr>
          <w:rFonts w:eastAsia="Batang" w:cs="Times"/>
          <w:noProof/>
          <w:szCs w:val="24"/>
          <w:lang w:val="en-US" w:eastAsia="es-ES"/>
        </w:rPr>
        <w:t xml:space="preserve"> </w:t>
      </w:r>
      <w:r w:rsidR="002071B1" w:rsidRPr="00FE50A6">
        <w:rPr>
          <w:rFonts w:eastAsia="Batang" w:cs="Times"/>
          <w:noProof/>
          <w:szCs w:val="24"/>
          <w:lang w:val="en-US" w:eastAsia="es-ES"/>
        </w:rPr>
        <w:t>observations</w:t>
      </w:r>
      <w:r w:rsidR="000228D0" w:rsidRPr="00FE50A6">
        <w:rPr>
          <w:rFonts w:eastAsia="Batang" w:cs="Times"/>
          <w:noProof/>
          <w:szCs w:val="24"/>
          <w:lang w:val="en-US" w:eastAsia="es-ES"/>
        </w:rPr>
        <w:t xml:space="preserve"> of the Commission</w:t>
      </w:r>
      <w:r w:rsidR="00030C17" w:rsidRPr="00FE50A6">
        <w:rPr>
          <w:rFonts w:eastAsia="Batang" w:cs="Times"/>
          <w:noProof/>
          <w:szCs w:val="24"/>
          <w:lang w:val="en-US" w:eastAsia="es-ES"/>
        </w:rPr>
        <w:t xml:space="preserve"> and</w:t>
      </w:r>
      <w:r w:rsidR="007571DF" w:rsidRPr="00FE50A6">
        <w:rPr>
          <w:rFonts w:eastAsia="Batang" w:cs="Times"/>
          <w:noProof/>
          <w:szCs w:val="24"/>
          <w:lang w:val="en-US" w:eastAsia="es-ES"/>
        </w:rPr>
        <w:t xml:space="preserve"> the </w:t>
      </w:r>
      <w:r w:rsidR="00700B79" w:rsidRPr="00FE50A6">
        <w:rPr>
          <w:rFonts w:eastAsia="Batang" w:cs="Times"/>
          <w:noProof/>
          <w:szCs w:val="24"/>
          <w:lang w:val="en-US" w:eastAsia="es-ES"/>
        </w:rPr>
        <w:t>representatives</w:t>
      </w:r>
      <w:r w:rsidR="000A52D5" w:rsidRPr="00FE50A6">
        <w:rPr>
          <w:rFonts w:eastAsia="Batang" w:cs="Times"/>
          <w:noProof/>
          <w:szCs w:val="24"/>
          <w:lang w:val="en-US" w:eastAsia="es-ES"/>
        </w:rPr>
        <w:t>.</w:t>
      </w:r>
      <w:r w:rsidRPr="00FE50A6">
        <w:rPr>
          <w:rFonts w:eastAsia="Batang" w:cs="Times"/>
          <w:noProof/>
          <w:szCs w:val="24"/>
          <w:lang w:val="en-US" w:eastAsia="es-ES"/>
        </w:rPr>
        <w:t xml:space="preserve"> It will then make the corresponding analysis.</w:t>
      </w:r>
      <w:r w:rsidR="000A52D5" w:rsidRPr="00FE50A6">
        <w:rPr>
          <w:rFonts w:eastAsia="Batang" w:cs="Times"/>
          <w:noProof/>
          <w:szCs w:val="24"/>
          <w:lang w:val="en-US" w:eastAsia="es-ES"/>
        </w:rPr>
        <w:t xml:space="preserve"> </w:t>
      </w:r>
    </w:p>
    <w:p w14:paraId="4662B87D" w14:textId="77777777" w:rsidR="008A7089" w:rsidRPr="00FE50A6" w:rsidRDefault="008A7089" w:rsidP="008A7089">
      <w:pPr>
        <w:tabs>
          <w:tab w:val="clear" w:pos="4419"/>
          <w:tab w:val="clear" w:pos="8838"/>
        </w:tabs>
        <w:jc w:val="both"/>
        <w:rPr>
          <w:rFonts w:eastAsia="Batang" w:cs="Times"/>
          <w:i/>
          <w:noProof/>
          <w:szCs w:val="24"/>
          <w:lang w:val="en-US" w:eastAsia="es-ES"/>
        </w:rPr>
      </w:pPr>
    </w:p>
    <w:p w14:paraId="544C74BE" w14:textId="77777777" w:rsidR="000A52D5" w:rsidRPr="00FE50A6" w:rsidRDefault="000A52D5" w:rsidP="000A20C1">
      <w:pPr>
        <w:pStyle w:val="Ttulo3"/>
        <w:rPr>
          <w:noProof/>
          <w:lang w:val="en-US" w:eastAsia="es-ES"/>
        </w:rPr>
      </w:pPr>
      <w:bookmarkStart w:id="56" w:name="_Toc460432965"/>
      <w:bookmarkStart w:id="57" w:name="_Toc460441896"/>
      <w:bookmarkStart w:id="58" w:name="_Toc462750716"/>
      <w:bookmarkStart w:id="59" w:name="_Toc462751040"/>
      <w:bookmarkStart w:id="60" w:name="_Toc464813892"/>
      <w:r w:rsidRPr="00FE50A6">
        <w:rPr>
          <w:noProof/>
          <w:lang w:val="en-US" w:eastAsia="es-ES"/>
        </w:rPr>
        <w:t xml:space="preserve">B.1. </w:t>
      </w:r>
      <w:r w:rsidR="005B65F5" w:rsidRPr="00FE50A6">
        <w:rPr>
          <w:noProof/>
          <w:lang w:val="en-US" w:eastAsia="es-ES"/>
        </w:rPr>
        <w:t>Arguments of</w:t>
      </w:r>
      <w:r w:rsidR="00703850" w:rsidRPr="00FE50A6">
        <w:rPr>
          <w:noProof/>
          <w:lang w:val="en-US" w:eastAsia="es-ES"/>
        </w:rPr>
        <w:t xml:space="preserve"> the </w:t>
      </w:r>
      <w:r w:rsidR="000228D0" w:rsidRPr="00FE50A6">
        <w:rPr>
          <w:noProof/>
          <w:lang w:val="en-US" w:eastAsia="es-ES"/>
        </w:rPr>
        <w:t>State</w:t>
      </w:r>
      <w:bookmarkEnd w:id="56"/>
      <w:bookmarkEnd w:id="57"/>
      <w:bookmarkEnd w:id="58"/>
      <w:bookmarkEnd w:id="59"/>
      <w:bookmarkEnd w:id="60"/>
    </w:p>
    <w:p w14:paraId="142774F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8BFF131"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identified and represented</w:t>
      </w:r>
    </w:p>
    <w:p w14:paraId="0694B221"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18260DA"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a</w:t>
      </w:r>
      <w:r w:rsidR="008A7089" w:rsidRPr="00FE50A6">
        <w:rPr>
          <w:rFonts w:eastAsia="Batang" w:cs="Times"/>
          <w:noProof/>
          <w:szCs w:val="24"/>
          <w:lang w:val="en-US" w:eastAsia="es-ES"/>
        </w:rPr>
        <w:t xml:space="preserve">rgued that </w:t>
      </w:r>
      <w:r w:rsidR="00700B79" w:rsidRPr="00FE50A6">
        <w:rPr>
          <w:rFonts w:eastAsia="Batang" w:cs="Times"/>
          <w:noProof/>
          <w:szCs w:val="24"/>
          <w:lang w:val="en-US" w:eastAsia="es-ES"/>
        </w:rPr>
        <w:t>the representatives</w:t>
      </w:r>
      <w:r w:rsidR="00B54FB3"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had only accredited the powers of </w:t>
      </w:r>
      <w:r w:rsidR="002713C8" w:rsidRPr="00FE50A6">
        <w:rPr>
          <w:rFonts w:eastAsia="Batang" w:cs="Times"/>
          <w:noProof/>
          <w:szCs w:val="24"/>
          <w:lang w:val="en-US" w:eastAsia="es-ES"/>
        </w:rPr>
        <w:t>attorney</w:t>
      </w:r>
      <w:r w:rsidR="008A7089" w:rsidRPr="00FE50A6">
        <w:rPr>
          <w:rFonts w:eastAsia="Batang" w:cs="Times"/>
          <w:noProof/>
          <w:szCs w:val="24"/>
          <w:lang w:val="en-US" w:eastAsia="es-ES"/>
        </w:rPr>
        <w:t xml:space="preserve"> of </w:t>
      </w:r>
      <w:r w:rsidR="000A52D5" w:rsidRPr="00FE50A6">
        <w:rPr>
          <w:rFonts w:eastAsia="Batang" w:cs="Times"/>
          <w:noProof/>
          <w:szCs w:val="24"/>
          <w:lang w:val="en-US" w:eastAsia="es-ES"/>
        </w:rPr>
        <w:t xml:space="preserve">33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who were suppose</w:t>
      </w:r>
      <w:r w:rsidR="00931E2E" w:rsidRPr="00FE50A6">
        <w:rPr>
          <w:rFonts w:eastAsia="Batang" w:cs="Times"/>
          <w:noProof/>
          <w:szCs w:val="24"/>
          <w:lang w:val="en-US" w:eastAsia="es-ES"/>
        </w:rPr>
        <w:t>dl</w:t>
      </w:r>
      <w:r w:rsidR="008A7089" w:rsidRPr="00FE50A6">
        <w:rPr>
          <w:rFonts w:eastAsia="Batang" w:cs="Times"/>
          <w:noProof/>
          <w:szCs w:val="24"/>
          <w:lang w:val="en-US" w:eastAsia="es-ES"/>
        </w:rPr>
        <w:t xml:space="preserve">y found in </w:t>
      </w:r>
      <w:r w:rsidR="000A52D5"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in the year </w:t>
      </w:r>
      <w:r w:rsidR="000A52D5" w:rsidRPr="00FE50A6">
        <w:rPr>
          <w:rFonts w:eastAsia="Batang" w:cs="Times"/>
          <w:noProof/>
          <w:szCs w:val="24"/>
          <w:lang w:val="en-US" w:eastAsia="es-ES"/>
        </w:rPr>
        <w:t>2000</w:t>
      </w:r>
      <w:r w:rsidR="008A7089" w:rsidRPr="00FE50A6">
        <w:rPr>
          <w:rFonts w:eastAsia="Batang" w:cs="Times"/>
          <w:noProof/>
          <w:szCs w:val="24"/>
          <w:lang w:val="en-US" w:eastAsia="es-ES"/>
        </w:rPr>
        <w:t>.</w:t>
      </w:r>
      <w:r w:rsidR="000A52D5" w:rsidRPr="00FE50A6">
        <w:rPr>
          <w:rFonts w:eastAsia="Batang" w:cs="Times"/>
          <w:noProof/>
          <w:szCs w:val="24"/>
          <w:vertAlign w:val="superscript"/>
          <w:lang w:val="en-US" w:eastAsia="es-ES"/>
        </w:rPr>
        <w:footnoteReference w:id="23"/>
      </w:r>
      <w:r w:rsidR="008A7089" w:rsidRPr="00FE50A6">
        <w:rPr>
          <w:rFonts w:eastAsia="Batang" w:cs="Times"/>
          <w:noProof/>
          <w:szCs w:val="24"/>
          <w:lang w:val="en-US" w:eastAsia="es-ES"/>
        </w:rPr>
        <w:t xml:space="preserve"> In addition, it indicated that the Court should analyze the facts of the case only with regard to</w:t>
      </w:r>
      <w:r w:rsidR="000A52D5" w:rsidRPr="00FE50A6">
        <w:rPr>
          <w:rFonts w:eastAsia="Batang" w:cs="Times"/>
          <w:noProof/>
          <w:szCs w:val="24"/>
          <w:lang w:val="en-US" w:eastAsia="es-ES"/>
        </w:rPr>
        <w:t xml:space="preserve">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who were correctly represented, and those listed in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No. 169/11 d</w:t>
      </w:r>
      <w:r w:rsidR="008A7089" w:rsidRPr="00FE50A6">
        <w:rPr>
          <w:rFonts w:eastAsia="Batang" w:cs="Times"/>
          <w:noProof/>
          <w:szCs w:val="24"/>
          <w:lang w:val="en-US" w:eastAsia="es-ES"/>
        </w:rPr>
        <w:t xml:space="preserve">uly identified and </w:t>
      </w:r>
      <w:r w:rsidR="00931E2E" w:rsidRPr="00FE50A6">
        <w:rPr>
          <w:rFonts w:eastAsia="Batang" w:cs="Times"/>
          <w:noProof/>
          <w:szCs w:val="24"/>
          <w:lang w:val="en-US" w:eastAsia="es-ES"/>
        </w:rPr>
        <w:t>involved in</w:t>
      </w:r>
      <w:r w:rsidR="008A7089" w:rsidRPr="00FE50A6">
        <w:rPr>
          <w:rFonts w:eastAsia="Batang" w:cs="Times"/>
          <w:noProof/>
          <w:szCs w:val="24"/>
          <w:lang w:val="en-US" w:eastAsia="es-ES"/>
        </w:rPr>
        <w:t xml:space="preserve"> the </w:t>
      </w:r>
      <w:r w:rsidR="002713C8" w:rsidRPr="00FE50A6">
        <w:rPr>
          <w:rFonts w:eastAsia="Batang" w:cs="Times"/>
          <w:noProof/>
          <w:szCs w:val="24"/>
          <w:lang w:val="en-US" w:eastAsia="es-ES"/>
        </w:rPr>
        <w:t>events</w:t>
      </w:r>
      <w:r w:rsidR="008A7089" w:rsidRPr="00FE50A6">
        <w:rPr>
          <w:rFonts w:eastAsia="Batang" w:cs="Times"/>
          <w:noProof/>
          <w:szCs w:val="24"/>
          <w:lang w:val="en-US" w:eastAsia="es-ES"/>
        </w:rPr>
        <w:t xml:space="preserve"> that took place in that </w:t>
      </w:r>
      <w:r w:rsidR="000A52D5" w:rsidRPr="00FE50A6">
        <w:rPr>
          <w:rFonts w:eastAsia="Batang" w:cs="Times"/>
          <w:noProof/>
          <w:szCs w:val="24"/>
          <w:lang w:val="en-US" w:eastAsia="es-ES"/>
        </w:rPr>
        <w:t xml:space="preserve">Hacienda. </w:t>
      </w: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also pointed out that, in their brief, </w:t>
      </w:r>
      <w:r w:rsidR="00700B79" w:rsidRPr="00FE50A6">
        <w:rPr>
          <w:rFonts w:eastAsia="Batang" w:cs="Times"/>
          <w:noProof/>
          <w:szCs w:val="24"/>
          <w:lang w:val="en-US" w:eastAsia="es-ES"/>
        </w:rPr>
        <w:t>the representatives</w:t>
      </w:r>
      <w:r w:rsidR="008A7089" w:rsidRPr="00FE50A6">
        <w:rPr>
          <w:rFonts w:eastAsia="Batang" w:cs="Times"/>
          <w:noProof/>
          <w:szCs w:val="24"/>
          <w:lang w:val="en-US" w:eastAsia="es-ES"/>
        </w:rPr>
        <w:t xml:space="preserve"> had not mentioned the name of</w:t>
      </w:r>
      <w:r w:rsidR="000A52D5" w:rsidRPr="00FE50A6">
        <w:rPr>
          <w:rFonts w:eastAsia="Batang" w:cs="Times"/>
          <w:noProof/>
          <w:szCs w:val="24"/>
          <w:lang w:val="en-US" w:eastAsia="es-ES"/>
        </w:rPr>
        <w:t xml:space="preserve"> Francisco das Chagas Bastos Sousa</w:t>
      </w:r>
      <w:r w:rsidR="00931E2E" w:rsidRPr="00FE50A6">
        <w:rPr>
          <w:rFonts w:eastAsia="Batang" w:cs="Times"/>
          <w:noProof/>
          <w:szCs w:val="24"/>
          <w:lang w:val="en-US" w:eastAsia="es-ES"/>
        </w:rPr>
        <w:t xml:space="preserve">; nevertheless, </w:t>
      </w:r>
      <w:r w:rsidR="008A7089" w:rsidRPr="00FE50A6">
        <w:rPr>
          <w:rFonts w:eastAsia="Batang" w:cs="Times"/>
          <w:noProof/>
          <w:szCs w:val="24"/>
          <w:lang w:val="en-US" w:eastAsia="es-ES"/>
        </w:rPr>
        <w:t xml:space="preserve">a power of </w:t>
      </w:r>
      <w:r w:rsidR="002713C8" w:rsidRPr="00FE50A6">
        <w:rPr>
          <w:rFonts w:eastAsia="Batang" w:cs="Times"/>
          <w:noProof/>
          <w:szCs w:val="24"/>
          <w:lang w:val="en-US" w:eastAsia="es-ES"/>
        </w:rPr>
        <w:t>attorney</w:t>
      </w:r>
      <w:r w:rsidR="008A7089" w:rsidRPr="00FE50A6">
        <w:rPr>
          <w:rFonts w:eastAsia="Batang" w:cs="Times"/>
          <w:noProof/>
          <w:szCs w:val="24"/>
          <w:lang w:val="en-US" w:eastAsia="es-ES"/>
        </w:rPr>
        <w:t xml:space="preserve"> had been presented</w:t>
      </w:r>
      <w:r w:rsidR="002713C8" w:rsidRPr="00FE50A6">
        <w:rPr>
          <w:rFonts w:eastAsia="Batang" w:cs="Times"/>
          <w:noProof/>
          <w:szCs w:val="24"/>
          <w:lang w:val="en-US" w:eastAsia="es-ES"/>
        </w:rPr>
        <w:t xml:space="preserve"> in his name</w:t>
      </w:r>
      <w:r w:rsidR="00931E2E" w:rsidRPr="00FE50A6">
        <w:rPr>
          <w:rFonts w:eastAsia="Batang" w:cs="Times"/>
          <w:noProof/>
          <w:szCs w:val="24"/>
          <w:lang w:val="en-US" w:eastAsia="es-ES"/>
        </w:rPr>
        <w:t>. Also,</w:t>
      </w:r>
      <w:r w:rsidR="008A7089" w:rsidRPr="00FE50A6">
        <w:rPr>
          <w:rFonts w:eastAsia="Batang" w:cs="Times"/>
          <w:noProof/>
          <w:szCs w:val="24"/>
          <w:lang w:val="en-US" w:eastAsia="es-ES"/>
        </w:rPr>
        <w:t xml:space="preserve"> no power  of </w:t>
      </w:r>
      <w:r w:rsidR="002713C8" w:rsidRPr="00FE50A6">
        <w:rPr>
          <w:rFonts w:eastAsia="Batang" w:cs="Times"/>
          <w:noProof/>
          <w:szCs w:val="24"/>
          <w:lang w:val="en-US" w:eastAsia="es-ES"/>
        </w:rPr>
        <w:t xml:space="preserve">attorney </w:t>
      </w:r>
      <w:r w:rsidR="008A7089" w:rsidRPr="00FE50A6">
        <w:rPr>
          <w:rFonts w:eastAsia="Batang" w:cs="Times"/>
          <w:noProof/>
          <w:szCs w:val="24"/>
          <w:lang w:val="en-US" w:eastAsia="es-ES"/>
        </w:rPr>
        <w:t xml:space="preserve">or equivalent document had been submitted for </w:t>
      </w:r>
      <w:r w:rsidR="0017587B" w:rsidRPr="00FE50A6">
        <w:rPr>
          <w:rFonts w:eastAsia="Batang" w:cs="Times"/>
          <w:noProof/>
          <w:szCs w:val="24"/>
          <w:lang w:val="en-US" w:eastAsia="es-ES"/>
        </w:rPr>
        <w:t>the presumed victim</w:t>
      </w:r>
      <w:r w:rsidR="009C0555" w:rsidRPr="00FE50A6">
        <w:rPr>
          <w:rFonts w:eastAsia="Batang" w:cs="Times"/>
          <w:noProof/>
          <w:szCs w:val="24"/>
          <w:lang w:val="en-US" w:eastAsia="es-ES"/>
        </w:rPr>
        <w:t xml:space="preserve"> o</w:t>
      </w:r>
      <w:r w:rsidR="008A7089" w:rsidRPr="00FE50A6">
        <w:rPr>
          <w:rFonts w:eastAsia="Batang" w:cs="Times"/>
          <w:noProof/>
          <w:szCs w:val="24"/>
          <w:lang w:val="en-US" w:eastAsia="es-ES"/>
        </w:rPr>
        <w:t xml:space="preserve">r for the next of kin of </w:t>
      </w:r>
      <w:r w:rsidR="00200C04" w:rsidRPr="00FE50A6">
        <w:rPr>
          <w:rFonts w:eastAsia="Batang" w:cs="Times"/>
          <w:noProof/>
          <w:szCs w:val="24"/>
          <w:lang w:val="en-US" w:eastAsia="es-ES"/>
        </w:rPr>
        <w:t xml:space="preserve">Luis Ferreira </w:t>
      </w:r>
      <w:r w:rsidR="00867094" w:rsidRPr="00FE50A6">
        <w:rPr>
          <w:rFonts w:eastAsia="Batang" w:cs="Times"/>
          <w:noProof/>
          <w:szCs w:val="24"/>
          <w:lang w:val="en-US" w:eastAsia="es-ES"/>
        </w:rPr>
        <w:t>da Cruz</w:t>
      </w:r>
      <w:r w:rsidR="000A52D5" w:rsidRPr="00FE50A6">
        <w:rPr>
          <w:rFonts w:eastAsia="Batang" w:cs="Times"/>
          <w:noProof/>
          <w:szCs w:val="24"/>
          <w:lang w:val="en-US" w:eastAsia="es-ES"/>
        </w:rPr>
        <w:t>, presum</w:t>
      </w:r>
      <w:r w:rsidR="008A7089" w:rsidRPr="00FE50A6">
        <w:rPr>
          <w:rFonts w:eastAsia="Batang" w:cs="Times"/>
          <w:noProof/>
          <w:szCs w:val="24"/>
          <w:lang w:val="en-US" w:eastAsia="es-ES"/>
        </w:rPr>
        <w:t>ably a victim of forced disappearance.</w:t>
      </w:r>
    </w:p>
    <w:p w14:paraId="51CA3BE6"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5668C2F1"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without proof of representation</w:t>
      </w:r>
    </w:p>
    <w:p w14:paraId="0C0B6FF8"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DD33D75"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indicated that </w:t>
      </w:r>
      <w:r w:rsidR="00700B79" w:rsidRPr="00FE50A6">
        <w:rPr>
          <w:rFonts w:eastAsia="Batang" w:cs="Times"/>
          <w:noProof/>
          <w:szCs w:val="24"/>
          <w:lang w:val="en-US" w:eastAsia="es-ES"/>
        </w:rPr>
        <w:t>the representatives</w:t>
      </w:r>
      <w:r w:rsidR="00703850" w:rsidRPr="00FE50A6">
        <w:rPr>
          <w:rFonts w:eastAsia="Batang" w:cs="Times"/>
          <w:noProof/>
          <w:szCs w:val="24"/>
          <w:lang w:val="en-US" w:eastAsia="es-ES"/>
        </w:rPr>
        <w:t xml:space="preserve"> 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 xml:space="preserve">should present a power of </w:t>
      </w:r>
      <w:r w:rsidR="002713C8" w:rsidRPr="00FE50A6">
        <w:rPr>
          <w:rFonts w:eastAsia="Batang" w:cs="Times"/>
          <w:noProof/>
          <w:szCs w:val="24"/>
          <w:lang w:val="en-US" w:eastAsia="es-ES"/>
        </w:rPr>
        <w:t>attorney</w:t>
      </w:r>
      <w:r w:rsidR="008A7089" w:rsidRPr="00FE50A6">
        <w:rPr>
          <w:rFonts w:eastAsia="Batang" w:cs="Times"/>
          <w:noProof/>
          <w:szCs w:val="24"/>
          <w:lang w:val="en-US" w:eastAsia="es-ES"/>
        </w:rPr>
        <w:t xml:space="preserve"> signed by the presumed victim or by a family member, which should fully identify the party granting it. In addition, </w:t>
      </w:r>
      <w:r w:rsidR="00C858CD" w:rsidRPr="00FE50A6">
        <w:rPr>
          <w:rFonts w:eastAsia="Batang" w:cs="Times"/>
          <w:noProof/>
          <w:szCs w:val="24"/>
          <w:lang w:val="en-US" w:eastAsia="es-ES"/>
        </w:rPr>
        <w:t>the State</w:t>
      </w:r>
      <w:r w:rsidR="008A7089" w:rsidRPr="00FE50A6">
        <w:rPr>
          <w:rFonts w:eastAsia="Batang" w:cs="Times"/>
          <w:noProof/>
          <w:szCs w:val="24"/>
          <w:lang w:val="en-US" w:eastAsia="es-ES"/>
        </w:rPr>
        <w:t xml:space="preserve"> noted that</w:t>
      </w:r>
      <w:r w:rsidR="00C858CD" w:rsidRPr="00FE50A6">
        <w:rPr>
          <w:rFonts w:eastAsia="Batang" w:cs="Times"/>
          <w:noProof/>
          <w:szCs w:val="24"/>
          <w:lang w:val="en-US" w:eastAsia="es-ES"/>
        </w:rPr>
        <w:t>,</w:t>
      </w:r>
      <w:r w:rsidR="008A7089" w:rsidRPr="00FE50A6">
        <w:rPr>
          <w:rFonts w:eastAsia="Batang" w:cs="Times"/>
          <w:noProof/>
          <w:szCs w:val="24"/>
          <w:lang w:val="en-US" w:eastAsia="es-ES"/>
        </w:rPr>
        <w:t xml:space="preserve"> although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had complied with the formal requirement</w:t>
      </w:r>
      <w:r w:rsidR="00C858CD" w:rsidRPr="00FE50A6">
        <w:rPr>
          <w:rFonts w:eastAsia="Batang" w:cs="Times"/>
          <w:noProof/>
          <w:szCs w:val="24"/>
          <w:lang w:val="en-US" w:eastAsia="es-ES"/>
        </w:rPr>
        <w:t>s</w:t>
      </w:r>
      <w:r w:rsidR="008A7089" w:rsidRPr="00FE50A6">
        <w:rPr>
          <w:rFonts w:eastAsia="Batang" w:cs="Times"/>
          <w:noProof/>
          <w:szCs w:val="24"/>
          <w:lang w:val="en-US" w:eastAsia="es-ES"/>
        </w:rPr>
        <w:t xml:space="preserve"> stipulated by the Court when presenting the powers of </w:t>
      </w:r>
      <w:r w:rsidR="002713C8" w:rsidRPr="00FE50A6">
        <w:rPr>
          <w:rFonts w:eastAsia="Batang" w:cs="Times"/>
          <w:noProof/>
          <w:szCs w:val="24"/>
          <w:lang w:val="en-US" w:eastAsia="es-ES"/>
        </w:rPr>
        <w:t>attorney</w:t>
      </w:r>
      <w:r w:rsidR="008A7089" w:rsidRPr="00FE50A6">
        <w:rPr>
          <w:rFonts w:eastAsia="Batang" w:cs="Times"/>
          <w:noProof/>
          <w:szCs w:val="24"/>
          <w:lang w:val="en-US" w:eastAsia="es-ES"/>
        </w:rPr>
        <w:t>, problems persisted that made it difficult to identify some names and some presumed victims</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who supposedly were represented.</w:t>
      </w:r>
      <w:r w:rsidR="000A52D5" w:rsidRPr="00FE50A6">
        <w:rPr>
          <w:rFonts w:eastAsia="Batang" w:cs="Times"/>
          <w:noProof/>
          <w:szCs w:val="24"/>
          <w:vertAlign w:val="superscript"/>
          <w:lang w:val="en-US" w:eastAsia="es-ES"/>
        </w:rPr>
        <w:footnoteReference w:id="24"/>
      </w:r>
    </w:p>
    <w:p w14:paraId="1BE98C78"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69BE9EB3"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 xml:space="preserve">without power of </w:t>
      </w:r>
      <w:r w:rsidR="002713C8" w:rsidRPr="00FE50A6">
        <w:rPr>
          <w:rFonts w:eastAsia="Batang" w:cs="Times"/>
          <w:i/>
          <w:noProof/>
          <w:szCs w:val="24"/>
          <w:lang w:val="en-US" w:eastAsia="es-ES"/>
        </w:rPr>
        <w:t>attorney</w:t>
      </w:r>
    </w:p>
    <w:p w14:paraId="50DB215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19A675D" w14:textId="77777777" w:rsidR="000A52D5" w:rsidRPr="00FE50A6" w:rsidRDefault="000228D0" w:rsidP="00A20647">
      <w:pPr>
        <w:numPr>
          <w:ilvl w:val="0"/>
          <w:numId w:val="1"/>
        </w:numPr>
        <w:tabs>
          <w:tab w:val="clear" w:pos="4419"/>
          <w:tab w:val="clear" w:pos="8838"/>
        </w:tabs>
        <w:jc w:val="both"/>
        <w:rPr>
          <w:rFonts w:eastAsia="Batang" w:cs="Times"/>
          <w:b/>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affirmed t</w:t>
      </w:r>
      <w:r w:rsidR="00A20647" w:rsidRPr="00FE50A6">
        <w:rPr>
          <w:rFonts w:eastAsia="Batang" w:cs="Times"/>
          <w:noProof/>
          <w:szCs w:val="24"/>
          <w:lang w:val="en-US" w:eastAsia="es-ES"/>
        </w:rPr>
        <w:t>hat</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had waived the requirement </w:t>
      </w:r>
      <w:r w:rsidR="00C858CD" w:rsidRPr="00FE50A6">
        <w:rPr>
          <w:rFonts w:eastAsia="Batang" w:cs="Times"/>
          <w:noProof/>
          <w:szCs w:val="24"/>
          <w:lang w:val="en-US" w:eastAsia="es-ES"/>
        </w:rPr>
        <w:t>for</w:t>
      </w:r>
      <w:r w:rsidR="00A20647" w:rsidRPr="00FE50A6">
        <w:rPr>
          <w:rFonts w:eastAsia="Batang" w:cs="Times"/>
          <w:noProof/>
          <w:szCs w:val="24"/>
          <w:lang w:val="en-US" w:eastAsia="es-ES"/>
        </w:rPr>
        <w:t xml:space="preserve"> proof of the formal representation of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in specific cases</w:t>
      </w:r>
      <w:r w:rsidR="00C858CD" w:rsidRPr="00FE50A6">
        <w:rPr>
          <w:rFonts w:eastAsia="Batang" w:cs="Times"/>
          <w:noProof/>
          <w:szCs w:val="24"/>
          <w:lang w:val="en-US" w:eastAsia="es-ES"/>
        </w:rPr>
        <w:t>,</w:t>
      </w:r>
      <w:r w:rsidR="00A20647" w:rsidRPr="00FE50A6">
        <w:rPr>
          <w:rFonts w:eastAsia="Batang" w:cs="Times"/>
          <w:noProof/>
          <w:szCs w:val="24"/>
          <w:lang w:val="en-US" w:eastAsia="es-ES"/>
        </w:rPr>
        <w:t xml:space="preserve"> but that this criteria was not applicable</w:t>
      </w:r>
      <w:r w:rsidR="00C858CD" w:rsidRPr="00FE50A6">
        <w:rPr>
          <w:rFonts w:eastAsia="Batang" w:cs="Times"/>
          <w:noProof/>
          <w:szCs w:val="24"/>
          <w:lang w:val="en-US" w:eastAsia="es-ES"/>
        </w:rPr>
        <w:t xml:space="preserve"> in the present matter</w:t>
      </w:r>
      <w:r w:rsidR="00A20647" w:rsidRPr="00FE50A6">
        <w:rPr>
          <w:rFonts w:eastAsia="Batang" w:cs="Times"/>
          <w:noProof/>
          <w:szCs w:val="24"/>
          <w:lang w:val="en-US" w:eastAsia="es-ES"/>
        </w:rPr>
        <w:t xml:space="preserve"> because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had not been executed and there had been no forced disappearances. In addition, </w:t>
      </w:r>
      <w:r w:rsidR="00C858CD" w:rsidRPr="00FE50A6">
        <w:rPr>
          <w:rFonts w:eastAsia="Batang" w:cs="Times"/>
          <w:noProof/>
          <w:szCs w:val="24"/>
          <w:lang w:val="en-US" w:eastAsia="es-ES"/>
        </w:rPr>
        <w:t>based on the</w:t>
      </w:r>
      <w:r w:rsidR="00A20647" w:rsidRPr="00FE50A6">
        <w:rPr>
          <w:rFonts w:eastAsia="Batang" w:cs="Times"/>
          <w:noProof/>
          <w:szCs w:val="24"/>
          <w:lang w:val="en-US" w:eastAsia="es-ES"/>
        </w:rPr>
        <w:t xml:space="preserve"> facts, it was not possible to distinguish </w:t>
      </w:r>
      <w:r w:rsidR="00C858CD" w:rsidRPr="00FE50A6">
        <w:rPr>
          <w:rFonts w:eastAsia="Batang" w:cs="Times"/>
          <w:noProof/>
          <w:szCs w:val="24"/>
          <w:lang w:val="en-US" w:eastAsia="es-ES"/>
        </w:rPr>
        <w:t xml:space="preserve">any </w:t>
      </w:r>
      <w:r w:rsidR="00A20647" w:rsidRPr="00FE50A6">
        <w:rPr>
          <w:rFonts w:eastAsia="Batang" w:cs="Times"/>
          <w:noProof/>
          <w:szCs w:val="24"/>
          <w:lang w:val="en-US" w:eastAsia="es-ES"/>
        </w:rPr>
        <w:t xml:space="preserve">special characteristics of the group of presumed victims that could justify dispensing with the presentation of </w:t>
      </w:r>
      <w:r w:rsidR="00C858CD" w:rsidRPr="00FE50A6">
        <w:rPr>
          <w:rFonts w:eastAsia="Batang" w:cs="Times"/>
          <w:noProof/>
          <w:szCs w:val="24"/>
          <w:lang w:val="en-US" w:eastAsia="es-ES"/>
        </w:rPr>
        <w:t>proof</w:t>
      </w:r>
      <w:r w:rsidR="00A20647" w:rsidRPr="00FE50A6">
        <w:rPr>
          <w:rFonts w:eastAsia="Batang" w:cs="Times"/>
          <w:noProof/>
          <w:szCs w:val="24"/>
          <w:lang w:val="en-US" w:eastAsia="es-ES"/>
        </w:rPr>
        <w:t xml:space="preserve"> of the powers of </w:t>
      </w:r>
      <w:r w:rsidR="002713C8" w:rsidRPr="00FE50A6">
        <w:rPr>
          <w:rFonts w:eastAsia="Batang" w:cs="Times"/>
          <w:noProof/>
          <w:szCs w:val="24"/>
          <w:lang w:val="en-US" w:eastAsia="es-ES"/>
        </w:rPr>
        <w:t>attorney</w:t>
      </w:r>
      <w:r w:rsidR="00A20647" w:rsidRPr="00FE50A6">
        <w:rPr>
          <w:rFonts w:eastAsia="Batang" w:cs="Times"/>
          <w:noProof/>
          <w:szCs w:val="24"/>
          <w:lang w:val="en-US" w:eastAsia="es-ES"/>
        </w:rPr>
        <w:t xml:space="preserve">. Moreover, it would not be reasonable to waive the requirement of a power of </w:t>
      </w:r>
      <w:r w:rsidR="002713C8" w:rsidRPr="00FE50A6">
        <w:rPr>
          <w:rFonts w:eastAsia="Batang" w:cs="Times"/>
          <w:noProof/>
          <w:szCs w:val="24"/>
          <w:lang w:val="en-US" w:eastAsia="es-ES"/>
        </w:rPr>
        <w:t>atorney</w:t>
      </w:r>
      <w:r w:rsidR="00A20647" w:rsidRPr="00FE50A6">
        <w:rPr>
          <w:rFonts w:eastAsia="Batang" w:cs="Times"/>
          <w:noProof/>
          <w:szCs w:val="24"/>
          <w:lang w:val="en-US" w:eastAsia="es-ES"/>
        </w:rPr>
        <w:t xml:space="preserve"> before the Court, </w:t>
      </w:r>
      <w:r w:rsidR="00C858CD" w:rsidRPr="00FE50A6">
        <w:rPr>
          <w:rFonts w:eastAsia="Batang" w:cs="Times"/>
          <w:noProof/>
          <w:szCs w:val="24"/>
          <w:lang w:val="en-US" w:eastAsia="es-ES"/>
        </w:rPr>
        <w:t xml:space="preserve">due </w:t>
      </w:r>
      <w:r w:rsidR="00A20647" w:rsidRPr="00FE50A6">
        <w:rPr>
          <w:rFonts w:eastAsia="Batang" w:cs="Times"/>
          <w:noProof/>
          <w:szCs w:val="24"/>
          <w:lang w:val="en-US" w:eastAsia="es-ES"/>
        </w:rPr>
        <w:t>merely to the existence of a broad universe of presumed victims, because this would lead to legal uncertainty and run counter to the careful</w:t>
      </w:r>
      <w:r w:rsidR="00C858CD" w:rsidRPr="00FE50A6">
        <w:rPr>
          <w:rFonts w:eastAsia="Batang" w:cs="Times"/>
          <w:noProof/>
          <w:szCs w:val="24"/>
          <w:lang w:val="en-US" w:eastAsia="es-ES"/>
        </w:rPr>
        <w:t xml:space="preserve"> and</w:t>
      </w:r>
      <w:r w:rsidR="00A20647" w:rsidRPr="00FE50A6">
        <w:rPr>
          <w:rFonts w:eastAsia="Batang" w:cs="Times"/>
          <w:noProof/>
          <w:szCs w:val="24"/>
          <w:lang w:val="en-US" w:eastAsia="es-ES"/>
        </w:rPr>
        <w:t xml:space="preserve"> balanced analysis </w:t>
      </w:r>
      <w:r w:rsidR="002713C8" w:rsidRPr="00FE50A6">
        <w:rPr>
          <w:rFonts w:eastAsia="Batang" w:cs="Times"/>
          <w:noProof/>
          <w:szCs w:val="24"/>
          <w:lang w:val="en-US" w:eastAsia="es-ES"/>
        </w:rPr>
        <w:t xml:space="preserve">made by </w:t>
      </w:r>
      <w:r w:rsidR="00A20647" w:rsidRPr="00FE50A6">
        <w:rPr>
          <w:rFonts w:eastAsia="Batang" w:cs="Times"/>
          <w:noProof/>
          <w:szCs w:val="24"/>
          <w:lang w:val="en-US" w:eastAsia="es-ES"/>
        </w:rPr>
        <w:t>the Court in previous cases</w:t>
      </w:r>
      <w:r w:rsidR="000A52D5" w:rsidRPr="00FE50A6">
        <w:rPr>
          <w:rFonts w:eastAsia="Batang" w:cs="Times"/>
          <w:noProof/>
          <w:szCs w:val="24"/>
          <w:lang w:val="en-US" w:eastAsia="es-ES"/>
        </w:rPr>
        <w:t>.</w:t>
      </w:r>
    </w:p>
    <w:p w14:paraId="1B7C1814"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02B48113"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unrelated to the facts of the case</w:t>
      </w:r>
    </w:p>
    <w:p w14:paraId="61C871A8"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61BD219F"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a</w:t>
      </w:r>
      <w:r w:rsidR="00A20647" w:rsidRPr="00FE50A6">
        <w:rPr>
          <w:rFonts w:eastAsia="Batang" w:cs="Times"/>
          <w:noProof/>
          <w:szCs w:val="24"/>
          <w:lang w:val="en-US" w:eastAsia="es-ES"/>
        </w:rPr>
        <w:t xml:space="preserve">rgued that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had presented the powers of </w:t>
      </w:r>
      <w:r w:rsidR="002713C8" w:rsidRPr="00FE50A6">
        <w:rPr>
          <w:rFonts w:eastAsia="Batang" w:cs="Times"/>
          <w:noProof/>
          <w:szCs w:val="24"/>
          <w:lang w:val="en-US" w:eastAsia="es-ES"/>
        </w:rPr>
        <w:t>attorney</w:t>
      </w:r>
      <w:r w:rsidR="00A20647" w:rsidRPr="00FE50A6">
        <w:rPr>
          <w:rFonts w:eastAsia="Batang" w:cs="Times"/>
          <w:noProof/>
          <w:szCs w:val="24"/>
          <w:lang w:val="en-US" w:eastAsia="es-ES"/>
        </w:rPr>
        <w:t xml:space="preserve"> of 12 supposed </w:t>
      </w:r>
      <w:r w:rsidR="00030C17"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30C17" w:rsidRPr="00FE50A6">
        <w:rPr>
          <w:rFonts w:eastAsia="Batang" w:cs="Times"/>
          <w:noProof/>
          <w:szCs w:val="24"/>
          <w:lang w:val="en-US" w:eastAsia="es-ES"/>
        </w:rPr>
        <w:t xml:space="preserve"> </w:t>
      </w:r>
      <w:r w:rsidR="00A20647" w:rsidRPr="00FE50A6">
        <w:rPr>
          <w:rFonts w:eastAsia="Batang" w:cs="Times"/>
          <w:noProof/>
          <w:szCs w:val="24"/>
          <w:lang w:val="en-US" w:eastAsia="es-ES"/>
        </w:rPr>
        <w:t>w</w:t>
      </w:r>
      <w:r w:rsidR="00030C17" w:rsidRPr="00FE50A6">
        <w:rPr>
          <w:rFonts w:eastAsia="Batang" w:cs="Times"/>
          <w:noProof/>
          <w:szCs w:val="24"/>
          <w:lang w:val="en-US" w:eastAsia="es-ES"/>
        </w:rPr>
        <w:t>orkers</w:t>
      </w:r>
      <w:r w:rsidR="00A20647" w:rsidRPr="00FE50A6">
        <w:rPr>
          <w:rFonts w:eastAsia="Batang" w:cs="Times"/>
          <w:noProof/>
          <w:szCs w:val="24"/>
          <w:lang w:val="en-US" w:eastAsia="es-ES"/>
        </w:rPr>
        <w:t>,</w:t>
      </w:r>
      <w:r w:rsidR="000A52D5" w:rsidRPr="00FE50A6">
        <w:rPr>
          <w:rFonts w:eastAsia="Batang" w:cs="Times"/>
          <w:noProof/>
          <w:szCs w:val="24"/>
          <w:vertAlign w:val="superscript"/>
          <w:lang w:val="en-US" w:eastAsia="es-ES"/>
        </w:rPr>
        <w:footnoteReference w:id="25"/>
      </w:r>
      <w:r w:rsidR="00A20647" w:rsidRPr="00FE50A6">
        <w:rPr>
          <w:rFonts w:eastAsia="Batang" w:cs="Times"/>
          <w:noProof/>
          <w:szCs w:val="24"/>
          <w:lang w:val="en-US" w:eastAsia="es-ES"/>
        </w:rPr>
        <w:t xml:space="preserve"> but there was no evidence or indication that they had been employed </w:t>
      </w:r>
      <w:r w:rsidR="002713C8" w:rsidRPr="00FE50A6">
        <w:rPr>
          <w:rFonts w:eastAsia="Batang" w:cs="Times"/>
          <w:noProof/>
          <w:szCs w:val="24"/>
          <w:lang w:val="en-US" w:eastAsia="es-ES"/>
        </w:rPr>
        <w:t>by</w:t>
      </w:r>
      <w:r w:rsidR="00A20647" w:rsidRPr="00FE50A6">
        <w:rPr>
          <w:rFonts w:eastAsia="Batang" w:cs="Times"/>
          <w:noProof/>
          <w:szCs w:val="24"/>
          <w:lang w:val="en-US" w:eastAsia="es-ES"/>
        </w:rPr>
        <w:t xml:space="preserve"> this </w:t>
      </w:r>
      <w:r w:rsidR="007E729A" w:rsidRPr="00FE50A6">
        <w:rPr>
          <w:rFonts w:eastAsia="Batang" w:cs="Times"/>
          <w:noProof/>
          <w:szCs w:val="24"/>
          <w:lang w:val="en-US" w:eastAsia="es-ES"/>
        </w:rPr>
        <w:t>h</w:t>
      </w:r>
      <w:r w:rsidR="00A20647" w:rsidRPr="00FE50A6">
        <w:rPr>
          <w:rFonts w:eastAsia="Batang" w:cs="Times"/>
          <w:noProof/>
          <w:szCs w:val="24"/>
          <w:lang w:val="en-US" w:eastAsia="es-ES"/>
        </w:rPr>
        <w:t>acienda, even though their names appear</w:t>
      </w:r>
      <w:r w:rsidR="00C858CD" w:rsidRPr="00FE50A6">
        <w:rPr>
          <w:rFonts w:eastAsia="Batang" w:cs="Times"/>
          <w:noProof/>
          <w:szCs w:val="24"/>
          <w:lang w:val="en-US" w:eastAsia="es-ES"/>
        </w:rPr>
        <w:t>ed</w:t>
      </w:r>
      <w:r w:rsidR="00A20647" w:rsidRPr="00FE50A6">
        <w:rPr>
          <w:rFonts w:eastAsia="Batang" w:cs="Times"/>
          <w:noProof/>
          <w:szCs w:val="24"/>
          <w:lang w:val="en-US" w:eastAsia="es-ES"/>
        </w:rPr>
        <w:t xml:space="preserve"> in the </w:t>
      </w:r>
      <w:r w:rsidR="00030C17" w:rsidRPr="00FE50A6">
        <w:rPr>
          <w:rFonts w:eastAsia="Batang" w:cs="Times"/>
          <w:noProof/>
          <w:szCs w:val="24"/>
          <w:lang w:val="en-US" w:eastAsia="es-ES"/>
        </w:rPr>
        <w:t xml:space="preserve">Admissibility and Merits Report and </w:t>
      </w:r>
      <w:r w:rsidR="00A20647" w:rsidRPr="00FE50A6">
        <w:rPr>
          <w:rFonts w:eastAsia="Batang" w:cs="Times"/>
          <w:noProof/>
          <w:szCs w:val="24"/>
          <w:lang w:val="en-US" w:eastAsia="es-ES"/>
        </w:rPr>
        <w:t>in the report on the in</w:t>
      </w:r>
      <w:r w:rsidR="00C858CD" w:rsidRPr="00FE50A6">
        <w:rPr>
          <w:rFonts w:eastAsia="Batang" w:cs="Times"/>
          <w:noProof/>
          <w:szCs w:val="24"/>
          <w:lang w:val="en-US" w:eastAsia="es-ES"/>
        </w:rPr>
        <w:t>sp</w:t>
      </w:r>
      <w:r w:rsidR="00A20647" w:rsidRPr="00FE50A6">
        <w:rPr>
          <w:rFonts w:eastAsia="Batang" w:cs="Times"/>
          <w:noProof/>
          <w:szCs w:val="24"/>
          <w:lang w:val="en-US" w:eastAsia="es-ES"/>
        </w:rPr>
        <w:t>ection made by the Special Mobile Inspection Group in March 2000.</w:t>
      </w:r>
    </w:p>
    <w:p w14:paraId="2FBFB2EB"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83FB943"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with a different identity, or lack of due representation for next of kin</w:t>
      </w:r>
    </w:p>
    <w:p w14:paraId="6FB31BA6"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4538A71D"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indicated that doubts and inconsistencies existed regarding the identity of the victims represented, because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had provided incomplete or imprecise information and the identification numbers were contradictory. Furthermore, it asked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to present the death certificates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who were deceased </w:t>
      </w:r>
      <w:r w:rsidR="002713C8" w:rsidRPr="00FE50A6">
        <w:rPr>
          <w:rFonts w:eastAsia="Batang" w:cs="Times"/>
          <w:noProof/>
          <w:szCs w:val="24"/>
          <w:lang w:val="en-US" w:eastAsia="es-ES"/>
        </w:rPr>
        <w:t>together with</w:t>
      </w:r>
      <w:r w:rsidR="00A20647" w:rsidRPr="00FE50A6">
        <w:rPr>
          <w:rFonts w:eastAsia="Batang" w:cs="Times"/>
          <w:noProof/>
          <w:szCs w:val="24"/>
          <w:lang w:val="en-US" w:eastAsia="es-ES"/>
        </w:rPr>
        <w:t xml:space="preserve"> proof of the relationship between the supposed next of kin and the deceased presumed victims. </w:t>
      </w:r>
    </w:p>
    <w:p w14:paraId="296FEE76"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461BE00F" w14:textId="77777777" w:rsidR="000A52D5" w:rsidRPr="00FE50A6" w:rsidRDefault="008A7089" w:rsidP="00217CA8">
      <w:pPr>
        <w:numPr>
          <w:ilvl w:val="0"/>
          <w:numId w:val="10"/>
        </w:num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Presumed victims</w:t>
      </w:r>
      <w:r w:rsidR="000A52D5" w:rsidRPr="00FE50A6">
        <w:rPr>
          <w:rFonts w:eastAsia="Batang" w:cs="Times"/>
          <w:i/>
          <w:noProof/>
          <w:szCs w:val="24"/>
          <w:lang w:val="en-US" w:eastAsia="es-ES"/>
        </w:rPr>
        <w:t xml:space="preserve"> </w:t>
      </w:r>
      <w:r w:rsidRPr="00FE50A6">
        <w:rPr>
          <w:rFonts w:eastAsia="Batang" w:cs="Times"/>
          <w:i/>
          <w:noProof/>
          <w:szCs w:val="24"/>
          <w:lang w:val="en-US" w:eastAsia="es-ES"/>
        </w:rPr>
        <w:t>who were not mentioned in the Merits Report</w:t>
      </w:r>
    </w:p>
    <w:p w14:paraId="366F8C52"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066FCB4" w14:textId="77777777" w:rsidR="000A52D5" w:rsidRPr="00FE50A6" w:rsidRDefault="00A2064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Lastly</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indic</w:t>
      </w:r>
      <w:r w:rsidRPr="00FE50A6">
        <w:rPr>
          <w:rFonts w:eastAsia="Batang" w:cs="Times"/>
          <w:noProof/>
          <w:szCs w:val="24"/>
          <w:lang w:val="en-US" w:eastAsia="es-ES"/>
        </w:rPr>
        <w:t>ated that</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did not have </w:t>
      </w:r>
      <w:r w:rsidR="00C858CD" w:rsidRPr="00FE50A6">
        <w:rPr>
          <w:rFonts w:eastAsia="Batang" w:cs="Times"/>
          <w:noProof/>
          <w:szCs w:val="24"/>
          <w:lang w:val="en-US" w:eastAsia="es-ES"/>
        </w:rPr>
        <w:t>competence</w:t>
      </w:r>
      <w:r w:rsidRPr="00FE50A6">
        <w:rPr>
          <w:rFonts w:eastAsia="Batang" w:cs="Times"/>
          <w:noProof/>
          <w:szCs w:val="24"/>
          <w:lang w:val="en-US" w:eastAsia="es-ES"/>
        </w:rPr>
        <w:t xml:space="preserve"> to examine the facts relating to</w:t>
      </w:r>
      <w:r w:rsidR="0017587B" w:rsidRPr="00FE50A6">
        <w:rPr>
          <w:rFonts w:eastAsia="Batang" w:cs="Times"/>
          <w:noProof/>
          <w:szCs w:val="24"/>
          <w:lang w:val="en-US" w:eastAsia="es-ES"/>
        </w:rPr>
        <w:t xml:space="preserve"> presumed victims</w:t>
      </w:r>
      <w:r w:rsidR="000A52D5" w:rsidRPr="00FE50A6">
        <w:rPr>
          <w:rFonts w:eastAsia="Batang" w:cs="Times"/>
          <w:noProof/>
          <w:szCs w:val="24"/>
          <w:lang w:val="en-US" w:eastAsia="es-ES"/>
        </w:rPr>
        <w:t xml:space="preserve"> Francisco das Chagas Bastos Souza, José Francisco Furtado de Sousa, </w:t>
      </w:r>
      <w:r w:rsidR="00D60654" w:rsidRPr="00FE50A6">
        <w:rPr>
          <w:rFonts w:eastAsia="Batang" w:cs="Times"/>
          <w:noProof/>
          <w:szCs w:val="24"/>
          <w:lang w:val="en-US" w:eastAsia="es-ES"/>
        </w:rPr>
        <w:t xml:space="preserve">Antônio </w:t>
      </w:r>
      <w:r w:rsidR="000A52D5" w:rsidRPr="00FE50A6">
        <w:rPr>
          <w:rFonts w:eastAsia="Batang" w:cs="Times"/>
          <w:noProof/>
          <w:szCs w:val="24"/>
          <w:lang w:val="en-US" w:eastAsia="es-ES"/>
        </w:rPr>
        <w:t>Pereira dos Santos</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Francisco Pereira da Silva</w:t>
      </w:r>
      <w:r w:rsidR="005D1062" w:rsidRPr="00FE50A6">
        <w:rPr>
          <w:rFonts w:eastAsia="Batang" w:cs="Times"/>
          <w:noProof/>
          <w:szCs w:val="24"/>
          <w:lang w:val="en-US" w:eastAsia="es-ES"/>
        </w:rPr>
        <w:t>,</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because they had not been mentioned in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No. 169/11. </w:t>
      </w:r>
      <w:r w:rsidRPr="00FE50A6">
        <w:rPr>
          <w:rFonts w:eastAsia="Batang" w:cs="Times"/>
          <w:noProof/>
          <w:szCs w:val="24"/>
          <w:lang w:val="en-US" w:eastAsia="es-ES"/>
        </w:rPr>
        <w:t xml:space="preserve">It also indicated that, regarding </w:t>
      </w:r>
      <w:r w:rsidR="000A52D5" w:rsidRPr="00FE50A6">
        <w:rPr>
          <w:rFonts w:eastAsia="Batang" w:cs="Times"/>
          <w:noProof/>
          <w:szCs w:val="24"/>
          <w:lang w:val="en-US" w:eastAsia="es-ES"/>
        </w:rPr>
        <w:t xml:space="preserve">José Francisco Furtado de Sousa, </w:t>
      </w:r>
      <w:r w:rsidRPr="00FE50A6">
        <w:rPr>
          <w:rFonts w:eastAsia="Batang" w:cs="Times"/>
          <w:noProof/>
          <w:szCs w:val="24"/>
          <w:lang w:val="en-US" w:eastAsia="es-ES"/>
        </w:rPr>
        <w:t xml:space="preserve">there was no reasonable motive to suppose that this was </w:t>
      </w:r>
      <w:r w:rsidR="009C0555" w:rsidRPr="00FE50A6">
        <w:rPr>
          <w:rFonts w:eastAsia="Batang" w:cs="Times"/>
          <w:noProof/>
          <w:szCs w:val="24"/>
          <w:lang w:val="en-US" w:eastAsia="es-ES"/>
        </w:rPr>
        <w:t xml:space="preserve">Gonçalo </w:t>
      </w:r>
      <w:r w:rsidR="000A52D5" w:rsidRPr="00FE50A6">
        <w:rPr>
          <w:rFonts w:eastAsia="Batang" w:cs="Times"/>
          <w:noProof/>
          <w:szCs w:val="24"/>
          <w:lang w:val="en-US" w:eastAsia="es-ES"/>
        </w:rPr>
        <w:t>Luiz Furtado, indica</w:t>
      </w:r>
      <w:r w:rsidRPr="00FE50A6">
        <w:rPr>
          <w:rFonts w:eastAsia="Batang" w:cs="Times"/>
          <w:noProof/>
          <w:szCs w:val="24"/>
          <w:lang w:val="en-US" w:eastAsia="es-ES"/>
        </w:rPr>
        <w:t>ted as victim in the Merits Report.</w:t>
      </w:r>
    </w:p>
    <w:p w14:paraId="39F97A3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2D1FDA0"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asked</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to exercise its jurisdiction only with regard to the </w:t>
      </w:r>
      <w:r w:rsidR="00C278B7" w:rsidRPr="00FE50A6">
        <w:rPr>
          <w:rFonts w:eastAsia="Batang" w:cs="Times"/>
          <w:noProof/>
          <w:szCs w:val="24"/>
          <w:lang w:val="en-US" w:eastAsia="es-ES"/>
        </w:rPr>
        <w:t xml:space="preserve">18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9C48A4" w:rsidRPr="00FE50A6">
        <w:rPr>
          <w:rFonts w:eastAsia="Batang" w:cs="Times"/>
          <w:noProof/>
          <w:szCs w:val="24"/>
          <w:lang w:val="en-US" w:eastAsia="es-ES"/>
        </w:rPr>
        <w:t>“</w:t>
      </w:r>
      <w:r w:rsidR="000A52D5" w:rsidRPr="00FE50A6">
        <w:rPr>
          <w:rFonts w:eastAsia="Batang" w:cs="Times"/>
          <w:noProof/>
          <w:szCs w:val="24"/>
          <w:lang w:val="en-US" w:eastAsia="es-ES"/>
        </w:rPr>
        <w:t>d</w:t>
      </w:r>
      <w:r w:rsidR="00A20647" w:rsidRPr="00FE50A6">
        <w:rPr>
          <w:rFonts w:eastAsia="Batang" w:cs="Times"/>
          <w:noProof/>
          <w:szCs w:val="24"/>
          <w:lang w:val="en-US" w:eastAsia="es-ES"/>
        </w:rPr>
        <w:t>uly represented, identified and related</w:t>
      </w:r>
      <w:r w:rsidR="009C48A4" w:rsidRPr="00FE50A6">
        <w:rPr>
          <w:rFonts w:eastAsia="Batang" w:cs="Times"/>
          <w:noProof/>
          <w:szCs w:val="24"/>
          <w:lang w:val="en-US" w:eastAsia="es-ES"/>
        </w:rPr>
        <w:t>”</w:t>
      </w:r>
      <w:r w:rsidR="00A20647" w:rsidRPr="00FE50A6">
        <w:rPr>
          <w:rFonts w:eastAsia="Batang" w:cs="Times"/>
          <w:noProof/>
          <w:szCs w:val="24"/>
          <w:lang w:val="en-US" w:eastAsia="es-ES"/>
        </w:rPr>
        <w:t xml:space="preserve"> to the facts in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No. 169/11</w:t>
      </w:r>
      <w:r w:rsidR="00A20647" w:rsidRPr="00FE50A6">
        <w:rPr>
          <w:rFonts w:eastAsia="Batang" w:cs="Times"/>
          <w:noProof/>
          <w:szCs w:val="24"/>
          <w:lang w:val="en-US" w:eastAsia="es-ES"/>
        </w:rPr>
        <w:t>.</w:t>
      </w:r>
      <w:r w:rsidR="009C0555" w:rsidRPr="00FE50A6">
        <w:rPr>
          <w:rStyle w:val="Refdenotaalpie"/>
          <w:rFonts w:eastAsia="Batang"/>
          <w:noProof/>
          <w:lang w:val="en-US" w:eastAsia="es-ES"/>
        </w:rPr>
        <w:footnoteReference w:id="26"/>
      </w:r>
      <w:r w:rsidR="000A52D5" w:rsidRPr="00FE50A6">
        <w:rPr>
          <w:rFonts w:eastAsia="Batang" w:cs="Times"/>
          <w:noProof/>
          <w:szCs w:val="24"/>
          <w:lang w:val="en-US" w:eastAsia="es-ES"/>
        </w:rPr>
        <w:t xml:space="preserve"> </w:t>
      </w:r>
    </w:p>
    <w:p w14:paraId="3CFBA9B5" w14:textId="77777777" w:rsidR="0079341A" w:rsidRPr="00FE50A6" w:rsidRDefault="0079341A" w:rsidP="00140440">
      <w:pPr>
        <w:tabs>
          <w:tab w:val="clear" w:pos="4419"/>
          <w:tab w:val="clear" w:pos="8838"/>
        </w:tabs>
        <w:jc w:val="both"/>
        <w:rPr>
          <w:rFonts w:eastAsia="Batang" w:cs="Times"/>
          <w:i/>
          <w:noProof/>
          <w:szCs w:val="24"/>
          <w:lang w:val="en-US" w:eastAsia="es-ES"/>
        </w:rPr>
      </w:pPr>
    </w:p>
    <w:p w14:paraId="1DAA62A4" w14:textId="77777777" w:rsidR="000A52D5" w:rsidRPr="00FE50A6" w:rsidRDefault="000A52D5" w:rsidP="000A20C1">
      <w:pPr>
        <w:pStyle w:val="Ttulo3"/>
        <w:rPr>
          <w:noProof/>
          <w:lang w:val="en-US" w:eastAsia="es-ES"/>
        </w:rPr>
      </w:pPr>
      <w:bookmarkStart w:id="61" w:name="_Toc460432966"/>
      <w:bookmarkStart w:id="62" w:name="_Toc460441897"/>
      <w:bookmarkStart w:id="63" w:name="_Toc462750717"/>
      <w:bookmarkStart w:id="64" w:name="_Toc462751041"/>
      <w:bookmarkStart w:id="65" w:name="_Toc464813893"/>
      <w:r w:rsidRPr="00FE50A6">
        <w:rPr>
          <w:noProof/>
          <w:lang w:val="en-US" w:eastAsia="es-ES"/>
        </w:rPr>
        <w:lastRenderedPageBreak/>
        <w:t xml:space="preserve">B.2. </w:t>
      </w:r>
      <w:r w:rsidR="002071B1" w:rsidRPr="00FE50A6">
        <w:rPr>
          <w:noProof/>
          <w:lang w:val="en-US" w:eastAsia="es-ES"/>
        </w:rPr>
        <w:t>Observations</w:t>
      </w:r>
      <w:r w:rsidR="000228D0" w:rsidRPr="00FE50A6">
        <w:rPr>
          <w:noProof/>
          <w:lang w:val="en-US" w:eastAsia="es-ES"/>
        </w:rPr>
        <w:t xml:space="preserve"> of the Commission</w:t>
      </w:r>
      <w:bookmarkEnd w:id="61"/>
      <w:bookmarkEnd w:id="62"/>
      <w:bookmarkEnd w:id="63"/>
      <w:bookmarkEnd w:id="64"/>
      <w:bookmarkEnd w:id="65"/>
    </w:p>
    <w:p w14:paraId="2C96F7E9"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6B16050"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indi</w:t>
      </w:r>
      <w:r w:rsidR="00C858CD" w:rsidRPr="00FE50A6">
        <w:rPr>
          <w:rFonts w:eastAsia="Batang" w:cs="Times"/>
          <w:noProof/>
          <w:szCs w:val="24"/>
          <w:lang w:val="en-US" w:eastAsia="es-ES"/>
        </w:rPr>
        <w:t>c</w:t>
      </w:r>
      <w:r w:rsidR="00A20647" w:rsidRPr="00FE50A6">
        <w:rPr>
          <w:rFonts w:eastAsia="Batang" w:cs="Times"/>
          <w:noProof/>
          <w:szCs w:val="24"/>
          <w:lang w:val="en-US" w:eastAsia="es-ES"/>
        </w:rPr>
        <w:t>ated that the State’s arguments should be considered inadmissible, because they correspond</w:t>
      </w:r>
      <w:r w:rsidR="00C858CD" w:rsidRPr="00FE50A6">
        <w:rPr>
          <w:rFonts w:eastAsia="Batang" w:cs="Times"/>
          <w:noProof/>
          <w:szCs w:val="24"/>
          <w:lang w:val="en-US" w:eastAsia="es-ES"/>
        </w:rPr>
        <w:t>ed</w:t>
      </w:r>
      <w:r w:rsidR="00A20647" w:rsidRPr="00FE50A6">
        <w:rPr>
          <w:rFonts w:eastAsia="Batang" w:cs="Times"/>
          <w:noProof/>
          <w:szCs w:val="24"/>
          <w:lang w:val="en-US" w:eastAsia="es-ES"/>
        </w:rPr>
        <w:t xml:space="preserve"> to an aspect </w:t>
      </w:r>
      <w:r w:rsidR="00C858CD" w:rsidRPr="00FE50A6">
        <w:rPr>
          <w:rFonts w:eastAsia="Batang" w:cs="Times"/>
          <w:noProof/>
          <w:szCs w:val="24"/>
          <w:lang w:val="en-US" w:eastAsia="es-ES"/>
        </w:rPr>
        <w:t>that would be</w:t>
      </w:r>
      <w:r w:rsidR="00A20647" w:rsidRPr="00FE50A6">
        <w:rPr>
          <w:rFonts w:eastAsia="Batang" w:cs="Times"/>
          <w:noProof/>
          <w:szCs w:val="24"/>
          <w:lang w:val="en-US" w:eastAsia="es-ES"/>
        </w:rPr>
        <w:t xml:space="preserve"> studied when examining the merits of the case. It added that, in this case,</w:t>
      </w:r>
      <w:r w:rsidR="000A52D5" w:rsidRPr="00FE50A6">
        <w:rPr>
          <w:rFonts w:eastAsia="Batang" w:cs="Times"/>
          <w:noProof/>
          <w:szCs w:val="24"/>
          <w:lang w:val="en-US" w:eastAsia="es-ES"/>
        </w:rPr>
        <w:t xml:space="preserve">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35(2) </w:t>
      </w:r>
      <w:r w:rsidR="00703850" w:rsidRPr="00FE50A6">
        <w:rPr>
          <w:rFonts w:eastAsia="Batang" w:cs="Times"/>
          <w:noProof/>
          <w:szCs w:val="24"/>
          <w:lang w:val="en-US" w:eastAsia="es-ES"/>
        </w:rPr>
        <w:t xml:space="preserve">of the </w:t>
      </w:r>
      <w:r w:rsidR="00A20647" w:rsidRPr="00FE50A6">
        <w:rPr>
          <w:rFonts w:eastAsia="Batang" w:cs="Times"/>
          <w:noProof/>
          <w:szCs w:val="24"/>
          <w:lang w:val="en-US" w:eastAsia="es-ES"/>
        </w:rPr>
        <w:t xml:space="preserve">Court’s </w:t>
      </w:r>
      <w:r w:rsidRPr="00FE50A6">
        <w:rPr>
          <w:rFonts w:eastAsia="Batang" w:cs="Times"/>
          <w:noProof/>
          <w:szCs w:val="24"/>
          <w:lang w:val="en-US" w:eastAsia="es-ES"/>
        </w:rPr>
        <w:t xml:space="preserve">Rules of Procedure </w:t>
      </w:r>
      <w:r w:rsidR="00A20647" w:rsidRPr="00FE50A6">
        <w:rPr>
          <w:rFonts w:eastAsia="Batang" w:cs="Times"/>
          <w:noProof/>
          <w:szCs w:val="24"/>
          <w:lang w:val="en-US" w:eastAsia="es-ES"/>
        </w:rPr>
        <w:t xml:space="preserve">was applicable, because the individuals who were not included in the </w:t>
      </w:r>
      <w:r w:rsidR="00030C17" w:rsidRPr="00FE50A6">
        <w:rPr>
          <w:rFonts w:eastAsia="Batang" w:cs="Times"/>
          <w:noProof/>
          <w:szCs w:val="24"/>
          <w:lang w:val="en-US" w:eastAsia="es-ES"/>
        </w:rPr>
        <w:t>Admissibility and Merits Report</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 xml:space="preserve">could not be excluded from the Court’s ruling.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indicated that</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should maintain a degree of flexibility, or order a procedure to obtain the evidence it considered pertinent to identify the greatest number of victims, consideri</w:t>
      </w:r>
      <w:r w:rsidR="00D34C76" w:rsidRPr="00FE50A6">
        <w:rPr>
          <w:rFonts w:eastAsia="Batang" w:cs="Times"/>
          <w:noProof/>
          <w:szCs w:val="24"/>
          <w:lang w:val="en-US" w:eastAsia="es-ES"/>
        </w:rPr>
        <w:t>n</w:t>
      </w:r>
      <w:r w:rsidR="00A20647" w:rsidRPr="00FE50A6">
        <w:rPr>
          <w:rFonts w:eastAsia="Batang" w:cs="Times"/>
          <w:noProof/>
          <w:szCs w:val="24"/>
          <w:lang w:val="en-US" w:eastAsia="es-ES"/>
        </w:rPr>
        <w:t>g that the lack of complete i</w:t>
      </w:r>
      <w:r w:rsidR="00C858CD" w:rsidRPr="00FE50A6">
        <w:rPr>
          <w:rFonts w:eastAsia="Batang" w:cs="Times"/>
          <w:noProof/>
          <w:szCs w:val="24"/>
          <w:lang w:val="en-US" w:eastAsia="es-ES"/>
        </w:rPr>
        <w:t>n</w:t>
      </w:r>
      <w:r w:rsidR="00A20647" w:rsidRPr="00FE50A6">
        <w:rPr>
          <w:rFonts w:eastAsia="Batang" w:cs="Times"/>
          <w:noProof/>
          <w:szCs w:val="24"/>
          <w:lang w:val="en-US" w:eastAsia="es-ES"/>
        </w:rPr>
        <w:t xml:space="preserve">formation on them </w:t>
      </w:r>
      <w:r w:rsidR="00C858CD" w:rsidRPr="00FE50A6">
        <w:rPr>
          <w:rFonts w:eastAsia="Batang" w:cs="Times"/>
          <w:noProof/>
          <w:szCs w:val="24"/>
          <w:lang w:val="en-US" w:eastAsia="es-ES"/>
        </w:rPr>
        <w:t>wa</w:t>
      </w:r>
      <w:r w:rsidR="00A20647" w:rsidRPr="00FE50A6">
        <w:rPr>
          <w:rFonts w:eastAsia="Batang" w:cs="Times"/>
          <w:noProof/>
          <w:szCs w:val="24"/>
          <w:lang w:val="en-US" w:eastAsia="es-ES"/>
        </w:rPr>
        <w:t xml:space="preserve">s due to the nature of the case and the State’s </w:t>
      </w:r>
      <w:r w:rsidR="00C858CD" w:rsidRPr="00FE50A6">
        <w:rPr>
          <w:rFonts w:eastAsia="Batang" w:cs="Times"/>
          <w:noProof/>
          <w:szCs w:val="24"/>
          <w:lang w:val="en-US" w:eastAsia="es-ES"/>
        </w:rPr>
        <w:t>failure</w:t>
      </w:r>
      <w:r w:rsidR="00A20647" w:rsidRPr="00FE50A6">
        <w:rPr>
          <w:rFonts w:eastAsia="Batang" w:cs="Times"/>
          <w:noProof/>
          <w:szCs w:val="24"/>
          <w:lang w:val="en-US" w:eastAsia="es-ES"/>
        </w:rPr>
        <w:t xml:space="preserve"> to provide documentation and information</w:t>
      </w:r>
      <w:r w:rsidR="00C858CD" w:rsidRPr="00FE50A6">
        <w:rPr>
          <w:rFonts w:eastAsia="Batang" w:cs="Times"/>
          <w:noProof/>
          <w:szCs w:val="24"/>
          <w:lang w:val="en-US" w:eastAsia="es-ES"/>
        </w:rPr>
        <w:t xml:space="preserve"> </w:t>
      </w:r>
      <w:r w:rsidR="00D34C76" w:rsidRPr="00FE50A6">
        <w:rPr>
          <w:rFonts w:eastAsia="Batang" w:cs="Times"/>
          <w:noProof/>
          <w:szCs w:val="24"/>
          <w:lang w:val="en-US" w:eastAsia="es-ES"/>
        </w:rPr>
        <w:t>regarding</w:t>
      </w:r>
      <w:r w:rsidR="00C858CD" w:rsidRPr="00FE50A6">
        <w:rPr>
          <w:rFonts w:eastAsia="Batang" w:cs="Times"/>
          <w:noProof/>
          <w:szCs w:val="24"/>
          <w:lang w:val="en-US" w:eastAsia="es-ES"/>
        </w:rPr>
        <w:t xml:space="preserve"> the respective inspections</w:t>
      </w:r>
      <w:r w:rsidR="000A52D5" w:rsidRPr="00FE50A6">
        <w:rPr>
          <w:rFonts w:eastAsia="Batang" w:cs="Times"/>
          <w:noProof/>
          <w:szCs w:val="24"/>
          <w:lang w:val="en-US" w:eastAsia="es-ES"/>
        </w:rPr>
        <w:t xml:space="preserve">. </w:t>
      </w:r>
    </w:p>
    <w:p w14:paraId="4DC8BF8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9681EB8" w14:textId="77777777" w:rsidR="000A52D5" w:rsidRPr="00FE50A6" w:rsidRDefault="00A82588" w:rsidP="00F25077">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Additionally,</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af</w:t>
      </w:r>
      <w:r w:rsidRPr="00FE50A6">
        <w:rPr>
          <w:rFonts w:eastAsia="Batang" w:cs="Times"/>
          <w:noProof/>
          <w:szCs w:val="24"/>
          <w:lang w:val="en-US" w:eastAsia="es-ES"/>
        </w:rPr>
        <w:t xml:space="preserve">firmed that the </w:t>
      </w:r>
      <w:r w:rsidR="008D573C" w:rsidRPr="00FE50A6">
        <w:rPr>
          <w:rFonts w:eastAsia="Batang" w:cs="Times"/>
          <w:noProof/>
          <w:szCs w:val="24"/>
          <w:lang w:val="en-US" w:eastAsia="es-ES"/>
        </w:rPr>
        <w:t>lack</w:t>
      </w:r>
      <w:r w:rsidR="00C858CD" w:rsidRPr="00FE50A6">
        <w:rPr>
          <w:rFonts w:eastAsia="Batang" w:cs="Times"/>
          <w:noProof/>
          <w:szCs w:val="24"/>
          <w:lang w:val="en-US" w:eastAsia="es-ES"/>
        </w:rPr>
        <w:t xml:space="preserve"> of</w:t>
      </w:r>
      <w:r w:rsidR="00F25077" w:rsidRPr="00FE50A6">
        <w:rPr>
          <w:rFonts w:eastAsia="Batang" w:cs="Times"/>
          <w:noProof/>
          <w:szCs w:val="24"/>
          <w:lang w:val="en-US" w:eastAsia="es-ES"/>
        </w:rPr>
        <w:t xml:space="preserve"> a power of </w:t>
      </w:r>
      <w:r w:rsidR="00D34C76" w:rsidRPr="00FE50A6">
        <w:rPr>
          <w:rFonts w:eastAsia="Batang" w:cs="Times"/>
          <w:noProof/>
          <w:szCs w:val="24"/>
          <w:lang w:val="en-US" w:eastAsia="es-ES"/>
        </w:rPr>
        <w:t>attorney</w:t>
      </w:r>
      <w:r w:rsidR="00F25077" w:rsidRPr="00FE50A6">
        <w:rPr>
          <w:rFonts w:eastAsia="Batang" w:cs="Times"/>
          <w:noProof/>
          <w:szCs w:val="24"/>
          <w:lang w:val="en-US" w:eastAsia="es-ES"/>
        </w:rPr>
        <w:t xml:space="preserve"> could not constitute </w:t>
      </w:r>
      <w:r w:rsidR="00D34C76" w:rsidRPr="00FE50A6">
        <w:rPr>
          <w:rFonts w:eastAsia="Batang" w:cs="Times"/>
          <w:noProof/>
          <w:szCs w:val="24"/>
          <w:lang w:val="en-US" w:eastAsia="es-ES"/>
        </w:rPr>
        <w:t xml:space="preserve">a </w:t>
      </w:r>
      <w:r w:rsidR="00F25077" w:rsidRPr="00FE50A6">
        <w:rPr>
          <w:rFonts w:eastAsia="Batang" w:cs="Times"/>
          <w:noProof/>
          <w:szCs w:val="24"/>
          <w:lang w:val="en-US" w:eastAsia="es-ES"/>
        </w:rPr>
        <w:t>sufficient reaso</w:t>
      </w:r>
      <w:r w:rsidR="00C858CD" w:rsidRPr="00FE50A6">
        <w:rPr>
          <w:rFonts w:eastAsia="Batang" w:cs="Times"/>
          <w:noProof/>
          <w:szCs w:val="24"/>
          <w:lang w:val="en-US" w:eastAsia="es-ES"/>
        </w:rPr>
        <w:t>n</w:t>
      </w:r>
      <w:r w:rsidR="00F25077" w:rsidRPr="00FE50A6">
        <w:rPr>
          <w:rFonts w:eastAsia="Batang" w:cs="Times"/>
          <w:noProof/>
          <w:szCs w:val="24"/>
          <w:lang w:val="en-US" w:eastAsia="es-ES"/>
        </w:rPr>
        <w:t xml:space="preserve"> for an individual not to be identified and declared a victim in an individual case</w:t>
      </w:r>
      <w:r w:rsidR="00D34C76" w:rsidRPr="00FE50A6">
        <w:rPr>
          <w:rFonts w:eastAsia="Batang" w:cs="Times"/>
          <w:noProof/>
          <w:szCs w:val="24"/>
          <w:lang w:val="en-US" w:eastAsia="es-ES"/>
        </w:rPr>
        <w:t>. Consequently,</w:t>
      </w:r>
      <w:r w:rsidR="008D573C" w:rsidRPr="00FE50A6">
        <w:rPr>
          <w:rFonts w:eastAsia="Batang" w:cs="Times"/>
          <w:noProof/>
          <w:szCs w:val="24"/>
          <w:lang w:val="en-US" w:eastAsia="es-ES"/>
        </w:rPr>
        <w:t xml:space="preserve"> </w:t>
      </w:r>
      <w:r w:rsidR="00F25077" w:rsidRPr="00FE50A6">
        <w:rPr>
          <w:rFonts w:eastAsia="Batang" w:cs="Times"/>
          <w:noProof/>
          <w:szCs w:val="24"/>
          <w:lang w:val="en-US" w:eastAsia="es-ES"/>
        </w:rPr>
        <w:t xml:space="preserve">the Court should determine whether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F25077" w:rsidRPr="00FE50A6">
        <w:rPr>
          <w:rFonts w:eastAsia="Batang" w:cs="Times"/>
          <w:noProof/>
          <w:szCs w:val="24"/>
          <w:lang w:val="en-US" w:eastAsia="es-ES"/>
        </w:rPr>
        <w:t xml:space="preserve">who had not granted a power of </w:t>
      </w:r>
      <w:r w:rsidR="00D34C76" w:rsidRPr="00FE50A6">
        <w:rPr>
          <w:rFonts w:eastAsia="Batang" w:cs="Times"/>
          <w:noProof/>
          <w:szCs w:val="24"/>
          <w:lang w:val="en-US" w:eastAsia="es-ES"/>
        </w:rPr>
        <w:t>attorney</w:t>
      </w:r>
      <w:r w:rsidR="00F25077" w:rsidRPr="00FE50A6">
        <w:rPr>
          <w:rFonts w:eastAsia="Batang" w:cs="Times"/>
          <w:noProof/>
          <w:szCs w:val="24"/>
          <w:lang w:val="en-US" w:eastAsia="es-ES"/>
        </w:rPr>
        <w:t xml:space="preserve"> </w:t>
      </w:r>
      <w:r w:rsidR="008D573C" w:rsidRPr="00FE50A6">
        <w:rPr>
          <w:rFonts w:eastAsia="Batang" w:cs="Times"/>
          <w:noProof/>
          <w:szCs w:val="24"/>
          <w:lang w:val="en-US" w:eastAsia="es-ES"/>
        </w:rPr>
        <w:t>we</w:t>
      </w:r>
      <w:r w:rsidR="00F25077" w:rsidRPr="00FE50A6">
        <w:rPr>
          <w:rFonts w:eastAsia="Batang" w:cs="Times"/>
          <w:noProof/>
          <w:szCs w:val="24"/>
          <w:lang w:val="en-US" w:eastAsia="es-ES"/>
        </w:rPr>
        <w:t>re represented reasonably by</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the</w:t>
      </w:r>
      <w:r w:rsidR="00F25077" w:rsidRPr="00FE50A6">
        <w:rPr>
          <w:rFonts w:eastAsia="Batang" w:cs="Times"/>
          <w:noProof/>
          <w:szCs w:val="24"/>
          <w:lang w:val="en-US" w:eastAsia="es-ES"/>
        </w:rPr>
        <w:t xml:space="preserve"> actual</w:t>
      </w:r>
      <w:r w:rsidR="00700B79" w:rsidRPr="00FE50A6">
        <w:rPr>
          <w:rFonts w:eastAsia="Batang" w:cs="Times"/>
          <w:noProof/>
          <w:szCs w:val="24"/>
          <w:lang w:val="en-US" w:eastAsia="es-ES"/>
        </w:rPr>
        <w:t xml:space="preserve"> representatives</w:t>
      </w:r>
      <w:r w:rsidR="000A52D5" w:rsidRPr="00FE50A6">
        <w:rPr>
          <w:rFonts w:eastAsia="Batang" w:cs="Times"/>
          <w:noProof/>
          <w:szCs w:val="24"/>
          <w:lang w:val="en-US" w:eastAsia="es-ES"/>
        </w:rPr>
        <w:t xml:space="preserve">, </w:t>
      </w:r>
      <w:r w:rsidR="008D573C" w:rsidRPr="00FE50A6">
        <w:rPr>
          <w:rFonts w:eastAsia="Batang" w:cs="Times"/>
          <w:noProof/>
          <w:szCs w:val="24"/>
          <w:lang w:val="en-US" w:eastAsia="es-ES"/>
        </w:rPr>
        <w:t>including</w:t>
      </w:r>
      <w:r w:rsidR="00F25077" w:rsidRPr="00FE50A6">
        <w:rPr>
          <w:rFonts w:eastAsia="Batang" w:cs="Times"/>
          <w:noProof/>
          <w:szCs w:val="24"/>
          <w:lang w:val="en-US" w:eastAsia="es-ES"/>
        </w:rPr>
        <w:t xml:space="preserve"> for the subsequent stages of the proceedings. This is because </w:t>
      </w:r>
      <w:r w:rsidR="00700B79" w:rsidRPr="00FE50A6">
        <w:rPr>
          <w:rFonts w:eastAsia="Batang" w:cs="Times"/>
          <w:noProof/>
          <w:szCs w:val="24"/>
          <w:lang w:val="en-US" w:eastAsia="es-ES"/>
        </w:rPr>
        <w:t>the representatives</w:t>
      </w:r>
      <w:r w:rsidR="00703850" w:rsidRPr="00FE50A6">
        <w:rPr>
          <w:rFonts w:eastAsia="Batang" w:cs="Times"/>
          <w:noProof/>
          <w:szCs w:val="24"/>
          <w:lang w:val="en-US" w:eastAsia="es-ES"/>
        </w:rPr>
        <w:t xml:space="preserve"> 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F25077" w:rsidRPr="00FE50A6">
        <w:rPr>
          <w:rFonts w:eastAsia="Batang" w:cs="Times"/>
          <w:noProof/>
          <w:szCs w:val="24"/>
          <w:lang w:val="en-US" w:eastAsia="es-ES"/>
        </w:rPr>
        <w:t>ha</w:t>
      </w:r>
      <w:r w:rsidR="008D573C" w:rsidRPr="00FE50A6">
        <w:rPr>
          <w:rFonts w:eastAsia="Batang" w:cs="Times"/>
          <w:noProof/>
          <w:szCs w:val="24"/>
          <w:lang w:val="en-US" w:eastAsia="es-ES"/>
        </w:rPr>
        <w:t>d</w:t>
      </w:r>
      <w:r w:rsidR="00F25077" w:rsidRPr="00FE50A6">
        <w:rPr>
          <w:rFonts w:eastAsia="Batang" w:cs="Times"/>
          <w:noProof/>
          <w:szCs w:val="24"/>
          <w:lang w:val="en-US" w:eastAsia="es-ES"/>
        </w:rPr>
        <w:t xml:space="preserve"> not deliberately or expressly excluded individuals regarding whom they d</w:t>
      </w:r>
      <w:r w:rsidR="008D573C" w:rsidRPr="00FE50A6">
        <w:rPr>
          <w:rFonts w:eastAsia="Batang" w:cs="Times"/>
          <w:noProof/>
          <w:szCs w:val="24"/>
          <w:lang w:val="en-US" w:eastAsia="es-ES"/>
        </w:rPr>
        <w:t>id</w:t>
      </w:r>
      <w:r w:rsidR="00F25077" w:rsidRPr="00FE50A6">
        <w:rPr>
          <w:rFonts w:eastAsia="Batang" w:cs="Times"/>
          <w:noProof/>
          <w:szCs w:val="24"/>
          <w:lang w:val="en-US" w:eastAsia="es-ES"/>
        </w:rPr>
        <w:t xml:space="preserve"> no have a power of </w:t>
      </w:r>
      <w:r w:rsidR="00D34C76" w:rsidRPr="00FE50A6">
        <w:rPr>
          <w:rFonts w:eastAsia="Batang" w:cs="Times"/>
          <w:noProof/>
          <w:szCs w:val="24"/>
          <w:lang w:val="en-US" w:eastAsia="es-ES"/>
        </w:rPr>
        <w:t>attorney</w:t>
      </w:r>
      <w:r w:rsidR="00F25077" w:rsidRPr="00FE50A6">
        <w:rPr>
          <w:rFonts w:eastAsia="Batang" w:cs="Times"/>
          <w:noProof/>
          <w:szCs w:val="24"/>
          <w:lang w:val="en-US" w:eastAsia="es-ES"/>
        </w:rPr>
        <w:t>.</w:t>
      </w:r>
    </w:p>
    <w:p w14:paraId="1A6F44AC"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39AA4D6E" w14:textId="77777777" w:rsidR="000A52D5" w:rsidRPr="00FE50A6" w:rsidRDefault="00F2507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Lastly</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indicated that the State’s</w:t>
      </w:r>
      <w:r w:rsidR="000A52D5" w:rsidRPr="00FE50A6">
        <w:rPr>
          <w:rFonts w:eastAsia="Batang" w:cs="Times"/>
          <w:noProof/>
          <w:szCs w:val="24"/>
          <w:lang w:val="en-US" w:eastAsia="es-ES"/>
        </w:rPr>
        <w:t xml:space="preserve"> </w:t>
      </w:r>
      <w:r w:rsidRPr="00FE50A6">
        <w:rPr>
          <w:rFonts w:eastAsia="Batang" w:cs="Times"/>
          <w:noProof/>
          <w:szCs w:val="24"/>
          <w:lang w:val="en-US" w:eastAsia="es-ES"/>
        </w:rPr>
        <w:t>a</w:t>
      </w:r>
      <w:r w:rsidR="005B65F5" w:rsidRPr="00FE50A6">
        <w:rPr>
          <w:rFonts w:eastAsia="Batang" w:cs="Times"/>
          <w:noProof/>
          <w:szCs w:val="24"/>
          <w:lang w:val="en-US" w:eastAsia="es-ES"/>
        </w:rPr>
        <w:t>rguments</w:t>
      </w:r>
      <w:r w:rsidRPr="00FE50A6">
        <w:rPr>
          <w:rFonts w:eastAsia="Batang" w:cs="Times"/>
          <w:noProof/>
          <w:szCs w:val="24"/>
          <w:lang w:val="en-US" w:eastAsia="es-ES"/>
        </w:rPr>
        <w:t xml:space="preserve"> did not constitute a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because</w:t>
      </w:r>
      <w:r w:rsidR="008D573C" w:rsidRPr="00FE50A6">
        <w:rPr>
          <w:rFonts w:eastAsia="Batang" w:cs="Times"/>
          <w:noProof/>
          <w:szCs w:val="24"/>
          <w:lang w:val="en-US" w:eastAsia="es-ES"/>
        </w:rPr>
        <w:t xml:space="preserve">, according to Article 35(2) of the Court’s Rules of Procedure, </w:t>
      </w:r>
      <w:r w:rsidRPr="00FE50A6">
        <w:rPr>
          <w:rFonts w:eastAsia="Batang" w:cs="Times"/>
          <w:noProof/>
          <w:szCs w:val="24"/>
          <w:lang w:val="en-US" w:eastAsia="es-ES"/>
        </w:rPr>
        <w:t>the identification of the victims should be made based on the context of the matter</w:t>
      </w:r>
      <w:r w:rsidR="008D573C" w:rsidRPr="00FE50A6">
        <w:rPr>
          <w:rFonts w:eastAsia="Batang" w:cs="Times"/>
          <w:noProof/>
          <w:szCs w:val="24"/>
          <w:lang w:val="en-US" w:eastAsia="es-ES"/>
        </w:rPr>
        <w:t>, and also</w:t>
      </w:r>
      <w:r w:rsidRPr="00FE50A6">
        <w:rPr>
          <w:rFonts w:eastAsia="Batang" w:cs="Times"/>
          <w:noProof/>
          <w:szCs w:val="24"/>
          <w:lang w:val="en-US" w:eastAsia="es-ES"/>
        </w:rPr>
        <w:t xml:space="preserve"> by taking the necessary steps to ensure the representation of every possible</w:t>
      </w:r>
      <w:r w:rsidR="0017587B" w:rsidRPr="00FE50A6">
        <w:rPr>
          <w:rFonts w:eastAsia="Batang" w:cs="Times"/>
          <w:noProof/>
          <w:szCs w:val="24"/>
          <w:lang w:val="en-US" w:eastAsia="es-ES"/>
        </w:rPr>
        <w:t xml:space="preserve"> presumed victim</w:t>
      </w:r>
      <w:r w:rsidRPr="00FE50A6">
        <w:rPr>
          <w:rFonts w:eastAsia="Batang" w:cs="Times"/>
          <w:noProof/>
          <w:szCs w:val="24"/>
          <w:lang w:val="en-US" w:eastAsia="es-ES"/>
        </w:rPr>
        <w:t xml:space="preserve"> in the inter-American proceedings.</w:t>
      </w:r>
      <w:r w:rsidR="000A52D5" w:rsidRPr="00FE50A6">
        <w:rPr>
          <w:rFonts w:eastAsia="Batang" w:cs="Times"/>
          <w:noProof/>
          <w:szCs w:val="24"/>
          <w:lang w:val="en-US" w:eastAsia="es-ES"/>
        </w:rPr>
        <w:t xml:space="preserve"> </w:t>
      </w:r>
    </w:p>
    <w:p w14:paraId="556951B9"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4470FB1A" w14:textId="77777777" w:rsidR="000A52D5" w:rsidRPr="00FE50A6" w:rsidRDefault="000A52D5" w:rsidP="000A20C1">
      <w:pPr>
        <w:pStyle w:val="Ttulo3"/>
        <w:rPr>
          <w:noProof/>
          <w:lang w:val="en-US" w:eastAsia="es-ES"/>
        </w:rPr>
      </w:pPr>
      <w:bookmarkStart w:id="66" w:name="_Toc460432967"/>
      <w:bookmarkStart w:id="67" w:name="_Toc460441898"/>
      <w:bookmarkStart w:id="68" w:name="_Toc462750718"/>
      <w:bookmarkStart w:id="69" w:name="_Toc462751042"/>
      <w:bookmarkStart w:id="70" w:name="_Toc464813894"/>
      <w:r w:rsidRPr="00FE50A6">
        <w:rPr>
          <w:noProof/>
          <w:lang w:val="en-US" w:eastAsia="es-ES"/>
        </w:rPr>
        <w:t xml:space="preserve">B.3. </w:t>
      </w:r>
      <w:r w:rsidR="002071B1" w:rsidRPr="00FE50A6">
        <w:rPr>
          <w:noProof/>
          <w:lang w:val="en-US" w:eastAsia="es-ES"/>
        </w:rPr>
        <w:t>Observations</w:t>
      </w:r>
      <w:r w:rsidR="007571DF" w:rsidRPr="00FE50A6">
        <w:rPr>
          <w:noProof/>
          <w:lang w:val="en-US" w:eastAsia="es-ES"/>
        </w:rPr>
        <w:t xml:space="preserve"> of the </w:t>
      </w:r>
      <w:r w:rsidR="00700B79" w:rsidRPr="00FE50A6">
        <w:rPr>
          <w:noProof/>
          <w:lang w:val="en-US" w:eastAsia="es-ES"/>
        </w:rPr>
        <w:t>representatives</w:t>
      </w:r>
      <w:bookmarkEnd w:id="66"/>
      <w:bookmarkEnd w:id="67"/>
      <w:bookmarkEnd w:id="68"/>
      <w:bookmarkEnd w:id="69"/>
      <w:bookmarkEnd w:id="70"/>
    </w:p>
    <w:p w14:paraId="3D5DE691"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6632583"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a</w:t>
      </w:r>
      <w:r w:rsidR="00F25077" w:rsidRPr="00FE50A6">
        <w:rPr>
          <w:rFonts w:eastAsia="Batang" w:cs="Times"/>
          <w:noProof/>
          <w:szCs w:val="24"/>
          <w:lang w:val="en-US" w:eastAsia="es-ES"/>
        </w:rPr>
        <w:t xml:space="preserve">rgued that, in view of the complexity of the case, the massive and collective nature of the violations, as well as other contextual factors, it was reasonable to apply the provisions of </w:t>
      </w:r>
      <w:r w:rsidR="000228D0" w:rsidRPr="00FE50A6">
        <w:rPr>
          <w:rFonts w:eastAsia="Batang" w:cs="Times"/>
          <w:noProof/>
          <w:szCs w:val="24"/>
          <w:lang w:val="en-US" w:eastAsia="es-ES"/>
        </w:rPr>
        <w:t>Article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35(2)</w:t>
      </w:r>
      <w:r w:rsidR="00703850" w:rsidRPr="00FE50A6">
        <w:rPr>
          <w:rFonts w:eastAsia="Batang" w:cs="Times"/>
          <w:noProof/>
          <w:szCs w:val="24"/>
          <w:lang w:val="en-US" w:eastAsia="es-ES"/>
        </w:rPr>
        <w:t xml:space="preserve"> of the </w:t>
      </w:r>
      <w:r w:rsidR="00F25077" w:rsidRPr="00FE50A6">
        <w:rPr>
          <w:rFonts w:eastAsia="Batang" w:cs="Times"/>
          <w:noProof/>
          <w:szCs w:val="24"/>
          <w:lang w:val="en-US" w:eastAsia="es-ES"/>
        </w:rPr>
        <w:t xml:space="preserve">Court’s </w:t>
      </w:r>
      <w:r w:rsidR="000228D0" w:rsidRPr="00FE50A6">
        <w:rPr>
          <w:rFonts w:eastAsia="Batang" w:cs="Times"/>
          <w:noProof/>
          <w:szCs w:val="24"/>
          <w:lang w:val="en-US" w:eastAsia="es-ES"/>
        </w:rPr>
        <w:t>Rules of Procedure</w:t>
      </w:r>
      <w:r w:rsidR="008D573C" w:rsidRPr="00FE50A6">
        <w:rPr>
          <w:rFonts w:eastAsia="Batang" w:cs="Times"/>
          <w:noProof/>
          <w:szCs w:val="24"/>
          <w:lang w:val="en-US" w:eastAsia="es-ES"/>
        </w:rPr>
        <w:t xml:space="preserve"> in order to make</w:t>
      </w:r>
      <w:r w:rsidR="00F25077" w:rsidRPr="00FE50A6">
        <w:rPr>
          <w:rFonts w:eastAsia="Batang" w:cs="Times"/>
          <w:noProof/>
          <w:szCs w:val="24"/>
          <w:lang w:val="en-US" w:eastAsia="es-ES"/>
        </w:rPr>
        <w:t xml:space="preserve"> a collective identification of all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F25077" w:rsidRPr="00FE50A6">
        <w:rPr>
          <w:rFonts w:eastAsia="Batang" w:cs="Times"/>
          <w:noProof/>
          <w:szCs w:val="24"/>
          <w:lang w:val="en-US" w:eastAsia="es-ES"/>
        </w:rPr>
        <w:t xml:space="preserve">found in Hacienda Brasil Verde during the </w:t>
      </w:r>
      <w:r w:rsidR="000A52D5" w:rsidRPr="00FE50A6">
        <w:rPr>
          <w:rFonts w:eastAsia="Batang" w:cs="Times"/>
          <w:noProof/>
          <w:szCs w:val="24"/>
          <w:lang w:val="en-US" w:eastAsia="es-ES"/>
        </w:rPr>
        <w:t>1993, 1996, 1997</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2000</w:t>
      </w:r>
      <w:r w:rsidR="00F25077" w:rsidRPr="00FE50A6">
        <w:rPr>
          <w:rFonts w:eastAsia="Batang" w:cs="Times"/>
          <w:noProof/>
          <w:szCs w:val="24"/>
          <w:lang w:val="en-US" w:eastAsia="es-ES"/>
        </w:rPr>
        <w:t xml:space="preserve"> inspections.</w:t>
      </w:r>
    </w:p>
    <w:p w14:paraId="34A2EE7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9A2A624" w14:textId="77777777" w:rsidR="000A52D5" w:rsidRPr="00FE50A6" w:rsidRDefault="00F2507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They also indicated that they had been able to identify 49 individuals from the 1993 inspection; </w:t>
      </w:r>
      <w:r w:rsidR="000A52D5" w:rsidRPr="00FE50A6">
        <w:rPr>
          <w:rFonts w:eastAsia="Batang" w:cs="Times"/>
          <w:noProof/>
          <w:szCs w:val="24"/>
          <w:lang w:val="en-US" w:eastAsia="es-ES"/>
        </w:rPr>
        <w:t xml:space="preserve">78 </w:t>
      </w:r>
      <w:r w:rsidRPr="00FE50A6">
        <w:rPr>
          <w:rFonts w:eastAsia="Batang" w:cs="Times"/>
          <w:noProof/>
          <w:szCs w:val="24"/>
          <w:lang w:val="en-US" w:eastAsia="es-ES"/>
        </w:rPr>
        <w:t>from the</w:t>
      </w:r>
      <w:r w:rsidR="000A52D5" w:rsidRPr="00FE50A6">
        <w:rPr>
          <w:rFonts w:eastAsia="Batang" w:cs="Times"/>
          <w:noProof/>
          <w:szCs w:val="24"/>
          <w:lang w:val="en-US" w:eastAsia="es-ES"/>
        </w:rPr>
        <w:t xml:space="preserve"> 1996</w:t>
      </w:r>
      <w:r w:rsidRPr="00FE50A6">
        <w:rPr>
          <w:rFonts w:eastAsia="Batang" w:cs="Times"/>
          <w:noProof/>
          <w:szCs w:val="24"/>
          <w:lang w:val="en-US" w:eastAsia="es-ES"/>
        </w:rPr>
        <w:t xml:space="preserve"> inspection</w:t>
      </w:r>
      <w:r w:rsidR="000A52D5" w:rsidRPr="00FE50A6">
        <w:rPr>
          <w:rFonts w:eastAsia="Batang" w:cs="Times"/>
          <w:noProof/>
          <w:szCs w:val="24"/>
          <w:lang w:val="en-US" w:eastAsia="es-ES"/>
        </w:rPr>
        <w:t xml:space="preserve">; 93 </w:t>
      </w:r>
      <w:r w:rsidRPr="00FE50A6">
        <w:rPr>
          <w:rFonts w:eastAsia="Batang" w:cs="Times"/>
          <w:noProof/>
          <w:szCs w:val="24"/>
          <w:lang w:val="en-US" w:eastAsia="es-ES"/>
        </w:rPr>
        <w:t>from the visit in</w:t>
      </w:r>
      <w:r w:rsidR="000A52D5" w:rsidRPr="00FE50A6">
        <w:rPr>
          <w:rFonts w:eastAsia="Batang" w:cs="Times"/>
          <w:noProof/>
          <w:szCs w:val="24"/>
          <w:lang w:val="en-US" w:eastAsia="es-ES"/>
        </w:rPr>
        <w:t xml:space="preserve"> 1997</w:t>
      </w:r>
      <w:r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 xml:space="preserve">85 </w:t>
      </w:r>
      <w:r w:rsidRPr="00FE50A6">
        <w:rPr>
          <w:rFonts w:eastAsia="Batang" w:cs="Times"/>
          <w:noProof/>
          <w:szCs w:val="24"/>
          <w:lang w:val="en-US" w:eastAsia="es-ES"/>
        </w:rPr>
        <w:t>from the inspection in</w:t>
      </w:r>
      <w:r w:rsidR="000A52D5" w:rsidRPr="00FE50A6">
        <w:rPr>
          <w:rFonts w:eastAsia="Batang" w:cs="Times"/>
          <w:noProof/>
          <w:szCs w:val="24"/>
          <w:lang w:val="en-US" w:eastAsia="es-ES"/>
        </w:rPr>
        <w:t xml:space="preserve"> 2000. </w:t>
      </w:r>
      <w:r w:rsidRPr="00FE50A6">
        <w:rPr>
          <w:rFonts w:eastAsia="Batang" w:cs="Times"/>
          <w:noProof/>
          <w:szCs w:val="24"/>
          <w:lang w:val="en-US" w:eastAsia="es-ES"/>
        </w:rPr>
        <w:t xml:space="preserve">They indicated that, insofar as possible and despite </w:t>
      </w:r>
      <w:r w:rsidR="00D34C76" w:rsidRPr="00FE50A6">
        <w:rPr>
          <w:rFonts w:eastAsia="Batang" w:cs="Times"/>
          <w:noProof/>
          <w:szCs w:val="24"/>
          <w:lang w:val="en-US" w:eastAsia="es-ES"/>
        </w:rPr>
        <w:t>the</w:t>
      </w:r>
      <w:r w:rsidR="008D573C" w:rsidRPr="00FE50A6">
        <w:rPr>
          <w:rFonts w:eastAsia="Batang" w:cs="Times"/>
          <w:noProof/>
          <w:szCs w:val="24"/>
          <w:lang w:val="en-US" w:eastAsia="es-ES"/>
        </w:rPr>
        <w:t xml:space="preserve"> </w:t>
      </w:r>
      <w:r w:rsidRPr="00FE50A6">
        <w:rPr>
          <w:rFonts w:eastAsia="Batang" w:cs="Times"/>
          <w:noProof/>
          <w:szCs w:val="24"/>
          <w:lang w:val="en-US" w:eastAsia="es-ES"/>
        </w:rPr>
        <w:t>difficulties</w:t>
      </w:r>
      <w:r w:rsidR="008D573C" w:rsidRPr="00FE50A6">
        <w:rPr>
          <w:rFonts w:eastAsia="Batang" w:cs="Times"/>
          <w:noProof/>
          <w:szCs w:val="24"/>
          <w:lang w:val="en-US" w:eastAsia="es-ES"/>
        </w:rPr>
        <w:t xml:space="preserve"> that existed</w:t>
      </w:r>
      <w:r w:rsidRPr="00FE50A6">
        <w:rPr>
          <w:rFonts w:eastAsia="Batang" w:cs="Times"/>
          <w:noProof/>
          <w:szCs w:val="24"/>
          <w:lang w:val="en-US" w:eastAsia="es-ES"/>
        </w:rPr>
        <w:t xml:space="preserve">, they had made an effort to individualize with </w:t>
      </w:r>
      <w:r w:rsidR="00D34C76" w:rsidRPr="00FE50A6">
        <w:rPr>
          <w:rFonts w:eastAsia="Batang" w:cs="Times"/>
          <w:noProof/>
          <w:szCs w:val="24"/>
          <w:lang w:val="en-US" w:eastAsia="es-ES"/>
        </w:rPr>
        <w:t xml:space="preserve">first and last </w:t>
      </w:r>
      <w:r w:rsidR="00DF0650" w:rsidRPr="00FE50A6">
        <w:rPr>
          <w:rFonts w:eastAsia="Batang" w:cs="Times"/>
          <w:noProof/>
          <w:szCs w:val="24"/>
          <w:lang w:val="en-US" w:eastAsia="es-ES"/>
        </w:rPr>
        <w:t>names at least all of those whose documents they had been able to access, without losing sight of the fact that 20 years ha</w:t>
      </w:r>
      <w:r w:rsidR="008D573C" w:rsidRPr="00FE50A6">
        <w:rPr>
          <w:rFonts w:eastAsia="Batang" w:cs="Times"/>
          <w:noProof/>
          <w:szCs w:val="24"/>
          <w:lang w:val="en-US" w:eastAsia="es-ES"/>
        </w:rPr>
        <w:t>d</w:t>
      </w:r>
      <w:r w:rsidR="00DF0650" w:rsidRPr="00FE50A6">
        <w:rPr>
          <w:rFonts w:eastAsia="Batang" w:cs="Times"/>
          <w:noProof/>
          <w:szCs w:val="24"/>
          <w:lang w:val="en-US" w:eastAsia="es-ES"/>
        </w:rPr>
        <w:t xml:space="preserve"> passed since the first inspection, which made it difficult to contact them. In addition, the</w:t>
      </w:r>
      <w:r w:rsidR="00D34C76" w:rsidRPr="00FE50A6">
        <w:rPr>
          <w:rFonts w:eastAsia="Batang" w:cs="Times"/>
          <w:noProof/>
          <w:szCs w:val="24"/>
          <w:lang w:val="en-US" w:eastAsia="es-ES"/>
        </w:rPr>
        <w:t xml:space="preserve"> representatives</w:t>
      </w:r>
      <w:r w:rsidR="00DF0650" w:rsidRPr="00FE50A6">
        <w:rPr>
          <w:rFonts w:eastAsia="Batang" w:cs="Times"/>
          <w:noProof/>
          <w:szCs w:val="24"/>
          <w:lang w:val="en-US" w:eastAsia="es-ES"/>
        </w:rPr>
        <w:t xml:space="preserve"> indicated that</w:t>
      </w:r>
      <w:r w:rsidR="008D573C" w:rsidRPr="00FE50A6">
        <w:rPr>
          <w:rFonts w:eastAsia="Batang" w:cs="Times"/>
          <w:noProof/>
          <w:szCs w:val="24"/>
          <w:lang w:val="en-US" w:eastAsia="es-ES"/>
        </w:rPr>
        <w:t>,</w:t>
      </w:r>
      <w:r w:rsidR="00DF0650" w:rsidRPr="00FE50A6">
        <w:rPr>
          <w:rFonts w:eastAsia="Batang" w:cs="Times"/>
          <w:noProof/>
          <w:szCs w:val="24"/>
          <w:lang w:val="en-US" w:eastAsia="es-ES"/>
        </w:rPr>
        <w:t xml:space="preserve"> in the 2000 inspection</w:t>
      </w:r>
      <w:r w:rsidR="008D573C" w:rsidRPr="00FE50A6">
        <w:rPr>
          <w:rFonts w:eastAsia="Batang" w:cs="Times"/>
          <w:noProof/>
          <w:szCs w:val="24"/>
          <w:lang w:val="en-US" w:eastAsia="es-ES"/>
        </w:rPr>
        <w:t>,</w:t>
      </w:r>
      <w:r w:rsidR="00DF0650" w:rsidRPr="00FE50A6">
        <w:rPr>
          <w:rFonts w:eastAsia="Batang" w:cs="Times"/>
          <w:noProof/>
          <w:szCs w:val="24"/>
          <w:lang w:val="en-US" w:eastAsia="es-ES"/>
        </w:rPr>
        <w:t xml:space="preserve"> it had been verified that most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DF0650" w:rsidRPr="00FE50A6">
        <w:rPr>
          <w:rFonts w:eastAsia="Batang" w:cs="Times"/>
          <w:noProof/>
          <w:szCs w:val="24"/>
          <w:lang w:val="en-US" w:eastAsia="es-ES"/>
        </w:rPr>
        <w:t>were illiterate</w:t>
      </w:r>
      <w:r w:rsidR="00D34C76" w:rsidRPr="00FE50A6">
        <w:rPr>
          <w:rFonts w:eastAsia="Batang" w:cs="Times"/>
          <w:noProof/>
          <w:szCs w:val="24"/>
          <w:lang w:val="en-US" w:eastAsia="es-ES"/>
        </w:rPr>
        <w:t xml:space="preserve">, </w:t>
      </w:r>
      <w:r w:rsidR="00DF0650" w:rsidRPr="00FE50A6">
        <w:rPr>
          <w:rFonts w:eastAsia="Batang" w:cs="Times"/>
          <w:noProof/>
          <w:szCs w:val="24"/>
          <w:lang w:val="en-US" w:eastAsia="es-ES"/>
        </w:rPr>
        <w:t xml:space="preserve">came from rural areas, </w:t>
      </w:r>
      <w:r w:rsidR="00D34C76" w:rsidRPr="00FE50A6">
        <w:rPr>
          <w:rFonts w:eastAsia="Batang" w:cs="Times"/>
          <w:noProof/>
          <w:szCs w:val="24"/>
          <w:lang w:val="en-US" w:eastAsia="es-ES"/>
        </w:rPr>
        <w:t xml:space="preserve">and were continually on the move seeking a livelihood; also </w:t>
      </w:r>
      <w:r w:rsidR="00DF0650" w:rsidRPr="00FE50A6">
        <w:rPr>
          <w:rFonts w:eastAsia="Batang" w:cs="Times"/>
          <w:noProof/>
          <w:szCs w:val="24"/>
          <w:lang w:val="en-US" w:eastAsia="es-ES"/>
        </w:rPr>
        <w:t xml:space="preserve">few </w:t>
      </w:r>
      <w:r w:rsidR="00D34C76" w:rsidRPr="00FE50A6">
        <w:rPr>
          <w:rFonts w:eastAsia="Batang" w:cs="Times"/>
          <w:noProof/>
          <w:szCs w:val="24"/>
          <w:lang w:val="en-US" w:eastAsia="es-ES"/>
        </w:rPr>
        <w:t xml:space="preserve">of them </w:t>
      </w:r>
      <w:r w:rsidR="00DF0650" w:rsidRPr="00FE50A6">
        <w:rPr>
          <w:rFonts w:eastAsia="Batang" w:cs="Times"/>
          <w:noProof/>
          <w:szCs w:val="24"/>
          <w:lang w:val="en-US" w:eastAsia="es-ES"/>
        </w:rPr>
        <w:t>had official identification papers.</w:t>
      </w:r>
    </w:p>
    <w:p w14:paraId="1FCC904B"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5C83F3A" w14:textId="77777777" w:rsidR="000A52D5" w:rsidRPr="00FE50A6" w:rsidRDefault="00700B79" w:rsidP="00140440">
      <w:pPr>
        <w:numPr>
          <w:ilvl w:val="0"/>
          <w:numId w:val="1"/>
        </w:numPr>
        <w:tabs>
          <w:tab w:val="clear" w:pos="4419"/>
          <w:tab w:val="clear" w:pos="8838"/>
        </w:tabs>
        <w:jc w:val="both"/>
        <w:rPr>
          <w:rFonts w:eastAsia="Batang" w:cs="Times"/>
          <w:b/>
          <w:noProof/>
          <w:szCs w:val="24"/>
          <w:lang w:val="en-US" w:eastAsia="es-ES"/>
        </w:rPr>
      </w:pPr>
      <w:r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DF0650" w:rsidRPr="00FE50A6">
        <w:rPr>
          <w:rFonts w:eastAsia="Batang" w:cs="Times"/>
          <w:noProof/>
          <w:szCs w:val="24"/>
          <w:lang w:val="en-US" w:eastAsia="es-ES"/>
        </w:rPr>
        <w:t xml:space="preserve">also indicated that neither </w:t>
      </w:r>
      <w:r w:rsidR="000228D0" w:rsidRPr="00FE50A6">
        <w:rPr>
          <w:rFonts w:eastAsia="Batang" w:cs="Times"/>
          <w:noProof/>
          <w:szCs w:val="24"/>
          <w:lang w:val="en-US" w:eastAsia="es-ES"/>
        </w:rPr>
        <w:t>the American Convention</w:t>
      </w:r>
      <w:r w:rsidR="00DF0650" w:rsidRPr="00FE50A6">
        <w:rPr>
          <w:rFonts w:eastAsia="Batang" w:cs="Times"/>
          <w:noProof/>
          <w:szCs w:val="24"/>
          <w:lang w:val="en-US" w:eastAsia="es-ES"/>
        </w:rPr>
        <w:t xml:space="preserve"> nor</w:t>
      </w:r>
      <w:r w:rsidR="00703850" w:rsidRPr="00FE50A6">
        <w:rPr>
          <w:rFonts w:eastAsia="Batang" w:cs="Times"/>
          <w:noProof/>
          <w:szCs w:val="24"/>
          <w:lang w:val="en-US" w:eastAsia="es-ES"/>
        </w:rPr>
        <w:t xml:space="preserve"> the </w:t>
      </w:r>
      <w:r w:rsidR="000228D0" w:rsidRPr="00FE50A6">
        <w:rPr>
          <w:rFonts w:eastAsia="Batang" w:cs="Times"/>
          <w:noProof/>
          <w:szCs w:val="24"/>
          <w:lang w:val="en-US" w:eastAsia="es-ES"/>
        </w:rPr>
        <w:t>Rules of Procedure of the Commission</w:t>
      </w:r>
      <w:r w:rsidR="000A52D5" w:rsidRPr="00FE50A6">
        <w:rPr>
          <w:rFonts w:eastAsia="Batang" w:cs="Times"/>
          <w:noProof/>
          <w:szCs w:val="24"/>
          <w:lang w:val="en-US" w:eastAsia="es-ES"/>
        </w:rPr>
        <w:t xml:space="preserve"> o</w:t>
      </w:r>
      <w:r w:rsidR="00DF0650" w:rsidRPr="00FE50A6">
        <w:rPr>
          <w:rFonts w:eastAsia="Batang" w:cs="Times"/>
          <w:noProof/>
          <w:szCs w:val="24"/>
          <w:lang w:val="en-US" w:eastAsia="es-ES"/>
        </w:rPr>
        <w:t>r</w:t>
      </w:r>
      <w:r w:rsidR="000228D0" w:rsidRPr="00FE50A6">
        <w:rPr>
          <w:rFonts w:eastAsia="Batang" w:cs="Times"/>
          <w:noProof/>
          <w:szCs w:val="24"/>
          <w:lang w:val="en-US" w:eastAsia="es-ES"/>
        </w:rPr>
        <w:t xml:space="preserve"> the Court</w:t>
      </w:r>
      <w:r w:rsidR="00DF0650" w:rsidRPr="00FE50A6">
        <w:rPr>
          <w:rFonts w:eastAsia="Batang" w:cs="Times"/>
          <w:noProof/>
          <w:szCs w:val="24"/>
          <w:lang w:val="en-US" w:eastAsia="es-ES"/>
        </w:rPr>
        <w:t xml:space="preserve"> require</w:t>
      </w:r>
      <w:r w:rsidR="008D573C" w:rsidRPr="00FE50A6">
        <w:rPr>
          <w:rFonts w:eastAsia="Batang" w:cs="Times"/>
          <w:noProof/>
          <w:szCs w:val="24"/>
          <w:lang w:val="en-US" w:eastAsia="es-ES"/>
        </w:rPr>
        <w:t>d</w:t>
      </w:r>
      <w:r w:rsidR="000A52D5" w:rsidRPr="00FE50A6">
        <w:rPr>
          <w:rFonts w:eastAsia="Batang" w:cs="Times"/>
          <w:noProof/>
          <w:szCs w:val="24"/>
          <w:lang w:val="en-US" w:eastAsia="es-ES"/>
        </w:rPr>
        <w:t xml:space="preserve"> </w:t>
      </w:r>
      <w:r w:rsidR="00DF0650" w:rsidRPr="00FE50A6">
        <w:rPr>
          <w:rFonts w:eastAsia="Batang" w:cs="Times"/>
          <w:noProof/>
          <w:szCs w:val="24"/>
          <w:lang w:val="en-US" w:eastAsia="es-ES"/>
        </w:rPr>
        <w:t xml:space="preserve">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DF0650" w:rsidRPr="00FE50A6">
        <w:rPr>
          <w:rFonts w:eastAsia="Batang" w:cs="Times"/>
          <w:noProof/>
          <w:szCs w:val="24"/>
          <w:lang w:val="en-US" w:eastAsia="es-ES"/>
        </w:rPr>
        <w:t xml:space="preserve">to have formal legal representation in the inter-American proceedings. Therefore, there </w:t>
      </w:r>
      <w:r w:rsidR="008D573C" w:rsidRPr="00FE50A6">
        <w:rPr>
          <w:rFonts w:eastAsia="Batang" w:cs="Times"/>
          <w:noProof/>
          <w:szCs w:val="24"/>
          <w:lang w:val="en-US" w:eastAsia="es-ES"/>
        </w:rPr>
        <w:t>we</w:t>
      </w:r>
      <w:r w:rsidR="00DF0650" w:rsidRPr="00FE50A6">
        <w:rPr>
          <w:rFonts w:eastAsia="Batang" w:cs="Times"/>
          <w:noProof/>
          <w:szCs w:val="24"/>
          <w:lang w:val="en-US" w:eastAsia="es-ES"/>
        </w:rPr>
        <w:t xml:space="preserve">re few formal requirements </w:t>
      </w:r>
      <w:r w:rsidR="008D573C" w:rsidRPr="00FE50A6">
        <w:rPr>
          <w:rFonts w:eastAsia="Batang" w:cs="Times"/>
          <w:noProof/>
          <w:szCs w:val="24"/>
          <w:lang w:val="en-US" w:eastAsia="es-ES"/>
        </w:rPr>
        <w:t>for</w:t>
      </w:r>
      <w:r w:rsidR="00DF0650" w:rsidRPr="00FE50A6">
        <w:rPr>
          <w:rFonts w:eastAsia="Batang" w:cs="Times"/>
          <w:noProof/>
          <w:szCs w:val="24"/>
          <w:lang w:val="en-US" w:eastAsia="es-ES"/>
        </w:rPr>
        <w:t xml:space="preserve"> access to the protection mechanisms. Moreover, they indicated that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8D573C" w:rsidRPr="00FE50A6">
        <w:rPr>
          <w:rFonts w:eastAsia="Batang" w:cs="Times"/>
          <w:noProof/>
          <w:szCs w:val="24"/>
          <w:lang w:val="en-US" w:eastAsia="es-ES"/>
        </w:rPr>
        <w:t>might</w:t>
      </w:r>
      <w:r w:rsidR="00DF0650" w:rsidRPr="00FE50A6">
        <w:rPr>
          <w:rFonts w:eastAsia="Batang" w:cs="Times"/>
          <w:noProof/>
          <w:szCs w:val="24"/>
          <w:lang w:val="en-US" w:eastAsia="es-ES"/>
        </w:rPr>
        <w:t xml:space="preserve"> choose to have legal representatives, but </w:t>
      </w:r>
      <w:r w:rsidR="008D573C" w:rsidRPr="00FE50A6">
        <w:rPr>
          <w:rFonts w:eastAsia="Batang" w:cs="Times"/>
          <w:noProof/>
          <w:szCs w:val="24"/>
          <w:lang w:val="en-US" w:eastAsia="es-ES"/>
        </w:rPr>
        <w:t xml:space="preserve">were </w:t>
      </w:r>
      <w:r w:rsidR="00DF0650" w:rsidRPr="00FE50A6">
        <w:rPr>
          <w:rFonts w:eastAsia="Batang" w:cs="Times"/>
          <w:noProof/>
          <w:szCs w:val="24"/>
          <w:lang w:val="en-US" w:eastAsia="es-ES"/>
        </w:rPr>
        <w:t xml:space="preserve">not obliged to </w:t>
      </w:r>
      <w:r w:rsidR="008D573C" w:rsidRPr="00FE50A6">
        <w:rPr>
          <w:rFonts w:eastAsia="Batang" w:cs="Times"/>
          <w:noProof/>
          <w:szCs w:val="24"/>
          <w:lang w:val="en-US" w:eastAsia="es-ES"/>
        </w:rPr>
        <w:t>do so</w:t>
      </w:r>
      <w:r w:rsidR="00DF0650" w:rsidRPr="00FE50A6">
        <w:rPr>
          <w:rFonts w:eastAsia="Batang" w:cs="Times"/>
          <w:noProof/>
          <w:szCs w:val="24"/>
          <w:lang w:val="en-US" w:eastAsia="es-ES"/>
        </w:rPr>
        <w:t xml:space="preserve"> and, also, in its case law</w:t>
      </w:r>
      <w:r w:rsidR="008D573C" w:rsidRPr="00FE50A6">
        <w:rPr>
          <w:rFonts w:eastAsia="Batang" w:cs="Times"/>
          <w:noProof/>
          <w:szCs w:val="24"/>
          <w:lang w:val="en-US" w:eastAsia="es-ES"/>
        </w:rPr>
        <w:t xml:space="preserve">, the Court had </w:t>
      </w:r>
      <w:r w:rsidR="00D34C76" w:rsidRPr="00FE50A6">
        <w:rPr>
          <w:rFonts w:eastAsia="Batang" w:cs="Times"/>
          <w:noProof/>
          <w:szCs w:val="24"/>
          <w:lang w:val="en-US" w:eastAsia="es-ES"/>
        </w:rPr>
        <w:t>established</w:t>
      </w:r>
      <w:r w:rsidR="00DF0650" w:rsidRPr="00FE50A6">
        <w:rPr>
          <w:rFonts w:eastAsia="Batang" w:cs="Times"/>
          <w:noProof/>
          <w:szCs w:val="24"/>
          <w:lang w:val="en-US" w:eastAsia="es-ES"/>
        </w:rPr>
        <w:t xml:space="preserve"> that it was unnecessary to be represented by </w:t>
      </w:r>
      <w:r w:rsidR="00D34C76" w:rsidRPr="00FE50A6">
        <w:rPr>
          <w:rFonts w:eastAsia="Batang" w:cs="Times"/>
          <w:noProof/>
          <w:szCs w:val="24"/>
          <w:lang w:val="en-US" w:eastAsia="es-ES"/>
        </w:rPr>
        <w:t xml:space="preserve">a </w:t>
      </w:r>
      <w:r w:rsidR="00DF0650" w:rsidRPr="00FE50A6">
        <w:rPr>
          <w:rFonts w:eastAsia="Batang" w:cs="Times"/>
          <w:noProof/>
          <w:szCs w:val="24"/>
          <w:lang w:val="en-US" w:eastAsia="es-ES"/>
        </w:rPr>
        <w:t xml:space="preserve">specific power of </w:t>
      </w:r>
      <w:r w:rsidR="00D34C76" w:rsidRPr="00FE50A6">
        <w:rPr>
          <w:rFonts w:eastAsia="Batang" w:cs="Times"/>
          <w:noProof/>
          <w:szCs w:val="24"/>
          <w:lang w:val="en-US" w:eastAsia="es-ES"/>
        </w:rPr>
        <w:t>attorney</w:t>
      </w:r>
      <w:r w:rsidR="000A52D5" w:rsidRPr="00FE50A6">
        <w:rPr>
          <w:rFonts w:eastAsia="Batang" w:cs="Times"/>
          <w:noProof/>
          <w:szCs w:val="24"/>
          <w:lang w:val="en-US" w:eastAsia="es-ES"/>
        </w:rPr>
        <w:t xml:space="preserve">. </w:t>
      </w:r>
    </w:p>
    <w:p w14:paraId="6E2E4D77"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15EAD52" w14:textId="77777777" w:rsidR="000A52D5" w:rsidRPr="00FE50A6" w:rsidRDefault="00DF0650" w:rsidP="00140440">
      <w:pPr>
        <w:numPr>
          <w:ilvl w:val="0"/>
          <w:numId w:val="1"/>
        </w:numPr>
        <w:tabs>
          <w:tab w:val="clear" w:pos="4419"/>
          <w:tab w:val="clear" w:pos="8838"/>
        </w:tabs>
        <w:jc w:val="both"/>
        <w:rPr>
          <w:rFonts w:eastAsia="Batang" w:cs="Times"/>
          <w:b/>
          <w:noProof/>
          <w:szCs w:val="24"/>
          <w:lang w:val="en-US" w:eastAsia="es-ES"/>
        </w:rPr>
      </w:pPr>
      <w:r w:rsidRPr="00FE50A6">
        <w:rPr>
          <w:rFonts w:eastAsia="Batang" w:cs="Times"/>
          <w:noProof/>
          <w:szCs w:val="24"/>
          <w:lang w:val="en-US" w:eastAsia="es-ES"/>
        </w:rPr>
        <w:lastRenderedPageBreak/>
        <w:t xml:space="preserve">In addition, they argued that the Court should take into consideration the remote location of </w:t>
      </w:r>
      <w:r w:rsidR="000A52D5"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the difficulties of access, the situation of exclusion, vulnerability, illiteracy and mobility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that they </w:t>
      </w:r>
      <w:r w:rsidR="003A2E2C" w:rsidRPr="00FE50A6">
        <w:rPr>
          <w:rFonts w:eastAsia="Batang" w:cs="Times"/>
          <w:noProof/>
          <w:szCs w:val="24"/>
          <w:lang w:val="en-US" w:eastAsia="es-ES"/>
        </w:rPr>
        <w:t>ha</w:t>
      </w:r>
      <w:r w:rsidR="008D573C" w:rsidRPr="00FE50A6">
        <w:rPr>
          <w:rFonts w:eastAsia="Batang" w:cs="Times"/>
          <w:noProof/>
          <w:szCs w:val="24"/>
          <w:lang w:val="en-US" w:eastAsia="es-ES"/>
        </w:rPr>
        <w:t>d</w:t>
      </w:r>
      <w:r w:rsidR="003A2E2C" w:rsidRPr="00FE50A6">
        <w:rPr>
          <w:rFonts w:eastAsia="Batang" w:cs="Times"/>
          <w:noProof/>
          <w:szCs w:val="24"/>
          <w:lang w:val="en-US" w:eastAsia="es-ES"/>
        </w:rPr>
        <w:t xml:space="preserve"> never complained about the way the</w:t>
      </w:r>
      <w:r w:rsidR="00D34C76" w:rsidRPr="00FE50A6">
        <w:rPr>
          <w:rFonts w:eastAsia="Batang" w:cs="Times"/>
          <w:noProof/>
          <w:szCs w:val="24"/>
          <w:lang w:val="en-US" w:eastAsia="es-ES"/>
        </w:rPr>
        <w:t>y</w:t>
      </w:r>
      <w:r w:rsidR="003A2E2C" w:rsidRPr="00FE50A6">
        <w:rPr>
          <w:rFonts w:eastAsia="Batang" w:cs="Times"/>
          <w:noProof/>
          <w:szCs w:val="24"/>
          <w:lang w:val="en-US" w:eastAsia="es-ES"/>
        </w:rPr>
        <w:t xml:space="preserve"> were represented in the international proceedings. Lastly, the</w:t>
      </w:r>
      <w:r w:rsidR="008D573C" w:rsidRPr="00FE50A6">
        <w:rPr>
          <w:rFonts w:eastAsia="Batang" w:cs="Times"/>
          <w:noProof/>
          <w:szCs w:val="24"/>
          <w:lang w:val="en-US" w:eastAsia="es-ES"/>
        </w:rPr>
        <w:t xml:space="preserve"> representatives</w:t>
      </w:r>
      <w:r w:rsidR="003A2E2C" w:rsidRPr="00FE50A6">
        <w:rPr>
          <w:rFonts w:eastAsia="Batang" w:cs="Times"/>
          <w:noProof/>
          <w:szCs w:val="24"/>
          <w:lang w:val="en-US" w:eastAsia="es-ES"/>
        </w:rPr>
        <w:t xml:space="preserve"> underscored the </w:t>
      </w:r>
      <w:r w:rsidR="008D573C" w:rsidRPr="00FE50A6">
        <w:rPr>
          <w:rFonts w:eastAsia="Batang" w:cs="Times"/>
          <w:noProof/>
          <w:szCs w:val="24"/>
          <w:lang w:val="en-US" w:eastAsia="es-ES"/>
        </w:rPr>
        <w:t xml:space="preserve">Court’s </w:t>
      </w:r>
      <w:r w:rsidR="003A2E2C" w:rsidRPr="00FE50A6">
        <w:rPr>
          <w:rFonts w:eastAsia="Batang" w:cs="Times"/>
          <w:noProof/>
          <w:szCs w:val="24"/>
          <w:lang w:val="en-US" w:eastAsia="es-ES"/>
        </w:rPr>
        <w:t>case law that, in certain circumstances, the list of victims m</w:t>
      </w:r>
      <w:r w:rsidR="008D573C" w:rsidRPr="00FE50A6">
        <w:rPr>
          <w:rFonts w:eastAsia="Batang" w:cs="Times"/>
          <w:noProof/>
          <w:szCs w:val="24"/>
          <w:lang w:val="en-US" w:eastAsia="es-ES"/>
        </w:rPr>
        <w:t>ight</w:t>
      </w:r>
      <w:r w:rsidR="003A2E2C" w:rsidRPr="00FE50A6">
        <w:rPr>
          <w:rFonts w:eastAsia="Batang" w:cs="Times"/>
          <w:noProof/>
          <w:szCs w:val="24"/>
          <w:lang w:val="en-US" w:eastAsia="es-ES"/>
        </w:rPr>
        <w:t xml:space="preserve"> vary during t</w:t>
      </w:r>
      <w:r w:rsidR="008D573C" w:rsidRPr="00FE50A6">
        <w:rPr>
          <w:rFonts w:eastAsia="Batang" w:cs="Times"/>
          <w:noProof/>
          <w:szCs w:val="24"/>
          <w:lang w:val="en-US" w:eastAsia="es-ES"/>
        </w:rPr>
        <w:t>h</w:t>
      </w:r>
      <w:r w:rsidR="003A2E2C" w:rsidRPr="00FE50A6">
        <w:rPr>
          <w:rFonts w:eastAsia="Batang" w:cs="Times"/>
          <w:noProof/>
          <w:szCs w:val="24"/>
          <w:lang w:val="en-US" w:eastAsia="es-ES"/>
        </w:rPr>
        <w:t xml:space="preserve">e processing of the </w:t>
      </w:r>
      <w:r w:rsidR="008D573C" w:rsidRPr="00FE50A6">
        <w:rPr>
          <w:rFonts w:eastAsia="Batang" w:cs="Times"/>
          <w:noProof/>
          <w:szCs w:val="24"/>
          <w:lang w:val="en-US" w:eastAsia="es-ES"/>
        </w:rPr>
        <w:t>case</w:t>
      </w:r>
      <w:r w:rsidR="000A52D5" w:rsidRPr="00FE50A6">
        <w:rPr>
          <w:rFonts w:eastAsia="Batang" w:cs="Times"/>
          <w:noProof/>
          <w:szCs w:val="24"/>
          <w:lang w:val="en-US" w:eastAsia="es-ES"/>
        </w:rPr>
        <w:t>.</w:t>
      </w:r>
    </w:p>
    <w:p w14:paraId="282BC33C"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31EDA13A" w14:textId="77777777" w:rsidR="000A52D5" w:rsidRPr="00FE50A6" w:rsidRDefault="000A52D5" w:rsidP="0079341A">
      <w:pPr>
        <w:pStyle w:val="Ttulo3"/>
        <w:rPr>
          <w:noProof/>
          <w:lang w:val="en-US" w:eastAsia="es-ES"/>
        </w:rPr>
      </w:pPr>
      <w:bookmarkStart w:id="71" w:name="_Toc460432968"/>
      <w:bookmarkStart w:id="72" w:name="_Toc460441899"/>
      <w:bookmarkStart w:id="73" w:name="_Toc462750719"/>
      <w:bookmarkStart w:id="74" w:name="_Toc462751043"/>
      <w:bookmarkStart w:id="75" w:name="_Toc464813895"/>
      <w:r w:rsidRPr="00FE50A6">
        <w:rPr>
          <w:noProof/>
          <w:lang w:val="en-US" w:eastAsia="es-ES"/>
        </w:rPr>
        <w:t xml:space="preserve">B.4. </w:t>
      </w:r>
      <w:r w:rsidR="000702CF" w:rsidRPr="00FE50A6">
        <w:rPr>
          <w:noProof/>
          <w:lang w:val="en-US" w:eastAsia="es-ES"/>
        </w:rPr>
        <w:t>Considerations</w:t>
      </w:r>
      <w:r w:rsidR="000228D0" w:rsidRPr="00FE50A6">
        <w:rPr>
          <w:noProof/>
          <w:lang w:val="en-US" w:eastAsia="es-ES"/>
        </w:rPr>
        <w:t xml:space="preserve"> of the Court</w:t>
      </w:r>
      <w:bookmarkEnd w:id="71"/>
      <w:bookmarkEnd w:id="72"/>
      <w:bookmarkEnd w:id="73"/>
      <w:bookmarkEnd w:id="74"/>
      <w:bookmarkEnd w:id="75"/>
    </w:p>
    <w:p w14:paraId="044EF78B" w14:textId="77777777" w:rsidR="0079341A" w:rsidRPr="00FE50A6" w:rsidRDefault="0079341A" w:rsidP="0079341A">
      <w:pPr>
        <w:rPr>
          <w:lang w:val="en-US" w:eastAsia="es-ES"/>
        </w:rPr>
      </w:pPr>
    </w:p>
    <w:p w14:paraId="647B3392" w14:textId="77777777" w:rsidR="000A52D5" w:rsidRPr="00FE50A6" w:rsidRDefault="000228D0" w:rsidP="00140440">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not</w:t>
      </w:r>
      <w:r w:rsidR="0075509F" w:rsidRPr="00FE50A6">
        <w:rPr>
          <w:rFonts w:eastAsia="Batang" w:cs="Times"/>
          <w:noProof/>
          <w:szCs w:val="24"/>
          <w:lang w:val="en-US" w:eastAsia="es-ES"/>
        </w:rPr>
        <w:t>es that the State had filed various</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objections</w:t>
      </w:r>
      <w:r w:rsidR="000A52D5" w:rsidRPr="00FE50A6">
        <w:rPr>
          <w:rFonts w:eastAsia="Batang" w:cs="Times"/>
          <w:noProof/>
          <w:szCs w:val="24"/>
          <w:lang w:val="en-US" w:eastAsia="es-ES"/>
        </w:rPr>
        <w:t xml:space="preserve"> </w:t>
      </w:r>
      <w:r w:rsidR="0075509F" w:rsidRPr="00FE50A6">
        <w:rPr>
          <w:rFonts w:eastAsia="Batang" w:cs="Times"/>
          <w:noProof/>
          <w:szCs w:val="24"/>
          <w:lang w:val="en-US" w:eastAsia="es-ES"/>
        </w:rPr>
        <w:t>against the list of</w:t>
      </w:r>
      <w:r w:rsidR="000A52D5" w:rsidRPr="00FE50A6">
        <w:rPr>
          <w:rFonts w:eastAsia="Batang" w:cs="Times"/>
          <w:noProof/>
          <w:szCs w:val="24"/>
          <w:lang w:val="en-US" w:eastAsia="es-ES"/>
        </w:rPr>
        <w:t xml:space="preserve"> 33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75509F" w:rsidRPr="00FE50A6">
        <w:rPr>
          <w:rFonts w:eastAsia="Batang" w:cs="Times"/>
          <w:noProof/>
          <w:szCs w:val="24"/>
          <w:lang w:val="en-US" w:eastAsia="es-ES"/>
        </w:rPr>
        <w:t>indicated in the</w:t>
      </w:r>
      <w:r w:rsidR="000A52D5" w:rsidRPr="00FE50A6">
        <w:rPr>
          <w:rFonts w:eastAsia="Batang" w:cs="Times"/>
          <w:noProof/>
          <w:szCs w:val="24"/>
          <w:lang w:val="en-US" w:eastAsia="es-ES"/>
        </w:rPr>
        <w:t xml:space="preserve"> </w:t>
      </w:r>
      <w:r w:rsidR="00030C17" w:rsidRPr="00FE50A6">
        <w:rPr>
          <w:rFonts w:eastAsia="Batang" w:cs="Times"/>
          <w:noProof/>
          <w:szCs w:val="24"/>
          <w:lang w:val="en-US" w:eastAsia="es-ES"/>
        </w:rPr>
        <w:t xml:space="preserve">Admissibility and Merits Report and </w:t>
      </w:r>
      <w:r w:rsidR="000A52D5" w:rsidRPr="00FE50A6">
        <w:rPr>
          <w:rFonts w:eastAsia="Batang" w:cs="Times"/>
          <w:noProof/>
          <w:szCs w:val="24"/>
          <w:lang w:val="en-US" w:eastAsia="es-ES"/>
        </w:rPr>
        <w:t>consider</w:t>
      </w:r>
      <w:r w:rsidR="0075509F" w:rsidRPr="00FE50A6">
        <w:rPr>
          <w:rFonts w:eastAsia="Batang" w:cs="Times"/>
          <w:noProof/>
          <w:szCs w:val="24"/>
          <w:lang w:val="en-US" w:eastAsia="es-ES"/>
        </w:rPr>
        <w:t>ed that only</w:t>
      </w:r>
      <w:r w:rsidR="000A52D5" w:rsidRPr="00FE50A6">
        <w:rPr>
          <w:rFonts w:eastAsia="Batang" w:cs="Times"/>
          <w:noProof/>
          <w:szCs w:val="24"/>
          <w:lang w:val="en-US" w:eastAsia="es-ES"/>
        </w:rPr>
        <w:t xml:space="preserve"> 18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75509F" w:rsidRPr="00FE50A6">
        <w:rPr>
          <w:rFonts w:eastAsia="Batang" w:cs="Times"/>
          <w:noProof/>
          <w:szCs w:val="24"/>
          <w:lang w:val="en-US" w:eastAsia="es-ES"/>
        </w:rPr>
        <w:t>were duly represented, identified and mentioned in that report</w:t>
      </w:r>
      <w:r w:rsidR="00CF3FBA" w:rsidRPr="00FE50A6">
        <w:rPr>
          <w:rFonts w:eastAsia="Batang" w:cs="Times"/>
          <w:noProof/>
          <w:szCs w:val="24"/>
          <w:lang w:val="en-US" w:eastAsia="es-ES"/>
        </w:rPr>
        <w:t>.</w:t>
      </w:r>
    </w:p>
    <w:p w14:paraId="657666B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A4EF6E3" w14:textId="77777777" w:rsidR="00081BCB" w:rsidRPr="00FE50A6" w:rsidRDefault="008D573C" w:rsidP="00081BCB">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In addition</w:t>
      </w:r>
      <w:r w:rsidR="0075509F" w:rsidRPr="00FE50A6">
        <w:rPr>
          <w:rFonts w:eastAsia="Batang" w:cs="Times"/>
          <w:noProof/>
          <w:szCs w:val="24"/>
          <w:lang w:val="en-US" w:eastAsia="es-ES"/>
        </w:rPr>
        <w:t xml:space="preserve">, the Court recalls that the victims must be indicated in the brief submitting the case and in the Commission’s report. However, </w:t>
      </w:r>
      <w:r w:rsidR="00CF3FBA" w:rsidRPr="00FE50A6">
        <w:rPr>
          <w:rFonts w:eastAsia="Batang" w:cs="Times"/>
          <w:noProof/>
          <w:szCs w:val="24"/>
          <w:lang w:val="en-US" w:eastAsia="es-ES"/>
        </w:rPr>
        <w:t xml:space="preserve">when they were not indicated in these documents, on some occasions and owing to the particularities of each case, </w:t>
      </w:r>
      <w:r w:rsidR="0075509F" w:rsidRPr="00FE50A6">
        <w:rPr>
          <w:rFonts w:eastAsia="Batang" w:cs="Times"/>
          <w:noProof/>
          <w:szCs w:val="24"/>
          <w:lang w:val="en-US" w:eastAsia="es-ES"/>
        </w:rPr>
        <w:t>the Court has considered individuals who were not included as such in the petition</w:t>
      </w:r>
      <w:r w:rsidR="00CF3FBA" w:rsidRPr="00FE50A6">
        <w:rPr>
          <w:rFonts w:eastAsia="Batang" w:cs="Times"/>
          <w:noProof/>
          <w:szCs w:val="24"/>
          <w:lang w:val="en-US" w:eastAsia="es-ES"/>
        </w:rPr>
        <w:t xml:space="preserve"> as presumed victims</w:t>
      </w:r>
      <w:r w:rsidR="0075509F" w:rsidRPr="00FE50A6">
        <w:rPr>
          <w:rFonts w:eastAsia="Batang" w:cs="Times"/>
          <w:noProof/>
          <w:szCs w:val="24"/>
          <w:lang w:val="en-US" w:eastAsia="es-ES"/>
        </w:rPr>
        <w:t>, provided that the right to defense of the parties ha</w:t>
      </w:r>
      <w:r w:rsidR="00CF3FBA" w:rsidRPr="00FE50A6">
        <w:rPr>
          <w:rFonts w:eastAsia="Batang" w:cs="Times"/>
          <w:noProof/>
          <w:szCs w:val="24"/>
          <w:lang w:val="en-US" w:eastAsia="es-ES"/>
        </w:rPr>
        <w:t>d</w:t>
      </w:r>
      <w:r w:rsidR="0075509F" w:rsidRPr="00FE50A6">
        <w:rPr>
          <w:rFonts w:eastAsia="Batang" w:cs="Times"/>
          <w:noProof/>
          <w:szCs w:val="24"/>
          <w:lang w:val="en-US" w:eastAsia="es-ES"/>
        </w:rPr>
        <w:t xml:space="preserve"> been respected </w:t>
      </w:r>
      <w:r w:rsidR="00030C17" w:rsidRPr="00FE50A6">
        <w:rPr>
          <w:rFonts w:eastAsia="Batang" w:cs="Times"/>
          <w:noProof/>
          <w:szCs w:val="24"/>
          <w:lang w:val="en-US" w:eastAsia="es-ES"/>
        </w:rPr>
        <w:t xml:space="preserve">and </w:t>
      </w:r>
      <w:r w:rsidR="0017587B" w:rsidRPr="00FE50A6">
        <w:rPr>
          <w:rFonts w:eastAsia="Batang" w:cs="Times"/>
          <w:noProof/>
          <w:szCs w:val="24"/>
          <w:lang w:val="en-US" w:eastAsia="es-ES"/>
        </w:rPr>
        <w:t>the presumed victims</w:t>
      </w:r>
      <w:r w:rsidR="00081BCB" w:rsidRPr="00FE50A6">
        <w:rPr>
          <w:rFonts w:eastAsia="Batang" w:cs="Times"/>
          <w:noProof/>
          <w:szCs w:val="24"/>
          <w:lang w:val="en-US" w:eastAsia="es-ES"/>
        </w:rPr>
        <w:t xml:space="preserve"> </w:t>
      </w:r>
      <w:r w:rsidR="00CF3FBA" w:rsidRPr="00FE50A6">
        <w:rPr>
          <w:rFonts w:eastAsia="Batang" w:cs="Times"/>
          <w:noProof/>
          <w:szCs w:val="24"/>
          <w:lang w:val="en-US" w:eastAsia="es-ES"/>
        </w:rPr>
        <w:t>we</w:t>
      </w:r>
      <w:r w:rsidR="0075509F" w:rsidRPr="00FE50A6">
        <w:rPr>
          <w:rFonts w:eastAsia="Batang" w:cs="Times"/>
          <w:noProof/>
          <w:szCs w:val="24"/>
          <w:lang w:val="en-US" w:eastAsia="es-ES"/>
        </w:rPr>
        <w:t xml:space="preserve">re </w:t>
      </w:r>
      <w:r w:rsidR="00D970BB" w:rsidRPr="00FE50A6">
        <w:rPr>
          <w:rFonts w:eastAsia="Batang" w:cs="Times"/>
          <w:noProof/>
          <w:szCs w:val="24"/>
          <w:lang w:val="en-US" w:eastAsia="es-ES"/>
        </w:rPr>
        <w:t>related</w:t>
      </w:r>
      <w:r w:rsidR="0075509F" w:rsidRPr="00FE50A6">
        <w:rPr>
          <w:rFonts w:eastAsia="Batang" w:cs="Times"/>
          <w:noProof/>
          <w:szCs w:val="24"/>
          <w:lang w:val="en-US" w:eastAsia="es-ES"/>
        </w:rPr>
        <w:t xml:space="preserve"> to the facts described in the Merits Report and to the evidence provided to </w:t>
      </w:r>
      <w:r w:rsidR="000228D0" w:rsidRPr="00FE50A6">
        <w:rPr>
          <w:rFonts w:eastAsia="Batang" w:cs="Times"/>
          <w:noProof/>
          <w:szCs w:val="24"/>
          <w:lang w:val="en-US" w:eastAsia="es-ES"/>
        </w:rPr>
        <w:t>the Court</w:t>
      </w:r>
      <w:r w:rsidR="0075509F" w:rsidRPr="00FE50A6">
        <w:rPr>
          <w:rFonts w:eastAsia="Batang" w:cs="Times"/>
          <w:noProof/>
          <w:szCs w:val="24"/>
          <w:lang w:val="en-US" w:eastAsia="es-ES"/>
        </w:rPr>
        <w:t>,</w:t>
      </w:r>
      <w:r w:rsidR="00081BCB" w:rsidRPr="00FE50A6">
        <w:rPr>
          <w:rFonts w:eastAsia="Batang" w:cs="Times"/>
          <w:noProof/>
          <w:szCs w:val="24"/>
          <w:vertAlign w:val="superscript"/>
          <w:lang w:val="en-US" w:eastAsia="es-ES"/>
        </w:rPr>
        <w:footnoteReference w:id="27"/>
      </w:r>
      <w:r w:rsidR="0075509F" w:rsidRPr="00FE50A6">
        <w:rPr>
          <w:rFonts w:eastAsia="Batang" w:cs="Times"/>
          <w:noProof/>
          <w:szCs w:val="24"/>
          <w:lang w:val="en-US" w:eastAsia="es-ES"/>
        </w:rPr>
        <w:t xml:space="preserve"> taking into account also the magnitude </w:t>
      </w:r>
      <w:r w:rsidR="007571DF" w:rsidRPr="00FE50A6">
        <w:rPr>
          <w:rFonts w:eastAsia="Batang" w:cs="Times"/>
          <w:noProof/>
          <w:szCs w:val="24"/>
          <w:lang w:val="en-US" w:eastAsia="es-ES"/>
        </w:rPr>
        <w:t xml:space="preserve">of the </w:t>
      </w:r>
      <w:r w:rsidR="00700B79" w:rsidRPr="00FE50A6">
        <w:rPr>
          <w:rFonts w:eastAsia="Batang" w:cs="Times"/>
          <w:noProof/>
          <w:szCs w:val="24"/>
          <w:lang w:val="en-US" w:eastAsia="es-ES"/>
        </w:rPr>
        <w:t>violation</w:t>
      </w:r>
      <w:r w:rsidR="0075509F" w:rsidRPr="00FE50A6">
        <w:rPr>
          <w:rFonts w:eastAsia="Batang" w:cs="Times"/>
          <w:noProof/>
          <w:szCs w:val="24"/>
          <w:lang w:val="en-US" w:eastAsia="es-ES"/>
        </w:rPr>
        <w:t>.</w:t>
      </w:r>
      <w:r w:rsidR="00081BCB" w:rsidRPr="00FE50A6">
        <w:rPr>
          <w:rFonts w:eastAsia="Batang" w:cs="Times"/>
          <w:noProof/>
          <w:szCs w:val="24"/>
          <w:vertAlign w:val="superscript"/>
          <w:lang w:val="en-US" w:eastAsia="es-ES"/>
        </w:rPr>
        <w:footnoteReference w:id="28"/>
      </w:r>
    </w:p>
    <w:p w14:paraId="126220BC" w14:textId="77777777" w:rsidR="00081BCB" w:rsidRPr="00FE50A6" w:rsidRDefault="00081BCB" w:rsidP="00ED3AD0">
      <w:pPr>
        <w:tabs>
          <w:tab w:val="clear" w:pos="4419"/>
          <w:tab w:val="clear" w:pos="8838"/>
        </w:tabs>
        <w:jc w:val="both"/>
        <w:rPr>
          <w:rFonts w:eastAsia="Batang" w:cs="Times"/>
          <w:noProof/>
          <w:szCs w:val="24"/>
          <w:lang w:val="en-US" w:eastAsia="es-ES"/>
        </w:rPr>
      </w:pPr>
    </w:p>
    <w:p w14:paraId="598E7D99" w14:textId="77777777" w:rsidR="000A52D5" w:rsidRPr="00FE50A6" w:rsidRDefault="0075509F"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Regarding the identification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Pr="00FE50A6">
        <w:rPr>
          <w:rFonts w:eastAsia="Batang" w:cs="Times"/>
          <w:noProof/>
          <w:szCs w:val="24"/>
          <w:lang w:val="en-US" w:eastAsia="es-ES"/>
        </w:rPr>
        <w:t>recalls that</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Article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35(2)</w:t>
      </w:r>
      <w:r w:rsidRPr="00FE50A6">
        <w:rPr>
          <w:rFonts w:eastAsia="Batang" w:cs="Times"/>
          <w:noProof/>
          <w:szCs w:val="24"/>
          <w:lang w:val="en-US" w:eastAsia="es-ES"/>
        </w:rPr>
        <w:t xml:space="preserve"> of its Rules of Procedure establish</w:t>
      </w:r>
      <w:r w:rsidR="005C5865" w:rsidRPr="00FE50A6">
        <w:rPr>
          <w:rFonts w:eastAsia="Batang" w:cs="Times"/>
          <w:noProof/>
          <w:szCs w:val="24"/>
          <w:lang w:val="en-US" w:eastAsia="es-ES"/>
        </w:rPr>
        <w:t>es</w:t>
      </w:r>
      <w:r w:rsidRPr="00FE50A6">
        <w:rPr>
          <w:rFonts w:eastAsia="Batang" w:cs="Times"/>
          <w:noProof/>
          <w:szCs w:val="24"/>
          <w:lang w:val="en-US" w:eastAsia="es-ES"/>
        </w:rPr>
        <w:t xml:space="preserve"> that</w:t>
      </w:r>
      <w:r w:rsidR="005C5865" w:rsidRPr="00FE50A6">
        <w:rPr>
          <w:rFonts w:eastAsia="Batang" w:cs="Times"/>
          <w:noProof/>
          <w:szCs w:val="24"/>
          <w:lang w:val="en-US" w:eastAsia="es-ES"/>
        </w:rPr>
        <w:t>,</w:t>
      </w:r>
      <w:r w:rsidRPr="00FE50A6">
        <w:rPr>
          <w:rFonts w:eastAsia="Batang" w:cs="Times"/>
          <w:noProof/>
          <w:szCs w:val="24"/>
          <w:lang w:val="en-US" w:eastAsia="es-ES"/>
        </w:rPr>
        <w:t xml:space="preserve"> when it has been justified that it was not possible to identify some of the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Pr="00FE50A6">
        <w:rPr>
          <w:rFonts w:eastAsia="Batang" w:cs="Times"/>
          <w:noProof/>
          <w:szCs w:val="24"/>
          <w:lang w:val="en-US" w:eastAsia="es-ES"/>
        </w:rPr>
        <w:t>of the facts of the case because it concern</w:t>
      </w:r>
      <w:r w:rsidR="00D970BB" w:rsidRPr="00FE50A6">
        <w:rPr>
          <w:rFonts w:eastAsia="Batang" w:cs="Times"/>
          <w:noProof/>
          <w:szCs w:val="24"/>
          <w:lang w:val="en-US" w:eastAsia="es-ES"/>
        </w:rPr>
        <w:t>ed</w:t>
      </w:r>
      <w:r w:rsidRPr="00FE50A6">
        <w:rPr>
          <w:rFonts w:eastAsia="Batang" w:cs="Times"/>
          <w:noProof/>
          <w:szCs w:val="24"/>
          <w:lang w:val="en-US" w:eastAsia="es-ES"/>
        </w:rPr>
        <w:t xml:space="preserve"> massive or collective violations, the Court will decide, in due time, </w:t>
      </w:r>
      <w:r w:rsidR="005C5865" w:rsidRPr="00FE50A6">
        <w:rPr>
          <w:rFonts w:eastAsia="Batang" w:cs="Times"/>
          <w:noProof/>
          <w:szCs w:val="24"/>
          <w:lang w:val="en-US" w:eastAsia="es-ES"/>
        </w:rPr>
        <w:t xml:space="preserve">whether to consider them </w:t>
      </w:r>
      <w:r w:rsidR="00D970BB" w:rsidRPr="00FE50A6">
        <w:rPr>
          <w:rFonts w:eastAsia="Batang" w:cs="Times"/>
          <w:noProof/>
          <w:szCs w:val="24"/>
          <w:lang w:val="en-US" w:eastAsia="es-ES"/>
        </w:rPr>
        <w:t xml:space="preserve">as </w:t>
      </w:r>
      <w:r w:rsidR="005C5865" w:rsidRPr="00FE50A6">
        <w:rPr>
          <w:rFonts w:eastAsia="Batang" w:cs="Times"/>
          <w:noProof/>
          <w:szCs w:val="24"/>
          <w:lang w:val="en-US" w:eastAsia="es-ES"/>
        </w:rPr>
        <w:t>victims based on the nature of</w:t>
      </w:r>
      <w:r w:rsidR="007571DF" w:rsidRPr="00FE50A6">
        <w:rPr>
          <w:rFonts w:eastAsia="Batang" w:cs="Times"/>
          <w:noProof/>
          <w:szCs w:val="24"/>
          <w:lang w:val="en-US" w:eastAsia="es-ES"/>
        </w:rPr>
        <w:t xml:space="preserve"> the </w:t>
      </w:r>
      <w:r w:rsidR="00700B79" w:rsidRPr="00FE50A6">
        <w:rPr>
          <w:rFonts w:eastAsia="Batang" w:cs="Times"/>
          <w:noProof/>
          <w:szCs w:val="24"/>
          <w:lang w:val="en-US" w:eastAsia="es-ES"/>
        </w:rPr>
        <w:t>violation</w:t>
      </w:r>
      <w:r w:rsidR="005C5865" w:rsidRPr="00FE50A6">
        <w:rPr>
          <w:rFonts w:eastAsia="Batang" w:cs="Times"/>
          <w:noProof/>
          <w:szCs w:val="24"/>
          <w:lang w:val="en-US" w:eastAsia="es-ES"/>
        </w:rPr>
        <w:t>.</w:t>
      </w:r>
      <w:r w:rsidR="008D7855" w:rsidRPr="00FE50A6">
        <w:rPr>
          <w:rStyle w:val="Refdenotaalpie"/>
          <w:rFonts w:eastAsia="Batang"/>
          <w:noProof/>
          <w:lang w:val="en-US" w:eastAsia="es-ES"/>
        </w:rPr>
        <w:footnoteReference w:id="29"/>
      </w:r>
      <w:r w:rsidR="000A52D5" w:rsidRPr="00FE50A6">
        <w:rPr>
          <w:rFonts w:eastAsia="Batang" w:cs="Times"/>
          <w:noProof/>
          <w:szCs w:val="24"/>
          <w:lang w:val="en-US" w:eastAsia="es-ES"/>
        </w:rPr>
        <w:t xml:space="preserve"> </w:t>
      </w:r>
    </w:p>
    <w:p w14:paraId="4A75445A"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FCC0E82" w14:textId="77777777" w:rsidR="000A52D5" w:rsidRPr="00FE50A6" w:rsidRDefault="00344522" w:rsidP="00140440">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 xml:space="preserve">Thus, the Court has evaluated the application </w:t>
      </w:r>
      <w:r w:rsidR="00703850" w:rsidRPr="00FE50A6">
        <w:rPr>
          <w:rFonts w:eastAsia="Batang" w:cs="Times"/>
          <w:noProof/>
          <w:szCs w:val="24"/>
          <w:lang w:val="en-US" w:eastAsia="es-ES"/>
        </w:rPr>
        <w:t>of Article</w:t>
      </w:r>
      <w:r w:rsidR="00947ED0" w:rsidRPr="00FE50A6">
        <w:rPr>
          <w:rFonts w:eastAsia="Batang" w:cs="Times"/>
          <w:noProof/>
          <w:szCs w:val="24"/>
          <w:lang w:val="en-US" w:eastAsia="es-ES"/>
        </w:rPr>
        <w:t xml:space="preserve"> </w:t>
      </w:r>
      <w:r w:rsidR="00A20647" w:rsidRPr="00FE50A6">
        <w:rPr>
          <w:rFonts w:eastAsia="Batang" w:cs="Times"/>
          <w:noProof/>
          <w:szCs w:val="24"/>
          <w:lang w:val="en-US" w:eastAsia="es-ES"/>
        </w:rPr>
        <w:t>35(2)</w:t>
      </w:r>
      <w:r w:rsidR="00703850" w:rsidRPr="00FE50A6">
        <w:rPr>
          <w:rFonts w:eastAsia="Batang" w:cs="Times"/>
          <w:noProof/>
          <w:szCs w:val="24"/>
          <w:lang w:val="en-US" w:eastAsia="es-ES"/>
        </w:rPr>
        <w:t xml:space="preserve"> of the </w:t>
      </w:r>
      <w:r w:rsidR="000228D0" w:rsidRPr="00FE50A6">
        <w:rPr>
          <w:rFonts w:eastAsia="Batang" w:cs="Times"/>
          <w:noProof/>
          <w:szCs w:val="24"/>
          <w:lang w:val="en-US" w:eastAsia="es-ES"/>
        </w:rPr>
        <w:t>Rules of Procedure</w:t>
      </w:r>
      <w:r w:rsidR="00947ED0" w:rsidRPr="00FE50A6">
        <w:rPr>
          <w:rFonts w:eastAsia="Batang" w:cs="Times"/>
          <w:noProof/>
          <w:szCs w:val="24"/>
          <w:lang w:val="en-US" w:eastAsia="es-ES"/>
        </w:rPr>
        <w:t xml:space="preserve"> </w:t>
      </w:r>
      <w:r w:rsidRPr="00FE50A6">
        <w:rPr>
          <w:rFonts w:eastAsia="Batang" w:cs="Times"/>
          <w:noProof/>
          <w:szCs w:val="24"/>
          <w:lang w:val="en-US" w:eastAsia="es-ES"/>
        </w:rPr>
        <w:t>based on the particular characteristics of each case,</w:t>
      </w:r>
      <w:r w:rsidR="00947ED0" w:rsidRPr="00FE50A6">
        <w:rPr>
          <w:rFonts w:eastAsia="Batang" w:cs="Times"/>
          <w:noProof/>
          <w:szCs w:val="24"/>
          <w:vertAlign w:val="superscript"/>
          <w:lang w:val="en-US" w:eastAsia="es-ES"/>
        </w:rPr>
        <w:footnoteReference w:id="30"/>
      </w:r>
      <w:r w:rsidR="00030C17" w:rsidRPr="00FE50A6">
        <w:rPr>
          <w:rFonts w:eastAsia="Batang" w:cs="Times"/>
          <w:noProof/>
          <w:szCs w:val="24"/>
          <w:lang w:val="en-US" w:eastAsia="es-ES"/>
        </w:rPr>
        <w:t xml:space="preserve"> and </w:t>
      </w:r>
      <w:r w:rsidR="00947ED0" w:rsidRPr="00FE50A6">
        <w:rPr>
          <w:rFonts w:eastAsia="Batang" w:cs="Times"/>
          <w:noProof/>
          <w:szCs w:val="24"/>
          <w:lang w:val="en-US" w:eastAsia="es-ES"/>
        </w:rPr>
        <w:t>h</w:t>
      </w:r>
      <w:r w:rsidRPr="00FE50A6">
        <w:rPr>
          <w:rFonts w:eastAsia="Batang" w:cs="Times"/>
          <w:noProof/>
          <w:szCs w:val="24"/>
          <w:lang w:val="en-US" w:eastAsia="es-ES"/>
        </w:rPr>
        <w:t>as applied</w:t>
      </w:r>
      <w:r w:rsidR="00947ED0" w:rsidRPr="00FE50A6">
        <w:rPr>
          <w:rFonts w:eastAsia="Batang" w:cs="Times"/>
          <w:noProof/>
          <w:szCs w:val="24"/>
          <w:lang w:val="en-US" w:eastAsia="es-ES"/>
        </w:rPr>
        <w:t xml:space="preserve"> </w:t>
      </w:r>
      <w:r w:rsidR="000228D0" w:rsidRPr="00FE50A6">
        <w:rPr>
          <w:rFonts w:eastAsia="Batang" w:cs="Times"/>
          <w:noProof/>
          <w:szCs w:val="24"/>
          <w:lang w:val="en-US" w:eastAsia="es-ES"/>
        </w:rPr>
        <w:t>Article</w:t>
      </w:r>
      <w:r w:rsidR="00947ED0" w:rsidRPr="00FE50A6">
        <w:rPr>
          <w:rFonts w:eastAsia="Batang" w:cs="Times"/>
          <w:noProof/>
          <w:szCs w:val="24"/>
          <w:lang w:val="en-US" w:eastAsia="es-ES"/>
        </w:rPr>
        <w:t xml:space="preserve"> </w:t>
      </w:r>
      <w:r w:rsidR="00A20647" w:rsidRPr="00FE50A6">
        <w:rPr>
          <w:rFonts w:eastAsia="Batang" w:cs="Times"/>
          <w:noProof/>
          <w:szCs w:val="24"/>
          <w:lang w:val="en-US" w:eastAsia="es-ES"/>
        </w:rPr>
        <w:t>35(2)</w:t>
      </w:r>
      <w:r w:rsidRPr="00FE50A6">
        <w:rPr>
          <w:rFonts w:eastAsia="Batang" w:cs="Times"/>
          <w:noProof/>
          <w:szCs w:val="24"/>
          <w:lang w:val="en-US" w:eastAsia="es-ES"/>
        </w:rPr>
        <w:t xml:space="preserve"> in massive or collective cases with difficulties to identify or contact all </w:t>
      </w:r>
      <w:r w:rsidR="0017587B" w:rsidRPr="00FE50A6">
        <w:rPr>
          <w:rFonts w:eastAsia="Batang" w:cs="Times"/>
          <w:noProof/>
          <w:szCs w:val="24"/>
          <w:lang w:val="en-US" w:eastAsia="es-ES"/>
        </w:rPr>
        <w:t>the presumed victims</w:t>
      </w:r>
      <w:r w:rsidRPr="00FE50A6">
        <w:rPr>
          <w:rFonts w:eastAsia="Batang" w:cs="Times"/>
          <w:noProof/>
          <w:szCs w:val="24"/>
          <w:lang w:val="en-US" w:eastAsia="es-ES"/>
        </w:rPr>
        <w:t xml:space="preserve"> owing, for example, to the presence of armed conflict,</w:t>
      </w:r>
      <w:r w:rsidR="00947ED0" w:rsidRPr="00FE50A6">
        <w:rPr>
          <w:rFonts w:eastAsia="Batang" w:cs="Times"/>
          <w:noProof/>
          <w:szCs w:val="24"/>
          <w:vertAlign w:val="superscript"/>
          <w:lang w:val="en-US" w:eastAsia="es-ES"/>
        </w:rPr>
        <w:footnoteReference w:id="31"/>
      </w:r>
      <w:r w:rsidRPr="00FE50A6">
        <w:rPr>
          <w:rFonts w:eastAsia="Batang" w:cs="Times"/>
          <w:noProof/>
          <w:szCs w:val="24"/>
          <w:lang w:val="en-US" w:eastAsia="es-ES"/>
        </w:rPr>
        <w:t xml:space="preserve"> displacement</w:t>
      </w:r>
      <w:r w:rsidR="00947ED0" w:rsidRPr="00FE50A6">
        <w:rPr>
          <w:rFonts w:eastAsia="Batang" w:cs="Times"/>
          <w:noProof/>
          <w:szCs w:val="24"/>
          <w:vertAlign w:val="superscript"/>
          <w:lang w:val="en-US" w:eastAsia="es-ES"/>
        </w:rPr>
        <w:footnoteReference w:id="32"/>
      </w:r>
      <w:r w:rsidR="00947ED0" w:rsidRPr="00FE50A6">
        <w:rPr>
          <w:rFonts w:eastAsia="Batang" w:cs="Times"/>
          <w:noProof/>
          <w:szCs w:val="24"/>
          <w:lang w:val="en-US" w:eastAsia="es-ES"/>
        </w:rPr>
        <w:t xml:space="preserve"> o</w:t>
      </w:r>
      <w:r w:rsidRPr="00FE50A6">
        <w:rPr>
          <w:rFonts w:eastAsia="Batang" w:cs="Times"/>
          <w:noProof/>
          <w:szCs w:val="24"/>
          <w:lang w:val="en-US" w:eastAsia="es-ES"/>
        </w:rPr>
        <w:t xml:space="preserve">r </w:t>
      </w:r>
      <w:r w:rsidR="00552905" w:rsidRPr="00FE50A6">
        <w:rPr>
          <w:rFonts w:eastAsia="Batang" w:cs="Times"/>
          <w:noProof/>
          <w:szCs w:val="24"/>
          <w:lang w:val="en-US" w:eastAsia="es-ES"/>
        </w:rPr>
        <w:t xml:space="preserve">when </w:t>
      </w:r>
      <w:r w:rsidRPr="00FE50A6">
        <w:rPr>
          <w:rFonts w:eastAsia="Batang" w:cs="Times"/>
          <w:noProof/>
          <w:szCs w:val="24"/>
          <w:lang w:val="en-US" w:eastAsia="es-ES"/>
        </w:rPr>
        <w:t xml:space="preserve">the </w:t>
      </w:r>
      <w:r w:rsidRPr="00FE50A6">
        <w:rPr>
          <w:rFonts w:eastAsia="Batang" w:cs="Times"/>
          <w:noProof/>
          <w:szCs w:val="24"/>
          <w:lang w:val="en-US" w:eastAsia="es-ES"/>
        </w:rPr>
        <w:lastRenderedPageBreak/>
        <w:t xml:space="preserve">bodies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552905" w:rsidRPr="00FE50A6">
        <w:rPr>
          <w:rFonts w:eastAsia="Batang" w:cs="Times"/>
          <w:noProof/>
          <w:szCs w:val="24"/>
          <w:lang w:val="en-US" w:eastAsia="es-ES"/>
        </w:rPr>
        <w:t xml:space="preserve"> have been </w:t>
      </w:r>
      <w:r w:rsidR="00CF3FBA" w:rsidRPr="00FE50A6">
        <w:rPr>
          <w:rFonts w:eastAsia="Batang" w:cs="Times"/>
          <w:noProof/>
          <w:szCs w:val="24"/>
          <w:lang w:val="en-US" w:eastAsia="es-ES"/>
        </w:rPr>
        <w:t>destroyed by fire</w:t>
      </w:r>
      <w:r w:rsidRPr="00FE50A6">
        <w:rPr>
          <w:rFonts w:eastAsia="Batang" w:cs="Times"/>
          <w:noProof/>
          <w:szCs w:val="24"/>
          <w:lang w:val="en-US" w:eastAsia="es-ES"/>
        </w:rPr>
        <w:t>,</w:t>
      </w:r>
      <w:r w:rsidR="00947ED0" w:rsidRPr="00FE50A6">
        <w:rPr>
          <w:rFonts w:eastAsia="Batang" w:cs="Times"/>
          <w:noProof/>
          <w:szCs w:val="24"/>
          <w:vertAlign w:val="superscript"/>
          <w:lang w:val="en-US" w:eastAsia="es-ES"/>
        </w:rPr>
        <w:footnoteReference w:id="33"/>
      </w:r>
      <w:r w:rsidRPr="00FE50A6">
        <w:rPr>
          <w:rFonts w:eastAsia="Batang" w:cs="Times"/>
          <w:noProof/>
          <w:szCs w:val="24"/>
          <w:lang w:val="en-US" w:eastAsia="es-ES"/>
        </w:rPr>
        <w:t xml:space="preserve"> or in cases in which entire families have been disappeared, so</w:t>
      </w:r>
      <w:r w:rsidR="007E729A" w:rsidRPr="00FE50A6">
        <w:rPr>
          <w:rFonts w:eastAsia="Batang" w:cs="Times"/>
          <w:noProof/>
          <w:szCs w:val="24"/>
          <w:lang w:val="en-US" w:eastAsia="es-ES"/>
        </w:rPr>
        <w:t xml:space="preserve"> </w:t>
      </w:r>
      <w:r w:rsidRPr="00FE50A6">
        <w:rPr>
          <w:rFonts w:eastAsia="Batang" w:cs="Times"/>
          <w:noProof/>
          <w:szCs w:val="24"/>
          <w:lang w:val="en-US" w:eastAsia="es-ES"/>
        </w:rPr>
        <w:t>that nobody could speak on their behalf.</w:t>
      </w:r>
      <w:r w:rsidR="00947ED0" w:rsidRPr="00FE50A6">
        <w:rPr>
          <w:rFonts w:eastAsia="Batang" w:cs="Times"/>
          <w:noProof/>
          <w:szCs w:val="24"/>
          <w:vertAlign w:val="superscript"/>
          <w:lang w:val="en-US" w:eastAsia="es-ES"/>
        </w:rPr>
        <w:footnoteReference w:id="34"/>
      </w:r>
      <w:r w:rsidR="00947ED0" w:rsidRPr="00FE50A6">
        <w:rPr>
          <w:rFonts w:eastAsia="Batang" w:cs="Times"/>
          <w:noProof/>
          <w:szCs w:val="24"/>
          <w:lang w:val="en-US" w:eastAsia="es-ES"/>
        </w:rPr>
        <w:t xml:space="preserve"> </w:t>
      </w:r>
      <w:r w:rsidRPr="00FE50A6">
        <w:rPr>
          <w:rFonts w:eastAsia="Batang" w:cs="Times"/>
          <w:noProof/>
          <w:szCs w:val="24"/>
          <w:lang w:val="en-US" w:eastAsia="es-ES"/>
        </w:rPr>
        <w:t>It has also taken into account the difficulting of accessing area</w:t>
      </w:r>
      <w:r w:rsidR="007E729A" w:rsidRPr="00FE50A6">
        <w:rPr>
          <w:rFonts w:eastAsia="Batang" w:cs="Times"/>
          <w:noProof/>
          <w:szCs w:val="24"/>
          <w:lang w:val="en-US" w:eastAsia="es-ES"/>
        </w:rPr>
        <w:t>s</w:t>
      </w:r>
      <w:r w:rsidRPr="00FE50A6">
        <w:rPr>
          <w:rFonts w:eastAsia="Batang" w:cs="Times"/>
          <w:noProof/>
          <w:szCs w:val="24"/>
          <w:lang w:val="en-US" w:eastAsia="es-ES"/>
        </w:rPr>
        <w:t xml:space="preserve"> in which the facts occurred,</w:t>
      </w:r>
      <w:r w:rsidR="00947ED0" w:rsidRPr="00FE50A6">
        <w:rPr>
          <w:rFonts w:eastAsia="Batang" w:cs="Times"/>
          <w:noProof/>
          <w:szCs w:val="24"/>
          <w:vertAlign w:val="superscript"/>
          <w:lang w:val="en-US" w:eastAsia="es-ES"/>
        </w:rPr>
        <w:footnoteReference w:id="35"/>
      </w:r>
      <w:r w:rsidRPr="00FE50A6">
        <w:rPr>
          <w:rFonts w:eastAsia="Batang" w:cs="Times"/>
          <w:noProof/>
          <w:szCs w:val="24"/>
          <w:lang w:val="en-US" w:eastAsia="es-ES"/>
        </w:rPr>
        <w:t xml:space="preserve"> the absence of records of the inhabitants of a place,</w:t>
      </w:r>
      <w:r w:rsidR="00947ED0" w:rsidRPr="00FE50A6">
        <w:rPr>
          <w:rFonts w:eastAsia="Batang" w:cs="Times"/>
          <w:noProof/>
          <w:szCs w:val="24"/>
          <w:vertAlign w:val="superscript"/>
          <w:lang w:val="en-US" w:eastAsia="es-ES"/>
        </w:rPr>
        <w:footnoteReference w:id="36"/>
      </w:r>
      <w:r w:rsidR="00030C17" w:rsidRPr="00FE50A6">
        <w:rPr>
          <w:rFonts w:eastAsia="Batang" w:cs="Times"/>
          <w:noProof/>
          <w:szCs w:val="24"/>
          <w:lang w:val="en-US" w:eastAsia="es-ES"/>
        </w:rPr>
        <w:t xml:space="preserve"> and </w:t>
      </w:r>
      <w:r w:rsidRPr="00FE50A6">
        <w:rPr>
          <w:rFonts w:eastAsia="Batang" w:cs="Times"/>
          <w:noProof/>
          <w:szCs w:val="24"/>
          <w:lang w:val="en-US" w:eastAsia="es-ES"/>
        </w:rPr>
        <w:t>the passage of time,</w:t>
      </w:r>
      <w:r w:rsidR="00947ED0" w:rsidRPr="00FE50A6">
        <w:rPr>
          <w:rFonts w:eastAsia="Batang" w:cs="Times"/>
          <w:noProof/>
          <w:szCs w:val="24"/>
          <w:vertAlign w:val="superscript"/>
          <w:lang w:val="en-US" w:eastAsia="es-ES"/>
        </w:rPr>
        <w:footnoteReference w:id="37"/>
      </w:r>
      <w:r w:rsidRPr="00FE50A6">
        <w:rPr>
          <w:rFonts w:eastAsia="Batang" w:cs="Times"/>
          <w:noProof/>
          <w:szCs w:val="24"/>
          <w:lang w:val="en-US" w:eastAsia="es-ES"/>
        </w:rPr>
        <w:t xml:space="preserve"> as well as particular characteristics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947ED0" w:rsidRPr="00FE50A6">
        <w:rPr>
          <w:rFonts w:eastAsia="Batang" w:cs="Times"/>
          <w:noProof/>
          <w:szCs w:val="24"/>
          <w:lang w:val="en-US" w:eastAsia="es-ES"/>
        </w:rPr>
        <w:t xml:space="preserve"> </w:t>
      </w:r>
      <w:r w:rsidRPr="00FE50A6">
        <w:rPr>
          <w:rFonts w:eastAsia="Batang" w:cs="Times"/>
          <w:noProof/>
          <w:szCs w:val="24"/>
          <w:lang w:val="en-US" w:eastAsia="es-ES"/>
        </w:rPr>
        <w:t xml:space="preserve">in </w:t>
      </w:r>
      <w:r w:rsidR="007E729A" w:rsidRPr="00FE50A6">
        <w:rPr>
          <w:rFonts w:eastAsia="Batang" w:cs="Times"/>
          <w:noProof/>
          <w:szCs w:val="24"/>
          <w:lang w:val="en-US" w:eastAsia="es-ES"/>
        </w:rPr>
        <w:t>a</w:t>
      </w:r>
      <w:r w:rsidRPr="00FE50A6">
        <w:rPr>
          <w:rFonts w:eastAsia="Batang" w:cs="Times"/>
          <w:noProof/>
          <w:szCs w:val="24"/>
          <w:lang w:val="en-US" w:eastAsia="es-ES"/>
        </w:rPr>
        <w:t xml:space="preserve"> case, for example, when they are part of family clans with similar </w:t>
      </w:r>
      <w:r w:rsidR="00CF3FBA" w:rsidRPr="00FE50A6">
        <w:rPr>
          <w:rFonts w:eastAsia="Batang" w:cs="Times"/>
          <w:noProof/>
          <w:szCs w:val="24"/>
          <w:lang w:val="en-US" w:eastAsia="es-ES"/>
        </w:rPr>
        <w:t xml:space="preserve">first and last </w:t>
      </w:r>
      <w:r w:rsidRPr="00FE50A6">
        <w:rPr>
          <w:rFonts w:eastAsia="Batang" w:cs="Times"/>
          <w:noProof/>
          <w:szCs w:val="24"/>
          <w:lang w:val="en-US" w:eastAsia="es-ES"/>
        </w:rPr>
        <w:t>names,</w:t>
      </w:r>
      <w:r w:rsidR="00947ED0" w:rsidRPr="00FE50A6">
        <w:rPr>
          <w:rFonts w:eastAsia="Batang" w:cs="Times"/>
          <w:noProof/>
          <w:szCs w:val="24"/>
          <w:vertAlign w:val="superscript"/>
          <w:lang w:val="en-US" w:eastAsia="es-ES"/>
        </w:rPr>
        <w:footnoteReference w:id="38"/>
      </w:r>
      <w:r w:rsidRPr="00FE50A6">
        <w:rPr>
          <w:rFonts w:eastAsia="Batang" w:cs="Times"/>
          <w:noProof/>
          <w:szCs w:val="24"/>
          <w:lang w:val="en-US" w:eastAsia="es-ES"/>
        </w:rPr>
        <w:t xml:space="preserve"> or in the case of migrants.</w:t>
      </w:r>
      <w:r w:rsidR="00947ED0" w:rsidRPr="00FE50A6">
        <w:rPr>
          <w:rFonts w:eastAsia="Batang" w:cs="Times"/>
          <w:noProof/>
          <w:szCs w:val="24"/>
          <w:vertAlign w:val="superscript"/>
          <w:lang w:val="en-US" w:eastAsia="es-ES"/>
        </w:rPr>
        <w:footnoteReference w:id="39"/>
      </w:r>
      <w:r w:rsidR="00947ED0" w:rsidRPr="00FE50A6">
        <w:rPr>
          <w:rFonts w:eastAsia="Batang" w:cs="Times"/>
          <w:noProof/>
          <w:szCs w:val="24"/>
          <w:lang w:val="en-US" w:eastAsia="es-ES"/>
        </w:rPr>
        <w:t xml:space="preserve"> </w:t>
      </w:r>
      <w:r w:rsidRPr="00FE50A6">
        <w:rPr>
          <w:rFonts w:eastAsia="Batang" w:cs="Times"/>
          <w:noProof/>
          <w:szCs w:val="24"/>
          <w:lang w:val="en-US" w:eastAsia="es-ES"/>
        </w:rPr>
        <w:t>I</w:t>
      </w:r>
      <w:r w:rsidR="007E729A" w:rsidRPr="00FE50A6">
        <w:rPr>
          <w:rFonts w:eastAsia="Batang" w:cs="Times"/>
          <w:noProof/>
          <w:szCs w:val="24"/>
          <w:lang w:val="en-US" w:eastAsia="es-ES"/>
        </w:rPr>
        <w:t>t</w:t>
      </w:r>
      <w:r w:rsidRPr="00FE50A6">
        <w:rPr>
          <w:rFonts w:eastAsia="Batang" w:cs="Times"/>
          <w:noProof/>
          <w:szCs w:val="24"/>
          <w:lang w:val="en-US" w:eastAsia="es-ES"/>
        </w:rPr>
        <w:t xml:space="preserve"> has also considered the State’s conduct, for example, whe</w:t>
      </w:r>
      <w:r w:rsidR="007E729A" w:rsidRPr="00FE50A6">
        <w:rPr>
          <w:rFonts w:eastAsia="Batang" w:cs="Times"/>
          <w:noProof/>
          <w:szCs w:val="24"/>
          <w:lang w:val="en-US" w:eastAsia="es-ES"/>
        </w:rPr>
        <w:t>n</w:t>
      </w:r>
      <w:r w:rsidRPr="00FE50A6">
        <w:rPr>
          <w:rFonts w:eastAsia="Batang" w:cs="Times"/>
          <w:noProof/>
          <w:szCs w:val="24"/>
          <w:lang w:val="en-US" w:eastAsia="es-ES"/>
        </w:rPr>
        <w:t xml:space="preserve"> it is argued that the </w:t>
      </w:r>
      <w:r w:rsidR="007E729A" w:rsidRPr="00FE50A6">
        <w:rPr>
          <w:rFonts w:eastAsia="Batang" w:cs="Times"/>
          <w:noProof/>
          <w:szCs w:val="24"/>
          <w:lang w:val="en-US" w:eastAsia="es-ES"/>
        </w:rPr>
        <w:t>failure to</w:t>
      </w:r>
      <w:r w:rsidRPr="00FE50A6">
        <w:rPr>
          <w:rFonts w:eastAsia="Batang" w:cs="Times"/>
          <w:noProof/>
          <w:szCs w:val="24"/>
          <w:lang w:val="en-US" w:eastAsia="es-ES"/>
        </w:rPr>
        <w:t xml:space="preserve"> investigat</w:t>
      </w:r>
      <w:r w:rsidR="007E729A" w:rsidRPr="00FE50A6">
        <w:rPr>
          <w:rFonts w:eastAsia="Batang" w:cs="Times"/>
          <w:noProof/>
          <w:szCs w:val="24"/>
          <w:lang w:val="en-US" w:eastAsia="es-ES"/>
        </w:rPr>
        <w:t>e</w:t>
      </w:r>
      <w:r w:rsidRPr="00FE50A6">
        <w:rPr>
          <w:rFonts w:eastAsia="Batang" w:cs="Times"/>
          <w:noProof/>
          <w:szCs w:val="24"/>
          <w:lang w:val="en-US" w:eastAsia="es-ES"/>
        </w:rPr>
        <w:t xml:space="preserve"> contributed to the incomplete identification</w:t>
      </w:r>
      <w:r w:rsidR="00703850" w:rsidRPr="00FE50A6">
        <w:rPr>
          <w:rFonts w:eastAsia="Batang" w:cs="Times"/>
          <w:noProof/>
          <w:szCs w:val="24"/>
          <w:lang w:val="en-US" w:eastAsia="es-ES"/>
        </w:rPr>
        <w:t xml:space="preserve"> of the </w:t>
      </w:r>
      <w:r w:rsidR="0017587B" w:rsidRPr="00FE50A6">
        <w:rPr>
          <w:rFonts w:eastAsia="Batang" w:cs="Times"/>
          <w:noProof/>
          <w:szCs w:val="24"/>
          <w:lang w:val="en-US" w:eastAsia="es-ES"/>
        </w:rPr>
        <w:t>presumed victims</w:t>
      </w:r>
      <w:r w:rsidRPr="00FE50A6">
        <w:rPr>
          <w:rFonts w:eastAsia="Batang" w:cs="Times"/>
          <w:noProof/>
          <w:szCs w:val="24"/>
          <w:lang w:val="en-US" w:eastAsia="es-ES"/>
        </w:rPr>
        <w:t>.</w:t>
      </w:r>
      <w:r w:rsidR="00947ED0" w:rsidRPr="00FE50A6">
        <w:rPr>
          <w:rFonts w:eastAsia="Batang" w:cs="Times"/>
          <w:noProof/>
          <w:szCs w:val="24"/>
          <w:vertAlign w:val="superscript"/>
          <w:lang w:val="en-US" w:eastAsia="es-ES"/>
        </w:rPr>
        <w:footnoteReference w:id="40"/>
      </w:r>
      <w:r w:rsidR="000A52D5" w:rsidRPr="00FE50A6">
        <w:rPr>
          <w:rFonts w:eastAsia="Batang" w:cs="Times"/>
          <w:noProof/>
          <w:szCs w:val="24"/>
          <w:lang w:val="en-US" w:eastAsia="es-ES"/>
        </w:rPr>
        <w:t xml:space="preserve"> </w:t>
      </w:r>
    </w:p>
    <w:p w14:paraId="22555497"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E9AE3A5"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not</w:t>
      </w:r>
      <w:r w:rsidR="00B052BA" w:rsidRPr="00FE50A6">
        <w:rPr>
          <w:rFonts w:eastAsia="Batang" w:cs="Times"/>
          <w:noProof/>
          <w:szCs w:val="24"/>
          <w:lang w:val="en-US" w:eastAsia="es-ES"/>
        </w:rPr>
        <w:t>es that, in its Merits Report,</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C34197" w:rsidRPr="00FE50A6">
        <w:rPr>
          <w:rFonts w:eastAsia="Batang" w:cs="Times"/>
          <w:noProof/>
          <w:szCs w:val="24"/>
          <w:lang w:val="en-US" w:eastAsia="es-ES"/>
        </w:rPr>
        <w:t xml:space="preserve"> </w:t>
      </w:r>
      <w:r w:rsidR="00B052BA" w:rsidRPr="00FE50A6">
        <w:rPr>
          <w:rFonts w:eastAsia="Batang" w:cs="Times"/>
          <w:noProof/>
          <w:szCs w:val="24"/>
          <w:lang w:val="en-US" w:eastAsia="es-ES"/>
        </w:rPr>
        <w:t xml:space="preserve">indicated that it did not have information on the identification of all the victims. Thus, the Court considers that the problems </w:t>
      </w:r>
      <w:r w:rsidR="002E2608" w:rsidRPr="00FE50A6">
        <w:rPr>
          <w:rFonts w:eastAsia="Batang" w:cs="Times"/>
          <w:noProof/>
          <w:szCs w:val="24"/>
          <w:lang w:val="en-US" w:eastAsia="es-ES"/>
        </w:rPr>
        <w:t>described in Article 35(2) of the Rules of Procedure regarding the identification of the</w:t>
      </w:r>
      <w:r w:rsidR="000A52D5" w:rsidRPr="00FE50A6">
        <w:rPr>
          <w:rFonts w:eastAsia="Batang" w:cs="Times"/>
          <w:noProof/>
          <w:szCs w:val="24"/>
          <w:lang w:val="en-US" w:eastAsia="es-ES"/>
        </w:rPr>
        <w:t xml:space="preserve">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2E2608" w:rsidRPr="00FE50A6">
        <w:rPr>
          <w:rFonts w:eastAsia="Batang" w:cs="Times"/>
          <w:noProof/>
          <w:szCs w:val="24"/>
          <w:lang w:val="en-US" w:eastAsia="es-ES"/>
        </w:rPr>
        <w:t>in cases of collective violations may be understood</w:t>
      </w:r>
      <w:r w:rsidR="007E729A" w:rsidRPr="00FE50A6">
        <w:rPr>
          <w:rFonts w:eastAsia="Batang" w:cs="Times"/>
          <w:noProof/>
          <w:szCs w:val="24"/>
          <w:lang w:val="en-US" w:eastAsia="es-ES"/>
        </w:rPr>
        <w:t xml:space="preserve"> in this case</w:t>
      </w:r>
      <w:r w:rsidR="002E2608" w:rsidRPr="00FE50A6">
        <w:rPr>
          <w:rFonts w:eastAsia="Batang" w:cs="Times"/>
          <w:noProof/>
          <w:szCs w:val="24"/>
          <w:lang w:val="en-US" w:eastAsia="es-ES"/>
        </w:rPr>
        <w:t xml:space="preserve"> based on: (i) the context of the case, (ii) th</w:t>
      </w:r>
      <w:r w:rsidR="007E729A" w:rsidRPr="00FE50A6">
        <w:rPr>
          <w:rFonts w:eastAsia="Batang" w:cs="Times"/>
          <w:noProof/>
          <w:szCs w:val="24"/>
          <w:lang w:val="en-US" w:eastAsia="es-ES"/>
        </w:rPr>
        <w:t>e</w:t>
      </w:r>
      <w:r w:rsidR="002E2608" w:rsidRPr="00FE50A6">
        <w:rPr>
          <w:rFonts w:eastAsia="Batang" w:cs="Times"/>
          <w:noProof/>
          <w:szCs w:val="24"/>
          <w:lang w:val="en-US" w:eastAsia="es-ES"/>
        </w:rPr>
        <w:t xml:space="preserve"> 20 years that have passed; (iii) the difficulty to contact</w:t>
      </w:r>
      <w:r w:rsidR="000A52D5" w:rsidRPr="00FE50A6">
        <w:rPr>
          <w:rFonts w:eastAsia="Batang" w:cs="Times"/>
          <w:noProof/>
          <w:szCs w:val="24"/>
          <w:lang w:val="en-US" w:eastAsia="es-ES"/>
        </w:rPr>
        <w:t xml:space="preserve"> </w:t>
      </w:r>
      <w:r w:rsidR="0017587B" w:rsidRPr="00FE50A6">
        <w:rPr>
          <w:rFonts w:eastAsia="Batang" w:cs="Times"/>
          <w:noProof/>
          <w:szCs w:val="24"/>
          <w:lang w:val="en-US" w:eastAsia="es-ES"/>
        </w:rPr>
        <w:t>the presumed victims</w:t>
      </w:r>
      <w:r w:rsidR="000A52D5" w:rsidRPr="00FE50A6">
        <w:rPr>
          <w:rFonts w:eastAsia="Batang" w:cs="Times"/>
          <w:noProof/>
          <w:szCs w:val="24"/>
          <w:lang w:val="en-US" w:eastAsia="es-ES"/>
        </w:rPr>
        <w:t xml:space="preserve"> </w:t>
      </w:r>
      <w:r w:rsidR="002E2608" w:rsidRPr="00FE50A6">
        <w:rPr>
          <w:rFonts w:eastAsia="Batang" w:cs="Times"/>
          <w:noProof/>
          <w:szCs w:val="24"/>
          <w:lang w:val="en-US" w:eastAsia="es-ES"/>
        </w:rPr>
        <w:t xml:space="preserve">owing to their situation of exclusion and vulnerability, </w:t>
      </w:r>
      <w:r w:rsidR="00030C17" w:rsidRPr="00FE50A6">
        <w:rPr>
          <w:rFonts w:eastAsia="Batang" w:cs="Times"/>
          <w:noProof/>
          <w:szCs w:val="24"/>
          <w:lang w:val="en-US" w:eastAsia="es-ES"/>
        </w:rPr>
        <w:t xml:space="preserve">and </w:t>
      </w:r>
      <w:r w:rsidR="002E2608" w:rsidRPr="00FE50A6">
        <w:rPr>
          <w:rFonts w:eastAsia="Batang" w:cs="Times"/>
          <w:noProof/>
          <w:szCs w:val="24"/>
          <w:lang w:val="en-US" w:eastAsia="es-ES"/>
        </w:rPr>
        <w:t>(</w:t>
      </w:r>
      <w:r w:rsidR="007E1185" w:rsidRPr="00FE50A6">
        <w:rPr>
          <w:rFonts w:eastAsia="Batang" w:cs="Times"/>
          <w:noProof/>
          <w:szCs w:val="24"/>
          <w:lang w:val="en-US" w:eastAsia="es-ES"/>
        </w:rPr>
        <w:t>i</w:t>
      </w:r>
      <w:r w:rsidR="000A52D5" w:rsidRPr="00FE50A6">
        <w:rPr>
          <w:rFonts w:eastAsia="Batang" w:cs="Times"/>
          <w:noProof/>
          <w:szCs w:val="24"/>
          <w:lang w:val="en-US" w:eastAsia="es-ES"/>
        </w:rPr>
        <w:t xml:space="preserve">v) </w:t>
      </w:r>
      <w:r w:rsidR="002E2608" w:rsidRPr="00FE50A6">
        <w:rPr>
          <w:rFonts w:eastAsia="Batang" w:cs="Times"/>
          <w:noProof/>
          <w:szCs w:val="24"/>
          <w:lang w:val="en-US" w:eastAsia="es-ES"/>
        </w:rPr>
        <w:t xml:space="preserve">registration </w:t>
      </w:r>
      <w:r w:rsidR="007E729A" w:rsidRPr="00FE50A6">
        <w:rPr>
          <w:rFonts w:eastAsia="Batang" w:cs="Times"/>
          <w:noProof/>
          <w:szCs w:val="24"/>
          <w:lang w:val="en-US" w:eastAsia="es-ES"/>
        </w:rPr>
        <w:t>omissions</w:t>
      </w:r>
      <w:r w:rsidR="002E2608" w:rsidRPr="00FE50A6">
        <w:rPr>
          <w:rFonts w:eastAsia="Batang" w:cs="Times"/>
          <w:noProof/>
          <w:szCs w:val="24"/>
          <w:lang w:val="en-US" w:eastAsia="es-ES"/>
        </w:rPr>
        <w:t xml:space="preserve"> that can be attributed </w:t>
      </w:r>
      <w:r w:rsidR="00030C17" w:rsidRPr="00FE50A6">
        <w:rPr>
          <w:rFonts w:eastAsia="Batang" w:cs="Times"/>
          <w:noProof/>
          <w:szCs w:val="24"/>
          <w:lang w:val="en-US" w:eastAsia="es-ES"/>
        </w:rPr>
        <w:t>to the State</w:t>
      </w:r>
      <w:r w:rsidR="000A52D5" w:rsidRPr="00FE50A6">
        <w:rPr>
          <w:rFonts w:eastAsia="Batang" w:cs="Times"/>
          <w:noProof/>
          <w:szCs w:val="24"/>
          <w:lang w:val="en-US" w:eastAsia="es-ES"/>
        </w:rPr>
        <w:t xml:space="preserve">. </w:t>
      </w:r>
    </w:p>
    <w:p w14:paraId="571C1305" w14:textId="77777777" w:rsidR="000A52D5" w:rsidRPr="00FE50A6" w:rsidRDefault="000A52D5" w:rsidP="00140440">
      <w:pPr>
        <w:tabs>
          <w:tab w:val="clear" w:pos="4419"/>
          <w:tab w:val="clear" w:pos="8838"/>
        </w:tabs>
        <w:jc w:val="both"/>
        <w:rPr>
          <w:rFonts w:eastAsia="Batang" w:cs="Times"/>
          <w:noProof/>
          <w:szCs w:val="24"/>
          <w:u w:val="single"/>
          <w:lang w:val="en-US" w:eastAsia="es-ES"/>
        </w:rPr>
      </w:pPr>
    </w:p>
    <w:p w14:paraId="6B129E1A" w14:textId="77777777" w:rsidR="00834C2B" w:rsidRPr="00FE50A6" w:rsidRDefault="000228D0" w:rsidP="00834C2B">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consider</w:t>
      </w:r>
      <w:r w:rsidR="008F18C2" w:rsidRPr="00FE50A6">
        <w:rPr>
          <w:rFonts w:eastAsia="Batang" w:cs="Times"/>
          <w:noProof/>
          <w:szCs w:val="24"/>
          <w:lang w:val="en-US" w:eastAsia="es-ES"/>
        </w:rPr>
        <w:t xml:space="preserve">s that the specific characteristics of this </w:t>
      </w:r>
      <w:r w:rsidR="007E729A" w:rsidRPr="00FE50A6">
        <w:rPr>
          <w:rFonts w:eastAsia="Batang" w:cs="Times"/>
          <w:noProof/>
          <w:szCs w:val="24"/>
          <w:lang w:val="en-US" w:eastAsia="es-ES"/>
        </w:rPr>
        <w:t>case</w:t>
      </w:r>
      <w:r w:rsidR="008F18C2" w:rsidRPr="00FE50A6">
        <w:rPr>
          <w:rFonts w:eastAsia="Batang" w:cs="Times"/>
          <w:noProof/>
          <w:szCs w:val="24"/>
          <w:lang w:val="en-US" w:eastAsia="es-ES"/>
        </w:rPr>
        <w:t xml:space="preserve"> allow it to co</w:t>
      </w:r>
      <w:r w:rsidR="007E729A" w:rsidRPr="00FE50A6">
        <w:rPr>
          <w:rFonts w:eastAsia="Batang" w:cs="Times"/>
          <w:noProof/>
          <w:szCs w:val="24"/>
          <w:lang w:val="en-US" w:eastAsia="es-ES"/>
        </w:rPr>
        <w:t>n</w:t>
      </w:r>
      <w:r w:rsidR="008F18C2" w:rsidRPr="00FE50A6">
        <w:rPr>
          <w:rFonts w:eastAsia="Batang" w:cs="Times"/>
          <w:noProof/>
          <w:szCs w:val="24"/>
          <w:lang w:val="en-US" w:eastAsia="es-ES"/>
        </w:rPr>
        <w:t>clude that there are reasonable ground</w:t>
      </w:r>
      <w:r w:rsidR="007E729A" w:rsidRPr="00FE50A6">
        <w:rPr>
          <w:rFonts w:eastAsia="Batang" w:cs="Times"/>
          <w:noProof/>
          <w:szCs w:val="24"/>
          <w:lang w:val="en-US" w:eastAsia="es-ES"/>
        </w:rPr>
        <w:t>s</w:t>
      </w:r>
      <w:r w:rsidR="006F21D6" w:rsidRPr="00FE50A6">
        <w:rPr>
          <w:rFonts w:eastAsia="Batang" w:cs="Times"/>
          <w:noProof/>
          <w:szCs w:val="24"/>
          <w:lang w:val="en-US" w:eastAsia="es-ES"/>
        </w:rPr>
        <w:t xml:space="preserve"> to</w:t>
      </w:r>
      <w:r w:rsidR="008F18C2" w:rsidRPr="00FE50A6">
        <w:rPr>
          <w:rFonts w:eastAsia="Batang" w:cs="Times"/>
          <w:noProof/>
          <w:szCs w:val="24"/>
          <w:lang w:val="en-US" w:eastAsia="es-ES"/>
        </w:rPr>
        <w:t xml:space="preserve"> justify the fact that the list of </w:t>
      </w:r>
      <w:r w:rsidR="008A7089"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inclu</w:t>
      </w:r>
      <w:r w:rsidR="008F18C2" w:rsidRPr="00FE50A6">
        <w:rPr>
          <w:rFonts w:eastAsia="Batang" w:cs="Times"/>
          <w:noProof/>
          <w:szCs w:val="24"/>
          <w:lang w:val="en-US" w:eastAsia="es-ES"/>
        </w:rPr>
        <w:t>ded in the Commisson’s</w:t>
      </w:r>
      <w:r w:rsidR="000A52D5" w:rsidRPr="00FE50A6">
        <w:rPr>
          <w:rFonts w:eastAsia="Batang" w:cs="Times"/>
          <w:noProof/>
          <w:szCs w:val="24"/>
          <w:lang w:val="en-US" w:eastAsia="es-ES"/>
        </w:rPr>
        <w:t xml:space="preserve"> </w:t>
      </w:r>
      <w:r w:rsidR="00030C17" w:rsidRPr="00FE50A6">
        <w:rPr>
          <w:rFonts w:eastAsia="Batang" w:cs="Times"/>
          <w:noProof/>
          <w:szCs w:val="24"/>
          <w:lang w:val="en-US" w:eastAsia="es-ES"/>
        </w:rPr>
        <w:t>Admissibility and Merits Report</w:t>
      </w:r>
      <w:r w:rsidRPr="00FE50A6">
        <w:rPr>
          <w:rFonts w:eastAsia="Batang" w:cs="Times"/>
          <w:noProof/>
          <w:szCs w:val="24"/>
          <w:lang w:val="en-US" w:eastAsia="es-ES"/>
        </w:rPr>
        <w:t xml:space="preserve"> </w:t>
      </w:r>
      <w:r w:rsidR="008F18C2" w:rsidRPr="00FE50A6">
        <w:rPr>
          <w:rFonts w:eastAsia="Batang" w:cs="Times"/>
          <w:noProof/>
          <w:szCs w:val="24"/>
          <w:lang w:val="en-US" w:eastAsia="es-ES"/>
        </w:rPr>
        <w:t xml:space="preserve">may contain possible inconsistencies both in the full identification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8F18C2" w:rsidRPr="00FE50A6">
        <w:rPr>
          <w:rFonts w:eastAsia="Batang" w:cs="Times"/>
          <w:noProof/>
          <w:szCs w:val="24"/>
          <w:lang w:val="en-US" w:eastAsia="es-ES"/>
        </w:rPr>
        <w:t xml:space="preserve">and in their representation. Therefore, the Court decides to apply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w:t>
      </w:r>
      <w:r w:rsidR="00A20647" w:rsidRPr="00FE50A6">
        <w:rPr>
          <w:rFonts w:eastAsia="Batang" w:cs="Times"/>
          <w:noProof/>
          <w:szCs w:val="24"/>
          <w:lang w:val="en-US" w:eastAsia="es-ES"/>
        </w:rPr>
        <w:t>35(2)</w:t>
      </w:r>
      <w:r w:rsidR="008F18C2" w:rsidRPr="00FE50A6">
        <w:rPr>
          <w:rFonts w:eastAsia="Batang" w:cs="Times"/>
          <w:noProof/>
          <w:szCs w:val="24"/>
          <w:lang w:val="en-US" w:eastAsia="es-ES"/>
        </w:rPr>
        <w:t xml:space="preserve"> of its Rules of Procedure and, when examining the merits of the case, it will determine the appropriate measures</w:t>
      </w:r>
      <w:r w:rsidR="000A52D5" w:rsidRPr="00FE50A6">
        <w:rPr>
          <w:rFonts w:eastAsia="Batang" w:cs="Times"/>
          <w:noProof/>
          <w:szCs w:val="24"/>
          <w:lang w:val="en-US" w:eastAsia="es-ES"/>
        </w:rPr>
        <w:t xml:space="preserve"> </w:t>
      </w:r>
      <w:r w:rsidR="008F18C2" w:rsidRPr="00FE50A6">
        <w:rPr>
          <w:rFonts w:eastAsia="Batang" w:cs="Times"/>
          <w:noProof/>
          <w:szCs w:val="24"/>
          <w:lang w:val="en-US" w:eastAsia="es-ES"/>
        </w:rPr>
        <w:t>in this</w:t>
      </w:r>
      <w:r w:rsidR="007E729A" w:rsidRPr="00FE50A6">
        <w:rPr>
          <w:rFonts w:eastAsia="Batang" w:cs="Times"/>
          <w:noProof/>
          <w:szCs w:val="24"/>
          <w:lang w:val="en-US" w:eastAsia="es-ES"/>
        </w:rPr>
        <w:t xml:space="preserve"> </w:t>
      </w:r>
      <w:r w:rsidR="008F18C2" w:rsidRPr="00FE50A6">
        <w:rPr>
          <w:rFonts w:eastAsia="Batang" w:cs="Times"/>
          <w:noProof/>
          <w:szCs w:val="24"/>
          <w:lang w:val="en-US" w:eastAsia="es-ES"/>
        </w:rPr>
        <w:t xml:space="preserve">regard and the identification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0A52D5" w:rsidRPr="00FE50A6">
        <w:rPr>
          <w:rFonts w:eastAsia="Batang" w:cs="Times"/>
          <w:noProof/>
          <w:szCs w:val="24"/>
          <w:lang w:val="en-US" w:eastAsia="es-ES"/>
        </w:rPr>
        <w:t xml:space="preserve"> </w:t>
      </w:r>
      <w:r w:rsidR="008F18C2" w:rsidRPr="00FE50A6">
        <w:rPr>
          <w:rFonts w:eastAsia="Batang" w:cs="Times"/>
          <w:noProof/>
          <w:szCs w:val="24"/>
          <w:lang w:val="en-US" w:eastAsia="es-ES"/>
        </w:rPr>
        <w:t>if necessary</w:t>
      </w:r>
      <w:r w:rsidR="000A52D5" w:rsidRPr="00FE50A6">
        <w:rPr>
          <w:rFonts w:eastAsia="Batang" w:cs="Times"/>
          <w:noProof/>
          <w:szCs w:val="24"/>
          <w:lang w:val="en-US" w:eastAsia="es-ES"/>
        </w:rPr>
        <w:t>.</w:t>
      </w:r>
      <w:r w:rsidR="000A52D5" w:rsidRPr="00FE50A6">
        <w:rPr>
          <w:rFonts w:eastAsia="Batang" w:cs="Times"/>
          <w:i/>
          <w:noProof/>
          <w:szCs w:val="24"/>
          <w:lang w:val="en-US" w:eastAsia="es-ES"/>
        </w:rPr>
        <w:t xml:space="preserve"> </w:t>
      </w:r>
      <w:r w:rsidR="008F18C2" w:rsidRPr="00FE50A6">
        <w:rPr>
          <w:rFonts w:eastAsia="Batang" w:cs="Times"/>
          <w:noProof/>
          <w:szCs w:val="24"/>
          <w:lang w:val="en-US" w:eastAsia="es-ES"/>
        </w:rPr>
        <w:t>Consequently,</w:t>
      </w:r>
      <w:r w:rsidR="008F18C2" w:rsidRPr="00FE50A6">
        <w:rPr>
          <w:rFonts w:eastAsia="Batang" w:cs="Times"/>
          <w:i/>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8F18C2" w:rsidRPr="00FE50A6">
        <w:rPr>
          <w:rFonts w:eastAsia="Batang" w:cs="Times"/>
          <w:noProof/>
          <w:szCs w:val="24"/>
          <w:lang w:val="en-US" w:eastAsia="es-ES"/>
        </w:rPr>
        <w:t>rejects the</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objections</w:t>
      </w:r>
      <w:r w:rsidR="0090752B" w:rsidRPr="00FE50A6">
        <w:rPr>
          <w:rFonts w:eastAsia="Batang" w:cs="Times"/>
          <w:noProof/>
          <w:szCs w:val="24"/>
          <w:lang w:val="en-US" w:eastAsia="es-ES"/>
        </w:rPr>
        <w:t xml:space="preserve"> </w:t>
      </w:r>
      <w:r w:rsidR="008F18C2" w:rsidRPr="00FE50A6">
        <w:rPr>
          <w:rFonts w:eastAsia="Batang" w:cs="Times"/>
          <w:noProof/>
          <w:szCs w:val="24"/>
          <w:lang w:val="en-US" w:eastAsia="es-ES"/>
        </w:rPr>
        <w:t xml:space="preserve">filed by the State </w:t>
      </w:r>
      <w:r w:rsidR="007E729A" w:rsidRPr="00FE50A6">
        <w:rPr>
          <w:rFonts w:eastAsia="Batang" w:cs="Times"/>
          <w:noProof/>
          <w:szCs w:val="24"/>
          <w:lang w:val="en-US" w:eastAsia="es-ES"/>
        </w:rPr>
        <w:t>concerning</w:t>
      </w:r>
      <w:r w:rsidR="008F18C2" w:rsidRPr="00FE50A6">
        <w:rPr>
          <w:rFonts w:eastAsia="Batang" w:cs="Times"/>
          <w:noProof/>
          <w:szCs w:val="24"/>
          <w:lang w:val="en-US" w:eastAsia="es-ES"/>
        </w:rPr>
        <w:t xml:space="preserve"> the identification and representation</w:t>
      </w:r>
      <w:r w:rsidR="00703850" w:rsidRPr="00FE50A6">
        <w:rPr>
          <w:rFonts w:eastAsia="Batang" w:cs="Times"/>
          <w:noProof/>
          <w:szCs w:val="24"/>
          <w:lang w:val="en-US" w:eastAsia="es-ES"/>
        </w:rPr>
        <w:t xml:space="preserve"> of the </w:t>
      </w:r>
      <w:r w:rsidR="0017587B" w:rsidRPr="00FE50A6">
        <w:rPr>
          <w:rFonts w:eastAsia="Batang" w:cs="Times"/>
          <w:noProof/>
          <w:szCs w:val="24"/>
          <w:lang w:val="en-US" w:eastAsia="es-ES"/>
        </w:rPr>
        <w:t>presumed victims</w:t>
      </w:r>
      <w:r w:rsidR="00834C2B" w:rsidRPr="00FE50A6">
        <w:rPr>
          <w:rFonts w:eastAsia="Batang" w:cs="Times"/>
          <w:noProof/>
          <w:szCs w:val="24"/>
          <w:lang w:val="en-US" w:eastAsia="es-ES"/>
        </w:rPr>
        <w:t xml:space="preserve">, </w:t>
      </w:r>
      <w:r w:rsidR="007E729A" w:rsidRPr="00FE50A6">
        <w:rPr>
          <w:rFonts w:eastAsia="Batang" w:cs="Times"/>
          <w:noProof/>
          <w:szCs w:val="24"/>
          <w:lang w:val="en-US" w:eastAsia="es-ES"/>
        </w:rPr>
        <w:t>as well as</w:t>
      </w:r>
      <w:r w:rsidR="008F18C2" w:rsidRPr="00FE50A6">
        <w:rPr>
          <w:rFonts w:eastAsia="Batang" w:cs="Times"/>
          <w:noProof/>
          <w:szCs w:val="24"/>
          <w:lang w:val="en-US" w:eastAsia="es-ES"/>
        </w:rPr>
        <w:t xml:space="preserve"> the </w:t>
      </w:r>
      <w:r w:rsidR="007E729A" w:rsidRPr="00FE50A6">
        <w:rPr>
          <w:rFonts w:eastAsia="Batang" w:cs="Times"/>
          <w:noProof/>
          <w:szCs w:val="24"/>
          <w:lang w:val="en-US" w:eastAsia="es-ES"/>
        </w:rPr>
        <w:t>lack</w:t>
      </w:r>
      <w:r w:rsidR="008F18C2" w:rsidRPr="00FE50A6">
        <w:rPr>
          <w:rFonts w:eastAsia="Batang" w:cs="Times"/>
          <w:noProof/>
          <w:szCs w:val="24"/>
          <w:lang w:val="en-US" w:eastAsia="es-ES"/>
        </w:rPr>
        <w:t xml:space="preserve"> of a connection </w:t>
      </w:r>
      <w:r w:rsidR="007E729A" w:rsidRPr="00FE50A6">
        <w:rPr>
          <w:rFonts w:eastAsia="Batang" w:cs="Times"/>
          <w:noProof/>
          <w:szCs w:val="24"/>
          <w:lang w:val="en-US" w:eastAsia="es-ES"/>
        </w:rPr>
        <w:t>to the case of</w:t>
      </w:r>
      <w:r w:rsidR="008F18C2" w:rsidRPr="00FE50A6">
        <w:rPr>
          <w:rFonts w:eastAsia="Batang" w:cs="Times"/>
          <w:noProof/>
          <w:szCs w:val="24"/>
          <w:lang w:val="en-US" w:eastAsia="es-ES"/>
        </w:rPr>
        <w:t xml:space="preserve"> some of </w:t>
      </w:r>
      <w:r w:rsidR="00703850" w:rsidRPr="00FE50A6">
        <w:rPr>
          <w:rFonts w:eastAsia="Batang" w:cs="Times"/>
          <w:noProof/>
          <w:szCs w:val="24"/>
          <w:lang w:val="en-US" w:eastAsia="es-ES"/>
        </w:rPr>
        <w:t xml:space="preserve">the </w:t>
      </w:r>
      <w:r w:rsidR="0017587B" w:rsidRPr="00FE50A6">
        <w:rPr>
          <w:rFonts w:eastAsia="Batang" w:cs="Times"/>
          <w:noProof/>
          <w:szCs w:val="24"/>
          <w:lang w:val="en-US" w:eastAsia="es-ES"/>
        </w:rPr>
        <w:t>presumed victims</w:t>
      </w:r>
      <w:r w:rsidR="00834C2B" w:rsidRPr="00FE50A6">
        <w:rPr>
          <w:rFonts w:eastAsia="Batang" w:cs="Times"/>
          <w:noProof/>
          <w:szCs w:val="24"/>
          <w:lang w:val="en-US" w:eastAsia="es-ES"/>
        </w:rPr>
        <w:t xml:space="preserve"> </w:t>
      </w:r>
      <w:r w:rsidR="008F18C2" w:rsidRPr="00FE50A6">
        <w:rPr>
          <w:rFonts w:eastAsia="Batang" w:cs="Times"/>
          <w:noProof/>
          <w:szCs w:val="24"/>
          <w:lang w:val="en-US" w:eastAsia="es-ES"/>
        </w:rPr>
        <w:t>in</w:t>
      </w:r>
      <w:r w:rsidR="007E729A" w:rsidRPr="00FE50A6">
        <w:rPr>
          <w:rFonts w:eastAsia="Batang" w:cs="Times"/>
          <w:noProof/>
          <w:szCs w:val="24"/>
          <w:lang w:val="en-US" w:eastAsia="es-ES"/>
        </w:rPr>
        <w:t>cluded in</w:t>
      </w:r>
      <w:r w:rsidR="008F18C2" w:rsidRPr="00FE50A6">
        <w:rPr>
          <w:rFonts w:eastAsia="Batang" w:cs="Times"/>
          <w:noProof/>
          <w:szCs w:val="24"/>
          <w:lang w:val="en-US" w:eastAsia="es-ES"/>
        </w:rPr>
        <w:t xml:space="preserve"> the Merits Report presented by </w:t>
      </w:r>
      <w:r w:rsidRPr="00FE50A6">
        <w:rPr>
          <w:rFonts w:eastAsia="Batang" w:cs="Times"/>
          <w:noProof/>
          <w:szCs w:val="24"/>
          <w:lang w:val="en-US" w:eastAsia="es-ES"/>
        </w:rPr>
        <w:t>the Commission</w:t>
      </w:r>
      <w:r w:rsidR="00834C2B" w:rsidRPr="00FE50A6">
        <w:rPr>
          <w:rFonts w:eastAsia="Batang" w:cs="Times"/>
          <w:noProof/>
          <w:szCs w:val="24"/>
          <w:lang w:val="en-US" w:eastAsia="es-ES"/>
        </w:rPr>
        <w:t>.</w:t>
      </w:r>
    </w:p>
    <w:p w14:paraId="44482BE1" w14:textId="77777777" w:rsidR="00834C2B" w:rsidRPr="00FE50A6" w:rsidRDefault="00834C2B" w:rsidP="00490523">
      <w:pPr>
        <w:pStyle w:val="Prrafodelista"/>
        <w:rPr>
          <w:rFonts w:eastAsia="Batang" w:cs="Times"/>
          <w:noProof/>
          <w:szCs w:val="24"/>
          <w:lang w:val="en-US" w:eastAsia="es-ES"/>
        </w:rPr>
      </w:pPr>
    </w:p>
    <w:p w14:paraId="1FC827E3" w14:textId="77777777" w:rsidR="000A52D5" w:rsidRPr="00FE50A6" w:rsidRDefault="00621C6E" w:rsidP="00834C2B">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 xml:space="preserve">Furthermore, the Court considers, notwithstanding the analysis it will make </w:t>
      </w:r>
      <w:r w:rsidR="0016679A" w:rsidRPr="00FE50A6">
        <w:rPr>
          <w:rFonts w:eastAsia="Batang" w:cs="Times"/>
          <w:noProof/>
          <w:szCs w:val="24"/>
          <w:lang w:val="en-US" w:eastAsia="es-ES"/>
        </w:rPr>
        <w:t>regarding</w:t>
      </w:r>
      <w:r w:rsidRPr="00FE50A6">
        <w:rPr>
          <w:rFonts w:eastAsia="Batang" w:cs="Times"/>
          <w:noProof/>
          <w:szCs w:val="24"/>
          <w:lang w:val="en-US" w:eastAsia="es-ES"/>
        </w:rPr>
        <w:t xml:space="preserve"> determination </w:t>
      </w:r>
      <w:r w:rsidR="00703850" w:rsidRPr="00FE50A6">
        <w:rPr>
          <w:rFonts w:eastAsia="Batang" w:cs="Times"/>
          <w:noProof/>
          <w:szCs w:val="24"/>
          <w:lang w:val="en-US" w:eastAsia="es-ES"/>
        </w:rPr>
        <w:t xml:space="preserve">of the </w:t>
      </w:r>
      <w:r w:rsidR="0017587B" w:rsidRPr="00FE50A6">
        <w:rPr>
          <w:rFonts w:eastAsia="Batang" w:cs="Times"/>
          <w:noProof/>
          <w:szCs w:val="24"/>
          <w:lang w:val="en-US" w:eastAsia="es-ES"/>
        </w:rPr>
        <w:t>presumed victims</w:t>
      </w:r>
      <w:r w:rsidR="004019FE" w:rsidRPr="00FE50A6">
        <w:rPr>
          <w:rFonts w:eastAsia="Batang" w:cs="Times"/>
          <w:noProof/>
          <w:szCs w:val="24"/>
          <w:lang w:val="en-US" w:eastAsia="es-ES"/>
        </w:rPr>
        <w:t xml:space="preserve"> (</w:t>
      </w:r>
      <w:r w:rsidR="004019FE" w:rsidRPr="00FE50A6">
        <w:rPr>
          <w:rFonts w:eastAsia="Batang" w:cs="Times"/>
          <w:i/>
          <w:noProof/>
          <w:szCs w:val="24"/>
          <w:lang w:val="en-US" w:eastAsia="es-ES"/>
        </w:rPr>
        <w:t>infra</w:t>
      </w:r>
      <w:r w:rsidR="004019FE" w:rsidRPr="00FE50A6">
        <w:rPr>
          <w:rFonts w:eastAsia="Batang" w:cs="Times"/>
          <w:noProof/>
          <w:szCs w:val="24"/>
          <w:lang w:val="en-US" w:eastAsia="es-ES"/>
        </w:rPr>
        <w:t xml:space="preserve"> </w:t>
      </w:r>
      <w:r w:rsidR="00700B79" w:rsidRPr="00FE50A6">
        <w:rPr>
          <w:rFonts w:eastAsia="Batang" w:cs="Times"/>
          <w:noProof/>
          <w:szCs w:val="24"/>
          <w:lang w:val="en-US" w:eastAsia="es-ES"/>
        </w:rPr>
        <w:t>para.</w:t>
      </w:r>
      <w:r w:rsidR="004019FE" w:rsidRPr="00FE50A6">
        <w:rPr>
          <w:rFonts w:eastAsia="Batang" w:cs="Times"/>
          <w:noProof/>
          <w:szCs w:val="24"/>
          <w:lang w:val="en-US" w:eastAsia="es-ES"/>
        </w:rPr>
        <w:t xml:space="preserve"> </w:t>
      </w:r>
      <w:r w:rsidR="0031158B" w:rsidRPr="00FE50A6">
        <w:rPr>
          <w:rFonts w:eastAsia="Batang" w:cs="Times"/>
          <w:noProof/>
          <w:szCs w:val="24"/>
          <w:lang w:val="en-US" w:eastAsia="es-ES"/>
        </w:rPr>
        <w:t>189</w:t>
      </w:r>
      <w:r w:rsidR="004019FE" w:rsidRPr="00FE50A6">
        <w:rPr>
          <w:rFonts w:eastAsia="Batang" w:cs="Times"/>
          <w:noProof/>
          <w:szCs w:val="24"/>
          <w:lang w:val="en-US" w:eastAsia="es-ES"/>
        </w:rPr>
        <w:t>),</w:t>
      </w:r>
      <w:r w:rsidR="00834C2B" w:rsidRPr="00FE50A6">
        <w:rPr>
          <w:rFonts w:eastAsia="Batang" w:cs="Times"/>
          <w:noProof/>
          <w:szCs w:val="24"/>
          <w:lang w:val="en-US" w:eastAsia="es-ES"/>
        </w:rPr>
        <w:t xml:space="preserve"> </w:t>
      </w:r>
      <w:r w:rsidRPr="00FE50A6">
        <w:rPr>
          <w:rFonts w:eastAsia="Batang" w:cs="Times"/>
          <w:noProof/>
          <w:szCs w:val="24"/>
          <w:lang w:val="en-US" w:eastAsia="es-ES"/>
        </w:rPr>
        <w:t xml:space="preserve">that examination of the evidence and the facts relating to verification of the working relationship </w:t>
      </w:r>
      <w:r w:rsidR="0016679A" w:rsidRPr="00FE50A6">
        <w:rPr>
          <w:rFonts w:eastAsia="Batang" w:cs="Times"/>
          <w:noProof/>
          <w:szCs w:val="24"/>
          <w:lang w:val="en-US" w:eastAsia="es-ES"/>
        </w:rPr>
        <w:t>between</w:t>
      </w:r>
      <w:r w:rsidR="00703850" w:rsidRPr="00FE50A6">
        <w:rPr>
          <w:rFonts w:eastAsia="Batang" w:cs="Times"/>
          <w:noProof/>
          <w:szCs w:val="24"/>
          <w:lang w:val="en-US" w:eastAsia="es-ES"/>
        </w:rPr>
        <w:t xml:space="preserve"> the </w:t>
      </w:r>
      <w:r w:rsidR="0017587B" w:rsidRPr="00FE50A6">
        <w:rPr>
          <w:rFonts w:eastAsia="Batang" w:cs="Times"/>
          <w:noProof/>
          <w:szCs w:val="24"/>
          <w:lang w:val="en-US" w:eastAsia="es-ES"/>
        </w:rPr>
        <w:t>presumed victims</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the said </w:t>
      </w:r>
      <w:r w:rsidR="00834C2B" w:rsidRPr="00FE50A6">
        <w:rPr>
          <w:rFonts w:eastAsia="Batang" w:cs="Times"/>
          <w:noProof/>
          <w:szCs w:val="24"/>
          <w:lang w:val="en-US" w:eastAsia="es-ES"/>
        </w:rPr>
        <w:t>hacienda correspond</w:t>
      </w:r>
      <w:r w:rsidR="0016679A" w:rsidRPr="00FE50A6">
        <w:rPr>
          <w:rFonts w:eastAsia="Batang" w:cs="Times"/>
          <w:noProof/>
          <w:szCs w:val="24"/>
          <w:lang w:val="en-US" w:eastAsia="es-ES"/>
        </w:rPr>
        <w:t>s</w:t>
      </w:r>
      <w:r w:rsidRPr="00FE50A6">
        <w:rPr>
          <w:rFonts w:eastAsia="Batang" w:cs="Times"/>
          <w:noProof/>
          <w:szCs w:val="24"/>
          <w:lang w:val="en-US" w:eastAsia="es-ES"/>
        </w:rPr>
        <w:t xml:space="preserve"> to an analysis of the merits of this case</w:t>
      </w:r>
      <w:r w:rsidR="0016679A" w:rsidRPr="00FE50A6">
        <w:rPr>
          <w:rFonts w:eastAsia="Batang" w:cs="Times"/>
          <w:noProof/>
          <w:szCs w:val="24"/>
          <w:lang w:val="en-US" w:eastAsia="es-ES"/>
        </w:rPr>
        <w:t>. T</w:t>
      </w:r>
      <w:r w:rsidRPr="00FE50A6">
        <w:rPr>
          <w:rFonts w:eastAsia="Batang" w:cs="Times"/>
          <w:noProof/>
          <w:szCs w:val="24"/>
          <w:lang w:val="en-US" w:eastAsia="es-ES"/>
        </w:rPr>
        <w:t>herefore</w:t>
      </w:r>
      <w:r w:rsidR="0016679A" w:rsidRPr="00FE50A6">
        <w:rPr>
          <w:rFonts w:eastAsia="Batang" w:cs="Times"/>
          <w:noProof/>
          <w:szCs w:val="24"/>
          <w:lang w:val="en-US" w:eastAsia="es-ES"/>
        </w:rPr>
        <w:t>, the Court</w:t>
      </w:r>
      <w:r w:rsidRPr="00FE50A6">
        <w:rPr>
          <w:rFonts w:eastAsia="Batang" w:cs="Times"/>
          <w:noProof/>
          <w:szCs w:val="24"/>
          <w:lang w:val="en-US" w:eastAsia="es-ES"/>
        </w:rPr>
        <w:t xml:space="preserve"> rejects</w:t>
      </w:r>
      <w:r w:rsidR="00834C2B" w:rsidRPr="00FE50A6">
        <w:rPr>
          <w:rFonts w:eastAsia="Batang" w:cs="Times"/>
          <w:noProof/>
          <w:szCs w:val="24"/>
          <w:lang w:val="en-US" w:eastAsia="es-ES"/>
        </w:rPr>
        <w:t xml:space="preserve"> </w:t>
      </w:r>
      <w:r w:rsidRPr="00FE50A6">
        <w:rPr>
          <w:rFonts w:eastAsia="Batang" w:cs="Times"/>
          <w:noProof/>
          <w:szCs w:val="24"/>
          <w:lang w:val="en-US" w:eastAsia="es-ES"/>
        </w:rPr>
        <w:t>the</w:t>
      </w:r>
      <w:r w:rsidR="00834C2B"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w:t>
      </w:r>
      <w:r w:rsidR="00834C2B" w:rsidRPr="00FE50A6">
        <w:rPr>
          <w:rFonts w:eastAsia="Batang" w:cs="Times"/>
          <w:noProof/>
          <w:szCs w:val="24"/>
          <w:lang w:val="en-US" w:eastAsia="es-ES"/>
        </w:rPr>
        <w:t xml:space="preserve"> </w:t>
      </w:r>
      <w:r w:rsidR="0016679A" w:rsidRPr="00FE50A6">
        <w:rPr>
          <w:rFonts w:eastAsia="Batang" w:cs="Times"/>
          <w:noProof/>
          <w:szCs w:val="24"/>
          <w:lang w:val="en-US" w:eastAsia="es-ES"/>
        </w:rPr>
        <w:t>concerning</w:t>
      </w:r>
      <w:r w:rsidRPr="00FE50A6">
        <w:rPr>
          <w:rFonts w:eastAsia="Batang" w:cs="Times"/>
          <w:noProof/>
          <w:szCs w:val="24"/>
          <w:lang w:val="en-US" w:eastAsia="es-ES"/>
        </w:rPr>
        <w:t xml:space="preserve"> the supposed absence of a connection </w:t>
      </w:r>
      <w:r w:rsidR="0016679A" w:rsidRPr="00FE50A6">
        <w:rPr>
          <w:rFonts w:eastAsia="Batang" w:cs="Times"/>
          <w:noProof/>
          <w:szCs w:val="24"/>
          <w:lang w:val="en-US" w:eastAsia="es-ES"/>
        </w:rPr>
        <w:t>to</w:t>
      </w:r>
      <w:r w:rsidRPr="00FE50A6">
        <w:rPr>
          <w:rFonts w:eastAsia="Batang" w:cs="Times"/>
          <w:noProof/>
          <w:szCs w:val="24"/>
          <w:lang w:val="en-US" w:eastAsia="es-ES"/>
        </w:rPr>
        <w:t xml:space="preserve"> the facts of the case of some </w:t>
      </w:r>
      <w:r w:rsidR="008A7089" w:rsidRPr="00FE50A6">
        <w:rPr>
          <w:rFonts w:eastAsia="Batang" w:cs="Times"/>
          <w:noProof/>
          <w:szCs w:val="24"/>
          <w:lang w:val="en-US" w:eastAsia="es-ES"/>
        </w:rPr>
        <w:t>presumed victims</w:t>
      </w:r>
      <w:r w:rsidR="00834C2B" w:rsidRPr="00FE50A6">
        <w:rPr>
          <w:rFonts w:eastAsia="Batang" w:cs="Times"/>
          <w:noProof/>
          <w:szCs w:val="24"/>
          <w:lang w:val="en-US" w:eastAsia="es-ES"/>
        </w:rPr>
        <w:t>.</w:t>
      </w:r>
    </w:p>
    <w:p w14:paraId="5CAEFE70"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063F9C3" w14:textId="77777777" w:rsidR="000A52D5" w:rsidRPr="00FE50A6" w:rsidRDefault="008A7089" w:rsidP="008B0BCC">
      <w:pPr>
        <w:pStyle w:val="Ttulo2"/>
        <w:numPr>
          <w:ilvl w:val="0"/>
          <w:numId w:val="15"/>
        </w:numPr>
      </w:pPr>
      <w:bookmarkStart w:id="76" w:name="_Toc464813896"/>
      <w:r w:rsidRPr="00FE50A6">
        <w:t xml:space="preserve">Alleged lack </w:t>
      </w:r>
      <w:r w:rsidR="00822837" w:rsidRPr="00FE50A6">
        <w:t>of jurisdiction</w:t>
      </w:r>
      <w:r w:rsidR="000A52D5" w:rsidRPr="00FE50A6">
        <w:t xml:space="preserve"> </w:t>
      </w:r>
      <w:r w:rsidR="000A52D5" w:rsidRPr="00FE50A6">
        <w:rPr>
          <w:i w:val="0"/>
        </w:rPr>
        <w:t>ratione personae</w:t>
      </w:r>
      <w:r w:rsidR="000A52D5" w:rsidRPr="00FE50A6">
        <w:t xml:space="preserve"> </w:t>
      </w:r>
      <w:r w:rsidR="00822837" w:rsidRPr="00FE50A6">
        <w:t>for violations in abstract terms</w:t>
      </w:r>
      <w:bookmarkEnd w:id="76"/>
    </w:p>
    <w:p w14:paraId="567176F8"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9EDECB9" w14:textId="77777777" w:rsidR="000A52D5" w:rsidRPr="00FE50A6" w:rsidRDefault="000A52D5" w:rsidP="000A20C1">
      <w:pPr>
        <w:pStyle w:val="Ttulo3"/>
        <w:rPr>
          <w:noProof/>
          <w:lang w:val="en-US" w:eastAsia="es-ES"/>
        </w:rPr>
      </w:pPr>
      <w:bookmarkStart w:id="77" w:name="_Toc460432970"/>
      <w:bookmarkStart w:id="78" w:name="_Toc460441901"/>
      <w:bookmarkStart w:id="79" w:name="_Toc462750721"/>
      <w:bookmarkStart w:id="80" w:name="_Toc462751045"/>
      <w:bookmarkStart w:id="81" w:name="_Toc464813897"/>
      <w:r w:rsidRPr="00FE50A6">
        <w:rPr>
          <w:noProof/>
          <w:lang w:val="en-US" w:eastAsia="es-ES"/>
        </w:rPr>
        <w:t xml:space="preserve">C.1.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77"/>
      <w:bookmarkEnd w:id="78"/>
      <w:bookmarkEnd w:id="79"/>
      <w:bookmarkEnd w:id="80"/>
      <w:bookmarkEnd w:id="81"/>
      <w:r w:rsidRPr="00FE50A6">
        <w:rPr>
          <w:noProof/>
          <w:lang w:val="en-US" w:eastAsia="es-ES"/>
        </w:rPr>
        <w:t xml:space="preserve">  </w:t>
      </w:r>
    </w:p>
    <w:p w14:paraId="179F4CE0"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554F4C8" w14:textId="77777777" w:rsidR="000A52D5" w:rsidRPr="00FE50A6" w:rsidRDefault="000228D0" w:rsidP="0032018A">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indic</w:t>
      </w:r>
      <w:r w:rsidR="0032018A" w:rsidRPr="00FE50A6">
        <w:rPr>
          <w:rFonts w:eastAsia="Batang" w:cs="Times"/>
          <w:noProof/>
          <w:szCs w:val="24"/>
          <w:lang w:val="en-US" w:eastAsia="es-ES"/>
        </w:rPr>
        <w:t xml:space="preserve">ated that, in a contentious case, </w:t>
      </w:r>
      <w:r w:rsidR="0016679A" w:rsidRPr="00FE50A6">
        <w:rPr>
          <w:rFonts w:eastAsia="Batang" w:cs="Times"/>
          <w:noProof/>
          <w:szCs w:val="24"/>
          <w:lang w:val="en-US" w:eastAsia="es-ES"/>
        </w:rPr>
        <w:t xml:space="preserve">it was essential that </w:t>
      </w:r>
      <w:r w:rsidR="0032018A" w:rsidRPr="00FE50A6">
        <w:rPr>
          <w:rFonts w:eastAsia="Batang" w:cs="Times"/>
          <w:noProof/>
          <w:szCs w:val="24"/>
          <w:lang w:val="en-US" w:eastAsia="es-ES"/>
        </w:rPr>
        <w:t>any</w:t>
      </w:r>
      <w:r w:rsidR="0016679A" w:rsidRPr="00FE50A6">
        <w:rPr>
          <w:rFonts w:eastAsia="Batang" w:cs="Times"/>
          <w:noProof/>
          <w:szCs w:val="24"/>
          <w:lang w:val="en-US" w:eastAsia="es-ES"/>
        </w:rPr>
        <w:t xml:space="preserve"> </w:t>
      </w:r>
      <w:r w:rsidR="0032018A" w:rsidRPr="00FE50A6">
        <w:rPr>
          <w:rFonts w:eastAsia="Batang" w:cs="Times"/>
          <w:noProof/>
          <w:szCs w:val="24"/>
          <w:lang w:val="en-US" w:eastAsia="es-ES"/>
        </w:rPr>
        <w:t>legislat</w:t>
      </w:r>
      <w:r w:rsidR="00EF0A9F" w:rsidRPr="00FE50A6">
        <w:rPr>
          <w:rFonts w:eastAsia="Batang" w:cs="Times"/>
          <w:noProof/>
          <w:szCs w:val="24"/>
          <w:lang w:val="en-US" w:eastAsia="es-ES"/>
        </w:rPr>
        <w:t>ive measure that was contested</w:t>
      </w:r>
      <w:r w:rsidR="0032018A" w:rsidRPr="00FE50A6">
        <w:rPr>
          <w:rFonts w:eastAsia="Batang" w:cs="Times"/>
          <w:noProof/>
          <w:szCs w:val="24"/>
          <w:lang w:val="en-US" w:eastAsia="es-ES"/>
        </w:rPr>
        <w:t xml:space="preserve"> in</w:t>
      </w:r>
      <w:r w:rsidR="00EF0A9F" w:rsidRPr="00FE50A6">
        <w:rPr>
          <w:rFonts w:eastAsia="Batang" w:cs="Times"/>
          <w:noProof/>
          <w:szCs w:val="24"/>
          <w:lang w:val="en-US" w:eastAsia="es-ES"/>
        </w:rPr>
        <w:t>fringed</w:t>
      </w:r>
      <w:r w:rsidR="0032018A" w:rsidRPr="00FE50A6">
        <w:rPr>
          <w:rFonts w:eastAsia="Batang" w:cs="Times"/>
          <w:noProof/>
          <w:szCs w:val="24"/>
          <w:lang w:val="en-US" w:eastAsia="es-ES"/>
        </w:rPr>
        <w:t xml:space="preserve"> the liberties of at least one specific individual because, to the contrary,</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did not have </w:t>
      </w:r>
      <w:r w:rsidR="0016679A" w:rsidRPr="00FE50A6">
        <w:rPr>
          <w:rFonts w:eastAsia="Batang" w:cs="Times"/>
          <w:noProof/>
          <w:szCs w:val="24"/>
          <w:lang w:val="en-US" w:eastAsia="es-ES"/>
        </w:rPr>
        <w:t>competence</w:t>
      </w:r>
      <w:r w:rsidR="0032018A" w:rsidRPr="00FE50A6">
        <w:rPr>
          <w:rFonts w:eastAsia="Batang" w:cs="Times"/>
          <w:noProof/>
          <w:szCs w:val="24"/>
          <w:lang w:val="en-US" w:eastAsia="es-ES"/>
        </w:rPr>
        <w:t xml:space="preserve"> to assess the compatibility of that </w:t>
      </w:r>
      <w:r w:rsidR="00EF0A9F" w:rsidRPr="00FE50A6">
        <w:rPr>
          <w:rFonts w:eastAsia="Batang" w:cs="Times"/>
          <w:noProof/>
          <w:szCs w:val="24"/>
          <w:lang w:val="en-US" w:eastAsia="es-ES"/>
        </w:rPr>
        <w:t>measure</w:t>
      </w:r>
      <w:r w:rsidR="0032018A" w:rsidRPr="00FE50A6">
        <w:rPr>
          <w:rFonts w:eastAsia="Batang" w:cs="Times"/>
          <w:noProof/>
          <w:szCs w:val="24"/>
          <w:lang w:val="en-US" w:eastAsia="es-ES"/>
        </w:rPr>
        <w:t xml:space="preserve"> with </w:t>
      </w:r>
      <w:r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In this case, it indicated that the Court did not have </w:t>
      </w:r>
      <w:r w:rsidR="0016679A" w:rsidRPr="00FE50A6">
        <w:rPr>
          <w:rFonts w:eastAsia="Batang" w:cs="Times"/>
          <w:noProof/>
          <w:szCs w:val="24"/>
          <w:lang w:val="en-US" w:eastAsia="es-ES"/>
        </w:rPr>
        <w:t>competence</w:t>
      </w:r>
      <w:r w:rsidR="0032018A" w:rsidRPr="00FE50A6">
        <w:rPr>
          <w:rFonts w:eastAsia="Batang" w:cs="Times"/>
          <w:noProof/>
          <w:szCs w:val="24"/>
          <w:lang w:val="en-US" w:eastAsia="es-ES"/>
        </w:rPr>
        <w:t xml:space="preserve"> to examine the representatives’ request </w:t>
      </w:r>
      <w:r w:rsidR="0016679A" w:rsidRPr="00FE50A6">
        <w:rPr>
          <w:rFonts w:eastAsia="Batang" w:cs="Times"/>
          <w:noProof/>
          <w:szCs w:val="24"/>
          <w:lang w:val="en-US" w:eastAsia="es-ES"/>
        </w:rPr>
        <w:t>concerning</w:t>
      </w:r>
      <w:r w:rsidR="0032018A" w:rsidRPr="00FE50A6">
        <w:rPr>
          <w:rFonts w:eastAsia="Batang" w:cs="Times"/>
          <w:noProof/>
          <w:szCs w:val="24"/>
          <w:lang w:val="en-US" w:eastAsia="es-ES"/>
        </w:rPr>
        <w:t xml:space="preserve"> the adoption of legislative measures to avoid re</w:t>
      </w:r>
      <w:r w:rsidR="00EF0A9F" w:rsidRPr="00FE50A6">
        <w:rPr>
          <w:rFonts w:eastAsia="Batang" w:cs="Times"/>
          <w:noProof/>
          <w:szCs w:val="24"/>
          <w:lang w:val="en-US" w:eastAsia="es-ES"/>
        </w:rPr>
        <w:t>tro</w:t>
      </w:r>
      <w:r w:rsidR="0032018A" w:rsidRPr="00FE50A6">
        <w:rPr>
          <w:rFonts w:eastAsia="Batang" w:cs="Times"/>
          <w:noProof/>
          <w:szCs w:val="24"/>
          <w:lang w:val="en-US" w:eastAsia="es-ES"/>
        </w:rPr>
        <w:t xml:space="preserve">gression in </w:t>
      </w:r>
      <w:r w:rsidR="00EF0A9F" w:rsidRPr="00FE50A6">
        <w:rPr>
          <w:rFonts w:eastAsia="Batang" w:cs="Times"/>
          <w:noProof/>
          <w:szCs w:val="24"/>
          <w:lang w:val="en-US" w:eastAsia="es-ES"/>
        </w:rPr>
        <w:t xml:space="preserve">the </w:t>
      </w:r>
      <w:r w:rsidR="0032018A" w:rsidRPr="00FE50A6">
        <w:rPr>
          <w:rFonts w:eastAsia="Batang" w:cs="Times"/>
          <w:noProof/>
          <w:szCs w:val="24"/>
          <w:lang w:val="en-US" w:eastAsia="es-ES"/>
        </w:rPr>
        <w:t>combat</w:t>
      </w:r>
      <w:r w:rsidR="00EF0A9F" w:rsidRPr="00FE50A6">
        <w:rPr>
          <w:rFonts w:eastAsia="Batang" w:cs="Times"/>
          <w:noProof/>
          <w:szCs w:val="24"/>
          <w:lang w:val="en-US" w:eastAsia="es-ES"/>
        </w:rPr>
        <w:t xml:space="preserve"> against</w:t>
      </w:r>
      <w:r w:rsidR="0032018A" w:rsidRPr="00FE50A6">
        <w:rPr>
          <w:rFonts w:eastAsia="Batang" w:cs="Times"/>
          <w:noProof/>
          <w:szCs w:val="24"/>
          <w:lang w:val="en-US" w:eastAsia="es-ES"/>
        </w:rPr>
        <w:t xml:space="preserve"> </w:t>
      </w:r>
      <w:r w:rsidR="005F1946" w:rsidRPr="00FE50A6">
        <w:rPr>
          <w:rFonts w:eastAsia="Batang" w:cs="Times"/>
          <w:noProof/>
          <w:szCs w:val="24"/>
          <w:lang w:val="en-US" w:eastAsia="es-ES"/>
        </w:rPr>
        <w:t>slave labor</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i</w:t>
      </w:r>
      <w:r w:rsidR="000A52D5" w:rsidRPr="00FE50A6">
        <w:rPr>
          <w:rFonts w:eastAsia="Batang" w:cs="Times"/>
          <w:noProof/>
          <w:szCs w:val="24"/>
          <w:lang w:val="en-US" w:eastAsia="es-ES"/>
        </w:rPr>
        <w:t xml:space="preserve">n </w:t>
      </w:r>
      <w:r w:rsidRPr="00FE50A6">
        <w:rPr>
          <w:rFonts w:eastAsia="Batang" w:cs="Times"/>
          <w:noProof/>
          <w:szCs w:val="24"/>
          <w:lang w:val="en-US" w:eastAsia="es-ES"/>
        </w:rPr>
        <w:t>Brazil</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This was because the said request was conditional on the existence of draft laws seeking to amend a</w:t>
      </w:r>
      <w:r w:rsidRPr="00FE50A6">
        <w:rPr>
          <w:rFonts w:eastAsia="Batang" w:cs="Times"/>
          <w:noProof/>
          <w:szCs w:val="24"/>
          <w:lang w:val="en-US" w:eastAsia="es-ES"/>
        </w:rPr>
        <w:t>rticle</w:t>
      </w:r>
      <w:r w:rsidR="000A52D5" w:rsidRPr="00FE50A6">
        <w:rPr>
          <w:rFonts w:eastAsia="Batang" w:cs="Times"/>
          <w:noProof/>
          <w:szCs w:val="24"/>
          <w:lang w:val="en-US" w:eastAsia="es-ES"/>
        </w:rPr>
        <w:t xml:space="preserve"> 149 </w:t>
      </w:r>
      <w:r w:rsidR="0032018A" w:rsidRPr="00FE50A6">
        <w:rPr>
          <w:rFonts w:eastAsia="Batang" w:cs="Times"/>
          <w:noProof/>
          <w:szCs w:val="24"/>
          <w:lang w:val="en-US" w:eastAsia="es-ES"/>
        </w:rPr>
        <w:t>of the Penal Code</w:t>
      </w:r>
      <w:r w:rsidR="000A52D5"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32018A" w:rsidRPr="00FE50A6">
        <w:rPr>
          <w:rFonts w:eastAsia="Batang" w:cs="Times"/>
          <w:noProof/>
          <w:szCs w:val="24"/>
          <w:lang w:val="en-US" w:eastAsia="es-ES"/>
        </w:rPr>
        <w:t xml:space="preserve">that such draft laws had not been enacted. </w:t>
      </w:r>
    </w:p>
    <w:p w14:paraId="373F7A78" w14:textId="77777777" w:rsidR="0032018A" w:rsidRPr="00FE50A6" w:rsidRDefault="0032018A" w:rsidP="0032018A">
      <w:pPr>
        <w:tabs>
          <w:tab w:val="clear" w:pos="4419"/>
          <w:tab w:val="clear" w:pos="8838"/>
        </w:tabs>
        <w:jc w:val="both"/>
        <w:rPr>
          <w:rFonts w:eastAsia="Batang" w:cs="Times"/>
          <w:noProof/>
          <w:szCs w:val="24"/>
          <w:lang w:val="en-US" w:eastAsia="es-ES"/>
        </w:rPr>
      </w:pPr>
    </w:p>
    <w:p w14:paraId="194A10F5" w14:textId="77777777" w:rsidR="000A52D5" w:rsidRPr="00FE50A6" w:rsidRDefault="000228D0" w:rsidP="0032018A">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observ</w:t>
      </w:r>
      <w:r w:rsidR="0032018A" w:rsidRPr="00FE50A6">
        <w:rPr>
          <w:rFonts w:eastAsia="Batang" w:cs="Times"/>
          <w:noProof/>
          <w:szCs w:val="24"/>
          <w:lang w:val="en-US" w:eastAsia="es-ES"/>
        </w:rPr>
        <w:t>ed that</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had advised the Court </w:t>
      </w:r>
      <w:r w:rsidR="0016679A" w:rsidRPr="00FE50A6">
        <w:rPr>
          <w:rFonts w:eastAsia="Batang" w:cs="Times"/>
          <w:noProof/>
          <w:szCs w:val="24"/>
          <w:lang w:val="en-US" w:eastAsia="es-ES"/>
        </w:rPr>
        <w:t>of</w:t>
      </w:r>
      <w:r w:rsidR="0032018A" w:rsidRPr="00FE50A6">
        <w:rPr>
          <w:rFonts w:eastAsia="Batang" w:cs="Times"/>
          <w:noProof/>
          <w:szCs w:val="24"/>
          <w:lang w:val="en-US" w:eastAsia="es-ES"/>
        </w:rPr>
        <w:t xml:space="preserve"> the legislative measures that were being adopted at that time, not with regard to the specific victims in this case, but rather to provide </w:t>
      </w:r>
      <w:r w:rsidR="0016679A" w:rsidRPr="00FE50A6">
        <w:rPr>
          <w:rFonts w:eastAsia="Batang" w:cs="Times"/>
          <w:noProof/>
          <w:szCs w:val="24"/>
          <w:lang w:val="en-US" w:eastAsia="es-ES"/>
        </w:rPr>
        <w:t xml:space="preserve">a </w:t>
      </w:r>
      <w:r w:rsidR="0032018A" w:rsidRPr="00FE50A6">
        <w:rPr>
          <w:rFonts w:eastAsia="Batang" w:cs="Times"/>
          <w:noProof/>
          <w:szCs w:val="24"/>
          <w:lang w:val="en-US" w:eastAsia="es-ES"/>
        </w:rPr>
        <w:t xml:space="preserve">context that demonstrated the relevance of the matter and to provide the Court with essential elements so that any measures of non-repetition that might be ordered </w:t>
      </w:r>
      <w:r w:rsidR="0016679A" w:rsidRPr="00FE50A6">
        <w:rPr>
          <w:rFonts w:eastAsia="Batang" w:cs="Times"/>
          <w:noProof/>
          <w:szCs w:val="24"/>
          <w:lang w:val="en-US" w:eastAsia="es-ES"/>
        </w:rPr>
        <w:t>accorded</w:t>
      </w:r>
      <w:r w:rsidR="0032018A" w:rsidRPr="00FE50A6">
        <w:rPr>
          <w:rFonts w:eastAsia="Batang" w:cs="Times"/>
          <w:noProof/>
          <w:szCs w:val="24"/>
          <w:lang w:val="en-US" w:eastAsia="es-ES"/>
        </w:rPr>
        <w:t xml:space="preserve"> with such measures and </w:t>
      </w:r>
      <w:r w:rsidR="0016679A" w:rsidRPr="00FE50A6">
        <w:rPr>
          <w:rFonts w:eastAsia="Batang" w:cs="Times"/>
          <w:noProof/>
          <w:szCs w:val="24"/>
          <w:lang w:val="en-US" w:eastAsia="es-ES"/>
        </w:rPr>
        <w:t xml:space="preserve">were </w:t>
      </w:r>
      <w:r w:rsidR="0032018A" w:rsidRPr="00FE50A6">
        <w:rPr>
          <w:rFonts w:eastAsia="Batang" w:cs="Times"/>
          <w:noProof/>
          <w:szCs w:val="24"/>
          <w:lang w:val="en-US" w:eastAsia="es-ES"/>
        </w:rPr>
        <w:t xml:space="preserve">pertinent for the existing situation </w:t>
      </w:r>
      <w:r w:rsidR="00C00809" w:rsidRPr="00FE50A6">
        <w:rPr>
          <w:rFonts w:eastAsia="Batang" w:cs="Times"/>
          <w:noProof/>
          <w:szCs w:val="24"/>
          <w:lang w:val="en-US" w:eastAsia="es-ES"/>
        </w:rPr>
        <w:t>of</w:t>
      </w:r>
      <w:r w:rsidR="0032018A" w:rsidRPr="00FE50A6">
        <w:rPr>
          <w:rFonts w:eastAsia="Batang" w:cs="Times"/>
          <w:noProof/>
          <w:szCs w:val="24"/>
          <w:lang w:val="en-US" w:eastAsia="es-ES"/>
        </w:rPr>
        <w:t xml:space="preserve"> </w:t>
      </w:r>
      <w:r w:rsidR="005F1946" w:rsidRPr="00FE50A6">
        <w:rPr>
          <w:rFonts w:eastAsia="Batang" w:cs="Times"/>
          <w:noProof/>
          <w:szCs w:val="24"/>
          <w:lang w:val="en-US" w:eastAsia="es-ES"/>
        </w:rPr>
        <w:t>slave labor</w:t>
      </w:r>
      <w:r w:rsidR="000A52D5" w:rsidRPr="00FE50A6">
        <w:rPr>
          <w:rFonts w:eastAsia="Batang" w:cs="Times"/>
          <w:noProof/>
          <w:szCs w:val="24"/>
          <w:lang w:val="en-US" w:eastAsia="es-ES"/>
        </w:rPr>
        <w:t>, inclu</w:t>
      </w:r>
      <w:r w:rsidR="0032018A" w:rsidRPr="00FE50A6">
        <w:rPr>
          <w:rFonts w:eastAsia="Batang" w:cs="Times"/>
          <w:noProof/>
          <w:szCs w:val="24"/>
          <w:lang w:val="en-US" w:eastAsia="es-ES"/>
        </w:rPr>
        <w:t>ding the legislative framework.</w:t>
      </w:r>
    </w:p>
    <w:p w14:paraId="497945CB"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C775ED4"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stated that they had requested </w:t>
      </w:r>
      <w:r w:rsidR="009C48A4" w:rsidRPr="00FE50A6">
        <w:rPr>
          <w:rFonts w:eastAsia="Batang" w:cs="Times"/>
          <w:noProof/>
          <w:szCs w:val="24"/>
          <w:lang w:val="en-US" w:eastAsia="es-ES"/>
        </w:rPr>
        <w:t>“</w:t>
      </w:r>
      <w:r w:rsidR="0032018A" w:rsidRPr="00FE50A6">
        <w:rPr>
          <w:rFonts w:eastAsia="Batang" w:cs="Times"/>
          <w:noProof/>
          <w:szCs w:val="24"/>
          <w:lang w:val="en-US" w:eastAsia="es-ES"/>
        </w:rPr>
        <w:t>as a measure of reparation,</w:t>
      </w:r>
      <w:r w:rsidR="009C48A4" w:rsidRPr="00FE50A6">
        <w:rPr>
          <w:rFonts w:eastAsia="Batang" w:cs="Times"/>
          <w:noProof/>
          <w:szCs w:val="24"/>
          <w:lang w:val="en-US" w:eastAsia="es-ES"/>
        </w:rPr>
        <w:t>”</w:t>
      </w:r>
      <w:r w:rsidR="0032018A" w:rsidRPr="00FE50A6">
        <w:rPr>
          <w:rFonts w:eastAsia="Batang" w:cs="Times"/>
          <w:noProof/>
          <w:szCs w:val="24"/>
          <w:lang w:val="en-US" w:eastAsia="es-ES"/>
        </w:rPr>
        <w:t xml:space="preserve"> that the Court indicate to the </w:t>
      </w:r>
      <w:r w:rsidR="00030C17" w:rsidRPr="00FE50A6">
        <w:rPr>
          <w:rFonts w:eastAsia="Batang" w:cs="Times"/>
          <w:noProof/>
          <w:szCs w:val="24"/>
          <w:lang w:val="en-US" w:eastAsia="es-ES"/>
        </w:rPr>
        <w:t>State</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that it should abstain from adopting legislative measures that represented a re</w:t>
      </w:r>
      <w:r w:rsidR="00EF0A9F" w:rsidRPr="00FE50A6">
        <w:rPr>
          <w:rFonts w:eastAsia="Batang" w:cs="Times"/>
          <w:noProof/>
          <w:szCs w:val="24"/>
          <w:lang w:val="en-US" w:eastAsia="es-ES"/>
        </w:rPr>
        <w:t>tro</w:t>
      </w:r>
      <w:r w:rsidR="0032018A" w:rsidRPr="00FE50A6">
        <w:rPr>
          <w:rFonts w:eastAsia="Batang" w:cs="Times"/>
          <w:noProof/>
          <w:szCs w:val="24"/>
          <w:lang w:val="en-US" w:eastAsia="es-ES"/>
        </w:rPr>
        <w:t xml:space="preserve">gression in the combat against </w:t>
      </w:r>
      <w:r w:rsidR="005F1946" w:rsidRPr="00FE50A6">
        <w:rPr>
          <w:rFonts w:eastAsia="Batang" w:cs="Times"/>
          <w:noProof/>
          <w:szCs w:val="24"/>
          <w:lang w:val="en-US" w:eastAsia="es-ES"/>
        </w:rPr>
        <w:t>slave labor</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i</w:t>
      </w:r>
      <w:r w:rsidR="000A52D5" w:rsidRPr="00FE50A6">
        <w:rPr>
          <w:rFonts w:eastAsia="Batang" w:cs="Times"/>
          <w:noProof/>
          <w:szCs w:val="24"/>
          <w:lang w:val="en-US" w:eastAsia="es-ES"/>
        </w:rPr>
        <w:t xml:space="preserve">n </w:t>
      </w:r>
      <w:r w:rsidR="000228D0" w:rsidRPr="00FE50A6">
        <w:rPr>
          <w:rFonts w:eastAsia="Batang" w:cs="Times"/>
          <w:noProof/>
          <w:szCs w:val="24"/>
          <w:lang w:val="en-US" w:eastAsia="es-ES"/>
        </w:rPr>
        <w:t>Brazil</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due to the existence of draft legislation that sought to limit the scope </w:t>
      </w:r>
      <w:r w:rsidR="00703850" w:rsidRPr="00FE50A6">
        <w:rPr>
          <w:rFonts w:eastAsia="Batang" w:cs="Times"/>
          <w:noProof/>
          <w:szCs w:val="24"/>
          <w:lang w:val="en-US" w:eastAsia="es-ES"/>
        </w:rPr>
        <w:t xml:space="preserve">of </w:t>
      </w:r>
      <w:r w:rsidR="0032018A" w:rsidRPr="00FE50A6">
        <w:rPr>
          <w:rFonts w:eastAsia="Batang" w:cs="Times"/>
          <w:noProof/>
          <w:szCs w:val="24"/>
          <w:lang w:val="en-US" w:eastAsia="es-ES"/>
        </w:rPr>
        <w:t>a</w:t>
      </w:r>
      <w:r w:rsidR="00703850" w:rsidRPr="00FE50A6">
        <w:rPr>
          <w:rFonts w:eastAsia="Batang" w:cs="Times"/>
          <w:noProof/>
          <w:szCs w:val="24"/>
          <w:lang w:val="en-US" w:eastAsia="es-ES"/>
        </w:rPr>
        <w:t>rticle</w:t>
      </w:r>
      <w:r w:rsidR="000A52D5" w:rsidRPr="00FE50A6">
        <w:rPr>
          <w:rFonts w:eastAsia="Batang" w:cs="Times"/>
          <w:noProof/>
          <w:szCs w:val="24"/>
          <w:lang w:val="en-US" w:eastAsia="es-ES"/>
        </w:rPr>
        <w:t xml:space="preserve"> 149 </w:t>
      </w:r>
      <w:r w:rsidR="0032018A" w:rsidRPr="00FE50A6">
        <w:rPr>
          <w:rFonts w:eastAsia="Batang" w:cs="Times"/>
          <w:noProof/>
          <w:szCs w:val="24"/>
          <w:lang w:val="en-US" w:eastAsia="es-ES"/>
        </w:rPr>
        <w:t>of the Penal Code</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 xml:space="preserve">in relation to practices similar to </w:t>
      </w:r>
      <w:r w:rsidR="00D11A9F" w:rsidRPr="00FE50A6">
        <w:rPr>
          <w:rFonts w:eastAsia="Batang" w:cs="Times"/>
          <w:noProof/>
          <w:szCs w:val="24"/>
          <w:lang w:val="en-US" w:eastAsia="es-ES"/>
        </w:rPr>
        <w:t>slavery</w:t>
      </w:r>
      <w:r w:rsidR="000A52D5" w:rsidRPr="00FE50A6">
        <w:rPr>
          <w:rFonts w:eastAsia="Batang" w:cs="Times"/>
          <w:noProof/>
          <w:szCs w:val="24"/>
          <w:lang w:val="en-US" w:eastAsia="es-ES"/>
        </w:rPr>
        <w:t>.</w:t>
      </w:r>
    </w:p>
    <w:p w14:paraId="1A7DBBF1"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49FC69E" w14:textId="77777777" w:rsidR="000A52D5" w:rsidRPr="00FE50A6" w:rsidRDefault="000A52D5" w:rsidP="000A20C1">
      <w:pPr>
        <w:pStyle w:val="Ttulo3"/>
        <w:rPr>
          <w:noProof/>
          <w:lang w:val="en-US" w:eastAsia="es-ES"/>
        </w:rPr>
      </w:pPr>
      <w:bookmarkStart w:id="82" w:name="_Toc460432971"/>
      <w:bookmarkStart w:id="83" w:name="_Toc460441902"/>
      <w:bookmarkStart w:id="84" w:name="_Toc462750722"/>
      <w:bookmarkStart w:id="85" w:name="_Toc462751046"/>
      <w:bookmarkStart w:id="86" w:name="_Toc464813898"/>
      <w:r w:rsidRPr="00FE50A6">
        <w:rPr>
          <w:noProof/>
          <w:lang w:val="en-US" w:eastAsia="es-ES"/>
        </w:rPr>
        <w:t xml:space="preserve">C.2. </w:t>
      </w:r>
      <w:r w:rsidR="000702CF" w:rsidRPr="00FE50A6">
        <w:rPr>
          <w:noProof/>
          <w:lang w:val="en-US" w:eastAsia="es-ES"/>
        </w:rPr>
        <w:t>Considerations</w:t>
      </w:r>
      <w:r w:rsidR="000228D0" w:rsidRPr="00FE50A6">
        <w:rPr>
          <w:noProof/>
          <w:lang w:val="en-US" w:eastAsia="es-ES"/>
        </w:rPr>
        <w:t xml:space="preserve"> of the Court</w:t>
      </w:r>
      <w:bookmarkEnd w:id="82"/>
      <w:bookmarkEnd w:id="83"/>
      <w:bookmarkEnd w:id="84"/>
      <w:bookmarkEnd w:id="85"/>
      <w:bookmarkEnd w:id="86"/>
    </w:p>
    <w:p w14:paraId="609392D5" w14:textId="77777777" w:rsidR="000A52D5" w:rsidRPr="00FE50A6" w:rsidRDefault="000A52D5" w:rsidP="00140440">
      <w:pPr>
        <w:tabs>
          <w:tab w:val="clear" w:pos="4419"/>
          <w:tab w:val="clear" w:pos="8838"/>
        </w:tabs>
        <w:jc w:val="both"/>
        <w:rPr>
          <w:rFonts w:eastAsia="Batang" w:cs="Times"/>
          <w:noProof/>
          <w:szCs w:val="24"/>
          <w:u w:val="single"/>
          <w:lang w:val="en-US" w:eastAsia="es-ES"/>
        </w:rPr>
      </w:pPr>
    </w:p>
    <w:p w14:paraId="1874E3C0"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notes that the State’s argument refer</w:t>
      </w:r>
      <w:r w:rsidR="00C00809" w:rsidRPr="00FE50A6">
        <w:rPr>
          <w:rFonts w:eastAsia="Batang" w:cs="Times"/>
          <w:noProof/>
          <w:szCs w:val="24"/>
          <w:lang w:val="en-US" w:eastAsia="es-ES"/>
        </w:rPr>
        <w:t>red</w:t>
      </w:r>
      <w:r w:rsidR="0032018A" w:rsidRPr="00FE50A6">
        <w:rPr>
          <w:rFonts w:eastAsia="Batang" w:cs="Times"/>
          <w:noProof/>
          <w:szCs w:val="24"/>
          <w:lang w:val="en-US" w:eastAsia="es-ES"/>
        </w:rPr>
        <w:t xml:space="preserve"> to a measure of reparation requested by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to the effect that the Court order the State to refrain from adopting legislative measures that could represent a re</w:t>
      </w:r>
      <w:r w:rsidR="00EF0A9F" w:rsidRPr="00FE50A6">
        <w:rPr>
          <w:rFonts w:eastAsia="Batang" w:cs="Times"/>
          <w:noProof/>
          <w:szCs w:val="24"/>
          <w:lang w:val="en-US" w:eastAsia="es-ES"/>
        </w:rPr>
        <w:t>tro</w:t>
      </w:r>
      <w:r w:rsidR="0032018A" w:rsidRPr="00FE50A6">
        <w:rPr>
          <w:rFonts w:eastAsia="Batang" w:cs="Times"/>
          <w:noProof/>
          <w:szCs w:val="24"/>
          <w:lang w:val="en-US" w:eastAsia="es-ES"/>
        </w:rPr>
        <w:t xml:space="preserve">gression in the combat against </w:t>
      </w:r>
      <w:r w:rsidR="005F1946" w:rsidRPr="00FE50A6">
        <w:rPr>
          <w:rFonts w:eastAsia="Batang" w:cs="Times"/>
          <w:noProof/>
          <w:szCs w:val="24"/>
          <w:lang w:val="en-US" w:eastAsia="es-ES"/>
        </w:rPr>
        <w:t>slave labor</w:t>
      </w:r>
      <w:r w:rsidR="000A52D5" w:rsidRPr="00FE50A6">
        <w:rPr>
          <w:rFonts w:eastAsia="Batang" w:cs="Times"/>
          <w:noProof/>
          <w:szCs w:val="24"/>
          <w:lang w:val="en-US" w:eastAsia="es-ES"/>
        </w:rPr>
        <w:t xml:space="preserve"> </w:t>
      </w:r>
      <w:r w:rsidR="0032018A" w:rsidRPr="00FE50A6">
        <w:rPr>
          <w:rFonts w:eastAsia="Batang" w:cs="Times"/>
          <w:noProof/>
          <w:szCs w:val="24"/>
          <w:lang w:val="en-US" w:eastAsia="es-ES"/>
        </w:rPr>
        <w:t>i</w:t>
      </w:r>
      <w:r w:rsidR="000A52D5" w:rsidRPr="00FE50A6">
        <w:rPr>
          <w:rFonts w:eastAsia="Batang" w:cs="Times"/>
          <w:noProof/>
          <w:szCs w:val="24"/>
          <w:lang w:val="en-US" w:eastAsia="es-ES"/>
        </w:rPr>
        <w:t xml:space="preserve">n </w:t>
      </w:r>
      <w:r w:rsidRPr="00FE50A6">
        <w:rPr>
          <w:rFonts w:eastAsia="Batang" w:cs="Times"/>
          <w:noProof/>
          <w:szCs w:val="24"/>
          <w:lang w:val="en-US" w:eastAsia="es-ES"/>
        </w:rPr>
        <w:t>Brazil</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rec</w:t>
      </w:r>
      <w:r w:rsidR="0032018A" w:rsidRPr="00FE50A6">
        <w:rPr>
          <w:rFonts w:eastAsia="Batang" w:cs="Times"/>
          <w:noProof/>
          <w:szCs w:val="24"/>
          <w:lang w:val="en-US" w:eastAsia="es-ES"/>
        </w:rPr>
        <w:t>alls that, in order to grant a measure of repar</w:t>
      </w:r>
      <w:r w:rsidR="00E343BC" w:rsidRPr="00FE50A6">
        <w:rPr>
          <w:rFonts w:eastAsia="Batang" w:cs="Times"/>
          <w:noProof/>
          <w:szCs w:val="24"/>
          <w:lang w:val="en-US" w:eastAsia="es-ES"/>
        </w:rPr>
        <w:t>a</w:t>
      </w:r>
      <w:r w:rsidR="0032018A" w:rsidRPr="00FE50A6">
        <w:rPr>
          <w:rFonts w:eastAsia="Batang" w:cs="Times"/>
          <w:noProof/>
          <w:szCs w:val="24"/>
          <w:lang w:val="en-US" w:eastAsia="es-ES"/>
        </w:rPr>
        <w:t>tion, it must verify that there is a causal nexus between the facts of the case, the violations that have been declared, the damage proved, and the measures requested.</w:t>
      </w:r>
      <w:r w:rsidR="000A52D5" w:rsidRPr="00FE50A6">
        <w:rPr>
          <w:rFonts w:eastAsia="Batang" w:cs="Times"/>
          <w:noProof/>
          <w:szCs w:val="24"/>
          <w:vertAlign w:val="superscript"/>
          <w:lang w:val="en-US" w:eastAsia="es-ES"/>
        </w:rPr>
        <w:footnoteReference w:id="41"/>
      </w:r>
      <w:r w:rsidR="0032018A" w:rsidRPr="00FE50A6">
        <w:rPr>
          <w:rFonts w:eastAsia="Batang" w:cs="Times"/>
          <w:noProof/>
          <w:szCs w:val="24"/>
          <w:lang w:val="en-US" w:eastAsia="es-ES"/>
        </w:rPr>
        <w:t xml:space="preserve"> Consequently, the Court considers that it is not possible to analyze the objection filed by the State, because it cannot be decided at a preliminary stage, but depends directly on the merits of the matter.</w:t>
      </w:r>
      <w:r w:rsidR="000A52D5" w:rsidRPr="00FE50A6">
        <w:rPr>
          <w:rFonts w:eastAsia="Batang" w:cs="Times"/>
          <w:noProof/>
          <w:szCs w:val="24"/>
          <w:vertAlign w:val="superscript"/>
          <w:lang w:val="en-US" w:eastAsia="es-ES"/>
        </w:rPr>
        <w:footnoteReference w:id="42"/>
      </w:r>
      <w:r w:rsidR="0032018A" w:rsidRPr="00FE50A6">
        <w:rPr>
          <w:rFonts w:eastAsia="Batang" w:cs="Times"/>
          <w:noProof/>
          <w:szCs w:val="24"/>
          <w:lang w:val="en-US" w:eastAsia="es-ES"/>
        </w:rPr>
        <w:t xml:space="preserve"> Therefore, the Court rejects this</w:t>
      </w:r>
      <w:r w:rsidR="000A52D5" w:rsidRPr="00FE50A6">
        <w:rPr>
          <w:rFonts w:eastAsia="Batang" w:cs="Times"/>
          <w:noProof/>
          <w:szCs w:val="24"/>
          <w:lang w:val="en-US" w:eastAsia="es-ES"/>
        </w:rPr>
        <w:t xml:space="preserve"> </w:t>
      </w:r>
      <w:r w:rsidR="00700B79" w:rsidRPr="00FE50A6">
        <w:rPr>
          <w:rFonts w:eastAsia="Batang" w:cs="Times"/>
          <w:bCs/>
          <w:noProof/>
          <w:szCs w:val="24"/>
          <w:lang w:val="en-US" w:eastAsia="es-ES"/>
        </w:rPr>
        <w:t>preliminary objection</w:t>
      </w:r>
      <w:r w:rsidR="000A52D5" w:rsidRPr="00FE50A6">
        <w:rPr>
          <w:rFonts w:eastAsia="Batang" w:cs="Times"/>
          <w:bCs/>
          <w:noProof/>
          <w:szCs w:val="24"/>
          <w:lang w:val="en-US" w:eastAsia="es-ES"/>
        </w:rPr>
        <w:t xml:space="preserve">.  </w:t>
      </w:r>
    </w:p>
    <w:p w14:paraId="57520594"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00ACEDE3" w14:textId="77777777" w:rsidR="00246E8D" w:rsidRPr="00FE50A6" w:rsidRDefault="008A7089" w:rsidP="008B0BCC">
      <w:pPr>
        <w:pStyle w:val="Ttulo2"/>
        <w:numPr>
          <w:ilvl w:val="0"/>
          <w:numId w:val="15"/>
        </w:numPr>
      </w:pPr>
      <w:bookmarkStart w:id="87" w:name="_Toc464813899"/>
      <w:r w:rsidRPr="00FE50A6">
        <w:t xml:space="preserve">Alleged lack </w:t>
      </w:r>
      <w:r w:rsidR="00822837" w:rsidRPr="00FE50A6">
        <w:t>of jurisdiction</w:t>
      </w:r>
      <w:r w:rsidR="000A52D5" w:rsidRPr="00FE50A6">
        <w:t xml:space="preserve"> </w:t>
      </w:r>
      <w:r w:rsidR="000A52D5" w:rsidRPr="00FE50A6">
        <w:rPr>
          <w:i w:val="0"/>
        </w:rPr>
        <w:t>ratione temporis</w:t>
      </w:r>
      <w:r w:rsidR="000A52D5" w:rsidRPr="00FE50A6">
        <w:t xml:space="preserve"> </w:t>
      </w:r>
      <w:r w:rsidR="00E343BC" w:rsidRPr="00FE50A6">
        <w:t>with regard to facts prior to the date of acceptance of the Court’s jurisdiction</w:t>
      </w:r>
      <w:r w:rsidR="00246E8D" w:rsidRPr="00FE50A6">
        <w:t>,</w:t>
      </w:r>
      <w:r w:rsidR="00030C17" w:rsidRPr="00FE50A6">
        <w:t xml:space="preserve"> and </w:t>
      </w:r>
      <w:r w:rsidR="00E343BC" w:rsidRPr="00FE50A6">
        <w:t>a</w:t>
      </w:r>
      <w:r w:rsidRPr="00FE50A6">
        <w:t xml:space="preserve">lleged lack </w:t>
      </w:r>
      <w:r w:rsidR="00822837" w:rsidRPr="00FE50A6">
        <w:t>of jurisdiction</w:t>
      </w:r>
      <w:r w:rsidR="00246E8D" w:rsidRPr="00FE50A6">
        <w:t xml:space="preserve"> </w:t>
      </w:r>
      <w:r w:rsidR="00246E8D" w:rsidRPr="00FE50A6">
        <w:rPr>
          <w:i w:val="0"/>
        </w:rPr>
        <w:t>ratione temporis</w:t>
      </w:r>
      <w:r w:rsidR="00246E8D" w:rsidRPr="00FE50A6">
        <w:t xml:space="preserve"> </w:t>
      </w:r>
      <w:r w:rsidR="00E343BC" w:rsidRPr="00FE50A6">
        <w:t>in relation to facts prior to the State’s adhesion to the Convention</w:t>
      </w:r>
      <w:bookmarkEnd w:id="87"/>
    </w:p>
    <w:p w14:paraId="052EDF41"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72378685" w14:textId="77777777" w:rsidR="00C3479B" w:rsidRPr="00FE50A6" w:rsidRDefault="000228D0" w:rsidP="00140440">
      <w:pPr>
        <w:pStyle w:val="Prrafodelista"/>
        <w:numPr>
          <w:ilvl w:val="0"/>
          <w:numId w:val="1"/>
        </w:numPr>
        <w:rPr>
          <w:rFonts w:eastAsia="Batang" w:cs="Times"/>
          <w:noProof/>
          <w:szCs w:val="24"/>
          <w:lang w:val="en-US" w:eastAsia="es-ES"/>
        </w:rPr>
      </w:pPr>
      <w:r w:rsidRPr="00FE50A6">
        <w:rPr>
          <w:rFonts w:eastAsia="Batang" w:cs="Times"/>
          <w:noProof/>
          <w:szCs w:val="24"/>
          <w:lang w:val="en-US" w:eastAsia="es-ES"/>
        </w:rPr>
        <w:t>The Court</w:t>
      </w:r>
      <w:r w:rsidR="00C3479B" w:rsidRPr="00FE50A6">
        <w:rPr>
          <w:rFonts w:eastAsia="Batang" w:cs="Times"/>
          <w:noProof/>
          <w:szCs w:val="24"/>
          <w:lang w:val="en-US" w:eastAsia="es-ES"/>
        </w:rPr>
        <w:t xml:space="preserve"> </w:t>
      </w:r>
      <w:r w:rsidR="00E343BC" w:rsidRPr="00FE50A6">
        <w:rPr>
          <w:rFonts w:eastAsia="Batang" w:cs="Times"/>
          <w:noProof/>
          <w:szCs w:val="24"/>
          <w:lang w:val="en-US" w:eastAsia="es-ES"/>
        </w:rPr>
        <w:t>will analyze</w:t>
      </w:r>
      <w:r w:rsidR="00C00809" w:rsidRPr="00FE50A6">
        <w:rPr>
          <w:rFonts w:eastAsia="Batang" w:cs="Times"/>
          <w:noProof/>
          <w:szCs w:val="24"/>
          <w:lang w:val="en-US" w:eastAsia="es-ES"/>
        </w:rPr>
        <w:t xml:space="preserve"> together</w:t>
      </w:r>
      <w:r w:rsidR="00E343BC" w:rsidRPr="00FE50A6">
        <w:rPr>
          <w:rFonts w:eastAsia="Batang" w:cs="Times"/>
          <w:noProof/>
          <w:szCs w:val="24"/>
          <w:lang w:val="en-US" w:eastAsia="es-ES"/>
        </w:rPr>
        <w:t xml:space="preserve"> the two</w:t>
      </w:r>
      <w:r w:rsidR="00C3479B"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objections</w:t>
      </w:r>
      <w:r w:rsidR="00703850" w:rsidRPr="00FE50A6">
        <w:rPr>
          <w:rFonts w:eastAsia="Batang" w:cs="Times"/>
          <w:noProof/>
          <w:szCs w:val="24"/>
          <w:lang w:val="en-US" w:eastAsia="es-ES"/>
        </w:rPr>
        <w:t xml:space="preserve"> </w:t>
      </w:r>
      <w:r w:rsidR="004B0552" w:rsidRPr="00FE50A6">
        <w:rPr>
          <w:rFonts w:eastAsia="Batang" w:cs="Times"/>
          <w:noProof/>
          <w:szCs w:val="24"/>
          <w:lang w:val="en-US" w:eastAsia="es-ES"/>
        </w:rPr>
        <w:t xml:space="preserve">on temporal limitations </w:t>
      </w:r>
      <w:r w:rsidR="00C3479B" w:rsidRPr="00FE50A6">
        <w:rPr>
          <w:rFonts w:eastAsia="Batang" w:cs="Times"/>
          <w:noProof/>
          <w:szCs w:val="24"/>
          <w:lang w:val="en-US" w:eastAsia="es-ES"/>
        </w:rPr>
        <w:t>(</w:t>
      </w:r>
      <w:r w:rsidR="00C3479B" w:rsidRPr="00FE50A6">
        <w:rPr>
          <w:rFonts w:eastAsia="Batang" w:cs="Times"/>
          <w:i/>
          <w:noProof/>
          <w:szCs w:val="24"/>
          <w:lang w:val="en-US" w:eastAsia="es-ES"/>
        </w:rPr>
        <w:t>ratione temporis</w:t>
      </w:r>
      <w:r w:rsidR="00C3479B" w:rsidRPr="00FE50A6">
        <w:rPr>
          <w:rFonts w:eastAsia="Batang" w:cs="Times"/>
          <w:noProof/>
          <w:szCs w:val="24"/>
          <w:lang w:val="en-US" w:eastAsia="es-ES"/>
        </w:rPr>
        <w:t xml:space="preserve">) </w:t>
      </w:r>
      <w:r w:rsidR="00C00809" w:rsidRPr="00FE50A6">
        <w:rPr>
          <w:rFonts w:eastAsia="Batang" w:cs="Times"/>
          <w:noProof/>
          <w:szCs w:val="24"/>
          <w:lang w:val="en-US" w:eastAsia="es-ES"/>
        </w:rPr>
        <w:t>filed by the State</w:t>
      </w:r>
      <w:r w:rsidR="004B0552" w:rsidRPr="00FE50A6">
        <w:rPr>
          <w:rFonts w:eastAsia="Batang" w:cs="Times"/>
          <w:noProof/>
          <w:szCs w:val="24"/>
          <w:lang w:val="en-US" w:eastAsia="es-ES"/>
        </w:rPr>
        <w:t xml:space="preserve">, because they refer to related assumptions and involve </w:t>
      </w:r>
      <w:r w:rsidR="002220F8" w:rsidRPr="00FE50A6">
        <w:rPr>
          <w:rFonts w:eastAsia="Batang" w:cs="Times"/>
          <w:noProof/>
          <w:szCs w:val="24"/>
          <w:lang w:val="en-US" w:eastAsia="es-ES"/>
        </w:rPr>
        <w:t>similar</w:t>
      </w:r>
      <w:r w:rsidR="004B0552" w:rsidRPr="00FE50A6">
        <w:rPr>
          <w:rFonts w:eastAsia="Batang" w:cs="Times"/>
          <w:noProof/>
          <w:szCs w:val="24"/>
          <w:lang w:val="en-US" w:eastAsia="es-ES"/>
        </w:rPr>
        <w:t xml:space="preserve"> arguments by </w:t>
      </w:r>
      <w:r w:rsidR="00703850" w:rsidRPr="00FE50A6">
        <w:rPr>
          <w:rFonts w:eastAsia="Batang" w:cs="Times"/>
          <w:noProof/>
          <w:szCs w:val="24"/>
          <w:lang w:val="en-US" w:eastAsia="es-ES"/>
        </w:rPr>
        <w:t xml:space="preserve">the </w:t>
      </w:r>
      <w:r w:rsidRPr="00FE50A6">
        <w:rPr>
          <w:rFonts w:eastAsia="Batang" w:cs="Times"/>
          <w:noProof/>
          <w:szCs w:val="24"/>
          <w:lang w:val="en-US" w:eastAsia="es-ES"/>
        </w:rPr>
        <w:t>State</w:t>
      </w:r>
      <w:r w:rsidR="004B0552" w:rsidRPr="00FE50A6">
        <w:rPr>
          <w:rFonts w:eastAsia="Batang" w:cs="Times"/>
          <w:noProof/>
          <w:szCs w:val="24"/>
          <w:lang w:val="en-US" w:eastAsia="es-ES"/>
        </w:rPr>
        <w:t>,</w:t>
      </w:r>
      <w:r w:rsidR="00C3479B"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30C17" w:rsidRPr="00FE50A6">
        <w:rPr>
          <w:rFonts w:eastAsia="Batang" w:cs="Times"/>
          <w:noProof/>
          <w:szCs w:val="24"/>
          <w:lang w:val="en-US" w:eastAsia="es-ES"/>
        </w:rPr>
        <w:t xml:space="preserve"> and </w:t>
      </w:r>
      <w:r w:rsidR="00700B79" w:rsidRPr="00FE50A6">
        <w:rPr>
          <w:rFonts w:eastAsia="Batang" w:cs="Times"/>
          <w:noProof/>
          <w:szCs w:val="24"/>
          <w:lang w:val="en-US" w:eastAsia="es-ES"/>
        </w:rPr>
        <w:t>the representatives</w:t>
      </w:r>
      <w:r w:rsidR="00C3479B" w:rsidRPr="00FE50A6">
        <w:rPr>
          <w:rFonts w:eastAsia="Batang" w:cs="Times"/>
          <w:noProof/>
          <w:szCs w:val="24"/>
          <w:lang w:val="en-US" w:eastAsia="es-ES"/>
        </w:rPr>
        <w:t>.</w:t>
      </w:r>
    </w:p>
    <w:p w14:paraId="573093B5" w14:textId="77777777" w:rsidR="00C3479B" w:rsidRPr="00FE50A6" w:rsidRDefault="00C3479B" w:rsidP="00140440">
      <w:pPr>
        <w:pStyle w:val="Asuntodelcomentario"/>
        <w:tabs>
          <w:tab w:val="clear" w:pos="4419"/>
          <w:tab w:val="clear" w:pos="8838"/>
        </w:tabs>
        <w:jc w:val="both"/>
        <w:rPr>
          <w:rFonts w:eastAsia="Batang" w:cs="Times"/>
          <w:bCs w:val="0"/>
          <w:noProof/>
          <w:szCs w:val="24"/>
          <w:lang w:val="en-US" w:eastAsia="es-ES"/>
        </w:rPr>
      </w:pPr>
    </w:p>
    <w:p w14:paraId="7D9F7D36" w14:textId="77777777" w:rsidR="000A52D5" w:rsidRPr="00FE50A6" w:rsidRDefault="000A52D5" w:rsidP="000A20C1">
      <w:pPr>
        <w:pStyle w:val="Ttulo3"/>
        <w:rPr>
          <w:noProof/>
          <w:lang w:val="en-US" w:eastAsia="es-ES"/>
        </w:rPr>
      </w:pPr>
      <w:bookmarkStart w:id="88" w:name="_Toc460432973"/>
      <w:bookmarkStart w:id="89" w:name="_Toc460441904"/>
      <w:bookmarkStart w:id="90" w:name="_Toc462750724"/>
      <w:bookmarkStart w:id="91" w:name="_Toc462751048"/>
      <w:bookmarkStart w:id="92" w:name="_Toc464813900"/>
      <w:r w:rsidRPr="00FE50A6">
        <w:rPr>
          <w:noProof/>
          <w:lang w:val="en-US" w:eastAsia="es-ES"/>
        </w:rPr>
        <w:t xml:space="preserve">D.1.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88"/>
      <w:bookmarkEnd w:id="89"/>
      <w:bookmarkEnd w:id="90"/>
      <w:bookmarkEnd w:id="91"/>
      <w:bookmarkEnd w:id="92"/>
    </w:p>
    <w:p w14:paraId="6A93877C"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38C19E74" w14:textId="77777777" w:rsidR="0084006F"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lastRenderedPageBreak/>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indic</w:t>
      </w:r>
      <w:r w:rsidR="0084006F" w:rsidRPr="00FE50A6">
        <w:rPr>
          <w:rFonts w:eastAsia="Batang" w:cs="Times"/>
          <w:noProof/>
          <w:szCs w:val="24"/>
          <w:lang w:val="en-US" w:eastAsia="es-ES"/>
        </w:rPr>
        <w:t>ated that it had</w:t>
      </w:r>
      <w:r w:rsidR="002220F8" w:rsidRPr="00FE50A6">
        <w:rPr>
          <w:rFonts w:eastAsia="Batang" w:cs="Times"/>
          <w:noProof/>
          <w:szCs w:val="24"/>
          <w:lang w:val="en-US" w:eastAsia="es-ES"/>
        </w:rPr>
        <w:t xml:space="preserve"> formalized</w:t>
      </w:r>
      <w:r w:rsidR="0084006F" w:rsidRPr="00FE50A6">
        <w:rPr>
          <w:rFonts w:eastAsia="Batang" w:cs="Times"/>
          <w:noProof/>
          <w:szCs w:val="24"/>
          <w:lang w:val="en-US" w:eastAsia="es-ES"/>
        </w:rPr>
        <w:t xml:space="preserve"> its adhesion</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to</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American Convention</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on</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November 6,</w:t>
      </w:r>
      <w:r w:rsidR="000A52D5" w:rsidRPr="00FE50A6">
        <w:rPr>
          <w:rFonts w:eastAsia="Batang" w:cs="Times"/>
          <w:noProof/>
          <w:szCs w:val="24"/>
          <w:lang w:val="en-US" w:eastAsia="es-ES"/>
        </w:rPr>
        <w:t xml:space="preserve"> 1992</w:t>
      </w:r>
      <w:r w:rsidR="0084006F"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84006F" w:rsidRPr="00FE50A6">
        <w:rPr>
          <w:rFonts w:eastAsia="Batang" w:cs="Times"/>
          <w:noProof/>
          <w:szCs w:val="24"/>
          <w:lang w:val="en-US" w:eastAsia="es-ES"/>
        </w:rPr>
        <w:t xml:space="preserve">accepted the jurisdiction </w:t>
      </w:r>
      <w:r w:rsidRPr="00FE50A6">
        <w:rPr>
          <w:rFonts w:eastAsia="Batang" w:cs="Times"/>
          <w:noProof/>
          <w:szCs w:val="24"/>
          <w:lang w:val="en-US" w:eastAsia="es-ES"/>
        </w:rPr>
        <w:t>of the Court</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on</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December 10,</w:t>
      </w:r>
      <w:r w:rsidR="000A52D5" w:rsidRPr="00FE50A6">
        <w:rPr>
          <w:rFonts w:eastAsia="Batang" w:cs="Times"/>
          <w:noProof/>
          <w:szCs w:val="24"/>
          <w:lang w:val="en-US" w:eastAsia="es-ES"/>
        </w:rPr>
        <w:t xml:space="preserve"> 1998</w:t>
      </w:r>
      <w:r w:rsidR="0084006F" w:rsidRPr="00FE50A6">
        <w:rPr>
          <w:rFonts w:eastAsia="Batang" w:cs="Times"/>
          <w:noProof/>
          <w:szCs w:val="24"/>
          <w:lang w:val="en-US" w:eastAsia="es-ES"/>
        </w:rPr>
        <w:t>, for facts subsequent to that date. The State asserted that the interpretation made by</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30C17" w:rsidRPr="00FE50A6">
        <w:rPr>
          <w:rFonts w:eastAsia="Batang" w:cs="Times"/>
          <w:noProof/>
          <w:szCs w:val="24"/>
          <w:lang w:val="en-US" w:eastAsia="es-ES"/>
        </w:rPr>
        <w:t xml:space="preserve"> and</w:t>
      </w:r>
      <w:r w:rsidR="0084006F" w:rsidRPr="00FE50A6">
        <w:rPr>
          <w:rFonts w:eastAsia="Batang" w:cs="Times"/>
          <w:noProof/>
          <w:szCs w:val="24"/>
          <w:lang w:val="en-US" w:eastAsia="es-ES"/>
        </w:rPr>
        <w:t xml:space="preserve"> </w:t>
      </w:r>
      <w:r w:rsidR="007571DF" w:rsidRPr="00FE50A6">
        <w:rPr>
          <w:rFonts w:eastAsia="Batang" w:cs="Times"/>
          <w:noProof/>
          <w:szCs w:val="24"/>
          <w:lang w:val="en-US" w:eastAsia="es-ES"/>
        </w:rPr>
        <w:t xml:space="preserve">the </w:t>
      </w:r>
      <w:r w:rsidR="00700B79" w:rsidRPr="00FE50A6">
        <w:rPr>
          <w:rFonts w:eastAsia="Batang" w:cs="Times"/>
          <w:noProof/>
          <w:szCs w:val="24"/>
          <w:lang w:val="en-US" w:eastAsia="es-ES"/>
        </w:rPr>
        <w:t>representatives</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 xml:space="preserve">regarding facts prior to Brazil’s acceptance of the Court’s jurisdiction </w:t>
      </w:r>
      <w:r w:rsidR="000A52D5" w:rsidRPr="00FE50A6">
        <w:rPr>
          <w:rFonts w:eastAsia="Batang" w:cs="Times"/>
          <w:noProof/>
          <w:szCs w:val="24"/>
          <w:lang w:val="en-US" w:eastAsia="es-ES"/>
        </w:rPr>
        <w:t>viola</w:t>
      </w:r>
      <w:r w:rsidR="0084006F" w:rsidRPr="00FE50A6">
        <w:rPr>
          <w:rFonts w:eastAsia="Batang" w:cs="Times"/>
          <w:noProof/>
          <w:szCs w:val="24"/>
          <w:lang w:val="en-US" w:eastAsia="es-ES"/>
        </w:rPr>
        <w:t xml:space="preserve">ted the special regime of declarations limiting the Court’s temporal jurisdiction established in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62(2)</w:t>
      </w:r>
      <w:r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 xml:space="preserve">because it did not take into account the State’s sovereignty and attempted to extend the Court’s jurisdiction beyond the limits declared in that article. In the </w:t>
      </w:r>
      <w:r w:rsidR="00C00809" w:rsidRPr="00FE50A6">
        <w:rPr>
          <w:rFonts w:eastAsia="Batang" w:cs="Times"/>
          <w:noProof/>
          <w:szCs w:val="24"/>
          <w:lang w:val="en-US" w:eastAsia="es-ES"/>
        </w:rPr>
        <w:t>State</w:t>
      </w:r>
      <w:r w:rsidR="0084006F" w:rsidRPr="00FE50A6">
        <w:rPr>
          <w:rFonts w:eastAsia="Batang" w:cs="Times"/>
          <w:noProof/>
          <w:szCs w:val="24"/>
          <w:lang w:val="en-US" w:eastAsia="es-ES"/>
        </w:rPr>
        <w:t>’s opinion, the proposed interpretation would equate the effects of all declarations accepting the Court’s jurisdiction, whether or not they include</w:t>
      </w:r>
      <w:r w:rsidR="002220F8" w:rsidRPr="00FE50A6">
        <w:rPr>
          <w:rFonts w:eastAsia="Batang" w:cs="Times"/>
          <w:noProof/>
          <w:szCs w:val="24"/>
          <w:lang w:val="en-US" w:eastAsia="es-ES"/>
        </w:rPr>
        <w:t>d</w:t>
      </w:r>
      <w:r w:rsidR="0084006F" w:rsidRPr="00FE50A6">
        <w:rPr>
          <w:rFonts w:eastAsia="Batang" w:cs="Times"/>
          <w:noProof/>
          <w:szCs w:val="24"/>
          <w:lang w:val="en-US" w:eastAsia="es-ES"/>
        </w:rPr>
        <w:t xml:space="preserve"> a temporal limitation, and this</w:t>
      </w:r>
      <w:r w:rsidR="002220F8" w:rsidRPr="00FE50A6">
        <w:rPr>
          <w:rFonts w:eastAsia="Batang" w:cs="Times"/>
          <w:noProof/>
          <w:szCs w:val="24"/>
          <w:lang w:val="en-US" w:eastAsia="es-ES"/>
        </w:rPr>
        <w:t xml:space="preserve"> would</w:t>
      </w:r>
      <w:r w:rsidR="0084006F" w:rsidRPr="00FE50A6">
        <w:rPr>
          <w:rFonts w:eastAsia="Batang" w:cs="Times"/>
          <w:noProof/>
          <w:szCs w:val="24"/>
          <w:lang w:val="en-US" w:eastAsia="es-ES"/>
        </w:rPr>
        <w:t xml:space="preserve"> </w:t>
      </w:r>
      <w:r w:rsidR="00C00809" w:rsidRPr="00FE50A6">
        <w:rPr>
          <w:rFonts w:eastAsia="Batang" w:cs="Times"/>
          <w:noProof/>
          <w:szCs w:val="24"/>
          <w:lang w:val="en-US" w:eastAsia="es-ES"/>
        </w:rPr>
        <w:t>disregard</w:t>
      </w:r>
      <w:r w:rsidR="0084006F" w:rsidRPr="00FE50A6">
        <w:rPr>
          <w:rFonts w:eastAsia="Batang" w:cs="Times"/>
          <w:noProof/>
          <w:szCs w:val="24"/>
          <w:lang w:val="en-US" w:eastAsia="es-ES"/>
        </w:rPr>
        <w:t xml:space="preserve"> the intention</w:t>
      </w:r>
      <w:r w:rsidR="00C00809" w:rsidRPr="00FE50A6">
        <w:rPr>
          <w:rFonts w:eastAsia="Batang" w:cs="Times"/>
          <w:noProof/>
          <w:szCs w:val="24"/>
          <w:lang w:val="en-US" w:eastAsia="es-ES"/>
        </w:rPr>
        <w:t>s</w:t>
      </w:r>
      <w:r w:rsidR="0084006F" w:rsidRPr="00FE50A6">
        <w:rPr>
          <w:rFonts w:eastAsia="Batang" w:cs="Times"/>
          <w:noProof/>
          <w:szCs w:val="24"/>
          <w:lang w:val="en-US" w:eastAsia="es-ES"/>
        </w:rPr>
        <w:t xml:space="preserve"> of the States and the limits that they ha</w:t>
      </w:r>
      <w:r w:rsidR="00C00809" w:rsidRPr="00FE50A6">
        <w:rPr>
          <w:rFonts w:eastAsia="Batang" w:cs="Times"/>
          <w:noProof/>
          <w:szCs w:val="24"/>
          <w:lang w:val="en-US" w:eastAsia="es-ES"/>
        </w:rPr>
        <w:t>d</w:t>
      </w:r>
      <w:r w:rsidR="0084006F" w:rsidRPr="00FE50A6">
        <w:rPr>
          <w:rFonts w:eastAsia="Batang" w:cs="Times"/>
          <w:noProof/>
          <w:szCs w:val="24"/>
          <w:lang w:val="en-US" w:eastAsia="es-ES"/>
        </w:rPr>
        <w:t xml:space="preserve"> legitimately imposed when submitting to the jurisdiction of the Court, unless the acts were continuing, which </w:t>
      </w:r>
      <w:r w:rsidR="00C00809" w:rsidRPr="00FE50A6">
        <w:rPr>
          <w:rFonts w:eastAsia="Batang" w:cs="Times"/>
          <w:noProof/>
          <w:szCs w:val="24"/>
          <w:lang w:val="en-US" w:eastAsia="es-ES"/>
        </w:rPr>
        <w:t>had not</w:t>
      </w:r>
      <w:r w:rsidR="0084006F" w:rsidRPr="00FE50A6">
        <w:rPr>
          <w:rFonts w:eastAsia="Batang" w:cs="Times"/>
          <w:noProof/>
          <w:szCs w:val="24"/>
          <w:lang w:val="en-US" w:eastAsia="es-ES"/>
        </w:rPr>
        <w:t xml:space="preserve"> occur</w:t>
      </w:r>
      <w:r w:rsidR="00C00809" w:rsidRPr="00FE50A6">
        <w:rPr>
          <w:rFonts w:eastAsia="Batang" w:cs="Times"/>
          <w:noProof/>
          <w:szCs w:val="24"/>
          <w:lang w:val="en-US" w:eastAsia="es-ES"/>
        </w:rPr>
        <w:t>red</w:t>
      </w:r>
      <w:r w:rsidR="0084006F" w:rsidRPr="00FE50A6">
        <w:rPr>
          <w:rFonts w:eastAsia="Batang" w:cs="Times"/>
          <w:noProof/>
          <w:szCs w:val="24"/>
          <w:lang w:val="en-US" w:eastAsia="es-ES"/>
        </w:rPr>
        <w:t xml:space="preserve"> in this case.</w:t>
      </w:r>
    </w:p>
    <w:p w14:paraId="76E88C06"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250B1BF" w14:textId="77777777" w:rsidR="000A52D5" w:rsidRPr="00FE50A6" w:rsidRDefault="0084006F"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According to</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Pr="00FE50A6">
        <w:rPr>
          <w:rFonts w:eastAsia="Batang" w:cs="Times"/>
          <w:noProof/>
          <w:szCs w:val="24"/>
          <w:lang w:val="en-US" w:eastAsia="es-ES"/>
        </w:rPr>
        <w:t>only has jurisdiction</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ratione temporis</w:t>
      </w:r>
      <w:r w:rsidR="00B54FB3" w:rsidRPr="00FE50A6">
        <w:rPr>
          <w:rFonts w:eastAsia="Batang" w:cs="Times"/>
          <w:noProof/>
          <w:szCs w:val="24"/>
          <w:lang w:val="en-US" w:eastAsia="es-ES"/>
        </w:rPr>
        <w:t xml:space="preserve"> </w:t>
      </w:r>
      <w:r w:rsidRPr="00FE50A6">
        <w:rPr>
          <w:rFonts w:eastAsia="Batang" w:cs="Times"/>
          <w:noProof/>
          <w:szCs w:val="24"/>
          <w:lang w:val="en-US" w:eastAsia="es-ES"/>
        </w:rPr>
        <w:t>to a</w:t>
      </w:r>
      <w:r w:rsidR="00C00809" w:rsidRPr="00FE50A6">
        <w:rPr>
          <w:rFonts w:eastAsia="Batang" w:cs="Times"/>
          <w:noProof/>
          <w:szCs w:val="24"/>
          <w:lang w:val="en-US" w:eastAsia="es-ES"/>
        </w:rPr>
        <w:t>n</w:t>
      </w:r>
      <w:r w:rsidRPr="00FE50A6">
        <w:rPr>
          <w:rFonts w:eastAsia="Batang" w:cs="Times"/>
          <w:noProof/>
          <w:szCs w:val="24"/>
          <w:lang w:val="en-US" w:eastAsia="es-ES"/>
        </w:rPr>
        <w:t>alyze possible violations relat</w:t>
      </w:r>
      <w:r w:rsidR="002220F8" w:rsidRPr="00FE50A6">
        <w:rPr>
          <w:rFonts w:eastAsia="Batang" w:cs="Times"/>
          <w:noProof/>
          <w:szCs w:val="24"/>
          <w:lang w:val="en-US" w:eastAsia="es-ES"/>
        </w:rPr>
        <w:t>ing</w:t>
      </w:r>
      <w:r w:rsidRPr="00FE50A6">
        <w:rPr>
          <w:rFonts w:eastAsia="Batang" w:cs="Times"/>
          <w:noProof/>
          <w:szCs w:val="24"/>
          <w:lang w:val="en-US" w:eastAsia="es-ES"/>
        </w:rPr>
        <w:t xml:space="preserve"> to facts identified in the</w:t>
      </w:r>
      <w:r w:rsidR="002220F8" w:rsidRPr="00FE50A6">
        <w:rPr>
          <w:rFonts w:eastAsia="Batang" w:cs="Times"/>
          <w:noProof/>
          <w:szCs w:val="24"/>
          <w:lang w:val="en-US" w:eastAsia="es-ES"/>
        </w:rPr>
        <w:t xml:space="preserve"> 2000</w:t>
      </w:r>
      <w:r w:rsidRPr="00FE50A6">
        <w:rPr>
          <w:rFonts w:eastAsia="Batang" w:cs="Times"/>
          <w:noProof/>
          <w:szCs w:val="24"/>
          <w:lang w:val="en-US" w:eastAsia="es-ES"/>
        </w:rPr>
        <w:t xml:space="preserve"> inspection, because these are the only facts subsequent to </w:t>
      </w:r>
      <w:r w:rsidR="00700B79" w:rsidRPr="00FE50A6">
        <w:rPr>
          <w:rFonts w:eastAsia="Batang" w:cs="Times"/>
          <w:noProof/>
          <w:szCs w:val="24"/>
          <w:lang w:val="en-US" w:eastAsia="es-ES"/>
        </w:rPr>
        <w:t>December 10,</w:t>
      </w:r>
      <w:r w:rsidR="000A52D5" w:rsidRPr="00FE50A6">
        <w:rPr>
          <w:rFonts w:eastAsia="Batang" w:cs="Times"/>
          <w:noProof/>
          <w:szCs w:val="24"/>
          <w:lang w:val="en-US" w:eastAsia="es-ES"/>
        </w:rPr>
        <w:t xml:space="preserve"> 1998. </w:t>
      </w:r>
      <w:r w:rsidR="002220F8" w:rsidRPr="00FE50A6">
        <w:rPr>
          <w:rFonts w:eastAsia="Batang" w:cs="Times"/>
          <w:noProof/>
          <w:szCs w:val="24"/>
          <w:lang w:val="en-US" w:eastAsia="es-ES"/>
        </w:rPr>
        <w:t>It also</w:t>
      </w:r>
      <w:r w:rsidRPr="00FE50A6">
        <w:rPr>
          <w:rFonts w:eastAsia="Batang" w:cs="Times"/>
          <w:noProof/>
          <w:szCs w:val="24"/>
          <w:lang w:val="en-US" w:eastAsia="es-ES"/>
        </w:rPr>
        <w:t xml:space="preserve"> argued that, with regard to possible violations of the rights to judicial protection and</w:t>
      </w:r>
      <w:r w:rsidR="00D11A9F" w:rsidRPr="00FE50A6">
        <w:rPr>
          <w:rFonts w:eastAsia="Batang" w:cs="Times"/>
          <w:noProof/>
          <w:szCs w:val="24"/>
          <w:lang w:val="en-US" w:eastAsia="es-ES"/>
        </w:rPr>
        <w:t xml:space="preserve"> guarantees</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B54FB3" w:rsidRPr="00FE50A6">
        <w:rPr>
          <w:rFonts w:eastAsia="Batang" w:cs="Times"/>
          <w:noProof/>
          <w:szCs w:val="24"/>
          <w:lang w:val="en-US" w:eastAsia="es-ES"/>
        </w:rPr>
        <w:t xml:space="preserve"> </w:t>
      </w:r>
      <w:r w:rsidRPr="00FE50A6">
        <w:rPr>
          <w:rFonts w:eastAsia="Batang" w:cs="Times"/>
          <w:noProof/>
          <w:szCs w:val="24"/>
          <w:lang w:val="en-US" w:eastAsia="es-ES"/>
        </w:rPr>
        <w:t xml:space="preserve">would only have jurisdiction in relation to the criminal proceedings initiated after that date that might constitute </w:t>
      </w:r>
      <w:r w:rsidR="00C00809" w:rsidRPr="00FE50A6">
        <w:rPr>
          <w:rFonts w:eastAsia="Batang" w:cs="Times"/>
          <w:noProof/>
          <w:szCs w:val="24"/>
          <w:lang w:val="en-US" w:eastAsia="es-ES"/>
        </w:rPr>
        <w:t>possible</w:t>
      </w:r>
      <w:r w:rsidRPr="00FE50A6">
        <w:rPr>
          <w:rFonts w:eastAsia="Batang" w:cs="Times"/>
          <w:noProof/>
          <w:szCs w:val="24"/>
          <w:lang w:val="en-US" w:eastAsia="es-ES"/>
        </w:rPr>
        <w:t xml:space="preserve"> specific and autonomous violations concerning denial of justice</w:t>
      </w:r>
      <w:r w:rsidR="000A52D5" w:rsidRPr="00FE50A6">
        <w:rPr>
          <w:rFonts w:eastAsia="Batang" w:cs="Times"/>
          <w:noProof/>
          <w:szCs w:val="24"/>
          <w:lang w:val="en-US" w:eastAsia="es-ES"/>
        </w:rPr>
        <w:t>.</w:t>
      </w:r>
    </w:p>
    <w:p w14:paraId="7CBFD80E" w14:textId="77777777" w:rsidR="00246E8D" w:rsidRPr="00FE50A6" w:rsidRDefault="00246E8D" w:rsidP="00140440">
      <w:pPr>
        <w:pStyle w:val="Prrafodelista"/>
        <w:contextualSpacing w:val="0"/>
        <w:rPr>
          <w:rFonts w:eastAsia="Batang" w:cs="Times"/>
          <w:noProof/>
          <w:szCs w:val="24"/>
          <w:lang w:val="en-US" w:eastAsia="es-ES"/>
        </w:rPr>
      </w:pPr>
    </w:p>
    <w:p w14:paraId="66D091F6" w14:textId="77777777" w:rsidR="00246E8D" w:rsidRPr="00FE50A6" w:rsidRDefault="00246E8D"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Ad</w:t>
      </w:r>
      <w:r w:rsidR="0084006F" w:rsidRPr="00FE50A6">
        <w:rPr>
          <w:rFonts w:eastAsia="Batang" w:cs="Times"/>
          <w:noProof/>
          <w:szCs w:val="24"/>
          <w:lang w:val="en-US" w:eastAsia="es-ES"/>
        </w:rPr>
        <w:t xml:space="preserve">ditionally, the State argued that the Court should declare itself </w:t>
      </w:r>
      <w:r w:rsidRPr="00FE50A6">
        <w:rPr>
          <w:rFonts w:eastAsia="Batang" w:cs="Times"/>
          <w:noProof/>
          <w:szCs w:val="24"/>
          <w:lang w:val="en-US" w:eastAsia="es-ES"/>
        </w:rPr>
        <w:t>i</w:t>
      </w:r>
      <w:r w:rsidR="0084006F" w:rsidRPr="00FE50A6">
        <w:rPr>
          <w:rFonts w:eastAsia="Batang" w:cs="Times"/>
          <w:noProof/>
          <w:szCs w:val="24"/>
          <w:lang w:val="en-US" w:eastAsia="es-ES"/>
        </w:rPr>
        <w:t xml:space="preserve">ncompetent to examine supposed violations that occurred before </w:t>
      </w:r>
      <w:r w:rsidR="00703850" w:rsidRPr="00FE50A6">
        <w:rPr>
          <w:rFonts w:eastAsia="Batang" w:cs="Times"/>
          <w:noProof/>
          <w:szCs w:val="24"/>
          <w:lang w:val="en-US" w:eastAsia="es-ES"/>
        </w:rPr>
        <w:t>September 25,</w:t>
      </w:r>
      <w:r w:rsidRPr="00FE50A6">
        <w:rPr>
          <w:rFonts w:eastAsia="Batang" w:cs="Times"/>
          <w:noProof/>
          <w:szCs w:val="24"/>
          <w:lang w:val="en-US" w:eastAsia="es-ES"/>
        </w:rPr>
        <w:t xml:space="preserve"> 1992</w:t>
      </w:r>
      <w:r w:rsidR="004E078C" w:rsidRPr="00FE50A6">
        <w:rPr>
          <w:rFonts w:eastAsia="Batang" w:cs="Times"/>
          <w:noProof/>
          <w:szCs w:val="24"/>
          <w:lang w:val="en-US" w:eastAsia="es-ES"/>
        </w:rPr>
        <w:t>,</w:t>
      </w:r>
      <w:r w:rsidRPr="00FE50A6">
        <w:rPr>
          <w:rFonts w:eastAsia="Batang" w:cs="Times"/>
          <w:noProof/>
          <w:szCs w:val="24"/>
          <w:lang w:val="en-US" w:eastAsia="es-ES"/>
        </w:rPr>
        <w:t xml:space="preserve"> </w:t>
      </w:r>
      <w:r w:rsidR="0084006F" w:rsidRPr="00FE50A6">
        <w:rPr>
          <w:rFonts w:eastAsia="Batang" w:cs="Times"/>
          <w:noProof/>
          <w:szCs w:val="24"/>
          <w:lang w:val="en-US" w:eastAsia="es-ES"/>
        </w:rPr>
        <w:t xml:space="preserve">date on which </w:t>
      </w:r>
      <w:r w:rsidR="00C00809" w:rsidRPr="00FE50A6">
        <w:rPr>
          <w:rFonts w:eastAsia="Batang" w:cs="Times"/>
          <w:noProof/>
          <w:szCs w:val="24"/>
          <w:lang w:val="en-US" w:eastAsia="es-ES"/>
        </w:rPr>
        <w:t>the State had</w:t>
      </w:r>
      <w:r w:rsidR="0084006F" w:rsidRPr="00FE50A6">
        <w:rPr>
          <w:rFonts w:eastAsia="Batang" w:cs="Times"/>
          <w:noProof/>
          <w:szCs w:val="24"/>
          <w:lang w:val="en-US" w:eastAsia="es-ES"/>
        </w:rPr>
        <w:t xml:space="preserve"> adhered to </w:t>
      </w:r>
      <w:r w:rsidR="000228D0" w:rsidRPr="00FE50A6">
        <w:rPr>
          <w:rFonts w:eastAsia="Batang" w:cs="Times"/>
          <w:noProof/>
          <w:szCs w:val="24"/>
          <w:lang w:val="en-US" w:eastAsia="es-ES"/>
        </w:rPr>
        <w:t>the American Convention</w:t>
      </w:r>
      <w:r w:rsidR="0084006F" w:rsidRPr="00FE50A6">
        <w:rPr>
          <w:rFonts w:eastAsia="Batang" w:cs="Times"/>
          <w:noProof/>
          <w:szCs w:val="24"/>
          <w:lang w:val="en-US" w:eastAsia="es-ES"/>
        </w:rPr>
        <w:t xml:space="preserve">; that is, acts that presumably violated </w:t>
      </w:r>
      <w:r w:rsidR="000228D0" w:rsidRPr="00FE50A6">
        <w:rPr>
          <w:rFonts w:eastAsia="Batang" w:cs="Times"/>
          <w:noProof/>
          <w:szCs w:val="24"/>
          <w:lang w:val="en-US" w:eastAsia="es-ES"/>
        </w:rPr>
        <w:t>the Convention</w:t>
      </w:r>
      <w:r w:rsidRPr="00FE50A6">
        <w:rPr>
          <w:rFonts w:eastAsia="Batang" w:cs="Times"/>
          <w:noProof/>
          <w:szCs w:val="24"/>
          <w:lang w:val="en-US" w:eastAsia="es-ES"/>
        </w:rPr>
        <w:t xml:space="preserve"> </w:t>
      </w:r>
      <w:r w:rsidR="0084006F" w:rsidRPr="00FE50A6">
        <w:rPr>
          <w:rFonts w:eastAsia="Batang" w:cs="Times"/>
          <w:noProof/>
          <w:szCs w:val="24"/>
          <w:lang w:val="en-US" w:eastAsia="es-ES"/>
        </w:rPr>
        <w:t xml:space="preserve">and that took place </w:t>
      </w:r>
      <w:r w:rsidR="00C00809" w:rsidRPr="00FE50A6">
        <w:rPr>
          <w:rFonts w:eastAsia="Batang" w:cs="Times"/>
          <w:noProof/>
          <w:szCs w:val="24"/>
          <w:lang w:val="en-US" w:eastAsia="es-ES"/>
        </w:rPr>
        <w:t>between</w:t>
      </w:r>
      <w:r w:rsidRPr="00FE50A6">
        <w:rPr>
          <w:rFonts w:eastAsia="Batang" w:cs="Times"/>
          <w:noProof/>
          <w:szCs w:val="24"/>
          <w:lang w:val="en-US" w:eastAsia="es-ES"/>
        </w:rPr>
        <w:t xml:space="preserve"> </w:t>
      </w:r>
      <w:r w:rsidR="0084006F" w:rsidRPr="00FE50A6">
        <w:rPr>
          <w:rFonts w:eastAsia="Batang" w:cs="Times"/>
          <w:noProof/>
          <w:szCs w:val="24"/>
          <w:lang w:val="en-US" w:eastAsia="es-ES"/>
        </w:rPr>
        <w:t>December 21,</w:t>
      </w:r>
      <w:r w:rsidRPr="00FE50A6">
        <w:rPr>
          <w:rFonts w:eastAsia="Batang" w:cs="Times"/>
          <w:noProof/>
          <w:szCs w:val="24"/>
          <w:lang w:val="en-US" w:eastAsia="es-ES"/>
        </w:rPr>
        <w:t xml:space="preserve"> 1988</w:t>
      </w:r>
      <w:r w:rsidR="0084006F" w:rsidRPr="00FE50A6">
        <w:rPr>
          <w:rFonts w:eastAsia="Batang" w:cs="Times"/>
          <w:noProof/>
          <w:szCs w:val="24"/>
          <w:lang w:val="en-US" w:eastAsia="es-ES"/>
        </w:rPr>
        <w:t xml:space="preserve">, </w:t>
      </w:r>
      <w:r w:rsidR="00C00809" w:rsidRPr="00FE50A6">
        <w:rPr>
          <w:rFonts w:eastAsia="Batang" w:cs="Times"/>
          <w:noProof/>
          <w:szCs w:val="24"/>
          <w:lang w:val="en-US" w:eastAsia="es-ES"/>
        </w:rPr>
        <w:t>and</w:t>
      </w:r>
      <w:r w:rsidRPr="00FE50A6">
        <w:rPr>
          <w:rFonts w:eastAsia="Batang" w:cs="Times"/>
          <w:noProof/>
          <w:szCs w:val="24"/>
          <w:lang w:val="en-US" w:eastAsia="es-ES"/>
        </w:rPr>
        <w:t xml:space="preserve"> </w:t>
      </w:r>
      <w:r w:rsidR="0084006F" w:rsidRPr="00FE50A6">
        <w:rPr>
          <w:rFonts w:eastAsia="Batang" w:cs="Times"/>
          <w:noProof/>
          <w:szCs w:val="24"/>
          <w:lang w:val="en-US" w:eastAsia="es-ES"/>
        </w:rPr>
        <w:t>March 18,</w:t>
      </w:r>
      <w:r w:rsidRPr="00FE50A6">
        <w:rPr>
          <w:rFonts w:eastAsia="Batang" w:cs="Times"/>
          <w:noProof/>
          <w:szCs w:val="24"/>
          <w:lang w:val="en-US" w:eastAsia="es-ES"/>
        </w:rPr>
        <w:t xml:space="preserve"> 1992. </w:t>
      </w:r>
    </w:p>
    <w:p w14:paraId="6A7C7463"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389FAFE" w14:textId="77777777" w:rsidR="000A52D5" w:rsidRPr="00FE50A6" w:rsidRDefault="000228D0" w:rsidP="0084006F">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w:t>
      </w:r>
      <w:r w:rsidR="0084006F" w:rsidRPr="00FE50A6">
        <w:rPr>
          <w:rFonts w:eastAsia="Batang" w:cs="Times"/>
          <w:noProof/>
          <w:szCs w:val="24"/>
          <w:lang w:val="en-US" w:eastAsia="es-ES"/>
        </w:rPr>
        <w:t xml:space="preserve">indicated that, when submitting the case to the Court, it had specified that it was only providing information on events that occurred or continued to occur after </w:t>
      </w:r>
      <w:r w:rsidR="00700B79" w:rsidRPr="00FE50A6">
        <w:rPr>
          <w:rFonts w:eastAsia="Batang" w:cs="Times"/>
          <w:noProof/>
          <w:szCs w:val="24"/>
          <w:lang w:val="en-US" w:eastAsia="es-ES"/>
        </w:rPr>
        <w:t>December 10,</w:t>
      </w:r>
      <w:r w:rsidR="000A52D5" w:rsidRPr="00FE50A6">
        <w:rPr>
          <w:rFonts w:eastAsia="Batang" w:cs="Times"/>
          <w:noProof/>
          <w:szCs w:val="24"/>
          <w:lang w:val="en-US" w:eastAsia="es-ES"/>
        </w:rPr>
        <w:t xml:space="preserve"> 1998, </w:t>
      </w:r>
      <w:r w:rsidR="0084006F" w:rsidRPr="00FE50A6">
        <w:rPr>
          <w:rFonts w:eastAsia="Batang" w:cs="Times"/>
          <w:noProof/>
          <w:szCs w:val="24"/>
          <w:lang w:val="en-US" w:eastAsia="es-ES"/>
        </w:rPr>
        <w:t>date on which</w:t>
      </w:r>
      <w:r w:rsidR="000A52D5" w:rsidRPr="00FE50A6">
        <w:rPr>
          <w:rFonts w:eastAsia="Batang" w:cs="Times"/>
          <w:noProof/>
          <w:szCs w:val="24"/>
          <w:lang w:val="en-US" w:eastAsia="es-ES"/>
        </w:rPr>
        <w:t xml:space="preserve"> </w:t>
      </w:r>
      <w:r w:rsidRPr="00FE50A6">
        <w:rPr>
          <w:rFonts w:eastAsia="Batang" w:cs="Times"/>
          <w:noProof/>
          <w:szCs w:val="24"/>
          <w:lang w:val="en-US" w:eastAsia="es-ES"/>
        </w:rPr>
        <w:t>Brazil</w:t>
      </w:r>
      <w:r w:rsidR="000A52D5" w:rsidRPr="00FE50A6">
        <w:rPr>
          <w:rFonts w:eastAsia="Batang" w:cs="Times"/>
          <w:noProof/>
          <w:szCs w:val="24"/>
          <w:lang w:val="en-US" w:eastAsia="es-ES"/>
        </w:rPr>
        <w:t xml:space="preserve"> </w:t>
      </w:r>
      <w:r w:rsidR="00C00809" w:rsidRPr="00FE50A6">
        <w:rPr>
          <w:rFonts w:eastAsia="Batang" w:cs="Times"/>
          <w:noProof/>
          <w:szCs w:val="24"/>
          <w:lang w:val="en-US" w:eastAsia="es-ES"/>
        </w:rPr>
        <w:t xml:space="preserve">had </w:t>
      </w:r>
      <w:r w:rsidR="000A52D5" w:rsidRPr="00FE50A6">
        <w:rPr>
          <w:rFonts w:eastAsia="Batang" w:cs="Times"/>
          <w:noProof/>
          <w:szCs w:val="24"/>
          <w:lang w:val="en-US" w:eastAsia="es-ES"/>
        </w:rPr>
        <w:t>ac</w:t>
      </w:r>
      <w:r w:rsidR="0084006F" w:rsidRPr="00FE50A6">
        <w:rPr>
          <w:rFonts w:eastAsia="Batang" w:cs="Times"/>
          <w:noProof/>
          <w:szCs w:val="24"/>
          <w:lang w:val="en-US" w:eastAsia="es-ES"/>
        </w:rPr>
        <w:t xml:space="preserve">cepted the Court’s jurisdiction. These consisted in acts and omissions with regard to the situation of </w:t>
      </w:r>
      <w:r w:rsidR="005F1946" w:rsidRPr="00FE50A6">
        <w:rPr>
          <w:rFonts w:eastAsia="Batang" w:cs="Times"/>
          <w:noProof/>
          <w:szCs w:val="24"/>
          <w:lang w:val="en-US" w:eastAsia="es-ES"/>
        </w:rPr>
        <w:t>forced labor</w:t>
      </w:r>
      <w:r w:rsidR="000A52D5" w:rsidRPr="00FE50A6">
        <w:rPr>
          <w:rFonts w:eastAsia="Batang" w:cs="Times"/>
          <w:noProof/>
          <w:szCs w:val="24"/>
          <w:lang w:val="en-US" w:eastAsia="es-ES"/>
        </w:rPr>
        <w:t xml:space="preserve">, </w:t>
      </w:r>
      <w:r w:rsidR="005F1946" w:rsidRPr="00FE50A6">
        <w:rPr>
          <w:rFonts w:eastAsia="Batang" w:cs="Times"/>
          <w:noProof/>
          <w:szCs w:val="24"/>
          <w:lang w:val="en-US" w:eastAsia="es-ES"/>
        </w:rPr>
        <w:t>debt bondage</w:t>
      </w:r>
      <w:r w:rsidR="000A52D5" w:rsidRPr="00FE50A6">
        <w:rPr>
          <w:rFonts w:eastAsia="Batang" w:cs="Times"/>
          <w:noProof/>
          <w:szCs w:val="24"/>
          <w:lang w:val="en-US" w:eastAsia="es-ES"/>
        </w:rPr>
        <w:t xml:space="preserve"> </w:t>
      </w:r>
      <w:r w:rsidR="00030C17" w:rsidRPr="00FE50A6">
        <w:rPr>
          <w:rFonts w:eastAsia="Batang" w:cs="Times"/>
          <w:noProof/>
          <w:szCs w:val="24"/>
          <w:lang w:val="en-US" w:eastAsia="es-ES"/>
        </w:rPr>
        <w:t xml:space="preserve">and </w:t>
      </w:r>
      <w:r w:rsidR="0084006F" w:rsidRPr="00FE50A6">
        <w:rPr>
          <w:rFonts w:eastAsia="Batang" w:cs="Times"/>
          <w:noProof/>
          <w:szCs w:val="24"/>
          <w:lang w:val="en-US" w:eastAsia="es-ES"/>
        </w:rPr>
        <w:t>similar forms of slavery</w:t>
      </w:r>
      <w:r w:rsidR="000A52D5" w:rsidRPr="00FE50A6">
        <w:rPr>
          <w:rFonts w:eastAsia="Batang" w:cs="Times"/>
          <w:noProof/>
          <w:szCs w:val="24"/>
          <w:lang w:val="en-US" w:eastAsia="es-ES"/>
        </w:rPr>
        <w:t xml:space="preserve"> </w:t>
      </w:r>
      <w:r w:rsidR="00390C09" w:rsidRPr="00FE50A6">
        <w:rPr>
          <w:rFonts w:eastAsia="Batang" w:cs="Times"/>
          <w:noProof/>
          <w:szCs w:val="24"/>
          <w:lang w:val="en-US" w:eastAsia="es-ES"/>
        </w:rPr>
        <w:t xml:space="preserve">that, according to the Merits Report, were verified by the inspection that took place in 2000; as well as </w:t>
      </w:r>
      <w:r w:rsidR="00700B79" w:rsidRPr="00FE50A6">
        <w:rPr>
          <w:rFonts w:eastAsia="Batang" w:cs="Times"/>
          <w:noProof/>
          <w:szCs w:val="24"/>
          <w:lang w:val="en-US" w:eastAsia="es-ES"/>
        </w:rPr>
        <w:t>the acts and omissions</w:t>
      </w:r>
      <w:r w:rsidR="000A52D5" w:rsidRPr="00FE50A6">
        <w:rPr>
          <w:rFonts w:eastAsia="Batang" w:cs="Times"/>
          <w:noProof/>
          <w:szCs w:val="24"/>
          <w:lang w:val="en-US" w:eastAsia="es-ES"/>
        </w:rPr>
        <w:t xml:space="preserve"> </w:t>
      </w:r>
      <w:r w:rsidR="00390C09" w:rsidRPr="00FE50A6">
        <w:rPr>
          <w:rFonts w:eastAsia="Batang" w:cs="Times"/>
          <w:noProof/>
          <w:szCs w:val="24"/>
          <w:lang w:val="en-US" w:eastAsia="es-ES"/>
        </w:rPr>
        <w:t xml:space="preserve">that led to the impunity of all the facts, a situation that continued in force when the State accepted the Court’s jurisdiction and thereafter, including the disappearance of </w:t>
      </w:r>
      <w:r w:rsidR="008B075C" w:rsidRPr="00FE50A6">
        <w:rPr>
          <w:rFonts w:eastAsia="Batang" w:cs="Times"/>
          <w:noProof/>
          <w:szCs w:val="24"/>
          <w:lang w:val="en-US" w:eastAsia="es-ES"/>
        </w:rPr>
        <w:t>Iron Canuto da Silva</w:t>
      </w:r>
      <w:r w:rsidR="00030C17" w:rsidRPr="00FE50A6">
        <w:rPr>
          <w:rFonts w:eastAsia="Batang" w:cs="Times"/>
          <w:noProof/>
          <w:szCs w:val="24"/>
          <w:lang w:val="en-US" w:eastAsia="es-ES"/>
        </w:rPr>
        <w:t xml:space="preserve"> and </w:t>
      </w:r>
      <w:r w:rsidR="00200C04" w:rsidRPr="00FE50A6">
        <w:rPr>
          <w:rFonts w:eastAsia="Batang" w:cs="Times"/>
          <w:noProof/>
          <w:szCs w:val="24"/>
          <w:lang w:val="en-US" w:eastAsia="es-ES"/>
        </w:rPr>
        <w:t>Luis Ferreira da Cruz</w:t>
      </w:r>
      <w:r w:rsidR="000A52D5" w:rsidRPr="00FE50A6">
        <w:rPr>
          <w:rFonts w:eastAsia="Batang" w:cs="Times"/>
          <w:noProof/>
          <w:szCs w:val="24"/>
          <w:lang w:val="en-US" w:eastAsia="es-ES"/>
        </w:rPr>
        <w:t>.</w:t>
      </w:r>
    </w:p>
    <w:p w14:paraId="1F6EB3DF"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4F7446E" w14:textId="77777777" w:rsidR="000A52D5" w:rsidRPr="00FE50A6" w:rsidRDefault="00700B79" w:rsidP="00390C09">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indica</w:t>
      </w:r>
      <w:r w:rsidR="00390C09" w:rsidRPr="00FE50A6">
        <w:rPr>
          <w:rFonts w:eastAsia="Batang" w:cs="Times"/>
          <w:noProof/>
          <w:szCs w:val="24"/>
          <w:lang w:val="en-US" w:eastAsia="es-ES"/>
        </w:rPr>
        <w:t xml:space="preserve">ted that the State had </w:t>
      </w:r>
      <w:r w:rsidR="00C00809" w:rsidRPr="00FE50A6">
        <w:rPr>
          <w:rFonts w:eastAsia="Batang" w:cs="Times"/>
          <w:noProof/>
          <w:szCs w:val="24"/>
          <w:lang w:val="en-US" w:eastAsia="es-ES"/>
        </w:rPr>
        <w:t>interpreted</w:t>
      </w:r>
      <w:r w:rsidR="00390C09" w:rsidRPr="00FE50A6">
        <w:rPr>
          <w:rFonts w:eastAsia="Batang" w:cs="Times"/>
          <w:noProof/>
          <w:szCs w:val="24"/>
          <w:lang w:val="en-US" w:eastAsia="es-ES"/>
        </w:rPr>
        <w:t xml:space="preserve"> the Court’s case law </w:t>
      </w:r>
      <w:r w:rsidR="00C00809" w:rsidRPr="00FE50A6">
        <w:rPr>
          <w:rFonts w:eastAsia="Batang" w:cs="Times"/>
          <w:noProof/>
          <w:szCs w:val="24"/>
          <w:lang w:val="en-US" w:eastAsia="es-ES"/>
        </w:rPr>
        <w:t xml:space="preserve">erroneously </w:t>
      </w:r>
      <w:r w:rsidR="00390C09" w:rsidRPr="00FE50A6">
        <w:rPr>
          <w:rFonts w:eastAsia="Batang" w:cs="Times"/>
          <w:noProof/>
          <w:szCs w:val="24"/>
          <w:lang w:val="en-US" w:eastAsia="es-ES"/>
        </w:rPr>
        <w:t xml:space="preserve">and </w:t>
      </w:r>
      <w:r w:rsidR="00C00809" w:rsidRPr="00FE50A6">
        <w:rPr>
          <w:rFonts w:eastAsia="Batang" w:cs="Times"/>
          <w:noProof/>
          <w:szCs w:val="24"/>
          <w:lang w:val="en-US" w:eastAsia="es-ES"/>
        </w:rPr>
        <w:t xml:space="preserve">had </w:t>
      </w:r>
      <w:r w:rsidR="00390C09" w:rsidRPr="00FE50A6">
        <w:rPr>
          <w:rFonts w:eastAsia="Batang" w:cs="Times"/>
          <w:noProof/>
          <w:szCs w:val="24"/>
          <w:lang w:val="en-US" w:eastAsia="es-ES"/>
        </w:rPr>
        <w:t xml:space="preserve">disregarded its previous rulings in contentious cases against Brazil, because the Court had already </w:t>
      </w:r>
      <w:r w:rsidR="00C00809" w:rsidRPr="00FE50A6">
        <w:rPr>
          <w:rFonts w:eastAsia="Batang" w:cs="Times"/>
          <w:noProof/>
          <w:szCs w:val="24"/>
          <w:lang w:val="en-US" w:eastAsia="es-ES"/>
        </w:rPr>
        <w:t>s</w:t>
      </w:r>
      <w:r w:rsidR="002220F8" w:rsidRPr="00FE50A6">
        <w:rPr>
          <w:rFonts w:eastAsia="Batang" w:cs="Times"/>
          <w:noProof/>
          <w:szCs w:val="24"/>
          <w:lang w:val="en-US" w:eastAsia="es-ES"/>
        </w:rPr>
        <w:t>tipulate</w:t>
      </w:r>
      <w:r w:rsidR="00390C09" w:rsidRPr="00FE50A6">
        <w:rPr>
          <w:rFonts w:eastAsia="Batang" w:cs="Times"/>
          <w:noProof/>
          <w:szCs w:val="24"/>
          <w:lang w:val="en-US" w:eastAsia="es-ES"/>
        </w:rPr>
        <w:t xml:space="preserve"> that, when determining whether it had </w:t>
      </w:r>
      <w:r w:rsidR="00C00809" w:rsidRPr="00FE50A6">
        <w:rPr>
          <w:rFonts w:eastAsia="Batang" w:cs="Times"/>
          <w:noProof/>
          <w:szCs w:val="24"/>
          <w:lang w:val="en-US" w:eastAsia="es-ES"/>
        </w:rPr>
        <w:t>competence</w:t>
      </w:r>
      <w:r w:rsidR="00390C09" w:rsidRPr="00FE50A6">
        <w:rPr>
          <w:rFonts w:eastAsia="Batang" w:cs="Times"/>
          <w:noProof/>
          <w:szCs w:val="24"/>
          <w:lang w:val="en-US" w:eastAsia="es-ES"/>
        </w:rPr>
        <w:t xml:space="preserve"> to examine a case or an aspect of a case, it </w:t>
      </w:r>
      <w:r w:rsidR="00C00809" w:rsidRPr="00FE50A6">
        <w:rPr>
          <w:rFonts w:eastAsia="Batang" w:cs="Times"/>
          <w:noProof/>
          <w:szCs w:val="24"/>
          <w:lang w:val="en-US" w:eastAsia="es-ES"/>
        </w:rPr>
        <w:t>had to</w:t>
      </w:r>
      <w:r w:rsidR="00390C09" w:rsidRPr="00FE50A6">
        <w:rPr>
          <w:rFonts w:eastAsia="Batang" w:cs="Times"/>
          <w:noProof/>
          <w:szCs w:val="24"/>
          <w:lang w:val="en-US" w:eastAsia="es-ES"/>
        </w:rPr>
        <w:t xml:space="preserve"> consider the date of </w:t>
      </w:r>
      <w:r w:rsidR="00C00809" w:rsidRPr="00FE50A6">
        <w:rPr>
          <w:rFonts w:eastAsia="Batang" w:cs="Times"/>
          <w:noProof/>
          <w:szCs w:val="24"/>
          <w:lang w:val="en-US" w:eastAsia="es-ES"/>
        </w:rPr>
        <w:t xml:space="preserve">the State’s </w:t>
      </w:r>
      <w:r w:rsidR="00390C09" w:rsidRPr="00FE50A6">
        <w:rPr>
          <w:rFonts w:eastAsia="Batang" w:cs="Times"/>
          <w:noProof/>
          <w:szCs w:val="24"/>
          <w:lang w:val="en-US" w:eastAsia="es-ES"/>
        </w:rPr>
        <w:t>acceptance of jurisdiction, as well as the terms on which th</w:t>
      </w:r>
      <w:r w:rsidR="00C00809" w:rsidRPr="00FE50A6">
        <w:rPr>
          <w:rFonts w:eastAsia="Batang" w:cs="Times"/>
          <w:noProof/>
          <w:szCs w:val="24"/>
          <w:lang w:val="en-US" w:eastAsia="es-ES"/>
        </w:rPr>
        <w:t>at</w:t>
      </w:r>
      <w:r w:rsidR="00390C09" w:rsidRPr="00FE50A6">
        <w:rPr>
          <w:rFonts w:eastAsia="Batang" w:cs="Times"/>
          <w:noProof/>
          <w:szCs w:val="24"/>
          <w:lang w:val="en-US" w:eastAsia="es-ES"/>
        </w:rPr>
        <w:t xml:space="preserve"> acceptance </w:t>
      </w:r>
      <w:r w:rsidR="00C00809" w:rsidRPr="00FE50A6">
        <w:rPr>
          <w:rFonts w:eastAsia="Batang" w:cs="Times"/>
          <w:noProof/>
          <w:szCs w:val="24"/>
          <w:lang w:val="en-US" w:eastAsia="es-ES"/>
        </w:rPr>
        <w:t>had been</w:t>
      </w:r>
      <w:r w:rsidR="00390C09" w:rsidRPr="00FE50A6">
        <w:rPr>
          <w:rFonts w:eastAsia="Batang" w:cs="Times"/>
          <w:noProof/>
          <w:szCs w:val="24"/>
          <w:lang w:val="en-US" w:eastAsia="es-ES"/>
        </w:rPr>
        <w:t xml:space="preserve"> made. T</w:t>
      </w:r>
      <w:r w:rsidRPr="00FE50A6">
        <w:rPr>
          <w:rFonts w:eastAsia="Batang" w:cs="Times"/>
          <w:noProof/>
          <w:szCs w:val="24"/>
          <w:lang w:val="en-US" w:eastAsia="es-ES"/>
        </w:rPr>
        <w:t>he representatives</w:t>
      </w:r>
      <w:r w:rsidR="000A52D5" w:rsidRPr="00FE50A6">
        <w:rPr>
          <w:rFonts w:eastAsia="Batang" w:cs="Times"/>
          <w:noProof/>
          <w:szCs w:val="24"/>
          <w:lang w:val="en-US" w:eastAsia="es-ES"/>
        </w:rPr>
        <w:t xml:space="preserve"> </w:t>
      </w:r>
      <w:r w:rsidR="00390C09" w:rsidRPr="00FE50A6">
        <w:rPr>
          <w:rFonts w:eastAsia="Batang" w:cs="Times"/>
          <w:noProof/>
          <w:szCs w:val="24"/>
          <w:lang w:val="en-US" w:eastAsia="es-ES"/>
        </w:rPr>
        <w:t>also argued that the Court had indicated that it had</w:t>
      </w:r>
      <w:r w:rsidR="00C00809" w:rsidRPr="00FE50A6">
        <w:rPr>
          <w:rFonts w:eastAsia="Batang" w:cs="Times"/>
          <w:noProof/>
          <w:szCs w:val="24"/>
          <w:lang w:val="en-US" w:eastAsia="es-ES"/>
        </w:rPr>
        <w:t xml:space="preserve"> competence</w:t>
      </w:r>
      <w:r w:rsidR="00390C09" w:rsidRPr="00FE50A6">
        <w:rPr>
          <w:rFonts w:eastAsia="Batang" w:cs="Times"/>
          <w:noProof/>
          <w:szCs w:val="24"/>
          <w:lang w:val="en-US" w:eastAsia="es-ES"/>
        </w:rPr>
        <w:t xml:space="preserve"> to analyze violations that</w:t>
      </w:r>
      <w:r w:rsidR="00B0394E" w:rsidRPr="00FE50A6">
        <w:rPr>
          <w:rFonts w:eastAsia="Batang" w:cs="Times"/>
          <w:noProof/>
          <w:szCs w:val="24"/>
          <w:lang w:val="en-US" w:eastAsia="es-ES"/>
        </w:rPr>
        <w:t>,</w:t>
      </w:r>
      <w:r w:rsidR="00390C09" w:rsidRPr="00FE50A6">
        <w:rPr>
          <w:rFonts w:eastAsia="Batang" w:cs="Times"/>
          <w:noProof/>
          <w:szCs w:val="24"/>
          <w:lang w:val="en-US" w:eastAsia="es-ES"/>
        </w:rPr>
        <w:t xml:space="preserve"> having </w:t>
      </w:r>
      <w:r w:rsidR="00B0394E" w:rsidRPr="00FE50A6">
        <w:rPr>
          <w:rFonts w:eastAsia="Batang" w:cs="Times"/>
          <w:noProof/>
          <w:szCs w:val="24"/>
          <w:lang w:val="en-US" w:eastAsia="es-ES"/>
        </w:rPr>
        <w:t>initiated</w:t>
      </w:r>
      <w:r w:rsidR="00390C09" w:rsidRPr="00FE50A6">
        <w:rPr>
          <w:rFonts w:eastAsia="Batang" w:cs="Times"/>
          <w:noProof/>
          <w:szCs w:val="24"/>
          <w:lang w:val="en-US" w:eastAsia="es-ES"/>
        </w:rPr>
        <w:t xml:space="preserve"> before the date on which its jurisdiction was accepted, might have continued or remained following such acceptance</w:t>
      </w:r>
      <w:r w:rsidR="000A52D5" w:rsidRPr="00FE50A6">
        <w:rPr>
          <w:rFonts w:eastAsia="Batang" w:cs="Times"/>
          <w:noProof/>
          <w:szCs w:val="24"/>
          <w:lang w:val="en-US" w:eastAsia="es-ES"/>
        </w:rPr>
        <w:t>.</w:t>
      </w:r>
    </w:p>
    <w:p w14:paraId="4D0928AC"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36A19EF" w14:textId="77777777" w:rsidR="000A52D5" w:rsidRPr="00FE50A6" w:rsidRDefault="00B0394E"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In addition, t</w:t>
      </w:r>
      <w:r w:rsidR="00700B79" w:rsidRPr="00FE50A6">
        <w:rPr>
          <w:rFonts w:eastAsia="Batang" w:cs="Times"/>
          <w:noProof/>
          <w:szCs w:val="24"/>
          <w:lang w:val="en-US" w:eastAsia="es-ES"/>
        </w:rPr>
        <w:t>he representatives</w:t>
      </w:r>
      <w:r w:rsidR="000A52D5" w:rsidRPr="00FE50A6">
        <w:rPr>
          <w:rFonts w:eastAsia="Batang" w:cs="Times"/>
          <w:noProof/>
          <w:szCs w:val="24"/>
          <w:lang w:val="en-US" w:eastAsia="es-ES"/>
        </w:rPr>
        <w:t xml:space="preserve"> </w:t>
      </w:r>
      <w:r w:rsidR="00390C09" w:rsidRPr="00FE50A6">
        <w:rPr>
          <w:rFonts w:eastAsia="Batang" w:cs="Times"/>
          <w:noProof/>
          <w:szCs w:val="24"/>
          <w:lang w:val="en-US" w:eastAsia="es-ES"/>
        </w:rPr>
        <w:t xml:space="preserve">argued that the forced disappearance of </w:t>
      </w:r>
      <w:r w:rsidR="00200C04" w:rsidRPr="00FE50A6">
        <w:rPr>
          <w:rFonts w:eastAsia="Batang" w:cs="Times"/>
          <w:noProof/>
          <w:szCs w:val="24"/>
          <w:lang w:val="en-US" w:eastAsia="es-ES"/>
        </w:rPr>
        <w:t>Luis Ferreira da Cruz</w:t>
      </w:r>
      <w:r w:rsidR="000A52D5" w:rsidRPr="00FE50A6">
        <w:rPr>
          <w:rFonts w:eastAsia="Batang" w:cs="Times"/>
          <w:noProof/>
          <w:szCs w:val="24"/>
          <w:lang w:val="en-US" w:eastAsia="es-ES"/>
        </w:rPr>
        <w:t xml:space="preserve">, </w:t>
      </w:r>
      <w:r w:rsidR="00390C09" w:rsidRPr="00FE50A6">
        <w:rPr>
          <w:rFonts w:eastAsia="Batang" w:cs="Times"/>
          <w:noProof/>
          <w:szCs w:val="24"/>
          <w:lang w:val="en-US" w:eastAsia="es-ES"/>
        </w:rPr>
        <w:t>occurred in August</w:t>
      </w:r>
      <w:r w:rsidR="000A52D5" w:rsidRPr="00FE50A6">
        <w:rPr>
          <w:rFonts w:eastAsia="Batang" w:cs="Times"/>
          <w:noProof/>
          <w:szCs w:val="24"/>
          <w:lang w:val="en-US" w:eastAsia="es-ES"/>
        </w:rPr>
        <w:t xml:space="preserve"> 1988,</w:t>
      </w:r>
      <w:r w:rsidR="00390C09" w:rsidRPr="00FE50A6">
        <w:rPr>
          <w:rFonts w:eastAsia="Batang" w:cs="Times"/>
          <w:noProof/>
          <w:szCs w:val="24"/>
          <w:lang w:val="en-US" w:eastAsia="es-ES"/>
        </w:rPr>
        <w:t xml:space="preserve"> continued after </w:t>
      </w:r>
      <w:r w:rsidR="00700B79" w:rsidRPr="00FE50A6">
        <w:rPr>
          <w:rFonts w:eastAsia="Batang" w:cs="Times"/>
          <w:noProof/>
          <w:szCs w:val="24"/>
          <w:lang w:val="en-US" w:eastAsia="es-ES"/>
        </w:rPr>
        <w:t>December 10,</w:t>
      </w:r>
      <w:r w:rsidR="000A52D5" w:rsidRPr="00FE50A6">
        <w:rPr>
          <w:rFonts w:eastAsia="Batang" w:cs="Times"/>
          <w:noProof/>
          <w:szCs w:val="24"/>
          <w:lang w:val="en-US" w:eastAsia="es-ES"/>
        </w:rPr>
        <w:t xml:space="preserve"> 1998</w:t>
      </w:r>
      <w:r w:rsidR="00390C09"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390C09" w:rsidRPr="00FE50A6">
        <w:rPr>
          <w:rFonts w:eastAsia="Batang" w:cs="Times"/>
          <w:noProof/>
          <w:szCs w:val="24"/>
          <w:lang w:val="en-US" w:eastAsia="es-ES"/>
        </w:rPr>
        <w:t>subsisted to this day, so that the State continue</w:t>
      </w:r>
      <w:r w:rsidRPr="00FE50A6">
        <w:rPr>
          <w:rFonts w:eastAsia="Batang" w:cs="Times"/>
          <w:noProof/>
          <w:szCs w:val="24"/>
          <w:lang w:val="en-US" w:eastAsia="es-ES"/>
        </w:rPr>
        <w:t>d</w:t>
      </w:r>
      <w:r w:rsidR="00390C09" w:rsidRPr="00FE50A6">
        <w:rPr>
          <w:rFonts w:eastAsia="Batang" w:cs="Times"/>
          <w:noProof/>
          <w:szCs w:val="24"/>
          <w:lang w:val="en-US" w:eastAsia="es-ES"/>
        </w:rPr>
        <w:t xml:space="preserve"> to incur international responsibility for </w:t>
      </w:r>
      <w:r w:rsidRPr="00FE50A6">
        <w:rPr>
          <w:rFonts w:eastAsia="Batang" w:cs="Times"/>
          <w:noProof/>
          <w:szCs w:val="24"/>
          <w:lang w:val="en-US" w:eastAsia="es-ES"/>
        </w:rPr>
        <w:t>failing to comply with</w:t>
      </w:r>
      <w:r w:rsidR="00390C09" w:rsidRPr="00FE50A6">
        <w:rPr>
          <w:rFonts w:eastAsia="Batang" w:cs="Times"/>
          <w:noProof/>
          <w:szCs w:val="24"/>
          <w:lang w:val="en-US" w:eastAsia="es-ES"/>
        </w:rPr>
        <w:t xml:space="preserve"> its obligation to ensure rights by </w:t>
      </w:r>
      <w:r w:rsidRPr="00FE50A6">
        <w:rPr>
          <w:rFonts w:eastAsia="Batang" w:cs="Times"/>
          <w:noProof/>
          <w:szCs w:val="24"/>
          <w:lang w:val="en-US" w:eastAsia="es-ES"/>
        </w:rPr>
        <w:t>not taking</w:t>
      </w:r>
      <w:r w:rsidR="00390C09" w:rsidRPr="00FE50A6">
        <w:rPr>
          <w:rFonts w:eastAsia="Batang" w:cs="Times"/>
          <w:noProof/>
          <w:szCs w:val="24"/>
          <w:lang w:val="en-US" w:eastAsia="es-ES"/>
        </w:rPr>
        <w:t xml:space="preserve"> effective steps to find the presumed victim.</w:t>
      </w:r>
    </w:p>
    <w:p w14:paraId="4871E2A8" w14:textId="77777777" w:rsidR="00B13CD7" w:rsidRPr="00FE50A6" w:rsidRDefault="00B13CD7" w:rsidP="00140440">
      <w:pPr>
        <w:pStyle w:val="Prrafodelista"/>
        <w:contextualSpacing w:val="0"/>
        <w:rPr>
          <w:rFonts w:eastAsia="Batang" w:cs="Times"/>
          <w:noProof/>
          <w:szCs w:val="24"/>
          <w:lang w:val="en-US" w:eastAsia="es-ES"/>
        </w:rPr>
      </w:pPr>
    </w:p>
    <w:p w14:paraId="5411122F" w14:textId="77777777" w:rsidR="00B13CD7" w:rsidRPr="00FE50A6" w:rsidRDefault="00390C0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w:t>
      </w:r>
      <w:r w:rsidR="00700B79" w:rsidRPr="00FE50A6">
        <w:rPr>
          <w:rFonts w:eastAsia="Batang" w:cs="Times"/>
          <w:noProof/>
          <w:szCs w:val="24"/>
          <w:lang w:val="en-US" w:eastAsia="es-ES"/>
        </w:rPr>
        <w:t xml:space="preserve"> representatives</w:t>
      </w:r>
      <w:r w:rsidR="00B13CD7" w:rsidRPr="00FE50A6">
        <w:rPr>
          <w:rFonts w:eastAsia="Batang" w:cs="Times"/>
          <w:noProof/>
          <w:szCs w:val="24"/>
          <w:lang w:val="en-US" w:eastAsia="es-ES"/>
        </w:rPr>
        <w:t xml:space="preserve"> </w:t>
      </w:r>
      <w:r w:rsidRPr="00FE50A6">
        <w:rPr>
          <w:rFonts w:eastAsia="Batang" w:cs="Times"/>
          <w:noProof/>
          <w:szCs w:val="24"/>
          <w:lang w:val="en-US" w:eastAsia="es-ES"/>
        </w:rPr>
        <w:t xml:space="preserve">also </w:t>
      </w:r>
      <w:r w:rsidR="00B13CD7" w:rsidRPr="00FE50A6">
        <w:rPr>
          <w:rFonts w:eastAsia="Batang" w:cs="Times"/>
          <w:noProof/>
          <w:szCs w:val="24"/>
          <w:lang w:val="en-US" w:eastAsia="es-ES"/>
        </w:rPr>
        <w:t>al</w:t>
      </w:r>
      <w:r w:rsidRPr="00FE50A6">
        <w:rPr>
          <w:rFonts w:eastAsia="Batang" w:cs="Times"/>
          <w:noProof/>
          <w:szCs w:val="24"/>
          <w:lang w:val="en-US" w:eastAsia="es-ES"/>
        </w:rPr>
        <w:t>leged violations arising from the failure to investigate s</w:t>
      </w:r>
      <w:r w:rsidR="00B0394E" w:rsidRPr="00FE50A6">
        <w:rPr>
          <w:rFonts w:eastAsia="Batang" w:cs="Times"/>
          <w:noProof/>
          <w:szCs w:val="24"/>
          <w:lang w:val="en-US" w:eastAsia="es-ES"/>
        </w:rPr>
        <w:t>la</w:t>
      </w:r>
      <w:r w:rsidRPr="00FE50A6">
        <w:rPr>
          <w:rFonts w:eastAsia="Batang" w:cs="Times"/>
          <w:noProof/>
          <w:szCs w:val="24"/>
          <w:lang w:val="en-US" w:eastAsia="es-ES"/>
        </w:rPr>
        <w:t xml:space="preserve">ve labor and forced disappearances in </w:t>
      </w:r>
      <w:r w:rsidR="00B13CD7"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B13CD7" w:rsidRPr="00FE50A6">
        <w:rPr>
          <w:rFonts w:eastAsia="Batang" w:cs="Times"/>
          <w:noProof/>
          <w:szCs w:val="24"/>
          <w:lang w:val="en-US" w:eastAsia="es-ES"/>
        </w:rPr>
        <w:t xml:space="preserve"> </w:t>
      </w:r>
      <w:r w:rsidRPr="00FE50A6">
        <w:rPr>
          <w:rFonts w:eastAsia="Batang" w:cs="Times"/>
          <w:noProof/>
          <w:szCs w:val="24"/>
          <w:lang w:val="en-US" w:eastAsia="es-ES"/>
        </w:rPr>
        <w:t>prior to</w:t>
      </w:r>
      <w:r w:rsidR="00B13CD7" w:rsidRPr="00FE50A6">
        <w:rPr>
          <w:rFonts w:eastAsia="Batang" w:cs="Times"/>
          <w:noProof/>
          <w:szCs w:val="24"/>
          <w:lang w:val="en-US" w:eastAsia="es-ES"/>
        </w:rPr>
        <w:t xml:space="preserve"> 1998. </w:t>
      </w:r>
      <w:r w:rsidRPr="00FE50A6">
        <w:rPr>
          <w:rFonts w:eastAsia="Batang" w:cs="Times"/>
          <w:noProof/>
          <w:szCs w:val="24"/>
          <w:lang w:val="en-US" w:eastAsia="es-ES"/>
        </w:rPr>
        <w:t>They indicated that the State was responsible for the failure to investigate the 1988 report of</w:t>
      </w:r>
      <w:r w:rsidR="00B13CD7" w:rsidRPr="00FE50A6">
        <w:rPr>
          <w:rFonts w:eastAsia="Batang" w:cs="Times"/>
          <w:noProof/>
          <w:szCs w:val="24"/>
          <w:lang w:val="en-US" w:eastAsia="es-ES"/>
        </w:rPr>
        <w:t xml:space="preserve"> </w:t>
      </w:r>
      <w:r w:rsidR="005F1946" w:rsidRPr="00FE50A6">
        <w:rPr>
          <w:rFonts w:eastAsia="Batang" w:cs="Times"/>
          <w:noProof/>
          <w:szCs w:val="24"/>
          <w:lang w:val="en-US" w:eastAsia="es-ES"/>
        </w:rPr>
        <w:lastRenderedPageBreak/>
        <w:t>slave labor</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forced disappearances, reiterated in 1992, </w:t>
      </w:r>
      <w:r w:rsidR="002220F8" w:rsidRPr="00FE50A6">
        <w:rPr>
          <w:rFonts w:eastAsia="Batang" w:cs="Times"/>
          <w:noProof/>
          <w:szCs w:val="24"/>
          <w:lang w:val="en-US" w:eastAsia="es-ES"/>
        </w:rPr>
        <w:t>and also following</w:t>
      </w:r>
      <w:r w:rsidRPr="00FE50A6">
        <w:rPr>
          <w:rFonts w:eastAsia="Batang" w:cs="Times"/>
          <w:noProof/>
          <w:szCs w:val="24"/>
          <w:lang w:val="en-US" w:eastAsia="es-ES"/>
        </w:rPr>
        <w:t xml:space="preserve"> the </w:t>
      </w:r>
      <w:r w:rsidR="00B13CD7" w:rsidRPr="00FE50A6">
        <w:rPr>
          <w:rFonts w:eastAsia="Batang" w:cs="Times"/>
          <w:noProof/>
          <w:szCs w:val="24"/>
          <w:lang w:val="en-US" w:eastAsia="es-ES"/>
        </w:rPr>
        <w:t>1989, 1993</w:t>
      </w:r>
      <w:r w:rsidR="00030C17" w:rsidRPr="00FE50A6">
        <w:rPr>
          <w:rFonts w:eastAsia="Batang" w:cs="Times"/>
          <w:noProof/>
          <w:szCs w:val="24"/>
          <w:lang w:val="en-US" w:eastAsia="es-ES"/>
        </w:rPr>
        <w:t xml:space="preserve"> and </w:t>
      </w:r>
      <w:r w:rsidR="00B13CD7" w:rsidRPr="00FE50A6">
        <w:rPr>
          <w:rFonts w:eastAsia="Batang" w:cs="Times"/>
          <w:noProof/>
          <w:szCs w:val="24"/>
          <w:lang w:val="en-US" w:eastAsia="es-ES"/>
        </w:rPr>
        <w:t>1996</w:t>
      </w:r>
      <w:r w:rsidR="00EA57D6" w:rsidRPr="00FE50A6">
        <w:rPr>
          <w:rFonts w:eastAsia="Batang" w:cs="Times"/>
          <w:noProof/>
          <w:szCs w:val="24"/>
          <w:lang w:val="en-US" w:eastAsia="es-ES"/>
        </w:rPr>
        <w:t xml:space="preserve"> inspections that revealed the existence of slave labor in the hacienda</w:t>
      </w:r>
      <w:r w:rsidR="00B13CD7" w:rsidRPr="00FE50A6">
        <w:rPr>
          <w:rFonts w:eastAsia="Batang" w:cs="Times"/>
          <w:noProof/>
          <w:szCs w:val="24"/>
          <w:lang w:val="en-US" w:eastAsia="es-ES"/>
        </w:rPr>
        <w:t>.</w:t>
      </w:r>
    </w:p>
    <w:p w14:paraId="2DF37608"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003EC64" w14:textId="77777777" w:rsidR="000A52D5" w:rsidRPr="00FE50A6" w:rsidRDefault="000A52D5" w:rsidP="000A20C1">
      <w:pPr>
        <w:pStyle w:val="Ttulo3"/>
        <w:rPr>
          <w:noProof/>
          <w:lang w:val="en-US" w:eastAsia="es-ES"/>
        </w:rPr>
      </w:pPr>
      <w:bookmarkStart w:id="93" w:name="_Toc460432974"/>
      <w:bookmarkStart w:id="94" w:name="_Toc460441905"/>
      <w:bookmarkStart w:id="95" w:name="_Toc462750725"/>
      <w:bookmarkStart w:id="96" w:name="_Toc462751049"/>
      <w:bookmarkStart w:id="97" w:name="_Toc464813901"/>
      <w:r w:rsidRPr="00FE50A6">
        <w:rPr>
          <w:noProof/>
          <w:lang w:val="en-US" w:eastAsia="es-ES"/>
        </w:rPr>
        <w:t xml:space="preserve">D.2. </w:t>
      </w:r>
      <w:r w:rsidR="000702CF" w:rsidRPr="00FE50A6">
        <w:rPr>
          <w:noProof/>
          <w:lang w:val="en-US" w:eastAsia="es-ES"/>
        </w:rPr>
        <w:t>Considerations</w:t>
      </w:r>
      <w:r w:rsidR="000228D0" w:rsidRPr="00FE50A6">
        <w:rPr>
          <w:noProof/>
          <w:lang w:val="en-US" w:eastAsia="es-ES"/>
        </w:rPr>
        <w:t xml:space="preserve"> of the Court</w:t>
      </w:r>
      <w:bookmarkEnd w:id="93"/>
      <w:bookmarkEnd w:id="94"/>
      <w:bookmarkEnd w:id="95"/>
      <w:bookmarkEnd w:id="96"/>
      <w:bookmarkEnd w:id="97"/>
    </w:p>
    <w:p w14:paraId="6190B036" w14:textId="77777777" w:rsidR="00076D1D" w:rsidRPr="00FE50A6" w:rsidRDefault="00076D1D" w:rsidP="00076D1D">
      <w:pPr>
        <w:rPr>
          <w:lang w:val="en-US" w:eastAsia="es-ES"/>
        </w:rPr>
      </w:pPr>
    </w:p>
    <w:p w14:paraId="06C4F970" w14:textId="77777777" w:rsidR="000A52D5" w:rsidRPr="00FE50A6" w:rsidRDefault="000228D0" w:rsidP="00D1095F">
      <w:pPr>
        <w:numPr>
          <w:ilvl w:val="0"/>
          <w:numId w:val="1"/>
        </w:numPr>
        <w:tabs>
          <w:tab w:val="clear" w:pos="4419"/>
          <w:tab w:val="clear" w:pos="8838"/>
        </w:tabs>
        <w:jc w:val="both"/>
        <w:rPr>
          <w:rFonts w:eastAsia="Batang" w:cs="Times"/>
          <w:noProof/>
          <w:szCs w:val="24"/>
          <w:lang w:val="en-US" w:eastAsia="es-ES"/>
        </w:rPr>
      </w:pPr>
      <w:r w:rsidRPr="00FE50A6">
        <w:rPr>
          <w:szCs w:val="20"/>
          <w:lang w:val="en-US"/>
        </w:rPr>
        <w:t>Brazil</w:t>
      </w:r>
      <w:r w:rsidR="00335CCC" w:rsidRPr="00FE50A6">
        <w:rPr>
          <w:szCs w:val="20"/>
          <w:lang w:val="en-US"/>
        </w:rPr>
        <w:t xml:space="preserve"> </w:t>
      </w:r>
      <w:r w:rsidR="00EA57D6" w:rsidRPr="00FE50A6">
        <w:rPr>
          <w:szCs w:val="20"/>
          <w:lang w:val="en-US"/>
        </w:rPr>
        <w:t xml:space="preserve">accepted the contentious jurisdiction </w:t>
      </w:r>
      <w:r w:rsidRPr="00FE50A6">
        <w:rPr>
          <w:szCs w:val="20"/>
          <w:lang w:val="en-US"/>
        </w:rPr>
        <w:t>of the Inter-American Court</w:t>
      </w:r>
      <w:r w:rsidR="00335CCC" w:rsidRPr="00FE50A6">
        <w:rPr>
          <w:szCs w:val="20"/>
          <w:lang w:val="en-US"/>
        </w:rPr>
        <w:t xml:space="preserve"> </w:t>
      </w:r>
      <w:r w:rsidR="00EA57D6" w:rsidRPr="00FE50A6">
        <w:rPr>
          <w:szCs w:val="20"/>
          <w:lang w:val="en-US"/>
        </w:rPr>
        <w:t>on</w:t>
      </w:r>
      <w:r w:rsidR="00335CCC" w:rsidRPr="00FE50A6">
        <w:rPr>
          <w:szCs w:val="20"/>
          <w:lang w:val="en-US"/>
        </w:rPr>
        <w:t xml:space="preserve"> </w:t>
      </w:r>
      <w:r w:rsidR="00700B79" w:rsidRPr="00FE50A6">
        <w:rPr>
          <w:szCs w:val="20"/>
          <w:lang w:val="en-US"/>
        </w:rPr>
        <w:t>December 10,</w:t>
      </w:r>
      <w:r w:rsidR="00335CCC" w:rsidRPr="00FE50A6">
        <w:rPr>
          <w:szCs w:val="20"/>
          <w:lang w:val="en-US"/>
        </w:rPr>
        <w:t xml:space="preserve"> 1998</w:t>
      </w:r>
      <w:r w:rsidR="00EA57D6" w:rsidRPr="00FE50A6">
        <w:rPr>
          <w:szCs w:val="20"/>
          <w:lang w:val="en-US"/>
        </w:rPr>
        <w:t>,</w:t>
      </w:r>
      <w:r w:rsidR="00030C17" w:rsidRPr="00FE50A6">
        <w:rPr>
          <w:szCs w:val="20"/>
          <w:lang w:val="en-US"/>
        </w:rPr>
        <w:t xml:space="preserve"> and</w:t>
      </w:r>
      <w:r w:rsidR="00EA57D6" w:rsidRPr="00FE50A6">
        <w:rPr>
          <w:szCs w:val="20"/>
          <w:lang w:val="en-US"/>
        </w:rPr>
        <w:t xml:space="preserve">, in its declaration, indicated that the Court would have jurisdiction with regard to </w:t>
      </w:r>
      <w:r w:rsidR="009C48A4" w:rsidRPr="00FE50A6">
        <w:rPr>
          <w:szCs w:val="20"/>
          <w:lang w:val="en-US"/>
        </w:rPr>
        <w:t>“</w:t>
      </w:r>
      <w:r w:rsidR="00EA57D6" w:rsidRPr="00FE50A6">
        <w:rPr>
          <w:szCs w:val="20"/>
          <w:lang w:val="en-US"/>
        </w:rPr>
        <w:t>facts subsequent</w:t>
      </w:r>
      <w:r w:rsidR="009C48A4" w:rsidRPr="00FE50A6">
        <w:rPr>
          <w:szCs w:val="20"/>
          <w:lang w:val="en-US"/>
        </w:rPr>
        <w:t>”</w:t>
      </w:r>
      <w:r w:rsidR="00EA57D6" w:rsidRPr="00FE50A6">
        <w:rPr>
          <w:szCs w:val="20"/>
          <w:lang w:val="en-US"/>
        </w:rPr>
        <w:t xml:space="preserve"> to this acceptance.</w:t>
      </w:r>
      <w:r w:rsidR="00335CCC" w:rsidRPr="00FE50A6">
        <w:rPr>
          <w:rStyle w:val="Refdenotaalpie"/>
          <w:lang w:val="en-US"/>
        </w:rPr>
        <w:footnoteReference w:id="43"/>
      </w:r>
      <w:r w:rsidR="00EA57D6" w:rsidRPr="00FE50A6">
        <w:rPr>
          <w:szCs w:val="20"/>
          <w:lang w:val="en-US"/>
        </w:rPr>
        <w:t xml:space="preserve"> Based on this and on the principle of non-retroactivity, the Court is unable to exercise its contentious jurisdiction</w:t>
      </w:r>
      <w:r w:rsidR="00076D1D" w:rsidRPr="00FE50A6">
        <w:rPr>
          <w:szCs w:val="20"/>
          <w:lang w:val="en-US"/>
        </w:rPr>
        <w:t xml:space="preserve"> in order</w:t>
      </w:r>
      <w:r w:rsidR="00EA57D6" w:rsidRPr="00FE50A6">
        <w:rPr>
          <w:szCs w:val="20"/>
          <w:lang w:val="en-US"/>
        </w:rPr>
        <w:t xml:space="preserve"> to apply</w:t>
      </w:r>
      <w:r w:rsidR="00335CCC" w:rsidRPr="00FE50A6">
        <w:rPr>
          <w:szCs w:val="20"/>
          <w:lang w:val="en-US"/>
        </w:rPr>
        <w:t xml:space="preserve"> </w:t>
      </w:r>
      <w:r w:rsidRPr="00FE50A6">
        <w:rPr>
          <w:szCs w:val="20"/>
          <w:lang w:val="en-US"/>
        </w:rPr>
        <w:t>the Convention</w:t>
      </w:r>
      <w:r w:rsidR="00030C17" w:rsidRPr="00FE50A6">
        <w:rPr>
          <w:szCs w:val="20"/>
          <w:lang w:val="en-US"/>
        </w:rPr>
        <w:t xml:space="preserve"> and </w:t>
      </w:r>
      <w:r w:rsidR="00335CCC" w:rsidRPr="00FE50A6">
        <w:rPr>
          <w:szCs w:val="20"/>
          <w:lang w:val="en-US"/>
        </w:rPr>
        <w:t>declar</w:t>
      </w:r>
      <w:r w:rsidR="00EA57D6" w:rsidRPr="00FE50A6">
        <w:rPr>
          <w:szCs w:val="20"/>
          <w:lang w:val="en-US"/>
        </w:rPr>
        <w:t xml:space="preserve">e a violation of </w:t>
      </w:r>
      <w:r w:rsidR="002220F8" w:rsidRPr="00FE50A6">
        <w:rPr>
          <w:szCs w:val="20"/>
          <w:lang w:val="en-US"/>
        </w:rPr>
        <w:t>its</w:t>
      </w:r>
      <w:r w:rsidR="00EA57D6" w:rsidRPr="00FE50A6">
        <w:rPr>
          <w:szCs w:val="20"/>
          <w:lang w:val="en-US"/>
        </w:rPr>
        <w:t xml:space="preserve"> norms when the alleged facts or the conduct of the State that could entail its international responsibility </w:t>
      </w:r>
      <w:r w:rsidR="002220F8" w:rsidRPr="00FE50A6">
        <w:rPr>
          <w:szCs w:val="20"/>
          <w:lang w:val="en-US"/>
        </w:rPr>
        <w:t>occurred</w:t>
      </w:r>
      <w:r w:rsidR="00EA57D6" w:rsidRPr="00FE50A6">
        <w:rPr>
          <w:szCs w:val="20"/>
          <w:lang w:val="en-US"/>
        </w:rPr>
        <w:t xml:space="preserve"> prior to this acceptance of jurisdiction.</w:t>
      </w:r>
      <w:r w:rsidR="00335CCC" w:rsidRPr="00FE50A6">
        <w:rPr>
          <w:rStyle w:val="Refdenotaalpie"/>
          <w:lang w:val="en-US"/>
        </w:rPr>
        <w:footnoteReference w:id="44"/>
      </w:r>
      <w:r w:rsidR="00D1095F" w:rsidRPr="00FE50A6">
        <w:rPr>
          <w:rFonts w:eastAsia="Batang" w:cs="Times"/>
          <w:noProof/>
          <w:szCs w:val="24"/>
          <w:lang w:val="en-US" w:eastAsia="es-ES"/>
        </w:rPr>
        <w:t xml:space="preserve"> </w:t>
      </w:r>
      <w:r w:rsidR="00EA57D6" w:rsidRPr="00FE50A6">
        <w:rPr>
          <w:rFonts w:eastAsia="Batang" w:cs="Times"/>
          <w:noProof/>
          <w:szCs w:val="24"/>
          <w:lang w:val="en-US" w:eastAsia="es-ES"/>
        </w:rPr>
        <w:t>Consequently, the facts that occurred before Brazil accepted the Court’s contentious jurisdiction fall outside its competence</w:t>
      </w:r>
      <w:r w:rsidR="000A52D5" w:rsidRPr="00FE50A6">
        <w:rPr>
          <w:rFonts w:eastAsia="Batang" w:cs="Times"/>
          <w:noProof/>
          <w:szCs w:val="24"/>
          <w:lang w:val="en-US" w:eastAsia="es-ES"/>
        </w:rPr>
        <w:t>.</w:t>
      </w:r>
    </w:p>
    <w:p w14:paraId="4DA1EDCA" w14:textId="77777777" w:rsidR="000A52D5" w:rsidRPr="00FE50A6" w:rsidRDefault="000A52D5" w:rsidP="00140440">
      <w:pPr>
        <w:tabs>
          <w:tab w:val="clear" w:pos="4419"/>
          <w:tab w:val="clear" w:pos="8838"/>
        </w:tabs>
        <w:jc w:val="both"/>
        <w:rPr>
          <w:rFonts w:eastAsia="Batang" w:cs="Times"/>
          <w:noProof/>
          <w:szCs w:val="24"/>
          <w:u w:val="single"/>
          <w:lang w:val="en-US" w:eastAsia="es-ES"/>
        </w:rPr>
      </w:pPr>
    </w:p>
    <w:p w14:paraId="582C4FC0" w14:textId="77777777" w:rsidR="000A52D5" w:rsidRPr="00FE50A6" w:rsidRDefault="00076D1D" w:rsidP="00587B28">
      <w:pPr>
        <w:numPr>
          <w:ilvl w:val="0"/>
          <w:numId w:val="1"/>
        </w:numPr>
        <w:tabs>
          <w:tab w:val="clear" w:pos="4419"/>
          <w:tab w:val="clear" w:pos="8838"/>
        </w:tabs>
        <w:jc w:val="both"/>
        <w:rPr>
          <w:rFonts w:eastAsia="Batang" w:cs="Times"/>
          <w:noProof/>
          <w:szCs w:val="24"/>
          <w:lang w:val="en-US" w:eastAsia="es-ES"/>
        </w:rPr>
      </w:pPr>
      <w:r w:rsidRPr="00FE50A6">
        <w:rPr>
          <w:spacing w:val="-3"/>
          <w:szCs w:val="20"/>
          <w:lang w:val="en-US"/>
        </w:rPr>
        <w:t>Nevertheless</w:t>
      </w:r>
      <w:r w:rsidR="00EA57D6" w:rsidRPr="00FE50A6">
        <w:rPr>
          <w:spacing w:val="-3"/>
          <w:szCs w:val="20"/>
          <w:lang w:val="en-US"/>
        </w:rPr>
        <w:t xml:space="preserve">, in its consistent case law, the Court has established that acts of a continuing or permanent nature </w:t>
      </w:r>
      <w:r w:rsidRPr="00FE50A6">
        <w:rPr>
          <w:spacing w:val="-3"/>
          <w:szCs w:val="20"/>
          <w:lang w:val="en-US"/>
        </w:rPr>
        <w:t>subsist</w:t>
      </w:r>
      <w:r w:rsidR="00587B28" w:rsidRPr="00FE50A6">
        <w:rPr>
          <w:spacing w:val="-3"/>
          <w:szCs w:val="20"/>
          <w:lang w:val="en-US"/>
        </w:rPr>
        <w:t xml:space="preserve"> </w:t>
      </w:r>
      <w:r w:rsidRPr="00FE50A6">
        <w:rPr>
          <w:spacing w:val="-3"/>
          <w:szCs w:val="20"/>
          <w:lang w:val="en-US"/>
        </w:rPr>
        <w:t>throughout</w:t>
      </w:r>
      <w:r w:rsidR="00587B28" w:rsidRPr="00FE50A6">
        <w:rPr>
          <w:spacing w:val="-3"/>
          <w:szCs w:val="20"/>
          <w:lang w:val="en-US"/>
        </w:rPr>
        <w:t xml:space="preserve"> the time the</w:t>
      </w:r>
      <w:r w:rsidRPr="00FE50A6">
        <w:rPr>
          <w:spacing w:val="-3"/>
          <w:szCs w:val="20"/>
          <w:lang w:val="en-US"/>
        </w:rPr>
        <w:t>y</w:t>
      </w:r>
      <w:r w:rsidR="00587B28" w:rsidRPr="00FE50A6">
        <w:rPr>
          <w:spacing w:val="-3"/>
          <w:szCs w:val="20"/>
          <w:lang w:val="en-US"/>
        </w:rPr>
        <w:t xml:space="preserve"> </w:t>
      </w:r>
      <w:r w:rsidR="002220F8" w:rsidRPr="00FE50A6">
        <w:rPr>
          <w:spacing w:val="-3"/>
          <w:szCs w:val="20"/>
          <w:lang w:val="en-US"/>
        </w:rPr>
        <w:t>persist</w:t>
      </w:r>
      <w:r w:rsidR="00587B28" w:rsidRPr="00FE50A6">
        <w:rPr>
          <w:spacing w:val="-3"/>
          <w:szCs w:val="20"/>
          <w:lang w:val="en-US"/>
        </w:rPr>
        <w:t xml:space="preserve">, </w:t>
      </w:r>
      <w:r w:rsidR="002220F8" w:rsidRPr="00FE50A6">
        <w:rPr>
          <w:spacing w:val="-3"/>
          <w:szCs w:val="20"/>
          <w:lang w:val="en-US"/>
        </w:rPr>
        <w:t>continuing</w:t>
      </w:r>
      <w:r w:rsidR="00587B28" w:rsidRPr="00FE50A6">
        <w:rPr>
          <w:spacing w:val="-3"/>
          <w:szCs w:val="20"/>
          <w:lang w:val="en-US"/>
        </w:rPr>
        <w:t xml:space="preserve"> the failure to conform to the international obligation. Accordingly, the Court recalls that the continuing or permanent nature of the forced disappearance of persons has been recognized repeatedly by international human rights law, under which the act of disappearance and its perpetration </w:t>
      </w:r>
      <w:r w:rsidRPr="00FE50A6">
        <w:rPr>
          <w:spacing w:val="-3"/>
          <w:szCs w:val="20"/>
          <w:lang w:val="en-US"/>
        </w:rPr>
        <w:t>begins</w:t>
      </w:r>
      <w:r w:rsidR="00587B28" w:rsidRPr="00FE50A6">
        <w:rPr>
          <w:spacing w:val="-3"/>
          <w:szCs w:val="20"/>
          <w:lang w:val="en-US"/>
        </w:rPr>
        <w:t xml:space="preserve"> with the deprivation of the person’s liberty and the subsequent lack of information about their fate, and remain</w:t>
      </w:r>
      <w:r w:rsidRPr="00FE50A6">
        <w:rPr>
          <w:spacing w:val="-3"/>
          <w:szCs w:val="20"/>
          <w:lang w:val="en-US"/>
        </w:rPr>
        <w:t>s</w:t>
      </w:r>
      <w:r w:rsidR="00587B28" w:rsidRPr="00FE50A6">
        <w:rPr>
          <w:spacing w:val="-3"/>
          <w:szCs w:val="20"/>
          <w:lang w:val="en-US"/>
        </w:rPr>
        <w:t xml:space="preserve"> until the whereabouts of the disappeared person are known and the facts have been elucidated.</w:t>
      </w:r>
      <w:r w:rsidR="000A52D5" w:rsidRPr="00FE50A6">
        <w:rPr>
          <w:rFonts w:eastAsia="Batang" w:cs="Times"/>
          <w:noProof/>
          <w:szCs w:val="24"/>
          <w:vertAlign w:val="superscript"/>
          <w:lang w:val="en-US" w:eastAsia="es-ES"/>
        </w:rPr>
        <w:footnoteReference w:id="45"/>
      </w:r>
      <w:r w:rsidR="00587B28" w:rsidRPr="00FE50A6">
        <w:rPr>
          <w:rFonts w:eastAsia="Batang" w:cs="Times"/>
          <w:noProof/>
          <w:szCs w:val="24"/>
          <w:lang w:val="en-US" w:eastAsia="es-ES"/>
        </w:rPr>
        <w:t xml:space="preserve"> Therefore, the Court is competent to analyze the alleged forced disappearance of</w:t>
      </w:r>
      <w:r w:rsidR="000A52D5" w:rsidRPr="00FE50A6">
        <w:rPr>
          <w:rFonts w:eastAsia="Batang" w:cs="Times"/>
          <w:noProof/>
          <w:szCs w:val="24"/>
          <w:lang w:val="en-US" w:eastAsia="es-ES"/>
        </w:rPr>
        <w:t xml:space="preserve"> </w:t>
      </w:r>
      <w:r w:rsidR="00200C04" w:rsidRPr="00FE50A6">
        <w:rPr>
          <w:rFonts w:eastAsia="Batang" w:cs="Times"/>
          <w:noProof/>
          <w:szCs w:val="24"/>
          <w:lang w:val="en-US" w:eastAsia="es-ES"/>
        </w:rPr>
        <w:t xml:space="preserve">Luis Ferreira </w:t>
      </w:r>
      <w:r w:rsidR="00701BB2" w:rsidRPr="00FE50A6">
        <w:rPr>
          <w:rFonts w:eastAsia="Batang" w:cs="Times"/>
          <w:noProof/>
          <w:szCs w:val="24"/>
          <w:lang w:val="en-US" w:eastAsia="es-ES"/>
        </w:rPr>
        <w:t xml:space="preserve">da Cruz </w:t>
      </w:r>
      <w:r w:rsidR="00587B28" w:rsidRPr="00FE50A6">
        <w:rPr>
          <w:rFonts w:eastAsia="Batang" w:cs="Times"/>
          <w:noProof/>
          <w:szCs w:val="24"/>
          <w:lang w:val="en-US" w:eastAsia="es-ES"/>
        </w:rPr>
        <w:t>and</w:t>
      </w:r>
      <w:r w:rsidR="00B13CD7" w:rsidRPr="00FE50A6">
        <w:rPr>
          <w:rFonts w:eastAsia="Batang" w:cs="Times"/>
          <w:noProof/>
          <w:szCs w:val="24"/>
          <w:lang w:val="en-US" w:eastAsia="es-ES"/>
        </w:rPr>
        <w:t xml:space="preserve"> </w:t>
      </w:r>
      <w:r w:rsidR="008B075C" w:rsidRPr="00FE50A6">
        <w:rPr>
          <w:rFonts w:eastAsia="Batang" w:cs="Times"/>
          <w:noProof/>
          <w:szCs w:val="24"/>
          <w:lang w:val="en-US" w:eastAsia="es-ES"/>
        </w:rPr>
        <w:t>Iron Canuto da Silva</w:t>
      </w:r>
      <w:r w:rsidR="00B13CD7" w:rsidRPr="00FE50A6">
        <w:rPr>
          <w:rFonts w:eastAsia="Batang" w:cs="Times"/>
          <w:noProof/>
          <w:szCs w:val="24"/>
          <w:lang w:val="en-US" w:eastAsia="es-ES"/>
        </w:rPr>
        <w:t xml:space="preserve"> </w:t>
      </w:r>
      <w:r w:rsidR="00587B28" w:rsidRPr="00FE50A6">
        <w:rPr>
          <w:rFonts w:eastAsia="Batang" w:cs="Times"/>
          <w:noProof/>
          <w:szCs w:val="24"/>
          <w:lang w:val="en-US" w:eastAsia="es-ES"/>
        </w:rPr>
        <w:t>followng Brazil’s acceptance of its jurisdiction</w:t>
      </w:r>
      <w:r w:rsidR="000A52D5" w:rsidRPr="00FE50A6">
        <w:rPr>
          <w:rFonts w:eastAsia="Batang" w:cs="Times"/>
          <w:noProof/>
          <w:szCs w:val="24"/>
          <w:lang w:val="en-US" w:eastAsia="es-ES"/>
        </w:rPr>
        <w:t xml:space="preserve">.  </w:t>
      </w:r>
    </w:p>
    <w:p w14:paraId="36FC4BC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7F3A84D" w14:textId="77777777" w:rsidR="000A52D5" w:rsidRPr="00FE50A6" w:rsidRDefault="00587B28"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Furthermore, the Court can examine and rule on the other alleged violations that are based on facts that occurred after </w:t>
      </w:r>
      <w:r w:rsidR="00700B79" w:rsidRPr="00FE50A6">
        <w:rPr>
          <w:rFonts w:eastAsia="Batang" w:cs="Times"/>
          <w:noProof/>
          <w:szCs w:val="24"/>
          <w:lang w:val="en-US" w:eastAsia="es-ES"/>
        </w:rPr>
        <w:t>December 10,</w:t>
      </w:r>
      <w:r w:rsidR="000A52D5" w:rsidRPr="00FE50A6">
        <w:rPr>
          <w:rFonts w:eastAsia="Batang" w:cs="Times"/>
          <w:noProof/>
          <w:szCs w:val="24"/>
          <w:lang w:val="en-US" w:eastAsia="es-ES"/>
        </w:rPr>
        <w:t xml:space="preserve"> 1998. </w:t>
      </w:r>
      <w:r w:rsidRPr="00FE50A6">
        <w:rPr>
          <w:rFonts w:eastAsia="Batang" w:cs="Times"/>
          <w:noProof/>
          <w:szCs w:val="24"/>
          <w:lang w:val="en-US" w:eastAsia="es-ES"/>
        </w:rPr>
        <w:t xml:space="preserve">Consequently, the Court is competent to analyze the supposed acts and omissions of the State that </w:t>
      </w:r>
      <w:r w:rsidR="00076D1D" w:rsidRPr="00FE50A6">
        <w:rPr>
          <w:rFonts w:eastAsia="Batang" w:cs="Times"/>
          <w:noProof/>
          <w:szCs w:val="24"/>
          <w:lang w:val="en-US" w:eastAsia="es-ES"/>
        </w:rPr>
        <w:t>occurred</w:t>
      </w:r>
      <w:r w:rsidRPr="00FE50A6">
        <w:rPr>
          <w:rFonts w:eastAsia="Batang" w:cs="Times"/>
          <w:noProof/>
          <w:szCs w:val="24"/>
          <w:lang w:val="en-US" w:eastAsia="es-ES"/>
        </w:rPr>
        <w:t xml:space="preserve"> </w:t>
      </w:r>
      <w:r w:rsidR="00923998" w:rsidRPr="00FE50A6">
        <w:rPr>
          <w:rFonts w:eastAsia="Batang" w:cs="Times"/>
          <w:noProof/>
          <w:szCs w:val="24"/>
          <w:lang w:val="en-US" w:eastAsia="es-ES"/>
        </w:rPr>
        <w:t>during</w:t>
      </w:r>
      <w:r w:rsidRPr="00FE50A6">
        <w:rPr>
          <w:rFonts w:eastAsia="Batang" w:cs="Times"/>
          <w:noProof/>
          <w:szCs w:val="24"/>
          <w:lang w:val="en-US" w:eastAsia="es-ES"/>
        </w:rPr>
        <w:t xml:space="preserve"> the investigations and proceedings related to the 1997 inspection conducted in</w:t>
      </w:r>
      <w:r w:rsidR="00325360" w:rsidRPr="00FE50A6">
        <w:rPr>
          <w:rFonts w:eastAsia="Batang" w:cs="Times"/>
          <w:noProof/>
          <w:szCs w:val="24"/>
          <w:lang w:val="en-US" w:eastAsia="es-ES"/>
        </w:rPr>
        <w:t xml:space="preserve"> Hacienda </w:t>
      </w:r>
      <w:r w:rsidR="00322241" w:rsidRPr="00FE50A6">
        <w:rPr>
          <w:rFonts w:eastAsia="Batang" w:cs="Times"/>
          <w:noProof/>
          <w:szCs w:val="24"/>
          <w:lang w:val="en-US" w:eastAsia="es-ES"/>
        </w:rPr>
        <w:t>Brasil Verde</w:t>
      </w:r>
      <w:r w:rsidR="00381411" w:rsidRPr="00FE50A6">
        <w:rPr>
          <w:rFonts w:eastAsia="Batang" w:cs="Times"/>
          <w:noProof/>
          <w:szCs w:val="24"/>
          <w:lang w:val="en-US" w:eastAsia="es-ES"/>
        </w:rPr>
        <w:t xml:space="preserve"> that</w:t>
      </w:r>
      <w:r w:rsidRPr="00FE50A6">
        <w:rPr>
          <w:rFonts w:eastAsia="Batang" w:cs="Times"/>
          <w:noProof/>
          <w:szCs w:val="24"/>
          <w:lang w:val="en-US" w:eastAsia="es-ES"/>
        </w:rPr>
        <w:t xml:space="preserve"> </w:t>
      </w:r>
      <w:r w:rsidR="00923998" w:rsidRPr="00FE50A6">
        <w:rPr>
          <w:rFonts w:eastAsia="Batang" w:cs="Times"/>
          <w:noProof/>
          <w:szCs w:val="24"/>
          <w:lang w:val="en-US" w:eastAsia="es-ES"/>
        </w:rPr>
        <w:t>took place</w:t>
      </w:r>
      <w:r w:rsidRPr="00FE50A6">
        <w:rPr>
          <w:rFonts w:eastAsia="Batang" w:cs="Times"/>
          <w:noProof/>
          <w:szCs w:val="24"/>
          <w:lang w:val="en-US" w:eastAsia="es-ES"/>
        </w:rPr>
        <w:t xml:space="preserve"> after Brazil had accepted the Court’s contentious jurisdiction, and also the facts related to the 2000 inspection and the proceedings instituted after this. Based on the foregoing, th</w:t>
      </w:r>
      <w:r w:rsidR="00923998" w:rsidRPr="00FE50A6">
        <w:rPr>
          <w:rFonts w:eastAsia="Batang" w:cs="Times"/>
          <w:noProof/>
          <w:szCs w:val="24"/>
          <w:lang w:val="en-US" w:eastAsia="es-ES"/>
        </w:rPr>
        <w:t>e</w:t>
      </w:r>
      <w:r w:rsidRPr="00FE50A6">
        <w:rPr>
          <w:rFonts w:eastAsia="Batang" w:cs="Times"/>
          <w:noProof/>
          <w:szCs w:val="24"/>
          <w:lang w:val="en-US" w:eastAsia="es-ES"/>
        </w:rPr>
        <w:t xml:space="preserve"> Court reaffirms its consistent case law on the </w:t>
      </w:r>
      <w:r w:rsidR="00923998" w:rsidRPr="00FE50A6">
        <w:rPr>
          <w:rFonts w:eastAsia="Batang" w:cs="Times"/>
          <w:noProof/>
          <w:szCs w:val="24"/>
          <w:lang w:val="en-US" w:eastAsia="es-ES"/>
        </w:rPr>
        <w:t>matter</w:t>
      </w:r>
      <w:r w:rsidRPr="00FE50A6">
        <w:rPr>
          <w:rFonts w:eastAsia="Batang" w:cs="Times"/>
          <w:noProof/>
          <w:szCs w:val="24"/>
          <w:lang w:val="en-US" w:eastAsia="es-ES"/>
        </w:rPr>
        <w:t xml:space="preserve"> and finds that the </w:t>
      </w:r>
      <w:r w:rsidR="00700B79" w:rsidRPr="00FE50A6">
        <w:rPr>
          <w:rFonts w:eastAsia="Batang" w:cs="Times"/>
          <w:noProof/>
          <w:szCs w:val="24"/>
          <w:lang w:val="en-US" w:eastAsia="es-ES"/>
        </w:rPr>
        <w:t>preliminary objection</w:t>
      </w:r>
      <w:r w:rsidRPr="00FE50A6">
        <w:rPr>
          <w:rFonts w:eastAsia="Batang" w:cs="Times"/>
          <w:noProof/>
          <w:szCs w:val="24"/>
          <w:lang w:val="en-US" w:eastAsia="es-ES"/>
        </w:rPr>
        <w:t xml:space="preserve"> is </w:t>
      </w:r>
      <w:r w:rsidR="00A521FB" w:rsidRPr="00FE50A6">
        <w:rPr>
          <w:rFonts w:eastAsia="Batang" w:cs="Times"/>
          <w:noProof/>
          <w:szCs w:val="24"/>
          <w:lang w:val="en-US" w:eastAsia="es-ES"/>
        </w:rPr>
        <w:t xml:space="preserve">partially </w:t>
      </w:r>
      <w:r w:rsidRPr="00FE50A6">
        <w:rPr>
          <w:rFonts w:eastAsia="Batang" w:cs="Times"/>
          <w:noProof/>
          <w:szCs w:val="24"/>
          <w:lang w:val="en-US" w:eastAsia="es-ES"/>
        </w:rPr>
        <w:t>justified.</w:t>
      </w:r>
    </w:p>
    <w:p w14:paraId="298C3C62"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3F54E1A" w14:textId="77777777" w:rsidR="000A52D5" w:rsidRPr="00FE50A6" w:rsidRDefault="008A7089" w:rsidP="008B0BCC">
      <w:pPr>
        <w:pStyle w:val="Ttulo2"/>
        <w:numPr>
          <w:ilvl w:val="0"/>
          <w:numId w:val="15"/>
        </w:numPr>
      </w:pPr>
      <w:bookmarkStart w:id="98" w:name="_Toc464813902"/>
      <w:r w:rsidRPr="00FE50A6">
        <w:rPr>
          <w:i w:val="0"/>
        </w:rPr>
        <w:t xml:space="preserve">Alleged lack </w:t>
      </w:r>
      <w:r w:rsidR="00822837" w:rsidRPr="00FE50A6">
        <w:rPr>
          <w:i w:val="0"/>
        </w:rPr>
        <w:t>of jurisdiction</w:t>
      </w:r>
      <w:r w:rsidR="000A52D5" w:rsidRPr="00FE50A6">
        <w:rPr>
          <w:i w:val="0"/>
        </w:rPr>
        <w:t xml:space="preserve"> ratione materiae</w:t>
      </w:r>
      <w:r w:rsidR="000A52D5" w:rsidRPr="00FE50A6">
        <w:t xml:space="preserve"> </w:t>
      </w:r>
      <w:r w:rsidR="00822837" w:rsidRPr="00FE50A6">
        <w:t>based on violation of the principle of the subsidiary nature of the</w:t>
      </w:r>
      <w:r w:rsidR="000A52D5" w:rsidRPr="00FE50A6">
        <w:t xml:space="preserve"> </w:t>
      </w:r>
      <w:r w:rsidR="0084006F" w:rsidRPr="00FE50A6">
        <w:t>inter-American system</w:t>
      </w:r>
      <w:bookmarkEnd w:id="98"/>
      <w:r w:rsidR="000A52D5" w:rsidRPr="00FE50A6">
        <w:t xml:space="preserve"> </w:t>
      </w:r>
    </w:p>
    <w:p w14:paraId="74C1EE6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EE38650" w14:textId="77777777" w:rsidR="000A52D5" w:rsidRPr="00FE50A6" w:rsidRDefault="004E598D" w:rsidP="000A20C1">
      <w:pPr>
        <w:pStyle w:val="Ttulo3"/>
        <w:rPr>
          <w:noProof/>
          <w:lang w:val="en-US" w:eastAsia="es-ES"/>
        </w:rPr>
      </w:pPr>
      <w:bookmarkStart w:id="99" w:name="_Toc460432976"/>
      <w:bookmarkStart w:id="100" w:name="_Toc460441907"/>
      <w:bookmarkStart w:id="101" w:name="_Toc462750727"/>
      <w:bookmarkStart w:id="102" w:name="_Toc462751051"/>
      <w:bookmarkStart w:id="103" w:name="_Toc464813903"/>
      <w:r w:rsidRPr="00FE50A6">
        <w:rPr>
          <w:noProof/>
          <w:lang w:val="en-US" w:eastAsia="es-ES"/>
        </w:rPr>
        <w:t>E</w:t>
      </w:r>
      <w:r w:rsidR="000A52D5" w:rsidRPr="00FE50A6">
        <w:rPr>
          <w:noProof/>
          <w:lang w:val="en-US" w:eastAsia="es-ES"/>
        </w:rPr>
        <w:t xml:space="preserve">.1.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99"/>
      <w:bookmarkEnd w:id="100"/>
      <w:bookmarkEnd w:id="101"/>
      <w:bookmarkEnd w:id="102"/>
      <w:bookmarkEnd w:id="103"/>
    </w:p>
    <w:p w14:paraId="09A47B0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60FF4AA" w14:textId="77777777" w:rsidR="000A52D5" w:rsidRPr="00FE50A6" w:rsidRDefault="000228D0" w:rsidP="00A521FB">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noProof/>
          <w:szCs w:val="24"/>
          <w:lang w:val="en-US" w:eastAsia="es-ES"/>
        </w:rPr>
        <w:t>State</w:t>
      </w:r>
      <w:r w:rsidR="000A52D5" w:rsidRPr="00FE50A6">
        <w:rPr>
          <w:rFonts w:eastAsia="Batang" w:cs="Times"/>
          <w:noProof/>
          <w:szCs w:val="24"/>
          <w:lang w:val="en-US" w:eastAsia="es-ES"/>
        </w:rPr>
        <w:t xml:space="preserve"> </w:t>
      </w:r>
      <w:r w:rsidR="00A521FB" w:rsidRPr="00FE50A6">
        <w:rPr>
          <w:rFonts w:eastAsia="Batang" w:cs="Times"/>
          <w:noProof/>
          <w:szCs w:val="24"/>
          <w:lang w:val="en-US" w:eastAsia="es-ES"/>
        </w:rPr>
        <w:t xml:space="preserve">indicated that the domestic judicial remedies were duly concluded by the competent authorities and that the representatives’ discrepancy with their conclusions was insufficient to </w:t>
      </w:r>
      <w:r w:rsidR="00381411" w:rsidRPr="00FE50A6">
        <w:rPr>
          <w:rFonts w:eastAsia="Batang" w:cs="Times"/>
          <w:noProof/>
          <w:szCs w:val="24"/>
          <w:lang w:val="en-US" w:eastAsia="es-ES"/>
        </w:rPr>
        <w:t>justify</w:t>
      </w:r>
      <w:r w:rsidR="00A521FB" w:rsidRPr="00FE50A6">
        <w:rPr>
          <w:rFonts w:eastAsia="Batang" w:cs="Times"/>
          <w:noProof/>
          <w:szCs w:val="24"/>
          <w:lang w:val="en-US" w:eastAsia="es-ES"/>
        </w:rPr>
        <w:t xml:space="preserve"> recourse to the </w:t>
      </w:r>
      <w:r w:rsidR="0084006F" w:rsidRPr="00FE50A6">
        <w:rPr>
          <w:rFonts w:eastAsia="Batang" w:cs="Times"/>
          <w:noProof/>
          <w:szCs w:val="24"/>
          <w:lang w:val="en-US" w:eastAsia="es-ES"/>
        </w:rPr>
        <w:t>inter-American system</w:t>
      </w:r>
      <w:r w:rsidR="000A52D5" w:rsidRPr="00FE50A6">
        <w:rPr>
          <w:rFonts w:eastAsia="Batang" w:cs="Times"/>
          <w:noProof/>
          <w:szCs w:val="24"/>
          <w:lang w:val="en-US" w:eastAsia="es-ES"/>
        </w:rPr>
        <w:t xml:space="preserve">. </w:t>
      </w:r>
      <w:r w:rsidR="00A521FB" w:rsidRPr="00FE50A6">
        <w:rPr>
          <w:rFonts w:eastAsia="Batang" w:cs="Times"/>
          <w:noProof/>
          <w:szCs w:val="24"/>
          <w:lang w:val="en-US" w:eastAsia="es-ES"/>
        </w:rPr>
        <w:t>The</w:t>
      </w:r>
      <w:r w:rsidRPr="00FE50A6">
        <w:rPr>
          <w:rFonts w:eastAsia="Batang" w:cs="Times"/>
          <w:noProof/>
          <w:szCs w:val="24"/>
          <w:lang w:val="en-US" w:eastAsia="es-ES"/>
        </w:rPr>
        <w:t xml:space="preserve"> State</w:t>
      </w:r>
      <w:r w:rsidR="00A521FB" w:rsidRPr="00FE50A6">
        <w:rPr>
          <w:rFonts w:eastAsia="Batang" w:cs="Times"/>
          <w:noProof/>
          <w:szCs w:val="24"/>
          <w:lang w:val="en-US" w:eastAsia="es-ES"/>
        </w:rPr>
        <w:t xml:space="preserve"> also asserted that it was only possible to resort to the inter-American system in the hypothesis that the </w:t>
      </w:r>
      <w:r w:rsidR="00A521FB" w:rsidRPr="00FE50A6">
        <w:rPr>
          <w:rFonts w:eastAsia="Batang" w:cs="Times"/>
          <w:noProof/>
          <w:szCs w:val="24"/>
          <w:lang w:val="en-US" w:eastAsia="es-ES"/>
        </w:rPr>
        <w:lastRenderedPageBreak/>
        <w:t xml:space="preserve">exhaustion of the domestic remedy did not lead to a conclusive ruling by the competent authority </w:t>
      </w:r>
      <w:r w:rsidR="00923998" w:rsidRPr="00FE50A6">
        <w:rPr>
          <w:rFonts w:eastAsia="Batang" w:cs="Times"/>
          <w:noProof/>
          <w:szCs w:val="24"/>
          <w:lang w:val="en-US" w:eastAsia="es-ES"/>
        </w:rPr>
        <w:t>on</w:t>
      </w:r>
      <w:r w:rsidR="00A521FB" w:rsidRPr="00FE50A6">
        <w:rPr>
          <w:rFonts w:eastAsia="Batang" w:cs="Times"/>
          <w:noProof/>
          <w:szCs w:val="24"/>
          <w:lang w:val="en-US" w:eastAsia="es-ES"/>
        </w:rPr>
        <w:t xml:space="preserve"> whether or not a presumed violation existed. It indicat</w:t>
      </w:r>
      <w:r w:rsidR="00923998" w:rsidRPr="00FE50A6">
        <w:rPr>
          <w:rFonts w:eastAsia="Batang" w:cs="Times"/>
          <w:noProof/>
          <w:szCs w:val="24"/>
          <w:lang w:val="en-US" w:eastAsia="es-ES"/>
        </w:rPr>
        <w:t>e</w:t>
      </w:r>
      <w:r w:rsidR="00A521FB" w:rsidRPr="00FE50A6">
        <w:rPr>
          <w:rFonts w:eastAsia="Batang" w:cs="Times"/>
          <w:noProof/>
          <w:szCs w:val="24"/>
          <w:lang w:val="en-US" w:eastAsia="es-ES"/>
        </w:rPr>
        <w:t>d that</w:t>
      </w:r>
      <w:r w:rsidR="00923998" w:rsidRPr="00FE50A6">
        <w:rPr>
          <w:rFonts w:eastAsia="Batang" w:cs="Times"/>
          <w:noProof/>
          <w:szCs w:val="24"/>
          <w:lang w:val="en-US" w:eastAsia="es-ES"/>
        </w:rPr>
        <w:t>,</w:t>
      </w:r>
      <w:r w:rsidR="00A521FB" w:rsidRPr="00FE50A6">
        <w:rPr>
          <w:rFonts w:eastAsia="Batang" w:cs="Times"/>
          <w:noProof/>
          <w:szCs w:val="24"/>
          <w:lang w:val="en-US" w:eastAsia="es-ES"/>
        </w:rPr>
        <w:t xml:space="preserve"> if the Court assumed jurisdiction, it would be substituting the domestic authorities and acting as a kind of </w:t>
      </w:r>
      <w:r w:rsidR="009C48A4" w:rsidRPr="00FE50A6">
        <w:rPr>
          <w:rFonts w:eastAsia="Batang" w:cs="Times"/>
          <w:noProof/>
          <w:szCs w:val="24"/>
          <w:lang w:val="en-US" w:eastAsia="es-ES"/>
        </w:rPr>
        <w:t>“</w:t>
      </w:r>
      <w:r w:rsidR="00A521FB" w:rsidRPr="00FE50A6">
        <w:rPr>
          <w:rFonts w:eastAsia="Batang" w:cs="Times"/>
          <w:noProof/>
          <w:szCs w:val="24"/>
          <w:lang w:val="en-US" w:eastAsia="es-ES"/>
        </w:rPr>
        <w:t>domestic fourth instance court of appeal.</w:t>
      </w:r>
      <w:r w:rsidR="009C48A4" w:rsidRPr="00FE50A6">
        <w:rPr>
          <w:rFonts w:eastAsia="Batang" w:cs="Times"/>
          <w:noProof/>
          <w:szCs w:val="24"/>
          <w:lang w:val="en-US" w:eastAsia="es-ES"/>
        </w:rPr>
        <w:t>”</w:t>
      </w:r>
      <w:r w:rsidR="00A521FB" w:rsidRPr="00FE50A6">
        <w:rPr>
          <w:rFonts w:eastAsia="Batang" w:cs="Times"/>
          <w:noProof/>
          <w:szCs w:val="24"/>
          <w:lang w:val="en-US" w:eastAsia="es-ES"/>
        </w:rPr>
        <w:t xml:space="preserve"> In addition, it affirmed that </w:t>
      </w:r>
      <w:r w:rsidR="00381411" w:rsidRPr="00FE50A6">
        <w:rPr>
          <w:rFonts w:eastAsia="Batang" w:cs="Times"/>
          <w:noProof/>
          <w:szCs w:val="24"/>
          <w:lang w:val="en-US" w:eastAsia="es-ES"/>
        </w:rPr>
        <w:t>several</w:t>
      </w:r>
      <w:r w:rsidR="00A521FB" w:rsidRPr="00FE50A6">
        <w:rPr>
          <w:rFonts w:eastAsia="Batang" w:cs="Times"/>
          <w:noProof/>
          <w:szCs w:val="24"/>
          <w:lang w:val="en-US" w:eastAsia="es-ES"/>
        </w:rPr>
        <w:t xml:space="preserve"> domestic remedies to investigate supposed human rights violations </w:t>
      </w:r>
      <w:r w:rsidR="00923998" w:rsidRPr="00FE50A6">
        <w:rPr>
          <w:rFonts w:eastAsia="Batang" w:cs="Times"/>
          <w:noProof/>
          <w:szCs w:val="24"/>
          <w:lang w:val="en-US" w:eastAsia="es-ES"/>
        </w:rPr>
        <w:t xml:space="preserve">perpetrated </w:t>
      </w:r>
      <w:r w:rsidR="00A521FB" w:rsidRPr="00FE50A6">
        <w:rPr>
          <w:rFonts w:eastAsia="Batang" w:cs="Times"/>
          <w:noProof/>
          <w:szCs w:val="24"/>
          <w:lang w:val="en-US" w:eastAsia="es-ES"/>
        </w:rPr>
        <w:t xml:space="preserve">against Hacienda Brasil Verde workers had been filed at different times and duly processed, and that </w:t>
      </w:r>
      <w:r w:rsidR="00381411" w:rsidRPr="00FE50A6">
        <w:rPr>
          <w:rFonts w:eastAsia="Batang" w:cs="Times"/>
          <w:noProof/>
          <w:szCs w:val="24"/>
          <w:lang w:val="en-US" w:eastAsia="es-ES"/>
        </w:rPr>
        <w:t>they had all</w:t>
      </w:r>
      <w:r w:rsidR="00A521FB" w:rsidRPr="00FE50A6">
        <w:rPr>
          <w:rFonts w:eastAsia="Batang" w:cs="Times"/>
          <w:noProof/>
          <w:szCs w:val="24"/>
          <w:lang w:val="en-US" w:eastAsia="es-ES"/>
        </w:rPr>
        <w:t xml:space="preserve"> </w:t>
      </w:r>
      <w:r w:rsidR="00F353B6" w:rsidRPr="00FE50A6">
        <w:rPr>
          <w:rFonts w:eastAsia="Batang" w:cs="Times"/>
          <w:noProof/>
          <w:szCs w:val="24"/>
          <w:lang w:val="en-US" w:eastAsia="es-ES"/>
        </w:rPr>
        <w:t>been conducted and concluded by the competent authorities</w:t>
      </w:r>
      <w:r w:rsidR="000A52D5" w:rsidRPr="00FE50A6">
        <w:rPr>
          <w:rFonts w:eastAsia="Batang" w:cs="Times"/>
          <w:noProof/>
          <w:szCs w:val="24"/>
          <w:lang w:val="en-US" w:eastAsia="es-ES"/>
        </w:rPr>
        <w:t xml:space="preserve">. </w:t>
      </w:r>
    </w:p>
    <w:p w14:paraId="2D29D7A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943F159" w14:textId="77777777" w:rsidR="000A52D5" w:rsidRPr="00FE50A6" w:rsidRDefault="00F353B6"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Lastly</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indic</w:t>
      </w:r>
      <w:r w:rsidRPr="00FE50A6">
        <w:rPr>
          <w:rFonts w:eastAsia="Batang" w:cs="Times"/>
          <w:noProof/>
          <w:szCs w:val="24"/>
          <w:lang w:val="en-US" w:eastAsia="es-ES"/>
        </w:rPr>
        <w:t xml:space="preserve">ated that the domestic courts had </w:t>
      </w:r>
      <w:r w:rsidR="00923998" w:rsidRPr="00FE50A6">
        <w:rPr>
          <w:rFonts w:eastAsia="Batang" w:cs="Times"/>
          <w:noProof/>
          <w:szCs w:val="24"/>
          <w:lang w:val="en-US" w:eastAsia="es-ES"/>
        </w:rPr>
        <w:t>functioned</w:t>
      </w:r>
      <w:r w:rsidRPr="00FE50A6">
        <w:rPr>
          <w:rFonts w:eastAsia="Batang" w:cs="Times"/>
          <w:noProof/>
          <w:szCs w:val="24"/>
          <w:lang w:val="en-US" w:eastAsia="es-ES"/>
        </w:rPr>
        <w:t xml:space="preserve"> appropriately to redress the pecuniary damage suffered by the </w:t>
      </w:r>
      <w:r w:rsidR="00030C17"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30C17" w:rsidRPr="00FE50A6">
        <w:rPr>
          <w:rFonts w:eastAsia="Batang" w:cs="Times"/>
          <w:noProof/>
          <w:szCs w:val="24"/>
          <w:lang w:val="en-US" w:eastAsia="es-ES"/>
        </w:rPr>
        <w:t xml:space="preserve"> </w:t>
      </w:r>
      <w:r w:rsidRPr="00FE50A6">
        <w:rPr>
          <w:rFonts w:eastAsia="Batang" w:cs="Times"/>
          <w:noProof/>
          <w:szCs w:val="24"/>
          <w:lang w:val="en-US" w:eastAsia="es-ES"/>
        </w:rPr>
        <w:t>w</w:t>
      </w:r>
      <w:r w:rsidR="00030C17" w:rsidRPr="00FE50A6">
        <w:rPr>
          <w:rFonts w:eastAsia="Batang" w:cs="Times"/>
          <w:noProof/>
          <w:szCs w:val="24"/>
          <w:lang w:val="en-US" w:eastAsia="es-ES"/>
        </w:rPr>
        <w:t>orkers</w:t>
      </w:r>
      <w:r w:rsidR="000A52D5"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asserted that the Court did not have competence to rule on the request for reparation for pecuniary damage. </w:t>
      </w:r>
    </w:p>
    <w:p w14:paraId="7E8EB39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38C2336"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 xml:space="preserve">indicated that it was for the Court, at the merits stage, to analyze whether the domestic proceedings had constituted an appropriate and effective means of achieving </w:t>
      </w:r>
      <w:r w:rsidR="00D11A9F" w:rsidRPr="00FE50A6">
        <w:rPr>
          <w:rFonts w:eastAsia="Batang" w:cs="Times"/>
          <w:noProof/>
          <w:szCs w:val="24"/>
          <w:lang w:val="en-US" w:eastAsia="es-ES"/>
        </w:rPr>
        <w:t>judicial protection</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 xml:space="preserve">in relation to the violated rights; thus, the State’s allegation could not be decided as a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w:t>
      </w:r>
    </w:p>
    <w:p w14:paraId="722F9E90"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7E2F340" w14:textId="77777777" w:rsidR="000A52D5" w:rsidRPr="00FE50A6" w:rsidRDefault="00700B79" w:rsidP="00F353B6">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indicated that</w:t>
      </w:r>
      <w:r w:rsidR="00923998" w:rsidRPr="00FE50A6">
        <w:rPr>
          <w:rFonts w:eastAsia="Batang" w:cs="Times"/>
          <w:noProof/>
          <w:szCs w:val="24"/>
          <w:lang w:val="en-US" w:eastAsia="es-ES"/>
        </w:rPr>
        <w:t>,</w:t>
      </w:r>
      <w:r w:rsidR="00F353B6" w:rsidRPr="00FE50A6">
        <w:rPr>
          <w:rFonts w:eastAsia="Batang" w:cs="Times"/>
          <w:noProof/>
          <w:szCs w:val="24"/>
          <w:lang w:val="en-US" w:eastAsia="es-ES"/>
        </w:rPr>
        <w:t xml:space="preserve"> for the </w:t>
      </w:r>
      <w:r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 xml:space="preserve">of the fourth instance to be admissible, the victims’ representatives </w:t>
      </w:r>
      <w:r w:rsidR="00923998" w:rsidRPr="00FE50A6">
        <w:rPr>
          <w:rFonts w:eastAsia="Batang" w:cs="Times"/>
          <w:noProof/>
          <w:szCs w:val="24"/>
          <w:lang w:val="en-US" w:eastAsia="es-ES"/>
        </w:rPr>
        <w:t xml:space="preserve">would have </w:t>
      </w:r>
      <w:r w:rsidR="00F353B6" w:rsidRPr="00FE50A6">
        <w:rPr>
          <w:rFonts w:eastAsia="Batang" w:cs="Times"/>
          <w:noProof/>
          <w:szCs w:val="24"/>
          <w:lang w:val="en-US" w:eastAsia="es-ES"/>
        </w:rPr>
        <w:t xml:space="preserve">had </w:t>
      </w:r>
      <w:r w:rsidR="00381411" w:rsidRPr="00FE50A6">
        <w:rPr>
          <w:rFonts w:eastAsia="Batang" w:cs="Times"/>
          <w:noProof/>
          <w:szCs w:val="24"/>
          <w:lang w:val="en-US" w:eastAsia="es-ES"/>
        </w:rPr>
        <w:t xml:space="preserve">to </w:t>
      </w:r>
      <w:r w:rsidR="00F353B6" w:rsidRPr="00FE50A6">
        <w:rPr>
          <w:rFonts w:eastAsia="Batang" w:cs="Times"/>
          <w:noProof/>
          <w:szCs w:val="24"/>
          <w:lang w:val="en-US" w:eastAsia="es-ES"/>
        </w:rPr>
        <w:t xml:space="preserve">ask the Court to review the domestic judgments </w:t>
      </w:r>
      <w:r w:rsidR="00923998" w:rsidRPr="00FE50A6">
        <w:rPr>
          <w:rFonts w:eastAsia="Batang" w:cs="Times"/>
          <w:noProof/>
          <w:szCs w:val="24"/>
          <w:lang w:val="en-US" w:eastAsia="es-ES"/>
        </w:rPr>
        <w:t>with regard to</w:t>
      </w:r>
      <w:r w:rsidR="00F353B6" w:rsidRPr="00FE50A6">
        <w:rPr>
          <w:rFonts w:eastAsia="Batang" w:cs="Times"/>
          <w:noProof/>
          <w:szCs w:val="24"/>
          <w:lang w:val="en-US" w:eastAsia="es-ES"/>
        </w:rPr>
        <w:t xml:space="preserve"> an incorrect evaluation of the evidence, the facts or domestic law</w:t>
      </w:r>
      <w:r w:rsidR="00381411" w:rsidRPr="00FE50A6">
        <w:rPr>
          <w:rFonts w:eastAsia="Batang" w:cs="Times"/>
          <w:noProof/>
          <w:szCs w:val="24"/>
          <w:lang w:val="en-US" w:eastAsia="es-ES"/>
        </w:rPr>
        <w:t xml:space="preserve"> only</w:t>
      </w:r>
      <w:r w:rsidR="00F353B6" w:rsidRPr="00FE50A6">
        <w:rPr>
          <w:rFonts w:eastAsia="Batang" w:cs="Times"/>
          <w:noProof/>
          <w:szCs w:val="24"/>
          <w:lang w:val="en-US" w:eastAsia="es-ES"/>
        </w:rPr>
        <w:t>. They asserted that they had not asked the Court to review the ruling</w:t>
      </w:r>
      <w:r w:rsidR="00381411" w:rsidRPr="00FE50A6">
        <w:rPr>
          <w:rFonts w:eastAsia="Batang" w:cs="Times"/>
          <w:noProof/>
          <w:szCs w:val="24"/>
          <w:lang w:val="en-US" w:eastAsia="es-ES"/>
        </w:rPr>
        <w:t>s</w:t>
      </w:r>
      <w:r w:rsidR="00F353B6" w:rsidRPr="00FE50A6">
        <w:rPr>
          <w:rFonts w:eastAsia="Batang" w:cs="Times"/>
          <w:noProof/>
          <w:szCs w:val="24"/>
          <w:lang w:val="en-US" w:eastAsia="es-ES"/>
        </w:rPr>
        <w:t xml:space="preserve"> issued by the </w:t>
      </w:r>
      <w:r w:rsidR="00381411" w:rsidRPr="00FE50A6">
        <w:rPr>
          <w:rFonts w:eastAsia="Batang" w:cs="Times"/>
          <w:noProof/>
          <w:szCs w:val="24"/>
          <w:lang w:val="en-US" w:eastAsia="es-ES"/>
        </w:rPr>
        <w:t>domestic</w:t>
      </w:r>
      <w:r w:rsidR="00F353B6" w:rsidRPr="00FE50A6">
        <w:rPr>
          <w:rFonts w:eastAsia="Batang" w:cs="Times"/>
          <w:noProof/>
          <w:szCs w:val="24"/>
          <w:lang w:val="en-US" w:eastAsia="es-ES"/>
        </w:rPr>
        <w:t xml:space="preserve"> courts</w:t>
      </w:r>
      <w:r w:rsidR="00923998" w:rsidRPr="00FE50A6">
        <w:rPr>
          <w:rFonts w:eastAsia="Batang" w:cs="Times"/>
          <w:noProof/>
          <w:szCs w:val="24"/>
          <w:lang w:val="en-US" w:eastAsia="es-ES"/>
        </w:rPr>
        <w:t>;</w:t>
      </w:r>
      <w:r w:rsidR="00F353B6" w:rsidRPr="00FE50A6">
        <w:rPr>
          <w:rFonts w:eastAsia="Batang" w:cs="Times"/>
          <w:noProof/>
          <w:szCs w:val="24"/>
          <w:lang w:val="en-US" w:eastAsia="es-ES"/>
        </w:rPr>
        <w:t xml:space="preserve"> rather</w:t>
      </w:r>
      <w:r w:rsidR="00923998" w:rsidRPr="00FE50A6">
        <w:rPr>
          <w:rFonts w:eastAsia="Batang" w:cs="Times"/>
          <w:noProof/>
          <w:szCs w:val="24"/>
          <w:lang w:val="en-US" w:eastAsia="es-ES"/>
        </w:rPr>
        <w:t xml:space="preserve">, </w:t>
      </w:r>
      <w:r w:rsidR="00F353B6" w:rsidRPr="00FE50A6">
        <w:rPr>
          <w:rFonts w:eastAsia="Batang" w:cs="Times"/>
          <w:noProof/>
          <w:szCs w:val="24"/>
          <w:lang w:val="en-US" w:eastAsia="es-ES"/>
        </w:rPr>
        <w:t xml:space="preserve">they had questioned the rulings </w:t>
      </w:r>
      <w:r w:rsidR="00381411" w:rsidRPr="00FE50A6">
        <w:rPr>
          <w:rFonts w:eastAsia="Batang" w:cs="Times"/>
          <w:noProof/>
          <w:szCs w:val="24"/>
          <w:lang w:val="en-US" w:eastAsia="es-ES"/>
        </w:rPr>
        <w:t>made by</w:t>
      </w:r>
      <w:r w:rsidR="00F353B6" w:rsidRPr="00FE50A6">
        <w:rPr>
          <w:rFonts w:eastAsia="Batang" w:cs="Times"/>
          <w:noProof/>
          <w:szCs w:val="24"/>
          <w:lang w:val="en-US" w:eastAsia="es-ES"/>
        </w:rPr>
        <w:t xml:space="preserve"> different </w:t>
      </w:r>
      <w:r w:rsidR="00381411" w:rsidRPr="00FE50A6">
        <w:rPr>
          <w:rFonts w:eastAsia="Batang" w:cs="Times"/>
          <w:noProof/>
          <w:szCs w:val="24"/>
          <w:lang w:val="en-US" w:eastAsia="es-ES"/>
        </w:rPr>
        <w:t>S</w:t>
      </w:r>
      <w:r w:rsidR="00F353B6" w:rsidRPr="00FE50A6">
        <w:rPr>
          <w:rFonts w:eastAsia="Batang" w:cs="Times"/>
          <w:noProof/>
          <w:szCs w:val="24"/>
          <w:lang w:val="en-US" w:eastAsia="es-ES"/>
        </w:rPr>
        <w:t xml:space="preserve">tate agents that </w:t>
      </w:r>
      <w:r w:rsidR="00923998" w:rsidRPr="00FE50A6">
        <w:rPr>
          <w:rFonts w:eastAsia="Batang" w:cs="Times"/>
          <w:noProof/>
          <w:szCs w:val="24"/>
          <w:lang w:val="en-US" w:eastAsia="es-ES"/>
        </w:rPr>
        <w:t xml:space="preserve">had </w:t>
      </w:r>
      <w:r w:rsidR="00F353B6" w:rsidRPr="00FE50A6">
        <w:rPr>
          <w:rFonts w:eastAsia="Batang" w:cs="Times"/>
          <w:noProof/>
          <w:szCs w:val="24"/>
          <w:lang w:val="en-US" w:eastAsia="es-ES"/>
        </w:rPr>
        <w:t>resulted in violation</w:t>
      </w:r>
      <w:r w:rsidR="00923998" w:rsidRPr="00FE50A6">
        <w:rPr>
          <w:rFonts w:eastAsia="Batang" w:cs="Times"/>
          <w:noProof/>
          <w:szCs w:val="24"/>
          <w:lang w:val="en-US" w:eastAsia="es-ES"/>
        </w:rPr>
        <w:t>s</w:t>
      </w:r>
      <w:r w:rsidR="00F353B6" w:rsidRPr="00FE50A6">
        <w:rPr>
          <w:rFonts w:eastAsia="Batang" w:cs="Times"/>
          <w:noProof/>
          <w:szCs w:val="24"/>
          <w:lang w:val="en-US" w:eastAsia="es-ES"/>
        </w:rPr>
        <w:t xml:space="preserve"> of the obligation to provide effective </w:t>
      </w:r>
      <w:r w:rsidR="00D11A9F" w:rsidRPr="00FE50A6">
        <w:rPr>
          <w:rFonts w:eastAsia="Batang" w:cs="Times"/>
          <w:noProof/>
          <w:szCs w:val="24"/>
          <w:lang w:val="en-US" w:eastAsia="es-ES"/>
        </w:rPr>
        <w:t>judicial protection</w:t>
      </w:r>
      <w:r w:rsidR="000A52D5" w:rsidRPr="00FE50A6">
        <w:rPr>
          <w:rFonts w:eastAsia="Batang" w:cs="Times"/>
          <w:noProof/>
          <w:szCs w:val="24"/>
          <w:lang w:val="en-US" w:eastAsia="es-ES"/>
        </w:rPr>
        <w:t xml:space="preserve"> </w:t>
      </w:r>
      <w:r w:rsidR="00030C17" w:rsidRPr="00FE50A6">
        <w:rPr>
          <w:rFonts w:eastAsia="Batang" w:cs="Times"/>
          <w:noProof/>
          <w:szCs w:val="24"/>
          <w:lang w:val="en-US" w:eastAsia="es-ES"/>
        </w:rPr>
        <w:t xml:space="preserve">and </w:t>
      </w:r>
      <w:r w:rsidR="00D11A9F" w:rsidRPr="00FE50A6">
        <w:rPr>
          <w:rFonts w:eastAsia="Batang" w:cs="Times"/>
          <w:noProof/>
          <w:szCs w:val="24"/>
          <w:lang w:val="en-US" w:eastAsia="es-ES"/>
        </w:rPr>
        <w:t>judicial guarantees</w:t>
      </w:r>
      <w:r w:rsidR="0010513B" w:rsidRPr="00FE50A6">
        <w:rPr>
          <w:rFonts w:eastAsia="Batang" w:cs="Times"/>
          <w:noProof/>
          <w:szCs w:val="24"/>
          <w:lang w:val="en-US" w:eastAsia="es-ES"/>
        </w:rPr>
        <w:t>,</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the lack of appropriate and effective measures to prevent t</w:t>
      </w:r>
      <w:r w:rsidR="00703850" w:rsidRPr="00FE50A6">
        <w:rPr>
          <w:rFonts w:eastAsia="Batang" w:cs="Times"/>
          <w:noProof/>
          <w:szCs w:val="24"/>
          <w:lang w:val="en-US" w:eastAsia="es-ES"/>
        </w:rPr>
        <w:t>he violation</w:t>
      </w:r>
      <w:r w:rsidR="00030C17" w:rsidRPr="00FE50A6">
        <w:rPr>
          <w:rFonts w:eastAsia="Batang" w:cs="Times"/>
          <w:noProof/>
          <w:szCs w:val="24"/>
          <w:lang w:val="en-US" w:eastAsia="es-ES"/>
        </w:rPr>
        <w:t xml:space="preserve"> of</w:t>
      </w:r>
      <w:r w:rsidR="000A52D5" w:rsidRPr="00FE50A6">
        <w:rPr>
          <w:rFonts w:eastAsia="Batang" w:cs="Times"/>
          <w:noProof/>
          <w:szCs w:val="24"/>
          <w:lang w:val="en-US" w:eastAsia="es-ES"/>
        </w:rPr>
        <w:t xml:space="preserve"> </w:t>
      </w:r>
      <w:r w:rsidR="00F353B6" w:rsidRPr="00FE50A6">
        <w:rPr>
          <w:rFonts w:eastAsia="Batang" w:cs="Times"/>
          <w:noProof/>
          <w:szCs w:val="24"/>
          <w:lang w:val="en-US" w:eastAsia="es-ES"/>
        </w:rPr>
        <w:t xml:space="preserve">the victims’ human rights, and the absence of comprehensive assistance for them, which constituted specific violations of </w:t>
      </w:r>
      <w:r w:rsidR="000228D0"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w:t>
      </w:r>
    </w:p>
    <w:p w14:paraId="489A9852"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DD252DC" w14:textId="77777777" w:rsidR="00B45CF2" w:rsidRPr="00FE50A6" w:rsidRDefault="00F353B6"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Lastly,</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Pr="00FE50A6">
        <w:rPr>
          <w:rFonts w:eastAsia="Batang" w:cs="Times"/>
          <w:noProof/>
          <w:szCs w:val="24"/>
          <w:lang w:val="en-US" w:eastAsia="es-ES"/>
        </w:rPr>
        <w:t>indicated that, in this case,</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Pr="00FE50A6">
        <w:rPr>
          <w:rFonts w:eastAsia="Batang" w:cs="Times"/>
          <w:noProof/>
          <w:szCs w:val="24"/>
          <w:lang w:val="en-US" w:eastAsia="es-ES"/>
        </w:rPr>
        <w:t>should analyze</w:t>
      </w:r>
      <w:r w:rsidR="00B45CF2" w:rsidRPr="00FE50A6">
        <w:rPr>
          <w:rFonts w:eastAsia="Batang" w:cs="Times"/>
          <w:noProof/>
          <w:szCs w:val="24"/>
          <w:lang w:val="en-US" w:eastAsia="es-ES"/>
        </w:rPr>
        <w:t xml:space="preserve"> whether violations of judicial protection and guarantees of due process were effectively constituted, including an evaluation of the reasons </w:t>
      </w:r>
      <w:r w:rsidR="0046238F" w:rsidRPr="00FE50A6">
        <w:rPr>
          <w:rFonts w:eastAsia="Batang" w:cs="Times"/>
          <w:noProof/>
          <w:szCs w:val="24"/>
          <w:lang w:val="en-US" w:eastAsia="es-ES"/>
        </w:rPr>
        <w:t>for</w:t>
      </w:r>
      <w:r w:rsidR="00B45CF2" w:rsidRPr="00FE50A6">
        <w:rPr>
          <w:rFonts w:eastAsia="Batang" w:cs="Times"/>
          <w:noProof/>
          <w:szCs w:val="24"/>
          <w:lang w:val="en-US" w:eastAsia="es-ES"/>
        </w:rPr>
        <w:t xml:space="preserve"> the delay in the investigation</w:t>
      </w:r>
      <w:r w:rsidR="00381411" w:rsidRPr="00FE50A6">
        <w:rPr>
          <w:rFonts w:eastAsia="Batang" w:cs="Times"/>
          <w:noProof/>
          <w:szCs w:val="24"/>
          <w:lang w:val="en-US" w:eastAsia="es-ES"/>
        </w:rPr>
        <w:t xml:space="preserve"> procedure</w:t>
      </w:r>
      <w:r w:rsidR="00B45CF2" w:rsidRPr="00FE50A6">
        <w:rPr>
          <w:rFonts w:eastAsia="Batang" w:cs="Times"/>
          <w:noProof/>
          <w:szCs w:val="24"/>
          <w:lang w:val="en-US" w:eastAsia="es-ES"/>
        </w:rPr>
        <w:t xml:space="preserve"> and </w:t>
      </w:r>
      <w:r w:rsidR="00381411" w:rsidRPr="00FE50A6">
        <w:rPr>
          <w:rFonts w:eastAsia="Batang" w:cs="Times"/>
          <w:noProof/>
          <w:szCs w:val="24"/>
          <w:lang w:val="en-US" w:eastAsia="es-ES"/>
        </w:rPr>
        <w:t>its</w:t>
      </w:r>
      <w:r w:rsidR="00B45CF2" w:rsidRPr="00FE50A6">
        <w:rPr>
          <w:rFonts w:eastAsia="Batang" w:cs="Times"/>
          <w:noProof/>
          <w:szCs w:val="24"/>
          <w:lang w:val="en-US" w:eastAsia="es-ES"/>
        </w:rPr>
        <w:t xml:space="preserve"> eventual prescription, and this corresponded to the examination of the merits of the case.</w:t>
      </w:r>
    </w:p>
    <w:p w14:paraId="38C1B04B" w14:textId="77777777" w:rsidR="000A52D5" w:rsidRPr="00FE50A6" w:rsidRDefault="000A52D5" w:rsidP="00140440">
      <w:p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   </w:t>
      </w:r>
    </w:p>
    <w:p w14:paraId="7994F626" w14:textId="77777777" w:rsidR="000A52D5" w:rsidRPr="00FE50A6" w:rsidRDefault="00DA56A4" w:rsidP="000A20C1">
      <w:pPr>
        <w:pStyle w:val="Ttulo3"/>
        <w:rPr>
          <w:noProof/>
          <w:lang w:val="en-US" w:eastAsia="es-ES"/>
        </w:rPr>
      </w:pPr>
      <w:bookmarkStart w:id="104" w:name="_Toc460432977"/>
      <w:bookmarkStart w:id="105" w:name="_Toc460441908"/>
      <w:bookmarkStart w:id="106" w:name="_Toc462750728"/>
      <w:bookmarkStart w:id="107" w:name="_Toc462751052"/>
      <w:bookmarkStart w:id="108" w:name="_Toc464813904"/>
      <w:r w:rsidRPr="00FE50A6">
        <w:rPr>
          <w:noProof/>
          <w:lang w:val="en-US" w:eastAsia="es-ES"/>
        </w:rPr>
        <w:t>E</w:t>
      </w:r>
      <w:r w:rsidR="000A52D5" w:rsidRPr="00FE50A6">
        <w:rPr>
          <w:noProof/>
          <w:lang w:val="en-US" w:eastAsia="es-ES"/>
        </w:rPr>
        <w:t xml:space="preserve">.2. </w:t>
      </w:r>
      <w:r w:rsidR="000702CF" w:rsidRPr="00FE50A6">
        <w:rPr>
          <w:noProof/>
          <w:lang w:val="en-US" w:eastAsia="es-ES"/>
        </w:rPr>
        <w:t>Considerations</w:t>
      </w:r>
      <w:r w:rsidR="000228D0" w:rsidRPr="00FE50A6">
        <w:rPr>
          <w:noProof/>
          <w:lang w:val="en-US" w:eastAsia="es-ES"/>
        </w:rPr>
        <w:t xml:space="preserve"> of the Court</w:t>
      </w:r>
      <w:bookmarkEnd w:id="104"/>
      <w:bookmarkEnd w:id="105"/>
      <w:bookmarkEnd w:id="106"/>
      <w:bookmarkEnd w:id="107"/>
      <w:bookmarkEnd w:id="108"/>
    </w:p>
    <w:p w14:paraId="62B405E4" w14:textId="77777777" w:rsidR="003C0330" w:rsidRPr="00FE50A6" w:rsidRDefault="003C0330" w:rsidP="00140440">
      <w:pPr>
        <w:tabs>
          <w:tab w:val="clear" w:pos="4419"/>
          <w:tab w:val="clear" w:pos="8838"/>
        </w:tabs>
        <w:jc w:val="both"/>
        <w:rPr>
          <w:rFonts w:eastAsia="Batang" w:cs="Times"/>
          <w:noProof/>
          <w:szCs w:val="24"/>
          <w:lang w:val="en-US" w:eastAsia="es-ES"/>
        </w:rPr>
      </w:pPr>
    </w:p>
    <w:p w14:paraId="2F52DFDC" w14:textId="77777777" w:rsidR="000A52D5" w:rsidRPr="00FE50A6" w:rsidRDefault="002071B1" w:rsidP="00950EFD">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ha</w:t>
      </w:r>
      <w:r w:rsidR="00B45CF2" w:rsidRPr="00FE50A6">
        <w:rPr>
          <w:rFonts w:eastAsia="Batang" w:cs="Times"/>
          <w:noProof/>
          <w:szCs w:val="24"/>
          <w:lang w:val="en-US" w:eastAsia="es-ES"/>
        </w:rPr>
        <w:t>s established that the international jurisdiction is of a subsidiary and complementary nature</w:t>
      </w:r>
      <w:r w:rsidR="000A52D5" w:rsidRPr="00FE50A6">
        <w:rPr>
          <w:rFonts w:eastAsia="Batang" w:cs="Times"/>
          <w:noProof/>
          <w:szCs w:val="24"/>
          <w:vertAlign w:val="superscript"/>
          <w:lang w:val="en-US" w:eastAsia="es-ES"/>
        </w:rPr>
        <w:footnoteReference w:id="46"/>
      </w:r>
      <w:r w:rsidR="00950EFD" w:rsidRPr="00FE50A6">
        <w:rPr>
          <w:rFonts w:eastAsia="Batang" w:cs="Times"/>
          <w:noProof/>
          <w:szCs w:val="24"/>
          <w:lang w:val="en-US" w:eastAsia="es-ES"/>
        </w:rPr>
        <w:t xml:space="preserve"> and, therefore, it does not perform the functions of a court of </w:t>
      </w:r>
      <w:r w:rsidR="009C48A4" w:rsidRPr="00FE50A6">
        <w:rPr>
          <w:rFonts w:eastAsia="Batang" w:cs="Times"/>
          <w:noProof/>
          <w:szCs w:val="24"/>
          <w:lang w:val="en-US" w:eastAsia="es-ES"/>
        </w:rPr>
        <w:t>“</w:t>
      </w:r>
      <w:r w:rsidR="00950EFD" w:rsidRPr="00FE50A6">
        <w:rPr>
          <w:rFonts w:eastAsia="Batang" w:cs="Times"/>
          <w:noProof/>
          <w:szCs w:val="24"/>
          <w:lang w:val="en-US" w:eastAsia="es-ES"/>
        </w:rPr>
        <w:t>fourth instance.</w:t>
      </w:r>
      <w:r w:rsidR="009C48A4" w:rsidRPr="00FE50A6">
        <w:rPr>
          <w:rFonts w:eastAsia="Batang" w:cs="Times"/>
          <w:noProof/>
          <w:szCs w:val="24"/>
          <w:lang w:val="en-US" w:eastAsia="es-ES"/>
        </w:rPr>
        <w:t>”</w:t>
      </w:r>
      <w:r w:rsidR="00950EFD" w:rsidRPr="00FE50A6">
        <w:rPr>
          <w:rFonts w:eastAsia="Batang" w:cs="Times"/>
          <w:noProof/>
          <w:szCs w:val="24"/>
          <w:lang w:val="en-US" w:eastAsia="es-ES"/>
        </w:rPr>
        <w:t xml:space="preserve"> Moreover, it is not a high court or court of appeal to decide any dis</w:t>
      </w:r>
      <w:r w:rsidR="006965BD" w:rsidRPr="00FE50A6">
        <w:rPr>
          <w:rFonts w:eastAsia="Batang" w:cs="Times"/>
          <w:noProof/>
          <w:szCs w:val="24"/>
          <w:lang w:val="en-US" w:eastAsia="es-ES"/>
        </w:rPr>
        <w:t>agreements</w:t>
      </w:r>
      <w:r w:rsidR="00950EFD" w:rsidRPr="00FE50A6">
        <w:rPr>
          <w:rFonts w:eastAsia="Batang" w:cs="Times"/>
          <w:noProof/>
          <w:szCs w:val="24"/>
          <w:lang w:val="en-US" w:eastAsia="es-ES"/>
        </w:rPr>
        <w:t xml:space="preserve"> between the parties on elements </w:t>
      </w:r>
      <w:r w:rsidR="006965BD" w:rsidRPr="00FE50A6">
        <w:rPr>
          <w:rFonts w:eastAsia="Batang" w:cs="Times"/>
          <w:noProof/>
          <w:szCs w:val="24"/>
          <w:lang w:val="en-US" w:eastAsia="es-ES"/>
        </w:rPr>
        <w:t>concerning</w:t>
      </w:r>
      <w:r w:rsidR="00950EFD" w:rsidRPr="00FE50A6">
        <w:rPr>
          <w:rFonts w:eastAsia="Batang" w:cs="Times"/>
          <w:noProof/>
          <w:szCs w:val="24"/>
          <w:lang w:val="en-US" w:eastAsia="es-ES"/>
        </w:rPr>
        <w:t xml:space="preserve"> </w:t>
      </w:r>
      <w:r w:rsidR="006965BD" w:rsidRPr="00FE50A6">
        <w:rPr>
          <w:rFonts w:eastAsia="Batang" w:cs="Times"/>
          <w:noProof/>
          <w:szCs w:val="24"/>
          <w:lang w:val="en-US" w:eastAsia="es-ES"/>
        </w:rPr>
        <w:t xml:space="preserve">the </w:t>
      </w:r>
      <w:r w:rsidR="00950EFD" w:rsidRPr="00FE50A6">
        <w:rPr>
          <w:rFonts w:eastAsia="Batang" w:cs="Times"/>
          <w:noProof/>
          <w:szCs w:val="24"/>
          <w:lang w:val="en-US" w:eastAsia="es-ES"/>
        </w:rPr>
        <w:t>evaluation of the evidence or</w:t>
      </w:r>
      <w:r w:rsidR="006965BD" w:rsidRPr="00FE50A6">
        <w:rPr>
          <w:rFonts w:eastAsia="Batang" w:cs="Times"/>
          <w:noProof/>
          <w:szCs w:val="24"/>
          <w:lang w:val="en-US" w:eastAsia="es-ES"/>
        </w:rPr>
        <w:t xml:space="preserve"> the</w:t>
      </w:r>
      <w:r w:rsidR="00950EFD" w:rsidRPr="00FE50A6">
        <w:rPr>
          <w:rFonts w:eastAsia="Batang" w:cs="Times"/>
          <w:noProof/>
          <w:szCs w:val="24"/>
          <w:lang w:val="en-US" w:eastAsia="es-ES"/>
        </w:rPr>
        <w:t xml:space="preserve"> application of domestic law </w:t>
      </w:r>
      <w:r w:rsidR="006965BD" w:rsidRPr="00FE50A6">
        <w:rPr>
          <w:rFonts w:eastAsia="Batang" w:cs="Times"/>
          <w:noProof/>
          <w:szCs w:val="24"/>
          <w:lang w:val="en-US" w:eastAsia="es-ES"/>
        </w:rPr>
        <w:t>in relation to</w:t>
      </w:r>
      <w:r w:rsidR="00950EFD" w:rsidRPr="00FE50A6">
        <w:rPr>
          <w:rFonts w:eastAsia="Batang" w:cs="Times"/>
          <w:noProof/>
          <w:szCs w:val="24"/>
          <w:lang w:val="en-US" w:eastAsia="es-ES"/>
        </w:rPr>
        <w:t xml:space="preserve"> aspects that do not directly concern compliance with international human rights obligations.</w:t>
      </w:r>
      <w:r w:rsidR="000A52D5" w:rsidRPr="00FE50A6">
        <w:rPr>
          <w:rFonts w:eastAsia="Batang" w:cs="Times"/>
          <w:noProof/>
          <w:szCs w:val="24"/>
          <w:vertAlign w:val="superscript"/>
          <w:lang w:val="en-US" w:eastAsia="es-ES"/>
        </w:rPr>
        <w:footnoteReference w:id="47"/>
      </w:r>
    </w:p>
    <w:p w14:paraId="1962C13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C9AD043"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lastRenderedPageBreak/>
        <w:t>The Court</w:t>
      </w:r>
      <w:r w:rsidR="000A52D5" w:rsidRPr="00FE50A6">
        <w:rPr>
          <w:rFonts w:eastAsia="Batang" w:cs="Times"/>
          <w:noProof/>
          <w:szCs w:val="24"/>
          <w:lang w:val="en-US" w:eastAsia="es-ES"/>
        </w:rPr>
        <w:t xml:space="preserve"> rec</w:t>
      </w:r>
      <w:r w:rsidR="00950EFD" w:rsidRPr="00FE50A6">
        <w:rPr>
          <w:rFonts w:eastAsia="Batang" w:cs="Times"/>
          <w:noProof/>
          <w:szCs w:val="24"/>
          <w:lang w:val="en-US" w:eastAsia="es-ES"/>
        </w:rPr>
        <w:t>alls that</w:t>
      </w:r>
      <w:r w:rsidR="0046238F" w:rsidRPr="00FE50A6">
        <w:rPr>
          <w:rFonts w:eastAsia="Batang" w:cs="Times"/>
          <w:noProof/>
          <w:szCs w:val="24"/>
          <w:lang w:val="en-US" w:eastAsia="es-ES"/>
        </w:rPr>
        <w:t>,</w:t>
      </w:r>
      <w:r w:rsidR="00950EFD" w:rsidRPr="00FE50A6">
        <w:rPr>
          <w:rFonts w:eastAsia="Batang" w:cs="Times"/>
          <w:noProof/>
          <w:szCs w:val="24"/>
          <w:lang w:val="en-US" w:eastAsia="es-ES"/>
        </w:rPr>
        <w:t xml:space="preserve"> regardless of </w:t>
      </w:r>
      <w:r w:rsidR="006965BD" w:rsidRPr="00FE50A6">
        <w:rPr>
          <w:rFonts w:eastAsia="Batang" w:cs="Times"/>
          <w:noProof/>
          <w:szCs w:val="24"/>
          <w:lang w:val="en-US" w:eastAsia="es-ES"/>
        </w:rPr>
        <w:t>whether</w:t>
      </w:r>
      <w:r w:rsidR="00950EFD" w:rsidRPr="00FE50A6">
        <w:rPr>
          <w:rFonts w:eastAsia="Batang" w:cs="Times"/>
          <w:noProof/>
          <w:szCs w:val="24"/>
          <w:lang w:val="en-US" w:eastAsia="es-ES"/>
        </w:rPr>
        <w:t xml:space="preserve"> the State defines </w:t>
      </w:r>
      <w:r w:rsidR="000769EA" w:rsidRPr="00FE50A6">
        <w:rPr>
          <w:rFonts w:eastAsia="Batang" w:cs="Times"/>
          <w:noProof/>
          <w:szCs w:val="24"/>
          <w:lang w:val="en-US" w:eastAsia="es-ES"/>
        </w:rPr>
        <w:t>an assertion</w:t>
      </w:r>
      <w:r w:rsidR="000A52D5" w:rsidRPr="00FE50A6">
        <w:rPr>
          <w:rFonts w:eastAsia="Batang" w:cs="Times"/>
          <w:noProof/>
          <w:szCs w:val="24"/>
          <w:lang w:val="en-US" w:eastAsia="es-ES"/>
        </w:rPr>
        <w:t xml:space="preserve"> </w:t>
      </w:r>
      <w:r w:rsidR="00950EFD" w:rsidRPr="00FE50A6">
        <w:rPr>
          <w:rFonts w:eastAsia="Batang" w:cs="Times"/>
          <w:noProof/>
          <w:szCs w:val="24"/>
          <w:lang w:val="en-US" w:eastAsia="es-ES"/>
        </w:rPr>
        <w:t>as a</w:t>
      </w:r>
      <w:r w:rsidR="000A52D5" w:rsidRPr="00FE50A6">
        <w:rPr>
          <w:rFonts w:eastAsia="Batang" w:cs="Times"/>
          <w:noProof/>
          <w:szCs w:val="24"/>
          <w:lang w:val="en-US" w:eastAsia="es-ES"/>
        </w:rPr>
        <w:t xml:space="preserve"> </w:t>
      </w:r>
      <w:r w:rsidR="009C48A4" w:rsidRPr="00FE50A6">
        <w:rPr>
          <w:rFonts w:eastAsia="Batang" w:cs="Times"/>
          <w:noProof/>
          <w:szCs w:val="24"/>
          <w:lang w:val="en-US" w:eastAsia="es-ES"/>
        </w:rPr>
        <w:t>“</w:t>
      </w:r>
      <w:r w:rsidR="00700B79" w:rsidRPr="00FE50A6">
        <w:rPr>
          <w:rFonts w:eastAsia="Batang" w:cs="Times"/>
          <w:noProof/>
          <w:szCs w:val="24"/>
          <w:lang w:val="en-US" w:eastAsia="es-ES"/>
        </w:rPr>
        <w:t>preliminary objection</w:t>
      </w:r>
      <w:r w:rsidR="00950EFD" w:rsidRPr="00FE50A6">
        <w:rPr>
          <w:rFonts w:eastAsia="Batang" w:cs="Times"/>
          <w:noProof/>
          <w:szCs w:val="24"/>
          <w:lang w:val="en-US" w:eastAsia="es-ES"/>
        </w:rPr>
        <w:t>,</w:t>
      </w:r>
      <w:r w:rsidR="009C48A4" w:rsidRPr="00FE50A6">
        <w:rPr>
          <w:rFonts w:eastAsia="Batang" w:cs="Times"/>
          <w:noProof/>
          <w:szCs w:val="24"/>
          <w:lang w:val="en-US" w:eastAsia="es-ES"/>
        </w:rPr>
        <w:t>”</w:t>
      </w:r>
      <w:r w:rsidR="000A52D5" w:rsidRPr="00FE50A6">
        <w:rPr>
          <w:rFonts w:eastAsia="Batang" w:cs="Times"/>
          <w:noProof/>
          <w:szCs w:val="24"/>
          <w:lang w:val="en-US" w:eastAsia="es-ES"/>
        </w:rPr>
        <w:t xml:space="preserve"> </w:t>
      </w:r>
      <w:r w:rsidR="00950EFD" w:rsidRPr="00FE50A6">
        <w:rPr>
          <w:rFonts w:eastAsia="Batang" w:cs="Times"/>
          <w:noProof/>
          <w:szCs w:val="24"/>
          <w:lang w:val="en-US" w:eastAsia="es-ES"/>
        </w:rPr>
        <w:t>if it</w:t>
      </w:r>
      <w:r w:rsidR="0046238F" w:rsidRPr="00FE50A6">
        <w:rPr>
          <w:rFonts w:eastAsia="Batang" w:cs="Times"/>
          <w:noProof/>
          <w:szCs w:val="24"/>
          <w:lang w:val="en-US" w:eastAsia="es-ES"/>
        </w:rPr>
        <w:t xml:space="preserve"> </w:t>
      </w:r>
      <w:r w:rsidR="006965BD" w:rsidRPr="00FE50A6">
        <w:rPr>
          <w:rFonts w:eastAsia="Batang" w:cs="Times"/>
          <w:noProof/>
          <w:szCs w:val="24"/>
          <w:lang w:val="en-US" w:eastAsia="es-ES"/>
        </w:rPr>
        <w:t>is</w:t>
      </w:r>
      <w:r w:rsidR="0046238F" w:rsidRPr="00FE50A6">
        <w:rPr>
          <w:rFonts w:eastAsia="Batang" w:cs="Times"/>
          <w:noProof/>
          <w:szCs w:val="24"/>
          <w:lang w:val="en-US" w:eastAsia="es-ES"/>
        </w:rPr>
        <w:t xml:space="preserve"> </w:t>
      </w:r>
      <w:r w:rsidR="00950EFD" w:rsidRPr="00FE50A6">
        <w:rPr>
          <w:rFonts w:eastAsia="Batang" w:cs="Times"/>
          <w:noProof/>
          <w:szCs w:val="24"/>
          <w:lang w:val="en-US" w:eastAsia="es-ES"/>
        </w:rPr>
        <w:t xml:space="preserve">necessary to </w:t>
      </w:r>
      <w:r w:rsidR="0046238F" w:rsidRPr="00FE50A6">
        <w:rPr>
          <w:rFonts w:eastAsia="Batang" w:cs="Times"/>
          <w:noProof/>
          <w:szCs w:val="24"/>
          <w:lang w:val="en-US" w:eastAsia="es-ES"/>
        </w:rPr>
        <w:t>begin to consider</w:t>
      </w:r>
      <w:r w:rsidR="00950EFD" w:rsidRPr="00FE50A6">
        <w:rPr>
          <w:rFonts w:eastAsia="Batang" w:cs="Times"/>
          <w:noProof/>
          <w:szCs w:val="24"/>
          <w:lang w:val="en-US" w:eastAsia="es-ES"/>
        </w:rPr>
        <w:t xml:space="preserve"> the merits of the case when analyzing </w:t>
      </w:r>
      <w:r w:rsidR="006965BD" w:rsidRPr="00FE50A6">
        <w:rPr>
          <w:rFonts w:eastAsia="Batang" w:cs="Times"/>
          <w:noProof/>
          <w:szCs w:val="24"/>
          <w:lang w:val="en-US" w:eastAsia="es-ES"/>
        </w:rPr>
        <w:t>it</w:t>
      </w:r>
      <w:r w:rsidR="00950EFD" w:rsidRPr="00FE50A6">
        <w:rPr>
          <w:rFonts w:eastAsia="Batang" w:cs="Times"/>
          <w:noProof/>
          <w:szCs w:val="24"/>
          <w:lang w:val="en-US" w:eastAsia="es-ES"/>
        </w:rPr>
        <w:t xml:space="preserve">, </w:t>
      </w:r>
      <w:r w:rsidR="006965BD" w:rsidRPr="00FE50A6">
        <w:rPr>
          <w:rFonts w:eastAsia="Batang" w:cs="Times"/>
          <w:noProof/>
          <w:szCs w:val="24"/>
          <w:lang w:val="en-US" w:eastAsia="es-ES"/>
        </w:rPr>
        <w:t>it is no longer</w:t>
      </w:r>
      <w:r w:rsidR="00950EFD" w:rsidRPr="00FE50A6">
        <w:rPr>
          <w:rFonts w:eastAsia="Batang" w:cs="Times"/>
          <w:noProof/>
          <w:szCs w:val="24"/>
          <w:lang w:val="en-US" w:eastAsia="es-ES"/>
        </w:rPr>
        <w:t xml:space="preserve"> preliminary </w:t>
      </w:r>
      <w:r w:rsidR="0078489A" w:rsidRPr="00FE50A6">
        <w:rPr>
          <w:rFonts w:eastAsia="Batang" w:cs="Times"/>
          <w:noProof/>
          <w:szCs w:val="24"/>
          <w:lang w:val="en-US" w:eastAsia="es-ES"/>
        </w:rPr>
        <w:t xml:space="preserve">in </w:t>
      </w:r>
      <w:r w:rsidR="00950EFD" w:rsidRPr="00FE50A6">
        <w:rPr>
          <w:rFonts w:eastAsia="Batang" w:cs="Times"/>
          <w:noProof/>
          <w:szCs w:val="24"/>
          <w:lang w:val="en-US" w:eastAsia="es-ES"/>
        </w:rPr>
        <w:t>nature and c</w:t>
      </w:r>
      <w:r w:rsidR="006965BD" w:rsidRPr="00FE50A6">
        <w:rPr>
          <w:rFonts w:eastAsia="Batang" w:cs="Times"/>
          <w:noProof/>
          <w:szCs w:val="24"/>
          <w:lang w:val="en-US" w:eastAsia="es-ES"/>
        </w:rPr>
        <w:t>annot</w:t>
      </w:r>
      <w:r w:rsidR="00950EFD" w:rsidRPr="00FE50A6">
        <w:rPr>
          <w:rFonts w:eastAsia="Batang" w:cs="Times"/>
          <w:noProof/>
          <w:szCs w:val="24"/>
          <w:lang w:val="en-US" w:eastAsia="es-ES"/>
        </w:rPr>
        <w:t xml:space="preserve"> be analayzed as such.</w:t>
      </w:r>
      <w:r w:rsidR="000A52D5" w:rsidRPr="00FE50A6">
        <w:rPr>
          <w:rFonts w:eastAsia="Batang" w:cs="Times"/>
          <w:noProof/>
          <w:szCs w:val="24"/>
          <w:vertAlign w:val="superscript"/>
          <w:lang w:val="en-US" w:eastAsia="es-ES"/>
        </w:rPr>
        <w:footnoteReference w:id="48"/>
      </w:r>
    </w:p>
    <w:p w14:paraId="5A349B84" w14:textId="77777777" w:rsidR="003C0330" w:rsidRPr="00FE50A6" w:rsidRDefault="003C0330" w:rsidP="00140440">
      <w:pPr>
        <w:tabs>
          <w:tab w:val="clear" w:pos="4419"/>
          <w:tab w:val="clear" w:pos="8838"/>
        </w:tabs>
        <w:jc w:val="both"/>
        <w:rPr>
          <w:rFonts w:eastAsia="Batang" w:cs="Times"/>
          <w:noProof/>
          <w:szCs w:val="24"/>
          <w:lang w:val="en-US" w:eastAsia="es-ES"/>
        </w:rPr>
      </w:pPr>
    </w:p>
    <w:p w14:paraId="2F3EF67D" w14:textId="77777777" w:rsidR="000A52D5" w:rsidRPr="00FE50A6" w:rsidRDefault="001A0AD1" w:rsidP="001A0AD1">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This Court has established that, for the fourth instance objection to be admissible, </w:t>
      </w:r>
      <w:r w:rsidR="009C48A4" w:rsidRPr="00FE50A6">
        <w:rPr>
          <w:rFonts w:eastAsia="Batang" w:cs="Times"/>
          <w:noProof/>
          <w:szCs w:val="24"/>
          <w:lang w:val="en-US" w:eastAsia="es-ES"/>
        </w:rPr>
        <w:t>“</w:t>
      </w:r>
      <w:r w:rsidRPr="00FE50A6">
        <w:rPr>
          <w:rFonts w:eastAsia="Batang" w:cs="Times"/>
          <w:noProof/>
          <w:szCs w:val="24"/>
          <w:lang w:val="en-US" w:eastAsia="es-ES"/>
        </w:rPr>
        <w:t xml:space="preserve">the </w:t>
      </w:r>
      <w:r w:rsidR="0078489A" w:rsidRPr="00FE50A6">
        <w:rPr>
          <w:rFonts w:eastAsia="Batang" w:cs="Times"/>
          <w:noProof/>
          <w:szCs w:val="24"/>
          <w:lang w:val="en-US" w:eastAsia="es-ES"/>
        </w:rPr>
        <w:t xml:space="preserve">petitioner </w:t>
      </w:r>
      <w:r w:rsidRPr="00FE50A6">
        <w:rPr>
          <w:rFonts w:eastAsia="Batang" w:cs="Times"/>
          <w:noProof/>
          <w:szCs w:val="24"/>
          <w:lang w:val="en-US" w:eastAsia="es-ES"/>
        </w:rPr>
        <w:t xml:space="preserve">must require the Court to review the ruling of a domestic court owing to </w:t>
      </w:r>
      <w:r w:rsidR="0078489A" w:rsidRPr="00FE50A6">
        <w:rPr>
          <w:rFonts w:eastAsia="Batang" w:cs="Times"/>
          <w:noProof/>
          <w:szCs w:val="24"/>
          <w:lang w:val="en-US" w:eastAsia="es-ES"/>
        </w:rPr>
        <w:t>an</w:t>
      </w:r>
      <w:r w:rsidRPr="00FE50A6">
        <w:rPr>
          <w:rFonts w:eastAsia="Batang" w:cs="Times"/>
          <w:noProof/>
          <w:szCs w:val="24"/>
          <w:lang w:val="en-US" w:eastAsia="es-ES"/>
        </w:rPr>
        <w:t xml:space="preserve"> incorrect evaluation of the evidence, the facts or domestic law, without, at the same time, alleging that the said ruling incurred in a violation of international treaties </w:t>
      </w:r>
      <w:r w:rsidR="0078489A" w:rsidRPr="00FE50A6">
        <w:rPr>
          <w:rFonts w:eastAsia="Batang" w:cs="Times"/>
          <w:noProof/>
          <w:szCs w:val="24"/>
          <w:lang w:val="en-US" w:eastAsia="es-ES"/>
        </w:rPr>
        <w:t>regarding</w:t>
      </w:r>
      <w:r w:rsidRPr="00FE50A6">
        <w:rPr>
          <w:rFonts w:eastAsia="Batang" w:cs="Times"/>
          <w:noProof/>
          <w:szCs w:val="24"/>
          <w:lang w:val="en-US" w:eastAsia="es-ES"/>
        </w:rPr>
        <w:t xml:space="preserve"> which the Court has competence.</w:t>
      </w:r>
      <w:r w:rsidR="009C48A4" w:rsidRPr="00FE50A6">
        <w:rPr>
          <w:rFonts w:eastAsia="Batang" w:cs="Times"/>
          <w:noProof/>
          <w:szCs w:val="24"/>
          <w:lang w:val="en-US" w:eastAsia="es-ES"/>
        </w:rPr>
        <w:t>”</w:t>
      </w:r>
      <w:r w:rsidRPr="00FE50A6">
        <w:rPr>
          <w:rFonts w:eastAsia="Batang" w:cs="Times"/>
          <w:noProof/>
          <w:szCs w:val="24"/>
          <w:lang w:val="en-US" w:eastAsia="es-ES"/>
        </w:rPr>
        <w:t xml:space="preserve"> In addition, the Court has established that, when assessing compliance with certain international obligations, an </w:t>
      </w:r>
      <w:r w:rsidR="0078489A" w:rsidRPr="00FE50A6">
        <w:rPr>
          <w:rFonts w:eastAsia="Batang" w:cs="Times"/>
          <w:noProof/>
          <w:szCs w:val="24"/>
          <w:lang w:val="en-US" w:eastAsia="es-ES"/>
        </w:rPr>
        <w:t>intrinsic</w:t>
      </w:r>
      <w:r w:rsidRPr="00FE50A6">
        <w:rPr>
          <w:rFonts w:eastAsia="Batang" w:cs="Times"/>
          <w:noProof/>
          <w:szCs w:val="24"/>
          <w:lang w:val="en-US" w:eastAsia="es-ES"/>
        </w:rPr>
        <w:t xml:space="preserve"> interrelationship between the analysis of international law and domestic law may be noted. Conseq</w:t>
      </w:r>
      <w:r w:rsidR="005156F2" w:rsidRPr="00FE50A6">
        <w:rPr>
          <w:rFonts w:eastAsia="Batang" w:cs="Times"/>
          <w:noProof/>
          <w:szCs w:val="24"/>
          <w:lang w:val="en-US" w:eastAsia="es-ES"/>
        </w:rPr>
        <w:t>u</w:t>
      </w:r>
      <w:r w:rsidRPr="00FE50A6">
        <w:rPr>
          <w:rFonts w:eastAsia="Batang" w:cs="Times"/>
          <w:noProof/>
          <w:szCs w:val="24"/>
          <w:lang w:val="en-US" w:eastAsia="es-ES"/>
        </w:rPr>
        <w:t>ently, determin</w:t>
      </w:r>
      <w:r w:rsidR="00FC16D7" w:rsidRPr="00FE50A6">
        <w:rPr>
          <w:rFonts w:eastAsia="Batang" w:cs="Times"/>
          <w:noProof/>
          <w:szCs w:val="24"/>
          <w:lang w:val="en-US" w:eastAsia="es-ES"/>
        </w:rPr>
        <w:t>ation of</w:t>
      </w:r>
      <w:r w:rsidRPr="00FE50A6">
        <w:rPr>
          <w:rFonts w:eastAsia="Batang" w:cs="Times"/>
          <w:noProof/>
          <w:szCs w:val="24"/>
          <w:lang w:val="en-US" w:eastAsia="es-ES"/>
        </w:rPr>
        <w:t xml:space="preserve"> whether the actions of</w:t>
      </w:r>
      <w:r w:rsidR="002D51AC" w:rsidRPr="00FE50A6">
        <w:rPr>
          <w:rFonts w:eastAsia="Batang" w:cs="Times"/>
          <w:noProof/>
          <w:szCs w:val="24"/>
          <w:lang w:val="en-US" w:eastAsia="es-ES"/>
        </w:rPr>
        <w:t xml:space="preserve"> </w:t>
      </w:r>
      <w:r w:rsidR="0078489A" w:rsidRPr="00FE50A6">
        <w:rPr>
          <w:rFonts w:eastAsia="Batang" w:cs="Times"/>
          <w:noProof/>
          <w:szCs w:val="24"/>
          <w:lang w:val="en-US" w:eastAsia="es-ES"/>
        </w:rPr>
        <w:t>the State’s</w:t>
      </w:r>
      <w:r w:rsidRPr="00FE50A6">
        <w:rPr>
          <w:rFonts w:eastAsia="Batang" w:cs="Times"/>
          <w:noProof/>
          <w:szCs w:val="24"/>
          <w:lang w:val="en-US" w:eastAsia="es-ES"/>
        </w:rPr>
        <w:t xml:space="preserve"> judicial organs constitute a violation of </w:t>
      </w:r>
      <w:r w:rsidR="0078489A" w:rsidRPr="00FE50A6">
        <w:rPr>
          <w:rFonts w:eastAsia="Batang" w:cs="Times"/>
          <w:noProof/>
          <w:szCs w:val="24"/>
          <w:lang w:val="en-US" w:eastAsia="es-ES"/>
        </w:rPr>
        <w:t xml:space="preserve">its </w:t>
      </w:r>
      <w:r w:rsidRPr="00FE50A6">
        <w:rPr>
          <w:rFonts w:eastAsia="Batang" w:cs="Times"/>
          <w:noProof/>
          <w:szCs w:val="24"/>
          <w:lang w:val="en-US" w:eastAsia="es-ES"/>
        </w:rPr>
        <w:t xml:space="preserve">international obligations may </w:t>
      </w:r>
      <w:r w:rsidR="005156F2" w:rsidRPr="00FE50A6">
        <w:rPr>
          <w:rFonts w:eastAsia="Batang" w:cs="Times"/>
          <w:noProof/>
          <w:szCs w:val="24"/>
          <w:lang w:val="en-US" w:eastAsia="es-ES"/>
        </w:rPr>
        <w:t xml:space="preserve">result in the Court having to examine the respective domestic proceedings to establish their compatibility with </w:t>
      </w:r>
      <w:r w:rsidR="000228D0" w:rsidRPr="00FE50A6">
        <w:rPr>
          <w:rFonts w:eastAsia="Batang" w:cs="Times"/>
          <w:noProof/>
          <w:szCs w:val="24"/>
          <w:lang w:val="en-US" w:eastAsia="es-ES"/>
        </w:rPr>
        <w:t>the American Convention</w:t>
      </w:r>
      <w:r w:rsidR="005156F2" w:rsidRPr="00FE50A6">
        <w:rPr>
          <w:rFonts w:eastAsia="Batang" w:cs="Times"/>
          <w:noProof/>
          <w:szCs w:val="24"/>
          <w:lang w:val="en-US" w:eastAsia="es-ES"/>
        </w:rPr>
        <w:t>.</w:t>
      </w:r>
      <w:r w:rsidR="003C0330" w:rsidRPr="00FE50A6">
        <w:rPr>
          <w:rStyle w:val="Refdenotaalpie"/>
          <w:rFonts w:eastAsia="Batang"/>
          <w:noProof/>
          <w:lang w:val="en-US" w:eastAsia="es-ES"/>
        </w:rPr>
        <w:footnoteReference w:id="49"/>
      </w:r>
    </w:p>
    <w:p w14:paraId="1D82E397"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161EAF4" w14:textId="77777777" w:rsidR="000A52D5" w:rsidRPr="00FE50A6" w:rsidRDefault="005156F2" w:rsidP="005156F2">
      <w:pPr>
        <w:numPr>
          <w:ilvl w:val="0"/>
          <w:numId w:val="1"/>
        </w:numPr>
        <w:tabs>
          <w:tab w:val="clear" w:pos="4419"/>
          <w:tab w:val="clear" w:pos="8838"/>
        </w:tabs>
        <w:jc w:val="both"/>
        <w:rPr>
          <w:rFonts w:eastAsia="Batang" w:cs="Times"/>
          <w:noProof/>
          <w:szCs w:val="24"/>
          <w:lang w:val="en-US" w:eastAsia="es-ES"/>
        </w:rPr>
      </w:pPr>
      <w:bookmarkStart w:id="111" w:name="_Hlk10733851"/>
      <w:r w:rsidRPr="00FE50A6">
        <w:rPr>
          <w:rFonts w:eastAsia="Batang" w:cs="Times"/>
          <w:noProof/>
          <w:szCs w:val="24"/>
          <w:lang w:val="en-US" w:eastAsia="es-ES"/>
        </w:rPr>
        <w:t xml:space="preserve">In this case, neither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n</w:t>
      </w:r>
      <w:r w:rsidRPr="00FE50A6">
        <w:rPr>
          <w:rFonts w:eastAsia="Batang" w:cs="Times"/>
          <w:noProof/>
          <w:szCs w:val="24"/>
          <w:lang w:val="en-US" w:eastAsia="es-ES"/>
        </w:rPr>
        <w:t xml:space="preserve">or </w:t>
      </w:r>
      <w:r w:rsidR="00700B79"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h</w:t>
      </w:r>
      <w:r w:rsidRPr="00FE50A6">
        <w:rPr>
          <w:rFonts w:eastAsia="Batang" w:cs="Times"/>
          <w:noProof/>
          <w:szCs w:val="24"/>
          <w:lang w:val="en-US" w:eastAsia="es-ES"/>
        </w:rPr>
        <w:t xml:space="preserve">ave requested </w:t>
      </w:r>
      <w:r w:rsidR="002D51AC" w:rsidRPr="00FE50A6">
        <w:rPr>
          <w:rFonts w:eastAsia="Batang" w:cs="Times"/>
          <w:noProof/>
          <w:szCs w:val="24"/>
          <w:lang w:val="en-US" w:eastAsia="es-ES"/>
        </w:rPr>
        <w:t>a</w:t>
      </w:r>
      <w:r w:rsidRPr="00FE50A6">
        <w:rPr>
          <w:rFonts w:eastAsia="Batang" w:cs="Times"/>
          <w:noProof/>
          <w:szCs w:val="24"/>
          <w:lang w:val="en-US" w:eastAsia="es-ES"/>
        </w:rPr>
        <w:t xml:space="preserve"> review of domestic decisions </w:t>
      </w:r>
      <w:r w:rsidR="0078489A" w:rsidRPr="00FE50A6">
        <w:rPr>
          <w:rFonts w:eastAsia="Batang" w:cs="Times"/>
          <w:noProof/>
          <w:szCs w:val="24"/>
          <w:lang w:val="en-US" w:eastAsia="es-ES"/>
        </w:rPr>
        <w:t xml:space="preserve">in </w:t>
      </w:r>
      <w:r w:rsidRPr="00FE50A6">
        <w:rPr>
          <w:rFonts w:eastAsia="Batang" w:cs="Times"/>
          <w:noProof/>
          <w:szCs w:val="24"/>
          <w:lang w:val="en-US" w:eastAsia="es-ES"/>
        </w:rPr>
        <w:t>relat</w:t>
      </w:r>
      <w:r w:rsidR="002D51AC" w:rsidRPr="00FE50A6">
        <w:rPr>
          <w:rFonts w:eastAsia="Batang" w:cs="Times"/>
          <w:noProof/>
          <w:szCs w:val="24"/>
          <w:lang w:val="en-US" w:eastAsia="es-ES"/>
        </w:rPr>
        <w:t>i</w:t>
      </w:r>
      <w:r w:rsidR="0078489A" w:rsidRPr="00FE50A6">
        <w:rPr>
          <w:rFonts w:eastAsia="Batang" w:cs="Times"/>
          <w:noProof/>
          <w:szCs w:val="24"/>
          <w:lang w:val="en-US" w:eastAsia="es-ES"/>
        </w:rPr>
        <w:t>on</w:t>
      </w:r>
      <w:r w:rsidRPr="00FE50A6">
        <w:rPr>
          <w:rFonts w:eastAsia="Batang" w:cs="Times"/>
          <w:noProof/>
          <w:szCs w:val="24"/>
          <w:lang w:val="en-US" w:eastAsia="es-ES"/>
        </w:rPr>
        <w:t xml:space="preserve"> to the evaluation of evidence or facts, or the application of domestic law</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consider</w:t>
      </w:r>
      <w:r w:rsidRPr="00FE50A6">
        <w:rPr>
          <w:rFonts w:eastAsia="Batang" w:cs="Times"/>
          <w:noProof/>
          <w:szCs w:val="24"/>
          <w:lang w:val="en-US" w:eastAsia="es-ES"/>
        </w:rPr>
        <w:t xml:space="preserve">s that </w:t>
      </w:r>
      <w:bookmarkEnd w:id="111"/>
      <w:r w:rsidRPr="00FE50A6">
        <w:rPr>
          <w:rFonts w:eastAsia="Batang" w:cs="Times"/>
          <w:noProof/>
          <w:szCs w:val="24"/>
          <w:lang w:val="en-US" w:eastAsia="es-ES"/>
        </w:rPr>
        <w:t xml:space="preserve">the State’s arguments regarding whether the domestic judicial proceedings were appropriate and effective and whether the remedies were processed and decided correctly must be analyzed when examining the merits of the case pursuant to </w:t>
      </w:r>
      <w:r w:rsidR="000228D0" w:rsidRPr="00FE50A6">
        <w:rPr>
          <w:rFonts w:eastAsia="Batang" w:cs="Times"/>
          <w:noProof/>
          <w:szCs w:val="24"/>
          <w:lang w:val="en-US" w:eastAsia="es-ES"/>
        </w:rPr>
        <w:t>the American Convention</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 xml:space="preserve">international law. </w:t>
      </w:r>
      <w:r w:rsidR="002D51AC" w:rsidRPr="00FE50A6">
        <w:rPr>
          <w:rFonts w:eastAsia="Batang" w:cs="Times"/>
          <w:noProof/>
          <w:szCs w:val="24"/>
          <w:lang w:val="en-US" w:eastAsia="es-ES"/>
        </w:rPr>
        <w:t>In addition</w:t>
      </w:r>
      <w:r w:rsidR="007D023F" w:rsidRPr="00FE50A6">
        <w:rPr>
          <w:rFonts w:eastAsia="Batang" w:cs="Times"/>
          <w:noProof/>
          <w:szCs w:val="24"/>
          <w:lang w:val="en-US" w:eastAsia="es-ES"/>
        </w:rPr>
        <w:t>, whether the payment made to redress pecuniary</w:t>
      </w:r>
      <w:r w:rsidR="002D51AC"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damage was sufficient and whether acts and omissions existed that violated guarantees of access to justice and that could generate the State’s international responsibility </w:t>
      </w:r>
      <w:r w:rsidR="002D51AC" w:rsidRPr="00FE50A6">
        <w:rPr>
          <w:rFonts w:eastAsia="Batang" w:cs="Times"/>
          <w:noProof/>
          <w:szCs w:val="24"/>
          <w:lang w:val="en-US" w:eastAsia="es-ES"/>
        </w:rPr>
        <w:t>must</w:t>
      </w:r>
      <w:r w:rsidR="007D023F" w:rsidRPr="00FE50A6">
        <w:rPr>
          <w:rFonts w:eastAsia="Batang" w:cs="Times"/>
          <w:noProof/>
          <w:szCs w:val="24"/>
          <w:lang w:val="en-US" w:eastAsia="es-ES"/>
        </w:rPr>
        <w:t xml:space="preserve"> </w:t>
      </w:r>
      <w:r w:rsidR="008A5467" w:rsidRPr="00FE50A6">
        <w:rPr>
          <w:rFonts w:eastAsia="Batang" w:cs="Times"/>
          <w:noProof/>
          <w:szCs w:val="24"/>
          <w:lang w:val="en-US" w:eastAsia="es-ES"/>
        </w:rPr>
        <w:t xml:space="preserve">also </w:t>
      </w:r>
      <w:r w:rsidR="007D023F" w:rsidRPr="00FE50A6">
        <w:rPr>
          <w:rFonts w:eastAsia="Batang" w:cs="Times"/>
          <w:noProof/>
          <w:szCs w:val="24"/>
          <w:lang w:val="en-US" w:eastAsia="es-ES"/>
        </w:rPr>
        <w:t xml:space="preserve">be analyzed when examining the merits. Based on the foregoing, the Court rejects this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p>
    <w:p w14:paraId="647F56F9" w14:textId="77777777" w:rsidR="000A52D5" w:rsidRPr="00FE50A6" w:rsidRDefault="000A52D5" w:rsidP="00140440">
      <w:pPr>
        <w:tabs>
          <w:tab w:val="clear" w:pos="4419"/>
          <w:tab w:val="clear" w:pos="8838"/>
        </w:tabs>
        <w:jc w:val="both"/>
        <w:rPr>
          <w:rFonts w:eastAsia="Batang" w:cs="Times"/>
          <w:noProof/>
          <w:szCs w:val="24"/>
          <w:u w:val="single"/>
          <w:lang w:val="en-US" w:eastAsia="es-ES"/>
        </w:rPr>
      </w:pPr>
    </w:p>
    <w:p w14:paraId="0438817A" w14:textId="77777777" w:rsidR="000A52D5" w:rsidRPr="00FE50A6" w:rsidRDefault="008A7089" w:rsidP="008B0BCC">
      <w:pPr>
        <w:pStyle w:val="Ttulo2"/>
        <w:numPr>
          <w:ilvl w:val="0"/>
          <w:numId w:val="15"/>
        </w:numPr>
      </w:pPr>
      <w:bookmarkStart w:id="112" w:name="_Toc464813905"/>
      <w:r w:rsidRPr="00FE50A6">
        <w:t xml:space="preserve">Alleged lack </w:t>
      </w:r>
      <w:r w:rsidR="00822837" w:rsidRPr="00FE50A6">
        <w:t>of jurisdiction</w:t>
      </w:r>
      <w:r w:rsidR="000A52D5" w:rsidRPr="00FE50A6">
        <w:t xml:space="preserve"> </w:t>
      </w:r>
      <w:r w:rsidR="000A52D5" w:rsidRPr="00FE50A6">
        <w:rPr>
          <w:i w:val="0"/>
        </w:rPr>
        <w:t>ratione materiae</w:t>
      </w:r>
      <w:r w:rsidR="000A52D5" w:rsidRPr="00FE50A6">
        <w:t xml:space="preserve"> </w:t>
      </w:r>
      <w:r w:rsidR="00822837" w:rsidRPr="00FE50A6">
        <w:t>regarding presumed violations of the prohibition of</w:t>
      </w:r>
      <w:r w:rsidR="00615E39" w:rsidRPr="00FE50A6">
        <w:t xml:space="preserve"> </w:t>
      </w:r>
      <w:r w:rsidR="000C2A19" w:rsidRPr="00FE50A6">
        <w:t>trafficking in persons</w:t>
      </w:r>
      <w:r w:rsidR="00615E39" w:rsidRPr="00FE50A6">
        <w:t xml:space="preserve"> </w:t>
      </w:r>
      <w:bookmarkEnd w:id="112"/>
    </w:p>
    <w:p w14:paraId="06CBD1D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43D87CF" w14:textId="77777777" w:rsidR="000A52D5" w:rsidRPr="00FE50A6" w:rsidRDefault="003D4561" w:rsidP="000A20C1">
      <w:pPr>
        <w:pStyle w:val="Ttulo3"/>
        <w:rPr>
          <w:noProof/>
          <w:lang w:val="en-US" w:eastAsia="es-ES"/>
        </w:rPr>
      </w:pPr>
      <w:bookmarkStart w:id="113" w:name="_Toc460432979"/>
      <w:bookmarkStart w:id="114" w:name="_Toc460441910"/>
      <w:bookmarkStart w:id="115" w:name="_Toc462750730"/>
      <w:bookmarkStart w:id="116" w:name="_Toc462751054"/>
      <w:bookmarkStart w:id="117" w:name="_Toc464813906"/>
      <w:r w:rsidRPr="00FE50A6">
        <w:rPr>
          <w:noProof/>
          <w:lang w:val="en-US" w:eastAsia="es-ES"/>
        </w:rPr>
        <w:t>F</w:t>
      </w:r>
      <w:r w:rsidR="000A52D5" w:rsidRPr="00FE50A6">
        <w:rPr>
          <w:noProof/>
          <w:lang w:val="en-US" w:eastAsia="es-ES"/>
        </w:rPr>
        <w:t xml:space="preserve">.1.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113"/>
      <w:bookmarkEnd w:id="114"/>
      <w:bookmarkEnd w:id="115"/>
      <w:bookmarkEnd w:id="116"/>
      <w:bookmarkEnd w:id="117"/>
    </w:p>
    <w:p w14:paraId="578FE937"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6F2B4BA"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asserted that neither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n</w:t>
      </w:r>
      <w:r w:rsidR="007D023F" w:rsidRPr="00FE50A6">
        <w:rPr>
          <w:rFonts w:eastAsia="Batang" w:cs="Times"/>
          <w:noProof/>
          <w:szCs w:val="24"/>
          <w:lang w:val="en-US" w:eastAsia="es-ES"/>
        </w:rPr>
        <w:t>or</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were competent to process individual petitions that alleged the supposed violation of international commitments assumed by Brazil to prohibit </w:t>
      </w:r>
      <w:r w:rsidR="000C2A19" w:rsidRPr="00FE50A6">
        <w:rPr>
          <w:rFonts w:eastAsia="Batang" w:cs="Times"/>
          <w:noProof/>
          <w:szCs w:val="24"/>
          <w:lang w:val="en-US" w:eastAsia="es-ES"/>
        </w:rPr>
        <w:t>trafficking in persons</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because the Court’s competence was limited to examining supposed violations of the prohibition of the slave trade and traffic in women established in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6</w:t>
      </w:r>
      <w:r w:rsidRPr="00FE50A6">
        <w:rPr>
          <w:rFonts w:eastAsia="Batang" w:cs="Times"/>
          <w:noProof/>
          <w:szCs w:val="24"/>
          <w:lang w:val="en-US" w:eastAsia="es-ES"/>
        </w:rPr>
        <w:t xml:space="preserve"> of the American Convention</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and neither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nor</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the representatives</w:t>
      </w:r>
      <w:r w:rsidR="007D023F" w:rsidRPr="00FE50A6">
        <w:rPr>
          <w:rFonts w:eastAsia="Batang" w:cs="Times"/>
          <w:noProof/>
          <w:szCs w:val="24"/>
          <w:lang w:val="en-US" w:eastAsia="es-ES"/>
        </w:rPr>
        <w:t xml:space="preserve"> ha</w:t>
      </w:r>
      <w:r w:rsidR="002D51AC" w:rsidRPr="00FE50A6">
        <w:rPr>
          <w:rFonts w:eastAsia="Batang" w:cs="Times"/>
          <w:noProof/>
          <w:szCs w:val="24"/>
          <w:lang w:val="en-US" w:eastAsia="es-ES"/>
        </w:rPr>
        <w:t>d</w:t>
      </w:r>
      <w:r w:rsidR="007D023F" w:rsidRPr="00FE50A6">
        <w:rPr>
          <w:rFonts w:eastAsia="Batang" w:cs="Times"/>
          <w:noProof/>
          <w:szCs w:val="24"/>
          <w:lang w:val="en-US" w:eastAsia="es-ES"/>
        </w:rPr>
        <w:t xml:space="preserve"> a</w:t>
      </w:r>
      <w:r w:rsidR="002D51AC" w:rsidRPr="00FE50A6">
        <w:rPr>
          <w:rFonts w:eastAsia="Batang" w:cs="Times"/>
          <w:noProof/>
          <w:szCs w:val="24"/>
          <w:lang w:val="en-US" w:eastAsia="es-ES"/>
        </w:rPr>
        <w:t>lleg</w:t>
      </w:r>
      <w:r w:rsidR="007D023F" w:rsidRPr="00FE50A6">
        <w:rPr>
          <w:rFonts w:eastAsia="Batang" w:cs="Times"/>
          <w:noProof/>
          <w:szCs w:val="24"/>
          <w:lang w:val="en-US" w:eastAsia="es-ES"/>
        </w:rPr>
        <w:t xml:space="preserve">ed </w:t>
      </w:r>
      <w:r w:rsidR="002D51AC" w:rsidRPr="00FE50A6">
        <w:rPr>
          <w:rFonts w:eastAsia="Batang" w:cs="Times"/>
          <w:noProof/>
          <w:szCs w:val="24"/>
          <w:lang w:val="en-US" w:eastAsia="es-ES"/>
        </w:rPr>
        <w:t>that</w:t>
      </w:r>
      <w:r w:rsidR="007D023F" w:rsidRPr="00FE50A6">
        <w:rPr>
          <w:rFonts w:eastAsia="Batang" w:cs="Times"/>
          <w:noProof/>
          <w:szCs w:val="24"/>
          <w:lang w:val="en-US" w:eastAsia="es-ES"/>
        </w:rPr>
        <w:t xml:space="preserve"> this article</w:t>
      </w:r>
      <w:r w:rsidR="002D51AC" w:rsidRPr="00FE50A6">
        <w:rPr>
          <w:rFonts w:eastAsia="Batang" w:cs="Times"/>
          <w:noProof/>
          <w:szCs w:val="24"/>
          <w:lang w:val="en-US" w:eastAsia="es-ES"/>
        </w:rPr>
        <w:t xml:space="preserve"> had been violated</w:t>
      </w:r>
      <w:r w:rsidR="007D023F" w:rsidRPr="00FE50A6">
        <w:rPr>
          <w:rFonts w:eastAsia="Batang" w:cs="Times"/>
          <w:noProof/>
          <w:szCs w:val="24"/>
          <w:lang w:val="en-US" w:eastAsia="es-ES"/>
        </w:rPr>
        <w:t xml:space="preserve"> in the instant case.</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Consequently, it considered that the Court did not have competence to analyze the supposed violation of the international commitments assumed by the State to prevent and combat </w:t>
      </w:r>
      <w:r w:rsidR="000C2A19" w:rsidRPr="00FE50A6">
        <w:rPr>
          <w:rFonts w:eastAsia="Batang" w:cs="Times"/>
          <w:noProof/>
          <w:szCs w:val="24"/>
          <w:lang w:val="en-US" w:eastAsia="es-ES"/>
        </w:rPr>
        <w:t>trafficking in persons</w:t>
      </w:r>
      <w:r w:rsidR="007D023F" w:rsidRPr="00FE50A6">
        <w:rPr>
          <w:rFonts w:eastAsia="Batang" w:cs="Times"/>
          <w:noProof/>
          <w:szCs w:val="24"/>
          <w:lang w:val="en-US" w:eastAsia="es-ES"/>
        </w:rPr>
        <w:t xml:space="preserve"> when examining the merits of the case</w:t>
      </w:r>
      <w:r w:rsidR="000A52D5" w:rsidRPr="00FE50A6">
        <w:rPr>
          <w:rFonts w:eastAsia="Batang" w:cs="Times"/>
          <w:noProof/>
          <w:szCs w:val="24"/>
          <w:lang w:val="en-US" w:eastAsia="es-ES"/>
        </w:rPr>
        <w:t xml:space="preserve">.  </w:t>
      </w:r>
    </w:p>
    <w:p w14:paraId="680C23ED"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34CB2B91" w14:textId="77777777" w:rsidR="000A52D5" w:rsidRPr="00FE50A6" w:rsidRDefault="000228D0" w:rsidP="005D06AE">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indicated that it agreed with the State that the Court’s contentious jurisdiction </w:t>
      </w:r>
      <w:r w:rsidR="005D06AE" w:rsidRPr="00FE50A6">
        <w:rPr>
          <w:rFonts w:eastAsia="Batang" w:cs="Times"/>
          <w:noProof/>
          <w:szCs w:val="24"/>
          <w:lang w:val="en-US" w:eastAsia="es-ES"/>
        </w:rPr>
        <w:t>wa</w:t>
      </w:r>
      <w:r w:rsidR="007D023F" w:rsidRPr="00FE50A6">
        <w:rPr>
          <w:rFonts w:eastAsia="Batang" w:cs="Times"/>
          <w:noProof/>
          <w:szCs w:val="24"/>
          <w:lang w:val="en-US" w:eastAsia="es-ES"/>
        </w:rPr>
        <w:t xml:space="preserve">s limited to </w:t>
      </w:r>
      <w:r w:rsidRPr="00FE50A6">
        <w:rPr>
          <w:rFonts w:eastAsia="Batang" w:cs="Times"/>
          <w:noProof/>
          <w:szCs w:val="24"/>
          <w:lang w:val="en-US" w:eastAsia="es-ES"/>
        </w:rPr>
        <w:t>the Convention</w:t>
      </w:r>
      <w:r w:rsidR="00030C17" w:rsidRPr="00FE50A6">
        <w:rPr>
          <w:rFonts w:eastAsia="Batang" w:cs="Times"/>
          <w:noProof/>
          <w:szCs w:val="24"/>
          <w:lang w:val="en-US" w:eastAsia="es-ES"/>
        </w:rPr>
        <w:t xml:space="preserve"> and </w:t>
      </w:r>
      <w:r w:rsidR="007D023F" w:rsidRPr="00FE50A6">
        <w:rPr>
          <w:rFonts w:eastAsia="Batang" w:cs="Times"/>
          <w:noProof/>
          <w:szCs w:val="24"/>
          <w:lang w:val="en-US" w:eastAsia="es-ES"/>
        </w:rPr>
        <w:t xml:space="preserve">to the instruments of the inter-American sphere, but pointed out that this did not mean that it was impossible to characterize a specific human rights violation </w:t>
      </w:r>
      <w:r w:rsidR="005D06AE" w:rsidRPr="00FE50A6">
        <w:rPr>
          <w:rFonts w:eastAsia="Batang" w:cs="Times"/>
          <w:noProof/>
          <w:szCs w:val="24"/>
          <w:lang w:val="en-US" w:eastAsia="es-ES"/>
        </w:rPr>
        <w:t>according to</w:t>
      </w:r>
      <w:r w:rsidR="007D023F" w:rsidRPr="00FE50A6">
        <w:rPr>
          <w:rFonts w:eastAsia="Batang" w:cs="Times"/>
          <w:noProof/>
          <w:szCs w:val="24"/>
          <w:lang w:val="en-US" w:eastAsia="es-ES"/>
        </w:rPr>
        <w:t xml:space="preserve"> its definition in other international instruments, provided that the situation violated </w:t>
      </w:r>
      <w:r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w:t>
      </w:r>
      <w:r w:rsidR="007D023F" w:rsidRPr="00FE50A6">
        <w:rPr>
          <w:rFonts w:eastAsia="Batang" w:cs="Times"/>
          <w:noProof/>
          <w:szCs w:val="24"/>
          <w:lang w:val="en-US" w:eastAsia="es-ES"/>
        </w:rPr>
        <w:t xml:space="preserve">or other applicable inter-American instruments, as occurred, for example, in cases of genocide, </w:t>
      </w:r>
      <w:r w:rsidR="007D023F" w:rsidRPr="00FE50A6">
        <w:rPr>
          <w:rFonts w:eastAsia="Batang" w:cs="Times"/>
          <w:noProof/>
          <w:szCs w:val="24"/>
          <w:lang w:val="en-US" w:eastAsia="es-ES"/>
        </w:rPr>
        <w:lastRenderedPageBreak/>
        <w:t xml:space="preserve">rape, </w:t>
      </w:r>
      <w:r w:rsidR="005D06AE" w:rsidRPr="00FE50A6">
        <w:rPr>
          <w:rFonts w:eastAsia="Batang" w:cs="Times"/>
          <w:noProof/>
          <w:szCs w:val="24"/>
          <w:lang w:val="en-US" w:eastAsia="es-ES"/>
        </w:rPr>
        <w:t>and child</w:t>
      </w:r>
      <w:r w:rsidR="007D023F" w:rsidRPr="00FE50A6">
        <w:rPr>
          <w:rFonts w:eastAsia="Batang" w:cs="Times"/>
          <w:noProof/>
          <w:szCs w:val="24"/>
          <w:lang w:val="en-US" w:eastAsia="es-ES"/>
        </w:rPr>
        <w:t xml:space="preserve"> recruitme</w:t>
      </w:r>
      <w:r w:rsidR="005D06AE" w:rsidRPr="00FE50A6">
        <w:rPr>
          <w:rFonts w:eastAsia="Batang" w:cs="Times"/>
          <w:noProof/>
          <w:szCs w:val="24"/>
          <w:lang w:val="en-US" w:eastAsia="es-ES"/>
        </w:rPr>
        <w:t>nt, and including situation</w:t>
      </w:r>
      <w:r w:rsidR="002D51AC" w:rsidRPr="00FE50A6">
        <w:rPr>
          <w:rFonts w:eastAsia="Batang" w:cs="Times"/>
          <w:noProof/>
          <w:szCs w:val="24"/>
          <w:lang w:val="en-US" w:eastAsia="es-ES"/>
        </w:rPr>
        <w:t>s</w:t>
      </w:r>
      <w:r w:rsidR="005D06AE" w:rsidRPr="00FE50A6">
        <w:rPr>
          <w:rFonts w:eastAsia="Batang" w:cs="Times"/>
          <w:noProof/>
          <w:szCs w:val="24"/>
          <w:lang w:val="en-US" w:eastAsia="es-ES"/>
        </w:rPr>
        <w:t xml:space="preserve"> of</w:t>
      </w:r>
      <w:r w:rsidR="00615E39" w:rsidRPr="00FE50A6">
        <w:rPr>
          <w:rFonts w:eastAsia="Batang" w:cs="Times"/>
          <w:noProof/>
          <w:szCs w:val="24"/>
          <w:lang w:val="en-US" w:eastAsia="es-ES"/>
        </w:rPr>
        <w:t xml:space="preserve"> </w:t>
      </w:r>
      <w:r w:rsidR="000C2A19" w:rsidRPr="00FE50A6">
        <w:rPr>
          <w:rFonts w:eastAsia="Batang" w:cs="Times"/>
          <w:noProof/>
          <w:szCs w:val="24"/>
          <w:lang w:val="en-US" w:eastAsia="es-ES"/>
        </w:rPr>
        <w:t>trafficking in persons</w:t>
      </w:r>
      <w:r w:rsidR="005D06AE" w:rsidRPr="00FE50A6">
        <w:rPr>
          <w:rFonts w:eastAsia="Batang" w:cs="Times"/>
          <w:noProof/>
          <w:szCs w:val="24"/>
          <w:lang w:val="en-US" w:eastAsia="es-ES"/>
        </w:rPr>
        <w:t xml:space="preserve">, which necessarily entailed violations of rights established in </w:t>
      </w:r>
      <w:r w:rsidRPr="00FE50A6">
        <w:rPr>
          <w:rFonts w:eastAsia="Batang" w:cs="Times"/>
          <w:noProof/>
          <w:szCs w:val="24"/>
          <w:lang w:val="en-US" w:eastAsia="es-ES"/>
        </w:rPr>
        <w:t>the Convention</w:t>
      </w:r>
      <w:r w:rsidR="000A52D5" w:rsidRPr="00FE50A6">
        <w:rPr>
          <w:rFonts w:eastAsia="Batang" w:cs="Times"/>
          <w:noProof/>
          <w:szCs w:val="24"/>
          <w:lang w:val="en-US" w:eastAsia="es-ES"/>
        </w:rPr>
        <w:t>.</w:t>
      </w:r>
    </w:p>
    <w:p w14:paraId="715325CD"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DDE184B"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w:t>
      </w:r>
      <w:r w:rsidR="007E0BA3" w:rsidRPr="00FE50A6">
        <w:rPr>
          <w:rFonts w:eastAsia="Batang" w:cs="Times"/>
          <w:noProof/>
          <w:szCs w:val="24"/>
          <w:lang w:val="en-US" w:eastAsia="es-ES"/>
        </w:rPr>
        <w:t xml:space="preserve">pointed to the </w:t>
      </w:r>
      <w:r w:rsidR="002D51AC" w:rsidRPr="00FE50A6">
        <w:rPr>
          <w:rFonts w:eastAsia="Batang" w:cs="Times"/>
          <w:noProof/>
          <w:szCs w:val="24"/>
          <w:lang w:val="en-US" w:eastAsia="es-ES"/>
        </w:rPr>
        <w:t xml:space="preserve">Court’s </w:t>
      </w:r>
      <w:r w:rsidR="007E0BA3" w:rsidRPr="00FE50A6">
        <w:rPr>
          <w:rFonts w:eastAsia="Batang" w:cs="Times"/>
          <w:noProof/>
          <w:szCs w:val="24"/>
          <w:lang w:val="en-US" w:eastAsia="es-ES"/>
        </w:rPr>
        <w:t xml:space="preserve">consistent criteria that, when examining the compatibility of State laws or conducts with </w:t>
      </w:r>
      <w:r w:rsidR="000228D0"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w:t>
      </w:r>
      <w:r w:rsidR="007E0BA3" w:rsidRPr="00FE50A6">
        <w:rPr>
          <w:rFonts w:eastAsia="Batang" w:cs="Times"/>
          <w:noProof/>
          <w:szCs w:val="24"/>
          <w:lang w:val="en-US" w:eastAsia="es-ES"/>
        </w:rPr>
        <w:t xml:space="preserve">it could interpret the obligations and the rights contained in </w:t>
      </w:r>
      <w:r w:rsidR="001032EA" w:rsidRPr="00FE50A6">
        <w:rPr>
          <w:rFonts w:eastAsia="Batang" w:cs="Times"/>
          <w:noProof/>
          <w:szCs w:val="24"/>
          <w:lang w:val="en-US" w:eastAsia="es-ES"/>
        </w:rPr>
        <w:t>this</w:t>
      </w:r>
      <w:r w:rsidR="007E0BA3" w:rsidRPr="00FE50A6">
        <w:rPr>
          <w:rFonts w:eastAsia="Batang" w:cs="Times"/>
          <w:noProof/>
          <w:szCs w:val="24"/>
          <w:lang w:val="en-US" w:eastAsia="es-ES"/>
        </w:rPr>
        <w:t xml:space="preserve"> instrument in light of other treaties. They also indicated that they had alleged specific violations owing to the Stat</w:t>
      </w:r>
      <w:r w:rsidR="002D51AC" w:rsidRPr="00FE50A6">
        <w:rPr>
          <w:rFonts w:eastAsia="Batang" w:cs="Times"/>
          <w:noProof/>
          <w:szCs w:val="24"/>
          <w:lang w:val="en-US" w:eastAsia="es-ES"/>
        </w:rPr>
        <w:t>e’s</w:t>
      </w:r>
      <w:r w:rsidR="007E0BA3" w:rsidRPr="00FE50A6">
        <w:rPr>
          <w:rFonts w:eastAsia="Batang" w:cs="Times"/>
          <w:noProof/>
          <w:szCs w:val="24"/>
          <w:lang w:val="en-US" w:eastAsia="es-ES"/>
        </w:rPr>
        <w:t xml:space="preserve"> omission of its obligation to ensure rights in relation to the prohibition of </w:t>
      </w:r>
      <w:r w:rsidR="00D11A9F" w:rsidRPr="00FE50A6">
        <w:rPr>
          <w:rFonts w:eastAsia="Batang" w:cs="Times"/>
          <w:noProof/>
          <w:szCs w:val="24"/>
          <w:lang w:val="en-US" w:eastAsia="es-ES"/>
        </w:rPr>
        <w:t>slavery</w:t>
      </w:r>
      <w:r w:rsidR="000A52D5" w:rsidRPr="00FE50A6">
        <w:rPr>
          <w:rFonts w:eastAsia="Batang" w:cs="Times"/>
          <w:noProof/>
          <w:szCs w:val="24"/>
          <w:lang w:val="en-US" w:eastAsia="es-ES"/>
        </w:rPr>
        <w:t xml:space="preserve">, </w:t>
      </w:r>
      <w:r w:rsidR="00125A00" w:rsidRPr="00FE50A6">
        <w:rPr>
          <w:rFonts w:eastAsia="Batang" w:cs="Times"/>
          <w:noProof/>
          <w:szCs w:val="24"/>
          <w:lang w:val="en-US" w:eastAsia="es-ES"/>
        </w:rPr>
        <w:t xml:space="preserve">servitude </w:t>
      </w:r>
      <w:r w:rsidR="00030C17" w:rsidRPr="00FE50A6">
        <w:rPr>
          <w:rFonts w:eastAsia="Batang" w:cs="Times"/>
          <w:noProof/>
          <w:szCs w:val="24"/>
          <w:lang w:val="en-US" w:eastAsia="es-ES"/>
        </w:rPr>
        <w:t>and</w:t>
      </w:r>
      <w:r w:rsidR="00615E39" w:rsidRPr="00FE50A6">
        <w:rPr>
          <w:rFonts w:eastAsia="Batang" w:cs="Times"/>
          <w:noProof/>
          <w:szCs w:val="24"/>
          <w:lang w:val="en-US" w:eastAsia="es-ES"/>
        </w:rPr>
        <w:t xml:space="preserve"> </w:t>
      </w:r>
      <w:r w:rsidR="000C2A19" w:rsidRPr="00FE50A6">
        <w:rPr>
          <w:rFonts w:eastAsia="Batang" w:cs="Times"/>
          <w:noProof/>
          <w:szCs w:val="24"/>
          <w:lang w:val="en-US" w:eastAsia="es-ES"/>
        </w:rPr>
        <w:t xml:space="preserve">trafficking </w:t>
      </w:r>
      <w:r w:rsidR="000A52D5" w:rsidRPr="00FE50A6">
        <w:rPr>
          <w:rFonts w:eastAsia="Batang" w:cs="Times"/>
          <w:noProof/>
          <w:szCs w:val="24"/>
          <w:lang w:val="en-US" w:eastAsia="es-ES"/>
        </w:rPr>
        <w:t>(</w:t>
      </w:r>
      <w:r w:rsidR="007E0BA3" w:rsidRPr="00FE50A6">
        <w:rPr>
          <w:rFonts w:eastAsia="Batang" w:cs="Times"/>
          <w:noProof/>
          <w:szCs w:val="24"/>
          <w:lang w:val="en-US" w:eastAsia="es-ES"/>
        </w:rPr>
        <w:t>Article</w:t>
      </w:r>
      <w:r w:rsidR="000A52D5" w:rsidRPr="00FE50A6">
        <w:rPr>
          <w:rFonts w:eastAsia="Batang" w:cs="Times"/>
          <w:noProof/>
          <w:szCs w:val="24"/>
          <w:lang w:val="en-US" w:eastAsia="es-ES"/>
        </w:rPr>
        <w:t xml:space="preserve"> 6</w:t>
      </w:r>
      <w:r w:rsidR="000228D0"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7E0BA3" w:rsidRPr="00FE50A6">
        <w:rPr>
          <w:rFonts w:eastAsia="Batang" w:cs="Times"/>
          <w:noProof/>
          <w:szCs w:val="24"/>
          <w:lang w:val="en-US" w:eastAsia="es-ES"/>
        </w:rPr>
        <w:t xml:space="preserve">in relation to the rights to </w:t>
      </w:r>
      <w:r w:rsidR="00D11A9F" w:rsidRPr="00FE50A6">
        <w:rPr>
          <w:rFonts w:eastAsia="Batang" w:cs="Times"/>
          <w:noProof/>
          <w:szCs w:val="24"/>
          <w:lang w:val="en-US" w:eastAsia="es-ES"/>
        </w:rPr>
        <w:t>juridical personality</w:t>
      </w:r>
      <w:r w:rsidR="000A52D5" w:rsidRPr="00FE50A6">
        <w:rPr>
          <w:rFonts w:eastAsia="Batang" w:cs="Times"/>
          <w:noProof/>
          <w:szCs w:val="24"/>
          <w:lang w:val="en-US" w:eastAsia="es-ES"/>
        </w:rPr>
        <w:t xml:space="preserve">, </w:t>
      </w:r>
      <w:r w:rsidR="00D11A9F" w:rsidRPr="00FE50A6">
        <w:rPr>
          <w:rFonts w:eastAsia="Batang" w:cs="Times"/>
          <w:noProof/>
          <w:szCs w:val="24"/>
          <w:lang w:val="en-US" w:eastAsia="es-ES"/>
        </w:rPr>
        <w:t>personal integrity</w:t>
      </w:r>
      <w:r w:rsidR="000A52D5" w:rsidRPr="00FE50A6">
        <w:rPr>
          <w:rFonts w:eastAsia="Batang" w:cs="Times"/>
          <w:noProof/>
          <w:szCs w:val="24"/>
          <w:lang w:val="en-US" w:eastAsia="es-ES"/>
        </w:rPr>
        <w:t>, personal</w:t>
      </w:r>
      <w:r w:rsidR="007E0BA3" w:rsidRPr="00FE50A6">
        <w:rPr>
          <w:rFonts w:eastAsia="Batang" w:cs="Times"/>
          <w:noProof/>
          <w:szCs w:val="24"/>
          <w:lang w:val="en-US" w:eastAsia="es-ES"/>
        </w:rPr>
        <w:t xml:space="preserve"> liberty</w:t>
      </w:r>
      <w:r w:rsidR="000A52D5" w:rsidRPr="00FE50A6">
        <w:rPr>
          <w:rFonts w:eastAsia="Batang" w:cs="Times"/>
          <w:noProof/>
          <w:szCs w:val="24"/>
          <w:lang w:val="en-US" w:eastAsia="es-ES"/>
        </w:rPr>
        <w:t xml:space="preserve">, </w:t>
      </w:r>
      <w:r w:rsidR="00D11A9F" w:rsidRPr="00FE50A6">
        <w:rPr>
          <w:rFonts w:eastAsia="Batang" w:cs="Times"/>
          <w:noProof/>
          <w:szCs w:val="24"/>
          <w:lang w:val="en-US" w:eastAsia="es-ES"/>
        </w:rPr>
        <w:t>privacy</w:t>
      </w:r>
      <w:r w:rsidR="000A52D5" w:rsidRPr="00FE50A6">
        <w:rPr>
          <w:rFonts w:eastAsia="Batang" w:cs="Times"/>
          <w:noProof/>
          <w:szCs w:val="24"/>
          <w:lang w:val="en-US" w:eastAsia="es-ES"/>
        </w:rPr>
        <w:t xml:space="preserve">, </w:t>
      </w:r>
      <w:r w:rsidR="00D11A9F" w:rsidRPr="00FE50A6">
        <w:rPr>
          <w:rFonts w:eastAsia="Batang" w:cs="Times"/>
          <w:noProof/>
          <w:szCs w:val="24"/>
          <w:lang w:val="en-US" w:eastAsia="es-ES"/>
        </w:rPr>
        <w:t>honor and dignity</w:t>
      </w:r>
      <w:r w:rsidR="000A52D5" w:rsidRPr="00FE50A6">
        <w:rPr>
          <w:rFonts w:eastAsia="Batang" w:cs="Times"/>
          <w:noProof/>
          <w:szCs w:val="24"/>
          <w:lang w:val="en-US" w:eastAsia="es-ES"/>
        </w:rPr>
        <w:t xml:space="preserve">, </w:t>
      </w:r>
      <w:r w:rsidR="00D11A9F" w:rsidRPr="00FE50A6">
        <w:rPr>
          <w:rFonts w:eastAsia="Batang" w:cs="Times"/>
          <w:noProof/>
          <w:szCs w:val="24"/>
          <w:lang w:val="en-US" w:eastAsia="es-ES"/>
        </w:rPr>
        <w:t>freedom of movement and residence</w:t>
      </w:r>
      <w:r w:rsidR="007E0BA3" w:rsidRPr="00FE50A6">
        <w:rPr>
          <w:rFonts w:eastAsia="Batang" w:cs="Times"/>
          <w:noProof/>
          <w:szCs w:val="24"/>
          <w:lang w:val="en-US" w:eastAsia="es-ES"/>
        </w:rPr>
        <w:t xml:space="preserve"> </w:t>
      </w:r>
      <w:r w:rsidR="00703850" w:rsidRPr="00FE50A6">
        <w:rPr>
          <w:rFonts w:eastAsia="Batang" w:cs="Times"/>
          <w:noProof/>
          <w:szCs w:val="24"/>
          <w:lang w:val="en-US" w:eastAsia="es-ES"/>
        </w:rPr>
        <w:t>of</w:t>
      </w:r>
      <w:r w:rsidR="000A52D5" w:rsidRPr="00FE50A6">
        <w:rPr>
          <w:rFonts w:eastAsia="Batang" w:cs="Times"/>
          <w:noProof/>
          <w:szCs w:val="24"/>
          <w:lang w:val="en-US" w:eastAsia="es-ES"/>
        </w:rPr>
        <w:t xml:space="preserve"> </w:t>
      </w:r>
      <w:r w:rsidR="007E0BA3" w:rsidRPr="00FE50A6">
        <w:rPr>
          <w:rFonts w:eastAsia="Batang" w:cs="Times"/>
          <w:noProof/>
          <w:szCs w:val="24"/>
          <w:lang w:val="en-US" w:eastAsia="es-ES"/>
        </w:rPr>
        <w:t xml:space="preserve">the victims who were in </w:t>
      </w:r>
      <w:r w:rsidR="000A52D5"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A52D5" w:rsidRPr="00FE50A6">
        <w:rPr>
          <w:rFonts w:eastAsia="Batang" w:cs="Times"/>
          <w:noProof/>
          <w:szCs w:val="24"/>
          <w:lang w:val="en-US" w:eastAsia="es-ES"/>
        </w:rPr>
        <w:t xml:space="preserve"> </w:t>
      </w:r>
      <w:r w:rsidR="007E0BA3" w:rsidRPr="00FE50A6">
        <w:rPr>
          <w:rFonts w:eastAsia="Batang" w:cs="Times"/>
          <w:noProof/>
          <w:szCs w:val="24"/>
          <w:lang w:val="en-US" w:eastAsia="es-ES"/>
        </w:rPr>
        <w:t>after December</w:t>
      </w:r>
      <w:r w:rsidR="000A52D5" w:rsidRPr="00FE50A6">
        <w:rPr>
          <w:rFonts w:eastAsia="Batang" w:cs="Times"/>
          <w:noProof/>
          <w:szCs w:val="24"/>
          <w:lang w:val="en-US" w:eastAsia="es-ES"/>
        </w:rPr>
        <w:t xml:space="preserve"> 1998.</w:t>
      </w:r>
      <w:r w:rsidR="000A52D5" w:rsidRPr="00FE50A6">
        <w:rPr>
          <w:rFonts w:eastAsia="Batang" w:cs="Times"/>
          <w:b/>
          <w:noProof/>
          <w:szCs w:val="24"/>
          <w:lang w:val="en-US" w:eastAsia="es-ES"/>
        </w:rPr>
        <w:t xml:space="preserve"> </w:t>
      </w:r>
    </w:p>
    <w:p w14:paraId="6C56C198"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74DE7F1" w14:textId="77777777" w:rsidR="000A52D5" w:rsidRPr="00FE50A6" w:rsidRDefault="003D4561" w:rsidP="000A20C1">
      <w:pPr>
        <w:pStyle w:val="Ttulo3"/>
        <w:rPr>
          <w:noProof/>
          <w:lang w:val="en-US" w:eastAsia="es-ES"/>
        </w:rPr>
      </w:pPr>
      <w:bookmarkStart w:id="118" w:name="_Toc460432980"/>
      <w:bookmarkStart w:id="119" w:name="_Toc460441911"/>
      <w:bookmarkStart w:id="120" w:name="_Toc462750731"/>
      <w:bookmarkStart w:id="121" w:name="_Toc462751055"/>
      <w:bookmarkStart w:id="122" w:name="_Toc464813907"/>
      <w:r w:rsidRPr="00FE50A6">
        <w:rPr>
          <w:noProof/>
          <w:lang w:val="en-US" w:eastAsia="es-ES"/>
        </w:rPr>
        <w:t>F</w:t>
      </w:r>
      <w:r w:rsidR="000A52D5" w:rsidRPr="00FE50A6">
        <w:rPr>
          <w:noProof/>
          <w:lang w:val="en-US" w:eastAsia="es-ES"/>
        </w:rPr>
        <w:t xml:space="preserve">.2. </w:t>
      </w:r>
      <w:r w:rsidR="000702CF" w:rsidRPr="00FE50A6">
        <w:rPr>
          <w:noProof/>
          <w:lang w:val="en-US" w:eastAsia="es-ES"/>
        </w:rPr>
        <w:t>Considerations</w:t>
      </w:r>
      <w:r w:rsidR="000228D0" w:rsidRPr="00FE50A6">
        <w:rPr>
          <w:noProof/>
          <w:lang w:val="en-US" w:eastAsia="es-ES"/>
        </w:rPr>
        <w:t xml:space="preserve"> of the Court</w:t>
      </w:r>
      <w:bookmarkEnd w:id="118"/>
      <w:bookmarkEnd w:id="119"/>
      <w:bookmarkEnd w:id="120"/>
      <w:bookmarkEnd w:id="121"/>
      <w:bookmarkEnd w:id="122"/>
    </w:p>
    <w:p w14:paraId="62C7EEFA"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B27D246" w14:textId="77777777" w:rsidR="00004D55" w:rsidRPr="00FE50A6" w:rsidRDefault="007E0BA3"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It is important to note that, in this case, neither </w:t>
      </w:r>
      <w:r w:rsidR="000228D0" w:rsidRPr="00FE50A6">
        <w:rPr>
          <w:rFonts w:eastAsia="Batang" w:cs="Times"/>
          <w:noProof/>
          <w:szCs w:val="24"/>
          <w:lang w:val="en-US" w:eastAsia="es-ES"/>
        </w:rPr>
        <w:t>the Commission</w:t>
      </w:r>
      <w:r w:rsidR="00004D55" w:rsidRPr="00FE50A6">
        <w:rPr>
          <w:rFonts w:eastAsia="Batang" w:cs="Times"/>
          <w:noProof/>
          <w:szCs w:val="24"/>
          <w:lang w:val="en-US" w:eastAsia="es-ES"/>
        </w:rPr>
        <w:t xml:space="preserve"> n</w:t>
      </w:r>
      <w:r w:rsidRPr="00FE50A6">
        <w:rPr>
          <w:rFonts w:eastAsia="Batang" w:cs="Times"/>
          <w:noProof/>
          <w:szCs w:val="24"/>
          <w:lang w:val="en-US" w:eastAsia="es-ES"/>
        </w:rPr>
        <w:t>or</w:t>
      </w:r>
      <w:r w:rsidR="00004D55" w:rsidRPr="00FE50A6">
        <w:rPr>
          <w:rFonts w:eastAsia="Batang" w:cs="Times"/>
          <w:noProof/>
          <w:szCs w:val="24"/>
          <w:lang w:val="en-US" w:eastAsia="es-ES"/>
        </w:rPr>
        <w:t xml:space="preserve"> </w:t>
      </w:r>
      <w:r w:rsidR="00700B79" w:rsidRPr="00FE50A6">
        <w:rPr>
          <w:rFonts w:eastAsia="Batang" w:cs="Times"/>
          <w:noProof/>
          <w:szCs w:val="24"/>
          <w:lang w:val="en-US" w:eastAsia="es-ES"/>
        </w:rPr>
        <w:t>the representatives</w:t>
      </w:r>
      <w:r w:rsidR="00004D55" w:rsidRPr="00FE50A6">
        <w:rPr>
          <w:rFonts w:eastAsia="Batang" w:cs="Times"/>
          <w:noProof/>
          <w:szCs w:val="24"/>
          <w:lang w:val="en-US" w:eastAsia="es-ES"/>
        </w:rPr>
        <w:t xml:space="preserve"> ha</w:t>
      </w:r>
      <w:r w:rsidRPr="00FE50A6">
        <w:rPr>
          <w:rFonts w:eastAsia="Batang" w:cs="Times"/>
          <w:noProof/>
          <w:szCs w:val="24"/>
          <w:lang w:val="en-US" w:eastAsia="es-ES"/>
        </w:rPr>
        <w:t>ve asked the Court to declare the State responsible for possible violations of international commitments assumed by Brazil in relation to other international treaties</w:t>
      </w:r>
      <w:r w:rsidR="00004D55" w:rsidRPr="00FE50A6">
        <w:rPr>
          <w:rFonts w:eastAsia="Batang" w:cs="Times"/>
          <w:noProof/>
          <w:szCs w:val="24"/>
          <w:lang w:val="en-US" w:eastAsia="es-ES"/>
        </w:rPr>
        <w:t>.</w:t>
      </w:r>
    </w:p>
    <w:p w14:paraId="31BA9F06" w14:textId="77777777" w:rsidR="00004D55" w:rsidRPr="00FE50A6" w:rsidRDefault="00004D55" w:rsidP="00140440">
      <w:pPr>
        <w:pStyle w:val="Prrafodelista"/>
        <w:rPr>
          <w:rFonts w:eastAsia="Batang" w:cs="Times"/>
          <w:noProof/>
          <w:szCs w:val="24"/>
          <w:lang w:val="en-US" w:eastAsia="es-ES"/>
        </w:rPr>
      </w:pPr>
      <w:bookmarkStart w:id="123" w:name="_Ref405769555"/>
    </w:p>
    <w:p w14:paraId="5F73699E" w14:textId="77777777" w:rsidR="00004D55" w:rsidRPr="00FE50A6" w:rsidRDefault="0073347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Pursuant to</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Article</w:t>
      </w:r>
      <w:r w:rsidR="000A52D5" w:rsidRPr="00FE50A6">
        <w:rPr>
          <w:rFonts w:eastAsia="Batang" w:cs="Times"/>
          <w:noProof/>
          <w:szCs w:val="24"/>
          <w:lang w:val="en-US" w:eastAsia="es-ES"/>
        </w:rPr>
        <w:t xml:space="preserve"> 29</w:t>
      </w:r>
      <w:r w:rsidR="007E0BA3" w:rsidRPr="00FE50A6">
        <w:rPr>
          <w:rFonts w:eastAsia="Batang" w:cs="Times"/>
          <w:noProof/>
          <w:szCs w:val="24"/>
          <w:lang w:val="en-US" w:eastAsia="es-ES"/>
        </w:rPr>
        <w:t>(</w:t>
      </w:r>
      <w:r w:rsidR="000A52D5" w:rsidRPr="00FE50A6">
        <w:rPr>
          <w:rFonts w:eastAsia="Batang" w:cs="Times"/>
          <w:noProof/>
          <w:szCs w:val="24"/>
          <w:lang w:val="en-US" w:eastAsia="es-ES"/>
        </w:rPr>
        <w:t>b)</w:t>
      </w:r>
      <w:r w:rsidR="000228D0" w:rsidRPr="00FE50A6">
        <w:rPr>
          <w:rFonts w:eastAsia="Batang" w:cs="Times"/>
          <w:noProof/>
          <w:szCs w:val="24"/>
          <w:lang w:val="en-US" w:eastAsia="es-ES"/>
        </w:rPr>
        <w:t xml:space="preserve"> of the American Convention</w:t>
      </w:r>
      <w:r w:rsidR="00030C17" w:rsidRPr="00FE50A6">
        <w:rPr>
          <w:rFonts w:eastAsia="Batang" w:cs="Times"/>
          <w:noProof/>
          <w:szCs w:val="24"/>
          <w:lang w:val="en-US" w:eastAsia="es-ES"/>
        </w:rPr>
        <w:t xml:space="preserve"> and</w:t>
      </w:r>
      <w:r w:rsidR="005F46DE" w:rsidRPr="00FE50A6">
        <w:rPr>
          <w:rFonts w:eastAsia="Batang" w:cs="Times"/>
          <w:noProof/>
          <w:szCs w:val="24"/>
          <w:lang w:val="en-US" w:eastAsia="es-ES"/>
        </w:rPr>
        <w:t xml:space="preserve"> the general rules for the interpretation of treaties</w:t>
      </w:r>
      <w:r w:rsidR="00030C17" w:rsidRPr="00FE50A6">
        <w:rPr>
          <w:rFonts w:eastAsia="Batang" w:cs="Times"/>
          <w:noProof/>
          <w:szCs w:val="24"/>
          <w:lang w:val="en-US" w:eastAsia="es-ES"/>
        </w:rPr>
        <w:t xml:space="preserve"> </w:t>
      </w:r>
      <w:r w:rsidR="005F46DE" w:rsidRPr="00FE50A6">
        <w:rPr>
          <w:rFonts w:eastAsia="Batang" w:cs="Times"/>
          <w:noProof/>
          <w:szCs w:val="24"/>
          <w:lang w:val="en-US" w:eastAsia="es-ES"/>
        </w:rPr>
        <w:t xml:space="preserve">included in the Vienna Convention on the Law of Treaties, </w:t>
      </w:r>
      <w:r w:rsidR="000228D0" w:rsidRPr="00FE50A6">
        <w:rPr>
          <w:rFonts w:eastAsia="Batang" w:cs="Times"/>
          <w:noProof/>
          <w:szCs w:val="24"/>
          <w:lang w:val="en-US" w:eastAsia="es-ES"/>
        </w:rPr>
        <w:t>the American Convention</w:t>
      </w:r>
      <w:r w:rsidR="000A52D5" w:rsidRPr="00FE50A6">
        <w:rPr>
          <w:rFonts w:eastAsia="Batang" w:cs="Times"/>
          <w:noProof/>
          <w:szCs w:val="24"/>
          <w:lang w:val="en-US" w:eastAsia="es-ES"/>
        </w:rPr>
        <w:t xml:space="preserve"> </w:t>
      </w:r>
      <w:r w:rsidR="005F46DE" w:rsidRPr="00FE50A6">
        <w:rPr>
          <w:rFonts w:eastAsia="Batang" w:cs="Times"/>
          <w:noProof/>
          <w:szCs w:val="24"/>
          <w:lang w:val="en-US" w:eastAsia="es-ES"/>
        </w:rPr>
        <w:t xml:space="preserve">may be interpreted in relation </w:t>
      </w:r>
      <w:r w:rsidR="002D51AC" w:rsidRPr="00FE50A6">
        <w:rPr>
          <w:rFonts w:eastAsia="Batang" w:cs="Times"/>
          <w:noProof/>
          <w:szCs w:val="24"/>
          <w:lang w:val="en-US" w:eastAsia="es-ES"/>
        </w:rPr>
        <w:t>to</w:t>
      </w:r>
      <w:r w:rsidR="005F46DE" w:rsidRPr="00FE50A6">
        <w:rPr>
          <w:rFonts w:eastAsia="Batang" w:cs="Times"/>
          <w:noProof/>
          <w:szCs w:val="24"/>
          <w:lang w:val="en-US" w:eastAsia="es-ES"/>
        </w:rPr>
        <w:t xml:space="preserve"> other international instruments.</w:t>
      </w:r>
      <w:bookmarkStart w:id="124" w:name="_ftnref1"/>
      <w:r w:rsidR="000A52D5" w:rsidRPr="00FE50A6">
        <w:rPr>
          <w:rFonts w:eastAsia="Batang" w:cs="Times"/>
          <w:noProof/>
          <w:szCs w:val="24"/>
          <w:vertAlign w:val="superscript"/>
          <w:lang w:val="en-US" w:eastAsia="es-ES"/>
        </w:rPr>
        <w:footnoteReference w:id="50"/>
      </w:r>
      <w:bookmarkEnd w:id="124"/>
      <w:r w:rsidR="000A52D5" w:rsidRPr="00FE50A6">
        <w:rPr>
          <w:rFonts w:eastAsia="Batang" w:cs="Times"/>
          <w:noProof/>
          <w:szCs w:val="24"/>
          <w:lang w:val="en-US" w:eastAsia="es-ES"/>
        </w:rPr>
        <w:t xml:space="preserve"> </w:t>
      </w:r>
      <w:r w:rsidR="00E94340" w:rsidRPr="00FE50A6">
        <w:rPr>
          <w:rFonts w:eastAsia="Batang" w:cs="Times"/>
          <w:noProof/>
          <w:szCs w:val="24"/>
          <w:lang w:val="en-US" w:eastAsia="es-ES"/>
        </w:rPr>
        <w:t xml:space="preserve">Therefore, when examining the compatibility with </w:t>
      </w:r>
      <w:r w:rsidR="000228D0" w:rsidRPr="00FE50A6">
        <w:rPr>
          <w:rFonts w:eastAsia="Batang" w:cs="Times"/>
          <w:noProof/>
          <w:szCs w:val="24"/>
          <w:lang w:val="en-US" w:eastAsia="es-ES"/>
        </w:rPr>
        <w:t>the Convention</w:t>
      </w:r>
      <w:r w:rsidR="00E94340" w:rsidRPr="00FE50A6">
        <w:rPr>
          <w:rFonts w:eastAsia="Batang" w:cs="Times"/>
          <w:noProof/>
          <w:szCs w:val="24"/>
          <w:lang w:val="en-US" w:eastAsia="es-ES"/>
        </w:rPr>
        <w:t xml:space="preserve"> of a State’s laws or actions</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w:t>
      </w:r>
      <w:r w:rsidR="00E94340" w:rsidRPr="00FE50A6">
        <w:rPr>
          <w:rFonts w:eastAsia="Batang" w:cs="Times"/>
          <w:noProof/>
          <w:szCs w:val="24"/>
          <w:lang w:val="en-US" w:eastAsia="es-ES"/>
        </w:rPr>
        <w:t>may interpret</w:t>
      </w:r>
      <w:r w:rsidR="00F15589" w:rsidRPr="00FE50A6">
        <w:rPr>
          <w:rFonts w:eastAsia="Batang" w:cs="Times"/>
          <w:noProof/>
          <w:szCs w:val="24"/>
          <w:lang w:val="en-US" w:eastAsia="es-ES"/>
        </w:rPr>
        <w:t xml:space="preserve"> </w:t>
      </w:r>
      <w:r w:rsidR="00E94340" w:rsidRPr="00FE50A6">
        <w:rPr>
          <w:rFonts w:eastAsia="Batang" w:cs="Times"/>
          <w:noProof/>
          <w:szCs w:val="24"/>
          <w:lang w:val="en-US" w:eastAsia="es-ES"/>
        </w:rPr>
        <w:t>the obligations and the rights contained in that instrument</w:t>
      </w:r>
      <w:r w:rsidR="00F15589" w:rsidRPr="00FE50A6">
        <w:rPr>
          <w:rFonts w:eastAsia="Batang" w:cs="Times"/>
          <w:noProof/>
          <w:szCs w:val="24"/>
          <w:lang w:val="en-US" w:eastAsia="es-ES"/>
        </w:rPr>
        <w:t xml:space="preserve"> in light of other treaties</w:t>
      </w:r>
      <w:r w:rsidR="00E94340" w:rsidRPr="00FE50A6">
        <w:rPr>
          <w:rFonts w:eastAsia="Batang" w:cs="Times"/>
          <w:noProof/>
          <w:szCs w:val="24"/>
          <w:lang w:val="en-US" w:eastAsia="es-ES"/>
        </w:rPr>
        <w:t>. This means that the Court may observe the r</w:t>
      </w:r>
      <w:r w:rsidR="00F15589" w:rsidRPr="00FE50A6">
        <w:rPr>
          <w:rFonts w:eastAsia="Batang" w:cs="Times"/>
          <w:noProof/>
          <w:szCs w:val="24"/>
          <w:lang w:val="en-US" w:eastAsia="es-ES"/>
        </w:rPr>
        <w:t>ule</w:t>
      </w:r>
      <w:r w:rsidR="00E94340" w:rsidRPr="00FE50A6">
        <w:rPr>
          <w:rFonts w:eastAsia="Batang" w:cs="Times"/>
          <w:noProof/>
          <w:szCs w:val="24"/>
          <w:lang w:val="en-US" w:eastAsia="es-ES"/>
        </w:rPr>
        <w:t xml:space="preserve">s of specific international </w:t>
      </w:r>
      <w:r w:rsidR="00F15589" w:rsidRPr="00FE50A6">
        <w:rPr>
          <w:rFonts w:eastAsia="Batang" w:cs="Times"/>
          <w:noProof/>
          <w:szCs w:val="24"/>
          <w:lang w:val="en-US" w:eastAsia="es-ES"/>
        </w:rPr>
        <w:t>norms</w:t>
      </w:r>
      <w:r w:rsidR="00E94340" w:rsidRPr="00FE50A6">
        <w:rPr>
          <w:rFonts w:eastAsia="Batang" w:cs="Times"/>
          <w:noProof/>
          <w:szCs w:val="24"/>
          <w:lang w:val="en-US" w:eastAsia="es-ES"/>
        </w:rPr>
        <w:t xml:space="preserve"> relating to the prohibition of slavery</w:t>
      </w:r>
      <w:r w:rsidR="000A52D5" w:rsidRPr="00FE50A6">
        <w:rPr>
          <w:rFonts w:eastAsia="Batang" w:cs="Times"/>
          <w:noProof/>
          <w:szCs w:val="24"/>
          <w:lang w:val="en-US" w:eastAsia="es-ES"/>
        </w:rPr>
        <w:t xml:space="preserve">, </w:t>
      </w:r>
      <w:r w:rsidR="00125A00" w:rsidRPr="00FE50A6">
        <w:rPr>
          <w:rFonts w:eastAsia="Batang" w:cs="Times"/>
          <w:noProof/>
          <w:szCs w:val="24"/>
          <w:lang w:val="en-US" w:eastAsia="es-ES"/>
        </w:rPr>
        <w:t>servitude</w:t>
      </w:r>
      <w:r w:rsidR="00030C17" w:rsidRPr="00FE50A6">
        <w:rPr>
          <w:rFonts w:eastAsia="Batang" w:cs="Times"/>
          <w:noProof/>
          <w:szCs w:val="24"/>
          <w:lang w:val="en-US" w:eastAsia="es-ES"/>
        </w:rPr>
        <w:t xml:space="preserve"> and</w:t>
      </w:r>
      <w:r w:rsidR="00615E39" w:rsidRPr="00FE50A6">
        <w:rPr>
          <w:rFonts w:eastAsia="Batang" w:cs="Times"/>
          <w:noProof/>
          <w:szCs w:val="24"/>
          <w:lang w:val="en-US" w:eastAsia="es-ES"/>
        </w:rPr>
        <w:t xml:space="preserve"> </w:t>
      </w:r>
      <w:r w:rsidR="000C2A19" w:rsidRPr="00FE50A6">
        <w:rPr>
          <w:rFonts w:eastAsia="Batang" w:cs="Times"/>
          <w:noProof/>
          <w:szCs w:val="24"/>
          <w:lang w:val="en-US" w:eastAsia="es-ES"/>
        </w:rPr>
        <w:t>trafficking in persons</w:t>
      </w:r>
      <w:r w:rsidR="000A52D5" w:rsidRPr="00FE50A6">
        <w:rPr>
          <w:rFonts w:eastAsia="Batang" w:cs="Times"/>
          <w:noProof/>
          <w:szCs w:val="24"/>
          <w:lang w:val="en-US" w:eastAsia="es-ES"/>
        </w:rPr>
        <w:t xml:space="preserve">, </w:t>
      </w:r>
      <w:r w:rsidR="00E94340" w:rsidRPr="00FE50A6">
        <w:rPr>
          <w:rFonts w:eastAsia="Batang" w:cs="Times"/>
          <w:noProof/>
          <w:szCs w:val="24"/>
          <w:lang w:val="en-US" w:eastAsia="es-ES"/>
        </w:rPr>
        <w:t xml:space="preserve">in order to </w:t>
      </w:r>
      <w:r w:rsidR="00F15589" w:rsidRPr="00FE50A6">
        <w:rPr>
          <w:rFonts w:eastAsia="Batang" w:cs="Times"/>
          <w:noProof/>
          <w:szCs w:val="24"/>
          <w:lang w:val="en-US" w:eastAsia="es-ES"/>
        </w:rPr>
        <w:t xml:space="preserve">apply </w:t>
      </w:r>
      <w:r w:rsidR="00E94340" w:rsidRPr="00FE50A6">
        <w:rPr>
          <w:rFonts w:eastAsia="Batang" w:cs="Times"/>
          <w:noProof/>
          <w:szCs w:val="24"/>
          <w:lang w:val="en-US" w:eastAsia="es-ES"/>
        </w:rPr>
        <w:t>the norms of the Convention</w:t>
      </w:r>
      <w:r w:rsidR="00F15589" w:rsidRPr="00FE50A6">
        <w:rPr>
          <w:rFonts w:eastAsia="Batang" w:cs="Times"/>
          <w:noProof/>
          <w:szCs w:val="24"/>
          <w:lang w:val="en-US" w:eastAsia="es-ES"/>
        </w:rPr>
        <w:t xml:space="preserve"> more precisely when defining</w:t>
      </w:r>
      <w:r w:rsidR="00E94340" w:rsidRPr="00FE50A6">
        <w:rPr>
          <w:rFonts w:eastAsia="Batang" w:cs="Times"/>
          <w:noProof/>
          <w:szCs w:val="24"/>
          <w:lang w:val="en-US" w:eastAsia="es-ES"/>
        </w:rPr>
        <w:t xml:space="preserve"> the scope of the State</w:t>
      </w:r>
      <w:r w:rsidR="00F15589" w:rsidRPr="00FE50A6">
        <w:rPr>
          <w:rFonts w:eastAsia="Batang" w:cs="Times"/>
          <w:noProof/>
          <w:szCs w:val="24"/>
          <w:lang w:val="en-US" w:eastAsia="es-ES"/>
        </w:rPr>
        <w:t>’s</w:t>
      </w:r>
      <w:r w:rsidR="00E94340" w:rsidRPr="00FE50A6">
        <w:rPr>
          <w:rFonts w:eastAsia="Batang" w:cs="Times"/>
          <w:noProof/>
          <w:szCs w:val="24"/>
          <w:lang w:val="en-US" w:eastAsia="es-ES"/>
        </w:rPr>
        <w:t xml:space="preserve"> obligations.</w:t>
      </w:r>
      <w:r w:rsidR="000A52D5" w:rsidRPr="00FE50A6">
        <w:rPr>
          <w:rFonts w:eastAsia="Batang" w:cs="Times"/>
          <w:noProof/>
          <w:szCs w:val="24"/>
          <w:vertAlign w:val="superscript"/>
          <w:lang w:val="en-US" w:eastAsia="es-ES"/>
        </w:rPr>
        <w:footnoteReference w:id="51"/>
      </w:r>
      <w:r w:rsidR="00E94340" w:rsidRPr="00FE50A6">
        <w:rPr>
          <w:rFonts w:eastAsia="Batang" w:cs="Times"/>
          <w:noProof/>
          <w:szCs w:val="24"/>
          <w:lang w:val="en-US" w:eastAsia="es-ES"/>
        </w:rPr>
        <w:t xml:space="preserve"> Therefore, the</w:t>
      </w:r>
      <w:r w:rsidR="002D51AC" w:rsidRPr="00FE50A6">
        <w:rPr>
          <w:rFonts w:eastAsia="Batang" w:cs="Times"/>
          <w:noProof/>
          <w:szCs w:val="24"/>
          <w:lang w:val="en-US" w:eastAsia="es-ES"/>
        </w:rPr>
        <w:t xml:space="preserve"> State’s</w:t>
      </w:r>
      <w:r w:rsidR="00E94340" w:rsidRPr="00FE50A6">
        <w:rPr>
          <w:rFonts w:eastAsia="Batang" w:cs="Times"/>
          <w:noProof/>
          <w:szCs w:val="24"/>
          <w:lang w:val="en-US" w:eastAsia="es-ES"/>
        </w:rPr>
        <w:t xml:space="preserve"> allegation of lack of jurisdiction is groundless, because</w:t>
      </w:r>
      <w:r w:rsidR="002D51AC" w:rsidRPr="00FE50A6">
        <w:rPr>
          <w:rFonts w:eastAsia="Batang" w:cs="Times"/>
          <w:noProof/>
          <w:szCs w:val="24"/>
          <w:lang w:val="en-US" w:eastAsia="es-ES"/>
        </w:rPr>
        <w:t xml:space="preserve"> </w:t>
      </w:r>
      <w:r w:rsidR="001032EA" w:rsidRPr="00FE50A6">
        <w:rPr>
          <w:rFonts w:eastAsia="Batang" w:cs="Times"/>
          <w:noProof/>
          <w:szCs w:val="24"/>
          <w:lang w:val="en-US" w:eastAsia="es-ES"/>
        </w:rPr>
        <w:t xml:space="preserve">the </w:t>
      </w:r>
      <w:r w:rsidR="00E94340" w:rsidRPr="00FE50A6">
        <w:rPr>
          <w:rFonts w:eastAsia="Batang" w:cs="Times"/>
          <w:noProof/>
          <w:szCs w:val="24"/>
          <w:lang w:val="en-US" w:eastAsia="es-ES"/>
        </w:rPr>
        <w:t>interpretation of the scope</w:t>
      </w:r>
      <w:r w:rsidR="000A52D5" w:rsidRPr="00FE50A6">
        <w:rPr>
          <w:rFonts w:eastAsia="Batang" w:cs="Times"/>
          <w:noProof/>
          <w:szCs w:val="24"/>
          <w:lang w:val="en-US" w:eastAsia="es-ES"/>
        </w:rPr>
        <w:t xml:space="preserve"> </w:t>
      </w:r>
      <w:r w:rsidR="00703850" w:rsidRPr="00FE50A6">
        <w:rPr>
          <w:rFonts w:eastAsia="Batang" w:cs="Times"/>
          <w:noProof/>
          <w:szCs w:val="24"/>
          <w:lang w:val="en-US" w:eastAsia="es-ES"/>
        </w:rPr>
        <w:t>of Article</w:t>
      </w:r>
      <w:r w:rsidR="00004D55" w:rsidRPr="00FE50A6">
        <w:rPr>
          <w:rFonts w:eastAsia="Batang" w:cs="Times"/>
          <w:noProof/>
          <w:szCs w:val="24"/>
          <w:lang w:val="en-US" w:eastAsia="es-ES"/>
        </w:rPr>
        <w:t xml:space="preserve"> 6</w:t>
      </w:r>
      <w:r w:rsidR="000228D0" w:rsidRPr="00FE50A6">
        <w:rPr>
          <w:rFonts w:eastAsia="Batang" w:cs="Times"/>
          <w:noProof/>
          <w:szCs w:val="24"/>
          <w:lang w:val="en-US" w:eastAsia="es-ES"/>
        </w:rPr>
        <w:t xml:space="preserve"> of the Convention</w:t>
      </w:r>
      <w:r w:rsidR="00004D55" w:rsidRPr="00FE50A6">
        <w:rPr>
          <w:rFonts w:eastAsia="Batang" w:cs="Times"/>
          <w:noProof/>
          <w:szCs w:val="24"/>
          <w:lang w:val="en-US" w:eastAsia="es-ES"/>
        </w:rPr>
        <w:t xml:space="preserve"> </w:t>
      </w:r>
      <w:r w:rsidR="00E94340" w:rsidRPr="00FE50A6">
        <w:rPr>
          <w:rFonts w:eastAsia="Batang" w:cs="Times"/>
          <w:noProof/>
          <w:szCs w:val="24"/>
          <w:lang w:val="en-US" w:eastAsia="es-ES"/>
        </w:rPr>
        <w:t xml:space="preserve">is not a matter for a </w:t>
      </w:r>
      <w:r w:rsidR="00700B79" w:rsidRPr="00FE50A6">
        <w:rPr>
          <w:rFonts w:eastAsia="Batang" w:cs="Times"/>
          <w:noProof/>
          <w:szCs w:val="24"/>
          <w:lang w:val="en-US" w:eastAsia="es-ES"/>
        </w:rPr>
        <w:t>preliminary objection</w:t>
      </w:r>
      <w:r w:rsidR="00004D55" w:rsidRPr="00FE50A6">
        <w:rPr>
          <w:rFonts w:eastAsia="Batang" w:cs="Times"/>
          <w:noProof/>
          <w:szCs w:val="24"/>
          <w:lang w:val="en-US" w:eastAsia="es-ES"/>
        </w:rPr>
        <w:t xml:space="preserve">, </w:t>
      </w:r>
      <w:r w:rsidR="00E94340" w:rsidRPr="00FE50A6">
        <w:rPr>
          <w:rFonts w:eastAsia="Batang" w:cs="Times"/>
          <w:noProof/>
          <w:szCs w:val="24"/>
          <w:lang w:val="en-US" w:eastAsia="es-ES"/>
        </w:rPr>
        <w:t>but corresponds to the examination of the merits of the case.</w:t>
      </w:r>
    </w:p>
    <w:p w14:paraId="69A7B454"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1BDE3DD" w14:textId="77777777" w:rsidR="000A52D5" w:rsidRPr="00FE50A6" w:rsidRDefault="00E9434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Based on the above, the Court reje</w:t>
      </w:r>
      <w:r w:rsidR="001B1554" w:rsidRPr="00FE50A6">
        <w:rPr>
          <w:rFonts w:eastAsia="Batang" w:cs="Times"/>
          <w:noProof/>
          <w:szCs w:val="24"/>
          <w:lang w:val="en-US" w:eastAsia="es-ES"/>
        </w:rPr>
        <w:t>c</w:t>
      </w:r>
      <w:r w:rsidRPr="00FE50A6">
        <w:rPr>
          <w:rFonts w:eastAsia="Batang" w:cs="Times"/>
          <w:noProof/>
          <w:szCs w:val="24"/>
          <w:lang w:val="en-US" w:eastAsia="es-ES"/>
        </w:rPr>
        <w:t xml:space="preserve">ts this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w:t>
      </w:r>
      <w:bookmarkEnd w:id="123"/>
      <w:r w:rsidR="000A52D5" w:rsidRPr="00FE50A6">
        <w:rPr>
          <w:rFonts w:eastAsia="Batang" w:cs="Times"/>
          <w:noProof/>
          <w:szCs w:val="24"/>
          <w:lang w:val="en-US" w:eastAsia="es-ES"/>
        </w:rPr>
        <w:t xml:space="preserve">  </w:t>
      </w:r>
      <w:r w:rsidR="000A52D5" w:rsidRPr="00FE50A6">
        <w:rPr>
          <w:rFonts w:eastAsia="Batang" w:cs="Times"/>
          <w:noProof/>
          <w:szCs w:val="24"/>
          <w:u w:val="single"/>
          <w:lang w:val="en-US" w:eastAsia="es-ES"/>
        </w:rPr>
        <w:t xml:space="preserve">  </w:t>
      </w:r>
    </w:p>
    <w:p w14:paraId="4CDB7DF6" w14:textId="77777777" w:rsidR="00B13CD7" w:rsidRPr="00FE50A6" w:rsidRDefault="00B13CD7" w:rsidP="00140440">
      <w:pPr>
        <w:tabs>
          <w:tab w:val="clear" w:pos="4419"/>
          <w:tab w:val="clear" w:pos="8838"/>
        </w:tabs>
        <w:jc w:val="both"/>
        <w:rPr>
          <w:rFonts w:eastAsia="Batang" w:cs="Times"/>
          <w:noProof/>
          <w:szCs w:val="24"/>
          <w:lang w:val="en-US" w:eastAsia="es-ES"/>
        </w:rPr>
      </w:pPr>
    </w:p>
    <w:p w14:paraId="1B7C16B1" w14:textId="77777777" w:rsidR="000A52D5" w:rsidRPr="00FE50A6" w:rsidRDefault="008A7089" w:rsidP="008B0BCC">
      <w:pPr>
        <w:pStyle w:val="Ttulo2"/>
        <w:numPr>
          <w:ilvl w:val="0"/>
          <w:numId w:val="15"/>
        </w:numPr>
      </w:pPr>
      <w:bookmarkStart w:id="125" w:name="_Toc464813908"/>
      <w:r w:rsidRPr="00FE50A6">
        <w:t xml:space="preserve">Alleged lack </w:t>
      </w:r>
      <w:r w:rsidR="00822837" w:rsidRPr="00FE50A6">
        <w:t>of jurisdiction</w:t>
      </w:r>
      <w:r w:rsidR="000A52D5" w:rsidRPr="00FE50A6">
        <w:t xml:space="preserve"> </w:t>
      </w:r>
      <w:r w:rsidR="000A52D5" w:rsidRPr="00FE50A6">
        <w:rPr>
          <w:i w:val="0"/>
        </w:rPr>
        <w:t>ratione materiae</w:t>
      </w:r>
      <w:r w:rsidR="000A52D5" w:rsidRPr="00FE50A6">
        <w:t xml:space="preserve"> </w:t>
      </w:r>
      <w:r w:rsidR="00822837" w:rsidRPr="00FE50A6">
        <w:t>concerning supposed violations of labor rights</w:t>
      </w:r>
      <w:bookmarkEnd w:id="125"/>
    </w:p>
    <w:p w14:paraId="027F535B"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69AD6F5F" w14:textId="77777777" w:rsidR="000A52D5" w:rsidRPr="00FE50A6" w:rsidRDefault="005428E8" w:rsidP="000A20C1">
      <w:pPr>
        <w:pStyle w:val="Ttulo3"/>
        <w:rPr>
          <w:noProof/>
          <w:lang w:val="en-US" w:eastAsia="es-ES"/>
        </w:rPr>
      </w:pPr>
      <w:bookmarkStart w:id="126" w:name="_Toc460432982"/>
      <w:bookmarkStart w:id="127" w:name="_Toc460441913"/>
      <w:bookmarkStart w:id="128" w:name="_Toc462750733"/>
      <w:bookmarkStart w:id="129" w:name="_Toc462751057"/>
      <w:bookmarkStart w:id="130" w:name="_Toc464813909"/>
      <w:r w:rsidRPr="00FE50A6">
        <w:rPr>
          <w:noProof/>
          <w:lang w:val="en-US" w:eastAsia="es-ES"/>
        </w:rPr>
        <w:t>G</w:t>
      </w:r>
      <w:r w:rsidR="000A52D5" w:rsidRPr="00FE50A6">
        <w:rPr>
          <w:noProof/>
          <w:lang w:val="en-US" w:eastAsia="es-ES"/>
        </w:rPr>
        <w:t xml:space="preserve">.1.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126"/>
      <w:bookmarkEnd w:id="127"/>
      <w:bookmarkEnd w:id="128"/>
      <w:bookmarkEnd w:id="129"/>
      <w:bookmarkEnd w:id="130"/>
    </w:p>
    <w:p w14:paraId="3D967AE3"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50F52C1B"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alleged that</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w:t>
      </w:r>
      <w:r w:rsidR="000A52D5" w:rsidRPr="00FE50A6">
        <w:rPr>
          <w:rFonts w:eastAsia="Batang" w:cs="Times"/>
          <w:noProof/>
          <w:szCs w:val="24"/>
          <w:lang w:val="en-US" w:eastAsia="es-ES"/>
        </w:rPr>
        <w:t xml:space="preserve">i) </w:t>
      </w:r>
      <w:r w:rsidR="00F15589" w:rsidRPr="00FE50A6">
        <w:rPr>
          <w:rFonts w:eastAsia="Batang" w:cs="Times"/>
          <w:noProof/>
          <w:szCs w:val="24"/>
          <w:lang w:val="en-US" w:eastAsia="es-ES"/>
        </w:rPr>
        <w:t>the Additional Protocol to</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American Convention</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 xml:space="preserve">in the Area of Economic, Social and Cultural Rights </w:t>
      </w:r>
      <w:r w:rsidR="000A52D5" w:rsidRPr="00FE50A6">
        <w:rPr>
          <w:rFonts w:eastAsia="Batang" w:cs="Times"/>
          <w:noProof/>
          <w:szCs w:val="24"/>
          <w:lang w:val="en-US" w:eastAsia="es-ES"/>
        </w:rPr>
        <w:t>(Protocol</w:t>
      </w:r>
      <w:r w:rsidR="00F15589" w:rsidRPr="00FE50A6">
        <w:rPr>
          <w:rFonts w:eastAsia="Batang" w:cs="Times"/>
          <w:noProof/>
          <w:szCs w:val="24"/>
          <w:lang w:val="en-US" w:eastAsia="es-ES"/>
        </w:rPr>
        <w:t xml:space="preserve"> of</w:t>
      </w:r>
      <w:r w:rsidR="000A52D5" w:rsidRPr="00FE50A6">
        <w:rPr>
          <w:rFonts w:eastAsia="Batang" w:cs="Times"/>
          <w:noProof/>
          <w:szCs w:val="24"/>
          <w:lang w:val="en-US" w:eastAsia="es-ES"/>
        </w:rPr>
        <w:t xml:space="preserve"> San Salvador) </w:t>
      </w:r>
      <w:r w:rsidR="00F15589" w:rsidRPr="00FE50A6">
        <w:rPr>
          <w:rFonts w:eastAsia="Batang" w:cs="Times"/>
          <w:noProof/>
          <w:szCs w:val="24"/>
          <w:lang w:val="en-US" w:eastAsia="es-ES"/>
        </w:rPr>
        <w:t>indicated clearly that only trade union rights and the right to education were subject to the s</w:t>
      </w:r>
      <w:r w:rsidR="001B1554" w:rsidRPr="00FE50A6">
        <w:rPr>
          <w:rFonts w:eastAsia="Batang" w:cs="Times"/>
          <w:noProof/>
          <w:szCs w:val="24"/>
          <w:lang w:val="en-US" w:eastAsia="es-ES"/>
        </w:rPr>
        <w:t>y</w:t>
      </w:r>
      <w:r w:rsidR="00F15589" w:rsidRPr="00FE50A6">
        <w:rPr>
          <w:rFonts w:eastAsia="Batang" w:cs="Times"/>
          <w:noProof/>
          <w:szCs w:val="24"/>
          <w:lang w:val="en-US" w:eastAsia="es-ES"/>
        </w:rPr>
        <w:t xml:space="preserve">stem of individual petitions regulated by </w:t>
      </w:r>
      <w:r w:rsidRPr="00FE50A6">
        <w:rPr>
          <w:rFonts w:eastAsia="Batang" w:cs="Times"/>
          <w:noProof/>
          <w:szCs w:val="24"/>
          <w:lang w:val="en-US" w:eastAsia="es-ES"/>
        </w:rPr>
        <w:t>the Convention</w:t>
      </w:r>
      <w:r w:rsidR="000A52D5"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F15589" w:rsidRPr="00FE50A6">
        <w:rPr>
          <w:rFonts w:eastAsia="Batang" w:cs="Times"/>
          <w:noProof/>
          <w:szCs w:val="24"/>
          <w:lang w:val="en-US" w:eastAsia="es-ES"/>
        </w:rPr>
        <w:t>(</w:t>
      </w:r>
      <w:r w:rsidR="000A52D5" w:rsidRPr="00FE50A6">
        <w:rPr>
          <w:rFonts w:eastAsia="Batang" w:cs="Times"/>
          <w:noProof/>
          <w:szCs w:val="24"/>
          <w:lang w:val="en-US" w:eastAsia="es-ES"/>
        </w:rPr>
        <w:t xml:space="preserve">ii) </w:t>
      </w:r>
      <w:r w:rsidR="00F15589" w:rsidRPr="00FE50A6">
        <w:rPr>
          <w:rFonts w:eastAsia="Batang" w:cs="Times"/>
          <w:noProof/>
          <w:szCs w:val="24"/>
          <w:lang w:val="en-US" w:eastAsia="es-ES"/>
        </w:rPr>
        <w:t xml:space="preserve">the facts verified in </w:t>
      </w:r>
      <w:r w:rsidR="000A52D5"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related to situations of violation of the right to fair</w:t>
      </w:r>
      <w:r w:rsidR="001B1554" w:rsidRPr="00FE50A6">
        <w:rPr>
          <w:rFonts w:eastAsia="Batang" w:cs="Times"/>
          <w:noProof/>
          <w:szCs w:val="24"/>
          <w:lang w:val="en-US" w:eastAsia="es-ES"/>
        </w:rPr>
        <w:t>,</w:t>
      </w:r>
      <w:r w:rsidR="00F15589" w:rsidRPr="00FE50A6">
        <w:rPr>
          <w:rFonts w:eastAsia="Batang" w:cs="Times"/>
          <w:noProof/>
          <w:szCs w:val="24"/>
          <w:lang w:val="en-US" w:eastAsia="es-ES"/>
        </w:rPr>
        <w:t xml:space="preserve"> equitable and satisfactory </w:t>
      </w:r>
      <w:r w:rsidR="00F15589" w:rsidRPr="00FE50A6">
        <w:rPr>
          <w:rFonts w:eastAsia="Batang" w:cs="Times"/>
          <w:noProof/>
          <w:szCs w:val="24"/>
          <w:lang w:val="en-US" w:eastAsia="es-ES"/>
        </w:rPr>
        <w:lastRenderedPageBreak/>
        <w:t>working conditions, w</w:t>
      </w:r>
      <w:r w:rsidR="001B1554" w:rsidRPr="00FE50A6">
        <w:rPr>
          <w:rFonts w:eastAsia="Batang" w:cs="Times"/>
          <w:noProof/>
          <w:szCs w:val="24"/>
          <w:lang w:val="en-US" w:eastAsia="es-ES"/>
        </w:rPr>
        <w:t>h</w:t>
      </w:r>
      <w:r w:rsidR="00F15589" w:rsidRPr="00FE50A6">
        <w:rPr>
          <w:rFonts w:eastAsia="Batang" w:cs="Times"/>
          <w:noProof/>
          <w:szCs w:val="24"/>
          <w:lang w:val="en-US" w:eastAsia="es-ES"/>
        </w:rPr>
        <w:t xml:space="preserve">ich were regulated in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7 </w:t>
      </w:r>
      <w:r w:rsidR="00F15589" w:rsidRPr="00FE50A6">
        <w:rPr>
          <w:rFonts w:eastAsia="Batang" w:cs="Times"/>
          <w:noProof/>
          <w:szCs w:val="24"/>
          <w:lang w:val="en-US" w:eastAsia="es-ES"/>
        </w:rPr>
        <w:t>of the Protocol of</w:t>
      </w:r>
      <w:r w:rsidR="000A52D5" w:rsidRPr="00FE50A6">
        <w:rPr>
          <w:rFonts w:eastAsia="Batang" w:cs="Times"/>
          <w:noProof/>
          <w:szCs w:val="24"/>
          <w:lang w:val="en-US" w:eastAsia="es-ES"/>
        </w:rPr>
        <w:t xml:space="preserve"> San Salvador,</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no</w:t>
      </w:r>
      <w:r w:rsidR="00F15589" w:rsidRPr="00FE50A6">
        <w:rPr>
          <w:rFonts w:eastAsia="Batang" w:cs="Times"/>
          <w:noProof/>
          <w:szCs w:val="24"/>
          <w:lang w:val="en-US" w:eastAsia="es-ES"/>
        </w:rPr>
        <w:t>t in</w:t>
      </w:r>
      <w:r w:rsidR="000A52D5" w:rsidRPr="00FE50A6">
        <w:rPr>
          <w:rFonts w:eastAsia="Batang" w:cs="Times"/>
          <w:noProof/>
          <w:szCs w:val="24"/>
          <w:lang w:val="en-US" w:eastAsia="es-ES"/>
        </w:rPr>
        <w:t xml:space="preserve">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6</w:t>
      </w:r>
      <w:r w:rsidRPr="00FE50A6">
        <w:rPr>
          <w:rFonts w:eastAsia="Batang" w:cs="Times"/>
          <w:noProof/>
          <w:szCs w:val="24"/>
          <w:lang w:val="en-US" w:eastAsia="es-ES"/>
        </w:rPr>
        <w:t xml:space="preserve"> of the American Convention</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 xml:space="preserve">Accordingly, </w:t>
      </w: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indic</w:t>
      </w:r>
      <w:r w:rsidR="00F15589" w:rsidRPr="00FE50A6">
        <w:rPr>
          <w:rFonts w:eastAsia="Batang" w:cs="Times"/>
          <w:noProof/>
          <w:szCs w:val="24"/>
          <w:lang w:val="en-US" w:eastAsia="es-ES"/>
        </w:rPr>
        <w:t>ated that, since the facts of this case did not refer to aspects of trade union rights or education, the Court did not have competence to examine them</w:t>
      </w:r>
      <w:r w:rsidR="000A52D5" w:rsidRPr="00FE50A6">
        <w:rPr>
          <w:rFonts w:eastAsia="Batang" w:cs="Times"/>
          <w:noProof/>
          <w:szCs w:val="24"/>
          <w:lang w:val="en-US" w:eastAsia="es-ES"/>
        </w:rPr>
        <w:t xml:space="preserve">.   </w:t>
      </w:r>
    </w:p>
    <w:p w14:paraId="68A9F93F"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BCBE63D"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indicated that the State’s a</w:t>
      </w:r>
      <w:r w:rsidR="005B65F5" w:rsidRPr="00FE50A6">
        <w:rPr>
          <w:rFonts w:eastAsia="Batang" w:cs="Times"/>
          <w:noProof/>
          <w:szCs w:val="24"/>
          <w:lang w:val="en-US" w:eastAsia="es-ES"/>
        </w:rPr>
        <w:t xml:space="preserve">rguments </w:t>
      </w:r>
      <w:r w:rsidR="00F15589" w:rsidRPr="00FE50A6">
        <w:rPr>
          <w:rFonts w:eastAsia="Batang" w:cs="Times"/>
          <w:noProof/>
          <w:szCs w:val="24"/>
          <w:lang w:val="en-US" w:eastAsia="es-ES"/>
        </w:rPr>
        <w:t xml:space="preserve">were based on the fact that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6</w:t>
      </w:r>
      <w:r w:rsidRPr="00FE50A6">
        <w:rPr>
          <w:rFonts w:eastAsia="Batang" w:cs="Times"/>
          <w:noProof/>
          <w:szCs w:val="24"/>
          <w:lang w:val="en-US" w:eastAsia="es-ES"/>
        </w:rPr>
        <w:t xml:space="preserve"> of the Convention</w:t>
      </w:r>
      <w:r w:rsidR="003957EA" w:rsidRPr="00FE50A6">
        <w:rPr>
          <w:rFonts w:eastAsia="Batang" w:cs="Times"/>
          <w:noProof/>
          <w:szCs w:val="24"/>
          <w:lang w:val="en-US" w:eastAsia="es-ES"/>
        </w:rPr>
        <w:t xml:space="preserve"> had not been violated, an aspect that related to the merits of the case. It also observed that, in several cases, the Court had established a connection between certain economic, social and cultural rights and those traditionally known as civil and political rights.</w:t>
      </w:r>
    </w:p>
    <w:p w14:paraId="384C91C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C8103B6"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indica</w:t>
      </w:r>
      <w:r w:rsidR="003957EA" w:rsidRPr="00FE50A6">
        <w:rPr>
          <w:rFonts w:eastAsia="Batang" w:cs="Times"/>
          <w:noProof/>
          <w:szCs w:val="24"/>
          <w:lang w:val="en-US" w:eastAsia="es-ES"/>
        </w:rPr>
        <w:t>ted that the State had acknowledged that, in certain circumstances, the Court had analyzed aspects relating to economic, social and cultural rights in order to better a</w:t>
      </w:r>
      <w:r w:rsidR="001B1554" w:rsidRPr="00FE50A6">
        <w:rPr>
          <w:rFonts w:eastAsia="Batang" w:cs="Times"/>
          <w:noProof/>
          <w:szCs w:val="24"/>
          <w:lang w:val="en-US" w:eastAsia="es-ES"/>
        </w:rPr>
        <w:t>n</w:t>
      </w:r>
      <w:r w:rsidR="003957EA" w:rsidRPr="00FE50A6">
        <w:rPr>
          <w:rFonts w:eastAsia="Batang" w:cs="Times"/>
          <w:noProof/>
          <w:szCs w:val="24"/>
          <w:lang w:val="en-US" w:eastAsia="es-ES"/>
        </w:rPr>
        <w:t>aly</w:t>
      </w:r>
      <w:r w:rsidR="001B1554" w:rsidRPr="00FE50A6">
        <w:rPr>
          <w:rFonts w:eastAsia="Batang" w:cs="Times"/>
          <w:noProof/>
          <w:szCs w:val="24"/>
          <w:lang w:val="en-US" w:eastAsia="es-ES"/>
        </w:rPr>
        <w:t>ze</w:t>
      </w:r>
      <w:r w:rsidR="003957EA" w:rsidRPr="00FE50A6">
        <w:rPr>
          <w:rFonts w:eastAsia="Batang" w:cs="Times"/>
          <w:noProof/>
          <w:szCs w:val="24"/>
          <w:lang w:val="en-US" w:eastAsia="es-ES"/>
        </w:rPr>
        <w:t xml:space="preserve"> the violations of </w:t>
      </w:r>
      <w:r w:rsidR="000228D0" w:rsidRPr="00FE50A6">
        <w:rPr>
          <w:rFonts w:eastAsia="Batang" w:cs="Times"/>
          <w:noProof/>
          <w:szCs w:val="24"/>
          <w:lang w:val="en-US" w:eastAsia="es-ES"/>
        </w:rPr>
        <w:t>Articles</w:t>
      </w:r>
      <w:r w:rsidR="000A52D5" w:rsidRPr="00FE50A6">
        <w:rPr>
          <w:rFonts w:eastAsia="Batang" w:cs="Times"/>
          <w:noProof/>
          <w:szCs w:val="24"/>
          <w:lang w:val="en-US" w:eastAsia="es-ES"/>
        </w:rPr>
        <w:t xml:space="preserve"> 4, 5</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19</w:t>
      </w:r>
      <w:r w:rsidR="000228D0"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 xml:space="preserve">They also asked the Court to reject this </w:t>
      </w:r>
      <w:r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 xml:space="preserve">because they had not claimed a specific violation of the </w:t>
      </w:r>
      <w:r w:rsidR="00F15589" w:rsidRPr="00FE50A6">
        <w:rPr>
          <w:rFonts w:eastAsia="Batang" w:cs="Times"/>
          <w:noProof/>
          <w:szCs w:val="24"/>
          <w:lang w:val="en-US" w:eastAsia="es-ES"/>
        </w:rPr>
        <w:t>Protocol of</w:t>
      </w:r>
      <w:r w:rsidR="000A52D5" w:rsidRPr="00FE50A6">
        <w:rPr>
          <w:rFonts w:eastAsia="Batang" w:cs="Times"/>
          <w:noProof/>
          <w:szCs w:val="24"/>
          <w:lang w:val="en-US" w:eastAsia="es-ES"/>
        </w:rPr>
        <w:t xml:space="preserve"> San Salvador. </w:t>
      </w:r>
    </w:p>
    <w:p w14:paraId="2C78527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F00175E" w14:textId="77777777" w:rsidR="000A52D5" w:rsidRPr="00FE50A6" w:rsidRDefault="00C374F2" w:rsidP="000A20C1">
      <w:pPr>
        <w:pStyle w:val="Ttulo3"/>
        <w:rPr>
          <w:noProof/>
          <w:lang w:val="en-US" w:eastAsia="es-ES"/>
        </w:rPr>
      </w:pPr>
      <w:bookmarkStart w:id="131" w:name="_Toc460432983"/>
      <w:bookmarkStart w:id="132" w:name="_Toc460441914"/>
      <w:bookmarkStart w:id="133" w:name="_Toc462750734"/>
      <w:bookmarkStart w:id="134" w:name="_Toc462751058"/>
      <w:bookmarkStart w:id="135" w:name="_Toc464813910"/>
      <w:r w:rsidRPr="00FE50A6">
        <w:rPr>
          <w:noProof/>
          <w:lang w:val="en-US" w:eastAsia="es-ES"/>
        </w:rPr>
        <w:t>G</w:t>
      </w:r>
      <w:r w:rsidR="000A52D5" w:rsidRPr="00FE50A6">
        <w:rPr>
          <w:noProof/>
          <w:lang w:val="en-US" w:eastAsia="es-ES"/>
        </w:rPr>
        <w:t xml:space="preserve">.2. </w:t>
      </w:r>
      <w:r w:rsidR="000702CF" w:rsidRPr="00FE50A6">
        <w:rPr>
          <w:noProof/>
          <w:lang w:val="en-US" w:eastAsia="es-ES"/>
        </w:rPr>
        <w:t>Considerations</w:t>
      </w:r>
      <w:r w:rsidR="000228D0" w:rsidRPr="00FE50A6">
        <w:rPr>
          <w:noProof/>
          <w:lang w:val="en-US" w:eastAsia="es-ES"/>
        </w:rPr>
        <w:t xml:space="preserve"> of the Court</w:t>
      </w:r>
      <w:bookmarkEnd w:id="131"/>
      <w:bookmarkEnd w:id="132"/>
      <w:bookmarkEnd w:id="133"/>
      <w:bookmarkEnd w:id="134"/>
      <w:bookmarkEnd w:id="135"/>
    </w:p>
    <w:p w14:paraId="618D21DA" w14:textId="77777777" w:rsidR="000A52D5" w:rsidRPr="00FE50A6" w:rsidRDefault="000A52D5" w:rsidP="00140440">
      <w:pPr>
        <w:tabs>
          <w:tab w:val="clear" w:pos="4419"/>
          <w:tab w:val="clear" w:pos="8838"/>
        </w:tabs>
        <w:jc w:val="both"/>
        <w:rPr>
          <w:rFonts w:eastAsia="Batang" w:cs="Times"/>
          <w:i/>
          <w:noProof/>
          <w:szCs w:val="24"/>
          <w:lang w:val="en-US" w:eastAsia="es-ES"/>
        </w:rPr>
      </w:pPr>
    </w:p>
    <w:p w14:paraId="7E588494"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consider</w:t>
      </w:r>
      <w:r w:rsidR="003957EA" w:rsidRPr="00FE50A6">
        <w:rPr>
          <w:rFonts w:eastAsia="Batang" w:cs="Times"/>
          <w:noProof/>
          <w:szCs w:val="24"/>
          <w:lang w:val="en-US" w:eastAsia="es-ES"/>
        </w:rPr>
        <w:t>s that the possible violation of provisions</w:t>
      </w:r>
      <w:r w:rsidR="000A52D5" w:rsidRPr="00FE50A6">
        <w:rPr>
          <w:rFonts w:eastAsia="Batang" w:cs="Times"/>
          <w:noProof/>
          <w:szCs w:val="24"/>
          <w:lang w:val="en-US" w:eastAsia="es-ES"/>
        </w:rPr>
        <w:t xml:space="preserve"> </w:t>
      </w:r>
      <w:r w:rsidR="00F15589" w:rsidRPr="00FE50A6">
        <w:rPr>
          <w:rFonts w:eastAsia="Batang" w:cs="Times"/>
          <w:noProof/>
          <w:szCs w:val="24"/>
          <w:lang w:val="en-US" w:eastAsia="es-ES"/>
        </w:rPr>
        <w:t>of the Protocol of</w:t>
      </w:r>
      <w:r w:rsidR="000A52D5" w:rsidRPr="00FE50A6">
        <w:rPr>
          <w:rFonts w:eastAsia="Batang" w:cs="Times"/>
          <w:noProof/>
          <w:szCs w:val="24"/>
          <w:lang w:val="en-US" w:eastAsia="es-ES"/>
        </w:rPr>
        <w:t xml:space="preserve"> San Salvador</w:t>
      </w:r>
      <w:r w:rsidR="003957EA" w:rsidRPr="00FE50A6">
        <w:rPr>
          <w:rFonts w:eastAsia="Batang" w:cs="Times"/>
          <w:noProof/>
          <w:szCs w:val="24"/>
          <w:lang w:val="en-US" w:eastAsia="es-ES"/>
        </w:rPr>
        <w:t xml:space="preserve"> is not in litigation</w:t>
      </w:r>
      <w:r w:rsidR="000A52D5" w:rsidRPr="00FE50A6">
        <w:rPr>
          <w:rFonts w:eastAsia="Batang" w:cs="Times"/>
          <w:noProof/>
          <w:szCs w:val="24"/>
          <w:lang w:val="en-US" w:eastAsia="es-ES"/>
        </w:rPr>
        <w:t>. A</w:t>
      </w:r>
      <w:r w:rsidR="003957EA" w:rsidRPr="00FE50A6">
        <w:rPr>
          <w:rFonts w:eastAsia="Batang" w:cs="Times"/>
          <w:noProof/>
          <w:szCs w:val="24"/>
          <w:lang w:val="en-US" w:eastAsia="es-ES"/>
        </w:rPr>
        <w:t>lso, whether or not Article</w:t>
      </w:r>
      <w:r w:rsidR="000A52D5" w:rsidRPr="00FE50A6">
        <w:rPr>
          <w:rFonts w:eastAsia="Batang" w:cs="Times"/>
          <w:noProof/>
          <w:szCs w:val="24"/>
          <w:lang w:val="en-US" w:eastAsia="es-ES"/>
        </w:rPr>
        <w:t xml:space="preserve"> 6</w:t>
      </w:r>
      <w:r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 xml:space="preserve">has been violated corresponds to the examination of the merits and is not a matter for a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 xml:space="preserve">Consequently, the Court rejects this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p>
    <w:p w14:paraId="24E3208C" w14:textId="77777777" w:rsidR="000A52D5" w:rsidRPr="00FE50A6" w:rsidRDefault="000A52D5" w:rsidP="00140440">
      <w:pPr>
        <w:tabs>
          <w:tab w:val="clear" w:pos="4419"/>
          <w:tab w:val="clear" w:pos="8838"/>
        </w:tabs>
        <w:jc w:val="both"/>
        <w:rPr>
          <w:rFonts w:eastAsia="Batang" w:cs="Times"/>
          <w:b/>
          <w:i/>
          <w:noProof/>
          <w:szCs w:val="24"/>
          <w:lang w:val="en-US" w:eastAsia="es-ES"/>
        </w:rPr>
      </w:pPr>
      <w:r w:rsidRPr="00FE50A6">
        <w:rPr>
          <w:rFonts w:eastAsia="Batang" w:cs="Times"/>
          <w:noProof/>
          <w:szCs w:val="24"/>
          <w:lang w:val="en-US" w:eastAsia="es-ES"/>
        </w:rPr>
        <w:t xml:space="preserve"> </w:t>
      </w:r>
    </w:p>
    <w:p w14:paraId="38645B39" w14:textId="77777777" w:rsidR="000A52D5" w:rsidRPr="00FE50A6" w:rsidRDefault="003957EA" w:rsidP="008B0BCC">
      <w:pPr>
        <w:pStyle w:val="Ttulo2"/>
        <w:numPr>
          <w:ilvl w:val="0"/>
          <w:numId w:val="15"/>
        </w:numPr>
      </w:pPr>
      <w:bookmarkStart w:id="136" w:name="_Toc464813911"/>
      <w:r w:rsidRPr="00FE50A6">
        <w:t>Alleged failure</w:t>
      </w:r>
      <w:r w:rsidR="00822837" w:rsidRPr="00FE50A6">
        <w:t xml:space="preserve"> to exhaust domestic remedies</w:t>
      </w:r>
      <w:bookmarkEnd w:id="136"/>
    </w:p>
    <w:p w14:paraId="7D0C74AB"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61E4B197" w14:textId="77777777" w:rsidR="000A52D5" w:rsidRPr="00FE50A6" w:rsidRDefault="009C182B" w:rsidP="000A20C1">
      <w:pPr>
        <w:pStyle w:val="Ttulo3"/>
        <w:rPr>
          <w:noProof/>
          <w:lang w:val="en-US" w:eastAsia="es-ES"/>
        </w:rPr>
      </w:pPr>
      <w:bookmarkStart w:id="137" w:name="_Toc460432985"/>
      <w:bookmarkStart w:id="138" w:name="_Toc460441916"/>
      <w:bookmarkStart w:id="139" w:name="_Toc462750736"/>
      <w:bookmarkStart w:id="140" w:name="_Toc462751060"/>
      <w:bookmarkStart w:id="141" w:name="_Toc464813912"/>
      <w:r w:rsidRPr="00FE50A6">
        <w:rPr>
          <w:noProof/>
          <w:lang w:val="en-US" w:eastAsia="es-ES"/>
        </w:rPr>
        <w:t>H</w:t>
      </w:r>
      <w:r w:rsidR="000A52D5" w:rsidRPr="00FE50A6">
        <w:rPr>
          <w:noProof/>
          <w:lang w:val="en-US" w:eastAsia="es-ES"/>
        </w:rPr>
        <w:t xml:space="preserve">.1.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137"/>
      <w:bookmarkEnd w:id="138"/>
      <w:bookmarkEnd w:id="139"/>
      <w:bookmarkEnd w:id="140"/>
      <w:bookmarkEnd w:id="141"/>
    </w:p>
    <w:p w14:paraId="1D7DD63C"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F90703E" w14:textId="77777777" w:rsidR="003957EA"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indicated that an opportunity</w:t>
      </w:r>
      <w:r w:rsidR="001B1554" w:rsidRPr="00FE50A6">
        <w:rPr>
          <w:rFonts w:eastAsia="Batang" w:cs="Times"/>
          <w:noProof/>
          <w:szCs w:val="24"/>
          <w:lang w:val="en-US" w:eastAsia="es-ES"/>
        </w:rPr>
        <w:t xml:space="preserve"> must be provided</w:t>
      </w:r>
      <w:r w:rsidR="003957EA" w:rsidRPr="00FE50A6">
        <w:rPr>
          <w:rFonts w:eastAsia="Batang" w:cs="Times"/>
          <w:noProof/>
          <w:szCs w:val="24"/>
          <w:lang w:val="en-US" w:eastAsia="es-ES"/>
        </w:rPr>
        <w:t xml:space="preserve"> to </w:t>
      </w:r>
      <w:r w:rsidR="001B1554" w:rsidRPr="00FE50A6">
        <w:rPr>
          <w:rFonts w:eastAsia="Batang" w:cs="Times"/>
          <w:noProof/>
          <w:szCs w:val="24"/>
          <w:lang w:val="en-US" w:eastAsia="es-ES"/>
        </w:rPr>
        <w:t>file</w:t>
      </w:r>
      <w:r w:rsidR="003957EA" w:rsidRPr="00FE50A6">
        <w:rPr>
          <w:rFonts w:eastAsia="Batang" w:cs="Times"/>
          <w:noProof/>
          <w:szCs w:val="24"/>
          <w:lang w:val="en-US" w:eastAsia="es-ES"/>
        </w:rPr>
        <w:t xml:space="preserve"> the domestic remedies aimed at recognizing and redressing the </w:t>
      </w:r>
      <w:r w:rsidR="001B1554" w:rsidRPr="00FE50A6">
        <w:rPr>
          <w:rFonts w:eastAsia="Batang" w:cs="Times"/>
          <w:noProof/>
          <w:szCs w:val="24"/>
          <w:lang w:val="en-US" w:eastAsia="es-ES"/>
        </w:rPr>
        <w:t>h</w:t>
      </w:r>
      <w:r w:rsidR="003957EA" w:rsidRPr="00FE50A6">
        <w:rPr>
          <w:rFonts w:eastAsia="Batang" w:cs="Times"/>
          <w:noProof/>
          <w:szCs w:val="24"/>
          <w:lang w:val="en-US" w:eastAsia="es-ES"/>
        </w:rPr>
        <w:t>arm caused to the victims</w:t>
      </w:r>
      <w:r w:rsidR="001B1554" w:rsidRPr="00FE50A6">
        <w:rPr>
          <w:rFonts w:eastAsia="Batang" w:cs="Times"/>
          <w:noProof/>
          <w:szCs w:val="24"/>
          <w:lang w:val="en-US" w:eastAsia="es-ES"/>
        </w:rPr>
        <w:t>. Consequently,</w:t>
      </w:r>
      <w:r w:rsidR="003957EA" w:rsidRPr="00FE50A6">
        <w:rPr>
          <w:rFonts w:eastAsia="Batang" w:cs="Times"/>
          <w:noProof/>
          <w:szCs w:val="24"/>
          <w:lang w:val="en-US" w:eastAsia="es-ES"/>
        </w:rPr>
        <w:t xml:space="preserve"> the presumed victim</w:t>
      </w:r>
      <w:r w:rsidR="001B1554" w:rsidRPr="00FE50A6">
        <w:rPr>
          <w:rFonts w:eastAsia="Batang" w:cs="Times"/>
          <w:noProof/>
          <w:szCs w:val="24"/>
          <w:lang w:val="en-US" w:eastAsia="es-ES"/>
        </w:rPr>
        <w:t>s</w:t>
      </w:r>
      <w:r w:rsidR="003957EA" w:rsidRPr="00FE50A6">
        <w:rPr>
          <w:rFonts w:eastAsia="Batang" w:cs="Times"/>
          <w:noProof/>
          <w:szCs w:val="24"/>
          <w:lang w:val="en-US" w:eastAsia="es-ES"/>
        </w:rPr>
        <w:t xml:space="preserve"> or </w:t>
      </w:r>
      <w:r w:rsidR="001B1554" w:rsidRPr="00FE50A6">
        <w:rPr>
          <w:rFonts w:eastAsia="Batang" w:cs="Times"/>
          <w:noProof/>
          <w:szCs w:val="24"/>
          <w:lang w:val="en-US" w:eastAsia="es-ES"/>
        </w:rPr>
        <w:t>their</w:t>
      </w:r>
      <w:r w:rsidR="003957EA" w:rsidRPr="00FE50A6">
        <w:rPr>
          <w:rFonts w:eastAsia="Batang" w:cs="Times"/>
          <w:noProof/>
          <w:szCs w:val="24"/>
          <w:lang w:val="en-US" w:eastAsia="es-ES"/>
        </w:rPr>
        <w:t xml:space="preserve"> representative</w:t>
      </w:r>
      <w:r w:rsidR="001B1554" w:rsidRPr="00FE50A6">
        <w:rPr>
          <w:rFonts w:eastAsia="Batang" w:cs="Times"/>
          <w:noProof/>
          <w:szCs w:val="24"/>
          <w:lang w:val="en-US" w:eastAsia="es-ES"/>
        </w:rPr>
        <w:t>s</w:t>
      </w:r>
      <w:r w:rsidR="003957EA" w:rsidRPr="00FE50A6">
        <w:rPr>
          <w:rFonts w:eastAsia="Batang" w:cs="Times"/>
          <w:noProof/>
          <w:szCs w:val="24"/>
          <w:lang w:val="en-US" w:eastAsia="es-ES"/>
        </w:rPr>
        <w:t xml:space="preserve"> cannot seek international judicial protection directly without first having recourse to domestic law. Furthermore, the State alleged the existence of domestic remedies that were adequate for the protection of all the rights supposedly violat</w:t>
      </w:r>
      <w:r w:rsidR="001B1554" w:rsidRPr="00FE50A6">
        <w:rPr>
          <w:rFonts w:eastAsia="Batang" w:cs="Times"/>
          <w:noProof/>
          <w:szCs w:val="24"/>
          <w:lang w:val="en-US" w:eastAsia="es-ES"/>
        </w:rPr>
        <w:t>ed</w:t>
      </w:r>
      <w:r w:rsidR="003957EA" w:rsidRPr="00FE50A6">
        <w:rPr>
          <w:rFonts w:eastAsia="Batang" w:cs="Times"/>
          <w:noProof/>
          <w:szCs w:val="24"/>
          <w:lang w:val="en-US" w:eastAsia="es-ES"/>
        </w:rPr>
        <w:t xml:space="preserve"> a</w:t>
      </w:r>
      <w:r w:rsidR="001B1554" w:rsidRPr="00FE50A6">
        <w:rPr>
          <w:rFonts w:eastAsia="Batang" w:cs="Times"/>
          <w:noProof/>
          <w:szCs w:val="24"/>
          <w:lang w:val="en-US" w:eastAsia="es-ES"/>
        </w:rPr>
        <w:t>s well as</w:t>
      </w:r>
      <w:r w:rsidR="003957EA" w:rsidRPr="00FE50A6">
        <w:rPr>
          <w:rFonts w:eastAsia="Batang" w:cs="Times"/>
          <w:noProof/>
          <w:szCs w:val="24"/>
          <w:lang w:val="en-US" w:eastAsia="es-ES"/>
        </w:rPr>
        <w:t xml:space="preserve"> to</w:t>
      </w:r>
      <w:r w:rsidR="001B1554" w:rsidRPr="00FE50A6">
        <w:rPr>
          <w:rFonts w:eastAsia="Batang" w:cs="Times"/>
          <w:noProof/>
          <w:szCs w:val="24"/>
          <w:lang w:val="en-US" w:eastAsia="es-ES"/>
        </w:rPr>
        <w:t xml:space="preserve"> </w:t>
      </w:r>
      <w:r w:rsidR="003957EA" w:rsidRPr="00FE50A6">
        <w:rPr>
          <w:rFonts w:eastAsia="Batang" w:cs="Times"/>
          <w:noProof/>
          <w:szCs w:val="24"/>
          <w:lang w:val="en-US" w:eastAsia="es-ES"/>
        </w:rPr>
        <w:t>obtain all the reparations derived from such violations, and indicated that the representatives could have, and still could, use those domestic remedies, which they have not done to date.</w:t>
      </w:r>
    </w:p>
    <w:p w14:paraId="632F006B"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D2FF97E"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3957EA" w:rsidRPr="00FE50A6">
        <w:rPr>
          <w:rFonts w:eastAsia="Batang" w:cs="Times"/>
          <w:noProof/>
          <w:szCs w:val="24"/>
          <w:lang w:val="en-US" w:eastAsia="es-ES"/>
        </w:rPr>
        <w:t xml:space="preserve">also </w:t>
      </w:r>
      <w:r w:rsidR="009C2C2C" w:rsidRPr="00FE50A6">
        <w:rPr>
          <w:rFonts w:eastAsia="Batang" w:cs="Times"/>
          <w:noProof/>
          <w:szCs w:val="24"/>
          <w:lang w:val="en-US" w:eastAsia="es-ES"/>
        </w:rPr>
        <w:t>requested the Court to declare the case inadmissible with regard to the claims for reparation for pecuniary and non-pecuniary damage</w:t>
      </w:r>
      <w:r w:rsidR="000A52D5" w:rsidRPr="00FE50A6">
        <w:rPr>
          <w:rFonts w:eastAsia="Batang" w:cs="Times"/>
          <w:noProof/>
          <w:szCs w:val="24"/>
          <w:lang w:val="en-US" w:eastAsia="es-ES"/>
        </w:rPr>
        <w:t xml:space="preserve">. </w:t>
      </w:r>
    </w:p>
    <w:p w14:paraId="54830A79"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4235AA89"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 xml:space="preserve">indicated that the requirement of exhaustion of domestic remedies established in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46</w:t>
      </w:r>
      <w:r w:rsidR="009C2C2C" w:rsidRPr="00FE50A6">
        <w:rPr>
          <w:rFonts w:eastAsia="Batang" w:cs="Times"/>
          <w:noProof/>
          <w:szCs w:val="24"/>
          <w:lang w:val="en-US" w:eastAsia="es-ES"/>
        </w:rPr>
        <w:t>(1)</w:t>
      </w:r>
      <w:r w:rsidRPr="00FE50A6">
        <w:rPr>
          <w:rFonts w:eastAsia="Batang" w:cs="Times"/>
          <w:noProof/>
          <w:szCs w:val="24"/>
          <w:lang w:val="en-US" w:eastAsia="es-ES"/>
        </w:rPr>
        <w:t xml:space="preserve"> of the Convention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 xml:space="preserve">was related to the alleged facts that violated human rights. The representatives’ claim </w:t>
      </w:r>
      <w:r w:rsidR="001B1554" w:rsidRPr="00FE50A6">
        <w:rPr>
          <w:rFonts w:eastAsia="Batang" w:cs="Times"/>
          <w:noProof/>
          <w:szCs w:val="24"/>
          <w:lang w:val="en-US" w:eastAsia="es-ES"/>
        </w:rPr>
        <w:t>regarding</w:t>
      </w:r>
      <w:r w:rsidR="009C2C2C" w:rsidRPr="00FE50A6">
        <w:rPr>
          <w:rFonts w:eastAsia="Batang" w:cs="Times"/>
          <w:noProof/>
          <w:szCs w:val="24"/>
          <w:lang w:val="en-US" w:eastAsia="es-ES"/>
        </w:rPr>
        <w:t xml:space="preserve"> the compensation ordered by the Court </w:t>
      </w:r>
      <w:r w:rsidR="009671BC" w:rsidRPr="00FE50A6">
        <w:rPr>
          <w:rFonts w:eastAsia="Batang" w:cs="Times"/>
          <w:noProof/>
          <w:szCs w:val="24"/>
          <w:lang w:val="en-US" w:eastAsia="es-ES"/>
        </w:rPr>
        <w:t>was subject to</w:t>
      </w:r>
      <w:r w:rsidR="009C2C2C" w:rsidRPr="00FE50A6">
        <w:rPr>
          <w:rFonts w:eastAsia="Batang" w:cs="Times"/>
          <w:noProof/>
          <w:szCs w:val="24"/>
          <w:lang w:val="en-US" w:eastAsia="es-ES"/>
        </w:rPr>
        <w:t xml:space="preserve"> the declaration of the responsibility of the State concerned, and </w:t>
      </w:r>
      <w:r w:rsidR="009671BC" w:rsidRPr="00FE50A6">
        <w:rPr>
          <w:rFonts w:eastAsia="Batang" w:cs="Times"/>
          <w:noProof/>
          <w:szCs w:val="24"/>
          <w:lang w:val="en-US" w:eastAsia="es-ES"/>
        </w:rPr>
        <w:t>constituted</w:t>
      </w:r>
      <w:r w:rsidR="009C2C2C" w:rsidRPr="00FE50A6">
        <w:rPr>
          <w:rFonts w:eastAsia="Batang" w:cs="Times"/>
          <w:noProof/>
          <w:szCs w:val="24"/>
          <w:lang w:val="en-US" w:eastAsia="es-ES"/>
        </w:rPr>
        <w:t xml:space="preserve"> an automatic consequence of such responsibility.</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Convention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 xml:space="preserve">did not establish </w:t>
      </w:r>
      <w:r w:rsidR="009671BC" w:rsidRPr="00FE50A6">
        <w:rPr>
          <w:rFonts w:eastAsia="Batang" w:cs="Times"/>
          <w:noProof/>
          <w:szCs w:val="24"/>
          <w:lang w:val="en-US" w:eastAsia="es-ES"/>
        </w:rPr>
        <w:t>which</w:t>
      </w:r>
      <w:r w:rsidR="009C2C2C" w:rsidRPr="00FE50A6">
        <w:rPr>
          <w:rFonts w:eastAsia="Batang" w:cs="Times"/>
          <w:noProof/>
          <w:szCs w:val="24"/>
          <w:lang w:val="en-US" w:eastAsia="es-ES"/>
        </w:rPr>
        <w:t xml:space="preserve"> additional mechanisms </w:t>
      </w:r>
      <w:r w:rsidR="009671BC" w:rsidRPr="00FE50A6">
        <w:rPr>
          <w:rFonts w:eastAsia="Batang" w:cs="Times"/>
          <w:noProof/>
          <w:szCs w:val="24"/>
          <w:lang w:val="en-US" w:eastAsia="es-ES"/>
        </w:rPr>
        <w:t>had to</w:t>
      </w:r>
      <w:r w:rsidR="009C2C2C" w:rsidRPr="00FE50A6">
        <w:rPr>
          <w:rFonts w:eastAsia="Batang" w:cs="Times"/>
          <w:noProof/>
          <w:szCs w:val="24"/>
          <w:lang w:val="en-US" w:eastAsia="es-ES"/>
        </w:rPr>
        <w:t xml:space="preserve"> be exhausted </w:t>
      </w:r>
      <w:r w:rsidR="009671BC" w:rsidRPr="00FE50A6">
        <w:rPr>
          <w:rFonts w:eastAsia="Batang" w:cs="Times"/>
          <w:noProof/>
          <w:szCs w:val="24"/>
          <w:lang w:val="en-US" w:eastAsia="es-ES"/>
        </w:rPr>
        <w:t>to enable</w:t>
      </w:r>
      <w:r w:rsidR="009C2C2C" w:rsidRPr="00FE50A6">
        <w:rPr>
          <w:rFonts w:eastAsia="Batang" w:cs="Times"/>
          <w:noProof/>
          <w:szCs w:val="24"/>
          <w:lang w:val="en-US" w:eastAsia="es-ES"/>
        </w:rPr>
        <w:t xml:space="preserve"> the victims to obtain compensation.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indicated that an obligation to exhaust the remedies</w:t>
      </w:r>
      <w:r w:rsidR="009671BC" w:rsidRPr="00FE50A6">
        <w:rPr>
          <w:rFonts w:eastAsia="Batang" w:cs="Times"/>
          <w:noProof/>
          <w:szCs w:val="24"/>
          <w:lang w:val="en-US" w:eastAsia="es-ES"/>
        </w:rPr>
        <w:t>,</w:t>
      </w:r>
      <w:r w:rsidR="009C2C2C" w:rsidRPr="00FE50A6">
        <w:rPr>
          <w:rFonts w:eastAsia="Batang" w:cs="Times"/>
          <w:noProof/>
          <w:szCs w:val="24"/>
          <w:lang w:val="en-US" w:eastAsia="es-ES"/>
        </w:rPr>
        <w:t xml:space="preserve"> as proposed by the State, not only placed a disproportionate burden on the victims, but would also be contrary to the provisions of </w:t>
      </w:r>
      <w:r w:rsidRPr="00FE50A6">
        <w:rPr>
          <w:rFonts w:eastAsia="Batang" w:cs="Times"/>
          <w:noProof/>
          <w:szCs w:val="24"/>
          <w:lang w:val="en-US" w:eastAsia="es-ES"/>
        </w:rPr>
        <w:t>the Convention</w:t>
      </w:r>
      <w:r w:rsidR="00030C17" w:rsidRPr="00FE50A6">
        <w:rPr>
          <w:rFonts w:eastAsia="Batang" w:cs="Times"/>
          <w:noProof/>
          <w:szCs w:val="24"/>
          <w:lang w:val="en-US" w:eastAsia="es-ES"/>
        </w:rPr>
        <w:t xml:space="preserve"> and </w:t>
      </w:r>
      <w:r w:rsidR="009C2C2C" w:rsidRPr="00FE50A6">
        <w:rPr>
          <w:rFonts w:eastAsia="Batang" w:cs="Times"/>
          <w:noProof/>
          <w:szCs w:val="24"/>
          <w:lang w:val="en-US" w:eastAsia="es-ES"/>
        </w:rPr>
        <w:t xml:space="preserve">the </w:t>
      </w:r>
      <w:r w:rsidR="009C2C2C" w:rsidRPr="00FE50A6">
        <w:rPr>
          <w:rFonts w:eastAsia="Batang" w:cs="Times"/>
          <w:i/>
          <w:noProof/>
          <w:szCs w:val="24"/>
          <w:lang w:val="en-US" w:eastAsia="es-ES"/>
        </w:rPr>
        <w:t xml:space="preserve">raison d’être </w:t>
      </w:r>
      <w:r w:rsidR="009C2C2C" w:rsidRPr="00FE50A6">
        <w:rPr>
          <w:rFonts w:eastAsia="Batang" w:cs="Times"/>
          <w:noProof/>
          <w:szCs w:val="24"/>
          <w:lang w:val="en-US" w:eastAsia="es-ES"/>
        </w:rPr>
        <w:t xml:space="preserve">of </w:t>
      </w:r>
      <w:r w:rsidR="009671BC" w:rsidRPr="00FE50A6">
        <w:rPr>
          <w:rFonts w:eastAsia="Batang" w:cs="Times"/>
          <w:noProof/>
          <w:szCs w:val="24"/>
          <w:lang w:val="en-US" w:eastAsia="es-ES"/>
        </w:rPr>
        <w:t xml:space="preserve">both </w:t>
      </w:r>
      <w:r w:rsidR="009C2C2C" w:rsidRPr="00FE50A6">
        <w:rPr>
          <w:rFonts w:eastAsia="Batang" w:cs="Times"/>
          <w:noProof/>
          <w:szCs w:val="24"/>
          <w:lang w:val="en-US" w:eastAsia="es-ES"/>
        </w:rPr>
        <w:t>the req</w:t>
      </w:r>
      <w:r w:rsidR="009671BC" w:rsidRPr="00FE50A6">
        <w:rPr>
          <w:rFonts w:eastAsia="Batang" w:cs="Times"/>
          <w:noProof/>
          <w:szCs w:val="24"/>
          <w:lang w:val="en-US" w:eastAsia="es-ES"/>
        </w:rPr>
        <w:t>u</w:t>
      </w:r>
      <w:r w:rsidR="009C2C2C" w:rsidRPr="00FE50A6">
        <w:rPr>
          <w:rFonts w:eastAsia="Batang" w:cs="Times"/>
          <w:noProof/>
          <w:szCs w:val="24"/>
          <w:lang w:val="en-US" w:eastAsia="es-ES"/>
        </w:rPr>
        <w:t xml:space="preserve">irement </w:t>
      </w:r>
      <w:r w:rsidR="009671BC" w:rsidRPr="00FE50A6">
        <w:rPr>
          <w:rFonts w:eastAsia="Batang" w:cs="Times"/>
          <w:noProof/>
          <w:szCs w:val="24"/>
          <w:lang w:val="en-US" w:eastAsia="es-ES"/>
        </w:rPr>
        <w:t>to</w:t>
      </w:r>
      <w:r w:rsidR="009C2C2C" w:rsidRPr="00FE50A6">
        <w:rPr>
          <w:rFonts w:eastAsia="Batang" w:cs="Times"/>
          <w:noProof/>
          <w:szCs w:val="24"/>
          <w:lang w:val="en-US" w:eastAsia="es-ES"/>
        </w:rPr>
        <w:t xml:space="preserve"> exhaust domestic remedies and the mechanism of compensation. It also indicated that the State’s arguments were time-barred because the analysis of the exhaustion of domestic remedies corresponded to the admissibility stage of the case before</w:t>
      </w:r>
      <w:r w:rsidR="009C2C2C" w:rsidRPr="00FE50A6">
        <w:rPr>
          <w:rFonts w:eastAsia="Batang" w:cs="Times"/>
          <w:i/>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p>
    <w:p w14:paraId="1FDC16CC"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9635F75" w14:textId="77777777" w:rsidR="000A52D5" w:rsidRPr="00FE50A6" w:rsidRDefault="00700B79" w:rsidP="00D570CB">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indicated that</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D570CB" w:rsidRPr="00FE50A6">
        <w:rPr>
          <w:rFonts w:eastAsia="Batang" w:cs="Times"/>
          <w:noProof/>
          <w:szCs w:val="24"/>
          <w:lang w:val="en-US" w:eastAsia="es-ES"/>
        </w:rPr>
        <w:t xml:space="preserve"> </w:t>
      </w:r>
      <w:r w:rsidR="000A52D5" w:rsidRPr="00FE50A6">
        <w:rPr>
          <w:rFonts w:eastAsia="Batang" w:cs="Times"/>
          <w:noProof/>
          <w:szCs w:val="24"/>
          <w:lang w:val="en-US" w:eastAsia="es-ES"/>
        </w:rPr>
        <w:t>ha</w:t>
      </w:r>
      <w:r w:rsidR="009C2C2C" w:rsidRPr="00FE50A6">
        <w:rPr>
          <w:rFonts w:eastAsia="Batang" w:cs="Times"/>
          <w:noProof/>
          <w:szCs w:val="24"/>
          <w:lang w:val="en-US" w:eastAsia="es-ES"/>
        </w:rPr>
        <w:t>d maintained</w:t>
      </w:r>
      <w:r w:rsidR="00D570CB" w:rsidRPr="00FE50A6">
        <w:rPr>
          <w:rFonts w:eastAsia="Batang" w:cs="Times"/>
          <w:noProof/>
          <w:szCs w:val="24"/>
          <w:lang w:val="en-US" w:eastAsia="es-ES"/>
        </w:rPr>
        <w:t xml:space="preserve"> consistently</w:t>
      </w:r>
      <w:r w:rsidR="009C2C2C" w:rsidRPr="00FE50A6">
        <w:rPr>
          <w:rFonts w:eastAsia="Batang" w:cs="Times"/>
          <w:noProof/>
          <w:szCs w:val="24"/>
          <w:lang w:val="en-US" w:eastAsia="es-ES"/>
        </w:rPr>
        <w:t xml:space="preserve"> that the proper procedural moment for the S</w:t>
      </w:r>
      <w:r w:rsidR="00D570CB" w:rsidRPr="00FE50A6">
        <w:rPr>
          <w:rFonts w:eastAsia="Batang" w:cs="Times"/>
          <w:noProof/>
          <w:szCs w:val="24"/>
          <w:lang w:val="en-US" w:eastAsia="es-ES"/>
        </w:rPr>
        <w:t>t</w:t>
      </w:r>
      <w:r w:rsidR="009C2C2C" w:rsidRPr="00FE50A6">
        <w:rPr>
          <w:rFonts w:eastAsia="Batang" w:cs="Times"/>
          <w:noProof/>
          <w:szCs w:val="24"/>
          <w:lang w:val="en-US" w:eastAsia="es-ES"/>
        </w:rPr>
        <w:t xml:space="preserve">ate to file a </w:t>
      </w:r>
      <w:r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 xml:space="preserve">based on failure to exhaust domestic remedies was </w:t>
      </w:r>
      <w:r w:rsidR="00D570CB" w:rsidRPr="00FE50A6">
        <w:rPr>
          <w:rFonts w:eastAsia="Batang" w:cs="Times"/>
          <w:noProof/>
          <w:szCs w:val="24"/>
          <w:lang w:val="en-US" w:eastAsia="es-ES"/>
        </w:rPr>
        <w:t xml:space="preserve">at </w:t>
      </w:r>
      <w:r w:rsidR="009C2C2C" w:rsidRPr="00FE50A6">
        <w:rPr>
          <w:rFonts w:eastAsia="Batang" w:cs="Times"/>
          <w:noProof/>
          <w:szCs w:val="24"/>
          <w:lang w:val="en-US" w:eastAsia="es-ES"/>
        </w:rPr>
        <w:t xml:space="preserve">the admissibility stage of the procedure before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9C2C2C" w:rsidRPr="00FE50A6">
        <w:rPr>
          <w:rFonts w:eastAsia="Batang" w:cs="Times"/>
          <w:noProof/>
          <w:szCs w:val="24"/>
          <w:lang w:val="en-US" w:eastAsia="es-ES"/>
        </w:rPr>
        <w:t xml:space="preserve">prior to any consideration of the merits of the case. They also indicated that the Court had been consistent </w:t>
      </w:r>
      <w:r w:rsidR="00D570CB" w:rsidRPr="00FE50A6">
        <w:rPr>
          <w:rFonts w:eastAsia="Batang" w:cs="Times"/>
          <w:noProof/>
          <w:szCs w:val="24"/>
          <w:lang w:val="en-US" w:eastAsia="es-ES"/>
        </w:rPr>
        <w:t>in indicating that the Commission had autonomy and independence when examining the petitions lodged before it</w:t>
      </w:r>
      <w:r w:rsidR="001032EA" w:rsidRPr="00FE50A6">
        <w:rPr>
          <w:rFonts w:eastAsia="Batang" w:cs="Times"/>
          <w:noProof/>
          <w:szCs w:val="24"/>
          <w:lang w:val="en-US" w:eastAsia="es-ES"/>
        </w:rPr>
        <w:t>,</w:t>
      </w:r>
      <w:r w:rsidR="00D570CB" w:rsidRPr="00FE50A6">
        <w:rPr>
          <w:rFonts w:eastAsia="Batang" w:cs="Times"/>
          <w:noProof/>
          <w:szCs w:val="24"/>
          <w:lang w:val="en-US" w:eastAsia="es-ES"/>
        </w:rPr>
        <w:t xml:space="preserve"> in exercise of its mandate under the Convention. </w:t>
      </w:r>
      <w:r w:rsidR="009671BC" w:rsidRPr="00FE50A6">
        <w:rPr>
          <w:rFonts w:eastAsia="Batang" w:cs="Times"/>
          <w:noProof/>
          <w:szCs w:val="24"/>
          <w:lang w:val="en-US" w:eastAsia="es-ES"/>
        </w:rPr>
        <w:t>While</w:t>
      </w:r>
      <w:r w:rsidR="00D570CB" w:rsidRPr="00FE50A6">
        <w:rPr>
          <w:rFonts w:eastAsia="Batang" w:cs="Times"/>
          <w:noProof/>
          <w:szCs w:val="24"/>
          <w:lang w:val="en-US" w:eastAsia="es-ES"/>
        </w:rPr>
        <w:t xml:space="preserve"> the Court had authority to control the legality of the Commission’s actions, th</w:t>
      </w:r>
      <w:r w:rsidR="001032EA" w:rsidRPr="00FE50A6">
        <w:rPr>
          <w:rFonts w:eastAsia="Batang" w:cs="Times"/>
          <w:noProof/>
          <w:szCs w:val="24"/>
          <w:lang w:val="en-US" w:eastAsia="es-ES"/>
        </w:rPr>
        <w:t>is</w:t>
      </w:r>
      <w:r w:rsidR="00D570CB" w:rsidRPr="00FE50A6">
        <w:rPr>
          <w:rFonts w:eastAsia="Batang" w:cs="Times"/>
          <w:noProof/>
          <w:szCs w:val="24"/>
          <w:lang w:val="en-US" w:eastAsia="es-ES"/>
        </w:rPr>
        <w:t xml:space="preserve"> did not necessarily involve a review of the procedure, except when grave errors existed that violated the parties’ right to defend themselves</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representatives</w:t>
      </w:r>
      <w:r w:rsidR="000A52D5" w:rsidRPr="00FE50A6">
        <w:rPr>
          <w:rFonts w:eastAsia="Batang" w:cs="Times"/>
          <w:noProof/>
          <w:szCs w:val="24"/>
          <w:lang w:val="en-US" w:eastAsia="es-ES"/>
        </w:rPr>
        <w:t xml:space="preserve"> </w:t>
      </w:r>
      <w:r w:rsidR="00D570CB" w:rsidRPr="00FE50A6">
        <w:rPr>
          <w:rFonts w:eastAsia="Batang" w:cs="Times"/>
          <w:noProof/>
          <w:szCs w:val="24"/>
          <w:lang w:val="en-US" w:eastAsia="es-ES"/>
        </w:rPr>
        <w:t>emphasized that, when submitting its answering brief to the Court</w:t>
      </w:r>
      <w:r w:rsidR="009671BC" w:rsidRPr="00FE50A6">
        <w:rPr>
          <w:rFonts w:eastAsia="Batang" w:cs="Times"/>
          <w:noProof/>
          <w:szCs w:val="24"/>
          <w:lang w:val="en-US" w:eastAsia="es-ES"/>
        </w:rPr>
        <w:t>,</w:t>
      </w:r>
      <w:r w:rsidR="00D570CB"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D570CB" w:rsidRPr="00FE50A6">
        <w:rPr>
          <w:rFonts w:eastAsia="Batang" w:cs="Times"/>
          <w:noProof/>
          <w:szCs w:val="24"/>
          <w:lang w:val="en-US" w:eastAsia="es-ES"/>
        </w:rPr>
        <w:t xml:space="preserve"> had not indicated the existence of a grave error or failure to comply with a procedural requirement that would have violated the State’s right of defense</w:t>
      </w:r>
      <w:r w:rsidR="009671BC" w:rsidRPr="00FE50A6">
        <w:rPr>
          <w:rFonts w:eastAsia="Batang" w:cs="Times"/>
          <w:noProof/>
          <w:szCs w:val="24"/>
          <w:lang w:val="en-US" w:eastAsia="es-ES"/>
        </w:rPr>
        <w:t>.</w:t>
      </w:r>
      <w:r w:rsidR="00D570CB" w:rsidRPr="00FE50A6">
        <w:rPr>
          <w:rFonts w:eastAsia="Batang" w:cs="Times"/>
          <w:noProof/>
          <w:szCs w:val="24"/>
          <w:lang w:val="en-US" w:eastAsia="es-ES"/>
        </w:rPr>
        <w:t xml:space="preserve"> </w:t>
      </w:r>
      <w:r w:rsidR="009671BC" w:rsidRPr="00FE50A6">
        <w:rPr>
          <w:rFonts w:eastAsia="Batang" w:cs="Times"/>
          <w:noProof/>
          <w:szCs w:val="24"/>
          <w:lang w:val="en-US" w:eastAsia="es-ES"/>
        </w:rPr>
        <w:t>It had</w:t>
      </w:r>
      <w:r w:rsidR="00D570CB" w:rsidRPr="00FE50A6">
        <w:rPr>
          <w:rFonts w:eastAsia="Batang" w:cs="Times"/>
          <w:noProof/>
          <w:szCs w:val="24"/>
          <w:lang w:val="en-US" w:eastAsia="es-ES"/>
        </w:rPr>
        <w:t xml:space="preserve"> merely indicated its disagreement with the </w:t>
      </w:r>
      <w:r w:rsidR="009671BC" w:rsidRPr="00FE50A6">
        <w:rPr>
          <w:rFonts w:eastAsia="Batang" w:cs="Times"/>
          <w:noProof/>
          <w:szCs w:val="24"/>
          <w:lang w:val="en-US" w:eastAsia="es-ES"/>
        </w:rPr>
        <w:t xml:space="preserve">Commission’s </w:t>
      </w:r>
      <w:r w:rsidR="00D570CB" w:rsidRPr="00FE50A6">
        <w:rPr>
          <w:rFonts w:eastAsia="Batang" w:cs="Times"/>
          <w:noProof/>
          <w:szCs w:val="24"/>
          <w:lang w:val="en-US" w:eastAsia="es-ES"/>
        </w:rPr>
        <w:t>action</w:t>
      </w:r>
      <w:r w:rsidR="000A52D5" w:rsidRPr="00FE50A6">
        <w:rPr>
          <w:rFonts w:eastAsia="Batang" w:cs="Times"/>
          <w:noProof/>
          <w:szCs w:val="24"/>
          <w:lang w:val="en-US" w:eastAsia="es-ES"/>
        </w:rPr>
        <w:t xml:space="preserve">, </w:t>
      </w:r>
      <w:r w:rsidR="00D570CB" w:rsidRPr="00FE50A6">
        <w:rPr>
          <w:rFonts w:eastAsia="Batang" w:cs="Times"/>
          <w:noProof/>
          <w:szCs w:val="24"/>
          <w:lang w:val="en-US" w:eastAsia="es-ES"/>
        </w:rPr>
        <w:t xml:space="preserve">which led to the conclusion that it had not filed this objection appropriately, because that analysis </w:t>
      </w:r>
      <w:r w:rsidR="009671BC" w:rsidRPr="00FE50A6">
        <w:rPr>
          <w:rFonts w:eastAsia="Batang" w:cs="Times"/>
          <w:noProof/>
          <w:szCs w:val="24"/>
          <w:lang w:val="en-US" w:eastAsia="es-ES"/>
        </w:rPr>
        <w:t>should have taken</w:t>
      </w:r>
      <w:r w:rsidR="00D570CB" w:rsidRPr="00FE50A6">
        <w:rPr>
          <w:rFonts w:eastAsia="Batang" w:cs="Times"/>
          <w:noProof/>
          <w:szCs w:val="24"/>
          <w:lang w:val="en-US" w:eastAsia="es-ES"/>
        </w:rPr>
        <w:t xml:space="preserve"> place when the Commission was determining the admissibility of the case.</w:t>
      </w:r>
      <w:r w:rsidR="000A52D5" w:rsidRPr="00FE50A6">
        <w:rPr>
          <w:rFonts w:eastAsia="Batang" w:cs="Times"/>
          <w:noProof/>
          <w:szCs w:val="24"/>
          <w:lang w:val="en-US" w:eastAsia="es-ES"/>
        </w:rPr>
        <w:t xml:space="preserve"> </w:t>
      </w:r>
    </w:p>
    <w:p w14:paraId="5451F30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6E63AF9" w14:textId="77777777" w:rsidR="000A52D5" w:rsidRPr="00FE50A6" w:rsidRDefault="004D310D" w:rsidP="000A20C1">
      <w:pPr>
        <w:pStyle w:val="Ttulo3"/>
        <w:rPr>
          <w:noProof/>
          <w:lang w:val="en-US" w:eastAsia="es-ES"/>
        </w:rPr>
      </w:pPr>
      <w:bookmarkStart w:id="142" w:name="_Toc460432986"/>
      <w:bookmarkStart w:id="143" w:name="_Toc460441917"/>
      <w:bookmarkStart w:id="144" w:name="_Toc462750737"/>
      <w:bookmarkStart w:id="145" w:name="_Toc462751061"/>
      <w:bookmarkStart w:id="146" w:name="_Toc464813913"/>
      <w:r w:rsidRPr="00FE50A6">
        <w:rPr>
          <w:noProof/>
          <w:lang w:val="en-US" w:eastAsia="es-ES"/>
        </w:rPr>
        <w:t>H</w:t>
      </w:r>
      <w:r w:rsidR="000A52D5" w:rsidRPr="00FE50A6">
        <w:rPr>
          <w:noProof/>
          <w:lang w:val="en-US" w:eastAsia="es-ES"/>
        </w:rPr>
        <w:t xml:space="preserve">.2. </w:t>
      </w:r>
      <w:r w:rsidR="000702CF" w:rsidRPr="00FE50A6">
        <w:rPr>
          <w:noProof/>
          <w:lang w:val="en-US" w:eastAsia="es-ES"/>
        </w:rPr>
        <w:t>Considerations</w:t>
      </w:r>
      <w:r w:rsidR="000228D0" w:rsidRPr="00FE50A6">
        <w:rPr>
          <w:noProof/>
          <w:lang w:val="en-US" w:eastAsia="es-ES"/>
        </w:rPr>
        <w:t xml:space="preserve"> of the Court</w:t>
      </w:r>
      <w:bookmarkEnd w:id="142"/>
      <w:bookmarkEnd w:id="143"/>
      <w:bookmarkEnd w:id="144"/>
      <w:bookmarkEnd w:id="145"/>
      <w:bookmarkEnd w:id="146"/>
    </w:p>
    <w:p w14:paraId="297148F6"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A08CB6C" w14:textId="77777777" w:rsidR="000A52D5" w:rsidRPr="00FE50A6" w:rsidRDefault="000228D0" w:rsidP="00D570CB">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ha</w:t>
      </w:r>
      <w:r w:rsidR="00D570CB" w:rsidRPr="00FE50A6">
        <w:rPr>
          <w:rFonts w:eastAsia="Batang" w:cs="Times"/>
          <w:noProof/>
          <w:szCs w:val="24"/>
          <w:lang w:val="en-US" w:eastAsia="es-ES"/>
        </w:rPr>
        <w:t xml:space="preserve">s developed clear standards to analyze an objection based on presumed non-compliance with the requirement of exhaustion of domestic remedies. First, the Court has interpreted the objection as a defense available to the State and, as such, it may be waived either expressly or tacitly. Second, this objection must be filed at the </w:t>
      </w:r>
      <w:r w:rsidR="00D21665" w:rsidRPr="00FE50A6">
        <w:rPr>
          <w:rFonts w:eastAsia="Batang" w:cs="Times"/>
          <w:noProof/>
          <w:szCs w:val="24"/>
          <w:lang w:val="en-US" w:eastAsia="es-ES"/>
        </w:rPr>
        <w:t>appropriate time</w:t>
      </w:r>
      <w:r w:rsidR="00D570CB" w:rsidRPr="00FE50A6">
        <w:rPr>
          <w:rFonts w:eastAsia="Batang" w:cs="Times"/>
          <w:noProof/>
          <w:szCs w:val="24"/>
          <w:lang w:val="en-US" w:eastAsia="es-ES"/>
        </w:rPr>
        <w:t xml:space="preserve"> so that the State may exercise its right of defense. Third, the Court has asserted that the State that files this objection must specify the domestic remedies that remain to be exhausted</w:t>
      </w:r>
      <w:r w:rsidR="002B0687" w:rsidRPr="00FE50A6">
        <w:rPr>
          <w:rFonts w:eastAsia="Batang" w:cs="Times"/>
          <w:noProof/>
          <w:szCs w:val="24"/>
          <w:lang w:val="en-US" w:eastAsia="es-ES"/>
        </w:rPr>
        <w:t xml:space="preserve"> and demonstrate that </w:t>
      </w:r>
      <w:r w:rsidR="00D21665" w:rsidRPr="00FE50A6">
        <w:rPr>
          <w:rFonts w:eastAsia="Batang" w:cs="Times"/>
          <w:noProof/>
          <w:szCs w:val="24"/>
          <w:lang w:val="en-US" w:eastAsia="es-ES"/>
        </w:rPr>
        <w:t>such</w:t>
      </w:r>
      <w:r w:rsidR="002B0687" w:rsidRPr="00FE50A6">
        <w:rPr>
          <w:rFonts w:eastAsia="Batang" w:cs="Times"/>
          <w:noProof/>
          <w:szCs w:val="24"/>
          <w:lang w:val="en-US" w:eastAsia="es-ES"/>
        </w:rPr>
        <w:t xml:space="preserve"> remedies are applicable and effective.</w:t>
      </w:r>
      <w:r w:rsidR="000A52D5" w:rsidRPr="00FE50A6">
        <w:rPr>
          <w:rFonts w:eastAsia="Batang" w:cs="Times"/>
          <w:noProof/>
          <w:szCs w:val="24"/>
          <w:vertAlign w:val="superscript"/>
          <w:lang w:val="en-US" w:eastAsia="es-ES"/>
        </w:rPr>
        <w:footnoteReference w:id="52"/>
      </w:r>
    </w:p>
    <w:p w14:paraId="3E70E811"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0C83BB81"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ha</w:t>
      </w:r>
      <w:r w:rsidR="002B0687" w:rsidRPr="00FE50A6">
        <w:rPr>
          <w:rFonts w:eastAsia="Batang" w:cs="Times"/>
          <w:noProof/>
          <w:szCs w:val="24"/>
          <w:lang w:val="en-US" w:eastAsia="es-ES"/>
        </w:rPr>
        <w:t>s indicated that</w:t>
      </w:r>
      <w:r w:rsidR="000A52D5" w:rsidRPr="00FE50A6">
        <w:rPr>
          <w:rFonts w:eastAsia="Batang" w:cs="Times"/>
          <w:noProof/>
          <w:szCs w:val="24"/>
          <w:lang w:val="en-US" w:eastAsia="es-ES"/>
        </w:rPr>
        <w:t xml:space="preserve"> </w:t>
      </w:r>
      <w:r w:rsidRPr="00FE50A6">
        <w:rPr>
          <w:rFonts w:eastAsia="Batang" w:cs="Times"/>
          <w:noProof/>
          <w:szCs w:val="24"/>
          <w:lang w:val="en-US" w:eastAsia="es-ES"/>
        </w:rPr>
        <w:t>Article</w:t>
      </w:r>
      <w:r w:rsidR="000A52D5" w:rsidRPr="00FE50A6">
        <w:rPr>
          <w:rFonts w:eastAsia="Batang" w:cs="Times"/>
          <w:noProof/>
          <w:szCs w:val="24"/>
          <w:lang w:val="en-US" w:eastAsia="es-ES"/>
        </w:rPr>
        <w:t xml:space="preserve"> 46</w:t>
      </w:r>
      <w:r w:rsidR="002B0687" w:rsidRPr="00FE50A6">
        <w:rPr>
          <w:rFonts w:eastAsia="Batang" w:cs="Times"/>
          <w:noProof/>
          <w:szCs w:val="24"/>
          <w:lang w:val="en-US" w:eastAsia="es-ES"/>
        </w:rPr>
        <w:t>(</w:t>
      </w:r>
      <w:r w:rsidR="000A52D5" w:rsidRPr="00FE50A6">
        <w:rPr>
          <w:rFonts w:eastAsia="Batang" w:cs="Times"/>
          <w:noProof/>
          <w:szCs w:val="24"/>
          <w:lang w:val="en-US" w:eastAsia="es-ES"/>
        </w:rPr>
        <w:t>1</w:t>
      </w:r>
      <w:r w:rsidR="002B0687" w:rsidRPr="00FE50A6">
        <w:rPr>
          <w:rFonts w:eastAsia="Batang" w:cs="Times"/>
          <w:noProof/>
          <w:szCs w:val="24"/>
          <w:lang w:val="en-US" w:eastAsia="es-ES"/>
        </w:rPr>
        <w:t>)(</w:t>
      </w:r>
      <w:r w:rsidR="000A52D5" w:rsidRPr="00FE50A6">
        <w:rPr>
          <w:rFonts w:eastAsia="Batang" w:cs="Times"/>
          <w:noProof/>
          <w:szCs w:val="24"/>
          <w:lang w:val="en-US" w:eastAsia="es-ES"/>
        </w:rPr>
        <w:t xml:space="preserve">a) </w:t>
      </w:r>
      <w:r w:rsidR="002B0687" w:rsidRPr="00FE50A6">
        <w:rPr>
          <w:rFonts w:eastAsia="Batang" w:cs="Times"/>
          <w:noProof/>
          <w:szCs w:val="24"/>
          <w:lang w:val="en-US" w:eastAsia="es-ES"/>
        </w:rPr>
        <w:t>of the Convention establishes that, to determine the admissibility of a petition or communication lodged before the Commission, in accordace with Articles</w:t>
      </w:r>
      <w:r w:rsidR="000A52D5" w:rsidRPr="00FE50A6">
        <w:rPr>
          <w:rFonts w:eastAsia="Batang" w:cs="Times"/>
          <w:noProof/>
          <w:szCs w:val="24"/>
          <w:lang w:val="en-US" w:eastAsia="es-ES"/>
        </w:rPr>
        <w:t xml:space="preserve"> 44 o</w:t>
      </w:r>
      <w:r w:rsidR="002B0687" w:rsidRPr="00FE50A6">
        <w:rPr>
          <w:rFonts w:eastAsia="Batang" w:cs="Times"/>
          <w:noProof/>
          <w:szCs w:val="24"/>
          <w:lang w:val="en-US" w:eastAsia="es-ES"/>
        </w:rPr>
        <w:t>r</w:t>
      </w:r>
      <w:r w:rsidR="000A52D5" w:rsidRPr="00FE50A6">
        <w:rPr>
          <w:rFonts w:eastAsia="Batang" w:cs="Times"/>
          <w:noProof/>
          <w:szCs w:val="24"/>
          <w:lang w:val="en-US" w:eastAsia="es-ES"/>
        </w:rPr>
        <w:t xml:space="preserve"> 45 </w:t>
      </w:r>
      <w:r w:rsidR="002B0687" w:rsidRPr="00FE50A6">
        <w:rPr>
          <w:rFonts w:eastAsia="Batang" w:cs="Times"/>
          <w:noProof/>
          <w:szCs w:val="24"/>
          <w:lang w:val="en-US" w:eastAsia="es-ES"/>
        </w:rPr>
        <w:t>of the Convention</w:t>
      </w:r>
      <w:r w:rsidR="000A52D5" w:rsidRPr="00FE50A6">
        <w:rPr>
          <w:rFonts w:eastAsia="Batang" w:cs="Times"/>
          <w:noProof/>
          <w:szCs w:val="24"/>
          <w:lang w:val="en-US" w:eastAsia="es-ES"/>
        </w:rPr>
        <w:t xml:space="preserve">, </w:t>
      </w:r>
      <w:r w:rsidR="002B0687" w:rsidRPr="00FE50A6">
        <w:rPr>
          <w:rFonts w:eastAsia="Batang" w:cs="Times"/>
          <w:noProof/>
          <w:szCs w:val="24"/>
          <w:lang w:val="en-US" w:eastAsia="es-ES"/>
        </w:rPr>
        <w:t>it is necessary that the remedies under domestic law have been pursued and exhausted in accordance with generally recognized principles of international law.</w:t>
      </w:r>
      <w:r w:rsidR="000A52D5" w:rsidRPr="00FE50A6">
        <w:rPr>
          <w:rFonts w:eastAsia="Batang" w:cs="Times"/>
          <w:noProof/>
          <w:szCs w:val="24"/>
          <w:vertAlign w:val="superscript"/>
          <w:lang w:val="en-US" w:eastAsia="es-ES"/>
        </w:rPr>
        <w:footnoteReference w:id="53"/>
      </w:r>
      <w:r w:rsidR="000A52D5" w:rsidRPr="00FE50A6">
        <w:rPr>
          <w:rFonts w:eastAsia="Batang" w:cs="Times"/>
          <w:noProof/>
          <w:szCs w:val="24"/>
          <w:lang w:val="en-US" w:eastAsia="es-ES"/>
        </w:rPr>
        <w:t xml:space="preserve"> </w:t>
      </w:r>
    </w:p>
    <w:p w14:paraId="34BD09D9"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532F9655" w14:textId="77777777" w:rsidR="000A52D5" w:rsidRPr="00FE50A6" w:rsidRDefault="002B068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Therefore, during the admissibility stage of the case before </w:t>
      </w:r>
      <w:r w:rsidR="000228D0" w:rsidRPr="00FE50A6">
        <w:rPr>
          <w:rFonts w:eastAsia="Batang" w:cs="Times"/>
          <w:noProof/>
          <w:szCs w:val="24"/>
          <w:lang w:val="en-US" w:eastAsia="es-ES"/>
        </w:rPr>
        <w:t>the Commission</w:t>
      </w:r>
      <w:r w:rsidRPr="00FE50A6">
        <w:rPr>
          <w:rFonts w:eastAsia="Batang" w:cs="Times"/>
          <w:noProof/>
          <w:szCs w:val="24"/>
          <w:lang w:val="en-US" w:eastAsia="es-ES"/>
        </w:rPr>
        <w:t>,</w:t>
      </w:r>
      <w:r w:rsidR="00B36EBC" w:rsidRPr="00FE50A6">
        <w:rPr>
          <w:rFonts w:eastAsia="Batang" w:cs="Times"/>
          <w:noProof/>
          <w:szCs w:val="24"/>
          <w:lang w:val="en-US" w:eastAsia="es-ES"/>
        </w:rPr>
        <w:t xml:space="preserve"> </w:t>
      </w:r>
      <w:r w:rsidR="000228D0"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should specify clearly the remedies that, in its opinion, have not yet been exhausted in order to safeguard the principle of procedural equality between the parties that should govern any proceeding before the </w:t>
      </w:r>
      <w:r w:rsidR="00822837" w:rsidRPr="00FE50A6">
        <w:rPr>
          <w:rFonts w:eastAsia="Batang" w:cs="Times"/>
          <w:noProof/>
          <w:szCs w:val="24"/>
          <w:lang w:val="en-US" w:eastAsia="es-ES"/>
        </w:rPr>
        <w:t>inter-American system</w:t>
      </w:r>
      <w:r w:rsidRPr="00FE50A6">
        <w:rPr>
          <w:rFonts w:eastAsia="Batang" w:cs="Times"/>
          <w:noProof/>
          <w:szCs w:val="24"/>
          <w:lang w:val="en-US" w:eastAsia="es-ES"/>
        </w:rPr>
        <w:t>.</w:t>
      </w:r>
      <w:r w:rsidR="000A52D5" w:rsidRPr="00FE50A6">
        <w:rPr>
          <w:rFonts w:eastAsia="Batang" w:cs="Times"/>
          <w:noProof/>
          <w:szCs w:val="24"/>
          <w:vertAlign w:val="superscript"/>
          <w:lang w:val="en-US" w:eastAsia="es-ES"/>
        </w:rPr>
        <w:footnoteReference w:id="54"/>
      </w:r>
      <w:r w:rsidR="000A52D5" w:rsidRPr="00FE50A6">
        <w:rPr>
          <w:rFonts w:eastAsia="Batang" w:cs="Times"/>
          <w:noProof/>
          <w:szCs w:val="24"/>
          <w:lang w:val="en-US" w:eastAsia="es-ES"/>
        </w:rPr>
        <w:t xml:space="preserve"> </w:t>
      </w:r>
      <w:r w:rsidRPr="00FE50A6">
        <w:rPr>
          <w:rFonts w:eastAsia="Batang" w:cs="Times"/>
          <w:noProof/>
          <w:szCs w:val="24"/>
          <w:lang w:val="en-US" w:eastAsia="es-ES"/>
        </w:rPr>
        <w:t>As</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0A52D5" w:rsidRPr="00FE50A6">
        <w:rPr>
          <w:rFonts w:eastAsia="Batang" w:cs="Times"/>
          <w:noProof/>
          <w:szCs w:val="24"/>
          <w:lang w:val="en-US" w:eastAsia="es-ES"/>
        </w:rPr>
        <w:t xml:space="preserve"> ha</w:t>
      </w:r>
      <w:r w:rsidRPr="00FE50A6">
        <w:rPr>
          <w:rFonts w:eastAsia="Batang" w:cs="Times"/>
          <w:noProof/>
          <w:szCs w:val="24"/>
          <w:lang w:val="en-US" w:eastAsia="es-ES"/>
        </w:rPr>
        <w:t>s established repeatedly, it is not the task of either the Court or the Commission to identify</w:t>
      </w:r>
      <w:r w:rsidR="000A52D5" w:rsidRPr="00FE50A6">
        <w:rPr>
          <w:rFonts w:eastAsia="Batang" w:cs="Times"/>
          <w:noProof/>
          <w:szCs w:val="24"/>
          <w:lang w:val="en-US" w:eastAsia="es-ES"/>
        </w:rPr>
        <w:t xml:space="preserve"> </w:t>
      </w:r>
      <w:r w:rsidR="000A52D5" w:rsidRPr="00FE50A6">
        <w:rPr>
          <w:rFonts w:eastAsia="Batang" w:cs="Times"/>
          <w:i/>
          <w:noProof/>
          <w:szCs w:val="24"/>
          <w:lang w:val="en-US" w:eastAsia="es-ES"/>
        </w:rPr>
        <w:t>ex officio</w:t>
      </w:r>
      <w:r w:rsidR="000A52D5" w:rsidRPr="00FE50A6">
        <w:rPr>
          <w:rFonts w:eastAsia="Batang" w:cs="Times"/>
          <w:noProof/>
          <w:szCs w:val="24"/>
          <w:lang w:val="en-US" w:eastAsia="es-ES"/>
        </w:rPr>
        <w:t xml:space="preserve"> </w:t>
      </w:r>
      <w:r w:rsidR="00D21665" w:rsidRPr="00FE50A6">
        <w:rPr>
          <w:rFonts w:eastAsia="Batang" w:cs="Times"/>
          <w:noProof/>
          <w:szCs w:val="24"/>
          <w:lang w:val="en-US" w:eastAsia="es-ES"/>
        </w:rPr>
        <w:t>the</w:t>
      </w:r>
      <w:r w:rsidRPr="00FE50A6">
        <w:rPr>
          <w:rFonts w:eastAsia="Batang" w:cs="Times"/>
          <w:noProof/>
          <w:szCs w:val="24"/>
          <w:lang w:val="en-US" w:eastAsia="es-ES"/>
        </w:rPr>
        <w:t xml:space="preserve"> domestic remedies </w:t>
      </w:r>
      <w:r w:rsidR="00D21665" w:rsidRPr="00FE50A6">
        <w:rPr>
          <w:rFonts w:eastAsia="Batang" w:cs="Times"/>
          <w:noProof/>
          <w:szCs w:val="24"/>
          <w:lang w:val="en-US" w:eastAsia="es-ES"/>
        </w:rPr>
        <w:t xml:space="preserve">that remain to be exhausted, </w:t>
      </w:r>
      <w:r w:rsidRPr="00FE50A6">
        <w:rPr>
          <w:rFonts w:eastAsia="Batang" w:cs="Times"/>
          <w:noProof/>
          <w:szCs w:val="24"/>
          <w:lang w:val="en-US" w:eastAsia="es-ES"/>
        </w:rPr>
        <w:t>because it is not incumbent on the international organs to rectify the lack of precision of the State’s a</w:t>
      </w:r>
      <w:r w:rsidR="005B65F5" w:rsidRPr="00FE50A6">
        <w:rPr>
          <w:rFonts w:eastAsia="Batang" w:cs="Times"/>
          <w:noProof/>
          <w:szCs w:val="24"/>
          <w:lang w:val="en-US" w:eastAsia="es-ES"/>
        </w:rPr>
        <w:t>rguments</w:t>
      </w:r>
      <w:r w:rsidRPr="00FE50A6">
        <w:rPr>
          <w:rFonts w:eastAsia="Batang" w:cs="Times"/>
          <w:noProof/>
          <w:szCs w:val="24"/>
          <w:lang w:val="en-US" w:eastAsia="es-ES"/>
        </w:rPr>
        <w:t>.</w:t>
      </w:r>
      <w:r w:rsidR="000A52D5" w:rsidRPr="00FE50A6">
        <w:rPr>
          <w:rFonts w:eastAsia="Batang" w:cs="Times"/>
          <w:noProof/>
          <w:szCs w:val="24"/>
          <w:vertAlign w:val="superscript"/>
          <w:lang w:val="en-US" w:eastAsia="es-ES"/>
        </w:rPr>
        <w:footnoteReference w:id="55"/>
      </w:r>
      <w:r w:rsidRPr="00FE50A6">
        <w:rPr>
          <w:rFonts w:eastAsia="Batang" w:cs="Times"/>
          <w:noProof/>
          <w:szCs w:val="24"/>
          <w:lang w:val="en-US" w:eastAsia="es-ES"/>
        </w:rPr>
        <w:t xml:space="preserve"> Furthermore, </w:t>
      </w:r>
      <w:r w:rsidRPr="00FE50A6">
        <w:rPr>
          <w:rFonts w:eastAsia="Batang" w:cs="Times"/>
          <w:noProof/>
          <w:szCs w:val="24"/>
          <w:lang w:val="en-US" w:eastAsia="es-ES"/>
        </w:rPr>
        <w:lastRenderedPageBreak/>
        <w:t xml:space="preserve">the arguments that give content to the preliminary objection filed by the State before the Commission at the admissibility stage should correspond to those </w:t>
      </w:r>
      <w:r w:rsidR="00D21665" w:rsidRPr="00FE50A6">
        <w:rPr>
          <w:rFonts w:eastAsia="Batang" w:cs="Times"/>
          <w:noProof/>
          <w:szCs w:val="24"/>
          <w:lang w:val="en-US" w:eastAsia="es-ES"/>
        </w:rPr>
        <w:t>submitted to</w:t>
      </w:r>
      <w:r w:rsidR="000A52D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Pr="00FE50A6">
        <w:rPr>
          <w:rFonts w:eastAsia="Batang" w:cs="Times"/>
          <w:noProof/>
          <w:szCs w:val="24"/>
          <w:lang w:val="en-US" w:eastAsia="es-ES"/>
        </w:rPr>
        <w:t>.</w:t>
      </w:r>
      <w:r w:rsidR="000A52D5" w:rsidRPr="00FE50A6">
        <w:rPr>
          <w:rFonts w:eastAsia="Batang" w:cs="Times"/>
          <w:noProof/>
          <w:szCs w:val="24"/>
          <w:vertAlign w:val="superscript"/>
          <w:lang w:val="en-US" w:eastAsia="es-ES"/>
        </w:rPr>
        <w:footnoteReference w:id="56"/>
      </w:r>
    </w:p>
    <w:p w14:paraId="63A7262D"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E706A63" w14:textId="77777777" w:rsidR="000A52D5" w:rsidRPr="00FE50A6" w:rsidRDefault="002B0687"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Irrespective of the </w:t>
      </w:r>
      <w:r w:rsidR="00D21665" w:rsidRPr="00FE50A6">
        <w:rPr>
          <w:rFonts w:eastAsia="Batang" w:cs="Times"/>
          <w:noProof/>
          <w:szCs w:val="24"/>
          <w:lang w:val="en-US" w:eastAsia="es-ES"/>
        </w:rPr>
        <w:t xml:space="preserve">State’s arguments </w:t>
      </w:r>
      <w:r w:rsidRPr="00FE50A6">
        <w:rPr>
          <w:rFonts w:eastAsia="Batang" w:cs="Times"/>
          <w:noProof/>
          <w:szCs w:val="24"/>
          <w:lang w:val="en-US" w:eastAsia="es-ES"/>
        </w:rPr>
        <w:t xml:space="preserve">before the Court </w:t>
      </w:r>
      <w:r w:rsidR="00DF75AE" w:rsidRPr="00FE50A6">
        <w:rPr>
          <w:rFonts w:eastAsia="Batang" w:cs="Times"/>
          <w:noProof/>
          <w:szCs w:val="24"/>
          <w:lang w:val="en-US" w:eastAsia="es-ES"/>
        </w:rPr>
        <w:t>with regard to</w:t>
      </w:r>
      <w:r w:rsidRPr="00FE50A6">
        <w:rPr>
          <w:rFonts w:eastAsia="Batang" w:cs="Times"/>
          <w:noProof/>
          <w:szCs w:val="24"/>
          <w:lang w:val="en-US" w:eastAsia="es-ES"/>
        </w:rPr>
        <w:t xml:space="preserve"> the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DF75AE" w:rsidRPr="00FE50A6">
        <w:rPr>
          <w:rFonts w:eastAsia="Batang" w:cs="Times"/>
          <w:noProof/>
          <w:szCs w:val="24"/>
          <w:lang w:val="en-US" w:eastAsia="es-ES"/>
        </w:rPr>
        <w:t>c</w:t>
      </w:r>
      <w:r w:rsidRPr="00FE50A6">
        <w:rPr>
          <w:rFonts w:eastAsia="Batang" w:cs="Times"/>
          <w:noProof/>
          <w:szCs w:val="24"/>
          <w:lang w:val="en-US" w:eastAsia="es-ES"/>
        </w:rPr>
        <w:t>on</w:t>
      </w:r>
      <w:r w:rsidR="00DF75AE" w:rsidRPr="00FE50A6">
        <w:rPr>
          <w:rFonts w:eastAsia="Batang" w:cs="Times"/>
          <w:noProof/>
          <w:szCs w:val="24"/>
          <w:lang w:val="en-US" w:eastAsia="es-ES"/>
        </w:rPr>
        <w:t>cerning</w:t>
      </w:r>
      <w:r w:rsidRPr="00FE50A6">
        <w:rPr>
          <w:rFonts w:eastAsia="Batang" w:cs="Times"/>
          <w:noProof/>
          <w:szCs w:val="24"/>
          <w:lang w:val="en-US" w:eastAsia="es-ES"/>
        </w:rPr>
        <w:t xml:space="preserve"> failure to exhaust domestic remedies, the Court agrees with the </w:t>
      </w:r>
      <w:r w:rsidR="00DF75AE" w:rsidRPr="00FE50A6">
        <w:rPr>
          <w:rFonts w:eastAsia="Batang" w:cs="Times"/>
          <w:noProof/>
          <w:szCs w:val="24"/>
          <w:lang w:val="en-US" w:eastAsia="es-ES"/>
        </w:rPr>
        <w:t xml:space="preserve">Commission’s </w:t>
      </w:r>
      <w:r w:rsidRPr="00FE50A6">
        <w:rPr>
          <w:rFonts w:eastAsia="Batang" w:cs="Times"/>
          <w:noProof/>
          <w:szCs w:val="24"/>
          <w:lang w:val="en-US" w:eastAsia="es-ES"/>
        </w:rPr>
        <w:t xml:space="preserve">observations, because it </w:t>
      </w:r>
      <w:r w:rsidR="00DF75AE" w:rsidRPr="00FE50A6">
        <w:rPr>
          <w:rFonts w:eastAsia="Batang" w:cs="Times"/>
          <w:noProof/>
          <w:szCs w:val="24"/>
          <w:lang w:val="en-US" w:eastAsia="es-ES"/>
        </w:rPr>
        <w:t>notes</w:t>
      </w:r>
      <w:r w:rsidRPr="00FE50A6">
        <w:rPr>
          <w:rFonts w:eastAsia="Batang" w:cs="Times"/>
          <w:noProof/>
          <w:szCs w:val="24"/>
          <w:lang w:val="en-US" w:eastAsia="es-ES"/>
        </w:rPr>
        <w:t xml:space="preserve"> that</w:t>
      </w:r>
      <w:r w:rsidR="00DF75AE" w:rsidRPr="00FE50A6">
        <w:rPr>
          <w:rFonts w:eastAsia="Batang" w:cs="Times"/>
          <w:noProof/>
          <w:szCs w:val="24"/>
          <w:lang w:val="en-US" w:eastAsia="es-ES"/>
        </w:rPr>
        <w:t>,</w:t>
      </w:r>
      <w:r w:rsidRPr="00FE50A6">
        <w:rPr>
          <w:rFonts w:eastAsia="Batang" w:cs="Times"/>
          <w:noProof/>
          <w:szCs w:val="24"/>
          <w:lang w:val="en-US" w:eastAsia="es-ES"/>
        </w:rPr>
        <w:t xml:space="preserve"> when a</w:t>
      </w:r>
      <w:r w:rsidR="00D21665" w:rsidRPr="00FE50A6">
        <w:rPr>
          <w:rFonts w:eastAsia="Batang" w:cs="Times"/>
          <w:noProof/>
          <w:szCs w:val="24"/>
          <w:lang w:val="en-US" w:eastAsia="es-ES"/>
        </w:rPr>
        <w:t>ns</w:t>
      </w:r>
      <w:r w:rsidRPr="00FE50A6">
        <w:rPr>
          <w:rFonts w:eastAsia="Batang" w:cs="Times"/>
          <w:noProof/>
          <w:szCs w:val="24"/>
          <w:lang w:val="en-US" w:eastAsia="es-ES"/>
        </w:rPr>
        <w:t xml:space="preserve">wering the petition before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 xml:space="preserve">the only mention made by the State of the exhaustion of domestic remedies was that </w:t>
      </w:r>
      <w:r w:rsidR="009C48A4" w:rsidRPr="00FE50A6">
        <w:rPr>
          <w:rFonts w:eastAsia="Batang" w:cs="Times"/>
          <w:noProof/>
          <w:szCs w:val="24"/>
          <w:lang w:val="en-US" w:eastAsia="es-ES"/>
        </w:rPr>
        <w:t>“</w:t>
      </w:r>
      <w:r w:rsidRPr="00FE50A6">
        <w:rPr>
          <w:rFonts w:eastAsia="Batang" w:cs="Times"/>
          <w:noProof/>
          <w:szCs w:val="24"/>
          <w:lang w:val="en-US" w:eastAsia="es-ES"/>
        </w:rPr>
        <w:t>the delay in the criminal action was justified by the complexity</w:t>
      </w:r>
      <w:r w:rsidR="00D21665" w:rsidRPr="00FE50A6">
        <w:rPr>
          <w:rFonts w:eastAsia="Batang" w:cs="Times"/>
          <w:noProof/>
          <w:szCs w:val="24"/>
          <w:lang w:val="en-US" w:eastAsia="es-ES"/>
        </w:rPr>
        <w:t xml:space="preserve"> of the case</w:t>
      </w:r>
      <w:r w:rsidRPr="00FE50A6">
        <w:rPr>
          <w:rFonts w:eastAsia="Batang" w:cs="Times"/>
          <w:noProof/>
          <w:szCs w:val="24"/>
          <w:lang w:val="en-US" w:eastAsia="es-ES"/>
        </w:rPr>
        <w:t xml:space="preserve"> and the </w:t>
      </w:r>
      <w:r w:rsidR="00D21665" w:rsidRPr="00FE50A6">
        <w:rPr>
          <w:rFonts w:eastAsia="Batang" w:cs="Times"/>
          <w:noProof/>
          <w:szCs w:val="24"/>
          <w:lang w:val="en-US" w:eastAsia="es-ES"/>
        </w:rPr>
        <w:t>changes in</w:t>
      </w:r>
      <w:r w:rsidRPr="00FE50A6">
        <w:rPr>
          <w:rFonts w:eastAsia="Batang" w:cs="Times"/>
          <w:noProof/>
          <w:szCs w:val="24"/>
          <w:lang w:val="en-US" w:eastAsia="es-ES"/>
        </w:rPr>
        <w:t xml:space="preserve"> the jurisprudence</w:t>
      </w:r>
      <w:r w:rsidR="005450DB" w:rsidRPr="00FE50A6">
        <w:rPr>
          <w:rFonts w:eastAsia="Batang" w:cs="Times"/>
          <w:noProof/>
          <w:szCs w:val="24"/>
          <w:lang w:val="en-US" w:eastAsia="es-ES"/>
        </w:rPr>
        <w:t xml:space="preserve"> in proceedings relat</w:t>
      </w:r>
      <w:r w:rsidR="00DF75AE" w:rsidRPr="00FE50A6">
        <w:rPr>
          <w:rFonts w:eastAsia="Batang" w:cs="Times"/>
          <w:noProof/>
          <w:szCs w:val="24"/>
          <w:lang w:val="en-US" w:eastAsia="es-ES"/>
        </w:rPr>
        <w:t>ing</w:t>
      </w:r>
      <w:r w:rsidR="005450DB" w:rsidRPr="00FE50A6">
        <w:rPr>
          <w:rFonts w:eastAsia="Batang" w:cs="Times"/>
          <w:noProof/>
          <w:szCs w:val="24"/>
          <w:lang w:val="en-US" w:eastAsia="es-ES"/>
        </w:rPr>
        <w:t xml:space="preserve"> to sub</w:t>
      </w:r>
      <w:r w:rsidR="00DF75AE" w:rsidRPr="00FE50A6">
        <w:rPr>
          <w:rFonts w:eastAsia="Batang" w:cs="Times"/>
          <w:noProof/>
          <w:szCs w:val="24"/>
          <w:lang w:val="en-US" w:eastAsia="es-ES"/>
        </w:rPr>
        <w:t>jection</w:t>
      </w:r>
      <w:r w:rsidR="005450DB" w:rsidRPr="00FE50A6">
        <w:rPr>
          <w:rFonts w:eastAsia="Batang" w:cs="Times"/>
          <w:noProof/>
          <w:szCs w:val="24"/>
          <w:lang w:val="en-US" w:eastAsia="es-ES"/>
        </w:rPr>
        <w:t xml:space="preserve"> to conditions similar to slavery</w:t>
      </w:r>
      <w:r w:rsidR="00D21665" w:rsidRPr="00FE50A6">
        <w:rPr>
          <w:rFonts w:eastAsia="Batang" w:cs="Times"/>
          <w:noProof/>
          <w:szCs w:val="24"/>
          <w:lang w:val="en-US" w:eastAsia="es-ES"/>
        </w:rPr>
        <w:t>.” The State</w:t>
      </w:r>
      <w:r w:rsidR="005450DB" w:rsidRPr="00FE50A6">
        <w:rPr>
          <w:rFonts w:eastAsia="Batang" w:cs="Times"/>
          <w:noProof/>
          <w:szCs w:val="24"/>
          <w:lang w:val="en-US" w:eastAsia="es-ES"/>
        </w:rPr>
        <w:t xml:space="preserve"> </w:t>
      </w:r>
      <w:r w:rsidR="00D21665" w:rsidRPr="00FE50A6">
        <w:rPr>
          <w:rFonts w:eastAsia="Batang" w:cs="Times"/>
          <w:noProof/>
          <w:szCs w:val="24"/>
          <w:lang w:val="en-US" w:eastAsia="es-ES"/>
        </w:rPr>
        <w:t xml:space="preserve">had </w:t>
      </w:r>
      <w:r w:rsidR="005450DB" w:rsidRPr="00FE50A6">
        <w:rPr>
          <w:rFonts w:eastAsia="Batang" w:cs="Times"/>
          <w:noProof/>
          <w:szCs w:val="24"/>
          <w:lang w:val="en-US" w:eastAsia="es-ES"/>
        </w:rPr>
        <w:t>presented no further arguments in this regard</w:t>
      </w:r>
      <w:r w:rsidR="00D21665" w:rsidRPr="00FE50A6">
        <w:rPr>
          <w:rFonts w:eastAsia="Batang" w:cs="Times"/>
          <w:noProof/>
          <w:szCs w:val="24"/>
          <w:lang w:val="en-US" w:eastAsia="es-ES"/>
        </w:rPr>
        <w:t xml:space="preserve"> subsequently</w:t>
      </w:r>
      <w:r w:rsidR="000A52D5" w:rsidRPr="00FE50A6">
        <w:rPr>
          <w:rFonts w:eastAsia="Batang" w:cs="Times"/>
          <w:noProof/>
          <w:szCs w:val="24"/>
          <w:lang w:val="en-US" w:eastAsia="es-ES"/>
        </w:rPr>
        <w:t>.</w:t>
      </w:r>
      <w:r w:rsidR="00462B9E" w:rsidRPr="00FE50A6">
        <w:rPr>
          <w:rFonts w:eastAsia="Batang" w:cs="Times"/>
          <w:noProof/>
          <w:szCs w:val="24"/>
          <w:lang w:val="en-US" w:eastAsia="es-ES"/>
        </w:rPr>
        <w:t xml:space="preserve"> </w:t>
      </w:r>
    </w:p>
    <w:p w14:paraId="59AE09DE" w14:textId="77777777" w:rsidR="000A52D5" w:rsidRPr="00FE50A6" w:rsidRDefault="000A52D5" w:rsidP="00140440">
      <w:pPr>
        <w:tabs>
          <w:tab w:val="clear" w:pos="4419"/>
          <w:tab w:val="clear" w:pos="8838"/>
        </w:tabs>
        <w:jc w:val="both"/>
        <w:rPr>
          <w:rFonts w:eastAsia="Batang" w:cs="Times"/>
          <w:noProof/>
          <w:szCs w:val="24"/>
          <w:u w:val="single"/>
          <w:lang w:val="en-US" w:eastAsia="es-ES"/>
        </w:rPr>
      </w:pPr>
      <w:r w:rsidRPr="00FE50A6">
        <w:rPr>
          <w:rFonts w:eastAsia="Batang" w:cs="Times"/>
          <w:noProof/>
          <w:szCs w:val="24"/>
          <w:lang w:val="en-US" w:eastAsia="es-ES"/>
        </w:rPr>
        <w:t xml:space="preserve"> </w:t>
      </w:r>
    </w:p>
    <w:p w14:paraId="04BD6271" w14:textId="77777777" w:rsidR="000A52D5" w:rsidRPr="00FE50A6" w:rsidRDefault="000228D0" w:rsidP="00140440">
      <w:pPr>
        <w:numPr>
          <w:ilvl w:val="0"/>
          <w:numId w:val="1"/>
        </w:numPr>
        <w:tabs>
          <w:tab w:val="clear" w:pos="4419"/>
          <w:tab w:val="clear" w:pos="8838"/>
        </w:tabs>
        <w:jc w:val="both"/>
        <w:rPr>
          <w:rFonts w:eastAsia="Batang" w:cs="Times"/>
          <w:i/>
          <w:noProof/>
          <w:szCs w:val="24"/>
          <w:lang w:val="en-US" w:eastAsia="es-ES"/>
        </w:rPr>
      </w:pPr>
      <w:r w:rsidRPr="00FE50A6">
        <w:rPr>
          <w:rFonts w:eastAsia="Batang" w:cs="Times"/>
          <w:noProof/>
          <w:szCs w:val="24"/>
          <w:lang w:val="en-US" w:eastAsia="es-ES"/>
        </w:rPr>
        <w:t>The Court</w:t>
      </w:r>
      <w:r w:rsidR="000A52D5" w:rsidRPr="00FE50A6">
        <w:rPr>
          <w:rFonts w:eastAsia="Batang" w:cs="Times"/>
          <w:noProof/>
          <w:szCs w:val="24"/>
          <w:lang w:val="en-US" w:eastAsia="es-ES"/>
        </w:rPr>
        <w:t xml:space="preserve"> consider</w:t>
      </w:r>
      <w:r w:rsidR="005450DB" w:rsidRPr="00FE50A6">
        <w:rPr>
          <w:rFonts w:eastAsia="Batang" w:cs="Times"/>
          <w:noProof/>
          <w:szCs w:val="24"/>
          <w:lang w:val="en-US" w:eastAsia="es-ES"/>
        </w:rPr>
        <w:t>s that the mention made by the State before</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005450DB" w:rsidRPr="00FE50A6">
        <w:rPr>
          <w:rFonts w:eastAsia="Batang" w:cs="Times"/>
          <w:noProof/>
          <w:szCs w:val="24"/>
          <w:lang w:val="en-US" w:eastAsia="es-ES"/>
        </w:rPr>
        <w:t xml:space="preserve">does not comply with the requirements of a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005450DB" w:rsidRPr="00FE50A6">
        <w:rPr>
          <w:rFonts w:eastAsia="Batang" w:cs="Times"/>
          <w:noProof/>
          <w:szCs w:val="24"/>
          <w:lang w:val="en-US" w:eastAsia="es-ES"/>
        </w:rPr>
        <w:t xml:space="preserve">of failure to exhaust domestic remedies </w:t>
      </w:r>
      <w:r w:rsidR="000A52D5" w:rsidRPr="00FE50A6">
        <w:rPr>
          <w:rFonts w:eastAsia="Batang" w:cs="Times"/>
          <w:noProof/>
          <w:szCs w:val="24"/>
          <w:lang w:val="en-US" w:eastAsia="es-ES"/>
        </w:rPr>
        <w:t>(</w:t>
      </w:r>
      <w:r w:rsidR="000A52D5" w:rsidRPr="00FE50A6">
        <w:rPr>
          <w:rFonts w:eastAsia="Batang" w:cs="Times"/>
          <w:i/>
          <w:noProof/>
          <w:szCs w:val="24"/>
          <w:lang w:val="en-US" w:eastAsia="es-ES"/>
        </w:rPr>
        <w:t>supra</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para.</w:t>
      </w:r>
      <w:r w:rsidR="000A52D5" w:rsidRPr="00FE50A6">
        <w:rPr>
          <w:rFonts w:eastAsia="Batang" w:cs="Times"/>
          <w:noProof/>
          <w:szCs w:val="24"/>
          <w:lang w:val="en-US" w:eastAsia="es-ES"/>
        </w:rPr>
        <w:t xml:space="preserve"> </w:t>
      </w:r>
      <w:r w:rsidR="006665F5" w:rsidRPr="00FE50A6">
        <w:rPr>
          <w:rFonts w:eastAsia="Batang" w:cs="Times"/>
          <w:noProof/>
          <w:szCs w:val="24"/>
          <w:lang w:val="en-US" w:eastAsia="es-ES"/>
        </w:rPr>
        <w:t>89</w:t>
      </w:r>
      <w:r w:rsidR="000A52D5" w:rsidRPr="00FE50A6">
        <w:rPr>
          <w:rFonts w:eastAsia="Batang" w:cs="Times"/>
          <w:noProof/>
          <w:szCs w:val="24"/>
          <w:lang w:val="en-US" w:eastAsia="es-ES"/>
        </w:rPr>
        <w:t>).</w:t>
      </w:r>
      <w:r w:rsidR="000A52D5" w:rsidRPr="00FE50A6">
        <w:rPr>
          <w:rFonts w:eastAsia="Batang" w:cs="Times"/>
          <w:b/>
          <w:noProof/>
          <w:szCs w:val="24"/>
          <w:lang w:val="en-US" w:eastAsia="es-ES"/>
        </w:rPr>
        <w:t xml:space="preserve"> </w:t>
      </w:r>
      <w:r w:rsidR="005450DB" w:rsidRPr="00FE50A6">
        <w:rPr>
          <w:rFonts w:eastAsia="Batang" w:cs="Times"/>
          <w:noProof/>
          <w:szCs w:val="24"/>
          <w:lang w:val="en-US" w:eastAsia="es-ES"/>
        </w:rPr>
        <w:t>This is because the State did not specify the domestic remedies that wer</w:t>
      </w:r>
      <w:r w:rsidR="00DF75AE" w:rsidRPr="00FE50A6">
        <w:rPr>
          <w:rFonts w:eastAsia="Batang" w:cs="Times"/>
          <w:noProof/>
          <w:szCs w:val="24"/>
          <w:lang w:val="en-US" w:eastAsia="es-ES"/>
        </w:rPr>
        <w:t>e</w:t>
      </w:r>
      <w:r w:rsidR="005450DB" w:rsidRPr="00FE50A6">
        <w:rPr>
          <w:rFonts w:eastAsia="Batang" w:cs="Times"/>
          <w:noProof/>
          <w:szCs w:val="24"/>
          <w:lang w:val="en-US" w:eastAsia="es-ES"/>
        </w:rPr>
        <w:t xml:space="preserve"> pending exhaustion or that were underway, or the reasons why it considered that they were </w:t>
      </w:r>
      <w:r w:rsidR="00DF75AE" w:rsidRPr="00FE50A6">
        <w:rPr>
          <w:rFonts w:eastAsia="Batang" w:cs="Times"/>
          <w:noProof/>
          <w:szCs w:val="24"/>
          <w:lang w:val="en-US" w:eastAsia="es-ES"/>
        </w:rPr>
        <w:t>appropriate</w:t>
      </w:r>
      <w:r w:rsidR="005450DB" w:rsidRPr="00FE50A6">
        <w:rPr>
          <w:rFonts w:eastAsia="Batang" w:cs="Times"/>
          <w:noProof/>
          <w:szCs w:val="24"/>
          <w:lang w:val="en-US" w:eastAsia="es-ES"/>
        </w:rPr>
        <w:t xml:space="preserve"> and effective. Therefore, the Court considers the </w:t>
      </w:r>
      <w:r w:rsidR="00700B79" w:rsidRPr="00FE50A6">
        <w:rPr>
          <w:rFonts w:eastAsia="Batang" w:cs="Times"/>
          <w:noProof/>
          <w:szCs w:val="24"/>
          <w:lang w:val="en-US" w:eastAsia="es-ES"/>
        </w:rPr>
        <w:t>preliminary objection</w:t>
      </w:r>
      <w:r w:rsidR="005450DB" w:rsidRPr="00FE50A6">
        <w:rPr>
          <w:rFonts w:eastAsia="Batang" w:cs="Times"/>
          <w:noProof/>
          <w:szCs w:val="24"/>
          <w:lang w:val="en-US" w:eastAsia="es-ES"/>
        </w:rPr>
        <w:t xml:space="preserve"> inadmissible</w:t>
      </w:r>
      <w:r w:rsidR="000A52D5" w:rsidRPr="00FE50A6">
        <w:rPr>
          <w:rFonts w:eastAsia="Batang" w:cs="Times"/>
          <w:noProof/>
          <w:szCs w:val="24"/>
          <w:lang w:val="en-US" w:eastAsia="es-ES"/>
        </w:rPr>
        <w:t xml:space="preserve">. </w:t>
      </w:r>
    </w:p>
    <w:p w14:paraId="707645E4" w14:textId="77777777" w:rsidR="000A52D5" w:rsidRPr="00FE50A6" w:rsidRDefault="000A52D5" w:rsidP="00140440">
      <w:pPr>
        <w:tabs>
          <w:tab w:val="clear" w:pos="4419"/>
          <w:tab w:val="clear" w:pos="8838"/>
        </w:tabs>
        <w:jc w:val="both"/>
        <w:rPr>
          <w:rFonts w:eastAsia="Batang" w:cs="Times"/>
          <w:i/>
          <w:noProof/>
          <w:szCs w:val="24"/>
          <w:lang w:val="en-US" w:eastAsia="es-ES"/>
        </w:rPr>
      </w:pPr>
      <w:r w:rsidRPr="00FE50A6">
        <w:rPr>
          <w:rFonts w:eastAsia="Batang" w:cs="Times"/>
          <w:i/>
          <w:noProof/>
          <w:szCs w:val="24"/>
          <w:lang w:val="en-US" w:eastAsia="es-ES"/>
        </w:rPr>
        <w:t xml:space="preserve"> </w:t>
      </w:r>
    </w:p>
    <w:p w14:paraId="0464288E" w14:textId="77777777" w:rsidR="000A52D5" w:rsidRPr="00FE50A6" w:rsidRDefault="000A52D5" w:rsidP="008B0BCC">
      <w:pPr>
        <w:pStyle w:val="Ttulo2"/>
        <w:numPr>
          <w:ilvl w:val="0"/>
          <w:numId w:val="15"/>
        </w:numPr>
      </w:pPr>
      <w:bookmarkStart w:id="147" w:name="_Toc464813914"/>
      <w:r w:rsidRPr="00FE50A6">
        <w:t>Al</w:t>
      </w:r>
      <w:r w:rsidR="005450DB" w:rsidRPr="00FE50A6">
        <w:t>leged</w:t>
      </w:r>
      <w:r w:rsidRPr="00FE50A6">
        <w:t xml:space="preserve"> </w:t>
      </w:r>
      <w:r w:rsidR="004B38CC" w:rsidRPr="00FE50A6">
        <w:t xml:space="preserve">prescription of the </w:t>
      </w:r>
      <w:r w:rsidR="005C2091" w:rsidRPr="00FE50A6">
        <w:t>claim</w:t>
      </w:r>
      <w:r w:rsidR="004B38CC" w:rsidRPr="00FE50A6">
        <w:t xml:space="preserve"> </w:t>
      </w:r>
      <w:r w:rsidR="005450DB" w:rsidRPr="00FE50A6">
        <w:t>for reparation for pecuniary and non-pecuniary damage</w:t>
      </w:r>
      <w:bookmarkEnd w:id="147"/>
      <w:r w:rsidR="005C2091" w:rsidRPr="00FE50A6">
        <w:t xml:space="preserve"> before the Commission</w:t>
      </w:r>
    </w:p>
    <w:p w14:paraId="11747248" w14:textId="77777777" w:rsidR="000A52D5" w:rsidRPr="00FE50A6" w:rsidRDefault="000A52D5" w:rsidP="00140440">
      <w:pPr>
        <w:tabs>
          <w:tab w:val="clear" w:pos="4419"/>
          <w:tab w:val="clear" w:pos="8838"/>
        </w:tabs>
        <w:jc w:val="both"/>
        <w:rPr>
          <w:rFonts w:eastAsia="Batang" w:cs="Times"/>
          <w:b/>
          <w:noProof/>
          <w:szCs w:val="24"/>
          <w:lang w:val="en-US" w:eastAsia="es-ES"/>
        </w:rPr>
      </w:pPr>
    </w:p>
    <w:p w14:paraId="3B50EB74" w14:textId="77777777" w:rsidR="000A52D5" w:rsidRPr="00FE50A6" w:rsidRDefault="004D310D" w:rsidP="000A20C1">
      <w:pPr>
        <w:pStyle w:val="Ttulo3"/>
        <w:rPr>
          <w:noProof/>
          <w:lang w:val="en-US" w:eastAsia="es-ES"/>
        </w:rPr>
      </w:pPr>
      <w:bookmarkStart w:id="148" w:name="_Toc460432988"/>
      <w:bookmarkStart w:id="149" w:name="_Toc460441919"/>
      <w:bookmarkStart w:id="150" w:name="_Toc462750739"/>
      <w:bookmarkStart w:id="151" w:name="_Toc462751063"/>
      <w:bookmarkStart w:id="152" w:name="_Toc464813915"/>
      <w:r w:rsidRPr="00FE50A6">
        <w:rPr>
          <w:noProof/>
          <w:lang w:val="en-US" w:eastAsia="es-ES"/>
        </w:rPr>
        <w:t>I</w:t>
      </w:r>
      <w:r w:rsidR="000A52D5" w:rsidRPr="00FE50A6">
        <w:rPr>
          <w:noProof/>
          <w:lang w:val="en-US" w:eastAsia="es-ES"/>
        </w:rPr>
        <w:t xml:space="preserve">.1. </w:t>
      </w:r>
      <w:r w:rsidR="005B65F5" w:rsidRPr="00FE50A6">
        <w:rPr>
          <w:noProof/>
          <w:lang w:val="en-US" w:eastAsia="es-ES"/>
        </w:rPr>
        <w:t>Arguments of</w:t>
      </w:r>
      <w:r w:rsidR="00703850" w:rsidRPr="00FE50A6">
        <w:rPr>
          <w:noProof/>
          <w:lang w:val="en-US" w:eastAsia="es-ES"/>
        </w:rPr>
        <w:t xml:space="preserve"> the </w:t>
      </w:r>
      <w:r w:rsidR="005B65F5" w:rsidRPr="00FE50A6">
        <w:rPr>
          <w:noProof/>
          <w:lang w:val="en-US" w:eastAsia="es-ES"/>
        </w:rPr>
        <w:t>State and observations of the Commission</w:t>
      </w:r>
      <w:r w:rsidR="00030C17" w:rsidRPr="00FE50A6">
        <w:rPr>
          <w:noProof/>
          <w:lang w:val="en-US" w:eastAsia="es-ES"/>
        </w:rPr>
        <w:t xml:space="preserve"> and</w:t>
      </w:r>
      <w:r w:rsidR="007571DF" w:rsidRPr="00FE50A6">
        <w:rPr>
          <w:noProof/>
          <w:lang w:val="en-US" w:eastAsia="es-ES"/>
        </w:rPr>
        <w:t xml:space="preserve"> of the </w:t>
      </w:r>
      <w:r w:rsidR="00700B79" w:rsidRPr="00FE50A6">
        <w:rPr>
          <w:noProof/>
          <w:lang w:val="en-US" w:eastAsia="es-ES"/>
        </w:rPr>
        <w:t>representatives</w:t>
      </w:r>
      <w:bookmarkEnd w:id="148"/>
      <w:bookmarkEnd w:id="149"/>
      <w:bookmarkEnd w:id="150"/>
      <w:bookmarkEnd w:id="151"/>
      <w:bookmarkEnd w:id="152"/>
    </w:p>
    <w:p w14:paraId="2A659CEE"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17421D7F" w14:textId="77777777" w:rsidR="000A52D5" w:rsidRPr="00FE50A6" w:rsidRDefault="000228D0" w:rsidP="002A0215">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State</w:t>
      </w:r>
      <w:r w:rsidR="000A52D5" w:rsidRPr="00FE50A6">
        <w:rPr>
          <w:rFonts w:eastAsia="Batang" w:cs="Times"/>
          <w:noProof/>
          <w:szCs w:val="24"/>
          <w:lang w:val="en-US" w:eastAsia="es-ES"/>
        </w:rPr>
        <w:t xml:space="preserve"> a</w:t>
      </w:r>
      <w:r w:rsidR="002A0215" w:rsidRPr="00FE50A6">
        <w:rPr>
          <w:rFonts w:eastAsia="Batang" w:cs="Times"/>
          <w:noProof/>
          <w:szCs w:val="24"/>
          <w:lang w:val="en-US" w:eastAsia="es-ES"/>
        </w:rPr>
        <w:t>lleged that, if the Court should consider that Brazil did not have a</w:t>
      </w:r>
      <w:r w:rsidR="00DF75AE" w:rsidRPr="00FE50A6">
        <w:rPr>
          <w:rFonts w:eastAsia="Batang" w:cs="Times"/>
          <w:noProof/>
          <w:szCs w:val="24"/>
          <w:lang w:val="en-US" w:eastAsia="es-ES"/>
        </w:rPr>
        <w:t>ppropri</w:t>
      </w:r>
      <w:r w:rsidR="002A0215" w:rsidRPr="00FE50A6">
        <w:rPr>
          <w:rFonts w:eastAsia="Batang" w:cs="Times"/>
          <w:noProof/>
          <w:szCs w:val="24"/>
          <w:lang w:val="en-US" w:eastAsia="es-ES"/>
        </w:rPr>
        <w:t>ate domestic remedies to provide reparation for</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pecuniary and non-pecuniary damage</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 xml:space="preserve">it would </w:t>
      </w:r>
      <w:r w:rsidR="00DF75AE" w:rsidRPr="00FE50A6">
        <w:rPr>
          <w:rFonts w:eastAsia="Batang" w:cs="Times"/>
          <w:noProof/>
          <w:szCs w:val="24"/>
          <w:lang w:val="en-US" w:eastAsia="es-ES"/>
        </w:rPr>
        <w:t>have to</w:t>
      </w:r>
      <w:r w:rsidR="002A0215" w:rsidRPr="00FE50A6">
        <w:rPr>
          <w:rFonts w:eastAsia="Batang" w:cs="Times"/>
          <w:noProof/>
          <w:szCs w:val="24"/>
          <w:lang w:val="en-US" w:eastAsia="es-ES"/>
        </w:rPr>
        <w:t xml:space="preserve"> recognize </w:t>
      </w:r>
      <w:r w:rsidR="00DF75AE" w:rsidRPr="00FE50A6">
        <w:rPr>
          <w:rFonts w:eastAsia="Batang" w:cs="Times"/>
          <w:noProof/>
          <w:szCs w:val="24"/>
          <w:lang w:val="en-US" w:eastAsia="es-ES"/>
        </w:rPr>
        <w:t>that</w:t>
      </w:r>
      <w:r w:rsidR="002A0215" w:rsidRPr="00FE50A6">
        <w:rPr>
          <w:rFonts w:eastAsia="Batang" w:cs="Times"/>
          <w:noProof/>
          <w:szCs w:val="24"/>
          <w:lang w:val="en-US" w:eastAsia="es-ES"/>
        </w:rPr>
        <w:t xml:space="preserve"> those claims</w:t>
      </w:r>
      <w:r w:rsidR="00DF75AE" w:rsidRPr="00FE50A6">
        <w:rPr>
          <w:rFonts w:eastAsia="Batang" w:cs="Times"/>
          <w:noProof/>
          <w:szCs w:val="24"/>
          <w:lang w:val="en-US" w:eastAsia="es-ES"/>
        </w:rPr>
        <w:t xml:space="preserve"> had prescribed</w:t>
      </w:r>
      <w:r w:rsidR="002A0215" w:rsidRPr="00FE50A6">
        <w:rPr>
          <w:rFonts w:eastAsia="Batang" w:cs="Times"/>
          <w:noProof/>
          <w:szCs w:val="24"/>
          <w:lang w:val="en-US" w:eastAsia="es-ES"/>
        </w:rPr>
        <w:t xml:space="preserve"> </w:t>
      </w:r>
      <w:r w:rsidR="00D21665" w:rsidRPr="00FE50A6">
        <w:rPr>
          <w:rFonts w:eastAsia="Batang" w:cs="Times"/>
          <w:noProof/>
          <w:szCs w:val="24"/>
          <w:lang w:val="en-US" w:eastAsia="es-ES"/>
        </w:rPr>
        <w:t>with regard to</w:t>
      </w:r>
      <w:r w:rsidR="00DF75AE" w:rsidRPr="00FE50A6">
        <w:rPr>
          <w:rFonts w:eastAsia="Batang" w:cs="Times"/>
          <w:noProof/>
          <w:szCs w:val="24"/>
          <w:lang w:val="en-US" w:eastAsia="es-ES"/>
        </w:rPr>
        <w:t xml:space="preserve"> any </w:t>
      </w:r>
      <w:r w:rsidR="002A0215" w:rsidRPr="00FE50A6">
        <w:rPr>
          <w:rFonts w:eastAsia="Batang" w:cs="Times"/>
          <w:noProof/>
          <w:szCs w:val="24"/>
          <w:lang w:val="en-US" w:eastAsia="es-ES"/>
        </w:rPr>
        <w:t xml:space="preserve">possible violations that occurred in </w:t>
      </w:r>
      <w:r w:rsidR="000A52D5" w:rsidRPr="00FE50A6">
        <w:rPr>
          <w:rFonts w:eastAsia="Batang" w:cs="Times"/>
          <w:noProof/>
          <w:szCs w:val="24"/>
          <w:lang w:val="en-US" w:eastAsia="es-ES"/>
        </w:rPr>
        <w:t>1988, 1992, 1996</w:t>
      </w:r>
      <w:r w:rsidR="00030C17" w:rsidRPr="00FE50A6">
        <w:rPr>
          <w:rFonts w:eastAsia="Batang" w:cs="Times"/>
          <w:noProof/>
          <w:szCs w:val="24"/>
          <w:lang w:val="en-US" w:eastAsia="es-ES"/>
        </w:rPr>
        <w:t xml:space="preserve"> and </w:t>
      </w:r>
      <w:r w:rsidR="000A52D5" w:rsidRPr="00FE50A6">
        <w:rPr>
          <w:rFonts w:eastAsia="Batang" w:cs="Times"/>
          <w:noProof/>
          <w:szCs w:val="24"/>
          <w:lang w:val="en-US" w:eastAsia="es-ES"/>
        </w:rPr>
        <w:t xml:space="preserve">1997. </w:t>
      </w:r>
      <w:r w:rsidR="002A0215" w:rsidRPr="00FE50A6">
        <w:rPr>
          <w:rFonts w:eastAsia="Batang" w:cs="Times"/>
          <w:noProof/>
          <w:szCs w:val="24"/>
          <w:lang w:val="en-US" w:eastAsia="es-ES"/>
        </w:rPr>
        <w:t>The claim for reparation of pecuniary and non-pecuniary damage</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in relation to presumed violations that took place in</w:t>
      </w:r>
      <w:r w:rsidR="000A52D5" w:rsidRPr="00FE50A6">
        <w:rPr>
          <w:rFonts w:eastAsia="Batang" w:cs="Times"/>
          <w:noProof/>
          <w:szCs w:val="24"/>
          <w:lang w:val="en-US" w:eastAsia="es-ES"/>
        </w:rPr>
        <w:t xml:space="preserve"> Hacienda </w:t>
      </w:r>
      <w:r w:rsidR="00322241" w:rsidRPr="00FE50A6">
        <w:rPr>
          <w:rFonts w:eastAsia="Batang" w:cs="Times"/>
          <w:noProof/>
          <w:szCs w:val="24"/>
          <w:lang w:val="en-US" w:eastAsia="es-ES"/>
        </w:rPr>
        <w:t>Brasil Verde</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i</w:t>
      </w:r>
      <w:r w:rsidR="000A52D5" w:rsidRPr="00FE50A6">
        <w:rPr>
          <w:rFonts w:eastAsia="Batang" w:cs="Times"/>
          <w:noProof/>
          <w:szCs w:val="24"/>
          <w:lang w:val="en-US" w:eastAsia="es-ES"/>
        </w:rPr>
        <w:t xml:space="preserve">n 1989 </w:t>
      </w:r>
      <w:r w:rsidR="002A0215" w:rsidRPr="00FE50A6">
        <w:rPr>
          <w:rFonts w:eastAsia="Batang" w:cs="Times"/>
          <w:noProof/>
          <w:szCs w:val="24"/>
          <w:lang w:val="en-US" w:eastAsia="es-ES"/>
        </w:rPr>
        <w:t xml:space="preserve">was made before </w:t>
      </w:r>
      <w:r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10 </w:t>
      </w:r>
      <w:r w:rsidR="002A0215" w:rsidRPr="00FE50A6">
        <w:rPr>
          <w:rFonts w:eastAsia="Batang" w:cs="Times"/>
          <w:noProof/>
          <w:szCs w:val="24"/>
          <w:lang w:val="en-US" w:eastAsia="es-ES"/>
        </w:rPr>
        <w:t>years after the facts occurred; that of 1992, 5 years and 8 months later</w:t>
      </w:r>
      <w:r w:rsidR="00D21665" w:rsidRPr="00FE50A6">
        <w:rPr>
          <w:rFonts w:eastAsia="Batang" w:cs="Times"/>
          <w:noProof/>
          <w:szCs w:val="24"/>
          <w:lang w:val="en-US" w:eastAsia="es-ES"/>
        </w:rPr>
        <w:t xml:space="preserve">, and </w:t>
      </w:r>
      <w:r w:rsidR="002A0215" w:rsidRPr="00FE50A6">
        <w:rPr>
          <w:rFonts w:eastAsia="Batang" w:cs="Times"/>
          <w:noProof/>
          <w:szCs w:val="24"/>
          <w:lang w:val="en-US" w:eastAsia="es-ES"/>
        </w:rPr>
        <w:t>that of 1996, 2 years later. In the case of the facts that occurred in 1997, the pecuniary claims were made before the Commission one year and four months after</w:t>
      </w:r>
      <w:r w:rsidR="00D21665" w:rsidRPr="00FE50A6">
        <w:rPr>
          <w:rFonts w:eastAsia="Batang" w:cs="Times"/>
          <w:noProof/>
          <w:szCs w:val="24"/>
          <w:lang w:val="en-US" w:eastAsia="es-ES"/>
        </w:rPr>
        <w:t xml:space="preserve"> this</w:t>
      </w:r>
      <w:r w:rsidR="002A0215" w:rsidRPr="00FE50A6">
        <w:rPr>
          <w:rFonts w:eastAsia="Batang" w:cs="Times"/>
          <w:noProof/>
          <w:szCs w:val="24"/>
          <w:lang w:val="en-US" w:eastAsia="es-ES"/>
        </w:rPr>
        <w:t>. Consequently, it should be considered that the claim</w:t>
      </w:r>
      <w:r w:rsidR="00DF75AE" w:rsidRPr="00FE50A6">
        <w:rPr>
          <w:rFonts w:eastAsia="Batang" w:cs="Times"/>
          <w:noProof/>
          <w:szCs w:val="24"/>
          <w:lang w:val="en-US" w:eastAsia="es-ES"/>
        </w:rPr>
        <w:t>s</w:t>
      </w:r>
      <w:r w:rsidR="002A0215" w:rsidRPr="00FE50A6">
        <w:rPr>
          <w:rFonts w:eastAsia="Batang" w:cs="Times"/>
          <w:noProof/>
          <w:szCs w:val="24"/>
          <w:lang w:val="en-US" w:eastAsia="es-ES"/>
        </w:rPr>
        <w:t xml:space="preserve"> for pecuniary reparation for th</w:t>
      </w:r>
      <w:r w:rsidR="00DF75AE" w:rsidRPr="00FE50A6">
        <w:rPr>
          <w:rFonts w:eastAsia="Batang" w:cs="Times"/>
          <w:noProof/>
          <w:szCs w:val="24"/>
          <w:lang w:val="en-US" w:eastAsia="es-ES"/>
        </w:rPr>
        <w:t>o</w:t>
      </w:r>
      <w:r w:rsidR="002A0215" w:rsidRPr="00FE50A6">
        <w:rPr>
          <w:rFonts w:eastAsia="Batang" w:cs="Times"/>
          <w:noProof/>
          <w:szCs w:val="24"/>
          <w:lang w:val="en-US" w:eastAsia="es-ES"/>
        </w:rPr>
        <w:t xml:space="preserve">se presumed violations had prescribed, because the </w:t>
      </w:r>
      <w:r w:rsidR="00DF75AE" w:rsidRPr="00FE50A6">
        <w:rPr>
          <w:rFonts w:eastAsia="Batang" w:cs="Times"/>
          <w:noProof/>
          <w:szCs w:val="24"/>
          <w:lang w:val="en-US" w:eastAsia="es-ES"/>
        </w:rPr>
        <w:t xml:space="preserve">six-month </w:t>
      </w:r>
      <w:r w:rsidR="00D21665" w:rsidRPr="00FE50A6">
        <w:rPr>
          <w:rFonts w:eastAsia="Batang" w:cs="Times"/>
          <w:noProof/>
          <w:szCs w:val="24"/>
          <w:lang w:val="en-US" w:eastAsia="es-ES"/>
        </w:rPr>
        <w:t>statute of limitations</w:t>
      </w:r>
      <w:r w:rsidR="00DF75AE" w:rsidRPr="00FE50A6">
        <w:rPr>
          <w:rFonts w:eastAsia="Batang" w:cs="Times"/>
          <w:noProof/>
          <w:szCs w:val="24"/>
          <w:lang w:val="en-US" w:eastAsia="es-ES"/>
        </w:rPr>
        <w:t xml:space="preserve"> </w:t>
      </w:r>
      <w:r w:rsidR="002A0215" w:rsidRPr="00FE50A6">
        <w:rPr>
          <w:rFonts w:eastAsia="Batang" w:cs="Times"/>
          <w:noProof/>
          <w:szCs w:val="24"/>
          <w:lang w:val="en-US" w:eastAsia="es-ES"/>
        </w:rPr>
        <w:t xml:space="preserve">had </w:t>
      </w:r>
      <w:r w:rsidR="00DF75AE" w:rsidRPr="00FE50A6">
        <w:rPr>
          <w:rFonts w:eastAsia="Batang" w:cs="Times"/>
          <w:noProof/>
          <w:szCs w:val="24"/>
          <w:lang w:val="en-US" w:eastAsia="es-ES"/>
        </w:rPr>
        <w:t xml:space="preserve">already </w:t>
      </w:r>
      <w:r w:rsidR="00D21665" w:rsidRPr="00FE50A6">
        <w:rPr>
          <w:rFonts w:eastAsia="Batang" w:cs="Times"/>
          <w:noProof/>
          <w:szCs w:val="24"/>
          <w:lang w:val="en-US" w:eastAsia="es-ES"/>
        </w:rPr>
        <w:t>expired</w:t>
      </w:r>
      <w:r w:rsidR="002A0215" w:rsidRPr="00FE50A6">
        <w:rPr>
          <w:rFonts w:eastAsia="Batang" w:cs="Times"/>
          <w:noProof/>
          <w:szCs w:val="24"/>
          <w:lang w:val="en-US" w:eastAsia="es-ES"/>
        </w:rPr>
        <w:t xml:space="preserve"> when the case was lodged before </w:t>
      </w:r>
      <w:r w:rsidRPr="00FE50A6">
        <w:rPr>
          <w:rFonts w:eastAsia="Batang" w:cs="Times"/>
          <w:noProof/>
          <w:szCs w:val="24"/>
          <w:lang w:val="en-US" w:eastAsia="es-ES"/>
        </w:rPr>
        <w:t>the Commission</w:t>
      </w:r>
      <w:r w:rsidR="000A52D5" w:rsidRPr="00FE50A6">
        <w:rPr>
          <w:rFonts w:eastAsia="Batang" w:cs="Times"/>
          <w:noProof/>
          <w:szCs w:val="24"/>
          <w:lang w:val="en-US" w:eastAsia="es-ES"/>
        </w:rPr>
        <w:t>.</w:t>
      </w:r>
    </w:p>
    <w:p w14:paraId="5E724C1B"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61DE7FC6" w14:textId="77777777" w:rsidR="000A52D5" w:rsidRPr="00FE50A6" w:rsidRDefault="000228D0"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 xml:space="preserve">The </w:t>
      </w:r>
      <w:r w:rsidRPr="00FE50A6">
        <w:rPr>
          <w:rFonts w:eastAsia="Batang" w:cs="Times"/>
          <w:b/>
          <w:i/>
          <w:noProof/>
          <w:szCs w:val="24"/>
          <w:lang w:val="en-US" w:eastAsia="es-ES"/>
        </w:rPr>
        <w:t>Commission</w:t>
      </w:r>
      <w:r w:rsidR="000A52D5" w:rsidRPr="00FE50A6">
        <w:rPr>
          <w:rFonts w:eastAsia="Batang" w:cs="Times"/>
          <w:noProof/>
          <w:szCs w:val="24"/>
          <w:lang w:val="en-US" w:eastAsia="es-ES"/>
        </w:rPr>
        <w:t xml:space="preserve"> indic</w:t>
      </w:r>
      <w:r w:rsidR="002A0215" w:rsidRPr="00FE50A6">
        <w:rPr>
          <w:rFonts w:eastAsia="Batang" w:cs="Times"/>
          <w:noProof/>
          <w:szCs w:val="24"/>
          <w:lang w:val="en-US" w:eastAsia="es-ES"/>
        </w:rPr>
        <w:t>ated that</w:t>
      </w:r>
      <w:r w:rsidR="000A52D5" w:rsidRPr="00FE50A6">
        <w:rPr>
          <w:rFonts w:eastAsia="Batang" w:cs="Times"/>
          <w:noProof/>
          <w:szCs w:val="24"/>
          <w:lang w:val="en-US" w:eastAsia="es-ES"/>
        </w:rPr>
        <w:t xml:space="preserve"> </w:t>
      </w:r>
      <w:r w:rsidRPr="00FE50A6">
        <w:rPr>
          <w:rFonts w:eastAsia="Batang" w:cs="Times"/>
          <w:noProof/>
          <w:szCs w:val="24"/>
          <w:lang w:val="en-US" w:eastAsia="es-ES"/>
        </w:rPr>
        <w:t>the State</w:t>
      </w:r>
      <w:r w:rsidR="000A52D5" w:rsidRPr="00FE50A6">
        <w:rPr>
          <w:rFonts w:eastAsia="Batang" w:cs="Times"/>
          <w:noProof/>
          <w:szCs w:val="24"/>
          <w:lang w:val="en-US" w:eastAsia="es-ES"/>
        </w:rPr>
        <w:t xml:space="preserve"> </w:t>
      </w:r>
      <w:r w:rsidR="00D21665" w:rsidRPr="00FE50A6">
        <w:rPr>
          <w:rFonts w:eastAsia="Batang" w:cs="Times"/>
          <w:noProof/>
          <w:szCs w:val="24"/>
          <w:lang w:val="en-US" w:eastAsia="es-ES"/>
        </w:rPr>
        <w:t xml:space="preserve">had </w:t>
      </w:r>
      <w:r w:rsidR="002A0215" w:rsidRPr="00FE50A6">
        <w:rPr>
          <w:rFonts w:eastAsia="Batang" w:cs="Times"/>
          <w:noProof/>
          <w:szCs w:val="24"/>
          <w:lang w:val="en-US" w:eastAsia="es-ES"/>
        </w:rPr>
        <w:t xml:space="preserve">based its arguments on the premise that specific domestic remedies </w:t>
      </w:r>
      <w:r w:rsidR="006A4B25" w:rsidRPr="00FE50A6">
        <w:rPr>
          <w:rFonts w:eastAsia="Batang" w:cs="Times"/>
          <w:noProof/>
          <w:szCs w:val="24"/>
          <w:lang w:val="en-US" w:eastAsia="es-ES"/>
        </w:rPr>
        <w:t>relating to</w:t>
      </w:r>
      <w:r w:rsidR="002A0215" w:rsidRPr="00FE50A6">
        <w:rPr>
          <w:rFonts w:eastAsia="Batang" w:cs="Times"/>
          <w:noProof/>
          <w:szCs w:val="24"/>
          <w:lang w:val="en-US" w:eastAsia="es-ES"/>
        </w:rPr>
        <w:t xml:space="preserve"> compensation</w:t>
      </w:r>
      <w:r w:rsidR="006A4B25" w:rsidRPr="00FE50A6">
        <w:rPr>
          <w:rFonts w:eastAsia="Batang" w:cs="Times"/>
          <w:noProof/>
          <w:szCs w:val="24"/>
          <w:lang w:val="en-US" w:eastAsia="es-ES"/>
        </w:rPr>
        <w:t xml:space="preserve"> had to be exhausted</w:t>
      </w:r>
      <w:r w:rsidR="002A0215" w:rsidRPr="00FE50A6">
        <w:rPr>
          <w:rFonts w:eastAsia="Batang" w:cs="Times"/>
          <w:noProof/>
          <w:szCs w:val="24"/>
          <w:lang w:val="en-US" w:eastAsia="es-ES"/>
        </w:rPr>
        <w:t xml:space="preserve"> if the objective was to obtain reparation in the international sphere. According to </w:t>
      </w:r>
      <w:r w:rsidRPr="00FE50A6">
        <w:rPr>
          <w:rFonts w:eastAsia="Batang" w:cs="Times"/>
          <w:noProof/>
          <w:szCs w:val="24"/>
          <w:lang w:val="en-US" w:eastAsia="es-ES"/>
        </w:rPr>
        <w:t>the Commission</w:t>
      </w:r>
      <w:r w:rsidR="002A0215" w:rsidRPr="00FE50A6">
        <w:rPr>
          <w:rFonts w:eastAsia="Batang" w:cs="Times"/>
          <w:noProof/>
          <w:szCs w:val="24"/>
          <w:lang w:val="en-US" w:eastAsia="es-ES"/>
        </w:rPr>
        <w:t xml:space="preserve">, it was not necessary to exhaust independent remedies </w:t>
      </w:r>
      <w:r w:rsidR="006A4B25" w:rsidRPr="00FE50A6">
        <w:rPr>
          <w:rFonts w:eastAsia="Batang" w:cs="Times"/>
          <w:noProof/>
          <w:szCs w:val="24"/>
          <w:lang w:val="en-US" w:eastAsia="es-ES"/>
        </w:rPr>
        <w:t xml:space="preserve">in order </w:t>
      </w:r>
      <w:r w:rsidR="002A0215" w:rsidRPr="00FE50A6">
        <w:rPr>
          <w:rFonts w:eastAsia="Batang" w:cs="Times"/>
          <w:noProof/>
          <w:szCs w:val="24"/>
          <w:lang w:val="en-US" w:eastAsia="es-ES"/>
        </w:rPr>
        <w:t>to obtain reparation, especially if other me</w:t>
      </w:r>
      <w:r w:rsidR="006A4B25" w:rsidRPr="00FE50A6">
        <w:rPr>
          <w:rFonts w:eastAsia="Batang" w:cs="Times"/>
          <w:noProof/>
          <w:szCs w:val="24"/>
          <w:lang w:val="en-US" w:eastAsia="es-ES"/>
        </w:rPr>
        <w:t>chanisms</w:t>
      </w:r>
      <w:r w:rsidR="002A0215" w:rsidRPr="00FE50A6">
        <w:rPr>
          <w:rFonts w:eastAsia="Batang" w:cs="Times"/>
          <w:noProof/>
          <w:szCs w:val="24"/>
          <w:lang w:val="en-US" w:eastAsia="es-ES"/>
        </w:rPr>
        <w:t xml:space="preserve"> </w:t>
      </w:r>
      <w:r w:rsidR="00CF1004" w:rsidRPr="00FE50A6">
        <w:rPr>
          <w:rFonts w:eastAsia="Batang" w:cs="Times"/>
          <w:noProof/>
          <w:szCs w:val="24"/>
          <w:lang w:val="en-US" w:eastAsia="es-ES"/>
        </w:rPr>
        <w:t>had been</w:t>
      </w:r>
      <w:r w:rsidR="002A0215" w:rsidRPr="00FE50A6">
        <w:rPr>
          <w:rFonts w:eastAsia="Batang" w:cs="Times"/>
          <w:noProof/>
          <w:szCs w:val="24"/>
          <w:lang w:val="en-US" w:eastAsia="es-ES"/>
        </w:rPr>
        <w:t xml:space="preserve"> exhausted</w:t>
      </w:r>
      <w:r w:rsidR="006A4B25" w:rsidRPr="00FE50A6">
        <w:rPr>
          <w:rFonts w:eastAsia="Batang" w:cs="Times"/>
          <w:noProof/>
          <w:szCs w:val="24"/>
          <w:lang w:val="en-US" w:eastAsia="es-ES"/>
        </w:rPr>
        <w:t xml:space="preserve">; thus, </w:t>
      </w:r>
      <w:r w:rsidR="002A0215" w:rsidRPr="00FE50A6">
        <w:rPr>
          <w:rFonts w:eastAsia="Batang" w:cs="Times"/>
          <w:noProof/>
          <w:szCs w:val="24"/>
          <w:lang w:val="en-US" w:eastAsia="es-ES"/>
        </w:rPr>
        <w:t xml:space="preserve">the objection should </w:t>
      </w:r>
      <w:r w:rsidR="006A4B25" w:rsidRPr="00FE50A6">
        <w:rPr>
          <w:rFonts w:eastAsia="Batang" w:cs="Times"/>
          <w:noProof/>
          <w:szCs w:val="24"/>
          <w:lang w:val="en-US" w:eastAsia="es-ES"/>
        </w:rPr>
        <w:t>b</w:t>
      </w:r>
      <w:r w:rsidR="002A0215" w:rsidRPr="00FE50A6">
        <w:rPr>
          <w:rFonts w:eastAsia="Batang" w:cs="Times"/>
          <w:noProof/>
          <w:szCs w:val="24"/>
          <w:lang w:val="en-US" w:eastAsia="es-ES"/>
        </w:rPr>
        <w:t>e considered inadmissible.</w:t>
      </w:r>
      <w:r w:rsidR="000A52D5" w:rsidRPr="00FE50A6">
        <w:rPr>
          <w:rFonts w:eastAsia="Batang" w:cs="Times"/>
          <w:noProof/>
          <w:szCs w:val="24"/>
          <w:lang w:val="en-US" w:eastAsia="es-ES"/>
        </w:rPr>
        <w:t xml:space="preserve"> </w:t>
      </w:r>
    </w:p>
    <w:p w14:paraId="2FD8B236"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7398EF2" w14:textId="77777777" w:rsidR="000A52D5" w:rsidRPr="00FE50A6" w:rsidRDefault="00990BC8"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Re</w:t>
      </w:r>
      <w:r w:rsidR="002A0215" w:rsidRPr="00FE50A6">
        <w:rPr>
          <w:rFonts w:eastAsia="Batang" w:cs="Times"/>
          <w:noProof/>
          <w:szCs w:val="24"/>
          <w:lang w:val="en-US" w:eastAsia="es-ES"/>
        </w:rPr>
        <w:t xml:space="preserve">garding the prescription of </w:t>
      </w:r>
      <w:r w:rsidR="00CF1004" w:rsidRPr="00FE50A6">
        <w:rPr>
          <w:rFonts w:eastAsia="Batang" w:cs="Times"/>
          <w:noProof/>
          <w:szCs w:val="24"/>
          <w:lang w:val="en-US" w:eastAsia="es-ES"/>
        </w:rPr>
        <w:t>the possibiliy of requiring</w:t>
      </w:r>
      <w:r w:rsidR="002A0215" w:rsidRPr="00FE50A6">
        <w:rPr>
          <w:rFonts w:eastAsia="Batang" w:cs="Times"/>
          <w:noProof/>
          <w:szCs w:val="24"/>
          <w:lang w:val="en-US" w:eastAsia="es-ES"/>
        </w:rPr>
        <w:t xml:space="preserve"> a criminal investigation, the Commission reiterated that the State had been aware of the situation in </w:t>
      </w:r>
      <w:r w:rsidR="000A52D5" w:rsidRPr="00FE50A6">
        <w:rPr>
          <w:rFonts w:eastAsia="Batang" w:cs="Times"/>
          <w:noProof/>
          <w:szCs w:val="24"/>
          <w:lang w:val="en-US" w:eastAsia="es-ES"/>
        </w:rPr>
        <w:t xml:space="preserve">Hacienda </w:t>
      </w:r>
      <w:r w:rsidR="00322241" w:rsidRPr="00FE50A6">
        <w:rPr>
          <w:rFonts w:eastAsia="Batang" w:cs="Times"/>
          <w:noProof/>
          <w:szCs w:val="24"/>
          <w:lang w:val="en-US" w:eastAsia="es-ES"/>
        </w:rPr>
        <w:t>Brasil Verde</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and had failed to conduct a crimi</w:t>
      </w:r>
      <w:r w:rsidR="006A4B25" w:rsidRPr="00FE50A6">
        <w:rPr>
          <w:rFonts w:eastAsia="Batang" w:cs="Times"/>
          <w:noProof/>
          <w:szCs w:val="24"/>
          <w:lang w:val="en-US" w:eastAsia="es-ES"/>
        </w:rPr>
        <w:t>n</w:t>
      </w:r>
      <w:r w:rsidR="002A0215" w:rsidRPr="00FE50A6">
        <w:rPr>
          <w:rFonts w:eastAsia="Batang" w:cs="Times"/>
          <w:noProof/>
          <w:szCs w:val="24"/>
          <w:lang w:val="en-US" w:eastAsia="es-ES"/>
        </w:rPr>
        <w:t>al investigation that could be considered effective. In addition, it considered that the analysis of the opportune submission of the petition should be made based on the case as a whole rather than on isolated facts</w:t>
      </w:r>
      <w:r w:rsidR="000A52D5" w:rsidRPr="00FE50A6">
        <w:rPr>
          <w:rFonts w:eastAsia="Batang" w:cs="Times"/>
          <w:noProof/>
          <w:szCs w:val="24"/>
          <w:lang w:val="en-US" w:eastAsia="es-ES"/>
        </w:rPr>
        <w:t>.</w:t>
      </w:r>
    </w:p>
    <w:p w14:paraId="662D9EC5"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7F30E8FE" w14:textId="77777777" w:rsidR="000A52D5" w:rsidRPr="00FE50A6" w:rsidRDefault="00700B79"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lastRenderedPageBreak/>
        <w:t xml:space="preserve">The </w:t>
      </w:r>
      <w:r w:rsidRPr="00FE50A6">
        <w:rPr>
          <w:rFonts w:eastAsia="Batang" w:cs="Times"/>
          <w:b/>
          <w:i/>
          <w:noProof/>
          <w:szCs w:val="24"/>
          <w:lang w:val="en-US" w:eastAsia="es-ES"/>
        </w:rPr>
        <w:t>representatives</w:t>
      </w:r>
      <w:r w:rsidR="000A52D5" w:rsidRPr="00FE50A6">
        <w:rPr>
          <w:rFonts w:eastAsia="Batang" w:cs="Times"/>
          <w:noProof/>
          <w:szCs w:val="24"/>
          <w:lang w:val="en-US" w:eastAsia="es-ES"/>
        </w:rPr>
        <w:t xml:space="preserve"> </w:t>
      </w:r>
      <w:r w:rsidR="002A0215" w:rsidRPr="00FE50A6">
        <w:rPr>
          <w:rFonts w:eastAsia="Batang" w:cs="Times"/>
          <w:noProof/>
          <w:szCs w:val="24"/>
          <w:lang w:val="en-US" w:eastAsia="es-ES"/>
        </w:rPr>
        <w:t>indicated that the State’s argument was groundless</w:t>
      </w:r>
      <w:r w:rsidR="006A1701" w:rsidRPr="00FE50A6">
        <w:rPr>
          <w:rFonts w:eastAsia="Batang" w:cs="Times"/>
          <w:noProof/>
          <w:szCs w:val="24"/>
          <w:lang w:val="en-US" w:eastAsia="es-ES"/>
        </w:rPr>
        <w:t xml:space="preserve"> and, therefore, the objection should be withdrawn, because the State did not file it at the proper procedural moment and </w:t>
      </w:r>
      <w:r w:rsidR="00CF1004" w:rsidRPr="00FE50A6">
        <w:rPr>
          <w:rFonts w:eastAsia="Batang" w:cs="Times"/>
          <w:noProof/>
          <w:szCs w:val="24"/>
          <w:lang w:val="en-US" w:eastAsia="es-ES"/>
        </w:rPr>
        <w:t xml:space="preserve">had </w:t>
      </w:r>
      <w:r w:rsidR="006A1701" w:rsidRPr="00FE50A6">
        <w:rPr>
          <w:rFonts w:eastAsia="Batang" w:cs="Times"/>
          <w:noProof/>
          <w:szCs w:val="24"/>
          <w:lang w:val="en-US" w:eastAsia="es-ES"/>
        </w:rPr>
        <w:t>based its arguments on the failure to exhaust domestic remedies</w:t>
      </w:r>
      <w:r w:rsidR="000A52D5" w:rsidRPr="00FE50A6">
        <w:rPr>
          <w:rFonts w:eastAsia="Batang" w:cs="Times"/>
          <w:noProof/>
          <w:szCs w:val="24"/>
          <w:lang w:val="en-US" w:eastAsia="es-ES"/>
        </w:rPr>
        <w:t xml:space="preserve">. </w:t>
      </w:r>
    </w:p>
    <w:p w14:paraId="12675B07" w14:textId="77777777" w:rsidR="000A52D5" w:rsidRPr="00FE50A6" w:rsidRDefault="000A52D5" w:rsidP="00140440">
      <w:pPr>
        <w:tabs>
          <w:tab w:val="clear" w:pos="4419"/>
          <w:tab w:val="clear" w:pos="8838"/>
        </w:tabs>
        <w:jc w:val="both"/>
        <w:rPr>
          <w:rFonts w:eastAsia="Batang" w:cs="Times"/>
          <w:noProof/>
          <w:szCs w:val="24"/>
          <w:lang w:val="en-US" w:eastAsia="es-ES"/>
        </w:rPr>
      </w:pPr>
    </w:p>
    <w:p w14:paraId="221BCDAC" w14:textId="77777777" w:rsidR="000A52D5" w:rsidRPr="00FE50A6" w:rsidRDefault="004D310D" w:rsidP="000A20C1">
      <w:pPr>
        <w:pStyle w:val="Ttulo3"/>
        <w:rPr>
          <w:noProof/>
          <w:lang w:val="en-US" w:eastAsia="es-ES"/>
        </w:rPr>
      </w:pPr>
      <w:bookmarkStart w:id="153" w:name="_Toc460432989"/>
      <w:bookmarkStart w:id="154" w:name="_Toc460441920"/>
      <w:bookmarkStart w:id="155" w:name="_Toc462750740"/>
      <w:bookmarkStart w:id="156" w:name="_Toc462751064"/>
      <w:bookmarkStart w:id="157" w:name="_Toc464813916"/>
      <w:r w:rsidRPr="00FE50A6">
        <w:rPr>
          <w:noProof/>
          <w:lang w:val="en-US" w:eastAsia="es-ES"/>
        </w:rPr>
        <w:t>I</w:t>
      </w:r>
      <w:r w:rsidR="000A52D5" w:rsidRPr="00FE50A6">
        <w:rPr>
          <w:noProof/>
          <w:lang w:val="en-US" w:eastAsia="es-ES"/>
        </w:rPr>
        <w:t xml:space="preserve">.2. </w:t>
      </w:r>
      <w:r w:rsidR="000702CF" w:rsidRPr="00FE50A6">
        <w:rPr>
          <w:noProof/>
          <w:lang w:val="en-US" w:eastAsia="es-ES"/>
        </w:rPr>
        <w:t>Considerations</w:t>
      </w:r>
      <w:r w:rsidR="000228D0" w:rsidRPr="00FE50A6">
        <w:rPr>
          <w:noProof/>
          <w:lang w:val="en-US" w:eastAsia="es-ES"/>
        </w:rPr>
        <w:t xml:space="preserve"> of the Court</w:t>
      </w:r>
      <w:bookmarkEnd w:id="153"/>
      <w:bookmarkEnd w:id="154"/>
      <w:bookmarkEnd w:id="155"/>
      <w:bookmarkEnd w:id="156"/>
      <w:bookmarkEnd w:id="157"/>
    </w:p>
    <w:p w14:paraId="1FAE06D2" w14:textId="77777777" w:rsidR="000A52D5" w:rsidRPr="00FE50A6" w:rsidRDefault="000A52D5" w:rsidP="00140440">
      <w:pPr>
        <w:tabs>
          <w:tab w:val="clear" w:pos="4419"/>
          <w:tab w:val="clear" w:pos="8838"/>
        </w:tabs>
        <w:jc w:val="both"/>
        <w:rPr>
          <w:rFonts w:eastAsia="Batang" w:cs="Times"/>
          <w:b/>
          <w:i/>
          <w:noProof/>
          <w:szCs w:val="24"/>
          <w:lang w:val="en-US" w:eastAsia="es-ES"/>
        </w:rPr>
      </w:pPr>
      <w:r w:rsidRPr="00FE50A6">
        <w:rPr>
          <w:rFonts w:eastAsia="Batang" w:cs="Times"/>
          <w:b/>
          <w:i/>
          <w:noProof/>
          <w:szCs w:val="24"/>
          <w:lang w:val="en-US" w:eastAsia="es-ES"/>
        </w:rPr>
        <w:t xml:space="preserve"> </w:t>
      </w:r>
    </w:p>
    <w:p w14:paraId="724856C4" w14:textId="77777777" w:rsidR="000A52D5" w:rsidRPr="00FE50A6" w:rsidRDefault="006A1701" w:rsidP="00140440">
      <w:pPr>
        <w:numPr>
          <w:ilvl w:val="0"/>
          <w:numId w:val="1"/>
        </w:numPr>
        <w:tabs>
          <w:tab w:val="clear" w:pos="4419"/>
          <w:tab w:val="clear" w:pos="8838"/>
        </w:tabs>
        <w:jc w:val="both"/>
        <w:rPr>
          <w:rFonts w:eastAsia="Batang" w:cs="Times"/>
          <w:noProof/>
          <w:szCs w:val="24"/>
          <w:lang w:val="en-US" w:eastAsia="es-ES"/>
        </w:rPr>
      </w:pPr>
      <w:r w:rsidRPr="00FE50A6">
        <w:rPr>
          <w:rFonts w:eastAsia="Batang" w:cs="Times"/>
          <w:noProof/>
          <w:szCs w:val="24"/>
          <w:lang w:val="en-US" w:eastAsia="es-ES"/>
        </w:rPr>
        <w:t>The State did not file this</w:t>
      </w:r>
      <w:r w:rsidR="000A52D5" w:rsidRPr="00FE50A6">
        <w:rPr>
          <w:rFonts w:eastAsia="Batang" w:cs="Times"/>
          <w:noProof/>
          <w:szCs w:val="24"/>
          <w:lang w:val="en-US" w:eastAsia="es-ES"/>
        </w:rPr>
        <w:t xml:space="preserve"> </w:t>
      </w:r>
      <w:r w:rsidR="00700B79" w:rsidRPr="00FE50A6">
        <w:rPr>
          <w:rFonts w:eastAsia="Batang" w:cs="Times"/>
          <w:noProof/>
          <w:szCs w:val="24"/>
          <w:lang w:val="en-US" w:eastAsia="es-ES"/>
        </w:rPr>
        <w:t>preliminary objection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during the processing of the admissibility of the petition before</w:t>
      </w:r>
      <w:r w:rsidR="00B36EBC"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0A52D5" w:rsidRPr="00FE50A6">
        <w:rPr>
          <w:rFonts w:eastAsia="Batang" w:cs="Times"/>
          <w:noProof/>
          <w:szCs w:val="24"/>
          <w:lang w:val="en-US" w:eastAsia="es-ES"/>
        </w:rPr>
        <w:t xml:space="preserve">. </w:t>
      </w:r>
      <w:r w:rsidRPr="00FE50A6">
        <w:rPr>
          <w:rFonts w:eastAsia="Batang" w:cs="Times"/>
          <w:noProof/>
          <w:szCs w:val="24"/>
          <w:lang w:val="en-US" w:eastAsia="es-ES"/>
        </w:rPr>
        <w:t>Thus, it is time-barred because it was not filed at the proper procedural moment Accordingly</w:t>
      </w:r>
      <w:r w:rsidR="000A52D5" w:rsidRPr="00FE50A6">
        <w:rPr>
          <w:rFonts w:eastAsia="Batang" w:cs="Times"/>
          <w:bCs/>
          <w:noProof/>
          <w:szCs w:val="24"/>
          <w:lang w:val="en-US" w:eastAsia="es-ES"/>
        </w:rPr>
        <w:t xml:space="preserve">, </w:t>
      </w:r>
      <w:r w:rsidR="000228D0" w:rsidRPr="00FE50A6">
        <w:rPr>
          <w:rFonts w:eastAsia="Batang" w:cs="Times"/>
          <w:bCs/>
          <w:noProof/>
          <w:szCs w:val="24"/>
          <w:lang w:val="en-US" w:eastAsia="es-ES"/>
        </w:rPr>
        <w:t>the Court</w:t>
      </w:r>
      <w:r w:rsidR="000A52D5" w:rsidRPr="00FE50A6">
        <w:rPr>
          <w:rFonts w:eastAsia="Batang" w:cs="Times"/>
          <w:bCs/>
          <w:noProof/>
          <w:szCs w:val="24"/>
          <w:lang w:val="en-US" w:eastAsia="es-ES"/>
        </w:rPr>
        <w:t xml:space="preserve"> </w:t>
      </w:r>
      <w:r w:rsidRPr="00FE50A6">
        <w:rPr>
          <w:rFonts w:eastAsia="Batang" w:cs="Times"/>
          <w:bCs/>
          <w:noProof/>
          <w:szCs w:val="24"/>
          <w:lang w:val="en-US" w:eastAsia="es-ES"/>
        </w:rPr>
        <w:t>rejects the</w:t>
      </w:r>
      <w:r w:rsidR="000A52D5" w:rsidRPr="00FE50A6">
        <w:rPr>
          <w:rFonts w:eastAsia="Batang" w:cs="Times"/>
          <w:bCs/>
          <w:noProof/>
          <w:szCs w:val="24"/>
          <w:lang w:val="en-US" w:eastAsia="es-ES"/>
        </w:rPr>
        <w:t xml:space="preserve"> </w:t>
      </w:r>
      <w:r w:rsidR="00700B79" w:rsidRPr="00FE50A6">
        <w:rPr>
          <w:rFonts w:eastAsia="Batang" w:cs="Times"/>
          <w:bCs/>
          <w:noProof/>
          <w:szCs w:val="24"/>
          <w:lang w:val="en-US" w:eastAsia="es-ES"/>
        </w:rPr>
        <w:t>preliminary objection</w:t>
      </w:r>
      <w:r w:rsidR="000A52D5" w:rsidRPr="00FE50A6">
        <w:rPr>
          <w:rFonts w:eastAsia="Batang" w:cs="Times"/>
          <w:bCs/>
          <w:noProof/>
          <w:szCs w:val="24"/>
          <w:lang w:val="en-US" w:eastAsia="es-ES"/>
        </w:rPr>
        <w:t>.</w:t>
      </w:r>
    </w:p>
    <w:p w14:paraId="5C358B0C" w14:textId="77777777" w:rsidR="00BA1ACF" w:rsidRPr="00FE50A6" w:rsidRDefault="00BA1ACF" w:rsidP="00140440">
      <w:pPr>
        <w:tabs>
          <w:tab w:val="clear" w:pos="4419"/>
          <w:tab w:val="clear" w:pos="8838"/>
        </w:tabs>
        <w:jc w:val="both"/>
        <w:rPr>
          <w:rFonts w:eastAsia="Batang" w:cs="Times"/>
          <w:noProof/>
          <w:szCs w:val="24"/>
          <w:lang w:val="en-US"/>
        </w:rPr>
      </w:pPr>
      <w:bookmarkStart w:id="158" w:name="_Toc404770059"/>
      <w:bookmarkStart w:id="159" w:name="_Toc416164798"/>
      <w:bookmarkStart w:id="160" w:name="_Toc315133577"/>
      <w:bookmarkStart w:id="161" w:name="_Toc316919762"/>
      <w:bookmarkStart w:id="162" w:name="_Toc329703867"/>
      <w:bookmarkStart w:id="163" w:name="_Toc336638904"/>
      <w:bookmarkStart w:id="164" w:name="_Toc359314424"/>
      <w:bookmarkStart w:id="165" w:name="_Toc361671574"/>
      <w:bookmarkStart w:id="166" w:name="_Toc361671994"/>
      <w:bookmarkStart w:id="167" w:name="_Toc361732791"/>
      <w:bookmarkStart w:id="168" w:name="_Toc361732834"/>
      <w:bookmarkStart w:id="169" w:name="_Toc362456865"/>
      <w:bookmarkStart w:id="170" w:name="_Toc365021394"/>
      <w:bookmarkStart w:id="171" w:name="_Toc369076780"/>
      <w:bookmarkStart w:id="172" w:name="_Toc369989372"/>
      <w:bookmarkStart w:id="173" w:name="_Toc369989459"/>
      <w:bookmarkStart w:id="174" w:name="_Toc36998974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D24304B" w14:textId="77777777" w:rsidR="00BA1ACF" w:rsidRPr="00FE50A6" w:rsidRDefault="00BA1ACF" w:rsidP="00140440">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175" w:name="_Toc464813917"/>
      <w:r w:rsidRPr="00FE50A6">
        <w:rPr>
          <w:rFonts w:eastAsia="Times New Roman" w:cs="Verdana"/>
          <w:b/>
          <w:bCs/>
          <w:caps/>
          <w:noProof/>
          <w:snapToGrid w:val="0"/>
          <w:szCs w:val="20"/>
          <w:lang w:val="en-US" w:eastAsia="es-ES"/>
        </w:rPr>
        <w:t>V</w:t>
      </w:r>
      <w:r w:rsidRPr="00FE50A6">
        <w:rPr>
          <w:rFonts w:eastAsia="Times New Roman" w:cs="Verdana"/>
          <w:b/>
          <w:bCs/>
          <w:caps/>
          <w:noProof/>
          <w:snapToGrid w:val="0"/>
          <w:szCs w:val="20"/>
          <w:lang w:val="en-US" w:eastAsia="es-ES"/>
        </w:rPr>
        <w:br/>
      </w:r>
      <w:r w:rsidR="005F1946" w:rsidRPr="00FE50A6">
        <w:rPr>
          <w:rFonts w:eastAsia="Times New Roman" w:cs="Verdana"/>
          <w:b/>
          <w:bCs/>
          <w:caps/>
          <w:noProof/>
          <w:snapToGrid w:val="0"/>
          <w:szCs w:val="20"/>
          <w:lang w:val="en-US" w:eastAsia="es-ES"/>
        </w:rPr>
        <w:t>EVIDENCE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05D540F" w14:textId="77777777" w:rsidR="00BA1ACF" w:rsidRPr="00FE50A6" w:rsidRDefault="00BA1ACF" w:rsidP="00140440">
      <w:pPr>
        <w:tabs>
          <w:tab w:val="clear" w:pos="4419"/>
          <w:tab w:val="clear" w:pos="8838"/>
        </w:tabs>
        <w:jc w:val="both"/>
        <w:rPr>
          <w:rFonts w:eastAsia="Batang" w:cs="Times"/>
          <w:noProof/>
          <w:szCs w:val="24"/>
          <w:lang w:val="en-US" w:eastAsia="es-ES"/>
        </w:rPr>
      </w:pPr>
    </w:p>
    <w:p w14:paraId="576EA0BC" w14:textId="77777777" w:rsidR="00BA1ACF" w:rsidRPr="00FE50A6" w:rsidRDefault="00314608" w:rsidP="00B56BF6">
      <w:pPr>
        <w:pStyle w:val="Ttulo2"/>
      </w:pPr>
      <w:bookmarkStart w:id="176" w:name="_Toc400025662"/>
      <w:bookmarkStart w:id="177" w:name="_Toc400031342"/>
      <w:bookmarkStart w:id="178" w:name="_Toc400035794"/>
      <w:bookmarkStart w:id="179" w:name="_Toc400116405"/>
      <w:bookmarkStart w:id="180" w:name="_Toc400118176"/>
      <w:bookmarkEnd w:id="176"/>
      <w:bookmarkEnd w:id="177"/>
      <w:bookmarkEnd w:id="178"/>
      <w:bookmarkEnd w:id="179"/>
      <w:bookmarkEnd w:id="180"/>
      <w:r w:rsidRPr="00FE50A6">
        <w:t xml:space="preserve">Documentary, </w:t>
      </w:r>
      <w:r w:rsidRPr="00B56BF6">
        <w:t>testimonial</w:t>
      </w:r>
      <w:r w:rsidRPr="00FE50A6">
        <w:t xml:space="preserve"> and expert evidence</w:t>
      </w:r>
      <w:bookmarkStart w:id="181" w:name="_Ref305145673"/>
    </w:p>
    <w:p w14:paraId="4A192B9B" w14:textId="77777777" w:rsidR="00BA1ACF" w:rsidRPr="00FE50A6" w:rsidRDefault="00BA1ACF" w:rsidP="00140440">
      <w:pPr>
        <w:tabs>
          <w:tab w:val="clear" w:pos="4419"/>
          <w:tab w:val="clear" w:pos="8838"/>
        </w:tabs>
        <w:jc w:val="both"/>
        <w:rPr>
          <w:rFonts w:eastAsia="Batang" w:cs="Times"/>
          <w:noProof/>
          <w:szCs w:val="24"/>
          <w:lang w:val="en-US"/>
        </w:rPr>
      </w:pPr>
    </w:p>
    <w:p w14:paraId="42AAB4F2" w14:textId="77777777" w:rsidR="00B81840" w:rsidRPr="00FE50A6" w:rsidRDefault="00314608" w:rsidP="00140440">
      <w:pPr>
        <w:numPr>
          <w:ilvl w:val="0"/>
          <w:numId w:val="1"/>
        </w:numPr>
        <w:tabs>
          <w:tab w:val="clear" w:pos="4419"/>
          <w:tab w:val="clear" w:pos="8838"/>
        </w:tabs>
        <w:jc w:val="both"/>
        <w:rPr>
          <w:rFonts w:eastAsia="Batang" w:cs="Times"/>
          <w:noProof/>
          <w:szCs w:val="24"/>
        </w:rPr>
      </w:pPr>
      <w:r w:rsidRPr="00FE50A6">
        <w:rPr>
          <w:rFonts w:eastAsia="Batang" w:cs="Times"/>
          <w:noProof/>
          <w:szCs w:val="24"/>
          <w:lang w:val="en-US" w:eastAsia="es-ES"/>
        </w:rPr>
        <w:t>Th</w:t>
      </w:r>
      <w:r w:rsidR="00C13D1E" w:rsidRPr="00FE50A6">
        <w:rPr>
          <w:rFonts w:eastAsia="Batang" w:cs="Times"/>
          <w:noProof/>
          <w:szCs w:val="24"/>
          <w:lang w:val="en-US" w:eastAsia="es-ES"/>
        </w:rPr>
        <w:t>e</w:t>
      </w:r>
      <w:r w:rsidRPr="00FE50A6">
        <w:rPr>
          <w:rFonts w:eastAsia="Batang" w:cs="Times"/>
          <w:noProof/>
          <w:szCs w:val="24"/>
          <w:lang w:val="en-US" w:eastAsia="es-ES"/>
        </w:rPr>
        <w:t xml:space="preserve"> Court received </w:t>
      </w:r>
      <w:r w:rsidR="00150E9C" w:rsidRPr="00FE50A6">
        <w:rPr>
          <w:rFonts w:eastAsia="Batang" w:cs="Times"/>
          <w:noProof/>
          <w:szCs w:val="24"/>
          <w:lang w:val="en-US" w:eastAsia="es-ES"/>
        </w:rPr>
        <w:t>different</w:t>
      </w:r>
      <w:r w:rsidRPr="00FE50A6">
        <w:rPr>
          <w:rFonts w:eastAsia="Batang" w:cs="Times"/>
          <w:noProof/>
          <w:szCs w:val="24"/>
          <w:lang w:val="en-US" w:eastAsia="es-ES"/>
        </w:rPr>
        <w:t xml:space="preserve"> documents presented as evidence by </w:t>
      </w:r>
      <w:r w:rsidR="000228D0" w:rsidRPr="00FE50A6">
        <w:rPr>
          <w:rFonts w:eastAsia="Batang" w:cs="Times"/>
          <w:noProof/>
          <w:szCs w:val="24"/>
          <w:lang w:val="en-US"/>
        </w:rPr>
        <w:t>the Commission</w:t>
      </w:r>
      <w:r w:rsidR="00030C17" w:rsidRPr="00FE50A6">
        <w:rPr>
          <w:rFonts w:eastAsia="Batang" w:cs="Times"/>
          <w:noProof/>
          <w:szCs w:val="24"/>
          <w:lang w:val="en-US"/>
        </w:rPr>
        <w:t xml:space="preserve"> and </w:t>
      </w:r>
      <w:r w:rsidRPr="00FE50A6">
        <w:rPr>
          <w:rFonts w:eastAsia="Batang" w:cs="Times"/>
          <w:noProof/>
          <w:szCs w:val="24"/>
          <w:lang w:val="en-US"/>
        </w:rPr>
        <w:t xml:space="preserve">the parties attached to their </w:t>
      </w:r>
      <w:r w:rsidR="00150E9C" w:rsidRPr="00FE50A6">
        <w:rPr>
          <w:rFonts w:eastAsia="Batang" w:cs="Times"/>
          <w:noProof/>
          <w:szCs w:val="24"/>
          <w:lang w:val="en-US"/>
        </w:rPr>
        <w:t>principal</w:t>
      </w:r>
      <w:r w:rsidRPr="00FE50A6">
        <w:rPr>
          <w:rFonts w:eastAsia="Batang" w:cs="Times"/>
          <w:noProof/>
          <w:szCs w:val="24"/>
          <w:lang w:val="en-US"/>
        </w:rPr>
        <w:t xml:space="preserve"> briefs </w:t>
      </w:r>
      <w:r w:rsidR="00BA1ACF" w:rsidRPr="00FE50A6">
        <w:rPr>
          <w:rFonts w:eastAsia="Batang" w:cs="Times"/>
          <w:noProof/>
          <w:szCs w:val="24"/>
          <w:lang w:val="en-US"/>
        </w:rPr>
        <w:t>(</w:t>
      </w:r>
      <w:r w:rsidR="00BA1ACF" w:rsidRPr="00FE50A6">
        <w:rPr>
          <w:rFonts w:eastAsia="Batang" w:cs="Times"/>
          <w:i/>
          <w:noProof/>
          <w:szCs w:val="24"/>
          <w:lang w:val="en-US"/>
        </w:rPr>
        <w:t xml:space="preserve">supra </w:t>
      </w:r>
      <w:r w:rsidR="00700B79" w:rsidRPr="00FE50A6">
        <w:rPr>
          <w:rFonts w:eastAsia="Batang" w:cs="Times"/>
          <w:noProof/>
          <w:szCs w:val="24"/>
          <w:lang w:val="en-US"/>
        </w:rPr>
        <w:t>paras.</w:t>
      </w:r>
      <w:r w:rsidR="00BA1ACF" w:rsidRPr="00FE50A6">
        <w:rPr>
          <w:rFonts w:eastAsia="Batang" w:cs="Times"/>
          <w:noProof/>
          <w:szCs w:val="24"/>
          <w:lang w:val="en-US"/>
        </w:rPr>
        <w:t xml:space="preserve"> </w:t>
      </w:r>
      <w:r w:rsidR="00D21AFC" w:rsidRPr="00FE50A6">
        <w:rPr>
          <w:rFonts w:eastAsia="Batang" w:cs="Times"/>
          <w:noProof/>
          <w:szCs w:val="24"/>
        </w:rPr>
        <w:t>3, 6</w:t>
      </w:r>
      <w:r w:rsidR="00030C17" w:rsidRPr="00FE50A6">
        <w:rPr>
          <w:rFonts w:eastAsia="Batang" w:cs="Times"/>
          <w:noProof/>
          <w:szCs w:val="24"/>
        </w:rPr>
        <w:t xml:space="preserve"> and </w:t>
      </w:r>
      <w:r w:rsidR="00D21AFC" w:rsidRPr="00FE50A6">
        <w:rPr>
          <w:rFonts w:eastAsia="Batang" w:cs="Times"/>
          <w:noProof/>
          <w:szCs w:val="24"/>
        </w:rPr>
        <w:t xml:space="preserve">7). </w:t>
      </w:r>
      <w:r w:rsidRPr="00FE50A6">
        <w:rPr>
          <w:rFonts w:eastAsia="Batang" w:cs="Times"/>
          <w:noProof/>
          <w:szCs w:val="24"/>
        </w:rPr>
        <w:t>The</w:t>
      </w:r>
      <w:r w:rsidR="000228D0" w:rsidRPr="00FE50A6">
        <w:rPr>
          <w:rFonts w:eastAsia="Batang" w:cs="Times"/>
          <w:noProof/>
          <w:szCs w:val="24"/>
        </w:rPr>
        <w:t xml:space="preserve"> Court</w:t>
      </w:r>
      <w:r w:rsidRPr="00FE50A6">
        <w:rPr>
          <w:rFonts w:eastAsia="Batang" w:cs="Times"/>
          <w:noProof/>
          <w:szCs w:val="24"/>
        </w:rPr>
        <w:t xml:space="preserve"> also received affidavits prepared by</w:t>
      </w:r>
      <w:r w:rsidR="00BA1ACF" w:rsidRPr="00FE50A6">
        <w:rPr>
          <w:rFonts w:eastAsia="Batang" w:cs="Times"/>
          <w:noProof/>
          <w:szCs w:val="24"/>
        </w:rPr>
        <w:t xml:space="preserve"> </w:t>
      </w:r>
      <w:r w:rsidR="00750080" w:rsidRPr="00FE50A6">
        <w:rPr>
          <w:rFonts w:cs="Verdana"/>
          <w:iCs/>
          <w:szCs w:val="20"/>
        </w:rPr>
        <w:t>Maria do Socorro Canuto</w:t>
      </w:r>
      <w:r w:rsidR="0010513B" w:rsidRPr="00FE50A6">
        <w:rPr>
          <w:rFonts w:cs="Verdana"/>
          <w:iCs/>
          <w:szCs w:val="20"/>
        </w:rPr>
        <w:t>,</w:t>
      </w:r>
      <w:r w:rsidR="00606616" w:rsidRPr="00FE50A6">
        <w:rPr>
          <w:rFonts w:cs="Verdana"/>
          <w:b/>
          <w:iCs/>
          <w:szCs w:val="20"/>
        </w:rPr>
        <w:t xml:space="preserve"> </w:t>
      </w:r>
      <w:r w:rsidR="00606616" w:rsidRPr="00FE50A6">
        <w:rPr>
          <w:rFonts w:cs="Verdana"/>
          <w:iCs/>
          <w:szCs w:val="20"/>
        </w:rPr>
        <w:t>José Armando Fraga Diniz Guerra</w:t>
      </w:r>
      <w:r w:rsidR="0010513B" w:rsidRPr="00FE50A6">
        <w:rPr>
          <w:rFonts w:cs="Verdana"/>
          <w:iCs/>
          <w:szCs w:val="20"/>
        </w:rPr>
        <w:t>,</w:t>
      </w:r>
      <w:r w:rsidR="00606616" w:rsidRPr="00FE50A6">
        <w:rPr>
          <w:rFonts w:cs="Verdana"/>
          <w:b/>
          <w:iCs/>
          <w:szCs w:val="20"/>
        </w:rPr>
        <w:t xml:space="preserve"> </w:t>
      </w:r>
      <w:r w:rsidR="00170062" w:rsidRPr="00FE50A6">
        <w:rPr>
          <w:rFonts w:cs="Verdana"/>
          <w:iCs/>
          <w:szCs w:val="20"/>
        </w:rPr>
        <w:t>Ricardo Rezende Figueira</w:t>
      </w:r>
      <w:r w:rsidR="0010513B" w:rsidRPr="00FE50A6">
        <w:rPr>
          <w:rFonts w:cs="Verdana"/>
          <w:iCs/>
          <w:szCs w:val="20"/>
        </w:rPr>
        <w:t>,</w:t>
      </w:r>
      <w:r w:rsidR="00170062" w:rsidRPr="00FE50A6">
        <w:rPr>
          <w:rFonts w:cs="Verdana"/>
          <w:iCs/>
          <w:szCs w:val="20"/>
        </w:rPr>
        <w:t xml:space="preserve"> Valderez Maria Monte Rodrigues</w:t>
      </w:r>
      <w:r w:rsidR="0010513B" w:rsidRPr="00FE50A6">
        <w:rPr>
          <w:rFonts w:cs="Verdana"/>
          <w:iCs/>
          <w:szCs w:val="20"/>
        </w:rPr>
        <w:t>,</w:t>
      </w:r>
      <w:r w:rsidR="00170062" w:rsidRPr="00FE50A6">
        <w:rPr>
          <w:rFonts w:cs="Verdana"/>
          <w:iCs/>
          <w:szCs w:val="20"/>
        </w:rPr>
        <w:t xml:space="preserve"> Carlos Enrique Borildo Haddad</w:t>
      </w:r>
      <w:r w:rsidR="0010513B" w:rsidRPr="00FE50A6">
        <w:rPr>
          <w:rFonts w:cs="Verdana"/>
          <w:iCs/>
          <w:szCs w:val="20"/>
        </w:rPr>
        <w:t>,</w:t>
      </w:r>
      <w:r w:rsidR="00170062" w:rsidRPr="00FE50A6">
        <w:rPr>
          <w:rFonts w:cs="Verdana"/>
          <w:iCs/>
          <w:szCs w:val="20"/>
        </w:rPr>
        <w:t xml:space="preserve"> Luis </w:t>
      </w:r>
      <w:r w:rsidR="00D60654" w:rsidRPr="00FE50A6">
        <w:rPr>
          <w:rFonts w:cs="Verdana"/>
          <w:iCs/>
          <w:szCs w:val="20"/>
        </w:rPr>
        <w:t xml:space="preserve">Antônio </w:t>
      </w:r>
      <w:r w:rsidR="00170062" w:rsidRPr="00FE50A6">
        <w:rPr>
          <w:rFonts w:cs="Verdana"/>
          <w:iCs/>
          <w:szCs w:val="20"/>
        </w:rPr>
        <w:t>Camargo de Melo</w:t>
      </w:r>
      <w:r w:rsidR="0010513B" w:rsidRPr="00FE50A6">
        <w:rPr>
          <w:rFonts w:cs="Verdana"/>
          <w:iCs/>
          <w:szCs w:val="20"/>
        </w:rPr>
        <w:t>,</w:t>
      </w:r>
      <w:r w:rsidR="00170062" w:rsidRPr="00FE50A6">
        <w:rPr>
          <w:rFonts w:cs="Verdana"/>
          <w:iCs/>
          <w:szCs w:val="20"/>
        </w:rPr>
        <w:t xml:space="preserve"> Mike Dottridge</w:t>
      </w:r>
      <w:r w:rsidR="0010513B" w:rsidRPr="00FE50A6">
        <w:rPr>
          <w:rFonts w:cs="Verdana"/>
          <w:iCs/>
          <w:szCs w:val="20"/>
        </w:rPr>
        <w:t>,</w:t>
      </w:r>
      <w:r w:rsidR="00170062" w:rsidRPr="00FE50A6">
        <w:rPr>
          <w:rFonts w:cs="Verdana"/>
          <w:iCs/>
          <w:szCs w:val="20"/>
        </w:rPr>
        <w:t xml:space="preserve"> Marcus Menezes Barberino Mendes</w:t>
      </w:r>
      <w:r w:rsidR="0010513B" w:rsidRPr="00FE50A6">
        <w:rPr>
          <w:rFonts w:cs="Verdana"/>
          <w:iCs/>
          <w:szCs w:val="20"/>
        </w:rPr>
        <w:t>,</w:t>
      </w:r>
      <w:r w:rsidR="00170062" w:rsidRPr="00FE50A6">
        <w:rPr>
          <w:rFonts w:cs="Verdana"/>
          <w:iCs/>
          <w:szCs w:val="20"/>
        </w:rPr>
        <w:t xml:space="preserve"> Michael Freitas Mohallem</w:t>
      </w:r>
      <w:r w:rsidR="0010513B" w:rsidRPr="00FE50A6">
        <w:rPr>
          <w:rFonts w:cs="Verdana"/>
          <w:iCs/>
          <w:szCs w:val="20"/>
        </w:rPr>
        <w:t>,</w:t>
      </w:r>
      <w:r w:rsidR="00170062" w:rsidRPr="00FE50A6">
        <w:rPr>
          <w:rFonts w:cs="Verdana"/>
          <w:iCs/>
          <w:szCs w:val="20"/>
        </w:rPr>
        <w:t xml:space="preserve"> Silvio Beltramelli Neto</w:t>
      </w:r>
      <w:r w:rsidR="0010513B" w:rsidRPr="00FE50A6">
        <w:rPr>
          <w:rFonts w:cs="Verdana"/>
          <w:iCs/>
          <w:szCs w:val="20"/>
        </w:rPr>
        <w:t>,</w:t>
      </w:r>
      <w:r w:rsidR="00170062" w:rsidRPr="00FE50A6">
        <w:rPr>
          <w:rFonts w:cs="Verdana"/>
          <w:iCs/>
          <w:szCs w:val="20"/>
        </w:rPr>
        <w:t xml:space="preserve"> Jonas Ratier Moreno</w:t>
      </w:r>
      <w:r w:rsidR="0010513B" w:rsidRPr="00FE50A6">
        <w:rPr>
          <w:rFonts w:cs="Verdana"/>
          <w:iCs/>
          <w:szCs w:val="20"/>
        </w:rPr>
        <w:t>,</w:t>
      </w:r>
      <w:r w:rsidR="00170062" w:rsidRPr="00FE50A6">
        <w:rPr>
          <w:rFonts w:cs="Verdana"/>
          <w:iCs/>
          <w:szCs w:val="20"/>
        </w:rPr>
        <w:t xml:space="preserve"> Marcelo Gonçalves Campos</w:t>
      </w:r>
      <w:r w:rsidR="0010513B" w:rsidRPr="00FE50A6">
        <w:rPr>
          <w:rFonts w:cs="Verdana"/>
          <w:iCs/>
          <w:szCs w:val="20"/>
        </w:rPr>
        <w:t>,</w:t>
      </w:r>
      <w:r w:rsidR="00170062" w:rsidRPr="00FE50A6">
        <w:rPr>
          <w:rFonts w:cs="Verdana"/>
          <w:iCs/>
          <w:szCs w:val="20"/>
        </w:rPr>
        <w:t xml:space="preserve"> Marinalva Dantas</w:t>
      </w:r>
      <w:r w:rsidR="00030C17" w:rsidRPr="00FE50A6">
        <w:rPr>
          <w:rFonts w:cs="Verdana"/>
          <w:iCs/>
          <w:szCs w:val="20"/>
        </w:rPr>
        <w:t xml:space="preserve"> and </w:t>
      </w:r>
      <w:r w:rsidR="00170062" w:rsidRPr="00FE50A6">
        <w:rPr>
          <w:rFonts w:cs="Verdana"/>
          <w:iCs/>
          <w:szCs w:val="20"/>
        </w:rPr>
        <w:t>Patricia Souto Audi</w:t>
      </w:r>
      <w:r w:rsidR="00FA2450" w:rsidRPr="00FE50A6">
        <w:rPr>
          <w:rFonts w:eastAsia="Batang" w:cs="Times"/>
          <w:noProof/>
          <w:szCs w:val="24"/>
        </w:rPr>
        <w:t xml:space="preserve">. </w:t>
      </w:r>
    </w:p>
    <w:p w14:paraId="29EC8760" w14:textId="77777777" w:rsidR="00B81840" w:rsidRPr="00FE50A6" w:rsidRDefault="00B81840" w:rsidP="00140440">
      <w:pPr>
        <w:tabs>
          <w:tab w:val="clear" w:pos="4419"/>
          <w:tab w:val="clear" w:pos="8838"/>
        </w:tabs>
        <w:jc w:val="both"/>
        <w:rPr>
          <w:rFonts w:eastAsia="Batang" w:cs="Times"/>
          <w:noProof/>
          <w:szCs w:val="24"/>
        </w:rPr>
      </w:pPr>
    </w:p>
    <w:p w14:paraId="72123115" w14:textId="77777777" w:rsidR="00B81840" w:rsidRPr="00FE50A6" w:rsidRDefault="00314608" w:rsidP="00140440">
      <w:pPr>
        <w:numPr>
          <w:ilvl w:val="0"/>
          <w:numId w:val="1"/>
        </w:numPr>
        <w:tabs>
          <w:tab w:val="clear" w:pos="4419"/>
          <w:tab w:val="clear" w:pos="8838"/>
        </w:tabs>
        <w:jc w:val="both"/>
        <w:rPr>
          <w:rFonts w:eastAsia="Batang" w:cs="Times"/>
          <w:noProof/>
          <w:szCs w:val="24"/>
          <w:lang w:val="en-US"/>
        </w:rPr>
      </w:pPr>
      <w:r w:rsidRPr="00FE50A6">
        <w:rPr>
          <w:rFonts w:eastAsia="Batang" w:cs="Times"/>
          <w:noProof/>
          <w:szCs w:val="24"/>
          <w:lang w:val="en-US"/>
        </w:rPr>
        <w:t>Regarding the evidence provided during the</w:t>
      </w:r>
      <w:r w:rsidR="00FA2450" w:rsidRPr="00FE50A6">
        <w:rPr>
          <w:rFonts w:eastAsia="Batang" w:cs="Times"/>
          <w:noProof/>
          <w:szCs w:val="24"/>
          <w:lang w:val="en-US"/>
        </w:rPr>
        <w:t xml:space="preserve"> </w:t>
      </w:r>
      <w:r w:rsidR="002071B1" w:rsidRPr="00FE50A6">
        <w:rPr>
          <w:rFonts w:eastAsia="Batang" w:cs="Times"/>
          <w:noProof/>
          <w:szCs w:val="24"/>
          <w:lang w:val="en-US"/>
        </w:rPr>
        <w:t>public hearing</w:t>
      </w:r>
      <w:r w:rsidR="00FA2450" w:rsidRPr="00FE50A6">
        <w:rPr>
          <w:rFonts w:eastAsia="Batang" w:cs="Times"/>
          <w:noProof/>
          <w:szCs w:val="24"/>
          <w:lang w:val="en-US"/>
        </w:rPr>
        <w:t xml:space="preserve">, </w:t>
      </w:r>
      <w:r w:rsidR="000228D0" w:rsidRPr="00FE50A6">
        <w:rPr>
          <w:rFonts w:eastAsia="Batang" w:cs="Times"/>
          <w:noProof/>
          <w:szCs w:val="24"/>
          <w:lang w:val="en-US"/>
        </w:rPr>
        <w:t>the Court</w:t>
      </w:r>
      <w:r w:rsidR="00FA2450" w:rsidRPr="00FE50A6">
        <w:rPr>
          <w:rFonts w:eastAsia="Batang" w:cs="Times"/>
          <w:noProof/>
          <w:szCs w:val="24"/>
          <w:lang w:val="en-US"/>
        </w:rPr>
        <w:t xml:space="preserve"> </w:t>
      </w:r>
      <w:r w:rsidRPr="00FE50A6">
        <w:rPr>
          <w:rFonts w:eastAsia="Batang" w:cs="Times"/>
          <w:noProof/>
          <w:szCs w:val="24"/>
          <w:lang w:val="en-US"/>
        </w:rPr>
        <w:t>received the testimony of</w:t>
      </w:r>
      <w:r w:rsidR="00FA2450" w:rsidRPr="00FE50A6">
        <w:rPr>
          <w:rFonts w:eastAsia="Batang" w:cs="Times"/>
          <w:noProof/>
          <w:szCs w:val="24"/>
          <w:lang w:val="en-US"/>
        </w:rPr>
        <w:t xml:space="preserve"> Leonardo Sakamoto</w:t>
      </w:r>
      <w:r w:rsidR="00030C17" w:rsidRPr="00FE50A6">
        <w:rPr>
          <w:rFonts w:eastAsia="Batang" w:cs="Times"/>
          <w:noProof/>
          <w:szCs w:val="24"/>
          <w:lang w:val="en-US"/>
        </w:rPr>
        <w:t xml:space="preserve"> and </w:t>
      </w:r>
      <w:r w:rsidR="00FA2450" w:rsidRPr="00FE50A6">
        <w:rPr>
          <w:rFonts w:eastAsia="Batang" w:cs="Times"/>
          <w:noProof/>
          <w:szCs w:val="24"/>
          <w:lang w:val="en-US"/>
        </w:rPr>
        <w:t>Ana Paula de Souza,</w:t>
      </w:r>
      <w:r w:rsidR="00030C17" w:rsidRPr="00FE50A6">
        <w:rPr>
          <w:rFonts w:eastAsia="Batang" w:cs="Times"/>
          <w:noProof/>
          <w:szCs w:val="24"/>
          <w:lang w:val="en-US"/>
        </w:rPr>
        <w:t xml:space="preserve"> and </w:t>
      </w:r>
      <w:r w:rsidRPr="00FE50A6">
        <w:rPr>
          <w:rFonts w:eastAsia="Batang" w:cs="Times"/>
          <w:noProof/>
          <w:szCs w:val="24"/>
          <w:lang w:val="en-US"/>
        </w:rPr>
        <w:t xml:space="preserve">the expert opinions of </w:t>
      </w:r>
      <w:r w:rsidR="00293FFD" w:rsidRPr="00FE50A6">
        <w:rPr>
          <w:rFonts w:eastAsia="Batang" w:cs="Times"/>
          <w:noProof/>
          <w:szCs w:val="24"/>
          <w:lang w:val="en-US"/>
        </w:rPr>
        <w:t>César Rodríguez Gara</w:t>
      </w:r>
      <w:r w:rsidR="00B56FD0" w:rsidRPr="00FE50A6">
        <w:rPr>
          <w:rFonts w:eastAsia="Batang" w:cs="Times"/>
          <w:noProof/>
          <w:szCs w:val="24"/>
          <w:lang w:val="en-US"/>
        </w:rPr>
        <w:t>v</w:t>
      </w:r>
      <w:r w:rsidR="00293FFD" w:rsidRPr="00FE50A6">
        <w:rPr>
          <w:rFonts w:eastAsia="Batang" w:cs="Times"/>
          <w:noProof/>
          <w:szCs w:val="24"/>
          <w:lang w:val="en-US"/>
        </w:rPr>
        <w:t>ito</w:t>
      </w:r>
      <w:r w:rsidR="0010513B" w:rsidRPr="00FE50A6">
        <w:rPr>
          <w:rFonts w:eastAsia="Batang" w:cs="Times"/>
          <w:noProof/>
          <w:szCs w:val="24"/>
          <w:lang w:val="en-US"/>
        </w:rPr>
        <w:t>,</w:t>
      </w:r>
      <w:r w:rsidR="00293FFD" w:rsidRPr="00FE50A6">
        <w:rPr>
          <w:rFonts w:eastAsia="Batang" w:cs="Times"/>
          <w:noProof/>
          <w:szCs w:val="24"/>
          <w:lang w:val="en-US"/>
        </w:rPr>
        <w:t xml:space="preserve"> Raquel Dodge</w:t>
      </w:r>
      <w:r w:rsidR="0010513B" w:rsidRPr="00FE50A6">
        <w:rPr>
          <w:rFonts w:eastAsia="Batang" w:cs="Times"/>
          <w:noProof/>
          <w:szCs w:val="24"/>
          <w:lang w:val="en-US"/>
        </w:rPr>
        <w:t>,</w:t>
      </w:r>
      <w:r w:rsidR="00FA2450" w:rsidRPr="00FE50A6">
        <w:rPr>
          <w:rFonts w:eastAsia="Batang" w:cs="Times"/>
          <w:noProof/>
          <w:szCs w:val="24"/>
          <w:lang w:val="en-US"/>
        </w:rPr>
        <w:t xml:space="preserve"> Ana Carolina Alves Araujo Román</w:t>
      </w:r>
      <w:r w:rsidR="00030C17" w:rsidRPr="00FE50A6">
        <w:rPr>
          <w:rFonts w:eastAsia="Batang" w:cs="Times"/>
          <w:noProof/>
          <w:szCs w:val="24"/>
          <w:lang w:val="en-US"/>
        </w:rPr>
        <w:t xml:space="preserve"> and </w:t>
      </w:r>
      <w:r w:rsidR="00FA2450" w:rsidRPr="00FE50A6">
        <w:rPr>
          <w:rFonts w:eastAsia="Batang" w:cs="Times"/>
          <w:noProof/>
          <w:szCs w:val="24"/>
          <w:lang w:val="en-US"/>
        </w:rPr>
        <w:t xml:space="preserve">Jean Allain. </w:t>
      </w:r>
    </w:p>
    <w:p w14:paraId="3EF1F036" w14:textId="77777777" w:rsidR="00B81840" w:rsidRPr="00FE50A6" w:rsidRDefault="00B81840" w:rsidP="00140440">
      <w:pPr>
        <w:jc w:val="both"/>
        <w:rPr>
          <w:rFonts w:eastAsia="Batang" w:cs="Times"/>
          <w:noProof/>
          <w:szCs w:val="24"/>
          <w:lang w:val="en-US"/>
        </w:rPr>
      </w:pPr>
    </w:p>
    <w:p w14:paraId="62990B93" w14:textId="77777777" w:rsidR="00FA2450" w:rsidRPr="00FE50A6" w:rsidRDefault="00314608" w:rsidP="00140440">
      <w:pPr>
        <w:numPr>
          <w:ilvl w:val="0"/>
          <w:numId w:val="1"/>
        </w:numPr>
        <w:tabs>
          <w:tab w:val="clear" w:pos="4419"/>
          <w:tab w:val="clear" w:pos="8838"/>
        </w:tabs>
        <w:jc w:val="both"/>
        <w:rPr>
          <w:rFonts w:eastAsia="Batang" w:cs="Times"/>
          <w:noProof/>
          <w:szCs w:val="20"/>
          <w:lang w:val="en-US"/>
        </w:rPr>
      </w:pPr>
      <w:r w:rsidRPr="00FE50A6">
        <w:rPr>
          <w:rFonts w:eastAsia="Batang" w:cs="Times"/>
          <w:noProof/>
          <w:szCs w:val="20"/>
          <w:lang w:val="en-US"/>
        </w:rPr>
        <w:t xml:space="preserve">In addition, during the </w:t>
      </w:r>
      <w:r w:rsidR="007571DF" w:rsidRPr="00FE50A6">
        <w:rPr>
          <w:rFonts w:eastAsia="Batang" w:cs="Times"/>
          <w:noProof/>
          <w:szCs w:val="20"/>
          <w:lang w:val="en-US"/>
        </w:rPr>
        <w:t>on-site procedure</w:t>
      </w:r>
      <w:r w:rsidRPr="00FE50A6">
        <w:rPr>
          <w:rFonts w:eastAsia="Batang" w:cs="Times"/>
          <w:noProof/>
          <w:szCs w:val="20"/>
          <w:lang w:val="en-US"/>
        </w:rPr>
        <w:t>,</w:t>
      </w:r>
      <w:r w:rsidR="00FA2450" w:rsidRPr="00FE50A6">
        <w:rPr>
          <w:rFonts w:eastAsia="Batang" w:cs="Times"/>
          <w:i/>
          <w:noProof/>
          <w:szCs w:val="20"/>
          <w:lang w:val="en-US"/>
        </w:rPr>
        <w:t xml:space="preserve"> </w:t>
      </w:r>
      <w:r w:rsidR="000228D0" w:rsidRPr="00FE50A6">
        <w:rPr>
          <w:rFonts w:eastAsia="Batang" w:cs="Times"/>
          <w:noProof/>
          <w:szCs w:val="20"/>
          <w:lang w:val="en-US"/>
        </w:rPr>
        <w:t>the Court</w:t>
      </w:r>
      <w:r w:rsidR="00B81840" w:rsidRPr="00FE50A6">
        <w:rPr>
          <w:rFonts w:eastAsia="Batang" w:cs="Times"/>
          <w:noProof/>
          <w:szCs w:val="20"/>
          <w:lang w:val="en-US"/>
        </w:rPr>
        <w:t xml:space="preserve"> </w:t>
      </w:r>
      <w:r w:rsidRPr="00FE50A6">
        <w:rPr>
          <w:rFonts w:eastAsia="Batang" w:cs="Times"/>
          <w:noProof/>
          <w:szCs w:val="20"/>
          <w:lang w:val="en-US"/>
        </w:rPr>
        <w:t xml:space="preserve">heard the statements of </w:t>
      </w:r>
      <w:r w:rsidR="00B81840" w:rsidRPr="00FE50A6">
        <w:rPr>
          <w:szCs w:val="20"/>
          <w:lang w:val="en-US"/>
        </w:rPr>
        <w:t xml:space="preserve">Marcos </w:t>
      </w:r>
      <w:r w:rsidR="00D60654" w:rsidRPr="00FE50A6">
        <w:rPr>
          <w:szCs w:val="20"/>
          <w:lang w:val="en-US"/>
        </w:rPr>
        <w:t xml:space="preserve">Antônio </w:t>
      </w:r>
      <w:r w:rsidR="00B81840" w:rsidRPr="00FE50A6">
        <w:rPr>
          <w:szCs w:val="20"/>
          <w:lang w:val="en-US"/>
        </w:rPr>
        <w:t>Lima</w:t>
      </w:r>
      <w:r w:rsidR="0010513B" w:rsidRPr="00FE50A6">
        <w:rPr>
          <w:szCs w:val="20"/>
          <w:lang w:val="en-US"/>
        </w:rPr>
        <w:t>,</w:t>
      </w:r>
      <w:r w:rsidR="00293FFD" w:rsidRPr="00FE50A6">
        <w:rPr>
          <w:szCs w:val="20"/>
          <w:lang w:val="en-US"/>
        </w:rPr>
        <w:t xml:space="preserve"> Francisco Fabiano Leandro</w:t>
      </w:r>
      <w:r w:rsidR="0010513B" w:rsidRPr="00FE50A6">
        <w:rPr>
          <w:szCs w:val="20"/>
          <w:lang w:val="en-US"/>
        </w:rPr>
        <w:t>,</w:t>
      </w:r>
      <w:r w:rsidR="00B81840" w:rsidRPr="00FE50A6">
        <w:rPr>
          <w:szCs w:val="20"/>
          <w:lang w:val="en-US"/>
        </w:rPr>
        <w:t xml:space="preserve"> Rogerio Felix</w:t>
      </w:r>
      <w:r w:rsidR="00293FFD" w:rsidRPr="00FE50A6">
        <w:rPr>
          <w:szCs w:val="20"/>
          <w:lang w:val="en-US"/>
        </w:rPr>
        <w:t xml:space="preserve"> Silva</w:t>
      </w:r>
      <w:r w:rsidR="0010513B" w:rsidRPr="00FE50A6">
        <w:rPr>
          <w:szCs w:val="20"/>
          <w:lang w:val="en-US"/>
        </w:rPr>
        <w:t>,</w:t>
      </w:r>
      <w:r w:rsidR="00B81840" w:rsidRPr="00FE50A6">
        <w:rPr>
          <w:szCs w:val="20"/>
          <w:lang w:val="en-US"/>
        </w:rPr>
        <w:t xml:space="preserve"> Francisco das Chagas Bastos Sousa</w:t>
      </w:r>
      <w:r w:rsidR="00030C17" w:rsidRPr="00FE50A6">
        <w:rPr>
          <w:szCs w:val="20"/>
          <w:lang w:val="en-US"/>
        </w:rPr>
        <w:t xml:space="preserve"> and </w:t>
      </w:r>
      <w:r w:rsidR="00D60654" w:rsidRPr="00FE50A6">
        <w:rPr>
          <w:szCs w:val="20"/>
          <w:lang w:val="en-US"/>
        </w:rPr>
        <w:t xml:space="preserve">Antônio </w:t>
      </w:r>
      <w:r w:rsidR="00B81840" w:rsidRPr="00FE50A6">
        <w:rPr>
          <w:szCs w:val="20"/>
          <w:lang w:val="en-US"/>
        </w:rPr>
        <w:t xml:space="preserve">Francisco da Silva, </w:t>
      </w:r>
      <w:r w:rsidRPr="00FE50A6">
        <w:rPr>
          <w:szCs w:val="20"/>
          <w:lang w:val="en-US"/>
        </w:rPr>
        <w:t>in their capacity as</w:t>
      </w:r>
      <w:r w:rsidR="00B81840" w:rsidRPr="00FE50A6">
        <w:rPr>
          <w:szCs w:val="20"/>
          <w:lang w:val="en-US"/>
        </w:rPr>
        <w:t xml:space="preserve"> </w:t>
      </w:r>
      <w:r w:rsidR="008A7089" w:rsidRPr="00FE50A6">
        <w:rPr>
          <w:szCs w:val="20"/>
          <w:lang w:val="en-US"/>
        </w:rPr>
        <w:t>presumed victims</w:t>
      </w:r>
      <w:r w:rsidR="00750080" w:rsidRPr="00FE50A6">
        <w:rPr>
          <w:szCs w:val="20"/>
          <w:lang w:val="en-US"/>
        </w:rPr>
        <w:t xml:space="preserve">. </w:t>
      </w:r>
      <w:r w:rsidRPr="00FE50A6">
        <w:rPr>
          <w:szCs w:val="20"/>
          <w:lang w:val="en-US"/>
        </w:rPr>
        <w:t xml:space="preserve">It also </w:t>
      </w:r>
      <w:r w:rsidR="009E0376" w:rsidRPr="00FE50A6">
        <w:rPr>
          <w:szCs w:val="20"/>
          <w:lang w:val="en-US"/>
        </w:rPr>
        <w:t>heard</w:t>
      </w:r>
      <w:r w:rsidRPr="00FE50A6">
        <w:rPr>
          <w:szCs w:val="20"/>
          <w:lang w:val="en-US"/>
        </w:rPr>
        <w:t xml:space="preserve"> the statements of </w:t>
      </w:r>
      <w:r w:rsidR="00750080" w:rsidRPr="00FE50A6">
        <w:rPr>
          <w:szCs w:val="20"/>
          <w:lang w:val="en-US"/>
        </w:rPr>
        <w:t>André Esposito Roston</w:t>
      </w:r>
      <w:r w:rsidR="0010513B" w:rsidRPr="00FE50A6">
        <w:rPr>
          <w:szCs w:val="20"/>
          <w:lang w:val="en-US"/>
        </w:rPr>
        <w:t>,</w:t>
      </w:r>
      <w:r w:rsidR="00750080" w:rsidRPr="00FE50A6">
        <w:rPr>
          <w:szCs w:val="20"/>
          <w:lang w:val="en-US"/>
        </w:rPr>
        <w:t xml:space="preserve"> Silvio Silva </w:t>
      </w:r>
      <w:r w:rsidR="000228D0" w:rsidRPr="00FE50A6">
        <w:rPr>
          <w:szCs w:val="20"/>
          <w:lang w:val="en-US"/>
        </w:rPr>
        <w:t>Brazil</w:t>
      </w:r>
      <w:r w:rsidR="0010513B" w:rsidRPr="00FE50A6">
        <w:rPr>
          <w:szCs w:val="20"/>
          <w:lang w:val="en-US"/>
        </w:rPr>
        <w:t>,</w:t>
      </w:r>
      <w:r w:rsidR="00750080" w:rsidRPr="00FE50A6">
        <w:rPr>
          <w:szCs w:val="20"/>
          <w:lang w:val="en-US"/>
        </w:rPr>
        <w:t xml:space="preserve"> Lél</w:t>
      </w:r>
      <w:r w:rsidR="00B9532C" w:rsidRPr="00FE50A6">
        <w:rPr>
          <w:szCs w:val="20"/>
          <w:lang w:val="en-US"/>
        </w:rPr>
        <w:t>i</w:t>
      </w:r>
      <w:r w:rsidR="00750080" w:rsidRPr="00FE50A6">
        <w:rPr>
          <w:szCs w:val="20"/>
          <w:lang w:val="en-US"/>
        </w:rPr>
        <w:t>o Bentes</w:t>
      </w:r>
      <w:r w:rsidR="0010513B" w:rsidRPr="00FE50A6">
        <w:rPr>
          <w:szCs w:val="20"/>
          <w:lang w:val="en-US"/>
        </w:rPr>
        <w:t>,</w:t>
      </w:r>
      <w:r w:rsidR="00750080" w:rsidRPr="00FE50A6">
        <w:rPr>
          <w:szCs w:val="20"/>
          <w:lang w:val="en-US"/>
        </w:rPr>
        <w:t xml:space="preserve"> Oswaldo José Barbosa Silva</w:t>
      </w:r>
      <w:r w:rsidR="00030C17" w:rsidRPr="00FE50A6">
        <w:rPr>
          <w:szCs w:val="20"/>
          <w:lang w:val="en-US"/>
        </w:rPr>
        <w:t xml:space="preserve"> and </w:t>
      </w:r>
      <w:r w:rsidR="00750080" w:rsidRPr="00FE50A6">
        <w:rPr>
          <w:szCs w:val="20"/>
          <w:lang w:val="en-US"/>
        </w:rPr>
        <w:t xml:space="preserve">Christiane Vieira Nogueira, </w:t>
      </w:r>
      <w:r w:rsidRPr="00FE50A6">
        <w:rPr>
          <w:szCs w:val="20"/>
          <w:lang w:val="en-US"/>
        </w:rPr>
        <w:t>as deponents for information purposes.</w:t>
      </w:r>
    </w:p>
    <w:p w14:paraId="245DFCF1" w14:textId="77777777" w:rsidR="00BA1ACF" w:rsidRPr="00FE50A6" w:rsidRDefault="00BA1ACF" w:rsidP="00140440">
      <w:pPr>
        <w:tabs>
          <w:tab w:val="clear" w:pos="4419"/>
          <w:tab w:val="clear" w:pos="8838"/>
        </w:tabs>
        <w:jc w:val="both"/>
        <w:rPr>
          <w:rFonts w:eastAsia="Batang" w:cs="Times"/>
          <w:noProof/>
          <w:szCs w:val="24"/>
          <w:lang w:val="en-US"/>
        </w:rPr>
      </w:pPr>
    </w:p>
    <w:bookmarkEnd w:id="181"/>
    <w:p w14:paraId="44BD6AAA" w14:textId="77777777" w:rsidR="00BA1ACF" w:rsidRPr="00B56BF6" w:rsidRDefault="00314608" w:rsidP="00B56BF6">
      <w:pPr>
        <w:pStyle w:val="Ttulo2"/>
      </w:pPr>
      <w:r w:rsidRPr="00B56BF6">
        <w:t>Admission of the evidence</w:t>
      </w:r>
    </w:p>
    <w:p w14:paraId="31B1CFAE" w14:textId="77777777" w:rsidR="00BA1ACF" w:rsidRPr="00FE50A6" w:rsidRDefault="00BA1ACF" w:rsidP="00140440">
      <w:pPr>
        <w:tabs>
          <w:tab w:val="clear" w:pos="4419"/>
          <w:tab w:val="clear" w:pos="8838"/>
        </w:tabs>
        <w:jc w:val="both"/>
        <w:rPr>
          <w:rFonts w:eastAsia="Batang" w:cs="Times"/>
          <w:noProof/>
          <w:szCs w:val="24"/>
          <w:lang w:val="en-US"/>
        </w:rPr>
      </w:pPr>
    </w:p>
    <w:p w14:paraId="0D790A79" w14:textId="77777777" w:rsidR="00BA1ACF" w:rsidRPr="00FE50A6" w:rsidRDefault="00314608" w:rsidP="00140440">
      <w:pPr>
        <w:numPr>
          <w:ilvl w:val="0"/>
          <w:numId w:val="1"/>
        </w:numPr>
        <w:tabs>
          <w:tab w:val="clear" w:pos="4419"/>
          <w:tab w:val="clear" w:pos="8838"/>
        </w:tabs>
        <w:jc w:val="both"/>
        <w:rPr>
          <w:rFonts w:eastAsia="Batang" w:cs="Times"/>
          <w:noProof/>
          <w:szCs w:val="24"/>
          <w:lang w:val="en-US"/>
        </w:rPr>
      </w:pPr>
      <w:r w:rsidRPr="00FE50A6">
        <w:rPr>
          <w:rFonts w:eastAsia="Batang" w:cs="Times"/>
          <w:noProof/>
          <w:szCs w:val="24"/>
          <w:lang w:val="en-US"/>
        </w:rPr>
        <w:t xml:space="preserve">This Court admits the documents presented at the appropriate procedural opportunity by the parties </w:t>
      </w:r>
      <w:r w:rsidR="00030C17" w:rsidRPr="00FE50A6">
        <w:rPr>
          <w:rFonts w:eastAsia="Batang" w:cs="Times"/>
          <w:noProof/>
          <w:szCs w:val="20"/>
          <w:lang w:val="en-US"/>
        </w:rPr>
        <w:t xml:space="preserve">and </w:t>
      </w:r>
      <w:r w:rsidR="000228D0" w:rsidRPr="00FE50A6">
        <w:rPr>
          <w:rFonts w:eastAsia="Batang" w:cs="Times"/>
          <w:noProof/>
          <w:szCs w:val="20"/>
          <w:lang w:val="en-US"/>
        </w:rPr>
        <w:t>the Commission</w:t>
      </w:r>
      <w:r w:rsidR="00030C17" w:rsidRPr="00FE50A6">
        <w:rPr>
          <w:rFonts w:eastAsia="Batang" w:cs="Times"/>
          <w:noProof/>
          <w:szCs w:val="20"/>
          <w:lang w:val="en-US"/>
        </w:rPr>
        <w:t xml:space="preserve"> </w:t>
      </w:r>
      <w:r w:rsidR="00150E9C" w:rsidRPr="00FE50A6">
        <w:rPr>
          <w:rFonts w:eastAsia="Batang" w:cs="Times"/>
          <w:noProof/>
          <w:szCs w:val="20"/>
          <w:lang w:val="en-US"/>
        </w:rPr>
        <w:t xml:space="preserve">the </w:t>
      </w:r>
      <w:r w:rsidRPr="00FE50A6">
        <w:rPr>
          <w:rFonts w:eastAsia="Batang" w:cs="Times"/>
          <w:noProof/>
          <w:szCs w:val="20"/>
          <w:lang w:val="en-US"/>
        </w:rPr>
        <w:t>admissibility</w:t>
      </w:r>
      <w:r w:rsidR="00150E9C" w:rsidRPr="00FE50A6">
        <w:rPr>
          <w:rFonts w:eastAsia="Batang" w:cs="Times"/>
          <w:noProof/>
          <w:szCs w:val="20"/>
          <w:lang w:val="en-US"/>
        </w:rPr>
        <w:t xml:space="preserve"> of which</w:t>
      </w:r>
      <w:r w:rsidRPr="00FE50A6">
        <w:rPr>
          <w:rFonts w:eastAsia="Batang" w:cs="Times"/>
          <w:noProof/>
          <w:szCs w:val="20"/>
          <w:lang w:val="en-US"/>
        </w:rPr>
        <w:t xml:space="preserve"> was not contested or challenge</w:t>
      </w:r>
      <w:r w:rsidR="009E0376" w:rsidRPr="00FE50A6">
        <w:rPr>
          <w:rFonts w:eastAsia="Batang" w:cs="Times"/>
          <w:noProof/>
          <w:szCs w:val="20"/>
          <w:lang w:val="en-US"/>
        </w:rPr>
        <w:t>d</w:t>
      </w:r>
      <w:r w:rsidRPr="00FE50A6">
        <w:rPr>
          <w:rFonts w:eastAsia="Batang" w:cs="Times"/>
          <w:noProof/>
          <w:szCs w:val="20"/>
          <w:lang w:val="en-US"/>
        </w:rPr>
        <w:t>.</w:t>
      </w:r>
      <w:r w:rsidR="00BA1ACF" w:rsidRPr="00FE50A6">
        <w:rPr>
          <w:rFonts w:eastAsia="Batang" w:cs="Times New Roman"/>
          <w:noProof/>
          <w:szCs w:val="20"/>
          <w:vertAlign w:val="superscript"/>
          <w:lang w:val="en-US"/>
        </w:rPr>
        <w:footnoteReference w:id="57"/>
      </w:r>
      <w:r w:rsidR="00BA1ACF" w:rsidRPr="00FE50A6">
        <w:rPr>
          <w:rFonts w:eastAsia="Times New Roman" w:cs="Times"/>
          <w:noProof/>
          <w:szCs w:val="20"/>
          <w:lang w:val="en-US"/>
        </w:rPr>
        <w:t xml:space="preserve"> </w:t>
      </w:r>
    </w:p>
    <w:p w14:paraId="779389A3" w14:textId="77777777" w:rsidR="00BA1ACF" w:rsidRPr="00FE50A6" w:rsidRDefault="00BA1ACF" w:rsidP="00140440">
      <w:pPr>
        <w:tabs>
          <w:tab w:val="clear" w:pos="4419"/>
          <w:tab w:val="clear" w:pos="8838"/>
        </w:tabs>
        <w:jc w:val="both"/>
        <w:rPr>
          <w:rFonts w:eastAsia="Batang" w:cs="Times"/>
          <w:noProof/>
          <w:szCs w:val="24"/>
          <w:lang w:val="en-US"/>
        </w:rPr>
      </w:pPr>
      <w:r w:rsidRPr="00FE50A6">
        <w:rPr>
          <w:rFonts w:eastAsia="Times New Roman" w:cs="Times"/>
          <w:noProof/>
          <w:szCs w:val="20"/>
          <w:lang w:val="en-US"/>
        </w:rPr>
        <w:t xml:space="preserve"> </w:t>
      </w:r>
    </w:p>
    <w:p w14:paraId="72142F91" w14:textId="77777777" w:rsidR="00BA1ACF" w:rsidRPr="00FE50A6" w:rsidRDefault="00BA1ACF" w:rsidP="00140440">
      <w:pPr>
        <w:numPr>
          <w:ilvl w:val="0"/>
          <w:numId w:val="1"/>
        </w:numPr>
        <w:tabs>
          <w:tab w:val="clear" w:pos="4419"/>
          <w:tab w:val="clear" w:pos="8838"/>
        </w:tabs>
        <w:jc w:val="both"/>
        <w:rPr>
          <w:rFonts w:eastAsia="Batang" w:cs="Times"/>
          <w:noProof/>
          <w:szCs w:val="24"/>
          <w:lang w:val="en-US"/>
        </w:rPr>
      </w:pPr>
      <w:r w:rsidRPr="00FE50A6">
        <w:rPr>
          <w:rFonts w:eastAsia="Batang" w:cs="Times"/>
          <w:noProof/>
          <w:szCs w:val="20"/>
          <w:lang w:val="en-US"/>
        </w:rPr>
        <w:t>Re</w:t>
      </w:r>
      <w:r w:rsidR="00941410" w:rsidRPr="00FE50A6">
        <w:rPr>
          <w:rFonts w:eastAsia="Batang" w:cs="Times"/>
          <w:noProof/>
          <w:szCs w:val="20"/>
          <w:lang w:val="en-US"/>
        </w:rPr>
        <w:t>garding some documents indicated by means of ele</w:t>
      </w:r>
      <w:r w:rsidR="00150E9C" w:rsidRPr="00FE50A6">
        <w:rPr>
          <w:rFonts w:eastAsia="Batang" w:cs="Times"/>
          <w:noProof/>
          <w:szCs w:val="20"/>
          <w:lang w:val="en-US"/>
        </w:rPr>
        <w:t>c</w:t>
      </w:r>
      <w:r w:rsidR="00941410" w:rsidRPr="00FE50A6">
        <w:rPr>
          <w:rFonts w:eastAsia="Batang" w:cs="Times"/>
          <w:noProof/>
          <w:szCs w:val="20"/>
          <w:lang w:val="en-US"/>
        </w:rPr>
        <w:t xml:space="preserve">tronic links, the Court has established that, if a party or </w:t>
      </w:r>
      <w:r w:rsidR="000228D0" w:rsidRPr="00FE50A6">
        <w:rPr>
          <w:rFonts w:eastAsia="Batang" w:cs="Times"/>
          <w:noProof/>
          <w:szCs w:val="20"/>
          <w:lang w:val="en-US"/>
        </w:rPr>
        <w:t>the Commission</w:t>
      </w:r>
      <w:r w:rsidRPr="00FE50A6">
        <w:rPr>
          <w:rFonts w:eastAsia="Batang" w:cs="Times"/>
          <w:noProof/>
          <w:szCs w:val="20"/>
          <w:lang w:val="en-US"/>
        </w:rPr>
        <w:t xml:space="preserve"> pro</w:t>
      </w:r>
      <w:r w:rsidR="00941410" w:rsidRPr="00FE50A6">
        <w:rPr>
          <w:rFonts w:eastAsia="Batang" w:cs="Times"/>
          <w:noProof/>
          <w:szCs w:val="20"/>
          <w:lang w:val="en-US"/>
        </w:rPr>
        <w:t>vides at least the direct electronic link to the document that it cites as evidence and it is possible to access it, neither legal certainty nor procedural balance is affected because it can be located immediately by the Court and by the other parties.</w:t>
      </w:r>
      <w:r w:rsidRPr="00FE50A6">
        <w:rPr>
          <w:rFonts w:eastAsia="Batang" w:cs="Times New Roman"/>
          <w:noProof/>
          <w:szCs w:val="20"/>
          <w:vertAlign w:val="superscript"/>
          <w:lang w:val="en-US"/>
        </w:rPr>
        <w:footnoteReference w:id="58"/>
      </w:r>
      <w:r w:rsidR="00941410" w:rsidRPr="00FE50A6">
        <w:rPr>
          <w:rFonts w:eastAsia="Batang" w:cs="Times"/>
          <w:noProof/>
          <w:szCs w:val="20"/>
          <w:lang w:val="en-US"/>
        </w:rPr>
        <w:t xml:space="preserve"> Consequently, the Court finds it pertinent to admit the documents that were indicated by means of electronic links in the instant case</w:t>
      </w:r>
      <w:r w:rsidRPr="00FE50A6">
        <w:rPr>
          <w:rFonts w:eastAsia="Batang" w:cs="Times"/>
          <w:noProof/>
          <w:szCs w:val="24"/>
          <w:lang w:val="en-US"/>
        </w:rPr>
        <w:t>.</w:t>
      </w:r>
    </w:p>
    <w:p w14:paraId="0B71C989" w14:textId="77777777" w:rsidR="00B81840" w:rsidRPr="00FE50A6" w:rsidRDefault="00B81840" w:rsidP="00140440">
      <w:pPr>
        <w:pStyle w:val="Prrafodelista"/>
        <w:contextualSpacing w:val="0"/>
        <w:rPr>
          <w:rFonts w:eastAsia="Batang" w:cs="Times"/>
          <w:noProof/>
          <w:szCs w:val="24"/>
          <w:lang w:val="en-US"/>
        </w:rPr>
      </w:pPr>
    </w:p>
    <w:p w14:paraId="274D49FD" w14:textId="77777777" w:rsidR="00B16F60" w:rsidRPr="00FE50A6" w:rsidRDefault="00941410" w:rsidP="00140440">
      <w:pPr>
        <w:numPr>
          <w:ilvl w:val="0"/>
          <w:numId w:val="1"/>
        </w:numPr>
        <w:tabs>
          <w:tab w:val="clear" w:pos="4419"/>
          <w:tab w:val="clear" w:pos="8838"/>
        </w:tabs>
        <w:jc w:val="both"/>
        <w:rPr>
          <w:rFonts w:eastAsia="Batang" w:cs="Times"/>
          <w:noProof/>
          <w:szCs w:val="24"/>
          <w:lang w:val="en-US"/>
        </w:rPr>
      </w:pPr>
      <w:r w:rsidRPr="00FE50A6">
        <w:rPr>
          <w:rFonts w:eastAsia="Batang" w:cs="Times"/>
          <w:noProof/>
          <w:szCs w:val="24"/>
          <w:lang w:val="en-US"/>
        </w:rPr>
        <w:t>With regard to the affidavits, the Court note</w:t>
      </w:r>
      <w:r w:rsidR="009E0376" w:rsidRPr="00FE50A6">
        <w:rPr>
          <w:rFonts w:eastAsia="Batang" w:cs="Times"/>
          <w:noProof/>
          <w:szCs w:val="24"/>
          <w:lang w:val="en-US"/>
        </w:rPr>
        <w:t>s</w:t>
      </w:r>
      <w:r w:rsidRPr="00FE50A6">
        <w:rPr>
          <w:rFonts w:eastAsia="Batang" w:cs="Times"/>
          <w:noProof/>
          <w:szCs w:val="24"/>
          <w:lang w:val="en-US"/>
        </w:rPr>
        <w:t xml:space="preserve"> that, despite having been offered at the proper opportunity and requested in the order of the </w:t>
      </w:r>
      <w:r w:rsidR="002071B1" w:rsidRPr="00FE50A6">
        <w:rPr>
          <w:rFonts w:eastAsia="Batang" w:cs="Times"/>
          <w:noProof/>
          <w:szCs w:val="24"/>
          <w:lang w:val="en-US"/>
        </w:rPr>
        <w:t>President</w:t>
      </w:r>
      <w:r w:rsidR="00B81840" w:rsidRPr="00FE50A6">
        <w:rPr>
          <w:rFonts w:eastAsia="Batang" w:cs="Times"/>
          <w:noProof/>
          <w:szCs w:val="24"/>
          <w:lang w:val="en-US"/>
        </w:rPr>
        <w:t xml:space="preserve"> </w:t>
      </w:r>
      <w:r w:rsidRPr="00FE50A6">
        <w:rPr>
          <w:rFonts w:eastAsia="Batang" w:cs="Times"/>
          <w:noProof/>
          <w:szCs w:val="24"/>
          <w:lang w:val="en-US"/>
        </w:rPr>
        <w:t>of December 11,</w:t>
      </w:r>
      <w:r w:rsidR="00B81840" w:rsidRPr="00FE50A6">
        <w:rPr>
          <w:rFonts w:eastAsia="Batang" w:cs="Times"/>
          <w:noProof/>
          <w:szCs w:val="24"/>
          <w:lang w:val="en-US"/>
        </w:rPr>
        <w:t xml:space="preserve"> 2015</w:t>
      </w:r>
      <w:r w:rsidRPr="00FE50A6">
        <w:rPr>
          <w:rFonts w:eastAsia="Batang" w:cs="Times"/>
          <w:noProof/>
          <w:szCs w:val="24"/>
          <w:lang w:val="en-US"/>
        </w:rPr>
        <w:t>,</w:t>
      </w:r>
      <w:r w:rsidR="00B81840" w:rsidRPr="00FE50A6">
        <w:rPr>
          <w:rFonts w:eastAsia="Batang" w:cs="Times"/>
          <w:noProof/>
          <w:szCs w:val="24"/>
          <w:lang w:val="en-US"/>
        </w:rPr>
        <w:t xml:space="preserve"> </w:t>
      </w:r>
      <w:r w:rsidR="00B81840" w:rsidRPr="00FE50A6">
        <w:rPr>
          <w:rFonts w:eastAsia="Batang" w:cs="Times"/>
          <w:noProof/>
          <w:szCs w:val="24"/>
          <w:lang w:val="en-US"/>
        </w:rPr>
        <w:lastRenderedPageBreak/>
        <w:t>(</w:t>
      </w:r>
      <w:r w:rsidR="00B81840" w:rsidRPr="00FE50A6">
        <w:rPr>
          <w:rFonts w:eastAsia="Batang" w:cs="Times"/>
          <w:i/>
          <w:noProof/>
          <w:szCs w:val="24"/>
          <w:lang w:val="en-US"/>
        </w:rPr>
        <w:t>supra</w:t>
      </w:r>
      <w:r w:rsidR="00B81840" w:rsidRPr="00FE50A6">
        <w:rPr>
          <w:rFonts w:eastAsia="Batang" w:cs="Times"/>
          <w:noProof/>
          <w:szCs w:val="24"/>
          <w:lang w:val="en-US"/>
        </w:rPr>
        <w:t xml:space="preserve"> </w:t>
      </w:r>
      <w:r w:rsidR="00700B79" w:rsidRPr="00FE50A6">
        <w:rPr>
          <w:rFonts w:eastAsia="Batang" w:cs="Times"/>
          <w:noProof/>
          <w:szCs w:val="24"/>
          <w:lang w:val="en-US"/>
        </w:rPr>
        <w:t>para.</w:t>
      </w:r>
      <w:r w:rsidR="00B81840" w:rsidRPr="00FE50A6">
        <w:rPr>
          <w:rFonts w:eastAsia="Batang" w:cs="Times"/>
          <w:noProof/>
          <w:szCs w:val="24"/>
          <w:lang w:val="en-US"/>
        </w:rPr>
        <w:t xml:space="preserve"> </w:t>
      </w:r>
      <w:r w:rsidR="00303556" w:rsidRPr="00FE50A6">
        <w:rPr>
          <w:rFonts w:eastAsia="Batang" w:cs="Times"/>
          <w:noProof/>
          <w:szCs w:val="24"/>
          <w:lang w:val="en-US"/>
        </w:rPr>
        <w:t>9</w:t>
      </w:r>
      <w:r w:rsidR="00B81840" w:rsidRPr="00FE50A6">
        <w:rPr>
          <w:rFonts w:eastAsia="Batang" w:cs="Times"/>
          <w:noProof/>
          <w:szCs w:val="24"/>
          <w:lang w:val="en-US"/>
        </w:rPr>
        <w:t xml:space="preserve">), </w:t>
      </w:r>
      <w:r w:rsidR="00700B79" w:rsidRPr="00FE50A6">
        <w:rPr>
          <w:rFonts w:eastAsia="Batang" w:cs="Times"/>
          <w:noProof/>
          <w:szCs w:val="24"/>
          <w:lang w:val="en-US"/>
        </w:rPr>
        <w:t>the representatives</w:t>
      </w:r>
      <w:r w:rsidR="00B81840" w:rsidRPr="00FE50A6">
        <w:rPr>
          <w:rFonts w:eastAsia="Batang" w:cs="Times"/>
          <w:noProof/>
          <w:szCs w:val="24"/>
          <w:lang w:val="en-US"/>
        </w:rPr>
        <w:t xml:space="preserve"> </w:t>
      </w:r>
      <w:r w:rsidRPr="00FE50A6">
        <w:rPr>
          <w:rFonts w:eastAsia="Batang" w:cs="Times"/>
          <w:noProof/>
          <w:szCs w:val="24"/>
          <w:lang w:val="en-US"/>
        </w:rPr>
        <w:t xml:space="preserve">did not provide </w:t>
      </w:r>
      <w:r w:rsidR="00150E9C" w:rsidRPr="00FE50A6">
        <w:rPr>
          <w:rFonts w:eastAsia="Batang" w:cs="Times"/>
          <w:noProof/>
          <w:szCs w:val="24"/>
          <w:lang w:val="en-US"/>
        </w:rPr>
        <w:t>an</w:t>
      </w:r>
      <w:r w:rsidRPr="00FE50A6">
        <w:rPr>
          <w:rFonts w:eastAsia="Batang" w:cs="Times"/>
          <w:noProof/>
          <w:szCs w:val="24"/>
          <w:lang w:val="en-US"/>
        </w:rPr>
        <w:t xml:space="preserve"> affidavit </w:t>
      </w:r>
      <w:r w:rsidR="00150E9C" w:rsidRPr="00FE50A6">
        <w:rPr>
          <w:rFonts w:eastAsia="Batang" w:cs="Times"/>
          <w:noProof/>
          <w:szCs w:val="24"/>
          <w:lang w:val="en-US"/>
        </w:rPr>
        <w:t>from</w:t>
      </w:r>
      <w:r w:rsidRPr="00FE50A6">
        <w:rPr>
          <w:rFonts w:eastAsia="Batang" w:cs="Times"/>
          <w:noProof/>
          <w:szCs w:val="24"/>
          <w:lang w:val="en-US"/>
        </w:rPr>
        <w:t xml:space="preserve"> </w:t>
      </w:r>
      <w:r w:rsidR="00B81840" w:rsidRPr="00FE50A6">
        <w:rPr>
          <w:rFonts w:cs="Verdana"/>
          <w:iCs/>
          <w:szCs w:val="20"/>
          <w:lang w:val="en-US"/>
        </w:rPr>
        <w:t>José Batista Gonçalves Afonso</w:t>
      </w:r>
      <w:r w:rsidR="00606616" w:rsidRPr="00FE50A6">
        <w:rPr>
          <w:rFonts w:cs="Verdana"/>
          <w:iCs/>
          <w:szCs w:val="20"/>
          <w:lang w:val="en-US"/>
        </w:rPr>
        <w:t xml:space="preserve">, </w:t>
      </w:r>
      <w:r w:rsidRPr="00FE50A6">
        <w:rPr>
          <w:rFonts w:cs="Verdana"/>
          <w:iCs/>
          <w:szCs w:val="20"/>
          <w:lang w:val="en-US"/>
        </w:rPr>
        <w:t>and</w:t>
      </w:r>
      <w:r w:rsidR="00606616" w:rsidRPr="00FE50A6">
        <w:rPr>
          <w:rFonts w:cs="Verdana"/>
          <w:iCs/>
          <w:szCs w:val="20"/>
          <w:lang w:val="en-US"/>
        </w:rPr>
        <w:t xml:space="preserve"> </w:t>
      </w:r>
      <w:r w:rsidR="000228D0" w:rsidRPr="00FE50A6">
        <w:rPr>
          <w:rFonts w:cs="Verdana"/>
          <w:iCs/>
          <w:szCs w:val="20"/>
          <w:lang w:val="en-US"/>
        </w:rPr>
        <w:t>the State</w:t>
      </w:r>
      <w:r w:rsidR="00606616" w:rsidRPr="00FE50A6">
        <w:rPr>
          <w:rFonts w:cs="Verdana"/>
          <w:iCs/>
          <w:szCs w:val="20"/>
          <w:lang w:val="en-US"/>
        </w:rPr>
        <w:t xml:space="preserve"> </w:t>
      </w:r>
      <w:r w:rsidRPr="00FE50A6">
        <w:rPr>
          <w:rFonts w:cs="Verdana"/>
          <w:iCs/>
          <w:szCs w:val="20"/>
          <w:lang w:val="en-US"/>
        </w:rPr>
        <w:t xml:space="preserve">did not provide </w:t>
      </w:r>
      <w:r w:rsidR="00150E9C" w:rsidRPr="00FE50A6">
        <w:rPr>
          <w:rFonts w:cs="Verdana"/>
          <w:iCs/>
          <w:szCs w:val="20"/>
          <w:lang w:val="en-US"/>
        </w:rPr>
        <w:t>one from</w:t>
      </w:r>
      <w:r w:rsidRPr="00FE50A6">
        <w:rPr>
          <w:rFonts w:cs="Verdana"/>
          <w:iCs/>
          <w:szCs w:val="20"/>
          <w:lang w:val="en-US"/>
        </w:rPr>
        <w:t xml:space="preserve"> </w:t>
      </w:r>
      <w:r w:rsidR="00B81840" w:rsidRPr="00FE50A6">
        <w:rPr>
          <w:rFonts w:cs="Verdana"/>
          <w:iCs/>
          <w:szCs w:val="20"/>
          <w:lang w:val="en-US"/>
        </w:rPr>
        <w:t>Dasalete Canuto Watanabe</w:t>
      </w:r>
      <w:r w:rsidR="00606616" w:rsidRPr="00FE50A6">
        <w:rPr>
          <w:rFonts w:cs="Verdana"/>
          <w:iCs/>
          <w:szCs w:val="20"/>
          <w:lang w:val="en-US"/>
        </w:rPr>
        <w:t xml:space="preserve">. </w:t>
      </w:r>
    </w:p>
    <w:p w14:paraId="5B1C31BF" w14:textId="77777777" w:rsidR="00B16F60" w:rsidRPr="00FE50A6" w:rsidRDefault="00B16F60" w:rsidP="00140440">
      <w:pPr>
        <w:pStyle w:val="Prrafodelista"/>
        <w:contextualSpacing w:val="0"/>
        <w:rPr>
          <w:rFonts w:cs="Verdana"/>
          <w:iCs/>
          <w:szCs w:val="20"/>
          <w:lang w:val="en-US"/>
        </w:rPr>
      </w:pPr>
    </w:p>
    <w:p w14:paraId="63AD471F" w14:textId="77777777" w:rsidR="00B81840" w:rsidRPr="00FE50A6" w:rsidRDefault="00941410" w:rsidP="00140440">
      <w:pPr>
        <w:numPr>
          <w:ilvl w:val="0"/>
          <w:numId w:val="1"/>
        </w:numPr>
        <w:tabs>
          <w:tab w:val="clear" w:pos="4419"/>
          <w:tab w:val="clear" w:pos="8838"/>
        </w:tabs>
        <w:jc w:val="both"/>
        <w:rPr>
          <w:rFonts w:eastAsia="Batang" w:cs="Times"/>
          <w:noProof/>
          <w:szCs w:val="24"/>
          <w:lang w:val="en-US"/>
        </w:rPr>
      </w:pPr>
      <w:r w:rsidRPr="00FE50A6">
        <w:rPr>
          <w:rFonts w:cs="Verdana"/>
          <w:iCs/>
          <w:szCs w:val="20"/>
          <w:lang w:val="en-US"/>
        </w:rPr>
        <w:t xml:space="preserve">In addition, the Court deems it pertinent to declare the affidavit prepared by </w:t>
      </w:r>
      <w:r w:rsidR="00416610" w:rsidRPr="00FE50A6">
        <w:rPr>
          <w:rFonts w:cs="Verdana"/>
          <w:iCs/>
          <w:szCs w:val="20"/>
          <w:lang w:val="en-US"/>
        </w:rPr>
        <w:t>María Gorete Canuto</w:t>
      </w:r>
      <w:r w:rsidRPr="00FE50A6">
        <w:rPr>
          <w:rFonts w:cs="Verdana"/>
          <w:iCs/>
          <w:szCs w:val="20"/>
          <w:lang w:val="en-US"/>
        </w:rPr>
        <w:t xml:space="preserve"> inadmissible</w:t>
      </w:r>
      <w:r w:rsidR="00984AA7" w:rsidRPr="00FE50A6">
        <w:rPr>
          <w:rFonts w:cs="Verdana"/>
          <w:iCs/>
          <w:szCs w:val="20"/>
          <w:lang w:val="en-US"/>
        </w:rPr>
        <w:t>,</w:t>
      </w:r>
      <w:r w:rsidR="00416610" w:rsidRPr="00FE50A6">
        <w:rPr>
          <w:rFonts w:cs="Verdana"/>
          <w:iCs/>
          <w:szCs w:val="20"/>
          <w:lang w:val="en-US"/>
        </w:rPr>
        <w:t xml:space="preserve"> </w:t>
      </w:r>
      <w:r w:rsidRPr="00FE50A6">
        <w:rPr>
          <w:rFonts w:cs="Verdana"/>
          <w:iCs/>
          <w:szCs w:val="20"/>
          <w:lang w:val="en-US"/>
        </w:rPr>
        <w:t xml:space="preserve">because the State did not offer this at the proper procedural moment and it was not requested in the </w:t>
      </w:r>
      <w:r w:rsidRPr="00FE50A6">
        <w:rPr>
          <w:rFonts w:eastAsia="Batang" w:cs="Times"/>
          <w:noProof/>
          <w:szCs w:val="24"/>
          <w:lang w:val="en-US"/>
        </w:rPr>
        <w:t xml:space="preserve">President’s order of December 11, 2015, </w:t>
      </w:r>
      <w:r w:rsidRPr="00FE50A6">
        <w:rPr>
          <w:rFonts w:cs="Verdana"/>
          <w:iCs/>
          <w:szCs w:val="20"/>
          <w:lang w:val="en-US"/>
        </w:rPr>
        <w:t xml:space="preserve">or in the order </w:t>
      </w:r>
      <w:r w:rsidR="000228D0" w:rsidRPr="00FE50A6">
        <w:rPr>
          <w:rFonts w:eastAsia="Batang" w:cs="Times"/>
          <w:noProof/>
          <w:szCs w:val="24"/>
          <w:lang w:val="en-US"/>
        </w:rPr>
        <w:t>of the Court</w:t>
      </w:r>
      <w:r w:rsidR="00416610" w:rsidRPr="00FE50A6">
        <w:rPr>
          <w:rFonts w:eastAsia="Batang" w:cs="Times"/>
          <w:noProof/>
          <w:szCs w:val="24"/>
          <w:lang w:val="en-US"/>
        </w:rPr>
        <w:t xml:space="preserve"> </w:t>
      </w:r>
      <w:r w:rsidRPr="00FE50A6">
        <w:rPr>
          <w:rFonts w:eastAsia="Batang" w:cs="Times"/>
          <w:noProof/>
          <w:szCs w:val="24"/>
          <w:lang w:val="en-US"/>
        </w:rPr>
        <w:t>of February 15,</w:t>
      </w:r>
      <w:r w:rsidR="00416610" w:rsidRPr="00FE50A6">
        <w:rPr>
          <w:rFonts w:eastAsia="Batang" w:cs="Times"/>
          <w:noProof/>
          <w:szCs w:val="24"/>
          <w:lang w:val="en-US"/>
        </w:rPr>
        <w:t xml:space="preserve"> 2016</w:t>
      </w:r>
      <w:r w:rsidR="00B81840" w:rsidRPr="00FE50A6">
        <w:rPr>
          <w:rFonts w:cs="Verdana"/>
          <w:iCs/>
          <w:szCs w:val="20"/>
          <w:lang w:val="en-US"/>
        </w:rPr>
        <w:t>.</w:t>
      </w:r>
    </w:p>
    <w:p w14:paraId="098E6F32" w14:textId="77777777" w:rsidR="00DF3CB1" w:rsidRPr="00FE50A6" w:rsidRDefault="00DF3CB1" w:rsidP="00140440">
      <w:pPr>
        <w:pStyle w:val="Prrafodelista"/>
        <w:contextualSpacing w:val="0"/>
        <w:rPr>
          <w:rFonts w:eastAsia="Batang" w:cs="Times"/>
          <w:noProof/>
          <w:szCs w:val="24"/>
          <w:lang w:val="en-US"/>
        </w:rPr>
      </w:pPr>
    </w:p>
    <w:p w14:paraId="384C791A" w14:textId="77777777" w:rsidR="00BA1ACF" w:rsidRPr="00FE50A6" w:rsidRDefault="00941410" w:rsidP="00140440">
      <w:pPr>
        <w:numPr>
          <w:ilvl w:val="0"/>
          <w:numId w:val="1"/>
        </w:numPr>
        <w:tabs>
          <w:tab w:val="clear" w:pos="4419"/>
          <w:tab w:val="clear" w:pos="8838"/>
        </w:tabs>
        <w:jc w:val="both"/>
        <w:rPr>
          <w:rFonts w:eastAsia="Batang" w:cs="Times"/>
          <w:noProof/>
          <w:szCs w:val="20"/>
          <w:lang w:val="en-US"/>
        </w:rPr>
      </w:pPr>
      <w:r w:rsidRPr="00FE50A6">
        <w:rPr>
          <w:rFonts w:eastAsia="Batang" w:cs="Times"/>
          <w:noProof/>
          <w:szCs w:val="20"/>
          <w:lang w:val="en-US"/>
        </w:rPr>
        <w:t xml:space="preserve">Furthermore, </w:t>
      </w:r>
      <w:r w:rsidR="00700B79" w:rsidRPr="00FE50A6">
        <w:rPr>
          <w:rFonts w:eastAsia="Batang" w:cs="Times"/>
          <w:noProof/>
          <w:szCs w:val="20"/>
          <w:lang w:val="en-US"/>
        </w:rPr>
        <w:t>the representatives</w:t>
      </w:r>
      <w:r w:rsidR="00DF3CB1" w:rsidRPr="00FE50A6">
        <w:rPr>
          <w:rFonts w:eastAsia="Batang" w:cs="Times"/>
          <w:noProof/>
          <w:szCs w:val="20"/>
          <w:lang w:val="en-US"/>
        </w:rPr>
        <w:t xml:space="preserve"> </w:t>
      </w:r>
      <w:r w:rsidR="009E0376" w:rsidRPr="00FE50A6">
        <w:rPr>
          <w:rFonts w:eastAsia="Batang" w:cs="Times"/>
          <w:noProof/>
          <w:szCs w:val="20"/>
          <w:lang w:val="en-US"/>
        </w:rPr>
        <w:t xml:space="preserve">alleged </w:t>
      </w:r>
      <w:r w:rsidRPr="00FE50A6">
        <w:rPr>
          <w:rFonts w:eastAsia="Batang" w:cs="Times"/>
          <w:noProof/>
          <w:szCs w:val="20"/>
          <w:lang w:val="en-US"/>
        </w:rPr>
        <w:t xml:space="preserve">that the statement made </w:t>
      </w:r>
      <w:r w:rsidR="009E0376" w:rsidRPr="00FE50A6">
        <w:rPr>
          <w:rFonts w:eastAsia="Batang" w:cs="Times"/>
          <w:noProof/>
          <w:szCs w:val="20"/>
          <w:lang w:val="en-US"/>
        </w:rPr>
        <w:t xml:space="preserve">by Maria do Socorro Canuto </w:t>
      </w:r>
      <w:r w:rsidRPr="00FE50A6">
        <w:rPr>
          <w:rFonts w:eastAsia="Batang" w:cs="Times"/>
          <w:noProof/>
          <w:szCs w:val="20"/>
          <w:lang w:val="en-US"/>
        </w:rPr>
        <w:t>before the Federal Police was f</w:t>
      </w:r>
      <w:r w:rsidR="009E0376" w:rsidRPr="00FE50A6">
        <w:rPr>
          <w:rFonts w:eastAsia="Batang" w:cs="Times"/>
          <w:noProof/>
          <w:szCs w:val="20"/>
          <w:lang w:val="en-US"/>
        </w:rPr>
        <w:t>alse</w:t>
      </w:r>
      <w:r w:rsidRPr="00FE50A6">
        <w:rPr>
          <w:rFonts w:eastAsia="Batang" w:cs="Times"/>
          <w:noProof/>
          <w:szCs w:val="20"/>
          <w:lang w:val="en-US"/>
        </w:rPr>
        <w:t xml:space="preserve"> because, in their opinion, it contained contradictions and inconsistencies</w:t>
      </w:r>
      <w:r w:rsidR="00DC1F12" w:rsidRPr="00FE50A6">
        <w:rPr>
          <w:rFonts w:eastAsia="Batang" w:cs="Times"/>
          <w:noProof/>
          <w:szCs w:val="20"/>
          <w:lang w:val="en-US"/>
        </w:rPr>
        <w:t xml:space="preserve">; </w:t>
      </w:r>
      <w:r w:rsidRPr="00FE50A6">
        <w:rPr>
          <w:rFonts w:eastAsia="Batang" w:cs="Times"/>
          <w:noProof/>
          <w:szCs w:val="20"/>
          <w:lang w:val="en-US"/>
        </w:rPr>
        <w:t>the</w:t>
      </w:r>
      <w:r w:rsidR="009E0376" w:rsidRPr="00FE50A6">
        <w:rPr>
          <w:rFonts w:eastAsia="Batang" w:cs="Times"/>
          <w:noProof/>
          <w:szCs w:val="20"/>
          <w:lang w:val="en-US"/>
        </w:rPr>
        <w:t>y the</w:t>
      </w:r>
      <w:r w:rsidRPr="00FE50A6">
        <w:rPr>
          <w:rFonts w:eastAsia="Batang" w:cs="Times"/>
          <w:noProof/>
          <w:szCs w:val="20"/>
          <w:lang w:val="en-US"/>
        </w:rPr>
        <w:t xml:space="preserve">refore asked the Court to reject </w:t>
      </w:r>
      <w:r w:rsidR="009E0376" w:rsidRPr="00FE50A6">
        <w:rPr>
          <w:rFonts w:eastAsia="Batang" w:cs="Times"/>
          <w:noProof/>
          <w:szCs w:val="20"/>
          <w:lang w:val="en-US"/>
        </w:rPr>
        <w:t>it</w:t>
      </w:r>
      <w:r w:rsidRPr="00FE50A6">
        <w:rPr>
          <w:rFonts w:eastAsia="Batang" w:cs="Times"/>
          <w:noProof/>
          <w:szCs w:val="20"/>
          <w:lang w:val="en-US"/>
        </w:rPr>
        <w:t xml:space="preserve">. </w:t>
      </w:r>
      <w:r w:rsidR="000228D0" w:rsidRPr="00FE50A6">
        <w:rPr>
          <w:szCs w:val="20"/>
          <w:lang w:val="en-US"/>
        </w:rPr>
        <w:t>The Court</w:t>
      </w:r>
      <w:r w:rsidR="001E3513" w:rsidRPr="00FE50A6">
        <w:rPr>
          <w:szCs w:val="20"/>
          <w:lang w:val="en-US"/>
        </w:rPr>
        <w:t xml:space="preserve"> consider</w:t>
      </w:r>
      <w:r w:rsidRPr="00FE50A6">
        <w:rPr>
          <w:szCs w:val="20"/>
          <w:lang w:val="en-US"/>
        </w:rPr>
        <w:t>s that these</w:t>
      </w:r>
      <w:r w:rsidR="001E3513" w:rsidRPr="00FE50A6">
        <w:rPr>
          <w:szCs w:val="20"/>
          <w:lang w:val="en-US"/>
        </w:rPr>
        <w:t xml:space="preserve"> </w:t>
      </w:r>
      <w:r w:rsidR="002071B1" w:rsidRPr="00FE50A6">
        <w:rPr>
          <w:szCs w:val="20"/>
          <w:lang w:val="en-US"/>
        </w:rPr>
        <w:t>observations</w:t>
      </w:r>
      <w:r w:rsidR="001E3513" w:rsidRPr="00FE50A6">
        <w:rPr>
          <w:szCs w:val="20"/>
          <w:lang w:val="en-US"/>
        </w:rPr>
        <w:t xml:space="preserve"> </w:t>
      </w:r>
      <w:r w:rsidRPr="00FE50A6">
        <w:rPr>
          <w:szCs w:val="20"/>
          <w:lang w:val="en-US"/>
        </w:rPr>
        <w:t xml:space="preserve">refer to the content and evidentiary value of the testimony </w:t>
      </w:r>
      <w:r w:rsidR="00150E9C" w:rsidRPr="00FE50A6">
        <w:rPr>
          <w:szCs w:val="20"/>
          <w:lang w:val="en-US"/>
        </w:rPr>
        <w:t>rather than</w:t>
      </w:r>
      <w:r w:rsidR="00DC1F12" w:rsidRPr="00FE50A6">
        <w:rPr>
          <w:szCs w:val="20"/>
          <w:lang w:val="en-US"/>
        </w:rPr>
        <w:t xml:space="preserve"> an objection to the admission of this evidence.</w:t>
      </w:r>
      <w:r w:rsidR="001E3513" w:rsidRPr="00FE50A6">
        <w:rPr>
          <w:rStyle w:val="Refdenotaalpie"/>
          <w:lang w:val="en-US"/>
        </w:rPr>
        <w:footnoteReference w:id="59"/>
      </w:r>
      <w:r w:rsidR="001E3513" w:rsidRPr="00FE50A6">
        <w:rPr>
          <w:szCs w:val="20"/>
          <w:lang w:val="en-US"/>
        </w:rPr>
        <w:t xml:space="preserve"> Ad</w:t>
      </w:r>
      <w:r w:rsidR="00DC1F12" w:rsidRPr="00FE50A6">
        <w:rPr>
          <w:szCs w:val="20"/>
          <w:lang w:val="en-US"/>
        </w:rPr>
        <w:t xml:space="preserve">ditionally, </w:t>
      </w:r>
      <w:r w:rsidR="007571DF" w:rsidRPr="00FE50A6">
        <w:rPr>
          <w:szCs w:val="20"/>
          <w:lang w:val="en-US"/>
        </w:rPr>
        <w:t xml:space="preserve">the </w:t>
      </w:r>
      <w:r w:rsidR="00700B79" w:rsidRPr="00FE50A6">
        <w:rPr>
          <w:szCs w:val="20"/>
          <w:lang w:val="en-US"/>
        </w:rPr>
        <w:t>representatives</w:t>
      </w:r>
      <w:r w:rsidR="00DC1F12" w:rsidRPr="00FE50A6">
        <w:rPr>
          <w:szCs w:val="20"/>
          <w:lang w:val="en-US"/>
        </w:rPr>
        <w:t>’ objection concerning the falsity of the statement is a matter for the domestic jurisdiction</w:t>
      </w:r>
      <w:r w:rsidR="009E0376" w:rsidRPr="00FE50A6">
        <w:rPr>
          <w:szCs w:val="20"/>
          <w:lang w:val="en-US"/>
        </w:rPr>
        <w:t>. Moreover</w:t>
      </w:r>
      <w:r w:rsidR="00150E9C" w:rsidRPr="00FE50A6">
        <w:rPr>
          <w:szCs w:val="20"/>
          <w:lang w:val="en-US"/>
        </w:rPr>
        <w:t>,</w:t>
      </w:r>
      <w:r w:rsidR="00DC1F12" w:rsidRPr="00FE50A6">
        <w:rPr>
          <w:szCs w:val="20"/>
          <w:lang w:val="en-US"/>
        </w:rPr>
        <w:t xml:space="preserve"> it is not admissible to exclude evidence based on its inconsistenc</w:t>
      </w:r>
      <w:r w:rsidR="009E0376" w:rsidRPr="00FE50A6">
        <w:rPr>
          <w:szCs w:val="20"/>
          <w:lang w:val="en-US"/>
        </w:rPr>
        <w:t>y</w:t>
      </w:r>
      <w:r w:rsidR="00DC1F12" w:rsidRPr="00FE50A6">
        <w:rPr>
          <w:szCs w:val="20"/>
          <w:lang w:val="en-US"/>
        </w:rPr>
        <w:t xml:space="preserve"> with the version of the facts asserted by one of the parties, because </w:t>
      </w:r>
      <w:r w:rsidR="009E0376" w:rsidRPr="00FE50A6">
        <w:rPr>
          <w:szCs w:val="20"/>
          <w:lang w:val="en-US"/>
        </w:rPr>
        <w:t>this would</w:t>
      </w:r>
      <w:r w:rsidR="00DC1F12" w:rsidRPr="00FE50A6">
        <w:rPr>
          <w:szCs w:val="20"/>
          <w:lang w:val="en-US"/>
        </w:rPr>
        <w:t xml:space="preserve"> imply assuming that th</w:t>
      </w:r>
      <w:r w:rsidR="009E0376" w:rsidRPr="00FE50A6">
        <w:rPr>
          <w:szCs w:val="20"/>
          <w:lang w:val="en-US"/>
        </w:rPr>
        <w:t>e latter</w:t>
      </w:r>
      <w:r w:rsidR="00DC1F12" w:rsidRPr="00FE50A6">
        <w:rPr>
          <w:szCs w:val="20"/>
          <w:lang w:val="en-US"/>
        </w:rPr>
        <w:t xml:space="preserve"> was true before the corresponding assessment</w:t>
      </w:r>
      <w:r w:rsidR="009E0376" w:rsidRPr="00FE50A6">
        <w:rPr>
          <w:szCs w:val="20"/>
          <w:lang w:val="en-US"/>
        </w:rPr>
        <w:t xml:space="preserve"> had been made</w:t>
      </w:r>
      <w:r w:rsidR="00DC1F12" w:rsidRPr="00FE50A6">
        <w:rPr>
          <w:szCs w:val="20"/>
          <w:lang w:val="en-US"/>
        </w:rPr>
        <w:t>.</w:t>
      </w:r>
      <w:r w:rsidR="00A8426B" w:rsidRPr="00FE50A6">
        <w:rPr>
          <w:rStyle w:val="Refdenotaalpie"/>
          <w:lang w:val="en-US"/>
        </w:rPr>
        <w:footnoteReference w:id="60"/>
      </w:r>
      <w:r w:rsidR="00DC1F12" w:rsidRPr="00FE50A6">
        <w:rPr>
          <w:szCs w:val="20"/>
          <w:lang w:val="en-US"/>
        </w:rPr>
        <w:t xml:space="preserve"> Consequently, the Court finds it pertinent to admit </w:t>
      </w:r>
      <w:r w:rsidR="001E3513" w:rsidRPr="00FE50A6">
        <w:rPr>
          <w:szCs w:val="20"/>
          <w:lang w:val="en-US"/>
        </w:rPr>
        <w:t>Maria do Socorro Canuto</w:t>
      </w:r>
      <w:r w:rsidR="00150E9C" w:rsidRPr="00FE50A6">
        <w:rPr>
          <w:szCs w:val="20"/>
          <w:lang w:val="en-US"/>
        </w:rPr>
        <w:t>’s statement</w:t>
      </w:r>
      <w:r w:rsidR="00030C17" w:rsidRPr="00FE50A6">
        <w:rPr>
          <w:szCs w:val="20"/>
          <w:lang w:val="en-US"/>
        </w:rPr>
        <w:t xml:space="preserve"> and </w:t>
      </w:r>
      <w:r w:rsidR="00DC1F12" w:rsidRPr="00FE50A6">
        <w:rPr>
          <w:szCs w:val="20"/>
          <w:lang w:val="en-US"/>
        </w:rPr>
        <w:t xml:space="preserve">to consider it in the context of the </w:t>
      </w:r>
      <w:r w:rsidR="00150E9C" w:rsidRPr="00FE50A6">
        <w:rPr>
          <w:szCs w:val="20"/>
          <w:lang w:val="en-US"/>
        </w:rPr>
        <w:t>whole</w:t>
      </w:r>
      <w:r w:rsidR="00DC1F12" w:rsidRPr="00FE50A6">
        <w:rPr>
          <w:szCs w:val="20"/>
          <w:lang w:val="en-US"/>
        </w:rPr>
        <w:t xml:space="preserve"> body of evidence</w:t>
      </w:r>
      <w:r w:rsidR="00DC1BE8" w:rsidRPr="00FE50A6">
        <w:rPr>
          <w:szCs w:val="20"/>
          <w:lang w:val="en-US"/>
        </w:rPr>
        <w:t>.</w:t>
      </w:r>
    </w:p>
    <w:p w14:paraId="68CEAD2A" w14:textId="77777777" w:rsidR="00952C89" w:rsidRPr="00FE50A6" w:rsidRDefault="00952C89" w:rsidP="00140440">
      <w:pPr>
        <w:tabs>
          <w:tab w:val="clear" w:pos="4419"/>
          <w:tab w:val="clear" w:pos="8838"/>
        </w:tabs>
        <w:jc w:val="both"/>
        <w:rPr>
          <w:rFonts w:eastAsia="Batang" w:cs="Times"/>
          <w:noProof/>
          <w:szCs w:val="24"/>
          <w:lang w:val="en-US"/>
        </w:rPr>
      </w:pPr>
    </w:p>
    <w:p w14:paraId="5BD6127A" w14:textId="77777777" w:rsidR="00BA1ACF" w:rsidRPr="00FE50A6" w:rsidRDefault="00314608" w:rsidP="00B56BF6">
      <w:pPr>
        <w:pStyle w:val="Ttulo2"/>
      </w:pPr>
      <w:r w:rsidRPr="00FE50A6">
        <w:t xml:space="preserve">Assessment of </w:t>
      </w:r>
      <w:r w:rsidRPr="00B56BF6">
        <w:t>the</w:t>
      </w:r>
      <w:r w:rsidRPr="00FE50A6">
        <w:t xml:space="preserve"> evidence</w:t>
      </w:r>
    </w:p>
    <w:p w14:paraId="3E8FB394" w14:textId="77777777" w:rsidR="00BA1ACF" w:rsidRPr="00FE50A6" w:rsidRDefault="00BA1ACF" w:rsidP="00140440">
      <w:pPr>
        <w:tabs>
          <w:tab w:val="clear" w:pos="4419"/>
          <w:tab w:val="clear" w:pos="8838"/>
        </w:tabs>
        <w:jc w:val="both"/>
        <w:rPr>
          <w:rFonts w:eastAsia="Batang" w:cs="Times"/>
          <w:noProof/>
          <w:szCs w:val="24"/>
          <w:lang w:val="en-US"/>
        </w:rPr>
      </w:pPr>
    </w:p>
    <w:p w14:paraId="29E905C4" w14:textId="77777777" w:rsidR="00BA1ACF" w:rsidRPr="00FE50A6" w:rsidRDefault="00DC1F12" w:rsidP="00140440">
      <w:pPr>
        <w:numPr>
          <w:ilvl w:val="0"/>
          <w:numId w:val="1"/>
        </w:numPr>
        <w:tabs>
          <w:tab w:val="clear" w:pos="4419"/>
          <w:tab w:val="clear" w:pos="8838"/>
        </w:tabs>
        <w:jc w:val="both"/>
        <w:rPr>
          <w:rFonts w:eastAsia="Batang" w:cs="Times"/>
          <w:noProof/>
          <w:szCs w:val="24"/>
          <w:lang w:val="en-US"/>
        </w:rPr>
      </w:pPr>
      <w:r w:rsidRPr="00FE50A6">
        <w:rPr>
          <w:rFonts w:eastAsia="Batang" w:cs="Times"/>
          <w:noProof/>
          <w:szCs w:val="24"/>
          <w:lang w:val="en-US"/>
        </w:rPr>
        <w:t>Based on the provisions of</w:t>
      </w:r>
      <w:r w:rsidR="00BA1ACF" w:rsidRPr="00FE50A6">
        <w:rPr>
          <w:rFonts w:eastAsia="Batang" w:cs="Times"/>
          <w:noProof/>
          <w:szCs w:val="24"/>
          <w:lang w:val="en-US"/>
        </w:rPr>
        <w:t xml:space="preserve"> </w:t>
      </w:r>
      <w:r w:rsidR="000228D0" w:rsidRPr="00FE50A6">
        <w:rPr>
          <w:rFonts w:eastAsia="Batang" w:cs="Times"/>
          <w:noProof/>
          <w:szCs w:val="24"/>
          <w:lang w:val="en-US"/>
        </w:rPr>
        <w:t>Articles</w:t>
      </w:r>
      <w:r w:rsidR="00BA1ACF" w:rsidRPr="00FE50A6">
        <w:rPr>
          <w:rFonts w:eastAsia="Batang" w:cs="Times"/>
          <w:noProof/>
          <w:szCs w:val="24"/>
          <w:lang w:val="en-US"/>
        </w:rPr>
        <w:t xml:space="preserve"> 46, 47, 48, 50, 51, 57</w:t>
      </w:r>
      <w:r w:rsidR="00030C17" w:rsidRPr="00FE50A6">
        <w:rPr>
          <w:rFonts w:eastAsia="Batang" w:cs="Times"/>
          <w:noProof/>
          <w:szCs w:val="24"/>
          <w:lang w:val="en-US"/>
        </w:rPr>
        <w:t xml:space="preserve"> and </w:t>
      </w:r>
      <w:r w:rsidR="00BA1ACF" w:rsidRPr="00FE50A6">
        <w:rPr>
          <w:rFonts w:eastAsia="Batang" w:cs="Times"/>
          <w:noProof/>
          <w:szCs w:val="24"/>
          <w:lang w:val="en-US"/>
        </w:rPr>
        <w:t>58</w:t>
      </w:r>
      <w:r w:rsidR="00703850" w:rsidRPr="00FE50A6">
        <w:rPr>
          <w:rFonts w:eastAsia="Batang" w:cs="Times"/>
          <w:noProof/>
          <w:szCs w:val="24"/>
          <w:lang w:val="en-US"/>
        </w:rPr>
        <w:t xml:space="preserve"> of the </w:t>
      </w:r>
      <w:r w:rsidR="000228D0" w:rsidRPr="00FE50A6">
        <w:rPr>
          <w:rFonts w:eastAsia="Batang" w:cs="Times"/>
          <w:noProof/>
          <w:szCs w:val="24"/>
          <w:lang w:val="en-US"/>
        </w:rPr>
        <w:t>Rules of Procedure</w:t>
      </w:r>
      <w:r w:rsidR="00BA1ACF" w:rsidRPr="00FE50A6">
        <w:rPr>
          <w:rFonts w:eastAsia="Batang" w:cs="Times"/>
          <w:noProof/>
          <w:szCs w:val="24"/>
          <w:lang w:val="en-US"/>
        </w:rPr>
        <w:t>, as</w:t>
      </w:r>
      <w:r w:rsidRPr="00FE50A6">
        <w:rPr>
          <w:rFonts w:eastAsia="Batang" w:cs="Times"/>
          <w:noProof/>
          <w:szCs w:val="24"/>
          <w:lang w:val="en-US"/>
        </w:rPr>
        <w:t xml:space="preserve"> well as on its consistent case law regarding evidence and its evaluation, the Court will examine and assess the documentary probative elements forwarded by the parties </w:t>
      </w:r>
      <w:r w:rsidR="00030C17" w:rsidRPr="00FE50A6">
        <w:rPr>
          <w:rFonts w:eastAsia="Batang" w:cs="Times"/>
          <w:noProof/>
          <w:szCs w:val="24"/>
          <w:lang w:val="en-US"/>
        </w:rPr>
        <w:t xml:space="preserve">and </w:t>
      </w:r>
      <w:r w:rsidR="000228D0" w:rsidRPr="00FE50A6">
        <w:rPr>
          <w:rFonts w:eastAsia="Batang" w:cs="Times"/>
          <w:noProof/>
          <w:szCs w:val="24"/>
          <w:lang w:val="en-US"/>
        </w:rPr>
        <w:t>the Commission</w:t>
      </w:r>
      <w:r w:rsidR="00BA1ACF" w:rsidRPr="00FE50A6">
        <w:rPr>
          <w:rFonts w:eastAsia="Batang" w:cs="Times"/>
          <w:noProof/>
          <w:szCs w:val="24"/>
          <w:lang w:val="en-US"/>
        </w:rPr>
        <w:t xml:space="preserve">, </w:t>
      </w:r>
      <w:r w:rsidR="009E0376" w:rsidRPr="00FE50A6">
        <w:rPr>
          <w:rFonts w:eastAsia="Batang" w:cs="Times"/>
          <w:noProof/>
          <w:szCs w:val="24"/>
          <w:lang w:val="en-US"/>
        </w:rPr>
        <w:t xml:space="preserve">together with </w:t>
      </w:r>
      <w:r w:rsidRPr="00FE50A6">
        <w:rPr>
          <w:rFonts w:eastAsia="Batang" w:cs="Times"/>
          <w:noProof/>
          <w:szCs w:val="24"/>
          <w:lang w:val="en-US"/>
        </w:rPr>
        <w:t xml:space="preserve">the statements, testimony and expert opinions, </w:t>
      </w:r>
      <w:r w:rsidR="00E368FD" w:rsidRPr="00FE50A6">
        <w:rPr>
          <w:rFonts w:eastAsia="Batang" w:cs="Times"/>
          <w:noProof/>
          <w:szCs w:val="24"/>
          <w:lang w:val="en-US"/>
        </w:rPr>
        <w:t>when establishing the facts of the case and ruling on the merits. To this end, it will abide by the principles of sound judgment, within the corresponding legal framework, taking into account the entire body of evidence and the arguments made during the proceedings.</w:t>
      </w:r>
      <w:r w:rsidR="00BA1ACF" w:rsidRPr="00FE50A6">
        <w:rPr>
          <w:rFonts w:eastAsia="Batang" w:cs="Times New Roman"/>
          <w:noProof/>
          <w:szCs w:val="20"/>
          <w:vertAlign w:val="superscript"/>
          <w:lang w:val="en-US"/>
        </w:rPr>
        <w:footnoteReference w:id="61"/>
      </w:r>
      <w:r w:rsidR="00BA1ACF" w:rsidRPr="00FE50A6">
        <w:rPr>
          <w:rFonts w:eastAsia="Batang" w:cs="Times"/>
          <w:noProof/>
          <w:szCs w:val="24"/>
          <w:lang w:val="en-US"/>
        </w:rPr>
        <w:t xml:space="preserve"> A</w:t>
      </w:r>
      <w:r w:rsidR="00E368FD" w:rsidRPr="00FE50A6">
        <w:rPr>
          <w:rFonts w:eastAsia="Batang" w:cs="Times"/>
          <w:noProof/>
          <w:szCs w:val="24"/>
          <w:lang w:val="en-US"/>
        </w:rPr>
        <w:t>lso, pursuant to th</w:t>
      </w:r>
      <w:r w:rsidR="009E0376" w:rsidRPr="00FE50A6">
        <w:rPr>
          <w:rFonts w:eastAsia="Batang" w:cs="Times"/>
          <w:noProof/>
          <w:szCs w:val="24"/>
          <w:lang w:val="en-US"/>
        </w:rPr>
        <w:t>e</w:t>
      </w:r>
      <w:r w:rsidR="00E368FD" w:rsidRPr="00FE50A6">
        <w:rPr>
          <w:rFonts w:eastAsia="Batang" w:cs="Times"/>
          <w:noProof/>
          <w:szCs w:val="24"/>
          <w:lang w:val="en-US"/>
        </w:rPr>
        <w:t xml:space="preserve"> Court’s case law, the statements made by </w:t>
      </w:r>
      <w:r w:rsidR="0017587B" w:rsidRPr="00FE50A6">
        <w:rPr>
          <w:rFonts w:eastAsia="Batang" w:cs="Times"/>
          <w:noProof/>
          <w:szCs w:val="24"/>
          <w:lang w:val="en-US"/>
        </w:rPr>
        <w:t>the presumed victims</w:t>
      </w:r>
      <w:r w:rsidR="00BA1ACF" w:rsidRPr="00FE50A6">
        <w:rPr>
          <w:rFonts w:eastAsia="Batang" w:cs="Times"/>
          <w:noProof/>
          <w:szCs w:val="24"/>
          <w:lang w:val="en-US"/>
        </w:rPr>
        <w:t xml:space="preserve"> </w:t>
      </w:r>
      <w:r w:rsidR="00E368FD" w:rsidRPr="00FE50A6">
        <w:rPr>
          <w:rFonts w:eastAsia="Batang" w:cs="Times"/>
          <w:noProof/>
          <w:szCs w:val="24"/>
          <w:lang w:val="en-US"/>
        </w:rPr>
        <w:t>cannot be assessed on their own, but rather together with all the evidence in the proceedin</w:t>
      </w:r>
      <w:r w:rsidR="009E0376" w:rsidRPr="00FE50A6">
        <w:rPr>
          <w:rFonts w:eastAsia="Batang" w:cs="Times"/>
          <w:noProof/>
          <w:szCs w:val="24"/>
          <w:lang w:val="en-US"/>
        </w:rPr>
        <w:t>g</w:t>
      </w:r>
      <w:r w:rsidR="00E368FD" w:rsidRPr="00FE50A6">
        <w:rPr>
          <w:rFonts w:eastAsia="Batang" w:cs="Times"/>
          <w:noProof/>
          <w:szCs w:val="24"/>
          <w:lang w:val="en-US"/>
        </w:rPr>
        <w:t>s, insofar as they may provide further information on the presumed violations and the consequences.</w:t>
      </w:r>
      <w:r w:rsidR="00BA1ACF" w:rsidRPr="00FE50A6">
        <w:rPr>
          <w:rFonts w:eastAsia="Batang" w:cs="Times New Roman"/>
          <w:noProof/>
          <w:szCs w:val="20"/>
          <w:vertAlign w:val="superscript"/>
          <w:lang w:val="en-US"/>
        </w:rPr>
        <w:footnoteReference w:id="62"/>
      </w:r>
    </w:p>
    <w:p w14:paraId="6B8EF13D" w14:textId="77777777" w:rsidR="00BA1ACF" w:rsidRPr="00FE50A6" w:rsidRDefault="00BA1ACF" w:rsidP="00140440">
      <w:pPr>
        <w:tabs>
          <w:tab w:val="clear" w:pos="4419"/>
          <w:tab w:val="clear" w:pos="8838"/>
        </w:tabs>
        <w:jc w:val="both"/>
        <w:rPr>
          <w:rFonts w:eastAsia="Batang" w:cs="Times"/>
          <w:noProof/>
          <w:szCs w:val="24"/>
          <w:lang w:val="en-US"/>
        </w:rPr>
      </w:pPr>
    </w:p>
    <w:p w14:paraId="65C9A479" w14:textId="77777777" w:rsidR="0003391C" w:rsidRPr="00FE50A6" w:rsidRDefault="0003391C"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182" w:name="_Toc460432467"/>
      <w:bookmarkStart w:id="183" w:name="_Toc464813921"/>
      <w:r w:rsidRPr="00FE50A6">
        <w:rPr>
          <w:rFonts w:eastAsia="Times New Roman" w:cs="Verdana"/>
          <w:b/>
          <w:bCs/>
          <w:caps/>
          <w:noProof/>
          <w:snapToGrid w:val="0"/>
          <w:szCs w:val="20"/>
          <w:lang w:val="en-US" w:eastAsia="es-ES"/>
        </w:rPr>
        <w:t>V</w:t>
      </w:r>
      <w:r w:rsidR="00F672B7" w:rsidRPr="00FE50A6">
        <w:rPr>
          <w:rFonts w:eastAsia="Times New Roman" w:cs="Verdana"/>
          <w:b/>
          <w:bCs/>
          <w:caps/>
          <w:noProof/>
          <w:snapToGrid w:val="0"/>
          <w:szCs w:val="20"/>
          <w:lang w:val="en-US" w:eastAsia="es-ES"/>
        </w:rPr>
        <w:t>I</w:t>
      </w:r>
      <w:bookmarkEnd w:id="182"/>
      <w:bookmarkEnd w:id="183"/>
    </w:p>
    <w:p w14:paraId="03B7A4C8" w14:textId="77777777" w:rsidR="0003391C" w:rsidRPr="00FE50A6" w:rsidRDefault="005F1946" w:rsidP="0039404C">
      <w:pPr>
        <w:keepNext/>
        <w:keepLines/>
        <w:tabs>
          <w:tab w:val="clear" w:pos="4419"/>
          <w:tab w:val="clear" w:pos="8838"/>
        </w:tabs>
        <w:jc w:val="center"/>
        <w:outlineLvl w:val="0"/>
        <w:rPr>
          <w:rFonts w:eastAsia="Times New Roman" w:cs="Verdana"/>
          <w:b/>
          <w:bCs/>
          <w:caps/>
          <w:noProof/>
          <w:snapToGrid w:val="0"/>
          <w:szCs w:val="20"/>
          <w:lang w:val="en-US" w:eastAsia="es-ES"/>
        </w:rPr>
      </w:pPr>
      <w:r w:rsidRPr="00FE50A6">
        <w:rPr>
          <w:rFonts w:eastAsia="Times New Roman" w:cs="Verdana"/>
          <w:b/>
          <w:bCs/>
          <w:caps/>
          <w:noProof/>
          <w:snapToGrid w:val="0"/>
          <w:szCs w:val="20"/>
          <w:lang w:val="en-US" w:eastAsia="es-ES"/>
        </w:rPr>
        <w:t>FACTS</w:t>
      </w:r>
      <w:r w:rsidR="00F27346" w:rsidRPr="00FE50A6">
        <w:rPr>
          <w:rFonts w:eastAsia="Times New Roman" w:cs="Verdana"/>
          <w:b/>
          <w:bCs/>
          <w:caps/>
          <w:noProof/>
          <w:snapToGrid w:val="0"/>
          <w:szCs w:val="20"/>
          <w:lang w:val="en-US" w:eastAsia="es-ES"/>
        </w:rPr>
        <w:t xml:space="preserve"> </w:t>
      </w:r>
    </w:p>
    <w:p w14:paraId="37393292" w14:textId="77777777" w:rsidR="003D08A4" w:rsidRPr="00FE50A6" w:rsidRDefault="003D08A4" w:rsidP="003D08A4">
      <w:pPr>
        <w:pStyle w:val="Prrafodelista"/>
        <w:ind w:left="0"/>
        <w:contextualSpacing w:val="0"/>
        <w:rPr>
          <w:rFonts w:cs="Tahoma"/>
          <w:szCs w:val="20"/>
          <w:lang w:val="en-US"/>
        </w:rPr>
      </w:pPr>
      <w:bookmarkStart w:id="184" w:name="_Toc383161743"/>
    </w:p>
    <w:p w14:paraId="2855E16F" w14:textId="77777777" w:rsidR="003D08A4" w:rsidRPr="00FE50A6" w:rsidRDefault="00E368FD" w:rsidP="003D08A4">
      <w:pPr>
        <w:pStyle w:val="Prrafodelista"/>
        <w:numPr>
          <w:ilvl w:val="0"/>
          <w:numId w:val="1"/>
        </w:numPr>
        <w:contextualSpacing w:val="0"/>
        <w:rPr>
          <w:rFonts w:cs="Tahoma"/>
          <w:szCs w:val="20"/>
          <w:lang w:val="en-US"/>
        </w:rPr>
      </w:pPr>
      <w:r w:rsidRPr="00FE50A6">
        <w:rPr>
          <w:rFonts w:cs="Tahoma"/>
          <w:szCs w:val="20"/>
          <w:lang w:val="en-US"/>
        </w:rPr>
        <w:t xml:space="preserve">In this chapter the Court will describe the context of the case and the specific facts that fall within </w:t>
      </w:r>
      <w:r w:rsidR="009E0376" w:rsidRPr="00FE50A6">
        <w:rPr>
          <w:rFonts w:cs="Tahoma"/>
          <w:szCs w:val="20"/>
          <w:lang w:val="en-US"/>
        </w:rPr>
        <w:t>its</w:t>
      </w:r>
      <w:r w:rsidRPr="00FE50A6">
        <w:rPr>
          <w:rFonts w:cs="Tahoma"/>
          <w:szCs w:val="20"/>
          <w:lang w:val="en-US"/>
        </w:rPr>
        <w:t xml:space="preserve"> temporal </w:t>
      </w:r>
      <w:r w:rsidR="009E0376" w:rsidRPr="00FE50A6">
        <w:rPr>
          <w:rFonts w:cs="Tahoma"/>
          <w:szCs w:val="20"/>
          <w:lang w:val="en-US"/>
        </w:rPr>
        <w:t>jurisdiction</w:t>
      </w:r>
      <w:r w:rsidR="00575B45" w:rsidRPr="00FE50A6">
        <w:rPr>
          <w:rFonts w:cs="Times New Roman"/>
          <w:szCs w:val="20"/>
          <w:lang w:val="en-US"/>
        </w:rPr>
        <w:t>.</w:t>
      </w:r>
    </w:p>
    <w:p w14:paraId="01B6235D" w14:textId="77777777" w:rsidR="003D08A4" w:rsidRPr="00FE50A6" w:rsidRDefault="003D08A4" w:rsidP="003D08A4">
      <w:pPr>
        <w:pStyle w:val="Prrafodelista"/>
        <w:ind w:left="0"/>
        <w:contextualSpacing w:val="0"/>
        <w:rPr>
          <w:rFonts w:cs="Tahoma"/>
          <w:szCs w:val="20"/>
          <w:lang w:val="en-US"/>
        </w:rPr>
      </w:pPr>
    </w:p>
    <w:p w14:paraId="43775790" w14:textId="77777777" w:rsidR="003D08A4" w:rsidRPr="00FE50A6" w:rsidRDefault="00E368FD" w:rsidP="003D08A4">
      <w:pPr>
        <w:pStyle w:val="Prrafodelista"/>
        <w:numPr>
          <w:ilvl w:val="0"/>
          <w:numId w:val="1"/>
        </w:numPr>
        <w:contextualSpacing w:val="0"/>
        <w:rPr>
          <w:rFonts w:cs="Tahoma"/>
          <w:szCs w:val="20"/>
          <w:lang w:val="en-US"/>
        </w:rPr>
      </w:pPr>
      <w:r w:rsidRPr="00FE50A6">
        <w:rPr>
          <w:lang w:val="en-US"/>
        </w:rPr>
        <w:t xml:space="preserve">The facts prior to the date of ratification of the Court’s contentious jurisdiction by Brazil </w:t>
      </w:r>
      <w:r w:rsidR="00575B45" w:rsidRPr="00FE50A6">
        <w:rPr>
          <w:lang w:val="en-US"/>
        </w:rPr>
        <w:t>(</w:t>
      </w:r>
      <w:r w:rsidR="00700B79" w:rsidRPr="00FE50A6">
        <w:rPr>
          <w:lang w:val="en-US"/>
        </w:rPr>
        <w:t>December 10,</w:t>
      </w:r>
      <w:r w:rsidR="00024FCB" w:rsidRPr="00FE50A6">
        <w:rPr>
          <w:lang w:val="en-US"/>
        </w:rPr>
        <w:t xml:space="preserve"> 1998</w:t>
      </w:r>
      <w:r w:rsidR="00575B45" w:rsidRPr="00FE50A6">
        <w:rPr>
          <w:lang w:val="en-US"/>
        </w:rPr>
        <w:t xml:space="preserve">) </w:t>
      </w:r>
      <w:r w:rsidRPr="00FE50A6">
        <w:rPr>
          <w:lang w:val="en-US"/>
        </w:rPr>
        <w:t>will only be mentioned as part of the context and background to the case</w:t>
      </w:r>
      <w:r w:rsidR="00575B45" w:rsidRPr="00FE50A6">
        <w:rPr>
          <w:lang w:val="en-US"/>
        </w:rPr>
        <w:t>.</w:t>
      </w:r>
      <w:bookmarkEnd w:id="184"/>
    </w:p>
    <w:p w14:paraId="546712AB" w14:textId="77777777" w:rsidR="00E368FD" w:rsidRPr="00FE50A6" w:rsidRDefault="00E368FD" w:rsidP="00E368FD">
      <w:pPr>
        <w:pStyle w:val="Prrafodelista"/>
        <w:ind w:left="0"/>
        <w:contextualSpacing w:val="0"/>
        <w:rPr>
          <w:rFonts w:cs="Tahoma"/>
          <w:szCs w:val="20"/>
          <w:lang w:val="en-US"/>
        </w:rPr>
      </w:pPr>
    </w:p>
    <w:p w14:paraId="1144156C" w14:textId="77777777" w:rsidR="0003391C" w:rsidRPr="00FE50A6" w:rsidRDefault="0003391C" w:rsidP="008B0BCC">
      <w:pPr>
        <w:pStyle w:val="Ttulo2"/>
        <w:numPr>
          <w:ilvl w:val="0"/>
          <w:numId w:val="17"/>
        </w:numPr>
        <w:rPr>
          <w:rFonts w:cs="Arial"/>
        </w:rPr>
      </w:pPr>
      <w:bookmarkStart w:id="185" w:name="_Toc464813923"/>
      <w:r w:rsidRPr="00FE50A6">
        <w:t>Context</w:t>
      </w:r>
      <w:bookmarkEnd w:id="185"/>
    </w:p>
    <w:p w14:paraId="7BF687E7" w14:textId="77777777" w:rsidR="0008427B" w:rsidRPr="00FE50A6" w:rsidRDefault="0008427B" w:rsidP="00140440">
      <w:pPr>
        <w:pStyle w:val="Prrafodelista"/>
        <w:autoSpaceDE w:val="0"/>
        <w:autoSpaceDN w:val="0"/>
        <w:adjustRightInd w:val="0"/>
        <w:contextualSpacing w:val="0"/>
        <w:rPr>
          <w:rFonts w:cs="Arial"/>
          <w:i/>
          <w:szCs w:val="20"/>
          <w:lang w:val="en-US"/>
        </w:rPr>
      </w:pPr>
    </w:p>
    <w:p w14:paraId="3BC8A78C" w14:textId="77777777" w:rsidR="0003391C" w:rsidRPr="00FE50A6" w:rsidRDefault="0003391C" w:rsidP="00217CA8">
      <w:pPr>
        <w:pStyle w:val="Ttulo3"/>
        <w:rPr>
          <w:lang w:val="en-US"/>
        </w:rPr>
      </w:pPr>
      <w:bookmarkStart w:id="186" w:name="_Toc460432999"/>
      <w:bookmarkStart w:id="187" w:name="_Toc460441930"/>
      <w:bookmarkStart w:id="188" w:name="_Toc462750748"/>
      <w:bookmarkStart w:id="189" w:name="_Toc462751072"/>
      <w:bookmarkStart w:id="190" w:name="_Toc464813924"/>
      <w:r w:rsidRPr="00FE50A6">
        <w:rPr>
          <w:lang w:val="en-US"/>
        </w:rPr>
        <w:t>A.1</w:t>
      </w:r>
      <w:r w:rsidR="00DC2886" w:rsidRPr="00FE50A6">
        <w:rPr>
          <w:lang w:val="en-US"/>
        </w:rPr>
        <w:t>.</w:t>
      </w:r>
      <w:r w:rsidRPr="00FE50A6">
        <w:rPr>
          <w:lang w:val="en-US"/>
        </w:rPr>
        <w:t xml:space="preserve"> Histor</w:t>
      </w:r>
      <w:r w:rsidR="00E368FD" w:rsidRPr="00FE50A6">
        <w:rPr>
          <w:lang w:val="en-US"/>
        </w:rPr>
        <w:t>y</w:t>
      </w:r>
      <w:r w:rsidRPr="00FE50A6">
        <w:rPr>
          <w:lang w:val="en-US"/>
        </w:rPr>
        <w:t xml:space="preserve"> </w:t>
      </w:r>
      <w:r w:rsidR="00E368FD" w:rsidRPr="00FE50A6">
        <w:rPr>
          <w:lang w:val="en-US"/>
        </w:rPr>
        <w:t>of</w:t>
      </w:r>
      <w:r w:rsidRPr="00FE50A6">
        <w:rPr>
          <w:lang w:val="en-US"/>
        </w:rPr>
        <w:t xml:space="preserve"> </w:t>
      </w:r>
      <w:r w:rsidR="005F1946" w:rsidRPr="00FE50A6">
        <w:rPr>
          <w:lang w:val="en-US"/>
        </w:rPr>
        <w:t>slave labor</w:t>
      </w:r>
      <w:r w:rsidR="00E368FD" w:rsidRPr="00FE50A6">
        <w:rPr>
          <w:lang w:val="en-US"/>
        </w:rPr>
        <w:t xml:space="preserve"> in Brazil</w:t>
      </w:r>
      <w:bookmarkEnd w:id="186"/>
      <w:bookmarkEnd w:id="187"/>
      <w:bookmarkEnd w:id="188"/>
      <w:bookmarkEnd w:id="189"/>
      <w:bookmarkEnd w:id="190"/>
    </w:p>
    <w:p w14:paraId="1BD07ECD" w14:textId="77777777" w:rsidR="0003391C" w:rsidRPr="00FE50A6" w:rsidRDefault="0003391C" w:rsidP="00140440">
      <w:pPr>
        <w:autoSpaceDE w:val="0"/>
        <w:autoSpaceDN w:val="0"/>
        <w:adjustRightInd w:val="0"/>
        <w:jc w:val="both"/>
        <w:rPr>
          <w:rFonts w:cs="Arial"/>
          <w:szCs w:val="20"/>
          <w:lang w:val="en-US"/>
        </w:rPr>
      </w:pPr>
    </w:p>
    <w:p w14:paraId="289D4941" w14:textId="77777777" w:rsidR="0003391C" w:rsidRPr="00FE50A6" w:rsidRDefault="00E368FD"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Historically, </w:t>
      </w:r>
      <w:r w:rsidR="009E0376" w:rsidRPr="00FE50A6">
        <w:rPr>
          <w:rFonts w:cs="Arial"/>
          <w:szCs w:val="20"/>
          <w:lang w:val="en-US"/>
        </w:rPr>
        <w:t xml:space="preserve">in Brazil, </w:t>
      </w:r>
      <w:r w:rsidRPr="00FE50A6">
        <w:rPr>
          <w:rFonts w:cs="Arial"/>
          <w:szCs w:val="20"/>
          <w:lang w:val="en-US"/>
        </w:rPr>
        <w:t>the slave trade has been linked to</w:t>
      </w:r>
      <w:r w:rsidR="0003391C" w:rsidRPr="00FE50A6">
        <w:rPr>
          <w:rFonts w:cs="Arial"/>
          <w:szCs w:val="20"/>
          <w:lang w:val="en-US"/>
        </w:rPr>
        <w:t xml:space="preserve"> </w:t>
      </w:r>
      <w:r w:rsidR="005F1946" w:rsidRPr="00FE50A6">
        <w:rPr>
          <w:rFonts w:cs="Arial"/>
          <w:szCs w:val="20"/>
          <w:lang w:val="en-US"/>
        </w:rPr>
        <w:t>forced labor</w:t>
      </w:r>
      <w:r w:rsidRPr="00FE50A6">
        <w:rPr>
          <w:rFonts w:cs="Arial"/>
          <w:szCs w:val="20"/>
          <w:lang w:val="en-US"/>
        </w:rPr>
        <w:t xml:space="preserve"> </w:t>
      </w:r>
      <w:r w:rsidR="00030C17" w:rsidRPr="00FE50A6">
        <w:rPr>
          <w:rFonts w:cs="Arial"/>
          <w:szCs w:val="20"/>
          <w:lang w:val="en-US"/>
        </w:rPr>
        <w:t>and</w:t>
      </w:r>
      <w:r w:rsidRPr="00FE50A6">
        <w:rPr>
          <w:rFonts w:cs="Arial"/>
          <w:szCs w:val="20"/>
          <w:lang w:val="en-US"/>
        </w:rPr>
        <w:t xml:space="preserve"> the Portuguese colonization.</w:t>
      </w:r>
      <w:r w:rsidR="00030C17" w:rsidRPr="00FE50A6">
        <w:rPr>
          <w:rFonts w:cs="Arial"/>
          <w:szCs w:val="20"/>
          <w:lang w:val="en-US"/>
        </w:rPr>
        <w:t xml:space="preserve"> </w:t>
      </w:r>
      <w:r w:rsidRPr="00FE50A6">
        <w:rPr>
          <w:rFonts w:cs="Arial"/>
          <w:szCs w:val="20"/>
          <w:lang w:val="en-US"/>
        </w:rPr>
        <w:t xml:space="preserve">By the </w:t>
      </w:r>
      <w:r w:rsidR="0031089C" w:rsidRPr="00FE50A6">
        <w:rPr>
          <w:rFonts w:cs="Arial"/>
          <w:szCs w:val="20"/>
          <w:lang w:val="en-US"/>
        </w:rPr>
        <w:t>mid-</w:t>
      </w:r>
      <w:r w:rsidRPr="00FE50A6">
        <w:rPr>
          <w:rFonts w:cs="Arial"/>
          <w:szCs w:val="20"/>
          <w:lang w:val="en-US"/>
        </w:rPr>
        <w:t>eighteenth</w:t>
      </w:r>
      <w:r w:rsidR="0031089C" w:rsidRPr="00FE50A6">
        <w:rPr>
          <w:rFonts w:cs="Arial"/>
          <w:szCs w:val="20"/>
          <w:lang w:val="en-US"/>
        </w:rPr>
        <w:t xml:space="preserve"> </w:t>
      </w:r>
      <w:r w:rsidRPr="00FE50A6">
        <w:rPr>
          <w:rFonts w:cs="Arial"/>
          <w:szCs w:val="20"/>
          <w:lang w:val="en-US"/>
        </w:rPr>
        <w:t>century</w:t>
      </w:r>
      <w:r w:rsidR="0031089C" w:rsidRPr="00FE50A6">
        <w:rPr>
          <w:rFonts w:cs="Arial"/>
          <w:szCs w:val="20"/>
          <w:lang w:val="en-US"/>
        </w:rPr>
        <w:t>,</w:t>
      </w:r>
      <w:r w:rsidRPr="00FE50A6">
        <w:rPr>
          <w:rFonts w:cs="Arial"/>
          <w:szCs w:val="20"/>
          <w:lang w:val="en-US"/>
        </w:rPr>
        <w:t xml:space="preserve"> around 40% of the slave population in Brazil was involved in sugar cane farming. In 1850, the transnational slave trade was abolished and this gave strength to the movement that sought to abolish </w:t>
      </w:r>
      <w:r w:rsidR="00D11A9F" w:rsidRPr="00FE50A6">
        <w:rPr>
          <w:rFonts w:cs="Arial"/>
          <w:szCs w:val="20"/>
          <w:lang w:val="en-US"/>
        </w:rPr>
        <w:t>slavery</w:t>
      </w:r>
      <w:r w:rsidRPr="00FE50A6">
        <w:rPr>
          <w:rFonts w:cs="Arial"/>
          <w:szCs w:val="20"/>
          <w:lang w:val="en-US"/>
        </w:rPr>
        <w:t xml:space="preserve">. Subsequently, in </w:t>
      </w:r>
      <w:r w:rsidR="0003391C" w:rsidRPr="00FE50A6">
        <w:rPr>
          <w:rFonts w:cs="Arial"/>
          <w:szCs w:val="20"/>
          <w:lang w:val="en-US"/>
        </w:rPr>
        <w:t>1888</w:t>
      </w:r>
      <w:r w:rsidRPr="00FE50A6">
        <w:rPr>
          <w:rFonts w:cs="Arial"/>
          <w:szCs w:val="20"/>
          <w:lang w:val="en-US"/>
        </w:rPr>
        <w:t>,</w:t>
      </w:r>
      <w:r w:rsidR="0003391C" w:rsidRPr="00FE50A6">
        <w:rPr>
          <w:rFonts w:cs="Arial"/>
          <w:szCs w:val="20"/>
          <w:lang w:val="en-US"/>
        </w:rPr>
        <w:t xml:space="preserve"> </w:t>
      </w:r>
      <w:r w:rsidR="00D11A9F" w:rsidRPr="00FE50A6">
        <w:rPr>
          <w:rFonts w:cs="Arial"/>
          <w:szCs w:val="20"/>
          <w:lang w:val="en-US"/>
        </w:rPr>
        <w:t>slavery</w:t>
      </w:r>
      <w:r w:rsidR="0003391C" w:rsidRPr="00FE50A6">
        <w:rPr>
          <w:rFonts w:cs="Arial"/>
          <w:szCs w:val="20"/>
          <w:lang w:val="en-US"/>
        </w:rPr>
        <w:t xml:space="preserve"> </w:t>
      </w:r>
      <w:r w:rsidRPr="00FE50A6">
        <w:rPr>
          <w:rFonts w:cs="Arial"/>
          <w:szCs w:val="20"/>
          <w:lang w:val="en-US"/>
        </w:rPr>
        <w:t>was legally abolished in Brazil</w:t>
      </w:r>
      <w:r w:rsidR="0003391C" w:rsidRPr="00FE50A6">
        <w:rPr>
          <w:rFonts w:cs="Arial"/>
          <w:szCs w:val="20"/>
          <w:lang w:val="en-US"/>
        </w:rPr>
        <w:t xml:space="preserve">. </w:t>
      </w:r>
    </w:p>
    <w:p w14:paraId="351000BB"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41F8CFAA" w14:textId="77777777" w:rsidR="0003391C" w:rsidRPr="00FE50A6" w:rsidRDefault="00E368FD" w:rsidP="002D7CBD">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Despite the legal abolition, poverty and the concentration of land ownership were </w:t>
      </w:r>
      <w:r w:rsidR="0031089C" w:rsidRPr="00FE50A6">
        <w:rPr>
          <w:rFonts w:cs="Arial"/>
          <w:szCs w:val="20"/>
          <w:lang w:val="en-US"/>
        </w:rPr>
        <w:t xml:space="preserve">some of the </w:t>
      </w:r>
      <w:r w:rsidRPr="00FE50A6">
        <w:rPr>
          <w:rFonts w:cs="Arial"/>
          <w:szCs w:val="20"/>
          <w:lang w:val="en-US"/>
        </w:rPr>
        <w:t>structural causes that led to the continuation of</w:t>
      </w:r>
      <w:r w:rsidR="0003391C" w:rsidRPr="00FE50A6">
        <w:rPr>
          <w:rFonts w:cs="Arial"/>
          <w:szCs w:val="20"/>
          <w:lang w:val="en-US"/>
        </w:rPr>
        <w:t xml:space="preserve"> </w:t>
      </w:r>
      <w:r w:rsidR="005F1946" w:rsidRPr="00FE50A6">
        <w:rPr>
          <w:rFonts w:cs="Arial"/>
          <w:szCs w:val="20"/>
          <w:lang w:val="en-US"/>
        </w:rPr>
        <w:t>slave labor</w:t>
      </w:r>
      <w:r w:rsidRPr="00FE50A6">
        <w:rPr>
          <w:rFonts w:cs="Arial"/>
          <w:szCs w:val="20"/>
          <w:lang w:val="en-US"/>
        </w:rPr>
        <w:t xml:space="preserve"> in Brazil.</w:t>
      </w:r>
      <w:r w:rsidR="0003391C" w:rsidRPr="00FE50A6">
        <w:rPr>
          <w:rStyle w:val="Refdenotaalpie"/>
          <w:rFonts w:cs="Arial"/>
          <w:lang w:val="en-US"/>
        </w:rPr>
        <w:footnoteReference w:id="63"/>
      </w:r>
      <w:r w:rsidRPr="00FE50A6">
        <w:rPr>
          <w:rFonts w:cs="Arial"/>
          <w:szCs w:val="20"/>
          <w:lang w:val="en-US"/>
        </w:rPr>
        <w:t xml:space="preserve"> Since they had n</w:t>
      </w:r>
      <w:r w:rsidR="0031089C" w:rsidRPr="00FE50A6">
        <w:rPr>
          <w:rFonts w:cs="Arial"/>
          <w:szCs w:val="20"/>
          <w:lang w:val="en-US"/>
        </w:rPr>
        <w:t>either</w:t>
      </w:r>
      <w:r w:rsidRPr="00FE50A6">
        <w:rPr>
          <w:rFonts w:cs="Arial"/>
          <w:szCs w:val="20"/>
          <w:lang w:val="en-US"/>
        </w:rPr>
        <w:t xml:space="preserve"> land of their own </w:t>
      </w:r>
      <w:r w:rsidR="0031089C" w:rsidRPr="00FE50A6">
        <w:rPr>
          <w:rFonts w:cs="Arial"/>
          <w:szCs w:val="20"/>
          <w:lang w:val="en-US"/>
        </w:rPr>
        <w:t>n</w:t>
      </w:r>
      <w:r w:rsidRPr="00FE50A6">
        <w:rPr>
          <w:rFonts w:cs="Arial"/>
          <w:szCs w:val="20"/>
          <w:lang w:val="en-US"/>
        </w:rPr>
        <w:t>or a stable work situation,</w:t>
      </w:r>
      <w:r w:rsidR="0003391C" w:rsidRPr="00FE50A6">
        <w:rPr>
          <w:rFonts w:cs="Arial"/>
          <w:szCs w:val="20"/>
          <w:lang w:val="en-US"/>
        </w:rPr>
        <w:t xml:space="preserve"> </w:t>
      </w:r>
      <w:r w:rsidRPr="00FE50A6">
        <w:rPr>
          <w:rFonts w:cs="Arial"/>
          <w:szCs w:val="20"/>
          <w:lang w:val="en-US"/>
        </w:rPr>
        <w:t>many workers</w:t>
      </w:r>
      <w:r w:rsidR="0003391C" w:rsidRPr="00FE50A6">
        <w:rPr>
          <w:rFonts w:cs="Arial"/>
          <w:szCs w:val="20"/>
          <w:lang w:val="en-US"/>
        </w:rPr>
        <w:t xml:space="preserve"> </w:t>
      </w:r>
      <w:r w:rsidRPr="00FE50A6">
        <w:rPr>
          <w:rFonts w:cs="Arial"/>
          <w:szCs w:val="20"/>
          <w:lang w:val="en-US"/>
        </w:rPr>
        <w:t>in Brazil</w:t>
      </w:r>
      <w:r w:rsidR="0003391C" w:rsidRPr="00FE50A6">
        <w:rPr>
          <w:rFonts w:cs="Arial"/>
          <w:szCs w:val="20"/>
          <w:lang w:val="en-US"/>
        </w:rPr>
        <w:t xml:space="preserve"> </w:t>
      </w:r>
      <w:r w:rsidR="002042D6" w:rsidRPr="00FE50A6">
        <w:rPr>
          <w:rFonts w:cs="Arial"/>
          <w:szCs w:val="20"/>
          <w:lang w:val="en-US"/>
        </w:rPr>
        <w:t>“</w:t>
      </w:r>
      <w:r w:rsidRPr="00FE50A6">
        <w:rPr>
          <w:rFonts w:cs="Arial"/>
          <w:szCs w:val="20"/>
          <w:lang w:val="en-US"/>
        </w:rPr>
        <w:t>submit</w:t>
      </w:r>
      <w:r w:rsidR="002042D6" w:rsidRPr="00FE50A6">
        <w:rPr>
          <w:rFonts w:cs="Arial"/>
          <w:szCs w:val="20"/>
          <w:lang w:val="en-US"/>
        </w:rPr>
        <w:t>[</w:t>
      </w:r>
      <w:r w:rsidRPr="00FE50A6">
        <w:rPr>
          <w:rFonts w:cs="Arial"/>
          <w:szCs w:val="20"/>
          <w:lang w:val="en-US"/>
        </w:rPr>
        <w:t>ted</w:t>
      </w:r>
      <w:r w:rsidR="002042D6" w:rsidRPr="00FE50A6">
        <w:rPr>
          <w:rFonts w:cs="Arial"/>
          <w:szCs w:val="20"/>
          <w:lang w:val="en-US"/>
        </w:rPr>
        <w:t>]</w:t>
      </w:r>
      <w:r w:rsidRPr="00FE50A6">
        <w:rPr>
          <w:rFonts w:cs="Arial"/>
          <w:szCs w:val="20"/>
          <w:lang w:val="en-US"/>
        </w:rPr>
        <w:t xml:space="preserve"> to exploitation</w:t>
      </w:r>
      <w:r w:rsidR="002D7CBD" w:rsidRPr="00FE50A6">
        <w:rPr>
          <w:rFonts w:cs="Arial"/>
          <w:szCs w:val="20"/>
          <w:lang w:val="en-US"/>
        </w:rPr>
        <w:t xml:space="preserve">, accepting the risk of </w:t>
      </w:r>
      <w:r w:rsidR="002042D6" w:rsidRPr="00FE50A6">
        <w:rPr>
          <w:rFonts w:cs="Arial"/>
          <w:szCs w:val="20"/>
          <w:lang w:val="en-US"/>
        </w:rPr>
        <w:t>falling into situations of</w:t>
      </w:r>
      <w:r w:rsidR="002D7CBD" w:rsidRPr="00FE50A6">
        <w:rPr>
          <w:rFonts w:cs="Arial"/>
          <w:szCs w:val="20"/>
          <w:lang w:val="en-US"/>
        </w:rPr>
        <w:t xml:space="preserve"> inhuman and degrading working conditions</w:t>
      </w:r>
      <w:r w:rsidR="0003391C" w:rsidRPr="00FE50A6">
        <w:rPr>
          <w:rFonts w:cs="Arial"/>
          <w:szCs w:val="20"/>
          <w:lang w:val="en-US"/>
        </w:rPr>
        <w:t>.</w:t>
      </w:r>
      <w:r w:rsidR="002042D6" w:rsidRPr="00FE50A6">
        <w:rPr>
          <w:rFonts w:cs="Arial"/>
          <w:szCs w:val="20"/>
          <w:lang w:val="en-US"/>
        </w:rPr>
        <w:t xml:space="preserve"> […]</w:t>
      </w:r>
      <w:r w:rsidR="0003391C" w:rsidRPr="00FE50A6">
        <w:rPr>
          <w:rFonts w:cs="Arial"/>
          <w:szCs w:val="20"/>
          <w:lang w:val="en-US"/>
        </w:rPr>
        <w:t xml:space="preserve"> </w:t>
      </w:r>
      <w:r w:rsidR="002042D6" w:rsidRPr="00FE50A6">
        <w:rPr>
          <w:rFonts w:cs="Arial"/>
          <w:szCs w:val="20"/>
          <w:lang w:val="en-US"/>
        </w:rPr>
        <w:t>S</w:t>
      </w:r>
      <w:r w:rsidR="005F1946" w:rsidRPr="00FE50A6">
        <w:rPr>
          <w:rFonts w:cs="Arial"/>
          <w:szCs w:val="20"/>
          <w:lang w:val="en-US"/>
        </w:rPr>
        <w:t>lave labor</w:t>
      </w:r>
      <w:r w:rsidR="002042D6" w:rsidRPr="00FE50A6">
        <w:rPr>
          <w:rFonts w:cs="Arial"/>
          <w:szCs w:val="20"/>
          <w:lang w:val="en-US"/>
        </w:rPr>
        <w:t xml:space="preserve"> intensified</w:t>
      </w:r>
      <w:r w:rsidRPr="00FE50A6">
        <w:rPr>
          <w:rFonts w:cs="Arial"/>
          <w:szCs w:val="20"/>
          <w:lang w:val="en-US"/>
        </w:rPr>
        <w:t xml:space="preserve"> in Brazil</w:t>
      </w:r>
      <w:r w:rsidR="0003391C" w:rsidRPr="00FE50A6">
        <w:rPr>
          <w:rFonts w:cs="Arial"/>
          <w:szCs w:val="20"/>
          <w:lang w:val="en-US"/>
        </w:rPr>
        <w:t xml:space="preserve"> </w:t>
      </w:r>
      <w:r w:rsidR="002042D6" w:rsidRPr="00FE50A6">
        <w:rPr>
          <w:rFonts w:cs="Arial"/>
          <w:szCs w:val="20"/>
          <w:lang w:val="en-US"/>
        </w:rPr>
        <w:t xml:space="preserve">in the 1960s and 1970s </w:t>
      </w:r>
      <w:r w:rsidR="002D7CBD" w:rsidRPr="00FE50A6">
        <w:rPr>
          <w:rFonts w:cs="Arial"/>
          <w:szCs w:val="20"/>
          <w:lang w:val="en-US"/>
        </w:rPr>
        <w:t xml:space="preserve">owing to the expansion of modern </w:t>
      </w:r>
      <w:r w:rsidR="002042D6" w:rsidRPr="00FE50A6">
        <w:rPr>
          <w:rFonts w:cs="Arial"/>
          <w:szCs w:val="20"/>
          <w:lang w:val="en-US"/>
        </w:rPr>
        <w:t xml:space="preserve">farming </w:t>
      </w:r>
      <w:r w:rsidR="0031089C" w:rsidRPr="00FE50A6">
        <w:rPr>
          <w:rFonts w:cs="Arial"/>
          <w:szCs w:val="20"/>
          <w:lang w:val="en-US"/>
        </w:rPr>
        <w:t>tech</w:t>
      </w:r>
      <w:r w:rsidR="002D7CBD" w:rsidRPr="00FE50A6">
        <w:rPr>
          <w:rFonts w:cs="Arial"/>
          <w:szCs w:val="20"/>
          <w:lang w:val="en-US"/>
        </w:rPr>
        <w:t xml:space="preserve">niques that required </w:t>
      </w:r>
      <w:r w:rsidR="002042D6" w:rsidRPr="00FE50A6">
        <w:rPr>
          <w:rFonts w:cs="Arial"/>
          <w:szCs w:val="20"/>
          <w:lang w:val="en-US"/>
        </w:rPr>
        <w:t>the recruitment of more</w:t>
      </w:r>
      <w:r w:rsidR="002D7CBD" w:rsidRPr="00FE50A6">
        <w:rPr>
          <w:rFonts w:cs="Arial"/>
          <w:szCs w:val="20"/>
          <w:lang w:val="en-US"/>
        </w:rPr>
        <w:t xml:space="preserve"> </w:t>
      </w:r>
      <w:r w:rsidR="002042D6" w:rsidRPr="00FE50A6">
        <w:rPr>
          <w:rFonts w:cs="Arial"/>
          <w:szCs w:val="20"/>
          <w:lang w:val="en-US"/>
        </w:rPr>
        <w:t>labourers</w:t>
      </w:r>
      <w:r w:rsidR="002D7CBD" w:rsidRPr="00FE50A6">
        <w:rPr>
          <w:rFonts w:cs="Arial"/>
          <w:szCs w:val="20"/>
          <w:lang w:val="en-US"/>
        </w:rPr>
        <w:t>.</w:t>
      </w:r>
      <w:r w:rsidR="002042D6" w:rsidRPr="00FE50A6">
        <w:rPr>
          <w:rFonts w:cs="Arial"/>
          <w:szCs w:val="20"/>
          <w:lang w:val="en-US"/>
        </w:rPr>
        <w:t>”</w:t>
      </w:r>
      <w:r w:rsidR="0003391C" w:rsidRPr="00FE50A6">
        <w:rPr>
          <w:rStyle w:val="Refdenotaalpie"/>
          <w:rFonts w:cs="Arial"/>
          <w:lang w:val="en-US"/>
        </w:rPr>
        <w:footnoteReference w:id="64"/>
      </w:r>
      <w:r w:rsidR="0003391C" w:rsidRPr="00FE50A6">
        <w:rPr>
          <w:rFonts w:cs="Arial"/>
          <w:szCs w:val="20"/>
          <w:lang w:val="en-US"/>
        </w:rPr>
        <w:t xml:space="preserve"> </w:t>
      </w:r>
      <w:r w:rsidR="002D7CBD" w:rsidRPr="00FE50A6">
        <w:rPr>
          <w:rFonts w:cs="Arial"/>
          <w:szCs w:val="20"/>
          <w:lang w:val="en-US"/>
        </w:rPr>
        <w:t>By the middle of the twentieth cent</w:t>
      </w:r>
      <w:r w:rsidR="00015DD9" w:rsidRPr="00FE50A6">
        <w:rPr>
          <w:rFonts w:cs="Arial"/>
          <w:szCs w:val="20"/>
          <w:lang w:val="en-US"/>
        </w:rPr>
        <w:t>u</w:t>
      </w:r>
      <w:r w:rsidR="002D7CBD" w:rsidRPr="00FE50A6">
        <w:rPr>
          <w:rFonts w:cs="Arial"/>
          <w:szCs w:val="20"/>
          <w:lang w:val="en-US"/>
        </w:rPr>
        <w:t xml:space="preserve">ry, the industrialization of </w:t>
      </w:r>
      <w:r w:rsidR="002042D6" w:rsidRPr="00FE50A6">
        <w:rPr>
          <w:rFonts w:cs="Arial"/>
          <w:szCs w:val="20"/>
          <w:lang w:val="en-US"/>
        </w:rPr>
        <w:t xml:space="preserve">the </w:t>
      </w:r>
      <w:r w:rsidR="002D7CBD" w:rsidRPr="00FE50A6">
        <w:rPr>
          <w:rFonts w:cs="Arial"/>
          <w:szCs w:val="20"/>
          <w:lang w:val="en-US"/>
        </w:rPr>
        <w:t>Amazon</w:t>
      </w:r>
      <w:r w:rsidR="002042D6" w:rsidRPr="00FE50A6">
        <w:rPr>
          <w:rFonts w:cs="Arial"/>
          <w:szCs w:val="20"/>
          <w:lang w:val="en-US"/>
        </w:rPr>
        <w:t xml:space="preserve"> region</w:t>
      </w:r>
      <w:r w:rsidR="002D7CBD" w:rsidRPr="00FE50A6">
        <w:rPr>
          <w:rFonts w:cs="Arial"/>
          <w:szCs w:val="20"/>
          <w:lang w:val="en-US"/>
        </w:rPr>
        <w:t xml:space="preserve"> had intens</w:t>
      </w:r>
      <w:r w:rsidR="00015DD9" w:rsidRPr="00FE50A6">
        <w:rPr>
          <w:rFonts w:cs="Arial"/>
          <w:szCs w:val="20"/>
          <w:lang w:val="en-US"/>
        </w:rPr>
        <w:t>i</w:t>
      </w:r>
      <w:r w:rsidR="002D7CBD" w:rsidRPr="00FE50A6">
        <w:rPr>
          <w:rFonts w:cs="Arial"/>
          <w:szCs w:val="20"/>
          <w:lang w:val="en-US"/>
        </w:rPr>
        <w:t>fied,</w:t>
      </w:r>
      <w:r w:rsidR="0003391C" w:rsidRPr="00FE50A6">
        <w:rPr>
          <w:rStyle w:val="Refdenotaalpie"/>
          <w:rFonts w:cs="Arial"/>
          <w:lang w:val="en-US"/>
        </w:rPr>
        <w:footnoteReference w:id="65"/>
      </w:r>
      <w:r w:rsidR="00030C17" w:rsidRPr="00FE50A6">
        <w:rPr>
          <w:rFonts w:cs="Arial"/>
          <w:szCs w:val="20"/>
          <w:lang w:val="en-US"/>
        </w:rPr>
        <w:t xml:space="preserve"> and </w:t>
      </w:r>
      <w:r w:rsidR="002D7CBD" w:rsidRPr="00FE50A6">
        <w:rPr>
          <w:rFonts w:cs="Arial"/>
          <w:szCs w:val="20"/>
          <w:lang w:val="en-US"/>
        </w:rPr>
        <w:t>the phenomenon of illegal ownership and uncontrolled adjudication of public lands was rife</w:t>
      </w:r>
      <w:r w:rsidR="0031089C" w:rsidRPr="00FE50A6">
        <w:rPr>
          <w:rFonts w:cs="Arial"/>
          <w:szCs w:val="20"/>
          <w:lang w:val="en-US"/>
        </w:rPr>
        <w:t>; this led to</w:t>
      </w:r>
      <w:r w:rsidR="00015DD9" w:rsidRPr="00FE50A6">
        <w:rPr>
          <w:rFonts w:cs="Arial"/>
          <w:szCs w:val="20"/>
          <w:lang w:val="en-US"/>
        </w:rPr>
        <w:t xml:space="preserve"> </w:t>
      </w:r>
      <w:r w:rsidR="00150E9C" w:rsidRPr="00FE50A6">
        <w:rPr>
          <w:rFonts w:cs="Arial"/>
          <w:szCs w:val="20"/>
          <w:lang w:val="en-US"/>
        </w:rPr>
        <w:t xml:space="preserve">the consolidation </w:t>
      </w:r>
      <w:r w:rsidR="00015DD9" w:rsidRPr="00FE50A6">
        <w:rPr>
          <w:rFonts w:cs="Arial"/>
          <w:szCs w:val="20"/>
          <w:lang w:val="en-US"/>
        </w:rPr>
        <w:t xml:space="preserve">of </w:t>
      </w:r>
      <w:r w:rsidR="0031089C" w:rsidRPr="00FE50A6">
        <w:rPr>
          <w:rFonts w:cs="Arial"/>
          <w:szCs w:val="20"/>
          <w:lang w:val="en-US"/>
        </w:rPr>
        <w:t xml:space="preserve">practices of </w:t>
      </w:r>
      <w:r w:rsidR="00015DD9" w:rsidRPr="00FE50A6">
        <w:rPr>
          <w:rFonts w:cs="Arial"/>
          <w:szCs w:val="20"/>
          <w:lang w:val="en-US"/>
        </w:rPr>
        <w:t xml:space="preserve">slave labor in </w:t>
      </w:r>
      <w:r w:rsidR="0031089C" w:rsidRPr="00FE50A6">
        <w:rPr>
          <w:rFonts w:cs="Arial"/>
          <w:szCs w:val="20"/>
          <w:lang w:val="en-US"/>
        </w:rPr>
        <w:t xml:space="preserve">the </w:t>
      </w:r>
      <w:r w:rsidR="00015DD9" w:rsidRPr="00FE50A6">
        <w:rPr>
          <w:rFonts w:cs="Arial"/>
          <w:szCs w:val="20"/>
          <w:lang w:val="en-US"/>
        </w:rPr>
        <w:t xml:space="preserve">haciendas of private or family </w:t>
      </w:r>
      <w:r w:rsidR="0031089C" w:rsidRPr="00FE50A6">
        <w:rPr>
          <w:rFonts w:cs="Arial"/>
          <w:szCs w:val="20"/>
          <w:lang w:val="en-US"/>
        </w:rPr>
        <w:t>firms</w:t>
      </w:r>
      <w:r w:rsidR="00015DD9" w:rsidRPr="00FE50A6">
        <w:rPr>
          <w:rFonts w:cs="Arial"/>
          <w:szCs w:val="20"/>
          <w:lang w:val="en-US"/>
        </w:rPr>
        <w:t xml:space="preserve"> that owned large tracts of land.</w:t>
      </w:r>
      <w:r w:rsidR="0003391C" w:rsidRPr="00FE50A6">
        <w:rPr>
          <w:rStyle w:val="Refdenotaalpie"/>
          <w:rFonts w:cs="Arial"/>
          <w:lang w:val="en-US"/>
        </w:rPr>
        <w:footnoteReference w:id="66"/>
      </w:r>
      <w:r w:rsidR="0003391C" w:rsidRPr="00FE50A6">
        <w:rPr>
          <w:rFonts w:cs="Times New Roman"/>
          <w:szCs w:val="20"/>
          <w:lang w:val="en-US"/>
        </w:rPr>
        <w:t xml:space="preserve"> </w:t>
      </w:r>
      <w:r w:rsidR="00015DD9" w:rsidRPr="00FE50A6">
        <w:rPr>
          <w:rFonts w:cs="Times New Roman"/>
          <w:szCs w:val="20"/>
          <w:lang w:val="en-US"/>
        </w:rPr>
        <w:t xml:space="preserve">In this context there was an absence of state control in the northern part of Brazil where some regional authorities had become allies of the </w:t>
      </w:r>
      <w:r w:rsidR="00323A15" w:rsidRPr="00FE50A6">
        <w:rPr>
          <w:rFonts w:cs="Times New Roman"/>
          <w:szCs w:val="20"/>
          <w:lang w:val="en-US"/>
        </w:rPr>
        <w:t>land</w:t>
      </w:r>
      <w:r w:rsidR="00015DD9" w:rsidRPr="00FE50A6">
        <w:rPr>
          <w:rFonts w:cs="Times New Roman"/>
          <w:szCs w:val="20"/>
          <w:lang w:val="en-US"/>
        </w:rPr>
        <w:t>owners.</w:t>
      </w:r>
      <w:r w:rsidR="0003391C" w:rsidRPr="00FE50A6">
        <w:rPr>
          <w:rStyle w:val="Refdenotaalpie"/>
          <w:rFonts w:cs="Arial"/>
          <w:lang w:val="en-US"/>
        </w:rPr>
        <w:footnoteReference w:id="67"/>
      </w:r>
      <w:r w:rsidR="0003391C" w:rsidRPr="00FE50A6">
        <w:rPr>
          <w:rFonts w:cs="Arial"/>
          <w:szCs w:val="20"/>
          <w:lang w:val="en-US"/>
        </w:rPr>
        <w:t xml:space="preserve"> </w:t>
      </w:r>
      <w:r w:rsidR="00015DD9" w:rsidRPr="00FE50A6">
        <w:rPr>
          <w:rFonts w:cs="Arial"/>
          <w:szCs w:val="20"/>
          <w:lang w:val="en-US"/>
        </w:rPr>
        <w:t>By</w:t>
      </w:r>
      <w:r w:rsidR="0003391C" w:rsidRPr="00FE50A6">
        <w:rPr>
          <w:rFonts w:cs="Arial"/>
          <w:szCs w:val="20"/>
          <w:lang w:val="en-US"/>
        </w:rPr>
        <w:t xml:space="preserve"> 1995</w:t>
      </w:r>
      <w:r w:rsidR="00015DD9" w:rsidRPr="00FE50A6">
        <w:rPr>
          <w:rFonts w:cs="Arial"/>
          <w:szCs w:val="20"/>
          <w:lang w:val="en-US"/>
        </w:rPr>
        <w:t>,</w:t>
      </w:r>
      <w:r w:rsidR="0003391C" w:rsidRPr="00FE50A6">
        <w:rPr>
          <w:rFonts w:cs="Arial"/>
          <w:szCs w:val="20"/>
          <w:lang w:val="en-US"/>
        </w:rPr>
        <w:t xml:space="preserve"> </w:t>
      </w:r>
      <w:r w:rsidR="000228D0" w:rsidRPr="00FE50A6">
        <w:rPr>
          <w:rFonts w:cs="Arial"/>
          <w:szCs w:val="20"/>
          <w:lang w:val="en-US"/>
        </w:rPr>
        <w:t>the State</w:t>
      </w:r>
      <w:r w:rsidR="00015DD9" w:rsidRPr="00FE50A6">
        <w:rPr>
          <w:rFonts w:cs="Arial"/>
          <w:szCs w:val="20"/>
          <w:lang w:val="en-US"/>
        </w:rPr>
        <w:t xml:space="preserve"> had begun to acknowledge officially the existence of </w:t>
      </w:r>
      <w:r w:rsidR="005F1946" w:rsidRPr="00FE50A6">
        <w:rPr>
          <w:rFonts w:cs="Arial"/>
          <w:szCs w:val="20"/>
          <w:lang w:val="en-US"/>
        </w:rPr>
        <w:t>slave labor</w:t>
      </w:r>
      <w:r w:rsidRPr="00FE50A6">
        <w:rPr>
          <w:rFonts w:cs="Arial"/>
          <w:szCs w:val="20"/>
          <w:lang w:val="en-US"/>
        </w:rPr>
        <w:t xml:space="preserve"> in Brazil</w:t>
      </w:r>
      <w:r w:rsidR="00015DD9" w:rsidRPr="00FE50A6">
        <w:rPr>
          <w:rFonts w:cs="Arial"/>
          <w:szCs w:val="20"/>
          <w:lang w:val="en-US"/>
        </w:rPr>
        <w:t>.</w:t>
      </w:r>
      <w:r w:rsidR="0003391C" w:rsidRPr="00FE50A6">
        <w:rPr>
          <w:rStyle w:val="Refdenotaalpie"/>
          <w:rFonts w:cs="Arial"/>
          <w:lang w:val="en-US"/>
        </w:rPr>
        <w:footnoteReference w:id="68"/>
      </w:r>
      <w:r w:rsidR="00015DD9" w:rsidRPr="00FE50A6">
        <w:rPr>
          <w:rFonts w:cs="Arial"/>
          <w:szCs w:val="20"/>
          <w:lang w:val="en-US"/>
        </w:rPr>
        <w:t xml:space="preserve"> According to the ILO, in 2010, </w:t>
      </w:r>
      <w:r w:rsidR="00323A15" w:rsidRPr="00FE50A6">
        <w:rPr>
          <w:rFonts w:cs="Arial"/>
          <w:szCs w:val="20"/>
          <w:lang w:val="en-US"/>
        </w:rPr>
        <w:t>“</w:t>
      </w:r>
      <w:r w:rsidR="00015DD9" w:rsidRPr="00FE50A6">
        <w:rPr>
          <w:rFonts w:cs="Arial"/>
          <w:szCs w:val="20"/>
          <w:lang w:val="en-US"/>
        </w:rPr>
        <w:t>12.3 million pe</w:t>
      </w:r>
      <w:r w:rsidR="00323A15" w:rsidRPr="00FE50A6">
        <w:rPr>
          <w:rFonts w:cs="Arial"/>
          <w:szCs w:val="20"/>
          <w:lang w:val="en-US"/>
        </w:rPr>
        <w:t xml:space="preserve">ople across the world were trapped in situations of </w:t>
      </w:r>
      <w:r w:rsidR="005F1946" w:rsidRPr="00FE50A6">
        <w:rPr>
          <w:rFonts w:cs="Arial"/>
          <w:szCs w:val="20"/>
          <w:lang w:val="en-US"/>
        </w:rPr>
        <w:t>forced labor</w:t>
      </w:r>
      <w:r w:rsidR="0003391C" w:rsidRPr="00FE50A6">
        <w:rPr>
          <w:rFonts w:cs="Arial"/>
          <w:szCs w:val="20"/>
          <w:lang w:val="en-US"/>
        </w:rPr>
        <w:t>,</w:t>
      </w:r>
      <w:r w:rsidR="00323A15" w:rsidRPr="00FE50A6">
        <w:rPr>
          <w:rFonts w:cs="Arial"/>
          <w:szCs w:val="20"/>
          <w:lang w:val="en-US"/>
        </w:rPr>
        <w:t>”</w:t>
      </w:r>
      <w:r w:rsidR="0003391C" w:rsidRPr="00FE50A6">
        <w:rPr>
          <w:rFonts w:cs="Arial"/>
          <w:szCs w:val="20"/>
          <w:lang w:val="en-US"/>
        </w:rPr>
        <w:t xml:space="preserve"> </w:t>
      </w:r>
      <w:r w:rsidR="00015DD9" w:rsidRPr="00FE50A6">
        <w:rPr>
          <w:rFonts w:cs="Arial"/>
          <w:szCs w:val="20"/>
          <w:lang w:val="en-US"/>
        </w:rPr>
        <w:t xml:space="preserve">and </w:t>
      </w:r>
      <w:r w:rsidR="0003391C" w:rsidRPr="00FE50A6">
        <w:rPr>
          <w:rFonts w:cs="Arial"/>
          <w:szCs w:val="20"/>
          <w:lang w:val="en-US"/>
        </w:rPr>
        <w:t>25</w:t>
      </w:r>
      <w:r w:rsidR="00015DD9" w:rsidRPr="00FE50A6">
        <w:rPr>
          <w:rFonts w:cs="Arial"/>
          <w:szCs w:val="20"/>
          <w:lang w:val="en-US"/>
        </w:rPr>
        <w:t>,</w:t>
      </w:r>
      <w:r w:rsidR="0003391C" w:rsidRPr="00FE50A6">
        <w:rPr>
          <w:rFonts w:cs="Arial"/>
          <w:szCs w:val="20"/>
          <w:lang w:val="en-US"/>
        </w:rPr>
        <w:t xml:space="preserve">000 </w:t>
      </w:r>
      <w:r w:rsidR="00015DD9" w:rsidRPr="00FE50A6">
        <w:rPr>
          <w:rFonts w:cs="Arial"/>
          <w:szCs w:val="20"/>
          <w:lang w:val="en-US"/>
        </w:rPr>
        <w:t xml:space="preserve">of them were </w:t>
      </w:r>
      <w:r w:rsidRPr="00FE50A6">
        <w:rPr>
          <w:rFonts w:cs="Arial"/>
          <w:szCs w:val="20"/>
          <w:lang w:val="en-US"/>
        </w:rPr>
        <w:t>in Brazil</w:t>
      </w:r>
      <w:r w:rsidR="00015DD9" w:rsidRPr="00FE50A6">
        <w:rPr>
          <w:rFonts w:cs="Arial"/>
          <w:szCs w:val="20"/>
          <w:lang w:val="en-US"/>
        </w:rPr>
        <w:t>.</w:t>
      </w:r>
      <w:r w:rsidR="0003391C" w:rsidRPr="00FE50A6">
        <w:rPr>
          <w:rStyle w:val="Refdenotaalpie"/>
          <w:rFonts w:cs="Arial"/>
          <w:lang w:val="en-US"/>
        </w:rPr>
        <w:footnoteReference w:id="69"/>
      </w:r>
      <w:r w:rsidR="0003391C" w:rsidRPr="00FE50A6">
        <w:rPr>
          <w:rFonts w:cs="Times New Roman"/>
          <w:szCs w:val="20"/>
          <w:lang w:val="en-US"/>
        </w:rPr>
        <w:t xml:space="preserve"> </w:t>
      </w:r>
    </w:p>
    <w:p w14:paraId="01437C69" w14:textId="77777777" w:rsidR="0003391C" w:rsidRPr="00FE50A6" w:rsidRDefault="0003391C" w:rsidP="00140440">
      <w:pPr>
        <w:pStyle w:val="Prrafodelista"/>
        <w:contextualSpacing w:val="0"/>
        <w:rPr>
          <w:rFonts w:cs="Arial"/>
          <w:szCs w:val="20"/>
          <w:lang w:val="en-US"/>
        </w:rPr>
      </w:pPr>
    </w:p>
    <w:p w14:paraId="15087ED8" w14:textId="77777777" w:rsidR="0003391C" w:rsidRPr="00FE50A6" w:rsidRDefault="0003391C" w:rsidP="008622F3">
      <w:pPr>
        <w:pStyle w:val="Ttulo3"/>
        <w:rPr>
          <w:lang w:val="en-US"/>
        </w:rPr>
      </w:pPr>
      <w:bookmarkStart w:id="191" w:name="_Toc460433000"/>
      <w:bookmarkStart w:id="192" w:name="_Toc460441931"/>
      <w:bookmarkStart w:id="193" w:name="_Toc462750749"/>
      <w:bookmarkStart w:id="194" w:name="_Toc462751073"/>
      <w:bookmarkStart w:id="195" w:name="_Toc464813925"/>
      <w:r w:rsidRPr="00FE50A6">
        <w:rPr>
          <w:lang w:val="en-US"/>
        </w:rPr>
        <w:t>A.2</w:t>
      </w:r>
      <w:r w:rsidR="00DC2886" w:rsidRPr="00FE50A6">
        <w:rPr>
          <w:lang w:val="en-US"/>
        </w:rPr>
        <w:t>.</w:t>
      </w:r>
      <w:r w:rsidRPr="00FE50A6">
        <w:rPr>
          <w:lang w:val="en-US"/>
        </w:rPr>
        <w:t xml:space="preserve"> </w:t>
      </w:r>
      <w:r w:rsidR="0086091E" w:rsidRPr="00FE50A6">
        <w:rPr>
          <w:lang w:val="en-US"/>
        </w:rPr>
        <w:t>Characteristics of slave</w:t>
      </w:r>
      <w:r w:rsidR="005F1946" w:rsidRPr="00FE50A6">
        <w:rPr>
          <w:lang w:val="en-US"/>
        </w:rPr>
        <w:t xml:space="preserve"> labor</w:t>
      </w:r>
      <w:r w:rsidR="00E368FD" w:rsidRPr="00FE50A6">
        <w:rPr>
          <w:lang w:val="en-US"/>
        </w:rPr>
        <w:t xml:space="preserve"> in Brazil</w:t>
      </w:r>
      <w:bookmarkEnd w:id="191"/>
      <w:bookmarkEnd w:id="192"/>
      <w:bookmarkEnd w:id="193"/>
      <w:bookmarkEnd w:id="194"/>
      <w:bookmarkEnd w:id="195"/>
    </w:p>
    <w:p w14:paraId="01F6EEE1" w14:textId="77777777" w:rsidR="0003391C" w:rsidRPr="00FE50A6" w:rsidRDefault="0003391C" w:rsidP="00140440">
      <w:pPr>
        <w:autoSpaceDE w:val="0"/>
        <w:autoSpaceDN w:val="0"/>
        <w:adjustRightInd w:val="0"/>
        <w:jc w:val="both"/>
        <w:rPr>
          <w:rFonts w:cs="Arial"/>
          <w:szCs w:val="20"/>
          <w:lang w:val="en-US"/>
        </w:rPr>
      </w:pPr>
    </w:p>
    <w:p w14:paraId="7936D483" w14:textId="77777777" w:rsidR="0003391C" w:rsidRPr="00FE50A6" w:rsidRDefault="0086091E"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t>Most victims of</w:t>
      </w:r>
      <w:r w:rsidR="0003391C" w:rsidRPr="00FE50A6">
        <w:rPr>
          <w:rFonts w:cs="Arial"/>
          <w:szCs w:val="20"/>
          <w:lang w:val="en-US"/>
        </w:rPr>
        <w:t xml:space="preserve"> </w:t>
      </w:r>
      <w:r w:rsidR="005F1946" w:rsidRPr="00FE50A6">
        <w:rPr>
          <w:rFonts w:cs="Arial"/>
          <w:szCs w:val="20"/>
          <w:lang w:val="en-US"/>
        </w:rPr>
        <w:t>slave labor</w:t>
      </w:r>
      <w:r w:rsidR="00E368FD" w:rsidRPr="00FE50A6">
        <w:rPr>
          <w:rFonts w:cs="Arial"/>
          <w:szCs w:val="20"/>
          <w:lang w:val="en-US"/>
        </w:rPr>
        <w:t xml:space="preserve"> in Brazil</w:t>
      </w:r>
      <w:r w:rsidR="0003391C" w:rsidRPr="00FE50A6">
        <w:rPr>
          <w:rFonts w:cs="Arial"/>
          <w:szCs w:val="20"/>
          <w:lang w:val="en-US"/>
        </w:rPr>
        <w:t xml:space="preserve"> </w:t>
      </w:r>
      <w:r w:rsidRPr="00FE50A6">
        <w:rPr>
          <w:rFonts w:cs="Arial"/>
          <w:szCs w:val="20"/>
          <w:lang w:val="en-US"/>
        </w:rPr>
        <w:t xml:space="preserve">are workers from the north and northwest of the country, from states characterized </w:t>
      </w:r>
      <w:r w:rsidR="00384CD0" w:rsidRPr="00FE50A6">
        <w:rPr>
          <w:rFonts w:cs="Arial"/>
          <w:szCs w:val="20"/>
          <w:lang w:val="en-US"/>
        </w:rPr>
        <w:t>by extreme poverty,</w:t>
      </w:r>
      <w:r w:rsidRPr="00FE50A6">
        <w:rPr>
          <w:rFonts w:cs="Arial"/>
          <w:szCs w:val="20"/>
          <w:lang w:val="en-US"/>
        </w:rPr>
        <w:t xml:space="preserve"> with the highest levels of illiteracy and rural </w:t>
      </w:r>
      <w:r w:rsidR="00384CD0" w:rsidRPr="00FE50A6">
        <w:rPr>
          <w:rFonts w:cs="Arial"/>
          <w:szCs w:val="20"/>
          <w:lang w:val="en-US"/>
        </w:rPr>
        <w:t>un</w:t>
      </w:r>
      <w:r w:rsidRPr="00FE50A6">
        <w:rPr>
          <w:rFonts w:cs="Arial"/>
          <w:szCs w:val="20"/>
          <w:lang w:val="en-US"/>
        </w:rPr>
        <w:t>employment</w:t>
      </w:r>
      <w:r w:rsidR="004A515C" w:rsidRPr="00FE50A6">
        <w:rPr>
          <w:rFonts w:cs="Arial"/>
          <w:szCs w:val="20"/>
          <w:lang w:val="en-US"/>
        </w:rPr>
        <w:t>,</w:t>
      </w:r>
      <w:r w:rsidRPr="00FE50A6">
        <w:rPr>
          <w:rFonts w:cs="Arial"/>
          <w:szCs w:val="20"/>
          <w:lang w:val="en-US"/>
        </w:rPr>
        <w:t xml:space="preserve"> including </w:t>
      </w:r>
      <w:r w:rsidR="0003391C" w:rsidRPr="00FE50A6">
        <w:rPr>
          <w:rFonts w:cs="Arial"/>
          <w:szCs w:val="20"/>
          <w:lang w:val="en-US"/>
        </w:rPr>
        <w:t>Maranhão, Piauí</w:t>
      </w:r>
      <w:r w:rsidR="00030C17" w:rsidRPr="00FE50A6">
        <w:rPr>
          <w:rFonts w:cs="Arial"/>
          <w:szCs w:val="20"/>
          <w:lang w:val="en-US"/>
        </w:rPr>
        <w:t xml:space="preserve"> and </w:t>
      </w:r>
      <w:r w:rsidR="0003391C" w:rsidRPr="00FE50A6">
        <w:rPr>
          <w:rFonts w:cs="Arial"/>
          <w:szCs w:val="20"/>
          <w:lang w:val="en-US"/>
        </w:rPr>
        <w:t>Tocantins</w:t>
      </w:r>
      <w:r w:rsidRPr="00FE50A6">
        <w:rPr>
          <w:rFonts w:cs="Arial"/>
          <w:szCs w:val="20"/>
          <w:lang w:val="en-US"/>
        </w:rPr>
        <w:t>.</w:t>
      </w:r>
      <w:r w:rsidR="0003391C" w:rsidRPr="00FE50A6">
        <w:rPr>
          <w:rStyle w:val="Refdenotaalpie"/>
          <w:rFonts w:cs="Arial"/>
          <w:lang w:val="en-US"/>
        </w:rPr>
        <w:footnoteReference w:id="70"/>
      </w:r>
      <w:r w:rsidR="00B36EBC" w:rsidRPr="00FE50A6">
        <w:rPr>
          <w:rFonts w:cs="Arial"/>
          <w:szCs w:val="20"/>
          <w:lang w:val="en-US"/>
        </w:rPr>
        <w:t xml:space="preserve"> </w:t>
      </w:r>
      <w:r w:rsidRPr="00FE50A6">
        <w:rPr>
          <w:rFonts w:cs="Arial"/>
          <w:szCs w:val="20"/>
          <w:lang w:val="en-US"/>
        </w:rPr>
        <w:t xml:space="preserve">Workers from these state migrate to states with the greatest demand for </w:t>
      </w:r>
      <w:r w:rsidR="005F1946" w:rsidRPr="00FE50A6">
        <w:rPr>
          <w:rFonts w:cs="Arial"/>
          <w:szCs w:val="20"/>
          <w:lang w:val="en-US"/>
        </w:rPr>
        <w:t>slave labor</w:t>
      </w:r>
      <w:r w:rsidR="0003391C" w:rsidRPr="00FE50A6">
        <w:rPr>
          <w:rFonts w:cs="Arial"/>
          <w:szCs w:val="20"/>
          <w:lang w:val="en-US"/>
        </w:rPr>
        <w:t xml:space="preserve">: Pará, Mato Grosso, </w:t>
      </w:r>
      <w:r w:rsidR="00D85BC5" w:rsidRPr="00FE50A6">
        <w:rPr>
          <w:rFonts w:cs="Arial"/>
          <w:szCs w:val="20"/>
          <w:lang w:val="en-US"/>
        </w:rPr>
        <w:t>Maranhão</w:t>
      </w:r>
      <w:r w:rsidR="00030C17" w:rsidRPr="00FE50A6">
        <w:rPr>
          <w:rFonts w:cs="Arial"/>
          <w:szCs w:val="20"/>
          <w:lang w:val="en-US"/>
        </w:rPr>
        <w:t xml:space="preserve"> and </w:t>
      </w:r>
      <w:r w:rsidR="0003391C" w:rsidRPr="00FE50A6">
        <w:rPr>
          <w:rFonts w:cs="Arial"/>
          <w:szCs w:val="20"/>
          <w:lang w:val="en-US"/>
        </w:rPr>
        <w:t>Tocantins</w:t>
      </w:r>
      <w:r w:rsidRPr="00FE50A6">
        <w:rPr>
          <w:rFonts w:cs="Arial"/>
          <w:szCs w:val="20"/>
          <w:lang w:val="en-US"/>
        </w:rPr>
        <w:t>.</w:t>
      </w:r>
      <w:r w:rsidR="0003391C" w:rsidRPr="00FE50A6">
        <w:rPr>
          <w:rStyle w:val="Refdenotaalpie"/>
          <w:rFonts w:cs="Arial"/>
          <w:lang w:val="en-US"/>
        </w:rPr>
        <w:footnoteReference w:id="71"/>
      </w:r>
      <w:r w:rsidRPr="00FE50A6">
        <w:rPr>
          <w:rFonts w:cs="Arial"/>
          <w:szCs w:val="20"/>
          <w:lang w:val="en-US"/>
        </w:rPr>
        <w:t xml:space="preserve"> The </w:t>
      </w:r>
      <w:r w:rsidR="00E90FCB" w:rsidRPr="00FE50A6">
        <w:rPr>
          <w:rFonts w:cs="Arial"/>
          <w:szCs w:val="20"/>
          <w:lang w:val="en-US"/>
        </w:rPr>
        <w:t xml:space="preserve">main </w:t>
      </w:r>
      <w:r w:rsidRPr="00FE50A6">
        <w:rPr>
          <w:rFonts w:cs="Arial"/>
          <w:szCs w:val="20"/>
          <w:lang w:val="en-US"/>
        </w:rPr>
        <w:t>activities empl</w:t>
      </w:r>
      <w:r w:rsidR="00E90FCB" w:rsidRPr="00FE50A6">
        <w:rPr>
          <w:rFonts w:cs="Arial"/>
          <w:szCs w:val="20"/>
          <w:lang w:val="en-US"/>
        </w:rPr>
        <w:t>o</w:t>
      </w:r>
      <w:r w:rsidRPr="00FE50A6">
        <w:rPr>
          <w:rFonts w:cs="Arial"/>
          <w:szCs w:val="20"/>
          <w:lang w:val="en-US"/>
        </w:rPr>
        <w:t>y</w:t>
      </w:r>
      <w:r w:rsidR="00E90FCB" w:rsidRPr="00FE50A6">
        <w:rPr>
          <w:rFonts w:cs="Arial"/>
          <w:szCs w:val="20"/>
          <w:lang w:val="en-US"/>
        </w:rPr>
        <w:t>ing</w:t>
      </w:r>
      <w:r w:rsidRPr="00FE50A6">
        <w:rPr>
          <w:rFonts w:cs="Arial"/>
          <w:szCs w:val="20"/>
          <w:lang w:val="en-US"/>
        </w:rPr>
        <w:t xml:space="preserve"> slave labor are </w:t>
      </w:r>
      <w:r w:rsidR="00E90FCB" w:rsidRPr="00FE50A6">
        <w:rPr>
          <w:rFonts w:cs="Arial"/>
          <w:szCs w:val="20"/>
          <w:lang w:val="en-US"/>
        </w:rPr>
        <w:t>cattle ranching</w:t>
      </w:r>
      <w:r w:rsidRPr="00FE50A6">
        <w:rPr>
          <w:rFonts w:cs="Arial"/>
          <w:szCs w:val="20"/>
          <w:lang w:val="en-US"/>
        </w:rPr>
        <w:t>, large-scale agricultura</w:t>
      </w:r>
      <w:r w:rsidR="00E90FCB" w:rsidRPr="00FE50A6">
        <w:rPr>
          <w:rFonts w:cs="Arial"/>
          <w:szCs w:val="20"/>
          <w:lang w:val="en-US"/>
        </w:rPr>
        <w:t>l production</w:t>
      </w:r>
      <w:r w:rsidRPr="00FE50A6">
        <w:rPr>
          <w:rFonts w:cs="Arial"/>
          <w:szCs w:val="20"/>
          <w:lang w:val="en-US"/>
        </w:rPr>
        <w:t>, deforestation</w:t>
      </w:r>
      <w:r w:rsidR="00E90FCB" w:rsidRPr="00FE50A6">
        <w:rPr>
          <w:rFonts w:cs="Arial"/>
          <w:szCs w:val="20"/>
          <w:lang w:val="en-US"/>
        </w:rPr>
        <w:t xml:space="preserve"> and forestry</w:t>
      </w:r>
      <w:r w:rsidRPr="00FE50A6">
        <w:rPr>
          <w:rFonts w:cs="Arial"/>
          <w:szCs w:val="20"/>
          <w:lang w:val="en-US"/>
        </w:rPr>
        <w:t xml:space="preserve">, and </w:t>
      </w:r>
      <w:r w:rsidR="00E90FCB" w:rsidRPr="00FE50A6">
        <w:rPr>
          <w:rFonts w:cs="Arial"/>
          <w:szCs w:val="20"/>
          <w:lang w:val="en-US"/>
        </w:rPr>
        <w:t>charcoal</w:t>
      </w:r>
      <w:r w:rsidRPr="00FE50A6">
        <w:rPr>
          <w:rFonts w:cs="Arial"/>
          <w:szCs w:val="20"/>
          <w:lang w:val="en-US"/>
        </w:rPr>
        <w:t>.</w:t>
      </w:r>
      <w:r w:rsidR="0003391C" w:rsidRPr="00FE50A6">
        <w:rPr>
          <w:rStyle w:val="Refdenotaalpie"/>
          <w:rFonts w:cs="Arial"/>
          <w:lang w:val="en-US"/>
        </w:rPr>
        <w:footnoteReference w:id="72"/>
      </w:r>
    </w:p>
    <w:p w14:paraId="47839293" w14:textId="77777777" w:rsidR="0003391C" w:rsidRPr="00FE50A6" w:rsidRDefault="0003391C" w:rsidP="00140440">
      <w:pPr>
        <w:pStyle w:val="Prrafodelista"/>
        <w:autoSpaceDE w:val="0"/>
        <w:autoSpaceDN w:val="0"/>
        <w:adjustRightInd w:val="0"/>
        <w:ind w:left="0"/>
        <w:contextualSpacing w:val="0"/>
        <w:rPr>
          <w:rFonts w:cs="Times New Roman"/>
          <w:szCs w:val="20"/>
          <w:lang w:val="en-US"/>
        </w:rPr>
      </w:pPr>
    </w:p>
    <w:p w14:paraId="1D9AF6A2" w14:textId="77777777" w:rsidR="0003391C" w:rsidRPr="00FE50A6" w:rsidRDefault="0086091E"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lastRenderedPageBreak/>
        <w:t xml:space="preserve">The workers, mostly poor </w:t>
      </w:r>
      <w:r w:rsidR="009C48A4" w:rsidRPr="00FE50A6">
        <w:rPr>
          <w:rFonts w:cs="Arial"/>
          <w:szCs w:val="20"/>
          <w:lang w:val="en-US"/>
        </w:rPr>
        <w:t>“</w:t>
      </w:r>
      <w:r w:rsidRPr="00FE50A6">
        <w:rPr>
          <w:rFonts w:cs="Arial"/>
          <w:szCs w:val="20"/>
          <w:lang w:val="en-US"/>
        </w:rPr>
        <w:t>afro</w:t>
      </w:r>
      <w:r w:rsidR="004A515C" w:rsidRPr="00FE50A6">
        <w:rPr>
          <w:rFonts w:cs="Arial"/>
          <w:szCs w:val="20"/>
          <w:lang w:val="en-US"/>
        </w:rPr>
        <w:t>-</w:t>
      </w:r>
      <w:r w:rsidRPr="00FE50A6">
        <w:rPr>
          <w:rFonts w:cs="Arial"/>
          <w:szCs w:val="20"/>
          <w:lang w:val="en-US"/>
        </w:rPr>
        <w:t>descendent or mulatto</w:t>
      </w:r>
      <w:r w:rsidR="009C48A4" w:rsidRPr="00FE50A6">
        <w:rPr>
          <w:rFonts w:cs="Arial"/>
          <w:szCs w:val="20"/>
          <w:lang w:val="en-US"/>
        </w:rPr>
        <w:t>”</w:t>
      </w:r>
      <w:r w:rsidRPr="00FE50A6">
        <w:rPr>
          <w:rFonts w:cs="Arial"/>
          <w:szCs w:val="20"/>
          <w:lang w:val="en-US"/>
        </w:rPr>
        <w:t xml:space="preserve"> men,</w:t>
      </w:r>
      <w:r w:rsidRPr="00FE50A6">
        <w:rPr>
          <w:rStyle w:val="Refdenotaalpie"/>
          <w:lang w:val="en-US"/>
        </w:rPr>
        <w:footnoteReference w:id="73"/>
      </w:r>
      <w:r w:rsidRPr="00FE50A6">
        <w:rPr>
          <w:rFonts w:cs="Arial"/>
          <w:szCs w:val="20"/>
          <w:lang w:val="en-US"/>
        </w:rPr>
        <w:t xml:space="preserve"> aged between 1</w:t>
      </w:r>
      <w:r w:rsidR="00384CD0" w:rsidRPr="00FE50A6">
        <w:rPr>
          <w:rFonts w:cs="Arial"/>
          <w:szCs w:val="20"/>
          <w:lang w:val="en-US"/>
        </w:rPr>
        <w:t>5</w:t>
      </w:r>
      <w:r w:rsidRPr="00FE50A6">
        <w:rPr>
          <w:rFonts w:cs="Arial"/>
          <w:szCs w:val="20"/>
          <w:lang w:val="en-US"/>
        </w:rPr>
        <w:t xml:space="preserve"> and 40,</w:t>
      </w:r>
      <w:r w:rsidR="0003391C" w:rsidRPr="00FE50A6">
        <w:rPr>
          <w:rStyle w:val="Refdenotaalpie"/>
          <w:rFonts w:cs="Arial"/>
          <w:lang w:val="en-US"/>
        </w:rPr>
        <w:footnoteReference w:id="74"/>
      </w:r>
      <w:r w:rsidR="0003391C" w:rsidRPr="00FE50A6">
        <w:rPr>
          <w:rFonts w:cs="Arial"/>
          <w:szCs w:val="20"/>
          <w:lang w:val="en-US"/>
        </w:rPr>
        <w:t xml:space="preserve"> </w:t>
      </w:r>
      <w:r w:rsidRPr="00FE50A6">
        <w:rPr>
          <w:rFonts w:cs="Arial"/>
          <w:szCs w:val="20"/>
          <w:lang w:val="en-US"/>
        </w:rPr>
        <w:t xml:space="preserve">are recruited </w:t>
      </w:r>
      <w:r w:rsidR="004A515C" w:rsidRPr="00FE50A6">
        <w:rPr>
          <w:rFonts w:cs="Arial"/>
          <w:szCs w:val="20"/>
          <w:lang w:val="en-US"/>
        </w:rPr>
        <w:t xml:space="preserve">by </w:t>
      </w:r>
      <w:r w:rsidRPr="00FE50A6">
        <w:rPr>
          <w:rFonts w:cs="Arial"/>
          <w:szCs w:val="20"/>
          <w:lang w:val="en-US"/>
        </w:rPr>
        <w:t xml:space="preserve">the </w:t>
      </w:r>
      <w:r w:rsidR="009C48A4" w:rsidRPr="00FE50A6">
        <w:rPr>
          <w:rFonts w:cs="Arial"/>
          <w:szCs w:val="20"/>
          <w:lang w:val="en-US"/>
        </w:rPr>
        <w:t>“</w:t>
      </w:r>
      <w:r w:rsidR="00CB2CC7" w:rsidRPr="00FE50A6">
        <w:rPr>
          <w:rFonts w:cs="Arial"/>
          <w:i/>
          <w:szCs w:val="20"/>
          <w:lang w:val="en-US"/>
        </w:rPr>
        <w:t>gatos</w:t>
      </w:r>
      <w:r w:rsidR="009C48A4" w:rsidRPr="00FE50A6">
        <w:rPr>
          <w:rFonts w:cs="Arial"/>
          <w:i/>
          <w:szCs w:val="20"/>
          <w:lang w:val="en-US"/>
        </w:rPr>
        <w:t>”</w:t>
      </w:r>
      <w:r w:rsidR="0003391C" w:rsidRPr="00FE50A6">
        <w:rPr>
          <w:rStyle w:val="Refdenotaalpie"/>
          <w:rFonts w:cs="Arial"/>
          <w:lang w:val="en-US"/>
        </w:rPr>
        <w:footnoteReference w:id="75"/>
      </w:r>
      <w:r w:rsidR="0003391C" w:rsidRPr="00FE50A6">
        <w:rPr>
          <w:rFonts w:cs="Arial"/>
          <w:szCs w:val="20"/>
          <w:lang w:val="en-US"/>
        </w:rPr>
        <w:t xml:space="preserve"> </w:t>
      </w:r>
      <w:r w:rsidR="004A515C" w:rsidRPr="00FE50A6">
        <w:rPr>
          <w:rFonts w:cs="Arial"/>
          <w:szCs w:val="20"/>
          <w:lang w:val="en-US"/>
        </w:rPr>
        <w:t xml:space="preserve">in their states of origin </w:t>
      </w:r>
      <w:r w:rsidRPr="00FE50A6">
        <w:rPr>
          <w:rFonts w:cs="Arial"/>
          <w:szCs w:val="20"/>
          <w:lang w:val="en-US"/>
        </w:rPr>
        <w:t>to work in distant state</w:t>
      </w:r>
      <w:r w:rsidR="00384CD0" w:rsidRPr="00FE50A6">
        <w:rPr>
          <w:rFonts w:cs="Arial"/>
          <w:szCs w:val="20"/>
          <w:lang w:val="en-US"/>
        </w:rPr>
        <w:t>s</w:t>
      </w:r>
      <w:r w:rsidRPr="00FE50A6">
        <w:rPr>
          <w:rFonts w:cs="Arial"/>
          <w:szCs w:val="20"/>
          <w:lang w:val="en-US"/>
        </w:rPr>
        <w:t xml:space="preserve">, with the promise of attractive </w:t>
      </w:r>
      <w:r w:rsidR="00384CD0" w:rsidRPr="00FE50A6">
        <w:rPr>
          <w:rFonts w:cs="Arial"/>
          <w:szCs w:val="20"/>
          <w:lang w:val="en-US"/>
        </w:rPr>
        <w:t>salaries</w:t>
      </w:r>
      <w:r w:rsidRPr="00FE50A6">
        <w:rPr>
          <w:rFonts w:cs="Arial"/>
          <w:szCs w:val="20"/>
          <w:lang w:val="en-US"/>
        </w:rPr>
        <w:t>.</w:t>
      </w:r>
      <w:r w:rsidR="0003391C" w:rsidRPr="00FE50A6">
        <w:rPr>
          <w:rStyle w:val="Refdenotaalpie"/>
          <w:rFonts w:cs="Arial"/>
          <w:lang w:val="en-US"/>
        </w:rPr>
        <w:footnoteReference w:id="76"/>
      </w:r>
      <w:r w:rsidRPr="00FE50A6">
        <w:rPr>
          <w:rFonts w:cs="Times New Roman"/>
          <w:szCs w:val="20"/>
          <w:lang w:val="en-US"/>
        </w:rPr>
        <w:t xml:space="preserve"> When they arrive at the </w:t>
      </w:r>
      <w:r w:rsidR="0003391C" w:rsidRPr="00FE50A6">
        <w:rPr>
          <w:rFonts w:cs="Arial"/>
          <w:szCs w:val="20"/>
          <w:lang w:val="en-US"/>
        </w:rPr>
        <w:t xml:space="preserve">haciendas, </w:t>
      </w:r>
      <w:r w:rsidRPr="00FE50A6">
        <w:rPr>
          <w:rFonts w:cs="Arial"/>
          <w:szCs w:val="20"/>
          <w:lang w:val="en-US"/>
        </w:rPr>
        <w:t xml:space="preserve">the workers are told that they </w:t>
      </w:r>
      <w:r w:rsidR="00E90FCB" w:rsidRPr="00FE50A6">
        <w:rPr>
          <w:rFonts w:cs="Arial"/>
          <w:szCs w:val="20"/>
          <w:lang w:val="en-US"/>
        </w:rPr>
        <w:t xml:space="preserve">are in debt to those who hired them for their transport, food and accommodation. The promised </w:t>
      </w:r>
      <w:r w:rsidR="00384CD0" w:rsidRPr="00FE50A6">
        <w:rPr>
          <w:rFonts w:cs="Arial"/>
          <w:szCs w:val="20"/>
          <w:lang w:val="en-US"/>
        </w:rPr>
        <w:t>salaries</w:t>
      </w:r>
      <w:r w:rsidR="00E90FCB" w:rsidRPr="00FE50A6">
        <w:rPr>
          <w:rFonts w:cs="Arial"/>
          <w:szCs w:val="20"/>
          <w:lang w:val="en-US"/>
        </w:rPr>
        <w:t xml:space="preserve"> are reduced and do not cover the costs already assumed. In some cases</w:t>
      </w:r>
      <w:r w:rsidR="00384CD0" w:rsidRPr="00FE50A6">
        <w:rPr>
          <w:rFonts w:cs="Arial"/>
          <w:szCs w:val="20"/>
          <w:lang w:val="en-US"/>
        </w:rPr>
        <w:t>,</w:t>
      </w:r>
      <w:r w:rsidR="00E90FCB" w:rsidRPr="00FE50A6">
        <w:rPr>
          <w:rFonts w:cs="Arial"/>
          <w:szCs w:val="20"/>
          <w:lang w:val="en-US"/>
        </w:rPr>
        <w:t xml:space="preserve"> the workers become increasingly indebted </w:t>
      </w:r>
      <w:r w:rsidR="00384CD0" w:rsidRPr="00FE50A6">
        <w:rPr>
          <w:rFonts w:cs="Arial"/>
          <w:szCs w:val="20"/>
          <w:lang w:val="en-US"/>
        </w:rPr>
        <w:t xml:space="preserve">since </w:t>
      </w:r>
      <w:r w:rsidR="00E90FCB" w:rsidRPr="00FE50A6">
        <w:rPr>
          <w:rFonts w:cs="Arial"/>
          <w:szCs w:val="20"/>
          <w:lang w:val="en-US"/>
        </w:rPr>
        <w:t xml:space="preserve">they have to buy </w:t>
      </w:r>
      <w:r w:rsidR="00FE50A6">
        <w:rPr>
          <w:rFonts w:cs="Arial"/>
          <w:szCs w:val="20"/>
          <w:lang w:val="en-US"/>
        </w:rPr>
        <w:t>everything</w:t>
      </w:r>
      <w:r w:rsidR="00E90FCB" w:rsidRPr="00FE50A6">
        <w:rPr>
          <w:rFonts w:cs="Arial"/>
          <w:szCs w:val="20"/>
          <w:lang w:val="en-US"/>
        </w:rPr>
        <w:t xml:space="preserve"> they need</w:t>
      </w:r>
      <w:r w:rsidR="00384CD0" w:rsidRPr="00FE50A6">
        <w:rPr>
          <w:rFonts w:cs="Arial"/>
          <w:szCs w:val="20"/>
          <w:lang w:val="en-US"/>
        </w:rPr>
        <w:t xml:space="preserve"> at inflated prices</w:t>
      </w:r>
      <w:r w:rsidR="00E90FCB" w:rsidRPr="00FE50A6">
        <w:rPr>
          <w:rFonts w:cs="Arial"/>
          <w:szCs w:val="20"/>
          <w:lang w:val="en-US"/>
        </w:rPr>
        <w:t xml:space="preserve"> </w:t>
      </w:r>
      <w:r w:rsidR="00384CD0" w:rsidRPr="00FE50A6">
        <w:rPr>
          <w:rFonts w:cs="Arial"/>
          <w:szCs w:val="20"/>
          <w:lang w:val="en-US"/>
        </w:rPr>
        <w:t>from</w:t>
      </w:r>
      <w:r w:rsidR="00E90FCB" w:rsidRPr="00FE50A6">
        <w:rPr>
          <w:rFonts w:cs="Arial"/>
          <w:szCs w:val="20"/>
          <w:lang w:val="en-US"/>
        </w:rPr>
        <w:t xml:space="preserve"> the hacienda s</w:t>
      </w:r>
      <w:r w:rsidR="00384CD0" w:rsidRPr="00FE50A6">
        <w:rPr>
          <w:rFonts w:cs="Arial"/>
          <w:szCs w:val="20"/>
          <w:lang w:val="en-US"/>
        </w:rPr>
        <w:t>hop</w:t>
      </w:r>
      <w:r w:rsidR="00E90FCB" w:rsidRPr="00FE50A6">
        <w:rPr>
          <w:rFonts w:cs="Arial"/>
          <w:szCs w:val="20"/>
          <w:lang w:val="en-US"/>
        </w:rPr>
        <w:t>. Their debt</w:t>
      </w:r>
      <w:r w:rsidR="00384CD0" w:rsidRPr="00FE50A6">
        <w:rPr>
          <w:rFonts w:cs="Arial"/>
          <w:szCs w:val="20"/>
          <w:lang w:val="en-US"/>
        </w:rPr>
        <w:t>s</w:t>
      </w:r>
      <w:r w:rsidR="00E90FCB" w:rsidRPr="00FE50A6">
        <w:rPr>
          <w:rFonts w:cs="Arial"/>
          <w:szCs w:val="20"/>
          <w:lang w:val="en-US"/>
        </w:rPr>
        <w:t xml:space="preserve"> increase to </w:t>
      </w:r>
      <w:r w:rsidR="00384CD0" w:rsidRPr="00FE50A6">
        <w:rPr>
          <w:rFonts w:cs="Arial"/>
          <w:szCs w:val="20"/>
          <w:lang w:val="en-US"/>
        </w:rPr>
        <w:t>such an extent</w:t>
      </w:r>
      <w:r w:rsidR="00E90FCB" w:rsidRPr="00FE50A6">
        <w:rPr>
          <w:rFonts w:cs="Arial"/>
          <w:szCs w:val="20"/>
          <w:lang w:val="en-US"/>
        </w:rPr>
        <w:t xml:space="preserve"> that they can never </w:t>
      </w:r>
      <w:r w:rsidR="00384CD0" w:rsidRPr="00FE50A6">
        <w:rPr>
          <w:rFonts w:cs="Arial"/>
          <w:szCs w:val="20"/>
          <w:lang w:val="en-US"/>
        </w:rPr>
        <w:t xml:space="preserve">be </w:t>
      </w:r>
      <w:r w:rsidR="00E90FCB" w:rsidRPr="00FE50A6">
        <w:rPr>
          <w:rFonts w:cs="Arial"/>
          <w:szCs w:val="20"/>
          <w:lang w:val="en-US"/>
        </w:rPr>
        <w:t>pa</w:t>
      </w:r>
      <w:r w:rsidR="00384CD0" w:rsidRPr="00FE50A6">
        <w:rPr>
          <w:rFonts w:cs="Arial"/>
          <w:szCs w:val="20"/>
          <w:lang w:val="en-US"/>
        </w:rPr>
        <w:t>id</w:t>
      </w:r>
      <w:r w:rsidR="00E90FCB" w:rsidRPr="00FE50A6">
        <w:rPr>
          <w:rFonts w:cs="Arial"/>
          <w:szCs w:val="20"/>
          <w:lang w:val="en-US"/>
        </w:rPr>
        <w:t xml:space="preserve"> off and </w:t>
      </w:r>
      <w:r w:rsidR="004A515C" w:rsidRPr="00FE50A6">
        <w:rPr>
          <w:rFonts w:cs="Arial"/>
          <w:szCs w:val="20"/>
          <w:lang w:val="en-US"/>
        </w:rPr>
        <w:t xml:space="preserve">they </w:t>
      </w:r>
      <w:r w:rsidR="00E90FCB" w:rsidRPr="00FE50A6">
        <w:rPr>
          <w:rFonts w:cs="Arial"/>
          <w:szCs w:val="20"/>
          <w:lang w:val="en-US"/>
        </w:rPr>
        <w:t xml:space="preserve">are </w:t>
      </w:r>
      <w:r w:rsidR="00384CD0" w:rsidRPr="00FE50A6">
        <w:rPr>
          <w:rFonts w:cs="Arial"/>
          <w:szCs w:val="20"/>
          <w:lang w:val="en-US"/>
        </w:rPr>
        <w:t>thus forced</w:t>
      </w:r>
      <w:r w:rsidR="00E90FCB" w:rsidRPr="00FE50A6">
        <w:rPr>
          <w:rFonts w:cs="Arial"/>
          <w:szCs w:val="20"/>
          <w:lang w:val="en-US"/>
        </w:rPr>
        <w:t xml:space="preserve"> to continue working.</w:t>
      </w:r>
      <w:r w:rsidR="0003391C" w:rsidRPr="00FE50A6">
        <w:rPr>
          <w:rStyle w:val="Refdenotaalpie"/>
          <w:rFonts w:cs="Arial"/>
          <w:lang w:val="en-US"/>
        </w:rPr>
        <w:footnoteReference w:id="77"/>
      </w:r>
      <w:r w:rsidR="0003391C" w:rsidRPr="00FE50A6">
        <w:rPr>
          <w:rFonts w:cs="Arial"/>
          <w:szCs w:val="20"/>
          <w:lang w:val="en-US"/>
        </w:rPr>
        <w:t xml:space="preserve"> </w:t>
      </w:r>
    </w:p>
    <w:p w14:paraId="5CF46789" w14:textId="77777777" w:rsidR="0003391C" w:rsidRPr="00FE50A6" w:rsidRDefault="0003391C" w:rsidP="00140440">
      <w:pPr>
        <w:pStyle w:val="Prrafodelista"/>
        <w:contextualSpacing w:val="0"/>
        <w:rPr>
          <w:rFonts w:cs="Times New Roman"/>
          <w:szCs w:val="20"/>
          <w:lang w:val="en-US"/>
        </w:rPr>
      </w:pPr>
    </w:p>
    <w:p w14:paraId="2734E5F0" w14:textId="77777777" w:rsidR="0003391C" w:rsidRPr="00FE50A6" w:rsidRDefault="009847F5" w:rsidP="009847F5">
      <w:pPr>
        <w:pStyle w:val="Prrafodelista"/>
        <w:numPr>
          <w:ilvl w:val="0"/>
          <w:numId w:val="1"/>
        </w:numPr>
        <w:autoSpaceDE w:val="0"/>
        <w:autoSpaceDN w:val="0"/>
        <w:adjustRightInd w:val="0"/>
        <w:contextualSpacing w:val="0"/>
        <w:rPr>
          <w:rFonts w:cs="Times New Roman"/>
          <w:szCs w:val="20"/>
          <w:lang w:val="en-US"/>
        </w:rPr>
      </w:pPr>
      <w:r w:rsidRPr="00FE50A6">
        <w:rPr>
          <w:rFonts w:cs="Times New Roman"/>
          <w:szCs w:val="20"/>
          <w:lang w:val="en-US"/>
        </w:rPr>
        <w:t xml:space="preserve">Workers are often </w:t>
      </w:r>
      <w:r w:rsidR="004A515C" w:rsidRPr="00FE50A6">
        <w:rPr>
          <w:rFonts w:cs="Times New Roman"/>
          <w:szCs w:val="20"/>
          <w:lang w:val="en-US"/>
        </w:rPr>
        <w:t>supervised</w:t>
      </w:r>
      <w:r w:rsidRPr="00FE50A6">
        <w:rPr>
          <w:rFonts w:cs="Times New Roman"/>
          <w:szCs w:val="20"/>
          <w:lang w:val="en-US"/>
        </w:rPr>
        <w:t xml:space="preserve"> by armed guards who do not allow them to leave the haciendas</w:t>
      </w:r>
      <w:r w:rsidR="0003391C" w:rsidRPr="00FE50A6">
        <w:rPr>
          <w:rFonts w:cs="Times New Roman"/>
          <w:szCs w:val="20"/>
          <w:lang w:val="en-US"/>
        </w:rPr>
        <w:t>.</w:t>
      </w:r>
      <w:r w:rsidRPr="00FE50A6">
        <w:rPr>
          <w:rFonts w:cs="Times New Roman"/>
          <w:szCs w:val="20"/>
          <w:lang w:val="en-US"/>
        </w:rPr>
        <w:t xml:space="preserve"> If they do try to escape, they are usually hunted down and </w:t>
      </w:r>
      <w:r w:rsidR="004A515C" w:rsidRPr="00FE50A6">
        <w:rPr>
          <w:rFonts w:cs="Times New Roman"/>
          <w:szCs w:val="20"/>
          <w:lang w:val="en-US"/>
        </w:rPr>
        <w:t>beaten</w:t>
      </w:r>
      <w:r w:rsidRPr="00FE50A6">
        <w:rPr>
          <w:rFonts w:cs="Times New Roman"/>
          <w:szCs w:val="20"/>
          <w:lang w:val="en-US"/>
        </w:rPr>
        <w:t>.</w:t>
      </w:r>
      <w:r w:rsidR="0003391C" w:rsidRPr="00FE50A6">
        <w:rPr>
          <w:rStyle w:val="Refdenotaalpie"/>
          <w:lang w:val="en-US"/>
        </w:rPr>
        <w:footnoteReference w:id="78"/>
      </w:r>
      <w:r w:rsidRPr="00FE50A6">
        <w:rPr>
          <w:rFonts w:cs="Times New Roman"/>
          <w:szCs w:val="20"/>
          <w:lang w:val="en-US"/>
        </w:rPr>
        <w:t xml:space="preserve"> Furthermore, the geographical location of the haciendas may</w:t>
      </w:r>
      <w:r w:rsidR="003B7D54" w:rsidRPr="00FE50A6">
        <w:rPr>
          <w:rFonts w:cs="Times New Roman"/>
          <w:szCs w:val="20"/>
          <w:lang w:val="en-US"/>
        </w:rPr>
        <w:t>,</w:t>
      </w:r>
      <w:r w:rsidRPr="00FE50A6">
        <w:rPr>
          <w:rFonts w:cs="Times New Roman"/>
          <w:szCs w:val="20"/>
          <w:lang w:val="en-US"/>
        </w:rPr>
        <w:t xml:space="preserve"> </w:t>
      </w:r>
      <w:r w:rsidR="003B7D54" w:rsidRPr="00FE50A6">
        <w:rPr>
          <w:rFonts w:cs="Times New Roman"/>
          <w:szCs w:val="20"/>
          <w:lang w:val="en-US"/>
        </w:rPr>
        <w:t>of</w:t>
      </w:r>
      <w:r w:rsidRPr="00FE50A6">
        <w:rPr>
          <w:rFonts w:cs="Times New Roman"/>
          <w:szCs w:val="20"/>
          <w:lang w:val="en-US"/>
        </w:rPr>
        <w:t xml:space="preserve"> itself</w:t>
      </w:r>
      <w:r w:rsidR="003B7D54" w:rsidRPr="00FE50A6">
        <w:rPr>
          <w:rFonts w:cs="Times New Roman"/>
          <w:szCs w:val="20"/>
          <w:lang w:val="en-US"/>
        </w:rPr>
        <w:t>,</w:t>
      </w:r>
      <w:r w:rsidRPr="00FE50A6">
        <w:rPr>
          <w:rFonts w:cs="Times New Roman"/>
          <w:szCs w:val="20"/>
          <w:lang w:val="en-US"/>
        </w:rPr>
        <w:t xml:space="preserve"> limit the liberty of the workers, because access to urban centers is often impossible owing, not only to the distance, but also to the poor conditions</w:t>
      </w:r>
      <w:r w:rsidR="0003391C" w:rsidRPr="00FE50A6">
        <w:rPr>
          <w:rFonts w:cs="Times New Roman"/>
          <w:szCs w:val="20"/>
          <w:lang w:val="en-US"/>
        </w:rPr>
        <w:t xml:space="preserve"> </w:t>
      </w:r>
      <w:r w:rsidRPr="00FE50A6">
        <w:rPr>
          <w:rFonts w:cs="Times New Roman"/>
          <w:szCs w:val="20"/>
          <w:lang w:val="en-US"/>
        </w:rPr>
        <w:t>of access roads.</w:t>
      </w:r>
      <w:r w:rsidR="0003391C" w:rsidRPr="00FE50A6">
        <w:rPr>
          <w:rStyle w:val="Refdenotaalpie"/>
          <w:lang w:val="en-US"/>
        </w:rPr>
        <w:footnoteReference w:id="79"/>
      </w:r>
      <w:r w:rsidR="0003391C" w:rsidRPr="00FE50A6">
        <w:rPr>
          <w:rFonts w:cs="Times New Roman"/>
          <w:szCs w:val="20"/>
          <w:lang w:val="en-US"/>
        </w:rPr>
        <w:t xml:space="preserve"> </w:t>
      </w:r>
      <w:r w:rsidRPr="00FE50A6">
        <w:rPr>
          <w:rFonts w:cs="Times New Roman"/>
          <w:szCs w:val="20"/>
          <w:lang w:val="en-US"/>
        </w:rPr>
        <w:t>Some workers endure physical, sexual and verbal abuse, in addition to working in dangerous, unhygienic and degrading conditions.</w:t>
      </w:r>
      <w:r w:rsidR="0003391C" w:rsidRPr="00FE50A6">
        <w:rPr>
          <w:rStyle w:val="Refdenotaalpie"/>
          <w:lang w:val="en-US"/>
        </w:rPr>
        <w:footnoteReference w:id="80"/>
      </w:r>
      <w:r w:rsidRPr="00FE50A6">
        <w:rPr>
          <w:rFonts w:cs="Times New Roman"/>
          <w:szCs w:val="20"/>
          <w:lang w:val="en-US"/>
        </w:rPr>
        <w:t xml:space="preserve"> Owing to their extreme poverty, their situation of vulnerability and their desperation to work, workers often accept such conditions.</w:t>
      </w:r>
      <w:r w:rsidR="0003391C" w:rsidRPr="00FE50A6">
        <w:rPr>
          <w:rStyle w:val="Refdenotaalpie"/>
          <w:lang w:val="en-US"/>
        </w:rPr>
        <w:footnoteReference w:id="81"/>
      </w:r>
    </w:p>
    <w:p w14:paraId="3365E2A2" w14:textId="77777777" w:rsidR="0003391C" w:rsidRPr="00FE50A6" w:rsidRDefault="0003391C" w:rsidP="00140440">
      <w:pPr>
        <w:pStyle w:val="Prrafodelista"/>
        <w:autoSpaceDE w:val="0"/>
        <w:autoSpaceDN w:val="0"/>
        <w:adjustRightInd w:val="0"/>
        <w:ind w:left="0"/>
        <w:contextualSpacing w:val="0"/>
        <w:rPr>
          <w:rFonts w:cs="Times New Roman"/>
          <w:szCs w:val="20"/>
          <w:lang w:val="en-US"/>
        </w:rPr>
      </w:pPr>
    </w:p>
    <w:p w14:paraId="66B42E66" w14:textId="77777777" w:rsidR="0003391C" w:rsidRPr="00FE50A6" w:rsidRDefault="009847F5"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t>Regarding the</w:t>
      </w:r>
      <w:r w:rsidR="006E27EA" w:rsidRPr="00FE50A6">
        <w:rPr>
          <w:rFonts w:cs="Arial"/>
          <w:szCs w:val="20"/>
          <w:lang w:val="en-US"/>
        </w:rPr>
        <w:t xml:space="preserve"> </w:t>
      </w:r>
      <w:r w:rsidRPr="00FE50A6">
        <w:rPr>
          <w:rFonts w:cs="Arial"/>
          <w:szCs w:val="20"/>
          <w:lang w:val="en-US"/>
        </w:rPr>
        <w:t xml:space="preserve">investigations into these facts, according to the ILO, </w:t>
      </w:r>
      <w:r w:rsidR="006E27EA" w:rsidRPr="00FE50A6">
        <w:rPr>
          <w:rFonts w:cs="Arial"/>
          <w:szCs w:val="20"/>
          <w:lang w:val="en-US"/>
        </w:rPr>
        <w:t xml:space="preserve">the roots of the situation </w:t>
      </w:r>
      <w:r w:rsidR="00270B76" w:rsidRPr="00FE50A6">
        <w:rPr>
          <w:rFonts w:cs="Arial"/>
          <w:szCs w:val="20"/>
          <w:lang w:val="en-US"/>
        </w:rPr>
        <w:t>of</w:t>
      </w:r>
      <w:r w:rsidR="006E27EA" w:rsidRPr="00FE50A6">
        <w:rPr>
          <w:rFonts w:cs="Arial"/>
          <w:szCs w:val="20"/>
          <w:lang w:val="en-US"/>
        </w:rPr>
        <w:t xml:space="preserve"> </w:t>
      </w:r>
      <w:r w:rsidRPr="00FE50A6">
        <w:rPr>
          <w:rFonts w:cs="Arial"/>
          <w:szCs w:val="20"/>
          <w:lang w:val="en-US"/>
        </w:rPr>
        <w:t xml:space="preserve">impunity </w:t>
      </w:r>
      <w:r w:rsidR="006E27EA" w:rsidRPr="00FE50A6">
        <w:rPr>
          <w:rFonts w:cs="Arial"/>
          <w:szCs w:val="20"/>
          <w:lang w:val="en-US"/>
        </w:rPr>
        <w:t>for the use of s</w:t>
      </w:r>
      <w:r w:rsidRPr="00FE50A6">
        <w:rPr>
          <w:rFonts w:cs="Arial"/>
          <w:szCs w:val="20"/>
          <w:lang w:val="en-US"/>
        </w:rPr>
        <w:t xml:space="preserve">lave labor </w:t>
      </w:r>
      <w:r w:rsidR="006E27EA" w:rsidRPr="00FE50A6">
        <w:rPr>
          <w:rFonts w:cs="Arial"/>
          <w:szCs w:val="20"/>
          <w:lang w:val="en-US"/>
        </w:rPr>
        <w:t xml:space="preserve">lie in the links between landowners and the federal, state and municipal authorities </w:t>
      </w:r>
      <w:r w:rsidR="00E368FD" w:rsidRPr="00FE50A6">
        <w:rPr>
          <w:rFonts w:cs="Arial"/>
          <w:szCs w:val="20"/>
          <w:lang w:val="en-US"/>
        </w:rPr>
        <w:t>in Brazil</w:t>
      </w:r>
      <w:r w:rsidR="0003391C" w:rsidRPr="00FE50A6">
        <w:rPr>
          <w:rFonts w:cs="Arial"/>
          <w:szCs w:val="20"/>
          <w:lang w:val="en-US"/>
        </w:rPr>
        <w:t>. M</w:t>
      </w:r>
      <w:r w:rsidR="006E27EA" w:rsidRPr="00FE50A6">
        <w:rPr>
          <w:rFonts w:cs="Arial"/>
          <w:szCs w:val="20"/>
          <w:lang w:val="en-US"/>
        </w:rPr>
        <w:t xml:space="preserve">any landowners exercise power and influence within various national </w:t>
      </w:r>
      <w:r w:rsidR="003B7D54" w:rsidRPr="00FE50A6">
        <w:rPr>
          <w:rFonts w:cs="Arial"/>
          <w:szCs w:val="20"/>
          <w:lang w:val="en-US"/>
        </w:rPr>
        <w:t>b</w:t>
      </w:r>
      <w:r w:rsidR="006E27EA" w:rsidRPr="00FE50A6">
        <w:rPr>
          <w:rFonts w:cs="Arial"/>
          <w:szCs w:val="20"/>
          <w:lang w:val="en-US"/>
        </w:rPr>
        <w:t>odies, either directly or indirectly.</w:t>
      </w:r>
      <w:r w:rsidR="0003391C" w:rsidRPr="00FE50A6">
        <w:rPr>
          <w:rStyle w:val="Refdenotaalpie"/>
          <w:rFonts w:cs="Arial"/>
          <w:lang w:val="en-US"/>
        </w:rPr>
        <w:footnoteReference w:id="82"/>
      </w:r>
      <w:r w:rsidR="0003391C" w:rsidRPr="00FE50A6">
        <w:rPr>
          <w:rFonts w:cs="Arial"/>
          <w:szCs w:val="20"/>
          <w:lang w:val="en-US"/>
        </w:rPr>
        <w:t xml:space="preserve"> </w:t>
      </w:r>
    </w:p>
    <w:p w14:paraId="2964FF2F" w14:textId="77777777" w:rsidR="0003391C" w:rsidRPr="00FE50A6" w:rsidRDefault="0003391C" w:rsidP="00140440">
      <w:pPr>
        <w:pStyle w:val="Prrafodelista"/>
        <w:autoSpaceDE w:val="0"/>
        <w:autoSpaceDN w:val="0"/>
        <w:adjustRightInd w:val="0"/>
        <w:ind w:left="0"/>
        <w:contextualSpacing w:val="0"/>
        <w:rPr>
          <w:rFonts w:cs="Times New Roman"/>
          <w:szCs w:val="20"/>
          <w:lang w:val="en-US"/>
        </w:rPr>
      </w:pPr>
    </w:p>
    <w:p w14:paraId="229E78C8" w14:textId="77777777" w:rsidR="0003391C" w:rsidRPr="00FE50A6" w:rsidRDefault="0003391C" w:rsidP="008622F3">
      <w:pPr>
        <w:pStyle w:val="Ttulo3"/>
        <w:rPr>
          <w:lang w:val="en-US"/>
        </w:rPr>
      </w:pPr>
      <w:bookmarkStart w:id="196" w:name="_Toc460433001"/>
      <w:bookmarkStart w:id="197" w:name="_Toc460441932"/>
      <w:bookmarkStart w:id="198" w:name="_Toc462750750"/>
      <w:bookmarkStart w:id="199" w:name="_Toc462751074"/>
      <w:bookmarkStart w:id="200" w:name="_Toc464813926"/>
      <w:r w:rsidRPr="00FE50A6">
        <w:rPr>
          <w:lang w:val="en-US"/>
        </w:rPr>
        <w:t>A.3</w:t>
      </w:r>
      <w:r w:rsidR="00DC2886" w:rsidRPr="00FE50A6">
        <w:rPr>
          <w:lang w:val="en-US"/>
        </w:rPr>
        <w:t>.</w:t>
      </w:r>
      <w:r w:rsidRPr="00FE50A6">
        <w:rPr>
          <w:lang w:val="en-US"/>
        </w:rPr>
        <w:t xml:space="preserve"> </w:t>
      </w:r>
      <w:r w:rsidR="006E27EA" w:rsidRPr="00FE50A6">
        <w:rPr>
          <w:lang w:val="en-US"/>
        </w:rPr>
        <w:t>Measures adopted by</w:t>
      </w:r>
      <w:r w:rsidRPr="00FE50A6">
        <w:rPr>
          <w:lang w:val="en-US"/>
        </w:rPr>
        <w:t xml:space="preserve"> </w:t>
      </w:r>
      <w:r w:rsidR="000228D0" w:rsidRPr="00FE50A6">
        <w:rPr>
          <w:lang w:val="en-US"/>
        </w:rPr>
        <w:t>the State</w:t>
      </w:r>
      <w:bookmarkEnd w:id="196"/>
      <w:bookmarkEnd w:id="197"/>
      <w:bookmarkEnd w:id="198"/>
      <w:bookmarkEnd w:id="199"/>
      <w:bookmarkEnd w:id="200"/>
    </w:p>
    <w:p w14:paraId="348C47CE" w14:textId="77777777" w:rsidR="0003391C" w:rsidRPr="00FE50A6" w:rsidRDefault="0003391C" w:rsidP="00140440">
      <w:pPr>
        <w:pStyle w:val="Prrafodelista"/>
        <w:contextualSpacing w:val="0"/>
        <w:rPr>
          <w:rFonts w:cs="Times New Roman"/>
          <w:szCs w:val="20"/>
          <w:lang w:val="en-US"/>
        </w:rPr>
      </w:pPr>
    </w:p>
    <w:p w14:paraId="04AB77B1" w14:textId="77777777" w:rsidR="000D47F8" w:rsidRPr="00FE50A6" w:rsidRDefault="006E27EA" w:rsidP="00140440">
      <w:pPr>
        <w:pStyle w:val="Prrafodelista"/>
        <w:numPr>
          <w:ilvl w:val="0"/>
          <w:numId w:val="1"/>
        </w:numPr>
        <w:autoSpaceDE w:val="0"/>
        <w:autoSpaceDN w:val="0"/>
        <w:adjustRightInd w:val="0"/>
        <w:contextualSpacing w:val="0"/>
        <w:rPr>
          <w:rFonts w:eastAsia="Batang" w:cs="Times"/>
          <w:szCs w:val="24"/>
          <w:lang w:val="en-US"/>
        </w:rPr>
      </w:pPr>
      <w:r w:rsidRPr="00FE50A6">
        <w:rPr>
          <w:rFonts w:cs="Arial"/>
          <w:szCs w:val="20"/>
          <w:lang w:val="en-US"/>
        </w:rPr>
        <w:t>In</w:t>
      </w:r>
      <w:r w:rsidR="0003391C" w:rsidRPr="00FE50A6">
        <w:rPr>
          <w:rFonts w:cs="Arial"/>
          <w:szCs w:val="20"/>
          <w:lang w:val="en-US"/>
        </w:rPr>
        <w:t xml:space="preserve"> 1995, </w:t>
      </w:r>
      <w:r w:rsidR="000228D0" w:rsidRPr="00FE50A6">
        <w:rPr>
          <w:rFonts w:cs="Arial"/>
          <w:szCs w:val="20"/>
          <w:lang w:val="en-US"/>
        </w:rPr>
        <w:t>the</w:t>
      </w:r>
      <w:r w:rsidRPr="00FE50A6">
        <w:rPr>
          <w:rFonts w:cs="Arial"/>
          <w:szCs w:val="20"/>
          <w:lang w:val="en-US"/>
        </w:rPr>
        <w:t xml:space="preserve"> Brazilian</w:t>
      </w:r>
      <w:r w:rsidR="000228D0" w:rsidRPr="00FE50A6">
        <w:rPr>
          <w:rFonts w:cs="Arial"/>
          <w:szCs w:val="20"/>
          <w:lang w:val="en-US"/>
        </w:rPr>
        <w:t xml:space="preserve"> State</w:t>
      </w:r>
      <w:r w:rsidR="0003391C" w:rsidRPr="00FE50A6">
        <w:rPr>
          <w:rFonts w:cs="Arial"/>
          <w:szCs w:val="20"/>
          <w:lang w:val="en-US"/>
        </w:rPr>
        <w:t xml:space="preserve"> </w:t>
      </w:r>
      <w:r w:rsidRPr="00FE50A6">
        <w:rPr>
          <w:rFonts w:cs="Arial"/>
          <w:szCs w:val="20"/>
          <w:lang w:val="en-US"/>
        </w:rPr>
        <w:t xml:space="preserve">acknowledged the existence of </w:t>
      </w:r>
      <w:r w:rsidR="005F1946" w:rsidRPr="00FE50A6">
        <w:rPr>
          <w:rFonts w:cs="Arial"/>
          <w:szCs w:val="20"/>
          <w:lang w:val="en-US"/>
        </w:rPr>
        <w:t>slave labor</w:t>
      </w:r>
      <w:r w:rsidR="00030C17" w:rsidRPr="00FE50A6">
        <w:rPr>
          <w:rFonts w:cs="Arial"/>
          <w:szCs w:val="20"/>
          <w:lang w:val="en-US"/>
        </w:rPr>
        <w:t xml:space="preserve"> and </w:t>
      </w:r>
      <w:r w:rsidRPr="00FE50A6">
        <w:rPr>
          <w:rFonts w:cs="Arial"/>
          <w:szCs w:val="20"/>
          <w:lang w:val="en-US"/>
        </w:rPr>
        <w:t>began to take measures to combat it.</w:t>
      </w:r>
      <w:r w:rsidR="0003391C" w:rsidRPr="00FE50A6">
        <w:rPr>
          <w:rStyle w:val="Refdenotaalpie"/>
          <w:rFonts w:cs="Arial"/>
          <w:lang w:val="en-US"/>
        </w:rPr>
        <w:footnoteReference w:id="83"/>
      </w:r>
      <w:r w:rsidR="0003391C" w:rsidRPr="00FE50A6">
        <w:rPr>
          <w:rFonts w:cs="Arial"/>
          <w:szCs w:val="20"/>
          <w:lang w:val="en-US"/>
        </w:rPr>
        <w:t xml:space="preserve"> </w:t>
      </w:r>
    </w:p>
    <w:p w14:paraId="411B6A36" w14:textId="77777777" w:rsidR="000D47F8" w:rsidRPr="00FE50A6" w:rsidRDefault="000D47F8" w:rsidP="00140440">
      <w:pPr>
        <w:pStyle w:val="Prrafodelista"/>
        <w:autoSpaceDE w:val="0"/>
        <w:autoSpaceDN w:val="0"/>
        <w:adjustRightInd w:val="0"/>
        <w:ind w:left="0"/>
        <w:contextualSpacing w:val="0"/>
        <w:rPr>
          <w:rFonts w:eastAsia="Batang" w:cs="Times"/>
          <w:szCs w:val="24"/>
          <w:lang w:val="en-US"/>
        </w:rPr>
      </w:pPr>
    </w:p>
    <w:p w14:paraId="53C67A33" w14:textId="77777777" w:rsidR="00B130B5" w:rsidRPr="00FE50A6" w:rsidRDefault="0081756E" w:rsidP="00140440">
      <w:pPr>
        <w:pStyle w:val="Prrafodelista"/>
        <w:numPr>
          <w:ilvl w:val="0"/>
          <w:numId w:val="1"/>
        </w:numPr>
        <w:autoSpaceDE w:val="0"/>
        <w:autoSpaceDN w:val="0"/>
        <w:adjustRightInd w:val="0"/>
        <w:contextualSpacing w:val="0"/>
        <w:rPr>
          <w:rFonts w:eastAsia="Batang" w:cs="Times"/>
          <w:szCs w:val="24"/>
          <w:lang w:val="en-US"/>
        </w:rPr>
      </w:pPr>
      <w:r w:rsidRPr="00FE50A6">
        <w:rPr>
          <w:rFonts w:cs="Arial"/>
          <w:szCs w:val="20"/>
          <w:lang w:val="en-US"/>
        </w:rPr>
        <w:t xml:space="preserve">To this end, among other measures, it issued Decree No. 1,538 creating the Interministerial Group for the Eradication of Forced Labor </w:t>
      </w:r>
      <w:r w:rsidR="00EC0B4B" w:rsidRPr="00FE50A6">
        <w:rPr>
          <w:rFonts w:eastAsia="Batang" w:cs="Times"/>
          <w:szCs w:val="24"/>
          <w:lang w:val="en-US"/>
        </w:rPr>
        <w:t xml:space="preserve">(GERTRAF), </w:t>
      </w:r>
      <w:bookmarkStart w:id="201" w:name="_Hlk9849306"/>
      <w:r w:rsidRPr="00FE50A6">
        <w:rPr>
          <w:rFonts w:eastAsia="Batang" w:cs="Times"/>
          <w:szCs w:val="24"/>
          <w:lang w:val="en-US"/>
        </w:rPr>
        <w:t>composed of various ministries and coordinated by the Ministry of Labor</w:t>
      </w:r>
      <w:r w:rsidR="00EC0B4B" w:rsidRPr="00FE50A6">
        <w:rPr>
          <w:rFonts w:eastAsia="Batang" w:cs="Times"/>
          <w:szCs w:val="24"/>
          <w:lang w:val="en-US"/>
        </w:rPr>
        <w:t xml:space="preserve">, </w:t>
      </w:r>
      <w:r w:rsidRPr="00FE50A6">
        <w:rPr>
          <w:rFonts w:eastAsia="Batang" w:cs="Times"/>
          <w:szCs w:val="24"/>
          <w:lang w:val="en-US"/>
        </w:rPr>
        <w:t>with the participation of several agencies, institutions and the International Labour Organization (ILO). The</w:t>
      </w:r>
      <w:r w:rsidR="00A56B1B" w:rsidRPr="00FE50A6">
        <w:rPr>
          <w:rFonts w:cs="Arial"/>
          <w:szCs w:val="20"/>
          <w:lang w:val="en-US"/>
        </w:rPr>
        <w:t xml:space="preserve"> </w:t>
      </w:r>
      <w:r w:rsidRPr="00FE50A6">
        <w:rPr>
          <w:rFonts w:cs="Arial"/>
          <w:szCs w:val="20"/>
          <w:lang w:val="en-US"/>
        </w:rPr>
        <w:t>Special Mobile Inspection Group</w:t>
      </w:r>
      <w:r w:rsidR="00A56B1B" w:rsidRPr="00FE50A6">
        <w:rPr>
          <w:rFonts w:cs="Arial"/>
          <w:szCs w:val="20"/>
          <w:lang w:val="en-US"/>
        </w:rPr>
        <w:t xml:space="preserve"> </w:t>
      </w:r>
      <w:r w:rsidRPr="00FE50A6">
        <w:rPr>
          <w:rFonts w:cs="Arial"/>
          <w:szCs w:val="20"/>
          <w:lang w:val="en-US"/>
        </w:rPr>
        <w:t>was also established with authority to act in rural areas</w:t>
      </w:r>
      <w:r w:rsidR="00FB79B5" w:rsidRPr="00FE50A6">
        <w:rPr>
          <w:rFonts w:cs="Arial"/>
          <w:szCs w:val="20"/>
          <w:lang w:val="en-US"/>
        </w:rPr>
        <w:t xml:space="preserve"> and to</w:t>
      </w:r>
      <w:r w:rsidRPr="00FE50A6">
        <w:rPr>
          <w:rFonts w:cs="Arial"/>
          <w:szCs w:val="20"/>
          <w:lang w:val="en-US"/>
        </w:rPr>
        <w:t xml:space="preserve"> investigate reports of </w:t>
      </w:r>
      <w:r w:rsidR="005F1946" w:rsidRPr="00FE50A6">
        <w:rPr>
          <w:rFonts w:eastAsia="Batang" w:cs="Times"/>
          <w:szCs w:val="24"/>
          <w:lang w:val="en-US"/>
        </w:rPr>
        <w:t>slave labor</w:t>
      </w:r>
      <w:r w:rsidR="00A56B1B" w:rsidRPr="00FE50A6">
        <w:rPr>
          <w:rFonts w:eastAsia="Batang" w:cs="Times"/>
          <w:szCs w:val="24"/>
          <w:lang w:val="en-US"/>
        </w:rPr>
        <w:t xml:space="preserve">, </w:t>
      </w:r>
      <w:r w:rsidRPr="00FE50A6">
        <w:rPr>
          <w:rFonts w:eastAsia="Batang" w:cs="Times"/>
          <w:szCs w:val="24"/>
          <w:lang w:val="en-US"/>
        </w:rPr>
        <w:t>supporting the operations of the Interministerial Group for the Eradication of Forced Labor</w:t>
      </w:r>
      <w:bookmarkEnd w:id="201"/>
      <w:r w:rsidRPr="00FE50A6">
        <w:rPr>
          <w:rFonts w:eastAsia="Batang" w:cs="Times"/>
          <w:szCs w:val="24"/>
          <w:lang w:val="en-US"/>
        </w:rPr>
        <w:t>.</w:t>
      </w:r>
      <w:r w:rsidR="0003391C" w:rsidRPr="00FE50A6">
        <w:rPr>
          <w:rStyle w:val="Refdenotaalpie"/>
          <w:rFonts w:cs="Arial"/>
          <w:lang w:val="en-US"/>
        </w:rPr>
        <w:footnoteReference w:id="84"/>
      </w:r>
    </w:p>
    <w:p w14:paraId="004AD58A" w14:textId="77777777" w:rsidR="00B130B5" w:rsidRPr="00FE50A6" w:rsidRDefault="00B130B5" w:rsidP="00140440">
      <w:pPr>
        <w:pStyle w:val="Prrafodelista"/>
        <w:autoSpaceDE w:val="0"/>
        <w:autoSpaceDN w:val="0"/>
        <w:adjustRightInd w:val="0"/>
        <w:ind w:left="0"/>
        <w:contextualSpacing w:val="0"/>
        <w:rPr>
          <w:rFonts w:eastAsia="Batang" w:cs="Times"/>
          <w:szCs w:val="24"/>
          <w:lang w:val="en-US"/>
        </w:rPr>
      </w:pPr>
    </w:p>
    <w:p w14:paraId="51EECEE5" w14:textId="77777777" w:rsidR="00B130B5" w:rsidRPr="00FE50A6" w:rsidRDefault="0081756E" w:rsidP="00140440">
      <w:pPr>
        <w:pStyle w:val="Prrafodelista"/>
        <w:numPr>
          <w:ilvl w:val="0"/>
          <w:numId w:val="1"/>
        </w:numPr>
        <w:autoSpaceDE w:val="0"/>
        <w:autoSpaceDN w:val="0"/>
        <w:adjustRightInd w:val="0"/>
        <w:contextualSpacing w:val="0"/>
        <w:rPr>
          <w:rFonts w:eastAsia="Batang" w:cs="Times"/>
          <w:szCs w:val="24"/>
          <w:lang w:val="en-US"/>
        </w:rPr>
      </w:pPr>
      <w:bookmarkStart w:id="202" w:name="_Hlk9849318"/>
      <w:r w:rsidRPr="00FE50A6">
        <w:rPr>
          <w:rFonts w:cs="Times New Roman"/>
          <w:szCs w:val="20"/>
          <w:lang w:val="en-US"/>
        </w:rPr>
        <w:t>I</w:t>
      </w:r>
      <w:r w:rsidR="0003391C" w:rsidRPr="00FE50A6">
        <w:rPr>
          <w:rFonts w:cs="Times New Roman"/>
          <w:szCs w:val="20"/>
          <w:lang w:val="en-US"/>
        </w:rPr>
        <w:t>n 2002</w:t>
      </w:r>
      <w:r w:rsidRPr="00FE50A6">
        <w:rPr>
          <w:rFonts w:cs="Times New Roman"/>
          <w:szCs w:val="20"/>
          <w:lang w:val="en-US"/>
        </w:rPr>
        <w:t xml:space="preserve">, together with the ILO, </w:t>
      </w:r>
      <w:r w:rsidR="005A0727" w:rsidRPr="00FE50A6">
        <w:rPr>
          <w:rFonts w:cs="Times New Roman"/>
          <w:szCs w:val="20"/>
          <w:lang w:val="en-US"/>
        </w:rPr>
        <w:t>the State</w:t>
      </w:r>
      <w:r w:rsidRPr="00FE50A6">
        <w:rPr>
          <w:rFonts w:cs="Times New Roman"/>
          <w:szCs w:val="20"/>
          <w:lang w:val="en-US"/>
        </w:rPr>
        <w:t xml:space="preserve"> implemented the </w:t>
      </w:r>
      <w:r w:rsidR="003B7D54" w:rsidRPr="00FE50A6">
        <w:rPr>
          <w:rFonts w:cs="Times New Roman"/>
          <w:szCs w:val="20"/>
          <w:lang w:val="en-US"/>
        </w:rPr>
        <w:t>tech</w:t>
      </w:r>
      <w:r w:rsidRPr="00FE50A6">
        <w:rPr>
          <w:rFonts w:cs="Times New Roman"/>
          <w:szCs w:val="20"/>
          <w:lang w:val="en-US"/>
        </w:rPr>
        <w:t xml:space="preserve">nical cooperation project </w:t>
      </w:r>
      <w:r w:rsidR="009C48A4" w:rsidRPr="00FE50A6">
        <w:rPr>
          <w:rFonts w:cs="Times New Roman"/>
          <w:szCs w:val="20"/>
          <w:lang w:val="en-US"/>
        </w:rPr>
        <w:t>“</w:t>
      </w:r>
      <w:r w:rsidRPr="00FE50A6">
        <w:rPr>
          <w:rFonts w:cs="Times New Roman"/>
          <w:szCs w:val="20"/>
          <w:lang w:val="en-US"/>
        </w:rPr>
        <w:t>Combat</w:t>
      </w:r>
      <w:r w:rsidR="00FB79B5" w:rsidRPr="00FE50A6">
        <w:rPr>
          <w:rFonts w:cs="Times New Roman"/>
          <w:szCs w:val="20"/>
          <w:lang w:val="en-US"/>
        </w:rPr>
        <w:t>i</w:t>
      </w:r>
      <w:r w:rsidRPr="00FE50A6">
        <w:rPr>
          <w:rFonts w:cs="Times New Roman"/>
          <w:szCs w:val="20"/>
          <w:lang w:val="en-US"/>
        </w:rPr>
        <w:t xml:space="preserve">ng slave labor </w:t>
      </w:r>
      <w:r w:rsidR="00E368FD" w:rsidRPr="00FE50A6">
        <w:rPr>
          <w:rFonts w:cs="Times New Roman"/>
          <w:szCs w:val="20"/>
          <w:lang w:val="en-US"/>
        </w:rPr>
        <w:t>in Brazil</w:t>
      </w:r>
      <w:r w:rsidRPr="00FE50A6">
        <w:rPr>
          <w:rFonts w:cs="Times New Roman"/>
          <w:szCs w:val="20"/>
          <w:lang w:val="en-US"/>
        </w:rPr>
        <w:t>.</w:t>
      </w:r>
      <w:r w:rsidR="009C48A4" w:rsidRPr="00FE50A6">
        <w:rPr>
          <w:rFonts w:cs="Times New Roman"/>
          <w:szCs w:val="20"/>
          <w:lang w:val="en-US"/>
        </w:rPr>
        <w:t>”</w:t>
      </w:r>
      <w:r w:rsidR="0003391C" w:rsidRPr="00FE50A6">
        <w:rPr>
          <w:rStyle w:val="Refdenotaalpie"/>
          <w:lang w:val="en-US"/>
        </w:rPr>
        <w:footnoteReference w:id="85"/>
      </w:r>
      <w:r w:rsidRPr="00FE50A6">
        <w:rPr>
          <w:rFonts w:cs="Times New Roman"/>
          <w:szCs w:val="20"/>
          <w:lang w:val="en-US"/>
        </w:rPr>
        <w:t xml:space="preserve"> It created the </w:t>
      </w:r>
      <w:r w:rsidRPr="00FE50A6">
        <w:rPr>
          <w:rFonts w:eastAsia="Batang" w:cs="Times"/>
          <w:szCs w:val="24"/>
          <w:lang w:val="en-US"/>
        </w:rPr>
        <w:t>National Coordinator for the Eradication of Slave Labor</w:t>
      </w:r>
      <w:r w:rsidR="00B81F17" w:rsidRPr="00FE50A6">
        <w:rPr>
          <w:rStyle w:val="Refdenotaalpie"/>
          <w:rFonts w:eastAsia="Batang"/>
          <w:lang w:val="en-US"/>
        </w:rPr>
        <w:footnoteReference w:id="86"/>
      </w:r>
      <w:r w:rsidR="00030C17" w:rsidRPr="00FE50A6">
        <w:rPr>
          <w:rFonts w:eastAsia="Batang" w:cs="Times"/>
          <w:szCs w:val="24"/>
          <w:lang w:val="en-US"/>
        </w:rPr>
        <w:t xml:space="preserve"> and </w:t>
      </w:r>
      <w:r w:rsidRPr="00FE50A6">
        <w:rPr>
          <w:rFonts w:eastAsia="Batang" w:cs="Times"/>
          <w:szCs w:val="24"/>
          <w:lang w:val="en-US"/>
        </w:rPr>
        <w:t xml:space="preserve">launched the First National Plan for the Eradication of Slavery </w:t>
      </w:r>
      <w:r w:rsidR="00E368FD" w:rsidRPr="00FE50A6">
        <w:rPr>
          <w:rFonts w:cs="Arial"/>
          <w:szCs w:val="20"/>
          <w:lang w:val="en-US"/>
        </w:rPr>
        <w:t>in Brazil</w:t>
      </w:r>
      <w:r w:rsidRPr="00FE50A6">
        <w:rPr>
          <w:rFonts w:cs="Arial"/>
          <w:szCs w:val="20"/>
          <w:lang w:val="en-US"/>
        </w:rPr>
        <w:t>.</w:t>
      </w:r>
      <w:r w:rsidR="0003391C" w:rsidRPr="00FE50A6">
        <w:rPr>
          <w:rStyle w:val="Refdenotaalpie"/>
          <w:rFonts w:cs="Arial"/>
          <w:lang w:val="en-US"/>
        </w:rPr>
        <w:footnoteReference w:id="87"/>
      </w:r>
      <w:r w:rsidRPr="00FE50A6">
        <w:rPr>
          <w:rFonts w:cs="Arial"/>
          <w:szCs w:val="20"/>
          <w:lang w:val="en-US"/>
        </w:rPr>
        <w:t xml:space="preserve"> In addition, it enacted Law No. </w:t>
      </w:r>
      <w:r w:rsidR="0022029E" w:rsidRPr="00FE50A6">
        <w:rPr>
          <w:rFonts w:eastAsia="Batang" w:cs="Times"/>
          <w:szCs w:val="24"/>
          <w:lang w:val="en-US"/>
        </w:rPr>
        <w:t xml:space="preserve">10608/2002, </w:t>
      </w:r>
      <w:r w:rsidRPr="00FE50A6">
        <w:rPr>
          <w:rFonts w:eastAsia="Batang" w:cs="Times"/>
          <w:szCs w:val="24"/>
          <w:lang w:val="en-US"/>
        </w:rPr>
        <w:t>on unemployment insurance for workers rescued from the forced labor regime or from a condition similar to slavery</w:t>
      </w:r>
      <w:bookmarkEnd w:id="202"/>
      <w:r w:rsidRPr="00FE50A6">
        <w:rPr>
          <w:rFonts w:eastAsia="Batang" w:cs="Times"/>
          <w:szCs w:val="24"/>
          <w:lang w:val="en-US"/>
        </w:rPr>
        <w:t>.</w:t>
      </w:r>
      <w:r w:rsidR="00CD01BD" w:rsidRPr="00FE50A6">
        <w:rPr>
          <w:rStyle w:val="Refdenotaalpie"/>
          <w:rFonts w:eastAsia="Batang"/>
          <w:lang w:val="en-US"/>
        </w:rPr>
        <w:footnoteReference w:id="88"/>
      </w:r>
      <w:r w:rsidR="00B130B5" w:rsidRPr="00FE50A6">
        <w:rPr>
          <w:rFonts w:eastAsia="Batang" w:cs="Times"/>
          <w:b/>
          <w:szCs w:val="24"/>
          <w:lang w:val="en-US"/>
        </w:rPr>
        <w:t xml:space="preserve"> </w:t>
      </w:r>
    </w:p>
    <w:p w14:paraId="51841723" w14:textId="77777777" w:rsidR="00B130B5" w:rsidRPr="00FE50A6" w:rsidRDefault="00B130B5" w:rsidP="00140440">
      <w:pPr>
        <w:pStyle w:val="Prrafodelista"/>
        <w:autoSpaceDE w:val="0"/>
        <w:autoSpaceDN w:val="0"/>
        <w:adjustRightInd w:val="0"/>
        <w:ind w:left="0"/>
        <w:contextualSpacing w:val="0"/>
        <w:rPr>
          <w:rFonts w:eastAsia="Batang" w:cs="Times"/>
          <w:szCs w:val="24"/>
          <w:lang w:val="en-US"/>
        </w:rPr>
      </w:pPr>
    </w:p>
    <w:p w14:paraId="537869D0" w14:textId="77777777" w:rsidR="00B130B5" w:rsidRPr="00FE50A6" w:rsidRDefault="005A0727" w:rsidP="00140440">
      <w:pPr>
        <w:pStyle w:val="Prrafodelista"/>
        <w:numPr>
          <w:ilvl w:val="0"/>
          <w:numId w:val="1"/>
        </w:numPr>
        <w:autoSpaceDE w:val="0"/>
        <w:autoSpaceDN w:val="0"/>
        <w:adjustRightInd w:val="0"/>
        <w:contextualSpacing w:val="0"/>
        <w:rPr>
          <w:rFonts w:eastAsia="Batang" w:cs="Times"/>
          <w:szCs w:val="24"/>
          <w:lang w:val="en-US"/>
        </w:rPr>
      </w:pPr>
      <w:bookmarkStart w:id="203" w:name="_Hlk9849344"/>
      <w:r w:rsidRPr="00FE50A6">
        <w:rPr>
          <w:rFonts w:eastAsia="Batang" w:cs="Times"/>
          <w:szCs w:val="24"/>
          <w:lang w:val="en-US"/>
        </w:rPr>
        <w:t>I</w:t>
      </w:r>
      <w:r w:rsidR="00516087" w:rsidRPr="00FE50A6">
        <w:rPr>
          <w:rFonts w:eastAsia="Batang" w:cs="Times"/>
          <w:szCs w:val="24"/>
          <w:lang w:val="en-US"/>
        </w:rPr>
        <w:t xml:space="preserve">n </w:t>
      </w:r>
      <w:r w:rsidR="0022029E" w:rsidRPr="00FE50A6">
        <w:rPr>
          <w:rFonts w:eastAsia="Batang" w:cs="Times"/>
          <w:szCs w:val="24"/>
          <w:lang w:val="en-US"/>
        </w:rPr>
        <w:t>2003</w:t>
      </w:r>
      <w:r w:rsidRPr="00FE50A6">
        <w:rPr>
          <w:rFonts w:eastAsia="Batang" w:cs="Times"/>
          <w:szCs w:val="24"/>
          <w:lang w:val="en-US"/>
        </w:rPr>
        <w:t>, Law</w:t>
      </w:r>
      <w:r w:rsidR="0022029E" w:rsidRPr="00FE50A6">
        <w:rPr>
          <w:rFonts w:eastAsia="Batang" w:cs="Times"/>
          <w:szCs w:val="24"/>
          <w:lang w:val="en-US"/>
        </w:rPr>
        <w:t xml:space="preserve"> </w:t>
      </w:r>
      <w:r w:rsidRPr="00FE50A6">
        <w:rPr>
          <w:rFonts w:eastAsia="Batang" w:cs="Times"/>
          <w:szCs w:val="24"/>
          <w:lang w:val="en-US"/>
        </w:rPr>
        <w:t>No.</w:t>
      </w:r>
      <w:r w:rsidR="0022029E" w:rsidRPr="00FE50A6">
        <w:rPr>
          <w:rFonts w:eastAsia="Batang" w:cs="Times"/>
          <w:szCs w:val="24"/>
          <w:lang w:val="en-US"/>
        </w:rPr>
        <w:t xml:space="preserve"> 10803/2003</w:t>
      </w:r>
      <w:r w:rsidRPr="00FE50A6">
        <w:rPr>
          <w:rFonts w:eastAsia="Batang" w:cs="Times"/>
          <w:szCs w:val="24"/>
          <w:lang w:val="en-US"/>
        </w:rPr>
        <w:t xml:space="preserve"> was enacted </w:t>
      </w:r>
      <w:r w:rsidR="003B7D54" w:rsidRPr="00FE50A6">
        <w:rPr>
          <w:rFonts w:eastAsia="Batang" w:cs="Times"/>
          <w:szCs w:val="24"/>
          <w:lang w:val="en-US"/>
        </w:rPr>
        <w:t>a</w:t>
      </w:r>
      <w:r w:rsidRPr="00FE50A6">
        <w:rPr>
          <w:rFonts w:eastAsia="Batang" w:cs="Times"/>
          <w:szCs w:val="24"/>
          <w:lang w:val="en-US"/>
        </w:rPr>
        <w:t>mending the wor</w:t>
      </w:r>
      <w:r w:rsidR="003B7D54" w:rsidRPr="00FE50A6">
        <w:rPr>
          <w:rFonts w:eastAsia="Batang" w:cs="Times"/>
          <w:szCs w:val="24"/>
          <w:lang w:val="en-US"/>
        </w:rPr>
        <w:t>d</w:t>
      </w:r>
      <w:r w:rsidRPr="00FE50A6">
        <w:rPr>
          <w:rFonts w:eastAsia="Batang" w:cs="Times"/>
          <w:szCs w:val="24"/>
          <w:lang w:val="en-US"/>
        </w:rPr>
        <w:t>ing of a</w:t>
      </w:r>
      <w:r w:rsidR="00703850" w:rsidRPr="00FE50A6">
        <w:rPr>
          <w:rFonts w:eastAsia="Batang" w:cs="Times"/>
          <w:szCs w:val="24"/>
          <w:lang w:val="en-US"/>
        </w:rPr>
        <w:t>rticle</w:t>
      </w:r>
      <w:r w:rsidR="0022029E" w:rsidRPr="00FE50A6">
        <w:rPr>
          <w:rFonts w:eastAsia="Batang" w:cs="Times"/>
          <w:szCs w:val="24"/>
          <w:lang w:val="en-US"/>
        </w:rPr>
        <w:t xml:space="preserve"> 149 </w:t>
      </w:r>
      <w:r w:rsidR="0032018A" w:rsidRPr="00FE50A6">
        <w:rPr>
          <w:rFonts w:eastAsia="Batang" w:cs="Times"/>
          <w:szCs w:val="24"/>
          <w:lang w:val="en-US"/>
        </w:rPr>
        <w:t xml:space="preserve">of the </w:t>
      </w:r>
      <w:r w:rsidRPr="00FE50A6">
        <w:rPr>
          <w:rFonts w:eastAsia="Batang" w:cs="Times"/>
          <w:szCs w:val="24"/>
          <w:lang w:val="en-US"/>
        </w:rPr>
        <w:t xml:space="preserve">Brazilian </w:t>
      </w:r>
      <w:r w:rsidR="0032018A" w:rsidRPr="00FE50A6">
        <w:rPr>
          <w:rFonts w:eastAsia="Batang" w:cs="Times"/>
          <w:szCs w:val="24"/>
          <w:lang w:val="en-US"/>
        </w:rPr>
        <w:t>Penal Code</w:t>
      </w:r>
      <w:r w:rsidR="00846555" w:rsidRPr="00FE50A6">
        <w:rPr>
          <w:rFonts w:eastAsia="Batang" w:cs="Times"/>
          <w:szCs w:val="24"/>
          <w:lang w:val="en-US"/>
        </w:rPr>
        <w:t>.</w:t>
      </w:r>
      <w:r w:rsidR="0022029E" w:rsidRPr="00FE50A6">
        <w:rPr>
          <w:rFonts w:eastAsia="Batang" w:cs="Times"/>
          <w:szCs w:val="24"/>
          <w:lang w:val="en-US"/>
        </w:rPr>
        <w:t xml:space="preserve"> </w:t>
      </w:r>
      <w:r w:rsidRPr="00FE50A6">
        <w:rPr>
          <w:rFonts w:eastAsia="Batang" w:cs="Times"/>
          <w:szCs w:val="24"/>
          <w:lang w:val="en-US"/>
        </w:rPr>
        <w:t>It defined the</w:t>
      </w:r>
      <w:r w:rsidR="0022029E" w:rsidRPr="00FE50A6">
        <w:rPr>
          <w:rFonts w:eastAsia="Batang" w:cs="Times"/>
          <w:szCs w:val="24"/>
          <w:lang w:val="en-US"/>
        </w:rPr>
        <w:t xml:space="preserve"> concept</w:t>
      </w:r>
      <w:r w:rsidRPr="00FE50A6">
        <w:rPr>
          <w:rFonts w:eastAsia="Batang" w:cs="Times"/>
          <w:szCs w:val="24"/>
          <w:lang w:val="en-US"/>
        </w:rPr>
        <w:t xml:space="preserve"> of contemporary</w:t>
      </w:r>
      <w:r w:rsidR="0022029E" w:rsidRPr="00FE50A6">
        <w:rPr>
          <w:rFonts w:eastAsia="Batang" w:cs="Times"/>
          <w:szCs w:val="24"/>
          <w:lang w:val="en-US"/>
        </w:rPr>
        <w:t xml:space="preserve"> </w:t>
      </w:r>
      <w:r w:rsidR="005F1946" w:rsidRPr="00FE50A6">
        <w:rPr>
          <w:rFonts w:eastAsia="Batang" w:cs="Times"/>
          <w:szCs w:val="24"/>
          <w:lang w:val="en-US"/>
        </w:rPr>
        <w:t>slave labor</w:t>
      </w:r>
      <w:r w:rsidR="0022029E" w:rsidRPr="00FE50A6">
        <w:rPr>
          <w:rFonts w:eastAsia="Batang" w:cs="Times"/>
          <w:szCs w:val="24"/>
          <w:lang w:val="en-US"/>
        </w:rPr>
        <w:t xml:space="preserve">, </w:t>
      </w:r>
      <w:r w:rsidR="003B7D54" w:rsidRPr="00FE50A6">
        <w:rPr>
          <w:rFonts w:eastAsia="Batang" w:cs="Times"/>
          <w:szCs w:val="24"/>
          <w:lang w:val="en-US"/>
        </w:rPr>
        <w:t xml:space="preserve">including </w:t>
      </w:r>
      <w:r w:rsidRPr="00FE50A6">
        <w:rPr>
          <w:rFonts w:eastAsia="Batang" w:cs="Times"/>
          <w:szCs w:val="24"/>
          <w:lang w:val="en-US"/>
        </w:rPr>
        <w:t xml:space="preserve">the conducts of </w:t>
      </w:r>
      <w:r w:rsidR="003B7D54" w:rsidRPr="00FE50A6">
        <w:rPr>
          <w:rFonts w:eastAsia="Batang" w:cs="Times"/>
          <w:szCs w:val="24"/>
          <w:lang w:val="en-US"/>
        </w:rPr>
        <w:t>debt bondage,</w:t>
      </w:r>
      <w:r w:rsidRPr="00FE50A6">
        <w:rPr>
          <w:rFonts w:eastAsia="Batang" w:cs="Times"/>
          <w:szCs w:val="24"/>
          <w:lang w:val="en-US"/>
        </w:rPr>
        <w:t xml:space="preserve"> and slavery due to exhausting work</w:t>
      </w:r>
      <w:r w:rsidR="00FB79B5" w:rsidRPr="00FE50A6">
        <w:rPr>
          <w:rFonts w:eastAsia="Batang" w:cs="Times"/>
          <w:szCs w:val="24"/>
          <w:lang w:val="en-US"/>
        </w:rPr>
        <w:t>ing hours</w:t>
      </w:r>
      <w:r w:rsidRPr="00FE50A6">
        <w:rPr>
          <w:rFonts w:eastAsia="Batang" w:cs="Times"/>
          <w:szCs w:val="24"/>
          <w:lang w:val="en-US"/>
        </w:rPr>
        <w:t xml:space="preserve"> and degrading working conditions.</w:t>
      </w:r>
      <w:r w:rsidR="00FA2412" w:rsidRPr="00FE50A6">
        <w:rPr>
          <w:rStyle w:val="Refdenotaalpie"/>
          <w:rFonts w:eastAsia="Batang"/>
          <w:lang w:val="en-US"/>
        </w:rPr>
        <w:footnoteReference w:id="89"/>
      </w:r>
      <w:r w:rsidR="000D47F8" w:rsidRPr="00FE50A6">
        <w:rPr>
          <w:rFonts w:eastAsia="Batang" w:cs="Times"/>
          <w:szCs w:val="24"/>
          <w:lang w:val="en-US"/>
        </w:rPr>
        <w:t xml:space="preserve"> </w:t>
      </w:r>
      <w:r w:rsidRPr="00FE50A6">
        <w:rPr>
          <w:rFonts w:eastAsia="Batang" w:cs="Times"/>
          <w:szCs w:val="24"/>
          <w:lang w:val="en-US"/>
        </w:rPr>
        <w:t xml:space="preserve">It issued </w:t>
      </w:r>
      <w:r w:rsidR="003B7D54" w:rsidRPr="00FE50A6">
        <w:rPr>
          <w:rFonts w:eastAsia="Batang" w:cs="Times"/>
          <w:szCs w:val="24"/>
          <w:lang w:val="en-US"/>
        </w:rPr>
        <w:t>O</w:t>
      </w:r>
      <w:r w:rsidRPr="00FE50A6">
        <w:rPr>
          <w:rFonts w:eastAsia="Batang" w:cs="Times"/>
          <w:szCs w:val="24"/>
          <w:lang w:val="en-US"/>
        </w:rPr>
        <w:t xml:space="preserve">rdinances </w:t>
      </w:r>
      <w:r w:rsidR="00724BEA" w:rsidRPr="00FE50A6">
        <w:rPr>
          <w:rFonts w:eastAsia="Batang" w:cs="Times"/>
          <w:szCs w:val="24"/>
          <w:lang w:val="en-US"/>
        </w:rPr>
        <w:t>No.</w:t>
      </w:r>
      <w:r w:rsidR="0022029E" w:rsidRPr="00FE50A6">
        <w:rPr>
          <w:rFonts w:eastAsia="Batang" w:cs="Times"/>
          <w:szCs w:val="24"/>
          <w:lang w:val="en-US"/>
        </w:rPr>
        <w:t xml:space="preserve"> 540 </w:t>
      </w:r>
      <w:r w:rsidRPr="00FE50A6">
        <w:rPr>
          <w:rFonts w:eastAsia="Batang" w:cs="Times"/>
          <w:szCs w:val="24"/>
          <w:lang w:val="en-US"/>
        </w:rPr>
        <w:t>of October 15,</w:t>
      </w:r>
      <w:r w:rsidR="0022029E" w:rsidRPr="00FE50A6">
        <w:rPr>
          <w:rFonts w:eastAsia="Batang" w:cs="Times"/>
          <w:szCs w:val="24"/>
          <w:lang w:val="en-US"/>
        </w:rPr>
        <w:t xml:space="preserve"> 2004</w:t>
      </w:r>
      <w:r w:rsidR="00516087" w:rsidRPr="00FE50A6">
        <w:rPr>
          <w:rFonts w:eastAsia="Batang" w:cs="Times"/>
          <w:szCs w:val="24"/>
          <w:lang w:val="en-US"/>
        </w:rPr>
        <w:t>,</w:t>
      </w:r>
      <w:r w:rsidR="00030C17" w:rsidRPr="00FE50A6">
        <w:rPr>
          <w:rFonts w:eastAsia="Batang" w:cs="Times"/>
          <w:szCs w:val="24"/>
          <w:lang w:val="en-US"/>
        </w:rPr>
        <w:t xml:space="preserve"> and </w:t>
      </w:r>
      <w:r w:rsidR="00724BEA" w:rsidRPr="00FE50A6">
        <w:rPr>
          <w:rFonts w:eastAsia="Batang" w:cs="Times"/>
          <w:szCs w:val="24"/>
          <w:lang w:val="en-US"/>
        </w:rPr>
        <w:t xml:space="preserve">No. </w:t>
      </w:r>
      <w:r w:rsidR="0022029E" w:rsidRPr="00FE50A6">
        <w:rPr>
          <w:rFonts w:eastAsia="Batang" w:cs="Times"/>
          <w:szCs w:val="24"/>
          <w:lang w:val="en-US"/>
        </w:rPr>
        <w:t xml:space="preserve">2 </w:t>
      </w:r>
      <w:r w:rsidRPr="00FE50A6">
        <w:rPr>
          <w:rFonts w:eastAsia="Batang" w:cs="Times"/>
          <w:szCs w:val="24"/>
          <w:lang w:val="en-US"/>
        </w:rPr>
        <w:t>of May 12,</w:t>
      </w:r>
      <w:r w:rsidR="0022029E" w:rsidRPr="00FE50A6">
        <w:rPr>
          <w:rFonts w:eastAsia="Batang" w:cs="Times"/>
          <w:szCs w:val="24"/>
          <w:lang w:val="en-US"/>
        </w:rPr>
        <w:t xml:space="preserve"> 2011</w:t>
      </w:r>
      <w:r w:rsidR="00FE030D" w:rsidRPr="00FE50A6">
        <w:rPr>
          <w:rFonts w:eastAsia="Batang" w:cs="Times"/>
          <w:szCs w:val="24"/>
          <w:lang w:val="en-US"/>
        </w:rPr>
        <w:t xml:space="preserve">, </w:t>
      </w:r>
      <w:r w:rsidR="00E57B67" w:rsidRPr="00FE50A6">
        <w:rPr>
          <w:rFonts w:eastAsia="Batang" w:cs="Times"/>
          <w:szCs w:val="24"/>
          <w:lang w:val="en-US"/>
        </w:rPr>
        <w:t>creating</w:t>
      </w:r>
      <w:r w:rsidRPr="00FE50A6">
        <w:rPr>
          <w:rFonts w:eastAsia="Batang" w:cs="Times"/>
          <w:szCs w:val="24"/>
          <w:lang w:val="en-US"/>
        </w:rPr>
        <w:t xml:space="preserve"> the List of Offending Employers (known as the </w:t>
      </w:r>
      <w:r w:rsidR="009C48A4" w:rsidRPr="00FE50A6">
        <w:rPr>
          <w:rFonts w:eastAsia="Batang" w:cs="Times"/>
          <w:szCs w:val="24"/>
          <w:lang w:val="en-US"/>
        </w:rPr>
        <w:t>“</w:t>
      </w:r>
      <w:r w:rsidR="00704BB6" w:rsidRPr="00FE50A6">
        <w:rPr>
          <w:rFonts w:eastAsia="Batang" w:cs="Times"/>
          <w:i/>
          <w:szCs w:val="24"/>
          <w:lang w:val="en-US"/>
        </w:rPr>
        <w:t>L</w:t>
      </w:r>
      <w:r w:rsidRPr="00FE50A6">
        <w:rPr>
          <w:rFonts w:eastAsia="Batang" w:cs="Times"/>
          <w:i/>
          <w:szCs w:val="24"/>
          <w:lang w:val="en-US"/>
        </w:rPr>
        <w:t xml:space="preserve">ista </w:t>
      </w:r>
      <w:r w:rsidR="00704BB6" w:rsidRPr="00FE50A6">
        <w:rPr>
          <w:rFonts w:eastAsia="Batang" w:cs="Times"/>
          <w:i/>
          <w:szCs w:val="24"/>
          <w:lang w:val="en-US"/>
        </w:rPr>
        <w:t>S</w:t>
      </w:r>
      <w:r w:rsidRPr="00FE50A6">
        <w:rPr>
          <w:rFonts w:eastAsia="Batang" w:cs="Times"/>
          <w:i/>
          <w:szCs w:val="24"/>
          <w:lang w:val="en-US"/>
        </w:rPr>
        <w:t>uja</w:t>
      </w:r>
      <w:r w:rsidR="009C48A4" w:rsidRPr="00FE50A6">
        <w:rPr>
          <w:rFonts w:eastAsia="Batang" w:cs="Times"/>
          <w:szCs w:val="24"/>
          <w:lang w:val="en-US"/>
        </w:rPr>
        <w:t>”</w:t>
      </w:r>
      <w:r w:rsidRPr="00FE50A6">
        <w:rPr>
          <w:rFonts w:eastAsia="Batang" w:cs="Times"/>
          <w:szCs w:val="24"/>
          <w:lang w:val="en-US"/>
        </w:rPr>
        <w:t xml:space="preserve"> or </w:t>
      </w:r>
      <w:r w:rsidR="00D84065" w:rsidRPr="00FE50A6">
        <w:rPr>
          <w:rFonts w:eastAsia="Batang" w:cs="Times"/>
          <w:szCs w:val="24"/>
          <w:lang w:val="en-US"/>
        </w:rPr>
        <w:t>D</w:t>
      </w:r>
      <w:r w:rsidRPr="00FE50A6">
        <w:rPr>
          <w:rFonts w:eastAsia="Batang" w:cs="Times"/>
          <w:szCs w:val="24"/>
          <w:lang w:val="en-US"/>
        </w:rPr>
        <w:t xml:space="preserve">irty </w:t>
      </w:r>
      <w:r w:rsidR="00D84065" w:rsidRPr="00FE50A6">
        <w:rPr>
          <w:rFonts w:eastAsia="Batang" w:cs="Times"/>
          <w:szCs w:val="24"/>
          <w:lang w:val="en-US"/>
        </w:rPr>
        <w:t>L</w:t>
      </w:r>
      <w:r w:rsidRPr="00FE50A6">
        <w:rPr>
          <w:rFonts w:eastAsia="Batang" w:cs="Times"/>
          <w:szCs w:val="24"/>
          <w:lang w:val="en-US"/>
        </w:rPr>
        <w:t xml:space="preserve">ist) that contains the names of those </w:t>
      </w:r>
      <w:r w:rsidR="00FB79B5" w:rsidRPr="00FE50A6">
        <w:rPr>
          <w:rFonts w:eastAsia="Batang" w:cs="Times"/>
          <w:szCs w:val="24"/>
          <w:lang w:val="en-US"/>
        </w:rPr>
        <w:t>known to exploit labor under</w:t>
      </w:r>
      <w:r w:rsidRPr="00FE50A6">
        <w:rPr>
          <w:rFonts w:eastAsia="Batang" w:cs="Times"/>
          <w:szCs w:val="24"/>
          <w:lang w:val="en-US"/>
        </w:rPr>
        <w:t xml:space="preserve"> conditions </w:t>
      </w:r>
      <w:r w:rsidR="00FB79B5" w:rsidRPr="00FE50A6">
        <w:rPr>
          <w:rFonts w:eastAsia="Batang" w:cs="Times"/>
          <w:szCs w:val="24"/>
          <w:lang w:val="en-US"/>
        </w:rPr>
        <w:t>analogous to</w:t>
      </w:r>
      <w:r w:rsidRPr="00FE50A6">
        <w:rPr>
          <w:rFonts w:eastAsia="Batang" w:cs="Times"/>
          <w:szCs w:val="24"/>
          <w:lang w:val="en-US"/>
        </w:rPr>
        <w:t xml:space="preserve"> slavery, </w:t>
      </w:r>
      <w:r w:rsidR="003B7D54" w:rsidRPr="00FE50A6">
        <w:rPr>
          <w:rFonts w:eastAsia="Batang" w:cs="Times"/>
          <w:szCs w:val="24"/>
          <w:lang w:val="en-US"/>
        </w:rPr>
        <w:t xml:space="preserve">and </w:t>
      </w:r>
      <w:r w:rsidRPr="00FE50A6">
        <w:rPr>
          <w:rFonts w:eastAsia="Batang" w:cs="Times"/>
          <w:szCs w:val="24"/>
          <w:lang w:val="en-US"/>
        </w:rPr>
        <w:t xml:space="preserve">which could be consulted by financial institutions when credits were </w:t>
      </w:r>
      <w:r w:rsidRPr="00FE50A6">
        <w:rPr>
          <w:rFonts w:eastAsia="Batang" w:cs="Times"/>
          <w:szCs w:val="24"/>
          <w:lang w:val="en-US"/>
        </w:rPr>
        <w:lastRenderedPageBreak/>
        <w:t>requested.</w:t>
      </w:r>
      <w:r w:rsidR="0003391C" w:rsidRPr="00FE50A6">
        <w:rPr>
          <w:rStyle w:val="Refdenotaalpie"/>
          <w:rFonts w:cs="Arial"/>
          <w:bCs/>
          <w:lang w:val="en-US"/>
        </w:rPr>
        <w:footnoteReference w:id="90"/>
      </w:r>
      <w:r w:rsidR="00FE030D" w:rsidRPr="00FE50A6">
        <w:rPr>
          <w:rFonts w:cs="Arial"/>
          <w:bCs/>
          <w:szCs w:val="20"/>
          <w:lang w:val="en-US"/>
        </w:rPr>
        <w:t xml:space="preserve"> A</w:t>
      </w:r>
      <w:r w:rsidRPr="00FE50A6">
        <w:rPr>
          <w:rFonts w:cs="Arial"/>
          <w:bCs/>
          <w:szCs w:val="20"/>
          <w:lang w:val="en-US"/>
        </w:rPr>
        <w:t xml:space="preserve">lso, on July 31, </w:t>
      </w:r>
      <w:r w:rsidR="000D47F8" w:rsidRPr="00FE50A6">
        <w:rPr>
          <w:rFonts w:eastAsia="Batang" w:cs="Times"/>
          <w:szCs w:val="24"/>
          <w:lang w:val="en-US"/>
        </w:rPr>
        <w:t>2003</w:t>
      </w:r>
      <w:r w:rsidRPr="00FE50A6">
        <w:rPr>
          <w:rFonts w:eastAsia="Batang" w:cs="Times"/>
          <w:szCs w:val="24"/>
          <w:lang w:val="en-US"/>
        </w:rPr>
        <w:t xml:space="preserve">, it established </w:t>
      </w:r>
      <w:r w:rsidR="000228D0" w:rsidRPr="00FE50A6">
        <w:rPr>
          <w:rFonts w:eastAsia="Batang" w:cs="Times"/>
          <w:szCs w:val="24"/>
          <w:lang w:val="en-US"/>
        </w:rPr>
        <w:t xml:space="preserve">the </w:t>
      </w:r>
      <w:r w:rsidRPr="00FE50A6">
        <w:rPr>
          <w:rFonts w:eastAsia="Batang" w:cs="Times"/>
          <w:szCs w:val="24"/>
          <w:lang w:val="en-US"/>
        </w:rPr>
        <w:t>National Commission for the Eradication of Slave Labor</w:t>
      </w:r>
      <w:r w:rsidR="0022029E" w:rsidRPr="00FE50A6">
        <w:rPr>
          <w:rFonts w:eastAsia="Batang" w:cs="Times"/>
          <w:szCs w:val="24"/>
          <w:lang w:val="en-US"/>
        </w:rPr>
        <w:t xml:space="preserve"> (CONATRAE), </w:t>
      </w:r>
      <w:r w:rsidRPr="00FE50A6">
        <w:rPr>
          <w:rFonts w:eastAsia="Batang" w:cs="Times"/>
          <w:szCs w:val="24"/>
          <w:lang w:val="en-US"/>
        </w:rPr>
        <w:t xml:space="preserve">which substituted the </w:t>
      </w:r>
      <w:r w:rsidR="0081756E" w:rsidRPr="00FE50A6">
        <w:rPr>
          <w:rFonts w:eastAsia="Batang" w:cs="Times"/>
          <w:szCs w:val="24"/>
          <w:lang w:val="en-US"/>
        </w:rPr>
        <w:t>Interministerial Group for the Eradication of Forced Labor</w:t>
      </w:r>
      <w:r w:rsidR="0022029E" w:rsidRPr="00FE50A6">
        <w:rPr>
          <w:rFonts w:eastAsia="Batang" w:cs="Times"/>
          <w:szCs w:val="24"/>
          <w:lang w:val="en-US"/>
        </w:rPr>
        <w:t xml:space="preserve"> </w:t>
      </w:r>
      <w:r w:rsidRPr="00FE50A6">
        <w:rPr>
          <w:rFonts w:eastAsia="Batang" w:cs="Times"/>
          <w:szCs w:val="24"/>
          <w:lang w:val="en-US"/>
        </w:rPr>
        <w:t>set up in</w:t>
      </w:r>
      <w:r w:rsidR="0022029E" w:rsidRPr="00FE50A6">
        <w:rPr>
          <w:rFonts w:eastAsia="Batang" w:cs="Times"/>
          <w:szCs w:val="24"/>
          <w:lang w:val="en-US"/>
        </w:rPr>
        <w:t xml:space="preserve"> 1995</w:t>
      </w:r>
      <w:r w:rsidR="00C258F6" w:rsidRPr="00FE50A6">
        <w:rPr>
          <w:rFonts w:eastAsia="Batang" w:cs="Times"/>
          <w:szCs w:val="24"/>
          <w:lang w:val="en-US"/>
        </w:rPr>
        <w:t>. The Commission incorporated a great</w:t>
      </w:r>
      <w:r w:rsidRPr="00FE50A6">
        <w:rPr>
          <w:rFonts w:eastAsia="Batang" w:cs="Times"/>
          <w:szCs w:val="24"/>
          <w:lang w:val="en-US"/>
        </w:rPr>
        <w:t xml:space="preserve">er number of institutions of the Brazilian State and members of civil society in order to develop public policies to combat </w:t>
      </w:r>
      <w:r w:rsidR="005F1946" w:rsidRPr="00FE50A6">
        <w:rPr>
          <w:rFonts w:eastAsia="Batang" w:cs="Times"/>
          <w:szCs w:val="24"/>
          <w:lang w:val="en-US"/>
        </w:rPr>
        <w:t>slave labor</w:t>
      </w:r>
      <w:r w:rsidR="0022029E" w:rsidRPr="00FE50A6">
        <w:rPr>
          <w:rFonts w:eastAsia="Batang" w:cs="Times"/>
          <w:szCs w:val="24"/>
          <w:lang w:val="en-US"/>
        </w:rPr>
        <w:t>.</w:t>
      </w:r>
    </w:p>
    <w:p w14:paraId="4D803112" w14:textId="77777777" w:rsidR="00B130B5" w:rsidRPr="00FE50A6" w:rsidRDefault="00B130B5" w:rsidP="00140440">
      <w:pPr>
        <w:pStyle w:val="Prrafodelista"/>
        <w:autoSpaceDE w:val="0"/>
        <w:autoSpaceDN w:val="0"/>
        <w:adjustRightInd w:val="0"/>
        <w:ind w:left="0"/>
        <w:contextualSpacing w:val="0"/>
        <w:rPr>
          <w:rFonts w:eastAsia="Batang" w:cs="Times"/>
          <w:szCs w:val="24"/>
          <w:lang w:val="en-US"/>
        </w:rPr>
      </w:pPr>
    </w:p>
    <w:p w14:paraId="49E75794" w14:textId="77777777" w:rsidR="00B130B5" w:rsidRPr="00FE50A6" w:rsidRDefault="0022029E" w:rsidP="00140440">
      <w:pPr>
        <w:pStyle w:val="Prrafodelista"/>
        <w:numPr>
          <w:ilvl w:val="0"/>
          <w:numId w:val="1"/>
        </w:numPr>
        <w:autoSpaceDE w:val="0"/>
        <w:autoSpaceDN w:val="0"/>
        <w:adjustRightInd w:val="0"/>
        <w:contextualSpacing w:val="0"/>
        <w:rPr>
          <w:rFonts w:eastAsia="Batang" w:cs="Times"/>
          <w:szCs w:val="24"/>
          <w:lang w:val="en-US"/>
        </w:rPr>
      </w:pPr>
      <w:r w:rsidRPr="00FE50A6">
        <w:rPr>
          <w:rFonts w:eastAsia="Batang" w:cs="Times"/>
          <w:szCs w:val="24"/>
          <w:lang w:val="en-US"/>
        </w:rPr>
        <w:t xml:space="preserve"> </w:t>
      </w:r>
      <w:r w:rsidR="00704BB6" w:rsidRPr="00FE50A6">
        <w:rPr>
          <w:rFonts w:eastAsia="Batang" w:cs="Times"/>
          <w:szCs w:val="24"/>
          <w:lang w:val="en-US"/>
        </w:rPr>
        <w:t>I</w:t>
      </w:r>
      <w:r w:rsidR="00ED71C3" w:rsidRPr="00FE50A6">
        <w:rPr>
          <w:rFonts w:eastAsia="Batang" w:cs="Times"/>
          <w:szCs w:val="24"/>
          <w:lang w:val="en-US"/>
        </w:rPr>
        <w:t xml:space="preserve">n </w:t>
      </w:r>
      <w:r w:rsidR="00704BB6" w:rsidRPr="00FE50A6">
        <w:rPr>
          <w:rFonts w:eastAsia="Batang" w:cs="Times"/>
          <w:szCs w:val="24"/>
          <w:lang w:val="en-US"/>
        </w:rPr>
        <w:t>December</w:t>
      </w:r>
      <w:r w:rsidR="00ED71C3" w:rsidRPr="00FE50A6">
        <w:rPr>
          <w:rFonts w:eastAsia="Batang" w:cs="Times"/>
          <w:szCs w:val="24"/>
          <w:lang w:val="en-US"/>
        </w:rPr>
        <w:t xml:space="preserve"> 2007</w:t>
      </w:r>
      <w:r w:rsidR="00704BB6" w:rsidRPr="00FE50A6">
        <w:rPr>
          <w:rFonts w:eastAsia="Batang" w:cs="Times"/>
          <w:szCs w:val="24"/>
          <w:lang w:val="en-US"/>
        </w:rPr>
        <w:t>,</w:t>
      </w:r>
      <w:r w:rsidR="00842A62" w:rsidRPr="00FE50A6">
        <w:rPr>
          <w:rFonts w:eastAsia="Batang" w:cs="Times"/>
          <w:szCs w:val="24"/>
          <w:lang w:val="en-US"/>
        </w:rPr>
        <w:t xml:space="preserve"> in </w:t>
      </w:r>
      <w:r w:rsidR="00E57B67" w:rsidRPr="00FE50A6">
        <w:rPr>
          <w:rFonts w:eastAsia="Batang" w:cs="Times"/>
          <w:szCs w:val="24"/>
          <w:lang w:val="en-US"/>
        </w:rPr>
        <w:t>S</w:t>
      </w:r>
      <w:r w:rsidR="00842A62" w:rsidRPr="00FE50A6">
        <w:rPr>
          <w:rFonts w:eastAsia="Batang" w:cs="Times"/>
          <w:szCs w:val="24"/>
          <w:lang w:val="en-US"/>
        </w:rPr>
        <w:t xml:space="preserve">pecial </w:t>
      </w:r>
      <w:r w:rsidR="00E57B67" w:rsidRPr="00FE50A6">
        <w:rPr>
          <w:rFonts w:eastAsia="Batang" w:cs="Times"/>
          <w:szCs w:val="24"/>
          <w:lang w:val="en-US"/>
        </w:rPr>
        <w:t>A</w:t>
      </w:r>
      <w:r w:rsidR="00842A62" w:rsidRPr="00FE50A6">
        <w:rPr>
          <w:rFonts w:eastAsia="Batang" w:cs="Times"/>
          <w:szCs w:val="24"/>
          <w:lang w:val="en-US"/>
        </w:rPr>
        <w:t>ppeal No. 398041,</w:t>
      </w:r>
      <w:r w:rsidR="00ED71C3" w:rsidRPr="00FE50A6">
        <w:rPr>
          <w:rFonts w:eastAsia="Batang" w:cs="Times"/>
          <w:szCs w:val="24"/>
          <w:lang w:val="en-US"/>
        </w:rPr>
        <w:t xml:space="preserve"> </w:t>
      </w:r>
      <w:r w:rsidR="00704BB6" w:rsidRPr="00FE50A6">
        <w:rPr>
          <w:rFonts w:eastAsia="Batang" w:cs="Times"/>
          <w:szCs w:val="24"/>
          <w:lang w:val="en-US"/>
        </w:rPr>
        <w:t xml:space="preserve">the Brazilian Supreme Federal Court established a definitive opinion that the federal jurisdiction was the competent instance of the Judiciary to try crimes relating to conditions </w:t>
      </w:r>
      <w:r w:rsidR="00E57B67" w:rsidRPr="00FE50A6">
        <w:rPr>
          <w:rFonts w:eastAsia="Batang" w:cs="Times"/>
          <w:szCs w:val="24"/>
          <w:lang w:val="en-US"/>
        </w:rPr>
        <w:t>analogous</w:t>
      </w:r>
      <w:r w:rsidR="00704BB6" w:rsidRPr="00FE50A6">
        <w:rPr>
          <w:rFonts w:eastAsia="Batang" w:cs="Times"/>
          <w:szCs w:val="24"/>
          <w:lang w:val="en-US"/>
        </w:rPr>
        <w:t xml:space="preserve"> to slavery established </w:t>
      </w:r>
      <w:proofErr w:type="gramStart"/>
      <w:r w:rsidR="00704BB6" w:rsidRPr="00FE50A6">
        <w:rPr>
          <w:rFonts w:eastAsia="Batang" w:cs="Times"/>
          <w:szCs w:val="24"/>
          <w:lang w:val="en-US"/>
        </w:rPr>
        <w:t xml:space="preserve">in </w:t>
      </w:r>
      <w:r w:rsidR="00ED71C3" w:rsidRPr="00FE50A6">
        <w:rPr>
          <w:rFonts w:eastAsia="Batang" w:cs="Times"/>
          <w:szCs w:val="24"/>
          <w:lang w:val="en-US"/>
        </w:rPr>
        <w:t xml:space="preserve"> </w:t>
      </w:r>
      <w:r w:rsidR="00704BB6" w:rsidRPr="00FE50A6">
        <w:rPr>
          <w:rFonts w:eastAsia="Batang" w:cs="Times"/>
          <w:szCs w:val="24"/>
          <w:lang w:val="en-US"/>
        </w:rPr>
        <w:t>a</w:t>
      </w:r>
      <w:r w:rsidR="000228D0" w:rsidRPr="00FE50A6">
        <w:rPr>
          <w:rFonts w:eastAsia="Batang" w:cs="Times"/>
          <w:szCs w:val="24"/>
          <w:lang w:val="en-US"/>
        </w:rPr>
        <w:t>rticle</w:t>
      </w:r>
      <w:proofErr w:type="gramEnd"/>
      <w:r w:rsidR="00ED71C3" w:rsidRPr="00FE50A6">
        <w:rPr>
          <w:rFonts w:eastAsia="Batang" w:cs="Times"/>
          <w:szCs w:val="24"/>
          <w:lang w:val="en-US"/>
        </w:rPr>
        <w:t xml:space="preserve"> 149 </w:t>
      </w:r>
      <w:r w:rsidR="0032018A" w:rsidRPr="00FE50A6">
        <w:rPr>
          <w:rFonts w:eastAsia="Batang" w:cs="Times"/>
          <w:szCs w:val="24"/>
          <w:lang w:val="en-US"/>
        </w:rPr>
        <w:t xml:space="preserve">of the </w:t>
      </w:r>
      <w:r w:rsidR="00704BB6" w:rsidRPr="00FE50A6">
        <w:rPr>
          <w:rFonts w:eastAsia="Batang" w:cs="Times"/>
          <w:szCs w:val="24"/>
          <w:lang w:val="en-US"/>
        </w:rPr>
        <w:t xml:space="preserve">Brazilian </w:t>
      </w:r>
      <w:r w:rsidR="0032018A" w:rsidRPr="00FE50A6">
        <w:rPr>
          <w:rFonts w:eastAsia="Batang" w:cs="Times"/>
          <w:szCs w:val="24"/>
          <w:lang w:val="en-US"/>
        </w:rPr>
        <w:t>Penal Code</w:t>
      </w:r>
      <w:r w:rsidR="00ED71C3" w:rsidRPr="00FE50A6">
        <w:rPr>
          <w:rFonts w:eastAsia="Batang" w:cs="Times"/>
          <w:szCs w:val="24"/>
          <w:lang w:val="en-US"/>
        </w:rPr>
        <w:t>.</w:t>
      </w:r>
    </w:p>
    <w:p w14:paraId="4B17B303" w14:textId="77777777" w:rsidR="00B130B5" w:rsidRPr="00FE50A6" w:rsidRDefault="00B130B5" w:rsidP="00140440">
      <w:pPr>
        <w:pStyle w:val="Prrafodelista"/>
        <w:autoSpaceDE w:val="0"/>
        <w:autoSpaceDN w:val="0"/>
        <w:adjustRightInd w:val="0"/>
        <w:ind w:left="0"/>
        <w:contextualSpacing w:val="0"/>
        <w:rPr>
          <w:rFonts w:eastAsia="Batang" w:cs="Times"/>
          <w:szCs w:val="24"/>
          <w:lang w:val="en-US"/>
        </w:rPr>
      </w:pPr>
    </w:p>
    <w:p w14:paraId="673B69A8" w14:textId="77777777" w:rsidR="0003391C" w:rsidRPr="00FE50A6" w:rsidRDefault="00ED71C3" w:rsidP="00140440">
      <w:pPr>
        <w:pStyle w:val="Prrafodelista"/>
        <w:numPr>
          <w:ilvl w:val="0"/>
          <w:numId w:val="1"/>
        </w:numPr>
        <w:autoSpaceDE w:val="0"/>
        <w:autoSpaceDN w:val="0"/>
        <w:adjustRightInd w:val="0"/>
        <w:contextualSpacing w:val="0"/>
        <w:rPr>
          <w:rFonts w:eastAsia="Batang" w:cs="Times"/>
          <w:szCs w:val="24"/>
          <w:lang w:val="en-US"/>
        </w:rPr>
      </w:pPr>
      <w:r w:rsidRPr="00FE50A6">
        <w:rPr>
          <w:rFonts w:eastAsia="Batang" w:cs="Times"/>
          <w:szCs w:val="24"/>
          <w:lang w:val="en-US"/>
        </w:rPr>
        <w:t xml:space="preserve"> </w:t>
      </w:r>
      <w:r w:rsidR="00704BB6" w:rsidRPr="00FE50A6">
        <w:rPr>
          <w:rFonts w:eastAsia="Batang" w:cs="Times"/>
          <w:szCs w:val="24"/>
          <w:lang w:val="en-US"/>
        </w:rPr>
        <w:t>I</w:t>
      </w:r>
      <w:r w:rsidRPr="00FE50A6">
        <w:rPr>
          <w:rFonts w:eastAsia="Batang" w:cs="Times"/>
          <w:szCs w:val="24"/>
          <w:lang w:val="en-US"/>
        </w:rPr>
        <w:t>n 2008</w:t>
      </w:r>
      <w:r w:rsidR="00704BB6" w:rsidRPr="00FE50A6">
        <w:rPr>
          <w:rFonts w:eastAsia="Batang" w:cs="Times"/>
          <w:szCs w:val="24"/>
          <w:lang w:val="en-US"/>
        </w:rPr>
        <w:t>, the Second National Plan for the Eradication of Slavery was implemented.</w:t>
      </w:r>
      <w:r w:rsidR="0003391C" w:rsidRPr="00FE50A6">
        <w:rPr>
          <w:rStyle w:val="Refdenotaalpie"/>
          <w:rFonts w:cs="Arial"/>
          <w:lang w:val="en-US"/>
        </w:rPr>
        <w:footnoteReference w:id="91"/>
      </w:r>
      <w:r w:rsidRPr="00FE50A6">
        <w:rPr>
          <w:rFonts w:eastAsia="Batang" w:cs="Times"/>
          <w:szCs w:val="24"/>
          <w:lang w:val="en-US"/>
        </w:rPr>
        <w:t xml:space="preserve"> </w:t>
      </w:r>
      <w:r w:rsidR="00704BB6" w:rsidRPr="00FE50A6">
        <w:rPr>
          <w:rFonts w:eastAsia="Batang" w:cs="Times"/>
          <w:szCs w:val="24"/>
          <w:lang w:val="en-US"/>
        </w:rPr>
        <w:t>I</w:t>
      </w:r>
      <w:r w:rsidR="00D92104" w:rsidRPr="00FE50A6">
        <w:rPr>
          <w:rFonts w:eastAsia="Batang" w:cs="Times"/>
          <w:szCs w:val="24"/>
          <w:lang w:val="en-US"/>
        </w:rPr>
        <w:t>n 2009</w:t>
      </w:r>
      <w:r w:rsidR="00704BB6" w:rsidRPr="00FE50A6">
        <w:rPr>
          <w:rFonts w:eastAsia="Batang" w:cs="Times"/>
          <w:szCs w:val="24"/>
          <w:lang w:val="en-US"/>
        </w:rPr>
        <w:t xml:space="preserve">, Law No. </w:t>
      </w:r>
      <w:r w:rsidR="000D47F8" w:rsidRPr="00FE50A6">
        <w:rPr>
          <w:rFonts w:eastAsia="Batang" w:cs="Times"/>
          <w:szCs w:val="24"/>
          <w:lang w:val="en-US"/>
        </w:rPr>
        <w:t>12064</w:t>
      </w:r>
      <w:r w:rsidR="00D92104" w:rsidRPr="00FE50A6">
        <w:rPr>
          <w:rFonts w:eastAsia="Batang" w:cs="Times"/>
          <w:szCs w:val="24"/>
          <w:lang w:val="en-US"/>
        </w:rPr>
        <w:t>/2009</w:t>
      </w:r>
      <w:r w:rsidR="000D47F8" w:rsidRPr="00FE50A6">
        <w:rPr>
          <w:rFonts w:eastAsia="Batang" w:cs="Times"/>
          <w:szCs w:val="24"/>
          <w:lang w:val="en-US"/>
        </w:rPr>
        <w:t xml:space="preserve"> </w:t>
      </w:r>
      <w:r w:rsidR="00704BB6" w:rsidRPr="00FE50A6">
        <w:rPr>
          <w:rFonts w:eastAsia="Batang" w:cs="Times"/>
          <w:szCs w:val="24"/>
          <w:lang w:val="en-US"/>
        </w:rPr>
        <w:t xml:space="preserve">was enacted creating the National Day of the Combat against </w:t>
      </w:r>
      <w:r w:rsidR="005F1946" w:rsidRPr="00FE50A6">
        <w:rPr>
          <w:rFonts w:eastAsia="Batang" w:cs="Times"/>
          <w:szCs w:val="24"/>
          <w:lang w:val="en-US"/>
        </w:rPr>
        <w:t xml:space="preserve">Slave </w:t>
      </w:r>
      <w:r w:rsidR="00704BB6" w:rsidRPr="00FE50A6">
        <w:rPr>
          <w:rFonts w:eastAsia="Batang" w:cs="Times"/>
          <w:szCs w:val="24"/>
          <w:lang w:val="en-US"/>
        </w:rPr>
        <w:t>L</w:t>
      </w:r>
      <w:r w:rsidR="005F1946" w:rsidRPr="00FE50A6">
        <w:rPr>
          <w:rFonts w:eastAsia="Batang" w:cs="Times"/>
          <w:szCs w:val="24"/>
          <w:lang w:val="en-US"/>
        </w:rPr>
        <w:t>abor</w:t>
      </w:r>
      <w:r w:rsidRPr="00FE50A6">
        <w:rPr>
          <w:rFonts w:eastAsia="Batang" w:cs="Times"/>
          <w:szCs w:val="24"/>
          <w:lang w:val="en-US"/>
        </w:rPr>
        <w:t>.</w:t>
      </w:r>
      <w:r w:rsidR="00D92104" w:rsidRPr="00FE50A6">
        <w:rPr>
          <w:rFonts w:eastAsia="Batang" w:cs="Times"/>
          <w:szCs w:val="24"/>
          <w:lang w:val="en-US"/>
        </w:rPr>
        <w:t xml:space="preserve"> </w:t>
      </w:r>
      <w:r w:rsidR="00704BB6" w:rsidRPr="00FE50A6">
        <w:rPr>
          <w:rFonts w:eastAsia="Batang" w:cs="Times"/>
          <w:szCs w:val="24"/>
          <w:lang w:val="en-US"/>
        </w:rPr>
        <w:t>On June 22,</w:t>
      </w:r>
      <w:r w:rsidR="00D92104" w:rsidRPr="00FE50A6">
        <w:rPr>
          <w:rFonts w:eastAsia="Batang" w:cs="Times"/>
          <w:szCs w:val="24"/>
          <w:lang w:val="en-US"/>
        </w:rPr>
        <w:t xml:space="preserve"> 2010</w:t>
      </w:r>
      <w:r w:rsidR="00704BB6" w:rsidRPr="00FE50A6">
        <w:rPr>
          <w:rFonts w:eastAsia="Batang" w:cs="Times"/>
          <w:szCs w:val="24"/>
          <w:lang w:val="en-US"/>
        </w:rPr>
        <w:t>,</w:t>
      </w:r>
      <w:r w:rsidR="00D92104" w:rsidRPr="00FE50A6">
        <w:rPr>
          <w:rFonts w:eastAsia="Batang" w:cs="Times"/>
          <w:szCs w:val="24"/>
          <w:lang w:val="en-US"/>
        </w:rPr>
        <w:t xml:space="preserve"> </w:t>
      </w:r>
      <w:r w:rsidR="00704BB6" w:rsidRPr="00FE50A6">
        <w:rPr>
          <w:rFonts w:eastAsia="Batang" w:cs="Times"/>
          <w:szCs w:val="24"/>
          <w:lang w:val="en-US"/>
        </w:rPr>
        <w:t>the Central Bank of</w:t>
      </w:r>
      <w:r w:rsidR="00D92104" w:rsidRPr="00FE50A6">
        <w:rPr>
          <w:rFonts w:eastAsia="Batang" w:cs="Times"/>
          <w:szCs w:val="24"/>
          <w:lang w:val="en-US"/>
        </w:rPr>
        <w:t xml:space="preserve"> </w:t>
      </w:r>
      <w:r w:rsidR="000228D0" w:rsidRPr="00FE50A6">
        <w:rPr>
          <w:rFonts w:eastAsia="Batang" w:cs="Times"/>
          <w:szCs w:val="24"/>
          <w:lang w:val="en-US"/>
        </w:rPr>
        <w:t>Brazil</w:t>
      </w:r>
      <w:r w:rsidR="00D92104" w:rsidRPr="00FE50A6">
        <w:rPr>
          <w:rFonts w:eastAsia="Batang" w:cs="Times"/>
          <w:szCs w:val="24"/>
          <w:lang w:val="en-US"/>
        </w:rPr>
        <w:t xml:space="preserve"> </w:t>
      </w:r>
      <w:r w:rsidR="00704BB6" w:rsidRPr="00FE50A6">
        <w:rPr>
          <w:rFonts w:eastAsia="Batang" w:cs="Times"/>
          <w:szCs w:val="24"/>
          <w:lang w:val="en-US"/>
        </w:rPr>
        <w:t xml:space="preserve">issued resolution </w:t>
      </w:r>
      <w:r w:rsidR="00D92104" w:rsidRPr="00FE50A6">
        <w:rPr>
          <w:rFonts w:eastAsia="Batang" w:cs="Times"/>
          <w:szCs w:val="24"/>
          <w:lang w:val="en-US"/>
        </w:rPr>
        <w:t>No. 3876</w:t>
      </w:r>
      <w:r w:rsidR="00704BB6" w:rsidRPr="00FE50A6">
        <w:rPr>
          <w:rFonts w:eastAsia="Batang" w:cs="Times"/>
          <w:szCs w:val="24"/>
          <w:lang w:val="en-US"/>
        </w:rPr>
        <w:t xml:space="preserve"> prohibiting the granting of rural credits to physical and legal persons registered on the Offending Employers List </w:t>
      </w:r>
      <w:r w:rsidRPr="00FE50A6">
        <w:rPr>
          <w:rFonts w:eastAsia="Batang" w:cs="Times"/>
          <w:szCs w:val="24"/>
          <w:lang w:val="en-US"/>
        </w:rPr>
        <w:t>(</w:t>
      </w:r>
      <w:r w:rsidR="00E57B67" w:rsidRPr="00FE50A6">
        <w:rPr>
          <w:rFonts w:eastAsia="Batang" w:cs="Times"/>
          <w:szCs w:val="24"/>
          <w:lang w:val="en-US"/>
        </w:rPr>
        <w:t>the “dirty list”</w:t>
      </w:r>
      <w:r w:rsidRPr="00FE50A6">
        <w:rPr>
          <w:rFonts w:eastAsia="Batang" w:cs="Times"/>
          <w:szCs w:val="24"/>
          <w:lang w:val="en-US"/>
        </w:rPr>
        <w:t xml:space="preserve">) </w:t>
      </w:r>
      <w:r w:rsidR="00704BB6" w:rsidRPr="00FE50A6">
        <w:rPr>
          <w:rFonts w:eastAsia="Batang" w:cs="Times"/>
          <w:szCs w:val="24"/>
          <w:lang w:val="en-US"/>
        </w:rPr>
        <w:t xml:space="preserve">that kept workers in conditions </w:t>
      </w:r>
      <w:r w:rsidR="00E57B67" w:rsidRPr="00FE50A6">
        <w:rPr>
          <w:rFonts w:eastAsia="Batang" w:cs="Times"/>
          <w:szCs w:val="24"/>
          <w:lang w:val="en-US"/>
        </w:rPr>
        <w:t xml:space="preserve">analogous </w:t>
      </w:r>
      <w:r w:rsidR="00704BB6" w:rsidRPr="00FE50A6">
        <w:rPr>
          <w:rFonts w:eastAsia="Batang" w:cs="Times"/>
          <w:szCs w:val="24"/>
          <w:lang w:val="en-US"/>
        </w:rPr>
        <w:t>to slavery.</w:t>
      </w:r>
      <w:r w:rsidR="00AE2300" w:rsidRPr="00FE50A6">
        <w:rPr>
          <w:rStyle w:val="Refdenotaalpie"/>
          <w:rFonts w:eastAsia="Batang"/>
          <w:lang w:val="en-US"/>
        </w:rPr>
        <w:footnoteReference w:id="92"/>
      </w:r>
      <w:r w:rsidR="00704BB6" w:rsidRPr="00FE50A6">
        <w:rPr>
          <w:rFonts w:eastAsia="Batang" w:cs="Times"/>
          <w:szCs w:val="24"/>
          <w:lang w:val="en-US"/>
        </w:rPr>
        <w:t xml:space="preserve"> On June 5,</w:t>
      </w:r>
      <w:r w:rsidRPr="00FE50A6">
        <w:rPr>
          <w:rFonts w:eastAsia="Batang" w:cs="Times"/>
          <w:szCs w:val="24"/>
          <w:lang w:val="en-US"/>
        </w:rPr>
        <w:t xml:space="preserve"> 2014</w:t>
      </w:r>
      <w:r w:rsidR="00704BB6" w:rsidRPr="00FE50A6">
        <w:rPr>
          <w:rFonts w:eastAsia="Batang" w:cs="Times"/>
          <w:szCs w:val="24"/>
          <w:lang w:val="en-US"/>
        </w:rPr>
        <w:t>,</w:t>
      </w:r>
      <w:r w:rsidR="008C11EE" w:rsidRPr="00FE50A6">
        <w:rPr>
          <w:rFonts w:eastAsia="Batang" w:cs="Times"/>
          <w:szCs w:val="24"/>
          <w:lang w:val="en-US"/>
        </w:rPr>
        <w:t xml:space="preserve"> </w:t>
      </w:r>
      <w:r w:rsidR="00704BB6" w:rsidRPr="00FE50A6">
        <w:rPr>
          <w:rFonts w:eastAsia="Batang" w:cs="Times"/>
          <w:szCs w:val="24"/>
          <w:lang w:val="en-US"/>
        </w:rPr>
        <w:t>constitutional amendment No. 81 was published</w:t>
      </w:r>
      <w:r w:rsidR="00E57B67" w:rsidRPr="00FE50A6">
        <w:rPr>
          <w:rFonts w:eastAsia="Batang" w:cs="Times"/>
          <w:szCs w:val="24"/>
          <w:lang w:val="en-US"/>
        </w:rPr>
        <w:t>, and its</w:t>
      </w:r>
      <w:r w:rsidR="00704BB6" w:rsidRPr="00FE50A6">
        <w:rPr>
          <w:rFonts w:eastAsia="Batang" w:cs="Times"/>
          <w:szCs w:val="24"/>
          <w:lang w:val="en-US"/>
        </w:rPr>
        <w:t xml:space="preserve"> article 243 determined that urban and rural properties in any region of the country where slave labor, among other </w:t>
      </w:r>
      <w:r w:rsidR="00E57B67" w:rsidRPr="00FE50A6">
        <w:rPr>
          <w:rFonts w:eastAsia="Batang" w:cs="Times"/>
          <w:szCs w:val="24"/>
          <w:lang w:val="en-US"/>
        </w:rPr>
        <w:t>problems</w:t>
      </w:r>
      <w:r w:rsidR="00704BB6" w:rsidRPr="00FE50A6">
        <w:rPr>
          <w:rFonts w:eastAsia="Batang" w:cs="Times"/>
          <w:szCs w:val="24"/>
          <w:lang w:val="en-US"/>
        </w:rPr>
        <w:t>, was found would be expropriated.</w:t>
      </w:r>
      <w:r w:rsidR="004A37D6" w:rsidRPr="00FE50A6">
        <w:rPr>
          <w:rStyle w:val="Refdenotaalpie"/>
          <w:rFonts w:eastAsia="Batang"/>
          <w:lang w:val="en-US"/>
        </w:rPr>
        <w:footnoteReference w:id="93"/>
      </w:r>
    </w:p>
    <w:p w14:paraId="6D513DA0" w14:textId="77777777" w:rsidR="006C2FBE" w:rsidRPr="00FE50A6" w:rsidRDefault="006C2FBE" w:rsidP="00140440">
      <w:pPr>
        <w:pStyle w:val="Prrafodelista"/>
        <w:autoSpaceDE w:val="0"/>
        <w:autoSpaceDN w:val="0"/>
        <w:adjustRightInd w:val="0"/>
        <w:ind w:left="0"/>
        <w:contextualSpacing w:val="0"/>
        <w:rPr>
          <w:rFonts w:eastAsia="Batang" w:cs="Times"/>
          <w:szCs w:val="24"/>
          <w:lang w:val="en-US"/>
        </w:rPr>
      </w:pPr>
    </w:p>
    <w:p w14:paraId="60B61D08" w14:textId="77777777" w:rsidR="0003391C" w:rsidRPr="00FE50A6" w:rsidRDefault="00704BB6"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t xml:space="preserve">In addition, the Brazilian State has established courses, coordinated by </w:t>
      </w:r>
      <w:r w:rsidR="0003391C" w:rsidRPr="00FE50A6">
        <w:rPr>
          <w:rFonts w:cs="Arial"/>
          <w:szCs w:val="20"/>
          <w:lang w:val="en-US"/>
        </w:rPr>
        <w:t>CONATRAE</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to raise awareness of the issue among labor judges and federal judges and to provide them with the required training.</w:t>
      </w:r>
      <w:r w:rsidR="0003391C" w:rsidRPr="00FE50A6">
        <w:rPr>
          <w:rStyle w:val="Refdenotaalpie"/>
          <w:rFonts w:cs="Arial"/>
          <w:lang w:val="en-US"/>
        </w:rPr>
        <w:footnoteReference w:id="94"/>
      </w:r>
      <w:r w:rsidR="0003391C" w:rsidRPr="00FE50A6">
        <w:rPr>
          <w:rFonts w:cs="Arial"/>
          <w:szCs w:val="20"/>
          <w:lang w:val="en-US"/>
        </w:rPr>
        <w:t xml:space="preserve"> </w:t>
      </w:r>
    </w:p>
    <w:p w14:paraId="4584AA20" w14:textId="77777777" w:rsidR="0003391C" w:rsidRPr="00FE50A6" w:rsidRDefault="0003391C" w:rsidP="00140440">
      <w:pPr>
        <w:pStyle w:val="Prrafodelista"/>
        <w:contextualSpacing w:val="0"/>
        <w:rPr>
          <w:rFonts w:cs="Times New Roman"/>
          <w:szCs w:val="20"/>
          <w:lang w:val="en-US"/>
        </w:rPr>
      </w:pPr>
    </w:p>
    <w:p w14:paraId="0D7F6EE3" w14:textId="77777777" w:rsidR="0003391C" w:rsidRPr="00FE50A6" w:rsidRDefault="00DC2886" w:rsidP="00EF4DFF">
      <w:pPr>
        <w:pStyle w:val="Ttulo2"/>
        <w:numPr>
          <w:ilvl w:val="0"/>
          <w:numId w:val="0"/>
        </w:numPr>
      </w:pPr>
      <w:bookmarkStart w:id="204" w:name="_Toc464813927"/>
      <w:bookmarkEnd w:id="203"/>
      <w:r w:rsidRPr="00FE50A6">
        <w:tab/>
      </w:r>
      <w:r w:rsidR="0014534A" w:rsidRPr="00FE50A6">
        <w:t>A.4</w:t>
      </w:r>
      <w:r w:rsidRPr="00FE50A6">
        <w:t>.</w:t>
      </w:r>
      <w:r w:rsidR="0014534A" w:rsidRPr="00FE50A6">
        <w:t xml:space="preserve"> </w:t>
      </w:r>
      <w:r w:rsidR="00704BB6" w:rsidRPr="00FE50A6">
        <w:t>Applicable domestic laws</w:t>
      </w:r>
      <w:bookmarkEnd w:id="204"/>
    </w:p>
    <w:p w14:paraId="6CCDA519" w14:textId="77777777" w:rsidR="0003391C" w:rsidRPr="00FE50A6" w:rsidRDefault="0003391C" w:rsidP="00140440">
      <w:pPr>
        <w:autoSpaceDE w:val="0"/>
        <w:autoSpaceDN w:val="0"/>
        <w:adjustRightInd w:val="0"/>
        <w:jc w:val="both"/>
        <w:rPr>
          <w:rFonts w:cs="Arial"/>
          <w:szCs w:val="20"/>
          <w:lang w:val="en-US"/>
        </w:rPr>
      </w:pPr>
    </w:p>
    <w:p w14:paraId="2843977C" w14:textId="77777777" w:rsidR="00BE60E8" w:rsidRPr="00FE50A6" w:rsidRDefault="00704BB6" w:rsidP="00BE60E8">
      <w:pPr>
        <w:pStyle w:val="Prrafodelista"/>
        <w:numPr>
          <w:ilvl w:val="0"/>
          <w:numId w:val="1"/>
        </w:numPr>
        <w:autoSpaceDE w:val="0"/>
        <w:autoSpaceDN w:val="0"/>
        <w:adjustRightInd w:val="0"/>
        <w:contextualSpacing w:val="0"/>
        <w:rPr>
          <w:rFonts w:cs="Arial"/>
          <w:sz w:val="16"/>
          <w:szCs w:val="20"/>
          <w:lang w:val="en-US"/>
        </w:rPr>
      </w:pPr>
      <w:r w:rsidRPr="00FE50A6">
        <w:rPr>
          <w:rFonts w:cs="Arial"/>
          <w:szCs w:val="20"/>
          <w:lang w:val="en-US"/>
        </w:rPr>
        <w:t>I</w:t>
      </w:r>
      <w:r w:rsidR="00BE60E8" w:rsidRPr="00FE50A6">
        <w:rPr>
          <w:rFonts w:cs="Arial"/>
          <w:szCs w:val="20"/>
          <w:lang w:val="en-US"/>
        </w:rPr>
        <w:t>n 1943</w:t>
      </w:r>
      <w:r w:rsidR="00AC769B" w:rsidRPr="00FE50A6">
        <w:rPr>
          <w:rFonts w:cs="Arial"/>
          <w:szCs w:val="20"/>
          <w:lang w:val="en-US"/>
        </w:rPr>
        <w:t>, the Consolidated Labor Laws</w:t>
      </w:r>
      <w:r w:rsidR="00842A62" w:rsidRPr="00FE50A6">
        <w:rPr>
          <w:rFonts w:cs="Arial"/>
          <w:szCs w:val="20"/>
          <w:lang w:val="en-US"/>
        </w:rPr>
        <w:t xml:space="preserve"> were enacted</w:t>
      </w:r>
      <w:r w:rsidR="00BE60E8" w:rsidRPr="00FE50A6">
        <w:rPr>
          <w:rStyle w:val="Refdenotaalpie"/>
          <w:rFonts w:cs="Arial"/>
          <w:lang w:val="en-US"/>
        </w:rPr>
        <w:footnoteReference w:id="95"/>
      </w:r>
      <w:r w:rsidR="00030C17" w:rsidRPr="00FE50A6">
        <w:rPr>
          <w:rFonts w:cs="Arial"/>
          <w:szCs w:val="20"/>
          <w:lang w:val="en-US"/>
        </w:rPr>
        <w:t xml:space="preserve"> and</w:t>
      </w:r>
      <w:r w:rsidR="00AC769B" w:rsidRPr="00FE50A6">
        <w:rPr>
          <w:rFonts w:cs="Arial"/>
          <w:szCs w:val="20"/>
          <w:lang w:val="en-US"/>
        </w:rPr>
        <w:t>,</w:t>
      </w:r>
      <w:r w:rsidR="00030C17" w:rsidRPr="00FE50A6">
        <w:rPr>
          <w:rFonts w:cs="Arial"/>
          <w:szCs w:val="20"/>
          <w:lang w:val="en-US"/>
        </w:rPr>
        <w:t xml:space="preserve"> </w:t>
      </w:r>
      <w:r w:rsidR="00AC769B" w:rsidRPr="00FE50A6">
        <w:rPr>
          <w:rFonts w:cs="Arial"/>
          <w:szCs w:val="20"/>
          <w:lang w:val="en-US"/>
        </w:rPr>
        <w:t>i</w:t>
      </w:r>
      <w:r w:rsidR="00BE60E8" w:rsidRPr="00FE50A6">
        <w:rPr>
          <w:rFonts w:cs="Arial"/>
          <w:szCs w:val="20"/>
          <w:lang w:val="en-US"/>
        </w:rPr>
        <w:t>n 1973</w:t>
      </w:r>
      <w:r w:rsidR="00AC769B" w:rsidRPr="00FE50A6">
        <w:rPr>
          <w:rFonts w:cs="Arial"/>
          <w:szCs w:val="20"/>
          <w:lang w:val="en-US"/>
        </w:rPr>
        <w:t>, the Rural Worker’s Statute.</w:t>
      </w:r>
      <w:r w:rsidR="00BE60E8" w:rsidRPr="00FE50A6">
        <w:rPr>
          <w:rStyle w:val="Refdenotaalpie"/>
          <w:rFonts w:cs="Arial"/>
          <w:lang w:val="en-US"/>
        </w:rPr>
        <w:footnoteReference w:id="96"/>
      </w:r>
      <w:r w:rsidR="00BE60E8" w:rsidRPr="00FE50A6">
        <w:rPr>
          <w:rFonts w:cs="Arial"/>
          <w:szCs w:val="20"/>
          <w:lang w:val="en-US"/>
        </w:rPr>
        <w:t xml:space="preserve"> </w:t>
      </w:r>
      <w:r w:rsidR="00AC769B" w:rsidRPr="00FE50A6">
        <w:rPr>
          <w:rFonts w:cs="Arial"/>
          <w:szCs w:val="20"/>
          <w:lang w:val="en-US"/>
        </w:rPr>
        <w:t xml:space="preserve">These laws did not include an express prohibition of </w:t>
      </w:r>
      <w:r w:rsidR="005F1946" w:rsidRPr="00FE50A6">
        <w:rPr>
          <w:rFonts w:cs="Arial"/>
          <w:szCs w:val="20"/>
          <w:lang w:val="en-US"/>
        </w:rPr>
        <w:t>slave labor</w:t>
      </w:r>
      <w:r w:rsidR="00BE60E8" w:rsidRPr="00FE50A6">
        <w:rPr>
          <w:rFonts w:cs="Arial"/>
          <w:szCs w:val="20"/>
          <w:lang w:val="en-US"/>
        </w:rPr>
        <w:t xml:space="preserve">, </w:t>
      </w:r>
      <w:r w:rsidR="00AC769B" w:rsidRPr="00FE50A6">
        <w:rPr>
          <w:rFonts w:cs="Arial"/>
          <w:szCs w:val="20"/>
          <w:lang w:val="en-US"/>
        </w:rPr>
        <w:t xml:space="preserve">but established labor offenses that corresponded to conducts that constituted </w:t>
      </w:r>
      <w:r w:rsidR="005F1946" w:rsidRPr="00FE50A6">
        <w:rPr>
          <w:rFonts w:cs="Arial"/>
          <w:szCs w:val="20"/>
          <w:lang w:val="en-US"/>
        </w:rPr>
        <w:t>slave labor</w:t>
      </w:r>
      <w:r w:rsidR="00BE60E8" w:rsidRPr="00FE50A6">
        <w:rPr>
          <w:rFonts w:cs="Arial"/>
          <w:szCs w:val="20"/>
          <w:lang w:val="en-US"/>
        </w:rPr>
        <w:t xml:space="preserve">. </w:t>
      </w:r>
    </w:p>
    <w:p w14:paraId="44173D00" w14:textId="77777777" w:rsidR="00BE60E8" w:rsidRPr="00FE50A6" w:rsidRDefault="00BE60E8" w:rsidP="00BE60E8">
      <w:pPr>
        <w:pStyle w:val="Prrafodelista"/>
        <w:autoSpaceDE w:val="0"/>
        <w:autoSpaceDN w:val="0"/>
        <w:adjustRightInd w:val="0"/>
        <w:ind w:left="0"/>
        <w:contextualSpacing w:val="0"/>
        <w:rPr>
          <w:rFonts w:cs="Arial"/>
          <w:sz w:val="16"/>
          <w:szCs w:val="20"/>
          <w:lang w:val="en-US"/>
        </w:rPr>
      </w:pPr>
    </w:p>
    <w:p w14:paraId="4A8BF161" w14:textId="77777777" w:rsidR="0003391C" w:rsidRPr="00FE50A6" w:rsidRDefault="00AC769B"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Article</w:t>
      </w:r>
      <w:r w:rsidR="0003391C" w:rsidRPr="00FE50A6">
        <w:rPr>
          <w:rFonts w:cs="Arial"/>
          <w:szCs w:val="20"/>
          <w:lang w:val="en-US"/>
        </w:rPr>
        <w:t xml:space="preserve"> 7 </w:t>
      </w:r>
      <w:r w:rsidRPr="00FE50A6">
        <w:rPr>
          <w:rFonts w:cs="Arial"/>
          <w:szCs w:val="20"/>
          <w:lang w:val="en-US"/>
        </w:rPr>
        <w:t>of the 1988 Brazilian Constitution sets out the rights of urban and rural workers.</w:t>
      </w:r>
      <w:r w:rsidR="0003391C" w:rsidRPr="00FE50A6">
        <w:rPr>
          <w:rStyle w:val="Refdenotaalpie"/>
          <w:rFonts w:cs="Arial"/>
          <w:lang w:val="en-US"/>
        </w:rPr>
        <w:footnoteReference w:id="97"/>
      </w:r>
      <w:r w:rsidRPr="00FE50A6">
        <w:rPr>
          <w:rFonts w:cs="Arial"/>
          <w:szCs w:val="20"/>
          <w:lang w:val="en-US"/>
        </w:rPr>
        <w:t xml:space="preserve"> Article </w:t>
      </w:r>
      <w:r w:rsidR="0003391C" w:rsidRPr="00FE50A6">
        <w:rPr>
          <w:rFonts w:cs="Arial"/>
          <w:szCs w:val="20"/>
          <w:lang w:val="en-US"/>
        </w:rPr>
        <w:t xml:space="preserve">149 </w:t>
      </w:r>
      <w:r w:rsidR="0032018A" w:rsidRPr="00FE50A6">
        <w:rPr>
          <w:rFonts w:cs="Arial"/>
          <w:szCs w:val="20"/>
          <w:lang w:val="en-US"/>
        </w:rPr>
        <w:t xml:space="preserve">of the </w:t>
      </w:r>
      <w:r w:rsidRPr="00FE50A6">
        <w:rPr>
          <w:rFonts w:cs="Arial"/>
          <w:szCs w:val="20"/>
          <w:lang w:val="en-US"/>
        </w:rPr>
        <w:t>1940 Brazilian P</w:t>
      </w:r>
      <w:r w:rsidR="0032018A" w:rsidRPr="00FE50A6">
        <w:rPr>
          <w:rFonts w:cs="Arial"/>
          <w:szCs w:val="20"/>
          <w:lang w:val="en-US"/>
        </w:rPr>
        <w:t>enal Code</w:t>
      </w:r>
      <w:r w:rsidRPr="00FE50A6">
        <w:rPr>
          <w:rFonts w:cs="Arial"/>
          <w:szCs w:val="20"/>
          <w:lang w:val="en-US"/>
        </w:rPr>
        <w:t xml:space="preserve"> defined, for the first time, in general terms, the conduct of reducing a person to conditions similar to slavery as follows:</w:t>
      </w:r>
    </w:p>
    <w:p w14:paraId="75B801E8"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2F2E2229" w14:textId="77777777" w:rsidR="0003391C" w:rsidRPr="00FE50A6" w:rsidRDefault="009C48A4" w:rsidP="00140440">
      <w:pPr>
        <w:pStyle w:val="Prrafodelista"/>
        <w:autoSpaceDE w:val="0"/>
        <w:autoSpaceDN w:val="0"/>
        <w:adjustRightInd w:val="0"/>
        <w:ind w:right="720"/>
        <w:contextualSpacing w:val="0"/>
        <w:rPr>
          <w:rFonts w:cs="Arial"/>
          <w:szCs w:val="20"/>
          <w:lang w:val="en-US"/>
        </w:rPr>
      </w:pPr>
      <w:r w:rsidRPr="00FE50A6">
        <w:rPr>
          <w:rFonts w:cs="Arial"/>
          <w:sz w:val="16"/>
          <w:szCs w:val="20"/>
          <w:lang w:val="en-US"/>
        </w:rPr>
        <w:t>“</w:t>
      </w:r>
      <w:r w:rsidR="00AC769B" w:rsidRPr="00FE50A6">
        <w:rPr>
          <w:rFonts w:cs="Arial"/>
          <w:sz w:val="16"/>
          <w:szCs w:val="20"/>
          <w:lang w:val="en-US"/>
        </w:rPr>
        <w:t xml:space="preserve">To reduce someone to conditions </w:t>
      </w:r>
      <w:r w:rsidR="00A55F4F" w:rsidRPr="00FE50A6">
        <w:rPr>
          <w:rFonts w:cs="Arial"/>
          <w:sz w:val="16"/>
          <w:szCs w:val="20"/>
          <w:lang w:val="en-US"/>
        </w:rPr>
        <w:t>analogous</w:t>
      </w:r>
      <w:r w:rsidR="00AC769B" w:rsidRPr="00FE50A6">
        <w:rPr>
          <w:rFonts w:cs="Arial"/>
          <w:sz w:val="16"/>
          <w:szCs w:val="20"/>
          <w:lang w:val="en-US"/>
        </w:rPr>
        <w:t xml:space="preserve"> to those of a slave: 2 to 8 years’ imprisonment.</w:t>
      </w:r>
      <w:r w:rsidRPr="00FE50A6">
        <w:rPr>
          <w:rFonts w:cs="Arial"/>
          <w:sz w:val="16"/>
          <w:szCs w:val="20"/>
          <w:lang w:val="en-US"/>
        </w:rPr>
        <w:t>”</w:t>
      </w:r>
      <w:r w:rsidR="0003391C" w:rsidRPr="00FE50A6">
        <w:rPr>
          <w:rStyle w:val="Refdenotaalpie"/>
          <w:rFonts w:cs="Arial"/>
          <w:sz w:val="16"/>
          <w:lang w:val="en-US"/>
        </w:rPr>
        <w:footnoteReference w:id="98"/>
      </w:r>
      <w:r w:rsidR="0003391C" w:rsidRPr="00FE50A6">
        <w:rPr>
          <w:rFonts w:cs="Times New Roman"/>
          <w:szCs w:val="20"/>
          <w:lang w:val="en-US"/>
        </w:rPr>
        <w:t xml:space="preserve"> </w:t>
      </w:r>
    </w:p>
    <w:p w14:paraId="17E1428F"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37C31C40" w14:textId="77777777" w:rsidR="0003391C" w:rsidRPr="00FE50A6" w:rsidRDefault="0003391C" w:rsidP="00140440">
      <w:pPr>
        <w:pStyle w:val="Prrafodelista"/>
        <w:numPr>
          <w:ilvl w:val="0"/>
          <w:numId w:val="1"/>
        </w:numPr>
        <w:autoSpaceDE w:val="0"/>
        <w:autoSpaceDN w:val="0"/>
        <w:adjustRightInd w:val="0"/>
        <w:contextualSpacing w:val="0"/>
        <w:rPr>
          <w:rFonts w:cs="Arial"/>
          <w:szCs w:val="20"/>
          <w:lang w:val="en-US"/>
        </w:rPr>
      </w:pPr>
      <w:r w:rsidRPr="00FE50A6">
        <w:rPr>
          <w:rFonts w:cs="Times New Roman"/>
          <w:szCs w:val="20"/>
          <w:lang w:val="en-US"/>
        </w:rPr>
        <w:lastRenderedPageBreak/>
        <w:t>A</w:t>
      </w:r>
      <w:r w:rsidR="00AC769B" w:rsidRPr="00FE50A6">
        <w:rPr>
          <w:rFonts w:cs="Times New Roman"/>
          <w:szCs w:val="20"/>
          <w:lang w:val="en-US"/>
        </w:rPr>
        <w:t>lso</w:t>
      </w:r>
      <w:r w:rsidRPr="00FE50A6">
        <w:rPr>
          <w:rFonts w:cs="Times New Roman"/>
          <w:szCs w:val="20"/>
          <w:lang w:val="en-US"/>
        </w:rPr>
        <w:t xml:space="preserve">, </w:t>
      </w:r>
      <w:r w:rsidR="00AC769B" w:rsidRPr="00FE50A6">
        <w:rPr>
          <w:rFonts w:cs="Times New Roman"/>
          <w:szCs w:val="20"/>
          <w:lang w:val="en-US"/>
        </w:rPr>
        <w:t>a</w:t>
      </w:r>
      <w:r w:rsidR="000228D0" w:rsidRPr="00FE50A6">
        <w:rPr>
          <w:rFonts w:cs="Times New Roman"/>
          <w:szCs w:val="20"/>
          <w:lang w:val="en-US"/>
        </w:rPr>
        <w:t>rticle</w:t>
      </w:r>
      <w:r w:rsidRPr="00FE50A6">
        <w:rPr>
          <w:rFonts w:cs="Times New Roman"/>
          <w:szCs w:val="20"/>
          <w:lang w:val="en-US"/>
        </w:rPr>
        <w:t xml:space="preserve"> </w:t>
      </w:r>
      <w:r w:rsidRPr="00FE50A6">
        <w:rPr>
          <w:rFonts w:cs="Arial"/>
          <w:szCs w:val="20"/>
          <w:lang w:val="en-US"/>
        </w:rPr>
        <w:t xml:space="preserve">197 </w:t>
      </w:r>
      <w:r w:rsidR="00AC769B" w:rsidRPr="00FE50A6">
        <w:rPr>
          <w:rFonts w:cs="Arial"/>
          <w:szCs w:val="20"/>
          <w:lang w:val="en-US"/>
        </w:rPr>
        <w:t>of the Brazilian Penal Code</w:t>
      </w:r>
      <w:r w:rsidRPr="00FE50A6">
        <w:rPr>
          <w:rFonts w:cs="Arial"/>
          <w:szCs w:val="20"/>
          <w:lang w:val="en-US"/>
        </w:rPr>
        <w:t xml:space="preserve"> </w:t>
      </w:r>
      <w:r w:rsidR="00AC769B" w:rsidRPr="00FE50A6">
        <w:rPr>
          <w:rFonts w:cs="Arial"/>
          <w:szCs w:val="20"/>
          <w:lang w:val="en-US"/>
        </w:rPr>
        <w:t xml:space="preserve">established the offense of </w:t>
      </w:r>
      <w:r w:rsidR="009C48A4" w:rsidRPr="00FE50A6">
        <w:rPr>
          <w:rFonts w:cs="Arial"/>
          <w:szCs w:val="20"/>
          <w:lang w:val="en-US"/>
        </w:rPr>
        <w:t>“</w:t>
      </w:r>
      <w:r w:rsidR="00216F2D" w:rsidRPr="00FE50A6">
        <w:rPr>
          <w:rFonts w:cs="Arial"/>
          <w:szCs w:val="20"/>
          <w:lang w:val="en-US"/>
        </w:rPr>
        <w:t>violation of</w:t>
      </w:r>
      <w:r w:rsidR="00AC769B" w:rsidRPr="00FE50A6">
        <w:rPr>
          <w:rFonts w:cs="Arial"/>
          <w:szCs w:val="20"/>
          <w:lang w:val="en-US"/>
        </w:rPr>
        <w:t xml:space="preserve"> freedom of work</w:t>
      </w:r>
      <w:r w:rsidR="009C48A4" w:rsidRPr="00FE50A6">
        <w:rPr>
          <w:rFonts w:cs="Arial"/>
          <w:szCs w:val="20"/>
          <w:lang w:val="en-US"/>
        </w:rPr>
        <w:t>”</w:t>
      </w:r>
      <w:r w:rsidRPr="00FE50A6">
        <w:rPr>
          <w:rStyle w:val="Refdenotaalpie"/>
          <w:rFonts w:cs="Arial"/>
          <w:lang w:val="en-US"/>
        </w:rPr>
        <w:footnoteReference w:id="99"/>
      </w:r>
      <w:r w:rsidRPr="00FE50A6">
        <w:rPr>
          <w:rFonts w:cs="Arial"/>
          <w:szCs w:val="20"/>
          <w:lang w:val="en-US"/>
        </w:rPr>
        <w:t>;</w:t>
      </w:r>
      <w:r w:rsidR="00030C17" w:rsidRPr="00FE50A6">
        <w:rPr>
          <w:rFonts w:cs="Arial"/>
          <w:szCs w:val="20"/>
          <w:lang w:val="en-US"/>
        </w:rPr>
        <w:t xml:space="preserve"> and </w:t>
      </w:r>
      <w:r w:rsidR="00AC769B" w:rsidRPr="00FE50A6">
        <w:rPr>
          <w:rFonts w:cs="Arial"/>
          <w:szCs w:val="20"/>
          <w:lang w:val="en-US"/>
        </w:rPr>
        <w:t>a</w:t>
      </w:r>
      <w:r w:rsidR="000228D0" w:rsidRPr="00FE50A6">
        <w:rPr>
          <w:rFonts w:cs="Arial"/>
          <w:szCs w:val="20"/>
          <w:lang w:val="en-US"/>
        </w:rPr>
        <w:t>rticle</w:t>
      </w:r>
      <w:r w:rsidRPr="00FE50A6">
        <w:rPr>
          <w:rFonts w:cs="Arial"/>
          <w:szCs w:val="20"/>
          <w:lang w:val="en-US"/>
        </w:rPr>
        <w:t xml:space="preserve"> 207</w:t>
      </w:r>
      <w:r w:rsidRPr="00FE50A6">
        <w:rPr>
          <w:rFonts w:cs="Times New Roman"/>
          <w:szCs w:val="20"/>
          <w:lang w:val="en-US"/>
        </w:rPr>
        <w:t xml:space="preserve"> </w:t>
      </w:r>
      <w:r w:rsidR="00AC769B" w:rsidRPr="00FE50A6">
        <w:rPr>
          <w:rFonts w:cs="Times New Roman"/>
          <w:szCs w:val="20"/>
          <w:lang w:val="en-US"/>
        </w:rPr>
        <w:t xml:space="preserve">defined the offense of </w:t>
      </w:r>
      <w:r w:rsidR="009C48A4" w:rsidRPr="00FE50A6">
        <w:rPr>
          <w:rFonts w:cs="Times New Roman"/>
          <w:szCs w:val="20"/>
          <w:lang w:val="en-US"/>
        </w:rPr>
        <w:t>“</w:t>
      </w:r>
      <w:r w:rsidR="00AC769B" w:rsidRPr="00FE50A6">
        <w:rPr>
          <w:rFonts w:cs="Times New Roman"/>
          <w:szCs w:val="20"/>
          <w:lang w:val="en-US"/>
        </w:rPr>
        <w:t>unlawful recruitment of workers from one part of national territory</w:t>
      </w:r>
      <w:r w:rsidR="00842A62" w:rsidRPr="00FE50A6">
        <w:rPr>
          <w:rFonts w:cs="Times New Roman"/>
          <w:szCs w:val="20"/>
          <w:lang w:val="en-US"/>
        </w:rPr>
        <w:t xml:space="preserve"> to another</w:t>
      </w:r>
      <w:r w:rsidR="00AC769B" w:rsidRPr="00FE50A6">
        <w:rPr>
          <w:rFonts w:cs="Arial"/>
          <w:szCs w:val="20"/>
          <w:lang w:val="en-US"/>
        </w:rPr>
        <w:t>.</w:t>
      </w:r>
      <w:r w:rsidR="009C48A4" w:rsidRPr="00FE50A6">
        <w:rPr>
          <w:rFonts w:cs="Arial"/>
          <w:szCs w:val="20"/>
          <w:lang w:val="en-US"/>
        </w:rPr>
        <w:t>”</w:t>
      </w:r>
      <w:r w:rsidRPr="00FE50A6">
        <w:rPr>
          <w:rStyle w:val="Refdenotaalpie"/>
          <w:rFonts w:cs="Arial"/>
          <w:lang w:val="en-US"/>
        </w:rPr>
        <w:footnoteReference w:id="100"/>
      </w:r>
      <w:r w:rsidR="00AC769B" w:rsidRPr="00FE50A6">
        <w:rPr>
          <w:rFonts w:cs="Arial"/>
          <w:szCs w:val="20"/>
          <w:lang w:val="en-US"/>
        </w:rPr>
        <w:t xml:space="preserve"> At the time of the facts of this case, these were the applicable laws</w:t>
      </w:r>
      <w:r w:rsidRPr="00FE50A6">
        <w:rPr>
          <w:rFonts w:cs="Times New Roman"/>
          <w:szCs w:val="20"/>
          <w:lang w:val="en-US"/>
        </w:rPr>
        <w:t>.</w:t>
      </w:r>
      <w:r w:rsidRPr="00FE50A6">
        <w:rPr>
          <w:rFonts w:cs="Arial"/>
          <w:sz w:val="16"/>
          <w:szCs w:val="20"/>
          <w:lang w:val="en-US"/>
        </w:rPr>
        <w:t xml:space="preserve"> </w:t>
      </w:r>
    </w:p>
    <w:p w14:paraId="531F94D9"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7D9E1B40" w14:textId="77777777" w:rsidR="0003391C" w:rsidRPr="00FE50A6" w:rsidRDefault="00AC769B" w:rsidP="00140440">
      <w:pPr>
        <w:pStyle w:val="Prrafodelista"/>
        <w:numPr>
          <w:ilvl w:val="0"/>
          <w:numId w:val="1"/>
        </w:numPr>
        <w:autoSpaceDE w:val="0"/>
        <w:autoSpaceDN w:val="0"/>
        <w:adjustRightInd w:val="0"/>
        <w:contextualSpacing w:val="0"/>
        <w:rPr>
          <w:rFonts w:cs="Arial"/>
          <w:sz w:val="16"/>
          <w:szCs w:val="20"/>
          <w:lang w:val="en-US"/>
        </w:rPr>
      </w:pPr>
      <w:r w:rsidRPr="00FE50A6">
        <w:rPr>
          <w:rFonts w:cs="Arial"/>
          <w:szCs w:val="20"/>
          <w:lang w:val="en-US"/>
        </w:rPr>
        <w:t>I</w:t>
      </w:r>
      <w:r w:rsidR="0003391C" w:rsidRPr="00FE50A6">
        <w:rPr>
          <w:rFonts w:cs="Arial"/>
          <w:szCs w:val="20"/>
          <w:lang w:val="en-US"/>
        </w:rPr>
        <w:t>n 1994</w:t>
      </w:r>
      <w:r w:rsidRPr="00FE50A6">
        <w:rPr>
          <w:rFonts w:cs="Arial"/>
          <w:szCs w:val="20"/>
          <w:lang w:val="en-US"/>
        </w:rPr>
        <w:t>, the first Administrative Instruction was enacted establish</w:t>
      </w:r>
      <w:r w:rsidR="00842A62" w:rsidRPr="00FE50A6">
        <w:rPr>
          <w:rFonts w:cs="Arial"/>
          <w:szCs w:val="20"/>
          <w:lang w:val="en-US"/>
        </w:rPr>
        <w:t>ing</w:t>
      </w:r>
      <w:r w:rsidRPr="00FE50A6">
        <w:rPr>
          <w:rFonts w:cs="Arial"/>
          <w:szCs w:val="20"/>
          <w:lang w:val="en-US"/>
        </w:rPr>
        <w:t xml:space="preserve"> the appropriate procedure for conducting</w:t>
      </w:r>
      <w:r w:rsidR="00842A62" w:rsidRPr="00FE50A6">
        <w:rPr>
          <w:rFonts w:cs="Arial"/>
          <w:szCs w:val="20"/>
          <w:lang w:val="en-US"/>
        </w:rPr>
        <w:t xml:space="preserve"> </w:t>
      </w:r>
      <w:r w:rsidRPr="00FE50A6">
        <w:rPr>
          <w:rFonts w:cs="Arial"/>
          <w:szCs w:val="20"/>
          <w:lang w:val="en-US"/>
        </w:rPr>
        <w:t>inspections</w:t>
      </w:r>
      <w:r w:rsidR="00842A62" w:rsidRPr="00FE50A6">
        <w:rPr>
          <w:rFonts w:cs="Arial"/>
          <w:szCs w:val="20"/>
          <w:lang w:val="en-US"/>
        </w:rPr>
        <w:t xml:space="preserve"> of work</w:t>
      </w:r>
      <w:r w:rsidRPr="00FE50A6">
        <w:rPr>
          <w:rFonts w:cs="Arial"/>
          <w:szCs w:val="20"/>
          <w:lang w:val="en-US"/>
        </w:rPr>
        <w:t xml:space="preserve"> in rural context</w:t>
      </w:r>
      <w:r w:rsidR="00842A62" w:rsidRPr="00FE50A6">
        <w:rPr>
          <w:rFonts w:cs="Arial"/>
          <w:szCs w:val="20"/>
          <w:lang w:val="en-US"/>
        </w:rPr>
        <w:t>s</w:t>
      </w:r>
      <w:r w:rsidRPr="00FE50A6">
        <w:rPr>
          <w:rFonts w:cs="Arial"/>
          <w:szCs w:val="20"/>
          <w:lang w:val="en-US"/>
        </w:rPr>
        <w:t xml:space="preserve"> and </w:t>
      </w:r>
      <w:r w:rsidR="00842A62" w:rsidRPr="00FE50A6">
        <w:rPr>
          <w:rFonts w:cs="Arial"/>
          <w:szCs w:val="20"/>
          <w:lang w:val="en-US"/>
        </w:rPr>
        <w:t xml:space="preserve">providing </w:t>
      </w:r>
      <w:r w:rsidRPr="00FE50A6">
        <w:rPr>
          <w:rFonts w:cs="Arial"/>
          <w:szCs w:val="20"/>
          <w:lang w:val="en-US"/>
        </w:rPr>
        <w:t>guidelines</w:t>
      </w:r>
      <w:r w:rsidR="0003391C" w:rsidRPr="00FE50A6">
        <w:rPr>
          <w:rFonts w:cs="Arial"/>
          <w:szCs w:val="20"/>
          <w:lang w:val="en-US"/>
        </w:rPr>
        <w:t xml:space="preserve"> </w:t>
      </w:r>
      <w:r w:rsidR="00842A62" w:rsidRPr="00FE50A6">
        <w:rPr>
          <w:rFonts w:cs="Arial"/>
          <w:szCs w:val="20"/>
          <w:lang w:val="en-US"/>
        </w:rPr>
        <w:t>on</w:t>
      </w:r>
      <w:r w:rsidRPr="00FE50A6">
        <w:rPr>
          <w:rFonts w:cs="Arial"/>
          <w:szCs w:val="20"/>
          <w:lang w:val="en-US"/>
        </w:rPr>
        <w:t xml:space="preserve"> the procedure to be adopted in cases of </w:t>
      </w:r>
      <w:r w:rsidR="005F1946" w:rsidRPr="00FE50A6">
        <w:rPr>
          <w:rFonts w:cs="Arial"/>
          <w:szCs w:val="20"/>
          <w:lang w:val="en-US"/>
        </w:rPr>
        <w:t>forced labor</w:t>
      </w:r>
      <w:r w:rsidR="00030C17" w:rsidRPr="00FE50A6">
        <w:rPr>
          <w:rFonts w:cs="Arial"/>
          <w:szCs w:val="20"/>
          <w:lang w:val="en-US"/>
        </w:rPr>
        <w:t xml:space="preserve"> and </w:t>
      </w:r>
      <w:r w:rsidR="0003391C" w:rsidRPr="00FE50A6">
        <w:rPr>
          <w:rFonts w:cs="Arial"/>
          <w:szCs w:val="20"/>
          <w:lang w:val="en-US"/>
        </w:rPr>
        <w:t>o</w:t>
      </w:r>
      <w:r w:rsidRPr="00FE50A6">
        <w:rPr>
          <w:rFonts w:cs="Arial"/>
          <w:szCs w:val="20"/>
          <w:lang w:val="en-US"/>
        </w:rPr>
        <w:t>ther situations that jeopardized the life or health of workers.</w:t>
      </w:r>
      <w:r w:rsidR="0003391C" w:rsidRPr="00FE50A6">
        <w:rPr>
          <w:rStyle w:val="Refdenotaalpie"/>
          <w:rFonts w:cs="Arial"/>
          <w:lang w:val="en-US"/>
        </w:rPr>
        <w:footnoteReference w:id="101"/>
      </w:r>
      <w:r w:rsidRPr="00FE50A6">
        <w:rPr>
          <w:rFonts w:cs="Arial"/>
          <w:szCs w:val="20"/>
          <w:lang w:val="en-US"/>
        </w:rPr>
        <w:t xml:space="preserve"> The norm was amended in </w:t>
      </w:r>
      <w:r w:rsidR="0003391C" w:rsidRPr="00FE50A6">
        <w:rPr>
          <w:rFonts w:cs="Arial"/>
          <w:szCs w:val="20"/>
          <w:lang w:val="en-US"/>
        </w:rPr>
        <w:t>2006</w:t>
      </w:r>
      <w:r w:rsidR="00030C17" w:rsidRPr="00FE50A6">
        <w:rPr>
          <w:rFonts w:cs="Arial"/>
          <w:szCs w:val="20"/>
          <w:lang w:val="en-US"/>
        </w:rPr>
        <w:t xml:space="preserve"> and </w:t>
      </w:r>
      <w:r w:rsidR="005504F7" w:rsidRPr="00FE50A6">
        <w:rPr>
          <w:rFonts w:cs="Arial"/>
          <w:szCs w:val="20"/>
          <w:lang w:val="en-US"/>
        </w:rPr>
        <w:t>2009</w:t>
      </w:r>
      <w:r w:rsidRPr="00FE50A6">
        <w:rPr>
          <w:rFonts w:cs="Arial"/>
          <w:szCs w:val="20"/>
          <w:lang w:val="en-US"/>
        </w:rPr>
        <w:t>.</w:t>
      </w:r>
      <w:r w:rsidR="0003391C" w:rsidRPr="00FE50A6">
        <w:rPr>
          <w:rStyle w:val="Refdenotaalpie"/>
          <w:rFonts w:cs="Arial"/>
          <w:lang w:val="en-US"/>
        </w:rPr>
        <w:footnoteReference w:id="102"/>
      </w:r>
      <w:r w:rsidR="0003391C" w:rsidRPr="00FE50A6">
        <w:rPr>
          <w:rFonts w:cs="Arial"/>
          <w:szCs w:val="20"/>
          <w:lang w:val="en-US"/>
        </w:rPr>
        <w:t xml:space="preserve"> </w:t>
      </w:r>
    </w:p>
    <w:p w14:paraId="35885EF6" w14:textId="77777777" w:rsidR="0003391C" w:rsidRPr="00FE50A6" w:rsidRDefault="0003391C" w:rsidP="00140440">
      <w:pPr>
        <w:pStyle w:val="Prrafodelista"/>
        <w:contextualSpacing w:val="0"/>
        <w:rPr>
          <w:rFonts w:cs="Arial"/>
          <w:sz w:val="16"/>
          <w:szCs w:val="20"/>
          <w:lang w:val="en-US"/>
        </w:rPr>
      </w:pPr>
    </w:p>
    <w:p w14:paraId="4BAFCED2" w14:textId="77777777" w:rsidR="0003391C" w:rsidRPr="00FE50A6" w:rsidRDefault="00AC769B"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Law</w:t>
      </w:r>
      <w:r w:rsidR="0003391C" w:rsidRPr="00FE50A6">
        <w:rPr>
          <w:rFonts w:cs="Arial"/>
          <w:szCs w:val="20"/>
          <w:lang w:val="en-US"/>
        </w:rPr>
        <w:t xml:space="preserve"> No. 10</w:t>
      </w:r>
      <w:r w:rsidRPr="00FE50A6">
        <w:rPr>
          <w:rFonts w:cs="Arial"/>
          <w:szCs w:val="20"/>
          <w:lang w:val="en-US"/>
        </w:rPr>
        <w:t>,</w:t>
      </w:r>
      <w:r w:rsidR="0003391C" w:rsidRPr="00FE50A6">
        <w:rPr>
          <w:rFonts w:cs="Arial"/>
          <w:szCs w:val="20"/>
          <w:lang w:val="en-US"/>
        </w:rPr>
        <w:t xml:space="preserve">803 </w:t>
      </w:r>
      <w:r w:rsidRPr="00FE50A6">
        <w:rPr>
          <w:rFonts w:cs="Arial"/>
          <w:szCs w:val="20"/>
          <w:lang w:val="en-US"/>
        </w:rPr>
        <w:t>of</w:t>
      </w:r>
      <w:r w:rsidR="0003391C" w:rsidRPr="00FE50A6">
        <w:rPr>
          <w:rFonts w:cs="Arial"/>
          <w:szCs w:val="20"/>
          <w:lang w:val="en-US"/>
        </w:rPr>
        <w:t xml:space="preserve"> 2003 </w:t>
      </w:r>
      <w:r w:rsidRPr="00FE50A6">
        <w:rPr>
          <w:rFonts w:cs="Arial"/>
          <w:szCs w:val="20"/>
          <w:lang w:val="en-US"/>
        </w:rPr>
        <w:t>amended</w:t>
      </w:r>
      <w:r w:rsidR="0003391C" w:rsidRPr="00FE50A6">
        <w:rPr>
          <w:rFonts w:cs="Arial"/>
          <w:szCs w:val="20"/>
          <w:lang w:val="en-US"/>
        </w:rPr>
        <w:t xml:space="preserve"> </w:t>
      </w:r>
      <w:r w:rsidRPr="00FE50A6">
        <w:rPr>
          <w:rFonts w:cs="Arial"/>
          <w:szCs w:val="20"/>
          <w:lang w:val="en-US"/>
        </w:rPr>
        <w:t>a</w:t>
      </w:r>
      <w:r w:rsidR="000228D0" w:rsidRPr="00FE50A6">
        <w:rPr>
          <w:rFonts w:cs="Arial"/>
          <w:szCs w:val="20"/>
          <w:lang w:val="en-US"/>
        </w:rPr>
        <w:t>rticle</w:t>
      </w:r>
      <w:r w:rsidR="0003391C" w:rsidRPr="00FE50A6">
        <w:rPr>
          <w:rFonts w:cs="Arial"/>
          <w:szCs w:val="20"/>
          <w:lang w:val="en-US"/>
        </w:rPr>
        <w:t xml:space="preserve"> 149 </w:t>
      </w:r>
      <w:r w:rsidR="0032018A" w:rsidRPr="00FE50A6">
        <w:rPr>
          <w:rFonts w:cs="Arial"/>
          <w:szCs w:val="20"/>
          <w:lang w:val="en-US"/>
        </w:rPr>
        <w:t xml:space="preserve">of the </w:t>
      </w:r>
      <w:r w:rsidRPr="00FE50A6">
        <w:rPr>
          <w:rFonts w:cs="Arial"/>
          <w:szCs w:val="20"/>
          <w:lang w:val="en-US"/>
        </w:rPr>
        <w:t>Brazilian Penal Code</w:t>
      </w:r>
      <w:r w:rsidR="0003391C" w:rsidRPr="00FE50A6">
        <w:rPr>
          <w:rFonts w:cs="Arial"/>
          <w:szCs w:val="20"/>
          <w:lang w:val="en-US"/>
        </w:rPr>
        <w:t>,</w:t>
      </w:r>
      <w:r w:rsidR="00030C17" w:rsidRPr="00FE50A6">
        <w:rPr>
          <w:rFonts w:cs="Arial"/>
          <w:szCs w:val="20"/>
          <w:lang w:val="en-US"/>
        </w:rPr>
        <w:t xml:space="preserve"> and </w:t>
      </w:r>
      <w:r w:rsidRPr="00FE50A6">
        <w:rPr>
          <w:rFonts w:cs="Arial"/>
          <w:szCs w:val="20"/>
          <w:lang w:val="en-US"/>
        </w:rPr>
        <w:t>defined as an offen</w:t>
      </w:r>
      <w:r w:rsidR="0003391C" w:rsidRPr="00FE50A6">
        <w:rPr>
          <w:rFonts w:cs="Arial"/>
          <w:szCs w:val="20"/>
          <w:lang w:val="en-US"/>
        </w:rPr>
        <w:t xml:space="preserve">se </w:t>
      </w:r>
      <w:r w:rsidRPr="00FE50A6">
        <w:rPr>
          <w:rFonts w:cs="Arial"/>
          <w:szCs w:val="20"/>
          <w:lang w:val="en-US"/>
        </w:rPr>
        <w:t xml:space="preserve">any conduct that reduced a person to conditions </w:t>
      </w:r>
      <w:r w:rsidR="00A55F4F" w:rsidRPr="00FE50A6">
        <w:rPr>
          <w:rFonts w:cs="Arial"/>
          <w:szCs w:val="20"/>
          <w:lang w:val="en-US"/>
        </w:rPr>
        <w:t xml:space="preserve">analogous </w:t>
      </w:r>
      <w:r w:rsidRPr="00FE50A6">
        <w:rPr>
          <w:rFonts w:cs="Arial"/>
          <w:szCs w:val="20"/>
          <w:lang w:val="en-US"/>
        </w:rPr>
        <w:t>to slavery as follows:</w:t>
      </w:r>
    </w:p>
    <w:p w14:paraId="329E24C2" w14:textId="77777777" w:rsidR="0003391C" w:rsidRPr="00FE50A6" w:rsidRDefault="0003391C" w:rsidP="00140440">
      <w:pPr>
        <w:pStyle w:val="Prrafodelista"/>
        <w:autoSpaceDE w:val="0"/>
        <w:autoSpaceDN w:val="0"/>
        <w:adjustRightInd w:val="0"/>
        <w:ind w:left="0"/>
        <w:contextualSpacing w:val="0"/>
        <w:rPr>
          <w:rFonts w:cs="Arial"/>
          <w:sz w:val="16"/>
          <w:szCs w:val="16"/>
          <w:lang w:val="en-US"/>
        </w:rPr>
      </w:pPr>
    </w:p>
    <w:p w14:paraId="77F4F17A" w14:textId="77777777" w:rsidR="00B130B5" w:rsidRPr="00FE50A6" w:rsidRDefault="0003391C" w:rsidP="00A55F4F">
      <w:pPr>
        <w:autoSpaceDE w:val="0"/>
        <w:autoSpaceDN w:val="0"/>
        <w:adjustRightInd w:val="0"/>
        <w:ind w:left="720" w:right="720"/>
        <w:jc w:val="both"/>
        <w:rPr>
          <w:rFonts w:cs="Times New Roman"/>
          <w:sz w:val="16"/>
          <w:szCs w:val="20"/>
          <w:lang w:val="en-US"/>
        </w:rPr>
      </w:pPr>
      <w:bookmarkStart w:id="205" w:name="_Hlk9665834"/>
      <w:r w:rsidRPr="00FE50A6">
        <w:rPr>
          <w:rFonts w:cs="Arial"/>
          <w:sz w:val="16"/>
          <w:szCs w:val="20"/>
          <w:lang w:val="en-US"/>
        </w:rPr>
        <w:t xml:space="preserve">Art. 149. </w:t>
      </w:r>
      <w:r w:rsidR="00AC769B" w:rsidRPr="00FE50A6">
        <w:rPr>
          <w:rFonts w:cs="Arial"/>
          <w:sz w:val="16"/>
          <w:szCs w:val="20"/>
          <w:lang w:val="en-US"/>
        </w:rPr>
        <w:t xml:space="preserve">To reduce someone to a condition </w:t>
      </w:r>
      <w:r w:rsidR="00A55F4F" w:rsidRPr="00FE50A6">
        <w:rPr>
          <w:rFonts w:cs="Arial"/>
          <w:sz w:val="16"/>
          <w:szCs w:val="20"/>
          <w:lang w:val="en-US"/>
        </w:rPr>
        <w:t>analogous</w:t>
      </w:r>
      <w:r w:rsidR="00793F92" w:rsidRPr="00FE50A6">
        <w:rPr>
          <w:rFonts w:cs="Arial"/>
          <w:sz w:val="16"/>
          <w:szCs w:val="20"/>
          <w:lang w:val="en-US"/>
        </w:rPr>
        <w:t xml:space="preserve"> to </w:t>
      </w:r>
      <w:r w:rsidR="00A55F4F" w:rsidRPr="00FE50A6">
        <w:rPr>
          <w:rFonts w:cs="Arial"/>
          <w:sz w:val="16"/>
          <w:szCs w:val="20"/>
          <w:lang w:val="en-US"/>
        </w:rPr>
        <w:t>that of a slave</w:t>
      </w:r>
      <w:r w:rsidR="00AC769B" w:rsidRPr="00FE50A6">
        <w:rPr>
          <w:rFonts w:cs="Arial"/>
          <w:sz w:val="16"/>
          <w:szCs w:val="20"/>
          <w:lang w:val="en-US"/>
        </w:rPr>
        <w:t xml:space="preserve">, or to subject that person to forced labor or to </w:t>
      </w:r>
      <w:r w:rsidR="00FB79B5" w:rsidRPr="00FE50A6">
        <w:rPr>
          <w:rFonts w:cs="Arial"/>
          <w:sz w:val="16"/>
          <w:szCs w:val="20"/>
          <w:lang w:val="en-US"/>
        </w:rPr>
        <w:t>arduous</w:t>
      </w:r>
      <w:r w:rsidR="00AC769B" w:rsidRPr="00FE50A6">
        <w:rPr>
          <w:rFonts w:cs="Arial"/>
          <w:sz w:val="16"/>
          <w:szCs w:val="20"/>
          <w:lang w:val="en-US"/>
        </w:rPr>
        <w:t xml:space="preserve"> working </w:t>
      </w:r>
      <w:r w:rsidR="00FB79B5" w:rsidRPr="00FE50A6">
        <w:rPr>
          <w:rFonts w:cs="Arial"/>
          <w:sz w:val="16"/>
          <w:szCs w:val="20"/>
          <w:lang w:val="en-US"/>
        </w:rPr>
        <w:t>days</w:t>
      </w:r>
      <w:r w:rsidR="00AC769B" w:rsidRPr="00FE50A6">
        <w:rPr>
          <w:rFonts w:cs="Arial"/>
          <w:sz w:val="16"/>
          <w:szCs w:val="20"/>
          <w:lang w:val="en-US"/>
        </w:rPr>
        <w:t>, or to subject them to degrading working conditions, or to restrict</w:t>
      </w:r>
      <w:r w:rsidR="00A55F4F" w:rsidRPr="00FE50A6">
        <w:rPr>
          <w:rFonts w:cs="Arial"/>
          <w:sz w:val="16"/>
          <w:szCs w:val="20"/>
          <w:lang w:val="en-US"/>
        </w:rPr>
        <w:t>,</w:t>
      </w:r>
      <w:r w:rsidR="00AC769B" w:rsidRPr="00FE50A6">
        <w:rPr>
          <w:rFonts w:cs="Arial"/>
          <w:sz w:val="16"/>
          <w:szCs w:val="20"/>
          <w:lang w:val="en-US"/>
        </w:rPr>
        <w:t xml:space="preserve"> </w:t>
      </w:r>
      <w:r w:rsidR="00A55F4F" w:rsidRPr="00FE50A6">
        <w:rPr>
          <w:rFonts w:cs="Arial"/>
          <w:sz w:val="16"/>
          <w:szCs w:val="20"/>
          <w:lang w:val="en-US"/>
        </w:rPr>
        <w:t xml:space="preserve">in </w:t>
      </w:r>
      <w:r w:rsidR="00AC769B" w:rsidRPr="00FE50A6">
        <w:rPr>
          <w:rFonts w:cs="Arial"/>
          <w:sz w:val="16"/>
          <w:szCs w:val="20"/>
          <w:lang w:val="en-US"/>
        </w:rPr>
        <w:t xml:space="preserve">any </w:t>
      </w:r>
      <w:r w:rsidR="00793F92" w:rsidRPr="00FE50A6">
        <w:rPr>
          <w:rFonts w:cs="Arial"/>
          <w:sz w:val="16"/>
          <w:szCs w:val="20"/>
          <w:lang w:val="en-US"/>
        </w:rPr>
        <w:t>manner whatsoever</w:t>
      </w:r>
      <w:r w:rsidR="00A55F4F" w:rsidRPr="00FE50A6">
        <w:rPr>
          <w:rFonts w:cs="Arial"/>
          <w:sz w:val="16"/>
          <w:szCs w:val="20"/>
          <w:lang w:val="en-US"/>
        </w:rPr>
        <w:t>, their mobility</w:t>
      </w:r>
      <w:r w:rsidR="00AC769B" w:rsidRPr="00FE50A6">
        <w:rPr>
          <w:rFonts w:cs="Arial"/>
          <w:sz w:val="16"/>
          <w:szCs w:val="20"/>
          <w:lang w:val="en-US"/>
        </w:rPr>
        <w:t xml:space="preserve"> </w:t>
      </w:r>
      <w:r w:rsidR="00793F92" w:rsidRPr="00FE50A6">
        <w:rPr>
          <w:rFonts w:cs="Arial"/>
          <w:sz w:val="16"/>
          <w:szCs w:val="20"/>
          <w:lang w:val="en-US"/>
        </w:rPr>
        <w:t>by reason of a</w:t>
      </w:r>
      <w:r w:rsidR="00AC769B" w:rsidRPr="00FE50A6">
        <w:rPr>
          <w:rFonts w:cs="Arial"/>
          <w:sz w:val="16"/>
          <w:szCs w:val="20"/>
          <w:lang w:val="en-US"/>
        </w:rPr>
        <w:t xml:space="preserve"> debt </w:t>
      </w:r>
      <w:r w:rsidR="00793F92" w:rsidRPr="00FE50A6">
        <w:rPr>
          <w:rFonts w:cs="Arial"/>
          <w:sz w:val="16"/>
          <w:szCs w:val="20"/>
          <w:lang w:val="en-US"/>
        </w:rPr>
        <w:t>contracted in respect of</w:t>
      </w:r>
      <w:r w:rsidR="00AC769B" w:rsidRPr="00FE50A6">
        <w:rPr>
          <w:rFonts w:cs="Arial"/>
          <w:sz w:val="16"/>
          <w:szCs w:val="20"/>
          <w:lang w:val="en-US"/>
        </w:rPr>
        <w:t xml:space="preserve"> the employer or </w:t>
      </w:r>
      <w:r w:rsidR="005D1A7E" w:rsidRPr="00FE50A6">
        <w:rPr>
          <w:rFonts w:cs="Arial"/>
          <w:sz w:val="16"/>
          <w:szCs w:val="20"/>
          <w:lang w:val="en-US"/>
        </w:rPr>
        <w:t>a</w:t>
      </w:r>
      <w:r w:rsidR="00AC769B" w:rsidRPr="00FE50A6">
        <w:rPr>
          <w:rFonts w:cs="Arial"/>
          <w:sz w:val="16"/>
          <w:szCs w:val="20"/>
          <w:lang w:val="en-US"/>
        </w:rPr>
        <w:t xml:space="preserve"> representative</w:t>
      </w:r>
      <w:r w:rsidR="005D1A7E" w:rsidRPr="00FE50A6">
        <w:rPr>
          <w:rFonts w:cs="Arial"/>
          <w:sz w:val="16"/>
          <w:szCs w:val="20"/>
          <w:lang w:val="en-US"/>
        </w:rPr>
        <w:t xml:space="preserve"> of that employer</w:t>
      </w:r>
      <w:r w:rsidR="00AC769B" w:rsidRPr="00FE50A6">
        <w:rPr>
          <w:rFonts w:cs="Arial"/>
          <w:sz w:val="16"/>
          <w:szCs w:val="20"/>
          <w:lang w:val="en-US"/>
        </w:rPr>
        <w:t xml:space="preserve">. </w:t>
      </w:r>
    </w:p>
    <w:p w14:paraId="0AE0CEB5" w14:textId="77777777" w:rsidR="005D1A7E" w:rsidRPr="00FE50A6" w:rsidRDefault="005D1A7E" w:rsidP="00140440">
      <w:pPr>
        <w:autoSpaceDE w:val="0"/>
        <w:autoSpaceDN w:val="0"/>
        <w:adjustRightInd w:val="0"/>
        <w:ind w:left="720" w:right="720"/>
        <w:jc w:val="both"/>
        <w:rPr>
          <w:rFonts w:cs="Arial"/>
          <w:sz w:val="16"/>
          <w:szCs w:val="20"/>
          <w:lang w:val="en-US"/>
        </w:rPr>
      </w:pPr>
    </w:p>
    <w:p w14:paraId="6D66B31E" w14:textId="77777777" w:rsidR="0003391C" w:rsidRPr="00FE50A6" w:rsidRDefault="00A55F4F" w:rsidP="00140440">
      <w:pPr>
        <w:autoSpaceDE w:val="0"/>
        <w:autoSpaceDN w:val="0"/>
        <w:adjustRightInd w:val="0"/>
        <w:ind w:left="720" w:right="720"/>
        <w:jc w:val="both"/>
        <w:rPr>
          <w:rFonts w:cs="Times New Roman"/>
          <w:sz w:val="16"/>
          <w:szCs w:val="20"/>
          <w:lang w:val="en-US"/>
        </w:rPr>
      </w:pPr>
      <w:r w:rsidRPr="00FE50A6">
        <w:rPr>
          <w:rFonts w:cs="Arial"/>
          <w:sz w:val="16"/>
          <w:szCs w:val="20"/>
          <w:lang w:val="en-US"/>
        </w:rPr>
        <w:t>Penalty</w:t>
      </w:r>
      <w:r w:rsidR="00AC769B" w:rsidRPr="00FE50A6">
        <w:rPr>
          <w:rFonts w:cs="Arial"/>
          <w:sz w:val="16"/>
          <w:szCs w:val="20"/>
          <w:lang w:val="en-US"/>
        </w:rPr>
        <w:t xml:space="preserve"> – two to eight years’ imprisonment and a fine, in addition to the </w:t>
      </w:r>
      <w:r w:rsidRPr="00FE50A6">
        <w:rPr>
          <w:rFonts w:cs="Arial"/>
          <w:sz w:val="16"/>
          <w:szCs w:val="20"/>
          <w:lang w:val="en-US"/>
        </w:rPr>
        <w:t xml:space="preserve">penalty </w:t>
      </w:r>
      <w:r w:rsidR="00AC769B" w:rsidRPr="00FE50A6">
        <w:rPr>
          <w:rFonts w:cs="Arial"/>
          <w:sz w:val="16"/>
          <w:szCs w:val="20"/>
          <w:lang w:val="en-US"/>
        </w:rPr>
        <w:t>corresponding to violence.</w:t>
      </w:r>
    </w:p>
    <w:p w14:paraId="17F27D0A" w14:textId="77777777" w:rsidR="0003391C" w:rsidRPr="00FE50A6" w:rsidRDefault="0003391C" w:rsidP="00140440">
      <w:pPr>
        <w:autoSpaceDE w:val="0"/>
        <w:autoSpaceDN w:val="0"/>
        <w:adjustRightInd w:val="0"/>
        <w:ind w:left="720" w:right="720"/>
        <w:jc w:val="both"/>
        <w:rPr>
          <w:rFonts w:cs="Times New Roman"/>
          <w:sz w:val="16"/>
          <w:szCs w:val="20"/>
          <w:lang w:val="en-US"/>
        </w:rPr>
      </w:pPr>
    </w:p>
    <w:p w14:paraId="4CB394EA" w14:textId="77777777" w:rsidR="00AC769B" w:rsidRPr="00FE50A6" w:rsidRDefault="0003391C" w:rsidP="00A55F4F">
      <w:pPr>
        <w:autoSpaceDE w:val="0"/>
        <w:autoSpaceDN w:val="0"/>
        <w:adjustRightInd w:val="0"/>
        <w:ind w:left="720" w:right="720"/>
        <w:jc w:val="both"/>
        <w:rPr>
          <w:rFonts w:cs="Arial"/>
          <w:sz w:val="16"/>
          <w:szCs w:val="20"/>
          <w:lang w:val="en-US"/>
        </w:rPr>
      </w:pPr>
      <w:r w:rsidRPr="00FE50A6">
        <w:rPr>
          <w:rFonts w:cs="Arial"/>
          <w:sz w:val="16"/>
          <w:szCs w:val="20"/>
          <w:lang w:val="en-US"/>
        </w:rPr>
        <w:t xml:space="preserve">1. </w:t>
      </w:r>
      <w:r w:rsidR="00AC769B" w:rsidRPr="00FE50A6">
        <w:rPr>
          <w:rFonts w:cs="Arial"/>
          <w:sz w:val="16"/>
          <w:szCs w:val="20"/>
          <w:lang w:val="en-US"/>
        </w:rPr>
        <w:t xml:space="preserve">The same </w:t>
      </w:r>
      <w:r w:rsidR="00A55F4F" w:rsidRPr="00FE50A6">
        <w:rPr>
          <w:rFonts w:cs="Arial"/>
          <w:sz w:val="16"/>
          <w:szCs w:val="20"/>
          <w:lang w:val="en-US"/>
        </w:rPr>
        <w:t>penalty</w:t>
      </w:r>
      <w:r w:rsidR="00AC769B" w:rsidRPr="00FE50A6">
        <w:rPr>
          <w:rFonts w:cs="Arial"/>
          <w:sz w:val="16"/>
          <w:szCs w:val="20"/>
          <w:lang w:val="en-US"/>
        </w:rPr>
        <w:t xml:space="preserve"> is applicable to those who: </w:t>
      </w:r>
    </w:p>
    <w:p w14:paraId="2064BC43" w14:textId="77777777" w:rsidR="005D1A7E" w:rsidRPr="00FE50A6" w:rsidRDefault="005D1A7E" w:rsidP="00140440">
      <w:pPr>
        <w:autoSpaceDE w:val="0"/>
        <w:autoSpaceDN w:val="0"/>
        <w:adjustRightInd w:val="0"/>
        <w:ind w:left="720" w:right="720"/>
        <w:jc w:val="both"/>
        <w:rPr>
          <w:rFonts w:cs="Arial"/>
          <w:sz w:val="16"/>
          <w:szCs w:val="20"/>
          <w:lang w:val="en-US"/>
        </w:rPr>
      </w:pPr>
    </w:p>
    <w:p w14:paraId="5397155B"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 xml:space="preserve">I. </w:t>
      </w:r>
      <w:r w:rsidR="00793F92" w:rsidRPr="00FE50A6">
        <w:rPr>
          <w:rFonts w:cs="Arial"/>
          <w:sz w:val="16"/>
          <w:szCs w:val="20"/>
          <w:lang w:val="en-US"/>
        </w:rPr>
        <w:t xml:space="preserve">prevent </w:t>
      </w:r>
      <w:r w:rsidR="00E87C08" w:rsidRPr="00FE50A6">
        <w:rPr>
          <w:rFonts w:cs="Arial"/>
          <w:sz w:val="16"/>
          <w:szCs w:val="20"/>
          <w:lang w:val="en-US"/>
        </w:rPr>
        <w:t>employees from</w:t>
      </w:r>
      <w:r w:rsidR="00AC769B" w:rsidRPr="00FE50A6">
        <w:rPr>
          <w:rFonts w:cs="Arial"/>
          <w:sz w:val="16"/>
          <w:szCs w:val="20"/>
          <w:lang w:val="en-US"/>
        </w:rPr>
        <w:t xml:space="preserve"> us</w:t>
      </w:r>
      <w:r w:rsidR="00E87C08" w:rsidRPr="00FE50A6">
        <w:rPr>
          <w:rFonts w:cs="Arial"/>
          <w:sz w:val="16"/>
          <w:szCs w:val="20"/>
          <w:lang w:val="en-US"/>
        </w:rPr>
        <w:t>ing</w:t>
      </w:r>
      <w:r w:rsidR="00AC769B" w:rsidRPr="00FE50A6">
        <w:rPr>
          <w:rFonts w:cs="Arial"/>
          <w:sz w:val="16"/>
          <w:szCs w:val="20"/>
          <w:lang w:val="en-US"/>
        </w:rPr>
        <w:t xml:space="preserve"> any means of transport</w:t>
      </w:r>
      <w:r w:rsidR="005D1A7E" w:rsidRPr="00FE50A6">
        <w:rPr>
          <w:rFonts w:cs="Arial"/>
          <w:sz w:val="16"/>
          <w:szCs w:val="20"/>
          <w:lang w:val="en-US"/>
        </w:rPr>
        <w:t>ation</w:t>
      </w:r>
      <w:r w:rsidR="00AC769B" w:rsidRPr="00FE50A6">
        <w:rPr>
          <w:rFonts w:cs="Arial"/>
          <w:sz w:val="16"/>
          <w:szCs w:val="20"/>
          <w:lang w:val="en-US"/>
        </w:rPr>
        <w:t xml:space="preserve"> in order to retain </w:t>
      </w:r>
      <w:r w:rsidR="00E87C08" w:rsidRPr="00FE50A6">
        <w:rPr>
          <w:rFonts w:cs="Arial"/>
          <w:sz w:val="16"/>
          <w:szCs w:val="20"/>
          <w:lang w:val="en-US"/>
        </w:rPr>
        <w:t>them</w:t>
      </w:r>
      <w:r w:rsidR="00AC769B" w:rsidRPr="00FE50A6">
        <w:rPr>
          <w:rFonts w:cs="Arial"/>
          <w:sz w:val="16"/>
          <w:szCs w:val="20"/>
          <w:lang w:val="en-US"/>
        </w:rPr>
        <w:t xml:space="preserve"> </w:t>
      </w:r>
      <w:r w:rsidR="00E87C08" w:rsidRPr="00FE50A6">
        <w:rPr>
          <w:rFonts w:cs="Arial"/>
          <w:sz w:val="16"/>
          <w:szCs w:val="20"/>
          <w:lang w:val="en-US"/>
        </w:rPr>
        <w:t>at</w:t>
      </w:r>
      <w:r w:rsidR="00AC769B" w:rsidRPr="00FE50A6">
        <w:rPr>
          <w:rFonts w:cs="Arial"/>
          <w:sz w:val="16"/>
          <w:szCs w:val="20"/>
          <w:lang w:val="en-US"/>
        </w:rPr>
        <w:t xml:space="preserve"> the place of work.</w:t>
      </w:r>
      <w:r w:rsidRPr="00FE50A6">
        <w:rPr>
          <w:rFonts w:cs="Arial"/>
          <w:sz w:val="16"/>
          <w:szCs w:val="20"/>
          <w:lang w:val="en-US"/>
        </w:rPr>
        <w:t xml:space="preserve"> </w:t>
      </w:r>
    </w:p>
    <w:p w14:paraId="661B14AE" w14:textId="77777777" w:rsidR="005D1A7E" w:rsidRPr="00FE50A6" w:rsidRDefault="005D1A7E" w:rsidP="00140440">
      <w:pPr>
        <w:autoSpaceDE w:val="0"/>
        <w:autoSpaceDN w:val="0"/>
        <w:adjustRightInd w:val="0"/>
        <w:ind w:left="720" w:right="720"/>
        <w:jc w:val="both"/>
        <w:rPr>
          <w:rFonts w:cs="Arial"/>
          <w:sz w:val="16"/>
          <w:szCs w:val="20"/>
          <w:lang w:val="en-US"/>
        </w:rPr>
      </w:pPr>
    </w:p>
    <w:p w14:paraId="37F54222"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II. ma</w:t>
      </w:r>
      <w:r w:rsidR="00D2546E" w:rsidRPr="00FE50A6">
        <w:rPr>
          <w:rFonts w:cs="Arial"/>
          <w:sz w:val="16"/>
          <w:szCs w:val="20"/>
          <w:lang w:val="en-US"/>
        </w:rPr>
        <w:t>intain</w:t>
      </w:r>
      <w:r w:rsidRPr="00FE50A6">
        <w:rPr>
          <w:rFonts w:cs="Arial"/>
          <w:sz w:val="16"/>
          <w:szCs w:val="20"/>
          <w:lang w:val="en-US"/>
        </w:rPr>
        <w:t xml:space="preserve"> </w:t>
      </w:r>
      <w:r w:rsidR="00D2546E" w:rsidRPr="00FE50A6">
        <w:rPr>
          <w:rFonts w:cs="Arial"/>
          <w:sz w:val="16"/>
          <w:szCs w:val="20"/>
          <w:lang w:val="en-US"/>
        </w:rPr>
        <w:t>constant surveillance in the place of work</w:t>
      </w:r>
      <w:r w:rsidR="00A55F4F" w:rsidRPr="00FE50A6">
        <w:rPr>
          <w:rFonts w:cs="Arial"/>
          <w:sz w:val="16"/>
          <w:szCs w:val="20"/>
          <w:lang w:val="en-US"/>
        </w:rPr>
        <w:t>,</w:t>
      </w:r>
      <w:r w:rsidR="00D2546E" w:rsidRPr="00FE50A6">
        <w:rPr>
          <w:rFonts w:cs="Arial"/>
          <w:sz w:val="16"/>
          <w:szCs w:val="20"/>
          <w:lang w:val="en-US"/>
        </w:rPr>
        <w:t xml:space="preserve"> or </w:t>
      </w:r>
      <w:r w:rsidR="00E87C08" w:rsidRPr="00FE50A6">
        <w:rPr>
          <w:rFonts w:cs="Arial"/>
          <w:sz w:val="16"/>
          <w:szCs w:val="20"/>
          <w:lang w:val="en-US"/>
        </w:rPr>
        <w:t>appropriate</w:t>
      </w:r>
      <w:r w:rsidR="00D2546E" w:rsidRPr="00FE50A6">
        <w:rPr>
          <w:rFonts w:cs="Arial"/>
          <w:sz w:val="16"/>
          <w:szCs w:val="20"/>
          <w:lang w:val="en-US"/>
        </w:rPr>
        <w:t xml:space="preserve"> workers’ personal </w:t>
      </w:r>
      <w:r w:rsidR="00793F92" w:rsidRPr="00FE50A6">
        <w:rPr>
          <w:rFonts w:cs="Arial"/>
          <w:sz w:val="16"/>
          <w:szCs w:val="20"/>
          <w:lang w:val="en-US"/>
        </w:rPr>
        <w:t>papers</w:t>
      </w:r>
      <w:r w:rsidR="00D2546E" w:rsidRPr="00FE50A6">
        <w:rPr>
          <w:rFonts w:cs="Arial"/>
          <w:sz w:val="16"/>
          <w:szCs w:val="20"/>
          <w:lang w:val="en-US"/>
        </w:rPr>
        <w:t xml:space="preserve"> or p</w:t>
      </w:r>
      <w:r w:rsidR="00793F92" w:rsidRPr="00FE50A6">
        <w:rPr>
          <w:rFonts w:cs="Arial"/>
          <w:sz w:val="16"/>
          <w:szCs w:val="20"/>
          <w:lang w:val="en-US"/>
        </w:rPr>
        <w:t>roperty</w:t>
      </w:r>
      <w:r w:rsidR="00D2546E" w:rsidRPr="00FE50A6">
        <w:rPr>
          <w:rFonts w:cs="Arial"/>
          <w:sz w:val="16"/>
          <w:szCs w:val="20"/>
          <w:lang w:val="en-US"/>
        </w:rPr>
        <w:t xml:space="preserve"> in order to retain them </w:t>
      </w:r>
      <w:r w:rsidR="005D1A7E" w:rsidRPr="00FE50A6">
        <w:rPr>
          <w:rFonts w:cs="Arial"/>
          <w:sz w:val="16"/>
          <w:szCs w:val="20"/>
          <w:lang w:val="en-US"/>
        </w:rPr>
        <w:t>at</w:t>
      </w:r>
      <w:r w:rsidR="00D2546E" w:rsidRPr="00FE50A6">
        <w:rPr>
          <w:rFonts w:cs="Arial"/>
          <w:sz w:val="16"/>
          <w:szCs w:val="20"/>
          <w:lang w:val="en-US"/>
        </w:rPr>
        <w:t xml:space="preserve"> the place of work. </w:t>
      </w:r>
    </w:p>
    <w:p w14:paraId="56F6F3E8" w14:textId="77777777" w:rsidR="0003391C" w:rsidRPr="00FE50A6" w:rsidRDefault="0003391C" w:rsidP="00140440">
      <w:pPr>
        <w:autoSpaceDE w:val="0"/>
        <w:autoSpaceDN w:val="0"/>
        <w:adjustRightInd w:val="0"/>
        <w:ind w:left="720" w:right="720"/>
        <w:jc w:val="both"/>
        <w:rPr>
          <w:rFonts w:cs="Arial"/>
          <w:sz w:val="16"/>
          <w:szCs w:val="20"/>
          <w:lang w:val="en-US"/>
        </w:rPr>
      </w:pPr>
    </w:p>
    <w:p w14:paraId="5AF7F827" w14:textId="77777777" w:rsidR="00D2546E" w:rsidRPr="00FE50A6" w:rsidRDefault="0003391C" w:rsidP="00A55F4F">
      <w:pPr>
        <w:autoSpaceDE w:val="0"/>
        <w:autoSpaceDN w:val="0"/>
        <w:adjustRightInd w:val="0"/>
        <w:ind w:left="720" w:right="720"/>
        <w:jc w:val="both"/>
        <w:rPr>
          <w:rFonts w:cs="Arial"/>
          <w:sz w:val="16"/>
          <w:szCs w:val="20"/>
          <w:lang w:val="en-US"/>
        </w:rPr>
      </w:pPr>
      <w:r w:rsidRPr="00FE50A6">
        <w:rPr>
          <w:rFonts w:cs="Arial"/>
          <w:sz w:val="16"/>
          <w:szCs w:val="20"/>
          <w:lang w:val="en-US"/>
        </w:rPr>
        <w:t xml:space="preserve">2. </w:t>
      </w:r>
      <w:r w:rsidR="00D2546E" w:rsidRPr="00FE50A6">
        <w:rPr>
          <w:rFonts w:cs="Arial"/>
          <w:sz w:val="16"/>
          <w:szCs w:val="20"/>
          <w:lang w:val="en-US"/>
        </w:rPr>
        <w:t xml:space="preserve">The </w:t>
      </w:r>
      <w:r w:rsidR="00A55F4F" w:rsidRPr="00FE50A6">
        <w:rPr>
          <w:rFonts w:cs="Arial"/>
          <w:sz w:val="16"/>
          <w:szCs w:val="20"/>
          <w:lang w:val="en-US"/>
        </w:rPr>
        <w:t>penalty</w:t>
      </w:r>
      <w:r w:rsidR="00D2546E" w:rsidRPr="00FE50A6">
        <w:rPr>
          <w:rFonts w:cs="Arial"/>
          <w:sz w:val="16"/>
          <w:szCs w:val="20"/>
          <w:lang w:val="en-US"/>
        </w:rPr>
        <w:t xml:space="preserve"> shall be increased by half if the offense is committed: </w:t>
      </w:r>
    </w:p>
    <w:p w14:paraId="75F7C715" w14:textId="77777777" w:rsidR="005D1A7E" w:rsidRPr="00FE50A6" w:rsidRDefault="005D1A7E" w:rsidP="00140440">
      <w:pPr>
        <w:autoSpaceDE w:val="0"/>
        <w:autoSpaceDN w:val="0"/>
        <w:adjustRightInd w:val="0"/>
        <w:ind w:left="720" w:right="720"/>
        <w:jc w:val="both"/>
        <w:rPr>
          <w:rFonts w:cs="Arial"/>
          <w:sz w:val="16"/>
          <w:szCs w:val="20"/>
          <w:lang w:val="en-US"/>
        </w:rPr>
      </w:pPr>
    </w:p>
    <w:p w14:paraId="3D9D6571"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I.</w:t>
      </w:r>
      <w:r w:rsidR="00D2546E" w:rsidRPr="00FE50A6">
        <w:rPr>
          <w:rFonts w:cs="Arial"/>
          <w:sz w:val="16"/>
          <w:szCs w:val="20"/>
          <w:lang w:val="en-US"/>
        </w:rPr>
        <w:t xml:space="preserve"> </w:t>
      </w:r>
      <w:r w:rsidRPr="00FE50A6">
        <w:rPr>
          <w:rFonts w:cs="Arial"/>
          <w:sz w:val="16"/>
          <w:szCs w:val="20"/>
          <w:lang w:val="en-US"/>
        </w:rPr>
        <w:t xml:space="preserve"> </w:t>
      </w:r>
      <w:r w:rsidR="00D2546E" w:rsidRPr="00FE50A6">
        <w:rPr>
          <w:rFonts w:cs="Arial"/>
          <w:sz w:val="16"/>
          <w:szCs w:val="20"/>
          <w:lang w:val="en-US"/>
        </w:rPr>
        <w:t>against a child or adolescent</w:t>
      </w:r>
      <w:r w:rsidRPr="00FE50A6">
        <w:rPr>
          <w:rFonts w:cs="Arial"/>
          <w:sz w:val="16"/>
          <w:szCs w:val="20"/>
          <w:lang w:val="en-US"/>
        </w:rPr>
        <w:t xml:space="preserve">; </w:t>
      </w:r>
    </w:p>
    <w:p w14:paraId="5A4980C8" w14:textId="77777777" w:rsidR="005D1A7E" w:rsidRPr="00FE50A6" w:rsidRDefault="005D1A7E" w:rsidP="00140440">
      <w:pPr>
        <w:autoSpaceDE w:val="0"/>
        <w:autoSpaceDN w:val="0"/>
        <w:adjustRightInd w:val="0"/>
        <w:ind w:left="720" w:right="720"/>
        <w:jc w:val="both"/>
        <w:rPr>
          <w:rFonts w:cs="Arial"/>
          <w:sz w:val="16"/>
          <w:szCs w:val="20"/>
          <w:lang w:val="en-US"/>
        </w:rPr>
      </w:pPr>
    </w:p>
    <w:p w14:paraId="50DE659A"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 xml:space="preserve">II. </w:t>
      </w:r>
      <w:r w:rsidR="00D2546E" w:rsidRPr="00FE50A6">
        <w:rPr>
          <w:rFonts w:cs="Arial"/>
          <w:sz w:val="16"/>
          <w:szCs w:val="20"/>
          <w:lang w:val="en-US"/>
        </w:rPr>
        <w:t>based on race, color, ethnicity, religi</w:t>
      </w:r>
      <w:r w:rsidR="00106E15" w:rsidRPr="00FE50A6">
        <w:rPr>
          <w:rFonts w:cs="Arial"/>
          <w:sz w:val="16"/>
          <w:szCs w:val="20"/>
          <w:lang w:val="en-US"/>
        </w:rPr>
        <w:t>o</w:t>
      </w:r>
      <w:r w:rsidR="00D2546E" w:rsidRPr="00FE50A6">
        <w:rPr>
          <w:rFonts w:cs="Arial"/>
          <w:sz w:val="16"/>
          <w:szCs w:val="20"/>
          <w:lang w:val="en-US"/>
        </w:rPr>
        <w:t>n or origin.</w:t>
      </w:r>
    </w:p>
    <w:bookmarkEnd w:id="205"/>
    <w:p w14:paraId="7EECA2D4" w14:textId="77777777" w:rsidR="005D1A7E" w:rsidRPr="00FE50A6" w:rsidRDefault="005D1A7E" w:rsidP="00EB731A">
      <w:pPr>
        <w:autoSpaceDE w:val="0"/>
        <w:autoSpaceDN w:val="0"/>
        <w:adjustRightInd w:val="0"/>
        <w:ind w:right="720"/>
        <w:jc w:val="both"/>
        <w:rPr>
          <w:rFonts w:cs="Arial"/>
          <w:szCs w:val="20"/>
          <w:lang w:val="en-US"/>
        </w:rPr>
      </w:pPr>
    </w:p>
    <w:p w14:paraId="572F8FB5" w14:textId="77777777" w:rsidR="0003391C" w:rsidRPr="00FE50A6" w:rsidRDefault="00DC2886" w:rsidP="00EF4DFF">
      <w:pPr>
        <w:pStyle w:val="Ttulo2"/>
        <w:numPr>
          <w:ilvl w:val="0"/>
          <w:numId w:val="0"/>
        </w:numPr>
        <w:rPr>
          <w:lang w:val="es-CR"/>
        </w:rPr>
      </w:pPr>
      <w:bookmarkStart w:id="206" w:name="_Toc464813928"/>
      <w:r w:rsidRPr="00FE50A6">
        <w:tab/>
      </w:r>
      <w:r w:rsidR="0014534A" w:rsidRPr="00FE50A6">
        <w:rPr>
          <w:lang w:val="es-CR"/>
        </w:rPr>
        <w:t>A.5</w:t>
      </w:r>
      <w:r w:rsidRPr="00FE50A6">
        <w:rPr>
          <w:lang w:val="es-CR"/>
        </w:rPr>
        <w:t>.</w:t>
      </w:r>
      <w:r w:rsidR="0014534A" w:rsidRPr="00FE50A6">
        <w:rPr>
          <w:lang w:val="es-CR"/>
        </w:rPr>
        <w:t xml:space="preserve"> </w:t>
      </w:r>
      <w:r w:rsidR="00D2546E" w:rsidRPr="00FE50A6">
        <w:rPr>
          <w:lang w:val="es-CR"/>
        </w:rPr>
        <w:t>Background information</w:t>
      </w:r>
      <w:bookmarkEnd w:id="206"/>
    </w:p>
    <w:p w14:paraId="56A8F3C9" w14:textId="77777777" w:rsidR="0003391C" w:rsidRPr="00FE50A6" w:rsidRDefault="0003391C" w:rsidP="00140440">
      <w:pPr>
        <w:pStyle w:val="Prrafodelista"/>
        <w:contextualSpacing w:val="0"/>
        <w:rPr>
          <w:rFonts w:cs="Times New Roman"/>
          <w:szCs w:val="20"/>
        </w:rPr>
      </w:pPr>
    </w:p>
    <w:p w14:paraId="2A9D487A" w14:textId="77777777" w:rsidR="0003391C" w:rsidRPr="00FE50A6" w:rsidRDefault="0003391C" w:rsidP="008622F3">
      <w:pPr>
        <w:pStyle w:val="Ttulo3"/>
        <w:rPr>
          <w:lang w:val="es-CR"/>
        </w:rPr>
      </w:pPr>
      <w:bookmarkStart w:id="207" w:name="_Toc460433004"/>
      <w:bookmarkStart w:id="208" w:name="_Toc460441935"/>
      <w:bookmarkStart w:id="209" w:name="_Toc462750753"/>
      <w:bookmarkStart w:id="210" w:name="_Toc462751077"/>
      <w:bookmarkStart w:id="211" w:name="_Toc464813929"/>
      <w:r w:rsidRPr="00FE50A6">
        <w:rPr>
          <w:b w:val="0"/>
          <w:lang w:val="es-CR"/>
        </w:rPr>
        <w:t xml:space="preserve">Hacienda </w:t>
      </w:r>
      <w:r w:rsidR="00322241" w:rsidRPr="00FE50A6">
        <w:rPr>
          <w:b w:val="0"/>
          <w:lang w:val="es-CR"/>
        </w:rPr>
        <w:t>Brasil Verde</w:t>
      </w:r>
      <w:bookmarkEnd w:id="207"/>
      <w:bookmarkEnd w:id="208"/>
      <w:bookmarkEnd w:id="209"/>
      <w:bookmarkEnd w:id="210"/>
      <w:bookmarkEnd w:id="211"/>
    </w:p>
    <w:p w14:paraId="6EF23DB8" w14:textId="77777777" w:rsidR="0003391C" w:rsidRPr="00FE50A6" w:rsidRDefault="0003391C" w:rsidP="00140440">
      <w:pPr>
        <w:pStyle w:val="Prrafodelista"/>
        <w:contextualSpacing w:val="0"/>
        <w:rPr>
          <w:rFonts w:cs="Times New Roman"/>
          <w:szCs w:val="20"/>
        </w:rPr>
      </w:pPr>
    </w:p>
    <w:p w14:paraId="5E36AE08" w14:textId="77777777" w:rsidR="0003391C" w:rsidRPr="00FE50A6" w:rsidRDefault="0003391C"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iCs/>
          <w:szCs w:val="20"/>
          <w:lang w:val="en-US"/>
        </w:rPr>
        <w:t xml:space="preserve">Hacienda </w:t>
      </w:r>
      <w:r w:rsidR="00322241" w:rsidRPr="00FE50A6">
        <w:rPr>
          <w:rFonts w:cs="Arial"/>
          <w:iCs/>
          <w:szCs w:val="20"/>
          <w:lang w:val="en-US"/>
        </w:rPr>
        <w:t>Brasil Verde</w:t>
      </w:r>
      <w:r w:rsidRPr="00FE50A6">
        <w:rPr>
          <w:rFonts w:cs="Arial"/>
          <w:i/>
          <w:iCs/>
          <w:szCs w:val="20"/>
          <w:lang w:val="en-US"/>
        </w:rPr>
        <w:t xml:space="preserve"> </w:t>
      </w:r>
      <w:r w:rsidR="00D2546E" w:rsidRPr="00FE50A6">
        <w:rPr>
          <w:rFonts w:cs="Arial"/>
          <w:szCs w:val="20"/>
          <w:lang w:val="en-US"/>
        </w:rPr>
        <w:t xml:space="preserve">is located in the municipality of </w:t>
      </w:r>
      <w:r w:rsidRPr="00FE50A6">
        <w:rPr>
          <w:rFonts w:cs="Arial"/>
          <w:szCs w:val="20"/>
          <w:lang w:val="en-US"/>
        </w:rPr>
        <w:t xml:space="preserve">Sapucaia, </w:t>
      </w:r>
      <w:r w:rsidR="00D2546E" w:rsidRPr="00FE50A6">
        <w:rPr>
          <w:rFonts w:cs="Arial"/>
          <w:szCs w:val="20"/>
          <w:lang w:val="en-US"/>
        </w:rPr>
        <w:t xml:space="preserve">in the </w:t>
      </w:r>
      <w:r w:rsidR="00547274" w:rsidRPr="00FE50A6">
        <w:rPr>
          <w:rFonts w:cs="Arial"/>
          <w:szCs w:val="20"/>
          <w:lang w:val="en-US"/>
        </w:rPr>
        <w:t>south</w:t>
      </w:r>
      <w:r w:rsidR="00703850" w:rsidRPr="00FE50A6">
        <w:rPr>
          <w:rFonts w:cs="Arial"/>
          <w:szCs w:val="20"/>
          <w:lang w:val="en-US"/>
        </w:rPr>
        <w:t xml:space="preserve"> of the </w:t>
      </w:r>
      <w:r w:rsidR="008B65CD" w:rsidRPr="00FE50A6">
        <w:rPr>
          <w:rFonts w:cs="Arial"/>
          <w:szCs w:val="20"/>
          <w:lang w:val="en-US"/>
        </w:rPr>
        <w:t>state of Pará</w:t>
      </w:r>
      <w:r w:rsidRPr="00FE50A6">
        <w:rPr>
          <w:rFonts w:cs="Arial"/>
          <w:szCs w:val="20"/>
          <w:lang w:val="en-US"/>
        </w:rPr>
        <w:t xml:space="preserve">, </w:t>
      </w:r>
      <w:r w:rsidR="000228D0" w:rsidRPr="00FE50A6">
        <w:rPr>
          <w:rFonts w:cs="Arial"/>
          <w:szCs w:val="20"/>
          <w:lang w:val="en-US"/>
        </w:rPr>
        <w:t>Federative Republic of</w:t>
      </w:r>
      <w:r w:rsidRPr="00FE50A6">
        <w:rPr>
          <w:rFonts w:cs="Arial"/>
          <w:szCs w:val="20"/>
          <w:lang w:val="en-US"/>
        </w:rPr>
        <w:t xml:space="preserve"> </w:t>
      </w:r>
      <w:r w:rsidR="000228D0" w:rsidRPr="00FE50A6">
        <w:rPr>
          <w:rFonts w:cs="Arial"/>
          <w:szCs w:val="20"/>
          <w:lang w:val="en-US"/>
        </w:rPr>
        <w:t>Brazil</w:t>
      </w:r>
      <w:r w:rsidR="00D2546E" w:rsidRPr="00FE50A6">
        <w:rPr>
          <w:rFonts w:cs="Arial"/>
          <w:szCs w:val="20"/>
          <w:lang w:val="en-US"/>
        </w:rPr>
        <w:t>.</w:t>
      </w:r>
      <w:r w:rsidRPr="00FE50A6">
        <w:rPr>
          <w:rStyle w:val="Refdenotaalpie"/>
          <w:rFonts w:cs="Arial"/>
          <w:lang w:val="en-US"/>
        </w:rPr>
        <w:footnoteReference w:id="103"/>
      </w:r>
      <w:r w:rsidR="00D2546E" w:rsidRPr="00FE50A6">
        <w:rPr>
          <w:rFonts w:cs="Arial"/>
          <w:szCs w:val="20"/>
          <w:lang w:val="en-US"/>
        </w:rPr>
        <w:t xml:space="preserve"> The total area of the hacienda is</w:t>
      </w:r>
      <w:r w:rsidRPr="00FE50A6">
        <w:rPr>
          <w:rFonts w:cs="Arial"/>
          <w:szCs w:val="20"/>
          <w:lang w:val="en-US"/>
        </w:rPr>
        <w:t xml:space="preserve"> 1</w:t>
      </w:r>
      <w:r w:rsidR="00D2546E" w:rsidRPr="00FE50A6">
        <w:rPr>
          <w:rFonts w:cs="Arial"/>
          <w:szCs w:val="20"/>
          <w:lang w:val="en-US"/>
        </w:rPr>
        <w:t>,</w:t>
      </w:r>
      <w:r w:rsidRPr="00FE50A6">
        <w:rPr>
          <w:rFonts w:cs="Arial"/>
          <w:szCs w:val="20"/>
          <w:lang w:val="en-US"/>
        </w:rPr>
        <w:t xml:space="preserve">780 </w:t>
      </w:r>
      <w:r w:rsidRPr="00FE50A6">
        <w:rPr>
          <w:rFonts w:cs="Arial"/>
          <w:i/>
          <w:iCs/>
          <w:szCs w:val="20"/>
          <w:lang w:val="en-US"/>
        </w:rPr>
        <w:lastRenderedPageBreak/>
        <w:t xml:space="preserve">alqueires </w:t>
      </w:r>
      <w:r w:rsidRPr="00FE50A6">
        <w:rPr>
          <w:rFonts w:cs="Arial"/>
          <w:szCs w:val="20"/>
          <w:lang w:val="en-US"/>
        </w:rPr>
        <w:t>(8</w:t>
      </w:r>
      <w:r w:rsidR="00D2546E" w:rsidRPr="00FE50A6">
        <w:rPr>
          <w:rFonts w:cs="Arial"/>
          <w:szCs w:val="20"/>
          <w:lang w:val="en-US"/>
        </w:rPr>
        <w:t>,</w:t>
      </w:r>
      <w:r w:rsidRPr="00FE50A6">
        <w:rPr>
          <w:rFonts w:cs="Arial"/>
          <w:szCs w:val="20"/>
          <w:lang w:val="en-US"/>
        </w:rPr>
        <w:t>544 hect</w:t>
      </w:r>
      <w:r w:rsidR="00D2546E" w:rsidRPr="00FE50A6">
        <w:rPr>
          <w:rFonts w:cs="Arial"/>
          <w:szCs w:val="20"/>
          <w:lang w:val="en-US"/>
        </w:rPr>
        <w:t>ares</w:t>
      </w:r>
      <w:r w:rsidRPr="00FE50A6">
        <w:rPr>
          <w:rFonts w:cs="Arial"/>
          <w:szCs w:val="20"/>
          <w:lang w:val="en-US"/>
        </w:rPr>
        <w:t>),</w:t>
      </w:r>
      <w:r w:rsidR="00D2546E" w:rsidRPr="00FE50A6">
        <w:rPr>
          <w:rFonts w:cs="Arial"/>
          <w:szCs w:val="20"/>
          <w:lang w:val="en-US"/>
        </w:rPr>
        <w:t xml:space="preserve"> and it is dedicated to cattle ranching.</w:t>
      </w:r>
      <w:r w:rsidRPr="00FE50A6">
        <w:rPr>
          <w:rStyle w:val="Refdenotaalpie"/>
          <w:rFonts w:cs="Arial"/>
          <w:lang w:val="en-US"/>
        </w:rPr>
        <w:footnoteReference w:id="104"/>
      </w:r>
      <w:r w:rsidR="00D2546E" w:rsidRPr="00FE50A6">
        <w:rPr>
          <w:rFonts w:cs="Times New Roman"/>
          <w:szCs w:val="20"/>
          <w:lang w:val="en-US"/>
        </w:rPr>
        <w:t xml:space="preserve"> At the time of the facts, the owner of</w:t>
      </w:r>
      <w:r w:rsidRPr="00FE50A6">
        <w:rPr>
          <w:rFonts w:cs="Times New Roman"/>
          <w:szCs w:val="20"/>
          <w:lang w:val="en-US"/>
        </w:rPr>
        <w:t xml:space="preserve"> </w:t>
      </w:r>
      <w:r w:rsidRPr="00FE50A6">
        <w:rPr>
          <w:rFonts w:cs="Arial"/>
          <w:iCs/>
          <w:szCs w:val="20"/>
          <w:lang w:val="en-US"/>
        </w:rPr>
        <w:t xml:space="preserve">Hacienda </w:t>
      </w:r>
      <w:r w:rsidR="00322241" w:rsidRPr="00FE50A6">
        <w:rPr>
          <w:rFonts w:cs="Arial"/>
          <w:iCs/>
          <w:szCs w:val="20"/>
          <w:lang w:val="en-US"/>
        </w:rPr>
        <w:t>Brasil Verde</w:t>
      </w:r>
      <w:r w:rsidRPr="00FE50A6">
        <w:rPr>
          <w:rFonts w:cs="Arial"/>
          <w:i/>
          <w:iCs/>
          <w:szCs w:val="20"/>
          <w:lang w:val="en-US"/>
        </w:rPr>
        <w:t xml:space="preserve"> </w:t>
      </w:r>
      <w:r w:rsidR="00D2546E" w:rsidRPr="00FE50A6">
        <w:rPr>
          <w:rFonts w:cs="Arial"/>
          <w:szCs w:val="20"/>
          <w:lang w:val="en-US"/>
        </w:rPr>
        <w:t>was</w:t>
      </w:r>
      <w:r w:rsidR="00B40811" w:rsidRPr="00FE50A6">
        <w:rPr>
          <w:rFonts w:cs="Arial"/>
          <w:szCs w:val="20"/>
          <w:lang w:val="en-US"/>
        </w:rPr>
        <w:t xml:space="preserve"> </w:t>
      </w:r>
      <w:r w:rsidRPr="00FE50A6">
        <w:rPr>
          <w:rFonts w:cs="Arial"/>
          <w:szCs w:val="20"/>
          <w:lang w:val="en-US"/>
        </w:rPr>
        <w:t>João Luis Quagliato Neto</w:t>
      </w:r>
      <w:r w:rsidR="00D2546E" w:rsidRPr="00FE50A6">
        <w:rPr>
          <w:rFonts w:cs="Arial"/>
          <w:szCs w:val="20"/>
          <w:lang w:val="en-US"/>
        </w:rPr>
        <w:t>.</w:t>
      </w:r>
      <w:r w:rsidRPr="00FE50A6">
        <w:rPr>
          <w:rStyle w:val="Refdenotaalpie"/>
          <w:rFonts w:cs="Arial"/>
          <w:lang w:val="en-US"/>
        </w:rPr>
        <w:footnoteReference w:id="105"/>
      </w:r>
    </w:p>
    <w:p w14:paraId="72BF6236" w14:textId="77777777" w:rsidR="00307DD9" w:rsidRPr="00FE50A6" w:rsidRDefault="00307DD9" w:rsidP="00140440">
      <w:pPr>
        <w:autoSpaceDE w:val="0"/>
        <w:autoSpaceDN w:val="0"/>
        <w:adjustRightInd w:val="0"/>
        <w:jc w:val="both"/>
        <w:rPr>
          <w:rFonts w:cs="Arial"/>
          <w:i/>
          <w:iCs/>
          <w:szCs w:val="20"/>
          <w:lang w:val="en-US"/>
        </w:rPr>
      </w:pPr>
    </w:p>
    <w:p w14:paraId="3327B4BE" w14:textId="77777777" w:rsidR="0003391C" w:rsidRPr="00FE50A6" w:rsidRDefault="00D2546E" w:rsidP="008622F3">
      <w:pPr>
        <w:pStyle w:val="Ttulo3"/>
        <w:rPr>
          <w:b w:val="0"/>
          <w:lang w:val="en-US"/>
        </w:rPr>
      </w:pPr>
      <w:bookmarkStart w:id="212" w:name="_Toc460433005"/>
      <w:bookmarkStart w:id="213" w:name="_Toc460441936"/>
      <w:bookmarkStart w:id="214" w:name="_Toc462750754"/>
      <w:bookmarkStart w:id="215" w:name="_Toc462751078"/>
      <w:bookmarkStart w:id="216" w:name="_Toc464813930"/>
      <w:r w:rsidRPr="00FE50A6">
        <w:rPr>
          <w:b w:val="0"/>
          <w:lang w:val="en-US"/>
        </w:rPr>
        <w:t xml:space="preserve">The </w:t>
      </w:r>
      <w:r w:rsidR="00E6005A" w:rsidRPr="00FE50A6">
        <w:rPr>
          <w:b w:val="0"/>
          <w:lang w:val="en-US"/>
        </w:rPr>
        <w:t>reports</w:t>
      </w:r>
      <w:r w:rsidRPr="00FE50A6">
        <w:rPr>
          <w:b w:val="0"/>
          <w:lang w:val="en-US"/>
        </w:rPr>
        <w:t xml:space="preserve"> filed in December </w:t>
      </w:r>
      <w:r w:rsidR="0003391C" w:rsidRPr="00FE50A6">
        <w:rPr>
          <w:b w:val="0"/>
          <w:lang w:val="en-US"/>
        </w:rPr>
        <w:t>1988</w:t>
      </w:r>
      <w:r w:rsidR="00030C17" w:rsidRPr="00FE50A6">
        <w:rPr>
          <w:b w:val="0"/>
          <w:lang w:val="en-US"/>
        </w:rPr>
        <w:t xml:space="preserve"> and </w:t>
      </w:r>
      <w:r w:rsidRPr="00FE50A6">
        <w:rPr>
          <w:b w:val="0"/>
          <w:lang w:val="en-US"/>
        </w:rPr>
        <w:t>January</w:t>
      </w:r>
      <w:r w:rsidR="0003391C" w:rsidRPr="00FE50A6">
        <w:rPr>
          <w:b w:val="0"/>
          <w:lang w:val="en-US"/>
        </w:rPr>
        <w:t xml:space="preserve"> 1989</w:t>
      </w:r>
      <w:bookmarkEnd w:id="212"/>
      <w:bookmarkEnd w:id="213"/>
      <w:bookmarkEnd w:id="214"/>
      <w:bookmarkEnd w:id="215"/>
      <w:bookmarkEnd w:id="216"/>
    </w:p>
    <w:p w14:paraId="154DB212" w14:textId="77777777" w:rsidR="0003391C" w:rsidRPr="00FE50A6" w:rsidRDefault="0003391C" w:rsidP="00140440">
      <w:pPr>
        <w:pStyle w:val="Prrafodelista"/>
        <w:autoSpaceDE w:val="0"/>
        <w:autoSpaceDN w:val="0"/>
        <w:adjustRightInd w:val="0"/>
        <w:ind w:left="0"/>
        <w:contextualSpacing w:val="0"/>
        <w:rPr>
          <w:rFonts w:cs="Times New Roman"/>
          <w:i/>
          <w:iCs/>
          <w:szCs w:val="20"/>
          <w:lang w:val="en-US"/>
        </w:rPr>
      </w:pPr>
    </w:p>
    <w:p w14:paraId="60B5163B" w14:textId="77777777" w:rsidR="0003391C" w:rsidRPr="00FE50A6" w:rsidRDefault="00D2546E" w:rsidP="00140440">
      <w:pPr>
        <w:pStyle w:val="Prrafodelista"/>
        <w:numPr>
          <w:ilvl w:val="0"/>
          <w:numId w:val="1"/>
        </w:numPr>
        <w:autoSpaceDE w:val="0"/>
        <w:autoSpaceDN w:val="0"/>
        <w:adjustRightInd w:val="0"/>
        <w:contextualSpacing w:val="0"/>
        <w:rPr>
          <w:rFonts w:cs="Times New Roman"/>
          <w:i/>
          <w:iCs/>
          <w:szCs w:val="20"/>
          <w:lang w:val="en-US"/>
        </w:rPr>
      </w:pPr>
      <w:r w:rsidRPr="00FE50A6">
        <w:rPr>
          <w:rFonts w:cs="Arial"/>
          <w:szCs w:val="20"/>
          <w:lang w:val="en-US"/>
        </w:rPr>
        <w:t>On</w:t>
      </w:r>
      <w:r w:rsidR="0003391C" w:rsidRPr="00FE50A6">
        <w:rPr>
          <w:rFonts w:cs="Arial"/>
          <w:szCs w:val="20"/>
          <w:lang w:val="en-US"/>
        </w:rPr>
        <w:t xml:space="preserve"> </w:t>
      </w:r>
      <w:r w:rsidR="0084006F" w:rsidRPr="00FE50A6">
        <w:rPr>
          <w:rFonts w:cs="Arial"/>
          <w:szCs w:val="20"/>
          <w:lang w:val="en-US"/>
        </w:rPr>
        <w:t>December 21,</w:t>
      </w:r>
      <w:r w:rsidR="0003391C" w:rsidRPr="00FE50A6">
        <w:rPr>
          <w:rFonts w:cs="Arial"/>
          <w:szCs w:val="20"/>
          <w:lang w:val="en-US"/>
        </w:rPr>
        <w:t xml:space="preserve"> 1988</w:t>
      </w:r>
      <w:r w:rsidRPr="00FE50A6">
        <w:rPr>
          <w:rFonts w:cs="Arial"/>
          <w:szCs w:val="20"/>
          <w:lang w:val="en-US"/>
        </w:rPr>
        <w:t>,</w:t>
      </w:r>
      <w:r w:rsidR="0003391C" w:rsidRPr="00FE50A6">
        <w:rPr>
          <w:rFonts w:cs="Arial"/>
          <w:szCs w:val="20"/>
          <w:lang w:val="en-US"/>
        </w:rPr>
        <w:t xml:space="preserve"> </w:t>
      </w:r>
      <w:r w:rsidR="000228D0" w:rsidRPr="00FE50A6">
        <w:rPr>
          <w:rFonts w:cs="Arial"/>
          <w:szCs w:val="20"/>
          <w:lang w:val="en-US"/>
        </w:rPr>
        <w:t xml:space="preserve">the </w:t>
      </w:r>
      <w:r w:rsidR="00C61525" w:rsidRPr="00FE50A6">
        <w:rPr>
          <w:rFonts w:cs="Arial"/>
          <w:i/>
          <w:szCs w:val="20"/>
          <w:lang w:val="en-US"/>
        </w:rPr>
        <w:t xml:space="preserve">Comissão Pastoral da Terra </w:t>
      </w:r>
      <w:r w:rsidR="00030C17" w:rsidRPr="00FE50A6">
        <w:rPr>
          <w:rFonts w:cs="Arial"/>
          <w:szCs w:val="20"/>
          <w:lang w:val="en-US"/>
        </w:rPr>
        <w:t xml:space="preserve"> and </w:t>
      </w:r>
      <w:r w:rsidRPr="00FE50A6">
        <w:rPr>
          <w:rFonts w:cs="Arial"/>
          <w:szCs w:val="20"/>
          <w:lang w:val="en-US"/>
        </w:rPr>
        <w:t>the di</w:t>
      </w:r>
      <w:r w:rsidR="00667A2B" w:rsidRPr="00FE50A6">
        <w:rPr>
          <w:rFonts w:cs="Arial"/>
          <w:szCs w:val="20"/>
          <w:lang w:val="en-US"/>
        </w:rPr>
        <w:t>o</w:t>
      </w:r>
      <w:r w:rsidRPr="00FE50A6">
        <w:rPr>
          <w:rFonts w:cs="Arial"/>
          <w:szCs w:val="20"/>
          <w:lang w:val="en-US"/>
        </w:rPr>
        <w:t>ces</w:t>
      </w:r>
      <w:r w:rsidR="00667A2B" w:rsidRPr="00FE50A6">
        <w:rPr>
          <w:rFonts w:cs="Arial"/>
          <w:szCs w:val="20"/>
          <w:lang w:val="en-US"/>
        </w:rPr>
        <w:t>e</w:t>
      </w:r>
      <w:r w:rsidRPr="00FE50A6">
        <w:rPr>
          <w:rFonts w:cs="Arial"/>
          <w:szCs w:val="20"/>
          <w:lang w:val="en-US"/>
        </w:rPr>
        <w:t xml:space="preserve"> of </w:t>
      </w:r>
      <w:r w:rsidR="00C315C5" w:rsidRPr="00FE50A6">
        <w:rPr>
          <w:rFonts w:cs="Arial"/>
          <w:szCs w:val="20"/>
          <w:lang w:val="en-US"/>
        </w:rPr>
        <w:t xml:space="preserve">Conceição de </w:t>
      </w:r>
      <w:r w:rsidR="0003391C" w:rsidRPr="00FE50A6">
        <w:rPr>
          <w:rFonts w:cs="Arial"/>
          <w:szCs w:val="20"/>
          <w:lang w:val="en-US"/>
        </w:rPr>
        <w:t xml:space="preserve">Araguaia, </w:t>
      </w:r>
      <w:r w:rsidRPr="00FE50A6">
        <w:rPr>
          <w:rFonts w:cs="Arial"/>
          <w:szCs w:val="20"/>
          <w:lang w:val="en-US"/>
        </w:rPr>
        <w:t>together with</w:t>
      </w:r>
      <w:r w:rsidR="0003391C" w:rsidRPr="00FE50A6">
        <w:rPr>
          <w:rFonts w:cs="Arial"/>
          <w:szCs w:val="20"/>
          <w:lang w:val="en-US"/>
        </w:rPr>
        <w:t xml:space="preserve"> José Teodoro da Silva</w:t>
      </w:r>
      <w:r w:rsidR="00030C17" w:rsidRPr="00FE50A6">
        <w:rPr>
          <w:rFonts w:cs="Arial"/>
          <w:szCs w:val="20"/>
          <w:lang w:val="en-US"/>
        </w:rPr>
        <w:t xml:space="preserve"> and </w:t>
      </w:r>
      <w:r w:rsidR="0003391C" w:rsidRPr="00FE50A6">
        <w:rPr>
          <w:rFonts w:cs="Arial"/>
          <w:szCs w:val="20"/>
          <w:lang w:val="en-US"/>
        </w:rPr>
        <w:t xml:space="preserve">Miguel Ferreira da Cruz, </w:t>
      </w:r>
      <w:r w:rsidRPr="00FE50A6">
        <w:rPr>
          <w:rFonts w:cs="Arial"/>
          <w:szCs w:val="20"/>
          <w:lang w:val="en-US"/>
        </w:rPr>
        <w:t>respectively father and brother of</w:t>
      </w:r>
      <w:r w:rsidR="0003391C" w:rsidRPr="00FE50A6">
        <w:rPr>
          <w:rFonts w:cs="Arial"/>
          <w:szCs w:val="20"/>
          <w:lang w:val="en-US"/>
        </w:rPr>
        <w:t xml:space="preserve"> lron Canuto da Silva, </w:t>
      </w:r>
      <w:r w:rsidRPr="00FE50A6">
        <w:rPr>
          <w:rFonts w:cs="Arial"/>
          <w:szCs w:val="20"/>
          <w:lang w:val="en-US"/>
        </w:rPr>
        <w:t>aged</w:t>
      </w:r>
      <w:r w:rsidR="0003391C" w:rsidRPr="00FE50A6">
        <w:rPr>
          <w:rFonts w:cs="Arial"/>
          <w:szCs w:val="20"/>
          <w:lang w:val="en-US"/>
        </w:rPr>
        <w:t xml:space="preserve"> 17,</w:t>
      </w:r>
      <w:r w:rsidR="00030C17" w:rsidRPr="00FE50A6">
        <w:rPr>
          <w:rFonts w:cs="Arial"/>
          <w:szCs w:val="20"/>
          <w:lang w:val="en-US"/>
        </w:rPr>
        <w:t xml:space="preserve"> and </w:t>
      </w:r>
      <w:r w:rsidR="00200C04" w:rsidRPr="00FE50A6">
        <w:rPr>
          <w:rFonts w:cs="Arial"/>
          <w:szCs w:val="20"/>
          <w:lang w:val="en-US"/>
        </w:rPr>
        <w:t xml:space="preserve">Luis Ferreira </w:t>
      </w:r>
      <w:r w:rsidR="00867094" w:rsidRPr="00FE50A6">
        <w:rPr>
          <w:rFonts w:cs="Arial"/>
          <w:szCs w:val="20"/>
          <w:lang w:val="en-US"/>
        </w:rPr>
        <w:t>da Cruz</w:t>
      </w:r>
      <w:r w:rsidR="0003391C" w:rsidRPr="00FE50A6">
        <w:rPr>
          <w:rFonts w:cs="Arial"/>
          <w:szCs w:val="20"/>
          <w:lang w:val="en-US"/>
        </w:rPr>
        <w:t xml:space="preserve">, </w:t>
      </w:r>
      <w:r w:rsidRPr="00FE50A6">
        <w:rPr>
          <w:rFonts w:cs="Arial"/>
          <w:szCs w:val="20"/>
          <w:lang w:val="en-US"/>
        </w:rPr>
        <w:t xml:space="preserve">aged 16, filed a </w:t>
      </w:r>
      <w:r w:rsidR="00E6005A" w:rsidRPr="00FE50A6">
        <w:rPr>
          <w:rFonts w:cs="Arial"/>
          <w:szCs w:val="20"/>
          <w:lang w:val="en-US"/>
        </w:rPr>
        <w:t>report</w:t>
      </w:r>
      <w:r w:rsidRPr="00FE50A6">
        <w:rPr>
          <w:rFonts w:cs="Arial"/>
          <w:szCs w:val="20"/>
          <w:lang w:val="en-US"/>
        </w:rPr>
        <w:t xml:space="preserve"> before the Federal Police concerning the practice of slave labor in </w:t>
      </w:r>
      <w:r w:rsidR="0003391C" w:rsidRPr="00FE50A6">
        <w:rPr>
          <w:rFonts w:cs="Arial"/>
          <w:iCs/>
          <w:szCs w:val="20"/>
          <w:lang w:val="en-US"/>
        </w:rPr>
        <w:t xml:space="preserve">Hacienda </w:t>
      </w:r>
      <w:r w:rsidR="00322241" w:rsidRPr="00FE50A6">
        <w:rPr>
          <w:rFonts w:cs="Arial"/>
          <w:iCs/>
          <w:szCs w:val="20"/>
          <w:lang w:val="en-US"/>
        </w:rPr>
        <w:t>Brasil Verde</w:t>
      </w:r>
      <w:r w:rsidR="0003391C" w:rsidRPr="00FE50A6">
        <w:rPr>
          <w:rFonts w:cs="Arial"/>
          <w:i/>
          <w:iCs/>
          <w:szCs w:val="20"/>
          <w:lang w:val="en-US"/>
        </w:rPr>
        <w:t>,</w:t>
      </w:r>
      <w:r w:rsidR="00030C17" w:rsidRPr="00FE50A6">
        <w:rPr>
          <w:rFonts w:cs="Arial"/>
          <w:i/>
          <w:iCs/>
          <w:szCs w:val="20"/>
          <w:lang w:val="en-US"/>
        </w:rPr>
        <w:t xml:space="preserve"> </w:t>
      </w:r>
      <w:r w:rsidRPr="00FE50A6">
        <w:rPr>
          <w:rFonts w:cs="Arial"/>
          <w:szCs w:val="20"/>
          <w:lang w:val="en-US"/>
        </w:rPr>
        <w:t>and the disappearance of the</w:t>
      </w:r>
      <w:r w:rsidR="0003391C" w:rsidRPr="00FE50A6">
        <w:rPr>
          <w:rFonts w:cs="Arial"/>
          <w:szCs w:val="20"/>
          <w:lang w:val="en-US"/>
        </w:rPr>
        <w:t xml:space="preserve"> </w:t>
      </w:r>
      <w:r w:rsidRPr="00FE50A6">
        <w:rPr>
          <w:rFonts w:cs="Arial"/>
          <w:szCs w:val="20"/>
          <w:lang w:val="en-US"/>
        </w:rPr>
        <w:t>two young men.</w:t>
      </w:r>
      <w:r w:rsidR="0003391C" w:rsidRPr="00FE50A6">
        <w:rPr>
          <w:rStyle w:val="Refdenotaalpie"/>
          <w:rFonts w:cs="Arial"/>
          <w:lang w:val="en-US"/>
        </w:rPr>
        <w:footnoteReference w:id="106"/>
      </w:r>
      <w:r w:rsidR="0003391C" w:rsidRPr="00FE50A6">
        <w:rPr>
          <w:rFonts w:cs="Times New Roman"/>
          <w:szCs w:val="20"/>
          <w:lang w:val="en-US"/>
        </w:rPr>
        <w:t xml:space="preserve"> </w:t>
      </w:r>
    </w:p>
    <w:p w14:paraId="1E22D065" w14:textId="77777777" w:rsidR="0003391C" w:rsidRPr="00FE50A6" w:rsidRDefault="0003391C" w:rsidP="00140440">
      <w:pPr>
        <w:pStyle w:val="Prrafodelista"/>
        <w:autoSpaceDE w:val="0"/>
        <w:autoSpaceDN w:val="0"/>
        <w:adjustRightInd w:val="0"/>
        <w:ind w:left="0"/>
        <w:contextualSpacing w:val="0"/>
        <w:rPr>
          <w:rFonts w:cs="Times New Roman"/>
          <w:i/>
          <w:iCs/>
          <w:szCs w:val="20"/>
          <w:lang w:val="en-US"/>
        </w:rPr>
      </w:pPr>
    </w:p>
    <w:p w14:paraId="38A168F1" w14:textId="77777777" w:rsidR="0003391C" w:rsidRPr="00FE50A6" w:rsidRDefault="00D2546E" w:rsidP="00140440">
      <w:pPr>
        <w:pStyle w:val="Prrafodelista"/>
        <w:numPr>
          <w:ilvl w:val="0"/>
          <w:numId w:val="1"/>
        </w:numPr>
        <w:autoSpaceDE w:val="0"/>
        <w:autoSpaceDN w:val="0"/>
        <w:adjustRightInd w:val="0"/>
        <w:contextualSpacing w:val="0"/>
        <w:rPr>
          <w:rFonts w:cs="Times New Roman"/>
          <w:i/>
          <w:iCs/>
          <w:szCs w:val="20"/>
          <w:lang w:val="en-US"/>
        </w:rPr>
      </w:pPr>
      <w:r w:rsidRPr="00FE50A6">
        <w:rPr>
          <w:rFonts w:cs="Arial"/>
          <w:szCs w:val="20"/>
          <w:lang w:val="en-US"/>
        </w:rPr>
        <w:t xml:space="preserve">According to this </w:t>
      </w:r>
      <w:r w:rsidR="00E6005A" w:rsidRPr="00FE50A6">
        <w:rPr>
          <w:rFonts w:cs="Arial"/>
          <w:szCs w:val="20"/>
          <w:lang w:val="en-US"/>
        </w:rPr>
        <w:t>repor</w:t>
      </w:r>
      <w:r w:rsidR="00667A2B" w:rsidRPr="00FE50A6">
        <w:rPr>
          <w:rFonts w:cs="Arial"/>
          <w:szCs w:val="20"/>
          <w:lang w:val="en-US"/>
        </w:rPr>
        <w:t>t</w:t>
      </w:r>
      <w:r w:rsidRPr="00FE50A6">
        <w:rPr>
          <w:rFonts w:cs="Arial"/>
          <w:szCs w:val="20"/>
          <w:lang w:val="en-US"/>
        </w:rPr>
        <w:t xml:space="preserve">, in August </w:t>
      </w:r>
      <w:r w:rsidR="0003391C" w:rsidRPr="00FE50A6">
        <w:rPr>
          <w:rFonts w:cs="Arial"/>
          <w:szCs w:val="20"/>
          <w:lang w:val="en-US"/>
        </w:rPr>
        <w:t>1988</w:t>
      </w:r>
      <w:r w:rsidRPr="00FE50A6">
        <w:rPr>
          <w:rFonts w:cs="Arial"/>
          <w:szCs w:val="20"/>
          <w:lang w:val="en-US"/>
        </w:rPr>
        <w:t>,</w:t>
      </w:r>
      <w:r w:rsidR="0003391C" w:rsidRPr="00FE50A6">
        <w:rPr>
          <w:rFonts w:cs="Arial"/>
          <w:szCs w:val="20"/>
          <w:lang w:val="en-US"/>
        </w:rPr>
        <w:t xml:space="preserve"> lron Canuto</w:t>
      </w:r>
      <w:r w:rsidR="00030C17" w:rsidRPr="00FE50A6">
        <w:rPr>
          <w:rFonts w:cs="Arial"/>
          <w:szCs w:val="20"/>
          <w:lang w:val="en-US"/>
        </w:rPr>
        <w:t xml:space="preserve"> and </w:t>
      </w:r>
      <w:r w:rsidR="00200C04" w:rsidRPr="00FE50A6">
        <w:rPr>
          <w:rFonts w:cs="Arial"/>
          <w:szCs w:val="20"/>
          <w:lang w:val="en-US"/>
        </w:rPr>
        <w:t>Luis Ferreira da Cruz</w:t>
      </w:r>
      <w:r w:rsidR="0003391C" w:rsidRPr="00FE50A6">
        <w:rPr>
          <w:rFonts w:cs="Arial"/>
          <w:szCs w:val="20"/>
          <w:lang w:val="en-US"/>
        </w:rPr>
        <w:t xml:space="preserve"> ha</w:t>
      </w:r>
      <w:r w:rsidRPr="00FE50A6">
        <w:rPr>
          <w:rFonts w:cs="Arial"/>
          <w:szCs w:val="20"/>
          <w:lang w:val="en-US"/>
        </w:rPr>
        <w:t xml:space="preserve">d been taken from </w:t>
      </w:r>
      <w:r w:rsidR="0003391C" w:rsidRPr="00FE50A6">
        <w:rPr>
          <w:rFonts w:cs="Arial"/>
          <w:szCs w:val="20"/>
          <w:lang w:val="en-US"/>
        </w:rPr>
        <w:t>A</w:t>
      </w:r>
      <w:r w:rsidR="005504F7" w:rsidRPr="00FE50A6">
        <w:rPr>
          <w:rFonts w:cs="Arial"/>
          <w:szCs w:val="20"/>
          <w:lang w:val="en-US"/>
        </w:rPr>
        <w:t>ra</w:t>
      </w:r>
      <w:r w:rsidR="0003391C" w:rsidRPr="00FE50A6">
        <w:rPr>
          <w:rFonts w:cs="Arial"/>
          <w:szCs w:val="20"/>
          <w:lang w:val="en-US"/>
        </w:rPr>
        <w:t>poema</w:t>
      </w:r>
      <w:r w:rsidR="0003391C" w:rsidRPr="00FE50A6">
        <w:rPr>
          <w:rFonts w:cs="Times New Roman"/>
          <w:szCs w:val="20"/>
          <w:lang w:val="en-US"/>
        </w:rPr>
        <w:t xml:space="preserve"> </w:t>
      </w:r>
      <w:r w:rsidRPr="00FE50A6">
        <w:rPr>
          <w:rFonts w:cs="Arial"/>
          <w:szCs w:val="20"/>
          <w:lang w:val="en-US"/>
        </w:rPr>
        <w:t>by a</w:t>
      </w:r>
      <w:r w:rsidR="00DB1C1D" w:rsidRPr="00FE50A6">
        <w:rPr>
          <w:rFonts w:cs="Arial"/>
          <w:i/>
          <w:szCs w:val="20"/>
          <w:lang w:val="en-US"/>
        </w:rPr>
        <w:t xml:space="preserve"> gato </w:t>
      </w:r>
      <w:r w:rsidRPr="00FE50A6">
        <w:rPr>
          <w:rFonts w:cs="Arial"/>
          <w:szCs w:val="20"/>
          <w:lang w:val="en-US"/>
        </w:rPr>
        <w:t xml:space="preserve">to work in </w:t>
      </w:r>
      <w:r w:rsidR="0003391C" w:rsidRPr="00FE50A6">
        <w:rPr>
          <w:rFonts w:cs="Arial"/>
          <w:szCs w:val="20"/>
          <w:lang w:val="en-US"/>
        </w:rPr>
        <w:t xml:space="preserve">Hacienda </w:t>
      </w:r>
      <w:r w:rsidR="00322241" w:rsidRPr="00FE50A6">
        <w:rPr>
          <w:rFonts w:cs="Arial"/>
          <w:szCs w:val="20"/>
          <w:lang w:val="en-US"/>
        </w:rPr>
        <w:t>Brasil Verde</w:t>
      </w:r>
      <w:r w:rsidRPr="00FE50A6">
        <w:rPr>
          <w:rFonts w:cs="Arial"/>
          <w:szCs w:val="20"/>
          <w:lang w:val="en-US"/>
        </w:rPr>
        <w:t xml:space="preserve"> for 60 days</w:t>
      </w:r>
      <w:r w:rsidR="0003391C" w:rsidRPr="00FE50A6">
        <w:rPr>
          <w:rFonts w:cs="Arial"/>
          <w:szCs w:val="20"/>
          <w:lang w:val="en-US"/>
        </w:rPr>
        <w:t xml:space="preserve">. </w:t>
      </w:r>
      <w:r w:rsidRPr="00FE50A6">
        <w:rPr>
          <w:rFonts w:cs="Arial"/>
          <w:szCs w:val="20"/>
          <w:lang w:val="en-US"/>
        </w:rPr>
        <w:t xml:space="preserve">The </w:t>
      </w:r>
      <w:r w:rsidR="00E6005A" w:rsidRPr="00FE50A6">
        <w:rPr>
          <w:rFonts w:cs="Arial"/>
          <w:szCs w:val="20"/>
          <w:lang w:val="en-US"/>
        </w:rPr>
        <w:t>report</w:t>
      </w:r>
      <w:r w:rsidRPr="00FE50A6">
        <w:rPr>
          <w:rFonts w:cs="Arial"/>
          <w:szCs w:val="20"/>
          <w:lang w:val="en-US"/>
        </w:rPr>
        <w:t xml:space="preserve"> also indicated that, when they tried to leave the hacienda, the adolescents had been forcibly returned</w:t>
      </w:r>
      <w:r w:rsidR="00547274" w:rsidRPr="00FE50A6">
        <w:rPr>
          <w:rFonts w:cs="Arial"/>
          <w:szCs w:val="20"/>
          <w:lang w:val="en-US"/>
        </w:rPr>
        <w:t>,</w:t>
      </w:r>
      <w:r w:rsidRPr="00FE50A6">
        <w:rPr>
          <w:rFonts w:cs="Arial"/>
          <w:szCs w:val="20"/>
          <w:lang w:val="en-US"/>
        </w:rPr>
        <w:t xml:space="preserve"> threatened and, subsequently, had disappeared. Therefore, the family was </w:t>
      </w:r>
      <w:r w:rsidR="008B0077" w:rsidRPr="00FE50A6">
        <w:rPr>
          <w:rFonts w:cs="Arial"/>
          <w:szCs w:val="20"/>
          <w:lang w:val="en-US"/>
        </w:rPr>
        <w:t>concerned</w:t>
      </w:r>
      <w:r w:rsidRPr="00FE50A6">
        <w:rPr>
          <w:rFonts w:cs="Arial"/>
          <w:szCs w:val="20"/>
          <w:lang w:val="en-US"/>
        </w:rPr>
        <w:t xml:space="preserve"> about them.</w:t>
      </w:r>
      <w:r w:rsidR="0003391C" w:rsidRPr="00FE50A6">
        <w:rPr>
          <w:rStyle w:val="Refdenotaalpie"/>
          <w:rFonts w:cs="Arial"/>
          <w:lang w:val="en-US"/>
        </w:rPr>
        <w:footnoteReference w:id="107"/>
      </w:r>
    </w:p>
    <w:p w14:paraId="2343AC83" w14:textId="77777777" w:rsidR="0003391C" w:rsidRPr="00FE50A6" w:rsidRDefault="0003391C" w:rsidP="00140440">
      <w:pPr>
        <w:pStyle w:val="Prrafodelista"/>
        <w:autoSpaceDE w:val="0"/>
        <w:autoSpaceDN w:val="0"/>
        <w:adjustRightInd w:val="0"/>
        <w:ind w:left="0"/>
        <w:contextualSpacing w:val="0"/>
        <w:rPr>
          <w:rFonts w:cs="Times New Roman"/>
          <w:iCs/>
          <w:szCs w:val="20"/>
          <w:lang w:val="en-US"/>
        </w:rPr>
      </w:pPr>
    </w:p>
    <w:p w14:paraId="763DD196" w14:textId="77777777" w:rsidR="0003391C" w:rsidRPr="00FE50A6" w:rsidRDefault="008B0077" w:rsidP="00140440">
      <w:pPr>
        <w:pStyle w:val="Prrafodelista"/>
        <w:numPr>
          <w:ilvl w:val="0"/>
          <w:numId w:val="1"/>
        </w:numPr>
        <w:autoSpaceDE w:val="0"/>
        <w:autoSpaceDN w:val="0"/>
        <w:adjustRightInd w:val="0"/>
        <w:contextualSpacing w:val="0"/>
        <w:rPr>
          <w:rFonts w:cs="Times New Roman"/>
          <w:i/>
          <w:iCs/>
          <w:szCs w:val="20"/>
          <w:lang w:val="en-US"/>
        </w:rPr>
      </w:pPr>
      <w:r w:rsidRPr="00FE50A6">
        <w:rPr>
          <w:rFonts w:cs="Arial"/>
          <w:szCs w:val="20"/>
          <w:lang w:val="en-US"/>
        </w:rPr>
        <w:t xml:space="preserve">On the same date, </w:t>
      </w:r>
      <w:r w:rsidR="0003391C" w:rsidRPr="00FE50A6">
        <w:rPr>
          <w:rFonts w:cs="Arial"/>
          <w:szCs w:val="20"/>
          <w:lang w:val="en-US"/>
        </w:rPr>
        <w:t xml:space="preserve">Adailton Martins dos Reis, </w:t>
      </w:r>
      <w:r w:rsidRPr="00FE50A6">
        <w:rPr>
          <w:rFonts w:cs="Arial"/>
          <w:szCs w:val="20"/>
          <w:lang w:val="en-US"/>
        </w:rPr>
        <w:t xml:space="preserve">a worker who had escaped from </w:t>
      </w:r>
      <w:r w:rsidR="0003391C" w:rsidRPr="00FE50A6">
        <w:rPr>
          <w:rFonts w:cs="Arial"/>
          <w:szCs w:val="20"/>
          <w:lang w:val="en-US"/>
        </w:rPr>
        <w:t xml:space="preserve">Hacienda </w:t>
      </w:r>
      <w:r w:rsidR="00322241" w:rsidRPr="00FE50A6">
        <w:rPr>
          <w:rFonts w:cs="Arial"/>
          <w:szCs w:val="20"/>
          <w:lang w:val="en-US"/>
        </w:rPr>
        <w:t>Brasil Verde</w:t>
      </w:r>
      <w:r w:rsidR="00D363E9" w:rsidRPr="00FE50A6">
        <w:rPr>
          <w:rFonts w:cs="Arial"/>
          <w:szCs w:val="20"/>
          <w:lang w:val="en-US"/>
        </w:rPr>
        <w:t>,</w:t>
      </w:r>
      <w:r w:rsidR="0003391C" w:rsidRPr="00FE50A6">
        <w:rPr>
          <w:rFonts w:cs="Arial"/>
          <w:i/>
          <w:iCs/>
          <w:szCs w:val="20"/>
          <w:lang w:val="en-US"/>
        </w:rPr>
        <w:t xml:space="preserve"> </w:t>
      </w:r>
      <w:r w:rsidRPr="00FE50A6">
        <w:rPr>
          <w:rFonts w:cs="Arial"/>
          <w:szCs w:val="20"/>
          <w:lang w:val="en-US"/>
        </w:rPr>
        <w:t>reported the following</w:t>
      </w:r>
      <w:r w:rsidR="0003391C" w:rsidRPr="00FE50A6">
        <w:rPr>
          <w:rFonts w:cs="Arial"/>
          <w:szCs w:val="20"/>
          <w:lang w:val="en-US"/>
        </w:rPr>
        <w:t>:</w:t>
      </w:r>
    </w:p>
    <w:p w14:paraId="3C9E69F1" w14:textId="77777777" w:rsidR="0003391C" w:rsidRPr="00FE50A6" w:rsidRDefault="0003391C" w:rsidP="00140440">
      <w:pPr>
        <w:autoSpaceDE w:val="0"/>
        <w:autoSpaceDN w:val="0"/>
        <w:adjustRightInd w:val="0"/>
        <w:jc w:val="both"/>
        <w:rPr>
          <w:rFonts w:cs="Arial"/>
          <w:szCs w:val="20"/>
          <w:lang w:val="en-US"/>
        </w:rPr>
      </w:pPr>
    </w:p>
    <w:p w14:paraId="24532588" w14:textId="77777777" w:rsidR="0003391C" w:rsidRPr="00FE50A6" w:rsidRDefault="008B0077" w:rsidP="008B0077">
      <w:pPr>
        <w:autoSpaceDE w:val="0"/>
        <w:autoSpaceDN w:val="0"/>
        <w:adjustRightInd w:val="0"/>
        <w:ind w:left="720" w:right="720"/>
        <w:jc w:val="both"/>
        <w:rPr>
          <w:rFonts w:cs="Arial"/>
          <w:sz w:val="16"/>
          <w:szCs w:val="20"/>
          <w:lang w:val="en-US"/>
        </w:rPr>
      </w:pPr>
      <w:r w:rsidRPr="00FE50A6">
        <w:rPr>
          <w:rFonts w:cs="Arial"/>
          <w:sz w:val="16"/>
          <w:szCs w:val="20"/>
          <w:lang w:val="en-US"/>
        </w:rPr>
        <w:t>I worked in the hacienda for 30 days; the [</w:t>
      </w:r>
      <w:r w:rsidRPr="00FE50A6">
        <w:rPr>
          <w:rFonts w:cs="Arial"/>
          <w:i/>
          <w:sz w:val="16"/>
          <w:szCs w:val="20"/>
          <w:lang w:val="en-US"/>
        </w:rPr>
        <w:t>gato</w:t>
      </w:r>
      <w:r w:rsidRPr="00FE50A6">
        <w:rPr>
          <w:rFonts w:cs="Arial"/>
          <w:sz w:val="16"/>
          <w:szCs w:val="20"/>
          <w:lang w:val="en-US"/>
        </w:rPr>
        <w:t xml:space="preserve">] promised me many things </w:t>
      </w:r>
      <w:r w:rsidR="00667A2B" w:rsidRPr="00FE50A6">
        <w:rPr>
          <w:rFonts w:cs="Arial"/>
          <w:sz w:val="16"/>
          <w:szCs w:val="20"/>
          <w:lang w:val="en-US"/>
        </w:rPr>
        <w:t xml:space="preserve">there </w:t>
      </w:r>
      <w:r w:rsidRPr="00FE50A6">
        <w:rPr>
          <w:rFonts w:cs="Arial"/>
          <w:sz w:val="16"/>
          <w:szCs w:val="20"/>
          <w:lang w:val="en-US"/>
        </w:rPr>
        <w:t xml:space="preserve">and I took with me all the </w:t>
      </w:r>
      <w:r w:rsidR="00667A2B" w:rsidRPr="00FE50A6">
        <w:rPr>
          <w:rFonts w:cs="Arial"/>
          <w:sz w:val="16"/>
          <w:szCs w:val="20"/>
          <w:lang w:val="en-US"/>
        </w:rPr>
        <w:t>tools</w:t>
      </w:r>
      <w:r w:rsidRPr="00FE50A6">
        <w:rPr>
          <w:rFonts w:cs="Arial"/>
          <w:sz w:val="16"/>
          <w:szCs w:val="20"/>
          <w:lang w:val="en-US"/>
        </w:rPr>
        <w:t xml:space="preserve"> for the work</w:t>
      </w:r>
      <w:r w:rsidR="00547274" w:rsidRPr="00FE50A6">
        <w:rPr>
          <w:rFonts w:cs="Arial"/>
          <w:sz w:val="16"/>
          <w:szCs w:val="20"/>
          <w:lang w:val="en-US"/>
        </w:rPr>
        <w:t>.</w:t>
      </w:r>
      <w:r w:rsidRPr="00FE50A6">
        <w:rPr>
          <w:rFonts w:cs="Arial"/>
          <w:sz w:val="16"/>
          <w:szCs w:val="20"/>
          <w:lang w:val="en-US"/>
        </w:rPr>
        <w:t xml:space="preserve"> </w:t>
      </w:r>
      <w:r w:rsidR="00547274" w:rsidRPr="00FE50A6">
        <w:rPr>
          <w:rFonts w:cs="Arial"/>
          <w:sz w:val="16"/>
          <w:szCs w:val="20"/>
          <w:lang w:val="en-US"/>
        </w:rPr>
        <w:t>W</w:t>
      </w:r>
      <w:r w:rsidRPr="00FE50A6">
        <w:rPr>
          <w:rFonts w:cs="Arial"/>
          <w:sz w:val="16"/>
          <w:szCs w:val="20"/>
          <w:lang w:val="en-US"/>
        </w:rPr>
        <w:t xml:space="preserve">hen we arrived, </w:t>
      </w:r>
      <w:r w:rsidR="00547274" w:rsidRPr="00FE50A6">
        <w:rPr>
          <w:rFonts w:cs="Arial"/>
          <w:sz w:val="16"/>
          <w:szCs w:val="20"/>
          <w:lang w:val="en-US"/>
        </w:rPr>
        <w:t>his promises turned out to be false.</w:t>
      </w:r>
      <w:r w:rsidRPr="00FE50A6">
        <w:rPr>
          <w:rFonts w:cs="Arial"/>
          <w:sz w:val="16"/>
          <w:szCs w:val="20"/>
          <w:lang w:val="en-US"/>
        </w:rPr>
        <w:t xml:space="preserve"> [I was] </w:t>
      </w:r>
      <w:r w:rsidR="004255F0" w:rsidRPr="00FE50A6">
        <w:rPr>
          <w:rFonts w:cs="Arial"/>
          <w:sz w:val="16"/>
          <w:szCs w:val="20"/>
          <w:lang w:val="en-US"/>
        </w:rPr>
        <w:t>clearing</w:t>
      </w:r>
      <w:r w:rsidR="0003391C" w:rsidRPr="00FE50A6">
        <w:rPr>
          <w:rFonts w:cs="Arial"/>
          <w:sz w:val="16"/>
          <w:szCs w:val="20"/>
          <w:lang w:val="en-US"/>
        </w:rPr>
        <w:t xml:space="preserve"> </w:t>
      </w:r>
      <w:r w:rsidR="009C48A4" w:rsidRPr="00FE50A6">
        <w:rPr>
          <w:rFonts w:cs="Arial"/>
          <w:sz w:val="16"/>
          <w:szCs w:val="20"/>
          <w:lang w:val="en-US"/>
        </w:rPr>
        <w:t>“</w:t>
      </w:r>
      <w:r w:rsidR="0003391C" w:rsidRPr="00FE50A6">
        <w:rPr>
          <w:rFonts w:cs="Arial"/>
          <w:sz w:val="16"/>
          <w:szCs w:val="20"/>
          <w:lang w:val="en-US"/>
        </w:rPr>
        <w:t>juquira</w:t>
      </w:r>
      <w:r w:rsidRPr="00FE50A6">
        <w:rPr>
          <w:rFonts w:cs="Arial"/>
          <w:sz w:val="16"/>
          <w:szCs w:val="20"/>
          <w:lang w:val="en-US"/>
        </w:rPr>
        <w:t>,</w:t>
      </w:r>
      <w:r w:rsidR="009C48A4" w:rsidRPr="00FE50A6">
        <w:rPr>
          <w:rFonts w:cs="Arial"/>
          <w:sz w:val="16"/>
          <w:szCs w:val="20"/>
          <w:lang w:val="en-US"/>
        </w:rPr>
        <w:t>”</w:t>
      </w:r>
      <w:r w:rsidR="0003391C" w:rsidRPr="00FE50A6">
        <w:rPr>
          <w:rStyle w:val="Refdenotaalpie"/>
          <w:rFonts w:cs="Arial"/>
          <w:sz w:val="16"/>
          <w:lang w:val="en-US"/>
        </w:rPr>
        <w:footnoteReference w:id="108"/>
      </w:r>
      <w:r w:rsidR="0003391C" w:rsidRPr="00FE50A6">
        <w:rPr>
          <w:rFonts w:cs="Arial"/>
          <w:sz w:val="16"/>
          <w:szCs w:val="20"/>
          <w:lang w:val="en-US"/>
        </w:rPr>
        <w:t xml:space="preserve"> </w:t>
      </w:r>
      <w:r w:rsidRPr="00FE50A6">
        <w:rPr>
          <w:rFonts w:cs="Arial"/>
          <w:sz w:val="16"/>
          <w:szCs w:val="20"/>
          <w:lang w:val="en-US"/>
        </w:rPr>
        <w:t>living in a tent full of water; my wife</w:t>
      </w:r>
      <w:r w:rsidR="00667A2B" w:rsidRPr="00FE50A6">
        <w:rPr>
          <w:rFonts w:cs="Arial"/>
          <w:sz w:val="16"/>
          <w:szCs w:val="20"/>
          <w:lang w:val="en-US"/>
        </w:rPr>
        <w:t xml:space="preserve"> had recently been operated</w:t>
      </w:r>
      <w:r w:rsidR="00547274" w:rsidRPr="00FE50A6">
        <w:rPr>
          <w:rFonts w:cs="Arial"/>
          <w:sz w:val="16"/>
          <w:szCs w:val="20"/>
          <w:lang w:val="en-US"/>
        </w:rPr>
        <w:t xml:space="preserve"> on</w:t>
      </w:r>
      <w:r w:rsidRPr="00FE50A6">
        <w:rPr>
          <w:rFonts w:cs="Arial"/>
          <w:sz w:val="16"/>
          <w:szCs w:val="20"/>
          <w:lang w:val="en-US"/>
        </w:rPr>
        <w:t xml:space="preserve">, my children became ill, it was really bad. I needed to buy two bottles of medicine and [they charged] me Cz$3,000,00. When I left the hacienda, I went to pay the bill and I owed Cz$21,500 and had to sell a hammock, a blanket, two machetes, two pots, plates, two spoons and I still owed </w:t>
      </w:r>
      <w:r w:rsidR="0003391C" w:rsidRPr="00FE50A6">
        <w:rPr>
          <w:rFonts w:cs="Arial"/>
          <w:sz w:val="16"/>
          <w:szCs w:val="20"/>
          <w:lang w:val="en-US"/>
        </w:rPr>
        <w:t>Cz$16</w:t>
      </w:r>
      <w:r w:rsidRPr="00FE50A6">
        <w:rPr>
          <w:rFonts w:cs="Arial"/>
          <w:sz w:val="16"/>
          <w:szCs w:val="20"/>
          <w:lang w:val="en-US"/>
        </w:rPr>
        <w:t>,</w:t>
      </w:r>
      <w:r w:rsidR="0003391C" w:rsidRPr="00FE50A6">
        <w:rPr>
          <w:rFonts w:cs="Arial"/>
          <w:sz w:val="16"/>
          <w:szCs w:val="20"/>
          <w:lang w:val="en-US"/>
        </w:rPr>
        <w:t>800</w:t>
      </w:r>
      <w:r w:rsidR="00030C17" w:rsidRPr="00FE50A6">
        <w:rPr>
          <w:rFonts w:cs="Arial"/>
          <w:sz w:val="16"/>
          <w:szCs w:val="20"/>
          <w:lang w:val="en-US"/>
        </w:rPr>
        <w:t xml:space="preserve"> and</w:t>
      </w:r>
      <w:r w:rsidR="00547274" w:rsidRPr="00FE50A6">
        <w:rPr>
          <w:rFonts w:cs="Arial"/>
          <w:sz w:val="16"/>
          <w:szCs w:val="20"/>
          <w:lang w:val="en-US"/>
        </w:rPr>
        <w:t xml:space="preserve"> I</w:t>
      </w:r>
      <w:r w:rsidR="00030C17" w:rsidRPr="00FE50A6">
        <w:rPr>
          <w:rFonts w:cs="Arial"/>
          <w:sz w:val="16"/>
          <w:szCs w:val="20"/>
          <w:lang w:val="en-US"/>
        </w:rPr>
        <w:t xml:space="preserve"> </w:t>
      </w:r>
      <w:r w:rsidRPr="00FE50A6">
        <w:rPr>
          <w:rFonts w:cs="Arial"/>
          <w:sz w:val="16"/>
          <w:szCs w:val="20"/>
          <w:lang w:val="en-US"/>
        </w:rPr>
        <w:t>left owing this.</w:t>
      </w:r>
    </w:p>
    <w:p w14:paraId="24D3AA39" w14:textId="77777777" w:rsidR="0003391C" w:rsidRPr="00FE50A6" w:rsidRDefault="0003391C" w:rsidP="00140440">
      <w:pPr>
        <w:autoSpaceDE w:val="0"/>
        <w:autoSpaceDN w:val="0"/>
        <w:adjustRightInd w:val="0"/>
        <w:ind w:left="720" w:right="720"/>
        <w:jc w:val="both"/>
        <w:rPr>
          <w:rFonts w:cs="Arial"/>
          <w:sz w:val="16"/>
          <w:szCs w:val="20"/>
          <w:lang w:val="en-US"/>
        </w:rPr>
      </w:pPr>
    </w:p>
    <w:p w14:paraId="6736220C"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Dur</w:t>
      </w:r>
      <w:r w:rsidR="008B0077" w:rsidRPr="00FE50A6">
        <w:rPr>
          <w:rFonts w:cs="Arial"/>
          <w:sz w:val="16"/>
          <w:szCs w:val="20"/>
          <w:lang w:val="en-US"/>
        </w:rPr>
        <w:t>ing all this time, I was not paid any money.</w:t>
      </w:r>
    </w:p>
    <w:p w14:paraId="22C5224B" w14:textId="77777777" w:rsidR="0003391C" w:rsidRPr="00FE50A6" w:rsidRDefault="0003391C" w:rsidP="00140440">
      <w:pPr>
        <w:autoSpaceDE w:val="0"/>
        <w:autoSpaceDN w:val="0"/>
        <w:adjustRightInd w:val="0"/>
        <w:ind w:left="720" w:right="720"/>
        <w:jc w:val="both"/>
        <w:rPr>
          <w:rFonts w:cs="Arial"/>
          <w:sz w:val="16"/>
          <w:szCs w:val="20"/>
          <w:lang w:val="en-US"/>
        </w:rPr>
      </w:pPr>
    </w:p>
    <w:p w14:paraId="7FC15B5A"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B634D2" w:rsidRPr="00FE50A6">
        <w:rPr>
          <w:rFonts w:cs="Arial"/>
          <w:sz w:val="16"/>
          <w:szCs w:val="20"/>
          <w:lang w:val="en-US"/>
        </w:rPr>
        <w:t xml:space="preserve"> </w:t>
      </w:r>
      <w:r w:rsidR="008B0077" w:rsidRPr="00FE50A6">
        <w:rPr>
          <w:rFonts w:cs="Arial"/>
          <w:sz w:val="16"/>
          <w:szCs w:val="20"/>
          <w:lang w:val="en-US"/>
        </w:rPr>
        <w:t xml:space="preserve">When I wanted to leave, he did not </w:t>
      </w:r>
      <w:r w:rsidR="00631C18" w:rsidRPr="00FE50A6">
        <w:rPr>
          <w:rFonts w:cs="Arial"/>
          <w:sz w:val="16"/>
          <w:szCs w:val="20"/>
          <w:lang w:val="en-US"/>
        </w:rPr>
        <w:t>place</w:t>
      </w:r>
      <w:r w:rsidR="006836B8" w:rsidRPr="00FE50A6">
        <w:rPr>
          <w:rFonts w:cs="Arial"/>
          <w:sz w:val="16"/>
          <w:szCs w:val="20"/>
          <w:lang w:val="en-US"/>
        </w:rPr>
        <w:t xml:space="preserve"> any conditions; I spent the whole mornin</w:t>
      </w:r>
      <w:r w:rsidR="00631C18" w:rsidRPr="00FE50A6">
        <w:rPr>
          <w:rFonts w:cs="Arial"/>
          <w:sz w:val="16"/>
          <w:szCs w:val="20"/>
          <w:lang w:val="en-US"/>
        </w:rPr>
        <w:t>g</w:t>
      </w:r>
      <w:r w:rsidR="006836B8" w:rsidRPr="00FE50A6">
        <w:rPr>
          <w:rFonts w:cs="Arial"/>
          <w:sz w:val="16"/>
          <w:szCs w:val="20"/>
          <w:lang w:val="en-US"/>
        </w:rPr>
        <w:t xml:space="preserve"> in the rain, because the manager, Nelson, left us by the roadside in the rain, with [my] wife and children ill. </w:t>
      </w:r>
    </w:p>
    <w:p w14:paraId="37DA902B" w14:textId="77777777" w:rsidR="0003391C" w:rsidRPr="00FE50A6" w:rsidRDefault="0003391C" w:rsidP="00140440">
      <w:pPr>
        <w:autoSpaceDE w:val="0"/>
        <w:autoSpaceDN w:val="0"/>
        <w:adjustRightInd w:val="0"/>
        <w:ind w:left="720" w:right="720"/>
        <w:jc w:val="both"/>
        <w:rPr>
          <w:rFonts w:cs="Arial"/>
          <w:sz w:val="16"/>
          <w:szCs w:val="20"/>
          <w:lang w:val="en-US"/>
        </w:rPr>
      </w:pPr>
    </w:p>
    <w:p w14:paraId="56D9A0DB" w14:textId="77777777" w:rsidR="0003391C" w:rsidRPr="00FE50A6" w:rsidRDefault="006836B8" w:rsidP="00140440">
      <w:pPr>
        <w:autoSpaceDE w:val="0"/>
        <w:autoSpaceDN w:val="0"/>
        <w:adjustRightInd w:val="0"/>
        <w:ind w:left="720" w:right="720"/>
        <w:jc w:val="both"/>
        <w:rPr>
          <w:rFonts w:cs="Times New Roman"/>
          <w:sz w:val="16"/>
          <w:szCs w:val="20"/>
          <w:lang w:val="en-US"/>
        </w:rPr>
      </w:pPr>
      <w:r w:rsidRPr="00FE50A6">
        <w:rPr>
          <w:rFonts w:cs="Arial"/>
          <w:sz w:val="16"/>
          <w:szCs w:val="20"/>
          <w:lang w:val="en-US"/>
        </w:rPr>
        <w:t xml:space="preserve">In the hacienda we were very hungry, and the workers lived in very degrading conditions. I often saw him promising to shoot the workers. And the situation continues; the workers want to leave peacefully; they need to </w:t>
      </w:r>
      <w:r w:rsidR="00547274" w:rsidRPr="00FE50A6">
        <w:rPr>
          <w:rFonts w:cs="Arial"/>
          <w:sz w:val="16"/>
          <w:szCs w:val="20"/>
          <w:lang w:val="en-US"/>
        </w:rPr>
        <w:t>go</w:t>
      </w:r>
      <w:r w:rsidRPr="00FE50A6">
        <w:rPr>
          <w:rFonts w:cs="Arial"/>
          <w:sz w:val="16"/>
          <w:szCs w:val="20"/>
          <w:lang w:val="en-US"/>
        </w:rPr>
        <w:t>. Recently seven of them escaped, but without money.</w:t>
      </w:r>
      <w:r w:rsidR="0003391C" w:rsidRPr="00FE50A6">
        <w:rPr>
          <w:rStyle w:val="Refdenotaalpie"/>
          <w:rFonts w:cs="Arial"/>
          <w:sz w:val="16"/>
          <w:lang w:val="en-US"/>
        </w:rPr>
        <w:footnoteReference w:id="109"/>
      </w:r>
    </w:p>
    <w:p w14:paraId="75FCC639" w14:textId="77777777" w:rsidR="0003391C" w:rsidRPr="00FE50A6" w:rsidRDefault="0003391C" w:rsidP="00140440">
      <w:pPr>
        <w:autoSpaceDE w:val="0"/>
        <w:autoSpaceDN w:val="0"/>
        <w:adjustRightInd w:val="0"/>
        <w:jc w:val="both"/>
        <w:rPr>
          <w:rFonts w:cs="Arial"/>
          <w:szCs w:val="20"/>
          <w:lang w:val="en-US"/>
        </w:rPr>
      </w:pPr>
    </w:p>
    <w:p w14:paraId="7D4D82A6" w14:textId="77777777" w:rsidR="0003391C" w:rsidRPr="00FE50A6" w:rsidRDefault="006836B8"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December 27,</w:t>
      </w:r>
      <w:r w:rsidR="0003391C" w:rsidRPr="00FE50A6">
        <w:rPr>
          <w:rFonts w:cs="Arial"/>
          <w:szCs w:val="20"/>
          <w:lang w:val="en-US"/>
        </w:rPr>
        <w:t xml:space="preserve"> 1988</w:t>
      </w:r>
      <w:r w:rsidRPr="00FE50A6">
        <w:rPr>
          <w:rFonts w:cs="Arial"/>
          <w:szCs w:val="20"/>
          <w:lang w:val="en-US"/>
        </w:rPr>
        <w:t xml:space="preserve">, </w:t>
      </w:r>
      <w:r w:rsidR="0003391C" w:rsidRPr="00FE50A6">
        <w:rPr>
          <w:rFonts w:cs="Arial"/>
          <w:szCs w:val="20"/>
          <w:lang w:val="en-US"/>
        </w:rPr>
        <w:t>Maria Madalena Vindoura dos Santos</w:t>
      </w:r>
      <w:r w:rsidRPr="00FE50A6">
        <w:rPr>
          <w:rFonts w:cs="Arial"/>
          <w:szCs w:val="20"/>
          <w:lang w:val="en-US"/>
        </w:rPr>
        <w:t>, a</w:t>
      </w:r>
      <w:r w:rsidR="0003391C" w:rsidRPr="00FE50A6">
        <w:rPr>
          <w:rFonts w:cs="Arial"/>
          <w:szCs w:val="20"/>
          <w:lang w:val="en-US"/>
        </w:rPr>
        <w:t xml:space="preserve"> resident</w:t>
      </w:r>
      <w:r w:rsidRPr="00FE50A6">
        <w:rPr>
          <w:rFonts w:cs="Arial"/>
          <w:szCs w:val="20"/>
          <w:lang w:val="en-US"/>
        </w:rPr>
        <w:t xml:space="preserve"> of</w:t>
      </w:r>
      <w:r w:rsidR="0003391C" w:rsidRPr="00FE50A6">
        <w:rPr>
          <w:rFonts w:cs="Arial"/>
          <w:szCs w:val="20"/>
          <w:lang w:val="en-US"/>
        </w:rPr>
        <w:t xml:space="preserve"> Arapoema, </w:t>
      </w:r>
      <w:r w:rsidRPr="00FE50A6">
        <w:rPr>
          <w:rFonts w:cs="Arial"/>
          <w:szCs w:val="20"/>
          <w:lang w:val="en-US"/>
        </w:rPr>
        <w:t>reported a similar situation involvin</w:t>
      </w:r>
      <w:r w:rsidR="002225B4" w:rsidRPr="00FE50A6">
        <w:rPr>
          <w:rFonts w:cs="Arial"/>
          <w:szCs w:val="20"/>
          <w:lang w:val="en-US"/>
        </w:rPr>
        <w:t>g</w:t>
      </w:r>
      <w:r w:rsidRPr="00FE50A6">
        <w:rPr>
          <w:rFonts w:cs="Arial"/>
          <w:szCs w:val="20"/>
          <w:lang w:val="en-US"/>
        </w:rPr>
        <w:t xml:space="preserve"> her husband, </w:t>
      </w:r>
      <w:r w:rsidR="0003391C" w:rsidRPr="00FE50A6">
        <w:rPr>
          <w:rFonts w:cs="Arial"/>
          <w:szCs w:val="20"/>
          <w:lang w:val="en-US"/>
        </w:rPr>
        <w:t>José Soriano da Costa</w:t>
      </w:r>
      <w:r w:rsidRPr="00FE50A6">
        <w:rPr>
          <w:rFonts w:cs="Arial"/>
          <w:szCs w:val="20"/>
          <w:lang w:val="en-US"/>
        </w:rPr>
        <w:t>.</w:t>
      </w:r>
      <w:r w:rsidR="0003391C" w:rsidRPr="00FE50A6">
        <w:rPr>
          <w:rStyle w:val="Refdenotaalpie"/>
          <w:rFonts w:cs="Arial"/>
          <w:lang w:val="en-US"/>
        </w:rPr>
        <w:footnoteReference w:id="110"/>
      </w:r>
      <w:r w:rsidR="0003391C" w:rsidRPr="00FE50A6">
        <w:rPr>
          <w:rFonts w:cs="Arial"/>
          <w:szCs w:val="20"/>
          <w:lang w:val="en-US"/>
        </w:rPr>
        <w:t xml:space="preserve"> </w:t>
      </w:r>
    </w:p>
    <w:p w14:paraId="219A0395"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2C88268C" w14:textId="77777777" w:rsidR="0003391C" w:rsidRPr="00FE50A6" w:rsidRDefault="006836B8"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January 25,</w:t>
      </w:r>
      <w:r w:rsidR="0003391C" w:rsidRPr="00FE50A6">
        <w:rPr>
          <w:rFonts w:cs="Arial"/>
          <w:szCs w:val="20"/>
          <w:lang w:val="en-US"/>
        </w:rPr>
        <w:t xml:space="preserve"> 1989</w:t>
      </w:r>
      <w:r w:rsidRPr="00FE50A6">
        <w:rPr>
          <w:rFonts w:cs="Arial"/>
          <w:szCs w:val="20"/>
          <w:lang w:val="en-US"/>
        </w:rPr>
        <w:t>,</w:t>
      </w:r>
      <w:r w:rsidR="0003391C" w:rsidRPr="00FE50A6">
        <w:rPr>
          <w:rFonts w:cs="Arial"/>
          <w:szCs w:val="20"/>
          <w:lang w:val="en-US"/>
        </w:rPr>
        <w:t xml:space="preserve"> </w:t>
      </w:r>
      <w:r w:rsidR="000228D0" w:rsidRPr="00FE50A6">
        <w:rPr>
          <w:rFonts w:cs="Arial"/>
          <w:szCs w:val="20"/>
          <w:lang w:val="en-US"/>
        </w:rPr>
        <w:t xml:space="preserve">the </w:t>
      </w:r>
      <w:r w:rsidR="00C61525" w:rsidRPr="00FE50A6">
        <w:rPr>
          <w:rFonts w:cs="Arial"/>
          <w:i/>
          <w:szCs w:val="20"/>
          <w:lang w:val="en-US"/>
        </w:rPr>
        <w:t xml:space="preserve">Comissão Pastoral da </w:t>
      </w:r>
      <w:proofErr w:type="gramStart"/>
      <w:r w:rsidR="00C61525" w:rsidRPr="00FE50A6">
        <w:rPr>
          <w:rFonts w:cs="Arial"/>
          <w:i/>
          <w:szCs w:val="20"/>
          <w:lang w:val="en-US"/>
        </w:rPr>
        <w:t xml:space="preserve">Terra </w:t>
      </w:r>
      <w:r w:rsidR="00547274" w:rsidRPr="00FE50A6">
        <w:rPr>
          <w:rFonts w:cs="Arial"/>
          <w:szCs w:val="20"/>
          <w:lang w:val="en-US"/>
        </w:rPr>
        <w:t xml:space="preserve"> </w:t>
      </w:r>
      <w:r w:rsidRPr="00FE50A6">
        <w:rPr>
          <w:rFonts w:cs="Arial"/>
          <w:szCs w:val="20"/>
          <w:lang w:val="en-US"/>
        </w:rPr>
        <w:t>sent</w:t>
      </w:r>
      <w:proofErr w:type="gramEnd"/>
      <w:r w:rsidRPr="00FE50A6">
        <w:rPr>
          <w:rFonts w:cs="Arial"/>
          <w:szCs w:val="20"/>
          <w:lang w:val="en-US"/>
        </w:rPr>
        <w:t xml:space="preserve"> a letter to the Office of the Ombudsman</w:t>
      </w:r>
      <w:r w:rsidR="00E368FD" w:rsidRPr="00FE50A6">
        <w:rPr>
          <w:rFonts w:cs="Arial"/>
          <w:szCs w:val="20"/>
          <w:lang w:val="en-US"/>
        </w:rPr>
        <w:t xml:space="preserve"> </w:t>
      </w:r>
      <w:r w:rsidRPr="00FE50A6">
        <w:rPr>
          <w:rFonts w:cs="Arial"/>
          <w:szCs w:val="20"/>
          <w:lang w:val="en-US"/>
        </w:rPr>
        <w:t xml:space="preserve">in </w:t>
      </w:r>
      <w:r w:rsidR="00D84065" w:rsidRPr="00FE50A6">
        <w:rPr>
          <w:rFonts w:cs="Arial"/>
          <w:szCs w:val="20"/>
          <w:lang w:val="en-US"/>
        </w:rPr>
        <w:t>Brasilia</w:t>
      </w:r>
      <w:r w:rsidRPr="00FE50A6">
        <w:rPr>
          <w:rFonts w:cs="Arial"/>
          <w:szCs w:val="20"/>
          <w:lang w:val="en-US"/>
        </w:rPr>
        <w:t xml:space="preserve">, forwarding reports of slave labor in </w:t>
      </w:r>
      <w:r w:rsidR="0003391C" w:rsidRPr="00FE50A6">
        <w:rPr>
          <w:rFonts w:cs="Arial"/>
          <w:szCs w:val="20"/>
          <w:lang w:val="en-US"/>
        </w:rPr>
        <w:t xml:space="preserve">Haciendas </w:t>
      </w:r>
      <w:r w:rsidR="00322241" w:rsidRPr="00FE50A6">
        <w:rPr>
          <w:rFonts w:cs="Arial"/>
          <w:szCs w:val="20"/>
          <w:lang w:val="en-US"/>
        </w:rPr>
        <w:t>Brasil Verde</w:t>
      </w:r>
      <w:r w:rsidR="00030C17" w:rsidRPr="00FE50A6">
        <w:rPr>
          <w:rFonts w:cs="Arial"/>
          <w:szCs w:val="20"/>
          <w:lang w:val="en-US"/>
        </w:rPr>
        <w:t xml:space="preserve"> and </w:t>
      </w:r>
      <w:r w:rsidR="0003391C" w:rsidRPr="00FE50A6">
        <w:rPr>
          <w:rFonts w:cs="Arial"/>
          <w:szCs w:val="20"/>
          <w:lang w:val="en-US"/>
        </w:rPr>
        <w:t xml:space="preserve">Belauto. </w:t>
      </w:r>
      <w:r w:rsidRPr="00FE50A6">
        <w:rPr>
          <w:rFonts w:cs="Arial"/>
          <w:szCs w:val="20"/>
          <w:lang w:val="en-US"/>
        </w:rPr>
        <w:t>The</w:t>
      </w:r>
      <w:r w:rsidR="0003391C" w:rsidRPr="00FE50A6">
        <w:rPr>
          <w:rFonts w:cs="Arial"/>
          <w:szCs w:val="20"/>
          <w:lang w:val="en-US"/>
        </w:rPr>
        <w:t xml:space="preserve"> </w:t>
      </w:r>
      <w:r w:rsidR="00C61525" w:rsidRPr="00FE50A6">
        <w:rPr>
          <w:rFonts w:cs="Arial"/>
          <w:i/>
          <w:szCs w:val="20"/>
          <w:lang w:val="en-US"/>
        </w:rPr>
        <w:t>Comissão</w:t>
      </w:r>
      <w:r w:rsidR="0003391C" w:rsidRPr="00FE50A6">
        <w:rPr>
          <w:rFonts w:cs="Arial"/>
          <w:szCs w:val="20"/>
          <w:lang w:val="en-US"/>
        </w:rPr>
        <w:t xml:space="preserve"> </w:t>
      </w:r>
      <w:r w:rsidRPr="00FE50A6">
        <w:rPr>
          <w:rFonts w:cs="Arial"/>
          <w:szCs w:val="20"/>
          <w:lang w:val="en-US"/>
        </w:rPr>
        <w:t xml:space="preserve">indicated that </w:t>
      </w:r>
      <w:r w:rsidR="002225B4" w:rsidRPr="00FE50A6">
        <w:rPr>
          <w:rFonts w:cs="Arial"/>
          <w:szCs w:val="20"/>
          <w:lang w:val="en-US"/>
        </w:rPr>
        <w:t xml:space="preserve">it had already filed a </w:t>
      </w:r>
      <w:r w:rsidR="00E6005A" w:rsidRPr="00FE50A6">
        <w:rPr>
          <w:rFonts w:cs="Arial"/>
          <w:szCs w:val="20"/>
          <w:lang w:val="en-US"/>
        </w:rPr>
        <w:t>report</w:t>
      </w:r>
      <w:r w:rsidR="002225B4" w:rsidRPr="00FE50A6">
        <w:rPr>
          <w:rFonts w:cs="Arial"/>
          <w:szCs w:val="20"/>
          <w:lang w:val="en-US"/>
        </w:rPr>
        <w:t xml:space="preserve"> </w:t>
      </w:r>
      <w:r w:rsidR="008F42A8" w:rsidRPr="00FE50A6">
        <w:rPr>
          <w:rFonts w:cs="Arial"/>
          <w:szCs w:val="20"/>
          <w:lang w:val="en-US"/>
        </w:rPr>
        <w:t>concerning</w:t>
      </w:r>
      <w:r w:rsidR="002225B4" w:rsidRPr="00FE50A6">
        <w:rPr>
          <w:rFonts w:cs="Arial"/>
          <w:szCs w:val="20"/>
          <w:lang w:val="en-US"/>
        </w:rPr>
        <w:t xml:space="preserve"> </w:t>
      </w:r>
      <w:r w:rsidR="0003391C" w:rsidRPr="00FE50A6">
        <w:rPr>
          <w:rFonts w:cs="Arial"/>
          <w:szCs w:val="20"/>
          <w:lang w:val="en-US"/>
        </w:rPr>
        <w:t xml:space="preserve">Hacienda </w:t>
      </w:r>
      <w:r w:rsidR="00322241" w:rsidRPr="00FE50A6">
        <w:rPr>
          <w:rFonts w:cs="Arial"/>
          <w:iCs/>
          <w:szCs w:val="20"/>
          <w:lang w:val="en-US"/>
        </w:rPr>
        <w:t>Brasil Verde</w:t>
      </w:r>
      <w:r w:rsidR="0003391C" w:rsidRPr="00FE50A6">
        <w:rPr>
          <w:rFonts w:cs="Arial"/>
          <w:i/>
          <w:iCs/>
          <w:szCs w:val="20"/>
          <w:lang w:val="en-US"/>
        </w:rPr>
        <w:t xml:space="preserve"> </w:t>
      </w:r>
      <w:r w:rsidR="002225B4" w:rsidRPr="00FE50A6">
        <w:rPr>
          <w:rFonts w:cs="Arial"/>
          <w:szCs w:val="20"/>
          <w:lang w:val="en-US"/>
        </w:rPr>
        <w:t>on</w:t>
      </w:r>
      <w:r w:rsidR="0003391C" w:rsidRPr="00FE50A6">
        <w:rPr>
          <w:rFonts w:cs="Arial"/>
          <w:szCs w:val="20"/>
          <w:lang w:val="en-US"/>
        </w:rPr>
        <w:t xml:space="preserve"> </w:t>
      </w:r>
      <w:r w:rsidR="0084006F" w:rsidRPr="00FE50A6">
        <w:rPr>
          <w:rFonts w:cs="Arial"/>
          <w:szCs w:val="20"/>
          <w:lang w:val="en-US"/>
        </w:rPr>
        <w:t>December 21,</w:t>
      </w:r>
      <w:r w:rsidR="0003391C" w:rsidRPr="00FE50A6">
        <w:rPr>
          <w:rFonts w:cs="Arial"/>
          <w:szCs w:val="20"/>
          <w:lang w:val="en-US"/>
        </w:rPr>
        <w:t xml:space="preserve"> 1988,</w:t>
      </w:r>
      <w:r w:rsidR="00030C17" w:rsidRPr="00FE50A6">
        <w:rPr>
          <w:rFonts w:cs="Arial"/>
          <w:szCs w:val="20"/>
          <w:lang w:val="en-US"/>
        </w:rPr>
        <w:t xml:space="preserve"> and </w:t>
      </w:r>
      <w:r w:rsidR="002225B4" w:rsidRPr="00FE50A6">
        <w:rPr>
          <w:rFonts w:cs="Arial"/>
          <w:szCs w:val="20"/>
          <w:lang w:val="en-US"/>
        </w:rPr>
        <w:t>suggested that the need to inspect the two hacienda</w:t>
      </w:r>
      <w:r w:rsidR="00631C18" w:rsidRPr="00FE50A6">
        <w:rPr>
          <w:rFonts w:cs="Arial"/>
          <w:szCs w:val="20"/>
          <w:lang w:val="en-US"/>
        </w:rPr>
        <w:t xml:space="preserve">s had </w:t>
      </w:r>
      <w:r w:rsidR="002225B4" w:rsidRPr="00FE50A6">
        <w:rPr>
          <w:rFonts w:cs="Arial"/>
          <w:szCs w:val="20"/>
          <w:lang w:val="en-US"/>
        </w:rPr>
        <w:t xml:space="preserve">increased, because it was not the first time they were reported for practicing </w:t>
      </w:r>
      <w:r w:rsidR="005F1946" w:rsidRPr="00FE50A6">
        <w:rPr>
          <w:rFonts w:cs="Arial"/>
          <w:szCs w:val="20"/>
          <w:lang w:val="en-US"/>
        </w:rPr>
        <w:t>slave labor</w:t>
      </w:r>
      <w:r w:rsidR="002225B4" w:rsidRPr="00FE50A6">
        <w:rPr>
          <w:rFonts w:cs="Arial"/>
          <w:szCs w:val="20"/>
          <w:lang w:val="en-US"/>
        </w:rPr>
        <w:t>.</w:t>
      </w:r>
      <w:r w:rsidR="0003391C" w:rsidRPr="00FE50A6">
        <w:rPr>
          <w:rStyle w:val="Refdenotaalpie"/>
          <w:rFonts w:cs="Arial"/>
          <w:bCs/>
          <w:lang w:val="en-US"/>
        </w:rPr>
        <w:footnoteReference w:id="111"/>
      </w:r>
    </w:p>
    <w:p w14:paraId="7E3BA445"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5119DBFC" w14:textId="77777777" w:rsidR="0003391C" w:rsidRPr="00FE50A6" w:rsidRDefault="002225B4" w:rsidP="008622F3">
      <w:pPr>
        <w:pStyle w:val="Ttulo3"/>
        <w:rPr>
          <w:lang w:val="es-CR"/>
        </w:rPr>
      </w:pPr>
      <w:bookmarkStart w:id="217" w:name="_Toc460433006"/>
      <w:bookmarkStart w:id="218" w:name="_Toc460441937"/>
      <w:bookmarkStart w:id="219" w:name="_Toc462750755"/>
      <w:bookmarkStart w:id="220" w:name="_Toc462751079"/>
      <w:bookmarkStart w:id="221" w:name="_Toc464813931"/>
      <w:r w:rsidRPr="00FE50A6">
        <w:rPr>
          <w:b w:val="0"/>
          <w:lang w:val="es-CR"/>
        </w:rPr>
        <w:t xml:space="preserve">The </w:t>
      </w:r>
      <w:r w:rsidR="008F42A8" w:rsidRPr="00FE50A6">
        <w:rPr>
          <w:b w:val="0"/>
          <w:lang w:val="es-CR"/>
        </w:rPr>
        <w:t xml:space="preserve">1989 </w:t>
      </w:r>
      <w:r w:rsidRPr="00FE50A6">
        <w:rPr>
          <w:b w:val="0"/>
          <w:lang w:val="es-CR"/>
        </w:rPr>
        <w:t>visit to</w:t>
      </w:r>
      <w:r w:rsidR="0003391C" w:rsidRPr="00FE50A6">
        <w:rPr>
          <w:b w:val="0"/>
          <w:lang w:val="es-CR"/>
        </w:rPr>
        <w:t xml:space="preserve"> Hacienda </w:t>
      </w:r>
      <w:r w:rsidR="00322241" w:rsidRPr="00FE50A6">
        <w:rPr>
          <w:b w:val="0"/>
          <w:lang w:val="es-CR"/>
        </w:rPr>
        <w:t>Brasil Verde</w:t>
      </w:r>
      <w:bookmarkEnd w:id="217"/>
      <w:bookmarkEnd w:id="218"/>
      <w:bookmarkEnd w:id="219"/>
      <w:bookmarkEnd w:id="220"/>
      <w:bookmarkEnd w:id="221"/>
    </w:p>
    <w:p w14:paraId="68192232" w14:textId="77777777" w:rsidR="0003391C" w:rsidRPr="00FE50A6" w:rsidRDefault="0003391C" w:rsidP="00140440">
      <w:pPr>
        <w:pStyle w:val="Prrafodelista"/>
        <w:contextualSpacing w:val="0"/>
        <w:rPr>
          <w:rFonts w:cs="Arial"/>
          <w:szCs w:val="20"/>
        </w:rPr>
      </w:pPr>
    </w:p>
    <w:p w14:paraId="2741B53A" w14:textId="77777777" w:rsidR="0003391C" w:rsidRPr="00FE50A6" w:rsidRDefault="002225B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w:t>
      </w:r>
      <w:r w:rsidR="0003391C" w:rsidRPr="00FE50A6">
        <w:rPr>
          <w:rFonts w:cs="Arial"/>
          <w:szCs w:val="20"/>
          <w:lang w:val="en-US"/>
        </w:rPr>
        <w:t xml:space="preserve"> </w:t>
      </w:r>
      <w:r w:rsidRPr="00FE50A6">
        <w:rPr>
          <w:rFonts w:cs="Arial"/>
          <w:szCs w:val="20"/>
          <w:lang w:val="en-US"/>
        </w:rPr>
        <w:t>February 20,</w:t>
      </w:r>
      <w:r w:rsidR="0003391C" w:rsidRPr="00FE50A6">
        <w:rPr>
          <w:rFonts w:cs="Arial"/>
          <w:szCs w:val="20"/>
          <w:lang w:val="en-US"/>
        </w:rPr>
        <w:t xml:space="preserve"> 1989</w:t>
      </w:r>
      <w:r w:rsidRPr="00FE50A6">
        <w:rPr>
          <w:rFonts w:cs="Arial"/>
          <w:szCs w:val="20"/>
          <w:lang w:val="en-US"/>
        </w:rPr>
        <w:t>, the</w:t>
      </w:r>
      <w:r w:rsidR="0003391C" w:rsidRPr="00FE50A6">
        <w:rPr>
          <w:rFonts w:cs="Arial"/>
          <w:szCs w:val="20"/>
          <w:lang w:val="en-US"/>
        </w:rPr>
        <w:t xml:space="preserve"> </w:t>
      </w:r>
      <w:r w:rsidR="008B0077" w:rsidRPr="00FE50A6">
        <w:rPr>
          <w:rFonts w:cs="Arial"/>
          <w:szCs w:val="20"/>
          <w:lang w:val="en-US"/>
        </w:rPr>
        <w:t>Federal Police</w:t>
      </w:r>
      <w:r w:rsidR="0003391C" w:rsidRPr="00FE50A6">
        <w:rPr>
          <w:rFonts w:cs="Arial"/>
          <w:szCs w:val="20"/>
          <w:lang w:val="en-US"/>
        </w:rPr>
        <w:t xml:space="preserve"> </w:t>
      </w:r>
      <w:r w:rsidRPr="00FE50A6">
        <w:rPr>
          <w:rFonts w:cs="Arial"/>
          <w:szCs w:val="20"/>
          <w:lang w:val="en-US"/>
        </w:rPr>
        <w:t>visited</w:t>
      </w:r>
      <w:r w:rsidR="0003391C" w:rsidRPr="00FE50A6">
        <w:rPr>
          <w:rFonts w:cs="Arial"/>
          <w:szCs w:val="20"/>
          <w:lang w:val="en-US"/>
        </w:rPr>
        <w:t xml:space="preserve"> Hacienda </w:t>
      </w:r>
      <w:r w:rsidR="00322241" w:rsidRPr="00FE50A6">
        <w:rPr>
          <w:rFonts w:cs="Arial"/>
          <w:szCs w:val="20"/>
          <w:lang w:val="en-US"/>
        </w:rPr>
        <w:t>Brasil Verde</w:t>
      </w:r>
      <w:r w:rsidRPr="00FE50A6">
        <w:rPr>
          <w:rFonts w:cs="Arial"/>
          <w:szCs w:val="20"/>
          <w:lang w:val="en-US"/>
        </w:rPr>
        <w:t>.</w:t>
      </w:r>
      <w:r w:rsidR="0003391C" w:rsidRPr="00FE50A6">
        <w:rPr>
          <w:rStyle w:val="Refdenotaalpie"/>
          <w:rFonts w:cs="Arial"/>
          <w:lang w:val="en-US"/>
        </w:rPr>
        <w:footnoteReference w:id="112"/>
      </w:r>
      <w:r w:rsidRPr="00FE50A6">
        <w:rPr>
          <w:rFonts w:cs="Arial"/>
          <w:szCs w:val="20"/>
          <w:lang w:val="en-US"/>
        </w:rPr>
        <w:t xml:space="preserve"> </w:t>
      </w:r>
      <w:r w:rsidR="008F42A8" w:rsidRPr="00FE50A6">
        <w:rPr>
          <w:rFonts w:cs="Arial"/>
          <w:szCs w:val="20"/>
          <w:lang w:val="en-US"/>
        </w:rPr>
        <w:t>T</w:t>
      </w:r>
      <w:r w:rsidRPr="00FE50A6">
        <w:rPr>
          <w:rFonts w:cs="Arial"/>
          <w:szCs w:val="20"/>
          <w:lang w:val="en-US"/>
        </w:rPr>
        <w:t>he February 24 report on the visit indicated that: (i) the recruitment of workers for the hacienda was cons</w:t>
      </w:r>
      <w:r w:rsidR="00631C18" w:rsidRPr="00FE50A6">
        <w:rPr>
          <w:rFonts w:cs="Arial"/>
          <w:szCs w:val="20"/>
          <w:lang w:val="en-US"/>
        </w:rPr>
        <w:t>istently</w:t>
      </w:r>
      <w:r w:rsidRPr="00FE50A6">
        <w:rPr>
          <w:rFonts w:cs="Arial"/>
          <w:szCs w:val="20"/>
          <w:lang w:val="en-US"/>
        </w:rPr>
        <w:t xml:space="preserve"> carried out by </w:t>
      </w:r>
      <w:r w:rsidR="0003391C" w:rsidRPr="00FE50A6">
        <w:rPr>
          <w:rFonts w:cs="Arial"/>
          <w:i/>
          <w:szCs w:val="20"/>
          <w:lang w:val="en-US"/>
        </w:rPr>
        <w:t>gatos</w:t>
      </w:r>
      <w:r w:rsidR="0003391C" w:rsidRPr="00FE50A6">
        <w:rPr>
          <w:rFonts w:cs="Arial"/>
          <w:szCs w:val="20"/>
          <w:lang w:val="en-US"/>
        </w:rPr>
        <w:t xml:space="preserve">; </w:t>
      </w:r>
      <w:r w:rsidRPr="00FE50A6">
        <w:rPr>
          <w:rFonts w:cs="Arial"/>
          <w:szCs w:val="20"/>
          <w:lang w:val="en-US"/>
        </w:rPr>
        <w:t>(</w:t>
      </w:r>
      <w:r w:rsidR="0003391C" w:rsidRPr="00FE50A6">
        <w:rPr>
          <w:rFonts w:cs="Arial"/>
          <w:szCs w:val="20"/>
          <w:lang w:val="en-US"/>
        </w:rPr>
        <w:t>ii)</w:t>
      </w:r>
      <w:r w:rsidRPr="00FE50A6">
        <w:rPr>
          <w:rFonts w:cs="Arial"/>
          <w:szCs w:val="20"/>
          <w:lang w:val="en-US"/>
        </w:rPr>
        <w:t xml:space="preserve"> four</w:t>
      </w:r>
      <w:r w:rsidR="0003391C" w:rsidRPr="00FE50A6">
        <w:rPr>
          <w:rFonts w:cs="Arial"/>
          <w:szCs w:val="20"/>
          <w:lang w:val="en-US"/>
        </w:rPr>
        <w:t xml:space="preserve"> </w:t>
      </w:r>
      <w:r w:rsidR="0003391C" w:rsidRPr="00FE50A6">
        <w:rPr>
          <w:rFonts w:cs="Arial"/>
          <w:i/>
          <w:szCs w:val="20"/>
          <w:lang w:val="en-US"/>
        </w:rPr>
        <w:t>gatos</w:t>
      </w:r>
      <w:r w:rsidR="0003391C" w:rsidRPr="00FE50A6">
        <w:rPr>
          <w:rFonts w:cs="Arial"/>
          <w:szCs w:val="20"/>
          <w:lang w:val="en-US"/>
        </w:rPr>
        <w:t xml:space="preserve"> </w:t>
      </w:r>
      <w:r w:rsidRPr="00FE50A6">
        <w:rPr>
          <w:rFonts w:cs="Arial"/>
          <w:szCs w:val="20"/>
          <w:lang w:val="en-US"/>
        </w:rPr>
        <w:t>who worked in the hacienda had been identified; (</w:t>
      </w:r>
      <w:r w:rsidR="0003391C" w:rsidRPr="00FE50A6">
        <w:rPr>
          <w:rFonts w:cs="Arial"/>
          <w:szCs w:val="20"/>
          <w:lang w:val="en-US"/>
        </w:rPr>
        <w:t xml:space="preserve">iii) </w:t>
      </w:r>
      <w:r w:rsidRPr="00FE50A6">
        <w:rPr>
          <w:rFonts w:cs="Arial"/>
          <w:szCs w:val="20"/>
          <w:lang w:val="en-US"/>
        </w:rPr>
        <w:t>one of the</w:t>
      </w:r>
      <w:r w:rsidR="0003391C" w:rsidRPr="00FE50A6">
        <w:rPr>
          <w:rFonts w:cs="Arial"/>
          <w:szCs w:val="20"/>
          <w:lang w:val="en-US"/>
        </w:rPr>
        <w:t xml:space="preserve"> </w:t>
      </w:r>
      <w:r w:rsidR="0003391C" w:rsidRPr="00FE50A6">
        <w:rPr>
          <w:rFonts w:cs="Arial"/>
          <w:i/>
          <w:szCs w:val="20"/>
          <w:lang w:val="en-US"/>
        </w:rPr>
        <w:t>gatos</w:t>
      </w:r>
      <w:r w:rsidR="0003391C" w:rsidRPr="00FE50A6">
        <w:rPr>
          <w:rFonts w:cs="Arial"/>
          <w:szCs w:val="20"/>
          <w:lang w:val="en-US"/>
        </w:rPr>
        <w:t xml:space="preserve"> </w:t>
      </w:r>
      <w:r w:rsidRPr="00FE50A6">
        <w:rPr>
          <w:rFonts w:cs="Arial"/>
          <w:szCs w:val="20"/>
          <w:lang w:val="en-US"/>
        </w:rPr>
        <w:t xml:space="preserve">had fled </w:t>
      </w:r>
      <w:r w:rsidR="00631C18" w:rsidRPr="00FE50A6">
        <w:rPr>
          <w:rFonts w:cs="Arial"/>
          <w:szCs w:val="20"/>
          <w:lang w:val="en-US"/>
        </w:rPr>
        <w:t>on</w:t>
      </w:r>
      <w:r w:rsidRPr="00FE50A6">
        <w:rPr>
          <w:rFonts w:cs="Arial"/>
          <w:szCs w:val="20"/>
          <w:lang w:val="en-US"/>
        </w:rPr>
        <w:t xml:space="preserve"> becoming aware that the </w:t>
      </w:r>
      <w:r w:rsidR="008B0077" w:rsidRPr="00FE50A6">
        <w:rPr>
          <w:rFonts w:cs="Arial"/>
          <w:szCs w:val="20"/>
          <w:lang w:val="en-US"/>
        </w:rPr>
        <w:t>Federal Police</w:t>
      </w:r>
      <w:r w:rsidR="0003391C" w:rsidRPr="00FE50A6">
        <w:rPr>
          <w:rFonts w:cs="Arial"/>
          <w:szCs w:val="20"/>
          <w:lang w:val="en-US"/>
        </w:rPr>
        <w:t xml:space="preserve"> </w:t>
      </w:r>
      <w:r w:rsidRPr="00FE50A6">
        <w:rPr>
          <w:rFonts w:cs="Arial"/>
          <w:szCs w:val="20"/>
          <w:lang w:val="en-US"/>
        </w:rPr>
        <w:t>were in the area and it had not been possible to find another</w:t>
      </w:r>
      <w:r w:rsidR="0003391C" w:rsidRPr="00FE50A6">
        <w:rPr>
          <w:rFonts w:cs="Arial"/>
          <w:szCs w:val="20"/>
          <w:lang w:val="en-US"/>
        </w:rPr>
        <w:t xml:space="preserve">; </w:t>
      </w:r>
      <w:r w:rsidRPr="00FE50A6">
        <w:rPr>
          <w:rFonts w:cs="Arial"/>
          <w:szCs w:val="20"/>
          <w:lang w:val="en-US"/>
        </w:rPr>
        <w:t>(</w:t>
      </w:r>
      <w:r w:rsidR="0003391C" w:rsidRPr="00FE50A6">
        <w:rPr>
          <w:rFonts w:cs="Arial"/>
          <w:szCs w:val="20"/>
          <w:lang w:val="en-US"/>
        </w:rPr>
        <w:t xml:space="preserve">iv) </w:t>
      </w:r>
      <w:r w:rsidRPr="00FE50A6">
        <w:rPr>
          <w:rFonts w:cs="Arial"/>
          <w:szCs w:val="20"/>
          <w:lang w:val="en-US"/>
        </w:rPr>
        <w:t xml:space="preserve">the workers indicated that they wanted a better </w:t>
      </w:r>
      <w:r w:rsidR="00631C18" w:rsidRPr="00FE50A6">
        <w:rPr>
          <w:rFonts w:cs="Arial"/>
          <w:szCs w:val="20"/>
          <w:lang w:val="en-US"/>
        </w:rPr>
        <w:t>salary</w:t>
      </w:r>
      <w:r w:rsidRPr="00FE50A6">
        <w:rPr>
          <w:rFonts w:cs="Arial"/>
          <w:szCs w:val="20"/>
          <w:lang w:val="en-US"/>
        </w:rPr>
        <w:t xml:space="preserve">, but they had accepted the work because they had not found any other work </w:t>
      </w:r>
      <w:r w:rsidR="00631C18" w:rsidRPr="00FE50A6">
        <w:rPr>
          <w:rFonts w:cs="Arial"/>
          <w:szCs w:val="20"/>
          <w:lang w:val="en-US"/>
        </w:rPr>
        <w:t>that</w:t>
      </w:r>
      <w:r w:rsidRPr="00FE50A6">
        <w:rPr>
          <w:rFonts w:cs="Arial"/>
          <w:szCs w:val="20"/>
          <w:lang w:val="en-US"/>
        </w:rPr>
        <w:t xml:space="preserve"> paid more. The workers indicated that they were free to leave the h</w:t>
      </w:r>
      <w:r w:rsidR="0003391C" w:rsidRPr="00FE50A6">
        <w:rPr>
          <w:rFonts w:cs="Arial"/>
          <w:szCs w:val="20"/>
          <w:lang w:val="en-US"/>
        </w:rPr>
        <w:t>acienda</w:t>
      </w:r>
      <w:r w:rsidRPr="00FE50A6">
        <w:rPr>
          <w:rFonts w:cs="Arial"/>
          <w:szCs w:val="20"/>
          <w:lang w:val="en-US"/>
        </w:rPr>
        <w:t>.</w:t>
      </w:r>
      <w:r w:rsidR="0003391C" w:rsidRPr="00FE50A6">
        <w:rPr>
          <w:rStyle w:val="Refdenotaalpie"/>
          <w:rFonts w:cs="Arial"/>
          <w:lang w:val="en-US"/>
        </w:rPr>
        <w:footnoteReference w:id="113"/>
      </w:r>
      <w:r w:rsidR="0003391C" w:rsidRPr="00FE50A6">
        <w:rPr>
          <w:rFonts w:cs="Arial"/>
          <w:szCs w:val="20"/>
          <w:lang w:val="en-US"/>
        </w:rPr>
        <w:t xml:space="preserve">  </w:t>
      </w:r>
    </w:p>
    <w:p w14:paraId="1ED23C7A"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0266D5F6" w14:textId="77777777" w:rsidR="0003391C" w:rsidRPr="00FE50A6" w:rsidRDefault="0003391C"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 </w:t>
      </w:r>
      <w:r w:rsidR="002225B4" w:rsidRPr="00FE50A6">
        <w:rPr>
          <w:rFonts w:cs="Arial"/>
          <w:szCs w:val="20"/>
          <w:lang w:val="en-US"/>
        </w:rPr>
        <w:t>The report indicated that no signs of slave labor</w:t>
      </w:r>
      <w:r w:rsidR="00E6005A" w:rsidRPr="00FE50A6">
        <w:rPr>
          <w:rFonts w:cs="Arial"/>
          <w:szCs w:val="20"/>
          <w:lang w:val="en-US"/>
        </w:rPr>
        <w:t xml:space="preserve"> </w:t>
      </w:r>
      <w:r w:rsidR="002225B4" w:rsidRPr="00FE50A6">
        <w:rPr>
          <w:rFonts w:cs="Arial"/>
          <w:szCs w:val="20"/>
          <w:lang w:val="en-US"/>
        </w:rPr>
        <w:t xml:space="preserve">had been observed in </w:t>
      </w:r>
      <w:r w:rsidRPr="00FE50A6">
        <w:rPr>
          <w:rFonts w:cs="Arial"/>
          <w:szCs w:val="20"/>
          <w:lang w:val="en-US"/>
        </w:rPr>
        <w:t xml:space="preserve">Hacienda </w:t>
      </w:r>
      <w:r w:rsidR="00322241" w:rsidRPr="00FE50A6">
        <w:rPr>
          <w:rFonts w:cs="Arial"/>
          <w:szCs w:val="20"/>
          <w:lang w:val="en-US"/>
        </w:rPr>
        <w:t>Brasil Verde</w:t>
      </w:r>
      <w:r w:rsidRPr="00FE50A6">
        <w:rPr>
          <w:rFonts w:cs="Times New Roman"/>
          <w:szCs w:val="20"/>
          <w:lang w:val="en-US"/>
        </w:rPr>
        <w:t xml:space="preserve">, </w:t>
      </w:r>
      <w:r w:rsidR="002225B4" w:rsidRPr="00FE50A6">
        <w:rPr>
          <w:rFonts w:cs="Times New Roman"/>
          <w:szCs w:val="20"/>
          <w:lang w:val="en-US"/>
        </w:rPr>
        <w:t>but it corroborated the existence of low wages and labor law</w:t>
      </w:r>
      <w:r w:rsidR="00E6005A" w:rsidRPr="00FE50A6">
        <w:rPr>
          <w:rFonts w:cs="Times New Roman"/>
          <w:szCs w:val="20"/>
          <w:lang w:val="en-US"/>
        </w:rPr>
        <w:t xml:space="preserve"> violation</w:t>
      </w:r>
      <w:r w:rsidR="002225B4" w:rsidRPr="00FE50A6">
        <w:rPr>
          <w:rFonts w:cs="Times New Roman"/>
          <w:szCs w:val="20"/>
          <w:lang w:val="en-US"/>
        </w:rPr>
        <w:t xml:space="preserve">s, following interviews with 51 workers. The report also underlined that the workers had advised that </w:t>
      </w:r>
      <w:r w:rsidRPr="00FE50A6">
        <w:rPr>
          <w:rFonts w:cs="Arial"/>
          <w:szCs w:val="20"/>
          <w:lang w:val="en-US"/>
        </w:rPr>
        <w:t>lron Canuto</w:t>
      </w:r>
      <w:r w:rsidR="00030C17" w:rsidRPr="00FE50A6">
        <w:rPr>
          <w:rFonts w:cs="Arial"/>
          <w:szCs w:val="20"/>
          <w:lang w:val="en-US"/>
        </w:rPr>
        <w:t xml:space="preserve"> and </w:t>
      </w:r>
      <w:r w:rsidR="00200C04" w:rsidRPr="00FE50A6">
        <w:rPr>
          <w:rFonts w:cs="Arial"/>
          <w:szCs w:val="20"/>
          <w:lang w:val="en-US"/>
        </w:rPr>
        <w:t>Luis Ferreira da Cruz</w:t>
      </w:r>
      <w:r w:rsidRPr="00FE50A6">
        <w:rPr>
          <w:rFonts w:cs="Arial"/>
          <w:szCs w:val="20"/>
          <w:lang w:val="en-US"/>
        </w:rPr>
        <w:t xml:space="preserve"> ha</w:t>
      </w:r>
      <w:r w:rsidR="002225B4" w:rsidRPr="00FE50A6">
        <w:rPr>
          <w:rFonts w:cs="Arial"/>
          <w:szCs w:val="20"/>
          <w:lang w:val="en-US"/>
        </w:rPr>
        <w:t xml:space="preserve">d escaped from </w:t>
      </w:r>
      <w:r w:rsidRPr="00FE50A6">
        <w:rPr>
          <w:rFonts w:cs="Arial"/>
          <w:iCs/>
          <w:szCs w:val="20"/>
          <w:lang w:val="en-US"/>
        </w:rPr>
        <w:t xml:space="preserve">Hacienda Belém </w:t>
      </w:r>
      <w:r w:rsidR="002225B4" w:rsidRPr="00FE50A6">
        <w:rPr>
          <w:rFonts w:cs="Arial"/>
          <w:iCs/>
          <w:szCs w:val="20"/>
          <w:lang w:val="en-US"/>
        </w:rPr>
        <w:t xml:space="preserve">and indicated that it was normal that workers </w:t>
      </w:r>
      <w:r w:rsidR="001F3447" w:rsidRPr="00FE50A6">
        <w:rPr>
          <w:rFonts w:cs="Arial"/>
          <w:iCs/>
          <w:szCs w:val="20"/>
          <w:lang w:val="en-US"/>
        </w:rPr>
        <w:t>would flee</w:t>
      </w:r>
      <w:r w:rsidR="002225B4" w:rsidRPr="00FE50A6">
        <w:rPr>
          <w:rFonts w:cs="Arial"/>
          <w:iCs/>
          <w:szCs w:val="20"/>
          <w:lang w:val="en-US"/>
        </w:rPr>
        <w:t xml:space="preserve"> owing to the debts they contracted in</w:t>
      </w:r>
      <w:r w:rsidR="003771CF" w:rsidRPr="00FE50A6">
        <w:rPr>
          <w:rFonts w:cs="Arial"/>
          <w:iCs/>
          <w:szCs w:val="20"/>
          <w:lang w:val="en-US"/>
        </w:rPr>
        <w:t xml:space="preserve"> </w:t>
      </w:r>
      <w:r w:rsidRPr="00FE50A6">
        <w:rPr>
          <w:rFonts w:cs="Arial"/>
          <w:iCs/>
          <w:szCs w:val="20"/>
          <w:lang w:val="en-US"/>
        </w:rPr>
        <w:t xml:space="preserve">Hacienda </w:t>
      </w:r>
      <w:r w:rsidR="00322241" w:rsidRPr="00FE50A6">
        <w:rPr>
          <w:rFonts w:cs="Arial"/>
          <w:iCs/>
          <w:szCs w:val="20"/>
          <w:lang w:val="en-US"/>
        </w:rPr>
        <w:t>Brasil Verde</w:t>
      </w:r>
      <w:r w:rsidR="002225B4" w:rsidRPr="00FE50A6">
        <w:rPr>
          <w:rFonts w:cs="Arial"/>
          <w:iCs/>
          <w:szCs w:val="20"/>
          <w:lang w:val="en-US"/>
        </w:rPr>
        <w:t>.</w:t>
      </w:r>
      <w:r w:rsidRPr="00FE50A6">
        <w:rPr>
          <w:rStyle w:val="Refdenotaalpie"/>
          <w:rFonts w:cs="Arial"/>
          <w:lang w:val="en-US"/>
        </w:rPr>
        <w:footnoteReference w:id="114"/>
      </w:r>
      <w:r w:rsidR="002225B4" w:rsidRPr="00FE50A6">
        <w:rPr>
          <w:rFonts w:cs="Arial"/>
          <w:szCs w:val="20"/>
          <w:lang w:val="en-US"/>
        </w:rPr>
        <w:t xml:space="preserve"> There is no record in the file that a list was drawn up with the names of the workers who were on the property at the time of the visit</w:t>
      </w:r>
      <w:r w:rsidRPr="00FE50A6">
        <w:rPr>
          <w:rFonts w:cs="Arial"/>
          <w:szCs w:val="20"/>
          <w:lang w:val="en-US"/>
        </w:rPr>
        <w:t xml:space="preserve">. </w:t>
      </w:r>
    </w:p>
    <w:p w14:paraId="3E2AF657"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11393563" w14:textId="77777777" w:rsidR="0003391C" w:rsidRPr="00FE50A6" w:rsidRDefault="002225B4" w:rsidP="008622F3">
      <w:pPr>
        <w:pStyle w:val="Ttulo3"/>
        <w:rPr>
          <w:lang w:val="en-US"/>
        </w:rPr>
      </w:pPr>
      <w:bookmarkStart w:id="222" w:name="_Toc460433007"/>
      <w:bookmarkStart w:id="223" w:name="_Toc460441938"/>
      <w:bookmarkStart w:id="224" w:name="_Toc462750756"/>
      <w:bookmarkStart w:id="225" w:name="_Toc462751080"/>
      <w:bookmarkStart w:id="226" w:name="_Toc464813932"/>
      <w:r w:rsidRPr="00FE50A6">
        <w:rPr>
          <w:b w:val="0"/>
          <w:lang w:val="en-US"/>
        </w:rPr>
        <w:t>The report and actions in</w:t>
      </w:r>
      <w:r w:rsidR="0003391C" w:rsidRPr="00FE50A6">
        <w:rPr>
          <w:b w:val="0"/>
          <w:lang w:val="en-US"/>
        </w:rPr>
        <w:t xml:space="preserve"> 1992</w:t>
      </w:r>
      <w:bookmarkEnd w:id="222"/>
      <w:bookmarkEnd w:id="223"/>
      <w:bookmarkEnd w:id="224"/>
      <w:bookmarkEnd w:id="225"/>
      <w:bookmarkEnd w:id="226"/>
    </w:p>
    <w:p w14:paraId="5AC1CFE9" w14:textId="77777777" w:rsidR="0003391C" w:rsidRPr="00FE50A6" w:rsidRDefault="0003391C" w:rsidP="00140440">
      <w:pPr>
        <w:pStyle w:val="Prrafodelista"/>
        <w:contextualSpacing w:val="0"/>
        <w:rPr>
          <w:rFonts w:cs="Arial"/>
          <w:szCs w:val="20"/>
          <w:lang w:val="en-US"/>
        </w:rPr>
      </w:pPr>
    </w:p>
    <w:p w14:paraId="5851F948" w14:textId="77777777" w:rsidR="0003391C" w:rsidRPr="00FE50A6" w:rsidRDefault="00164F75"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w:t>
      </w:r>
      <w:r w:rsidR="0003391C" w:rsidRPr="00FE50A6">
        <w:rPr>
          <w:rFonts w:cs="Arial"/>
          <w:szCs w:val="20"/>
          <w:lang w:val="en-US"/>
        </w:rPr>
        <w:t xml:space="preserve"> </w:t>
      </w:r>
      <w:r w:rsidR="0084006F" w:rsidRPr="00FE50A6">
        <w:rPr>
          <w:rFonts w:cs="Arial"/>
          <w:szCs w:val="20"/>
          <w:lang w:val="en-US"/>
        </w:rPr>
        <w:t>March 18,</w:t>
      </w:r>
      <w:r w:rsidR="0003391C" w:rsidRPr="00FE50A6">
        <w:rPr>
          <w:rFonts w:cs="Arial"/>
          <w:szCs w:val="20"/>
          <w:lang w:val="en-US"/>
        </w:rPr>
        <w:t xml:space="preserve"> 1992</w:t>
      </w:r>
      <w:r w:rsidRPr="00FE50A6">
        <w:rPr>
          <w:rFonts w:cs="Arial"/>
          <w:szCs w:val="20"/>
          <w:lang w:val="en-US"/>
        </w:rPr>
        <w:t>, the</w:t>
      </w:r>
      <w:r w:rsidR="0003391C" w:rsidRPr="00FE50A6">
        <w:rPr>
          <w:rFonts w:cs="Arial"/>
          <w:szCs w:val="20"/>
          <w:lang w:val="en-US"/>
        </w:rPr>
        <w:t xml:space="preserve"> </w:t>
      </w:r>
      <w:r w:rsidR="00C61525" w:rsidRPr="00FE50A6">
        <w:rPr>
          <w:rFonts w:cs="Arial"/>
          <w:i/>
          <w:szCs w:val="20"/>
          <w:lang w:val="en-US"/>
        </w:rPr>
        <w:t xml:space="preserve">Comissão Pastoral da Terra </w:t>
      </w:r>
      <w:r w:rsidR="0003391C" w:rsidRPr="00FE50A6">
        <w:rPr>
          <w:rFonts w:cs="Arial"/>
          <w:szCs w:val="20"/>
          <w:lang w:val="en-US"/>
        </w:rPr>
        <w:t xml:space="preserve"> </w:t>
      </w:r>
      <w:r w:rsidRPr="00FE50A6">
        <w:rPr>
          <w:rFonts w:cs="Arial"/>
          <w:szCs w:val="20"/>
          <w:lang w:val="en-US"/>
        </w:rPr>
        <w:t>sent a letter to the Prosecutor General</w:t>
      </w:r>
      <w:r w:rsidR="0003391C" w:rsidRPr="00FE50A6">
        <w:rPr>
          <w:rFonts w:cs="Arial"/>
          <w:szCs w:val="20"/>
          <w:lang w:val="en-US"/>
        </w:rPr>
        <w:t xml:space="preserve"> </w:t>
      </w:r>
      <w:r w:rsidR="006E27EA" w:rsidRPr="00FE50A6">
        <w:rPr>
          <w:rFonts w:cs="Arial"/>
          <w:szCs w:val="20"/>
          <w:lang w:val="en-US"/>
        </w:rPr>
        <w:t>of the Republic</w:t>
      </w:r>
      <w:r w:rsidR="0003391C" w:rsidRPr="00FE50A6">
        <w:rPr>
          <w:rFonts w:cs="Arial"/>
          <w:szCs w:val="20"/>
          <w:lang w:val="en-US"/>
        </w:rPr>
        <w:t xml:space="preserve"> (</w:t>
      </w:r>
      <w:r w:rsidR="000228D0" w:rsidRPr="00FE50A6">
        <w:rPr>
          <w:rFonts w:cs="Arial"/>
          <w:szCs w:val="20"/>
          <w:lang w:val="en-US"/>
        </w:rPr>
        <w:t>hereinafter</w:t>
      </w:r>
      <w:r w:rsidR="0003391C" w:rsidRPr="00FE50A6">
        <w:rPr>
          <w:rFonts w:cs="Arial"/>
          <w:szCs w:val="20"/>
          <w:lang w:val="en-US"/>
        </w:rPr>
        <w:t xml:space="preserve"> </w:t>
      </w:r>
      <w:r w:rsidR="009C48A4" w:rsidRPr="00FE50A6">
        <w:rPr>
          <w:rFonts w:cs="Arial"/>
          <w:szCs w:val="20"/>
          <w:lang w:val="en-US"/>
        </w:rPr>
        <w:t>“</w:t>
      </w:r>
      <w:r w:rsidR="00ED68DA" w:rsidRPr="00FE50A6">
        <w:rPr>
          <w:rFonts w:cs="Arial"/>
          <w:szCs w:val="20"/>
          <w:lang w:val="en-US"/>
        </w:rPr>
        <w:t xml:space="preserve">the </w:t>
      </w:r>
      <w:r w:rsidR="0003391C" w:rsidRPr="00FE50A6">
        <w:rPr>
          <w:rFonts w:cs="Arial"/>
          <w:szCs w:val="20"/>
          <w:lang w:val="en-US"/>
        </w:rPr>
        <w:t>P</w:t>
      </w:r>
      <w:r w:rsidR="00ED68DA" w:rsidRPr="00FE50A6">
        <w:rPr>
          <w:rFonts w:cs="Arial"/>
          <w:szCs w:val="20"/>
          <w:lang w:val="en-US"/>
        </w:rPr>
        <w:t>rosecutor General</w:t>
      </w:r>
      <w:r w:rsidR="009C48A4" w:rsidRPr="00FE50A6">
        <w:rPr>
          <w:rFonts w:cs="Arial"/>
          <w:szCs w:val="20"/>
          <w:lang w:val="en-US"/>
        </w:rPr>
        <w:t>”</w:t>
      </w:r>
      <w:r w:rsidR="0003391C" w:rsidRPr="00FE50A6">
        <w:rPr>
          <w:rFonts w:cs="Arial"/>
          <w:szCs w:val="20"/>
          <w:lang w:val="en-US"/>
        </w:rPr>
        <w:t xml:space="preserve">), </w:t>
      </w:r>
      <w:r w:rsidRPr="00FE50A6">
        <w:rPr>
          <w:rFonts w:cs="Arial"/>
          <w:szCs w:val="20"/>
          <w:lang w:val="en-US"/>
        </w:rPr>
        <w:t xml:space="preserve">forwarding him the </w:t>
      </w:r>
      <w:r w:rsidR="00ED68DA" w:rsidRPr="00FE50A6">
        <w:rPr>
          <w:rFonts w:cs="Arial"/>
          <w:szCs w:val="20"/>
          <w:lang w:val="en-US"/>
        </w:rPr>
        <w:t>reports</w:t>
      </w:r>
      <w:r w:rsidRPr="00FE50A6">
        <w:rPr>
          <w:rFonts w:cs="Arial"/>
          <w:szCs w:val="20"/>
          <w:lang w:val="en-US"/>
        </w:rPr>
        <w:t xml:space="preserve"> filed before the </w:t>
      </w:r>
      <w:r w:rsidR="008B0077" w:rsidRPr="00FE50A6">
        <w:rPr>
          <w:rFonts w:cs="Arial"/>
          <w:szCs w:val="20"/>
          <w:lang w:val="en-US"/>
        </w:rPr>
        <w:t>Federal Police</w:t>
      </w:r>
      <w:r w:rsidR="0003391C" w:rsidRPr="00FE50A6">
        <w:rPr>
          <w:rFonts w:cs="Arial"/>
          <w:szCs w:val="20"/>
          <w:lang w:val="en-US"/>
        </w:rPr>
        <w:t xml:space="preserve"> </w:t>
      </w:r>
      <w:r w:rsidRPr="00FE50A6">
        <w:rPr>
          <w:rFonts w:cs="Arial"/>
          <w:szCs w:val="20"/>
          <w:lang w:val="en-US"/>
        </w:rPr>
        <w:t>in December</w:t>
      </w:r>
      <w:r w:rsidR="0003391C" w:rsidRPr="00FE50A6">
        <w:rPr>
          <w:rFonts w:cs="Arial"/>
          <w:szCs w:val="20"/>
          <w:lang w:val="en-US"/>
        </w:rPr>
        <w:t xml:space="preserve"> 1988</w:t>
      </w:r>
      <w:r w:rsidR="00030C17" w:rsidRPr="00FE50A6">
        <w:rPr>
          <w:rFonts w:cs="Arial"/>
          <w:szCs w:val="20"/>
          <w:lang w:val="en-US"/>
        </w:rPr>
        <w:t xml:space="preserve"> and </w:t>
      </w:r>
      <w:r w:rsidRPr="00FE50A6">
        <w:rPr>
          <w:rFonts w:cs="Arial"/>
          <w:szCs w:val="20"/>
          <w:lang w:val="en-US"/>
        </w:rPr>
        <w:t>before the</w:t>
      </w:r>
      <w:r w:rsidR="0003391C" w:rsidRPr="00FE50A6">
        <w:rPr>
          <w:rFonts w:cs="Arial"/>
          <w:szCs w:val="20"/>
          <w:lang w:val="en-US"/>
        </w:rPr>
        <w:t xml:space="preserve"> </w:t>
      </w:r>
      <w:r w:rsidR="006836B8" w:rsidRPr="00FE50A6">
        <w:rPr>
          <w:rFonts w:cs="Arial"/>
          <w:szCs w:val="20"/>
          <w:lang w:val="en-US"/>
        </w:rPr>
        <w:t>Ombudsman</w:t>
      </w:r>
      <w:r w:rsidR="008F42A8" w:rsidRPr="00FE50A6">
        <w:rPr>
          <w:rFonts w:cs="Arial"/>
          <w:szCs w:val="20"/>
          <w:lang w:val="en-US"/>
        </w:rPr>
        <w:t>’s Office</w:t>
      </w:r>
      <w:r w:rsidR="0003391C" w:rsidRPr="00FE50A6">
        <w:rPr>
          <w:rFonts w:cs="Arial"/>
          <w:szCs w:val="20"/>
          <w:lang w:val="en-US"/>
        </w:rPr>
        <w:t xml:space="preserve"> </w:t>
      </w:r>
      <w:r w:rsidRPr="00FE50A6">
        <w:rPr>
          <w:rFonts w:cs="Arial"/>
          <w:szCs w:val="20"/>
          <w:lang w:val="en-US"/>
        </w:rPr>
        <w:t>in January</w:t>
      </w:r>
      <w:r w:rsidR="0003391C" w:rsidRPr="00FE50A6">
        <w:rPr>
          <w:rFonts w:cs="Arial"/>
          <w:szCs w:val="20"/>
          <w:lang w:val="en-US"/>
        </w:rPr>
        <w:t xml:space="preserve"> 1989</w:t>
      </w:r>
      <w:r w:rsidRPr="00FE50A6">
        <w:rPr>
          <w:rFonts w:cs="Arial"/>
          <w:szCs w:val="20"/>
          <w:lang w:val="en-US"/>
        </w:rPr>
        <w:t xml:space="preserve"> concerning </w:t>
      </w:r>
      <w:r w:rsidR="005F1946" w:rsidRPr="00FE50A6">
        <w:rPr>
          <w:rFonts w:cs="Arial"/>
          <w:szCs w:val="20"/>
          <w:lang w:val="en-US"/>
        </w:rPr>
        <w:t>slave labor</w:t>
      </w:r>
      <w:r w:rsidR="0003391C" w:rsidRPr="00FE50A6">
        <w:rPr>
          <w:rFonts w:cs="Arial"/>
          <w:szCs w:val="20"/>
          <w:lang w:val="en-US"/>
        </w:rPr>
        <w:t xml:space="preserve"> </w:t>
      </w:r>
      <w:r w:rsidRPr="00FE50A6">
        <w:rPr>
          <w:rFonts w:cs="Arial"/>
          <w:szCs w:val="20"/>
          <w:lang w:val="en-US"/>
        </w:rPr>
        <w:t>in</w:t>
      </w:r>
      <w:r w:rsidR="0003391C" w:rsidRPr="00FE50A6">
        <w:rPr>
          <w:rFonts w:cs="Arial"/>
          <w:szCs w:val="20"/>
          <w:lang w:val="en-US"/>
        </w:rPr>
        <w:t xml:space="preserve"> 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and the disappearance of</w:t>
      </w:r>
      <w:r w:rsidR="0003391C" w:rsidRPr="00FE50A6">
        <w:rPr>
          <w:rFonts w:cs="Arial"/>
          <w:szCs w:val="20"/>
          <w:lang w:val="en-US"/>
        </w:rPr>
        <w:t xml:space="preserve"> lron Canuto</w:t>
      </w:r>
      <w:r w:rsidR="00030C17" w:rsidRPr="00FE50A6">
        <w:rPr>
          <w:rFonts w:cs="Arial"/>
          <w:szCs w:val="20"/>
          <w:lang w:val="en-US"/>
        </w:rPr>
        <w:t xml:space="preserve"> and </w:t>
      </w:r>
      <w:r w:rsidR="00200C04" w:rsidRPr="00FE50A6">
        <w:rPr>
          <w:rFonts w:cs="Arial"/>
          <w:szCs w:val="20"/>
          <w:lang w:val="en-US"/>
        </w:rPr>
        <w:t>Luis Ferreira da Cruz</w:t>
      </w:r>
      <w:r w:rsidR="00E6005A" w:rsidRPr="00FE50A6">
        <w:rPr>
          <w:rFonts w:cs="Arial"/>
          <w:szCs w:val="20"/>
          <w:lang w:val="en-US"/>
        </w:rPr>
        <w:t>.</w:t>
      </w:r>
      <w:r w:rsidR="0003391C" w:rsidRPr="00FE50A6">
        <w:rPr>
          <w:rStyle w:val="Refdenotaalpie"/>
          <w:rFonts w:cs="Arial"/>
          <w:lang w:val="en-US"/>
        </w:rPr>
        <w:footnoteReference w:id="115"/>
      </w:r>
      <w:r w:rsidR="0003391C" w:rsidRPr="00FE50A6">
        <w:rPr>
          <w:rFonts w:cs="Arial"/>
          <w:szCs w:val="20"/>
          <w:lang w:val="en-US"/>
        </w:rPr>
        <w:t xml:space="preserve"> </w:t>
      </w:r>
    </w:p>
    <w:p w14:paraId="5BD51E9D"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1A04569D" w14:textId="77777777" w:rsidR="0003391C" w:rsidRPr="00FE50A6" w:rsidRDefault="00164F75"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This </w:t>
      </w:r>
      <w:r w:rsidR="00ED68DA" w:rsidRPr="00FE50A6">
        <w:rPr>
          <w:rFonts w:cs="Arial"/>
          <w:szCs w:val="20"/>
          <w:lang w:val="en-US"/>
        </w:rPr>
        <w:t>report</w:t>
      </w:r>
      <w:r w:rsidRPr="00FE50A6">
        <w:rPr>
          <w:rFonts w:cs="Arial"/>
          <w:szCs w:val="20"/>
          <w:lang w:val="en-US"/>
        </w:rPr>
        <w:t xml:space="preserve"> was acknowledged officially on April 22,</w:t>
      </w:r>
      <w:r w:rsidR="0003391C" w:rsidRPr="00FE50A6">
        <w:rPr>
          <w:rFonts w:cs="Arial"/>
          <w:szCs w:val="20"/>
          <w:lang w:val="en-US"/>
        </w:rPr>
        <w:t xml:space="preserve"> 1992</w:t>
      </w:r>
      <w:r w:rsidRPr="00FE50A6">
        <w:rPr>
          <w:rFonts w:cs="Arial"/>
          <w:szCs w:val="20"/>
          <w:lang w:val="en-US"/>
        </w:rPr>
        <w:t>,</w:t>
      </w:r>
      <w:r w:rsidR="00030C17" w:rsidRPr="00FE50A6">
        <w:rPr>
          <w:rFonts w:cs="Arial"/>
          <w:szCs w:val="20"/>
          <w:lang w:val="en-US"/>
        </w:rPr>
        <w:t xml:space="preserve"> and </w:t>
      </w:r>
      <w:r w:rsidRPr="00FE50A6">
        <w:rPr>
          <w:rFonts w:cs="Arial"/>
          <w:szCs w:val="20"/>
          <w:lang w:val="en-US"/>
        </w:rPr>
        <w:t>th</w:t>
      </w:r>
      <w:r w:rsidR="00ED68DA" w:rsidRPr="00FE50A6">
        <w:rPr>
          <w:rFonts w:cs="Arial"/>
          <w:szCs w:val="20"/>
          <w:lang w:val="en-US"/>
        </w:rPr>
        <w:t>e Prosecutor General</w:t>
      </w:r>
      <w:r w:rsidR="0003391C" w:rsidRPr="00FE50A6">
        <w:rPr>
          <w:rFonts w:cs="Arial"/>
          <w:szCs w:val="20"/>
          <w:lang w:val="en-US"/>
        </w:rPr>
        <w:t xml:space="preserve"> </w:t>
      </w:r>
      <w:r w:rsidR="00ED68DA" w:rsidRPr="00FE50A6">
        <w:rPr>
          <w:rFonts w:cs="Arial"/>
          <w:szCs w:val="20"/>
          <w:lang w:val="en-US"/>
        </w:rPr>
        <w:t>opened</w:t>
      </w:r>
      <w:r w:rsidRPr="00FE50A6">
        <w:rPr>
          <w:rFonts w:cs="Arial"/>
          <w:szCs w:val="20"/>
          <w:lang w:val="en-US"/>
        </w:rPr>
        <w:t xml:space="preserve"> an administrative proceeding.</w:t>
      </w:r>
      <w:r w:rsidR="0003391C" w:rsidRPr="00FE50A6">
        <w:rPr>
          <w:rStyle w:val="Refdenotaalpie"/>
          <w:rFonts w:cs="Arial"/>
          <w:lang w:val="en-US"/>
        </w:rPr>
        <w:footnoteReference w:id="116"/>
      </w:r>
      <w:r w:rsidR="0003391C" w:rsidRPr="00FE50A6">
        <w:rPr>
          <w:rFonts w:cs="Arial"/>
          <w:szCs w:val="20"/>
          <w:lang w:val="en-US"/>
        </w:rPr>
        <w:t xml:space="preserve"> </w:t>
      </w:r>
      <w:r w:rsidRPr="00FE50A6">
        <w:rPr>
          <w:rFonts w:cs="Arial"/>
          <w:szCs w:val="20"/>
          <w:lang w:val="en-US"/>
        </w:rPr>
        <w:t xml:space="preserve">On June 4, </w:t>
      </w:r>
      <w:r w:rsidR="0003391C" w:rsidRPr="00FE50A6">
        <w:rPr>
          <w:rFonts w:cs="Arial"/>
          <w:szCs w:val="20"/>
          <w:lang w:val="en-US"/>
        </w:rPr>
        <w:t>1992</w:t>
      </w:r>
      <w:r w:rsidRPr="00FE50A6">
        <w:rPr>
          <w:rFonts w:cs="Arial"/>
          <w:szCs w:val="20"/>
          <w:lang w:val="en-US"/>
        </w:rPr>
        <w:t>, he requested the</w:t>
      </w:r>
      <w:r w:rsidR="0003391C" w:rsidRPr="00FE50A6">
        <w:rPr>
          <w:rFonts w:cs="Arial"/>
          <w:szCs w:val="20"/>
          <w:lang w:val="en-US"/>
        </w:rPr>
        <w:t xml:space="preserve"> </w:t>
      </w:r>
      <w:r w:rsidR="008B0077" w:rsidRPr="00FE50A6">
        <w:rPr>
          <w:rFonts w:cs="Arial"/>
          <w:szCs w:val="20"/>
          <w:lang w:val="en-US"/>
        </w:rPr>
        <w:t>Federal Police</w:t>
      </w:r>
      <w:r w:rsidRPr="00FE50A6">
        <w:rPr>
          <w:rFonts w:cs="Arial"/>
          <w:szCs w:val="20"/>
          <w:lang w:val="en-US"/>
        </w:rPr>
        <w:t xml:space="preserve"> Department to provide</w:t>
      </w:r>
      <w:r w:rsidR="00ED68DA" w:rsidRPr="00FE50A6">
        <w:rPr>
          <w:rFonts w:cs="Arial"/>
          <w:szCs w:val="20"/>
          <w:lang w:val="en-US"/>
        </w:rPr>
        <w:t xml:space="preserve"> relevant</w:t>
      </w:r>
      <w:r w:rsidRPr="00FE50A6">
        <w:rPr>
          <w:rFonts w:cs="Arial"/>
          <w:szCs w:val="20"/>
          <w:lang w:val="en-US"/>
        </w:rPr>
        <w:t xml:space="preserve"> information</w:t>
      </w:r>
      <w:r w:rsidR="0003391C" w:rsidRPr="00FE50A6">
        <w:rPr>
          <w:rStyle w:val="Refdenotaalpie"/>
          <w:rFonts w:cs="Arial"/>
          <w:lang w:val="en-US"/>
        </w:rPr>
        <w:footnoteReference w:id="117"/>
      </w:r>
      <w:r w:rsidR="00030C17" w:rsidRPr="00FE50A6">
        <w:rPr>
          <w:rFonts w:cs="Arial"/>
          <w:szCs w:val="20"/>
          <w:lang w:val="en-US"/>
        </w:rPr>
        <w:t xml:space="preserve"> and</w:t>
      </w:r>
      <w:r w:rsidR="00ED68DA" w:rsidRPr="00FE50A6">
        <w:rPr>
          <w:rFonts w:cs="Arial"/>
          <w:szCs w:val="20"/>
          <w:lang w:val="en-US"/>
        </w:rPr>
        <w:t xml:space="preserve"> </w:t>
      </w:r>
      <w:r w:rsidRPr="00FE50A6">
        <w:rPr>
          <w:rFonts w:cs="Arial"/>
          <w:szCs w:val="20"/>
          <w:lang w:val="en-US"/>
        </w:rPr>
        <w:t>on September 22 that year he repeated this request.</w:t>
      </w:r>
      <w:r w:rsidR="0003391C" w:rsidRPr="00FE50A6">
        <w:rPr>
          <w:rStyle w:val="Refdenotaalpie"/>
          <w:rFonts w:cs="Arial"/>
          <w:lang w:val="en-US"/>
        </w:rPr>
        <w:footnoteReference w:id="118"/>
      </w:r>
      <w:r w:rsidR="0003391C" w:rsidRPr="00FE50A6">
        <w:rPr>
          <w:rFonts w:cs="Times New Roman"/>
          <w:szCs w:val="20"/>
          <w:lang w:val="en-US"/>
        </w:rPr>
        <w:t xml:space="preserve"> </w:t>
      </w:r>
      <w:r w:rsidRPr="00FE50A6">
        <w:rPr>
          <w:rFonts w:cs="Arial"/>
          <w:szCs w:val="20"/>
          <w:lang w:val="en-US"/>
        </w:rPr>
        <w:t>On December 7,</w:t>
      </w:r>
      <w:r w:rsidR="0003391C" w:rsidRPr="00FE50A6">
        <w:rPr>
          <w:rFonts w:cs="Arial"/>
          <w:szCs w:val="20"/>
          <w:lang w:val="en-US"/>
        </w:rPr>
        <w:t xml:space="preserve"> 1992</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 xml:space="preserve">the </w:t>
      </w:r>
      <w:r w:rsidR="008F42A8" w:rsidRPr="00FE50A6">
        <w:rPr>
          <w:lang w:val="en-US"/>
        </w:rPr>
        <w:t>Central Coordinat</w:t>
      </w:r>
      <w:r w:rsidR="00FA1124" w:rsidRPr="00FE50A6">
        <w:rPr>
          <w:lang w:val="en-US"/>
        </w:rPr>
        <w:t>ion</w:t>
      </w:r>
      <w:r w:rsidR="008F42A8" w:rsidRPr="00FE50A6">
        <w:rPr>
          <w:lang w:val="en-US"/>
        </w:rPr>
        <w:t xml:space="preserve"> </w:t>
      </w:r>
      <w:r w:rsidR="008F42A8" w:rsidRPr="00FE50A6">
        <w:rPr>
          <w:rFonts w:cs="Arial"/>
          <w:lang w:val="en-US"/>
        </w:rPr>
        <w:t>Department</w:t>
      </w:r>
      <w:r w:rsidR="008F42A8" w:rsidRPr="00FE50A6">
        <w:rPr>
          <w:lang w:val="en-US"/>
        </w:rPr>
        <w:t xml:space="preserve"> </w:t>
      </w:r>
      <w:r w:rsidR="008F42A8" w:rsidRPr="00FE50A6">
        <w:rPr>
          <w:rFonts w:cs="Arial"/>
          <w:lang w:val="en-US"/>
        </w:rPr>
        <w:t>of the Federal Police</w:t>
      </w:r>
      <w:r w:rsidR="008F42A8" w:rsidRPr="00FE50A6">
        <w:rPr>
          <w:lang w:val="en-US"/>
        </w:rPr>
        <w:t xml:space="preserve"> </w:t>
      </w:r>
      <w:r w:rsidRPr="00FE50A6">
        <w:rPr>
          <w:rFonts w:cs="Arial"/>
          <w:szCs w:val="20"/>
          <w:lang w:val="en-US"/>
        </w:rPr>
        <w:t>answered th</w:t>
      </w:r>
      <w:r w:rsidR="00ED68DA" w:rsidRPr="00FE50A6">
        <w:rPr>
          <w:rFonts w:cs="Arial"/>
          <w:szCs w:val="20"/>
          <w:lang w:val="en-US"/>
        </w:rPr>
        <w:t>e</w:t>
      </w:r>
      <w:r w:rsidRPr="00FE50A6">
        <w:rPr>
          <w:rFonts w:cs="Arial"/>
          <w:szCs w:val="20"/>
          <w:lang w:val="en-US"/>
        </w:rPr>
        <w:t xml:space="preserve"> request and provided information on the procedures conducted in</w:t>
      </w:r>
      <w:r w:rsidR="0003391C" w:rsidRPr="00FE50A6">
        <w:rPr>
          <w:rFonts w:cs="Arial"/>
          <w:szCs w:val="20"/>
          <w:lang w:val="en-US"/>
        </w:rPr>
        <w:t xml:space="preserve"> </w:t>
      </w:r>
      <w:r w:rsidR="0003391C" w:rsidRPr="00FE50A6">
        <w:rPr>
          <w:rFonts w:cs="Arial"/>
          <w:iCs/>
          <w:szCs w:val="20"/>
          <w:lang w:val="en-US"/>
        </w:rPr>
        <w:t xml:space="preserve">Hacienda </w:t>
      </w:r>
      <w:r w:rsidR="00322241" w:rsidRPr="00FE50A6">
        <w:rPr>
          <w:rFonts w:cs="Arial"/>
          <w:iCs/>
          <w:szCs w:val="20"/>
          <w:lang w:val="en-US"/>
        </w:rPr>
        <w:t>Brasil Verde</w:t>
      </w:r>
      <w:r w:rsidR="0003391C" w:rsidRPr="00FE50A6">
        <w:rPr>
          <w:rFonts w:cs="Arial"/>
          <w:i/>
          <w:iCs/>
          <w:szCs w:val="20"/>
          <w:lang w:val="en-US"/>
        </w:rPr>
        <w:t xml:space="preserve"> </w:t>
      </w:r>
      <w:r w:rsidRPr="00FE50A6">
        <w:rPr>
          <w:rFonts w:cs="Arial"/>
          <w:szCs w:val="20"/>
          <w:lang w:val="en-US"/>
        </w:rPr>
        <w:t>i</w:t>
      </w:r>
      <w:r w:rsidR="0003391C" w:rsidRPr="00FE50A6">
        <w:rPr>
          <w:rFonts w:cs="Arial"/>
          <w:szCs w:val="20"/>
          <w:lang w:val="en-US"/>
        </w:rPr>
        <w:t>n 1989</w:t>
      </w:r>
      <w:r w:rsidRPr="00FE50A6">
        <w:rPr>
          <w:rFonts w:cs="Arial"/>
          <w:szCs w:val="20"/>
          <w:lang w:val="en-US"/>
        </w:rPr>
        <w:t>.</w:t>
      </w:r>
      <w:r w:rsidR="0003391C" w:rsidRPr="00FE50A6">
        <w:rPr>
          <w:rStyle w:val="Refdenotaalpie"/>
          <w:rFonts w:cs="Arial"/>
          <w:lang w:val="en-US"/>
        </w:rPr>
        <w:footnoteReference w:id="119"/>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w:t>
      </w:r>
      <w:r w:rsidRPr="00FE50A6">
        <w:rPr>
          <w:rFonts w:cs="Arial"/>
          <w:szCs w:val="20"/>
          <w:lang w:val="en-US"/>
        </w:rPr>
        <w:t>Federal Police Department</w:t>
      </w:r>
      <w:r w:rsidR="0003391C" w:rsidRPr="00FE50A6">
        <w:rPr>
          <w:rFonts w:cs="Arial"/>
          <w:szCs w:val="20"/>
          <w:lang w:val="en-US"/>
        </w:rPr>
        <w:t xml:space="preserve"> </w:t>
      </w:r>
      <w:r w:rsidRPr="00FE50A6">
        <w:rPr>
          <w:rFonts w:cs="Arial"/>
          <w:szCs w:val="20"/>
          <w:lang w:val="en-US"/>
        </w:rPr>
        <w:t xml:space="preserve">advised that it had not verified the presence of slave labor and that the investigation was being supervised by the </w:t>
      </w:r>
      <w:r w:rsidR="0003391C" w:rsidRPr="00FE50A6">
        <w:rPr>
          <w:rFonts w:cs="Arial"/>
          <w:szCs w:val="20"/>
          <w:lang w:val="en-US"/>
        </w:rPr>
        <w:t>Superintendenc</w:t>
      </w:r>
      <w:r w:rsidRPr="00FE50A6">
        <w:rPr>
          <w:rFonts w:cs="Arial"/>
          <w:szCs w:val="20"/>
          <w:lang w:val="en-US"/>
        </w:rPr>
        <w:t>e</w:t>
      </w:r>
      <w:r w:rsidR="00703850" w:rsidRPr="00FE50A6">
        <w:rPr>
          <w:rFonts w:cs="Arial"/>
          <w:szCs w:val="20"/>
          <w:lang w:val="en-US"/>
        </w:rPr>
        <w:t xml:space="preserve"> of the </w:t>
      </w:r>
      <w:r w:rsidR="008B65CD" w:rsidRPr="00FE50A6">
        <w:rPr>
          <w:rFonts w:cs="Arial"/>
          <w:szCs w:val="20"/>
          <w:lang w:val="en-US"/>
        </w:rPr>
        <w:t>state of Pará</w:t>
      </w:r>
      <w:r w:rsidR="001B2B79" w:rsidRPr="00FE50A6">
        <w:rPr>
          <w:rFonts w:cs="Arial"/>
          <w:szCs w:val="20"/>
          <w:lang w:val="en-US"/>
        </w:rPr>
        <w:t>,</w:t>
      </w:r>
      <w:r w:rsidR="0003391C" w:rsidRPr="00FE50A6">
        <w:rPr>
          <w:rFonts w:cs="Arial"/>
          <w:szCs w:val="20"/>
          <w:lang w:val="en-US"/>
        </w:rPr>
        <w:t xml:space="preserve"> </w:t>
      </w:r>
      <w:r w:rsidRPr="00FE50A6">
        <w:rPr>
          <w:rFonts w:cs="Arial"/>
          <w:szCs w:val="20"/>
          <w:lang w:val="en-US"/>
        </w:rPr>
        <w:t>with nothing new of any significance at that time</w:t>
      </w:r>
      <w:r w:rsidR="00FA1124" w:rsidRPr="00FE50A6">
        <w:rPr>
          <w:rFonts w:cs="Arial"/>
          <w:szCs w:val="20"/>
          <w:lang w:val="en-US"/>
        </w:rPr>
        <w:t xml:space="preserve"> to report</w:t>
      </w:r>
      <w:r w:rsidRPr="00FE50A6">
        <w:rPr>
          <w:rFonts w:cs="Arial"/>
          <w:szCs w:val="20"/>
          <w:lang w:val="en-US"/>
        </w:rPr>
        <w:t>.</w:t>
      </w:r>
      <w:r w:rsidR="0003391C" w:rsidRPr="00FE50A6">
        <w:rPr>
          <w:rStyle w:val="Refdenotaalpie"/>
          <w:rFonts w:cs="Arial"/>
          <w:bCs/>
          <w:lang w:val="en-US"/>
        </w:rPr>
        <w:footnoteReference w:id="120"/>
      </w:r>
    </w:p>
    <w:p w14:paraId="337B75E4"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22666FCA" w14:textId="77777777" w:rsidR="0003391C" w:rsidRPr="00FE50A6" w:rsidRDefault="00164F75" w:rsidP="008622F3">
      <w:pPr>
        <w:pStyle w:val="Ttulo3"/>
        <w:rPr>
          <w:lang w:val="en-US"/>
        </w:rPr>
      </w:pPr>
      <w:bookmarkStart w:id="227" w:name="_Toc460433008"/>
      <w:bookmarkStart w:id="228" w:name="_Toc460441939"/>
      <w:bookmarkStart w:id="229" w:name="_Toc462750757"/>
      <w:bookmarkStart w:id="230" w:name="_Toc462751081"/>
      <w:bookmarkStart w:id="231" w:name="_Toc464813933"/>
      <w:r w:rsidRPr="00FE50A6">
        <w:rPr>
          <w:b w:val="0"/>
          <w:lang w:val="en-US"/>
        </w:rPr>
        <w:t>The visit to</w:t>
      </w:r>
      <w:r w:rsidR="0003391C" w:rsidRPr="00FE50A6">
        <w:rPr>
          <w:b w:val="0"/>
          <w:lang w:val="en-US"/>
        </w:rPr>
        <w:t xml:space="preserve"> Hacienda </w:t>
      </w:r>
      <w:r w:rsidR="00322241" w:rsidRPr="00FE50A6">
        <w:rPr>
          <w:b w:val="0"/>
          <w:lang w:val="en-US"/>
        </w:rPr>
        <w:t>Brasil Verde</w:t>
      </w:r>
      <w:r w:rsidR="00030C17" w:rsidRPr="00FE50A6">
        <w:rPr>
          <w:b w:val="0"/>
          <w:lang w:val="en-US"/>
        </w:rPr>
        <w:t xml:space="preserve"> and </w:t>
      </w:r>
      <w:r w:rsidRPr="00FE50A6">
        <w:rPr>
          <w:b w:val="0"/>
          <w:lang w:val="en-US"/>
        </w:rPr>
        <w:t>the actions</w:t>
      </w:r>
      <w:r w:rsidR="00FA1124" w:rsidRPr="00FE50A6">
        <w:rPr>
          <w:b w:val="0"/>
          <w:lang w:val="en-US"/>
        </w:rPr>
        <w:t xml:space="preserve"> taken</w:t>
      </w:r>
      <w:r w:rsidRPr="00FE50A6">
        <w:rPr>
          <w:b w:val="0"/>
          <w:lang w:val="en-US"/>
        </w:rPr>
        <w:t xml:space="preserve"> in</w:t>
      </w:r>
      <w:r w:rsidR="0003391C" w:rsidRPr="00FE50A6">
        <w:rPr>
          <w:b w:val="0"/>
          <w:lang w:val="en-US"/>
        </w:rPr>
        <w:t xml:space="preserve"> 1993</w:t>
      </w:r>
      <w:bookmarkEnd w:id="227"/>
      <w:bookmarkEnd w:id="228"/>
      <w:bookmarkEnd w:id="229"/>
      <w:bookmarkEnd w:id="230"/>
      <w:bookmarkEnd w:id="231"/>
      <w:r w:rsidR="0003391C" w:rsidRPr="00FE50A6">
        <w:rPr>
          <w:lang w:val="en-US"/>
        </w:rPr>
        <w:t xml:space="preserve"> </w:t>
      </w:r>
    </w:p>
    <w:p w14:paraId="4EDB688E" w14:textId="77777777" w:rsidR="0003391C" w:rsidRPr="00FE50A6" w:rsidRDefault="0003391C" w:rsidP="00140440">
      <w:pPr>
        <w:pStyle w:val="Prrafodelista"/>
        <w:contextualSpacing w:val="0"/>
        <w:rPr>
          <w:rFonts w:cs="Arial"/>
          <w:szCs w:val="20"/>
          <w:lang w:val="en-US"/>
        </w:rPr>
      </w:pPr>
    </w:p>
    <w:p w14:paraId="5246F710" w14:textId="77777777" w:rsidR="0003391C" w:rsidRPr="00FE50A6" w:rsidRDefault="00164F75" w:rsidP="00164F75">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lastRenderedPageBreak/>
        <w:t>On August 2,</w:t>
      </w:r>
      <w:r w:rsidR="0003391C" w:rsidRPr="00FE50A6">
        <w:rPr>
          <w:rFonts w:cs="Arial"/>
          <w:szCs w:val="20"/>
          <w:lang w:val="en-US"/>
        </w:rPr>
        <w:t xml:space="preserve"> 1993</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 Regional Labor Delegation</w:t>
      </w:r>
      <w:r w:rsidR="0003391C" w:rsidRPr="00FE50A6">
        <w:rPr>
          <w:rFonts w:cs="Arial"/>
          <w:szCs w:val="20"/>
          <w:lang w:val="en-US"/>
        </w:rPr>
        <w:t xml:space="preserve"> (</w:t>
      </w:r>
      <w:r w:rsidR="000228D0" w:rsidRPr="00FE50A6">
        <w:rPr>
          <w:rFonts w:cs="Arial"/>
          <w:szCs w:val="20"/>
          <w:lang w:val="en-US"/>
        </w:rPr>
        <w:t>hereinafter</w:t>
      </w:r>
      <w:r w:rsidR="0003391C" w:rsidRPr="00FE50A6">
        <w:rPr>
          <w:rFonts w:cs="Arial"/>
          <w:szCs w:val="20"/>
          <w:lang w:val="en-US"/>
        </w:rPr>
        <w:t xml:space="preserve"> </w:t>
      </w:r>
      <w:r w:rsidR="009C48A4" w:rsidRPr="00FE50A6">
        <w:rPr>
          <w:rFonts w:cs="Arial"/>
          <w:szCs w:val="20"/>
          <w:lang w:val="en-US"/>
        </w:rPr>
        <w:t>“</w:t>
      </w:r>
      <w:r w:rsidR="0016402A" w:rsidRPr="00FE50A6">
        <w:rPr>
          <w:rFonts w:cs="Arial"/>
          <w:szCs w:val="20"/>
          <w:lang w:val="en-US"/>
        </w:rPr>
        <w:t xml:space="preserve">the </w:t>
      </w:r>
      <w:r w:rsidR="0003391C" w:rsidRPr="00FE50A6">
        <w:rPr>
          <w:rFonts w:cs="Arial"/>
          <w:szCs w:val="20"/>
          <w:lang w:val="en-US"/>
        </w:rPr>
        <w:t>DRT</w:t>
      </w:r>
      <w:r w:rsidR="009C48A4" w:rsidRPr="00FE50A6">
        <w:rPr>
          <w:rFonts w:cs="Arial"/>
          <w:szCs w:val="20"/>
          <w:lang w:val="en-US"/>
        </w:rPr>
        <w:t>”</w:t>
      </w:r>
      <w:r w:rsidR="0003391C" w:rsidRPr="00FE50A6">
        <w:rPr>
          <w:rFonts w:cs="Arial"/>
          <w:szCs w:val="20"/>
          <w:lang w:val="en-US"/>
        </w:rPr>
        <w:t>)</w:t>
      </w:r>
      <w:r w:rsidR="00703850" w:rsidRPr="00FE50A6">
        <w:rPr>
          <w:rFonts w:cs="Arial"/>
          <w:szCs w:val="20"/>
          <w:lang w:val="en-US"/>
        </w:rPr>
        <w:t xml:space="preserve"> of the </w:t>
      </w:r>
      <w:r w:rsidR="008B65CD" w:rsidRPr="00FE50A6">
        <w:rPr>
          <w:rFonts w:cs="Arial"/>
          <w:szCs w:val="20"/>
          <w:lang w:val="en-US"/>
        </w:rPr>
        <w:t>state of Pará</w:t>
      </w:r>
      <w:r w:rsidR="0003391C" w:rsidRPr="00FE50A6">
        <w:rPr>
          <w:rFonts w:cs="Arial"/>
          <w:szCs w:val="20"/>
          <w:lang w:val="en-US"/>
        </w:rPr>
        <w:t xml:space="preserve"> </w:t>
      </w:r>
      <w:r w:rsidRPr="00FE50A6">
        <w:rPr>
          <w:rFonts w:cs="Arial"/>
          <w:szCs w:val="20"/>
          <w:lang w:val="en-US"/>
        </w:rPr>
        <w:t xml:space="preserve">advised </w:t>
      </w:r>
      <w:r w:rsidR="00ED68DA" w:rsidRPr="00FE50A6">
        <w:rPr>
          <w:rFonts w:cs="Arial"/>
          <w:szCs w:val="20"/>
          <w:lang w:val="en-US"/>
        </w:rPr>
        <w:t xml:space="preserve">the Prosecutor General </w:t>
      </w:r>
      <w:r w:rsidRPr="00FE50A6">
        <w:rPr>
          <w:rFonts w:cs="Arial"/>
          <w:szCs w:val="20"/>
          <w:lang w:val="en-US"/>
        </w:rPr>
        <w:t>that, between June 26 and July 3, 1993, it had conducted inspection visits to several haciendas, including Hacienda Brasil Verde, with four federal police agents.</w:t>
      </w:r>
      <w:r w:rsidR="0003391C" w:rsidRPr="00FE50A6">
        <w:rPr>
          <w:rStyle w:val="Refdenotaalpie"/>
          <w:rFonts w:cs="Arial"/>
          <w:lang w:val="en-US"/>
        </w:rPr>
        <w:footnoteReference w:id="121"/>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DRT </w:t>
      </w:r>
      <w:r w:rsidRPr="00FE50A6">
        <w:rPr>
          <w:rFonts w:cs="Arial"/>
          <w:szCs w:val="20"/>
          <w:lang w:val="en-US"/>
        </w:rPr>
        <w:t xml:space="preserve">indicated that the practice of slavery had not been </w:t>
      </w:r>
      <w:r w:rsidR="0016402A" w:rsidRPr="00FE50A6">
        <w:rPr>
          <w:rFonts w:cs="Arial"/>
          <w:szCs w:val="20"/>
          <w:lang w:val="en-US"/>
        </w:rPr>
        <w:t>identified</w:t>
      </w:r>
      <w:r w:rsidRPr="00FE50A6">
        <w:rPr>
          <w:rFonts w:cs="Arial"/>
          <w:szCs w:val="20"/>
          <w:lang w:val="en-US"/>
        </w:rPr>
        <w:t xml:space="preserve">, but 49 workers had been found without their work records </w:t>
      </w:r>
      <w:r w:rsidR="0016402A" w:rsidRPr="00FE50A6">
        <w:rPr>
          <w:rFonts w:cs="Arial"/>
          <w:szCs w:val="20"/>
          <w:lang w:val="en-US"/>
        </w:rPr>
        <w:t>or</w:t>
      </w:r>
      <w:r w:rsidRPr="00FE50A6">
        <w:rPr>
          <w:rFonts w:cs="Arial"/>
          <w:szCs w:val="20"/>
          <w:lang w:val="en-US"/>
        </w:rPr>
        <w:t xml:space="preserve"> work </w:t>
      </w:r>
      <w:r w:rsidR="00C23CE5" w:rsidRPr="00FE50A6">
        <w:rPr>
          <w:rFonts w:cs="Arial"/>
          <w:szCs w:val="20"/>
          <w:lang w:val="en-US"/>
        </w:rPr>
        <w:t>permits</w:t>
      </w:r>
      <w:r w:rsidRPr="00FE50A6">
        <w:rPr>
          <w:rFonts w:cs="Arial"/>
          <w:szCs w:val="20"/>
          <w:lang w:val="en-US"/>
        </w:rPr>
        <w:t xml:space="preserve"> (CTPs). It also indicated that, during the procedure, it had ordered the return to their place of origin of several workers who had been hired irregularly and who had indicated their wish to leave the hacienda.</w:t>
      </w:r>
      <w:r w:rsidR="0003391C" w:rsidRPr="00FE50A6">
        <w:rPr>
          <w:rStyle w:val="Refdenotaalpie"/>
          <w:rFonts w:cs="Arial"/>
          <w:lang w:val="en-US"/>
        </w:rPr>
        <w:footnoteReference w:id="122"/>
      </w:r>
      <w:r w:rsidRPr="00FE50A6">
        <w:rPr>
          <w:rFonts w:cs="Arial"/>
          <w:szCs w:val="20"/>
          <w:lang w:val="en-US"/>
        </w:rPr>
        <w:t xml:space="preserve"> There was no </w:t>
      </w:r>
      <w:r w:rsidR="0016402A" w:rsidRPr="00FE50A6">
        <w:rPr>
          <w:rFonts w:cs="Arial"/>
          <w:szCs w:val="20"/>
          <w:lang w:val="en-US"/>
        </w:rPr>
        <w:t>record</w:t>
      </w:r>
      <w:r w:rsidRPr="00FE50A6">
        <w:rPr>
          <w:rFonts w:cs="Arial"/>
          <w:szCs w:val="20"/>
          <w:lang w:val="en-US"/>
        </w:rPr>
        <w:t xml:space="preserve"> of the names of the workers who did not have their work </w:t>
      </w:r>
      <w:r w:rsidR="0016402A" w:rsidRPr="00FE50A6">
        <w:rPr>
          <w:rFonts w:cs="Arial"/>
          <w:szCs w:val="20"/>
          <w:lang w:val="en-US"/>
        </w:rPr>
        <w:t>permits</w:t>
      </w:r>
      <w:r w:rsidRPr="00FE50A6">
        <w:rPr>
          <w:rFonts w:cs="Arial"/>
          <w:szCs w:val="20"/>
          <w:lang w:val="en-US"/>
        </w:rPr>
        <w:t>, or of those who were sent back to their place of origin.</w:t>
      </w:r>
    </w:p>
    <w:p w14:paraId="0780F4BC"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7939948E" w14:textId="77777777" w:rsidR="0003391C" w:rsidRPr="00FE50A6" w:rsidRDefault="00164F75" w:rsidP="008622F3">
      <w:pPr>
        <w:pStyle w:val="Ttulo3"/>
        <w:rPr>
          <w:lang w:val="en-US"/>
        </w:rPr>
      </w:pPr>
      <w:bookmarkStart w:id="232" w:name="_Toc460433009"/>
      <w:bookmarkStart w:id="233" w:name="_Toc460441940"/>
      <w:bookmarkStart w:id="234" w:name="_Toc462750758"/>
      <w:bookmarkStart w:id="235" w:name="_Toc462751082"/>
      <w:bookmarkStart w:id="236" w:name="_Toc464813934"/>
      <w:r w:rsidRPr="00FE50A6">
        <w:rPr>
          <w:b w:val="0"/>
          <w:lang w:val="en-US"/>
        </w:rPr>
        <w:t>Actions in</w:t>
      </w:r>
      <w:r w:rsidR="0003391C" w:rsidRPr="00FE50A6">
        <w:rPr>
          <w:b w:val="0"/>
          <w:lang w:val="en-US"/>
        </w:rPr>
        <w:t xml:space="preserve"> 1994</w:t>
      </w:r>
      <w:bookmarkEnd w:id="232"/>
      <w:bookmarkEnd w:id="233"/>
      <w:bookmarkEnd w:id="234"/>
      <w:bookmarkEnd w:id="235"/>
      <w:bookmarkEnd w:id="236"/>
    </w:p>
    <w:p w14:paraId="3104F7A2" w14:textId="77777777" w:rsidR="0003391C" w:rsidRPr="00FE50A6" w:rsidRDefault="0003391C" w:rsidP="00140440">
      <w:pPr>
        <w:pStyle w:val="Prrafodelista"/>
        <w:autoSpaceDE w:val="0"/>
        <w:autoSpaceDN w:val="0"/>
        <w:adjustRightInd w:val="0"/>
        <w:contextualSpacing w:val="0"/>
        <w:rPr>
          <w:rFonts w:cs="Arial"/>
          <w:szCs w:val="20"/>
          <w:lang w:val="en-US"/>
        </w:rPr>
      </w:pPr>
    </w:p>
    <w:p w14:paraId="269CD8FF" w14:textId="77777777" w:rsidR="0003391C" w:rsidRPr="00FE50A6" w:rsidRDefault="00164F75"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April 25,</w:t>
      </w:r>
      <w:r w:rsidR="0003391C" w:rsidRPr="00FE50A6">
        <w:rPr>
          <w:rFonts w:cs="Arial"/>
          <w:szCs w:val="20"/>
          <w:lang w:val="en-US"/>
        </w:rPr>
        <w:t xml:space="preserve"> 1994</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 Assistant Prosecutor</w:t>
      </w:r>
      <w:r w:rsidR="0003391C" w:rsidRPr="00FE50A6">
        <w:rPr>
          <w:rFonts w:cs="Arial"/>
          <w:szCs w:val="20"/>
          <w:lang w:val="en-US"/>
        </w:rPr>
        <w:t xml:space="preserve"> General </w:t>
      </w:r>
      <w:r w:rsidR="006E27EA" w:rsidRPr="00FE50A6">
        <w:rPr>
          <w:rFonts w:cs="Arial"/>
          <w:szCs w:val="20"/>
          <w:lang w:val="en-US"/>
        </w:rPr>
        <w:t>of the Republic</w:t>
      </w:r>
      <w:r w:rsidR="0003391C" w:rsidRPr="00FE50A6">
        <w:rPr>
          <w:rFonts w:cs="Arial"/>
          <w:szCs w:val="20"/>
          <w:lang w:val="en-US"/>
        </w:rPr>
        <w:t xml:space="preserve"> </w:t>
      </w:r>
      <w:r w:rsidRPr="00FE50A6">
        <w:rPr>
          <w:rFonts w:cs="Arial"/>
          <w:szCs w:val="20"/>
          <w:lang w:val="en-US"/>
        </w:rPr>
        <w:t xml:space="preserve">sent a letter </w:t>
      </w:r>
      <w:r w:rsidR="00F30B59" w:rsidRPr="00FE50A6">
        <w:rPr>
          <w:rFonts w:cs="Arial"/>
          <w:szCs w:val="20"/>
          <w:lang w:val="en-US"/>
        </w:rPr>
        <w:t>to the</w:t>
      </w:r>
      <w:r w:rsidR="0003391C" w:rsidRPr="00FE50A6">
        <w:rPr>
          <w:rFonts w:cs="Arial"/>
          <w:szCs w:val="20"/>
          <w:lang w:val="en-US"/>
        </w:rPr>
        <w:t xml:space="preserve"> </w:t>
      </w:r>
      <w:r w:rsidR="00E70935">
        <w:rPr>
          <w:rFonts w:eastAsia="Batang" w:cs="Times"/>
          <w:i/>
          <w:szCs w:val="24"/>
          <w:lang w:val="en-US"/>
        </w:rPr>
        <w:t>Comissão Pastoral da Terra</w:t>
      </w:r>
      <w:r w:rsidR="0016402A" w:rsidRPr="00FE50A6">
        <w:rPr>
          <w:rFonts w:eastAsia="Batang" w:cs="Times"/>
          <w:szCs w:val="24"/>
          <w:lang w:val="en-US"/>
        </w:rPr>
        <w:t xml:space="preserve"> </w:t>
      </w:r>
      <w:r w:rsidR="00F30B59" w:rsidRPr="00FE50A6">
        <w:rPr>
          <w:rFonts w:cs="Arial"/>
          <w:szCs w:val="20"/>
          <w:lang w:val="en-US"/>
        </w:rPr>
        <w:t xml:space="preserve">attaching a report </w:t>
      </w:r>
      <w:r w:rsidR="0016402A" w:rsidRPr="00FE50A6">
        <w:rPr>
          <w:rFonts w:cs="Arial"/>
          <w:szCs w:val="20"/>
          <w:lang w:val="en-US"/>
        </w:rPr>
        <w:t>dated</w:t>
      </w:r>
      <w:r w:rsidR="00F30B59" w:rsidRPr="00FE50A6">
        <w:rPr>
          <w:rFonts w:cs="Arial"/>
          <w:szCs w:val="20"/>
          <w:lang w:val="en-US"/>
        </w:rPr>
        <w:t xml:space="preserve"> March 29, </w:t>
      </w:r>
      <w:r w:rsidR="0003391C" w:rsidRPr="00FE50A6">
        <w:rPr>
          <w:rFonts w:cs="Arial"/>
          <w:szCs w:val="20"/>
          <w:lang w:val="en-US"/>
        </w:rPr>
        <w:t>1994</w:t>
      </w:r>
      <w:r w:rsidR="00F30B59" w:rsidRPr="00FE50A6">
        <w:rPr>
          <w:rFonts w:cs="Arial"/>
          <w:szCs w:val="20"/>
          <w:lang w:val="en-US"/>
        </w:rPr>
        <w:t xml:space="preserve">, on the visits made to </w:t>
      </w:r>
      <w:r w:rsidR="0003391C" w:rsidRPr="00FE50A6">
        <w:rPr>
          <w:rFonts w:cs="Arial"/>
          <w:szCs w:val="20"/>
          <w:lang w:val="en-US"/>
        </w:rPr>
        <w:t xml:space="preserve">Hacienda </w:t>
      </w:r>
      <w:r w:rsidR="00322241" w:rsidRPr="00FE50A6">
        <w:rPr>
          <w:rFonts w:cs="Arial"/>
          <w:szCs w:val="20"/>
          <w:lang w:val="en-US"/>
        </w:rPr>
        <w:t>Brasil Verde</w:t>
      </w:r>
      <w:r w:rsidR="0003391C" w:rsidRPr="00FE50A6">
        <w:rPr>
          <w:rFonts w:cs="Arial"/>
          <w:szCs w:val="20"/>
          <w:lang w:val="en-US"/>
        </w:rPr>
        <w:t xml:space="preserve"> </w:t>
      </w:r>
      <w:r w:rsidR="00F30B59" w:rsidRPr="00FE50A6">
        <w:rPr>
          <w:rFonts w:cs="Arial"/>
          <w:szCs w:val="20"/>
          <w:lang w:val="en-US"/>
        </w:rPr>
        <w:t>i</w:t>
      </w:r>
      <w:r w:rsidR="0003391C" w:rsidRPr="00FE50A6">
        <w:rPr>
          <w:rFonts w:cs="Arial"/>
          <w:szCs w:val="20"/>
          <w:lang w:val="en-US"/>
        </w:rPr>
        <w:t>n 1989</w:t>
      </w:r>
      <w:r w:rsidR="00030C17" w:rsidRPr="00FE50A6">
        <w:rPr>
          <w:rFonts w:cs="Arial"/>
          <w:szCs w:val="20"/>
          <w:lang w:val="en-US"/>
        </w:rPr>
        <w:t xml:space="preserve"> and </w:t>
      </w:r>
      <w:r w:rsidR="0003391C" w:rsidRPr="00FE50A6">
        <w:rPr>
          <w:rFonts w:cs="Arial"/>
          <w:szCs w:val="20"/>
          <w:lang w:val="en-US"/>
        </w:rPr>
        <w:t>1993</w:t>
      </w:r>
      <w:r w:rsidR="00F30B59" w:rsidRPr="00FE50A6">
        <w:rPr>
          <w:rFonts w:cs="Arial"/>
          <w:szCs w:val="20"/>
          <w:lang w:val="en-US"/>
        </w:rPr>
        <w:t>.</w:t>
      </w:r>
      <w:r w:rsidR="0003391C" w:rsidRPr="00FE50A6">
        <w:rPr>
          <w:rStyle w:val="Refdenotaalpie"/>
          <w:rFonts w:cs="Arial"/>
          <w:lang w:val="en-US"/>
        </w:rPr>
        <w:footnoteReference w:id="123"/>
      </w:r>
      <w:r w:rsidR="0003391C" w:rsidRPr="00FE50A6">
        <w:rPr>
          <w:rFonts w:cs="Arial"/>
          <w:szCs w:val="20"/>
          <w:lang w:val="en-US"/>
        </w:rPr>
        <w:t xml:space="preserve"> </w:t>
      </w:r>
    </w:p>
    <w:p w14:paraId="6A3D6BA0"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5156D3C8" w14:textId="77777777" w:rsidR="0003391C" w:rsidRPr="00FE50A6" w:rsidRDefault="00F30B59"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The report indicated that the actions of the Federal Police during the 1989 visit to </w:t>
      </w:r>
      <w:r w:rsidR="0003391C" w:rsidRPr="00FE50A6">
        <w:rPr>
          <w:rFonts w:cs="Arial"/>
          <w:szCs w:val="20"/>
          <w:lang w:val="en-US"/>
        </w:rPr>
        <w:t xml:space="preserve">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 xml:space="preserve">had been insufficient because they had not taken note of the statements </w:t>
      </w:r>
      <w:r w:rsidR="00166478" w:rsidRPr="00FE50A6">
        <w:rPr>
          <w:rFonts w:cs="Arial"/>
          <w:szCs w:val="20"/>
          <w:lang w:val="en-US"/>
        </w:rPr>
        <w:t>made by</w:t>
      </w:r>
      <w:r w:rsidRPr="00FE50A6">
        <w:rPr>
          <w:rFonts w:cs="Arial"/>
          <w:szCs w:val="20"/>
          <w:lang w:val="en-US"/>
        </w:rPr>
        <w:t xml:space="preserve"> the workers and </w:t>
      </w:r>
      <w:r w:rsidR="00166478" w:rsidRPr="00FE50A6">
        <w:rPr>
          <w:rFonts w:cs="Arial"/>
          <w:szCs w:val="20"/>
          <w:lang w:val="en-US"/>
        </w:rPr>
        <w:t xml:space="preserve">had </w:t>
      </w:r>
      <w:r w:rsidRPr="00FE50A6">
        <w:rPr>
          <w:rFonts w:cs="Arial"/>
          <w:szCs w:val="20"/>
          <w:lang w:val="en-US"/>
        </w:rPr>
        <w:t>failed to draw up a list with their name and personal details</w:t>
      </w:r>
      <w:r w:rsidR="00FA1124" w:rsidRPr="00FE50A6">
        <w:rPr>
          <w:rFonts w:cs="Arial"/>
          <w:szCs w:val="20"/>
          <w:lang w:val="en-US"/>
        </w:rPr>
        <w:t>. Furthermore,</w:t>
      </w:r>
      <w:r w:rsidR="00166478" w:rsidRPr="00FE50A6">
        <w:rPr>
          <w:rFonts w:cs="Arial"/>
          <w:szCs w:val="20"/>
          <w:lang w:val="en-US"/>
        </w:rPr>
        <w:t xml:space="preserve"> </w:t>
      </w:r>
      <w:r w:rsidRPr="00FE50A6">
        <w:rPr>
          <w:rFonts w:cs="Arial"/>
          <w:szCs w:val="20"/>
          <w:lang w:val="en-US"/>
        </w:rPr>
        <w:t xml:space="preserve">they had not taken a statement from the manager of the hacienda, and had not </w:t>
      </w:r>
      <w:r w:rsidR="00166478" w:rsidRPr="00FE50A6">
        <w:rPr>
          <w:rFonts w:cs="Arial"/>
          <w:szCs w:val="20"/>
          <w:lang w:val="en-US"/>
        </w:rPr>
        <w:t>asked to see</w:t>
      </w:r>
      <w:r w:rsidRPr="00FE50A6">
        <w:rPr>
          <w:rFonts w:cs="Arial"/>
          <w:szCs w:val="20"/>
          <w:lang w:val="en-US"/>
        </w:rPr>
        <w:t xml:space="preserve"> the work contracts. In addition, they had taken no steps to </w:t>
      </w:r>
      <w:r w:rsidR="00FA1124" w:rsidRPr="00FE50A6">
        <w:rPr>
          <w:rFonts w:cs="Arial"/>
          <w:szCs w:val="20"/>
          <w:lang w:val="en-US"/>
        </w:rPr>
        <w:t>look for</w:t>
      </w:r>
      <w:r w:rsidRPr="00FE50A6">
        <w:rPr>
          <w:rFonts w:cs="Arial"/>
          <w:szCs w:val="20"/>
          <w:lang w:val="en-US"/>
        </w:rPr>
        <w:t xml:space="preserve"> the adolescents who had disappeared</w:t>
      </w:r>
      <w:r w:rsidR="00166478" w:rsidRPr="00FE50A6">
        <w:rPr>
          <w:rFonts w:cs="Arial"/>
          <w:szCs w:val="20"/>
          <w:lang w:val="en-US"/>
        </w:rPr>
        <w:t>,</w:t>
      </w:r>
      <w:r w:rsidRPr="00FE50A6">
        <w:rPr>
          <w:rFonts w:cs="Arial"/>
          <w:szCs w:val="20"/>
          <w:lang w:val="en-US"/>
        </w:rPr>
        <w:t xml:space="preserve"> and had not </w:t>
      </w:r>
      <w:r w:rsidR="00FA1124" w:rsidRPr="00FE50A6">
        <w:rPr>
          <w:rFonts w:cs="Arial"/>
          <w:szCs w:val="20"/>
          <w:lang w:val="en-US"/>
        </w:rPr>
        <w:t>searched</w:t>
      </w:r>
      <w:r w:rsidRPr="00FE50A6">
        <w:rPr>
          <w:rFonts w:cs="Arial"/>
          <w:szCs w:val="20"/>
          <w:lang w:val="en-US"/>
        </w:rPr>
        <w:t xml:space="preserve"> for weapons in the hacienda or verified the prices of the products in the store.</w:t>
      </w:r>
      <w:r w:rsidR="0003391C" w:rsidRPr="00FE50A6">
        <w:rPr>
          <w:rStyle w:val="Refdenotaalpie"/>
          <w:rFonts w:cs="Arial"/>
          <w:lang w:val="en-US"/>
        </w:rPr>
        <w:footnoteReference w:id="124"/>
      </w:r>
      <w:r w:rsidR="0003391C" w:rsidRPr="00FE50A6">
        <w:rPr>
          <w:rFonts w:cs="Arial"/>
          <w:szCs w:val="20"/>
          <w:lang w:val="en-US"/>
        </w:rPr>
        <w:t xml:space="preserve"> </w:t>
      </w:r>
    </w:p>
    <w:p w14:paraId="0B0786C3" w14:textId="77777777" w:rsidR="0003391C" w:rsidRPr="00FE50A6" w:rsidRDefault="0003391C" w:rsidP="00140440">
      <w:pPr>
        <w:pStyle w:val="Prrafodelista"/>
        <w:contextualSpacing w:val="0"/>
        <w:rPr>
          <w:rFonts w:cs="Arial"/>
          <w:szCs w:val="20"/>
          <w:lang w:val="en-US"/>
        </w:rPr>
      </w:pPr>
    </w:p>
    <w:p w14:paraId="3AC997EB" w14:textId="77777777" w:rsidR="0003391C" w:rsidRPr="00FE50A6" w:rsidRDefault="00F30B59" w:rsidP="00F30B59">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The report added that the failure to pay </w:t>
      </w:r>
      <w:r w:rsidR="00FA1124" w:rsidRPr="00FE50A6">
        <w:rPr>
          <w:rFonts w:cs="Arial"/>
          <w:szCs w:val="20"/>
          <w:lang w:val="en-US"/>
        </w:rPr>
        <w:t>wage</w:t>
      </w:r>
      <w:r w:rsidRPr="00FE50A6">
        <w:rPr>
          <w:rFonts w:cs="Arial"/>
          <w:szCs w:val="20"/>
          <w:lang w:val="en-US"/>
        </w:rPr>
        <w:t xml:space="preserve">s, the flight of the </w:t>
      </w:r>
      <w:r w:rsidRPr="00FE50A6">
        <w:rPr>
          <w:rFonts w:cs="Arial"/>
          <w:i/>
          <w:szCs w:val="20"/>
          <w:lang w:val="en-US"/>
        </w:rPr>
        <w:t>gato</w:t>
      </w:r>
      <w:r w:rsidRPr="00FE50A6">
        <w:rPr>
          <w:rFonts w:cs="Arial"/>
          <w:szCs w:val="20"/>
          <w:lang w:val="en-US"/>
        </w:rPr>
        <w:t xml:space="preserve"> while the visit was underway, and the dispute regarding the </w:t>
      </w:r>
      <w:r w:rsidR="00FA1124" w:rsidRPr="00FE50A6">
        <w:rPr>
          <w:rFonts w:cs="Arial"/>
          <w:szCs w:val="20"/>
          <w:lang w:val="en-US"/>
        </w:rPr>
        <w:t>escape</w:t>
      </w:r>
      <w:r w:rsidRPr="00FE50A6">
        <w:rPr>
          <w:rFonts w:cs="Arial"/>
          <w:szCs w:val="20"/>
          <w:lang w:val="en-US"/>
        </w:rPr>
        <w:t xml:space="preserve"> or abandonment </w:t>
      </w:r>
      <w:r w:rsidR="00F06A54" w:rsidRPr="00FE50A6">
        <w:rPr>
          <w:rFonts w:cs="Arial"/>
          <w:szCs w:val="20"/>
          <w:lang w:val="en-US"/>
        </w:rPr>
        <w:t xml:space="preserve">of their work by the workers justified the opening of a police investigation into a possible unlawful </w:t>
      </w:r>
      <w:r w:rsidR="00166478" w:rsidRPr="00FE50A6">
        <w:rPr>
          <w:rFonts w:cs="Arial"/>
          <w:szCs w:val="20"/>
          <w:lang w:val="en-US"/>
        </w:rPr>
        <w:t xml:space="preserve">labor </w:t>
      </w:r>
      <w:r w:rsidR="00F06A54" w:rsidRPr="00FE50A6">
        <w:rPr>
          <w:rFonts w:cs="Arial"/>
          <w:szCs w:val="20"/>
          <w:lang w:val="en-US"/>
        </w:rPr>
        <w:t xml:space="preserve">practice and reduction to a condition similar to that of </w:t>
      </w:r>
      <w:r w:rsidR="00FA1124" w:rsidRPr="00FE50A6">
        <w:rPr>
          <w:rFonts w:cs="Arial"/>
          <w:szCs w:val="20"/>
          <w:lang w:val="en-US"/>
        </w:rPr>
        <w:t>slavery</w:t>
      </w:r>
      <w:r w:rsidR="00F06A54" w:rsidRPr="00FE50A6">
        <w:rPr>
          <w:rFonts w:cs="Arial"/>
          <w:szCs w:val="20"/>
          <w:lang w:val="en-US"/>
        </w:rPr>
        <w:t>. Nevertheless, it underscored that most of the offenses had already prescribed</w:t>
      </w:r>
      <w:r w:rsidR="00166478" w:rsidRPr="00FE50A6">
        <w:rPr>
          <w:rFonts w:cs="Arial"/>
          <w:szCs w:val="20"/>
          <w:lang w:val="en-US"/>
        </w:rPr>
        <w:t>; and, r</w:t>
      </w:r>
      <w:r w:rsidR="00F06A54" w:rsidRPr="00FE50A6">
        <w:rPr>
          <w:rFonts w:cs="Arial"/>
          <w:szCs w:val="20"/>
          <w:lang w:val="en-US"/>
        </w:rPr>
        <w:t xml:space="preserve">egarding the offense related to conditions </w:t>
      </w:r>
      <w:r w:rsidR="00FA1124" w:rsidRPr="00FE50A6">
        <w:rPr>
          <w:rFonts w:cs="Arial"/>
          <w:szCs w:val="20"/>
          <w:lang w:val="en-US"/>
        </w:rPr>
        <w:t>analogous</w:t>
      </w:r>
      <w:r w:rsidR="00F06A54" w:rsidRPr="00FE50A6">
        <w:rPr>
          <w:rFonts w:cs="Arial"/>
          <w:szCs w:val="20"/>
          <w:lang w:val="en-US"/>
        </w:rPr>
        <w:t xml:space="preserve"> that of </w:t>
      </w:r>
      <w:r w:rsidR="00FA1124" w:rsidRPr="00FE50A6">
        <w:rPr>
          <w:rFonts w:cs="Arial"/>
          <w:szCs w:val="20"/>
          <w:lang w:val="en-US"/>
        </w:rPr>
        <w:t xml:space="preserve">a </w:t>
      </w:r>
      <w:r w:rsidR="00F06A54" w:rsidRPr="00FE50A6">
        <w:rPr>
          <w:rFonts w:cs="Arial"/>
          <w:szCs w:val="20"/>
          <w:lang w:val="en-US"/>
        </w:rPr>
        <w:t xml:space="preserve">slave which had not yet prescribed, it was not feasible to prove its existence since more than five years had passed since the facts had occurred. Lastly, it emphasized that, regarding the 1993 inspection, the practice of slave labor </w:t>
      </w:r>
      <w:r w:rsidR="00166478" w:rsidRPr="00FE50A6">
        <w:rPr>
          <w:rFonts w:cs="Arial"/>
          <w:szCs w:val="20"/>
          <w:lang w:val="en-US"/>
        </w:rPr>
        <w:t>had not been</w:t>
      </w:r>
      <w:r w:rsidR="00F06A54" w:rsidRPr="00FE50A6">
        <w:rPr>
          <w:rFonts w:cs="Arial"/>
          <w:szCs w:val="20"/>
          <w:lang w:val="en-US"/>
        </w:rPr>
        <w:t xml:space="preserve"> </w:t>
      </w:r>
      <w:r w:rsidR="00166478" w:rsidRPr="00FE50A6">
        <w:rPr>
          <w:rFonts w:cs="Arial"/>
          <w:szCs w:val="20"/>
          <w:lang w:val="en-US"/>
        </w:rPr>
        <w:t>identified</w:t>
      </w:r>
      <w:r w:rsidR="00F06A54" w:rsidRPr="00FE50A6">
        <w:rPr>
          <w:rFonts w:cs="Arial"/>
          <w:szCs w:val="20"/>
          <w:lang w:val="en-US"/>
        </w:rPr>
        <w:t xml:space="preserve">; however, the practice of illegal recruitment </w:t>
      </w:r>
      <w:r w:rsidR="00166478" w:rsidRPr="00FE50A6">
        <w:rPr>
          <w:rFonts w:cs="Arial"/>
          <w:szCs w:val="20"/>
          <w:lang w:val="en-US"/>
        </w:rPr>
        <w:t>and</w:t>
      </w:r>
      <w:r w:rsidR="00F06A54" w:rsidRPr="00FE50A6">
        <w:rPr>
          <w:rFonts w:cs="Arial"/>
          <w:szCs w:val="20"/>
          <w:lang w:val="en-US"/>
        </w:rPr>
        <w:t xml:space="preserve"> violation of labor rights had been found.</w:t>
      </w:r>
      <w:r w:rsidR="0003391C" w:rsidRPr="00FE50A6">
        <w:rPr>
          <w:rStyle w:val="Refdenotaalpie"/>
          <w:rFonts w:cs="Arial"/>
          <w:lang w:val="en-US"/>
        </w:rPr>
        <w:footnoteReference w:id="125"/>
      </w:r>
    </w:p>
    <w:p w14:paraId="62D5EB3C" w14:textId="77777777" w:rsidR="0003391C" w:rsidRPr="00FE50A6" w:rsidRDefault="0003391C" w:rsidP="00140440">
      <w:pPr>
        <w:pStyle w:val="Prrafodelista"/>
        <w:autoSpaceDE w:val="0"/>
        <w:autoSpaceDN w:val="0"/>
        <w:adjustRightInd w:val="0"/>
        <w:ind w:left="0"/>
        <w:contextualSpacing w:val="0"/>
        <w:rPr>
          <w:rFonts w:cs="Arial"/>
          <w:i/>
          <w:iCs/>
          <w:szCs w:val="20"/>
          <w:lang w:val="en-US"/>
        </w:rPr>
      </w:pPr>
    </w:p>
    <w:p w14:paraId="43AE46F8" w14:textId="77777777" w:rsidR="0003391C" w:rsidRPr="00FE50A6" w:rsidRDefault="00F06A54" w:rsidP="008622F3">
      <w:pPr>
        <w:pStyle w:val="Ttulo3"/>
        <w:rPr>
          <w:lang w:val="es-CR"/>
        </w:rPr>
      </w:pPr>
      <w:bookmarkStart w:id="237" w:name="_Toc460433010"/>
      <w:bookmarkStart w:id="238" w:name="_Toc460441941"/>
      <w:bookmarkStart w:id="239" w:name="_Toc462750759"/>
      <w:bookmarkStart w:id="240" w:name="_Toc462751083"/>
      <w:bookmarkStart w:id="241" w:name="_Toc464813935"/>
      <w:r w:rsidRPr="00FE50A6">
        <w:rPr>
          <w:b w:val="0"/>
          <w:lang w:val="es-CR"/>
        </w:rPr>
        <w:t>The 1996 visit to</w:t>
      </w:r>
      <w:r w:rsidR="0003391C" w:rsidRPr="00FE50A6">
        <w:rPr>
          <w:b w:val="0"/>
          <w:lang w:val="es-CR"/>
        </w:rPr>
        <w:t xml:space="preserve"> Hacienda </w:t>
      </w:r>
      <w:r w:rsidR="00322241" w:rsidRPr="00FE50A6">
        <w:rPr>
          <w:b w:val="0"/>
          <w:lang w:val="es-CR"/>
        </w:rPr>
        <w:t>Brasil Verde</w:t>
      </w:r>
      <w:bookmarkEnd w:id="237"/>
      <w:bookmarkEnd w:id="238"/>
      <w:bookmarkEnd w:id="239"/>
      <w:bookmarkEnd w:id="240"/>
      <w:bookmarkEnd w:id="241"/>
    </w:p>
    <w:p w14:paraId="0FE580B2" w14:textId="77777777" w:rsidR="0003391C" w:rsidRPr="00FE50A6" w:rsidRDefault="0003391C" w:rsidP="00140440">
      <w:pPr>
        <w:pStyle w:val="Prrafodelista"/>
        <w:autoSpaceDE w:val="0"/>
        <w:autoSpaceDN w:val="0"/>
        <w:adjustRightInd w:val="0"/>
        <w:ind w:left="0"/>
        <w:contextualSpacing w:val="0"/>
        <w:rPr>
          <w:rFonts w:cs="Arial"/>
          <w:szCs w:val="20"/>
        </w:rPr>
      </w:pPr>
    </w:p>
    <w:p w14:paraId="7286F604" w14:textId="77777777" w:rsidR="0003391C" w:rsidRPr="00FE50A6" w:rsidRDefault="00F06A5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November 29,</w:t>
      </w:r>
      <w:r w:rsidR="0003391C" w:rsidRPr="00FE50A6">
        <w:rPr>
          <w:rFonts w:cs="Arial"/>
          <w:szCs w:val="20"/>
          <w:lang w:val="en-US"/>
        </w:rPr>
        <w:t xml:space="preserve"> 1996</w:t>
      </w:r>
      <w:r w:rsidRPr="00FE50A6">
        <w:rPr>
          <w:rFonts w:cs="Arial"/>
          <w:szCs w:val="20"/>
          <w:lang w:val="en-US"/>
        </w:rPr>
        <w:t xml:space="preserve">, the Ministry of Labor’s Mobile Group conducted an inspection of </w:t>
      </w:r>
      <w:r w:rsidR="0003391C" w:rsidRPr="00FE50A6">
        <w:rPr>
          <w:rFonts w:cs="Arial"/>
          <w:szCs w:val="20"/>
          <w:lang w:val="en-US"/>
        </w:rPr>
        <w:t xml:space="preserve">Hacienda </w:t>
      </w:r>
      <w:r w:rsidR="00322241" w:rsidRPr="00FE50A6">
        <w:rPr>
          <w:rFonts w:cs="Arial"/>
          <w:szCs w:val="20"/>
          <w:lang w:val="en-US"/>
        </w:rPr>
        <w:t>Brasil Verde</w:t>
      </w:r>
      <w:r w:rsidR="002B1D76" w:rsidRPr="00FE50A6">
        <w:rPr>
          <w:rFonts w:cs="Arial"/>
          <w:szCs w:val="20"/>
          <w:lang w:val="en-US"/>
        </w:rPr>
        <w:t>,</w:t>
      </w:r>
      <w:r w:rsidRPr="00FE50A6">
        <w:rPr>
          <w:rFonts w:cs="Arial"/>
          <w:szCs w:val="20"/>
          <w:lang w:val="en-US"/>
        </w:rPr>
        <w:t xml:space="preserve"> during which it determined the existence of irregularities consisting in the absence of worker records and, in general, conditions contrary to labor </w:t>
      </w:r>
      <w:r w:rsidR="00166478" w:rsidRPr="00FE50A6">
        <w:rPr>
          <w:rFonts w:cs="Arial"/>
          <w:szCs w:val="20"/>
          <w:lang w:val="en-US"/>
        </w:rPr>
        <w:t>laws</w:t>
      </w:r>
      <w:r w:rsidRPr="00FE50A6">
        <w:rPr>
          <w:rFonts w:cs="Arial"/>
          <w:szCs w:val="20"/>
          <w:lang w:val="en-US"/>
        </w:rPr>
        <w:t>.</w:t>
      </w:r>
      <w:r w:rsidR="0003391C" w:rsidRPr="00FE50A6">
        <w:rPr>
          <w:rStyle w:val="Refdenotaalpie"/>
          <w:rFonts w:cs="Arial"/>
          <w:lang w:val="en-US"/>
        </w:rPr>
        <w:footnoteReference w:id="126"/>
      </w:r>
      <w:r w:rsidRPr="00FE50A6">
        <w:rPr>
          <w:rFonts w:cs="Arial"/>
          <w:szCs w:val="20"/>
          <w:lang w:val="en-US"/>
        </w:rPr>
        <w:t xml:space="preserve"> At the time of the inspection, 78 workers were active there, and 34 work </w:t>
      </w:r>
      <w:r w:rsidR="00C23CE5" w:rsidRPr="00FE50A6">
        <w:rPr>
          <w:rFonts w:cs="Arial"/>
          <w:szCs w:val="20"/>
          <w:lang w:val="en-US"/>
        </w:rPr>
        <w:t>permits</w:t>
      </w:r>
      <w:r w:rsidRPr="00FE50A6">
        <w:rPr>
          <w:rFonts w:cs="Arial"/>
          <w:szCs w:val="20"/>
          <w:lang w:val="en-US"/>
        </w:rPr>
        <w:t xml:space="preserve"> (CTPs) were issued.</w:t>
      </w:r>
      <w:r w:rsidR="0003391C" w:rsidRPr="00FE50A6">
        <w:rPr>
          <w:rStyle w:val="Refdenotaalpie"/>
          <w:rFonts w:cs="Arial"/>
          <w:lang w:val="en-US"/>
        </w:rPr>
        <w:footnoteReference w:id="127"/>
      </w:r>
      <w:r w:rsidR="0003391C" w:rsidRPr="00FE50A6">
        <w:rPr>
          <w:rFonts w:cs="Arial"/>
          <w:szCs w:val="20"/>
          <w:lang w:val="en-US"/>
        </w:rPr>
        <w:t xml:space="preserve"> </w:t>
      </w:r>
    </w:p>
    <w:p w14:paraId="3E98F0FD"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0C61E55E" w14:textId="77777777" w:rsidR="0003391C" w:rsidRPr="00FE50A6" w:rsidRDefault="00F06A54" w:rsidP="008622F3">
      <w:pPr>
        <w:pStyle w:val="Ttulo3"/>
        <w:rPr>
          <w:lang w:val="es-CR"/>
        </w:rPr>
      </w:pPr>
      <w:bookmarkStart w:id="242" w:name="_Toc460433011"/>
      <w:bookmarkStart w:id="243" w:name="_Toc460441942"/>
      <w:bookmarkStart w:id="244" w:name="_Toc462750760"/>
      <w:bookmarkStart w:id="245" w:name="_Toc462751084"/>
      <w:bookmarkStart w:id="246" w:name="_Toc464813936"/>
      <w:r w:rsidRPr="00FE50A6">
        <w:rPr>
          <w:b w:val="0"/>
          <w:lang w:val="es-CR"/>
        </w:rPr>
        <w:lastRenderedPageBreak/>
        <w:t xml:space="preserve">The 1997 </w:t>
      </w:r>
      <w:r w:rsidRPr="009F2A41">
        <w:rPr>
          <w:b w:val="0"/>
          <w:lang w:val="es-CR"/>
        </w:rPr>
        <w:t>visit to</w:t>
      </w:r>
      <w:r w:rsidR="0003391C" w:rsidRPr="00FE50A6">
        <w:rPr>
          <w:b w:val="0"/>
          <w:lang w:val="es-CR"/>
        </w:rPr>
        <w:t xml:space="preserve"> Hacienda </w:t>
      </w:r>
      <w:r w:rsidR="00322241" w:rsidRPr="00FE50A6">
        <w:rPr>
          <w:b w:val="0"/>
          <w:lang w:val="es-CR"/>
        </w:rPr>
        <w:t>Brasil Verde</w:t>
      </w:r>
      <w:bookmarkEnd w:id="242"/>
      <w:bookmarkEnd w:id="243"/>
      <w:bookmarkEnd w:id="244"/>
      <w:bookmarkEnd w:id="245"/>
      <w:bookmarkEnd w:id="246"/>
      <w:r w:rsidR="0003391C" w:rsidRPr="00FE50A6">
        <w:rPr>
          <w:lang w:val="es-CR"/>
        </w:rPr>
        <w:t xml:space="preserve"> </w:t>
      </w:r>
    </w:p>
    <w:p w14:paraId="22A8F741" w14:textId="77777777" w:rsidR="0003391C" w:rsidRPr="00FE50A6" w:rsidRDefault="0003391C" w:rsidP="00140440">
      <w:pPr>
        <w:autoSpaceDE w:val="0"/>
        <w:autoSpaceDN w:val="0"/>
        <w:adjustRightInd w:val="0"/>
        <w:jc w:val="both"/>
        <w:rPr>
          <w:rFonts w:cs="Arial"/>
          <w:iCs/>
          <w:szCs w:val="20"/>
        </w:rPr>
      </w:pPr>
    </w:p>
    <w:p w14:paraId="4722439E" w14:textId="77777777" w:rsidR="0003391C" w:rsidRPr="00FE50A6" w:rsidRDefault="00F06A5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March 10,</w:t>
      </w:r>
      <w:r w:rsidR="0003391C" w:rsidRPr="00FE50A6">
        <w:rPr>
          <w:rFonts w:cs="Arial"/>
          <w:szCs w:val="20"/>
          <w:lang w:val="en-US"/>
        </w:rPr>
        <w:t xml:space="preserve"> 1997</w:t>
      </w:r>
      <w:r w:rsidRPr="00FE50A6">
        <w:rPr>
          <w:rFonts w:cs="Arial"/>
          <w:szCs w:val="20"/>
          <w:lang w:val="en-US"/>
        </w:rPr>
        <w:t>,</w:t>
      </w:r>
      <w:r w:rsidR="0003391C" w:rsidRPr="00FE50A6">
        <w:rPr>
          <w:rFonts w:cs="Arial"/>
          <w:szCs w:val="20"/>
          <w:lang w:val="en-US"/>
        </w:rPr>
        <w:t xml:space="preserve"> José da Costa Oliveira</w:t>
      </w:r>
      <w:r w:rsidR="00030C17" w:rsidRPr="00FE50A6">
        <w:rPr>
          <w:rFonts w:cs="Arial"/>
          <w:szCs w:val="20"/>
          <w:lang w:val="en-US"/>
        </w:rPr>
        <w:t xml:space="preserve"> and </w:t>
      </w:r>
      <w:r w:rsidR="0003391C" w:rsidRPr="00FE50A6">
        <w:rPr>
          <w:rFonts w:cs="Arial"/>
          <w:szCs w:val="20"/>
          <w:lang w:val="en-US"/>
        </w:rPr>
        <w:t xml:space="preserve">José Ferreira dos Santos </w:t>
      </w:r>
      <w:r w:rsidRPr="00FE50A6">
        <w:rPr>
          <w:rFonts w:cs="Arial"/>
          <w:szCs w:val="20"/>
          <w:lang w:val="en-US"/>
        </w:rPr>
        <w:t xml:space="preserve">made a statement before the </w:t>
      </w:r>
      <w:r w:rsidR="00166478" w:rsidRPr="00FE50A6">
        <w:rPr>
          <w:rFonts w:cs="Arial"/>
          <w:szCs w:val="20"/>
          <w:lang w:val="en-US"/>
        </w:rPr>
        <w:t xml:space="preserve">Pará </w:t>
      </w:r>
      <w:r w:rsidR="00164F75" w:rsidRPr="00FE50A6">
        <w:rPr>
          <w:rFonts w:cs="Arial"/>
          <w:szCs w:val="20"/>
          <w:lang w:val="en-US"/>
        </w:rPr>
        <w:t>Federal Police Department</w:t>
      </w:r>
      <w:r w:rsidR="0003391C" w:rsidRPr="00FE50A6">
        <w:rPr>
          <w:rFonts w:cs="Arial"/>
          <w:szCs w:val="20"/>
          <w:lang w:val="en-US"/>
        </w:rPr>
        <w:t>, Marabá</w:t>
      </w:r>
      <w:r w:rsidRPr="00FE50A6">
        <w:rPr>
          <w:rFonts w:cs="Arial"/>
          <w:szCs w:val="20"/>
          <w:lang w:val="en-US"/>
        </w:rPr>
        <w:t xml:space="preserve"> Delegation</w:t>
      </w:r>
      <w:r w:rsidR="0003391C" w:rsidRPr="00FE50A6">
        <w:rPr>
          <w:rFonts w:cs="Arial"/>
          <w:szCs w:val="20"/>
          <w:lang w:val="en-US"/>
        </w:rPr>
        <w:t>,</w:t>
      </w:r>
      <w:r w:rsidRPr="00FE50A6">
        <w:rPr>
          <w:rFonts w:cs="Arial"/>
          <w:szCs w:val="20"/>
          <w:lang w:val="en-US"/>
        </w:rPr>
        <w:t xml:space="preserve"> in w</w:t>
      </w:r>
      <w:r w:rsidR="00DC398B" w:rsidRPr="00FE50A6">
        <w:rPr>
          <w:rFonts w:cs="Arial"/>
          <w:szCs w:val="20"/>
          <w:lang w:val="en-US"/>
        </w:rPr>
        <w:t>hich they stated that they had worked in and escaped from</w:t>
      </w:r>
      <w:r w:rsidR="0003391C" w:rsidRPr="00FE50A6">
        <w:rPr>
          <w:rFonts w:cs="Arial"/>
          <w:szCs w:val="20"/>
          <w:lang w:val="en-US"/>
        </w:rPr>
        <w:t xml:space="preserve"> </w:t>
      </w:r>
      <w:r w:rsidR="0003391C" w:rsidRPr="00FE50A6">
        <w:rPr>
          <w:rFonts w:cs="Arial"/>
          <w:iCs/>
          <w:szCs w:val="20"/>
          <w:lang w:val="en-US"/>
        </w:rPr>
        <w:t xml:space="preserve">Hacienda </w:t>
      </w:r>
      <w:r w:rsidR="00322241" w:rsidRPr="00FE50A6">
        <w:rPr>
          <w:rFonts w:cs="Arial"/>
          <w:iCs/>
          <w:szCs w:val="20"/>
          <w:lang w:val="en-US"/>
        </w:rPr>
        <w:t>Brasil Verde</w:t>
      </w:r>
      <w:r w:rsidR="00DC398B" w:rsidRPr="00FE50A6">
        <w:rPr>
          <w:rFonts w:cs="Arial"/>
          <w:iCs/>
          <w:szCs w:val="20"/>
          <w:lang w:val="en-US"/>
        </w:rPr>
        <w:t>.</w:t>
      </w:r>
      <w:r w:rsidR="0003391C" w:rsidRPr="00FE50A6">
        <w:rPr>
          <w:rStyle w:val="Refdenotaalpie"/>
          <w:rFonts w:cs="Arial"/>
          <w:iCs/>
          <w:lang w:val="en-US"/>
        </w:rPr>
        <w:footnoteReference w:id="128"/>
      </w:r>
      <w:r w:rsidR="00DC398B" w:rsidRPr="00FE50A6">
        <w:rPr>
          <w:rFonts w:cs="Arial"/>
          <w:iCs/>
          <w:szCs w:val="20"/>
          <w:lang w:val="en-US"/>
        </w:rPr>
        <w:t xml:space="preserve"> In this regard, </w:t>
      </w:r>
      <w:r w:rsidR="0003391C" w:rsidRPr="00FE50A6">
        <w:rPr>
          <w:rFonts w:cs="Arial"/>
          <w:i/>
          <w:iCs/>
          <w:szCs w:val="20"/>
          <w:lang w:val="en-US"/>
        </w:rPr>
        <w:t xml:space="preserve"> </w:t>
      </w:r>
      <w:r w:rsidR="0003391C" w:rsidRPr="00FE50A6">
        <w:rPr>
          <w:rFonts w:cs="Arial"/>
          <w:szCs w:val="20"/>
          <w:lang w:val="en-US"/>
        </w:rPr>
        <w:t xml:space="preserve">José da Costa Oliveira </w:t>
      </w:r>
      <w:r w:rsidR="00DC398B" w:rsidRPr="00FE50A6">
        <w:rPr>
          <w:rFonts w:cs="Arial"/>
          <w:szCs w:val="20"/>
          <w:lang w:val="en-US"/>
        </w:rPr>
        <w:t xml:space="preserve">stated that </w:t>
      </w:r>
      <w:r w:rsidR="00DB1C1D" w:rsidRPr="00FE50A6">
        <w:rPr>
          <w:rFonts w:cs="Arial"/>
          <w:i/>
          <w:szCs w:val="20"/>
          <w:lang w:val="en-US"/>
        </w:rPr>
        <w:t xml:space="preserve">gato </w:t>
      </w:r>
      <w:r w:rsidR="0003391C" w:rsidRPr="00FE50A6">
        <w:rPr>
          <w:rFonts w:cs="Arial"/>
          <w:szCs w:val="20"/>
          <w:lang w:val="en-US"/>
        </w:rPr>
        <w:t xml:space="preserve">Raimundo </w:t>
      </w:r>
      <w:r w:rsidR="00DC398B" w:rsidRPr="00FE50A6">
        <w:rPr>
          <w:rFonts w:cs="Arial"/>
          <w:szCs w:val="20"/>
          <w:lang w:val="en-US"/>
        </w:rPr>
        <w:t>had hired him to work in the hacienda and, when he arrived, he already owed money for his accommodation and the work tools that</w:t>
      </w:r>
      <w:r w:rsidR="0003391C" w:rsidRPr="00FE50A6">
        <w:rPr>
          <w:rFonts w:cs="Arial"/>
          <w:szCs w:val="20"/>
          <w:lang w:val="en-US"/>
        </w:rPr>
        <w:t xml:space="preserve"> </w:t>
      </w:r>
      <w:r w:rsidR="00DC398B" w:rsidRPr="00FE50A6">
        <w:rPr>
          <w:rFonts w:cs="Arial"/>
          <w:szCs w:val="20"/>
          <w:lang w:val="en-US"/>
        </w:rPr>
        <w:t xml:space="preserve">were provided by the </w:t>
      </w:r>
      <w:r w:rsidR="0003391C" w:rsidRPr="00FE50A6">
        <w:rPr>
          <w:rFonts w:cs="Arial"/>
          <w:i/>
          <w:szCs w:val="20"/>
          <w:lang w:val="en-US"/>
        </w:rPr>
        <w:t>gato</w:t>
      </w:r>
      <w:r w:rsidR="00DC398B" w:rsidRPr="00FE50A6">
        <w:rPr>
          <w:rFonts w:cs="Arial"/>
          <w:i/>
          <w:szCs w:val="20"/>
          <w:lang w:val="en-US"/>
        </w:rPr>
        <w:t>.</w:t>
      </w:r>
      <w:r w:rsidR="0003391C" w:rsidRPr="00FE50A6">
        <w:rPr>
          <w:rStyle w:val="Refdenotaalpie"/>
          <w:rFonts w:cs="Arial"/>
          <w:i/>
          <w:lang w:val="en-US"/>
        </w:rPr>
        <w:footnoteReference w:id="129"/>
      </w:r>
      <w:r w:rsidR="0003391C" w:rsidRPr="00FE50A6">
        <w:rPr>
          <w:rFonts w:cs="Arial"/>
          <w:szCs w:val="20"/>
          <w:lang w:val="en-US"/>
        </w:rPr>
        <w:t xml:space="preserve"> </w:t>
      </w:r>
      <w:r w:rsidR="00DC398B" w:rsidRPr="00FE50A6">
        <w:rPr>
          <w:rFonts w:cs="Arial"/>
          <w:szCs w:val="20"/>
          <w:lang w:val="en-US"/>
        </w:rPr>
        <w:t xml:space="preserve">The deponents added that the workers were threatened with death if they reported the </w:t>
      </w:r>
      <w:r w:rsidR="00DB1C1D" w:rsidRPr="00FE50A6">
        <w:rPr>
          <w:rFonts w:cs="Arial"/>
          <w:i/>
          <w:szCs w:val="20"/>
          <w:lang w:val="en-US"/>
        </w:rPr>
        <w:t xml:space="preserve">gato </w:t>
      </w:r>
      <w:r w:rsidR="0003391C" w:rsidRPr="00FE50A6">
        <w:rPr>
          <w:rFonts w:cs="Arial"/>
          <w:szCs w:val="20"/>
          <w:lang w:val="en-US"/>
        </w:rPr>
        <w:t>o</w:t>
      </w:r>
      <w:r w:rsidR="00DC398B" w:rsidRPr="00FE50A6">
        <w:rPr>
          <w:rFonts w:cs="Arial"/>
          <w:szCs w:val="20"/>
          <w:lang w:val="en-US"/>
        </w:rPr>
        <w:t>r the owner of the hacienda, or if they tried to escape, and that the usual practice was to hide the workers when the Ministry of Labor conducted inspections.</w:t>
      </w:r>
      <w:r w:rsidR="0003391C" w:rsidRPr="00FE50A6">
        <w:rPr>
          <w:rStyle w:val="Refdenotaalpie"/>
          <w:rFonts w:cs="Arial"/>
          <w:lang w:val="en-US"/>
        </w:rPr>
        <w:footnoteReference w:id="130"/>
      </w:r>
      <w:r w:rsidR="0003391C" w:rsidRPr="00FE50A6">
        <w:rPr>
          <w:rFonts w:cs="Arial"/>
          <w:szCs w:val="20"/>
          <w:lang w:val="en-US"/>
        </w:rPr>
        <w:t xml:space="preserve"> </w:t>
      </w:r>
    </w:p>
    <w:p w14:paraId="0888D76C"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04BD079B" w14:textId="77777777" w:rsidR="0003391C" w:rsidRPr="00FE50A6" w:rsidRDefault="00DC398B"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Based on this report, the Ministry of Labor’s Mobile Group made </w:t>
      </w:r>
      <w:r w:rsidR="00166478" w:rsidRPr="00FE50A6">
        <w:rPr>
          <w:rFonts w:cs="Arial"/>
          <w:szCs w:val="20"/>
          <w:lang w:val="en-US"/>
        </w:rPr>
        <w:t>further</w:t>
      </w:r>
      <w:r w:rsidRPr="00FE50A6">
        <w:rPr>
          <w:rFonts w:cs="Arial"/>
          <w:szCs w:val="20"/>
          <w:lang w:val="en-US"/>
        </w:rPr>
        <w:t xml:space="preserve"> inspection visit</w:t>
      </w:r>
      <w:r w:rsidR="00166478" w:rsidRPr="00FE50A6">
        <w:rPr>
          <w:rFonts w:cs="Arial"/>
          <w:szCs w:val="20"/>
          <w:lang w:val="en-US"/>
        </w:rPr>
        <w:t>s</w:t>
      </w:r>
      <w:r w:rsidRPr="00FE50A6">
        <w:rPr>
          <w:rFonts w:cs="Arial"/>
          <w:szCs w:val="20"/>
          <w:lang w:val="en-US"/>
        </w:rPr>
        <w:t xml:space="preserve"> to </w:t>
      </w:r>
      <w:r w:rsidR="0003391C" w:rsidRPr="00FE50A6">
        <w:rPr>
          <w:rFonts w:cs="Arial"/>
          <w:szCs w:val="20"/>
          <w:lang w:val="en-US"/>
        </w:rPr>
        <w:t xml:space="preserve">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on April</w:t>
      </w:r>
      <w:r w:rsidR="0003391C" w:rsidRPr="00FE50A6">
        <w:rPr>
          <w:rFonts w:cs="Arial"/>
          <w:szCs w:val="20"/>
          <w:lang w:val="en-US"/>
        </w:rPr>
        <w:t xml:space="preserve"> 23, 28</w:t>
      </w:r>
      <w:r w:rsidR="00030C17" w:rsidRPr="00FE50A6">
        <w:rPr>
          <w:rFonts w:cs="Arial"/>
          <w:szCs w:val="20"/>
          <w:lang w:val="en-US"/>
        </w:rPr>
        <w:t xml:space="preserve"> and </w:t>
      </w:r>
      <w:r w:rsidR="0003391C" w:rsidRPr="00FE50A6">
        <w:rPr>
          <w:rFonts w:cs="Arial"/>
          <w:szCs w:val="20"/>
          <w:lang w:val="en-US"/>
        </w:rPr>
        <w:t>29</w:t>
      </w:r>
      <w:r w:rsidRPr="00FE50A6">
        <w:rPr>
          <w:rFonts w:cs="Arial"/>
          <w:szCs w:val="20"/>
          <w:lang w:val="en-US"/>
        </w:rPr>
        <w:t xml:space="preserve">, </w:t>
      </w:r>
      <w:r w:rsidR="0003391C" w:rsidRPr="00FE50A6">
        <w:rPr>
          <w:rFonts w:cs="Arial"/>
          <w:szCs w:val="20"/>
          <w:lang w:val="en-US"/>
        </w:rPr>
        <w:t>1997</w:t>
      </w:r>
      <w:r w:rsidRPr="00FE50A6">
        <w:rPr>
          <w:rFonts w:cs="Arial"/>
          <w:szCs w:val="20"/>
          <w:lang w:val="en-US"/>
        </w:rPr>
        <w:t>.</w:t>
      </w:r>
      <w:r w:rsidR="0003391C" w:rsidRPr="00FE50A6">
        <w:rPr>
          <w:rStyle w:val="Refdenotaalpie"/>
          <w:rFonts w:cs="Arial"/>
          <w:lang w:val="en-US"/>
        </w:rPr>
        <w:footnoteReference w:id="131"/>
      </w:r>
      <w:r w:rsidRPr="00FE50A6">
        <w:rPr>
          <w:rFonts w:cs="Arial"/>
          <w:szCs w:val="20"/>
          <w:lang w:val="en-US"/>
        </w:rPr>
        <w:t xml:space="preserve"> The report on the </w:t>
      </w:r>
      <w:r w:rsidR="0081756E" w:rsidRPr="00FE50A6">
        <w:rPr>
          <w:rFonts w:cs="Arial"/>
          <w:szCs w:val="20"/>
          <w:lang w:val="en-US"/>
        </w:rPr>
        <w:t>Ministry of Labor</w:t>
      </w:r>
      <w:r w:rsidRPr="00FE50A6">
        <w:rPr>
          <w:rFonts w:cs="Arial"/>
          <w:szCs w:val="20"/>
          <w:lang w:val="en-US"/>
        </w:rPr>
        <w:t>’s inspection visit concluded that: (</w:t>
      </w:r>
      <w:r w:rsidR="0003391C" w:rsidRPr="00FE50A6">
        <w:rPr>
          <w:rFonts w:cs="Arial"/>
          <w:szCs w:val="20"/>
          <w:lang w:val="en-US"/>
        </w:rPr>
        <w:t xml:space="preserve">i) </w:t>
      </w:r>
      <w:r w:rsidRPr="00FE50A6">
        <w:rPr>
          <w:rFonts w:cs="Arial"/>
          <w:szCs w:val="20"/>
          <w:lang w:val="en-US"/>
        </w:rPr>
        <w:t xml:space="preserve">the workers were housed in sheds covered with plastic and </w:t>
      </w:r>
      <w:r w:rsidR="00166478" w:rsidRPr="00FE50A6">
        <w:rPr>
          <w:rFonts w:cs="Arial"/>
          <w:szCs w:val="20"/>
          <w:lang w:val="en-US"/>
        </w:rPr>
        <w:t>s</w:t>
      </w:r>
      <w:r w:rsidRPr="00FE50A6">
        <w:rPr>
          <w:rFonts w:cs="Arial"/>
          <w:szCs w:val="20"/>
          <w:lang w:val="en-US"/>
        </w:rPr>
        <w:t xml:space="preserve">traw in which there was a </w:t>
      </w:r>
      <w:r w:rsidR="009C48A4" w:rsidRPr="00FE50A6">
        <w:rPr>
          <w:rFonts w:cs="Arial"/>
          <w:szCs w:val="20"/>
          <w:lang w:val="en-US"/>
        </w:rPr>
        <w:t>“</w:t>
      </w:r>
      <w:r w:rsidRPr="00FE50A6">
        <w:rPr>
          <w:rFonts w:cs="Arial"/>
          <w:szCs w:val="20"/>
          <w:lang w:val="en-US"/>
        </w:rPr>
        <w:t>total lack of hygiene</w:t>
      </w:r>
      <w:r w:rsidR="009C48A4" w:rsidRPr="00FE50A6">
        <w:rPr>
          <w:rFonts w:cs="Arial"/>
          <w:szCs w:val="20"/>
          <w:lang w:val="en-US"/>
        </w:rPr>
        <w:t>”</w:t>
      </w:r>
      <w:r w:rsidRPr="00FE50A6">
        <w:rPr>
          <w:rFonts w:cs="Arial"/>
          <w:szCs w:val="20"/>
          <w:lang w:val="en-US"/>
        </w:rPr>
        <w:t>; (</w:t>
      </w:r>
      <w:r w:rsidR="0003391C" w:rsidRPr="00FE50A6">
        <w:rPr>
          <w:rFonts w:cs="Arial"/>
          <w:szCs w:val="20"/>
          <w:lang w:val="en-US"/>
        </w:rPr>
        <w:t xml:space="preserve">ii) </w:t>
      </w:r>
      <w:r w:rsidRPr="00FE50A6">
        <w:rPr>
          <w:rFonts w:cs="Arial"/>
          <w:szCs w:val="20"/>
          <w:lang w:val="en-US"/>
        </w:rPr>
        <w:t>several workers had skin diseases and were not receiving medical care, and the water they drank was not fit for human consumption</w:t>
      </w:r>
      <w:r w:rsidR="0003391C" w:rsidRPr="00FE50A6">
        <w:rPr>
          <w:rFonts w:cs="Arial"/>
          <w:szCs w:val="20"/>
          <w:lang w:val="en-US"/>
        </w:rPr>
        <w:t xml:space="preserve">; </w:t>
      </w:r>
      <w:r w:rsidRPr="00FE50A6">
        <w:rPr>
          <w:rFonts w:cs="Arial"/>
          <w:szCs w:val="20"/>
          <w:lang w:val="en-US"/>
        </w:rPr>
        <w:t>(</w:t>
      </w:r>
      <w:r w:rsidR="0003391C" w:rsidRPr="00FE50A6">
        <w:rPr>
          <w:rFonts w:cs="Arial"/>
          <w:szCs w:val="20"/>
          <w:lang w:val="en-US"/>
        </w:rPr>
        <w:t xml:space="preserve">iii) </w:t>
      </w:r>
      <w:r w:rsidRPr="00FE50A6">
        <w:rPr>
          <w:rFonts w:cs="Arial"/>
          <w:szCs w:val="20"/>
          <w:lang w:val="en-US"/>
        </w:rPr>
        <w:t>all the workers had endured threats, including with firearms, and (</w:t>
      </w:r>
      <w:r w:rsidR="0003391C" w:rsidRPr="00FE50A6">
        <w:rPr>
          <w:rFonts w:cs="Arial"/>
          <w:szCs w:val="20"/>
          <w:lang w:val="en-US"/>
        </w:rPr>
        <w:t xml:space="preserve">iv) </w:t>
      </w:r>
      <w:r w:rsidRPr="00FE50A6">
        <w:rPr>
          <w:rFonts w:cs="Arial"/>
          <w:szCs w:val="20"/>
          <w:lang w:val="en-US"/>
        </w:rPr>
        <w:t>the</w:t>
      </w:r>
      <w:r w:rsidR="00FA1124" w:rsidRPr="00FE50A6">
        <w:rPr>
          <w:rFonts w:cs="Arial"/>
          <w:szCs w:val="20"/>
          <w:lang w:val="en-US"/>
        </w:rPr>
        <w:t xml:space="preserve"> workers</w:t>
      </w:r>
      <w:r w:rsidRPr="00FE50A6">
        <w:rPr>
          <w:rFonts w:cs="Arial"/>
          <w:szCs w:val="20"/>
          <w:lang w:val="en-US"/>
        </w:rPr>
        <w:t xml:space="preserve"> stated that they were unable to leave the hacienda.</w:t>
      </w:r>
      <w:r w:rsidR="0003391C" w:rsidRPr="00FE50A6">
        <w:rPr>
          <w:rStyle w:val="Refdenotaalpie"/>
          <w:rFonts w:cs="Arial"/>
          <w:lang w:val="en-US"/>
        </w:rPr>
        <w:footnoteReference w:id="132"/>
      </w:r>
      <w:r w:rsidR="0003391C" w:rsidRPr="00FE50A6">
        <w:rPr>
          <w:rFonts w:cs="Times New Roman"/>
          <w:szCs w:val="20"/>
          <w:lang w:val="en-US"/>
        </w:rPr>
        <w:t xml:space="preserve"> </w:t>
      </w:r>
      <w:r w:rsidRPr="00FE50A6">
        <w:rPr>
          <w:rFonts w:cs="Times New Roman"/>
          <w:szCs w:val="20"/>
          <w:lang w:val="en-US"/>
        </w:rPr>
        <w:t>In addition, the practice of hiding the workers when inspections were conducted was verified</w:t>
      </w:r>
      <w:r w:rsidRPr="00FE50A6">
        <w:rPr>
          <w:rFonts w:cs="Arial"/>
          <w:szCs w:val="20"/>
          <w:lang w:val="en-US"/>
        </w:rPr>
        <w:t>.</w:t>
      </w:r>
      <w:r w:rsidR="0003391C" w:rsidRPr="00FE50A6">
        <w:rPr>
          <w:rStyle w:val="Refdenotaalpie"/>
          <w:rFonts w:cs="Arial"/>
          <w:lang w:val="en-US"/>
        </w:rPr>
        <w:footnoteReference w:id="133"/>
      </w:r>
      <w:r w:rsidRPr="00FE50A6">
        <w:rPr>
          <w:rFonts w:cs="Arial"/>
          <w:szCs w:val="20"/>
          <w:lang w:val="en-US"/>
        </w:rPr>
        <w:t xml:space="preserve"> At the time of the inspection, 81 </w:t>
      </w:r>
      <w:r w:rsidR="00166478" w:rsidRPr="00FE50A6">
        <w:rPr>
          <w:rFonts w:cs="Arial"/>
          <w:szCs w:val="20"/>
          <w:lang w:val="en-US"/>
        </w:rPr>
        <w:t>workers</w:t>
      </w:r>
      <w:r w:rsidRPr="00FE50A6">
        <w:rPr>
          <w:rFonts w:cs="Arial"/>
          <w:szCs w:val="20"/>
          <w:lang w:val="en-US"/>
        </w:rPr>
        <w:t xml:space="preserve"> were found, and </w:t>
      </w:r>
      <w:r w:rsidR="009C48A4" w:rsidRPr="00FE50A6">
        <w:rPr>
          <w:rFonts w:cs="Arial"/>
          <w:szCs w:val="20"/>
          <w:lang w:val="en-US"/>
        </w:rPr>
        <w:t>“</w:t>
      </w:r>
      <w:r w:rsidRPr="00FE50A6">
        <w:rPr>
          <w:rFonts w:cs="Arial"/>
          <w:szCs w:val="20"/>
          <w:lang w:val="en-US"/>
        </w:rPr>
        <w:t>approximately 45</w:t>
      </w:r>
      <w:r w:rsidR="009C48A4" w:rsidRPr="00FE50A6">
        <w:rPr>
          <w:rFonts w:cs="Arial"/>
          <w:szCs w:val="20"/>
          <w:lang w:val="en-US"/>
        </w:rPr>
        <w:t>”</w:t>
      </w:r>
      <w:r w:rsidRPr="00FE50A6">
        <w:rPr>
          <w:rFonts w:cs="Arial"/>
          <w:szCs w:val="20"/>
          <w:lang w:val="en-US"/>
        </w:rPr>
        <w:t xml:space="preserve"> work </w:t>
      </w:r>
      <w:r w:rsidR="00C23CE5" w:rsidRPr="00FE50A6">
        <w:rPr>
          <w:rFonts w:cs="Arial"/>
          <w:szCs w:val="20"/>
          <w:lang w:val="en-US"/>
        </w:rPr>
        <w:t>permits</w:t>
      </w:r>
      <w:r w:rsidRPr="00FE50A6">
        <w:rPr>
          <w:rFonts w:cs="Arial"/>
          <w:szCs w:val="20"/>
          <w:lang w:val="en-US"/>
        </w:rPr>
        <w:t xml:space="preserve"> (CTPs) were issued to them.</w:t>
      </w:r>
      <w:r w:rsidR="0003391C" w:rsidRPr="00FE50A6">
        <w:rPr>
          <w:rStyle w:val="Refdenotaalpie"/>
          <w:rFonts w:cs="Arial"/>
          <w:lang w:val="en-US"/>
        </w:rPr>
        <w:footnoteReference w:id="134"/>
      </w:r>
    </w:p>
    <w:p w14:paraId="62D96FB7" w14:textId="77777777" w:rsidR="0003391C" w:rsidRPr="00FE50A6" w:rsidRDefault="0003391C" w:rsidP="00140440">
      <w:pPr>
        <w:autoSpaceDE w:val="0"/>
        <w:autoSpaceDN w:val="0"/>
        <w:adjustRightInd w:val="0"/>
        <w:jc w:val="both"/>
        <w:rPr>
          <w:rFonts w:cs="Arial"/>
          <w:i/>
          <w:iCs/>
          <w:szCs w:val="20"/>
          <w:lang w:val="en-US"/>
        </w:rPr>
      </w:pPr>
    </w:p>
    <w:p w14:paraId="4A9FB857" w14:textId="77777777" w:rsidR="0003391C" w:rsidRPr="00FE50A6" w:rsidRDefault="00DC398B" w:rsidP="008622F3">
      <w:pPr>
        <w:pStyle w:val="Ttulo3"/>
        <w:rPr>
          <w:iCs/>
          <w:lang w:val="en-US"/>
        </w:rPr>
      </w:pPr>
      <w:bookmarkStart w:id="247" w:name="_Toc460433012"/>
      <w:bookmarkStart w:id="248" w:name="_Toc460441943"/>
      <w:bookmarkStart w:id="249" w:name="_Toc462750761"/>
      <w:bookmarkStart w:id="250" w:name="_Toc462751085"/>
      <w:bookmarkStart w:id="251" w:name="_Toc464813937"/>
      <w:r w:rsidRPr="00FE50A6">
        <w:rPr>
          <w:b w:val="0"/>
          <w:iCs/>
          <w:lang w:val="en-US"/>
        </w:rPr>
        <w:t>The criminal proceedings against</w:t>
      </w:r>
      <w:r w:rsidR="0003391C" w:rsidRPr="00FE50A6">
        <w:rPr>
          <w:b w:val="0"/>
          <w:lang w:val="en-US"/>
        </w:rPr>
        <w:t xml:space="preserve"> Raimundo Alves de Rocha, </w:t>
      </w:r>
      <w:r w:rsidR="00D60654" w:rsidRPr="00FE50A6">
        <w:rPr>
          <w:b w:val="0"/>
          <w:lang w:val="en-US"/>
        </w:rPr>
        <w:t xml:space="preserve">Antônio </w:t>
      </w:r>
      <w:r w:rsidR="0003391C" w:rsidRPr="00FE50A6">
        <w:rPr>
          <w:b w:val="0"/>
          <w:lang w:val="en-US"/>
        </w:rPr>
        <w:t>Alves Vieira</w:t>
      </w:r>
      <w:r w:rsidR="00030C17" w:rsidRPr="00FE50A6">
        <w:rPr>
          <w:b w:val="0"/>
          <w:lang w:val="en-US"/>
        </w:rPr>
        <w:t xml:space="preserve"> and </w:t>
      </w:r>
      <w:r w:rsidR="0003391C" w:rsidRPr="00FE50A6">
        <w:rPr>
          <w:b w:val="0"/>
          <w:lang w:val="en-US"/>
        </w:rPr>
        <w:t>João Luiz Quagliato Neto</w:t>
      </w:r>
      <w:bookmarkEnd w:id="247"/>
      <w:bookmarkEnd w:id="248"/>
      <w:bookmarkEnd w:id="249"/>
      <w:bookmarkEnd w:id="250"/>
      <w:bookmarkEnd w:id="251"/>
    </w:p>
    <w:p w14:paraId="6C6FBAEB" w14:textId="77777777" w:rsidR="0003391C" w:rsidRPr="00FE50A6" w:rsidRDefault="0003391C" w:rsidP="00140440">
      <w:pPr>
        <w:autoSpaceDE w:val="0"/>
        <w:autoSpaceDN w:val="0"/>
        <w:adjustRightInd w:val="0"/>
        <w:jc w:val="both"/>
        <w:rPr>
          <w:rFonts w:cs="Arial"/>
          <w:szCs w:val="20"/>
          <w:lang w:val="en-US"/>
        </w:rPr>
      </w:pPr>
    </w:p>
    <w:p w14:paraId="1562B6FE" w14:textId="77777777" w:rsidR="0003391C" w:rsidRPr="00FE50A6" w:rsidRDefault="00DC398B"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As a result of the </w:t>
      </w:r>
      <w:r w:rsidR="0081756E" w:rsidRPr="00FE50A6">
        <w:rPr>
          <w:rFonts w:cs="Arial"/>
          <w:szCs w:val="20"/>
          <w:lang w:val="en-US"/>
        </w:rPr>
        <w:t>Ministry of Labor</w:t>
      </w:r>
      <w:r w:rsidRPr="00FE50A6">
        <w:rPr>
          <w:rFonts w:cs="Arial"/>
          <w:szCs w:val="20"/>
          <w:lang w:val="en-US"/>
        </w:rPr>
        <w:t>’s report</w:t>
      </w:r>
      <w:r w:rsidR="00F57007" w:rsidRPr="00FE50A6">
        <w:rPr>
          <w:rFonts w:cs="Arial"/>
          <w:szCs w:val="20"/>
          <w:lang w:val="en-US"/>
        </w:rPr>
        <w:t xml:space="preserve"> (</w:t>
      </w:r>
      <w:r w:rsidR="00F57007" w:rsidRPr="00FE50A6">
        <w:rPr>
          <w:rFonts w:cs="Arial"/>
          <w:i/>
          <w:szCs w:val="20"/>
          <w:lang w:val="en-US"/>
        </w:rPr>
        <w:t>supra</w:t>
      </w:r>
      <w:r w:rsidR="00F57007" w:rsidRPr="00FE50A6">
        <w:rPr>
          <w:rFonts w:cs="Arial"/>
          <w:szCs w:val="20"/>
          <w:lang w:val="en-US"/>
        </w:rPr>
        <w:t xml:space="preserve"> </w:t>
      </w:r>
      <w:r w:rsidR="00700B79" w:rsidRPr="00FE50A6">
        <w:rPr>
          <w:rFonts w:cs="Arial"/>
          <w:szCs w:val="20"/>
          <w:lang w:val="en-US"/>
        </w:rPr>
        <w:t>para.</w:t>
      </w:r>
      <w:r w:rsidR="00F57007" w:rsidRPr="00FE50A6">
        <w:rPr>
          <w:rFonts w:cs="Arial"/>
          <w:szCs w:val="20"/>
          <w:lang w:val="en-US"/>
        </w:rPr>
        <w:t xml:space="preserve"> </w:t>
      </w:r>
      <w:r w:rsidR="006D06A9" w:rsidRPr="00FE50A6">
        <w:rPr>
          <w:rFonts w:cs="Arial"/>
          <w:szCs w:val="20"/>
          <w:lang w:val="en-US"/>
        </w:rPr>
        <w:t>144</w:t>
      </w:r>
      <w:r w:rsidR="00F57007" w:rsidRPr="00FE50A6">
        <w:rPr>
          <w:rFonts w:cs="Arial"/>
          <w:szCs w:val="20"/>
          <w:lang w:val="en-US"/>
        </w:rPr>
        <w:t>)</w:t>
      </w:r>
      <w:r w:rsidR="0003391C" w:rsidRPr="00FE50A6">
        <w:rPr>
          <w:rFonts w:cs="Arial"/>
          <w:szCs w:val="20"/>
          <w:lang w:val="en-US"/>
        </w:rPr>
        <w:t xml:space="preserve">, </w:t>
      </w:r>
      <w:r w:rsidRPr="00FE50A6">
        <w:rPr>
          <w:rFonts w:cs="Arial"/>
          <w:szCs w:val="20"/>
          <w:lang w:val="en-US"/>
        </w:rPr>
        <w:t>on June 30,</w:t>
      </w:r>
      <w:r w:rsidR="0003391C" w:rsidRPr="00FE50A6">
        <w:rPr>
          <w:rFonts w:cs="Arial"/>
          <w:szCs w:val="20"/>
          <w:lang w:val="en-US"/>
        </w:rPr>
        <w:t xml:space="preserve"> 1997</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w:t>
      </w:r>
      <w:r w:rsidRPr="00FE50A6">
        <w:rPr>
          <w:rFonts w:cs="Arial"/>
          <w:szCs w:val="20"/>
          <w:lang w:val="en-US"/>
        </w:rPr>
        <w:t>Federal Public Prosecution Service</w:t>
      </w:r>
      <w:r w:rsidR="0003391C" w:rsidRPr="00FE50A6">
        <w:rPr>
          <w:rFonts w:cs="Arial"/>
          <w:szCs w:val="20"/>
          <w:lang w:val="en-US"/>
        </w:rPr>
        <w:t xml:space="preserve"> </w:t>
      </w:r>
      <w:r w:rsidRPr="00FE50A6">
        <w:rPr>
          <w:rFonts w:cs="Arial"/>
          <w:szCs w:val="20"/>
          <w:lang w:val="en-US"/>
        </w:rPr>
        <w:t>filed a complaint against</w:t>
      </w:r>
      <w:r w:rsidR="0003391C" w:rsidRPr="00FE50A6">
        <w:rPr>
          <w:rFonts w:cs="Arial"/>
          <w:szCs w:val="20"/>
          <w:lang w:val="en-US"/>
        </w:rPr>
        <w:t xml:space="preserve">: </w:t>
      </w:r>
      <w:r w:rsidRPr="00FE50A6">
        <w:rPr>
          <w:rFonts w:cs="Arial"/>
          <w:szCs w:val="20"/>
          <w:lang w:val="en-US"/>
        </w:rPr>
        <w:t>(</w:t>
      </w:r>
      <w:r w:rsidR="0003391C" w:rsidRPr="00FE50A6">
        <w:rPr>
          <w:rFonts w:cs="Arial"/>
          <w:szCs w:val="20"/>
          <w:lang w:val="en-US"/>
        </w:rPr>
        <w:t>a) Raimundo Alves de Rocha,</w:t>
      </w:r>
      <w:r w:rsidR="00DB1C1D" w:rsidRPr="00FE50A6">
        <w:rPr>
          <w:rFonts w:cs="Arial"/>
          <w:i/>
          <w:szCs w:val="20"/>
          <w:lang w:val="en-US"/>
        </w:rPr>
        <w:t xml:space="preserve"> gato </w:t>
      </w:r>
      <w:r w:rsidR="0003391C" w:rsidRPr="00FE50A6">
        <w:rPr>
          <w:rFonts w:cs="Arial"/>
          <w:szCs w:val="20"/>
          <w:lang w:val="en-US"/>
        </w:rPr>
        <w:t>o</w:t>
      </w:r>
      <w:r w:rsidRPr="00FE50A6">
        <w:rPr>
          <w:rFonts w:cs="Arial"/>
          <w:szCs w:val="20"/>
          <w:lang w:val="en-US"/>
        </w:rPr>
        <w:t>r employer of rural workers, for the offenses established in a</w:t>
      </w:r>
      <w:r w:rsidR="000228D0" w:rsidRPr="00FE50A6">
        <w:rPr>
          <w:rFonts w:cs="Arial"/>
          <w:szCs w:val="20"/>
          <w:lang w:val="en-US"/>
        </w:rPr>
        <w:t>rticles</w:t>
      </w:r>
      <w:r w:rsidR="0003391C" w:rsidRPr="00FE50A6">
        <w:rPr>
          <w:rFonts w:cs="Arial"/>
          <w:szCs w:val="20"/>
          <w:lang w:val="en-US"/>
        </w:rPr>
        <w:t xml:space="preserve"> 149</w:t>
      </w:r>
      <w:r w:rsidR="00917270" w:rsidRPr="00FE50A6">
        <w:rPr>
          <w:rFonts w:cs="Arial"/>
          <w:szCs w:val="20"/>
          <w:lang w:val="en-US"/>
        </w:rPr>
        <w:t xml:space="preserve"> (</w:t>
      </w:r>
      <w:r w:rsidR="005F1946" w:rsidRPr="00FE50A6">
        <w:rPr>
          <w:rFonts w:cs="Arial"/>
          <w:szCs w:val="20"/>
          <w:lang w:val="en-US"/>
        </w:rPr>
        <w:t>slave labor</w:t>
      </w:r>
      <w:r w:rsidR="00917270" w:rsidRPr="00FE50A6">
        <w:rPr>
          <w:rFonts w:cs="Arial"/>
          <w:szCs w:val="20"/>
          <w:lang w:val="en-US"/>
        </w:rPr>
        <w:t>)</w:t>
      </w:r>
      <w:r w:rsidR="0003391C" w:rsidRPr="00FE50A6">
        <w:rPr>
          <w:rFonts w:cs="Arial"/>
          <w:szCs w:val="20"/>
          <w:lang w:val="en-US"/>
        </w:rPr>
        <w:t>, 197.1</w:t>
      </w:r>
      <w:r w:rsidR="00917270" w:rsidRPr="00FE50A6">
        <w:rPr>
          <w:rFonts w:cs="Arial"/>
          <w:szCs w:val="20"/>
          <w:lang w:val="en-US"/>
        </w:rPr>
        <w:t xml:space="preserve"> (</w:t>
      </w:r>
      <w:r w:rsidR="00216F2D" w:rsidRPr="00FE50A6">
        <w:rPr>
          <w:rFonts w:cs="Arial"/>
          <w:szCs w:val="20"/>
          <w:lang w:val="en-US"/>
        </w:rPr>
        <w:t>violation of</w:t>
      </w:r>
      <w:r w:rsidRPr="00FE50A6">
        <w:rPr>
          <w:rFonts w:cs="Arial"/>
          <w:szCs w:val="20"/>
          <w:lang w:val="en-US"/>
        </w:rPr>
        <w:t xml:space="preserve"> </w:t>
      </w:r>
      <w:r w:rsidR="00216F2D" w:rsidRPr="00FE50A6">
        <w:rPr>
          <w:rFonts w:cs="Arial"/>
          <w:szCs w:val="20"/>
          <w:lang w:val="en-US"/>
        </w:rPr>
        <w:t xml:space="preserve">freedom of </w:t>
      </w:r>
      <w:r w:rsidRPr="00FE50A6">
        <w:rPr>
          <w:rFonts w:cs="Arial"/>
          <w:szCs w:val="20"/>
          <w:lang w:val="en-US"/>
        </w:rPr>
        <w:t xml:space="preserve">work) </w:t>
      </w:r>
      <w:r w:rsidR="00030C17" w:rsidRPr="00FE50A6">
        <w:rPr>
          <w:rFonts w:cs="Arial"/>
          <w:szCs w:val="20"/>
          <w:lang w:val="en-US"/>
        </w:rPr>
        <w:t xml:space="preserve">and </w:t>
      </w:r>
      <w:r w:rsidR="0003391C" w:rsidRPr="00FE50A6">
        <w:rPr>
          <w:rFonts w:cs="Arial"/>
          <w:szCs w:val="20"/>
          <w:lang w:val="en-US"/>
        </w:rPr>
        <w:t xml:space="preserve">207 </w:t>
      </w:r>
      <w:r w:rsidR="00917270" w:rsidRPr="00FE50A6">
        <w:rPr>
          <w:rFonts w:cs="Arial"/>
          <w:szCs w:val="20"/>
          <w:lang w:val="en-US"/>
        </w:rPr>
        <w:t>(</w:t>
      </w:r>
      <w:r w:rsidRPr="00FE50A6">
        <w:rPr>
          <w:rFonts w:cs="Arial"/>
          <w:szCs w:val="20"/>
          <w:lang w:val="en-US"/>
        </w:rPr>
        <w:t>worker trafficking</w:t>
      </w:r>
      <w:r w:rsidR="00917270" w:rsidRPr="00FE50A6">
        <w:rPr>
          <w:rFonts w:cs="Arial"/>
          <w:szCs w:val="20"/>
          <w:lang w:val="en-US"/>
        </w:rPr>
        <w:t xml:space="preserve">) </w:t>
      </w:r>
      <w:r w:rsidR="0032018A" w:rsidRPr="00FE50A6">
        <w:rPr>
          <w:rFonts w:cs="Arial"/>
          <w:szCs w:val="20"/>
          <w:lang w:val="en-US"/>
        </w:rPr>
        <w:t>of the Penal Code</w:t>
      </w:r>
      <w:r w:rsidR="0003391C" w:rsidRPr="00FE50A6">
        <w:rPr>
          <w:rFonts w:cs="Times New Roman"/>
          <w:szCs w:val="20"/>
          <w:lang w:val="en-US"/>
        </w:rPr>
        <w:t xml:space="preserve">; </w:t>
      </w:r>
      <w:r w:rsidRPr="00FE50A6">
        <w:rPr>
          <w:rFonts w:cs="Times New Roman"/>
          <w:szCs w:val="20"/>
          <w:lang w:val="en-US"/>
        </w:rPr>
        <w:t>(</w:t>
      </w:r>
      <w:r w:rsidR="0003391C" w:rsidRPr="00FE50A6">
        <w:rPr>
          <w:rFonts w:cs="Times New Roman"/>
          <w:szCs w:val="20"/>
          <w:lang w:val="en-US"/>
        </w:rPr>
        <w:t xml:space="preserve">b) </w:t>
      </w:r>
      <w:r w:rsidR="00D60654" w:rsidRPr="00FE50A6">
        <w:rPr>
          <w:rFonts w:cs="Arial"/>
          <w:szCs w:val="20"/>
          <w:lang w:val="en-US"/>
        </w:rPr>
        <w:t xml:space="preserve">Antônio </w:t>
      </w:r>
      <w:r w:rsidR="0003391C" w:rsidRPr="00FE50A6">
        <w:rPr>
          <w:rFonts w:cs="Arial"/>
          <w:szCs w:val="20"/>
          <w:lang w:val="en-US"/>
        </w:rPr>
        <w:t xml:space="preserve">Alves Vieira, </w:t>
      </w:r>
      <w:r w:rsidRPr="00FE50A6">
        <w:rPr>
          <w:rFonts w:cs="Arial"/>
          <w:szCs w:val="20"/>
          <w:lang w:val="en-US"/>
        </w:rPr>
        <w:t>manager of</w:t>
      </w:r>
      <w:r w:rsidR="0003391C" w:rsidRPr="00FE50A6">
        <w:rPr>
          <w:rFonts w:cs="Arial"/>
          <w:szCs w:val="20"/>
          <w:lang w:val="en-US"/>
        </w:rPr>
        <w:t xml:space="preserve"> 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for the offenses established in a</w:t>
      </w:r>
      <w:r w:rsidR="000228D0" w:rsidRPr="00FE50A6">
        <w:rPr>
          <w:rFonts w:cs="Arial"/>
          <w:szCs w:val="20"/>
          <w:lang w:val="en-US"/>
        </w:rPr>
        <w:t>rticles</w:t>
      </w:r>
      <w:r w:rsidR="0003391C" w:rsidRPr="00FE50A6">
        <w:rPr>
          <w:rFonts w:cs="Arial"/>
          <w:szCs w:val="20"/>
          <w:lang w:val="en-US"/>
        </w:rPr>
        <w:t xml:space="preserve"> 149</w:t>
      </w:r>
      <w:r w:rsidR="00030C17" w:rsidRPr="00FE50A6">
        <w:rPr>
          <w:rFonts w:cs="Arial"/>
          <w:szCs w:val="20"/>
          <w:lang w:val="en-US"/>
        </w:rPr>
        <w:t xml:space="preserve"> and </w:t>
      </w:r>
      <w:r w:rsidR="0003391C" w:rsidRPr="00FE50A6">
        <w:rPr>
          <w:rFonts w:cs="Arial"/>
          <w:szCs w:val="20"/>
          <w:lang w:val="en-US"/>
        </w:rPr>
        <w:t xml:space="preserve">197.1 </w:t>
      </w:r>
      <w:r w:rsidR="0032018A" w:rsidRPr="00FE50A6">
        <w:rPr>
          <w:rFonts w:cs="Arial"/>
          <w:szCs w:val="20"/>
          <w:lang w:val="en-US"/>
        </w:rPr>
        <w:t>of the Penal Code</w:t>
      </w:r>
      <w:r w:rsidR="0003391C" w:rsidRPr="00FE50A6">
        <w:rPr>
          <w:rFonts w:cs="Arial"/>
          <w:szCs w:val="20"/>
          <w:lang w:val="en-US"/>
        </w:rPr>
        <w:t>,</w:t>
      </w:r>
      <w:r w:rsidR="00030C17" w:rsidRPr="00FE50A6">
        <w:rPr>
          <w:rFonts w:cs="Arial"/>
          <w:szCs w:val="20"/>
          <w:lang w:val="en-US"/>
        </w:rPr>
        <w:t xml:space="preserve"> and </w:t>
      </w:r>
      <w:r w:rsidRPr="00FE50A6">
        <w:rPr>
          <w:rFonts w:cs="Arial"/>
          <w:szCs w:val="20"/>
          <w:lang w:val="en-US"/>
        </w:rPr>
        <w:t>(</w:t>
      </w:r>
      <w:r w:rsidR="0003391C" w:rsidRPr="00FE50A6">
        <w:rPr>
          <w:rFonts w:cs="Times New Roman"/>
          <w:szCs w:val="20"/>
          <w:lang w:val="en-US"/>
        </w:rPr>
        <w:t xml:space="preserve">c) </w:t>
      </w:r>
      <w:r w:rsidR="0003391C" w:rsidRPr="00FE50A6">
        <w:rPr>
          <w:rFonts w:cs="Arial"/>
          <w:szCs w:val="20"/>
          <w:lang w:val="en-US"/>
        </w:rPr>
        <w:t xml:space="preserve">João Luiz Quagliato Neto, </w:t>
      </w:r>
      <w:r w:rsidRPr="00FE50A6">
        <w:rPr>
          <w:rFonts w:cs="Arial"/>
          <w:szCs w:val="20"/>
          <w:lang w:val="en-US"/>
        </w:rPr>
        <w:t>owner of</w:t>
      </w:r>
      <w:r w:rsidR="0003391C" w:rsidRPr="00FE50A6">
        <w:rPr>
          <w:rFonts w:cs="Arial"/>
          <w:szCs w:val="20"/>
          <w:lang w:val="en-US"/>
        </w:rPr>
        <w:t xml:space="preserve"> 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for the offense established in a</w:t>
      </w:r>
      <w:r w:rsidR="000228D0" w:rsidRPr="00FE50A6">
        <w:rPr>
          <w:rFonts w:cs="Arial"/>
          <w:szCs w:val="20"/>
          <w:lang w:val="en-US"/>
        </w:rPr>
        <w:t>rticle</w:t>
      </w:r>
      <w:r w:rsidR="003B1C45" w:rsidRPr="00FE50A6">
        <w:rPr>
          <w:rFonts w:cs="Arial"/>
          <w:szCs w:val="20"/>
          <w:lang w:val="en-US"/>
        </w:rPr>
        <w:t xml:space="preserve"> 203</w:t>
      </w:r>
      <w:r w:rsidR="0003391C" w:rsidRPr="00FE50A6">
        <w:rPr>
          <w:rFonts w:cs="Arial"/>
          <w:szCs w:val="20"/>
          <w:lang w:val="en-US"/>
        </w:rPr>
        <w:t xml:space="preserve"> </w:t>
      </w:r>
      <w:r w:rsidR="00190FF4" w:rsidRPr="00FE50A6">
        <w:rPr>
          <w:rFonts w:cs="Arial"/>
          <w:szCs w:val="20"/>
          <w:lang w:val="en-US"/>
        </w:rPr>
        <w:t>(</w:t>
      </w:r>
      <w:r w:rsidR="006B2842" w:rsidRPr="00FE50A6">
        <w:rPr>
          <w:rFonts w:cs="Arial"/>
          <w:szCs w:val="20"/>
          <w:lang w:val="en-US"/>
        </w:rPr>
        <w:t>violation of labor rights</w:t>
      </w:r>
      <w:r w:rsidR="00190FF4" w:rsidRPr="00FE50A6">
        <w:rPr>
          <w:rFonts w:cs="Arial"/>
          <w:szCs w:val="20"/>
          <w:lang w:val="en-US"/>
        </w:rPr>
        <w:t xml:space="preserve">) </w:t>
      </w:r>
      <w:r w:rsidR="0032018A" w:rsidRPr="00FE50A6">
        <w:rPr>
          <w:rFonts w:cs="Arial"/>
          <w:szCs w:val="20"/>
          <w:lang w:val="en-US"/>
        </w:rPr>
        <w:t>of the Penal Code</w:t>
      </w:r>
      <w:r w:rsidR="006B2842" w:rsidRPr="00FE50A6">
        <w:rPr>
          <w:rFonts w:cs="Arial"/>
          <w:szCs w:val="20"/>
          <w:lang w:val="en-US"/>
        </w:rPr>
        <w:t>.</w:t>
      </w:r>
      <w:r w:rsidR="0003391C" w:rsidRPr="00FE50A6">
        <w:rPr>
          <w:rStyle w:val="Refdenotaalpie"/>
          <w:rFonts w:cs="Arial"/>
          <w:lang w:val="en-US"/>
        </w:rPr>
        <w:footnoteReference w:id="135"/>
      </w:r>
      <w:r w:rsidR="006B2842" w:rsidRPr="00FE50A6">
        <w:rPr>
          <w:rFonts w:cs="Arial"/>
          <w:szCs w:val="20"/>
          <w:lang w:val="en-US"/>
        </w:rPr>
        <w:t xml:space="preserve"> In the complaint</w:t>
      </w:r>
      <w:r w:rsidR="00A83BCA" w:rsidRPr="00FE50A6">
        <w:rPr>
          <w:rFonts w:cs="Arial"/>
          <w:szCs w:val="20"/>
          <w:lang w:val="en-US"/>
        </w:rPr>
        <w:t>,</w:t>
      </w:r>
      <w:r w:rsidR="006B2842" w:rsidRPr="00FE50A6">
        <w:rPr>
          <w:rFonts w:cs="Arial"/>
          <w:szCs w:val="20"/>
          <w:lang w:val="en-US"/>
        </w:rPr>
        <w:t xml:space="preserve"> the</w:t>
      </w:r>
      <w:r w:rsidR="0003391C" w:rsidRPr="00FE50A6">
        <w:rPr>
          <w:rFonts w:cs="Arial"/>
          <w:szCs w:val="20"/>
          <w:lang w:val="en-US"/>
        </w:rPr>
        <w:t xml:space="preserve"> </w:t>
      </w:r>
      <w:r w:rsidR="006B2842" w:rsidRPr="00FE50A6">
        <w:rPr>
          <w:rFonts w:cs="Arial"/>
          <w:szCs w:val="20"/>
          <w:lang w:val="en-US"/>
        </w:rPr>
        <w:t>Public Prosecution Service</w:t>
      </w:r>
      <w:r w:rsidR="0003391C" w:rsidRPr="00FE50A6">
        <w:rPr>
          <w:rFonts w:cs="Arial"/>
          <w:szCs w:val="20"/>
          <w:lang w:val="en-US"/>
        </w:rPr>
        <w:t xml:space="preserve"> consider</w:t>
      </w:r>
      <w:r w:rsidR="006B2842" w:rsidRPr="00FE50A6">
        <w:rPr>
          <w:rFonts w:cs="Arial"/>
          <w:szCs w:val="20"/>
          <w:lang w:val="en-US"/>
        </w:rPr>
        <w:t>ed that</w:t>
      </w:r>
      <w:r w:rsidR="0003391C" w:rsidRPr="00FE50A6">
        <w:rPr>
          <w:rFonts w:cs="Arial"/>
          <w:szCs w:val="20"/>
          <w:lang w:val="en-US"/>
        </w:rPr>
        <w:t xml:space="preserve">: </w:t>
      </w:r>
    </w:p>
    <w:p w14:paraId="0712FE3A" w14:textId="77777777" w:rsidR="0003391C" w:rsidRPr="00FE50A6" w:rsidRDefault="0003391C" w:rsidP="00140440">
      <w:pPr>
        <w:autoSpaceDE w:val="0"/>
        <w:autoSpaceDN w:val="0"/>
        <w:adjustRightInd w:val="0"/>
        <w:jc w:val="both"/>
        <w:rPr>
          <w:rFonts w:cs="Times New Roman"/>
          <w:szCs w:val="20"/>
          <w:lang w:val="en-US"/>
        </w:rPr>
      </w:pPr>
    </w:p>
    <w:p w14:paraId="7EAFA346" w14:textId="77777777" w:rsidR="00F41B9B" w:rsidRPr="00FE50A6" w:rsidRDefault="0003391C" w:rsidP="00140440">
      <w:pPr>
        <w:autoSpaceDE w:val="0"/>
        <w:autoSpaceDN w:val="0"/>
        <w:adjustRightInd w:val="0"/>
        <w:ind w:left="720" w:right="720"/>
        <w:jc w:val="both"/>
        <w:rPr>
          <w:rFonts w:cs="Arial"/>
          <w:sz w:val="16"/>
          <w:szCs w:val="20"/>
          <w:lang w:val="en-US"/>
        </w:rPr>
      </w:pPr>
      <w:r w:rsidRPr="00FE50A6">
        <w:rPr>
          <w:rFonts w:cs="Arial"/>
          <w:iCs/>
          <w:sz w:val="16"/>
          <w:szCs w:val="20"/>
          <w:lang w:val="en-US"/>
        </w:rPr>
        <w:t xml:space="preserve">Hacienda </w:t>
      </w:r>
      <w:r w:rsidR="00322241" w:rsidRPr="00FE50A6">
        <w:rPr>
          <w:rFonts w:cs="Arial"/>
          <w:iCs/>
          <w:sz w:val="16"/>
          <w:szCs w:val="20"/>
          <w:lang w:val="en-US"/>
        </w:rPr>
        <w:t>Brasil Verde</w:t>
      </w:r>
      <w:r w:rsidRPr="00FE50A6">
        <w:rPr>
          <w:rFonts w:cs="Arial"/>
          <w:i/>
          <w:iCs/>
          <w:sz w:val="16"/>
          <w:szCs w:val="20"/>
          <w:lang w:val="en-US"/>
        </w:rPr>
        <w:t xml:space="preserve"> </w:t>
      </w:r>
      <w:r w:rsidR="00F41B9B" w:rsidRPr="00FE50A6">
        <w:rPr>
          <w:rFonts w:cs="Arial"/>
          <w:sz w:val="16"/>
          <w:szCs w:val="20"/>
          <w:lang w:val="en-US"/>
        </w:rPr>
        <w:t xml:space="preserve">is accustomed to </w:t>
      </w:r>
      <w:r w:rsidR="00A83BCA" w:rsidRPr="00FE50A6">
        <w:rPr>
          <w:rFonts w:cs="Arial"/>
          <w:sz w:val="16"/>
          <w:szCs w:val="20"/>
          <w:lang w:val="en-US"/>
        </w:rPr>
        <w:t>hiring</w:t>
      </w:r>
      <w:r w:rsidR="00F41B9B" w:rsidRPr="00FE50A6">
        <w:rPr>
          <w:rFonts w:cs="Arial"/>
          <w:sz w:val="16"/>
          <w:szCs w:val="20"/>
          <w:lang w:val="en-US"/>
        </w:rPr>
        <w:t xml:space="preserve"> temporary rural workers</w:t>
      </w:r>
      <w:r w:rsidR="00DB45CA" w:rsidRPr="00FE50A6">
        <w:rPr>
          <w:rFonts w:cs="Arial"/>
          <w:sz w:val="16"/>
          <w:szCs w:val="20"/>
          <w:lang w:val="en-US"/>
        </w:rPr>
        <w:t>,</w:t>
      </w:r>
      <w:r w:rsidR="00F41B9B" w:rsidRPr="00FE50A6">
        <w:rPr>
          <w:rFonts w:cs="Arial"/>
          <w:sz w:val="16"/>
          <w:szCs w:val="20"/>
          <w:lang w:val="en-US"/>
        </w:rPr>
        <w:t xml:space="preserve"> </w:t>
      </w:r>
      <w:r w:rsidR="009C48A4" w:rsidRPr="00FE50A6">
        <w:rPr>
          <w:rFonts w:cs="Arial"/>
          <w:sz w:val="16"/>
          <w:szCs w:val="20"/>
          <w:lang w:val="en-US"/>
        </w:rPr>
        <w:t>“</w:t>
      </w:r>
      <w:r w:rsidR="00F41B9B" w:rsidRPr="00FE50A6">
        <w:rPr>
          <w:rFonts w:cs="Arial"/>
          <w:sz w:val="16"/>
          <w:szCs w:val="20"/>
          <w:lang w:val="en-US"/>
        </w:rPr>
        <w:t>laborers</w:t>
      </w:r>
      <w:r w:rsidR="00DB45CA" w:rsidRPr="00FE50A6">
        <w:rPr>
          <w:rFonts w:cs="Arial"/>
          <w:sz w:val="16"/>
          <w:szCs w:val="20"/>
          <w:lang w:val="en-US"/>
        </w:rPr>
        <w:t>,</w:t>
      </w:r>
      <w:r w:rsidR="009C48A4" w:rsidRPr="00FE50A6">
        <w:rPr>
          <w:rFonts w:cs="Arial"/>
          <w:sz w:val="16"/>
          <w:szCs w:val="20"/>
          <w:lang w:val="en-US"/>
        </w:rPr>
        <w:t>”</w:t>
      </w:r>
      <w:r w:rsidR="00F41B9B" w:rsidRPr="00FE50A6">
        <w:rPr>
          <w:rFonts w:cs="Arial"/>
          <w:sz w:val="16"/>
          <w:szCs w:val="20"/>
          <w:lang w:val="en-US"/>
        </w:rPr>
        <w:t xml:space="preserve"> to c</w:t>
      </w:r>
      <w:r w:rsidR="004255F0" w:rsidRPr="00FE50A6">
        <w:rPr>
          <w:rFonts w:cs="Arial"/>
          <w:sz w:val="16"/>
          <w:szCs w:val="20"/>
          <w:lang w:val="en-US"/>
        </w:rPr>
        <w:t xml:space="preserve">lear the </w:t>
      </w:r>
      <w:r w:rsidRPr="00FE50A6">
        <w:rPr>
          <w:rFonts w:cs="Arial"/>
          <w:i/>
          <w:sz w:val="16"/>
          <w:szCs w:val="20"/>
          <w:lang w:val="en-US"/>
        </w:rPr>
        <w:t>juquira</w:t>
      </w:r>
      <w:r w:rsidR="00B500D8" w:rsidRPr="00FE50A6">
        <w:rPr>
          <w:rFonts w:cs="Arial"/>
          <w:i/>
          <w:sz w:val="16"/>
          <w:szCs w:val="20"/>
          <w:lang w:val="en-US"/>
        </w:rPr>
        <w:t xml:space="preserve"> </w:t>
      </w:r>
      <w:r w:rsidR="00B500D8" w:rsidRPr="00FE50A6">
        <w:rPr>
          <w:rFonts w:cs="Arial"/>
          <w:sz w:val="16"/>
          <w:szCs w:val="20"/>
          <w:lang w:val="en-US"/>
        </w:rPr>
        <w:t>[or dense vegetation]</w:t>
      </w:r>
      <w:r w:rsidR="00F41B9B" w:rsidRPr="00FE50A6">
        <w:rPr>
          <w:rFonts w:cs="Arial"/>
          <w:sz w:val="16"/>
          <w:szCs w:val="20"/>
          <w:lang w:val="en-US"/>
        </w:rPr>
        <w:t xml:space="preserve">, such as the 32 (thirty-two) workers who were recruited […] in the municipality of Xinguara by […] an employer, in this case, the accused, Raimundo Alves da </w:t>
      </w:r>
      <w:r w:rsidR="00F41B9B" w:rsidRPr="00FE50A6">
        <w:rPr>
          <w:rFonts w:cs="Arial"/>
          <w:sz w:val="16"/>
          <w:szCs w:val="20"/>
          <w:lang w:val="en-US"/>
        </w:rPr>
        <w:lastRenderedPageBreak/>
        <w:t xml:space="preserve">Rocha, between March 24 and April 14 this year […] to work in another place for a </w:t>
      </w:r>
      <w:r w:rsidR="00A83BCA" w:rsidRPr="00FE50A6">
        <w:rPr>
          <w:rFonts w:cs="Arial"/>
          <w:sz w:val="16"/>
          <w:szCs w:val="20"/>
          <w:lang w:val="en-US"/>
        </w:rPr>
        <w:t>wage</w:t>
      </w:r>
      <w:r w:rsidR="00F41B9B" w:rsidRPr="00FE50A6">
        <w:rPr>
          <w:rFonts w:cs="Arial"/>
          <w:sz w:val="16"/>
          <w:szCs w:val="20"/>
          <w:lang w:val="en-US"/>
        </w:rPr>
        <w:t xml:space="preserve">. Part of this wage is provided before </w:t>
      </w:r>
      <w:r w:rsidR="00A83BCA" w:rsidRPr="00FE50A6">
        <w:rPr>
          <w:rFonts w:cs="Arial"/>
          <w:sz w:val="16"/>
          <w:szCs w:val="20"/>
          <w:lang w:val="en-US"/>
        </w:rPr>
        <w:t xml:space="preserve">arriving at </w:t>
      </w:r>
      <w:r w:rsidR="00F41B9B" w:rsidRPr="00FE50A6">
        <w:rPr>
          <w:rFonts w:cs="Arial"/>
          <w:sz w:val="16"/>
          <w:szCs w:val="20"/>
          <w:lang w:val="en-US"/>
        </w:rPr>
        <w:t>the place of work […].</w:t>
      </w:r>
    </w:p>
    <w:p w14:paraId="3317BB14" w14:textId="77777777" w:rsidR="00F41B9B" w:rsidRPr="00FE50A6" w:rsidRDefault="00F41B9B" w:rsidP="00140440">
      <w:pPr>
        <w:autoSpaceDE w:val="0"/>
        <w:autoSpaceDN w:val="0"/>
        <w:adjustRightInd w:val="0"/>
        <w:ind w:left="720" w:right="720"/>
        <w:jc w:val="both"/>
        <w:rPr>
          <w:rFonts w:cs="Arial"/>
          <w:sz w:val="16"/>
          <w:szCs w:val="20"/>
          <w:lang w:val="en-US"/>
        </w:rPr>
      </w:pPr>
    </w:p>
    <w:p w14:paraId="3070B17A" w14:textId="77777777" w:rsidR="0003391C" w:rsidRPr="00FE50A6" w:rsidRDefault="00F41B9B" w:rsidP="00F41B9B">
      <w:pPr>
        <w:autoSpaceDE w:val="0"/>
        <w:autoSpaceDN w:val="0"/>
        <w:adjustRightInd w:val="0"/>
        <w:ind w:left="720" w:right="720"/>
        <w:jc w:val="both"/>
        <w:rPr>
          <w:rFonts w:cs="Arial"/>
          <w:sz w:val="16"/>
          <w:szCs w:val="20"/>
          <w:lang w:val="en-US"/>
        </w:rPr>
      </w:pPr>
      <w:r w:rsidRPr="00FE50A6">
        <w:rPr>
          <w:rFonts w:cs="Arial"/>
          <w:sz w:val="16"/>
          <w:szCs w:val="20"/>
          <w:lang w:val="en-US"/>
        </w:rPr>
        <w:t xml:space="preserve">On arrival at the hacienda, the workers are lodged in huts covered by plastic and straw, without lateral protection. […] The water they drink […] is not fit for human consumption, because it comes from the bathroom and the drinking trough for the hacienda’s animals. […] Food, such as meat, is exposed to insects outdoors; it is </w:t>
      </w:r>
      <w:r w:rsidR="00A83BCA" w:rsidRPr="00FE50A6">
        <w:rPr>
          <w:rFonts w:cs="Arial"/>
          <w:sz w:val="16"/>
          <w:szCs w:val="20"/>
          <w:lang w:val="en-US"/>
        </w:rPr>
        <w:t>distributed</w:t>
      </w:r>
      <w:r w:rsidRPr="00FE50A6">
        <w:rPr>
          <w:rFonts w:cs="Arial"/>
          <w:sz w:val="16"/>
          <w:szCs w:val="20"/>
          <w:lang w:val="en-US"/>
        </w:rPr>
        <w:t xml:space="preserve"> by [one of the] accused […] by the </w:t>
      </w:r>
      <w:r w:rsidR="00190FF4" w:rsidRPr="00FE50A6">
        <w:rPr>
          <w:rFonts w:cs="Arial"/>
          <w:i/>
          <w:iCs/>
          <w:sz w:val="16"/>
          <w:szCs w:val="20"/>
          <w:lang w:val="en-US"/>
        </w:rPr>
        <w:t>barracã</w:t>
      </w:r>
      <w:r w:rsidR="0003391C" w:rsidRPr="00FE50A6">
        <w:rPr>
          <w:rFonts w:cs="Arial"/>
          <w:i/>
          <w:iCs/>
          <w:sz w:val="16"/>
          <w:szCs w:val="20"/>
          <w:lang w:val="en-US"/>
        </w:rPr>
        <w:t>o</w:t>
      </w:r>
      <w:r w:rsidR="00030C17" w:rsidRPr="00FE50A6">
        <w:rPr>
          <w:rFonts w:cs="Arial"/>
          <w:i/>
          <w:iCs/>
          <w:sz w:val="16"/>
          <w:szCs w:val="20"/>
          <w:lang w:val="en-US"/>
        </w:rPr>
        <w:t xml:space="preserve"> </w:t>
      </w:r>
      <w:proofErr w:type="gramStart"/>
      <w:r w:rsidR="00B500D8" w:rsidRPr="00FE50A6">
        <w:rPr>
          <w:rFonts w:cs="Arial"/>
          <w:iCs/>
          <w:sz w:val="16"/>
          <w:szCs w:val="20"/>
          <w:lang w:val="en-US"/>
        </w:rPr>
        <w:t>or ”truck</w:t>
      </w:r>
      <w:proofErr w:type="gramEnd"/>
      <w:r w:rsidR="00B500D8" w:rsidRPr="00FE50A6">
        <w:rPr>
          <w:rFonts w:cs="Arial"/>
          <w:iCs/>
          <w:sz w:val="16"/>
          <w:szCs w:val="20"/>
          <w:lang w:val="en-US"/>
        </w:rPr>
        <w:t xml:space="preserve"> s</w:t>
      </w:r>
      <w:r w:rsidR="00A83BCA" w:rsidRPr="00FE50A6">
        <w:rPr>
          <w:rFonts w:cs="Arial"/>
          <w:iCs/>
          <w:sz w:val="16"/>
          <w:szCs w:val="20"/>
          <w:lang w:val="en-US"/>
        </w:rPr>
        <w:t>ystem</w:t>
      </w:r>
      <w:r w:rsidR="00B500D8" w:rsidRPr="00FE50A6">
        <w:rPr>
          <w:rFonts w:cs="Arial"/>
          <w:iCs/>
          <w:sz w:val="16"/>
          <w:szCs w:val="20"/>
          <w:lang w:val="en-US"/>
        </w:rPr>
        <w:t>”</w:t>
      </w:r>
      <w:r w:rsidR="00A83BCA" w:rsidRPr="00FE50A6">
        <w:rPr>
          <w:rFonts w:cs="Arial"/>
          <w:i/>
          <w:iCs/>
          <w:sz w:val="16"/>
          <w:szCs w:val="20"/>
          <w:lang w:val="en-US"/>
        </w:rPr>
        <w:t xml:space="preserve"> </w:t>
      </w:r>
      <w:r w:rsidR="008B21C8" w:rsidRPr="00FE50A6">
        <w:rPr>
          <w:rFonts w:cs="Arial"/>
          <w:sz w:val="16"/>
          <w:szCs w:val="20"/>
          <w:lang w:val="en-US"/>
        </w:rPr>
        <w:t>and by the</w:t>
      </w:r>
      <w:r w:rsidR="0003391C" w:rsidRPr="00FE50A6">
        <w:rPr>
          <w:rFonts w:cs="Arial"/>
          <w:sz w:val="16"/>
          <w:szCs w:val="20"/>
          <w:lang w:val="en-US"/>
        </w:rPr>
        <w:t xml:space="preserve"> [</w:t>
      </w:r>
      <w:r w:rsidR="008B21C8" w:rsidRPr="00FE50A6">
        <w:rPr>
          <w:rFonts w:cs="Arial"/>
          <w:sz w:val="16"/>
          <w:szCs w:val="20"/>
          <w:lang w:val="en-US"/>
        </w:rPr>
        <w:t>…</w:t>
      </w:r>
      <w:r w:rsidR="0003391C" w:rsidRPr="00FE50A6">
        <w:rPr>
          <w:rFonts w:cs="Arial"/>
          <w:sz w:val="16"/>
          <w:szCs w:val="20"/>
          <w:lang w:val="en-US"/>
        </w:rPr>
        <w:t xml:space="preserve">] </w:t>
      </w:r>
      <w:r w:rsidR="008B21C8" w:rsidRPr="00FE50A6">
        <w:rPr>
          <w:rFonts w:cs="Arial"/>
          <w:sz w:val="16"/>
          <w:szCs w:val="20"/>
          <w:lang w:val="en-US"/>
        </w:rPr>
        <w:t>hacienda’s middleman through the manager</w:t>
      </w:r>
      <w:r w:rsidR="0003391C" w:rsidRPr="00FE50A6">
        <w:rPr>
          <w:rFonts w:cs="Arial"/>
          <w:sz w:val="16"/>
          <w:szCs w:val="20"/>
          <w:lang w:val="en-US"/>
        </w:rPr>
        <w:t xml:space="preserve"> [</w:t>
      </w:r>
      <w:r w:rsidR="008B21C8" w:rsidRPr="00FE50A6">
        <w:rPr>
          <w:rFonts w:cs="Arial"/>
          <w:sz w:val="16"/>
          <w:szCs w:val="20"/>
          <w:lang w:val="en-US"/>
        </w:rPr>
        <w:t>…</w:t>
      </w:r>
      <w:r w:rsidR="0003391C" w:rsidRPr="00FE50A6">
        <w:rPr>
          <w:rFonts w:cs="Arial"/>
          <w:sz w:val="16"/>
          <w:szCs w:val="20"/>
          <w:lang w:val="en-US"/>
        </w:rPr>
        <w:t xml:space="preserve">] </w:t>
      </w:r>
      <w:r w:rsidR="00D60654" w:rsidRPr="00FE50A6">
        <w:rPr>
          <w:rFonts w:cs="Arial"/>
          <w:sz w:val="16"/>
          <w:szCs w:val="20"/>
          <w:lang w:val="en-US"/>
        </w:rPr>
        <w:t xml:space="preserve">Antônio </w:t>
      </w:r>
      <w:r w:rsidR="0003391C" w:rsidRPr="00FE50A6">
        <w:rPr>
          <w:rFonts w:cs="Arial"/>
          <w:sz w:val="16"/>
          <w:szCs w:val="20"/>
          <w:lang w:val="en-US"/>
        </w:rPr>
        <w:t>Alves Vieira.</w:t>
      </w:r>
    </w:p>
    <w:p w14:paraId="6E556C89" w14:textId="77777777" w:rsidR="0003391C" w:rsidRPr="00FE50A6" w:rsidRDefault="0003391C" w:rsidP="00140440">
      <w:pPr>
        <w:autoSpaceDE w:val="0"/>
        <w:autoSpaceDN w:val="0"/>
        <w:adjustRightInd w:val="0"/>
        <w:ind w:left="720" w:right="720"/>
        <w:jc w:val="both"/>
        <w:rPr>
          <w:rFonts w:cs="Arial"/>
          <w:sz w:val="16"/>
          <w:szCs w:val="20"/>
          <w:lang w:val="en-US"/>
        </w:rPr>
      </w:pPr>
    </w:p>
    <w:p w14:paraId="5E31AE17" w14:textId="77777777" w:rsidR="008B21C8" w:rsidRPr="00FE50A6" w:rsidRDefault="008B21C8" w:rsidP="00140440">
      <w:pPr>
        <w:autoSpaceDE w:val="0"/>
        <w:autoSpaceDN w:val="0"/>
        <w:adjustRightInd w:val="0"/>
        <w:ind w:left="720" w:right="720"/>
        <w:jc w:val="both"/>
        <w:rPr>
          <w:rFonts w:cs="Arial"/>
          <w:sz w:val="16"/>
          <w:szCs w:val="20"/>
          <w:lang w:val="en-US"/>
        </w:rPr>
      </w:pPr>
      <w:r w:rsidRPr="00FE50A6">
        <w:rPr>
          <w:rFonts w:cs="Arial"/>
          <w:sz w:val="16"/>
          <w:szCs w:val="20"/>
          <w:lang w:val="en-US"/>
        </w:rPr>
        <w:t>Several workers</w:t>
      </w:r>
      <w:r w:rsidR="0003391C" w:rsidRPr="00FE50A6">
        <w:rPr>
          <w:rFonts w:cs="Arial"/>
          <w:sz w:val="16"/>
          <w:szCs w:val="20"/>
          <w:lang w:val="en-US"/>
        </w:rPr>
        <w:t xml:space="preserve"> [</w:t>
      </w:r>
      <w:r w:rsidRPr="00FE50A6">
        <w:rPr>
          <w:rFonts w:cs="Arial"/>
          <w:sz w:val="16"/>
          <w:szCs w:val="20"/>
          <w:lang w:val="en-US"/>
        </w:rPr>
        <w:t>…</w:t>
      </w:r>
      <w:r w:rsidR="0003391C" w:rsidRPr="00FE50A6">
        <w:rPr>
          <w:rFonts w:cs="Arial"/>
          <w:sz w:val="16"/>
          <w:szCs w:val="20"/>
          <w:lang w:val="en-US"/>
        </w:rPr>
        <w:t xml:space="preserve">] </w:t>
      </w:r>
      <w:r w:rsidRPr="00FE50A6">
        <w:rPr>
          <w:rFonts w:cs="Arial"/>
          <w:sz w:val="16"/>
          <w:szCs w:val="20"/>
          <w:lang w:val="en-US"/>
        </w:rPr>
        <w:t xml:space="preserve">stated that they were prohibited from leaving the hacienda under threat of death while they had debts […] </w:t>
      </w:r>
      <w:r w:rsidR="00DB45CA" w:rsidRPr="00FE50A6">
        <w:rPr>
          <w:rFonts w:cs="Arial"/>
          <w:sz w:val="16"/>
          <w:szCs w:val="20"/>
          <w:lang w:val="en-US"/>
        </w:rPr>
        <w:t>due to</w:t>
      </w:r>
      <w:r w:rsidRPr="00FE50A6">
        <w:rPr>
          <w:rFonts w:cs="Arial"/>
          <w:sz w:val="16"/>
          <w:szCs w:val="20"/>
          <w:lang w:val="en-US"/>
        </w:rPr>
        <w:t xml:space="preserve"> purchasing food at exorbitant prices […] and because they started working with the debt for the hotel. […] the pitiful wage they receive would never be enough to pay</w:t>
      </w:r>
      <w:r w:rsidR="00447E87" w:rsidRPr="00FE50A6">
        <w:rPr>
          <w:rFonts w:cs="Arial"/>
          <w:sz w:val="16"/>
          <w:szCs w:val="20"/>
          <w:lang w:val="en-US"/>
        </w:rPr>
        <w:t xml:space="preserve"> off</w:t>
      </w:r>
      <w:r w:rsidRPr="00FE50A6">
        <w:rPr>
          <w:rFonts w:cs="Arial"/>
          <w:sz w:val="16"/>
          <w:szCs w:val="20"/>
          <w:lang w:val="en-US"/>
        </w:rPr>
        <w:t xml:space="preserve"> their debts. In this regard, the owner of the hacienda profits by using workers who receive no salary for the</w:t>
      </w:r>
      <w:r w:rsidR="00DB45CA" w:rsidRPr="00FE50A6">
        <w:rPr>
          <w:rFonts w:cs="Arial"/>
          <w:sz w:val="16"/>
          <w:szCs w:val="20"/>
          <w:lang w:val="en-US"/>
        </w:rPr>
        <w:t>ir</w:t>
      </w:r>
      <w:r w:rsidRPr="00FE50A6">
        <w:rPr>
          <w:rFonts w:cs="Arial"/>
          <w:sz w:val="16"/>
          <w:szCs w:val="20"/>
          <w:lang w:val="en-US"/>
        </w:rPr>
        <w:t xml:space="preserve"> work […].</w:t>
      </w:r>
    </w:p>
    <w:p w14:paraId="32F09EF8" w14:textId="77777777" w:rsidR="0003391C" w:rsidRPr="00FE50A6" w:rsidRDefault="0003391C" w:rsidP="008B21C8">
      <w:pPr>
        <w:autoSpaceDE w:val="0"/>
        <w:autoSpaceDN w:val="0"/>
        <w:adjustRightInd w:val="0"/>
        <w:ind w:right="720"/>
        <w:jc w:val="both"/>
        <w:rPr>
          <w:rFonts w:cs="Arial"/>
          <w:sz w:val="16"/>
          <w:szCs w:val="20"/>
          <w:lang w:val="en-US"/>
        </w:rPr>
      </w:pPr>
    </w:p>
    <w:p w14:paraId="540F582D"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xml:space="preserve">] </w:t>
      </w:r>
      <w:r w:rsidR="008B21C8" w:rsidRPr="00FE50A6">
        <w:rPr>
          <w:rFonts w:cs="Arial"/>
          <w:sz w:val="16"/>
          <w:szCs w:val="20"/>
          <w:lang w:val="en-US"/>
        </w:rPr>
        <w:t xml:space="preserve">The only way out of the hacienda is bordered by the office buildings and the house of the manager who does not allow the workers to leave </w:t>
      </w: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w:t>
      </w:r>
      <w:r w:rsidR="008B21C8" w:rsidRPr="00FE50A6">
        <w:rPr>
          <w:rFonts w:cs="Arial"/>
          <w:sz w:val="16"/>
          <w:szCs w:val="20"/>
          <w:lang w:val="en-US"/>
        </w:rPr>
        <w:t>.</w:t>
      </w:r>
    </w:p>
    <w:p w14:paraId="6BB68625" w14:textId="77777777" w:rsidR="0003391C" w:rsidRPr="00FE50A6" w:rsidRDefault="0003391C" w:rsidP="00140440">
      <w:pPr>
        <w:autoSpaceDE w:val="0"/>
        <w:autoSpaceDN w:val="0"/>
        <w:adjustRightInd w:val="0"/>
        <w:ind w:left="720" w:right="720"/>
        <w:jc w:val="both"/>
        <w:rPr>
          <w:rFonts w:cs="Arial"/>
          <w:sz w:val="16"/>
          <w:szCs w:val="20"/>
          <w:lang w:val="en-US"/>
        </w:rPr>
      </w:pPr>
    </w:p>
    <w:p w14:paraId="54452470"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A</w:t>
      </w:r>
      <w:r w:rsidR="008B21C8" w:rsidRPr="00FE50A6">
        <w:rPr>
          <w:rFonts w:cs="Arial"/>
          <w:sz w:val="16"/>
          <w:szCs w:val="20"/>
          <w:lang w:val="en-US"/>
        </w:rPr>
        <w:t xml:space="preserve">dded to this, the inspection was conducted based on information provided by a worker […] and several blank promissory notes signed by workers [were found]. </w:t>
      </w:r>
    </w:p>
    <w:p w14:paraId="7B93C536" w14:textId="77777777" w:rsidR="0003391C" w:rsidRPr="00FE50A6" w:rsidRDefault="0003391C" w:rsidP="00140440">
      <w:pPr>
        <w:autoSpaceDE w:val="0"/>
        <w:autoSpaceDN w:val="0"/>
        <w:adjustRightInd w:val="0"/>
        <w:ind w:left="720" w:right="720"/>
        <w:jc w:val="both"/>
        <w:rPr>
          <w:rFonts w:cs="Arial"/>
          <w:sz w:val="16"/>
          <w:szCs w:val="20"/>
          <w:lang w:val="en-US"/>
        </w:rPr>
      </w:pPr>
    </w:p>
    <w:p w14:paraId="6F01915D" w14:textId="77777777" w:rsidR="0003391C" w:rsidRPr="00FE50A6" w:rsidRDefault="0003391C" w:rsidP="008B21C8">
      <w:pPr>
        <w:autoSpaceDE w:val="0"/>
        <w:autoSpaceDN w:val="0"/>
        <w:adjustRightInd w:val="0"/>
        <w:ind w:left="720" w:right="720"/>
        <w:jc w:val="both"/>
        <w:rPr>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xml:space="preserve">] </w:t>
      </w:r>
      <w:r w:rsidR="008B21C8" w:rsidRPr="00FE50A6">
        <w:rPr>
          <w:rFonts w:cs="Arial"/>
          <w:sz w:val="16"/>
          <w:szCs w:val="20"/>
          <w:lang w:val="en-US"/>
        </w:rPr>
        <w:t>I</w:t>
      </w:r>
      <w:r w:rsidRPr="00FE50A6">
        <w:rPr>
          <w:rFonts w:cs="Arial"/>
          <w:sz w:val="16"/>
          <w:szCs w:val="20"/>
          <w:lang w:val="en-US"/>
        </w:rPr>
        <w:t xml:space="preserve">n </w:t>
      </w:r>
      <w:r w:rsidR="008B21C8" w:rsidRPr="00FE50A6">
        <w:rPr>
          <w:rFonts w:cs="Arial"/>
          <w:sz w:val="16"/>
          <w:szCs w:val="20"/>
          <w:lang w:val="en-US"/>
        </w:rPr>
        <w:t>December</w:t>
      </w:r>
      <w:r w:rsidRPr="00FE50A6">
        <w:rPr>
          <w:rFonts w:cs="Arial"/>
          <w:sz w:val="16"/>
          <w:szCs w:val="20"/>
          <w:lang w:val="en-US"/>
        </w:rPr>
        <w:t xml:space="preserve"> 1996</w:t>
      </w:r>
      <w:r w:rsidR="008B21C8" w:rsidRPr="00FE50A6">
        <w:rPr>
          <w:rFonts w:cs="Arial"/>
          <w:sz w:val="16"/>
          <w:szCs w:val="20"/>
          <w:lang w:val="en-US"/>
        </w:rPr>
        <w:t>, the inspection found the same irregularities</w:t>
      </w:r>
      <w:r w:rsidR="00DB45CA" w:rsidRPr="00FE50A6">
        <w:rPr>
          <w:rFonts w:cs="Arial"/>
          <w:sz w:val="16"/>
          <w:szCs w:val="20"/>
          <w:lang w:val="en-US"/>
        </w:rPr>
        <w:t>. Moreover,</w:t>
      </w:r>
      <w:r w:rsidR="008B21C8" w:rsidRPr="00FE50A6">
        <w:rPr>
          <w:rFonts w:cs="Arial"/>
          <w:sz w:val="16"/>
          <w:szCs w:val="20"/>
          <w:lang w:val="en-US"/>
        </w:rPr>
        <w:t xml:space="preserve"> in 1989, information </w:t>
      </w:r>
      <w:r w:rsidR="00DB45CA" w:rsidRPr="00FE50A6">
        <w:rPr>
          <w:rFonts w:cs="Arial"/>
          <w:sz w:val="16"/>
          <w:szCs w:val="20"/>
          <w:lang w:val="en-US"/>
        </w:rPr>
        <w:t xml:space="preserve">had already been provided </w:t>
      </w:r>
      <w:r w:rsidR="008B21C8" w:rsidRPr="00FE50A6">
        <w:rPr>
          <w:rFonts w:cs="Arial"/>
          <w:sz w:val="16"/>
          <w:szCs w:val="20"/>
          <w:lang w:val="en-US"/>
        </w:rPr>
        <w:t>on offen</w:t>
      </w:r>
      <w:r w:rsidR="00447E87" w:rsidRPr="00FE50A6">
        <w:rPr>
          <w:rFonts w:cs="Arial"/>
          <w:sz w:val="16"/>
          <w:szCs w:val="20"/>
          <w:lang w:val="en-US"/>
        </w:rPr>
        <w:t>s</w:t>
      </w:r>
      <w:r w:rsidR="008B21C8" w:rsidRPr="00FE50A6">
        <w:rPr>
          <w:rFonts w:cs="Arial"/>
          <w:sz w:val="16"/>
          <w:szCs w:val="20"/>
          <w:lang w:val="en-US"/>
        </w:rPr>
        <w:t>es against the organization</w:t>
      </w:r>
      <w:r w:rsidR="00DB45CA" w:rsidRPr="00FE50A6">
        <w:rPr>
          <w:rFonts w:cs="Arial"/>
          <w:sz w:val="16"/>
          <w:szCs w:val="20"/>
          <w:lang w:val="en-US"/>
        </w:rPr>
        <w:t xml:space="preserve"> </w:t>
      </w:r>
      <w:r w:rsidR="008B21C8" w:rsidRPr="00FE50A6">
        <w:rPr>
          <w:rFonts w:cs="Arial"/>
          <w:sz w:val="16"/>
          <w:szCs w:val="20"/>
          <w:lang w:val="en-US"/>
        </w:rPr>
        <w:t xml:space="preserve">of </w:t>
      </w:r>
      <w:r w:rsidR="00DB45CA" w:rsidRPr="00FE50A6">
        <w:rPr>
          <w:rFonts w:cs="Arial"/>
          <w:sz w:val="16"/>
          <w:szCs w:val="20"/>
          <w:lang w:val="en-US"/>
        </w:rPr>
        <w:t>work</w:t>
      </w:r>
      <w:r w:rsidR="008B21C8" w:rsidRPr="00FE50A6">
        <w:rPr>
          <w:rFonts w:cs="Arial"/>
          <w:sz w:val="16"/>
          <w:szCs w:val="20"/>
          <w:lang w:val="en-US"/>
        </w:rPr>
        <w:t xml:space="preserve"> and reduction to a condition </w:t>
      </w:r>
      <w:r w:rsidR="00447E87" w:rsidRPr="00FE50A6">
        <w:rPr>
          <w:rFonts w:cs="Arial"/>
          <w:sz w:val="16"/>
          <w:szCs w:val="20"/>
          <w:lang w:val="en-US"/>
        </w:rPr>
        <w:t>analogous</w:t>
      </w:r>
      <w:r w:rsidR="008B21C8" w:rsidRPr="00FE50A6">
        <w:rPr>
          <w:rFonts w:cs="Arial"/>
          <w:sz w:val="16"/>
          <w:szCs w:val="20"/>
          <w:lang w:val="en-US"/>
        </w:rPr>
        <w:t xml:space="preserve"> to slavery. The failure to investigate the facts </w:t>
      </w:r>
      <w:r w:rsidR="00DB45CA" w:rsidRPr="00FE50A6">
        <w:rPr>
          <w:rFonts w:cs="Arial"/>
          <w:sz w:val="16"/>
          <w:szCs w:val="20"/>
          <w:lang w:val="en-US"/>
        </w:rPr>
        <w:t>promptly</w:t>
      </w:r>
      <w:r w:rsidR="008B21C8" w:rsidRPr="00FE50A6">
        <w:rPr>
          <w:rFonts w:cs="Arial"/>
          <w:sz w:val="16"/>
          <w:szCs w:val="20"/>
          <w:lang w:val="en-US"/>
        </w:rPr>
        <w:t xml:space="preserve"> and the prescription of the other offen</w:t>
      </w:r>
      <w:r w:rsidR="00DB45CA" w:rsidRPr="00FE50A6">
        <w:rPr>
          <w:rFonts w:cs="Arial"/>
          <w:sz w:val="16"/>
          <w:szCs w:val="20"/>
          <w:lang w:val="en-US"/>
        </w:rPr>
        <w:t>s</w:t>
      </w:r>
      <w:r w:rsidR="008B21C8" w:rsidRPr="00FE50A6">
        <w:rPr>
          <w:rFonts w:cs="Arial"/>
          <w:sz w:val="16"/>
          <w:szCs w:val="20"/>
          <w:lang w:val="en-US"/>
        </w:rPr>
        <w:t>es when the Federal Public Prosecution Service became aware of the facts, made it impossible to file a criminal action. […] the owner of the hacienda, the third accused, was fully aware that, at the very least, he was committing the offense of violation of the</w:t>
      </w:r>
      <w:r w:rsidR="00DB45CA" w:rsidRPr="00FE50A6">
        <w:rPr>
          <w:rFonts w:cs="Arial"/>
          <w:sz w:val="16"/>
          <w:szCs w:val="20"/>
          <w:lang w:val="en-US"/>
        </w:rPr>
        <w:t xml:space="preserve"> workers’</w:t>
      </w:r>
      <w:r w:rsidR="008B21C8" w:rsidRPr="00FE50A6">
        <w:rPr>
          <w:rFonts w:cs="Arial"/>
          <w:sz w:val="16"/>
          <w:szCs w:val="20"/>
          <w:lang w:val="en-US"/>
        </w:rPr>
        <w:t xml:space="preserve"> rights by </w:t>
      </w:r>
      <w:r w:rsidR="00DB45CA" w:rsidRPr="00FE50A6">
        <w:rPr>
          <w:rFonts w:cs="Arial"/>
          <w:sz w:val="16"/>
          <w:szCs w:val="20"/>
          <w:lang w:val="en-US"/>
        </w:rPr>
        <w:t>deception</w:t>
      </w:r>
      <w:r w:rsidR="008B21C8" w:rsidRPr="00FE50A6">
        <w:rPr>
          <w:rFonts w:cs="Arial"/>
          <w:sz w:val="16"/>
          <w:szCs w:val="20"/>
          <w:lang w:val="en-US"/>
        </w:rPr>
        <w:t>.</w:t>
      </w:r>
      <w:r w:rsidRPr="00FE50A6">
        <w:rPr>
          <w:rStyle w:val="Refdenotaalpie"/>
          <w:rFonts w:cs="Arial"/>
          <w:sz w:val="16"/>
          <w:lang w:val="en-US"/>
        </w:rPr>
        <w:footnoteReference w:id="136"/>
      </w:r>
    </w:p>
    <w:p w14:paraId="2A329A97" w14:textId="77777777" w:rsidR="0003391C" w:rsidRPr="00FE50A6" w:rsidRDefault="0003391C" w:rsidP="00140440">
      <w:pPr>
        <w:autoSpaceDE w:val="0"/>
        <w:autoSpaceDN w:val="0"/>
        <w:adjustRightInd w:val="0"/>
        <w:jc w:val="both"/>
        <w:rPr>
          <w:rFonts w:cs="Times New Roman"/>
          <w:szCs w:val="20"/>
          <w:lang w:val="en-US"/>
        </w:rPr>
      </w:pPr>
    </w:p>
    <w:p w14:paraId="72616BCB" w14:textId="77777777" w:rsidR="0003391C" w:rsidRPr="00FE50A6" w:rsidRDefault="00C81E52"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Owing to the fact that the penalty established for the offense of which Mr.</w:t>
      </w:r>
      <w:r w:rsidR="00917270" w:rsidRPr="00FE50A6">
        <w:rPr>
          <w:rFonts w:cs="Arial"/>
          <w:szCs w:val="20"/>
          <w:lang w:val="en-US"/>
        </w:rPr>
        <w:t xml:space="preserve"> Quagliato Neto </w:t>
      </w:r>
      <w:r w:rsidRPr="00FE50A6">
        <w:rPr>
          <w:rFonts w:cs="Arial"/>
          <w:szCs w:val="20"/>
          <w:lang w:val="en-US"/>
        </w:rPr>
        <w:t xml:space="preserve">was accused was less than one year, the </w:t>
      </w:r>
      <w:r w:rsidR="006B2842" w:rsidRPr="00FE50A6">
        <w:rPr>
          <w:rFonts w:cs="Arial"/>
          <w:szCs w:val="20"/>
          <w:lang w:val="en-US"/>
        </w:rPr>
        <w:t>Public Prosecution Service</w:t>
      </w:r>
      <w:r w:rsidR="00917270" w:rsidRPr="00FE50A6">
        <w:rPr>
          <w:rFonts w:cs="Arial"/>
          <w:szCs w:val="20"/>
          <w:lang w:val="en-US"/>
        </w:rPr>
        <w:t xml:space="preserve"> prop</w:t>
      </w:r>
      <w:r w:rsidRPr="00FE50A6">
        <w:rPr>
          <w:rFonts w:cs="Arial"/>
          <w:szCs w:val="20"/>
          <w:lang w:val="en-US"/>
        </w:rPr>
        <w:t>o</w:t>
      </w:r>
      <w:r w:rsidR="00917270" w:rsidRPr="00FE50A6">
        <w:rPr>
          <w:rFonts w:cs="Arial"/>
          <w:szCs w:val="20"/>
          <w:lang w:val="en-US"/>
        </w:rPr>
        <w:t>s</w:t>
      </w:r>
      <w:r w:rsidRPr="00FE50A6">
        <w:rPr>
          <w:rFonts w:cs="Arial"/>
          <w:szCs w:val="20"/>
          <w:lang w:val="en-US"/>
        </w:rPr>
        <w:t>ed to suspend the proceedings against him for two years if he agreed to comply with certain conditions imposed by the federal judge.</w:t>
      </w:r>
      <w:r w:rsidR="0003391C" w:rsidRPr="00FE50A6">
        <w:rPr>
          <w:rStyle w:val="Refdenotaalpie"/>
          <w:rFonts w:cs="Arial"/>
          <w:lang w:val="en-US"/>
        </w:rPr>
        <w:footnoteReference w:id="137"/>
      </w:r>
    </w:p>
    <w:p w14:paraId="1E713BE4"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79135817" w14:textId="77777777" w:rsidR="0003391C" w:rsidRPr="00FE50A6" w:rsidRDefault="00C81E52"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In July</w:t>
      </w:r>
      <w:r w:rsidR="0003391C" w:rsidRPr="00FE50A6">
        <w:rPr>
          <w:rFonts w:cs="Arial"/>
          <w:szCs w:val="20"/>
          <w:lang w:val="en-US"/>
        </w:rPr>
        <w:t xml:space="preserve"> 1997</w:t>
      </w:r>
      <w:r w:rsidRPr="00FE50A6">
        <w:rPr>
          <w:rFonts w:cs="Arial"/>
          <w:szCs w:val="20"/>
          <w:lang w:val="en-US"/>
        </w:rPr>
        <w:t xml:space="preserve">, the federal judge issued a summons </w:t>
      </w:r>
      <w:r w:rsidR="00447E87" w:rsidRPr="00FE50A6">
        <w:rPr>
          <w:rFonts w:cs="Arial"/>
          <w:szCs w:val="20"/>
          <w:lang w:val="en-US"/>
        </w:rPr>
        <w:t>to</w:t>
      </w:r>
      <w:r w:rsidRPr="00FE50A6">
        <w:rPr>
          <w:rFonts w:cs="Arial"/>
          <w:szCs w:val="20"/>
          <w:lang w:val="en-US"/>
        </w:rPr>
        <w:t xml:space="preserve"> </w:t>
      </w:r>
      <w:r w:rsidR="00DB45CA" w:rsidRPr="00FE50A6">
        <w:rPr>
          <w:rFonts w:cs="Arial"/>
          <w:szCs w:val="20"/>
          <w:lang w:val="en-US"/>
        </w:rPr>
        <w:t xml:space="preserve">Raimundo </w:t>
      </w:r>
      <w:r w:rsidR="0003391C" w:rsidRPr="00FE50A6">
        <w:rPr>
          <w:rFonts w:cs="Arial"/>
          <w:szCs w:val="20"/>
          <w:lang w:val="en-US"/>
        </w:rPr>
        <w:t>Alves de Rocha</w:t>
      </w:r>
      <w:r w:rsidR="00030C17" w:rsidRPr="00FE50A6">
        <w:rPr>
          <w:rFonts w:cs="Arial"/>
          <w:szCs w:val="20"/>
          <w:lang w:val="en-US"/>
        </w:rPr>
        <w:t xml:space="preserve"> and </w:t>
      </w:r>
      <w:r w:rsidR="00DB45CA" w:rsidRPr="00FE50A6">
        <w:rPr>
          <w:rFonts w:cs="Arial"/>
          <w:szCs w:val="20"/>
          <w:lang w:val="en-US"/>
        </w:rPr>
        <w:t xml:space="preserve">Antônio </w:t>
      </w:r>
      <w:r w:rsidR="0003391C" w:rsidRPr="00FE50A6">
        <w:rPr>
          <w:rFonts w:cs="Arial"/>
          <w:szCs w:val="20"/>
          <w:lang w:val="en-US"/>
        </w:rPr>
        <w:t>Alves Vieira</w:t>
      </w:r>
      <w:r w:rsidRPr="00FE50A6">
        <w:rPr>
          <w:rFonts w:cs="Arial"/>
          <w:szCs w:val="20"/>
          <w:lang w:val="en-US"/>
        </w:rPr>
        <w:t>.</w:t>
      </w:r>
      <w:r w:rsidR="0003391C" w:rsidRPr="00FE50A6">
        <w:rPr>
          <w:rStyle w:val="Refdenotaalpie"/>
          <w:rFonts w:cs="Arial"/>
          <w:lang w:val="en-US"/>
        </w:rPr>
        <w:footnoteReference w:id="138"/>
      </w:r>
      <w:r w:rsidRPr="00FE50A6">
        <w:rPr>
          <w:rFonts w:cs="Arial"/>
          <w:szCs w:val="20"/>
          <w:lang w:val="en-US"/>
        </w:rPr>
        <w:t xml:space="preserve"> On September 17, </w:t>
      </w:r>
      <w:r w:rsidR="0003391C" w:rsidRPr="00FE50A6">
        <w:rPr>
          <w:rFonts w:cs="Arial"/>
          <w:szCs w:val="20"/>
          <w:lang w:val="en-US"/>
        </w:rPr>
        <w:t>1997</w:t>
      </w:r>
      <w:r w:rsidRPr="00FE50A6">
        <w:rPr>
          <w:rFonts w:cs="Arial"/>
          <w:szCs w:val="20"/>
          <w:lang w:val="en-US"/>
        </w:rPr>
        <w:t xml:space="preserve">, the federal judge ordered that a summons be issued to Mr. </w:t>
      </w:r>
      <w:r w:rsidR="0003391C" w:rsidRPr="00FE50A6">
        <w:rPr>
          <w:rFonts w:cs="Arial"/>
          <w:szCs w:val="20"/>
          <w:lang w:val="en-US"/>
        </w:rPr>
        <w:t>Quagliato Neto</w:t>
      </w:r>
      <w:r w:rsidR="00030C17" w:rsidRPr="00FE50A6">
        <w:rPr>
          <w:rFonts w:cs="Arial"/>
          <w:szCs w:val="20"/>
          <w:lang w:val="en-US"/>
        </w:rPr>
        <w:t xml:space="preserve"> and </w:t>
      </w:r>
      <w:r w:rsidR="0003391C" w:rsidRPr="00FE50A6">
        <w:rPr>
          <w:rFonts w:cs="Arial"/>
          <w:szCs w:val="20"/>
          <w:lang w:val="en-US"/>
        </w:rPr>
        <w:t>condi</w:t>
      </w:r>
      <w:r w:rsidRPr="00FE50A6">
        <w:rPr>
          <w:rFonts w:cs="Arial"/>
          <w:szCs w:val="20"/>
          <w:lang w:val="en-US"/>
        </w:rPr>
        <w:t xml:space="preserve">tioned the suspension of his </w:t>
      </w:r>
      <w:r w:rsidR="00DB45CA" w:rsidRPr="00FE50A6">
        <w:rPr>
          <w:rFonts w:cs="Arial"/>
          <w:szCs w:val="20"/>
          <w:lang w:val="en-US"/>
        </w:rPr>
        <w:t>prosecution</w:t>
      </w:r>
      <w:r w:rsidRPr="00FE50A6">
        <w:rPr>
          <w:rFonts w:cs="Arial"/>
          <w:szCs w:val="20"/>
          <w:lang w:val="en-US"/>
        </w:rPr>
        <w:t xml:space="preserve"> </w:t>
      </w:r>
      <w:r w:rsidR="00447E87" w:rsidRPr="00FE50A6">
        <w:rPr>
          <w:rFonts w:cs="Arial"/>
          <w:szCs w:val="20"/>
          <w:lang w:val="en-US"/>
        </w:rPr>
        <w:t>on</w:t>
      </w:r>
      <w:r w:rsidRPr="00FE50A6">
        <w:rPr>
          <w:rFonts w:cs="Arial"/>
          <w:szCs w:val="20"/>
          <w:lang w:val="en-US"/>
        </w:rPr>
        <w:t xml:space="preserve"> the acceptance of, and compliance with, a series of measures.</w:t>
      </w:r>
      <w:r w:rsidR="0003391C" w:rsidRPr="00FE50A6">
        <w:rPr>
          <w:rStyle w:val="Refdenotaalpie"/>
          <w:rFonts w:cs="Arial"/>
          <w:lang w:val="en-US"/>
        </w:rPr>
        <w:footnoteReference w:id="139"/>
      </w:r>
    </w:p>
    <w:p w14:paraId="76276862" w14:textId="77777777" w:rsidR="0003391C" w:rsidRPr="00FE50A6" w:rsidRDefault="0003391C" w:rsidP="00140440">
      <w:pPr>
        <w:pStyle w:val="Prrafodelista"/>
        <w:autoSpaceDE w:val="0"/>
        <w:autoSpaceDN w:val="0"/>
        <w:adjustRightInd w:val="0"/>
        <w:ind w:left="0"/>
        <w:contextualSpacing w:val="0"/>
        <w:rPr>
          <w:rFonts w:cs="Arial"/>
          <w:szCs w:val="20"/>
          <w:lang w:val="en-US"/>
        </w:rPr>
      </w:pPr>
      <w:r w:rsidRPr="00FE50A6">
        <w:rPr>
          <w:rFonts w:cs="Arial"/>
          <w:szCs w:val="20"/>
          <w:lang w:val="en-US"/>
        </w:rPr>
        <w:t xml:space="preserve"> </w:t>
      </w:r>
    </w:p>
    <w:p w14:paraId="60DC6585" w14:textId="77777777" w:rsidR="00BE60E8" w:rsidRPr="00FE50A6" w:rsidRDefault="00C81E52"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Between September</w:t>
      </w:r>
      <w:r w:rsidR="0003391C" w:rsidRPr="00FE50A6">
        <w:rPr>
          <w:rFonts w:cs="Arial"/>
          <w:szCs w:val="20"/>
          <w:lang w:val="en-US"/>
        </w:rPr>
        <w:t xml:space="preserve"> 1997</w:t>
      </w:r>
      <w:r w:rsidR="00030C17" w:rsidRPr="00FE50A6">
        <w:rPr>
          <w:rFonts w:cs="Arial"/>
          <w:szCs w:val="20"/>
          <w:lang w:val="en-US"/>
        </w:rPr>
        <w:t xml:space="preserve"> and </w:t>
      </w:r>
      <w:r w:rsidRPr="00FE50A6">
        <w:rPr>
          <w:rFonts w:cs="Arial"/>
          <w:szCs w:val="20"/>
          <w:lang w:val="en-US"/>
        </w:rPr>
        <w:t>June</w:t>
      </w:r>
      <w:r w:rsidR="0003391C" w:rsidRPr="00FE50A6">
        <w:rPr>
          <w:rFonts w:cs="Arial"/>
          <w:szCs w:val="20"/>
          <w:lang w:val="en-US"/>
        </w:rPr>
        <w:t xml:space="preserve"> 1999</w:t>
      </w:r>
      <w:r w:rsidRPr="00FE50A6">
        <w:rPr>
          <w:rFonts w:cs="Arial"/>
          <w:szCs w:val="20"/>
          <w:lang w:val="en-US"/>
        </w:rPr>
        <w:t xml:space="preserve">, several </w:t>
      </w:r>
      <w:proofErr w:type="gramStart"/>
      <w:r w:rsidRPr="00FE50A6">
        <w:rPr>
          <w:rFonts w:cs="Arial"/>
          <w:szCs w:val="20"/>
          <w:lang w:val="en-US"/>
        </w:rPr>
        <w:t>summons</w:t>
      </w:r>
      <w:proofErr w:type="gramEnd"/>
      <w:r w:rsidRPr="00FE50A6">
        <w:rPr>
          <w:rFonts w:cs="Arial"/>
          <w:szCs w:val="20"/>
          <w:lang w:val="en-US"/>
        </w:rPr>
        <w:t xml:space="preserve"> were sent to </w:t>
      </w:r>
      <w:r w:rsidR="0003391C" w:rsidRPr="00FE50A6">
        <w:rPr>
          <w:rFonts w:cs="Arial"/>
          <w:szCs w:val="20"/>
          <w:lang w:val="en-US"/>
        </w:rPr>
        <w:t>João Luiz Quagliato Neto</w:t>
      </w:r>
      <w:r w:rsidR="00DB45CA" w:rsidRPr="00FE50A6">
        <w:rPr>
          <w:rFonts w:cs="Arial"/>
          <w:szCs w:val="20"/>
          <w:lang w:val="en-US"/>
        </w:rPr>
        <w:t>.</w:t>
      </w:r>
      <w:r w:rsidR="0003391C" w:rsidRPr="00FE50A6">
        <w:rPr>
          <w:rStyle w:val="Refdenotaalpie"/>
          <w:rFonts w:cs="Arial"/>
          <w:lang w:val="en-US"/>
        </w:rPr>
        <w:footnoteReference w:id="140"/>
      </w:r>
      <w:r w:rsidR="00C867DD" w:rsidRPr="00FE50A6">
        <w:rPr>
          <w:rFonts w:cs="Arial"/>
          <w:szCs w:val="20"/>
          <w:lang w:val="en-US"/>
        </w:rPr>
        <w:t xml:space="preserve"> </w:t>
      </w:r>
    </w:p>
    <w:p w14:paraId="022F8B24" w14:textId="77777777" w:rsidR="00BE60E8" w:rsidRPr="00FE50A6" w:rsidRDefault="00BE60E8" w:rsidP="00BE60E8">
      <w:pPr>
        <w:pStyle w:val="Prrafodelista"/>
        <w:rPr>
          <w:rFonts w:cs="Arial"/>
          <w:szCs w:val="20"/>
          <w:lang w:val="en-US"/>
        </w:rPr>
      </w:pPr>
    </w:p>
    <w:p w14:paraId="74F9A629" w14:textId="77777777" w:rsidR="00FD7C20" w:rsidRPr="00FE50A6" w:rsidRDefault="00C81E52" w:rsidP="00BE60E8">
      <w:pPr>
        <w:pStyle w:val="Prrafodelista"/>
        <w:rPr>
          <w:rFonts w:cs="Arial"/>
          <w:i/>
          <w:szCs w:val="20"/>
          <w:lang w:val="en-US"/>
        </w:rPr>
      </w:pPr>
      <w:r w:rsidRPr="00FE50A6">
        <w:rPr>
          <w:i/>
          <w:iCs/>
          <w:lang w:val="en-US"/>
        </w:rPr>
        <w:t>The proc</w:t>
      </w:r>
      <w:r w:rsidR="002E76F4" w:rsidRPr="00FE50A6">
        <w:rPr>
          <w:i/>
          <w:iCs/>
          <w:lang w:val="en-US"/>
        </w:rPr>
        <w:t>eeding</w:t>
      </w:r>
      <w:r w:rsidRPr="00FE50A6">
        <w:rPr>
          <w:i/>
          <w:iCs/>
          <w:lang w:val="en-US"/>
        </w:rPr>
        <w:t xml:space="preserve"> conducted by the</w:t>
      </w:r>
      <w:r w:rsidR="00FD7C20" w:rsidRPr="00FE50A6">
        <w:rPr>
          <w:i/>
          <w:iCs/>
          <w:lang w:val="en-US"/>
        </w:rPr>
        <w:t xml:space="preserve"> </w:t>
      </w:r>
      <w:r w:rsidR="0081756E" w:rsidRPr="00FE50A6">
        <w:rPr>
          <w:i/>
          <w:iCs/>
          <w:lang w:val="en-US"/>
        </w:rPr>
        <w:t>Ministry of Labor</w:t>
      </w:r>
      <w:r w:rsidR="00FD7C20" w:rsidRPr="00FE50A6">
        <w:rPr>
          <w:i/>
          <w:iCs/>
          <w:lang w:val="en-US"/>
        </w:rPr>
        <w:t xml:space="preserve"> </w:t>
      </w:r>
      <w:r w:rsidRPr="00FE50A6">
        <w:rPr>
          <w:i/>
          <w:iCs/>
          <w:lang w:val="en-US"/>
        </w:rPr>
        <w:t xml:space="preserve">in relation to a second visit in </w:t>
      </w:r>
      <w:r w:rsidR="00FD7C20" w:rsidRPr="00FE50A6">
        <w:rPr>
          <w:i/>
          <w:iCs/>
          <w:lang w:val="en-US"/>
        </w:rPr>
        <w:t>1997</w:t>
      </w:r>
    </w:p>
    <w:p w14:paraId="28687B0B" w14:textId="77777777" w:rsidR="00FD7C20" w:rsidRPr="00FE50A6" w:rsidRDefault="00FD7C20" w:rsidP="00FD7C20">
      <w:pPr>
        <w:pStyle w:val="Prrafodelista"/>
        <w:ind w:left="0"/>
        <w:rPr>
          <w:lang w:val="en-US"/>
        </w:rPr>
      </w:pPr>
    </w:p>
    <w:p w14:paraId="4B45210C" w14:textId="77777777" w:rsidR="00FD7C20" w:rsidRPr="00FE50A6" w:rsidRDefault="00C81E52" w:rsidP="00FD7C2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July 31,</w:t>
      </w:r>
      <w:r w:rsidR="00FD7C20" w:rsidRPr="00FE50A6">
        <w:rPr>
          <w:rFonts w:cs="Arial"/>
          <w:szCs w:val="20"/>
          <w:lang w:val="en-US"/>
        </w:rPr>
        <w:t xml:space="preserve"> 1997</w:t>
      </w:r>
      <w:r w:rsidRPr="00FE50A6">
        <w:rPr>
          <w:rFonts w:cs="Arial"/>
          <w:szCs w:val="20"/>
          <w:lang w:val="en-US"/>
        </w:rPr>
        <w:t>,</w:t>
      </w:r>
      <w:r w:rsidR="00FD7C20" w:rsidRPr="00FE50A6">
        <w:rPr>
          <w:rFonts w:cs="Arial"/>
          <w:szCs w:val="20"/>
          <w:lang w:val="en-US"/>
        </w:rPr>
        <w:t xml:space="preserve"> </w:t>
      </w:r>
      <w:r w:rsidRPr="00FE50A6">
        <w:rPr>
          <w:rFonts w:cs="Arial"/>
          <w:szCs w:val="20"/>
          <w:lang w:val="en-US"/>
        </w:rPr>
        <w:t>the Regional Labor Prosecutor</w:t>
      </w:r>
      <w:r w:rsidR="00FD7C20" w:rsidRPr="00FE50A6">
        <w:rPr>
          <w:rFonts w:cs="Arial"/>
          <w:szCs w:val="20"/>
          <w:lang w:val="en-US"/>
        </w:rPr>
        <w:t xml:space="preserve"> (PRT) </w:t>
      </w:r>
      <w:r w:rsidRPr="00FE50A6">
        <w:rPr>
          <w:rFonts w:cs="Arial"/>
          <w:szCs w:val="20"/>
          <w:lang w:val="en-US"/>
        </w:rPr>
        <w:t xml:space="preserve">of the 22nd region informed the PRT of the 8th region </w:t>
      </w:r>
      <w:r w:rsidR="004862D8" w:rsidRPr="00FE50A6">
        <w:rPr>
          <w:rFonts w:cs="Arial"/>
          <w:szCs w:val="20"/>
          <w:lang w:val="en-US"/>
        </w:rPr>
        <w:t>of</w:t>
      </w:r>
      <w:r w:rsidRPr="00FE50A6">
        <w:rPr>
          <w:rFonts w:cs="Arial"/>
          <w:szCs w:val="20"/>
          <w:lang w:val="en-US"/>
        </w:rPr>
        <w:t xml:space="preserve"> </w:t>
      </w:r>
      <w:r w:rsidR="009C48A4" w:rsidRPr="00FE50A6">
        <w:rPr>
          <w:rFonts w:cs="Arial"/>
          <w:szCs w:val="20"/>
          <w:lang w:val="en-US"/>
        </w:rPr>
        <w:t>“</w:t>
      </w:r>
      <w:r w:rsidRPr="00FE50A6">
        <w:rPr>
          <w:rFonts w:cs="Arial"/>
          <w:szCs w:val="20"/>
          <w:lang w:val="en-US"/>
        </w:rPr>
        <w:t>the irregularity concerning worker trafficking in</w:t>
      </w:r>
      <w:r w:rsidR="004862D8" w:rsidRPr="00FE50A6">
        <w:rPr>
          <w:rFonts w:cs="Arial"/>
          <w:szCs w:val="20"/>
          <w:lang w:val="en-US"/>
        </w:rPr>
        <w:t xml:space="preserve"> the state of</w:t>
      </w:r>
      <w:r w:rsidRPr="00FE50A6">
        <w:rPr>
          <w:rFonts w:cs="Arial"/>
          <w:szCs w:val="20"/>
          <w:lang w:val="en-US"/>
        </w:rPr>
        <w:t xml:space="preserve"> </w:t>
      </w:r>
      <w:r w:rsidR="00FD7C20" w:rsidRPr="00FE50A6">
        <w:rPr>
          <w:rFonts w:cs="Arial"/>
          <w:szCs w:val="20"/>
          <w:lang w:val="en-US"/>
        </w:rPr>
        <w:t xml:space="preserve">Piauí </w:t>
      </w:r>
      <w:r w:rsidRPr="00FE50A6">
        <w:rPr>
          <w:rFonts w:cs="Arial"/>
          <w:szCs w:val="20"/>
          <w:lang w:val="en-US"/>
        </w:rPr>
        <w:t xml:space="preserve">for other states, including </w:t>
      </w:r>
      <w:r w:rsidR="008B65CD" w:rsidRPr="00FE50A6">
        <w:rPr>
          <w:rFonts w:cs="Arial"/>
          <w:szCs w:val="20"/>
          <w:lang w:val="en-US"/>
        </w:rPr>
        <w:t>the state of Pará</w:t>
      </w:r>
      <w:r w:rsidRPr="00FE50A6">
        <w:rPr>
          <w:rFonts w:cs="Arial"/>
          <w:szCs w:val="20"/>
          <w:lang w:val="en-US"/>
        </w:rPr>
        <w:t>.</w:t>
      </w:r>
      <w:r w:rsidR="009C48A4" w:rsidRPr="00FE50A6">
        <w:rPr>
          <w:rFonts w:cs="Arial"/>
          <w:szCs w:val="20"/>
          <w:lang w:val="en-US"/>
        </w:rPr>
        <w:t>”</w:t>
      </w:r>
      <w:r w:rsidR="00FD7C20" w:rsidRPr="00FE50A6">
        <w:rPr>
          <w:rStyle w:val="Refdenotaalpie"/>
          <w:rFonts w:cs="Arial"/>
          <w:lang w:val="en-US"/>
        </w:rPr>
        <w:footnoteReference w:id="141"/>
      </w:r>
      <w:r w:rsidR="00FD7C20" w:rsidRPr="00FE50A6">
        <w:rPr>
          <w:rFonts w:cs="Arial"/>
          <w:szCs w:val="20"/>
          <w:lang w:val="en-US"/>
        </w:rPr>
        <w:t xml:space="preserve"> </w:t>
      </w:r>
      <w:r w:rsidR="002E76F4" w:rsidRPr="00FE50A6">
        <w:rPr>
          <w:rFonts w:cs="Arial"/>
          <w:szCs w:val="20"/>
          <w:lang w:val="en-US"/>
        </w:rPr>
        <w:t>On August 12,</w:t>
      </w:r>
      <w:r w:rsidR="00FD7C20" w:rsidRPr="00FE50A6">
        <w:rPr>
          <w:rFonts w:cs="Arial"/>
          <w:szCs w:val="20"/>
          <w:lang w:val="en-US"/>
        </w:rPr>
        <w:t xml:space="preserve"> 1997</w:t>
      </w:r>
      <w:r w:rsidR="002E76F4" w:rsidRPr="00FE50A6">
        <w:rPr>
          <w:rFonts w:cs="Arial"/>
          <w:szCs w:val="20"/>
          <w:lang w:val="en-US"/>
        </w:rPr>
        <w:t xml:space="preserve">, an administrative proceeding was opened </w:t>
      </w:r>
      <w:r w:rsidR="004862D8" w:rsidRPr="00FE50A6">
        <w:rPr>
          <w:rFonts w:cs="Arial"/>
          <w:szCs w:val="20"/>
          <w:lang w:val="en-US"/>
        </w:rPr>
        <w:t>by</w:t>
      </w:r>
      <w:r w:rsidR="002E76F4" w:rsidRPr="00FE50A6">
        <w:rPr>
          <w:rFonts w:cs="Arial"/>
          <w:szCs w:val="20"/>
          <w:lang w:val="en-US"/>
        </w:rPr>
        <w:t xml:space="preserve"> the PRT of the 8th region, requesting the </w:t>
      </w:r>
      <w:r w:rsidR="002E76F4" w:rsidRPr="00FE50A6">
        <w:rPr>
          <w:rFonts w:cs="Arial"/>
          <w:szCs w:val="20"/>
          <w:lang w:val="en-US"/>
        </w:rPr>
        <w:lastRenderedPageBreak/>
        <w:t xml:space="preserve">Prosecutor General of the Republic to determine the possible criminal acts committed in relation to </w:t>
      </w:r>
      <w:r w:rsidR="004862D8" w:rsidRPr="00FE50A6">
        <w:rPr>
          <w:rFonts w:cs="Arial"/>
          <w:szCs w:val="20"/>
          <w:lang w:val="en-US"/>
        </w:rPr>
        <w:t>worker</w:t>
      </w:r>
      <w:r w:rsidR="002E76F4" w:rsidRPr="00FE50A6">
        <w:rPr>
          <w:rFonts w:cs="Arial"/>
          <w:szCs w:val="20"/>
          <w:lang w:val="en-US"/>
        </w:rPr>
        <w:t xml:space="preserve"> trafficking.</w:t>
      </w:r>
      <w:r w:rsidR="00FD7C20" w:rsidRPr="00FE50A6">
        <w:rPr>
          <w:rStyle w:val="Refdenotaalpie"/>
          <w:rFonts w:cs="Arial"/>
          <w:bCs/>
          <w:lang w:val="en-US"/>
        </w:rPr>
        <w:footnoteReference w:id="142"/>
      </w:r>
    </w:p>
    <w:p w14:paraId="3611B136" w14:textId="77777777" w:rsidR="00FD7C20" w:rsidRPr="00FE50A6" w:rsidRDefault="00FD7C20" w:rsidP="00FD7C20">
      <w:pPr>
        <w:pStyle w:val="Prrafodelista"/>
        <w:autoSpaceDE w:val="0"/>
        <w:autoSpaceDN w:val="0"/>
        <w:adjustRightInd w:val="0"/>
        <w:ind w:left="0"/>
        <w:contextualSpacing w:val="0"/>
        <w:rPr>
          <w:rFonts w:cs="Arial"/>
          <w:szCs w:val="20"/>
          <w:lang w:val="en-US"/>
        </w:rPr>
      </w:pPr>
    </w:p>
    <w:p w14:paraId="5FC83503" w14:textId="77777777" w:rsidR="00FD7C20" w:rsidRPr="00FE50A6" w:rsidRDefault="002E76F4" w:rsidP="002E76F4">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November 14,</w:t>
      </w:r>
      <w:r w:rsidR="00FD7C20" w:rsidRPr="00FE50A6">
        <w:rPr>
          <w:rFonts w:cs="Arial"/>
          <w:szCs w:val="20"/>
          <w:lang w:val="en-US"/>
        </w:rPr>
        <w:t xml:space="preserve"> 1997</w:t>
      </w:r>
      <w:r w:rsidRPr="00FE50A6">
        <w:rPr>
          <w:rFonts w:cs="Arial"/>
          <w:szCs w:val="20"/>
          <w:lang w:val="en-US"/>
        </w:rPr>
        <w:t>,</w:t>
      </w:r>
      <w:r w:rsidR="00FD7C20" w:rsidRPr="00FE50A6">
        <w:rPr>
          <w:rFonts w:cs="Arial"/>
          <w:szCs w:val="20"/>
          <w:lang w:val="en-US"/>
        </w:rPr>
        <w:t xml:space="preserve"> </w:t>
      </w:r>
      <w:r w:rsidRPr="00FE50A6">
        <w:rPr>
          <w:rFonts w:cs="Arial"/>
          <w:szCs w:val="20"/>
          <w:lang w:val="en-US"/>
        </w:rPr>
        <w:t xml:space="preserve">the </w:t>
      </w:r>
      <w:r w:rsidR="004862D8" w:rsidRPr="00FE50A6">
        <w:rPr>
          <w:rFonts w:cs="Arial"/>
          <w:szCs w:val="20"/>
          <w:lang w:val="en-US"/>
        </w:rPr>
        <w:t xml:space="preserve">Pará </w:t>
      </w:r>
      <w:r w:rsidRPr="00FE50A6">
        <w:rPr>
          <w:rFonts w:cs="Arial"/>
          <w:szCs w:val="20"/>
          <w:lang w:val="en-US"/>
        </w:rPr>
        <w:t>Regional Labor Delegation</w:t>
      </w:r>
      <w:r w:rsidR="00FD7C20" w:rsidRPr="00FE50A6">
        <w:rPr>
          <w:rFonts w:cs="Arial"/>
          <w:szCs w:val="20"/>
          <w:lang w:val="en-US"/>
        </w:rPr>
        <w:t xml:space="preserve"> </w:t>
      </w:r>
      <w:r w:rsidRPr="00FE50A6">
        <w:rPr>
          <w:rFonts w:cs="Arial"/>
          <w:szCs w:val="20"/>
          <w:lang w:val="en-US"/>
        </w:rPr>
        <w:t xml:space="preserve">reported, with regard to </w:t>
      </w:r>
      <w:r w:rsidR="00FD7C20" w:rsidRPr="00FE50A6">
        <w:rPr>
          <w:rFonts w:cs="Arial"/>
          <w:szCs w:val="20"/>
          <w:lang w:val="en-US"/>
        </w:rPr>
        <w:t xml:space="preserve">Hacienda </w:t>
      </w:r>
      <w:r w:rsidR="00322241" w:rsidRPr="00FE50A6">
        <w:rPr>
          <w:rFonts w:cs="Arial"/>
          <w:szCs w:val="20"/>
          <w:lang w:val="en-US"/>
        </w:rPr>
        <w:t>Brasil Verde</w:t>
      </w:r>
      <w:r w:rsidR="00FD7C20" w:rsidRPr="00FE50A6">
        <w:rPr>
          <w:rFonts w:cs="Arial"/>
          <w:szCs w:val="20"/>
          <w:lang w:val="en-US"/>
        </w:rPr>
        <w:t>,</w:t>
      </w:r>
      <w:r w:rsidR="00FD7C20" w:rsidRPr="00FE50A6">
        <w:rPr>
          <w:rFonts w:cs="Arial"/>
          <w:i/>
          <w:iCs/>
          <w:szCs w:val="20"/>
          <w:lang w:val="en-US"/>
        </w:rPr>
        <w:t xml:space="preserve"> </w:t>
      </w:r>
      <w:r w:rsidRPr="00FE50A6">
        <w:rPr>
          <w:rFonts w:cs="Arial"/>
          <w:szCs w:val="20"/>
          <w:lang w:val="en-US"/>
        </w:rPr>
        <w:t>that even though some irregularities existed, such as charging the workers for their footwear and the absence of elements relating to health and safety in the workplace, the D</w:t>
      </w:r>
      <w:r w:rsidR="004862D8" w:rsidRPr="00FE50A6">
        <w:rPr>
          <w:rFonts w:cs="Arial"/>
          <w:szCs w:val="20"/>
          <w:lang w:val="en-US"/>
        </w:rPr>
        <w:t>elegation</w:t>
      </w:r>
      <w:r w:rsidRPr="00FE50A6">
        <w:rPr>
          <w:rFonts w:cs="Arial"/>
          <w:szCs w:val="20"/>
          <w:lang w:val="en-US"/>
        </w:rPr>
        <w:t xml:space="preserve"> had </w:t>
      </w:r>
      <w:r w:rsidR="009C48A4" w:rsidRPr="00FE50A6">
        <w:rPr>
          <w:rFonts w:cs="Arial"/>
          <w:szCs w:val="20"/>
          <w:lang w:val="en-US"/>
        </w:rPr>
        <w:t>“</w:t>
      </w:r>
      <w:r w:rsidRPr="00FE50A6">
        <w:rPr>
          <w:rFonts w:cs="Arial"/>
          <w:szCs w:val="20"/>
          <w:lang w:val="en-US"/>
        </w:rPr>
        <w:t>preferred not to act, but rather to provide advice so that the irregularities were rectified and […] labor laws observed. [Th</w:t>
      </w:r>
      <w:r w:rsidR="004862D8" w:rsidRPr="00FE50A6">
        <w:rPr>
          <w:rFonts w:cs="Arial"/>
          <w:szCs w:val="20"/>
          <w:lang w:val="en-US"/>
        </w:rPr>
        <w:t>is</w:t>
      </w:r>
      <w:r w:rsidRPr="00FE50A6">
        <w:rPr>
          <w:rFonts w:cs="Arial"/>
          <w:szCs w:val="20"/>
          <w:lang w:val="en-US"/>
        </w:rPr>
        <w:t xml:space="preserve">] procedure </w:t>
      </w:r>
      <w:r w:rsidR="004862D8" w:rsidRPr="00FE50A6">
        <w:rPr>
          <w:rFonts w:cs="Arial"/>
          <w:szCs w:val="20"/>
          <w:lang w:val="en-US"/>
        </w:rPr>
        <w:t>constituted</w:t>
      </w:r>
      <w:r w:rsidRPr="00FE50A6">
        <w:rPr>
          <w:rFonts w:cs="Arial"/>
          <w:szCs w:val="20"/>
          <w:lang w:val="en-US"/>
        </w:rPr>
        <w:t xml:space="preserve"> a kind of incentive to encourage the employer to conform to </w:t>
      </w:r>
      <w:r w:rsidR="004862D8" w:rsidRPr="00FE50A6">
        <w:rPr>
          <w:rFonts w:cs="Arial"/>
          <w:szCs w:val="20"/>
          <w:lang w:val="en-US"/>
        </w:rPr>
        <w:t>legal</w:t>
      </w:r>
      <w:r w:rsidRPr="00FE50A6">
        <w:rPr>
          <w:rFonts w:cs="Arial"/>
          <w:szCs w:val="20"/>
          <w:lang w:val="en-US"/>
        </w:rPr>
        <w:t xml:space="preserve"> standards.</w:t>
      </w:r>
      <w:r w:rsidR="009C48A4" w:rsidRPr="00FE50A6">
        <w:rPr>
          <w:rFonts w:cs="Arial"/>
          <w:bCs/>
          <w:szCs w:val="20"/>
          <w:lang w:val="en-US"/>
        </w:rPr>
        <w:t>”</w:t>
      </w:r>
      <w:r w:rsidR="00FD7C20" w:rsidRPr="00FE50A6">
        <w:rPr>
          <w:rStyle w:val="Refdenotaalpie"/>
          <w:rFonts w:cs="Arial"/>
          <w:bCs/>
          <w:lang w:val="en-US"/>
        </w:rPr>
        <w:footnoteReference w:id="143"/>
      </w:r>
    </w:p>
    <w:p w14:paraId="1EA6B079" w14:textId="77777777" w:rsidR="00FD7C20" w:rsidRPr="00FE50A6" w:rsidRDefault="00FD7C20" w:rsidP="00FD7C20">
      <w:pPr>
        <w:pStyle w:val="Prrafodelista"/>
        <w:contextualSpacing w:val="0"/>
        <w:rPr>
          <w:rFonts w:cs="Arial"/>
          <w:szCs w:val="20"/>
          <w:lang w:val="en-US"/>
        </w:rPr>
      </w:pPr>
    </w:p>
    <w:p w14:paraId="7BCCD983" w14:textId="77777777" w:rsidR="00FD7C20" w:rsidRPr="00FE50A6" w:rsidRDefault="002E76F4" w:rsidP="00FD7C2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January 13,</w:t>
      </w:r>
      <w:r w:rsidR="00FD7C20" w:rsidRPr="00FE50A6">
        <w:rPr>
          <w:rFonts w:cs="Arial"/>
          <w:szCs w:val="20"/>
          <w:lang w:val="en-US"/>
        </w:rPr>
        <w:t xml:space="preserve"> 1998</w:t>
      </w:r>
      <w:r w:rsidRPr="00FE50A6">
        <w:rPr>
          <w:rFonts w:cs="Arial"/>
          <w:szCs w:val="20"/>
          <w:lang w:val="en-US"/>
        </w:rPr>
        <w:t>,</w:t>
      </w:r>
      <w:r w:rsidR="00FD7C20" w:rsidRPr="00FE50A6">
        <w:rPr>
          <w:rFonts w:cs="Arial"/>
          <w:szCs w:val="20"/>
          <w:lang w:val="en-US"/>
        </w:rPr>
        <w:t xml:space="preserve"> </w:t>
      </w:r>
      <w:r w:rsidRPr="00FE50A6">
        <w:rPr>
          <w:rFonts w:cs="Arial"/>
          <w:szCs w:val="20"/>
          <w:lang w:val="en-US"/>
        </w:rPr>
        <w:t>the Labor Prosecutor</w:t>
      </w:r>
      <w:r w:rsidR="00FD7C20" w:rsidRPr="00FE50A6">
        <w:rPr>
          <w:rFonts w:cs="Arial"/>
          <w:szCs w:val="20"/>
          <w:lang w:val="en-US"/>
        </w:rPr>
        <w:t xml:space="preserve"> </w:t>
      </w:r>
      <w:r w:rsidRPr="00FE50A6">
        <w:rPr>
          <w:rFonts w:cs="Arial"/>
          <w:szCs w:val="20"/>
          <w:lang w:val="en-US"/>
        </w:rPr>
        <w:t xml:space="preserve">requested a further inspection of </w:t>
      </w:r>
      <w:r w:rsidR="00FD7C20" w:rsidRPr="00FE50A6">
        <w:rPr>
          <w:rFonts w:cs="Arial"/>
          <w:szCs w:val="20"/>
          <w:lang w:val="en-US"/>
        </w:rPr>
        <w:t xml:space="preserve">Hacienda </w:t>
      </w:r>
      <w:r w:rsidR="00322241" w:rsidRPr="00FE50A6">
        <w:rPr>
          <w:rFonts w:cs="Arial"/>
          <w:szCs w:val="20"/>
          <w:lang w:val="en-US"/>
        </w:rPr>
        <w:t>Brasil Verde</w:t>
      </w:r>
      <w:r w:rsidRPr="00FE50A6">
        <w:rPr>
          <w:rFonts w:cs="Arial"/>
          <w:szCs w:val="20"/>
          <w:lang w:val="en-US"/>
        </w:rPr>
        <w:t>.</w:t>
      </w:r>
      <w:r w:rsidR="00FD7C20" w:rsidRPr="00FE50A6">
        <w:rPr>
          <w:rStyle w:val="Refdenotaalpie"/>
          <w:rFonts w:cs="Arial"/>
          <w:lang w:val="en-US"/>
        </w:rPr>
        <w:footnoteReference w:id="144"/>
      </w:r>
      <w:r w:rsidR="00FD7C20" w:rsidRPr="00FE50A6">
        <w:rPr>
          <w:rFonts w:cs="Arial"/>
          <w:iCs/>
          <w:szCs w:val="20"/>
          <w:lang w:val="en-US"/>
        </w:rPr>
        <w:t xml:space="preserve"> </w:t>
      </w:r>
      <w:r w:rsidRPr="00FE50A6">
        <w:rPr>
          <w:rFonts w:cs="Arial"/>
          <w:iCs/>
          <w:szCs w:val="20"/>
          <w:lang w:val="en-US"/>
        </w:rPr>
        <w:t>On March 5,</w:t>
      </w:r>
      <w:r w:rsidR="00FD7C20" w:rsidRPr="00FE50A6">
        <w:rPr>
          <w:rFonts w:cs="Arial"/>
          <w:iCs/>
          <w:szCs w:val="20"/>
          <w:lang w:val="en-US"/>
        </w:rPr>
        <w:t xml:space="preserve"> 1998</w:t>
      </w:r>
      <w:r w:rsidRPr="00FE50A6">
        <w:rPr>
          <w:rFonts w:cs="Arial"/>
          <w:iCs/>
          <w:szCs w:val="20"/>
          <w:lang w:val="en-US"/>
        </w:rPr>
        <w:t>, the</w:t>
      </w:r>
      <w:r w:rsidR="00FD7C20" w:rsidRPr="00FE50A6">
        <w:rPr>
          <w:rFonts w:cs="Arial"/>
          <w:iCs/>
          <w:szCs w:val="20"/>
          <w:lang w:val="en-US"/>
        </w:rPr>
        <w:t xml:space="preserve"> Pará</w:t>
      </w:r>
      <w:r w:rsidR="004862D8" w:rsidRPr="00FE50A6">
        <w:rPr>
          <w:rFonts w:cs="Arial"/>
          <w:iCs/>
          <w:szCs w:val="20"/>
          <w:lang w:val="en-US"/>
        </w:rPr>
        <w:t xml:space="preserve"> </w:t>
      </w:r>
      <w:r w:rsidR="00F776BE" w:rsidRPr="00FE50A6">
        <w:rPr>
          <w:rFonts w:cs="Arial"/>
          <w:iCs/>
          <w:szCs w:val="20"/>
          <w:lang w:val="en-US"/>
        </w:rPr>
        <w:t xml:space="preserve">Regional </w:t>
      </w:r>
      <w:r w:rsidR="004862D8" w:rsidRPr="00FE50A6">
        <w:rPr>
          <w:rFonts w:cs="Arial"/>
          <w:iCs/>
          <w:szCs w:val="20"/>
          <w:lang w:val="en-US"/>
        </w:rPr>
        <w:t>Labor Delegat</w:t>
      </w:r>
      <w:r w:rsidR="00F776BE" w:rsidRPr="00FE50A6">
        <w:rPr>
          <w:rFonts w:cs="Arial"/>
          <w:iCs/>
          <w:szCs w:val="20"/>
          <w:lang w:val="en-US"/>
        </w:rPr>
        <w:t>e</w:t>
      </w:r>
      <w:r w:rsidR="00FD7C20" w:rsidRPr="00FE50A6">
        <w:rPr>
          <w:rFonts w:cs="Arial"/>
          <w:iCs/>
          <w:szCs w:val="20"/>
          <w:lang w:val="en-US"/>
        </w:rPr>
        <w:t xml:space="preserve"> respond</w:t>
      </w:r>
      <w:r w:rsidRPr="00FE50A6">
        <w:rPr>
          <w:rFonts w:cs="Arial"/>
          <w:iCs/>
          <w:szCs w:val="20"/>
          <w:lang w:val="en-US"/>
        </w:rPr>
        <w:t>ed that the procedure had not been carried out</w:t>
      </w:r>
      <w:r w:rsidR="004862D8" w:rsidRPr="00FE50A6">
        <w:rPr>
          <w:rFonts w:cs="Arial"/>
          <w:iCs/>
          <w:szCs w:val="20"/>
          <w:lang w:val="en-US"/>
        </w:rPr>
        <w:t>,</w:t>
      </w:r>
      <w:r w:rsidRPr="00FE50A6">
        <w:rPr>
          <w:rFonts w:cs="Arial"/>
          <w:iCs/>
          <w:szCs w:val="20"/>
          <w:lang w:val="en-US"/>
        </w:rPr>
        <w:t xml:space="preserve"> but </w:t>
      </w:r>
      <w:r w:rsidR="009C48A4" w:rsidRPr="00FE50A6">
        <w:rPr>
          <w:rFonts w:cs="Arial"/>
          <w:iCs/>
          <w:szCs w:val="20"/>
          <w:lang w:val="en-US"/>
        </w:rPr>
        <w:t>“</w:t>
      </w:r>
      <w:r w:rsidRPr="00FE50A6">
        <w:rPr>
          <w:rFonts w:cs="Arial"/>
          <w:iCs/>
          <w:szCs w:val="20"/>
          <w:lang w:val="en-US"/>
        </w:rPr>
        <w:t>had been scheduled.</w:t>
      </w:r>
      <w:r w:rsidR="009C48A4" w:rsidRPr="00FE50A6">
        <w:rPr>
          <w:rFonts w:cs="Arial"/>
          <w:iCs/>
          <w:szCs w:val="20"/>
          <w:lang w:val="en-US"/>
        </w:rPr>
        <w:t>”</w:t>
      </w:r>
      <w:r w:rsidR="00FD7C20" w:rsidRPr="00FE50A6">
        <w:rPr>
          <w:rStyle w:val="Refdenotaalpie"/>
          <w:rFonts w:cs="Arial"/>
          <w:iCs/>
          <w:lang w:val="en-US"/>
        </w:rPr>
        <w:footnoteReference w:id="145"/>
      </w:r>
    </w:p>
    <w:p w14:paraId="7CC16255" w14:textId="77777777" w:rsidR="00FD7C20" w:rsidRPr="00FE50A6" w:rsidRDefault="00FD7C20" w:rsidP="00FD7C20">
      <w:pPr>
        <w:autoSpaceDE w:val="0"/>
        <w:autoSpaceDN w:val="0"/>
        <w:adjustRightInd w:val="0"/>
        <w:jc w:val="both"/>
        <w:rPr>
          <w:rFonts w:cs="Arial"/>
          <w:iCs/>
          <w:szCs w:val="20"/>
          <w:lang w:val="en-US"/>
        </w:rPr>
      </w:pPr>
    </w:p>
    <w:p w14:paraId="21E65EE0" w14:textId="77777777" w:rsidR="00FD7C20" w:rsidRPr="00FE50A6" w:rsidRDefault="002E76F4" w:rsidP="00FD7C2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June 17,</w:t>
      </w:r>
      <w:r w:rsidR="00FD7C20" w:rsidRPr="00FE50A6">
        <w:rPr>
          <w:rFonts w:cs="Arial"/>
          <w:szCs w:val="20"/>
          <w:lang w:val="en-US"/>
        </w:rPr>
        <w:t xml:space="preserve"> 1998</w:t>
      </w:r>
      <w:r w:rsidR="009C48A4" w:rsidRPr="00FE50A6">
        <w:rPr>
          <w:rFonts w:cs="Arial"/>
          <w:szCs w:val="20"/>
          <w:lang w:val="en-US"/>
        </w:rPr>
        <w:t>,</w:t>
      </w:r>
      <w:r w:rsidR="00FD7C20" w:rsidRPr="00FE50A6">
        <w:rPr>
          <w:rFonts w:cs="Arial"/>
          <w:szCs w:val="20"/>
          <w:lang w:val="en-US"/>
        </w:rPr>
        <w:t xml:space="preserve"> </w:t>
      </w:r>
      <w:r w:rsidR="009C48A4" w:rsidRPr="00FE50A6">
        <w:rPr>
          <w:rFonts w:cs="Arial"/>
          <w:szCs w:val="20"/>
          <w:lang w:val="en-US"/>
        </w:rPr>
        <w:t>the</w:t>
      </w:r>
      <w:r w:rsidR="00FD7C20" w:rsidRPr="00FE50A6">
        <w:rPr>
          <w:rFonts w:cs="Arial"/>
          <w:szCs w:val="20"/>
          <w:lang w:val="en-US"/>
        </w:rPr>
        <w:t xml:space="preserve"> </w:t>
      </w:r>
      <w:r w:rsidR="009C48A4" w:rsidRPr="00FE50A6">
        <w:rPr>
          <w:rFonts w:cs="Arial"/>
          <w:szCs w:val="20"/>
          <w:lang w:val="en-US"/>
        </w:rPr>
        <w:t xml:space="preserve">Labor </w:t>
      </w:r>
      <w:r w:rsidR="006B2842" w:rsidRPr="00FE50A6">
        <w:rPr>
          <w:rFonts w:cs="Arial"/>
          <w:szCs w:val="20"/>
          <w:lang w:val="en-US"/>
        </w:rPr>
        <w:t>P</w:t>
      </w:r>
      <w:r w:rsidR="009C48A4" w:rsidRPr="00FE50A6">
        <w:rPr>
          <w:rFonts w:cs="Arial"/>
          <w:szCs w:val="20"/>
          <w:lang w:val="en-US"/>
        </w:rPr>
        <w:t>rosecutor requested information on the “current situation” of</w:t>
      </w:r>
      <w:r w:rsidR="00FD7C20" w:rsidRPr="00FE50A6">
        <w:rPr>
          <w:rFonts w:cs="Arial"/>
          <w:szCs w:val="20"/>
          <w:lang w:val="en-US"/>
        </w:rPr>
        <w:t xml:space="preserve"> Hacienda </w:t>
      </w:r>
      <w:r w:rsidR="00322241" w:rsidRPr="00FE50A6">
        <w:rPr>
          <w:rFonts w:cs="Arial"/>
          <w:szCs w:val="20"/>
          <w:lang w:val="en-US"/>
        </w:rPr>
        <w:t>Brasil Verde</w:t>
      </w:r>
      <w:r w:rsidR="00FD7C20" w:rsidRPr="00FE50A6">
        <w:rPr>
          <w:rFonts w:cs="Arial"/>
          <w:szCs w:val="20"/>
          <w:lang w:val="en-US"/>
        </w:rPr>
        <w:t xml:space="preserve"> </w:t>
      </w:r>
      <w:r w:rsidR="009C48A4" w:rsidRPr="00FE50A6">
        <w:rPr>
          <w:rFonts w:cs="Arial"/>
          <w:szCs w:val="20"/>
          <w:lang w:val="en-US"/>
        </w:rPr>
        <w:t>based on an article in the newspaper “</w:t>
      </w:r>
      <w:r w:rsidR="00FD7C20" w:rsidRPr="00FE50A6">
        <w:rPr>
          <w:rFonts w:cs="Arial"/>
          <w:i/>
          <w:szCs w:val="20"/>
          <w:lang w:val="en-US"/>
        </w:rPr>
        <w:t>O Liberal</w:t>
      </w:r>
      <w:r w:rsidR="009C48A4" w:rsidRPr="00FE50A6">
        <w:rPr>
          <w:rFonts w:cs="Arial"/>
          <w:szCs w:val="20"/>
          <w:lang w:val="en-US"/>
        </w:rPr>
        <w:t>”</w:t>
      </w:r>
      <w:r w:rsidR="00FD7C20" w:rsidRPr="00FE50A6">
        <w:rPr>
          <w:rFonts w:cs="Arial"/>
          <w:szCs w:val="20"/>
          <w:lang w:val="en-US"/>
        </w:rPr>
        <w:t xml:space="preserve"> </w:t>
      </w:r>
      <w:r w:rsidRPr="00FE50A6">
        <w:rPr>
          <w:rFonts w:cs="Arial"/>
          <w:szCs w:val="20"/>
          <w:lang w:val="en-US"/>
        </w:rPr>
        <w:t>of May 31,</w:t>
      </w:r>
      <w:r w:rsidR="00FD7C20" w:rsidRPr="00FE50A6">
        <w:rPr>
          <w:rFonts w:cs="Arial"/>
          <w:szCs w:val="20"/>
          <w:lang w:val="en-US"/>
        </w:rPr>
        <w:t xml:space="preserve"> 1998</w:t>
      </w:r>
      <w:r w:rsidR="009C48A4" w:rsidRPr="00FE50A6">
        <w:rPr>
          <w:rFonts w:cs="Arial"/>
          <w:szCs w:val="20"/>
          <w:lang w:val="en-US"/>
        </w:rPr>
        <w:t>.</w:t>
      </w:r>
      <w:r w:rsidR="00FD7C20" w:rsidRPr="00FE50A6">
        <w:rPr>
          <w:rStyle w:val="Refdenotaalpie"/>
          <w:rFonts w:cs="Arial"/>
          <w:lang w:val="en-US"/>
        </w:rPr>
        <w:footnoteReference w:id="146"/>
      </w:r>
      <w:r w:rsidR="00FD7C20" w:rsidRPr="00FE50A6">
        <w:rPr>
          <w:rFonts w:cs="Times New Roman"/>
          <w:szCs w:val="20"/>
          <w:lang w:val="en-US"/>
        </w:rPr>
        <w:t xml:space="preserve"> </w:t>
      </w:r>
      <w:r w:rsidRPr="00FE50A6">
        <w:rPr>
          <w:rFonts w:cs="Arial"/>
          <w:szCs w:val="20"/>
          <w:lang w:val="en-US"/>
        </w:rPr>
        <w:t>On July 8,</w:t>
      </w:r>
      <w:r w:rsidR="00FD7C20" w:rsidRPr="00FE50A6">
        <w:rPr>
          <w:rFonts w:cs="Arial"/>
          <w:szCs w:val="20"/>
          <w:lang w:val="en-US"/>
        </w:rPr>
        <w:t xml:space="preserve"> 1998</w:t>
      </w:r>
      <w:r w:rsidR="009C48A4" w:rsidRPr="00FE50A6">
        <w:rPr>
          <w:rFonts w:cs="Arial"/>
          <w:szCs w:val="20"/>
          <w:lang w:val="en-US"/>
        </w:rPr>
        <w:t>,</w:t>
      </w:r>
      <w:r w:rsidR="00FD7C20" w:rsidRPr="00FE50A6">
        <w:rPr>
          <w:rFonts w:cs="Arial"/>
          <w:szCs w:val="20"/>
          <w:lang w:val="en-US"/>
        </w:rPr>
        <w:t xml:space="preserve"> </w:t>
      </w:r>
      <w:r w:rsidR="009C48A4" w:rsidRPr="00FE50A6">
        <w:rPr>
          <w:rFonts w:cs="Arial"/>
          <w:szCs w:val="20"/>
          <w:lang w:val="en-US"/>
        </w:rPr>
        <w:t>the Regional Labor Delegate</w:t>
      </w:r>
      <w:r w:rsidR="00FD7C20" w:rsidRPr="00FE50A6">
        <w:rPr>
          <w:rFonts w:cs="Arial"/>
          <w:szCs w:val="20"/>
          <w:lang w:val="en-US"/>
        </w:rPr>
        <w:t xml:space="preserve"> </w:t>
      </w:r>
      <w:r w:rsidR="009C48A4" w:rsidRPr="00FE50A6">
        <w:rPr>
          <w:rFonts w:cs="Arial"/>
          <w:szCs w:val="20"/>
          <w:lang w:val="en-US"/>
        </w:rPr>
        <w:t>reported that the hacienda had been inspected in October 1997, when “considerable progress” had been verified in relation to the irregularities noted during the previous inspection.</w:t>
      </w:r>
      <w:r w:rsidR="00FD7C20" w:rsidRPr="00FE50A6">
        <w:rPr>
          <w:rStyle w:val="Refdenotaalpie"/>
          <w:rFonts w:cs="Arial"/>
          <w:lang w:val="en-US"/>
        </w:rPr>
        <w:footnoteReference w:id="147"/>
      </w:r>
    </w:p>
    <w:p w14:paraId="1DD284EE" w14:textId="77777777" w:rsidR="00FD7C20" w:rsidRPr="00FE50A6" w:rsidRDefault="00FD7C20" w:rsidP="00FD7C20">
      <w:pPr>
        <w:pStyle w:val="Prrafodelista"/>
        <w:ind w:left="0"/>
        <w:rPr>
          <w:lang w:val="en-US"/>
        </w:rPr>
      </w:pPr>
    </w:p>
    <w:p w14:paraId="304251DD" w14:textId="77777777" w:rsidR="00BE60E8" w:rsidRPr="00FE50A6" w:rsidRDefault="009C48A4" w:rsidP="008B0BCC">
      <w:pPr>
        <w:pStyle w:val="Ttulo2"/>
        <w:numPr>
          <w:ilvl w:val="0"/>
          <w:numId w:val="17"/>
        </w:numPr>
      </w:pPr>
      <w:r w:rsidRPr="00FE50A6">
        <w:t>Facts that fall within the Court’s temporal jurisdiction</w:t>
      </w:r>
    </w:p>
    <w:p w14:paraId="7B4B55FC" w14:textId="77777777" w:rsidR="00BE60E8" w:rsidRPr="00FE50A6" w:rsidRDefault="00BE60E8" w:rsidP="00BE60E8">
      <w:pPr>
        <w:pStyle w:val="Prrafodelista"/>
        <w:autoSpaceDE w:val="0"/>
        <w:autoSpaceDN w:val="0"/>
        <w:adjustRightInd w:val="0"/>
        <w:ind w:left="0"/>
        <w:contextualSpacing w:val="0"/>
        <w:rPr>
          <w:rFonts w:cs="Arial"/>
          <w:szCs w:val="20"/>
          <w:lang w:val="en-US"/>
        </w:rPr>
      </w:pPr>
    </w:p>
    <w:p w14:paraId="142EA86C" w14:textId="77777777" w:rsidR="004B71B2" w:rsidRPr="00FE50A6" w:rsidRDefault="002D57E5" w:rsidP="008622F3">
      <w:pPr>
        <w:pStyle w:val="Ttulo3"/>
        <w:rPr>
          <w:lang w:val="en-US"/>
        </w:rPr>
      </w:pPr>
      <w:bookmarkStart w:id="252" w:name="_Toc460433014"/>
      <w:bookmarkStart w:id="253" w:name="_Toc460441945"/>
      <w:bookmarkStart w:id="254" w:name="_Toc462750763"/>
      <w:bookmarkStart w:id="255" w:name="_Toc462751087"/>
      <w:bookmarkStart w:id="256" w:name="_Toc464813939"/>
      <w:r w:rsidRPr="00FE50A6">
        <w:rPr>
          <w:iCs/>
          <w:lang w:val="en-US"/>
        </w:rPr>
        <w:t>B</w:t>
      </w:r>
      <w:r w:rsidR="004B71B2" w:rsidRPr="00FE50A6">
        <w:rPr>
          <w:iCs/>
          <w:lang w:val="en-US"/>
        </w:rPr>
        <w:t>.1</w:t>
      </w:r>
      <w:r w:rsidR="00DC2886" w:rsidRPr="00FE50A6">
        <w:rPr>
          <w:iCs/>
          <w:lang w:val="en-US"/>
        </w:rPr>
        <w:t>.</w:t>
      </w:r>
      <w:r w:rsidR="004B71B2" w:rsidRPr="00FE50A6">
        <w:rPr>
          <w:iCs/>
          <w:lang w:val="en-US"/>
        </w:rPr>
        <w:t xml:space="preserve"> </w:t>
      </w:r>
      <w:r w:rsidR="009C48A4" w:rsidRPr="00FE50A6">
        <w:rPr>
          <w:iCs/>
          <w:lang w:val="en-US"/>
        </w:rPr>
        <w:t>Continuation of the criminal proceedings against</w:t>
      </w:r>
      <w:r w:rsidR="004B71B2" w:rsidRPr="00FE50A6">
        <w:rPr>
          <w:lang w:val="en-US"/>
        </w:rPr>
        <w:t xml:space="preserve"> Raimundo Alves de Rocha, </w:t>
      </w:r>
      <w:r w:rsidR="00D60654" w:rsidRPr="00FE50A6">
        <w:rPr>
          <w:lang w:val="en-US"/>
        </w:rPr>
        <w:t xml:space="preserve">Antônio </w:t>
      </w:r>
      <w:r w:rsidR="004B71B2" w:rsidRPr="00FE50A6">
        <w:rPr>
          <w:lang w:val="en-US"/>
        </w:rPr>
        <w:t>Alves Vieira</w:t>
      </w:r>
      <w:r w:rsidR="00030C17" w:rsidRPr="00FE50A6">
        <w:rPr>
          <w:lang w:val="en-US"/>
        </w:rPr>
        <w:t xml:space="preserve"> and </w:t>
      </w:r>
      <w:r w:rsidR="004B71B2" w:rsidRPr="00FE50A6">
        <w:rPr>
          <w:lang w:val="en-US"/>
        </w:rPr>
        <w:t>João Luiz Quagliato Neto</w:t>
      </w:r>
      <w:bookmarkEnd w:id="252"/>
      <w:bookmarkEnd w:id="253"/>
      <w:bookmarkEnd w:id="254"/>
      <w:bookmarkEnd w:id="255"/>
      <w:bookmarkEnd w:id="256"/>
    </w:p>
    <w:p w14:paraId="5D000515" w14:textId="77777777" w:rsidR="004B71B2" w:rsidRPr="00FE50A6" w:rsidRDefault="004B71B2" w:rsidP="00BE60E8">
      <w:pPr>
        <w:pStyle w:val="Prrafodelista"/>
        <w:autoSpaceDE w:val="0"/>
        <w:autoSpaceDN w:val="0"/>
        <w:adjustRightInd w:val="0"/>
        <w:ind w:left="0"/>
        <w:contextualSpacing w:val="0"/>
        <w:rPr>
          <w:rFonts w:cs="Arial"/>
          <w:szCs w:val="20"/>
          <w:lang w:val="en-US"/>
        </w:rPr>
      </w:pPr>
    </w:p>
    <w:p w14:paraId="64CFEC44" w14:textId="77777777" w:rsidR="0003391C" w:rsidRPr="00FE50A6" w:rsidRDefault="009C48A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September 13,</w:t>
      </w:r>
      <w:r w:rsidR="0003391C" w:rsidRPr="00FE50A6">
        <w:rPr>
          <w:rFonts w:cs="Arial"/>
          <w:szCs w:val="20"/>
          <w:lang w:val="en-US"/>
        </w:rPr>
        <w:t xml:space="preserve"> 1999</w:t>
      </w:r>
      <w:r w:rsidRPr="00FE50A6">
        <w:rPr>
          <w:rFonts w:cs="Arial"/>
          <w:szCs w:val="20"/>
          <w:lang w:val="en-US"/>
        </w:rPr>
        <w:t xml:space="preserve">, Mr. </w:t>
      </w:r>
      <w:r w:rsidR="0003391C" w:rsidRPr="00FE50A6">
        <w:rPr>
          <w:rFonts w:cs="Arial"/>
          <w:szCs w:val="20"/>
          <w:lang w:val="en-US"/>
        </w:rPr>
        <w:t xml:space="preserve">Quagliato Neto </w:t>
      </w:r>
      <w:r w:rsidRPr="00FE50A6">
        <w:rPr>
          <w:rFonts w:cs="Arial"/>
          <w:szCs w:val="20"/>
          <w:lang w:val="en-US"/>
        </w:rPr>
        <w:t>appeared before the court and the preliminary hearing of his case was held.</w:t>
      </w:r>
      <w:r w:rsidR="00625E01" w:rsidRPr="00FE50A6">
        <w:rPr>
          <w:rStyle w:val="Refdenotaalpie"/>
          <w:rFonts w:cs="Arial"/>
          <w:lang w:val="en-US"/>
        </w:rPr>
        <w:footnoteReference w:id="148"/>
      </w:r>
      <w:r w:rsidRPr="00FE50A6">
        <w:rPr>
          <w:rFonts w:cs="Arial"/>
          <w:szCs w:val="20"/>
          <w:lang w:val="en-US"/>
        </w:rPr>
        <w:t xml:space="preserve"> The day following this hearing, Mr. Quagliato</w:t>
      </w:r>
      <w:r w:rsidR="0003391C" w:rsidRPr="00FE50A6">
        <w:rPr>
          <w:rFonts w:cs="Arial"/>
          <w:szCs w:val="20"/>
          <w:lang w:val="en-US"/>
        </w:rPr>
        <w:t xml:space="preserve"> Neto </w:t>
      </w:r>
      <w:r w:rsidRPr="00FE50A6">
        <w:rPr>
          <w:rFonts w:cs="Arial"/>
          <w:szCs w:val="20"/>
          <w:lang w:val="en-US"/>
        </w:rPr>
        <w:t>stated that he accepted the conditions imposed by the federal judge</w:t>
      </w:r>
      <w:r w:rsidR="0003391C" w:rsidRPr="00FE50A6">
        <w:rPr>
          <w:rFonts w:cs="Arial"/>
          <w:szCs w:val="20"/>
          <w:lang w:val="en-US"/>
        </w:rPr>
        <w:t xml:space="preserve"> </w:t>
      </w:r>
      <w:r w:rsidRPr="00FE50A6">
        <w:rPr>
          <w:rFonts w:cs="Arial"/>
          <w:szCs w:val="20"/>
          <w:lang w:val="en-US"/>
        </w:rPr>
        <w:t xml:space="preserve">in order to suspend his trial, namely: delivery of six baskets of basic commodities to a charity organization in </w:t>
      </w:r>
      <w:r w:rsidR="006E1D87" w:rsidRPr="00FE50A6">
        <w:rPr>
          <w:rFonts w:cs="Arial"/>
          <w:szCs w:val="20"/>
          <w:lang w:val="en-US"/>
        </w:rPr>
        <w:t xml:space="preserve">Ourinhos </w:t>
      </w:r>
      <w:r w:rsidRPr="00FE50A6">
        <w:rPr>
          <w:rFonts w:cs="Arial"/>
          <w:szCs w:val="20"/>
          <w:lang w:val="en-US"/>
        </w:rPr>
        <w:t>i</w:t>
      </w:r>
      <w:r w:rsidR="006E1D87" w:rsidRPr="00FE50A6">
        <w:rPr>
          <w:rFonts w:cs="Arial"/>
          <w:szCs w:val="20"/>
          <w:lang w:val="en-US"/>
        </w:rPr>
        <w:t xml:space="preserve">n </w:t>
      </w:r>
      <w:r w:rsidR="000228D0" w:rsidRPr="00FE50A6">
        <w:rPr>
          <w:rFonts w:cs="Arial"/>
          <w:szCs w:val="20"/>
          <w:lang w:val="en-US"/>
        </w:rPr>
        <w:t xml:space="preserve">the </w:t>
      </w:r>
      <w:r w:rsidRPr="00FE50A6">
        <w:rPr>
          <w:rFonts w:cs="Arial"/>
          <w:szCs w:val="20"/>
          <w:lang w:val="en-US"/>
        </w:rPr>
        <w:t>s</w:t>
      </w:r>
      <w:r w:rsidR="000228D0" w:rsidRPr="00FE50A6">
        <w:rPr>
          <w:rFonts w:cs="Arial"/>
          <w:szCs w:val="20"/>
          <w:lang w:val="en-US"/>
        </w:rPr>
        <w:t>tate</w:t>
      </w:r>
      <w:r w:rsidR="0003391C" w:rsidRPr="00FE50A6">
        <w:rPr>
          <w:rFonts w:cs="Arial"/>
          <w:szCs w:val="20"/>
          <w:lang w:val="en-US"/>
        </w:rPr>
        <w:t xml:space="preserve"> </w:t>
      </w:r>
      <w:r w:rsidRPr="00FE50A6">
        <w:rPr>
          <w:rFonts w:cs="Arial"/>
          <w:szCs w:val="20"/>
          <w:lang w:val="en-US"/>
        </w:rPr>
        <w:t>of</w:t>
      </w:r>
      <w:r w:rsidR="0003391C" w:rsidRPr="00FE50A6">
        <w:rPr>
          <w:rFonts w:cs="Arial"/>
          <w:szCs w:val="20"/>
          <w:lang w:val="en-US"/>
        </w:rPr>
        <w:t xml:space="preserve"> S</w:t>
      </w:r>
      <w:r w:rsidR="006E1D87" w:rsidRPr="00FE50A6">
        <w:rPr>
          <w:rFonts w:cs="Arial"/>
          <w:szCs w:val="20"/>
          <w:lang w:val="en-US"/>
        </w:rPr>
        <w:t>ã</w:t>
      </w:r>
      <w:r w:rsidR="0003391C" w:rsidRPr="00FE50A6">
        <w:rPr>
          <w:rFonts w:cs="Arial"/>
          <w:szCs w:val="20"/>
          <w:lang w:val="en-US"/>
        </w:rPr>
        <w:t>o Paulo</w:t>
      </w:r>
      <w:r w:rsidRPr="00FE50A6">
        <w:rPr>
          <w:rFonts w:cs="Arial"/>
          <w:szCs w:val="20"/>
          <w:lang w:val="en-US"/>
        </w:rPr>
        <w:t>.</w:t>
      </w:r>
      <w:r w:rsidR="0003391C" w:rsidRPr="00FE50A6">
        <w:rPr>
          <w:rStyle w:val="Refdenotaalpie"/>
          <w:rFonts w:cs="Arial"/>
          <w:lang w:val="en-US"/>
        </w:rPr>
        <w:footnoteReference w:id="149"/>
      </w:r>
      <w:r w:rsidR="0003391C" w:rsidRPr="00FE50A6">
        <w:rPr>
          <w:rFonts w:cs="Times New Roman"/>
          <w:szCs w:val="20"/>
          <w:lang w:val="en-US"/>
        </w:rPr>
        <w:t xml:space="preserve"> </w:t>
      </w:r>
      <w:r w:rsidRPr="00FE50A6">
        <w:rPr>
          <w:rFonts w:cs="Arial"/>
          <w:szCs w:val="20"/>
          <w:lang w:val="en-US"/>
        </w:rPr>
        <w:t>On September 23,</w:t>
      </w:r>
      <w:r w:rsidR="0003391C" w:rsidRPr="00FE50A6">
        <w:rPr>
          <w:rFonts w:cs="Arial"/>
          <w:szCs w:val="20"/>
          <w:lang w:val="en-US"/>
        </w:rPr>
        <w:t xml:space="preserve"> 1999, </w:t>
      </w:r>
      <w:r w:rsidRPr="00FE50A6">
        <w:rPr>
          <w:rFonts w:cs="Arial"/>
          <w:szCs w:val="20"/>
          <w:lang w:val="en-US"/>
        </w:rPr>
        <w:t>at the request of the</w:t>
      </w:r>
      <w:r w:rsidR="0003391C" w:rsidRPr="00FE50A6">
        <w:rPr>
          <w:rFonts w:cs="Arial"/>
          <w:szCs w:val="20"/>
          <w:lang w:val="en-US"/>
        </w:rPr>
        <w:t xml:space="preserve"> </w:t>
      </w:r>
      <w:r w:rsidR="006B2842" w:rsidRPr="00FE50A6">
        <w:rPr>
          <w:rFonts w:cs="Arial"/>
          <w:szCs w:val="20"/>
          <w:lang w:val="en-US"/>
        </w:rPr>
        <w:t>Public Prosecution Service</w:t>
      </w:r>
      <w:r w:rsidR="0003391C" w:rsidRPr="00FE50A6">
        <w:rPr>
          <w:rFonts w:cs="Arial"/>
          <w:szCs w:val="20"/>
          <w:lang w:val="en-US"/>
        </w:rPr>
        <w:t xml:space="preserve">, </w:t>
      </w:r>
      <w:r w:rsidRPr="00FE50A6">
        <w:rPr>
          <w:rFonts w:cs="Arial"/>
          <w:szCs w:val="20"/>
          <w:lang w:val="en-US"/>
        </w:rPr>
        <w:t>the federal judge</w:t>
      </w:r>
      <w:r w:rsidR="0003391C" w:rsidRPr="00FE50A6">
        <w:rPr>
          <w:rFonts w:cs="Arial"/>
          <w:szCs w:val="20"/>
          <w:lang w:val="en-US"/>
        </w:rPr>
        <w:t xml:space="preserve"> aut</w:t>
      </w:r>
      <w:r w:rsidRPr="00FE50A6">
        <w:rPr>
          <w:rFonts w:cs="Arial"/>
          <w:szCs w:val="20"/>
          <w:lang w:val="en-US"/>
        </w:rPr>
        <w:t xml:space="preserve">horized the two-year conditional suspension of the proceedings against </w:t>
      </w:r>
      <w:r w:rsidR="0003391C" w:rsidRPr="00FE50A6">
        <w:rPr>
          <w:rFonts w:cs="Arial"/>
          <w:szCs w:val="20"/>
          <w:lang w:val="en-US"/>
        </w:rPr>
        <w:t>João Luiz Quagliato Neto</w:t>
      </w:r>
      <w:r w:rsidRPr="00FE50A6">
        <w:rPr>
          <w:rFonts w:cs="Arial"/>
          <w:szCs w:val="20"/>
          <w:lang w:val="en-US"/>
        </w:rPr>
        <w:t>.</w:t>
      </w:r>
      <w:r w:rsidR="0003391C" w:rsidRPr="00FE50A6">
        <w:rPr>
          <w:rStyle w:val="Refdenotaalpie"/>
          <w:rFonts w:cs="Arial"/>
          <w:lang w:val="en-US"/>
        </w:rPr>
        <w:footnoteReference w:id="150"/>
      </w:r>
      <w:r w:rsidR="0003391C" w:rsidRPr="00FE50A6">
        <w:rPr>
          <w:rFonts w:cs="Times New Roman"/>
          <w:szCs w:val="20"/>
          <w:lang w:val="en-US"/>
        </w:rPr>
        <w:t xml:space="preserve"> </w:t>
      </w:r>
    </w:p>
    <w:p w14:paraId="17A7CD4A"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1B7B4888" w14:textId="77777777" w:rsidR="0003391C" w:rsidRPr="00FE50A6" w:rsidRDefault="009C48A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Between</w:t>
      </w:r>
      <w:r w:rsidR="0003391C" w:rsidRPr="00FE50A6">
        <w:rPr>
          <w:rFonts w:cs="Arial"/>
          <w:szCs w:val="20"/>
          <w:lang w:val="en-US"/>
        </w:rPr>
        <w:t xml:space="preserve"> </w:t>
      </w:r>
      <w:r w:rsidR="00700B79" w:rsidRPr="00FE50A6">
        <w:rPr>
          <w:rFonts w:cs="Arial"/>
          <w:szCs w:val="20"/>
          <w:lang w:val="en-US"/>
        </w:rPr>
        <w:t>December 10,</w:t>
      </w:r>
      <w:r w:rsidR="00BD7F63" w:rsidRPr="00FE50A6">
        <w:rPr>
          <w:rFonts w:cs="Arial"/>
          <w:szCs w:val="20"/>
          <w:lang w:val="en-US"/>
        </w:rPr>
        <w:t xml:space="preserve"> 1998</w:t>
      </w:r>
      <w:r w:rsidRPr="00FE50A6">
        <w:rPr>
          <w:rFonts w:cs="Arial"/>
          <w:szCs w:val="20"/>
          <w:lang w:val="en-US"/>
        </w:rPr>
        <w:t>,</w:t>
      </w:r>
      <w:r w:rsidR="00030C17" w:rsidRPr="00FE50A6">
        <w:rPr>
          <w:rFonts w:cs="Arial"/>
          <w:szCs w:val="20"/>
          <w:lang w:val="en-US"/>
        </w:rPr>
        <w:t xml:space="preserve"> and </w:t>
      </w:r>
      <w:r w:rsidRPr="00FE50A6">
        <w:rPr>
          <w:rFonts w:cs="Arial"/>
          <w:szCs w:val="20"/>
          <w:lang w:val="en-US"/>
        </w:rPr>
        <w:t>May</w:t>
      </w:r>
      <w:r w:rsidR="0003391C" w:rsidRPr="00FE50A6">
        <w:rPr>
          <w:rFonts w:cs="Arial"/>
          <w:szCs w:val="20"/>
          <w:lang w:val="en-US"/>
        </w:rPr>
        <w:t xml:space="preserve"> 1999</w:t>
      </w:r>
      <w:r w:rsidRPr="00FE50A6">
        <w:rPr>
          <w:rFonts w:cs="Arial"/>
          <w:szCs w:val="20"/>
          <w:lang w:val="en-US"/>
        </w:rPr>
        <w:t>,</w:t>
      </w:r>
      <w:r w:rsidR="0003391C" w:rsidRPr="00FE50A6">
        <w:rPr>
          <w:rFonts w:cs="Arial"/>
          <w:szCs w:val="20"/>
          <w:lang w:val="en-US"/>
        </w:rPr>
        <w:t xml:space="preserve"> Raimundo Alves de Rocha</w:t>
      </w:r>
      <w:r w:rsidR="00030C17" w:rsidRPr="00FE50A6">
        <w:rPr>
          <w:rFonts w:cs="Arial"/>
          <w:szCs w:val="20"/>
          <w:lang w:val="en-US"/>
        </w:rPr>
        <w:t xml:space="preserve"> and </w:t>
      </w:r>
      <w:r w:rsidR="00D60654" w:rsidRPr="00FE50A6">
        <w:rPr>
          <w:rFonts w:cs="Arial"/>
          <w:szCs w:val="20"/>
          <w:lang w:val="en-US"/>
        </w:rPr>
        <w:t xml:space="preserve">Antônio </w:t>
      </w:r>
      <w:r w:rsidR="0003391C" w:rsidRPr="00FE50A6">
        <w:rPr>
          <w:rFonts w:cs="Arial"/>
          <w:szCs w:val="20"/>
          <w:lang w:val="en-US"/>
        </w:rPr>
        <w:t>Alves Vieira</w:t>
      </w:r>
      <w:r w:rsidRPr="00FE50A6">
        <w:rPr>
          <w:rFonts w:cs="Arial"/>
          <w:szCs w:val="20"/>
          <w:lang w:val="en-US"/>
        </w:rPr>
        <w:t xml:space="preserve"> were summoned to testify on several occasions.</w:t>
      </w:r>
      <w:r w:rsidR="0003391C" w:rsidRPr="00FE50A6">
        <w:rPr>
          <w:rStyle w:val="Refdenotaalpie"/>
          <w:rFonts w:cs="Arial"/>
          <w:lang w:val="en-US"/>
        </w:rPr>
        <w:footnoteReference w:id="151"/>
      </w:r>
      <w:r w:rsidR="0003391C" w:rsidRPr="00FE50A6">
        <w:rPr>
          <w:rFonts w:cs="Arial"/>
          <w:szCs w:val="20"/>
          <w:lang w:val="en-US"/>
        </w:rPr>
        <w:t xml:space="preserve"> </w:t>
      </w:r>
      <w:r w:rsidRPr="00FE50A6">
        <w:rPr>
          <w:rFonts w:cs="Arial"/>
          <w:szCs w:val="20"/>
          <w:lang w:val="en-US"/>
        </w:rPr>
        <w:t>On May 23,</w:t>
      </w:r>
      <w:r w:rsidR="0003391C" w:rsidRPr="00FE50A6">
        <w:rPr>
          <w:rFonts w:cs="Arial"/>
          <w:szCs w:val="20"/>
          <w:lang w:val="en-US"/>
        </w:rPr>
        <w:t xml:space="preserve"> 1999</w:t>
      </w:r>
      <w:r w:rsidRPr="00FE50A6">
        <w:rPr>
          <w:rFonts w:cs="Arial"/>
          <w:szCs w:val="20"/>
          <w:lang w:val="en-US"/>
        </w:rPr>
        <w:t>, they submitted their defense briefs.</w:t>
      </w:r>
      <w:r w:rsidR="0003391C" w:rsidRPr="00FE50A6">
        <w:rPr>
          <w:rStyle w:val="Refdenotaalpie"/>
          <w:rFonts w:cs="Arial"/>
          <w:lang w:val="en-US"/>
        </w:rPr>
        <w:footnoteReference w:id="152"/>
      </w:r>
      <w:r w:rsidR="0003391C" w:rsidRPr="00FE50A6">
        <w:rPr>
          <w:rFonts w:cs="Arial"/>
          <w:szCs w:val="20"/>
          <w:lang w:val="en-US"/>
        </w:rPr>
        <w:t xml:space="preserve"> </w:t>
      </w:r>
      <w:r w:rsidRPr="00FE50A6">
        <w:rPr>
          <w:rFonts w:cs="Arial"/>
          <w:szCs w:val="20"/>
          <w:lang w:val="en-US"/>
        </w:rPr>
        <w:t>On March 2,</w:t>
      </w:r>
      <w:r w:rsidR="0003391C" w:rsidRPr="00FE50A6">
        <w:rPr>
          <w:rFonts w:cs="Arial"/>
          <w:szCs w:val="20"/>
          <w:lang w:val="en-US"/>
        </w:rPr>
        <w:t xml:space="preserve"> 2000</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 xml:space="preserve">the </w:t>
      </w:r>
      <w:r w:rsidR="0081756E" w:rsidRPr="00FE50A6">
        <w:rPr>
          <w:rFonts w:cs="Arial"/>
          <w:szCs w:val="20"/>
          <w:lang w:val="en-US"/>
        </w:rPr>
        <w:t>Ministry of Labor</w:t>
      </w:r>
      <w:r w:rsidR="0003391C" w:rsidRPr="00FE50A6">
        <w:rPr>
          <w:rFonts w:cs="Arial"/>
          <w:szCs w:val="20"/>
          <w:lang w:val="en-US"/>
        </w:rPr>
        <w:t xml:space="preserve"> </w:t>
      </w:r>
      <w:r w:rsidR="00AA11DB" w:rsidRPr="00FE50A6">
        <w:rPr>
          <w:rFonts w:cs="Arial"/>
          <w:szCs w:val="20"/>
          <w:lang w:val="en-US"/>
        </w:rPr>
        <w:t xml:space="preserve">agents </w:t>
      </w:r>
      <w:r w:rsidRPr="00FE50A6">
        <w:rPr>
          <w:rFonts w:cs="Arial"/>
          <w:szCs w:val="20"/>
          <w:lang w:val="en-US"/>
        </w:rPr>
        <w:t xml:space="preserve">who had </w:t>
      </w:r>
      <w:r w:rsidR="00AA11DB" w:rsidRPr="00FE50A6">
        <w:rPr>
          <w:rFonts w:cs="Arial"/>
          <w:szCs w:val="20"/>
          <w:lang w:val="en-US"/>
        </w:rPr>
        <w:t>conducted</w:t>
      </w:r>
      <w:r w:rsidRPr="00FE50A6">
        <w:rPr>
          <w:rFonts w:cs="Arial"/>
          <w:szCs w:val="20"/>
          <w:lang w:val="en-US"/>
        </w:rPr>
        <w:t xml:space="preserve"> the 1997 inspection testified.</w:t>
      </w:r>
      <w:r w:rsidR="0003391C" w:rsidRPr="00FE50A6">
        <w:rPr>
          <w:rStyle w:val="Refdenotaalpie"/>
          <w:rFonts w:cs="Arial"/>
          <w:lang w:val="en-US"/>
        </w:rPr>
        <w:footnoteReference w:id="153"/>
      </w:r>
    </w:p>
    <w:p w14:paraId="639A492B" w14:textId="77777777" w:rsidR="0003391C" w:rsidRPr="00FE50A6" w:rsidRDefault="0003391C" w:rsidP="00140440">
      <w:pPr>
        <w:pStyle w:val="Prrafodelista"/>
        <w:contextualSpacing w:val="0"/>
        <w:rPr>
          <w:rFonts w:cs="Arial"/>
          <w:szCs w:val="20"/>
          <w:lang w:val="en-US"/>
        </w:rPr>
      </w:pPr>
    </w:p>
    <w:p w14:paraId="30F5E691" w14:textId="77777777" w:rsidR="0003391C" w:rsidRPr="00FE50A6" w:rsidRDefault="009C48A4" w:rsidP="00015022">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lastRenderedPageBreak/>
        <w:t>During 2000, various hearings were scheduled</w:t>
      </w:r>
      <w:r w:rsidR="00AA11DB" w:rsidRPr="00FE50A6">
        <w:rPr>
          <w:rFonts w:cs="Arial"/>
          <w:szCs w:val="20"/>
          <w:lang w:val="en-US"/>
        </w:rPr>
        <w:t xml:space="preserve"> in order</w:t>
      </w:r>
      <w:r w:rsidRPr="00FE50A6">
        <w:rPr>
          <w:rFonts w:cs="Arial"/>
          <w:szCs w:val="20"/>
          <w:lang w:val="en-US"/>
        </w:rPr>
        <w:t xml:space="preserve"> to receive evidence</w:t>
      </w:r>
      <w:r w:rsidR="00AA11DB" w:rsidRPr="00FE50A6">
        <w:rPr>
          <w:rFonts w:cs="Arial"/>
          <w:szCs w:val="20"/>
          <w:lang w:val="en-US"/>
        </w:rPr>
        <w:t>.</w:t>
      </w:r>
      <w:r w:rsidRPr="00FE50A6">
        <w:rPr>
          <w:rFonts w:cs="Arial"/>
          <w:szCs w:val="20"/>
          <w:lang w:val="en-US"/>
        </w:rPr>
        <w:t xml:space="preserve"> </w:t>
      </w:r>
      <w:r w:rsidR="00AA11DB" w:rsidRPr="00FE50A6">
        <w:rPr>
          <w:rFonts w:cs="Arial"/>
          <w:szCs w:val="20"/>
          <w:lang w:val="en-US"/>
        </w:rPr>
        <w:t>H</w:t>
      </w:r>
      <w:r w:rsidRPr="00FE50A6">
        <w:rPr>
          <w:rFonts w:cs="Arial"/>
          <w:szCs w:val="20"/>
          <w:lang w:val="en-US"/>
        </w:rPr>
        <w:t>owever, on March 16,</w:t>
      </w:r>
      <w:r w:rsidR="0003391C" w:rsidRPr="00FE50A6">
        <w:rPr>
          <w:rFonts w:cs="Arial"/>
          <w:szCs w:val="20"/>
          <w:lang w:val="en-US"/>
        </w:rPr>
        <w:t xml:space="preserve"> 2001</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 substitute federal judge</w:t>
      </w:r>
      <w:r w:rsidR="0003391C" w:rsidRPr="00FE50A6">
        <w:rPr>
          <w:rFonts w:cs="Arial"/>
          <w:szCs w:val="20"/>
          <w:lang w:val="en-US"/>
        </w:rPr>
        <w:t xml:space="preserve"> </w:t>
      </w:r>
      <w:r w:rsidRPr="00FE50A6">
        <w:rPr>
          <w:rFonts w:cs="Arial"/>
          <w:szCs w:val="20"/>
          <w:lang w:val="en-US"/>
        </w:rPr>
        <w:t xml:space="preserve">in charge of the case declared the “absolute lack of jurisdiction of federal justice” to hear the proceedings, because the offenses that were being investigated constituted violations of individual rights of a group of workers, and not crimes against the organization of work; consequently, the case file </w:t>
      </w:r>
      <w:r w:rsidR="00AA11DB" w:rsidRPr="00FE50A6">
        <w:rPr>
          <w:rFonts w:cs="Arial"/>
          <w:szCs w:val="20"/>
          <w:lang w:val="en-US"/>
        </w:rPr>
        <w:t>was</w:t>
      </w:r>
      <w:r w:rsidRPr="00FE50A6">
        <w:rPr>
          <w:rFonts w:cs="Arial"/>
          <w:szCs w:val="20"/>
          <w:lang w:val="en-US"/>
        </w:rPr>
        <w:t xml:space="preserve"> forwarded to the state</w:t>
      </w:r>
      <w:r w:rsidR="00AA11DB" w:rsidRPr="00FE50A6">
        <w:rPr>
          <w:rFonts w:cs="Arial"/>
          <w:szCs w:val="20"/>
          <w:lang w:val="en-US"/>
        </w:rPr>
        <w:t xml:space="preserve"> justice</w:t>
      </w:r>
      <w:r w:rsidR="002B4DE5" w:rsidRPr="00FE50A6">
        <w:rPr>
          <w:rFonts w:cs="Arial"/>
          <w:szCs w:val="20"/>
          <w:lang w:val="en-US"/>
        </w:rPr>
        <w:t xml:space="preserve"> system </w:t>
      </w:r>
      <w:r w:rsidR="00AA11DB" w:rsidRPr="00FE50A6">
        <w:rPr>
          <w:rFonts w:cs="Arial"/>
          <w:szCs w:val="20"/>
          <w:lang w:val="en-US"/>
        </w:rPr>
        <w:t>in</w:t>
      </w:r>
      <w:r w:rsidR="002B4DE5" w:rsidRPr="00FE50A6">
        <w:rPr>
          <w:rFonts w:cs="Arial"/>
          <w:szCs w:val="20"/>
          <w:lang w:val="en-US"/>
        </w:rPr>
        <w:t xml:space="preserve"> </w:t>
      </w:r>
      <w:r w:rsidR="0003391C" w:rsidRPr="00FE50A6">
        <w:rPr>
          <w:rFonts w:cs="Arial"/>
          <w:szCs w:val="20"/>
          <w:lang w:val="en-US"/>
        </w:rPr>
        <w:t>Xinguara, Pará</w:t>
      </w:r>
      <w:r w:rsidR="002B4DE5" w:rsidRPr="00FE50A6">
        <w:rPr>
          <w:rFonts w:cs="Arial"/>
          <w:szCs w:val="20"/>
          <w:lang w:val="en-US"/>
        </w:rPr>
        <w:t>.</w:t>
      </w:r>
      <w:r w:rsidR="0003391C" w:rsidRPr="00FE50A6">
        <w:rPr>
          <w:rStyle w:val="Refdenotaalpie"/>
          <w:rFonts w:cs="Arial"/>
          <w:lang w:val="en-US"/>
        </w:rPr>
        <w:footnoteReference w:id="154"/>
      </w:r>
      <w:r w:rsidR="002B4DE5" w:rsidRPr="00FE50A6">
        <w:rPr>
          <w:rFonts w:cs="Arial"/>
          <w:szCs w:val="20"/>
          <w:lang w:val="en-US"/>
        </w:rPr>
        <w:t xml:space="preserve"> The judge considered that, based on case law</w:t>
      </w:r>
      <w:r w:rsidR="00AA11DB" w:rsidRPr="00FE50A6">
        <w:rPr>
          <w:rFonts w:cs="Arial"/>
          <w:szCs w:val="20"/>
          <w:lang w:val="en-US"/>
        </w:rPr>
        <w:t xml:space="preserve"> </w:t>
      </w:r>
      <w:r w:rsidR="001876EE" w:rsidRPr="00FE50A6">
        <w:rPr>
          <w:rFonts w:cs="Arial"/>
          <w:szCs w:val="20"/>
          <w:lang w:val="en-US"/>
        </w:rPr>
        <w:t>in relation to</w:t>
      </w:r>
      <w:r w:rsidR="002B4DE5" w:rsidRPr="00FE50A6">
        <w:rPr>
          <w:rFonts w:cs="Arial"/>
          <w:szCs w:val="20"/>
          <w:lang w:val="en-US"/>
        </w:rPr>
        <w:t xml:space="preserve"> jurisdiction </w:t>
      </w:r>
      <w:r w:rsidR="0003391C" w:rsidRPr="00FE50A6">
        <w:rPr>
          <w:rFonts w:cs="Times New Roman"/>
          <w:i/>
          <w:iCs/>
          <w:szCs w:val="20"/>
          <w:lang w:val="en-US"/>
        </w:rPr>
        <w:t>ratione materiae</w:t>
      </w:r>
      <w:r w:rsidR="00C6536B" w:rsidRPr="00FE50A6">
        <w:rPr>
          <w:rFonts w:cs="Times New Roman"/>
          <w:iCs/>
          <w:szCs w:val="20"/>
          <w:lang w:val="en-US"/>
        </w:rPr>
        <w:t>,</w:t>
      </w:r>
      <w:r w:rsidR="0003391C" w:rsidRPr="00FE50A6">
        <w:rPr>
          <w:rFonts w:cs="Times New Roman"/>
          <w:i/>
          <w:iCs/>
          <w:szCs w:val="20"/>
          <w:lang w:val="en-US"/>
        </w:rPr>
        <w:t xml:space="preserve"> </w:t>
      </w:r>
      <w:r w:rsidR="00AA11DB" w:rsidRPr="00FE50A6">
        <w:rPr>
          <w:rFonts w:cs="Arial"/>
          <w:szCs w:val="20"/>
          <w:lang w:val="en-US"/>
        </w:rPr>
        <w:t>this</w:t>
      </w:r>
      <w:r w:rsidR="002B4DE5" w:rsidRPr="00FE50A6">
        <w:rPr>
          <w:rFonts w:cs="Arial"/>
          <w:szCs w:val="20"/>
          <w:lang w:val="en-US"/>
        </w:rPr>
        <w:t xml:space="preserve"> could not be extended, at the risk of </w:t>
      </w:r>
      <w:r w:rsidR="00AA11DB" w:rsidRPr="00FE50A6">
        <w:rPr>
          <w:rFonts w:cs="Arial"/>
          <w:szCs w:val="20"/>
          <w:lang w:val="en-US"/>
        </w:rPr>
        <w:t>nullification</w:t>
      </w:r>
      <w:r w:rsidR="002B4DE5" w:rsidRPr="00FE50A6">
        <w:rPr>
          <w:rFonts w:cs="Arial"/>
          <w:szCs w:val="20"/>
          <w:lang w:val="en-US"/>
        </w:rPr>
        <w:t xml:space="preserve">, and it was necessary to recognize it </w:t>
      </w:r>
      <w:r w:rsidR="002B4DE5" w:rsidRPr="00FE50A6">
        <w:rPr>
          <w:rFonts w:cs="Arial"/>
          <w:i/>
          <w:szCs w:val="20"/>
          <w:lang w:val="en-US"/>
        </w:rPr>
        <w:t>ex officio</w:t>
      </w:r>
      <w:r w:rsidR="002B4DE5" w:rsidRPr="00FE50A6">
        <w:rPr>
          <w:rFonts w:cs="Arial"/>
          <w:szCs w:val="20"/>
          <w:lang w:val="en-US"/>
        </w:rPr>
        <w:t>.</w:t>
      </w:r>
      <w:r w:rsidR="00A916B1" w:rsidRPr="00FE50A6">
        <w:rPr>
          <w:rStyle w:val="Refdenotaalpie"/>
          <w:rFonts w:cs="Arial"/>
          <w:lang w:val="en-US"/>
        </w:rPr>
        <w:footnoteReference w:id="155"/>
      </w:r>
      <w:r w:rsidR="002B4DE5" w:rsidRPr="00FE50A6">
        <w:rPr>
          <w:rFonts w:cs="Times New Roman"/>
          <w:szCs w:val="20"/>
          <w:lang w:val="en-US"/>
        </w:rPr>
        <w:t xml:space="preserve"> No appeal of any kind was filed against this decision.</w:t>
      </w:r>
      <w:r w:rsidR="0003391C" w:rsidRPr="00FE50A6">
        <w:rPr>
          <w:rFonts w:cs="Times New Roman"/>
          <w:szCs w:val="20"/>
          <w:lang w:val="en-US"/>
        </w:rPr>
        <w:t xml:space="preserve"> </w:t>
      </w:r>
    </w:p>
    <w:p w14:paraId="649B0A63" w14:textId="77777777" w:rsidR="002B4DE5" w:rsidRPr="00FE50A6" w:rsidRDefault="002B4DE5" w:rsidP="002B4DE5">
      <w:pPr>
        <w:pStyle w:val="Prrafodelista"/>
        <w:autoSpaceDE w:val="0"/>
        <w:autoSpaceDN w:val="0"/>
        <w:adjustRightInd w:val="0"/>
        <w:ind w:left="0"/>
        <w:contextualSpacing w:val="0"/>
        <w:rPr>
          <w:rFonts w:cs="Arial"/>
          <w:szCs w:val="20"/>
          <w:lang w:val="en-US"/>
        </w:rPr>
      </w:pPr>
    </w:p>
    <w:p w14:paraId="2AEA5D45" w14:textId="77777777" w:rsidR="0003391C" w:rsidRPr="00FE50A6" w:rsidRDefault="009C48A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August 8,</w:t>
      </w:r>
      <w:r w:rsidR="0003391C" w:rsidRPr="00FE50A6">
        <w:rPr>
          <w:rFonts w:cs="Arial"/>
          <w:szCs w:val="20"/>
          <w:lang w:val="en-US"/>
        </w:rPr>
        <w:t xml:space="preserve"> 2001</w:t>
      </w:r>
      <w:r w:rsidR="002B4DE5" w:rsidRPr="00FE50A6">
        <w:rPr>
          <w:rFonts w:cs="Arial"/>
          <w:szCs w:val="20"/>
          <w:lang w:val="en-US"/>
        </w:rPr>
        <w:t xml:space="preserve">, the proceedings were re-opened by the </w:t>
      </w:r>
      <w:r w:rsidR="001876EE" w:rsidRPr="00FE50A6">
        <w:rPr>
          <w:rFonts w:cs="Arial"/>
          <w:szCs w:val="20"/>
          <w:lang w:val="en-US"/>
        </w:rPr>
        <w:t xml:space="preserve">Xinguara </w:t>
      </w:r>
      <w:r w:rsidR="002B4DE5" w:rsidRPr="00FE50A6">
        <w:rPr>
          <w:rFonts w:cs="Arial"/>
          <w:szCs w:val="20"/>
          <w:lang w:val="en-US"/>
        </w:rPr>
        <w:t xml:space="preserve">state justice system </w:t>
      </w:r>
      <w:r w:rsidR="00030C17" w:rsidRPr="00FE50A6">
        <w:rPr>
          <w:rFonts w:cs="Arial"/>
          <w:szCs w:val="20"/>
          <w:lang w:val="en-US"/>
        </w:rPr>
        <w:t>and</w:t>
      </w:r>
      <w:r w:rsidR="002B4DE5" w:rsidRPr="00FE50A6">
        <w:rPr>
          <w:rFonts w:cs="Arial"/>
          <w:szCs w:val="20"/>
          <w:lang w:val="en-US"/>
        </w:rPr>
        <w:t>,</w:t>
      </w:r>
      <w:r w:rsidR="00030C17" w:rsidRPr="00FE50A6">
        <w:rPr>
          <w:rFonts w:cs="Arial"/>
          <w:szCs w:val="20"/>
          <w:lang w:val="en-US"/>
        </w:rPr>
        <w:t xml:space="preserve"> </w:t>
      </w:r>
      <w:r w:rsidRPr="00FE50A6">
        <w:rPr>
          <w:rFonts w:cs="Arial"/>
          <w:szCs w:val="20"/>
          <w:lang w:val="en-US"/>
        </w:rPr>
        <w:t>on October 25,</w:t>
      </w:r>
      <w:r w:rsidR="0003391C" w:rsidRPr="00FE50A6">
        <w:rPr>
          <w:rFonts w:cs="Arial"/>
          <w:szCs w:val="20"/>
          <w:lang w:val="en-US"/>
        </w:rPr>
        <w:t xml:space="preserve"> 2001</w:t>
      </w:r>
      <w:r w:rsidR="002B4DE5" w:rsidRPr="00FE50A6">
        <w:rPr>
          <w:rFonts w:cs="Arial"/>
          <w:szCs w:val="20"/>
          <w:lang w:val="en-US"/>
        </w:rPr>
        <w:t>, the Prosecutor ratified the complaint. Subsequently, on May 23, 2002, the judge admitted the complaint.</w:t>
      </w:r>
      <w:r w:rsidR="0003391C" w:rsidRPr="00FE50A6">
        <w:rPr>
          <w:rStyle w:val="Refdenotaalpie"/>
          <w:rFonts w:cs="Arial"/>
          <w:lang w:val="en-US"/>
        </w:rPr>
        <w:footnoteReference w:id="156"/>
      </w:r>
      <w:r w:rsidR="0003391C" w:rsidRPr="00FE50A6">
        <w:rPr>
          <w:rFonts w:cs="Arial"/>
          <w:szCs w:val="20"/>
          <w:lang w:val="en-US"/>
        </w:rPr>
        <w:t xml:space="preserve"> </w:t>
      </w:r>
      <w:r w:rsidRPr="00FE50A6">
        <w:rPr>
          <w:rFonts w:cs="Arial"/>
          <w:szCs w:val="20"/>
          <w:lang w:val="en-US"/>
        </w:rPr>
        <w:t>On May 28,</w:t>
      </w:r>
      <w:r w:rsidR="0003391C" w:rsidRPr="00FE50A6">
        <w:rPr>
          <w:rFonts w:cs="Arial"/>
          <w:szCs w:val="20"/>
          <w:lang w:val="en-US"/>
        </w:rPr>
        <w:t xml:space="preserve"> 2002</w:t>
      </w:r>
      <w:r w:rsidR="002B4DE5" w:rsidRPr="00FE50A6">
        <w:rPr>
          <w:rFonts w:cs="Arial"/>
          <w:szCs w:val="20"/>
          <w:lang w:val="en-US"/>
        </w:rPr>
        <w:t>,</w:t>
      </w:r>
      <w:r w:rsidR="0003391C" w:rsidRPr="00FE50A6">
        <w:rPr>
          <w:rFonts w:cs="Arial"/>
          <w:szCs w:val="20"/>
          <w:lang w:val="en-US"/>
        </w:rPr>
        <w:t xml:space="preserve"> </w:t>
      </w:r>
      <w:r w:rsidRPr="00FE50A6">
        <w:rPr>
          <w:rFonts w:cs="Arial"/>
          <w:szCs w:val="20"/>
          <w:lang w:val="en-US"/>
        </w:rPr>
        <w:t>Mr.</w:t>
      </w:r>
      <w:r w:rsidR="0003391C" w:rsidRPr="00FE50A6">
        <w:rPr>
          <w:rFonts w:cs="Arial"/>
          <w:szCs w:val="20"/>
          <w:lang w:val="en-US"/>
        </w:rPr>
        <w:t xml:space="preserve"> Quagliato Neto</w:t>
      </w:r>
      <w:r w:rsidR="002B4DE5" w:rsidRPr="00FE50A6">
        <w:rPr>
          <w:rFonts w:cs="Arial"/>
          <w:szCs w:val="20"/>
          <w:lang w:val="en-US"/>
        </w:rPr>
        <w:t xml:space="preserve">’s defense counsel </w:t>
      </w:r>
      <w:r w:rsidR="001876EE" w:rsidRPr="00FE50A6">
        <w:rPr>
          <w:rFonts w:cs="Arial"/>
          <w:szCs w:val="20"/>
          <w:lang w:val="en-US"/>
        </w:rPr>
        <w:t>asked</w:t>
      </w:r>
      <w:r w:rsidR="002B4DE5" w:rsidRPr="00FE50A6">
        <w:rPr>
          <w:rFonts w:cs="Arial"/>
          <w:szCs w:val="20"/>
          <w:lang w:val="en-US"/>
        </w:rPr>
        <w:t xml:space="preserve"> the</w:t>
      </w:r>
      <w:r w:rsidR="001876EE" w:rsidRPr="00FE50A6">
        <w:rPr>
          <w:rFonts w:cs="Arial"/>
          <w:szCs w:val="20"/>
          <w:lang w:val="en-US"/>
        </w:rPr>
        <w:t xml:space="preserve"> judge to declare that the </w:t>
      </w:r>
      <w:r w:rsidR="002B4DE5" w:rsidRPr="00FE50A6">
        <w:rPr>
          <w:rFonts w:cs="Arial"/>
          <w:szCs w:val="20"/>
          <w:lang w:val="en-US"/>
        </w:rPr>
        <w:t>criminal action against hi</w:t>
      </w:r>
      <w:r w:rsidR="001876EE" w:rsidRPr="00FE50A6">
        <w:rPr>
          <w:rFonts w:cs="Arial"/>
          <w:szCs w:val="20"/>
          <w:lang w:val="en-US"/>
        </w:rPr>
        <w:t>s client</w:t>
      </w:r>
      <w:r w:rsidR="002B4DE5" w:rsidRPr="00FE50A6">
        <w:rPr>
          <w:rFonts w:cs="Arial"/>
          <w:szCs w:val="20"/>
          <w:lang w:val="en-US"/>
        </w:rPr>
        <w:t xml:space="preserve"> </w:t>
      </w:r>
      <w:r w:rsidR="001876EE" w:rsidRPr="00FE50A6">
        <w:rPr>
          <w:rFonts w:cs="Arial"/>
          <w:szCs w:val="20"/>
          <w:lang w:val="en-US"/>
        </w:rPr>
        <w:t>had</w:t>
      </w:r>
      <w:r w:rsidR="002B4DE5" w:rsidRPr="00FE50A6">
        <w:rPr>
          <w:rFonts w:cs="Arial"/>
          <w:szCs w:val="20"/>
          <w:lang w:val="en-US"/>
        </w:rPr>
        <w:t xml:space="preserve"> terminated.</w:t>
      </w:r>
      <w:r w:rsidR="0003391C" w:rsidRPr="00FE50A6">
        <w:rPr>
          <w:rStyle w:val="Refdenotaalpie"/>
          <w:rFonts w:cs="Arial"/>
          <w:lang w:val="en-US"/>
        </w:rPr>
        <w:footnoteReference w:id="157"/>
      </w:r>
    </w:p>
    <w:p w14:paraId="7C08E9B8" w14:textId="77777777" w:rsidR="0003391C" w:rsidRPr="00FE50A6" w:rsidRDefault="0003391C" w:rsidP="00140440">
      <w:pPr>
        <w:pStyle w:val="Prrafodelista"/>
        <w:contextualSpacing w:val="0"/>
        <w:rPr>
          <w:rFonts w:cs="Arial"/>
          <w:szCs w:val="20"/>
          <w:lang w:val="en-US"/>
        </w:rPr>
      </w:pPr>
    </w:p>
    <w:p w14:paraId="7CFB26E2" w14:textId="77777777" w:rsidR="0003391C" w:rsidRPr="00FE50A6" w:rsidRDefault="009C48A4"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November 11,</w:t>
      </w:r>
      <w:r w:rsidR="0003391C" w:rsidRPr="00FE50A6">
        <w:rPr>
          <w:rFonts w:cs="Arial"/>
          <w:szCs w:val="20"/>
          <w:lang w:val="en-US"/>
        </w:rPr>
        <w:t xml:space="preserve"> 2002</w:t>
      </w:r>
      <w:r w:rsidR="002B4DE5" w:rsidRPr="00FE50A6">
        <w:rPr>
          <w:rFonts w:cs="Arial"/>
          <w:szCs w:val="20"/>
          <w:lang w:val="en-US"/>
        </w:rPr>
        <w:t xml:space="preserve">, </w:t>
      </w:r>
      <w:r w:rsidR="0003391C" w:rsidRPr="00FE50A6">
        <w:rPr>
          <w:rFonts w:cs="Arial"/>
          <w:szCs w:val="20"/>
          <w:lang w:val="en-US"/>
        </w:rPr>
        <w:t>Raimundo Alves Rocha</w:t>
      </w:r>
      <w:r w:rsidR="00030C17" w:rsidRPr="00FE50A6">
        <w:rPr>
          <w:rFonts w:cs="Arial"/>
          <w:szCs w:val="20"/>
          <w:lang w:val="en-US"/>
        </w:rPr>
        <w:t xml:space="preserve"> and </w:t>
      </w:r>
      <w:r w:rsidR="00D60654" w:rsidRPr="00FE50A6">
        <w:rPr>
          <w:rFonts w:cs="Arial"/>
          <w:szCs w:val="20"/>
          <w:lang w:val="en-US"/>
        </w:rPr>
        <w:t xml:space="preserve">Antônio </w:t>
      </w:r>
      <w:r w:rsidR="0003391C" w:rsidRPr="00FE50A6">
        <w:rPr>
          <w:rFonts w:cs="Arial"/>
          <w:szCs w:val="20"/>
          <w:lang w:val="en-US"/>
        </w:rPr>
        <w:t xml:space="preserve">Vieira </w:t>
      </w:r>
      <w:r w:rsidR="002B4DE5" w:rsidRPr="00FE50A6">
        <w:rPr>
          <w:rFonts w:cs="Arial"/>
          <w:szCs w:val="20"/>
          <w:lang w:val="en-US"/>
        </w:rPr>
        <w:t xml:space="preserve">filed their defense brief and, </w:t>
      </w:r>
      <w:r w:rsidRPr="00FE50A6">
        <w:rPr>
          <w:rFonts w:cs="Arial"/>
          <w:szCs w:val="20"/>
          <w:lang w:val="en-US"/>
        </w:rPr>
        <w:t>on August 5,</w:t>
      </w:r>
      <w:r w:rsidR="0003391C" w:rsidRPr="00FE50A6">
        <w:rPr>
          <w:rFonts w:cs="Arial"/>
          <w:szCs w:val="20"/>
          <w:lang w:val="en-US"/>
        </w:rPr>
        <w:t xml:space="preserve"> 2003</w:t>
      </w:r>
      <w:r w:rsidRPr="00FE50A6">
        <w:rPr>
          <w:rFonts w:cs="Arial"/>
          <w:szCs w:val="20"/>
          <w:lang w:val="en-US"/>
        </w:rPr>
        <w:t>,</w:t>
      </w:r>
      <w:r w:rsidR="0003391C" w:rsidRPr="00FE50A6">
        <w:rPr>
          <w:rFonts w:cs="Arial"/>
          <w:szCs w:val="20"/>
          <w:lang w:val="en-US"/>
        </w:rPr>
        <w:t xml:space="preserve"> </w:t>
      </w:r>
      <w:r w:rsidR="002B4DE5" w:rsidRPr="00FE50A6">
        <w:rPr>
          <w:rFonts w:cs="Arial"/>
          <w:szCs w:val="20"/>
          <w:lang w:val="en-US"/>
        </w:rPr>
        <w:t xml:space="preserve">the judge </w:t>
      </w:r>
      <w:r w:rsidR="001876EE" w:rsidRPr="00FE50A6">
        <w:rPr>
          <w:rFonts w:cs="Arial"/>
          <w:szCs w:val="20"/>
          <w:lang w:val="en-US"/>
        </w:rPr>
        <w:t>established</w:t>
      </w:r>
      <w:r w:rsidR="002B4DE5" w:rsidRPr="00FE50A6">
        <w:rPr>
          <w:rFonts w:cs="Arial"/>
          <w:szCs w:val="20"/>
          <w:lang w:val="en-US"/>
        </w:rPr>
        <w:t xml:space="preserve"> new dates to receive the defense statements.</w:t>
      </w:r>
      <w:r w:rsidR="0003391C" w:rsidRPr="00FE50A6">
        <w:rPr>
          <w:rStyle w:val="Refdenotaalpie"/>
          <w:rFonts w:cs="Arial"/>
          <w:lang w:val="en-US"/>
        </w:rPr>
        <w:footnoteReference w:id="158"/>
      </w:r>
      <w:r w:rsidR="0003391C" w:rsidRPr="00FE50A6">
        <w:rPr>
          <w:rFonts w:cs="Arial"/>
          <w:szCs w:val="20"/>
          <w:lang w:val="en-US"/>
        </w:rPr>
        <w:t xml:space="preserve"> </w:t>
      </w:r>
      <w:r w:rsidRPr="00FE50A6">
        <w:rPr>
          <w:rFonts w:cs="Arial"/>
          <w:szCs w:val="20"/>
          <w:lang w:val="en-US"/>
        </w:rPr>
        <w:t>On October 24</w:t>
      </w:r>
      <w:r w:rsidR="00030C17" w:rsidRPr="00FE50A6">
        <w:rPr>
          <w:rFonts w:cs="Arial"/>
          <w:szCs w:val="20"/>
          <w:lang w:val="en-US"/>
        </w:rPr>
        <w:t xml:space="preserve"> and </w:t>
      </w:r>
      <w:r w:rsidRPr="00FE50A6">
        <w:rPr>
          <w:rFonts w:cs="Arial"/>
          <w:szCs w:val="20"/>
          <w:lang w:val="en-US"/>
        </w:rPr>
        <w:t xml:space="preserve">November </w:t>
      </w:r>
      <w:r w:rsidR="0003391C" w:rsidRPr="00FE50A6">
        <w:rPr>
          <w:rFonts w:cs="Arial"/>
          <w:szCs w:val="20"/>
          <w:lang w:val="en-US"/>
        </w:rPr>
        <w:t>18</w:t>
      </w:r>
      <w:r w:rsidRPr="00FE50A6">
        <w:rPr>
          <w:rFonts w:cs="Arial"/>
          <w:szCs w:val="20"/>
          <w:lang w:val="en-US"/>
        </w:rPr>
        <w:t xml:space="preserve">, </w:t>
      </w:r>
      <w:r w:rsidR="0003391C" w:rsidRPr="00FE50A6">
        <w:rPr>
          <w:rFonts w:cs="Arial"/>
          <w:szCs w:val="20"/>
          <w:lang w:val="en-US"/>
        </w:rPr>
        <w:t>2003</w:t>
      </w:r>
      <w:r w:rsidR="002B4DE5" w:rsidRPr="00FE50A6">
        <w:rPr>
          <w:rFonts w:cs="Arial"/>
          <w:szCs w:val="20"/>
          <w:lang w:val="en-US"/>
        </w:rPr>
        <w:t>, the first statements offered by the defense were received.</w:t>
      </w:r>
      <w:r w:rsidR="0003391C" w:rsidRPr="00FE50A6">
        <w:rPr>
          <w:rStyle w:val="Refdenotaalpie"/>
          <w:rFonts w:cs="Arial"/>
          <w:lang w:val="en-US"/>
        </w:rPr>
        <w:footnoteReference w:id="159"/>
      </w:r>
    </w:p>
    <w:p w14:paraId="4A0FB3CC" w14:textId="77777777" w:rsidR="0003391C" w:rsidRPr="00FE50A6" w:rsidRDefault="0003391C" w:rsidP="00140440">
      <w:pPr>
        <w:pStyle w:val="Prrafodelista"/>
        <w:contextualSpacing w:val="0"/>
        <w:rPr>
          <w:rFonts w:cs="Arial"/>
          <w:szCs w:val="20"/>
          <w:lang w:val="en-US"/>
        </w:rPr>
      </w:pPr>
    </w:p>
    <w:p w14:paraId="57717126" w14:textId="77777777" w:rsidR="0003391C" w:rsidRPr="00FE50A6" w:rsidRDefault="002B4DE5"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t>On November 21,</w:t>
      </w:r>
      <w:r w:rsidR="0003391C" w:rsidRPr="00FE50A6">
        <w:rPr>
          <w:rFonts w:cs="Arial"/>
          <w:szCs w:val="20"/>
          <w:lang w:val="en-US"/>
        </w:rPr>
        <w:t xml:space="preserve"> 2003</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w:t>
      </w:r>
      <w:r w:rsidR="006B2842" w:rsidRPr="00FE50A6">
        <w:rPr>
          <w:rFonts w:cs="Arial"/>
          <w:szCs w:val="20"/>
          <w:lang w:val="en-US"/>
        </w:rPr>
        <w:t>Public Prosecution Service</w:t>
      </w:r>
      <w:r w:rsidR="00703850" w:rsidRPr="00FE50A6">
        <w:rPr>
          <w:rFonts w:cs="Arial"/>
          <w:szCs w:val="20"/>
          <w:lang w:val="en-US"/>
        </w:rPr>
        <w:t xml:space="preserve"> of the </w:t>
      </w:r>
      <w:r w:rsidR="008B65CD" w:rsidRPr="00FE50A6">
        <w:rPr>
          <w:rFonts w:cs="Arial"/>
          <w:szCs w:val="20"/>
          <w:lang w:val="en-US"/>
        </w:rPr>
        <w:t>state of Pará</w:t>
      </w:r>
      <w:r w:rsidR="0003391C" w:rsidRPr="00FE50A6">
        <w:rPr>
          <w:rFonts w:cs="Arial"/>
          <w:szCs w:val="20"/>
          <w:lang w:val="en-US"/>
        </w:rPr>
        <w:t xml:space="preserve"> present</w:t>
      </w:r>
      <w:r w:rsidRPr="00FE50A6">
        <w:rPr>
          <w:rFonts w:cs="Arial"/>
          <w:szCs w:val="20"/>
          <w:lang w:val="en-US"/>
        </w:rPr>
        <w:t xml:space="preserve">ed its final arguments, in which it asked that the </w:t>
      </w:r>
      <w:r w:rsidR="001876EE" w:rsidRPr="00FE50A6">
        <w:rPr>
          <w:rFonts w:cs="Arial"/>
          <w:szCs w:val="20"/>
          <w:lang w:val="en-US"/>
        </w:rPr>
        <w:t xml:space="preserve">charges </w:t>
      </w:r>
      <w:r w:rsidRPr="00FE50A6">
        <w:rPr>
          <w:rFonts w:cs="Arial"/>
          <w:szCs w:val="20"/>
          <w:lang w:val="en-US"/>
        </w:rPr>
        <w:t xml:space="preserve">against </w:t>
      </w:r>
      <w:r w:rsidR="0003391C" w:rsidRPr="00FE50A6">
        <w:rPr>
          <w:rFonts w:cs="Arial"/>
          <w:szCs w:val="20"/>
          <w:lang w:val="en-US"/>
        </w:rPr>
        <w:t>Raimundo Alves da Rocha</w:t>
      </w:r>
      <w:r w:rsidR="00030C17" w:rsidRPr="00FE50A6">
        <w:rPr>
          <w:rFonts w:cs="Arial"/>
          <w:szCs w:val="20"/>
          <w:lang w:val="en-US"/>
        </w:rPr>
        <w:t xml:space="preserve"> and </w:t>
      </w:r>
      <w:r w:rsidR="00D60654" w:rsidRPr="00FE50A6">
        <w:rPr>
          <w:rFonts w:cs="Arial"/>
          <w:szCs w:val="20"/>
          <w:lang w:val="en-US"/>
        </w:rPr>
        <w:t xml:space="preserve">Antônio </w:t>
      </w:r>
      <w:r w:rsidR="0003391C" w:rsidRPr="00FE50A6">
        <w:rPr>
          <w:rFonts w:cs="Arial"/>
          <w:szCs w:val="20"/>
          <w:lang w:val="en-US"/>
        </w:rPr>
        <w:t xml:space="preserve">Alves Vieira </w:t>
      </w:r>
      <w:r w:rsidRPr="00FE50A6">
        <w:rPr>
          <w:rFonts w:cs="Arial"/>
          <w:szCs w:val="20"/>
          <w:lang w:val="en-US"/>
        </w:rPr>
        <w:t xml:space="preserve">be considered inadmissible and that they </w:t>
      </w:r>
      <w:r w:rsidR="001876EE" w:rsidRPr="00FE50A6">
        <w:rPr>
          <w:rFonts w:cs="Arial"/>
          <w:szCs w:val="20"/>
          <w:lang w:val="en-US"/>
        </w:rPr>
        <w:t xml:space="preserve">be </w:t>
      </w:r>
      <w:r w:rsidRPr="00FE50A6">
        <w:rPr>
          <w:rFonts w:cs="Arial"/>
          <w:szCs w:val="20"/>
          <w:lang w:val="en-US"/>
        </w:rPr>
        <w:t>acquitted owing to the absence of sufficient evidence of their authorship.</w:t>
      </w:r>
      <w:r w:rsidR="0003391C" w:rsidRPr="00FE50A6">
        <w:rPr>
          <w:rStyle w:val="Refdenotaalpie"/>
          <w:rFonts w:cs="Arial"/>
          <w:lang w:val="en-US"/>
        </w:rPr>
        <w:footnoteReference w:id="160"/>
      </w:r>
      <w:r w:rsidR="0003391C" w:rsidRPr="00FE50A6">
        <w:rPr>
          <w:rFonts w:cs="Times New Roman"/>
          <w:szCs w:val="20"/>
          <w:lang w:val="en-US"/>
        </w:rPr>
        <w:t xml:space="preserve"> </w:t>
      </w:r>
    </w:p>
    <w:p w14:paraId="360EA90E" w14:textId="77777777" w:rsidR="00917270" w:rsidRPr="00FE50A6" w:rsidRDefault="00917270" w:rsidP="00140440">
      <w:pPr>
        <w:pStyle w:val="Prrafodelista"/>
        <w:autoSpaceDE w:val="0"/>
        <w:autoSpaceDN w:val="0"/>
        <w:adjustRightInd w:val="0"/>
        <w:ind w:left="0"/>
        <w:contextualSpacing w:val="0"/>
        <w:rPr>
          <w:rFonts w:cs="Times New Roman"/>
          <w:szCs w:val="20"/>
          <w:lang w:val="en-US"/>
        </w:rPr>
      </w:pPr>
    </w:p>
    <w:p w14:paraId="6B78474A" w14:textId="77777777" w:rsidR="0003391C" w:rsidRPr="00FE50A6" w:rsidRDefault="0003391C"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 </w:t>
      </w:r>
      <w:r w:rsidR="00015022" w:rsidRPr="00FE50A6">
        <w:rPr>
          <w:rFonts w:cs="Arial"/>
          <w:szCs w:val="20"/>
          <w:lang w:val="en-US"/>
        </w:rPr>
        <w:t>On November 8,</w:t>
      </w:r>
      <w:r w:rsidRPr="00FE50A6">
        <w:rPr>
          <w:rFonts w:cs="Arial"/>
          <w:szCs w:val="20"/>
          <w:lang w:val="en-US"/>
        </w:rPr>
        <w:t xml:space="preserve"> 2004</w:t>
      </w:r>
      <w:r w:rsidR="00015022" w:rsidRPr="00FE50A6">
        <w:rPr>
          <w:rFonts w:cs="Arial"/>
          <w:szCs w:val="20"/>
          <w:lang w:val="en-US"/>
        </w:rPr>
        <w:t>,</w:t>
      </w:r>
      <w:r w:rsidRPr="00FE50A6">
        <w:rPr>
          <w:rFonts w:cs="Arial"/>
          <w:szCs w:val="20"/>
          <w:lang w:val="en-US"/>
        </w:rPr>
        <w:t xml:space="preserve"> </w:t>
      </w:r>
      <w:r w:rsidR="00015022" w:rsidRPr="00FE50A6">
        <w:rPr>
          <w:rFonts w:cs="Arial"/>
          <w:szCs w:val="20"/>
          <w:lang w:val="en-US"/>
        </w:rPr>
        <w:t xml:space="preserve">the state judiciary declared that it did not have jurisdiction to hear the criminal proceedings, and this gave rise to </w:t>
      </w:r>
      <w:r w:rsidR="000652DA" w:rsidRPr="00FE50A6">
        <w:rPr>
          <w:rFonts w:cs="Arial"/>
          <w:szCs w:val="20"/>
          <w:lang w:val="en-US"/>
        </w:rPr>
        <w:t xml:space="preserve">a </w:t>
      </w:r>
      <w:r w:rsidR="00015022" w:rsidRPr="00FE50A6">
        <w:rPr>
          <w:rFonts w:cs="Arial"/>
          <w:szCs w:val="20"/>
          <w:lang w:val="en-US"/>
        </w:rPr>
        <w:t>conflict of competences.</w:t>
      </w:r>
      <w:r w:rsidRPr="00FE50A6">
        <w:rPr>
          <w:rStyle w:val="Refdenotaalpie"/>
          <w:rFonts w:cs="Arial"/>
          <w:lang w:val="en-US"/>
        </w:rPr>
        <w:footnoteReference w:id="161"/>
      </w:r>
      <w:r w:rsidR="00015022" w:rsidRPr="00FE50A6">
        <w:rPr>
          <w:rFonts w:cs="Arial"/>
          <w:szCs w:val="20"/>
          <w:lang w:val="en-US"/>
        </w:rPr>
        <w:t xml:space="preserve"> On September 26,</w:t>
      </w:r>
      <w:r w:rsidRPr="00FE50A6">
        <w:rPr>
          <w:rFonts w:cs="Arial"/>
          <w:szCs w:val="20"/>
          <w:lang w:val="en-US"/>
        </w:rPr>
        <w:t xml:space="preserve"> 2007</w:t>
      </w:r>
      <w:r w:rsidR="00015022" w:rsidRPr="00FE50A6">
        <w:rPr>
          <w:rFonts w:cs="Arial"/>
          <w:szCs w:val="20"/>
          <w:lang w:val="en-US"/>
        </w:rPr>
        <w:t>,</w:t>
      </w:r>
      <w:r w:rsidRPr="00FE50A6">
        <w:rPr>
          <w:rFonts w:cs="Arial"/>
          <w:szCs w:val="20"/>
          <w:lang w:val="en-US"/>
        </w:rPr>
        <w:t xml:space="preserve"> </w:t>
      </w:r>
      <w:r w:rsidR="00015022" w:rsidRPr="00FE50A6">
        <w:rPr>
          <w:rFonts w:cs="Arial"/>
          <w:szCs w:val="20"/>
          <w:lang w:val="en-US"/>
        </w:rPr>
        <w:t>the Third Section of the Superior Court of Justice</w:t>
      </w:r>
      <w:r w:rsidRPr="00FE50A6">
        <w:rPr>
          <w:rFonts w:cs="Arial"/>
          <w:szCs w:val="20"/>
          <w:lang w:val="en-US"/>
        </w:rPr>
        <w:t xml:space="preserve"> inform</w:t>
      </w:r>
      <w:r w:rsidR="00015022" w:rsidRPr="00FE50A6">
        <w:rPr>
          <w:rFonts w:cs="Arial"/>
          <w:szCs w:val="20"/>
          <w:lang w:val="en-US"/>
        </w:rPr>
        <w:t>ed the state judge that, having examined the conflict of competences in the case, it had decided that the competent jurisdiction was the federal jurisdiction.</w:t>
      </w:r>
      <w:r w:rsidRPr="00FE50A6">
        <w:rPr>
          <w:rStyle w:val="Refdenotaalpie"/>
          <w:rFonts w:cs="Arial"/>
          <w:lang w:val="en-US"/>
        </w:rPr>
        <w:footnoteReference w:id="162"/>
      </w:r>
      <w:r w:rsidRPr="00FE50A6">
        <w:rPr>
          <w:rFonts w:cs="Arial"/>
          <w:szCs w:val="20"/>
          <w:lang w:val="en-US"/>
        </w:rPr>
        <w:t xml:space="preserve"> </w:t>
      </w:r>
      <w:r w:rsidR="00015022" w:rsidRPr="00FE50A6">
        <w:rPr>
          <w:rFonts w:cs="Arial"/>
          <w:szCs w:val="20"/>
          <w:lang w:val="en-US"/>
        </w:rPr>
        <w:t>On December 11,</w:t>
      </w:r>
      <w:r w:rsidRPr="00FE50A6">
        <w:rPr>
          <w:rFonts w:cs="Arial"/>
          <w:szCs w:val="20"/>
          <w:lang w:val="en-US"/>
        </w:rPr>
        <w:t xml:space="preserve"> 2007</w:t>
      </w:r>
      <w:r w:rsidR="00015022" w:rsidRPr="00FE50A6">
        <w:rPr>
          <w:rFonts w:cs="Arial"/>
          <w:szCs w:val="20"/>
          <w:lang w:val="en-US"/>
        </w:rPr>
        <w:t>, the c</w:t>
      </w:r>
      <w:r w:rsidR="000652DA" w:rsidRPr="00FE50A6">
        <w:rPr>
          <w:rFonts w:cs="Arial"/>
          <w:szCs w:val="20"/>
          <w:lang w:val="en-US"/>
        </w:rPr>
        <w:t>a</w:t>
      </w:r>
      <w:r w:rsidR="00015022" w:rsidRPr="00FE50A6">
        <w:rPr>
          <w:rFonts w:cs="Arial"/>
          <w:szCs w:val="20"/>
          <w:lang w:val="en-US"/>
        </w:rPr>
        <w:t xml:space="preserve">se file was forwarded to the federal jurisdiction of </w:t>
      </w:r>
      <w:r w:rsidRPr="00FE50A6">
        <w:rPr>
          <w:rFonts w:cs="Arial"/>
          <w:szCs w:val="20"/>
          <w:lang w:val="en-US"/>
        </w:rPr>
        <w:t>Marabá, Pará</w:t>
      </w:r>
      <w:r w:rsidR="00015022" w:rsidRPr="00FE50A6">
        <w:rPr>
          <w:rFonts w:cs="Arial"/>
          <w:szCs w:val="20"/>
          <w:lang w:val="en-US"/>
        </w:rPr>
        <w:t>.</w:t>
      </w:r>
      <w:r w:rsidRPr="00FE50A6">
        <w:rPr>
          <w:rStyle w:val="Refdenotaalpie"/>
          <w:rFonts w:cs="Arial"/>
          <w:lang w:val="en-US"/>
        </w:rPr>
        <w:footnoteReference w:id="163"/>
      </w:r>
    </w:p>
    <w:p w14:paraId="0053CD7C"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29FEBB3B" w14:textId="77777777" w:rsidR="0003391C" w:rsidRPr="00FE50A6" w:rsidRDefault="00015022"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Having summoned Raimundo Alves da Rocha and Antônio Alves Vieira to appear before the court on several occasions in 2008, and since they had failed to come forward, on July 3,</w:t>
      </w:r>
      <w:r w:rsidR="0003391C" w:rsidRPr="00FE50A6">
        <w:rPr>
          <w:rFonts w:cs="Arial"/>
          <w:szCs w:val="20"/>
          <w:lang w:val="en-US"/>
        </w:rPr>
        <w:t xml:space="preserve"> 2008</w:t>
      </w:r>
      <w:r w:rsidRPr="00FE50A6">
        <w:rPr>
          <w:rFonts w:cs="Arial"/>
          <w:szCs w:val="20"/>
          <w:lang w:val="en-US"/>
        </w:rPr>
        <w:t xml:space="preserve">, the judge established a </w:t>
      </w:r>
      <w:r w:rsidR="0097377C" w:rsidRPr="00FE50A6">
        <w:rPr>
          <w:rFonts w:cs="Arial"/>
          <w:szCs w:val="20"/>
          <w:lang w:val="en-US"/>
        </w:rPr>
        <w:t xml:space="preserve">time </w:t>
      </w:r>
      <w:r w:rsidRPr="00FE50A6">
        <w:rPr>
          <w:rFonts w:cs="Arial"/>
          <w:szCs w:val="20"/>
          <w:lang w:val="en-US"/>
        </w:rPr>
        <w:t>limit for the parties to submit their final arguments.</w:t>
      </w:r>
      <w:r w:rsidR="0003391C" w:rsidRPr="00FE50A6">
        <w:rPr>
          <w:rStyle w:val="Refdenotaalpie"/>
          <w:rFonts w:cs="Arial"/>
          <w:lang w:val="en-US"/>
        </w:rPr>
        <w:footnoteReference w:id="164"/>
      </w:r>
      <w:r w:rsidR="0003391C" w:rsidRPr="00FE50A6">
        <w:rPr>
          <w:rFonts w:cs="Arial"/>
          <w:szCs w:val="20"/>
          <w:lang w:val="en-US"/>
        </w:rPr>
        <w:t xml:space="preserve"> </w:t>
      </w:r>
      <w:r w:rsidRPr="00FE50A6">
        <w:rPr>
          <w:rFonts w:cs="Arial"/>
          <w:szCs w:val="20"/>
          <w:lang w:val="en-US"/>
        </w:rPr>
        <w:t xml:space="preserve">On July 10, </w:t>
      </w:r>
      <w:r w:rsidR="0003391C" w:rsidRPr="00FE50A6">
        <w:rPr>
          <w:rFonts w:cs="Arial"/>
          <w:szCs w:val="20"/>
          <w:lang w:val="en-US"/>
        </w:rPr>
        <w:t>2008</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w:t>
      </w:r>
      <w:r w:rsidR="00DC398B" w:rsidRPr="00FE50A6">
        <w:rPr>
          <w:rFonts w:cs="Arial"/>
          <w:szCs w:val="20"/>
          <w:lang w:val="en-US"/>
        </w:rPr>
        <w:t>Federal Public Prosecution Service</w:t>
      </w:r>
      <w:r w:rsidR="0003391C" w:rsidRPr="00FE50A6">
        <w:rPr>
          <w:rFonts w:cs="Arial"/>
          <w:szCs w:val="20"/>
          <w:lang w:val="en-US"/>
        </w:rPr>
        <w:t xml:space="preserve"> present</w:t>
      </w:r>
      <w:r w:rsidRPr="00FE50A6">
        <w:rPr>
          <w:rFonts w:cs="Arial"/>
          <w:szCs w:val="20"/>
          <w:lang w:val="en-US"/>
        </w:rPr>
        <w:t xml:space="preserve">ed its final arguments in which it asked that the court order the </w:t>
      </w:r>
      <w:r w:rsidR="0097377C" w:rsidRPr="00FE50A6">
        <w:rPr>
          <w:rFonts w:cs="Arial"/>
          <w:szCs w:val="20"/>
          <w:lang w:val="en-US"/>
        </w:rPr>
        <w:t>termination</w:t>
      </w:r>
      <w:r w:rsidRPr="00FE50A6">
        <w:rPr>
          <w:rFonts w:cs="Arial"/>
          <w:szCs w:val="20"/>
          <w:lang w:val="en-US"/>
        </w:rPr>
        <w:t xml:space="preserve"> of the criminal </w:t>
      </w:r>
      <w:r w:rsidRPr="00FE50A6">
        <w:rPr>
          <w:rFonts w:cs="Arial"/>
          <w:szCs w:val="20"/>
          <w:lang w:val="en-US"/>
        </w:rPr>
        <w:lastRenderedPageBreak/>
        <w:t xml:space="preserve">proceedings against </w:t>
      </w:r>
      <w:r w:rsidR="0003391C" w:rsidRPr="00FE50A6">
        <w:rPr>
          <w:rFonts w:cs="Arial"/>
          <w:szCs w:val="20"/>
          <w:lang w:val="en-US"/>
        </w:rPr>
        <w:t>Raimundo Alves da Rocha</w:t>
      </w:r>
      <w:r w:rsidR="00030C17" w:rsidRPr="00FE50A6">
        <w:rPr>
          <w:rFonts w:cs="Arial"/>
          <w:szCs w:val="20"/>
          <w:lang w:val="en-US"/>
        </w:rPr>
        <w:t xml:space="preserve"> and </w:t>
      </w:r>
      <w:r w:rsidR="00D60654" w:rsidRPr="00FE50A6">
        <w:rPr>
          <w:rFonts w:cs="Arial"/>
          <w:szCs w:val="20"/>
          <w:lang w:val="en-US"/>
        </w:rPr>
        <w:t xml:space="preserve">Antônio </w:t>
      </w:r>
      <w:r w:rsidR="0003391C" w:rsidRPr="00FE50A6">
        <w:rPr>
          <w:rFonts w:cs="Arial"/>
          <w:szCs w:val="20"/>
          <w:lang w:val="en-US"/>
        </w:rPr>
        <w:t>Alves Vieira</w:t>
      </w:r>
      <w:r w:rsidRPr="00FE50A6">
        <w:rPr>
          <w:rFonts w:cs="Arial"/>
          <w:szCs w:val="20"/>
          <w:lang w:val="en-US"/>
        </w:rPr>
        <w:t>.</w:t>
      </w:r>
      <w:r w:rsidR="0003391C" w:rsidRPr="00FE50A6">
        <w:rPr>
          <w:rStyle w:val="Refdenotaalpie"/>
          <w:rFonts w:cs="Arial"/>
          <w:lang w:val="en-US"/>
        </w:rPr>
        <w:footnoteReference w:id="165"/>
      </w:r>
      <w:r w:rsidRPr="00FE50A6">
        <w:rPr>
          <w:rFonts w:cs="Arial"/>
          <w:szCs w:val="20"/>
          <w:lang w:val="en-US"/>
        </w:rPr>
        <w:t xml:space="preserve"> In this regard, it set out the following considerations:</w:t>
      </w:r>
    </w:p>
    <w:p w14:paraId="2C618E38" w14:textId="77777777" w:rsidR="0003391C" w:rsidRPr="00FE50A6" w:rsidRDefault="0003391C" w:rsidP="00140440">
      <w:pPr>
        <w:autoSpaceDE w:val="0"/>
        <w:autoSpaceDN w:val="0"/>
        <w:adjustRightInd w:val="0"/>
        <w:jc w:val="both"/>
        <w:rPr>
          <w:rFonts w:cs="Arial"/>
          <w:szCs w:val="20"/>
          <w:lang w:val="en-US"/>
        </w:rPr>
      </w:pPr>
    </w:p>
    <w:p w14:paraId="3599BCA8" w14:textId="77777777" w:rsidR="00015022"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xml:space="preserve">] </w:t>
      </w:r>
      <w:r w:rsidR="00015022" w:rsidRPr="00FE50A6">
        <w:rPr>
          <w:rFonts w:cs="Arial"/>
          <w:sz w:val="16"/>
          <w:szCs w:val="20"/>
          <w:lang w:val="en-US"/>
        </w:rPr>
        <w:t>the inspection report of the</w:t>
      </w:r>
      <w:r w:rsidRPr="00FE50A6">
        <w:rPr>
          <w:rFonts w:cs="Arial"/>
          <w:sz w:val="16"/>
          <w:szCs w:val="20"/>
          <w:lang w:val="en-US"/>
        </w:rPr>
        <w:t xml:space="preserve"> </w:t>
      </w:r>
      <w:r w:rsidR="0081756E" w:rsidRPr="00FE50A6">
        <w:rPr>
          <w:rFonts w:cs="Arial"/>
          <w:sz w:val="16"/>
          <w:szCs w:val="20"/>
          <w:lang w:val="en-US"/>
        </w:rPr>
        <w:t>Ministry of Labor</w:t>
      </w:r>
      <w:r w:rsidRPr="00FE50A6">
        <w:rPr>
          <w:rFonts w:cs="Arial"/>
          <w:sz w:val="16"/>
          <w:szCs w:val="20"/>
          <w:lang w:val="en-US"/>
        </w:rPr>
        <w:t xml:space="preserve"> </w:t>
      </w:r>
      <w:r w:rsidR="00015022" w:rsidRPr="00FE50A6">
        <w:rPr>
          <w:rFonts w:cs="Arial"/>
          <w:sz w:val="16"/>
          <w:szCs w:val="20"/>
          <w:lang w:val="en-US"/>
        </w:rPr>
        <w:t xml:space="preserve">describes the harsh conditions experienced by the </w:t>
      </w:r>
      <w:r w:rsidR="00030C17" w:rsidRPr="00FE50A6">
        <w:rPr>
          <w:rFonts w:cs="Arial"/>
          <w:sz w:val="16"/>
          <w:szCs w:val="20"/>
          <w:lang w:val="en-US"/>
        </w:rPr>
        <w:t xml:space="preserve">Hacienda </w:t>
      </w:r>
      <w:r w:rsidR="00322241" w:rsidRPr="00FE50A6">
        <w:rPr>
          <w:rFonts w:cs="Arial"/>
          <w:sz w:val="16"/>
          <w:szCs w:val="20"/>
          <w:lang w:val="en-US"/>
        </w:rPr>
        <w:t>Brasil Verde</w:t>
      </w:r>
      <w:r w:rsidR="00030C17" w:rsidRPr="00FE50A6">
        <w:rPr>
          <w:rFonts w:cs="Arial"/>
          <w:sz w:val="16"/>
          <w:szCs w:val="20"/>
          <w:lang w:val="en-US"/>
        </w:rPr>
        <w:t xml:space="preserve"> </w:t>
      </w:r>
      <w:r w:rsidR="00015022" w:rsidRPr="00FE50A6">
        <w:rPr>
          <w:rFonts w:cs="Arial"/>
          <w:sz w:val="16"/>
          <w:szCs w:val="20"/>
          <w:lang w:val="en-US"/>
        </w:rPr>
        <w:t>w</w:t>
      </w:r>
      <w:r w:rsidR="00030C17" w:rsidRPr="00FE50A6">
        <w:rPr>
          <w:rFonts w:cs="Arial"/>
          <w:sz w:val="16"/>
          <w:szCs w:val="20"/>
          <w:lang w:val="en-US"/>
        </w:rPr>
        <w:t>orkers</w:t>
      </w:r>
      <w:r w:rsidRPr="00FE50A6">
        <w:rPr>
          <w:rFonts w:cs="Arial"/>
          <w:iCs/>
          <w:sz w:val="16"/>
          <w:szCs w:val="20"/>
          <w:lang w:val="en-US"/>
        </w:rPr>
        <w:t>,</w:t>
      </w:r>
      <w:r w:rsidRPr="00FE50A6">
        <w:rPr>
          <w:rFonts w:cs="Arial"/>
          <w:i/>
          <w:iCs/>
          <w:sz w:val="16"/>
          <w:szCs w:val="20"/>
          <w:lang w:val="en-US"/>
        </w:rPr>
        <w:t xml:space="preserve"> </w:t>
      </w:r>
      <w:r w:rsidR="00015022" w:rsidRPr="00FE50A6">
        <w:rPr>
          <w:rFonts w:cs="Arial"/>
          <w:sz w:val="16"/>
          <w:szCs w:val="20"/>
          <w:lang w:val="en-US"/>
        </w:rPr>
        <w:t>with no potable w</w:t>
      </w:r>
      <w:r w:rsidR="0097377C" w:rsidRPr="00FE50A6">
        <w:rPr>
          <w:rFonts w:cs="Arial"/>
          <w:sz w:val="16"/>
          <w:szCs w:val="20"/>
          <w:lang w:val="en-US"/>
        </w:rPr>
        <w:t>a</w:t>
      </w:r>
      <w:r w:rsidR="00015022" w:rsidRPr="00FE50A6">
        <w:rPr>
          <w:rFonts w:cs="Arial"/>
          <w:sz w:val="16"/>
          <w:szCs w:val="20"/>
          <w:lang w:val="en-US"/>
        </w:rPr>
        <w:t>ter, sleeping in huts covered with plastic and straw, with dirt floors, and without sanitary facilities, without individual safety equipment, without any protection against inclement weather. In addition, it verified the practice of violation, by fraud, of rights protected by the labor laws.</w:t>
      </w:r>
    </w:p>
    <w:p w14:paraId="65E7495A" w14:textId="77777777" w:rsidR="0003391C" w:rsidRPr="00FE50A6" w:rsidRDefault="0003391C" w:rsidP="00140440">
      <w:pPr>
        <w:autoSpaceDE w:val="0"/>
        <w:autoSpaceDN w:val="0"/>
        <w:adjustRightInd w:val="0"/>
        <w:ind w:left="720" w:right="720"/>
        <w:jc w:val="both"/>
        <w:rPr>
          <w:rFonts w:cs="Arial"/>
          <w:sz w:val="16"/>
          <w:szCs w:val="20"/>
          <w:lang w:val="en-US"/>
        </w:rPr>
      </w:pPr>
    </w:p>
    <w:p w14:paraId="74F5F71B"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xml:space="preserve">] </w:t>
      </w:r>
      <w:r w:rsidR="00015022" w:rsidRPr="00FE50A6">
        <w:rPr>
          <w:rFonts w:cs="Arial"/>
          <w:sz w:val="16"/>
          <w:szCs w:val="20"/>
          <w:lang w:val="en-US"/>
        </w:rPr>
        <w:t>sufficient evidence exists of the authorship of the practice of the offenses of reduction to a condition similar to that of slavery</w:t>
      </w:r>
      <w:r w:rsidR="00861D40" w:rsidRPr="00FE50A6">
        <w:rPr>
          <w:rFonts w:cs="Arial"/>
          <w:sz w:val="16"/>
          <w:szCs w:val="20"/>
          <w:lang w:val="en-US"/>
        </w:rPr>
        <w:t xml:space="preserve"> </w:t>
      </w:r>
      <w:r w:rsidRPr="00FE50A6">
        <w:rPr>
          <w:rFonts w:cs="Arial"/>
          <w:sz w:val="16"/>
          <w:szCs w:val="20"/>
          <w:lang w:val="en-US"/>
        </w:rPr>
        <w:t xml:space="preserve">(art. </w:t>
      </w:r>
      <w:r w:rsidRPr="00FE50A6">
        <w:rPr>
          <w:rFonts w:cs="Times New Roman"/>
          <w:sz w:val="16"/>
          <w:szCs w:val="20"/>
          <w:lang w:val="en-US"/>
        </w:rPr>
        <w:t>149</w:t>
      </w:r>
      <w:r w:rsidR="00861D40" w:rsidRPr="00FE50A6">
        <w:rPr>
          <w:rFonts w:cs="Times New Roman"/>
          <w:sz w:val="16"/>
          <w:szCs w:val="20"/>
          <w:lang w:val="en-US"/>
        </w:rPr>
        <w:t xml:space="preserve">, </w:t>
      </w:r>
      <w:r w:rsidR="00861D40" w:rsidRPr="00FE50A6">
        <w:rPr>
          <w:rFonts w:cs="Times New Roman"/>
          <w:i/>
          <w:sz w:val="16"/>
          <w:szCs w:val="20"/>
          <w:lang w:val="en-US"/>
        </w:rPr>
        <w:t>caput</w:t>
      </w:r>
      <w:r w:rsidRPr="00FE50A6">
        <w:rPr>
          <w:rFonts w:cs="Arial"/>
          <w:sz w:val="16"/>
          <w:szCs w:val="20"/>
          <w:lang w:val="en-US"/>
        </w:rPr>
        <w:t xml:space="preserve">), </w:t>
      </w:r>
      <w:r w:rsidR="00216F2D" w:rsidRPr="00FE50A6">
        <w:rPr>
          <w:rFonts w:cs="Arial"/>
          <w:sz w:val="16"/>
          <w:szCs w:val="20"/>
          <w:lang w:val="en-US"/>
        </w:rPr>
        <w:t>violation of</w:t>
      </w:r>
      <w:r w:rsidR="00015022" w:rsidRPr="00FE50A6">
        <w:rPr>
          <w:rFonts w:cs="Arial"/>
          <w:sz w:val="16"/>
          <w:szCs w:val="20"/>
          <w:lang w:val="en-US"/>
        </w:rPr>
        <w:t xml:space="preserve"> freedom of work </w:t>
      </w:r>
      <w:r w:rsidRPr="00FE50A6">
        <w:rPr>
          <w:rFonts w:cs="Arial"/>
          <w:sz w:val="16"/>
          <w:szCs w:val="20"/>
          <w:lang w:val="en-US"/>
        </w:rPr>
        <w:t xml:space="preserve">(art. </w:t>
      </w:r>
      <w:r w:rsidRPr="00FE50A6">
        <w:rPr>
          <w:rFonts w:cs="Times New Roman"/>
          <w:sz w:val="16"/>
          <w:szCs w:val="20"/>
          <w:lang w:val="en-US"/>
        </w:rPr>
        <w:t>197.1)</w:t>
      </w:r>
      <w:r w:rsidR="00030C17" w:rsidRPr="00FE50A6">
        <w:rPr>
          <w:rFonts w:cs="Times New Roman"/>
          <w:sz w:val="16"/>
          <w:szCs w:val="20"/>
          <w:lang w:val="en-US"/>
        </w:rPr>
        <w:t xml:space="preserve"> and </w:t>
      </w:r>
      <w:r w:rsidR="00015022" w:rsidRPr="00FE50A6">
        <w:rPr>
          <w:rFonts w:cs="Times New Roman"/>
          <w:sz w:val="16"/>
          <w:szCs w:val="20"/>
          <w:lang w:val="en-US"/>
        </w:rPr>
        <w:t xml:space="preserve">illegal recruitment of workers from one part of national territory to another </w:t>
      </w:r>
      <w:r w:rsidRPr="00FE50A6">
        <w:rPr>
          <w:rFonts w:cs="Arial"/>
          <w:sz w:val="16"/>
          <w:szCs w:val="20"/>
          <w:lang w:val="en-US"/>
        </w:rPr>
        <w:t xml:space="preserve">(art. </w:t>
      </w:r>
      <w:r w:rsidRPr="00FE50A6">
        <w:rPr>
          <w:rFonts w:cs="Times New Roman"/>
          <w:sz w:val="16"/>
          <w:szCs w:val="20"/>
          <w:lang w:val="en-US"/>
        </w:rPr>
        <w:t>207)</w:t>
      </w:r>
      <w:r w:rsidRPr="00FE50A6">
        <w:rPr>
          <w:rFonts w:cs="Arial"/>
          <w:sz w:val="16"/>
          <w:szCs w:val="20"/>
          <w:lang w:val="en-US"/>
        </w:rPr>
        <w:t xml:space="preserve"> </w:t>
      </w:r>
      <w:r w:rsidR="00015022" w:rsidRPr="00FE50A6">
        <w:rPr>
          <w:rFonts w:cs="Arial"/>
          <w:sz w:val="16"/>
          <w:szCs w:val="20"/>
          <w:lang w:val="en-US"/>
        </w:rPr>
        <w:t>by debt bondage.</w:t>
      </w:r>
    </w:p>
    <w:p w14:paraId="1B15B8DA" w14:textId="77777777" w:rsidR="0003391C" w:rsidRPr="00FE50A6" w:rsidRDefault="0003391C" w:rsidP="00140440">
      <w:pPr>
        <w:autoSpaceDE w:val="0"/>
        <w:autoSpaceDN w:val="0"/>
        <w:adjustRightInd w:val="0"/>
        <w:ind w:left="720" w:right="720"/>
        <w:jc w:val="both"/>
        <w:rPr>
          <w:rFonts w:cs="Arial"/>
          <w:sz w:val="16"/>
          <w:szCs w:val="20"/>
          <w:lang w:val="en-US"/>
        </w:rPr>
      </w:pPr>
    </w:p>
    <w:p w14:paraId="2B61485B" w14:textId="77777777" w:rsidR="0003391C" w:rsidRPr="00FE50A6" w:rsidRDefault="0003391C" w:rsidP="00140440">
      <w:pPr>
        <w:autoSpaceDE w:val="0"/>
        <w:autoSpaceDN w:val="0"/>
        <w:adjustRightInd w:val="0"/>
        <w:ind w:left="720" w:right="720"/>
        <w:jc w:val="both"/>
        <w:rPr>
          <w:rFonts w:cs="Arial"/>
          <w:sz w:val="16"/>
          <w:szCs w:val="20"/>
          <w:lang w:val="en-US"/>
        </w:rPr>
      </w:pPr>
      <w:r w:rsidRPr="00FE50A6">
        <w:rPr>
          <w:rFonts w:cs="Arial"/>
          <w:sz w:val="16"/>
          <w:szCs w:val="20"/>
          <w:lang w:val="en-US"/>
        </w:rPr>
        <w:t>[</w:t>
      </w:r>
      <w:r w:rsidR="008B21C8" w:rsidRPr="00FE50A6">
        <w:rPr>
          <w:rFonts w:cs="Arial"/>
          <w:sz w:val="16"/>
          <w:szCs w:val="20"/>
          <w:lang w:val="en-US"/>
        </w:rPr>
        <w:t>…</w:t>
      </w:r>
      <w:r w:rsidRPr="00FE50A6">
        <w:rPr>
          <w:rFonts w:cs="Arial"/>
          <w:sz w:val="16"/>
          <w:szCs w:val="20"/>
          <w:lang w:val="en-US"/>
        </w:rPr>
        <w:t xml:space="preserve">] </w:t>
      </w:r>
      <w:r w:rsidR="00015022" w:rsidRPr="00FE50A6">
        <w:rPr>
          <w:rFonts w:cs="Arial"/>
          <w:sz w:val="16"/>
          <w:szCs w:val="20"/>
          <w:lang w:val="en-US"/>
        </w:rPr>
        <w:t>despite verification of the authorship and perpetration of the criminal acts, unfortunately, the offenses described in a</w:t>
      </w:r>
      <w:r w:rsidR="000228D0" w:rsidRPr="00FE50A6">
        <w:rPr>
          <w:rFonts w:cs="Arial"/>
          <w:sz w:val="16"/>
          <w:szCs w:val="20"/>
          <w:lang w:val="en-US"/>
        </w:rPr>
        <w:t>rticles</w:t>
      </w:r>
      <w:r w:rsidRPr="00FE50A6">
        <w:rPr>
          <w:rFonts w:cs="Arial"/>
          <w:sz w:val="16"/>
          <w:szCs w:val="20"/>
          <w:lang w:val="en-US"/>
        </w:rPr>
        <w:t xml:space="preserve"> </w:t>
      </w:r>
      <w:r w:rsidRPr="00FE50A6">
        <w:rPr>
          <w:rFonts w:cs="Times New Roman"/>
          <w:sz w:val="16"/>
          <w:szCs w:val="20"/>
          <w:lang w:val="en-US"/>
        </w:rPr>
        <w:t>197.</w:t>
      </w:r>
      <w:r w:rsidRPr="00FE50A6">
        <w:rPr>
          <w:rFonts w:cs="Arial"/>
          <w:sz w:val="16"/>
          <w:szCs w:val="20"/>
          <w:lang w:val="en-US"/>
        </w:rPr>
        <w:t>1</w:t>
      </w:r>
      <w:r w:rsidR="00030C17" w:rsidRPr="00FE50A6">
        <w:rPr>
          <w:rFonts w:cs="Arial"/>
          <w:sz w:val="16"/>
          <w:szCs w:val="20"/>
          <w:lang w:val="en-US"/>
        </w:rPr>
        <w:t xml:space="preserve"> and </w:t>
      </w:r>
      <w:r w:rsidRPr="00FE50A6">
        <w:rPr>
          <w:rFonts w:cs="Times New Roman"/>
          <w:sz w:val="16"/>
          <w:szCs w:val="20"/>
          <w:lang w:val="en-US"/>
        </w:rPr>
        <w:t xml:space="preserve">207 </w:t>
      </w:r>
      <w:r w:rsidR="00015022" w:rsidRPr="00FE50A6">
        <w:rPr>
          <w:rFonts w:cs="Times New Roman"/>
          <w:sz w:val="16"/>
          <w:szCs w:val="20"/>
          <w:lang w:val="en-US"/>
        </w:rPr>
        <w:t xml:space="preserve">of the Penal Code are already subject to the statute of limitations, considering that the facts were verified </w:t>
      </w:r>
      <w:r w:rsidR="0097377C" w:rsidRPr="00FE50A6">
        <w:rPr>
          <w:rFonts w:cs="Times New Roman"/>
          <w:sz w:val="16"/>
          <w:szCs w:val="20"/>
          <w:lang w:val="en-US"/>
        </w:rPr>
        <w:t>between</w:t>
      </w:r>
      <w:r w:rsidR="00015022" w:rsidRPr="00FE50A6">
        <w:rPr>
          <w:rFonts w:cs="Times New Roman"/>
          <w:sz w:val="16"/>
          <w:szCs w:val="20"/>
          <w:lang w:val="en-US"/>
        </w:rPr>
        <w:t xml:space="preserve"> April 21 </w:t>
      </w:r>
      <w:r w:rsidR="0097377C" w:rsidRPr="00FE50A6">
        <w:rPr>
          <w:rFonts w:cs="Times New Roman"/>
          <w:sz w:val="16"/>
          <w:szCs w:val="20"/>
          <w:lang w:val="en-US"/>
        </w:rPr>
        <w:t>and</w:t>
      </w:r>
      <w:r w:rsidR="00015022" w:rsidRPr="00FE50A6">
        <w:rPr>
          <w:rFonts w:cs="Times New Roman"/>
          <w:sz w:val="16"/>
          <w:szCs w:val="20"/>
          <w:lang w:val="en-US"/>
        </w:rPr>
        <w:t xml:space="preserve"> 30, 1997, and the maximum penalty for the respective offenses is from one to three years. Consequently, the state criminal action has prescribed based</w:t>
      </w:r>
      <w:r w:rsidR="00F8114C" w:rsidRPr="00FE50A6">
        <w:rPr>
          <w:rFonts w:cs="Times New Roman"/>
          <w:sz w:val="16"/>
          <w:szCs w:val="20"/>
          <w:lang w:val="en-US"/>
        </w:rPr>
        <w:t xml:space="preserve"> </w:t>
      </w:r>
      <w:r w:rsidR="00015022" w:rsidRPr="00FE50A6">
        <w:rPr>
          <w:rFonts w:cs="Times New Roman"/>
          <w:sz w:val="16"/>
          <w:szCs w:val="20"/>
          <w:lang w:val="en-US"/>
        </w:rPr>
        <w:t xml:space="preserve">on article </w:t>
      </w:r>
      <w:r w:rsidRPr="00FE50A6">
        <w:rPr>
          <w:rFonts w:cs="Times New Roman"/>
          <w:sz w:val="16"/>
          <w:szCs w:val="20"/>
          <w:lang w:val="en-US"/>
        </w:rPr>
        <w:t xml:space="preserve">109, </w:t>
      </w:r>
      <w:r w:rsidRPr="00FE50A6">
        <w:rPr>
          <w:rFonts w:cs="Arial"/>
          <w:sz w:val="16"/>
          <w:szCs w:val="20"/>
          <w:lang w:val="en-US"/>
        </w:rPr>
        <w:t xml:space="preserve">VI </w:t>
      </w:r>
      <w:r w:rsidR="00015022" w:rsidRPr="00FE50A6">
        <w:rPr>
          <w:rFonts w:cs="Arial"/>
          <w:sz w:val="16"/>
          <w:szCs w:val="20"/>
          <w:lang w:val="en-US"/>
        </w:rPr>
        <w:t>of the</w:t>
      </w:r>
      <w:r w:rsidRPr="00FE50A6">
        <w:rPr>
          <w:rFonts w:cs="Arial"/>
          <w:sz w:val="16"/>
          <w:szCs w:val="20"/>
          <w:lang w:val="en-US"/>
        </w:rPr>
        <w:t xml:space="preserve"> </w:t>
      </w:r>
      <w:r w:rsidR="0097377C" w:rsidRPr="00FE50A6">
        <w:rPr>
          <w:rFonts w:cs="Arial"/>
          <w:sz w:val="16"/>
          <w:szCs w:val="20"/>
          <w:lang w:val="en-US"/>
        </w:rPr>
        <w:t>Brazilian Penal Code</w:t>
      </w:r>
      <w:r w:rsidRPr="00FE50A6">
        <w:rPr>
          <w:rFonts w:cs="Arial"/>
          <w:sz w:val="16"/>
          <w:szCs w:val="20"/>
          <w:lang w:val="en-US"/>
        </w:rPr>
        <w:t>.</w:t>
      </w:r>
    </w:p>
    <w:p w14:paraId="4E2197A3" w14:textId="77777777" w:rsidR="0003391C" w:rsidRPr="00FE50A6" w:rsidRDefault="0003391C" w:rsidP="00140440">
      <w:pPr>
        <w:autoSpaceDE w:val="0"/>
        <w:autoSpaceDN w:val="0"/>
        <w:adjustRightInd w:val="0"/>
        <w:ind w:left="720" w:right="720"/>
        <w:jc w:val="both"/>
        <w:rPr>
          <w:rFonts w:cs="Arial"/>
          <w:sz w:val="16"/>
          <w:szCs w:val="20"/>
          <w:lang w:val="en-US"/>
        </w:rPr>
      </w:pPr>
    </w:p>
    <w:p w14:paraId="79C3141D" w14:textId="77777777" w:rsidR="0003391C" w:rsidRPr="00FE50A6" w:rsidRDefault="00015022" w:rsidP="00F8114C">
      <w:pPr>
        <w:autoSpaceDE w:val="0"/>
        <w:autoSpaceDN w:val="0"/>
        <w:adjustRightInd w:val="0"/>
        <w:ind w:left="720" w:right="720"/>
        <w:jc w:val="both"/>
        <w:rPr>
          <w:rFonts w:cs="Times New Roman"/>
          <w:sz w:val="16"/>
          <w:szCs w:val="20"/>
          <w:lang w:val="en-US"/>
        </w:rPr>
      </w:pPr>
      <w:r w:rsidRPr="00FE50A6">
        <w:rPr>
          <w:rFonts w:cs="Arial"/>
          <w:sz w:val="16"/>
          <w:szCs w:val="20"/>
          <w:lang w:val="en-US"/>
        </w:rPr>
        <w:t>Regarding the offense described in a</w:t>
      </w:r>
      <w:r w:rsidR="000228D0" w:rsidRPr="00FE50A6">
        <w:rPr>
          <w:rFonts w:cs="Arial"/>
          <w:sz w:val="16"/>
          <w:szCs w:val="20"/>
          <w:lang w:val="en-US"/>
        </w:rPr>
        <w:t>rticle</w:t>
      </w:r>
      <w:r w:rsidR="0003391C" w:rsidRPr="00FE50A6">
        <w:rPr>
          <w:rFonts w:cs="Arial"/>
          <w:sz w:val="16"/>
          <w:szCs w:val="20"/>
          <w:lang w:val="en-US"/>
        </w:rPr>
        <w:t xml:space="preserve"> </w:t>
      </w:r>
      <w:r w:rsidR="0003391C" w:rsidRPr="00FE50A6">
        <w:rPr>
          <w:rFonts w:cs="Times New Roman"/>
          <w:sz w:val="16"/>
          <w:szCs w:val="20"/>
          <w:lang w:val="en-US"/>
        </w:rPr>
        <w:t xml:space="preserve">149 </w:t>
      </w:r>
      <w:r w:rsidRPr="00FE50A6">
        <w:rPr>
          <w:rFonts w:cs="Times New Roman"/>
          <w:sz w:val="16"/>
          <w:szCs w:val="20"/>
          <w:lang w:val="en-US"/>
        </w:rPr>
        <w:t xml:space="preserve">of the Penal Code, </w:t>
      </w:r>
      <w:r w:rsidR="00F8114C" w:rsidRPr="00FE50A6">
        <w:rPr>
          <w:rFonts w:cs="Times New Roman"/>
          <w:sz w:val="16"/>
          <w:szCs w:val="20"/>
          <w:lang w:val="en-US"/>
        </w:rPr>
        <w:t>al</w:t>
      </w:r>
      <w:r w:rsidRPr="00FE50A6">
        <w:rPr>
          <w:rFonts w:cs="Times New Roman"/>
          <w:sz w:val="16"/>
          <w:szCs w:val="20"/>
          <w:lang w:val="en-US"/>
        </w:rPr>
        <w:t xml:space="preserve">though the maximum penalty would end in April 2009, taking into account that this </w:t>
      </w:r>
      <w:r w:rsidR="00F8114C" w:rsidRPr="00FE50A6">
        <w:rPr>
          <w:rFonts w:cs="Times New Roman"/>
          <w:sz w:val="16"/>
          <w:szCs w:val="20"/>
          <w:lang w:val="en-US"/>
        </w:rPr>
        <w:t xml:space="preserve">executive body was unable to </w:t>
      </w:r>
      <w:r w:rsidR="00773CAB" w:rsidRPr="00FE50A6">
        <w:rPr>
          <w:rFonts w:cs="Times New Roman"/>
          <w:sz w:val="16"/>
          <w:szCs w:val="20"/>
          <w:lang w:val="en-US"/>
        </w:rPr>
        <w:t>find</w:t>
      </w:r>
      <w:r w:rsidR="00F8114C" w:rsidRPr="00FE50A6">
        <w:rPr>
          <w:rFonts w:cs="Times New Roman"/>
          <w:sz w:val="16"/>
          <w:szCs w:val="20"/>
          <w:lang w:val="en-US"/>
        </w:rPr>
        <w:t xml:space="preserve"> further elements that would sufficiently increase the eventual penalty</w:t>
      </w:r>
      <w:r w:rsidR="00773CAB" w:rsidRPr="00FE50A6">
        <w:rPr>
          <w:rFonts w:cs="Times New Roman"/>
          <w:sz w:val="16"/>
          <w:szCs w:val="20"/>
          <w:lang w:val="en-US"/>
        </w:rPr>
        <w:t xml:space="preserve"> to be applied, </w:t>
      </w:r>
      <w:r w:rsidR="00F8114C" w:rsidRPr="00FE50A6">
        <w:rPr>
          <w:rFonts w:cs="Times New Roman"/>
          <w:sz w:val="16"/>
          <w:szCs w:val="20"/>
          <w:lang w:val="en-US"/>
        </w:rPr>
        <w:t>it must conclude that, in view of the possible penalty, the statute of limitations applies.</w:t>
      </w:r>
      <w:r w:rsidR="0003391C" w:rsidRPr="00FE50A6">
        <w:rPr>
          <w:rStyle w:val="Refdenotaalpie"/>
          <w:rFonts w:cs="Arial"/>
          <w:sz w:val="16"/>
          <w:lang w:val="en-US"/>
        </w:rPr>
        <w:footnoteReference w:id="166"/>
      </w:r>
    </w:p>
    <w:p w14:paraId="4BE79CD0" w14:textId="77777777" w:rsidR="0003391C" w:rsidRPr="00FE50A6" w:rsidRDefault="0003391C" w:rsidP="00140440">
      <w:pPr>
        <w:autoSpaceDE w:val="0"/>
        <w:autoSpaceDN w:val="0"/>
        <w:adjustRightInd w:val="0"/>
        <w:jc w:val="both"/>
        <w:rPr>
          <w:rFonts w:cs="Arial"/>
          <w:szCs w:val="20"/>
          <w:lang w:val="en-US"/>
        </w:rPr>
      </w:pPr>
    </w:p>
    <w:p w14:paraId="0F77B035" w14:textId="77777777" w:rsidR="0003391C" w:rsidRPr="00FE50A6" w:rsidRDefault="0003391C" w:rsidP="00F8114C">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 </w:t>
      </w:r>
      <w:r w:rsidR="00015022" w:rsidRPr="00FE50A6">
        <w:rPr>
          <w:rFonts w:cs="Arial"/>
          <w:szCs w:val="20"/>
          <w:lang w:val="en-US"/>
        </w:rPr>
        <w:t>On July 10,</w:t>
      </w:r>
      <w:r w:rsidRPr="00FE50A6">
        <w:rPr>
          <w:rFonts w:cs="Arial"/>
          <w:szCs w:val="20"/>
          <w:lang w:val="en-US"/>
        </w:rPr>
        <w:t xml:space="preserve"> 2008</w:t>
      </w:r>
      <w:r w:rsidR="00F8114C" w:rsidRPr="00FE50A6">
        <w:rPr>
          <w:rFonts w:cs="Arial"/>
          <w:szCs w:val="20"/>
          <w:lang w:val="en-US"/>
        </w:rPr>
        <w:t xml:space="preserve">, in his ruling, the federal judge of the Pará Section declared that the criminal action had </w:t>
      </w:r>
      <w:r w:rsidR="00D91814" w:rsidRPr="00FE50A6">
        <w:rPr>
          <w:rFonts w:cs="Arial"/>
          <w:szCs w:val="20"/>
          <w:lang w:val="en-US"/>
        </w:rPr>
        <w:t>terminated</w:t>
      </w:r>
      <w:r w:rsidR="00F8114C" w:rsidRPr="00FE50A6">
        <w:rPr>
          <w:rFonts w:cs="Arial"/>
          <w:szCs w:val="20"/>
          <w:lang w:val="en-US"/>
        </w:rPr>
        <w:t xml:space="preserve"> with regard to </w:t>
      </w:r>
      <w:r w:rsidR="00736356" w:rsidRPr="00FE50A6">
        <w:rPr>
          <w:rFonts w:cs="Arial"/>
          <w:szCs w:val="20"/>
          <w:lang w:val="en-US"/>
        </w:rPr>
        <w:t>Raimundo Alves da Rocha</w:t>
      </w:r>
      <w:r w:rsidR="00030C17" w:rsidRPr="00FE50A6">
        <w:rPr>
          <w:rFonts w:cs="Arial"/>
          <w:szCs w:val="20"/>
          <w:lang w:val="en-US"/>
        </w:rPr>
        <w:t xml:space="preserve"> and </w:t>
      </w:r>
      <w:r w:rsidR="00D60654" w:rsidRPr="00FE50A6">
        <w:rPr>
          <w:rFonts w:cs="Arial"/>
          <w:szCs w:val="20"/>
          <w:lang w:val="en-US"/>
        </w:rPr>
        <w:t xml:space="preserve">Antônio </w:t>
      </w:r>
      <w:r w:rsidR="00736356" w:rsidRPr="00FE50A6">
        <w:rPr>
          <w:rFonts w:cs="Arial"/>
          <w:szCs w:val="20"/>
          <w:lang w:val="en-US"/>
        </w:rPr>
        <w:t>Alves Vieira</w:t>
      </w:r>
      <w:r w:rsidR="00FC7F27" w:rsidRPr="00FE50A6">
        <w:rPr>
          <w:rFonts w:cs="Arial"/>
          <w:szCs w:val="20"/>
          <w:lang w:val="en-US"/>
        </w:rPr>
        <w:t>,</w:t>
      </w:r>
      <w:r w:rsidRPr="00FE50A6">
        <w:rPr>
          <w:rFonts w:cs="Arial"/>
          <w:szCs w:val="20"/>
          <w:lang w:val="en-US"/>
        </w:rPr>
        <w:t xml:space="preserve"> </w:t>
      </w:r>
      <w:r w:rsidR="00F8114C" w:rsidRPr="00FE50A6">
        <w:rPr>
          <w:rFonts w:cs="Arial"/>
          <w:szCs w:val="20"/>
          <w:lang w:val="en-US"/>
        </w:rPr>
        <w:t>taking into account that more than 10 years had passed since the complaint had been filed, that the maximum penalty that could be applied was 8 years, and that the penalty prescribed in 12 years</w:t>
      </w:r>
      <w:r w:rsidR="00D91814" w:rsidRPr="00FE50A6">
        <w:rPr>
          <w:rFonts w:cs="Arial"/>
          <w:szCs w:val="20"/>
          <w:lang w:val="en-US"/>
        </w:rPr>
        <w:t>; also</w:t>
      </w:r>
      <w:r w:rsidR="00F8114C" w:rsidRPr="00FE50A6">
        <w:rPr>
          <w:rFonts w:cs="Arial"/>
          <w:szCs w:val="20"/>
          <w:lang w:val="en-US"/>
        </w:rPr>
        <w:t xml:space="preserve"> that only if they had been sentenced to the maximum penalty would prescription not be in order.</w:t>
      </w:r>
      <w:r w:rsidRPr="00FE50A6">
        <w:rPr>
          <w:rStyle w:val="Refdenotaalpie"/>
          <w:rFonts w:cs="Arial"/>
          <w:lang w:val="en-US"/>
        </w:rPr>
        <w:footnoteReference w:id="167"/>
      </w:r>
      <w:r w:rsidRPr="00FE50A6">
        <w:rPr>
          <w:rFonts w:cs="Arial"/>
          <w:szCs w:val="20"/>
          <w:lang w:val="en-US"/>
        </w:rPr>
        <w:t xml:space="preserve"> </w:t>
      </w:r>
      <w:r w:rsidR="00F8114C" w:rsidRPr="00FE50A6">
        <w:rPr>
          <w:rFonts w:cs="Arial"/>
          <w:szCs w:val="20"/>
          <w:lang w:val="en-US"/>
        </w:rPr>
        <w:t xml:space="preserve">The judge stated that </w:t>
      </w:r>
      <w:r w:rsidR="00D91814" w:rsidRPr="00FE50A6">
        <w:rPr>
          <w:rFonts w:cs="Arial"/>
          <w:szCs w:val="20"/>
          <w:lang w:val="en-US"/>
        </w:rPr>
        <w:t xml:space="preserve">it </w:t>
      </w:r>
      <w:r w:rsidR="00F8114C" w:rsidRPr="00FE50A6">
        <w:rPr>
          <w:rFonts w:cs="Arial"/>
          <w:szCs w:val="20"/>
          <w:lang w:val="en-US"/>
        </w:rPr>
        <w:t>was “fairly improbable” that they would be sentenced to this penalty, so that prescription was “inevitable.” He considered that the probative elements produced during the criminal proceedings were “</w:t>
      </w:r>
      <w:r w:rsidR="00D91814" w:rsidRPr="00FE50A6">
        <w:rPr>
          <w:rFonts w:cs="Arial"/>
          <w:szCs w:val="20"/>
          <w:lang w:val="en-US"/>
        </w:rPr>
        <w:t>meaning</w:t>
      </w:r>
      <w:r w:rsidR="00F8114C" w:rsidRPr="00FE50A6">
        <w:rPr>
          <w:rFonts w:cs="Arial"/>
          <w:szCs w:val="20"/>
          <w:lang w:val="en-US"/>
        </w:rPr>
        <w:t>less.” Based on the foregoing, and on the lack of action by the state, criminal policy, and procedural economy, the judge decided to declare the criminal proceedings extinct.</w:t>
      </w:r>
      <w:r w:rsidRPr="00FE50A6">
        <w:rPr>
          <w:rStyle w:val="Refdenotaalpie"/>
          <w:rFonts w:cs="Arial"/>
          <w:bCs/>
          <w:lang w:val="en-US"/>
        </w:rPr>
        <w:footnoteReference w:id="168"/>
      </w:r>
    </w:p>
    <w:p w14:paraId="7DAF9028" w14:textId="77777777" w:rsidR="0003391C" w:rsidRPr="00FE50A6" w:rsidRDefault="0003391C" w:rsidP="00140440">
      <w:pPr>
        <w:pStyle w:val="Prrafodelista"/>
        <w:autoSpaceDE w:val="0"/>
        <w:autoSpaceDN w:val="0"/>
        <w:adjustRightInd w:val="0"/>
        <w:ind w:left="0"/>
        <w:contextualSpacing w:val="0"/>
        <w:rPr>
          <w:rFonts w:cs="Arial"/>
          <w:bCs/>
          <w:szCs w:val="20"/>
          <w:lang w:val="en-US"/>
        </w:rPr>
      </w:pPr>
    </w:p>
    <w:p w14:paraId="533A437E" w14:textId="77777777" w:rsidR="0003391C" w:rsidRPr="00FE50A6" w:rsidRDefault="006E2220" w:rsidP="008622F3">
      <w:pPr>
        <w:pStyle w:val="Ttulo3"/>
        <w:rPr>
          <w:lang w:val="en-US"/>
        </w:rPr>
      </w:pPr>
      <w:bookmarkStart w:id="257" w:name="_Toc460433015"/>
      <w:bookmarkStart w:id="258" w:name="_Toc460441946"/>
      <w:bookmarkStart w:id="259" w:name="_Toc462750764"/>
      <w:bookmarkStart w:id="260" w:name="_Toc462751088"/>
      <w:bookmarkStart w:id="261" w:name="_Toc464813940"/>
      <w:r w:rsidRPr="00FE50A6">
        <w:rPr>
          <w:lang w:val="en-US"/>
        </w:rPr>
        <w:t>B</w:t>
      </w:r>
      <w:r w:rsidR="004E708F" w:rsidRPr="00FE50A6">
        <w:rPr>
          <w:lang w:val="en-US"/>
        </w:rPr>
        <w:t>.</w:t>
      </w:r>
      <w:r w:rsidR="008622F3" w:rsidRPr="00FE50A6">
        <w:rPr>
          <w:lang w:val="en-US"/>
        </w:rPr>
        <w:t>2</w:t>
      </w:r>
      <w:r w:rsidR="00DC2886" w:rsidRPr="00FE50A6">
        <w:rPr>
          <w:lang w:val="en-US"/>
        </w:rPr>
        <w:t>.</w:t>
      </w:r>
      <w:r w:rsidR="0003391C" w:rsidRPr="00FE50A6">
        <w:rPr>
          <w:lang w:val="en-US"/>
        </w:rPr>
        <w:t xml:space="preserve"> </w:t>
      </w:r>
      <w:r w:rsidR="00F8114C" w:rsidRPr="00FE50A6">
        <w:rPr>
          <w:lang w:val="en-US"/>
        </w:rPr>
        <w:t>Continuation of the procedure conducted by the</w:t>
      </w:r>
      <w:r w:rsidR="0003391C" w:rsidRPr="00FE50A6">
        <w:rPr>
          <w:lang w:val="en-US"/>
        </w:rPr>
        <w:t xml:space="preserve"> </w:t>
      </w:r>
      <w:r w:rsidR="0081756E" w:rsidRPr="00FE50A6">
        <w:rPr>
          <w:lang w:val="en-US"/>
        </w:rPr>
        <w:t>Ministry of Labor</w:t>
      </w:r>
      <w:r w:rsidR="0003391C" w:rsidRPr="00FE50A6">
        <w:rPr>
          <w:lang w:val="en-US"/>
        </w:rPr>
        <w:t xml:space="preserve"> </w:t>
      </w:r>
      <w:r w:rsidR="00F8114C" w:rsidRPr="00FE50A6">
        <w:rPr>
          <w:lang w:val="en-US"/>
        </w:rPr>
        <w:t>in relation to a second visit in</w:t>
      </w:r>
      <w:r w:rsidR="0003391C" w:rsidRPr="00FE50A6">
        <w:rPr>
          <w:lang w:val="en-US"/>
        </w:rPr>
        <w:t xml:space="preserve"> 1997</w:t>
      </w:r>
      <w:bookmarkEnd w:id="257"/>
      <w:bookmarkEnd w:id="258"/>
      <w:bookmarkEnd w:id="259"/>
      <w:bookmarkEnd w:id="260"/>
      <w:bookmarkEnd w:id="261"/>
    </w:p>
    <w:p w14:paraId="7D3C2770" w14:textId="77777777" w:rsidR="0003391C" w:rsidRPr="00FE50A6" w:rsidRDefault="0003391C" w:rsidP="00140440">
      <w:pPr>
        <w:autoSpaceDE w:val="0"/>
        <w:autoSpaceDN w:val="0"/>
        <w:adjustRightInd w:val="0"/>
        <w:jc w:val="both"/>
        <w:rPr>
          <w:rFonts w:cs="Arial"/>
          <w:iCs/>
          <w:szCs w:val="20"/>
          <w:lang w:val="en-US"/>
        </w:rPr>
      </w:pPr>
    </w:p>
    <w:p w14:paraId="07C1FEC2" w14:textId="77777777" w:rsidR="0003391C" w:rsidRPr="00FE50A6" w:rsidRDefault="00F8114C" w:rsidP="00140440">
      <w:pPr>
        <w:pStyle w:val="Prrafodelista"/>
        <w:numPr>
          <w:ilvl w:val="0"/>
          <w:numId w:val="1"/>
        </w:numPr>
        <w:autoSpaceDE w:val="0"/>
        <w:autoSpaceDN w:val="0"/>
        <w:adjustRightInd w:val="0"/>
        <w:contextualSpacing w:val="0"/>
        <w:rPr>
          <w:rFonts w:cs="Times New Roman"/>
          <w:szCs w:val="20"/>
          <w:lang w:val="en-US"/>
        </w:rPr>
      </w:pPr>
      <w:r w:rsidRPr="00FE50A6">
        <w:rPr>
          <w:rFonts w:cs="Arial"/>
          <w:szCs w:val="20"/>
          <w:lang w:val="en-US"/>
        </w:rPr>
        <w:t>On October 13,</w:t>
      </w:r>
      <w:r w:rsidR="0003391C" w:rsidRPr="00FE50A6">
        <w:rPr>
          <w:rFonts w:cs="Arial"/>
          <w:szCs w:val="20"/>
          <w:lang w:val="en-US"/>
        </w:rPr>
        <w:t xml:space="preserve"> 1998</w:t>
      </w:r>
      <w:r w:rsidRPr="00FE50A6">
        <w:rPr>
          <w:rFonts w:cs="Arial"/>
          <w:szCs w:val="20"/>
          <w:lang w:val="en-US"/>
        </w:rPr>
        <w:t>, the</w:t>
      </w:r>
      <w:r w:rsidR="0003391C" w:rsidRPr="00FE50A6">
        <w:rPr>
          <w:rFonts w:cs="Arial"/>
          <w:szCs w:val="20"/>
          <w:lang w:val="en-US"/>
        </w:rPr>
        <w:t xml:space="preserve"> </w:t>
      </w:r>
      <w:r w:rsidRPr="00FE50A6">
        <w:rPr>
          <w:rFonts w:cs="Arial"/>
          <w:szCs w:val="20"/>
          <w:lang w:val="en-US"/>
        </w:rPr>
        <w:t xml:space="preserve">Labor </w:t>
      </w:r>
      <w:r w:rsidR="00D91814" w:rsidRPr="00FE50A6">
        <w:rPr>
          <w:rFonts w:cs="Arial"/>
          <w:szCs w:val="20"/>
          <w:lang w:val="en-US"/>
        </w:rPr>
        <w:t xml:space="preserve">Public </w:t>
      </w:r>
      <w:r w:rsidRPr="00FE50A6">
        <w:rPr>
          <w:rFonts w:cs="Arial"/>
          <w:szCs w:val="20"/>
          <w:lang w:val="en-US"/>
        </w:rPr>
        <w:t>Prosecutor</w:t>
      </w:r>
      <w:r w:rsidR="0003391C" w:rsidRPr="00FE50A6">
        <w:rPr>
          <w:rFonts w:cs="Arial"/>
          <w:szCs w:val="20"/>
          <w:lang w:val="en-US"/>
        </w:rPr>
        <w:t xml:space="preserve"> </w:t>
      </w:r>
      <w:r w:rsidRPr="00FE50A6">
        <w:rPr>
          <w:rFonts w:cs="Arial"/>
          <w:szCs w:val="20"/>
          <w:lang w:val="en-US"/>
        </w:rPr>
        <w:t>asked</w:t>
      </w:r>
      <w:r w:rsidR="0003391C" w:rsidRPr="00FE50A6">
        <w:rPr>
          <w:rFonts w:cs="Arial"/>
          <w:szCs w:val="20"/>
          <w:lang w:val="en-US"/>
        </w:rPr>
        <w:t xml:space="preserve"> </w:t>
      </w:r>
      <w:r w:rsidR="002E76F4" w:rsidRPr="00FE50A6">
        <w:rPr>
          <w:rFonts w:cs="Arial"/>
          <w:szCs w:val="20"/>
          <w:lang w:val="en-US"/>
        </w:rPr>
        <w:t xml:space="preserve">the </w:t>
      </w:r>
      <w:r w:rsidRPr="00FE50A6">
        <w:rPr>
          <w:rFonts w:cs="Arial"/>
          <w:szCs w:val="20"/>
          <w:lang w:val="en-US"/>
        </w:rPr>
        <w:t xml:space="preserve">Pará </w:t>
      </w:r>
      <w:r w:rsidR="002E76F4" w:rsidRPr="00FE50A6">
        <w:rPr>
          <w:rFonts w:cs="Arial"/>
          <w:szCs w:val="20"/>
          <w:lang w:val="en-US"/>
        </w:rPr>
        <w:t>Regional Labor Delegation</w:t>
      </w:r>
      <w:r w:rsidR="0003391C" w:rsidRPr="00FE50A6">
        <w:rPr>
          <w:rFonts w:cs="Arial"/>
          <w:szCs w:val="20"/>
          <w:lang w:val="en-US"/>
        </w:rPr>
        <w:t xml:space="preserve"> </w:t>
      </w:r>
      <w:r w:rsidRPr="00FE50A6">
        <w:rPr>
          <w:rFonts w:cs="Arial"/>
          <w:szCs w:val="20"/>
          <w:lang w:val="en-US"/>
        </w:rPr>
        <w:t xml:space="preserve">to conduct a further inspection </w:t>
      </w:r>
      <w:r w:rsidR="00D91814" w:rsidRPr="00FE50A6">
        <w:rPr>
          <w:rFonts w:cs="Arial"/>
          <w:szCs w:val="20"/>
          <w:lang w:val="en-US"/>
        </w:rPr>
        <w:t>in</w:t>
      </w:r>
      <w:r w:rsidRPr="00FE50A6">
        <w:rPr>
          <w:rFonts w:cs="Arial"/>
          <w:szCs w:val="20"/>
          <w:lang w:val="en-US"/>
        </w:rPr>
        <w:t xml:space="preserve"> the hacienda owing to the time that had passed since the last one.</w:t>
      </w:r>
      <w:r w:rsidR="0003391C" w:rsidRPr="00FE50A6">
        <w:rPr>
          <w:rStyle w:val="Refdenotaalpie"/>
          <w:rFonts w:cs="Arial"/>
          <w:lang w:val="en-US"/>
        </w:rPr>
        <w:footnoteReference w:id="169"/>
      </w:r>
      <w:r w:rsidR="0003391C" w:rsidRPr="00FE50A6">
        <w:rPr>
          <w:rFonts w:cs="Times New Roman"/>
          <w:szCs w:val="20"/>
          <w:lang w:val="en-US"/>
        </w:rPr>
        <w:t xml:space="preserve"> </w:t>
      </w:r>
      <w:r w:rsidRPr="00FE50A6">
        <w:rPr>
          <w:rFonts w:cs="Arial"/>
          <w:szCs w:val="20"/>
          <w:lang w:val="en-US"/>
        </w:rPr>
        <w:t>On February 8,</w:t>
      </w:r>
      <w:r w:rsidR="0003391C" w:rsidRPr="00FE50A6">
        <w:rPr>
          <w:rFonts w:cs="Arial"/>
          <w:szCs w:val="20"/>
          <w:lang w:val="en-US"/>
        </w:rPr>
        <w:t xml:space="preserve"> 1999</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w:t>
      </w:r>
      <w:r w:rsidR="0003391C" w:rsidRPr="00FE50A6">
        <w:rPr>
          <w:rFonts w:cs="Arial"/>
          <w:szCs w:val="20"/>
          <w:lang w:val="en-US"/>
        </w:rPr>
        <w:t xml:space="preserve"> </w:t>
      </w:r>
      <w:r w:rsidRPr="00FE50A6">
        <w:rPr>
          <w:rFonts w:cs="Arial"/>
          <w:szCs w:val="20"/>
          <w:lang w:val="en-US"/>
        </w:rPr>
        <w:t xml:space="preserve">Pará </w:t>
      </w:r>
      <w:r w:rsidR="00D91814" w:rsidRPr="00FE50A6">
        <w:rPr>
          <w:rFonts w:cs="Arial"/>
          <w:szCs w:val="20"/>
          <w:lang w:val="en-US"/>
        </w:rPr>
        <w:t>Regional Labor Delegation</w:t>
      </w:r>
      <w:r w:rsidR="0003391C" w:rsidRPr="00FE50A6">
        <w:rPr>
          <w:rFonts w:cs="Arial"/>
          <w:szCs w:val="20"/>
          <w:lang w:val="en-US"/>
        </w:rPr>
        <w:t xml:space="preserve"> </w:t>
      </w:r>
      <w:r w:rsidRPr="00FE50A6">
        <w:rPr>
          <w:rFonts w:cs="Arial"/>
          <w:szCs w:val="20"/>
          <w:lang w:val="en-US"/>
        </w:rPr>
        <w:t>advised that it had not carried out the inspection due to lack of financial resources.</w:t>
      </w:r>
      <w:r w:rsidR="0003391C" w:rsidRPr="00FE50A6">
        <w:rPr>
          <w:rStyle w:val="Refdenotaalpie"/>
          <w:rFonts w:cs="Arial"/>
          <w:lang w:val="en-US"/>
        </w:rPr>
        <w:footnoteReference w:id="170"/>
      </w:r>
      <w:r w:rsidR="0003391C" w:rsidRPr="00FE50A6">
        <w:rPr>
          <w:rFonts w:cs="Arial"/>
          <w:szCs w:val="20"/>
          <w:lang w:val="en-US"/>
        </w:rPr>
        <w:t xml:space="preserve"> </w:t>
      </w:r>
      <w:r w:rsidRPr="00FE50A6">
        <w:rPr>
          <w:rFonts w:cs="Arial"/>
          <w:szCs w:val="20"/>
          <w:lang w:val="en-US"/>
        </w:rPr>
        <w:t>On June 15,</w:t>
      </w:r>
      <w:r w:rsidR="0003391C" w:rsidRPr="00FE50A6">
        <w:rPr>
          <w:rFonts w:cs="Arial"/>
          <w:szCs w:val="20"/>
          <w:lang w:val="en-US"/>
        </w:rPr>
        <w:t xml:space="preserve"> 1999</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 Prosecutor repeated the request.</w:t>
      </w:r>
      <w:r w:rsidR="0003391C" w:rsidRPr="00FE50A6">
        <w:rPr>
          <w:rStyle w:val="Refdenotaalpie"/>
          <w:rFonts w:cs="Arial"/>
          <w:lang w:val="en-US"/>
        </w:rPr>
        <w:footnoteReference w:id="171"/>
      </w:r>
    </w:p>
    <w:p w14:paraId="385710C0" w14:textId="77777777" w:rsidR="0003391C" w:rsidRPr="00FE50A6" w:rsidRDefault="0003391C" w:rsidP="00140440">
      <w:pPr>
        <w:pStyle w:val="Prrafodelista"/>
        <w:contextualSpacing w:val="0"/>
        <w:rPr>
          <w:rFonts w:cs="Times New Roman"/>
          <w:szCs w:val="20"/>
          <w:lang w:val="en-US"/>
        </w:rPr>
      </w:pPr>
    </w:p>
    <w:p w14:paraId="7F2A5908" w14:textId="77777777" w:rsidR="0003391C" w:rsidRPr="00FE50A6" w:rsidRDefault="00F8114C" w:rsidP="00140440">
      <w:pPr>
        <w:pStyle w:val="Prrafodelista"/>
        <w:numPr>
          <w:ilvl w:val="0"/>
          <w:numId w:val="1"/>
        </w:numPr>
        <w:autoSpaceDE w:val="0"/>
        <w:autoSpaceDN w:val="0"/>
        <w:adjustRightInd w:val="0"/>
        <w:contextualSpacing w:val="0"/>
        <w:rPr>
          <w:rFonts w:cs="Arial"/>
          <w:i/>
          <w:iCs/>
          <w:szCs w:val="20"/>
          <w:lang w:val="en-US"/>
        </w:rPr>
      </w:pPr>
      <w:r w:rsidRPr="00FE50A6">
        <w:rPr>
          <w:rFonts w:cs="Arial"/>
          <w:szCs w:val="20"/>
          <w:lang w:val="en-US"/>
        </w:rPr>
        <w:lastRenderedPageBreak/>
        <w:t>On January 15,</w:t>
      </w:r>
      <w:r w:rsidR="0003391C" w:rsidRPr="00FE50A6">
        <w:rPr>
          <w:rFonts w:cs="Arial"/>
          <w:szCs w:val="20"/>
          <w:lang w:val="en-US"/>
        </w:rPr>
        <w:t xml:space="preserve"> 1999</w:t>
      </w:r>
      <w:r w:rsidRPr="00FE50A6">
        <w:rPr>
          <w:rFonts w:cs="Arial"/>
          <w:szCs w:val="20"/>
          <w:lang w:val="en-US"/>
        </w:rPr>
        <w:t xml:space="preserve">, the Labor </w:t>
      </w:r>
      <w:r w:rsidR="00D91814" w:rsidRPr="00FE50A6">
        <w:rPr>
          <w:rFonts w:cs="Arial"/>
          <w:szCs w:val="20"/>
          <w:lang w:val="en-US"/>
        </w:rPr>
        <w:t xml:space="preserve">Public </w:t>
      </w:r>
      <w:r w:rsidRPr="00FE50A6">
        <w:rPr>
          <w:rFonts w:cs="Arial"/>
          <w:szCs w:val="20"/>
          <w:lang w:val="en-US"/>
        </w:rPr>
        <w:t>Prosecutor recommended to the owner of</w:t>
      </w:r>
      <w:r w:rsidR="0003391C" w:rsidRPr="00FE50A6">
        <w:rPr>
          <w:rFonts w:cs="Arial"/>
          <w:szCs w:val="20"/>
          <w:lang w:val="en-US"/>
        </w:rPr>
        <w:t xml:space="preserve"> Hacienda </w:t>
      </w:r>
      <w:r w:rsidR="00322241" w:rsidRPr="00FE50A6">
        <w:rPr>
          <w:rFonts w:cs="Arial"/>
          <w:szCs w:val="20"/>
          <w:lang w:val="en-US"/>
        </w:rPr>
        <w:t>Brasil Verde</w:t>
      </w:r>
      <w:r w:rsidR="0003391C" w:rsidRPr="00FE50A6">
        <w:rPr>
          <w:rFonts w:cs="Arial"/>
          <w:szCs w:val="20"/>
          <w:lang w:val="en-US"/>
        </w:rPr>
        <w:t xml:space="preserve"> </w:t>
      </w:r>
      <w:r w:rsidRPr="00FE50A6">
        <w:rPr>
          <w:rFonts w:cs="Arial"/>
          <w:szCs w:val="20"/>
          <w:lang w:val="en-US"/>
        </w:rPr>
        <w:t>that he abstain from the practice of charging for footwear “at the risk of judicial measures being taken” in this regard.</w:t>
      </w:r>
      <w:r w:rsidR="0003391C" w:rsidRPr="00FE50A6">
        <w:rPr>
          <w:rStyle w:val="Refdenotaalpie"/>
          <w:rFonts w:cs="Arial"/>
          <w:lang w:val="en-US"/>
        </w:rPr>
        <w:footnoteReference w:id="172"/>
      </w:r>
      <w:r w:rsidR="0003391C" w:rsidRPr="00FE50A6">
        <w:rPr>
          <w:rFonts w:cs="Arial"/>
          <w:szCs w:val="20"/>
          <w:lang w:val="en-US"/>
        </w:rPr>
        <w:t xml:space="preserve"> </w:t>
      </w:r>
    </w:p>
    <w:p w14:paraId="16A68C75" w14:textId="77777777" w:rsidR="0003391C" w:rsidRPr="00FE50A6" w:rsidRDefault="0003391C" w:rsidP="00140440">
      <w:pPr>
        <w:pStyle w:val="Prrafodelista"/>
        <w:autoSpaceDE w:val="0"/>
        <w:autoSpaceDN w:val="0"/>
        <w:adjustRightInd w:val="0"/>
        <w:ind w:left="0"/>
        <w:contextualSpacing w:val="0"/>
        <w:rPr>
          <w:rFonts w:cs="Times New Roman"/>
          <w:szCs w:val="20"/>
          <w:lang w:val="en-US"/>
        </w:rPr>
      </w:pPr>
    </w:p>
    <w:p w14:paraId="0E67246C" w14:textId="77777777" w:rsidR="004766BC" w:rsidRPr="00FE50A6" w:rsidRDefault="006E2220" w:rsidP="008622F3">
      <w:pPr>
        <w:pStyle w:val="Ttulo3"/>
        <w:rPr>
          <w:lang w:val="en-US"/>
        </w:rPr>
      </w:pPr>
      <w:bookmarkStart w:id="262" w:name="_Toc460433016"/>
      <w:bookmarkStart w:id="263" w:name="_Toc460441947"/>
      <w:bookmarkStart w:id="264" w:name="_Toc462750765"/>
      <w:bookmarkStart w:id="265" w:name="_Toc462751089"/>
      <w:bookmarkStart w:id="266" w:name="_Toc464813941"/>
      <w:r w:rsidRPr="00FE50A6">
        <w:rPr>
          <w:lang w:val="en-US"/>
        </w:rPr>
        <w:t>B</w:t>
      </w:r>
      <w:r w:rsidR="004766BC" w:rsidRPr="00FE50A6">
        <w:rPr>
          <w:lang w:val="en-US"/>
        </w:rPr>
        <w:t>.</w:t>
      </w:r>
      <w:r w:rsidR="004B71B2" w:rsidRPr="00FE50A6">
        <w:rPr>
          <w:lang w:val="en-US"/>
        </w:rPr>
        <w:t>3</w:t>
      </w:r>
      <w:r w:rsidR="00DC2886" w:rsidRPr="00FE50A6">
        <w:rPr>
          <w:lang w:val="en-US"/>
        </w:rPr>
        <w:t>.</w:t>
      </w:r>
      <w:r w:rsidR="004766BC" w:rsidRPr="00FE50A6">
        <w:rPr>
          <w:lang w:val="en-US"/>
        </w:rPr>
        <w:t xml:space="preserve"> </w:t>
      </w:r>
      <w:r w:rsidR="00F8114C" w:rsidRPr="00FE50A6">
        <w:rPr>
          <w:lang w:val="en-US"/>
        </w:rPr>
        <w:t xml:space="preserve">The visit to </w:t>
      </w:r>
      <w:r w:rsidR="004766BC" w:rsidRPr="00FE50A6">
        <w:rPr>
          <w:lang w:val="en-US"/>
        </w:rPr>
        <w:t xml:space="preserve">Hacienda </w:t>
      </w:r>
      <w:r w:rsidR="00322241" w:rsidRPr="00FE50A6">
        <w:rPr>
          <w:lang w:val="en-US"/>
        </w:rPr>
        <w:t>Brasil Verde</w:t>
      </w:r>
      <w:r w:rsidR="004766BC" w:rsidRPr="00FE50A6">
        <w:rPr>
          <w:lang w:val="en-US"/>
        </w:rPr>
        <w:t xml:space="preserve"> </w:t>
      </w:r>
      <w:r w:rsidR="00F8114C" w:rsidRPr="00FE50A6">
        <w:rPr>
          <w:lang w:val="en-US"/>
        </w:rPr>
        <w:t>i</w:t>
      </w:r>
      <w:r w:rsidR="004766BC" w:rsidRPr="00FE50A6">
        <w:rPr>
          <w:lang w:val="en-US"/>
        </w:rPr>
        <w:t>n 2000</w:t>
      </w:r>
      <w:bookmarkEnd w:id="262"/>
      <w:bookmarkEnd w:id="263"/>
      <w:bookmarkEnd w:id="264"/>
      <w:bookmarkEnd w:id="265"/>
      <w:bookmarkEnd w:id="266"/>
      <w:r w:rsidR="004766BC" w:rsidRPr="00FE50A6">
        <w:rPr>
          <w:lang w:val="en-US"/>
        </w:rPr>
        <w:t xml:space="preserve"> </w:t>
      </w:r>
    </w:p>
    <w:p w14:paraId="25ECF464" w14:textId="77777777" w:rsidR="004766BC" w:rsidRPr="00FE50A6" w:rsidRDefault="004766BC" w:rsidP="004766BC">
      <w:pPr>
        <w:autoSpaceDE w:val="0"/>
        <w:autoSpaceDN w:val="0"/>
        <w:adjustRightInd w:val="0"/>
        <w:jc w:val="both"/>
        <w:rPr>
          <w:rFonts w:cs="Arial"/>
          <w:szCs w:val="20"/>
          <w:lang w:val="en-US"/>
        </w:rPr>
      </w:pPr>
    </w:p>
    <w:p w14:paraId="0E6859CD" w14:textId="77777777" w:rsidR="004766BC" w:rsidRPr="00FE50A6" w:rsidRDefault="004766BC" w:rsidP="004766BC">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 </w:t>
      </w:r>
      <w:r w:rsidR="00F8114C" w:rsidRPr="00FE50A6">
        <w:rPr>
          <w:lang w:val="en-US"/>
        </w:rPr>
        <w:t>In February</w:t>
      </w:r>
      <w:r w:rsidRPr="00FE50A6">
        <w:rPr>
          <w:lang w:val="en-US"/>
        </w:rPr>
        <w:t xml:space="preserve"> 2000, </w:t>
      </w:r>
      <w:r w:rsidR="00F8114C" w:rsidRPr="00FE50A6">
        <w:rPr>
          <w:lang w:val="en-US"/>
        </w:rPr>
        <w:t>the</w:t>
      </w:r>
      <w:r w:rsidR="00DB1C1D" w:rsidRPr="00FE50A6">
        <w:rPr>
          <w:i/>
          <w:lang w:val="en-US"/>
        </w:rPr>
        <w:t xml:space="preserve"> gato </w:t>
      </w:r>
      <w:r w:rsidR="00F8114C" w:rsidRPr="00FE50A6">
        <w:rPr>
          <w:lang w:val="en-US"/>
        </w:rPr>
        <w:t>known as</w:t>
      </w:r>
      <w:r w:rsidRPr="00FE50A6">
        <w:rPr>
          <w:lang w:val="en-US"/>
        </w:rPr>
        <w:t xml:space="preserve"> </w:t>
      </w:r>
      <w:r w:rsidR="009C48A4" w:rsidRPr="00FE50A6">
        <w:rPr>
          <w:lang w:val="en-US"/>
        </w:rPr>
        <w:t>“</w:t>
      </w:r>
      <w:r w:rsidRPr="00FE50A6">
        <w:rPr>
          <w:lang w:val="en-US"/>
        </w:rPr>
        <w:t>Meladinho</w:t>
      </w:r>
      <w:r w:rsidR="009C48A4" w:rsidRPr="00FE50A6">
        <w:rPr>
          <w:lang w:val="en-US"/>
        </w:rPr>
        <w:t>”</w:t>
      </w:r>
      <w:r w:rsidRPr="00FE50A6">
        <w:rPr>
          <w:lang w:val="en-US"/>
        </w:rPr>
        <w:t xml:space="preserve"> rec</w:t>
      </w:r>
      <w:r w:rsidR="00F8114C" w:rsidRPr="00FE50A6">
        <w:rPr>
          <w:lang w:val="en-US"/>
        </w:rPr>
        <w:t>ruited workers in the municipality of</w:t>
      </w:r>
      <w:r w:rsidRPr="00FE50A6">
        <w:rPr>
          <w:lang w:val="en-US"/>
        </w:rPr>
        <w:t xml:space="preserve"> Barras, </w:t>
      </w:r>
      <w:r w:rsidR="00F8114C" w:rsidRPr="00FE50A6">
        <w:rPr>
          <w:lang w:val="en-US"/>
        </w:rPr>
        <w:t>state of</w:t>
      </w:r>
      <w:r w:rsidRPr="00FE50A6">
        <w:rPr>
          <w:lang w:val="en-US"/>
        </w:rPr>
        <w:t xml:space="preserve"> Piauí, </w:t>
      </w:r>
      <w:r w:rsidR="00F8114C" w:rsidRPr="00FE50A6">
        <w:rPr>
          <w:lang w:val="en-US"/>
        </w:rPr>
        <w:t xml:space="preserve">to work in </w:t>
      </w:r>
      <w:r w:rsidRPr="00FE50A6">
        <w:rPr>
          <w:lang w:val="en-US"/>
        </w:rPr>
        <w:t xml:space="preserve">Hacienda </w:t>
      </w:r>
      <w:r w:rsidR="00322241" w:rsidRPr="00FE50A6">
        <w:rPr>
          <w:lang w:val="en-US"/>
        </w:rPr>
        <w:t>Brasil Verde</w:t>
      </w:r>
      <w:r w:rsidR="00F8114C" w:rsidRPr="00FE50A6">
        <w:rPr>
          <w:lang w:val="en-US"/>
        </w:rPr>
        <w:t>.</w:t>
      </w:r>
      <w:r w:rsidRPr="00FE50A6">
        <w:rPr>
          <w:vertAlign w:val="superscript"/>
          <w:lang w:val="en-US"/>
        </w:rPr>
        <w:footnoteReference w:id="173"/>
      </w:r>
      <w:r w:rsidRPr="00FE50A6">
        <w:rPr>
          <w:lang w:val="en-US"/>
        </w:rPr>
        <w:t xml:space="preserve"> </w:t>
      </w:r>
      <w:r w:rsidR="00F8114C" w:rsidRPr="00FE50A6">
        <w:rPr>
          <w:lang w:val="en-US"/>
        </w:rPr>
        <w:t>The</w:t>
      </w:r>
      <w:r w:rsidR="00DB1C1D" w:rsidRPr="00FE50A6">
        <w:rPr>
          <w:i/>
          <w:lang w:val="en-US"/>
        </w:rPr>
        <w:t xml:space="preserve"> gato </w:t>
      </w:r>
      <w:r w:rsidR="00F8114C" w:rsidRPr="00FE50A6">
        <w:rPr>
          <w:lang w:val="en-US"/>
        </w:rPr>
        <w:t>indicated that they would receive a salary of</w:t>
      </w:r>
      <w:r w:rsidRPr="00FE50A6">
        <w:rPr>
          <w:lang w:val="en-US"/>
        </w:rPr>
        <w:t xml:space="preserve"> 10 reales </w:t>
      </w:r>
      <w:r w:rsidR="00F8114C" w:rsidRPr="00FE50A6">
        <w:rPr>
          <w:lang w:val="en-US"/>
        </w:rPr>
        <w:t>f</w:t>
      </w:r>
      <w:r w:rsidRPr="00FE50A6">
        <w:rPr>
          <w:lang w:val="en-US"/>
        </w:rPr>
        <w:t>or</w:t>
      </w:r>
      <w:r w:rsidR="007A3F58" w:rsidRPr="00FE50A6">
        <w:rPr>
          <w:lang w:val="en-US"/>
        </w:rPr>
        <w:t xml:space="preserve"> each</w:t>
      </w:r>
      <w:r w:rsidRPr="00FE50A6">
        <w:rPr>
          <w:lang w:val="en-US"/>
        </w:rPr>
        <w:t xml:space="preserve"> </w:t>
      </w:r>
      <w:r w:rsidR="009C48A4" w:rsidRPr="00FE50A6">
        <w:rPr>
          <w:lang w:val="en-US"/>
        </w:rPr>
        <w:t>“</w:t>
      </w:r>
      <w:r w:rsidRPr="00FE50A6">
        <w:rPr>
          <w:i/>
          <w:lang w:val="en-US"/>
        </w:rPr>
        <w:t xml:space="preserve">alqueire </w:t>
      </w:r>
      <w:r w:rsidR="004255F0" w:rsidRPr="00FE50A6">
        <w:rPr>
          <w:lang w:val="en-US"/>
        </w:rPr>
        <w:t>of</w:t>
      </w:r>
      <w:r w:rsidRPr="00FE50A6">
        <w:rPr>
          <w:i/>
          <w:lang w:val="en-US"/>
        </w:rPr>
        <w:t xml:space="preserve"> </w:t>
      </w:r>
      <w:r w:rsidR="004255F0" w:rsidRPr="00FE50A6">
        <w:rPr>
          <w:rFonts w:cs="Arial"/>
          <w:i/>
          <w:szCs w:val="20"/>
          <w:lang w:val="en-US"/>
        </w:rPr>
        <w:t>juquira</w:t>
      </w:r>
      <w:r w:rsidR="004255F0" w:rsidRPr="00FE50A6">
        <w:rPr>
          <w:i/>
          <w:lang w:val="en-US"/>
        </w:rPr>
        <w:t xml:space="preserve"> </w:t>
      </w:r>
      <w:r w:rsidR="004255F0" w:rsidRPr="00FE50A6">
        <w:rPr>
          <w:lang w:val="en-US"/>
        </w:rPr>
        <w:t>they cleared</w:t>
      </w:r>
      <w:r w:rsidR="007A3F58" w:rsidRPr="00FE50A6">
        <w:rPr>
          <w:i/>
          <w:lang w:val="en-US"/>
        </w:rPr>
        <w:t>,</w:t>
      </w:r>
      <w:r w:rsidR="009C48A4" w:rsidRPr="00FE50A6">
        <w:rPr>
          <w:lang w:val="en-US"/>
        </w:rPr>
        <w:t>”</w:t>
      </w:r>
      <w:r w:rsidR="004D50FA" w:rsidRPr="00FE50A6">
        <w:rPr>
          <w:rStyle w:val="Refdenotaalpie"/>
          <w:lang w:val="en-US"/>
        </w:rPr>
        <w:footnoteReference w:id="174"/>
      </w:r>
      <w:r w:rsidRPr="00FE50A6">
        <w:rPr>
          <w:lang w:val="en-US"/>
        </w:rPr>
        <w:t xml:space="preserve"> </w:t>
      </w:r>
      <w:r w:rsidR="007A3F58" w:rsidRPr="00FE50A6">
        <w:rPr>
          <w:lang w:val="en-US"/>
        </w:rPr>
        <w:t xml:space="preserve">which the workers considered a very attractive salary. Furthermore, as part of the offer, the </w:t>
      </w:r>
      <w:r w:rsidR="007A3F58" w:rsidRPr="00FE50A6">
        <w:rPr>
          <w:i/>
          <w:lang w:val="en-US"/>
        </w:rPr>
        <w:t>gato</w:t>
      </w:r>
      <w:r w:rsidR="007A3F58" w:rsidRPr="00FE50A6">
        <w:rPr>
          <w:lang w:val="en-US"/>
        </w:rPr>
        <w:t xml:space="preserve"> gave those who were interested an advance on the salary of between 30 and 60 reales. He also offered them transport</w:t>
      </w:r>
      <w:r w:rsidR="00D91814" w:rsidRPr="00FE50A6">
        <w:rPr>
          <w:lang w:val="en-US"/>
        </w:rPr>
        <w:t>ation</w:t>
      </w:r>
      <w:r w:rsidR="007A3F58" w:rsidRPr="00FE50A6">
        <w:rPr>
          <w:lang w:val="en-US"/>
        </w:rPr>
        <w:t xml:space="preserve">, food and accommodation during their time in the </w:t>
      </w:r>
      <w:r w:rsidRPr="00FE50A6">
        <w:rPr>
          <w:lang w:val="en-US"/>
        </w:rPr>
        <w:t xml:space="preserve">hacienda. </w:t>
      </w:r>
    </w:p>
    <w:p w14:paraId="5449CD29" w14:textId="77777777" w:rsidR="004766BC" w:rsidRPr="00FE50A6" w:rsidRDefault="004766BC" w:rsidP="004766BC">
      <w:pPr>
        <w:pStyle w:val="Prrafodelista"/>
        <w:autoSpaceDE w:val="0"/>
        <w:autoSpaceDN w:val="0"/>
        <w:adjustRightInd w:val="0"/>
        <w:ind w:left="0"/>
        <w:contextualSpacing w:val="0"/>
        <w:rPr>
          <w:rFonts w:cs="Arial"/>
          <w:szCs w:val="20"/>
          <w:lang w:val="en-US"/>
        </w:rPr>
      </w:pPr>
    </w:p>
    <w:p w14:paraId="2E5086DF" w14:textId="77777777" w:rsidR="004766BC" w:rsidRPr="00FE50A6" w:rsidRDefault="007A3F58" w:rsidP="007A3F58">
      <w:pPr>
        <w:pStyle w:val="Prrafodelista"/>
        <w:numPr>
          <w:ilvl w:val="0"/>
          <w:numId w:val="1"/>
        </w:numPr>
        <w:autoSpaceDE w:val="0"/>
        <w:autoSpaceDN w:val="0"/>
        <w:adjustRightInd w:val="0"/>
        <w:contextualSpacing w:val="0"/>
        <w:rPr>
          <w:rFonts w:cs="Arial"/>
          <w:szCs w:val="20"/>
          <w:lang w:val="en-US"/>
        </w:rPr>
      </w:pPr>
      <w:r w:rsidRPr="00FE50A6">
        <w:rPr>
          <w:lang w:val="en-US"/>
        </w:rPr>
        <w:t>In order to reach</w:t>
      </w:r>
      <w:r w:rsidR="004766BC" w:rsidRPr="00FE50A6">
        <w:rPr>
          <w:lang w:val="en-US"/>
        </w:rPr>
        <w:t xml:space="preserve"> Hacienda </w:t>
      </w:r>
      <w:r w:rsidR="00322241" w:rsidRPr="00FE50A6">
        <w:rPr>
          <w:lang w:val="en-US"/>
        </w:rPr>
        <w:t>Brasil Verde</w:t>
      </w:r>
      <w:r w:rsidR="004766BC" w:rsidRPr="00FE50A6">
        <w:rPr>
          <w:lang w:val="en-US"/>
        </w:rPr>
        <w:t xml:space="preserve">, </w:t>
      </w:r>
      <w:r w:rsidRPr="00FE50A6">
        <w:rPr>
          <w:lang w:val="en-US"/>
        </w:rPr>
        <w:t>the recruited workers had to travel for approximately three days by bus, train and truck. Regarding the train</w:t>
      </w:r>
      <w:r w:rsidR="00D91814" w:rsidRPr="00FE50A6">
        <w:rPr>
          <w:lang w:val="en-US"/>
        </w:rPr>
        <w:t xml:space="preserve"> journey</w:t>
      </w:r>
      <w:r w:rsidRPr="00FE50A6">
        <w:rPr>
          <w:lang w:val="en-US"/>
        </w:rPr>
        <w:t xml:space="preserve">, </w:t>
      </w:r>
      <w:r w:rsidR="0017587B" w:rsidRPr="00FE50A6">
        <w:rPr>
          <w:lang w:val="en-US"/>
        </w:rPr>
        <w:t>the presumed victims</w:t>
      </w:r>
      <w:r w:rsidR="004766BC" w:rsidRPr="00FE50A6">
        <w:rPr>
          <w:lang w:val="en-US"/>
        </w:rPr>
        <w:t xml:space="preserve"> describ</w:t>
      </w:r>
      <w:r w:rsidRPr="00FE50A6">
        <w:rPr>
          <w:lang w:val="en-US"/>
        </w:rPr>
        <w:t xml:space="preserve">ed how the trip caused </w:t>
      </w:r>
      <w:r w:rsidR="00D91814" w:rsidRPr="00FE50A6">
        <w:rPr>
          <w:lang w:val="en-US"/>
        </w:rPr>
        <w:t xml:space="preserve">them </w:t>
      </w:r>
      <w:r w:rsidRPr="00FE50A6">
        <w:rPr>
          <w:lang w:val="en-US"/>
        </w:rPr>
        <w:t xml:space="preserve">great suffering because they were placed in wagons without </w:t>
      </w:r>
      <w:r w:rsidR="00D91814" w:rsidRPr="00FE50A6">
        <w:rPr>
          <w:lang w:val="en-US"/>
        </w:rPr>
        <w:t>seats</w:t>
      </w:r>
      <w:r w:rsidRPr="00FE50A6">
        <w:rPr>
          <w:lang w:val="en-US"/>
        </w:rPr>
        <w:t xml:space="preserve"> that were </w:t>
      </w:r>
      <w:r w:rsidR="00D91814" w:rsidRPr="00FE50A6">
        <w:rPr>
          <w:lang w:val="en-US"/>
        </w:rPr>
        <w:t>un</w:t>
      </w:r>
      <w:r w:rsidRPr="00FE50A6">
        <w:rPr>
          <w:lang w:val="en-US"/>
        </w:rPr>
        <w:t xml:space="preserve">suitable for transporting people. They also declared that the truck was used to transport animals, and </w:t>
      </w:r>
      <w:r w:rsidR="00D91814" w:rsidRPr="00FE50A6">
        <w:rPr>
          <w:lang w:val="en-US"/>
        </w:rPr>
        <w:t xml:space="preserve">that </w:t>
      </w:r>
      <w:r w:rsidRPr="00FE50A6">
        <w:rPr>
          <w:lang w:val="en-US"/>
        </w:rPr>
        <w:t>they had to share the space with them, and felt profoundly humiliated. In addition, the workers had to spend a night in a hotel in Xinguara and incurred debts in this regard.</w:t>
      </w:r>
      <w:r w:rsidR="004766BC" w:rsidRPr="00FE50A6">
        <w:rPr>
          <w:vertAlign w:val="superscript"/>
          <w:lang w:val="en-US"/>
        </w:rPr>
        <w:footnoteReference w:id="175"/>
      </w:r>
    </w:p>
    <w:p w14:paraId="6252DED8" w14:textId="77777777" w:rsidR="004766BC" w:rsidRPr="00FE50A6" w:rsidRDefault="004766BC" w:rsidP="004766BC">
      <w:pPr>
        <w:pStyle w:val="Prrafodelista"/>
        <w:rPr>
          <w:rFonts w:cs="Arial"/>
          <w:szCs w:val="20"/>
          <w:lang w:val="en-US"/>
        </w:rPr>
      </w:pPr>
    </w:p>
    <w:p w14:paraId="203BE966" w14:textId="77777777" w:rsidR="004766BC" w:rsidRPr="00FE50A6" w:rsidRDefault="007A3F58" w:rsidP="004E79F2">
      <w:pPr>
        <w:pStyle w:val="Prrafodelista"/>
        <w:numPr>
          <w:ilvl w:val="0"/>
          <w:numId w:val="1"/>
        </w:numPr>
        <w:autoSpaceDE w:val="0"/>
        <w:autoSpaceDN w:val="0"/>
        <w:adjustRightInd w:val="0"/>
        <w:contextualSpacing w:val="0"/>
        <w:rPr>
          <w:rFonts w:cs="Arial"/>
          <w:szCs w:val="20"/>
          <w:lang w:val="en-US"/>
        </w:rPr>
      </w:pPr>
      <w:r w:rsidRPr="00FE50A6">
        <w:rPr>
          <w:lang w:val="en-US"/>
        </w:rPr>
        <w:t>When the workers reached</w:t>
      </w:r>
      <w:r w:rsidR="004766BC" w:rsidRPr="00FE50A6">
        <w:rPr>
          <w:lang w:val="en-US"/>
        </w:rPr>
        <w:t xml:space="preserve"> Hacienda </w:t>
      </w:r>
      <w:r w:rsidR="00322241" w:rsidRPr="00FE50A6">
        <w:rPr>
          <w:lang w:val="en-US"/>
        </w:rPr>
        <w:t>Brasil Verde</w:t>
      </w:r>
      <w:r w:rsidR="004766BC" w:rsidRPr="00FE50A6">
        <w:rPr>
          <w:lang w:val="en-US"/>
        </w:rPr>
        <w:t xml:space="preserve"> </w:t>
      </w:r>
      <w:r w:rsidRPr="00FE50A6">
        <w:rPr>
          <w:lang w:val="en-US"/>
        </w:rPr>
        <w:t xml:space="preserve">they handed over their work </w:t>
      </w:r>
      <w:r w:rsidR="00C23CE5" w:rsidRPr="00FE50A6">
        <w:rPr>
          <w:lang w:val="en-US"/>
        </w:rPr>
        <w:t>permits</w:t>
      </w:r>
      <w:r w:rsidRPr="00FE50A6">
        <w:rPr>
          <w:lang w:val="en-US"/>
        </w:rPr>
        <w:t xml:space="preserve"> to the manager known as </w:t>
      </w:r>
      <w:r w:rsidR="009C48A4" w:rsidRPr="00FE50A6">
        <w:rPr>
          <w:lang w:val="en-US"/>
        </w:rPr>
        <w:t>“</w:t>
      </w:r>
      <w:r w:rsidR="004766BC" w:rsidRPr="00FE50A6">
        <w:rPr>
          <w:lang w:val="en-US"/>
        </w:rPr>
        <w:t>Toninho</w:t>
      </w:r>
      <w:r w:rsidRPr="00FE50A6">
        <w:rPr>
          <w:lang w:val="en-US"/>
        </w:rPr>
        <w:t>,</w:t>
      </w:r>
      <w:r w:rsidR="009C48A4" w:rsidRPr="00FE50A6">
        <w:rPr>
          <w:lang w:val="en-US"/>
        </w:rPr>
        <w:t>”</w:t>
      </w:r>
      <w:r w:rsidRPr="00FE50A6">
        <w:rPr>
          <w:lang w:val="en-US"/>
        </w:rPr>
        <w:t xml:space="preserve"> and the cards were never returned to them. Also, the manage</w:t>
      </w:r>
      <w:r w:rsidR="00B23E6B" w:rsidRPr="00FE50A6">
        <w:rPr>
          <w:lang w:val="en-US"/>
        </w:rPr>
        <w:t>r</w:t>
      </w:r>
      <w:r w:rsidRPr="00FE50A6">
        <w:rPr>
          <w:lang w:val="en-US"/>
        </w:rPr>
        <w:t xml:space="preserve"> obliged them to sign blank documents. The state was aware of this practice from previous in</w:t>
      </w:r>
      <w:r w:rsidR="004E79F2" w:rsidRPr="00FE50A6">
        <w:rPr>
          <w:lang w:val="en-US"/>
        </w:rPr>
        <w:t>sp</w:t>
      </w:r>
      <w:r w:rsidRPr="00FE50A6">
        <w:rPr>
          <w:lang w:val="en-US"/>
        </w:rPr>
        <w:t>ections.</w:t>
      </w:r>
      <w:r w:rsidR="004766BC" w:rsidRPr="00FE50A6">
        <w:rPr>
          <w:rStyle w:val="Refdenotaalpie"/>
          <w:lang w:val="en-US"/>
        </w:rPr>
        <w:footnoteReference w:id="176"/>
      </w:r>
      <w:r w:rsidR="004766BC" w:rsidRPr="00FE50A6">
        <w:rPr>
          <w:rFonts w:cs="Arial"/>
          <w:szCs w:val="20"/>
          <w:lang w:val="en-US"/>
        </w:rPr>
        <w:t xml:space="preserve"> </w:t>
      </w:r>
      <w:r w:rsidRPr="00FE50A6">
        <w:rPr>
          <w:rFonts w:cs="Arial"/>
          <w:szCs w:val="20"/>
          <w:lang w:val="en-US"/>
        </w:rPr>
        <w:t>On reaching the</w:t>
      </w:r>
      <w:r w:rsidR="004766BC" w:rsidRPr="00FE50A6">
        <w:rPr>
          <w:rFonts w:cs="Arial"/>
          <w:szCs w:val="20"/>
          <w:lang w:val="en-US"/>
        </w:rPr>
        <w:t xml:space="preserve"> </w:t>
      </w:r>
      <w:r w:rsidRPr="00FE50A6">
        <w:rPr>
          <w:rFonts w:cs="Arial"/>
          <w:szCs w:val="20"/>
          <w:lang w:val="en-US"/>
        </w:rPr>
        <w:t>h</w:t>
      </w:r>
      <w:r w:rsidR="004766BC" w:rsidRPr="00FE50A6">
        <w:rPr>
          <w:rFonts w:cs="Arial"/>
          <w:szCs w:val="20"/>
          <w:lang w:val="en-US"/>
        </w:rPr>
        <w:t>acienda,</w:t>
      </w:r>
      <w:r w:rsidRPr="00FE50A6">
        <w:rPr>
          <w:rFonts w:cs="Arial"/>
          <w:szCs w:val="20"/>
          <w:lang w:val="en-US"/>
        </w:rPr>
        <w:t xml:space="preserve"> the workers realized that nothing they had been offered was true.</w:t>
      </w:r>
      <w:r w:rsidR="004766BC" w:rsidRPr="00FE50A6">
        <w:rPr>
          <w:vertAlign w:val="superscript"/>
          <w:lang w:val="en-US"/>
        </w:rPr>
        <w:footnoteReference w:id="177"/>
      </w:r>
      <w:r w:rsidR="004766BC" w:rsidRPr="00FE50A6">
        <w:rPr>
          <w:lang w:val="en-US"/>
        </w:rPr>
        <w:t xml:space="preserve"> </w:t>
      </w:r>
      <w:r w:rsidR="004E79F2" w:rsidRPr="00FE50A6">
        <w:rPr>
          <w:lang w:val="en-US"/>
        </w:rPr>
        <w:t xml:space="preserve">Regarding their accommodation, the workers slept in wooden </w:t>
      </w:r>
      <w:r w:rsidR="0051397F" w:rsidRPr="00FE50A6">
        <w:rPr>
          <w:lang w:val="en-US"/>
        </w:rPr>
        <w:t>hut</w:t>
      </w:r>
      <w:r w:rsidR="004E79F2" w:rsidRPr="00FE50A6">
        <w:rPr>
          <w:lang w:val="en-US"/>
        </w:rPr>
        <w:t xml:space="preserve">s without electricity, beds or cupboards. The walls were made of irregular planks and the roof of canvas, which meant that the workers got wet when it </w:t>
      </w:r>
      <w:r w:rsidR="004E79F2" w:rsidRPr="00FE50A6">
        <w:rPr>
          <w:lang w:val="en-US"/>
        </w:rPr>
        <w:lastRenderedPageBreak/>
        <w:t xml:space="preserve">rained. Dozens of workers slept in the </w:t>
      </w:r>
      <w:r w:rsidR="0051397F" w:rsidRPr="00FE50A6">
        <w:rPr>
          <w:lang w:val="en-US"/>
        </w:rPr>
        <w:t>hut</w:t>
      </w:r>
      <w:r w:rsidR="004E79F2" w:rsidRPr="00FE50A6">
        <w:rPr>
          <w:lang w:val="en-US"/>
        </w:rPr>
        <w:t>s in hammocks or on nets. The condition of the toilets and the showers was execrable</w:t>
      </w:r>
      <w:r w:rsidR="0051397F" w:rsidRPr="00FE50A6">
        <w:rPr>
          <w:lang w:val="en-US"/>
        </w:rPr>
        <w:t>; outside the hut among the vegetation, without walls or a roof.</w:t>
      </w:r>
      <w:r w:rsidR="004E79F2" w:rsidRPr="00FE50A6">
        <w:rPr>
          <w:lang w:val="en-US"/>
        </w:rPr>
        <w:t xml:space="preserve"> </w:t>
      </w:r>
      <w:r w:rsidR="0051397F" w:rsidRPr="00FE50A6">
        <w:rPr>
          <w:lang w:val="en-US"/>
        </w:rPr>
        <w:t>Moreover, since the sanitary facilities were so dirty, some workers preferred to relieve themselves in the vegetation and bathe in a stream, or not bathe at all.</w:t>
      </w:r>
      <w:r w:rsidR="004766BC" w:rsidRPr="00FE50A6">
        <w:rPr>
          <w:vertAlign w:val="superscript"/>
          <w:lang w:val="en-US"/>
        </w:rPr>
        <w:footnoteReference w:id="178"/>
      </w:r>
    </w:p>
    <w:p w14:paraId="3575BB3B" w14:textId="77777777" w:rsidR="004766BC" w:rsidRPr="00FE50A6" w:rsidRDefault="004766BC" w:rsidP="004766BC">
      <w:pPr>
        <w:pStyle w:val="Prrafodelista"/>
        <w:ind w:left="0"/>
        <w:rPr>
          <w:lang w:val="en-US"/>
        </w:rPr>
      </w:pPr>
    </w:p>
    <w:p w14:paraId="009CA3B9" w14:textId="77777777" w:rsidR="004766BC" w:rsidRPr="00FE50A6" w:rsidRDefault="0051397F" w:rsidP="0051397F">
      <w:pPr>
        <w:pStyle w:val="Prrafodelista"/>
        <w:numPr>
          <w:ilvl w:val="0"/>
          <w:numId w:val="1"/>
        </w:numPr>
        <w:contextualSpacing w:val="0"/>
        <w:rPr>
          <w:lang w:val="en-US"/>
        </w:rPr>
      </w:pPr>
      <w:r w:rsidRPr="00FE50A6">
        <w:rPr>
          <w:lang w:val="en-US"/>
        </w:rPr>
        <w:t xml:space="preserve">In addition, the food that the workers received was insufficient, repetitive and of poor quality. The meals were prepared by the hacienda cook in a rundown place and in the open air. The water they consumed came from a small waterfall among the vegetation, </w:t>
      </w:r>
      <w:r w:rsidR="00B23E6B" w:rsidRPr="00FE50A6">
        <w:rPr>
          <w:lang w:val="en-US"/>
        </w:rPr>
        <w:t>and</w:t>
      </w:r>
      <w:r w:rsidRPr="00FE50A6">
        <w:rPr>
          <w:lang w:val="en-US"/>
        </w:rPr>
        <w:t xml:space="preserve"> was stored in inadequate recipients and distributed in communal bottles. During the working day, the workers had lunch in the plantations where they were working. Also, all the food they ate was entered into notebooks and then deduct</w:t>
      </w:r>
      <w:r w:rsidR="00B23E6B" w:rsidRPr="00FE50A6">
        <w:rPr>
          <w:lang w:val="en-US"/>
        </w:rPr>
        <w:t>ed</w:t>
      </w:r>
      <w:r w:rsidRPr="00FE50A6">
        <w:rPr>
          <w:lang w:val="en-US"/>
        </w:rPr>
        <w:t xml:space="preserve"> from their salaries.</w:t>
      </w:r>
      <w:r w:rsidR="004766BC" w:rsidRPr="00FE50A6">
        <w:rPr>
          <w:vertAlign w:val="superscript"/>
          <w:lang w:val="en-US"/>
        </w:rPr>
        <w:footnoteReference w:id="179"/>
      </w:r>
    </w:p>
    <w:p w14:paraId="1441A928" w14:textId="77777777" w:rsidR="004766BC" w:rsidRPr="00FE50A6" w:rsidRDefault="004766BC" w:rsidP="004766BC">
      <w:pPr>
        <w:pStyle w:val="Prrafodelista"/>
        <w:ind w:left="0"/>
        <w:rPr>
          <w:lang w:val="en-US"/>
        </w:rPr>
      </w:pPr>
    </w:p>
    <w:p w14:paraId="360318CF" w14:textId="77777777" w:rsidR="004766BC" w:rsidRPr="00FE50A6" w:rsidRDefault="0051397F" w:rsidP="0051397F">
      <w:pPr>
        <w:pStyle w:val="Prrafodelista"/>
        <w:numPr>
          <w:ilvl w:val="0"/>
          <w:numId w:val="1"/>
        </w:numPr>
        <w:contextualSpacing w:val="0"/>
        <w:rPr>
          <w:lang w:val="en-US"/>
        </w:rPr>
      </w:pPr>
      <w:r w:rsidRPr="00FE50A6">
        <w:rPr>
          <w:lang w:val="en-US"/>
        </w:rPr>
        <w:t xml:space="preserve">The workers were woken up violently at </w:t>
      </w:r>
      <w:r w:rsidR="004766BC" w:rsidRPr="00FE50A6">
        <w:rPr>
          <w:lang w:val="en-US"/>
        </w:rPr>
        <w:t>las 3</w:t>
      </w:r>
      <w:r w:rsidRPr="00FE50A6">
        <w:rPr>
          <w:lang w:val="en-US"/>
        </w:rPr>
        <w:t xml:space="preserve"> a.m. by one of the hacienda </w:t>
      </w:r>
      <w:r w:rsidR="00B23E6B" w:rsidRPr="00FE50A6">
        <w:rPr>
          <w:lang w:val="en-US"/>
        </w:rPr>
        <w:t>foremen</w:t>
      </w:r>
      <w:r w:rsidRPr="00FE50A6">
        <w:rPr>
          <w:lang w:val="en-US"/>
        </w:rPr>
        <w:t xml:space="preserve">. They then had to go on foot or by truck to the plantation where they would be working, which was several kilometers from the huts. </w:t>
      </w:r>
      <w:r w:rsidR="00870EB8" w:rsidRPr="00FE50A6">
        <w:rPr>
          <w:lang w:val="en-US"/>
        </w:rPr>
        <w:t xml:space="preserve">The working day lasted 12 hours or more, from around 6 a.m. to 6 p.m., with a half-hour rest </w:t>
      </w:r>
      <w:r w:rsidR="00B23E6B" w:rsidRPr="00FE50A6">
        <w:rPr>
          <w:lang w:val="en-US"/>
        </w:rPr>
        <w:t>for</w:t>
      </w:r>
      <w:r w:rsidR="00870EB8" w:rsidRPr="00FE50A6">
        <w:rPr>
          <w:lang w:val="en-US"/>
        </w:rPr>
        <w:t xml:space="preserve"> lunch. The workers were divided into groups of approximately 10 pe</w:t>
      </w:r>
      <w:r w:rsidR="00B23E6B" w:rsidRPr="00FE50A6">
        <w:rPr>
          <w:lang w:val="en-US"/>
        </w:rPr>
        <w:t>ople</w:t>
      </w:r>
      <w:r w:rsidR="00870EB8" w:rsidRPr="00FE50A6">
        <w:rPr>
          <w:lang w:val="en-US"/>
        </w:rPr>
        <w:t xml:space="preserve"> and worked c</w:t>
      </w:r>
      <w:r w:rsidR="00B500D8" w:rsidRPr="00FE50A6">
        <w:rPr>
          <w:lang w:val="en-US"/>
        </w:rPr>
        <w:t>learing</w:t>
      </w:r>
      <w:r w:rsidR="00870EB8" w:rsidRPr="00FE50A6">
        <w:rPr>
          <w:lang w:val="en-US"/>
        </w:rPr>
        <w:t xml:space="preserve"> </w:t>
      </w:r>
      <w:r w:rsidR="00B500D8" w:rsidRPr="00FE50A6">
        <w:rPr>
          <w:lang w:val="en-US"/>
        </w:rPr>
        <w:t>the dense vegetation.</w:t>
      </w:r>
      <w:r w:rsidR="00870EB8" w:rsidRPr="00FE50A6">
        <w:rPr>
          <w:lang w:val="en-US"/>
        </w:rPr>
        <w:t xml:space="preserve"> When their workday concluded, the workers were collected by truck and returned to the huts. Sundays were their only day of rest.</w:t>
      </w:r>
      <w:r w:rsidR="004766BC" w:rsidRPr="00FE50A6">
        <w:rPr>
          <w:vertAlign w:val="superscript"/>
          <w:lang w:val="en-US"/>
        </w:rPr>
        <w:footnoteReference w:id="180"/>
      </w:r>
      <w:r w:rsidR="004766BC" w:rsidRPr="00FE50A6">
        <w:rPr>
          <w:lang w:val="en-US"/>
        </w:rPr>
        <w:t xml:space="preserve"> </w:t>
      </w:r>
    </w:p>
    <w:p w14:paraId="2FDB81CC" w14:textId="77777777" w:rsidR="00870EB8" w:rsidRPr="00FE50A6" w:rsidRDefault="00870EB8" w:rsidP="00870EB8">
      <w:pPr>
        <w:rPr>
          <w:lang w:val="en-US"/>
        </w:rPr>
      </w:pPr>
    </w:p>
    <w:p w14:paraId="130F40EF" w14:textId="77777777" w:rsidR="004766BC" w:rsidRPr="00FE50A6" w:rsidRDefault="00D62B29" w:rsidP="004766BC">
      <w:pPr>
        <w:pStyle w:val="Prrafodelista"/>
        <w:numPr>
          <w:ilvl w:val="0"/>
          <w:numId w:val="1"/>
        </w:numPr>
        <w:autoSpaceDE w:val="0"/>
        <w:autoSpaceDN w:val="0"/>
        <w:adjustRightInd w:val="0"/>
        <w:contextualSpacing w:val="0"/>
        <w:rPr>
          <w:rFonts w:cs="Arial"/>
          <w:szCs w:val="20"/>
          <w:lang w:val="en-US"/>
        </w:rPr>
      </w:pPr>
      <w:r w:rsidRPr="00FE50A6">
        <w:rPr>
          <w:lang w:val="en-US"/>
        </w:rPr>
        <w:t xml:space="preserve">Because, among other factors, they consumed contaminated water and worked in the rain and with their feet in water, some workers easily </w:t>
      </w:r>
      <w:r w:rsidR="00B23E6B" w:rsidRPr="00FE50A6">
        <w:rPr>
          <w:lang w:val="en-US"/>
        </w:rPr>
        <w:t>fell</w:t>
      </w:r>
      <w:r w:rsidRPr="00FE50A6">
        <w:rPr>
          <w:lang w:val="en-US"/>
        </w:rPr>
        <w:t xml:space="preserve"> ill on a regular basis. In particular, the workers suffered from foot fungi, which caused them a lot of pain, to the point that </w:t>
      </w:r>
      <w:r w:rsidR="00B23E6B" w:rsidRPr="00FE50A6">
        <w:rPr>
          <w:lang w:val="en-US"/>
        </w:rPr>
        <w:t>it</w:t>
      </w:r>
      <w:r w:rsidRPr="00FE50A6">
        <w:rPr>
          <w:lang w:val="en-US"/>
        </w:rPr>
        <w:t xml:space="preserve"> prevented them from putting on their working boots. However, there were no medical personnel in the hacienda to treat them</w:t>
      </w:r>
      <w:r w:rsidR="004766BC" w:rsidRPr="00FE50A6">
        <w:rPr>
          <w:lang w:val="en-US"/>
        </w:rPr>
        <w:t xml:space="preserve">, </w:t>
      </w:r>
      <w:r w:rsidRPr="00FE50A6">
        <w:rPr>
          <w:lang w:val="en-US"/>
        </w:rPr>
        <w:t xml:space="preserve">and they did not receive visits </w:t>
      </w:r>
      <w:r w:rsidR="00B23E6B" w:rsidRPr="00FE50A6">
        <w:rPr>
          <w:lang w:val="en-US"/>
        </w:rPr>
        <w:t>by</w:t>
      </w:r>
      <w:r w:rsidRPr="00FE50A6">
        <w:rPr>
          <w:lang w:val="en-US"/>
        </w:rPr>
        <w:t xml:space="preserve"> doctors from the nearby villages. If the workers who were ill wanted medicines, they had to ask the hacienda </w:t>
      </w:r>
      <w:r w:rsidR="00B23E6B" w:rsidRPr="00FE50A6">
        <w:rPr>
          <w:lang w:val="en-US"/>
        </w:rPr>
        <w:t>foremen</w:t>
      </w:r>
      <w:r w:rsidRPr="00FE50A6">
        <w:rPr>
          <w:lang w:val="en-US"/>
        </w:rPr>
        <w:t xml:space="preserve"> to obtain them and the latter </w:t>
      </w:r>
      <w:r w:rsidR="00D84065" w:rsidRPr="00FE50A6">
        <w:rPr>
          <w:lang w:val="en-US"/>
        </w:rPr>
        <w:t>bought</w:t>
      </w:r>
      <w:r w:rsidRPr="00FE50A6">
        <w:rPr>
          <w:lang w:val="en-US"/>
        </w:rPr>
        <w:t xml:space="preserve"> the medication in the village, deducting the cost from their salaries. As the workers were paid based on the work they did, they had to go to the plantations even though they were ill.</w:t>
      </w:r>
      <w:r w:rsidR="004766BC" w:rsidRPr="00FE50A6">
        <w:rPr>
          <w:vertAlign w:val="superscript"/>
          <w:lang w:val="en-US"/>
        </w:rPr>
        <w:footnoteReference w:id="181"/>
      </w:r>
    </w:p>
    <w:p w14:paraId="4B3AD1C9" w14:textId="77777777" w:rsidR="004766BC" w:rsidRPr="00FE50A6" w:rsidRDefault="004766BC" w:rsidP="004766BC">
      <w:pPr>
        <w:pStyle w:val="Prrafodelista"/>
        <w:rPr>
          <w:rFonts w:cs="Arial"/>
          <w:szCs w:val="20"/>
          <w:lang w:val="en-US"/>
        </w:rPr>
      </w:pPr>
    </w:p>
    <w:p w14:paraId="2A8EF85E" w14:textId="77777777" w:rsidR="004766BC" w:rsidRPr="00FE50A6" w:rsidRDefault="00D62B29" w:rsidP="004766BC">
      <w:pPr>
        <w:pStyle w:val="Prrafodelista"/>
        <w:numPr>
          <w:ilvl w:val="0"/>
          <w:numId w:val="1"/>
        </w:numPr>
        <w:contextualSpacing w:val="0"/>
        <w:rPr>
          <w:lang w:val="en-US"/>
        </w:rPr>
      </w:pPr>
      <w:r w:rsidRPr="00FE50A6">
        <w:rPr>
          <w:lang w:val="en-US"/>
        </w:rPr>
        <w:t xml:space="preserve">Moreover, to receive a salary, the workers had to </w:t>
      </w:r>
      <w:r w:rsidR="00B23E6B" w:rsidRPr="00FE50A6">
        <w:rPr>
          <w:lang w:val="en-US"/>
        </w:rPr>
        <w:t>meet</w:t>
      </w:r>
      <w:r w:rsidRPr="00FE50A6">
        <w:rPr>
          <w:lang w:val="en-US"/>
        </w:rPr>
        <w:t xml:space="preserve"> production goals that were assigned to them by the hacienda </w:t>
      </w:r>
      <w:r w:rsidR="00B23E6B" w:rsidRPr="00FE50A6">
        <w:rPr>
          <w:lang w:val="en-US"/>
        </w:rPr>
        <w:t>foremen</w:t>
      </w:r>
      <w:r w:rsidR="00074929" w:rsidRPr="00FE50A6">
        <w:rPr>
          <w:lang w:val="en-US"/>
        </w:rPr>
        <w:t xml:space="preserve">; but </w:t>
      </w:r>
      <w:r w:rsidRPr="00FE50A6">
        <w:rPr>
          <w:lang w:val="en-US"/>
        </w:rPr>
        <w:t>it was very difficult to achieve th</w:t>
      </w:r>
      <w:r w:rsidR="00B23E6B" w:rsidRPr="00FE50A6">
        <w:rPr>
          <w:lang w:val="en-US"/>
        </w:rPr>
        <w:t>ese</w:t>
      </w:r>
      <w:r w:rsidRPr="00FE50A6">
        <w:rPr>
          <w:lang w:val="en-US"/>
        </w:rPr>
        <w:t xml:space="preserve"> goal</w:t>
      </w:r>
      <w:r w:rsidR="00074929" w:rsidRPr="00FE50A6">
        <w:rPr>
          <w:lang w:val="en-US"/>
        </w:rPr>
        <w:t>s</w:t>
      </w:r>
      <w:r w:rsidRPr="00FE50A6">
        <w:rPr>
          <w:lang w:val="en-US"/>
        </w:rPr>
        <w:t xml:space="preserve"> and, therefore, they received no payment for their work.</w:t>
      </w:r>
      <w:r w:rsidR="004766BC" w:rsidRPr="00FE50A6">
        <w:rPr>
          <w:vertAlign w:val="superscript"/>
          <w:lang w:val="en-US"/>
        </w:rPr>
        <w:footnoteReference w:id="182"/>
      </w:r>
    </w:p>
    <w:p w14:paraId="49DAFAA6" w14:textId="77777777" w:rsidR="004766BC" w:rsidRPr="00FE50A6" w:rsidRDefault="004766BC" w:rsidP="004766BC">
      <w:pPr>
        <w:pStyle w:val="Prrafodelista"/>
        <w:ind w:left="0"/>
        <w:rPr>
          <w:lang w:val="en-US"/>
        </w:rPr>
      </w:pPr>
    </w:p>
    <w:p w14:paraId="70CE9D99" w14:textId="77777777" w:rsidR="004766BC" w:rsidRPr="00FE50A6" w:rsidRDefault="00D62B29" w:rsidP="000F572B">
      <w:pPr>
        <w:pStyle w:val="Prrafodelista"/>
        <w:numPr>
          <w:ilvl w:val="0"/>
          <w:numId w:val="1"/>
        </w:numPr>
        <w:contextualSpacing w:val="0"/>
        <w:rPr>
          <w:lang w:val="en-US"/>
        </w:rPr>
      </w:pPr>
      <w:r w:rsidRPr="00FE50A6">
        <w:rPr>
          <w:lang w:val="en-US"/>
        </w:rPr>
        <w:t xml:space="preserve">The workers were also obliged to </w:t>
      </w:r>
      <w:r w:rsidR="000F572B" w:rsidRPr="00FE50A6">
        <w:rPr>
          <w:lang w:val="en-US"/>
        </w:rPr>
        <w:t>do their work under the orders and threat</w:t>
      </w:r>
      <w:r w:rsidR="00074929" w:rsidRPr="00FE50A6">
        <w:rPr>
          <w:lang w:val="en-US"/>
        </w:rPr>
        <w:t>s</w:t>
      </w:r>
      <w:r w:rsidR="000F572B" w:rsidRPr="00FE50A6">
        <w:rPr>
          <w:lang w:val="en-US"/>
        </w:rPr>
        <w:t xml:space="preserve"> of the hacienda </w:t>
      </w:r>
      <w:r w:rsidR="00074929" w:rsidRPr="00FE50A6">
        <w:rPr>
          <w:lang w:val="en-US"/>
        </w:rPr>
        <w:t>foremen</w:t>
      </w:r>
      <w:r w:rsidR="004766BC" w:rsidRPr="00FE50A6">
        <w:rPr>
          <w:lang w:val="en-US"/>
        </w:rPr>
        <w:t xml:space="preserve">. </w:t>
      </w:r>
      <w:r w:rsidR="000F572B" w:rsidRPr="00FE50A6">
        <w:rPr>
          <w:lang w:val="en-US"/>
        </w:rPr>
        <w:t>The</w:t>
      </w:r>
      <w:r w:rsidR="00074929" w:rsidRPr="00FE50A6">
        <w:rPr>
          <w:lang w:val="en-US"/>
        </w:rPr>
        <w:t>se men</w:t>
      </w:r>
      <w:r w:rsidR="000F572B" w:rsidRPr="00FE50A6">
        <w:rPr>
          <w:lang w:val="en-US"/>
        </w:rPr>
        <w:t xml:space="preserve"> carried firearms and watched over them at all times. Also, one of </w:t>
      </w:r>
      <w:r w:rsidR="00074929" w:rsidRPr="00FE50A6">
        <w:rPr>
          <w:lang w:val="en-US"/>
        </w:rPr>
        <w:t>their</w:t>
      </w:r>
      <w:r w:rsidR="000F572B" w:rsidRPr="00FE50A6">
        <w:rPr>
          <w:lang w:val="en-US"/>
        </w:rPr>
        <w:t xml:space="preserve"> guard</w:t>
      </w:r>
      <w:r w:rsidR="00074929" w:rsidRPr="00FE50A6">
        <w:rPr>
          <w:lang w:val="en-US"/>
        </w:rPr>
        <w:t>s</w:t>
      </w:r>
      <w:r w:rsidR="000F572B" w:rsidRPr="00FE50A6">
        <w:rPr>
          <w:lang w:val="en-US"/>
        </w:rPr>
        <w:t xml:space="preserve"> told the presumed victims that he had killed a worker following a discussion and had buried him on the hacienda; the workers were </w:t>
      </w:r>
      <w:r w:rsidR="00074929" w:rsidRPr="00FE50A6">
        <w:rPr>
          <w:lang w:val="en-US"/>
        </w:rPr>
        <w:t xml:space="preserve">therefore </w:t>
      </w:r>
      <w:r w:rsidR="000F572B" w:rsidRPr="00FE50A6">
        <w:rPr>
          <w:lang w:val="en-US"/>
        </w:rPr>
        <w:t xml:space="preserve">afraid that the same could happen to them. </w:t>
      </w:r>
      <w:r w:rsidR="00D60654" w:rsidRPr="00FE50A6">
        <w:rPr>
          <w:lang w:val="en-US"/>
        </w:rPr>
        <w:t>A</w:t>
      </w:r>
      <w:r w:rsidR="00074929" w:rsidRPr="00FE50A6">
        <w:rPr>
          <w:lang w:val="en-US"/>
        </w:rPr>
        <w:t>lso, A</w:t>
      </w:r>
      <w:r w:rsidR="00D60654" w:rsidRPr="00FE50A6">
        <w:rPr>
          <w:lang w:val="en-US"/>
        </w:rPr>
        <w:t xml:space="preserve">ntônio </w:t>
      </w:r>
      <w:r w:rsidR="004766BC" w:rsidRPr="00FE50A6">
        <w:rPr>
          <w:lang w:val="en-US"/>
        </w:rPr>
        <w:t xml:space="preserve">Francisco da Silva </w:t>
      </w:r>
      <w:r w:rsidR="000F572B" w:rsidRPr="00FE50A6">
        <w:rPr>
          <w:lang w:val="en-US"/>
        </w:rPr>
        <w:t xml:space="preserve">reported the disappearance of one of his companions who worked in </w:t>
      </w:r>
      <w:r w:rsidR="004766BC" w:rsidRPr="00FE50A6">
        <w:rPr>
          <w:lang w:val="en-US"/>
        </w:rPr>
        <w:t xml:space="preserve">Hacienda </w:t>
      </w:r>
      <w:r w:rsidR="00322241" w:rsidRPr="00FE50A6">
        <w:rPr>
          <w:lang w:val="en-US"/>
        </w:rPr>
        <w:t>Brasil Verde</w:t>
      </w:r>
      <w:r w:rsidR="000F572B" w:rsidRPr="00FE50A6">
        <w:rPr>
          <w:lang w:val="en-US"/>
        </w:rPr>
        <w:t xml:space="preserve"> to the Federal Police</w:t>
      </w:r>
      <w:r w:rsidR="004766BC" w:rsidRPr="00FE50A6">
        <w:rPr>
          <w:lang w:val="en-US"/>
        </w:rPr>
        <w:t xml:space="preserve">. </w:t>
      </w:r>
      <w:r w:rsidR="000F572B" w:rsidRPr="00FE50A6">
        <w:rPr>
          <w:lang w:val="en-US"/>
        </w:rPr>
        <w:t>Based on the foregoing, the workers could not leave the hacienda and feared for their lives.</w:t>
      </w:r>
      <w:r w:rsidR="004766BC" w:rsidRPr="00FE50A6">
        <w:rPr>
          <w:vertAlign w:val="superscript"/>
          <w:lang w:val="en-US"/>
        </w:rPr>
        <w:footnoteReference w:id="183"/>
      </w:r>
    </w:p>
    <w:p w14:paraId="4180FAFB" w14:textId="77777777" w:rsidR="0089192A" w:rsidRPr="00FE50A6" w:rsidRDefault="0089192A" w:rsidP="0089192A">
      <w:pPr>
        <w:pStyle w:val="Prrafodelista"/>
        <w:ind w:left="0"/>
        <w:contextualSpacing w:val="0"/>
        <w:rPr>
          <w:lang w:val="en-US"/>
        </w:rPr>
      </w:pPr>
    </w:p>
    <w:p w14:paraId="0C294787" w14:textId="77777777" w:rsidR="004766BC" w:rsidRPr="00FE50A6" w:rsidRDefault="000F572B" w:rsidP="004766BC">
      <w:pPr>
        <w:pStyle w:val="Prrafodelista"/>
        <w:numPr>
          <w:ilvl w:val="0"/>
          <w:numId w:val="1"/>
        </w:numPr>
        <w:contextualSpacing w:val="0"/>
        <w:rPr>
          <w:lang w:val="en-US"/>
        </w:rPr>
      </w:pPr>
      <w:r w:rsidRPr="00FE50A6">
        <w:rPr>
          <w:lang w:val="en-US"/>
        </w:rPr>
        <w:t xml:space="preserve">As a result of the prohibition to leave the hacienda, if the workers needed to buy something, they had to tell the hacienda </w:t>
      </w:r>
      <w:r w:rsidR="00074929" w:rsidRPr="00FE50A6">
        <w:rPr>
          <w:lang w:val="en-US"/>
        </w:rPr>
        <w:t>foremen</w:t>
      </w:r>
      <w:r w:rsidR="004766BC" w:rsidRPr="00FE50A6">
        <w:rPr>
          <w:lang w:val="en-US"/>
        </w:rPr>
        <w:t xml:space="preserve"> </w:t>
      </w:r>
      <w:r w:rsidRPr="00FE50A6">
        <w:rPr>
          <w:lang w:val="en-US"/>
        </w:rPr>
        <w:t>and the latter would go to the town, make the corresponding purchases and deliver them, making the corresponding salary deduction.</w:t>
      </w:r>
      <w:r w:rsidR="004766BC" w:rsidRPr="00FE50A6">
        <w:rPr>
          <w:vertAlign w:val="superscript"/>
          <w:lang w:val="en-US"/>
        </w:rPr>
        <w:footnoteReference w:id="184"/>
      </w:r>
      <w:r w:rsidR="004766BC" w:rsidRPr="00FE50A6">
        <w:rPr>
          <w:lang w:val="en-US"/>
        </w:rPr>
        <w:t xml:space="preserve"> </w:t>
      </w:r>
    </w:p>
    <w:p w14:paraId="26A9BF71" w14:textId="77777777" w:rsidR="004766BC" w:rsidRPr="00FE50A6" w:rsidRDefault="004766BC" w:rsidP="004766BC">
      <w:pPr>
        <w:pStyle w:val="Prrafodelista"/>
        <w:ind w:left="0"/>
        <w:rPr>
          <w:lang w:val="en-US"/>
        </w:rPr>
      </w:pPr>
    </w:p>
    <w:p w14:paraId="59220AC5" w14:textId="77777777" w:rsidR="004766BC" w:rsidRPr="00FE50A6" w:rsidRDefault="00074929" w:rsidP="004766BC">
      <w:pPr>
        <w:pStyle w:val="Prrafodelista"/>
        <w:numPr>
          <w:ilvl w:val="0"/>
          <w:numId w:val="1"/>
        </w:numPr>
        <w:contextualSpacing w:val="0"/>
        <w:rPr>
          <w:lang w:val="en-US"/>
        </w:rPr>
      </w:pPr>
      <w:r w:rsidRPr="00FE50A6">
        <w:rPr>
          <w:lang w:val="en-US"/>
        </w:rPr>
        <w:t>Owing to t</w:t>
      </w:r>
      <w:r w:rsidR="00386FA0" w:rsidRPr="00FE50A6">
        <w:rPr>
          <w:lang w:val="en-US"/>
        </w:rPr>
        <w:t>he situation in which the workers found themselves</w:t>
      </w:r>
      <w:r w:rsidRPr="00FE50A6">
        <w:rPr>
          <w:lang w:val="en-US"/>
        </w:rPr>
        <w:t>, they longed</w:t>
      </w:r>
      <w:r w:rsidR="00386FA0" w:rsidRPr="00FE50A6">
        <w:rPr>
          <w:lang w:val="en-US"/>
        </w:rPr>
        <w:t xml:space="preserve"> to escape from the </w:t>
      </w:r>
      <w:r w:rsidR="004766BC" w:rsidRPr="00FE50A6">
        <w:rPr>
          <w:lang w:val="en-US"/>
        </w:rPr>
        <w:t xml:space="preserve">hacienda. </w:t>
      </w:r>
      <w:r w:rsidR="00386FA0" w:rsidRPr="00FE50A6">
        <w:rPr>
          <w:lang w:val="en-US"/>
        </w:rPr>
        <w:t>However, the surveillance to which they were subjected, added to the absence of a salary, the isolated locat</w:t>
      </w:r>
      <w:r w:rsidRPr="00FE50A6">
        <w:rPr>
          <w:lang w:val="en-US"/>
        </w:rPr>
        <w:t>ion</w:t>
      </w:r>
      <w:r w:rsidR="00386FA0" w:rsidRPr="00FE50A6">
        <w:rPr>
          <w:lang w:val="en-US"/>
        </w:rPr>
        <w:t xml:space="preserve"> of the </w:t>
      </w:r>
      <w:r w:rsidR="004766BC" w:rsidRPr="00FE50A6">
        <w:rPr>
          <w:lang w:val="en-US"/>
        </w:rPr>
        <w:t>hacienda</w:t>
      </w:r>
      <w:r w:rsidRPr="00FE50A6">
        <w:rPr>
          <w:lang w:val="en-US"/>
        </w:rPr>
        <w:t>,</w:t>
      </w:r>
      <w:r w:rsidR="00030C17" w:rsidRPr="00FE50A6">
        <w:rPr>
          <w:lang w:val="en-US"/>
        </w:rPr>
        <w:t xml:space="preserve"> and </w:t>
      </w:r>
      <w:r w:rsidR="00386FA0" w:rsidRPr="00FE50A6">
        <w:rPr>
          <w:lang w:val="en-US"/>
        </w:rPr>
        <w:t xml:space="preserve">the presence of wild animals in the surrounding areas, prevented them from returning to their homes. Moreover, if the guards caught someone trying to escape from the </w:t>
      </w:r>
      <w:r w:rsidR="004766BC" w:rsidRPr="00FE50A6">
        <w:rPr>
          <w:lang w:val="en-US"/>
        </w:rPr>
        <w:t xml:space="preserve">hacienda, </w:t>
      </w:r>
      <w:r w:rsidR="00386FA0" w:rsidRPr="00FE50A6">
        <w:rPr>
          <w:lang w:val="en-US"/>
        </w:rPr>
        <w:t xml:space="preserve">in addition to returning him, they </w:t>
      </w:r>
      <w:r w:rsidRPr="00FE50A6">
        <w:rPr>
          <w:lang w:val="en-US"/>
        </w:rPr>
        <w:t>destroyed</w:t>
      </w:r>
      <w:r w:rsidR="00386FA0" w:rsidRPr="00FE50A6">
        <w:rPr>
          <w:lang w:val="en-US"/>
        </w:rPr>
        <w:t xml:space="preserve"> his clothes and his sleeping hammock.</w:t>
      </w:r>
      <w:r w:rsidR="004766BC" w:rsidRPr="00FE50A6">
        <w:rPr>
          <w:vertAlign w:val="superscript"/>
          <w:lang w:val="en-US"/>
        </w:rPr>
        <w:footnoteReference w:id="185"/>
      </w:r>
      <w:r w:rsidR="004766BC" w:rsidRPr="00FE50A6">
        <w:rPr>
          <w:lang w:val="en-US"/>
        </w:rPr>
        <w:t xml:space="preserve"> </w:t>
      </w:r>
    </w:p>
    <w:p w14:paraId="0A0414AA" w14:textId="77777777" w:rsidR="004766BC" w:rsidRPr="00FE50A6" w:rsidRDefault="004766BC" w:rsidP="004766BC">
      <w:pPr>
        <w:pStyle w:val="Prrafodelista"/>
        <w:rPr>
          <w:lang w:val="en-US"/>
        </w:rPr>
      </w:pPr>
    </w:p>
    <w:p w14:paraId="59998337" w14:textId="77777777" w:rsidR="004766BC" w:rsidRPr="00FE50A6" w:rsidRDefault="00074929" w:rsidP="003260EB">
      <w:pPr>
        <w:pStyle w:val="Prrafodelista"/>
        <w:numPr>
          <w:ilvl w:val="0"/>
          <w:numId w:val="1"/>
        </w:numPr>
        <w:contextualSpacing w:val="0"/>
        <w:rPr>
          <w:lang w:val="en-US"/>
        </w:rPr>
      </w:pPr>
      <w:r w:rsidRPr="00FE50A6">
        <w:rPr>
          <w:lang w:val="en-US"/>
        </w:rPr>
        <w:t>The youths, Antônio Francisco da Silva and Gonçalo Luiz Furtado,</w:t>
      </w:r>
      <w:r w:rsidR="004766BC" w:rsidRPr="00FE50A6">
        <w:rPr>
          <w:lang w:val="en-US"/>
        </w:rPr>
        <w:t xml:space="preserve"> decid</w:t>
      </w:r>
      <w:r w:rsidR="00386FA0" w:rsidRPr="00FE50A6">
        <w:rPr>
          <w:lang w:val="en-US"/>
        </w:rPr>
        <w:t xml:space="preserve">ed to leave the hacienda during the first week </w:t>
      </w:r>
      <w:r w:rsidRPr="00FE50A6">
        <w:rPr>
          <w:lang w:val="en-US"/>
        </w:rPr>
        <w:t xml:space="preserve">therefore, </w:t>
      </w:r>
      <w:r w:rsidR="00386FA0" w:rsidRPr="00FE50A6">
        <w:rPr>
          <w:lang w:val="en-US"/>
        </w:rPr>
        <w:t xml:space="preserve">of March 2000. Between March 3 and 5, at around 3 a.m., one of the </w:t>
      </w:r>
      <w:r w:rsidR="0019540A" w:rsidRPr="00FE50A6">
        <w:rPr>
          <w:lang w:val="en-US"/>
        </w:rPr>
        <w:t>guards</w:t>
      </w:r>
      <w:r w:rsidR="00386FA0" w:rsidRPr="00FE50A6">
        <w:rPr>
          <w:lang w:val="en-US"/>
        </w:rPr>
        <w:t xml:space="preserve"> came to the hut to wake the workers. </w:t>
      </w:r>
      <w:r w:rsidR="00D60654" w:rsidRPr="00FE50A6">
        <w:rPr>
          <w:lang w:val="en-US"/>
        </w:rPr>
        <w:t xml:space="preserve">Antônio </w:t>
      </w:r>
      <w:r w:rsidR="004766BC" w:rsidRPr="00FE50A6">
        <w:rPr>
          <w:lang w:val="en-US"/>
        </w:rPr>
        <w:t xml:space="preserve">Francisco da Silva </w:t>
      </w:r>
      <w:r w:rsidR="00386FA0" w:rsidRPr="00FE50A6">
        <w:rPr>
          <w:lang w:val="en-US"/>
        </w:rPr>
        <w:t xml:space="preserve">had a fever, and his companion, </w:t>
      </w:r>
      <w:r w:rsidR="004766BC" w:rsidRPr="00FE50A6">
        <w:rPr>
          <w:lang w:val="en-US"/>
        </w:rPr>
        <w:t>Gonçalo Luiz Furtado</w:t>
      </w:r>
      <w:r w:rsidR="00386FA0" w:rsidRPr="00FE50A6">
        <w:rPr>
          <w:lang w:val="en-US"/>
        </w:rPr>
        <w:t xml:space="preserve"> found it difficult to work as he had a </w:t>
      </w:r>
      <w:r w:rsidR="00386FA0" w:rsidRPr="00FE50A6">
        <w:rPr>
          <w:bCs/>
          <w:lang w:val="en-US"/>
        </w:rPr>
        <w:t>prosthetic leg. The guard ang</w:t>
      </w:r>
      <w:r w:rsidR="00B60637" w:rsidRPr="00FE50A6">
        <w:rPr>
          <w:bCs/>
          <w:lang w:val="en-US"/>
        </w:rPr>
        <w:t>rily</w:t>
      </w:r>
      <w:r w:rsidR="00D26715" w:rsidRPr="00FE50A6">
        <w:rPr>
          <w:bCs/>
          <w:lang w:val="en-US"/>
        </w:rPr>
        <w:t xml:space="preserve"> asked them if they were going to work and they answered that they could not because they were ill. The guard beat them, forced them into a vehicle and took them to the hacienda’s central office. There, </w:t>
      </w:r>
      <w:r w:rsidR="004766BC" w:rsidRPr="00FE50A6">
        <w:rPr>
          <w:lang w:val="en-US"/>
        </w:rPr>
        <w:t>Gonçalo Luiz Furtado</w:t>
      </w:r>
      <w:r w:rsidR="00030C17" w:rsidRPr="00FE50A6">
        <w:rPr>
          <w:lang w:val="en-US"/>
        </w:rPr>
        <w:t xml:space="preserve"> </w:t>
      </w:r>
      <w:r w:rsidRPr="00FE50A6">
        <w:rPr>
          <w:lang w:val="en-US"/>
        </w:rPr>
        <w:t xml:space="preserve">was </w:t>
      </w:r>
      <w:r w:rsidRPr="00FE50A6">
        <w:rPr>
          <w:lang w:val="en-US"/>
        </w:rPr>
        <w:lastRenderedPageBreak/>
        <w:t xml:space="preserve">beaten again </w:t>
      </w:r>
      <w:r w:rsidR="00030C17" w:rsidRPr="00FE50A6">
        <w:rPr>
          <w:lang w:val="en-US"/>
        </w:rPr>
        <w:t xml:space="preserve">and </w:t>
      </w:r>
      <w:r w:rsidR="00D26715" w:rsidRPr="00FE50A6">
        <w:rPr>
          <w:lang w:val="en-US"/>
        </w:rPr>
        <w:t xml:space="preserve">told that </w:t>
      </w:r>
      <w:r w:rsidR="003260EB" w:rsidRPr="00FE50A6">
        <w:rPr>
          <w:lang w:val="en-US"/>
        </w:rPr>
        <w:t>his prosthetic leg</w:t>
      </w:r>
      <w:r w:rsidRPr="00FE50A6">
        <w:rPr>
          <w:lang w:val="en-US"/>
        </w:rPr>
        <w:t xml:space="preserve"> would be torn off him</w:t>
      </w:r>
      <w:r w:rsidR="003260EB" w:rsidRPr="00FE50A6">
        <w:rPr>
          <w:lang w:val="en-US"/>
        </w:rPr>
        <w:t xml:space="preserve">. One of the guards threatened to tie them up for 15 days and even kill them immediately. The two youths were very frightened. The guard took them behind the office, continued beating them, and then went to talk to the other hacienda </w:t>
      </w:r>
      <w:r w:rsidR="0019540A" w:rsidRPr="00FE50A6">
        <w:rPr>
          <w:lang w:val="en-US"/>
        </w:rPr>
        <w:t>foremen</w:t>
      </w:r>
      <w:r w:rsidR="003260EB" w:rsidRPr="00FE50A6">
        <w:rPr>
          <w:lang w:val="en-US"/>
        </w:rPr>
        <w:t>. The young men took advantage of th</w:t>
      </w:r>
      <w:r w:rsidR="0019540A" w:rsidRPr="00FE50A6">
        <w:rPr>
          <w:lang w:val="en-US"/>
        </w:rPr>
        <w:t>is</w:t>
      </w:r>
      <w:r w:rsidR="003260EB" w:rsidRPr="00FE50A6">
        <w:rPr>
          <w:lang w:val="en-US"/>
        </w:rPr>
        <w:t xml:space="preserve"> opportunity to flee. They walked through the forest, because they were afraid they would be found if they traveled by road; they drank water from the forest floor and from the rivers they came across.</w:t>
      </w:r>
      <w:r w:rsidR="004766BC" w:rsidRPr="00FE50A6">
        <w:rPr>
          <w:vertAlign w:val="superscript"/>
          <w:lang w:val="en-US"/>
        </w:rPr>
        <w:footnoteReference w:id="186"/>
      </w:r>
      <w:r w:rsidR="004766BC" w:rsidRPr="00FE50A6">
        <w:rPr>
          <w:lang w:val="en-US"/>
        </w:rPr>
        <w:t xml:space="preserve"> </w:t>
      </w:r>
    </w:p>
    <w:p w14:paraId="714BBD6E" w14:textId="77777777" w:rsidR="004766BC" w:rsidRPr="00FE50A6" w:rsidRDefault="004766BC" w:rsidP="004766BC">
      <w:pPr>
        <w:pStyle w:val="Prrafodelista"/>
        <w:ind w:left="0"/>
        <w:rPr>
          <w:lang w:val="en-US"/>
        </w:rPr>
      </w:pPr>
    </w:p>
    <w:p w14:paraId="01AF06BF" w14:textId="77777777" w:rsidR="004766BC" w:rsidRPr="00FE50A6" w:rsidRDefault="003260EB" w:rsidP="003260EB">
      <w:pPr>
        <w:pStyle w:val="Prrafodelista"/>
        <w:numPr>
          <w:ilvl w:val="0"/>
          <w:numId w:val="1"/>
        </w:numPr>
        <w:contextualSpacing w:val="0"/>
        <w:rPr>
          <w:lang w:val="en-US"/>
        </w:rPr>
      </w:pPr>
      <w:r w:rsidRPr="00FE50A6">
        <w:rPr>
          <w:lang w:val="en-US"/>
        </w:rPr>
        <w:t xml:space="preserve">Subsequently, the </w:t>
      </w:r>
      <w:r w:rsidR="001812C7" w:rsidRPr="00FE50A6">
        <w:rPr>
          <w:lang w:val="en-US"/>
        </w:rPr>
        <w:t>y</w:t>
      </w:r>
      <w:r w:rsidRPr="00FE50A6">
        <w:rPr>
          <w:lang w:val="en-US"/>
        </w:rPr>
        <w:t>ou</w:t>
      </w:r>
      <w:r w:rsidR="001812C7" w:rsidRPr="00FE50A6">
        <w:rPr>
          <w:lang w:val="en-US"/>
        </w:rPr>
        <w:t>ths</w:t>
      </w:r>
      <w:r w:rsidRPr="00FE50A6">
        <w:rPr>
          <w:lang w:val="en-US"/>
        </w:rPr>
        <w:t xml:space="preserve"> reached a road. They were able to stop a petrol truck that passed by; they told their story to the driver and he a</w:t>
      </w:r>
      <w:r w:rsidR="0019540A" w:rsidRPr="00FE50A6">
        <w:rPr>
          <w:lang w:val="en-US"/>
        </w:rPr>
        <w:t>gree</w:t>
      </w:r>
      <w:r w:rsidRPr="00FE50A6">
        <w:rPr>
          <w:lang w:val="en-US"/>
        </w:rPr>
        <w:t xml:space="preserve">d to take them to Marabá. When the young men found the Police Station, on March 7, 2000, they explained their situation to an agent who was on duty. However, the agent told them that he could not help them as the </w:t>
      </w:r>
      <w:r w:rsidR="0019540A" w:rsidRPr="00FE50A6">
        <w:rPr>
          <w:lang w:val="en-US"/>
        </w:rPr>
        <w:t>police chief</w:t>
      </w:r>
      <w:r w:rsidRPr="00FE50A6">
        <w:rPr>
          <w:lang w:val="en-US"/>
        </w:rPr>
        <w:t xml:space="preserve"> was not working because it was carnival time, and told them to return in two days’ time. The youths slept on the streets of Marabá and then returned to the Federal Police Station. That day they spoke to a police agent, but were advised to </w:t>
      </w:r>
      <w:r w:rsidR="0019540A" w:rsidRPr="00FE50A6">
        <w:rPr>
          <w:lang w:val="en-US"/>
        </w:rPr>
        <w:t>seek help from the</w:t>
      </w:r>
      <w:r w:rsidRPr="00FE50A6">
        <w:rPr>
          <w:lang w:val="en-US"/>
        </w:rPr>
        <w:t xml:space="preserve"> </w:t>
      </w:r>
      <w:r w:rsidR="00C61525" w:rsidRPr="00FE50A6">
        <w:rPr>
          <w:rFonts w:cs="Arial"/>
          <w:i/>
          <w:szCs w:val="20"/>
          <w:lang w:val="en-US"/>
        </w:rPr>
        <w:t xml:space="preserve">Comissão Pastoral da </w:t>
      </w:r>
      <w:proofErr w:type="gramStart"/>
      <w:r w:rsidR="00C61525" w:rsidRPr="00FE50A6">
        <w:rPr>
          <w:rFonts w:cs="Arial"/>
          <w:i/>
          <w:szCs w:val="20"/>
          <w:lang w:val="en-US"/>
        </w:rPr>
        <w:t xml:space="preserve">Terra </w:t>
      </w:r>
      <w:r w:rsidRPr="00FE50A6">
        <w:rPr>
          <w:lang w:val="en-US"/>
        </w:rPr>
        <w:t>.</w:t>
      </w:r>
      <w:proofErr w:type="gramEnd"/>
      <w:r w:rsidRPr="00FE50A6">
        <w:rPr>
          <w:lang w:val="en-US"/>
        </w:rPr>
        <w:t xml:space="preserve"> </w:t>
      </w:r>
      <w:r w:rsidR="001812C7" w:rsidRPr="00FE50A6">
        <w:rPr>
          <w:lang w:val="en-US"/>
        </w:rPr>
        <w:t>The CPT looked after the young men for several days.</w:t>
      </w:r>
      <w:r w:rsidR="004766BC" w:rsidRPr="00FE50A6">
        <w:rPr>
          <w:vertAlign w:val="superscript"/>
          <w:lang w:val="en-US"/>
        </w:rPr>
        <w:footnoteReference w:id="187"/>
      </w:r>
    </w:p>
    <w:p w14:paraId="32A28283" w14:textId="77777777" w:rsidR="004766BC" w:rsidRPr="00FE50A6" w:rsidRDefault="004766BC" w:rsidP="004766BC">
      <w:pPr>
        <w:pStyle w:val="Prrafodelista"/>
        <w:autoSpaceDE w:val="0"/>
        <w:autoSpaceDN w:val="0"/>
        <w:adjustRightInd w:val="0"/>
        <w:ind w:left="0"/>
        <w:contextualSpacing w:val="0"/>
        <w:rPr>
          <w:rFonts w:cs="Arial"/>
          <w:szCs w:val="20"/>
          <w:lang w:val="en-US"/>
        </w:rPr>
      </w:pPr>
    </w:p>
    <w:p w14:paraId="1F75AD1E" w14:textId="77777777" w:rsidR="004766BC" w:rsidRPr="00FE50A6" w:rsidRDefault="001812C7" w:rsidP="004766BC">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police agent who sent the young men to the</w:t>
      </w:r>
      <w:r w:rsidR="0019540A" w:rsidRPr="00FE50A6">
        <w:rPr>
          <w:rFonts w:cs="Arial"/>
          <w:szCs w:val="20"/>
          <w:lang w:val="en-US"/>
        </w:rPr>
        <w:t xml:space="preserve"> CPT</w:t>
      </w:r>
      <w:r w:rsidRPr="00FE50A6">
        <w:rPr>
          <w:rFonts w:cs="Arial"/>
          <w:szCs w:val="20"/>
          <w:lang w:val="en-US"/>
        </w:rPr>
        <w:t xml:space="preserve"> offices advised the </w:t>
      </w:r>
      <w:r w:rsidR="00C61525" w:rsidRPr="00FE50A6">
        <w:rPr>
          <w:rFonts w:cs="Arial"/>
          <w:i/>
          <w:szCs w:val="20"/>
          <w:lang w:val="en-US"/>
        </w:rPr>
        <w:t>Comissão</w:t>
      </w:r>
      <w:r w:rsidR="0019540A" w:rsidRPr="00FE50A6">
        <w:rPr>
          <w:rFonts w:cs="Arial"/>
          <w:i/>
          <w:szCs w:val="20"/>
          <w:lang w:val="en-US"/>
        </w:rPr>
        <w:t xml:space="preserve"> Pastoral</w:t>
      </w:r>
      <w:r w:rsidRPr="00FE50A6">
        <w:rPr>
          <w:rFonts w:cs="Arial"/>
          <w:szCs w:val="20"/>
          <w:lang w:val="en-US"/>
        </w:rPr>
        <w:t xml:space="preserve"> that the Ministry of Labor had been contacted and had promised to send a team of labor inspectors</w:t>
      </w:r>
      <w:r w:rsidR="0019540A" w:rsidRPr="00FE50A6">
        <w:rPr>
          <w:rFonts w:cs="Arial"/>
          <w:szCs w:val="20"/>
          <w:lang w:val="en-US"/>
        </w:rPr>
        <w:t>,</w:t>
      </w:r>
      <w:r w:rsidRPr="00FE50A6">
        <w:rPr>
          <w:rFonts w:cs="Arial"/>
          <w:szCs w:val="20"/>
          <w:lang w:val="en-US"/>
        </w:rPr>
        <w:t xml:space="preserve"> </w:t>
      </w:r>
      <w:r w:rsidR="0019540A" w:rsidRPr="00FE50A6">
        <w:rPr>
          <w:rFonts w:cs="Arial"/>
          <w:szCs w:val="20"/>
          <w:lang w:val="en-US"/>
        </w:rPr>
        <w:t>accompanied by</w:t>
      </w:r>
      <w:r w:rsidRPr="00FE50A6">
        <w:rPr>
          <w:rFonts w:cs="Arial"/>
          <w:szCs w:val="20"/>
          <w:lang w:val="en-US"/>
        </w:rPr>
        <w:t xml:space="preserve"> Marabá federal police agents</w:t>
      </w:r>
      <w:r w:rsidR="0019540A" w:rsidRPr="00FE50A6">
        <w:rPr>
          <w:rFonts w:cs="Arial"/>
          <w:szCs w:val="20"/>
          <w:lang w:val="en-US"/>
        </w:rPr>
        <w:t>,</w:t>
      </w:r>
      <w:r w:rsidRPr="00FE50A6">
        <w:rPr>
          <w:rFonts w:cs="Arial"/>
          <w:szCs w:val="20"/>
          <w:lang w:val="en-US"/>
        </w:rPr>
        <w:t xml:space="preserve"> to </w:t>
      </w:r>
      <w:r w:rsidR="004766BC" w:rsidRPr="00FE50A6">
        <w:rPr>
          <w:rFonts w:cs="Arial"/>
          <w:szCs w:val="20"/>
          <w:lang w:val="en-US"/>
        </w:rPr>
        <w:t xml:space="preserve">Hacienda </w:t>
      </w:r>
      <w:r w:rsidR="00322241" w:rsidRPr="00FE50A6">
        <w:rPr>
          <w:rFonts w:cs="Arial"/>
          <w:szCs w:val="20"/>
          <w:lang w:val="en-US"/>
        </w:rPr>
        <w:t>Brasil Verde</w:t>
      </w:r>
      <w:r w:rsidR="004766BC" w:rsidRPr="00FE50A6">
        <w:rPr>
          <w:rFonts w:cs="Arial"/>
          <w:szCs w:val="20"/>
          <w:lang w:val="en-US"/>
        </w:rPr>
        <w:t xml:space="preserve"> </w:t>
      </w:r>
      <w:r w:rsidRPr="00FE50A6">
        <w:rPr>
          <w:rFonts w:cs="Arial"/>
          <w:szCs w:val="20"/>
          <w:lang w:val="en-US"/>
        </w:rPr>
        <w:t xml:space="preserve">to </w:t>
      </w:r>
      <w:r w:rsidR="0019540A" w:rsidRPr="00FE50A6">
        <w:rPr>
          <w:rFonts w:cs="Arial"/>
          <w:szCs w:val="20"/>
          <w:lang w:val="en-US"/>
        </w:rPr>
        <w:t xml:space="preserve">draw up </w:t>
      </w:r>
      <w:r w:rsidRPr="00FE50A6">
        <w:rPr>
          <w:rFonts w:cs="Arial"/>
          <w:szCs w:val="20"/>
          <w:lang w:val="en-US"/>
        </w:rPr>
        <w:t>the corresponding reports.</w:t>
      </w:r>
      <w:r w:rsidR="004766BC" w:rsidRPr="00FE50A6">
        <w:rPr>
          <w:rStyle w:val="Refdenotaalpie"/>
          <w:rFonts w:cs="Arial"/>
          <w:lang w:val="en-US"/>
        </w:rPr>
        <w:footnoteReference w:id="188"/>
      </w:r>
    </w:p>
    <w:p w14:paraId="007F13FF" w14:textId="77777777" w:rsidR="004766BC" w:rsidRPr="00FE50A6" w:rsidRDefault="004766BC" w:rsidP="004766BC">
      <w:pPr>
        <w:pStyle w:val="Prrafodelista"/>
        <w:rPr>
          <w:rFonts w:cs="Arial"/>
          <w:szCs w:val="20"/>
          <w:lang w:val="en-US"/>
        </w:rPr>
      </w:pPr>
    </w:p>
    <w:p w14:paraId="262EC4AD" w14:textId="77777777" w:rsidR="004766BC" w:rsidRPr="00FE50A6" w:rsidRDefault="001812C7" w:rsidP="001812C7">
      <w:pPr>
        <w:pStyle w:val="Prrafodelista"/>
        <w:numPr>
          <w:ilvl w:val="0"/>
          <w:numId w:val="1"/>
        </w:numPr>
        <w:contextualSpacing w:val="0"/>
        <w:rPr>
          <w:lang w:val="en-US"/>
        </w:rPr>
      </w:pPr>
      <w:r w:rsidRPr="00FE50A6">
        <w:rPr>
          <w:lang w:val="en-US"/>
        </w:rPr>
        <w:t>On March 15,</w:t>
      </w:r>
      <w:r w:rsidR="004766BC" w:rsidRPr="00FE50A6">
        <w:rPr>
          <w:lang w:val="en-US"/>
        </w:rPr>
        <w:t xml:space="preserve"> 2000</w:t>
      </w:r>
      <w:r w:rsidRPr="00FE50A6">
        <w:rPr>
          <w:lang w:val="en-US"/>
        </w:rPr>
        <w:t xml:space="preserve">, </w:t>
      </w:r>
      <w:r w:rsidR="0081756E" w:rsidRPr="00FE50A6">
        <w:rPr>
          <w:lang w:val="en-US"/>
        </w:rPr>
        <w:t>Ministry of Labor</w:t>
      </w:r>
      <w:r w:rsidRPr="00FE50A6">
        <w:rPr>
          <w:lang w:val="en-US"/>
        </w:rPr>
        <w:t xml:space="preserve"> inspectors, accompanied by </w:t>
      </w:r>
      <w:r w:rsidR="008B0077" w:rsidRPr="00FE50A6">
        <w:rPr>
          <w:lang w:val="en-US"/>
        </w:rPr>
        <w:t>Federal Police</w:t>
      </w:r>
      <w:r w:rsidRPr="00FE50A6">
        <w:rPr>
          <w:lang w:val="en-US"/>
        </w:rPr>
        <w:t xml:space="preserve"> agents</w:t>
      </w:r>
      <w:r w:rsidR="0019540A" w:rsidRPr="00FE50A6">
        <w:rPr>
          <w:lang w:val="en-US"/>
        </w:rPr>
        <w:t>, conducted an inspection of the hacienda</w:t>
      </w:r>
      <w:r w:rsidR="004766BC" w:rsidRPr="00FE50A6">
        <w:rPr>
          <w:lang w:val="en-US"/>
        </w:rPr>
        <w:t xml:space="preserve">. </w:t>
      </w:r>
      <w:r w:rsidRPr="00FE50A6">
        <w:rPr>
          <w:lang w:val="en-US"/>
        </w:rPr>
        <w:t>On arriving at</w:t>
      </w:r>
      <w:r w:rsidR="004766BC" w:rsidRPr="00FE50A6">
        <w:rPr>
          <w:lang w:val="en-US"/>
        </w:rPr>
        <w:t xml:space="preserve"> Hacienda </w:t>
      </w:r>
      <w:r w:rsidR="00322241" w:rsidRPr="00FE50A6">
        <w:rPr>
          <w:lang w:val="en-US"/>
        </w:rPr>
        <w:t>Brasil Verde</w:t>
      </w:r>
      <w:r w:rsidR="004766BC" w:rsidRPr="00FE50A6">
        <w:rPr>
          <w:lang w:val="en-US"/>
        </w:rPr>
        <w:t xml:space="preserve"> </w:t>
      </w:r>
      <w:r w:rsidRPr="00FE50A6">
        <w:rPr>
          <w:lang w:val="en-US"/>
        </w:rPr>
        <w:t xml:space="preserve">they </w:t>
      </w:r>
      <w:r w:rsidR="0019540A" w:rsidRPr="00FE50A6">
        <w:rPr>
          <w:lang w:val="en-US"/>
        </w:rPr>
        <w:t>noted</w:t>
      </w:r>
      <w:r w:rsidRPr="00FE50A6">
        <w:rPr>
          <w:lang w:val="en-US"/>
        </w:rPr>
        <w:t xml:space="preserve"> that there were only about 45 workers. They then went to </w:t>
      </w:r>
      <w:r w:rsidR="004766BC" w:rsidRPr="00FE50A6">
        <w:rPr>
          <w:lang w:val="en-US"/>
        </w:rPr>
        <w:t xml:space="preserve">Hacienda San Carlos </w:t>
      </w:r>
      <w:r w:rsidRPr="00FE50A6">
        <w:rPr>
          <w:lang w:val="en-US"/>
        </w:rPr>
        <w:t xml:space="preserve">where they found the other workers. The police interviewed the workers and questioned them about their arrival at the hacienda, their salaries and their personal </w:t>
      </w:r>
      <w:r w:rsidR="0019540A" w:rsidRPr="00FE50A6">
        <w:rPr>
          <w:lang w:val="en-US"/>
        </w:rPr>
        <w:t>papers</w:t>
      </w:r>
      <w:r w:rsidRPr="00FE50A6">
        <w:rPr>
          <w:lang w:val="en-US"/>
        </w:rPr>
        <w:t>. The workers were asked if they wished to leave the hacienda and return to their homes, and the workers indicated their “unanimous decision to leave” and to return to their places of origin where they had been recruited.</w:t>
      </w:r>
      <w:r w:rsidR="004766BC" w:rsidRPr="00FE50A6">
        <w:rPr>
          <w:rStyle w:val="Refdenotaalpie"/>
          <w:rFonts w:cs="Arial"/>
          <w:lang w:val="en-US"/>
        </w:rPr>
        <w:footnoteReference w:id="189"/>
      </w:r>
      <w:r w:rsidRPr="00FE50A6">
        <w:rPr>
          <w:lang w:val="en-US"/>
        </w:rPr>
        <w:t xml:space="preserve"> Nevertheless, the rescue did not take place that day and, therefore, the workers had to spend that night in the hacienda, a situation that made them extremely fearful, because they were afraid that the</w:t>
      </w:r>
      <w:r w:rsidR="004766BC" w:rsidRPr="00FE50A6">
        <w:rPr>
          <w:lang w:val="en-US"/>
        </w:rPr>
        <w:t xml:space="preserve"> </w:t>
      </w:r>
      <w:r w:rsidR="000F572B" w:rsidRPr="00FE50A6">
        <w:rPr>
          <w:lang w:val="en-US"/>
        </w:rPr>
        <w:t xml:space="preserve">hacienda </w:t>
      </w:r>
      <w:r w:rsidR="003D756E" w:rsidRPr="00FE50A6">
        <w:rPr>
          <w:lang w:val="en-US"/>
        </w:rPr>
        <w:t>foremen</w:t>
      </w:r>
      <w:r w:rsidR="004766BC" w:rsidRPr="00FE50A6">
        <w:rPr>
          <w:lang w:val="en-US"/>
        </w:rPr>
        <w:t xml:space="preserve"> </w:t>
      </w:r>
      <w:r w:rsidRPr="00FE50A6">
        <w:rPr>
          <w:lang w:val="en-US"/>
        </w:rPr>
        <w:t>would kill them while they slept.</w:t>
      </w:r>
      <w:r w:rsidR="004766BC" w:rsidRPr="00FE50A6">
        <w:rPr>
          <w:vertAlign w:val="superscript"/>
          <w:lang w:val="en-US"/>
        </w:rPr>
        <w:footnoteReference w:id="190"/>
      </w:r>
      <w:r w:rsidR="004766BC" w:rsidRPr="00FE50A6">
        <w:rPr>
          <w:lang w:val="en-US"/>
        </w:rPr>
        <w:t xml:space="preserve"> </w:t>
      </w:r>
      <w:r w:rsidRPr="00FE50A6">
        <w:rPr>
          <w:rFonts w:cs="Arial"/>
          <w:szCs w:val="20"/>
          <w:lang w:val="en-US"/>
        </w:rPr>
        <w:t>The Pará</w:t>
      </w:r>
      <w:r w:rsidR="004766BC" w:rsidRPr="00FE50A6">
        <w:rPr>
          <w:rFonts w:cs="Arial"/>
          <w:szCs w:val="20"/>
          <w:lang w:val="en-US"/>
        </w:rPr>
        <w:t xml:space="preserve"> </w:t>
      </w:r>
      <w:r w:rsidR="003D756E" w:rsidRPr="00FE50A6">
        <w:rPr>
          <w:rFonts w:cs="Arial"/>
          <w:szCs w:val="20"/>
          <w:lang w:val="en-US"/>
        </w:rPr>
        <w:t>Regional Labor Delegation</w:t>
      </w:r>
      <w:r w:rsidR="004766BC" w:rsidRPr="00FE50A6">
        <w:rPr>
          <w:rFonts w:cs="Arial"/>
          <w:szCs w:val="20"/>
          <w:lang w:val="en-US"/>
        </w:rPr>
        <w:t xml:space="preserve"> </w:t>
      </w:r>
      <w:r w:rsidRPr="00FE50A6">
        <w:rPr>
          <w:rFonts w:cs="Arial"/>
          <w:szCs w:val="20"/>
          <w:lang w:val="en-US"/>
        </w:rPr>
        <w:t xml:space="preserve">also verified the existence </w:t>
      </w:r>
      <w:r w:rsidRPr="00FE50A6">
        <w:rPr>
          <w:rFonts w:cs="Arial"/>
          <w:szCs w:val="20"/>
          <w:lang w:val="en-US"/>
        </w:rPr>
        <w:lastRenderedPageBreak/>
        <w:t>of armed guards in the hacienda,</w:t>
      </w:r>
      <w:r w:rsidR="004766BC" w:rsidRPr="00FE50A6">
        <w:rPr>
          <w:rStyle w:val="Refdenotaalpie"/>
          <w:rFonts w:cs="Arial"/>
          <w:lang w:val="en-US"/>
        </w:rPr>
        <w:footnoteReference w:id="191"/>
      </w:r>
      <w:r w:rsidRPr="00FE50A6">
        <w:rPr>
          <w:rFonts w:cs="Arial"/>
          <w:szCs w:val="20"/>
          <w:lang w:val="en-US"/>
        </w:rPr>
        <w:t xml:space="preserve"> and </w:t>
      </w:r>
      <w:r w:rsidR="004B4D3E" w:rsidRPr="00FE50A6">
        <w:rPr>
          <w:rFonts w:cs="Arial"/>
          <w:szCs w:val="20"/>
          <w:lang w:val="en-US"/>
        </w:rPr>
        <w:t>corroborated that the workers had been made to sign blank fixed-term and indefinite contracts.</w:t>
      </w:r>
      <w:r w:rsidR="004766BC" w:rsidRPr="00FE50A6">
        <w:rPr>
          <w:rStyle w:val="Refdenotaalpie"/>
          <w:rFonts w:cs="Arial"/>
          <w:lang w:val="en-US"/>
        </w:rPr>
        <w:footnoteReference w:id="192"/>
      </w:r>
    </w:p>
    <w:p w14:paraId="6B3BECAD" w14:textId="77777777" w:rsidR="004766BC" w:rsidRPr="00FE50A6" w:rsidRDefault="004766BC" w:rsidP="004766BC">
      <w:pPr>
        <w:pStyle w:val="Prrafodelista"/>
        <w:ind w:left="0"/>
        <w:rPr>
          <w:lang w:val="en-US"/>
        </w:rPr>
      </w:pPr>
    </w:p>
    <w:p w14:paraId="74F3874B" w14:textId="77777777" w:rsidR="0003391C" w:rsidRPr="00FE50A6" w:rsidRDefault="004B4D3E" w:rsidP="004B4D3E">
      <w:pPr>
        <w:pStyle w:val="Prrafodelista"/>
        <w:numPr>
          <w:ilvl w:val="0"/>
          <w:numId w:val="1"/>
        </w:numPr>
        <w:contextualSpacing w:val="0"/>
        <w:rPr>
          <w:lang w:val="en-US"/>
        </w:rPr>
      </w:pPr>
      <w:r w:rsidRPr="00FE50A6">
        <w:rPr>
          <w:lang w:val="en-US"/>
        </w:rPr>
        <w:t xml:space="preserve">The following day, the Ministry of Labor </w:t>
      </w:r>
      <w:r w:rsidR="003D756E" w:rsidRPr="00FE50A6">
        <w:rPr>
          <w:lang w:val="en-US"/>
        </w:rPr>
        <w:t xml:space="preserve">inspectors </w:t>
      </w:r>
      <w:r w:rsidRPr="00FE50A6">
        <w:rPr>
          <w:lang w:val="en-US"/>
        </w:rPr>
        <w:t xml:space="preserve">obliged </w:t>
      </w:r>
      <w:r w:rsidR="003D756E" w:rsidRPr="00FE50A6">
        <w:rPr>
          <w:lang w:val="en-US"/>
        </w:rPr>
        <w:t>a</w:t>
      </w:r>
      <w:r w:rsidRPr="00FE50A6">
        <w:rPr>
          <w:lang w:val="en-US"/>
        </w:rPr>
        <w:t xml:space="preserve"> manager of the hacienda to pay the workers the </w:t>
      </w:r>
      <w:r w:rsidR="003D756E" w:rsidRPr="00FE50A6">
        <w:rPr>
          <w:lang w:val="en-US"/>
        </w:rPr>
        <w:t>salaries owed</w:t>
      </w:r>
      <w:r w:rsidRPr="00FE50A6">
        <w:rPr>
          <w:lang w:val="en-US"/>
        </w:rPr>
        <w:t xml:space="preserve"> in order to terminate their work contracts. It also obliged him to return their work </w:t>
      </w:r>
      <w:r w:rsidR="00C23CE5" w:rsidRPr="00FE50A6">
        <w:rPr>
          <w:lang w:val="en-US"/>
        </w:rPr>
        <w:t xml:space="preserve">permits. The police agents gave the work permits back to the workers together with some </w:t>
      </w:r>
      <w:r w:rsidR="003D756E" w:rsidRPr="00FE50A6">
        <w:rPr>
          <w:lang w:val="en-US"/>
        </w:rPr>
        <w:t>papers</w:t>
      </w:r>
      <w:r w:rsidR="00C23CE5" w:rsidRPr="00FE50A6">
        <w:rPr>
          <w:lang w:val="en-US"/>
        </w:rPr>
        <w:t xml:space="preserve"> and money. However, even though the rescued workers were illiterate and bewildered by the situation, the state agents did not explain to them what the money was for, or what the </w:t>
      </w:r>
      <w:r w:rsidR="003D756E" w:rsidRPr="00FE50A6">
        <w:rPr>
          <w:lang w:val="en-US"/>
        </w:rPr>
        <w:t>papers</w:t>
      </w:r>
      <w:r w:rsidR="00C23CE5" w:rsidRPr="00FE50A6">
        <w:rPr>
          <w:lang w:val="en-US"/>
        </w:rPr>
        <w:t xml:space="preserve"> they had been given contained. The inspection report indicated that 82 persons were working in the </w:t>
      </w:r>
      <w:r w:rsidR="004766BC" w:rsidRPr="00FE50A6">
        <w:rPr>
          <w:rFonts w:cs="Arial"/>
          <w:szCs w:val="20"/>
          <w:lang w:val="en-US"/>
        </w:rPr>
        <w:t>hacienda</w:t>
      </w:r>
      <w:r w:rsidR="00C23CE5" w:rsidRPr="00FE50A6">
        <w:rPr>
          <w:rFonts w:cs="Arial"/>
          <w:szCs w:val="20"/>
          <w:lang w:val="en-US"/>
        </w:rPr>
        <w:t>.</w:t>
      </w:r>
      <w:r w:rsidR="004766BC" w:rsidRPr="00FE50A6">
        <w:rPr>
          <w:rStyle w:val="Refdenotaalpie"/>
          <w:rFonts w:cs="Arial"/>
          <w:lang w:val="en-US"/>
        </w:rPr>
        <w:footnoteReference w:id="193"/>
      </w:r>
    </w:p>
    <w:p w14:paraId="3D9A33C5"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5FC0D937" w14:textId="77777777" w:rsidR="0003391C" w:rsidRPr="00FE50A6" w:rsidRDefault="00964D0C" w:rsidP="008622F3">
      <w:pPr>
        <w:pStyle w:val="Ttulo3"/>
        <w:rPr>
          <w:lang w:val="en-US"/>
        </w:rPr>
      </w:pPr>
      <w:bookmarkStart w:id="267" w:name="_Toc460433017"/>
      <w:bookmarkStart w:id="268" w:name="_Toc460441948"/>
      <w:bookmarkStart w:id="269" w:name="_Toc462750766"/>
      <w:bookmarkStart w:id="270" w:name="_Toc462751090"/>
      <w:bookmarkStart w:id="271" w:name="_Toc464813942"/>
      <w:r w:rsidRPr="00FE50A6">
        <w:rPr>
          <w:lang w:val="en-US"/>
        </w:rPr>
        <w:t>B</w:t>
      </w:r>
      <w:r w:rsidR="004B71B2" w:rsidRPr="00FE50A6">
        <w:rPr>
          <w:lang w:val="en-US"/>
        </w:rPr>
        <w:t>.4</w:t>
      </w:r>
      <w:r w:rsidR="00DC2886" w:rsidRPr="00FE50A6">
        <w:rPr>
          <w:lang w:val="en-US"/>
        </w:rPr>
        <w:t>.</w:t>
      </w:r>
      <w:r w:rsidR="0003391C" w:rsidRPr="00FE50A6">
        <w:rPr>
          <w:lang w:val="en-US"/>
        </w:rPr>
        <w:t xml:space="preserve"> </w:t>
      </w:r>
      <w:r w:rsidR="00C23CE5" w:rsidRPr="00FE50A6">
        <w:rPr>
          <w:lang w:val="en-US"/>
        </w:rPr>
        <w:t>The procedure carried out by the</w:t>
      </w:r>
      <w:r w:rsidR="0003391C" w:rsidRPr="00FE50A6">
        <w:rPr>
          <w:lang w:val="en-US"/>
        </w:rPr>
        <w:t xml:space="preserve"> </w:t>
      </w:r>
      <w:r w:rsidR="0081756E" w:rsidRPr="00FE50A6">
        <w:rPr>
          <w:lang w:val="en-US"/>
        </w:rPr>
        <w:t>Ministry of Labor</w:t>
      </w:r>
      <w:r w:rsidR="0003391C" w:rsidRPr="00FE50A6">
        <w:rPr>
          <w:lang w:val="en-US"/>
        </w:rPr>
        <w:t xml:space="preserve"> </w:t>
      </w:r>
      <w:r w:rsidR="00C23CE5" w:rsidRPr="00FE50A6">
        <w:rPr>
          <w:lang w:val="en-US"/>
        </w:rPr>
        <w:t>in relation to the visit in 2000</w:t>
      </w:r>
      <w:bookmarkEnd w:id="267"/>
      <w:bookmarkEnd w:id="268"/>
      <w:bookmarkEnd w:id="269"/>
      <w:bookmarkEnd w:id="270"/>
      <w:bookmarkEnd w:id="271"/>
    </w:p>
    <w:p w14:paraId="045A0C38"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0D936FC7" w14:textId="77777777" w:rsidR="0003391C" w:rsidRPr="00FE50A6" w:rsidRDefault="00C23CE5"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May 30,</w:t>
      </w:r>
      <w:r w:rsidR="0003391C" w:rsidRPr="00FE50A6">
        <w:rPr>
          <w:rFonts w:cs="Arial"/>
          <w:szCs w:val="20"/>
          <w:lang w:val="en-US"/>
        </w:rPr>
        <w:t xml:space="preserve"> 2000, </w:t>
      </w:r>
      <w:r w:rsidRPr="00FE50A6">
        <w:rPr>
          <w:rFonts w:cs="Arial"/>
          <w:szCs w:val="20"/>
          <w:lang w:val="en-US"/>
        </w:rPr>
        <w:t>based on the inspection report</w:t>
      </w:r>
      <w:r w:rsidR="0003391C" w:rsidRPr="00FE50A6">
        <w:rPr>
          <w:rFonts w:cs="Arial"/>
          <w:szCs w:val="20"/>
          <w:lang w:val="en-US"/>
        </w:rPr>
        <w:t xml:space="preserve"> </w:t>
      </w:r>
      <w:r w:rsidRPr="00FE50A6">
        <w:rPr>
          <w:rFonts w:cs="Arial"/>
          <w:szCs w:val="20"/>
          <w:lang w:val="en-US"/>
        </w:rPr>
        <w:t>of March 15,</w:t>
      </w:r>
      <w:r w:rsidR="0003391C" w:rsidRPr="00FE50A6">
        <w:rPr>
          <w:rFonts w:cs="Arial"/>
          <w:szCs w:val="20"/>
          <w:lang w:val="en-US"/>
        </w:rPr>
        <w:t xml:space="preserve"> 2000, </w:t>
      </w:r>
      <w:r w:rsidR="00F8114C" w:rsidRPr="00FE50A6">
        <w:rPr>
          <w:rFonts w:cs="Arial"/>
          <w:szCs w:val="20"/>
          <w:lang w:val="en-US"/>
        </w:rPr>
        <w:t xml:space="preserve">the </w:t>
      </w:r>
      <w:r w:rsidRPr="00FE50A6">
        <w:rPr>
          <w:rFonts w:cs="Arial"/>
          <w:szCs w:val="20"/>
          <w:lang w:val="en-US"/>
        </w:rPr>
        <w:t xml:space="preserve">Labor </w:t>
      </w:r>
      <w:r w:rsidR="00452450" w:rsidRPr="00FE50A6">
        <w:rPr>
          <w:rFonts w:cs="Arial"/>
          <w:szCs w:val="20"/>
          <w:lang w:val="en-US"/>
        </w:rPr>
        <w:t xml:space="preserve">Public </w:t>
      </w:r>
      <w:r w:rsidR="00F8114C" w:rsidRPr="00FE50A6">
        <w:rPr>
          <w:rFonts w:cs="Arial"/>
          <w:szCs w:val="20"/>
          <w:lang w:val="en-US"/>
        </w:rPr>
        <w:t>P</w:t>
      </w:r>
      <w:r w:rsidR="00452450" w:rsidRPr="00FE50A6">
        <w:rPr>
          <w:rFonts w:cs="Arial"/>
          <w:szCs w:val="20"/>
          <w:lang w:val="en-US"/>
        </w:rPr>
        <w:t xml:space="preserve">rosecutor filed a public civil action before the </w:t>
      </w:r>
      <w:r w:rsidR="003D756E" w:rsidRPr="00FE50A6">
        <w:rPr>
          <w:rFonts w:cs="Arial"/>
          <w:szCs w:val="20"/>
          <w:lang w:val="en-US"/>
        </w:rPr>
        <w:t>l</w:t>
      </w:r>
      <w:r w:rsidR="00452450" w:rsidRPr="00FE50A6">
        <w:rPr>
          <w:rFonts w:cs="Arial"/>
          <w:szCs w:val="20"/>
          <w:lang w:val="en-US"/>
        </w:rPr>
        <w:t xml:space="preserve">abor </w:t>
      </w:r>
      <w:r w:rsidR="003D756E" w:rsidRPr="00FE50A6">
        <w:rPr>
          <w:rFonts w:cs="Arial"/>
          <w:szCs w:val="20"/>
          <w:lang w:val="en-US"/>
        </w:rPr>
        <w:t>j</w:t>
      </w:r>
      <w:r w:rsidR="00452450" w:rsidRPr="00FE50A6">
        <w:rPr>
          <w:rFonts w:cs="Arial"/>
          <w:szCs w:val="20"/>
          <w:lang w:val="en-US"/>
        </w:rPr>
        <w:t xml:space="preserve">udge against the owner of </w:t>
      </w:r>
      <w:r w:rsidR="0003391C" w:rsidRPr="00FE50A6">
        <w:rPr>
          <w:rFonts w:cs="Arial"/>
          <w:iCs/>
          <w:szCs w:val="20"/>
          <w:lang w:val="en-US"/>
        </w:rPr>
        <w:t xml:space="preserve">Hacienda </w:t>
      </w:r>
      <w:r w:rsidR="00322241" w:rsidRPr="00FE50A6">
        <w:rPr>
          <w:rFonts w:cs="Arial"/>
          <w:iCs/>
          <w:szCs w:val="20"/>
          <w:lang w:val="en-US"/>
        </w:rPr>
        <w:t>Brasil Verde</w:t>
      </w:r>
      <w:r w:rsidR="0003391C" w:rsidRPr="00FE50A6">
        <w:rPr>
          <w:rFonts w:cs="Arial"/>
          <w:iCs/>
          <w:szCs w:val="20"/>
          <w:lang w:val="en-US"/>
        </w:rPr>
        <w:t>,</w:t>
      </w:r>
      <w:r w:rsidR="0003391C" w:rsidRPr="00FE50A6">
        <w:rPr>
          <w:rFonts w:cs="Arial"/>
          <w:i/>
          <w:iCs/>
          <w:szCs w:val="20"/>
          <w:lang w:val="en-US"/>
        </w:rPr>
        <w:t xml:space="preserve"> </w:t>
      </w:r>
      <w:r w:rsidR="0003391C" w:rsidRPr="00FE50A6">
        <w:rPr>
          <w:rFonts w:cs="Arial"/>
          <w:szCs w:val="20"/>
          <w:lang w:val="en-US"/>
        </w:rPr>
        <w:t>João Luiz Quagliato</w:t>
      </w:r>
      <w:r w:rsidR="00452450" w:rsidRPr="00FE50A6">
        <w:rPr>
          <w:rFonts w:cs="Arial"/>
          <w:szCs w:val="20"/>
          <w:lang w:val="en-US"/>
        </w:rPr>
        <w:t>.</w:t>
      </w:r>
      <w:r w:rsidR="0003391C" w:rsidRPr="00FE50A6">
        <w:rPr>
          <w:rStyle w:val="Refdenotaalpie"/>
          <w:rFonts w:cs="Arial"/>
          <w:lang w:val="en-US"/>
        </w:rPr>
        <w:footnoteReference w:id="194"/>
      </w:r>
      <w:r w:rsidR="0003391C" w:rsidRPr="00FE50A6">
        <w:rPr>
          <w:rFonts w:cs="Times New Roman"/>
          <w:szCs w:val="20"/>
          <w:lang w:val="en-US"/>
        </w:rPr>
        <w:t xml:space="preserve"> </w:t>
      </w:r>
      <w:r w:rsidR="00F8114C" w:rsidRPr="00FE50A6">
        <w:rPr>
          <w:rFonts w:cs="Arial"/>
          <w:szCs w:val="20"/>
          <w:lang w:val="en-US"/>
        </w:rPr>
        <w:t xml:space="preserve">The </w:t>
      </w:r>
      <w:r w:rsidR="006B2842" w:rsidRPr="00FE50A6">
        <w:rPr>
          <w:rFonts w:cs="Arial"/>
          <w:szCs w:val="20"/>
          <w:lang w:val="en-US"/>
        </w:rPr>
        <w:t>Prosecu</w:t>
      </w:r>
      <w:r w:rsidR="00452450" w:rsidRPr="00FE50A6">
        <w:rPr>
          <w:rFonts w:cs="Arial"/>
          <w:szCs w:val="20"/>
          <w:lang w:val="en-US"/>
        </w:rPr>
        <w:t>tor underscored that it could be concluded that: (i)</w:t>
      </w:r>
      <w:r w:rsidR="0003391C" w:rsidRPr="00FE50A6">
        <w:rPr>
          <w:rFonts w:cs="Arial"/>
          <w:szCs w:val="20"/>
          <w:lang w:val="en-US"/>
        </w:rPr>
        <w:t xml:space="preserve"> Hacienda </w:t>
      </w:r>
      <w:r w:rsidR="00322241" w:rsidRPr="00FE50A6">
        <w:rPr>
          <w:rFonts w:cs="Arial"/>
          <w:szCs w:val="20"/>
          <w:lang w:val="en-US"/>
        </w:rPr>
        <w:t>Brasil Verde</w:t>
      </w:r>
      <w:r w:rsidR="0003391C" w:rsidRPr="00FE50A6">
        <w:rPr>
          <w:rFonts w:cs="Arial"/>
          <w:szCs w:val="20"/>
          <w:lang w:val="en-US"/>
        </w:rPr>
        <w:t xml:space="preserve"> </w:t>
      </w:r>
      <w:r w:rsidR="00452450" w:rsidRPr="00FE50A6">
        <w:rPr>
          <w:rFonts w:cs="Arial"/>
          <w:szCs w:val="20"/>
          <w:lang w:val="en-US"/>
        </w:rPr>
        <w:t>kept workers “</w:t>
      </w:r>
      <w:r w:rsidR="003D756E" w:rsidRPr="00FE50A6">
        <w:rPr>
          <w:rFonts w:cs="Arial"/>
          <w:szCs w:val="20"/>
          <w:lang w:val="en-US"/>
        </w:rPr>
        <w:t>under</w:t>
      </w:r>
      <w:r w:rsidR="00452450" w:rsidRPr="00FE50A6">
        <w:rPr>
          <w:rFonts w:cs="Arial"/>
          <w:szCs w:val="20"/>
          <w:lang w:val="en-US"/>
        </w:rPr>
        <w:t xml:space="preserve"> a private prison system”; (ii) “the work [was] characterized by the system of </w:t>
      </w:r>
      <w:r w:rsidR="00D11A9F" w:rsidRPr="00FE50A6">
        <w:rPr>
          <w:rFonts w:cs="Arial"/>
          <w:szCs w:val="20"/>
          <w:lang w:val="en-US"/>
        </w:rPr>
        <w:t>slavery</w:t>
      </w:r>
      <w:r w:rsidR="00452450" w:rsidRPr="00FE50A6">
        <w:rPr>
          <w:rFonts w:cs="Arial"/>
          <w:szCs w:val="20"/>
          <w:lang w:val="en-US"/>
        </w:rPr>
        <w:t>,</w:t>
      </w:r>
      <w:r w:rsidR="009C48A4" w:rsidRPr="00FE50A6">
        <w:rPr>
          <w:rFonts w:cs="Arial"/>
          <w:szCs w:val="20"/>
          <w:lang w:val="en-US"/>
        </w:rPr>
        <w:t>”</w:t>
      </w:r>
      <w:r w:rsidR="00030C17" w:rsidRPr="00FE50A6">
        <w:rPr>
          <w:rFonts w:cs="Arial"/>
          <w:szCs w:val="20"/>
          <w:lang w:val="en-US"/>
        </w:rPr>
        <w:t xml:space="preserve"> and </w:t>
      </w:r>
      <w:r w:rsidR="00452450" w:rsidRPr="00FE50A6">
        <w:rPr>
          <w:rFonts w:cs="Arial"/>
          <w:szCs w:val="20"/>
          <w:lang w:val="en-US"/>
        </w:rPr>
        <w:t>(</w:t>
      </w:r>
      <w:r w:rsidR="0003391C" w:rsidRPr="00FE50A6">
        <w:rPr>
          <w:rFonts w:cs="Arial"/>
          <w:szCs w:val="20"/>
          <w:lang w:val="en-US"/>
        </w:rPr>
        <w:t xml:space="preserve">iii) </w:t>
      </w:r>
      <w:r w:rsidR="00452450" w:rsidRPr="00FE50A6">
        <w:rPr>
          <w:rFonts w:cs="Arial"/>
          <w:szCs w:val="20"/>
          <w:lang w:val="en-US"/>
        </w:rPr>
        <w:t>the situation was aggravated because those involved were illiterate rural works, without any education, who had been subjected “to degrading living conditions.</w:t>
      </w:r>
      <w:r w:rsidR="009C48A4" w:rsidRPr="00FE50A6">
        <w:rPr>
          <w:rFonts w:cs="Arial"/>
          <w:szCs w:val="20"/>
          <w:lang w:val="en-US"/>
        </w:rPr>
        <w:t>”</w:t>
      </w:r>
      <w:r w:rsidR="0003391C" w:rsidRPr="00FE50A6">
        <w:rPr>
          <w:rStyle w:val="Refdenotaalpie"/>
          <w:rFonts w:cs="Arial"/>
          <w:lang w:val="en-US"/>
        </w:rPr>
        <w:footnoteReference w:id="195"/>
      </w:r>
      <w:r w:rsidR="0003391C" w:rsidRPr="00FE50A6">
        <w:rPr>
          <w:rFonts w:cs="Arial"/>
          <w:szCs w:val="20"/>
          <w:lang w:val="en-US"/>
        </w:rPr>
        <w:t xml:space="preserve"> </w:t>
      </w:r>
    </w:p>
    <w:p w14:paraId="6C33D7F1" w14:textId="77777777" w:rsidR="0003391C" w:rsidRPr="00FE50A6" w:rsidRDefault="0003391C" w:rsidP="00140440">
      <w:pPr>
        <w:pStyle w:val="Prrafodelista"/>
        <w:autoSpaceDE w:val="0"/>
        <w:autoSpaceDN w:val="0"/>
        <w:adjustRightInd w:val="0"/>
        <w:ind w:left="0"/>
        <w:contextualSpacing w:val="0"/>
        <w:rPr>
          <w:rFonts w:cs="Arial"/>
          <w:szCs w:val="20"/>
          <w:lang w:val="en-US"/>
        </w:rPr>
      </w:pPr>
    </w:p>
    <w:p w14:paraId="1BF030AA" w14:textId="77777777" w:rsidR="0003391C" w:rsidRPr="00FE50A6" w:rsidRDefault="00452450"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Based on the above, the Labor Public Prosecutor</w:t>
      </w:r>
      <w:r w:rsidR="0003391C" w:rsidRPr="00FE50A6">
        <w:rPr>
          <w:rFonts w:cs="Arial"/>
          <w:szCs w:val="20"/>
          <w:lang w:val="en-US"/>
        </w:rPr>
        <w:t xml:space="preserve"> conclu</w:t>
      </w:r>
      <w:r w:rsidRPr="00FE50A6">
        <w:rPr>
          <w:rFonts w:cs="Arial"/>
          <w:szCs w:val="20"/>
          <w:lang w:val="en-US"/>
        </w:rPr>
        <w:t>ded that</w:t>
      </w:r>
      <w:r w:rsidR="0003391C" w:rsidRPr="00FE50A6">
        <w:rPr>
          <w:rFonts w:cs="Arial"/>
          <w:szCs w:val="20"/>
          <w:lang w:val="en-US"/>
        </w:rPr>
        <w:t xml:space="preserve"> João Luiz Quagliato </w:t>
      </w:r>
      <w:r w:rsidRPr="00FE50A6">
        <w:rPr>
          <w:rFonts w:cs="Arial"/>
          <w:szCs w:val="20"/>
          <w:lang w:val="en-US"/>
        </w:rPr>
        <w:t>must</w:t>
      </w:r>
      <w:r w:rsidR="0003391C" w:rsidRPr="00FE50A6">
        <w:rPr>
          <w:rFonts w:cs="Arial"/>
          <w:szCs w:val="20"/>
          <w:lang w:val="en-US"/>
        </w:rPr>
        <w:t xml:space="preserve"> </w:t>
      </w:r>
      <w:r w:rsidR="009C48A4" w:rsidRPr="00FE50A6">
        <w:rPr>
          <w:rFonts w:cs="Arial"/>
          <w:szCs w:val="20"/>
          <w:lang w:val="en-US"/>
        </w:rPr>
        <w:t>“</w:t>
      </w:r>
      <w:r w:rsidRPr="00FE50A6">
        <w:rPr>
          <w:rFonts w:cs="Arial"/>
          <w:szCs w:val="20"/>
          <w:lang w:val="en-US"/>
        </w:rPr>
        <w:t>halt</w:t>
      </w:r>
      <w:r w:rsidR="0003391C" w:rsidRPr="00FE50A6">
        <w:rPr>
          <w:rFonts w:cs="Arial"/>
          <w:szCs w:val="20"/>
          <w:lang w:val="en-US"/>
        </w:rPr>
        <w:t xml:space="preserve"> </w:t>
      </w:r>
      <w:r w:rsidR="005F1946" w:rsidRPr="00FE50A6">
        <w:rPr>
          <w:rFonts w:cs="Arial"/>
          <w:szCs w:val="20"/>
          <w:lang w:val="en-US"/>
        </w:rPr>
        <w:t>slave labor</w:t>
      </w:r>
      <w:r w:rsidR="0003391C" w:rsidRPr="00FE50A6">
        <w:rPr>
          <w:rFonts w:cs="Arial"/>
          <w:szCs w:val="20"/>
          <w:lang w:val="en-US"/>
        </w:rPr>
        <w:t xml:space="preserve">, </w:t>
      </w:r>
      <w:r w:rsidRPr="00FE50A6">
        <w:rPr>
          <w:rFonts w:cs="Arial"/>
          <w:szCs w:val="20"/>
          <w:lang w:val="en-US"/>
        </w:rPr>
        <w:t xml:space="preserve">ceasing forced labor and the prison regime, and never again practice </w:t>
      </w:r>
      <w:r w:rsidR="005F1946" w:rsidRPr="00FE50A6">
        <w:rPr>
          <w:rFonts w:cs="Arial"/>
          <w:szCs w:val="20"/>
          <w:lang w:val="en-US"/>
        </w:rPr>
        <w:t>slave labor</w:t>
      </w:r>
      <w:r w:rsidR="0003391C" w:rsidRPr="00FE50A6">
        <w:rPr>
          <w:rFonts w:cs="Arial"/>
          <w:szCs w:val="20"/>
          <w:lang w:val="en-US"/>
        </w:rPr>
        <w:t xml:space="preserve">, </w:t>
      </w:r>
      <w:r w:rsidRPr="00FE50A6">
        <w:rPr>
          <w:rFonts w:cs="Arial"/>
          <w:szCs w:val="20"/>
          <w:lang w:val="en-US"/>
        </w:rPr>
        <w:t xml:space="preserve">because this was a crime and </w:t>
      </w:r>
      <w:r w:rsidR="00216F2D" w:rsidRPr="00FE50A6">
        <w:rPr>
          <w:rFonts w:cs="Arial"/>
          <w:szCs w:val="20"/>
          <w:lang w:val="en-US"/>
        </w:rPr>
        <w:t>a violation of</w:t>
      </w:r>
      <w:r w:rsidRPr="00FE50A6">
        <w:rPr>
          <w:rFonts w:cs="Arial"/>
          <w:szCs w:val="20"/>
          <w:lang w:val="en-US"/>
        </w:rPr>
        <w:t xml:space="preserve"> freedom of work.</w:t>
      </w:r>
      <w:r w:rsidR="009C48A4" w:rsidRPr="00FE50A6">
        <w:rPr>
          <w:rFonts w:cs="Arial"/>
          <w:szCs w:val="20"/>
          <w:lang w:val="en-US"/>
        </w:rPr>
        <w:t>”</w:t>
      </w:r>
      <w:r w:rsidR="0003391C" w:rsidRPr="00FE50A6">
        <w:rPr>
          <w:rStyle w:val="Refdenotaalpie"/>
          <w:rFonts w:cs="Arial"/>
          <w:lang w:val="en-US"/>
        </w:rPr>
        <w:footnoteReference w:id="196"/>
      </w:r>
      <w:r w:rsidR="0003391C" w:rsidRPr="00FE50A6">
        <w:rPr>
          <w:rFonts w:cs="Arial"/>
          <w:szCs w:val="20"/>
          <w:lang w:val="en-US"/>
        </w:rPr>
        <w:t xml:space="preserve"> </w:t>
      </w:r>
    </w:p>
    <w:p w14:paraId="6887A3D3" w14:textId="77777777" w:rsidR="0003391C" w:rsidRPr="00FE50A6" w:rsidRDefault="0003391C" w:rsidP="00140440">
      <w:pPr>
        <w:pStyle w:val="Prrafodelista"/>
        <w:contextualSpacing w:val="0"/>
        <w:rPr>
          <w:rFonts w:cs="Arial"/>
          <w:szCs w:val="20"/>
          <w:lang w:val="en-US"/>
        </w:rPr>
      </w:pPr>
    </w:p>
    <w:p w14:paraId="36A4CD17" w14:textId="77777777" w:rsidR="0003391C" w:rsidRPr="00FE50A6" w:rsidRDefault="00C23CE5"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June 9,</w:t>
      </w:r>
      <w:r w:rsidR="0003391C" w:rsidRPr="00FE50A6">
        <w:rPr>
          <w:rFonts w:cs="Arial"/>
          <w:szCs w:val="20"/>
          <w:lang w:val="en-US"/>
        </w:rPr>
        <w:t xml:space="preserve"> 2000</w:t>
      </w:r>
      <w:r w:rsidRPr="00FE50A6">
        <w:rPr>
          <w:rFonts w:cs="Arial"/>
          <w:szCs w:val="20"/>
          <w:lang w:val="en-US"/>
        </w:rPr>
        <w:t>,</w:t>
      </w:r>
      <w:r w:rsidR="0003391C" w:rsidRPr="00FE50A6">
        <w:rPr>
          <w:rFonts w:cs="Arial"/>
          <w:szCs w:val="20"/>
          <w:lang w:val="en-US"/>
        </w:rPr>
        <w:t xml:space="preserve"> </w:t>
      </w:r>
      <w:r w:rsidR="00452450" w:rsidRPr="00FE50A6">
        <w:rPr>
          <w:rFonts w:cs="Arial"/>
          <w:szCs w:val="20"/>
          <w:lang w:val="en-US"/>
        </w:rPr>
        <w:t>the Conciliation and Prosecution Board</w:t>
      </w:r>
      <w:r w:rsidR="0003391C" w:rsidRPr="00FE50A6">
        <w:rPr>
          <w:rFonts w:cs="Arial"/>
          <w:szCs w:val="20"/>
          <w:lang w:val="en-US"/>
        </w:rPr>
        <w:t xml:space="preserve"> </w:t>
      </w:r>
      <w:r w:rsidR="00452450" w:rsidRPr="00FE50A6">
        <w:rPr>
          <w:rFonts w:cs="Arial"/>
          <w:szCs w:val="20"/>
          <w:lang w:val="en-US"/>
        </w:rPr>
        <w:t>of</w:t>
      </w:r>
      <w:r w:rsidR="0003391C" w:rsidRPr="00FE50A6">
        <w:rPr>
          <w:rFonts w:cs="Arial"/>
          <w:szCs w:val="20"/>
          <w:lang w:val="en-US"/>
        </w:rPr>
        <w:t xml:space="preserve"> </w:t>
      </w:r>
      <w:r w:rsidR="00E0432D" w:rsidRPr="00FE50A6">
        <w:rPr>
          <w:rFonts w:cs="Arial"/>
          <w:szCs w:val="20"/>
          <w:lang w:val="en-US"/>
        </w:rPr>
        <w:t xml:space="preserve">Conceição do </w:t>
      </w:r>
      <w:r w:rsidR="0003391C" w:rsidRPr="00FE50A6">
        <w:rPr>
          <w:rFonts w:cs="Arial"/>
          <w:szCs w:val="20"/>
          <w:lang w:val="en-US"/>
        </w:rPr>
        <w:t xml:space="preserve">Araguaia </w:t>
      </w:r>
      <w:r w:rsidR="00452450" w:rsidRPr="00FE50A6">
        <w:rPr>
          <w:rFonts w:cs="Arial"/>
          <w:szCs w:val="20"/>
          <w:lang w:val="en-US"/>
        </w:rPr>
        <w:t>summoned the</w:t>
      </w:r>
      <w:r w:rsidR="0003391C" w:rsidRPr="00FE50A6">
        <w:rPr>
          <w:rFonts w:cs="Arial"/>
          <w:szCs w:val="20"/>
          <w:lang w:val="en-US"/>
        </w:rPr>
        <w:t xml:space="preserve"> </w:t>
      </w:r>
      <w:r w:rsidR="00452450" w:rsidRPr="00FE50A6">
        <w:rPr>
          <w:rFonts w:cs="Arial"/>
          <w:szCs w:val="20"/>
          <w:lang w:val="en-US"/>
        </w:rPr>
        <w:t>Labor Public Prosecutor</w:t>
      </w:r>
      <w:r w:rsidR="00030C17" w:rsidRPr="00FE50A6">
        <w:rPr>
          <w:rFonts w:cs="Arial"/>
          <w:szCs w:val="20"/>
          <w:lang w:val="en-US"/>
        </w:rPr>
        <w:t xml:space="preserve"> and </w:t>
      </w:r>
      <w:r w:rsidR="0003391C" w:rsidRPr="00FE50A6">
        <w:rPr>
          <w:rFonts w:cs="Arial"/>
          <w:szCs w:val="20"/>
          <w:lang w:val="en-US"/>
        </w:rPr>
        <w:t xml:space="preserve">João Luiz Quagliato </w:t>
      </w:r>
      <w:r w:rsidR="00452450" w:rsidRPr="00FE50A6">
        <w:rPr>
          <w:rFonts w:cs="Arial"/>
          <w:szCs w:val="20"/>
          <w:lang w:val="en-US"/>
        </w:rPr>
        <w:t xml:space="preserve">to a hearing concerning the </w:t>
      </w:r>
      <w:r w:rsidR="003D756E" w:rsidRPr="00FE50A6">
        <w:rPr>
          <w:rFonts w:cs="Arial"/>
          <w:szCs w:val="20"/>
          <w:lang w:val="en-US"/>
        </w:rPr>
        <w:t>charges</w:t>
      </w:r>
      <w:r w:rsidR="00452450" w:rsidRPr="00FE50A6">
        <w:rPr>
          <w:rFonts w:cs="Arial"/>
          <w:szCs w:val="20"/>
          <w:lang w:val="en-US"/>
        </w:rPr>
        <w:t xml:space="preserve"> filed by the</w:t>
      </w:r>
      <w:r w:rsidR="0003391C" w:rsidRPr="00FE50A6">
        <w:rPr>
          <w:rFonts w:cs="Arial"/>
          <w:szCs w:val="20"/>
          <w:lang w:val="en-US"/>
        </w:rPr>
        <w:t xml:space="preserve"> </w:t>
      </w:r>
      <w:r w:rsidR="00F8114C" w:rsidRPr="00FE50A6">
        <w:rPr>
          <w:rFonts w:cs="Arial"/>
          <w:szCs w:val="20"/>
          <w:lang w:val="en-US"/>
        </w:rPr>
        <w:t>Public</w:t>
      </w:r>
      <w:r w:rsidR="006B2842" w:rsidRPr="00FE50A6">
        <w:rPr>
          <w:rFonts w:cs="Arial"/>
          <w:szCs w:val="20"/>
          <w:lang w:val="en-US"/>
        </w:rPr>
        <w:t xml:space="preserve"> Prosecution Service</w:t>
      </w:r>
      <w:r w:rsidR="00452450" w:rsidRPr="00FE50A6">
        <w:rPr>
          <w:rFonts w:cs="Arial"/>
          <w:szCs w:val="20"/>
          <w:lang w:val="en-US"/>
        </w:rPr>
        <w:t>,</w:t>
      </w:r>
      <w:r w:rsidR="0003391C" w:rsidRPr="00FE50A6">
        <w:rPr>
          <w:rStyle w:val="Refdenotaalpie"/>
          <w:rFonts w:cs="Arial"/>
          <w:lang w:val="en-US"/>
        </w:rPr>
        <w:footnoteReference w:id="197"/>
      </w:r>
      <w:r w:rsidR="00452450" w:rsidRPr="00FE50A6">
        <w:rPr>
          <w:rFonts w:cs="Arial"/>
          <w:szCs w:val="20"/>
          <w:lang w:val="en-US"/>
        </w:rPr>
        <w:t xml:space="preserve"> On July 20,</w:t>
      </w:r>
      <w:r w:rsidR="0003391C" w:rsidRPr="00FE50A6">
        <w:rPr>
          <w:rFonts w:cs="Arial"/>
          <w:szCs w:val="20"/>
          <w:lang w:val="en-US"/>
        </w:rPr>
        <w:t xml:space="preserve"> 2000</w:t>
      </w:r>
      <w:r w:rsidR="00452450" w:rsidRPr="00FE50A6">
        <w:rPr>
          <w:rFonts w:cs="Arial"/>
          <w:szCs w:val="20"/>
          <w:lang w:val="en-US"/>
        </w:rPr>
        <w:t xml:space="preserve">, the hearing was held, in </w:t>
      </w:r>
      <w:r w:rsidR="003D756E" w:rsidRPr="00FE50A6">
        <w:rPr>
          <w:rFonts w:cs="Arial"/>
          <w:szCs w:val="20"/>
          <w:lang w:val="en-US"/>
        </w:rPr>
        <w:t xml:space="preserve">the course of </w:t>
      </w:r>
      <w:r w:rsidR="00452450" w:rsidRPr="00FE50A6">
        <w:rPr>
          <w:rFonts w:cs="Arial"/>
          <w:szCs w:val="20"/>
          <w:lang w:val="en-US"/>
        </w:rPr>
        <w:t xml:space="preserve">which </w:t>
      </w:r>
      <w:r w:rsidR="0003391C" w:rsidRPr="00FE50A6">
        <w:rPr>
          <w:rFonts w:cs="Arial"/>
          <w:szCs w:val="20"/>
          <w:lang w:val="en-US"/>
        </w:rPr>
        <w:t xml:space="preserve">João Luiz Quagliato </w:t>
      </w:r>
      <w:r w:rsidR="00452450" w:rsidRPr="00FE50A6">
        <w:rPr>
          <w:rFonts w:cs="Arial"/>
          <w:szCs w:val="20"/>
          <w:lang w:val="en-US"/>
        </w:rPr>
        <w:t>undertook</w:t>
      </w:r>
      <w:r w:rsidR="0003391C" w:rsidRPr="00FE50A6">
        <w:rPr>
          <w:rFonts w:cs="Arial"/>
          <w:szCs w:val="20"/>
          <w:lang w:val="en-US"/>
        </w:rPr>
        <w:t>:</w:t>
      </w:r>
    </w:p>
    <w:p w14:paraId="6B5CB35C" w14:textId="77777777" w:rsidR="00996267" w:rsidRPr="00FE50A6" w:rsidRDefault="00996267" w:rsidP="00140440">
      <w:pPr>
        <w:autoSpaceDE w:val="0"/>
        <w:autoSpaceDN w:val="0"/>
        <w:adjustRightInd w:val="0"/>
        <w:ind w:left="720" w:right="720"/>
        <w:jc w:val="both"/>
        <w:rPr>
          <w:rFonts w:cs="Arial"/>
          <w:sz w:val="16"/>
          <w:szCs w:val="20"/>
          <w:lang w:val="en-US"/>
        </w:rPr>
      </w:pPr>
    </w:p>
    <w:p w14:paraId="5E59BF9D" w14:textId="77777777" w:rsidR="0003391C" w:rsidRPr="00FE50A6" w:rsidRDefault="00452450" w:rsidP="00452450">
      <w:pPr>
        <w:autoSpaceDE w:val="0"/>
        <w:autoSpaceDN w:val="0"/>
        <w:adjustRightInd w:val="0"/>
        <w:ind w:left="720" w:right="720"/>
        <w:jc w:val="both"/>
        <w:rPr>
          <w:rFonts w:cs="Arial"/>
          <w:sz w:val="16"/>
          <w:szCs w:val="20"/>
          <w:lang w:val="en-US"/>
        </w:rPr>
      </w:pPr>
      <w:r w:rsidRPr="00FE50A6">
        <w:rPr>
          <w:rFonts w:cs="Arial"/>
          <w:sz w:val="16"/>
          <w:szCs w:val="20"/>
          <w:lang w:val="en-US"/>
        </w:rPr>
        <w:t xml:space="preserve">Not to admit or permit the work of employees under a slavery regime, at the risk of a fine of </w:t>
      </w:r>
      <w:r w:rsidR="0003391C" w:rsidRPr="00FE50A6">
        <w:rPr>
          <w:rFonts w:cs="Arial"/>
          <w:sz w:val="16"/>
          <w:szCs w:val="20"/>
          <w:lang w:val="en-US"/>
        </w:rPr>
        <w:t>10</w:t>
      </w:r>
      <w:r w:rsidRPr="00FE50A6">
        <w:rPr>
          <w:rFonts w:cs="Arial"/>
          <w:sz w:val="16"/>
          <w:szCs w:val="20"/>
          <w:lang w:val="en-US"/>
        </w:rPr>
        <w:t>,</w:t>
      </w:r>
      <w:r w:rsidR="0003391C" w:rsidRPr="00FE50A6">
        <w:rPr>
          <w:rFonts w:cs="Arial"/>
          <w:sz w:val="16"/>
          <w:szCs w:val="20"/>
          <w:lang w:val="en-US"/>
        </w:rPr>
        <w:t xml:space="preserve">000 UFIR </w:t>
      </w:r>
      <w:r w:rsidRPr="00FE50A6">
        <w:rPr>
          <w:rFonts w:cs="Arial"/>
          <w:sz w:val="16"/>
          <w:szCs w:val="20"/>
          <w:lang w:val="en-US"/>
        </w:rPr>
        <w:t xml:space="preserve">for each worker, white or black, found in that situation; to provide lodging, sanitary facilities, potable water, and accommodation that was decent for people […] at the risk of a fine of </w:t>
      </w:r>
      <w:r w:rsidR="0003391C" w:rsidRPr="00FE50A6">
        <w:rPr>
          <w:rFonts w:cs="Arial"/>
          <w:sz w:val="16"/>
          <w:szCs w:val="20"/>
          <w:lang w:val="en-US"/>
        </w:rPr>
        <w:t xml:space="preserve">500 UFIR </w:t>
      </w:r>
      <w:r w:rsidRPr="00FE50A6">
        <w:rPr>
          <w:rFonts w:cs="Arial"/>
          <w:sz w:val="16"/>
          <w:szCs w:val="20"/>
          <w:lang w:val="en-US"/>
        </w:rPr>
        <w:t xml:space="preserve">for non-compliance </w:t>
      </w:r>
      <w:r w:rsidR="0003391C" w:rsidRPr="00FE50A6">
        <w:rPr>
          <w:rFonts w:cs="Arial"/>
          <w:sz w:val="16"/>
          <w:szCs w:val="20"/>
          <w:lang w:val="en-US"/>
        </w:rPr>
        <w:t>[</w:t>
      </w:r>
      <w:r w:rsidR="008B21C8" w:rsidRPr="00FE50A6">
        <w:rPr>
          <w:rFonts w:cs="Arial"/>
          <w:sz w:val="16"/>
          <w:szCs w:val="20"/>
          <w:lang w:val="en-US"/>
        </w:rPr>
        <w:t>…</w:t>
      </w:r>
      <w:r w:rsidR="0003391C" w:rsidRPr="00FE50A6">
        <w:rPr>
          <w:rFonts w:cs="Arial"/>
          <w:sz w:val="16"/>
          <w:szCs w:val="20"/>
          <w:lang w:val="en-US"/>
        </w:rPr>
        <w:t>]</w:t>
      </w:r>
      <w:r w:rsidRPr="00FE50A6">
        <w:rPr>
          <w:rFonts w:cs="Arial"/>
          <w:sz w:val="16"/>
          <w:szCs w:val="20"/>
          <w:lang w:val="en-US"/>
        </w:rPr>
        <w:t xml:space="preserve">; not to request employees to sign blank documents of any kind, at the risk of a fine of </w:t>
      </w:r>
      <w:r w:rsidR="0003391C" w:rsidRPr="00FE50A6">
        <w:rPr>
          <w:rFonts w:cs="Arial"/>
          <w:sz w:val="16"/>
          <w:szCs w:val="20"/>
          <w:lang w:val="en-US"/>
        </w:rPr>
        <w:t xml:space="preserve">100 UFIR </w:t>
      </w:r>
      <w:r w:rsidRPr="00FE50A6">
        <w:rPr>
          <w:rFonts w:cs="Arial"/>
          <w:sz w:val="16"/>
          <w:szCs w:val="20"/>
          <w:lang w:val="en-US"/>
        </w:rPr>
        <w:t>for any document found in this condition.</w:t>
      </w:r>
      <w:r w:rsidR="0003391C" w:rsidRPr="00FE50A6">
        <w:rPr>
          <w:rStyle w:val="Refdenotaalpie"/>
          <w:rFonts w:cs="Arial"/>
          <w:sz w:val="16"/>
          <w:lang w:val="en-US"/>
        </w:rPr>
        <w:footnoteReference w:id="198"/>
      </w:r>
    </w:p>
    <w:p w14:paraId="3418D928" w14:textId="77777777" w:rsidR="0003391C" w:rsidRPr="00FE50A6" w:rsidRDefault="0003391C" w:rsidP="00140440">
      <w:pPr>
        <w:autoSpaceDE w:val="0"/>
        <w:autoSpaceDN w:val="0"/>
        <w:adjustRightInd w:val="0"/>
        <w:jc w:val="both"/>
        <w:rPr>
          <w:rFonts w:cs="Arial"/>
          <w:szCs w:val="20"/>
          <w:lang w:val="en-US"/>
        </w:rPr>
      </w:pPr>
    </w:p>
    <w:p w14:paraId="384F9552" w14:textId="77777777" w:rsidR="0003391C" w:rsidRPr="00FE50A6" w:rsidRDefault="00452450" w:rsidP="0014044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On August 14,</w:t>
      </w:r>
      <w:r w:rsidR="0003391C" w:rsidRPr="00FE50A6">
        <w:rPr>
          <w:rFonts w:cs="Arial"/>
          <w:szCs w:val="20"/>
          <w:lang w:val="en-US"/>
        </w:rPr>
        <w:t xml:space="preserve"> 2000</w:t>
      </w:r>
      <w:r w:rsidRPr="00FE50A6">
        <w:rPr>
          <w:rFonts w:cs="Arial"/>
          <w:szCs w:val="20"/>
          <w:lang w:val="en-US"/>
        </w:rPr>
        <w:t>,</w:t>
      </w:r>
      <w:r w:rsidR="0003391C" w:rsidRPr="00FE50A6">
        <w:rPr>
          <w:rFonts w:cs="Arial"/>
          <w:szCs w:val="20"/>
          <w:lang w:val="en-US"/>
        </w:rPr>
        <w:t xml:space="preserve"> </w:t>
      </w:r>
      <w:r w:rsidR="00F8114C" w:rsidRPr="00FE50A6">
        <w:rPr>
          <w:rFonts w:cs="Arial"/>
          <w:szCs w:val="20"/>
          <w:lang w:val="en-US"/>
        </w:rPr>
        <w:t xml:space="preserve">the </w:t>
      </w:r>
      <w:r w:rsidRPr="00FE50A6">
        <w:rPr>
          <w:rFonts w:cs="Arial"/>
          <w:szCs w:val="20"/>
          <w:lang w:val="en-US"/>
        </w:rPr>
        <w:t>Labor Public Prosecutor</w:t>
      </w:r>
      <w:r w:rsidR="0003391C" w:rsidRPr="00FE50A6">
        <w:rPr>
          <w:rFonts w:cs="Arial"/>
          <w:szCs w:val="20"/>
          <w:lang w:val="en-US"/>
        </w:rPr>
        <w:t xml:space="preserve"> </w:t>
      </w:r>
      <w:r w:rsidRPr="00FE50A6">
        <w:rPr>
          <w:rFonts w:cs="Arial"/>
          <w:szCs w:val="20"/>
          <w:lang w:val="en-US"/>
        </w:rPr>
        <w:t>asked the Pará</w:t>
      </w:r>
      <w:r w:rsidR="0003391C" w:rsidRPr="00FE50A6">
        <w:rPr>
          <w:rFonts w:cs="Arial"/>
          <w:szCs w:val="20"/>
          <w:lang w:val="en-US"/>
        </w:rPr>
        <w:t xml:space="preserve"> </w:t>
      </w:r>
      <w:r w:rsidR="003D756E" w:rsidRPr="00FE50A6">
        <w:rPr>
          <w:rFonts w:cs="Arial"/>
          <w:szCs w:val="20"/>
          <w:lang w:val="en-US"/>
        </w:rPr>
        <w:t xml:space="preserve">Regional Labor Delegation </w:t>
      </w:r>
      <w:r w:rsidRPr="00FE50A6">
        <w:rPr>
          <w:rFonts w:cs="Arial"/>
          <w:szCs w:val="20"/>
          <w:lang w:val="en-US"/>
        </w:rPr>
        <w:t xml:space="preserve">to </w:t>
      </w:r>
      <w:r w:rsidR="003D756E" w:rsidRPr="00FE50A6">
        <w:rPr>
          <w:rFonts w:cs="Arial"/>
          <w:szCs w:val="20"/>
          <w:lang w:val="en-US"/>
        </w:rPr>
        <w:t>determine whether</w:t>
      </w:r>
      <w:r w:rsidRPr="00FE50A6">
        <w:rPr>
          <w:rFonts w:cs="Arial"/>
          <w:szCs w:val="20"/>
          <w:lang w:val="en-US"/>
        </w:rPr>
        <w:t xml:space="preserve"> João Luiz Quagliato was complying with the terms of the judicial arrangement he had reached with the Labor Public Prosecutor.</w:t>
      </w:r>
      <w:r w:rsidR="0003391C" w:rsidRPr="00FE50A6">
        <w:rPr>
          <w:rStyle w:val="Refdenotaalpie"/>
          <w:rFonts w:cs="Arial"/>
          <w:lang w:val="en-US"/>
        </w:rPr>
        <w:footnoteReference w:id="199"/>
      </w:r>
      <w:r w:rsidR="0003391C" w:rsidRPr="00FE50A6">
        <w:rPr>
          <w:rFonts w:cs="Arial"/>
          <w:szCs w:val="20"/>
          <w:lang w:val="en-US"/>
        </w:rPr>
        <w:t xml:space="preserve"> </w:t>
      </w:r>
      <w:r w:rsidRPr="00FE50A6">
        <w:rPr>
          <w:rFonts w:cs="Arial"/>
          <w:szCs w:val="20"/>
          <w:lang w:val="en-US"/>
        </w:rPr>
        <w:t>On August 18,</w:t>
      </w:r>
      <w:r w:rsidR="0003391C" w:rsidRPr="00FE50A6">
        <w:rPr>
          <w:rFonts w:cs="Arial"/>
          <w:szCs w:val="20"/>
          <w:lang w:val="en-US"/>
        </w:rPr>
        <w:t xml:space="preserve"> 2000</w:t>
      </w:r>
      <w:r w:rsidRPr="00FE50A6">
        <w:rPr>
          <w:rFonts w:cs="Arial"/>
          <w:szCs w:val="20"/>
          <w:lang w:val="en-US"/>
        </w:rPr>
        <w:t>, the proceedings were archived.</w:t>
      </w:r>
      <w:r w:rsidR="0003391C" w:rsidRPr="00FE50A6">
        <w:rPr>
          <w:rStyle w:val="Refdenotaalpie"/>
          <w:rFonts w:cs="Arial"/>
          <w:lang w:val="en-US"/>
        </w:rPr>
        <w:footnoteReference w:id="200"/>
      </w:r>
    </w:p>
    <w:p w14:paraId="602030B2" w14:textId="77777777" w:rsidR="0003391C" w:rsidRPr="00FE50A6" w:rsidRDefault="0003391C" w:rsidP="00140440">
      <w:pPr>
        <w:pStyle w:val="Prrafodelista"/>
        <w:autoSpaceDE w:val="0"/>
        <w:autoSpaceDN w:val="0"/>
        <w:adjustRightInd w:val="0"/>
        <w:ind w:left="0"/>
        <w:contextualSpacing w:val="0"/>
        <w:rPr>
          <w:rFonts w:cs="Arial"/>
          <w:i/>
          <w:iCs/>
          <w:szCs w:val="20"/>
          <w:lang w:val="en-US"/>
        </w:rPr>
      </w:pPr>
    </w:p>
    <w:p w14:paraId="4DF9088F" w14:textId="77777777" w:rsidR="0003391C" w:rsidRPr="00FE50A6" w:rsidRDefault="00833DD0" w:rsidP="00140440">
      <w:pPr>
        <w:pStyle w:val="Prrafodelista"/>
        <w:numPr>
          <w:ilvl w:val="0"/>
          <w:numId w:val="1"/>
        </w:numPr>
        <w:autoSpaceDE w:val="0"/>
        <w:autoSpaceDN w:val="0"/>
        <w:adjustRightInd w:val="0"/>
        <w:contextualSpacing w:val="0"/>
        <w:rPr>
          <w:rFonts w:cs="Arial"/>
          <w:i/>
          <w:iCs/>
          <w:szCs w:val="20"/>
          <w:lang w:val="en-US"/>
        </w:rPr>
      </w:pPr>
      <w:r w:rsidRPr="00FE50A6">
        <w:rPr>
          <w:rFonts w:cs="Arial"/>
          <w:szCs w:val="20"/>
          <w:lang w:val="en-US"/>
        </w:rPr>
        <w:t>On June 21,</w:t>
      </w:r>
      <w:r w:rsidR="0003391C" w:rsidRPr="00FE50A6">
        <w:rPr>
          <w:rFonts w:cs="Arial"/>
          <w:szCs w:val="20"/>
          <w:lang w:val="en-US"/>
        </w:rPr>
        <w:t xml:space="preserve"> 2001</w:t>
      </w:r>
      <w:r w:rsidR="00164798" w:rsidRPr="00FE50A6">
        <w:rPr>
          <w:rFonts w:cs="Arial"/>
          <w:szCs w:val="20"/>
          <w:lang w:val="en-US"/>
        </w:rPr>
        <w:t>,</w:t>
      </w:r>
      <w:r w:rsidR="0003391C" w:rsidRPr="00FE50A6">
        <w:rPr>
          <w:rFonts w:cs="Arial"/>
          <w:szCs w:val="20"/>
          <w:lang w:val="en-US"/>
        </w:rPr>
        <w:t xml:space="preserve"> </w:t>
      </w:r>
      <w:r w:rsidR="00F8114C" w:rsidRPr="00FE50A6">
        <w:rPr>
          <w:rFonts w:cs="Arial"/>
          <w:szCs w:val="20"/>
          <w:lang w:val="en-US"/>
        </w:rPr>
        <w:t xml:space="preserve">the </w:t>
      </w:r>
      <w:r w:rsidR="00452450" w:rsidRPr="00FE50A6">
        <w:rPr>
          <w:rFonts w:cs="Arial"/>
          <w:szCs w:val="20"/>
          <w:lang w:val="en-US"/>
        </w:rPr>
        <w:t>Labor Public Prosecut</w:t>
      </w:r>
      <w:r w:rsidR="00164798" w:rsidRPr="00FE50A6">
        <w:rPr>
          <w:rFonts w:cs="Arial"/>
          <w:szCs w:val="20"/>
          <w:lang w:val="en-US"/>
        </w:rPr>
        <w:t>ion Service</w:t>
      </w:r>
      <w:r w:rsidR="0003391C" w:rsidRPr="00FE50A6">
        <w:rPr>
          <w:rFonts w:cs="Arial"/>
          <w:szCs w:val="20"/>
          <w:lang w:val="en-US"/>
        </w:rPr>
        <w:t xml:space="preserve"> </w:t>
      </w:r>
      <w:r w:rsidRPr="00FE50A6">
        <w:rPr>
          <w:rFonts w:cs="Arial"/>
          <w:szCs w:val="20"/>
          <w:lang w:val="en-US"/>
        </w:rPr>
        <w:t>forwarded to the</w:t>
      </w:r>
      <w:r w:rsidR="0003391C" w:rsidRPr="00FE50A6">
        <w:rPr>
          <w:rFonts w:cs="Arial"/>
          <w:szCs w:val="20"/>
          <w:lang w:val="en-US"/>
        </w:rPr>
        <w:t xml:space="preserve"> </w:t>
      </w:r>
      <w:r w:rsidR="00164F75" w:rsidRPr="00FE50A6">
        <w:rPr>
          <w:rFonts w:cs="Arial"/>
          <w:szCs w:val="20"/>
          <w:lang w:val="en-US"/>
        </w:rPr>
        <w:t>Assistant Prosecutor</w:t>
      </w:r>
      <w:r w:rsidR="0003391C" w:rsidRPr="00FE50A6">
        <w:rPr>
          <w:rFonts w:cs="Arial"/>
          <w:szCs w:val="20"/>
          <w:lang w:val="en-US"/>
        </w:rPr>
        <w:t xml:space="preserve"> General </w:t>
      </w:r>
      <w:r w:rsidR="006E27EA" w:rsidRPr="00FE50A6">
        <w:rPr>
          <w:rFonts w:cs="Arial"/>
          <w:szCs w:val="20"/>
          <w:lang w:val="en-US"/>
        </w:rPr>
        <w:t>of the Republic</w:t>
      </w:r>
      <w:r w:rsidR="0003391C" w:rsidRPr="00FE50A6">
        <w:rPr>
          <w:rFonts w:cs="Arial"/>
          <w:szCs w:val="20"/>
          <w:lang w:val="en-US"/>
        </w:rPr>
        <w:t xml:space="preserve"> </w:t>
      </w:r>
      <w:r w:rsidRPr="00FE50A6">
        <w:rPr>
          <w:rFonts w:cs="Arial"/>
          <w:szCs w:val="20"/>
          <w:lang w:val="en-US"/>
        </w:rPr>
        <w:t>a detailed report of the proceedings</w:t>
      </w:r>
      <w:r w:rsidR="00164798" w:rsidRPr="00FE50A6">
        <w:rPr>
          <w:rFonts w:cs="Arial"/>
          <w:szCs w:val="20"/>
          <w:lang w:val="en-US"/>
        </w:rPr>
        <w:t xml:space="preserve"> it had</w:t>
      </w:r>
      <w:r w:rsidRPr="00FE50A6">
        <w:rPr>
          <w:rFonts w:cs="Arial"/>
          <w:szCs w:val="20"/>
          <w:lang w:val="en-US"/>
        </w:rPr>
        <w:t xml:space="preserve"> instituted in relation to the companies belonging to the </w:t>
      </w:r>
      <w:r w:rsidR="0003391C" w:rsidRPr="00FE50A6">
        <w:rPr>
          <w:rFonts w:cs="Arial"/>
          <w:szCs w:val="20"/>
          <w:lang w:val="en-US"/>
        </w:rPr>
        <w:t>Quagliato</w:t>
      </w:r>
      <w:r w:rsidRPr="00FE50A6">
        <w:rPr>
          <w:rFonts w:cs="Arial"/>
          <w:szCs w:val="20"/>
          <w:lang w:val="en-US"/>
        </w:rPr>
        <w:t xml:space="preserve"> Group</w:t>
      </w:r>
      <w:r w:rsidR="0003391C" w:rsidRPr="00FE50A6">
        <w:rPr>
          <w:rFonts w:cs="Arial"/>
          <w:szCs w:val="20"/>
          <w:lang w:val="en-US"/>
        </w:rPr>
        <w:t xml:space="preserve">, </w:t>
      </w:r>
      <w:r w:rsidRPr="00FE50A6">
        <w:rPr>
          <w:rFonts w:cs="Arial"/>
          <w:szCs w:val="20"/>
          <w:lang w:val="en-US"/>
        </w:rPr>
        <w:t>including</w:t>
      </w:r>
      <w:r w:rsidR="0003391C" w:rsidRPr="00FE50A6">
        <w:rPr>
          <w:rFonts w:cs="Arial"/>
          <w:szCs w:val="20"/>
          <w:lang w:val="en-US"/>
        </w:rPr>
        <w:t xml:space="preserve"> </w:t>
      </w:r>
      <w:r w:rsidR="0003391C" w:rsidRPr="00FE50A6">
        <w:rPr>
          <w:rFonts w:cs="Arial"/>
          <w:iCs/>
          <w:szCs w:val="20"/>
          <w:lang w:val="en-US"/>
        </w:rPr>
        <w:t xml:space="preserve">Hacienda </w:t>
      </w:r>
      <w:r w:rsidR="00322241" w:rsidRPr="00FE50A6">
        <w:rPr>
          <w:rFonts w:cs="Arial"/>
          <w:iCs/>
          <w:szCs w:val="20"/>
          <w:lang w:val="en-US"/>
        </w:rPr>
        <w:t>Brasil Verde</w:t>
      </w:r>
      <w:r w:rsidRPr="00FE50A6">
        <w:rPr>
          <w:rFonts w:cs="Arial"/>
          <w:iCs/>
          <w:szCs w:val="20"/>
          <w:lang w:val="en-US"/>
        </w:rPr>
        <w:t>.</w:t>
      </w:r>
      <w:r w:rsidR="0003391C" w:rsidRPr="00FE50A6">
        <w:rPr>
          <w:rStyle w:val="Refdenotaalpie"/>
          <w:rFonts w:cs="Arial"/>
          <w:iCs/>
          <w:lang w:val="en-US"/>
        </w:rPr>
        <w:footnoteReference w:id="201"/>
      </w:r>
    </w:p>
    <w:p w14:paraId="65CA455E" w14:textId="77777777" w:rsidR="0003391C" w:rsidRPr="00FE50A6" w:rsidRDefault="0003391C" w:rsidP="00140440">
      <w:pPr>
        <w:pStyle w:val="Prrafodelista"/>
        <w:autoSpaceDE w:val="0"/>
        <w:autoSpaceDN w:val="0"/>
        <w:adjustRightInd w:val="0"/>
        <w:ind w:left="0"/>
        <w:contextualSpacing w:val="0"/>
        <w:rPr>
          <w:rFonts w:cs="Arial"/>
          <w:iCs/>
          <w:szCs w:val="20"/>
          <w:lang w:val="en-US"/>
        </w:rPr>
      </w:pPr>
    </w:p>
    <w:p w14:paraId="1BD404D0" w14:textId="77777777" w:rsidR="0003391C" w:rsidRPr="00FE50A6" w:rsidRDefault="00833DD0" w:rsidP="00833DD0">
      <w:pPr>
        <w:pStyle w:val="Prrafodelista"/>
        <w:numPr>
          <w:ilvl w:val="0"/>
          <w:numId w:val="1"/>
        </w:numPr>
        <w:autoSpaceDE w:val="0"/>
        <w:autoSpaceDN w:val="0"/>
        <w:adjustRightInd w:val="0"/>
        <w:contextualSpacing w:val="0"/>
        <w:rPr>
          <w:rFonts w:cs="Arial"/>
          <w:i/>
          <w:iCs/>
          <w:szCs w:val="20"/>
          <w:lang w:val="en-US"/>
        </w:rPr>
      </w:pPr>
      <w:r w:rsidRPr="00FE50A6">
        <w:rPr>
          <w:rFonts w:cs="Arial"/>
          <w:szCs w:val="20"/>
          <w:lang w:val="en-US"/>
        </w:rPr>
        <w:t xml:space="preserve">From May </w:t>
      </w:r>
      <w:r w:rsidR="0003391C" w:rsidRPr="00FE50A6">
        <w:rPr>
          <w:rFonts w:cs="Arial"/>
          <w:szCs w:val="20"/>
          <w:lang w:val="en-US"/>
        </w:rPr>
        <w:t xml:space="preserve">12 </w:t>
      </w:r>
      <w:r w:rsidRPr="00FE50A6">
        <w:rPr>
          <w:rFonts w:cs="Arial"/>
          <w:szCs w:val="20"/>
          <w:lang w:val="en-US"/>
        </w:rPr>
        <w:t>to</w:t>
      </w:r>
      <w:r w:rsidR="0003391C" w:rsidRPr="00FE50A6">
        <w:rPr>
          <w:rFonts w:cs="Arial"/>
          <w:szCs w:val="20"/>
          <w:lang w:val="en-US"/>
        </w:rPr>
        <w:t xml:space="preserve"> 18</w:t>
      </w:r>
      <w:r w:rsidRPr="00FE50A6">
        <w:rPr>
          <w:rFonts w:cs="Arial"/>
          <w:szCs w:val="20"/>
          <w:lang w:val="en-US"/>
        </w:rPr>
        <w:t xml:space="preserve">, </w:t>
      </w:r>
      <w:r w:rsidR="0003391C" w:rsidRPr="00FE50A6">
        <w:rPr>
          <w:rFonts w:cs="Arial"/>
          <w:szCs w:val="20"/>
          <w:lang w:val="en-US"/>
        </w:rPr>
        <w:t>2002</w:t>
      </w:r>
      <w:r w:rsidRPr="00FE50A6">
        <w:rPr>
          <w:rFonts w:cs="Arial"/>
          <w:szCs w:val="20"/>
          <w:lang w:val="en-US"/>
        </w:rPr>
        <w:t>,</w:t>
      </w:r>
      <w:r w:rsidR="0003391C" w:rsidRPr="00FE50A6">
        <w:rPr>
          <w:rFonts w:cs="Arial"/>
          <w:szCs w:val="20"/>
          <w:lang w:val="en-US"/>
        </w:rPr>
        <w:t xml:space="preserve"> </w:t>
      </w:r>
      <w:r w:rsidRPr="00FE50A6">
        <w:rPr>
          <w:rFonts w:cs="Arial"/>
          <w:szCs w:val="20"/>
          <w:lang w:val="en-US"/>
        </w:rPr>
        <w:t>the Ministry</w:t>
      </w:r>
      <w:r w:rsidR="0081756E" w:rsidRPr="00FE50A6">
        <w:rPr>
          <w:rFonts w:cs="Arial"/>
          <w:szCs w:val="20"/>
          <w:lang w:val="en-US"/>
        </w:rPr>
        <w:t xml:space="preserve"> of Labor</w:t>
      </w:r>
      <w:r w:rsidR="0003391C" w:rsidRPr="00FE50A6">
        <w:rPr>
          <w:rFonts w:cs="Arial"/>
          <w:szCs w:val="20"/>
          <w:lang w:val="en-US"/>
        </w:rPr>
        <w:t xml:space="preserve"> </w:t>
      </w:r>
      <w:r w:rsidRPr="00FE50A6">
        <w:rPr>
          <w:rFonts w:cs="Arial"/>
          <w:szCs w:val="20"/>
          <w:lang w:val="en-US"/>
        </w:rPr>
        <w:t xml:space="preserve">conducted another inspection in </w:t>
      </w:r>
      <w:r w:rsidR="0003391C" w:rsidRPr="00FE50A6">
        <w:rPr>
          <w:rFonts w:cs="Arial"/>
          <w:szCs w:val="20"/>
          <w:lang w:val="en-US"/>
        </w:rPr>
        <w:t>Xinguara, Curionópolis</w:t>
      </w:r>
      <w:r w:rsidR="00030C17" w:rsidRPr="00FE50A6">
        <w:rPr>
          <w:rFonts w:cs="Arial"/>
          <w:szCs w:val="20"/>
          <w:lang w:val="en-US"/>
        </w:rPr>
        <w:t xml:space="preserve"> and </w:t>
      </w:r>
      <w:r w:rsidR="0003391C" w:rsidRPr="00FE50A6">
        <w:rPr>
          <w:rFonts w:cs="Arial"/>
          <w:szCs w:val="20"/>
          <w:lang w:val="en-US"/>
        </w:rPr>
        <w:t xml:space="preserve">Sapucaia </w:t>
      </w:r>
      <w:r w:rsidRPr="00FE50A6">
        <w:rPr>
          <w:rFonts w:cs="Arial"/>
          <w:szCs w:val="20"/>
          <w:lang w:val="en-US"/>
        </w:rPr>
        <w:t>to verify compliance with the agreements reached between the Labor Public Prosecut</w:t>
      </w:r>
      <w:r w:rsidR="00164798" w:rsidRPr="00FE50A6">
        <w:rPr>
          <w:rFonts w:cs="Arial"/>
          <w:szCs w:val="20"/>
          <w:lang w:val="en-US"/>
        </w:rPr>
        <w:t>ion Service</w:t>
      </w:r>
      <w:r w:rsidRPr="00FE50A6">
        <w:rPr>
          <w:rFonts w:cs="Arial"/>
          <w:szCs w:val="20"/>
          <w:lang w:val="en-US"/>
        </w:rPr>
        <w:t xml:space="preserve"> and several rural employers.</w:t>
      </w:r>
      <w:r w:rsidR="0003391C" w:rsidRPr="00FE50A6">
        <w:rPr>
          <w:rStyle w:val="Refdenotaalpie"/>
          <w:rFonts w:cs="Arial"/>
          <w:lang w:val="en-US"/>
        </w:rPr>
        <w:footnoteReference w:id="202"/>
      </w:r>
      <w:r w:rsidRPr="00FE50A6">
        <w:rPr>
          <w:rFonts w:cs="Arial"/>
          <w:szCs w:val="20"/>
          <w:lang w:val="en-US"/>
        </w:rPr>
        <w:t xml:space="preserve"> A visit was made to</w:t>
      </w:r>
      <w:r w:rsidR="0003391C" w:rsidRPr="00FE50A6">
        <w:rPr>
          <w:rFonts w:cs="Arial"/>
          <w:szCs w:val="20"/>
          <w:lang w:val="en-US"/>
        </w:rPr>
        <w:t xml:space="preserve"> </w:t>
      </w:r>
      <w:r w:rsidR="0003391C" w:rsidRPr="00FE50A6">
        <w:rPr>
          <w:rFonts w:cs="Arial"/>
          <w:iCs/>
          <w:szCs w:val="20"/>
          <w:lang w:val="en-US"/>
        </w:rPr>
        <w:t xml:space="preserve">Hacienda </w:t>
      </w:r>
      <w:r w:rsidR="00322241" w:rsidRPr="00FE50A6">
        <w:rPr>
          <w:rFonts w:cs="Arial"/>
          <w:iCs/>
          <w:szCs w:val="20"/>
          <w:lang w:val="en-US"/>
        </w:rPr>
        <w:t>Brasil Verde</w:t>
      </w:r>
      <w:r w:rsidRPr="00FE50A6">
        <w:rPr>
          <w:rFonts w:cs="Arial"/>
          <w:iCs/>
          <w:szCs w:val="20"/>
          <w:lang w:val="en-US"/>
        </w:rPr>
        <w:t xml:space="preserve"> during this inspection.</w:t>
      </w:r>
      <w:r w:rsidR="0003391C" w:rsidRPr="00FE50A6">
        <w:rPr>
          <w:rStyle w:val="Refdenotaalpie"/>
          <w:rFonts w:cs="Arial"/>
          <w:iCs/>
          <w:lang w:val="en-US"/>
        </w:rPr>
        <w:footnoteReference w:id="203"/>
      </w:r>
      <w:r w:rsidR="0003391C" w:rsidRPr="00FE50A6">
        <w:rPr>
          <w:rFonts w:cs="Arial"/>
          <w:iCs/>
          <w:szCs w:val="20"/>
          <w:lang w:val="en-US"/>
        </w:rPr>
        <w:t xml:space="preserve"> </w:t>
      </w:r>
      <w:r w:rsidRPr="00FE50A6">
        <w:rPr>
          <w:rFonts w:cs="Arial"/>
          <w:iCs/>
          <w:szCs w:val="20"/>
          <w:lang w:val="en-US"/>
        </w:rPr>
        <w:t xml:space="preserve">Following the inspection, it was concluded that the employers were complying with their </w:t>
      </w:r>
      <w:r w:rsidR="00164798" w:rsidRPr="00FE50A6">
        <w:rPr>
          <w:rFonts w:cs="Arial"/>
          <w:iCs/>
          <w:szCs w:val="20"/>
          <w:lang w:val="en-US"/>
        </w:rPr>
        <w:t>commitments</w:t>
      </w:r>
      <w:r w:rsidR="0003391C" w:rsidRPr="00FE50A6">
        <w:rPr>
          <w:rStyle w:val="Refdenotaalpie"/>
          <w:rFonts w:cs="Arial"/>
          <w:lang w:val="en-US"/>
        </w:rPr>
        <w:footnoteReference w:id="204"/>
      </w:r>
      <w:r w:rsidRPr="00FE50A6">
        <w:rPr>
          <w:rFonts w:cs="Arial"/>
          <w:szCs w:val="20"/>
          <w:lang w:val="en-US"/>
        </w:rPr>
        <w:t xml:space="preserve"> and that, as a result of </w:t>
      </w:r>
      <w:r w:rsidR="00164798" w:rsidRPr="00FE50A6">
        <w:rPr>
          <w:rFonts w:cs="Arial"/>
          <w:szCs w:val="20"/>
          <w:lang w:val="en-US"/>
        </w:rPr>
        <w:t>these undertakings</w:t>
      </w:r>
      <w:r w:rsidRPr="00FE50A6">
        <w:rPr>
          <w:rFonts w:cs="Arial"/>
          <w:szCs w:val="20"/>
          <w:lang w:val="en-US"/>
        </w:rPr>
        <w:t xml:space="preserve">, the direct management of the employees by the employer had eliminated the workers’ financial and material dependence on the </w:t>
      </w:r>
      <w:r w:rsidRPr="00FE50A6">
        <w:rPr>
          <w:rFonts w:cs="Arial"/>
          <w:i/>
          <w:szCs w:val="20"/>
          <w:lang w:val="en-US"/>
        </w:rPr>
        <w:t>gatos</w:t>
      </w:r>
      <w:r w:rsidRPr="00FE50A6">
        <w:rPr>
          <w:rFonts w:cs="Arial"/>
          <w:szCs w:val="20"/>
          <w:lang w:val="en-US"/>
        </w:rPr>
        <w:t>, who were the cause of the practice of forced labor and conditions similar to those of slavery.</w:t>
      </w:r>
      <w:r w:rsidR="0003391C" w:rsidRPr="00FE50A6">
        <w:rPr>
          <w:rStyle w:val="Refdenotaalpie"/>
          <w:rFonts w:cs="Arial"/>
          <w:lang w:val="en-US"/>
        </w:rPr>
        <w:footnoteReference w:id="205"/>
      </w:r>
    </w:p>
    <w:p w14:paraId="2FC954FD" w14:textId="77777777" w:rsidR="0003391C" w:rsidRPr="00FE50A6" w:rsidRDefault="0003391C" w:rsidP="00140440">
      <w:pPr>
        <w:pStyle w:val="Prrafodelista"/>
        <w:contextualSpacing w:val="0"/>
        <w:rPr>
          <w:rFonts w:cs="Arial"/>
          <w:i/>
          <w:iCs/>
          <w:szCs w:val="20"/>
          <w:lang w:val="en-US"/>
        </w:rPr>
      </w:pPr>
    </w:p>
    <w:p w14:paraId="59CE34F1" w14:textId="77777777" w:rsidR="00E137D8" w:rsidRPr="00FE50A6" w:rsidRDefault="00964D0C" w:rsidP="008622F3">
      <w:pPr>
        <w:pStyle w:val="Ttulo3"/>
        <w:rPr>
          <w:lang w:val="en-US"/>
        </w:rPr>
      </w:pPr>
      <w:bookmarkStart w:id="272" w:name="_Toc460433018"/>
      <w:bookmarkStart w:id="273" w:name="_Toc460441949"/>
      <w:bookmarkStart w:id="274" w:name="_Toc462750767"/>
      <w:bookmarkStart w:id="275" w:name="_Toc462751091"/>
      <w:bookmarkStart w:id="276" w:name="_Toc464813943"/>
      <w:r w:rsidRPr="00FE50A6">
        <w:rPr>
          <w:lang w:val="en-US"/>
        </w:rPr>
        <w:t>B</w:t>
      </w:r>
      <w:r w:rsidR="004E708F" w:rsidRPr="00FE50A6">
        <w:rPr>
          <w:lang w:val="en-US"/>
        </w:rPr>
        <w:t>.5</w:t>
      </w:r>
      <w:r w:rsidR="00DC2886" w:rsidRPr="00FE50A6">
        <w:rPr>
          <w:lang w:val="en-US"/>
        </w:rPr>
        <w:t>.</w:t>
      </w:r>
      <w:r w:rsidR="00E137D8" w:rsidRPr="00FE50A6">
        <w:rPr>
          <w:lang w:val="en-US"/>
        </w:rPr>
        <w:t xml:space="preserve"> </w:t>
      </w:r>
      <w:r w:rsidR="00833DD0" w:rsidRPr="00FE50A6">
        <w:rPr>
          <w:lang w:val="en-US"/>
        </w:rPr>
        <w:t>Criminal proceedings in relation to the 2000 inspection</w:t>
      </w:r>
      <w:bookmarkEnd w:id="272"/>
      <w:bookmarkEnd w:id="273"/>
      <w:bookmarkEnd w:id="274"/>
      <w:bookmarkEnd w:id="275"/>
      <w:bookmarkEnd w:id="276"/>
    </w:p>
    <w:p w14:paraId="56D1E2E2" w14:textId="77777777" w:rsidR="00E137D8" w:rsidRPr="00FE50A6" w:rsidRDefault="00E137D8" w:rsidP="00140440">
      <w:pPr>
        <w:pStyle w:val="Prrafodelista"/>
        <w:contextualSpacing w:val="0"/>
        <w:rPr>
          <w:rFonts w:cs="Arial"/>
          <w:i/>
          <w:iCs/>
          <w:szCs w:val="20"/>
          <w:lang w:val="en-US"/>
        </w:rPr>
      </w:pPr>
    </w:p>
    <w:p w14:paraId="4CF9D011" w14:textId="77777777" w:rsidR="0003391C" w:rsidRPr="00FE50A6" w:rsidRDefault="00833DD0" w:rsidP="00833DD0">
      <w:pPr>
        <w:pStyle w:val="Prrafodelista"/>
        <w:numPr>
          <w:ilvl w:val="0"/>
          <w:numId w:val="1"/>
        </w:numPr>
        <w:autoSpaceDE w:val="0"/>
        <w:autoSpaceDN w:val="0"/>
        <w:adjustRightInd w:val="0"/>
        <w:contextualSpacing w:val="0"/>
        <w:rPr>
          <w:rFonts w:cs="Arial"/>
          <w:i/>
          <w:iCs/>
          <w:szCs w:val="20"/>
          <w:lang w:val="en-US"/>
        </w:rPr>
      </w:pPr>
      <w:r w:rsidRPr="00FE50A6">
        <w:rPr>
          <w:rFonts w:cs="Arial"/>
          <w:szCs w:val="20"/>
          <w:lang w:val="en-US"/>
        </w:rPr>
        <w:t>In</w:t>
      </w:r>
      <w:r w:rsidR="00E137D8" w:rsidRPr="00FE50A6">
        <w:rPr>
          <w:rFonts w:cs="Arial"/>
          <w:szCs w:val="20"/>
          <w:lang w:val="en-US"/>
        </w:rPr>
        <w:t xml:space="preserve"> </w:t>
      </w:r>
      <w:r w:rsidR="0003391C" w:rsidRPr="00FE50A6">
        <w:rPr>
          <w:rFonts w:cs="Arial"/>
          <w:szCs w:val="20"/>
          <w:lang w:val="en-US"/>
        </w:rPr>
        <w:t xml:space="preserve">2000, </w:t>
      </w:r>
      <w:r w:rsidRPr="00FE50A6">
        <w:rPr>
          <w:rFonts w:cs="Arial"/>
          <w:szCs w:val="20"/>
          <w:lang w:val="en-US"/>
        </w:rPr>
        <w:t xml:space="preserve">following the inspection in </w:t>
      </w:r>
      <w:r w:rsidR="0003391C" w:rsidRPr="00FE50A6">
        <w:rPr>
          <w:rFonts w:cs="Arial"/>
          <w:szCs w:val="20"/>
          <w:lang w:val="en-US"/>
        </w:rPr>
        <w:t xml:space="preserve">Hacienda </w:t>
      </w:r>
      <w:r w:rsidR="00322241" w:rsidRPr="00FE50A6">
        <w:rPr>
          <w:rFonts w:cs="Arial"/>
          <w:szCs w:val="20"/>
          <w:lang w:val="en-US"/>
        </w:rPr>
        <w:t>Brasil Verde</w:t>
      </w:r>
      <w:r w:rsidR="00D94AC6" w:rsidRPr="00FE50A6">
        <w:rPr>
          <w:rFonts w:cs="Arial"/>
          <w:szCs w:val="20"/>
          <w:lang w:val="en-US"/>
        </w:rPr>
        <w:t>,</w:t>
      </w:r>
      <w:r w:rsidR="0003391C" w:rsidRPr="00FE50A6">
        <w:rPr>
          <w:rFonts w:cs="Arial"/>
          <w:szCs w:val="20"/>
          <w:lang w:val="en-US"/>
        </w:rPr>
        <w:t xml:space="preserve"> </w:t>
      </w:r>
      <w:r w:rsidRPr="00FE50A6">
        <w:rPr>
          <w:rFonts w:cs="Arial"/>
          <w:szCs w:val="20"/>
          <w:lang w:val="en-US"/>
        </w:rPr>
        <w:t>the</w:t>
      </w:r>
      <w:r w:rsidR="00E137D8" w:rsidRPr="00FE50A6">
        <w:rPr>
          <w:rFonts w:cs="Arial"/>
          <w:szCs w:val="20"/>
          <w:lang w:val="en-US"/>
        </w:rPr>
        <w:t xml:space="preserve"> </w:t>
      </w:r>
      <w:r w:rsidR="00DC398B" w:rsidRPr="00FE50A6">
        <w:rPr>
          <w:rFonts w:cs="Arial"/>
          <w:szCs w:val="20"/>
          <w:lang w:val="en-US"/>
        </w:rPr>
        <w:t>Federal Public Prosecution Service</w:t>
      </w:r>
      <w:r w:rsidR="00E137D8" w:rsidRPr="00FE50A6">
        <w:rPr>
          <w:rFonts w:cs="Arial"/>
          <w:szCs w:val="20"/>
          <w:lang w:val="en-US"/>
        </w:rPr>
        <w:t xml:space="preserve"> </w:t>
      </w:r>
      <w:r w:rsidRPr="00FE50A6">
        <w:rPr>
          <w:rFonts w:cs="Arial"/>
          <w:szCs w:val="20"/>
          <w:lang w:val="en-US"/>
        </w:rPr>
        <w:t>filed criminal complaint</w:t>
      </w:r>
      <w:r w:rsidR="00E137D8" w:rsidRPr="00FE50A6">
        <w:rPr>
          <w:rFonts w:cs="Arial"/>
          <w:szCs w:val="20"/>
          <w:lang w:val="en-US"/>
        </w:rPr>
        <w:t xml:space="preserve"> </w:t>
      </w:r>
      <w:r w:rsidR="0003391C" w:rsidRPr="00FE50A6">
        <w:rPr>
          <w:rFonts w:cs="Arial"/>
          <w:szCs w:val="20"/>
          <w:lang w:val="en-US"/>
        </w:rPr>
        <w:t xml:space="preserve">No. 0472001 </w:t>
      </w:r>
      <w:r w:rsidRPr="00FE50A6">
        <w:rPr>
          <w:rFonts w:cs="Arial"/>
          <w:szCs w:val="20"/>
          <w:lang w:val="en-US"/>
        </w:rPr>
        <w:t>before the</w:t>
      </w:r>
      <w:r w:rsidR="0003391C" w:rsidRPr="00FE50A6">
        <w:rPr>
          <w:rFonts w:cs="Arial"/>
          <w:szCs w:val="20"/>
          <w:lang w:val="en-US"/>
        </w:rPr>
        <w:t xml:space="preserve"> </w:t>
      </w:r>
      <w:r w:rsidRPr="00FE50A6">
        <w:rPr>
          <w:rFonts w:cs="Arial"/>
          <w:szCs w:val="20"/>
          <w:lang w:val="en-US"/>
        </w:rPr>
        <w:t>Marabá Federal Court</w:t>
      </w:r>
      <w:r w:rsidR="00E137D8" w:rsidRPr="00FE50A6">
        <w:rPr>
          <w:rFonts w:cs="Arial"/>
          <w:szCs w:val="20"/>
          <w:lang w:val="en-US"/>
        </w:rPr>
        <w:t>,</w:t>
      </w:r>
      <w:r w:rsidR="0003391C" w:rsidRPr="00FE50A6">
        <w:rPr>
          <w:rFonts w:cs="Arial"/>
          <w:szCs w:val="20"/>
          <w:lang w:val="en-US"/>
        </w:rPr>
        <w:t xml:space="preserve"> </w:t>
      </w:r>
      <w:r w:rsidRPr="00FE50A6">
        <w:rPr>
          <w:rFonts w:cs="Arial"/>
          <w:szCs w:val="20"/>
          <w:lang w:val="en-US"/>
        </w:rPr>
        <w:t>i</w:t>
      </w:r>
      <w:r w:rsidR="0003391C" w:rsidRPr="00FE50A6">
        <w:rPr>
          <w:rFonts w:cs="Arial"/>
          <w:szCs w:val="20"/>
          <w:lang w:val="en-US"/>
        </w:rPr>
        <w:t>n Pará.</w:t>
      </w:r>
      <w:r w:rsidRPr="00FE50A6">
        <w:rPr>
          <w:rFonts w:cs="Arial"/>
          <w:szCs w:val="20"/>
          <w:lang w:val="en-US"/>
        </w:rPr>
        <w:t xml:space="preserve"> The federal court declined competence in favor of the state court on July 11, 2001. The State advised the </w:t>
      </w:r>
      <w:r w:rsidR="00164798" w:rsidRPr="00FE50A6">
        <w:rPr>
          <w:rFonts w:cs="Arial"/>
          <w:szCs w:val="20"/>
          <w:lang w:val="en-US"/>
        </w:rPr>
        <w:t xml:space="preserve">Inter-American </w:t>
      </w:r>
      <w:r w:rsidRPr="00FE50A6">
        <w:rPr>
          <w:rFonts w:cs="Arial"/>
          <w:szCs w:val="20"/>
          <w:lang w:val="en-US"/>
        </w:rPr>
        <w:t>Court that there is no information about what happened to this complaint and that it had been unable to find a copy of the</w:t>
      </w:r>
      <w:r w:rsidR="00D41208" w:rsidRPr="00FE50A6">
        <w:rPr>
          <w:rFonts w:cs="Arial"/>
          <w:szCs w:val="20"/>
          <w:lang w:val="en-US"/>
        </w:rPr>
        <w:t xml:space="preserve"> investigation</w:t>
      </w:r>
      <w:r w:rsidRPr="00FE50A6">
        <w:rPr>
          <w:rFonts w:cs="Arial"/>
          <w:szCs w:val="20"/>
          <w:lang w:val="en-US"/>
        </w:rPr>
        <w:t xml:space="preserve"> record</w:t>
      </w:r>
      <w:r w:rsidR="00D41208" w:rsidRPr="00FE50A6">
        <w:rPr>
          <w:rFonts w:cs="Arial"/>
          <w:szCs w:val="20"/>
          <w:lang w:val="en-US"/>
        </w:rPr>
        <w:t>s</w:t>
      </w:r>
      <w:r w:rsidRPr="00FE50A6">
        <w:rPr>
          <w:rFonts w:cs="Arial"/>
          <w:szCs w:val="20"/>
          <w:lang w:val="en-US"/>
        </w:rPr>
        <w:t>.</w:t>
      </w:r>
      <w:r w:rsidR="0003391C" w:rsidRPr="00FE50A6">
        <w:rPr>
          <w:rStyle w:val="Refdenotaalpie"/>
          <w:rFonts w:cs="Arial"/>
          <w:lang w:val="en-US"/>
        </w:rPr>
        <w:footnoteReference w:id="206"/>
      </w:r>
      <w:r w:rsidR="00E137D8" w:rsidRPr="00FE50A6">
        <w:rPr>
          <w:rFonts w:cs="Arial"/>
          <w:szCs w:val="20"/>
          <w:lang w:val="en-US"/>
        </w:rPr>
        <w:t xml:space="preserve"> </w:t>
      </w:r>
      <w:r w:rsidR="00D41208" w:rsidRPr="00FE50A6">
        <w:rPr>
          <w:rFonts w:cs="Arial"/>
          <w:szCs w:val="20"/>
          <w:lang w:val="en-US"/>
        </w:rPr>
        <w:t>Therefore</w:t>
      </w:r>
      <w:r w:rsidRPr="00FE50A6">
        <w:rPr>
          <w:rFonts w:cs="Arial"/>
          <w:szCs w:val="20"/>
          <w:lang w:val="en-US"/>
        </w:rPr>
        <w:t xml:space="preserve">, the Court has no information regarding these criminal proceedings, </w:t>
      </w:r>
      <w:r w:rsidR="00D41208" w:rsidRPr="00FE50A6">
        <w:rPr>
          <w:rFonts w:cs="Arial"/>
          <w:szCs w:val="20"/>
          <w:lang w:val="en-US"/>
        </w:rPr>
        <w:t>other than</w:t>
      </w:r>
      <w:r w:rsidRPr="00FE50A6">
        <w:rPr>
          <w:rFonts w:cs="Arial"/>
          <w:szCs w:val="20"/>
          <w:lang w:val="en-US"/>
        </w:rPr>
        <w:t xml:space="preserve"> that </w:t>
      </w:r>
      <w:r w:rsidR="00D41208" w:rsidRPr="00FE50A6">
        <w:rPr>
          <w:rFonts w:cs="Arial"/>
          <w:szCs w:val="20"/>
          <w:lang w:val="en-US"/>
        </w:rPr>
        <w:t xml:space="preserve">a </w:t>
      </w:r>
      <w:r w:rsidRPr="00FE50A6">
        <w:rPr>
          <w:rFonts w:cs="Arial"/>
          <w:szCs w:val="20"/>
          <w:lang w:val="en-US"/>
        </w:rPr>
        <w:t xml:space="preserve">complaint was filed by </w:t>
      </w:r>
      <w:r w:rsidR="00F8114C" w:rsidRPr="00FE50A6">
        <w:rPr>
          <w:rFonts w:cs="Arial"/>
          <w:szCs w:val="20"/>
          <w:lang w:val="en-US"/>
        </w:rPr>
        <w:t>the Public</w:t>
      </w:r>
      <w:r w:rsidR="006B2842" w:rsidRPr="00FE50A6">
        <w:rPr>
          <w:rFonts w:cs="Arial"/>
          <w:szCs w:val="20"/>
          <w:lang w:val="en-US"/>
        </w:rPr>
        <w:t xml:space="preserve"> Prosecution Service</w:t>
      </w:r>
      <w:r w:rsidR="00030C17" w:rsidRPr="00FE50A6">
        <w:rPr>
          <w:rFonts w:cs="Arial"/>
          <w:szCs w:val="20"/>
          <w:lang w:val="en-US"/>
        </w:rPr>
        <w:t xml:space="preserve"> </w:t>
      </w:r>
      <w:r w:rsidR="00D41208" w:rsidRPr="00FE50A6">
        <w:rPr>
          <w:rFonts w:cs="Arial"/>
          <w:szCs w:val="20"/>
          <w:lang w:val="en-US"/>
        </w:rPr>
        <w:t xml:space="preserve">in relation </w:t>
      </w:r>
      <w:r w:rsidRPr="00FE50A6">
        <w:rPr>
          <w:rFonts w:cs="Arial"/>
          <w:szCs w:val="20"/>
          <w:lang w:val="en-US"/>
        </w:rPr>
        <w:t xml:space="preserve">to the </w:t>
      </w:r>
      <w:r w:rsidR="00D41208" w:rsidRPr="00FE50A6">
        <w:rPr>
          <w:rFonts w:cs="Arial"/>
          <w:szCs w:val="20"/>
          <w:lang w:val="en-US"/>
        </w:rPr>
        <w:t>facts</w:t>
      </w:r>
      <w:r w:rsidRPr="00FE50A6">
        <w:rPr>
          <w:rFonts w:cs="Arial"/>
          <w:szCs w:val="20"/>
          <w:lang w:val="en-US"/>
        </w:rPr>
        <w:t xml:space="preserve"> that were the purpose of the April 200 inspection in </w:t>
      </w:r>
      <w:r w:rsidR="00E137D8" w:rsidRPr="00FE50A6">
        <w:rPr>
          <w:rFonts w:cs="Arial"/>
          <w:szCs w:val="20"/>
          <w:lang w:val="en-US"/>
        </w:rPr>
        <w:t xml:space="preserve">Hacienda </w:t>
      </w:r>
      <w:r w:rsidR="00322241" w:rsidRPr="00FE50A6">
        <w:rPr>
          <w:rFonts w:cs="Arial"/>
          <w:szCs w:val="20"/>
          <w:lang w:val="en-US"/>
        </w:rPr>
        <w:t>Brasil Verde</w:t>
      </w:r>
      <w:r w:rsidR="00E137D8" w:rsidRPr="00FE50A6">
        <w:rPr>
          <w:rFonts w:cs="Arial"/>
          <w:szCs w:val="20"/>
          <w:lang w:val="en-US"/>
        </w:rPr>
        <w:t xml:space="preserve">. </w:t>
      </w:r>
    </w:p>
    <w:p w14:paraId="26AFFF75" w14:textId="77777777" w:rsidR="0003391C" w:rsidRPr="00FE50A6" w:rsidRDefault="0003391C" w:rsidP="00140440">
      <w:pPr>
        <w:pStyle w:val="Prrafodelista"/>
        <w:autoSpaceDE w:val="0"/>
        <w:autoSpaceDN w:val="0"/>
        <w:adjustRightInd w:val="0"/>
        <w:ind w:left="0"/>
        <w:contextualSpacing w:val="0"/>
        <w:rPr>
          <w:rFonts w:cs="Arial"/>
          <w:iCs/>
          <w:szCs w:val="20"/>
          <w:lang w:val="en-US"/>
        </w:rPr>
      </w:pPr>
    </w:p>
    <w:p w14:paraId="48E7F8D4" w14:textId="77777777" w:rsidR="0003391C" w:rsidRPr="00FE50A6" w:rsidRDefault="00964D0C" w:rsidP="008622F3">
      <w:pPr>
        <w:pStyle w:val="Ttulo3"/>
        <w:rPr>
          <w:lang w:val="en-US"/>
        </w:rPr>
      </w:pPr>
      <w:bookmarkStart w:id="277" w:name="_Toc460433019"/>
      <w:bookmarkStart w:id="278" w:name="_Toc460441950"/>
      <w:bookmarkStart w:id="279" w:name="_Toc462750768"/>
      <w:bookmarkStart w:id="280" w:name="_Toc462751092"/>
      <w:bookmarkStart w:id="281" w:name="_Toc464813944"/>
      <w:r w:rsidRPr="00FE50A6">
        <w:rPr>
          <w:lang w:val="en-US"/>
        </w:rPr>
        <w:t>B</w:t>
      </w:r>
      <w:r w:rsidR="004E708F" w:rsidRPr="00FE50A6">
        <w:rPr>
          <w:lang w:val="en-US"/>
        </w:rPr>
        <w:t>.6</w:t>
      </w:r>
      <w:r w:rsidR="00DC2886" w:rsidRPr="00FE50A6">
        <w:rPr>
          <w:lang w:val="en-US"/>
        </w:rPr>
        <w:t xml:space="preserve">. </w:t>
      </w:r>
      <w:r w:rsidR="00833DD0" w:rsidRPr="00FE50A6">
        <w:rPr>
          <w:lang w:val="en-US"/>
        </w:rPr>
        <w:t>The current situation of</w:t>
      </w:r>
      <w:r w:rsidR="0003391C" w:rsidRPr="00FE50A6">
        <w:rPr>
          <w:lang w:val="en-US"/>
        </w:rPr>
        <w:t xml:space="preserve"> </w:t>
      </w:r>
      <w:r w:rsidR="008B075C" w:rsidRPr="00FE50A6">
        <w:rPr>
          <w:lang w:val="en-US"/>
        </w:rPr>
        <w:t xml:space="preserve">Iron Canuto </w:t>
      </w:r>
      <w:r w:rsidR="00BE63A6" w:rsidRPr="00FE50A6">
        <w:rPr>
          <w:lang w:val="en-US"/>
        </w:rPr>
        <w:t>da Silva</w:t>
      </w:r>
      <w:r w:rsidR="00030C17" w:rsidRPr="00FE50A6">
        <w:rPr>
          <w:lang w:val="en-US"/>
        </w:rPr>
        <w:t xml:space="preserve"> and </w:t>
      </w:r>
      <w:r w:rsidR="00200C04" w:rsidRPr="00FE50A6">
        <w:rPr>
          <w:lang w:val="en-US"/>
        </w:rPr>
        <w:t xml:space="preserve">Luis Ferreira </w:t>
      </w:r>
      <w:bookmarkEnd w:id="277"/>
      <w:bookmarkEnd w:id="278"/>
      <w:bookmarkEnd w:id="279"/>
      <w:bookmarkEnd w:id="280"/>
      <w:bookmarkEnd w:id="281"/>
      <w:r w:rsidR="00701BB2" w:rsidRPr="00FE50A6">
        <w:rPr>
          <w:lang w:val="en-US"/>
        </w:rPr>
        <w:t xml:space="preserve">da Cruz </w:t>
      </w:r>
    </w:p>
    <w:p w14:paraId="0641C83E" w14:textId="77777777" w:rsidR="0003391C" w:rsidRPr="00FE50A6" w:rsidRDefault="0003391C" w:rsidP="00140440">
      <w:pPr>
        <w:pStyle w:val="Prrafodelista"/>
        <w:contextualSpacing w:val="0"/>
        <w:rPr>
          <w:rFonts w:cs="Arial"/>
          <w:i/>
          <w:iCs/>
          <w:szCs w:val="20"/>
          <w:lang w:val="en-US"/>
        </w:rPr>
      </w:pPr>
    </w:p>
    <w:p w14:paraId="24ABA33B" w14:textId="77777777" w:rsidR="0003391C" w:rsidRPr="00FE50A6" w:rsidRDefault="00833DD0" w:rsidP="00140440">
      <w:pPr>
        <w:pStyle w:val="Prrafodelista"/>
        <w:numPr>
          <w:ilvl w:val="0"/>
          <w:numId w:val="1"/>
        </w:numPr>
        <w:autoSpaceDE w:val="0"/>
        <w:autoSpaceDN w:val="0"/>
        <w:adjustRightInd w:val="0"/>
        <w:contextualSpacing w:val="0"/>
        <w:rPr>
          <w:rFonts w:cs="Arial"/>
          <w:iCs/>
          <w:szCs w:val="20"/>
          <w:lang w:val="en-US"/>
        </w:rPr>
      </w:pPr>
      <w:r w:rsidRPr="00FE50A6">
        <w:rPr>
          <w:rFonts w:cs="Arial"/>
          <w:iCs/>
          <w:szCs w:val="20"/>
          <w:lang w:val="en-US"/>
        </w:rPr>
        <w:t>On October 29,</w:t>
      </w:r>
      <w:r w:rsidR="0003391C" w:rsidRPr="00FE50A6">
        <w:rPr>
          <w:rFonts w:cs="Arial"/>
          <w:iCs/>
          <w:szCs w:val="20"/>
          <w:lang w:val="en-US"/>
        </w:rPr>
        <w:t xml:space="preserve"> 2007</w:t>
      </w:r>
      <w:r w:rsidR="009C27BB" w:rsidRPr="00FE50A6">
        <w:rPr>
          <w:rFonts w:cs="Arial"/>
          <w:iCs/>
          <w:szCs w:val="20"/>
          <w:lang w:val="en-US"/>
        </w:rPr>
        <w:t xml:space="preserve">, the </w:t>
      </w:r>
      <w:r w:rsidR="00D41208" w:rsidRPr="00FE50A6">
        <w:rPr>
          <w:rFonts w:cs="Arial"/>
          <w:iCs/>
          <w:szCs w:val="20"/>
          <w:lang w:val="en-US"/>
        </w:rPr>
        <w:t>head</w:t>
      </w:r>
      <w:r w:rsidR="009C27BB" w:rsidRPr="00FE50A6">
        <w:rPr>
          <w:rFonts w:cs="Arial"/>
          <w:iCs/>
          <w:szCs w:val="20"/>
          <w:lang w:val="en-US"/>
        </w:rPr>
        <w:t xml:space="preserve"> of the Pará Police Department request the</w:t>
      </w:r>
      <w:r w:rsidR="00D41208" w:rsidRPr="00FE50A6">
        <w:rPr>
          <w:rFonts w:cs="Arial"/>
          <w:iCs/>
          <w:szCs w:val="20"/>
          <w:lang w:val="en-US"/>
        </w:rPr>
        <w:t xml:space="preserve"> </w:t>
      </w:r>
      <w:r w:rsidR="00C61525" w:rsidRPr="00FE50A6">
        <w:rPr>
          <w:rFonts w:cs="Arial"/>
          <w:i/>
          <w:iCs/>
          <w:szCs w:val="20"/>
          <w:lang w:val="en-US"/>
        </w:rPr>
        <w:t xml:space="preserve">Comissão Pastoral da Terra </w:t>
      </w:r>
      <w:r w:rsidR="0003391C" w:rsidRPr="00FE50A6">
        <w:rPr>
          <w:rFonts w:cs="Arial"/>
          <w:iCs/>
          <w:szCs w:val="20"/>
          <w:lang w:val="en-US"/>
        </w:rPr>
        <w:t xml:space="preserve"> </w:t>
      </w:r>
      <w:r w:rsidR="009C27BB" w:rsidRPr="00FE50A6">
        <w:rPr>
          <w:rFonts w:cs="Arial"/>
          <w:iCs/>
          <w:szCs w:val="20"/>
          <w:lang w:val="en-US"/>
        </w:rPr>
        <w:t xml:space="preserve">to forward a copy of the report of the disappearance of </w:t>
      </w:r>
      <w:r w:rsidR="008B075C" w:rsidRPr="00FE50A6">
        <w:rPr>
          <w:rFonts w:cs="Arial"/>
          <w:iCs/>
          <w:szCs w:val="20"/>
          <w:lang w:val="en-US"/>
        </w:rPr>
        <w:t xml:space="preserve">Iron Canuto </w:t>
      </w:r>
      <w:r w:rsidR="00BE63A6" w:rsidRPr="00FE50A6">
        <w:rPr>
          <w:rFonts w:cs="Arial"/>
          <w:iCs/>
          <w:szCs w:val="20"/>
          <w:lang w:val="en-US"/>
        </w:rPr>
        <w:t>da Silva</w:t>
      </w:r>
      <w:r w:rsidR="00030C17" w:rsidRPr="00FE50A6">
        <w:rPr>
          <w:rFonts w:cs="Arial"/>
          <w:iCs/>
          <w:szCs w:val="20"/>
          <w:lang w:val="en-US"/>
        </w:rPr>
        <w:t xml:space="preserve"> and </w:t>
      </w:r>
      <w:r w:rsidR="00200C04" w:rsidRPr="00FE50A6">
        <w:rPr>
          <w:rFonts w:cs="Arial"/>
          <w:iCs/>
          <w:szCs w:val="20"/>
          <w:lang w:val="en-US"/>
        </w:rPr>
        <w:t xml:space="preserve">Luis Ferreira </w:t>
      </w:r>
      <w:r w:rsidR="00701BB2" w:rsidRPr="00FE50A6">
        <w:rPr>
          <w:rFonts w:cs="Arial"/>
          <w:iCs/>
          <w:szCs w:val="20"/>
          <w:lang w:val="en-US"/>
        </w:rPr>
        <w:t xml:space="preserve">da Cruz </w:t>
      </w:r>
      <w:r w:rsidR="009C27BB" w:rsidRPr="00FE50A6">
        <w:rPr>
          <w:rFonts w:cs="Arial"/>
          <w:iCs/>
          <w:szCs w:val="20"/>
          <w:lang w:val="en-US"/>
        </w:rPr>
        <w:t>to support the investigation into the facts.</w:t>
      </w:r>
      <w:r w:rsidR="0003391C" w:rsidRPr="00FE50A6">
        <w:rPr>
          <w:rStyle w:val="Refdenotaalpie"/>
          <w:rFonts w:cs="Arial"/>
          <w:iCs/>
          <w:lang w:val="en-US"/>
        </w:rPr>
        <w:footnoteReference w:id="207"/>
      </w:r>
      <w:r w:rsidR="0003391C" w:rsidRPr="00FE50A6">
        <w:rPr>
          <w:rFonts w:cs="Arial"/>
          <w:iCs/>
          <w:szCs w:val="20"/>
          <w:lang w:val="en-US"/>
        </w:rPr>
        <w:t xml:space="preserve"> </w:t>
      </w:r>
      <w:r w:rsidRPr="00FE50A6">
        <w:rPr>
          <w:rFonts w:cs="Arial"/>
          <w:iCs/>
          <w:szCs w:val="20"/>
          <w:lang w:val="en-US"/>
        </w:rPr>
        <w:t>In July</w:t>
      </w:r>
      <w:r w:rsidR="00F443BC" w:rsidRPr="00FE50A6">
        <w:rPr>
          <w:rFonts w:cs="Arial"/>
          <w:iCs/>
          <w:szCs w:val="20"/>
          <w:lang w:val="en-US"/>
        </w:rPr>
        <w:t xml:space="preserve"> 2007</w:t>
      </w:r>
      <w:r w:rsidR="00030C17" w:rsidRPr="00FE50A6">
        <w:rPr>
          <w:rFonts w:cs="Arial"/>
          <w:iCs/>
          <w:szCs w:val="20"/>
          <w:lang w:val="en-US"/>
        </w:rPr>
        <w:t xml:space="preserve"> and </w:t>
      </w:r>
      <w:r w:rsidRPr="00FE50A6">
        <w:rPr>
          <w:rFonts w:cs="Arial"/>
          <w:iCs/>
          <w:szCs w:val="20"/>
          <w:lang w:val="en-US"/>
        </w:rPr>
        <w:t>February</w:t>
      </w:r>
      <w:r w:rsidR="0003391C" w:rsidRPr="00FE50A6">
        <w:rPr>
          <w:rFonts w:cs="Arial"/>
          <w:iCs/>
          <w:szCs w:val="20"/>
          <w:lang w:val="en-US"/>
        </w:rPr>
        <w:t xml:space="preserve"> 2009</w:t>
      </w:r>
      <w:r w:rsidR="009C27BB" w:rsidRPr="00FE50A6">
        <w:rPr>
          <w:rFonts w:cs="Arial"/>
          <w:iCs/>
          <w:szCs w:val="20"/>
          <w:lang w:val="en-US"/>
        </w:rPr>
        <w:t>,</w:t>
      </w:r>
      <w:r w:rsidR="0003391C" w:rsidRPr="00FE50A6">
        <w:rPr>
          <w:rFonts w:cs="Arial"/>
          <w:iCs/>
          <w:szCs w:val="20"/>
          <w:lang w:val="en-US"/>
        </w:rPr>
        <w:t xml:space="preserve"> </w:t>
      </w:r>
      <w:r w:rsidR="009C27BB" w:rsidRPr="00FE50A6">
        <w:rPr>
          <w:rFonts w:cs="Arial"/>
          <w:iCs/>
          <w:szCs w:val="20"/>
          <w:lang w:val="en-US"/>
        </w:rPr>
        <w:t>the Pará State Secretariat for Justice and Human Rights interviewed the next of kin of</w:t>
      </w:r>
      <w:r w:rsidR="0003391C" w:rsidRPr="00FE50A6">
        <w:rPr>
          <w:rFonts w:cs="Arial"/>
          <w:iCs/>
          <w:szCs w:val="20"/>
          <w:lang w:val="en-US"/>
        </w:rPr>
        <w:t xml:space="preserve"> </w:t>
      </w:r>
      <w:r w:rsidR="008B075C" w:rsidRPr="00FE50A6">
        <w:rPr>
          <w:rFonts w:cs="Arial"/>
          <w:iCs/>
          <w:szCs w:val="20"/>
          <w:lang w:val="en-US"/>
        </w:rPr>
        <w:t>Iron Canuto da Silva</w:t>
      </w:r>
      <w:r w:rsidR="00030C17" w:rsidRPr="00FE50A6">
        <w:rPr>
          <w:rFonts w:cs="Arial"/>
          <w:iCs/>
          <w:szCs w:val="20"/>
          <w:lang w:val="en-US"/>
        </w:rPr>
        <w:t xml:space="preserve"> and </w:t>
      </w:r>
      <w:r w:rsidR="00200C04" w:rsidRPr="00FE50A6">
        <w:rPr>
          <w:rFonts w:cs="Arial"/>
          <w:iCs/>
          <w:szCs w:val="20"/>
          <w:lang w:val="en-US"/>
        </w:rPr>
        <w:t>Luis Ferreira da Cruz</w:t>
      </w:r>
      <w:r w:rsidR="0003391C" w:rsidRPr="00FE50A6">
        <w:rPr>
          <w:rFonts w:cs="Arial"/>
          <w:iCs/>
          <w:szCs w:val="20"/>
          <w:lang w:val="en-US"/>
        </w:rPr>
        <w:t xml:space="preserve"> </w:t>
      </w:r>
      <w:r w:rsidR="009C27BB" w:rsidRPr="00FE50A6">
        <w:rPr>
          <w:rFonts w:cs="Arial"/>
          <w:iCs/>
          <w:szCs w:val="20"/>
          <w:lang w:val="en-US"/>
        </w:rPr>
        <w:t>to obtain information on their whereabouts.</w:t>
      </w:r>
      <w:r w:rsidR="0003391C" w:rsidRPr="00FE50A6">
        <w:rPr>
          <w:rStyle w:val="Refdenotaalpie"/>
          <w:rFonts w:cs="Arial"/>
          <w:iCs/>
          <w:lang w:val="en-US"/>
        </w:rPr>
        <w:footnoteReference w:id="208"/>
      </w:r>
      <w:r w:rsidR="0003391C" w:rsidRPr="00FE50A6">
        <w:rPr>
          <w:rFonts w:cs="Arial"/>
          <w:iCs/>
          <w:szCs w:val="20"/>
          <w:lang w:val="en-US"/>
        </w:rPr>
        <w:t xml:space="preserve"> </w:t>
      </w:r>
    </w:p>
    <w:p w14:paraId="67A1C474" w14:textId="77777777" w:rsidR="0003391C" w:rsidRPr="00FE50A6" w:rsidRDefault="0003391C" w:rsidP="00140440">
      <w:pPr>
        <w:pStyle w:val="Prrafodelista"/>
        <w:autoSpaceDE w:val="0"/>
        <w:autoSpaceDN w:val="0"/>
        <w:adjustRightInd w:val="0"/>
        <w:ind w:left="0"/>
        <w:contextualSpacing w:val="0"/>
        <w:rPr>
          <w:rFonts w:cs="Arial"/>
          <w:iCs/>
          <w:szCs w:val="20"/>
          <w:lang w:val="en-US"/>
        </w:rPr>
      </w:pPr>
    </w:p>
    <w:p w14:paraId="43FA94EB" w14:textId="77777777" w:rsidR="0003391C" w:rsidRPr="00FE50A6" w:rsidRDefault="008B075C" w:rsidP="00140440">
      <w:pPr>
        <w:pStyle w:val="Prrafodelista"/>
        <w:numPr>
          <w:ilvl w:val="0"/>
          <w:numId w:val="1"/>
        </w:numPr>
        <w:autoSpaceDE w:val="0"/>
        <w:autoSpaceDN w:val="0"/>
        <w:adjustRightInd w:val="0"/>
        <w:contextualSpacing w:val="0"/>
        <w:rPr>
          <w:rFonts w:cs="Arial"/>
          <w:iCs/>
          <w:szCs w:val="20"/>
          <w:lang w:val="en-US"/>
        </w:rPr>
      </w:pPr>
      <w:r w:rsidRPr="00FE50A6">
        <w:rPr>
          <w:rFonts w:cs="Arial"/>
          <w:iCs/>
          <w:szCs w:val="20"/>
          <w:lang w:val="en-US"/>
        </w:rPr>
        <w:t>Iron Canuto da Silva</w:t>
      </w:r>
      <w:r w:rsidR="009C27BB" w:rsidRPr="00FE50A6">
        <w:rPr>
          <w:rFonts w:cs="Arial"/>
          <w:iCs/>
          <w:szCs w:val="20"/>
          <w:lang w:val="en-US"/>
        </w:rPr>
        <w:t xml:space="preserve">’s companion advised that she had lived with him for 13 years and </w:t>
      </w:r>
      <w:r w:rsidR="00D41208" w:rsidRPr="00FE50A6">
        <w:rPr>
          <w:rFonts w:cs="Arial"/>
          <w:iCs/>
          <w:szCs w:val="20"/>
          <w:lang w:val="en-US"/>
        </w:rPr>
        <w:t xml:space="preserve">that </w:t>
      </w:r>
      <w:r w:rsidR="009C27BB" w:rsidRPr="00FE50A6">
        <w:rPr>
          <w:rFonts w:cs="Arial"/>
          <w:iCs/>
          <w:szCs w:val="20"/>
          <w:lang w:val="en-US"/>
        </w:rPr>
        <w:t xml:space="preserve">they had had four children; she had lived with him in </w:t>
      </w:r>
      <w:r w:rsidR="0079367B" w:rsidRPr="00FE50A6">
        <w:rPr>
          <w:rFonts w:cs="Arial"/>
          <w:iCs/>
          <w:szCs w:val="20"/>
          <w:lang w:val="en-US"/>
        </w:rPr>
        <w:t xml:space="preserve">Arapoema, </w:t>
      </w:r>
      <w:r w:rsidR="009C27BB" w:rsidRPr="00FE50A6">
        <w:rPr>
          <w:rFonts w:cs="Arial"/>
          <w:iCs/>
          <w:szCs w:val="20"/>
          <w:lang w:val="en-US"/>
        </w:rPr>
        <w:t>state of</w:t>
      </w:r>
      <w:r w:rsidR="0003391C" w:rsidRPr="00FE50A6">
        <w:rPr>
          <w:rFonts w:cs="Arial"/>
          <w:iCs/>
          <w:szCs w:val="20"/>
          <w:lang w:val="en-US"/>
        </w:rPr>
        <w:t xml:space="preserve"> Tocantins</w:t>
      </w:r>
      <w:r w:rsidR="00D41208" w:rsidRPr="00FE50A6">
        <w:rPr>
          <w:rFonts w:cs="Arial"/>
          <w:iCs/>
          <w:szCs w:val="20"/>
          <w:lang w:val="en-US"/>
        </w:rPr>
        <w:t>,</w:t>
      </w:r>
      <w:r w:rsidR="0003391C" w:rsidRPr="00FE50A6">
        <w:rPr>
          <w:rFonts w:cs="Arial"/>
          <w:iCs/>
          <w:szCs w:val="20"/>
          <w:lang w:val="en-US"/>
        </w:rPr>
        <w:t xml:space="preserve"> </w:t>
      </w:r>
      <w:r w:rsidR="009C27BB" w:rsidRPr="00FE50A6">
        <w:rPr>
          <w:rFonts w:cs="Arial"/>
          <w:iCs/>
          <w:szCs w:val="20"/>
          <w:lang w:val="en-US"/>
        </w:rPr>
        <w:t>i</w:t>
      </w:r>
      <w:r w:rsidR="00DF7B9B" w:rsidRPr="00FE50A6">
        <w:rPr>
          <w:rFonts w:cs="Arial"/>
          <w:iCs/>
          <w:szCs w:val="20"/>
          <w:lang w:val="en-US"/>
        </w:rPr>
        <w:t>n 1994</w:t>
      </w:r>
      <w:r w:rsidR="00030C17" w:rsidRPr="00FE50A6">
        <w:rPr>
          <w:rFonts w:cs="Arial"/>
          <w:iCs/>
          <w:szCs w:val="20"/>
          <w:lang w:val="en-US"/>
        </w:rPr>
        <w:t xml:space="preserve"> and</w:t>
      </w:r>
      <w:r w:rsidR="009C27BB" w:rsidRPr="00FE50A6">
        <w:rPr>
          <w:rFonts w:cs="Arial"/>
          <w:iCs/>
          <w:szCs w:val="20"/>
          <w:lang w:val="en-US"/>
        </w:rPr>
        <w:t xml:space="preserve"> subsequently in </w:t>
      </w:r>
      <w:r w:rsidR="00DF7B9B" w:rsidRPr="00FE50A6">
        <w:rPr>
          <w:rFonts w:cs="Arial"/>
          <w:iCs/>
          <w:szCs w:val="20"/>
          <w:lang w:val="en-US"/>
        </w:rPr>
        <w:t>Re</w:t>
      </w:r>
      <w:r w:rsidR="0003391C" w:rsidRPr="00FE50A6">
        <w:rPr>
          <w:rFonts w:cs="Arial"/>
          <w:iCs/>
          <w:szCs w:val="20"/>
          <w:lang w:val="en-US"/>
        </w:rPr>
        <w:t>denção</w:t>
      </w:r>
      <w:r w:rsidR="00030C17" w:rsidRPr="00FE50A6">
        <w:rPr>
          <w:rFonts w:cs="Arial"/>
          <w:iCs/>
          <w:szCs w:val="20"/>
          <w:lang w:val="en-US"/>
        </w:rPr>
        <w:t xml:space="preserve"> and </w:t>
      </w:r>
      <w:r w:rsidR="0003391C" w:rsidRPr="00FE50A6">
        <w:rPr>
          <w:rFonts w:cs="Arial"/>
          <w:iCs/>
          <w:szCs w:val="20"/>
          <w:lang w:val="en-US"/>
        </w:rPr>
        <w:t>Floresta de Araguaia</w:t>
      </w:r>
      <w:r w:rsidR="0079367B" w:rsidRPr="00FE50A6">
        <w:rPr>
          <w:rFonts w:cs="Arial"/>
          <w:iCs/>
          <w:szCs w:val="20"/>
          <w:lang w:val="en-US"/>
        </w:rPr>
        <w:t>, Pará,</w:t>
      </w:r>
      <w:r w:rsidR="0003391C" w:rsidRPr="00FE50A6">
        <w:rPr>
          <w:rFonts w:cs="Arial"/>
          <w:iCs/>
          <w:szCs w:val="20"/>
          <w:lang w:val="en-US"/>
        </w:rPr>
        <w:t xml:space="preserve"> </w:t>
      </w:r>
      <w:r w:rsidR="009C27BB" w:rsidRPr="00FE50A6">
        <w:rPr>
          <w:rFonts w:cs="Arial"/>
          <w:iCs/>
          <w:szCs w:val="20"/>
          <w:lang w:val="en-US"/>
        </w:rPr>
        <w:t>between</w:t>
      </w:r>
      <w:r w:rsidR="0003391C" w:rsidRPr="00FE50A6">
        <w:rPr>
          <w:rFonts w:cs="Arial"/>
          <w:iCs/>
          <w:szCs w:val="20"/>
          <w:lang w:val="en-US"/>
        </w:rPr>
        <w:t xml:space="preserve"> 1999</w:t>
      </w:r>
      <w:r w:rsidR="00030C17" w:rsidRPr="00FE50A6">
        <w:rPr>
          <w:rFonts w:cs="Arial"/>
          <w:iCs/>
          <w:szCs w:val="20"/>
          <w:lang w:val="en-US"/>
        </w:rPr>
        <w:t xml:space="preserve"> and </w:t>
      </w:r>
      <w:r w:rsidR="0003391C" w:rsidRPr="00FE50A6">
        <w:rPr>
          <w:rFonts w:cs="Arial"/>
          <w:iCs/>
          <w:szCs w:val="20"/>
          <w:lang w:val="en-US"/>
        </w:rPr>
        <w:t>2007</w:t>
      </w:r>
      <w:r w:rsidR="009C27BB" w:rsidRPr="00FE50A6">
        <w:rPr>
          <w:rFonts w:cs="Arial"/>
          <w:iCs/>
          <w:szCs w:val="20"/>
          <w:lang w:val="en-US"/>
        </w:rPr>
        <w:t>.</w:t>
      </w:r>
      <w:r w:rsidR="0003391C" w:rsidRPr="00FE50A6">
        <w:rPr>
          <w:rStyle w:val="Refdenotaalpie"/>
          <w:rFonts w:cs="Arial"/>
          <w:iCs/>
          <w:lang w:val="en-US"/>
        </w:rPr>
        <w:footnoteReference w:id="209"/>
      </w:r>
      <w:r w:rsidR="009C27BB" w:rsidRPr="00FE50A6">
        <w:rPr>
          <w:rFonts w:cs="Arial"/>
          <w:iCs/>
          <w:szCs w:val="20"/>
          <w:lang w:val="en-US"/>
        </w:rPr>
        <w:t xml:space="preserve"> </w:t>
      </w:r>
      <w:r w:rsidR="0003391C" w:rsidRPr="00FE50A6">
        <w:rPr>
          <w:rFonts w:cs="Arial"/>
          <w:iCs/>
          <w:szCs w:val="20"/>
          <w:lang w:val="en-US"/>
        </w:rPr>
        <w:t xml:space="preserve"> </w:t>
      </w:r>
      <w:r w:rsidRPr="00FE50A6">
        <w:rPr>
          <w:rFonts w:cs="Arial"/>
          <w:iCs/>
          <w:szCs w:val="20"/>
          <w:lang w:val="en-US"/>
        </w:rPr>
        <w:t>Iron Canuto da Silva</w:t>
      </w:r>
      <w:r w:rsidR="009C27BB" w:rsidRPr="00FE50A6">
        <w:rPr>
          <w:rFonts w:cs="Arial"/>
          <w:iCs/>
          <w:szCs w:val="20"/>
          <w:lang w:val="en-US"/>
        </w:rPr>
        <w:t xml:space="preserve">’s mother and companion stated that, on July 22, 2007, </w:t>
      </w:r>
      <w:r w:rsidR="0003391C" w:rsidRPr="00FE50A6">
        <w:rPr>
          <w:rFonts w:cs="Arial"/>
          <w:iCs/>
          <w:szCs w:val="20"/>
          <w:lang w:val="en-US"/>
        </w:rPr>
        <w:t xml:space="preserve"> </w:t>
      </w:r>
      <w:r w:rsidR="009C27BB" w:rsidRPr="00FE50A6">
        <w:rPr>
          <w:rFonts w:cs="Arial"/>
          <w:iCs/>
          <w:szCs w:val="20"/>
          <w:lang w:val="en-US"/>
        </w:rPr>
        <w:t>he had died in circumstances unrelated to the instant case.</w:t>
      </w:r>
      <w:r w:rsidR="0003391C" w:rsidRPr="00FE50A6">
        <w:rPr>
          <w:rStyle w:val="Refdenotaalpie"/>
          <w:rFonts w:cs="Arial"/>
          <w:iCs/>
          <w:lang w:val="en-US"/>
        </w:rPr>
        <w:footnoteReference w:id="210"/>
      </w:r>
      <w:r w:rsidR="0003391C" w:rsidRPr="00FE50A6">
        <w:rPr>
          <w:rFonts w:cs="Arial"/>
          <w:iCs/>
          <w:szCs w:val="20"/>
          <w:lang w:val="en-US"/>
        </w:rPr>
        <w:t xml:space="preserve"> </w:t>
      </w:r>
    </w:p>
    <w:p w14:paraId="7F2FE218" w14:textId="77777777" w:rsidR="0003391C" w:rsidRPr="00FE50A6" w:rsidRDefault="0003391C" w:rsidP="00140440">
      <w:pPr>
        <w:pStyle w:val="Prrafodelista"/>
        <w:contextualSpacing w:val="0"/>
        <w:rPr>
          <w:rFonts w:cs="Arial"/>
          <w:iCs/>
          <w:szCs w:val="20"/>
          <w:lang w:val="en-US"/>
        </w:rPr>
      </w:pPr>
    </w:p>
    <w:p w14:paraId="6B01B40B" w14:textId="77777777" w:rsidR="00EB72DC" w:rsidRPr="00FE50A6" w:rsidRDefault="009C27BB" w:rsidP="00140440">
      <w:pPr>
        <w:pStyle w:val="Prrafodelista"/>
        <w:numPr>
          <w:ilvl w:val="0"/>
          <w:numId w:val="1"/>
        </w:numPr>
        <w:autoSpaceDE w:val="0"/>
        <w:autoSpaceDN w:val="0"/>
        <w:adjustRightInd w:val="0"/>
        <w:contextualSpacing w:val="0"/>
        <w:rPr>
          <w:rFonts w:cs="Arial"/>
          <w:iCs/>
          <w:szCs w:val="20"/>
          <w:lang w:val="en-US"/>
        </w:rPr>
      </w:pPr>
      <w:r w:rsidRPr="00FE50A6">
        <w:rPr>
          <w:rFonts w:cs="Arial"/>
          <w:iCs/>
          <w:szCs w:val="20"/>
          <w:lang w:val="en-US"/>
        </w:rPr>
        <w:t xml:space="preserve">Regarding </w:t>
      </w:r>
      <w:r w:rsidR="00200C04" w:rsidRPr="00FE50A6">
        <w:rPr>
          <w:rFonts w:cs="Arial"/>
          <w:iCs/>
          <w:szCs w:val="20"/>
          <w:lang w:val="en-US"/>
        </w:rPr>
        <w:t xml:space="preserve">Luis Ferreira </w:t>
      </w:r>
      <w:r w:rsidR="00867094" w:rsidRPr="00FE50A6">
        <w:rPr>
          <w:rFonts w:cs="Arial"/>
          <w:iCs/>
          <w:szCs w:val="20"/>
          <w:lang w:val="en-US"/>
        </w:rPr>
        <w:t>da Cruz</w:t>
      </w:r>
      <w:r w:rsidR="0003391C" w:rsidRPr="00FE50A6">
        <w:rPr>
          <w:rFonts w:cs="Arial"/>
          <w:iCs/>
          <w:szCs w:val="20"/>
          <w:lang w:val="en-US"/>
        </w:rPr>
        <w:t xml:space="preserve">, </w:t>
      </w:r>
      <w:r w:rsidRPr="00FE50A6">
        <w:rPr>
          <w:rFonts w:cs="Arial"/>
          <w:iCs/>
          <w:szCs w:val="20"/>
          <w:lang w:val="en-US"/>
        </w:rPr>
        <w:t>on</w:t>
      </w:r>
      <w:r w:rsidR="0003391C" w:rsidRPr="00FE50A6">
        <w:rPr>
          <w:rFonts w:cs="Arial"/>
          <w:iCs/>
          <w:szCs w:val="20"/>
          <w:lang w:val="en-US"/>
        </w:rPr>
        <w:t xml:space="preserve"> </w:t>
      </w:r>
      <w:r w:rsidRPr="00FE50A6">
        <w:rPr>
          <w:rFonts w:cs="Arial"/>
          <w:iCs/>
          <w:szCs w:val="20"/>
          <w:lang w:val="en-US"/>
        </w:rPr>
        <w:t>February 17,</w:t>
      </w:r>
      <w:r w:rsidR="0003391C" w:rsidRPr="00FE50A6">
        <w:rPr>
          <w:rFonts w:cs="Arial"/>
          <w:iCs/>
          <w:szCs w:val="20"/>
          <w:lang w:val="en-US"/>
        </w:rPr>
        <w:t xml:space="preserve"> 2009</w:t>
      </w:r>
      <w:r w:rsidRPr="00FE50A6">
        <w:rPr>
          <w:rFonts w:cs="Arial"/>
          <w:iCs/>
          <w:szCs w:val="20"/>
          <w:lang w:val="en-US"/>
        </w:rPr>
        <w:t>, his foster mother</w:t>
      </w:r>
      <w:r w:rsidR="0003391C" w:rsidRPr="00FE50A6">
        <w:rPr>
          <w:rFonts w:cs="Arial"/>
          <w:iCs/>
          <w:szCs w:val="20"/>
          <w:lang w:val="en-US"/>
        </w:rPr>
        <w:t xml:space="preserve"> </w:t>
      </w:r>
      <w:r w:rsidRPr="00FE50A6">
        <w:rPr>
          <w:rFonts w:cs="Arial"/>
          <w:iCs/>
          <w:szCs w:val="20"/>
          <w:lang w:val="en-US"/>
        </w:rPr>
        <w:t>advised the Pará Secretariat for Justice and Human Rights</w:t>
      </w:r>
      <w:r w:rsidR="0003391C" w:rsidRPr="00FE50A6">
        <w:rPr>
          <w:rFonts w:cs="Arial"/>
          <w:iCs/>
          <w:szCs w:val="20"/>
          <w:lang w:val="en-US"/>
        </w:rPr>
        <w:t xml:space="preserve"> </w:t>
      </w:r>
      <w:r w:rsidRPr="00FE50A6">
        <w:rPr>
          <w:rFonts w:cs="Arial"/>
          <w:iCs/>
          <w:szCs w:val="20"/>
          <w:lang w:val="en-US"/>
        </w:rPr>
        <w:t>that she “had no information on his whereabouts.</w:t>
      </w:r>
      <w:r w:rsidR="009C48A4" w:rsidRPr="00FE50A6">
        <w:rPr>
          <w:rFonts w:cs="Arial"/>
          <w:iCs/>
          <w:szCs w:val="20"/>
          <w:lang w:val="en-US"/>
        </w:rPr>
        <w:t>”</w:t>
      </w:r>
      <w:r w:rsidR="0003391C" w:rsidRPr="00FE50A6">
        <w:rPr>
          <w:rStyle w:val="Refdenotaalpie"/>
          <w:rFonts w:cs="Arial"/>
          <w:iCs/>
          <w:lang w:val="en-US"/>
        </w:rPr>
        <w:footnoteReference w:id="211"/>
      </w:r>
      <w:r w:rsidRPr="00FE50A6">
        <w:rPr>
          <w:rFonts w:cs="Arial"/>
          <w:iCs/>
          <w:szCs w:val="20"/>
          <w:lang w:val="en-US"/>
        </w:rPr>
        <w:t xml:space="preserve"> Subsequently, in August 2015, she told the </w:t>
      </w:r>
      <w:r w:rsidR="008B0077" w:rsidRPr="00FE50A6">
        <w:rPr>
          <w:rFonts w:cs="Arial"/>
          <w:iCs/>
          <w:szCs w:val="20"/>
          <w:lang w:val="en-US"/>
        </w:rPr>
        <w:t>Federal Police</w:t>
      </w:r>
      <w:r w:rsidR="0003391C" w:rsidRPr="00FE50A6">
        <w:rPr>
          <w:rFonts w:cs="Arial"/>
          <w:iCs/>
          <w:szCs w:val="20"/>
          <w:lang w:val="en-US"/>
        </w:rPr>
        <w:t xml:space="preserve"> </w:t>
      </w:r>
      <w:r w:rsidRPr="00FE50A6">
        <w:rPr>
          <w:rFonts w:cs="Arial"/>
          <w:iCs/>
          <w:szCs w:val="20"/>
          <w:lang w:val="en-US"/>
        </w:rPr>
        <w:t>that</w:t>
      </w:r>
      <w:r w:rsidR="0003391C" w:rsidRPr="00FE50A6">
        <w:rPr>
          <w:rFonts w:cs="Arial"/>
          <w:iCs/>
          <w:szCs w:val="20"/>
          <w:lang w:val="en-US"/>
        </w:rPr>
        <w:t xml:space="preserve"> Lui</w:t>
      </w:r>
      <w:r w:rsidRPr="00FE50A6">
        <w:rPr>
          <w:rFonts w:cs="Arial"/>
          <w:iCs/>
          <w:szCs w:val="20"/>
          <w:lang w:val="en-US"/>
        </w:rPr>
        <w:t>s</w:t>
      </w:r>
      <w:r w:rsidR="0003391C" w:rsidRPr="00FE50A6">
        <w:rPr>
          <w:rFonts w:cs="Arial"/>
          <w:iCs/>
          <w:szCs w:val="20"/>
          <w:lang w:val="en-US"/>
        </w:rPr>
        <w:t xml:space="preserve"> ha</w:t>
      </w:r>
      <w:r w:rsidRPr="00FE50A6">
        <w:rPr>
          <w:rFonts w:cs="Arial"/>
          <w:iCs/>
          <w:szCs w:val="20"/>
          <w:lang w:val="en-US"/>
        </w:rPr>
        <w:t>d</w:t>
      </w:r>
      <w:r w:rsidR="0003391C" w:rsidRPr="00FE50A6">
        <w:rPr>
          <w:rFonts w:cs="Arial"/>
          <w:iCs/>
          <w:szCs w:val="20"/>
          <w:lang w:val="en-US"/>
        </w:rPr>
        <w:t xml:space="preserve"> </w:t>
      </w:r>
      <w:r w:rsidRPr="00FE50A6">
        <w:rPr>
          <w:rFonts w:cs="Arial"/>
          <w:iCs/>
          <w:szCs w:val="20"/>
          <w:lang w:val="en-US"/>
        </w:rPr>
        <w:t>died</w:t>
      </w:r>
      <w:r w:rsidR="0003391C" w:rsidRPr="00FE50A6">
        <w:rPr>
          <w:rFonts w:cs="Arial"/>
          <w:iCs/>
          <w:szCs w:val="20"/>
          <w:lang w:val="en-US"/>
        </w:rPr>
        <w:t xml:space="preserve"> </w:t>
      </w:r>
      <w:r w:rsidR="009C48A4" w:rsidRPr="00FE50A6">
        <w:rPr>
          <w:rFonts w:cs="Arial"/>
          <w:iCs/>
          <w:szCs w:val="20"/>
          <w:lang w:val="en-US"/>
        </w:rPr>
        <w:t>“</w:t>
      </w:r>
      <w:r w:rsidR="0003391C" w:rsidRPr="00FE50A6">
        <w:rPr>
          <w:rFonts w:cs="Arial"/>
          <w:iCs/>
          <w:szCs w:val="20"/>
          <w:lang w:val="en-US"/>
        </w:rPr>
        <w:t>a</w:t>
      </w:r>
      <w:r w:rsidRPr="00FE50A6">
        <w:rPr>
          <w:rFonts w:cs="Arial"/>
          <w:iCs/>
          <w:szCs w:val="20"/>
          <w:lang w:val="en-US"/>
        </w:rPr>
        <w:t xml:space="preserve">round ten years </w:t>
      </w:r>
      <w:r w:rsidR="00D41208" w:rsidRPr="00FE50A6">
        <w:rPr>
          <w:rFonts w:cs="Arial"/>
          <w:iCs/>
          <w:szCs w:val="20"/>
          <w:lang w:val="en-US"/>
        </w:rPr>
        <w:t>previously</w:t>
      </w:r>
      <w:r w:rsidRPr="00FE50A6">
        <w:rPr>
          <w:rFonts w:cs="Arial"/>
          <w:iCs/>
          <w:szCs w:val="20"/>
          <w:lang w:val="en-US"/>
        </w:rPr>
        <w:t xml:space="preserve"> in a confrontation with the police.</w:t>
      </w:r>
      <w:r w:rsidR="009C48A4" w:rsidRPr="00FE50A6">
        <w:rPr>
          <w:rFonts w:cs="Arial"/>
          <w:iCs/>
          <w:szCs w:val="20"/>
          <w:lang w:val="en-US"/>
        </w:rPr>
        <w:t>”</w:t>
      </w:r>
      <w:r w:rsidR="0003391C" w:rsidRPr="00FE50A6">
        <w:rPr>
          <w:rStyle w:val="Refdenotaalpie"/>
          <w:rFonts w:cs="Arial"/>
          <w:iCs/>
          <w:lang w:val="en-US"/>
        </w:rPr>
        <w:footnoteReference w:id="212"/>
      </w:r>
      <w:r w:rsidRPr="00FE50A6">
        <w:rPr>
          <w:rFonts w:cs="Arial"/>
          <w:iCs/>
          <w:szCs w:val="20"/>
          <w:lang w:val="en-US"/>
        </w:rPr>
        <w:t xml:space="preserve"> Meanwhile, the half-sister of </w:t>
      </w:r>
      <w:r w:rsidR="00200C04" w:rsidRPr="00FE50A6">
        <w:rPr>
          <w:rFonts w:cs="Arial"/>
          <w:iCs/>
          <w:szCs w:val="20"/>
          <w:lang w:val="en-US"/>
        </w:rPr>
        <w:t>Luis Ferreira da Cruz</w:t>
      </w:r>
      <w:r w:rsidR="0003391C" w:rsidRPr="00FE50A6">
        <w:rPr>
          <w:rFonts w:cs="Arial"/>
          <w:iCs/>
          <w:szCs w:val="20"/>
          <w:lang w:val="en-US"/>
        </w:rPr>
        <w:t xml:space="preserve"> </w:t>
      </w:r>
      <w:r w:rsidRPr="00FE50A6">
        <w:rPr>
          <w:rFonts w:cs="Arial"/>
          <w:iCs/>
          <w:szCs w:val="20"/>
          <w:lang w:val="en-US"/>
        </w:rPr>
        <w:t xml:space="preserve">also advised that he had died ten years before, and “as he </w:t>
      </w:r>
      <w:r w:rsidR="00D41208" w:rsidRPr="00FE50A6">
        <w:rPr>
          <w:rFonts w:cs="Arial"/>
          <w:iCs/>
          <w:szCs w:val="20"/>
          <w:lang w:val="en-US"/>
        </w:rPr>
        <w:t>was carrying no</w:t>
      </w:r>
      <w:r w:rsidRPr="00FE50A6">
        <w:rPr>
          <w:rFonts w:cs="Arial"/>
          <w:iCs/>
          <w:szCs w:val="20"/>
          <w:lang w:val="en-US"/>
        </w:rPr>
        <w:t xml:space="preserve"> personal </w:t>
      </w:r>
      <w:r w:rsidR="00D41208" w:rsidRPr="00FE50A6">
        <w:rPr>
          <w:rFonts w:cs="Arial"/>
          <w:iCs/>
          <w:szCs w:val="20"/>
          <w:lang w:val="en-US"/>
        </w:rPr>
        <w:t>papers when</w:t>
      </w:r>
      <w:r w:rsidRPr="00FE50A6">
        <w:rPr>
          <w:rFonts w:cs="Arial"/>
          <w:iCs/>
          <w:szCs w:val="20"/>
          <w:lang w:val="en-US"/>
        </w:rPr>
        <w:t xml:space="preserve"> he was murdered, […] he was</w:t>
      </w:r>
      <w:r w:rsidR="00D41208" w:rsidRPr="00FE50A6">
        <w:rPr>
          <w:rFonts w:cs="Arial"/>
          <w:iCs/>
          <w:szCs w:val="20"/>
          <w:lang w:val="en-US"/>
        </w:rPr>
        <w:t xml:space="preserve"> given an indigent burial</w:t>
      </w:r>
      <w:r w:rsidRPr="00FE50A6">
        <w:rPr>
          <w:rFonts w:cs="Arial"/>
          <w:iCs/>
          <w:szCs w:val="20"/>
          <w:lang w:val="en-US"/>
        </w:rPr>
        <w:t>.</w:t>
      </w:r>
      <w:r w:rsidR="009C48A4" w:rsidRPr="00FE50A6">
        <w:rPr>
          <w:rFonts w:cs="Arial"/>
          <w:iCs/>
          <w:szCs w:val="20"/>
          <w:lang w:val="en-US"/>
        </w:rPr>
        <w:t>”</w:t>
      </w:r>
      <w:r w:rsidR="0003391C" w:rsidRPr="00FE50A6">
        <w:rPr>
          <w:rStyle w:val="Refdenotaalpie"/>
          <w:rFonts w:cs="Arial"/>
          <w:iCs/>
          <w:lang w:val="en-US"/>
        </w:rPr>
        <w:footnoteReference w:id="213"/>
      </w:r>
    </w:p>
    <w:p w14:paraId="3B64F79E" w14:textId="77777777" w:rsidR="004F1E86" w:rsidRPr="00FE50A6" w:rsidRDefault="004F1E86" w:rsidP="00140440">
      <w:pPr>
        <w:pStyle w:val="Prrafodelista"/>
        <w:autoSpaceDE w:val="0"/>
        <w:autoSpaceDN w:val="0"/>
        <w:adjustRightInd w:val="0"/>
        <w:ind w:left="0"/>
        <w:contextualSpacing w:val="0"/>
        <w:rPr>
          <w:rFonts w:cs="Arial"/>
          <w:iCs/>
          <w:szCs w:val="20"/>
          <w:lang w:val="en-US"/>
        </w:rPr>
      </w:pPr>
    </w:p>
    <w:p w14:paraId="2B7C3859" w14:textId="77777777" w:rsidR="004F1E86" w:rsidRPr="00FE50A6" w:rsidRDefault="004F1E86"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282" w:name="_Toc460432491"/>
      <w:bookmarkStart w:id="283" w:name="_Toc464813945"/>
      <w:r w:rsidRPr="00FE50A6">
        <w:rPr>
          <w:rFonts w:eastAsia="Times New Roman" w:cs="Verdana"/>
          <w:b/>
          <w:bCs/>
          <w:caps/>
          <w:noProof/>
          <w:snapToGrid w:val="0"/>
          <w:szCs w:val="20"/>
          <w:lang w:val="en-US" w:eastAsia="es-ES"/>
        </w:rPr>
        <w:t>VII</w:t>
      </w:r>
      <w:bookmarkEnd w:id="282"/>
      <w:bookmarkEnd w:id="283"/>
    </w:p>
    <w:p w14:paraId="578A80E7" w14:textId="77777777" w:rsidR="004F1E86" w:rsidRPr="00FE50A6" w:rsidRDefault="009C27BB"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284" w:name="_Toc464813946"/>
      <w:r w:rsidRPr="00FE50A6">
        <w:rPr>
          <w:rFonts w:eastAsia="Times New Roman" w:cs="Verdana"/>
          <w:b/>
          <w:bCs/>
          <w:caps/>
          <w:noProof/>
          <w:snapToGrid w:val="0"/>
          <w:szCs w:val="20"/>
          <w:lang w:val="en-US" w:eastAsia="es-ES"/>
        </w:rPr>
        <w:t>DETERMINATION OF THE</w:t>
      </w:r>
      <w:r w:rsidR="0017587B" w:rsidRPr="00FE50A6">
        <w:rPr>
          <w:rFonts w:eastAsia="Times New Roman" w:cs="Verdana"/>
          <w:b/>
          <w:bCs/>
          <w:caps/>
          <w:noProof/>
          <w:snapToGrid w:val="0"/>
          <w:szCs w:val="20"/>
          <w:lang w:val="en-US" w:eastAsia="es-ES"/>
        </w:rPr>
        <w:t xml:space="preserve"> PRESUMED VICTIMS</w:t>
      </w:r>
      <w:bookmarkEnd w:id="284"/>
    </w:p>
    <w:p w14:paraId="777FFE33" w14:textId="77777777" w:rsidR="004F1E86" w:rsidRPr="00FE50A6" w:rsidRDefault="004F1E86" w:rsidP="004F1E86">
      <w:pPr>
        <w:pStyle w:val="Prrafodelista"/>
        <w:ind w:left="0"/>
        <w:rPr>
          <w:rFonts w:cs="Arial"/>
          <w:iCs/>
          <w:szCs w:val="20"/>
          <w:lang w:val="en-US"/>
        </w:rPr>
      </w:pPr>
    </w:p>
    <w:p w14:paraId="0447D408" w14:textId="77777777" w:rsidR="002246F9" w:rsidRPr="00FE50A6" w:rsidRDefault="009C27BB" w:rsidP="002246F9">
      <w:pPr>
        <w:pStyle w:val="Prrafodelista"/>
        <w:numPr>
          <w:ilvl w:val="0"/>
          <w:numId w:val="1"/>
        </w:numPr>
        <w:autoSpaceDE w:val="0"/>
        <w:autoSpaceDN w:val="0"/>
        <w:adjustRightInd w:val="0"/>
        <w:contextualSpacing w:val="0"/>
        <w:rPr>
          <w:rFonts w:cs="Arial"/>
          <w:szCs w:val="20"/>
          <w:lang w:val="en-US"/>
        </w:rPr>
      </w:pPr>
      <w:r w:rsidRPr="00FE50A6">
        <w:rPr>
          <w:rFonts w:cs="Arial"/>
          <w:iCs/>
          <w:szCs w:val="20"/>
          <w:lang w:val="en-US"/>
        </w:rPr>
        <w:t xml:space="preserve">In this chapter, the Court will include prior considerations on the persons it will </w:t>
      </w:r>
      <w:r w:rsidR="00C96422" w:rsidRPr="00FE50A6">
        <w:rPr>
          <w:rFonts w:cs="Arial"/>
          <w:iCs/>
          <w:szCs w:val="20"/>
          <w:lang w:val="en-US"/>
        </w:rPr>
        <w:t xml:space="preserve">consider </w:t>
      </w:r>
      <w:r w:rsidR="008A7089" w:rsidRPr="00FE50A6">
        <w:rPr>
          <w:rFonts w:cs="Arial"/>
          <w:iCs/>
          <w:szCs w:val="20"/>
          <w:lang w:val="en-US"/>
        </w:rPr>
        <w:t>presumed victims</w:t>
      </w:r>
      <w:r w:rsidR="004F1E86" w:rsidRPr="00FE50A6">
        <w:rPr>
          <w:rFonts w:cs="Arial"/>
          <w:iCs/>
          <w:szCs w:val="20"/>
          <w:lang w:val="en-US"/>
        </w:rPr>
        <w:t xml:space="preserve"> </w:t>
      </w:r>
      <w:r w:rsidRPr="00FE50A6">
        <w:rPr>
          <w:rFonts w:cs="Arial"/>
          <w:iCs/>
          <w:szCs w:val="20"/>
          <w:lang w:val="en-US"/>
        </w:rPr>
        <w:t xml:space="preserve">in this case, describing the evidence and the reasons for </w:t>
      </w:r>
      <w:r w:rsidR="00C96422" w:rsidRPr="00FE50A6">
        <w:rPr>
          <w:rFonts w:cs="Arial"/>
          <w:iCs/>
          <w:szCs w:val="20"/>
          <w:lang w:val="en-US"/>
        </w:rPr>
        <w:t xml:space="preserve">finding </w:t>
      </w:r>
      <w:r w:rsidRPr="00FE50A6">
        <w:rPr>
          <w:rFonts w:cs="Arial"/>
          <w:iCs/>
          <w:szCs w:val="20"/>
          <w:lang w:val="en-US"/>
        </w:rPr>
        <w:t xml:space="preserve">them as such. </w:t>
      </w:r>
      <w:r w:rsidR="00C96422" w:rsidRPr="00FE50A6">
        <w:rPr>
          <w:rFonts w:cs="Arial"/>
          <w:iCs/>
          <w:szCs w:val="20"/>
          <w:lang w:val="en-US"/>
        </w:rPr>
        <w:t>Despite</w:t>
      </w:r>
      <w:r w:rsidRPr="00FE50A6">
        <w:rPr>
          <w:rFonts w:cs="Arial"/>
          <w:iCs/>
          <w:szCs w:val="20"/>
          <w:lang w:val="en-US"/>
        </w:rPr>
        <w:t xml:space="preserve"> </w:t>
      </w:r>
      <w:r w:rsidR="00C96422" w:rsidRPr="00FE50A6">
        <w:rPr>
          <w:rFonts w:cs="Arial"/>
          <w:iCs/>
          <w:szCs w:val="20"/>
          <w:lang w:val="en-US"/>
        </w:rPr>
        <w:t>its</w:t>
      </w:r>
      <w:r w:rsidRPr="00FE50A6">
        <w:rPr>
          <w:rFonts w:cs="Arial"/>
          <w:iCs/>
          <w:szCs w:val="20"/>
          <w:lang w:val="en-US"/>
        </w:rPr>
        <w:t xml:space="preserve"> considerations on the jurisdiction </w:t>
      </w:r>
      <w:r w:rsidR="002246F9" w:rsidRPr="00FE50A6">
        <w:rPr>
          <w:rFonts w:cs="Arial"/>
          <w:i/>
          <w:szCs w:val="20"/>
          <w:lang w:val="en-US"/>
        </w:rPr>
        <w:t>ratione temporis</w:t>
      </w:r>
      <w:r w:rsidR="002246F9" w:rsidRPr="00FE50A6">
        <w:rPr>
          <w:rFonts w:cs="Arial"/>
          <w:szCs w:val="20"/>
          <w:lang w:val="en-US"/>
        </w:rPr>
        <w:t xml:space="preserve"> </w:t>
      </w:r>
      <w:r w:rsidRPr="00FE50A6">
        <w:rPr>
          <w:rFonts w:cs="Arial"/>
          <w:szCs w:val="20"/>
          <w:lang w:val="en-US"/>
        </w:rPr>
        <w:t>in this case</w:t>
      </w:r>
      <w:r w:rsidR="002246F9" w:rsidRPr="00FE50A6">
        <w:rPr>
          <w:rFonts w:cs="Arial"/>
          <w:szCs w:val="20"/>
          <w:lang w:val="en-US"/>
        </w:rPr>
        <w:t xml:space="preserve"> (</w:t>
      </w:r>
      <w:r w:rsidR="002246F9" w:rsidRPr="00FE50A6">
        <w:rPr>
          <w:rFonts w:cs="Arial"/>
          <w:i/>
          <w:szCs w:val="20"/>
          <w:lang w:val="en-US"/>
        </w:rPr>
        <w:t>supra</w:t>
      </w:r>
      <w:r w:rsidR="002246F9" w:rsidRPr="00FE50A6">
        <w:rPr>
          <w:rFonts w:cs="Arial"/>
          <w:szCs w:val="20"/>
          <w:lang w:val="en-US"/>
        </w:rPr>
        <w:t xml:space="preserve"> </w:t>
      </w:r>
      <w:r w:rsidR="00700B79" w:rsidRPr="00FE50A6">
        <w:rPr>
          <w:rFonts w:cs="Arial"/>
          <w:szCs w:val="20"/>
          <w:lang w:val="en-US"/>
        </w:rPr>
        <w:t>paras.</w:t>
      </w:r>
      <w:r w:rsidR="002246F9" w:rsidRPr="00FE50A6">
        <w:rPr>
          <w:rFonts w:cs="Arial"/>
          <w:szCs w:val="20"/>
          <w:lang w:val="en-US"/>
        </w:rPr>
        <w:t xml:space="preserve"> </w:t>
      </w:r>
      <w:r w:rsidR="00186219" w:rsidRPr="00FE50A6">
        <w:rPr>
          <w:rFonts w:cs="Arial"/>
          <w:szCs w:val="20"/>
          <w:lang w:val="en-US"/>
        </w:rPr>
        <w:t xml:space="preserve">63 </w:t>
      </w:r>
      <w:r w:rsidRPr="00FE50A6">
        <w:rPr>
          <w:rFonts w:cs="Arial"/>
          <w:szCs w:val="20"/>
          <w:lang w:val="en-US"/>
        </w:rPr>
        <w:t>to</w:t>
      </w:r>
      <w:r w:rsidR="00186219" w:rsidRPr="00FE50A6">
        <w:rPr>
          <w:rFonts w:cs="Arial"/>
          <w:szCs w:val="20"/>
          <w:lang w:val="en-US"/>
        </w:rPr>
        <w:t xml:space="preserve"> 65</w:t>
      </w:r>
      <w:r w:rsidR="002246F9" w:rsidRPr="00FE50A6">
        <w:rPr>
          <w:rFonts w:cs="Arial"/>
          <w:szCs w:val="20"/>
          <w:lang w:val="en-US"/>
        </w:rPr>
        <w:t xml:space="preserve">), </w:t>
      </w:r>
      <w:r w:rsidR="000228D0" w:rsidRPr="00FE50A6">
        <w:rPr>
          <w:rFonts w:eastAsia="Batang" w:cs="Times"/>
          <w:noProof/>
          <w:szCs w:val="20"/>
          <w:lang w:val="en-US" w:eastAsia="es-ES"/>
        </w:rPr>
        <w:t>the Court</w:t>
      </w:r>
      <w:r w:rsidR="002246F9" w:rsidRPr="00FE50A6">
        <w:rPr>
          <w:rFonts w:eastAsia="Batang" w:cs="Times"/>
          <w:noProof/>
          <w:szCs w:val="20"/>
          <w:lang w:val="en-US" w:eastAsia="es-ES"/>
        </w:rPr>
        <w:t xml:space="preserve"> </w:t>
      </w:r>
      <w:r w:rsidRPr="00FE50A6">
        <w:rPr>
          <w:rFonts w:eastAsia="Batang" w:cs="Times"/>
          <w:noProof/>
          <w:szCs w:val="20"/>
          <w:lang w:val="en-US" w:eastAsia="es-ES"/>
        </w:rPr>
        <w:t xml:space="preserve">will rule on the alleged violations that are based on facts that occurred or persisted after </w:t>
      </w:r>
      <w:r w:rsidR="00700B79" w:rsidRPr="00FE50A6">
        <w:rPr>
          <w:rFonts w:eastAsia="Batang" w:cs="Times"/>
          <w:noProof/>
          <w:szCs w:val="20"/>
          <w:lang w:val="en-US" w:eastAsia="es-ES"/>
        </w:rPr>
        <w:t>December 10,</w:t>
      </w:r>
      <w:r w:rsidR="002246F9" w:rsidRPr="00FE50A6">
        <w:rPr>
          <w:rFonts w:eastAsia="Batang" w:cs="Times"/>
          <w:noProof/>
          <w:szCs w:val="20"/>
          <w:lang w:val="en-US" w:eastAsia="es-ES"/>
        </w:rPr>
        <w:t xml:space="preserve"> 1998. </w:t>
      </w:r>
      <w:r w:rsidR="00C96422" w:rsidRPr="00FE50A6">
        <w:rPr>
          <w:rFonts w:eastAsia="Batang" w:cs="Times"/>
          <w:noProof/>
          <w:szCs w:val="20"/>
          <w:lang w:val="en-US" w:eastAsia="es-ES"/>
        </w:rPr>
        <w:t>Accordingly</w:t>
      </w:r>
      <w:r w:rsidRPr="00FE50A6">
        <w:rPr>
          <w:rFonts w:eastAsia="Batang" w:cs="Times"/>
          <w:noProof/>
          <w:szCs w:val="20"/>
          <w:lang w:val="en-US" w:eastAsia="es-ES"/>
        </w:rPr>
        <w:t xml:space="preserve">, in addition to the alleged forced disappearance of </w:t>
      </w:r>
      <w:r w:rsidR="00200C04" w:rsidRPr="00FE50A6">
        <w:rPr>
          <w:rFonts w:eastAsia="Batang" w:cs="Times"/>
          <w:noProof/>
          <w:szCs w:val="20"/>
          <w:lang w:val="en-US" w:eastAsia="es-ES"/>
        </w:rPr>
        <w:t xml:space="preserve">Luis Ferreira </w:t>
      </w:r>
      <w:r w:rsidR="00701BB2" w:rsidRPr="00FE50A6">
        <w:rPr>
          <w:rFonts w:eastAsia="Batang" w:cs="Times"/>
          <w:noProof/>
          <w:szCs w:val="20"/>
          <w:lang w:val="en-US" w:eastAsia="es-ES"/>
        </w:rPr>
        <w:t>da Cruz</w:t>
      </w:r>
      <w:r w:rsidRPr="00FE50A6">
        <w:rPr>
          <w:rFonts w:eastAsia="Batang" w:cs="Times"/>
          <w:noProof/>
          <w:szCs w:val="20"/>
          <w:lang w:val="en-US" w:eastAsia="es-ES"/>
        </w:rPr>
        <w:t xml:space="preserve"> and Iron</w:t>
      </w:r>
      <w:r w:rsidR="008B075C" w:rsidRPr="00FE50A6">
        <w:rPr>
          <w:rFonts w:eastAsia="Batang" w:cs="Times"/>
          <w:noProof/>
          <w:szCs w:val="20"/>
          <w:lang w:val="en-US" w:eastAsia="es-ES"/>
        </w:rPr>
        <w:t xml:space="preserve"> Canuto da Silva</w:t>
      </w:r>
      <w:r w:rsidR="002246F9" w:rsidRPr="00FE50A6">
        <w:rPr>
          <w:rFonts w:eastAsia="Batang" w:cs="Times"/>
          <w:noProof/>
          <w:szCs w:val="20"/>
          <w:lang w:val="en-US" w:eastAsia="es-ES"/>
        </w:rPr>
        <w:t xml:space="preserve">, </w:t>
      </w:r>
      <w:r w:rsidRPr="00FE50A6">
        <w:rPr>
          <w:rFonts w:eastAsia="Batang" w:cs="Times"/>
          <w:noProof/>
          <w:szCs w:val="20"/>
          <w:lang w:val="en-US" w:eastAsia="es-ES"/>
        </w:rPr>
        <w:t>in this judgement, the Court wil examine the alleged violations related to facts that took place or continue</w:t>
      </w:r>
      <w:r w:rsidR="00C96422" w:rsidRPr="00FE50A6">
        <w:rPr>
          <w:rFonts w:eastAsia="Batang" w:cs="Times"/>
          <w:noProof/>
          <w:szCs w:val="20"/>
          <w:lang w:val="en-US" w:eastAsia="es-ES"/>
        </w:rPr>
        <w:t>d</w:t>
      </w:r>
      <w:r w:rsidRPr="00FE50A6">
        <w:rPr>
          <w:rFonts w:eastAsia="Batang" w:cs="Times"/>
          <w:noProof/>
          <w:szCs w:val="20"/>
          <w:lang w:val="en-US" w:eastAsia="es-ES"/>
        </w:rPr>
        <w:t xml:space="preserve"> after the date indicated </w:t>
      </w:r>
      <w:r w:rsidR="00C96422" w:rsidRPr="00FE50A6">
        <w:rPr>
          <w:rFonts w:eastAsia="Batang" w:cs="Times"/>
          <w:noProof/>
          <w:szCs w:val="20"/>
          <w:lang w:val="en-US" w:eastAsia="es-ES"/>
        </w:rPr>
        <w:t>above</w:t>
      </w:r>
      <w:r w:rsidRPr="00FE50A6">
        <w:rPr>
          <w:rFonts w:eastAsia="Batang" w:cs="Times"/>
          <w:noProof/>
          <w:szCs w:val="20"/>
          <w:lang w:val="en-US" w:eastAsia="es-ES"/>
        </w:rPr>
        <w:t xml:space="preserve">: in other words: (i) the investigation and proceedings instituted as a result of the April 1997 inspection in </w:t>
      </w:r>
      <w:r w:rsidR="002246F9" w:rsidRPr="00FE50A6">
        <w:rPr>
          <w:rFonts w:eastAsia="Batang" w:cs="Times"/>
          <w:noProof/>
          <w:szCs w:val="20"/>
          <w:lang w:val="en-US" w:eastAsia="es-ES"/>
        </w:rPr>
        <w:t xml:space="preserve">Hacienda </w:t>
      </w:r>
      <w:r w:rsidR="00322241" w:rsidRPr="00FE50A6">
        <w:rPr>
          <w:rFonts w:eastAsia="Batang" w:cs="Times"/>
          <w:noProof/>
          <w:szCs w:val="20"/>
          <w:lang w:val="en-US" w:eastAsia="es-ES"/>
        </w:rPr>
        <w:t>Brasil Verde</w:t>
      </w:r>
      <w:r w:rsidR="002246F9" w:rsidRPr="00FE50A6">
        <w:rPr>
          <w:rFonts w:eastAsia="Batang" w:cs="Times"/>
          <w:noProof/>
          <w:szCs w:val="20"/>
          <w:lang w:val="en-US" w:eastAsia="es-ES"/>
        </w:rPr>
        <w:t>,</w:t>
      </w:r>
      <w:r w:rsidR="00030C17" w:rsidRPr="00FE50A6">
        <w:rPr>
          <w:rFonts w:eastAsia="Batang" w:cs="Times"/>
          <w:noProof/>
          <w:szCs w:val="20"/>
          <w:lang w:val="en-US" w:eastAsia="es-ES"/>
        </w:rPr>
        <w:t xml:space="preserve"> and </w:t>
      </w:r>
      <w:r w:rsidRPr="00FE50A6">
        <w:rPr>
          <w:rFonts w:eastAsia="Batang" w:cs="Times"/>
          <w:noProof/>
          <w:szCs w:val="20"/>
          <w:lang w:val="en-US" w:eastAsia="es-ES"/>
        </w:rPr>
        <w:t>(</w:t>
      </w:r>
      <w:r w:rsidR="002246F9" w:rsidRPr="00FE50A6">
        <w:rPr>
          <w:rFonts w:eastAsia="Batang" w:cs="Times"/>
          <w:noProof/>
          <w:szCs w:val="20"/>
          <w:lang w:val="en-US" w:eastAsia="es-ES"/>
        </w:rPr>
        <w:t xml:space="preserve">ii) </w:t>
      </w:r>
      <w:r w:rsidRPr="00FE50A6">
        <w:rPr>
          <w:rFonts w:eastAsia="Batang" w:cs="Times"/>
          <w:noProof/>
          <w:szCs w:val="20"/>
          <w:lang w:val="en-US" w:eastAsia="es-ES"/>
        </w:rPr>
        <w:t>the March 2000 inspection in</w:t>
      </w:r>
      <w:r w:rsidR="002246F9" w:rsidRPr="00FE50A6">
        <w:rPr>
          <w:rFonts w:eastAsia="Batang" w:cs="Times"/>
          <w:noProof/>
          <w:szCs w:val="20"/>
          <w:lang w:val="en-US" w:eastAsia="es-ES"/>
        </w:rPr>
        <w:t xml:space="preserve"> Hacienda </w:t>
      </w:r>
      <w:r w:rsidR="00322241" w:rsidRPr="00FE50A6">
        <w:rPr>
          <w:rFonts w:eastAsia="Batang" w:cs="Times"/>
          <w:noProof/>
          <w:szCs w:val="20"/>
          <w:lang w:val="en-US" w:eastAsia="es-ES"/>
        </w:rPr>
        <w:t>Brasil Verde</w:t>
      </w:r>
      <w:r w:rsidR="002246F9" w:rsidRPr="00FE50A6">
        <w:rPr>
          <w:rFonts w:eastAsia="Batang" w:cs="Times"/>
          <w:noProof/>
          <w:szCs w:val="20"/>
          <w:lang w:val="en-US" w:eastAsia="es-ES"/>
        </w:rPr>
        <w:t>,</w:t>
      </w:r>
      <w:r w:rsidR="00030C17" w:rsidRPr="00FE50A6">
        <w:rPr>
          <w:rFonts w:eastAsia="Batang" w:cs="Times"/>
          <w:noProof/>
          <w:szCs w:val="20"/>
          <w:lang w:val="en-US" w:eastAsia="es-ES"/>
        </w:rPr>
        <w:t xml:space="preserve"> and </w:t>
      </w:r>
      <w:r w:rsidRPr="00FE50A6">
        <w:rPr>
          <w:rFonts w:eastAsia="Batang" w:cs="Times"/>
          <w:noProof/>
          <w:szCs w:val="20"/>
          <w:lang w:val="en-US" w:eastAsia="es-ES"/>
        </w:rPr>
        <w:t>the respective investigation that was opened subsequently</w:t>
      </w:r>
      <w:r w:rsidR="002246F9" w:rsidRPr="00FE50A6">
        <w:rPr>
          <w:rFonts w:eastAsia="Batang" w:cs="Times"/>
          <w:noProof/>
          <w:szCs w:val="20"/>
          <w:lang w:val="en-US" w:eastAsia="es-ES"/>
        </w:rPr>
        <w:t xml:space="preserve">. </w:t>
      </w:r>
    </w:p>
    <w:p w14:paraId="529DE0CA" w14:textId="77777777" w:rsidR="002246F9" w:rsidRPr="00FE50A6" w:rsidRDefault="002246F9" w:rsidP="002246F9">
      <w:pPr>
        <w:pStyle w:val="Prrafodelista"/>
        <w:rPr>
          <w:rFonts w:eastAsia="Batang" w:cs="Times"/>
          <w:noProof/>
          <w:szCs w:val="20"/>
          <w:lang w:val="en-US" w:eastAsia="es-ES"/>
        </w:rPr>
      </w:pPr>
    </w:p>
    <w:p w14:paraId="0DC593D5" w14:textId="77777777" w:rsidR="002246F9" w:rsidRPr="00FE50A6" w:rsidRDefault="009C27BB" w:rsidP="002246F9">
      <w:pPr>
        <w:pStyle w:val="Prrafodelista"/>
        <w:numPr>
          <w:ilvl w:val="0"/>
          <w:numId w:val="1"/>
        </w:numPr>
        <w:autoSpaceDE w:val="0"/>
        <w:autoSpaceDN w:val="0"/>
        <w:adjustRightInd w:val="0"/>
        <w:rPr>
          <w:rFonts w:cs="Arial"/>
          <w:szCs w:val="20"/>
          <w:lang w:val="en-US"/>
        </w:rPr>
      </w:pPr>
      <w:r w:rsidRPr="00FE50A6">
        <w:rPr>
          <w:rFonts w:eastAsia="Batang" w:cs="Times"/>
          <w:noProof/>
          <w:szCs w:val="20"/>
          <w:lang w:val="en-US" w:eastAsia="es-ES"/>
        </w:rPr>
        <w:t xml:space="preserve">However, before beginning </w:t>
      </w:r>
      <w:r w:rsidR="00D25255" w:rsidRPr="00FE50A6">
        <w:rPr>
          <w:rFonts w:eastAsia="Batang" w:cs="Times"/>
          <w:noProof/>
          <w:szCs w:val="20"/>
          <w:lang w:val="en-US" w:eastAsia="es-ES"/>
        </w:rPr>
        <w:t>to analyze</w:t>
      </w:r>
      <w:r w:rsidRPr="00FE50A6">
        <w:rPr>
          <w:rFonts w:eastAsia="Batang" w:cs="Times"/>
          <w:noProof/>
          <w:szCs w:val="20"/>
          <w:lang w:val="en-US" w:eastAsia="es-ES"/>
        </w:rPr>
        <w:t xml:space="preserve"> the merits of the case, the Court finds it necessary to include some prior considerations to establish clearly </w:t>
      </w:r>
      <w:r w:rsidR="0017587B" w:rsidRPr="00FE50A6">
        <w:rPr>
          <w:rFonts w:eastAsia="Batang" w:cs="Times"/>
          <w:noProof/>
          <w:szCs w:val="20"/>
          <w:lang w:val="en-US" w:eastAsia="es-ES"/>
        </w:rPr>
        <w:t>the presumed victims</w:t>
      </w:r>
      <w:r w:rsidR="002246F9" w:rsidRPr="00FE50A6">
        <w:rPr>
          <w:rFonts w:eastAsia="Batang" w:cs="Times"/>
          <w:noProof/>
          <w:szCs w:val="20"/>
          <w:lang w:val="en-US" w:eastAsia="es-ES"/>
        </w:rPr>
        <w:t xml:space="preserve"> </w:t>
      </w:r>
      <w:r w:rsidRPr="00FE50A6">
        <w:rPr>
          <w:rFonts w:eastAsia="Batang" w:cs="Times"/>
          <w:noProof/>
          <w:szCs w:val="20"/>
          <w:lang w:val="en-US" w:eastAsia="es-ES"/>
        </w:rPr>
        <w:t xml:space="preserve">who will be taken into consideration in this case and who are connected to the facts of the case </w:t>
      </w:r>
      <w:r w:rsidR="00D25255" w:rsidRPr="00FE50A6">
        <w:rPr>
          <w:rFonts w:eastAsia="Batang" w:cs="Times"/>
          <w:noProof/>
          <w:szCs w:val="20"/>
          <w:lang w:val="en-US" w:eastAsia="es-ES"/>
        </w:rPr>
        <w:t xml:space="preserve">that fall </w:t>
      </w:r>
      <w:r w:rsidRPr="00FE50A6">
        <w:rPr>
          <w:rFonts w:eastAsia="Batang" w:cs="Times"/>
          <w:noProof/>
          <w:szCs w:val="20"/>
          <w:lang w:val="en-US" w:eastAsia="es-ES"/>
        </w:rPr>
        <w:t xml:space="preserve">within </w:t>
      </w:r>
      <w:r w:rsidR="00D25255" w:rsidRPr="00FE50A6">
        <w:rPr>
          <w:rFonts w:eastAsia="Batang" w:cs="Times"/>
          <w:noProof/>
          <w:szCs w:val="20"/>
          <w:lang w:val="en-US" w:eastAsia="es-ES"/>
        </w:rPr>
        <w:t>its</w:t>
      </w:r>
      <w:r w:rsidRPr="00FE50A6">
        <w:rPr>
          <w:rFonts w:eastAsia="Batang" w:cs="Times"/>
          <w:noProof/>
          <w:szCs w:val="20"/>
          <w:lang w:val="en-US" w:eastAsia="es-ES"/>
        </w:rPr>
        <w:t xml:space="preserve"> jurisdiction </w:t>
      </w:r>
      <w:r w:rsidR="002246F9" w:rsidRPr="00FE50A6">
        <w:rPr>
          <w:rFonts w:cs="Arial"/>
          <w:i/>
          <w:szCs w:val="20"/>
          <w:lang w:val="en-US"/>
        </w:rPr>
        <w:t>ratione temporis</w:t>
      </w:r>
      <w:r w:rsidR="002246F9" w:rsidRPr="00FE50A6">
        <w:rPr>
          <w:rFonts w:eastAsia="Batang" w:cs="Times"/>
          <w:noProof/>
          <w:szCs w:val="20"/>
          <w:lang w:val="en-US" w:eastAsia="es-ES"/>
        </w:rPr>
        <w:t xml:space="preserve">. </w:t>
      </w:r>
      <w:r w:rsidRPr="00FE50A6">
        <w:rPr>
          <w:rFonts w:eastAsia="Batang" w:cs="Times"/>
          <w:noProof/>
          <w:szCs w:val="20"/>
          <w:lang w:val="en-US" w:eastAsia="es-ES"/>
        </w:rPr>
        <w:t>First</w:t>
      </w:r>
      <w:r w:rsidR="002246F9" w:rsidRPr="00FE50A6">
        <w:rPr>
          <w:rFonts w:eastAsia="Batang" w:cs="Times"/>
          <w:noProof/>
          <w:szCs w:val="20"/>
          <w:lang w:val="en-US" w:eastAsia="es-ES"/>
        </w:rPr>
        <w:t xml:space="preserve">, </w:t>
      </w:r>
      <w:r w:rsidR="000228D0" w:rsidRPr="00FE50A6">
        <w:rPr>
          <w:rFonts w:eastAsia="Batang" w:cs="Times"/>
          <w:noProof/>
          <w:szCs w:val="20"/>
          <w:lang w:val="en-US" w:eastAsia="es-ES"/>
        </w:rPr>
        <w:t>the Court</w:t>
      </w:r>
      <w:r w:rsidR="002246F9" w:rsidRPr="00FE50A6">
        <w:rPr>
          <w:rFonts w:eastAsia="Batang" w:cs="Times"/>
          <w:noProof/>
          <w:szCs w:val="20"/>
          <w:lang w:val="en-US" w:eastAsia="es-ES"/>
        </w:rPr>
        <w:t xml:space="preserve"> </w:t>
      </w:r>
      <w:r w:rsidRPr="00FE50A6">
        <w:rPr>
          <w:rFonts w:eastAsia="Batang" w:cs="Times"/>
          <w:noProof/>
          <w:szCs w:val="20"/>
          <w:lang w:val="en-US" w:eastAsia="es-ES"/>
        </w:rPr>
        <w:t xml:space="preserve">notes that </w:t>
      </w:r>
      <w:r w:rsidR="00D25255" w:rsidRPr="00FE50A6">
        <w:rPr>
          <w:rFonts w:eastAsia="Batang" w:cs="Times"/>
          <w:noProof/>
          <w:szCs w:val="20"/>
          <w:lang w:val="en-US" w:eastAsia="es-ES"/>
        </w:rPr>
        <w:t>the lists of presumed victims provided by the parties and the Commission contain</w:t>
      </w:r>
      <w:r w:rsidRPr="00FE50A6">
        <w:rPr>
          <w:rFonts w:eastAsia="Batang" w:cs="Times"/>
          <w:noProof/>
          <w:szCs w:val="20"/>
          <w:lang w:val="en-US" w:eastAsia="es-ES"/>
        </w:rPr>
        <w:t xml:space="preserve"> numerous differences in the identification of the workers who were providing their services in Hacienda Brasil Verde at the time of the April 1997 and March 2000 inspections</w:t>
      </w:r>
      <w:r w:rsidR="002246F9" w:rsidRPr="00FE50A6">
        <w:rPr>
          <w:rFonts w:eastAsia="Batang" w:cs="Times"/>
          <w:noProof/>
          <w:szCs w:val="20"/>
          <w:lang w:val="en-US" w:eastAsia="es-ES"/>
        </w:rPr>
        <w:t xml:space="preserve">. </w:t>
      </w:r>
    </w:p>
    <w:p w14:paraId="6FC4FBD0" w14:textId="77777777" w:rsidR="002246F9" w:rsidRPr="00FE50A6" w:rsidRDefault="002246F9" w:rsidP="002246F9">
      <w:pPr>
        <w:autoSpaceDE w:val="0"/>
        <w:autoSpaceDN w:val="0"/>
        <w:adjustRightInd w:val="0"/>
        <w:ind w:right="15"/>
        <w:contextualSpacing/>
        <w:rPr>
          <w:rFonts w:cs="Arial"/>
          <w:szCs w:val="20"/>
          <w:lang w:val="en-US"/>
        </w:rPr>
      </w:pPr>
    </w:p>
    <w:p w14:paraId="72FD458F" w14:textId="77777777" w:rsidR="002246F9" w:rsidRPr="00FE50A6" w:rsidRDefault="009C27BB" w:rsidP="009C27BB">
      <w:pPr>
        <w:pStyle w:val="Prrafodelista"/>
        <w:numPr>
          <w:ilvl w:val="0"/>
          <w:numId w:val="1"/>
        </w:numPr>
        <w:autoSpaceDE w:val="0"/>
        <w:autoSpaceDN w:val="0"/>
        <w:adjustRightInd w:val="0"/>
        <w:rPr>
          <w:rFonts w:cs="Arial"/>
          <w:szCs w:val="20"/>
          <w:lang w:val="en-US"/>
        </w:rPr>
      </w:pPr>
      <w:r w:rsidRPr="00FE50A6">
        <w:rPr>
          <w:rFonts w:cs="Arial"/>
          <w:szCs w:val="20"/>
          <w:lang w:val="en-US"/>
        </w:rPr>
        <w:t>In this regard</w:t>
      </w:r>
      <w:r w:rsidR="002246F9" w:rsidRPr="00FE50A6">
        <w:rPr>
          <w:rFonts w:cs="Arial"/>
          <w:szCs w:val="20"/>
          <w:lang w:val="en-US"/>
        </w:rPr>
        <w:t xml:space="preserve">, </w:t>
      </w:r>
      <w:r w:rsidR="000228D0" w:rsidRPr="00FE50A6">
        <w:rPr>
          <w:rFonts w:cs="Arial"/>
          <w:szCs w:val="20"/>
          <w:lang w:val="en-US"/>
        </w:rPr>
        <w:t>the Court</w:t>
      </w:r>
      <w:r w:rsidR="002246F9" w:rsidRPr="00FE50A6">
        <w:rPr>
          <w:rFonts w:cs="Arial"/>
          <w:szCs w:val="20"/>
          <w:lang w:val="en-US"/>
        </w:rPr>
        <w:t xml:space="preserve"> </w:t>
      </w:r>
      <w:r w:rsidRPr="00FE50A6">
        <w:rPr>
          <w:rFonts w:cs="Arial"/>
          <w:szCs w:val="20"/>
          <w:lang w:val="en-US"/>
        </w:rPr>
        <w:t xml:space="preserve">finds it evident that this case is of a collective nature and that, in addition to the large number of presumed victims who have been named, it has been extremely complicated to identify and locate them following the said inspections. Bearing this in mind, the Court concludes that, in this specific case, the exceptional circumstance established in Article 35(2) of the Court’s Rules of Procedure is applicable. Consequently, it will </w:t>
      </w:r>
      <w:r w:rsidR="00D25255" w:rsidRPr="00FE50A6">
        <w:rPr>
          <w:rFonts w:cs="Arial"/>
          <w:szCs w:val="20"/>
          <w:lang w:val="en-US"/>
        </w:rPr>
        <w:t xml:space="preserve">now </w:t>
      </w:r>
      <w:r w:rsidRPr="00FE50A6">
        <w:rPr>
          <w:rFonts w:cs="Arial"/>
          <w:szCs w:val="20"/>
          <w:lang w:val="en-US"/>
        </w:rPr>
        <w:t xml:space="preserve">proceed to determine the persons who were providing their services in </w:t>
      </w:r>
      <w:r w:rsidR="002246F9" w:rsidRPr="00FE50A6">
        <w:rPr>
          <w:rFonts w:cs="Arial"/>
          <w:szCs w:val="20"/>
          <w:lang w:val="en-US"/>
        </w:rPr>
        <w:t xml:space="preserve">Hacienda </w:t>
      </w:r>
      <w:r w:rsidR="00322241" w:rsidRPr="00FE50A6">
        <w:rPr>
          <w:rFonts w:cs="Arial"/>
          <w:szCs w:val="20"/>
          <w:lang w:val="en-US"/>
        </w:rPr>
        <w:t>Brasil Verde</w:t>
      </w:r>
      <w:r w:rsidR="002246F9" w:rsidRPr="00FE50A6">
        <w:rPr>
          <w:rFonts w:cs="Arial"/>
          <w:szCs w:val="20"/>
          <w:lang w:val="en-US"/>
        </w:rPr>
        <w:t xml:space="preserve"> </w:t>
      </w:r>
      <w:r w:rsidRPr="00FE50A6">
        <w:rPr>
          <w:rFonts w:eastAsia="Batang" w:cs="Times"/>
          <w:noProof/>
          <w:szCs w:val="20"/>
          <w:lang w:val="en-US" w:eastAsia="es-ES"/>
        </w:rPr>
        <w:t>at the time of the inspections in 1997 and 2000</w:t>
      </w:r>
      <w:r w:rsidR="002246F9" w:rsidRPr="00FE50A6">
        <w:rPr>
          <w:rFonts w:cs="Arial"/>
          <w:szCs w:val="20"/>
          <w:lang w:val="en-US"/>
        </w:rPr>
        <w:t xml:space="preserve">. </w:t>
      </w:r>
    </w:p>
    <w:p w14:paraId="79626779" w14:textId="77777777" w:rsidR="002246F9" w:rsidRPr="00FE50A6" w:rsidRDefault="002246F9" w:rsidP="002246F9">
      <w:pPr>
        <w:pStyle w:val="Prrafodelista"/>
        <w:autoSpaceDE w:val="0"/>
        <w:autoSpaceDN w:val="0"/>
        <w:adjustRightInd w:val="0"/>
        <w:ind w:left="0"/>
        <w:rPr>
          <w:szCs w:val="20"/>
          <w:lang w:val="en-US"/>
        </w:rPr>
      </w:pPr>
    </w:p>
    <w:p w14:paraId="4F2875C8" w14:textId="77777777" w:rsidR="002246F9" w:rsidRPr="00FE50A6" w:rsidRDefault="009C27BB" w:rsidP="008B0BCC">
      <w:pPr>
        <w:pStyle w:val="Ttulo2"/>
        <w:numPr>
          <w:ilvl w:val="0"/>
          <w:numId w:val="18"/>
        </w:numPr>
      </w:pPr>
      <w:r w:rsidRPr="00FE50A6">
        <w:t>April 1997 inspection</w:t>
      </w:r>
    </w:p>
    <w:p w14:paraId="5E3B57FD" w14:textId="77777777" w:rsidR="002246F9" w:rsidRPr="00FE50A6" w:rsidRDefault="002246F9" w:rsidP="002246F9">
      <w:pPr>
        <w:tabs>
          <w:tab w:val="clear" w:pos="4419"/>
          <w:tab w:val="clear" w:pos="8838"/>
        </w:tabs>
        <w:autoSpaceDE w:val="0"/>
        <w:autoSpaceDN w:val="0"/>
        <w:adjustRightInd w:val="0"/>
        <w:ind w:firstLine="708"/>
        <w:rPr>
          <w:b/>
          <w:szCs w:val="20"/>
          <w:lang w:val="en-US"/>
        </w:rPr>
      </w:pPr>
    </w:p>
    <w:p w14:paraId="25AB790D" w14:textId="77777777" w:rsidR="002246F9" w:rsidRPr="00FE50A6" w:rsidRDefault="002246F9" w:rsidP="005F0182">
      <w:pPr>
        <w:pStyle w:val="Ttulo3"/>
        <w:rPr>
          <w:lang w:val="en-US"/>
        </w:rPr>
      </w:pPr>
      <w:bookmarkStart w:id="285" w:name="_Toc460433023"/>
      <w:bookmarkStart w:id="286" w:name="_Toc460441954"/>
      <w:bookmarkStart w:id="287" w:name="_Toc462750772"/>
      <w:bookmarkStart w:id="288" w:name="_Toc462751096"/>
      <w:bookmarkStart w:id="289" w:name="_Toc464813948"/>
      <w:r w:rsidRPr="00FE50A6">
        <w:rPr>
          <w:lang w:val="en-US"/>
        </w:rPr>
        <w:t>A.1</w:t>
      </w:r>
      <w:r w:rsidR="00DC2886" w:rsidRPr="00FE50A6">
        <w:rPr>
          <w:lang w:val="en-US"/>
        </w:rPr>
        <w:t>.</w:t>
      </w:r>
      <w:r w:rsidRPr="00FE50A6">
        <w:rPr>
          <w:lang w:val="en-US"/>
        </w:rPr>
        <w:t xml:space="preserve"> </w:t>
      </w:r>
      <w:r w:rsidR="009C27BB" w:rsidRPr="00FE50A6">
        <w:rPr>
          <w:lang w:val="en-US"/>
        </w:rPr>
        <w:t>Arguments of the parties</w:t>
      </w:r>
      <w:r w:rsidR="00030C17" w:rsidRPr="00FE50A6">
        <w:rPr>
          <w:lang w:val="en-US"/>
        </w:rPr>
        <w:t xml:space="preserve"> and </w:t>
      </w:r>
      <w:r w:rsidR="000228D0" w:rsidRPr="00FE50A6">
        <w:rPr>
          <w:lang w:val="en-US"/>
        </w:rPr>
        <w:t>of the Commission</w:t>
      </w:r>
      <w:bookmarkEnd w:id="285"/>
      <w:bookmarkEnd w:id="286"/>
      <w:bookmarkEnd w:id="287"/>
      <w:bookmarkEnd w:id="288"/>
      <w:bookmarkEnd w:id="289"/>
    </w:p>
    <w:p w14:paraId="3E4FB007" w14:textId="77777777" w:rsidR="002246F9" w:rsidRPr="00FE50A6" w:rsidRDefault="002246F9" w:rsidP="002246F9">
      <w:pPr>
        <w:pStyle w:val="Prrafodelista"/>
        <w:autoSpaceDE w:val="0"/>
        <w:autoSpaceDN w:val="0"/>
        <w:adjustRightInd w:val="0"/>
        <w:ind w:left="0"/>
        <w:rPr>
          <w:szCs w:val="20"/>
          <w:lang w:val="en-US"/>
        </w:rPr>
      </w:pPr>
    </w:p>
    <w:p w14:paraId="1220E140" w14:textId="77777777" w:rsidR="009845A1" w:rsidRPr="00FE50A6" w:rsidRDefault="009845A1" w:rsidP="002246F9">
      <w:pPr>
        <w:pStyle w:val="Prrafodelista"/>
        <w:numPr>
          <w:ilvl w:val="0"/>
          <w:numId w:val="1"/>
        </w:numPr>
        <w:autoSpaceDE w:val="0"/>
        <w:autoSpaceDN w:val="0"/>
        <w:adjustRightInd w:val="0"/>
        <w:rPr>
          <w:szCs w:val="20"/>
          <w:lang w:val="en-US"/>
        </w:rPr>
      </w:pPr>
      <w:r w:rsidRPr="00FE50A6">
        <w:rPr>
          <w:szCs w:val="20"/>
          <w:lang w:val="en-US"/>
        </w:rPr>
        <w:t>In its Merits Report, th</w:t>
      </w:r>
      <w:r w:rsidR="000228D0" w:rsidRPr="00FE50A6">
        <w:rPr>
          <w:szCs w:val="20"/>
          <w:lang w:val="en-US"/>
        </w:rPr>
        <w:t xml:space="preserve">e </w:t>
      </w:r>
      <w:r w:rsidR="000228D0" w:rsidRPr="00FE50A6">
        <w:rPr>
          <w:b/>
          <w:i/>
          <w:szCs w:val="20"/>
          <w:lang w:val="en-US"/>
        </w:rPr>
        <w:t>Commission</w:t>
      </w:r>
      <w:r w:rsidR="002246F9" w:rsidRPr="00FE50A6">
        <w:rPr>
          <w:szCs w:val="20"/>
          <w:lang w:val="en-US"/>
        </w:rPr>
        <w:t xml:space="preserve"> </w:t>
      </w:r>
      <w:r w:rsidRPr="00FE50A6">
        <w:rPr>
          <w:szCs w:val="20"/>
          <w:lang w:val="en-US"/>
        </w:rPr>
        <w:t xml:space="preserve">indicated that, at the time of the </w:t>
      </w:r>
      <w:r w:rsidR="009C27BB" w:rsidRPr="00FE50A6">
        <w:rPr>
          <w:szCs w:val="20"/>
          <w:lang w:val="en-US"/>
        </w:rPr>
        <w:t>April 1997 inspection</w:t>
      </w:r>
      <w:r w:rsidRPr="00FE50A6">
        <w:rPr>
          <w:szCs w:val="20"/>
          <w:lang w:val="en-US"/>
        </w:rPr>
        <w:t xml:space="preserve">, there were 81 workers in </w:t>
      </w:r>
      <w:r w:rsidR="002246F9" w:rsidRPr="00FE50A6">
        <w:rPr>
          <w:szCs w:val="20"/>
          <w:lang w:val="en-US"/>
        </w:rPr>
        <w:t xml:space="preserve">Hacienda </w:t>
      </w:r>
      <w:r w:rsidR="00322241" w:rsidRPr="00FE50A6">
        <w:rPr>
          <w:szCs w:val="20"/>
          <w:lang w:val="en-US"/>
        </w:rPr>
        <w:t>Brasil Verde</w:t>
      </w:r>
      <w:r w:rsidRPr="00FE50A6">
        <w:rPr>
          <w:szCs w:val="20"/>
          <w:lang w:val="en-US"/>
        </w:rPr>
        <w:t>,</w:t>
      </w:r>
      <w:r w:rsidR="00D25255" w:rsidRPr="00FE50A6">
        <w:rPr>
          <w:szCs w:val="20"/>
          <w:lang w:val="en-US"/>
        </w:rPr>
        <w:t xml:space="preserve"> but</w:t>
      </w:r>
      <w:r w:rsidRPr="00FE50A6">
        <w:rPr>
          <w:szCs w:val="20"/>
          <w:lang w:val="en-US"/>
        </w:rPr>
        <w:t xml:space="preserve"> it had only been able to identify the names of 59 of them. It also indicated that 12 of them had been identified by means of informal invoices for debts the workers </w:t>
      </w:r>
      <w:r w:rsidR="00D25255" w:rsidRPr="00FE50A6">
        <w:rPr>
          <w:szCs w:val="20"/>
          <w:lang w:val="en-US"/>
        </w:rPr>
        <w:t xml:space="preserve">contracted </w:t>
      </w:r>
      <w:r w:rsidRPr="00FE50A6">
        <w:rPr>
          <w:szCs w:val="20"/>
          <w:lang w:val="en-US"/>
        </w:rPr>
        <w:t xml:space="preserve">with the employer and that, in many cases, the workers appeared registered without their last names or with </w:t>
      </w:r>
      <w:r w:rsidR="00D25255" w:rsidRPr="00FE50A6">
        <w:rPr>
          <w:szCs w:val="20"/>
          <w:lang w:val="en-US"/>
        </w:rPr>
        <w:t>aliases</w:t>
      </w:r>
      <w:r w:rsidRPr="00FE50A6">
        <w:rPr>
          <w:szCs w:val="20"/>
          <w:lang w:val="en-US"/>
        </w:rPr>
        <w:t xml:space="preserve">, or </w:t>
      </w:r>
      <w:r w:rsidRPr="00FE50A6">
        <w:rPr>
          <w:szCs w:val="20"/>
          <w:lang w:val="en-US"/>
        </w:rPr>
        <w:lastRenderedPageBreak/>
        <w:t>their names were illegible. Consequently, the Commission had insufficient information to determine whether or not a worker had been identified previously.</w:t>
      </w:r>
    </w:p>
    <w:p w14:paraId="126E0C86" w14:textId="77777777" w:rsidR="002246F9" w:rsidRPr="00FE50A6" w:rsidRDefault="002246F9" w:rsidP="002246F9">
      <w:pPr>
        <w:pStyle w:val="Prrafodelista"/>
        <w:autoSpaceDE w:val="0"/>
        <w:autoSpaceDN w:val="0"/>
        <w:adjustRightInd w:val="0"/>
        <w:ind w:left="0"/>
        <w:rPr>
          <w:szCs w:val="20"/>
          <w:lang w:val="en-US"/>
        </w:rPr>
      </w:pPr>
    </w:p>
    <w:p w14:paraId="22E333F8" w14:textId="77777777" w:rsidR="002246F9" w:rsidRPr="00FE50A6" w:rsidRDefault="009845A1" w:rsidP="009845A1">
      <w:pPr>
        <w:pStyle w:val="Prrafodelista"/>
        <w:numPr>
          <w:ilvl w:val="0"/>
          <w:numId w:val="1"/>
        </w:numPr>
        <w:autoSpaceDE w:val="0"/>
        <w:autoSpaceDN w:val="0"/>
        <w:adjustRightInd w:val="0"/>
        <w:rPr>
          <w:szCs w:val="20"/>
          <w:lang w:val="en-US"/>
        </w:rPr>
      </w:pPr>
      <w:r w:rsidRPr="00FE50A6">
        <w:rPr>
          <w:szCs w:val="20"/>
          <w:lang w:val="en-US"/>
        </w:rPr>
        <w:t xml:space="preserve">Meanwhile, </w:t>
      </w:r>
      <w:r w:rsidR="00700B79" w:rsidRPr="00FE50A6">
        <w:rPr>
          <w:szCs w:val="20"/>
          <w:lang w:val="en-US"/>
        </w:rPr>
        <w:t xml:space="preserve">the </w:t>
      </w:r>
      <w:r w:rsidR="00700B79" w:rsidRPr="00FE50A6">
        <w:rPr>
          <w:b/>
          <w:i/>
          <w:szCs w:val="20"/>
          <w:lang w:val="en-US"/>
        </w:rPr>
        <w:t>representatives</w:t>
      </w:r>
      <w:r w:rsidR="002246F9" w:rsidRPr="00FE50A6">
        <w:rPr>
          <w:szCs w:val="20"/>
          <w:lang w:val="en-US"/>
        </w:rPr>
        <w:t xml:space="preserve"> </w:t>
      </w:r>
      <w:r w:rsidRPr="00FE50A6">
        <w:rPr>
          <w:szCs w:val="20"/>
          <w:lang w:val="en-US"/>
        </w:rPr>
        <w:t>agreed with</w:t>
      </w:r>
      <w:r w:rsidR="002246F9" w:rsidRPr="00FE50A6">
        <w:rPr>
          <w:szCs w:val="20"/>
          <w:lang w:val="en-US"/>
        </w:rPr>
        <w:t xml:space="preserve"> </w:t>
      </w:r>
      <w:r w:rsidR="000228D0" w:rsidRPr="00FE50A6">
        <w:rPr>
          <w:szCs w:val="20"/>
          <w:lang w:val="en-US"/>
        </w:rPr>
        <w:t>the Commission</w:t>
      </w:r>
      <w:r w:rsidR="002246F9" w:rsidRPr="00FE50A6">
        <w:rPr>
          <w:szCs w:val="20"/>
          <w:lang w:val="en-US"/>
        </w:rPr>
        <w:t xml:space="preserve"> </w:t>
      </w:r>
      <w:r w:rsidRPr="00FE50A6">
        <w:rPr>
          <w:szCs w:val="20"/>
          <w:lang w:val="en-US"/>
        </w:rPr>
        <w:t xml:space="preserve">that, at the time of the April 1997 inspection, there were 81 workers in Hacienda Brasil Verde. However, they added that, according to the inspection report, 12 other workers had escaped before the Ministry of Labor and the Federal Police visited Hacienda Brasil Verde, which gave a total of </w:t>
      </w:r>
      <w:r w:rsidR="002246F9" w:rsidRPr="00FE50A6">
        <w:rPr>
          <w:szCs w:val="20"/>
          <w:lang w:val="en-US"/>
        </w:rPr>
        <w:t xml:space="preserve">93 </w:t>
      </w:r>
      <w:r w:rsidR="008A7089" w:rsidRPr="00FE50A6">
        <w:rPr>
          <w:szCs w:val="20"/>
          <w:lang w:val="en-US"/>
        </w:rPr>
        <w:t>presumed victims</w:t>
      </w:r>
      <w:r w:rsidR="002246F9" w:rsidRPr="00FE50A6">
        <w:rPr>
          <w:szCs w:val="20"/>
          <w:lang w:val="en-US"/>
        </w:rPr>
        <w:t xml:space="preserve">. </w:t>
      </w:r>
      <w:r w:rsidRPr="00FE50A6">
        <w:rPr>
          <w:szCs w:val="20"/>
          <w:lang w:val="en-US"/>
        </w:rPr>
        <w:t xml:space="preserve">Despite this, </w:t>
      </w:r>
      <w:r w:rsidR="00700B79" w:rsidRPr="00FE50A6">
        <w:rPr>
          <w:szCs w:val="20"/>
          <w:lang w:val="en-US"/>
        </w:rPr>
        <w:t>the representatives</w:t>
      </w:r>
      <w:r w:rsidR="002246F9" w:rsidRPr="00FE50A6">
        <w:rPr>
          <w:szCs w:val="20"/>
          <w:lang w:val="en-US"/>
        </w:rPr>
        <w:t xml:space="preserve"> in</w:t>
      </w:r>
      <w:r w:rsidRPr="00FE50A6">
        <w:rPr>
          <w:szCs w:val="20"/>
          <w:lang w:val="en-US"/>
        </w:rPr>
        <w:t xml:space="preserve">cluded the names of 96 workers on their list of presumed victims, explaining that 49 of the names had been obtained from informal notes for </w:t>
      </w:r>
      <w:r w:rsidR="00445155" w:rsidRPr="00FE50A6">
        <w:rPr>
          <w:szCs w:val="20"/>
          <w:lang w:val="en-US"/>
        </w:rPr>
        <w:t>purchases or blank receipts</w:t>
      </w:r>
      <w:r w:rsidR="002246F9" w:rsidRPr="00FE50A6">
        <w:rPr>
          <w:rFonts w:cs="Helvetica"/>
          <w:szCs w:val="20"/>
          <w:lang w:val="en-US"/>
        </w:rPr>
        <w:t>.</w:t>
      </w:r>
    </w:p>
    <w:p w14:paraId="014D68EB" w14:textId="77777777" w:rsidR="002246F9" w:rsidRPr="00FE50A6" w:rsidRDefault="002246F9" w:rsidP="002246F9">
      <w:pPr>
        <w:pStyle w:val="Prrafodelista"/>
        <w:autoSpaceDE w:val="0"/>
        <w:autoSpaceDN w:val="0"/>
        <w:adjustRightInd w:val="0"/>
        <w:ind w:left="0"/>
        <w:rPr>
          <w:szCs w:val="20"/>
          <w:lang w:val="en-US"/>
        </w:rPr>
      </w:pPr>
    </w:p>
    <w:p w14:paraId="11BEBF37" w14:textId="77777777" w:rsidR="002246F9" w:rsidRPr="00FE50A6" w:rsidRDefault="002246F9" w:rsidP="00445155">
      <w:pPr>
        <w:pStyle w:val="Prrafodelista"/>
        <w:numPr>
          <w:ilvl w:val="0"/>
          <w:numId w:val="1"/>
        </w:numPr>
        <w:autoSpaceDE w:val="0"/>
        <w:autoSpaceDN w:val="0"/>
        <w:adjustRightInd w:val="0"/>
        <w:rPr>
          <w:szCs w:val="20"/>
          <w:lang w:val="en-US"/>
        </w:rPr>
      </w:pPr>
      <w:r w:rsidRPr="00FE50A6">
        <w:rPr>
          <w:szCs w:val="20"/>
          <w:lang w:val="en-US"/>
        </w:rPr>
        <w:t xml:space="preserve"> </w:t>
      </w:r>
      <w:r w:rsidR="00445155" w:rsidRPr="00FE50A6">
        <w:rPr>
          <w:szCs w:val="20"/>
          <w:lang w:val="en-US"/>
        </w:rPr>
        <w:t xml:space="preserve">By comparison, the </w:t>
      </w:r>
      <w:r w:rsidR="00445155" w:rsidRPr="00FE50A6">
        <w:rPr>
          <w:b/>
          <w:i/>
          <w:szCs w:val="20"/>
          <w:lang w:val="en-US"/>
        </w:rPr>
        <w:t>State</w:t>
      </w:r>
      <w:r w:rsidR="00445155" w:rsidRPr="00FE50A6">
        <w:rPr>
          <w:szCs w:val="20"/>
          <w:lang w:val="en-US"/>
        </w:rPr>
        <w:t xml:space="preserve"> argued that it was necessary to distinguish the total </w:t>
      </w:r>
      <w:r w:rsidR="00D25255" w:rsidRPr="00FE50A6">
        <w:rPr>
          <w:szCs w:val="20"/>
          <w:lang w:val="en-US"/>
        </w:rPr>
        <w:t xml:space="preserve">number </w:t>
      </w:r>
      <w:r w:rsidR="00445155" w:rsidRPr="00FE50A6">
        <w:rPr>
          <w:szCs w:val="20"/>
          <w:lang w:val="en-US"/>
        </w:rPr>
        <w:t xml:space="preserve">of “workers found" from the total </w:t>
      </w:r>
      <w:r w:rsidR="00D25255" w:rsidRPr="00FE50A6">
        <w:rPr>
          <w:szCs w:val="20"/>
          <w:lang w:val="en-US"/>
        </w:rPr>
        <w:t xml:space="preserve">number </w:t>
      </w:r>
      <w:r w:rsidR="00445155" w:rsidRPr="00FE50A6">
        <w:rPr>
          <w:szCs w:val="20"/>
          <w:lang w:val="en-US"/>
        </w:rPr>
        <w:t>of “workers rescued” by the Ministry of Labor</w:t>
      </w:r>
      <w:r w:rsidR="00030C17" w:rsidRPr="00FE50A6">
        <w:rPr>
          <w:szCs w:val="20"/>
          <w:lang w:val="en-US"/>
        </w:rPr>
        <w:t xml:space="preserve"> and </w:t>
      </w:r>
      <w:r w:rsidR="00445155" w:rsidRPr="00FE50A6">
        <w:rPr>
          <w:szCs w:val="20"/>
          <w:lang w:val="en-US"/>
        </w:rPr>
        <w:t>the Federal</w:t>
      </w:r>
      <w:r w:rsidR="008B0077" w:rsidRPr="00FE50A6">
        <w:rPr>
          <w:szCs w:val="20"/>
          <w:lang w:val="en-US"/>
        </w:rPr>
        <w:t xml:space="preserve"> Police</w:t>
      </w:r>
      <w:r w:rsidRPr="00FE50A6">
        <w:rPr>
          <w:szCs w:val="20"/>
          <w:lang w:val="en-US"/>
        </w:rPr>
        <w:t xml:space="preserve">. </w:t>
      </w:r>
      <w:r w:rsidR="00445155" w:rsidRPr="00FE50A6">
        <w:rPr>
          <w:szCs w:val="20"/>
          <w:lang w:val="en-US"/>
        </w:rPr>
        <w:t xml:space="preserve">Thus, although </w:t>
      </w:r>
      <w:r w:rsidR="00C23CE5" w:rsidRPr="00FE50A6">
        <w:rPr>
          <w:szCs w:val="20"/>
          <w:lang w:val="en-US"/>
        </w:rPr>
        <w:t>the inspection report</w:t>
      </w:r>
      <w:r w:rsidRPr="00FE50A6">
        <w:rPr>
          <w:szCs w:val="20"/>
          <w:lang w:val="en-US"/>
        </w:rPr>
        <w:t xml:space="preserve"> indica</w:t>
      </w:r>
      <w:r w:rsidR="00445155" w:rsidRPr="00FE50A6">
        <w:rPr>
          <w:szCs w:val="20"/>
          <w:lang w:val="en-US"/>
        </w:rPr>
        <w:t xml:space="preserve">ted that there were 81 workers in </w:t>
      </w:r>
      <w:r w:rsidRPr="00FE50A6">
        <w:rPr>
          <w:szCs w:val="20"/>
          <w:lang w:val="en-US"/>
        </w:rPr>
        <w:t xml:space="preserve">Hacienda </w:t>
      </w:r>
      <w:r w:rsidR="00322241" w:rsidRPr="00FE50A6">
        <w:rPr>
          <w:szCs w:val="20"/>
          <w:lang w:val="en-US"/>
        </w:rPr>
        <w:t>Brasil Verde</w:t>
      </w:r>
      <w:r w:rsidRPr="00FE50A6">
        <w:rPr>
          <w:szCs w:val="20"/>
          <w:lang w:val="en-US"/>
        </w:rPr>
        <w:t xml:space="preserve">, </w:t>
      </w:r>
      <w:r w:rsidR="00445155" w:rsidRPr="00FE50A6">
        <w:rPr>
          <w:szCs w:val="20"/>
          <w:lang w:val="en-US"/>
        </w:rPr>
        <w:t xml:space="preserve">only 36 workers were rescued, which meant that only these 36 were in a specific situation of </w:t>
      </w:r>
      <w:r w:rsidR="00D25255" w:rsidRPr="00FE50A6">
        <w:rPr>
          <w:szCs w:val="20"/>
          <w:lang w:val="en-US"/>
        </w:rPr>
        <w:t>risk</w:t>
      </w:r>
      <w:r w:rsidR="00445155" w:rsidRPr="00FE50A6">
        <w:rPr>
          <w:szCs w:val="20"/>
          <w:lang w:val="en-US"/>
        </w:rPr>
        <w:t xml:space="preserve"> </w:t>
      </w:r>
      <w:r w:rsidR="00D25255" w:rsidRPr="00FE50A6">
        <w:rPr>
          <w:szCs w:val="20"/>
          <w:lang w:val="en-US"/>
        </w:rPr>
        <w:t>to</w:t>
      </w:r>
      <w:r w:rsidR="00445155" w:rsidRPr="00FE50A6">
        <w:rPr>
          <w:szCs w:val="20"/>
          <w:lang w:val="en-US"/>
        </w:rPr>
        <w:t xml:space="preserve"> their physical integrity in order to consider them presumed victims in this case. Consequently, the State asserted that, regarding the other 45 individuals who had been indicated, there was no evidence to prove that they had been victims of violations of the rights recognized in </w:t>
      </w:r>
      <w:r w:rsidR="000228D0" w:rsidRPr="00FE50A6">
        <w:rPr>
          <w:szCs w:val="20"/>
          <w:lang w:val="en-US"/>
        </w:rPr>
        <w:t>the American Convention</w:t>
      </w:r>
      <w:r w:rsidRPr="00FE50A6">
        <w:rPr>
          <w:szCs w:val="20"/>
          <w:lang w:val="en-US"/>
        </w:rPr>
        <w:t>.</w:t>
      </w:r>
    </w:p>
    <w:p w14:paraId="5DBA4B2A" w14:textId="77777777" w:rsidR="002246F9" w:rsidRPr="00FE50A6" w:rsidRDefault="002246F9" w:rsidP="0089192A">
      <w:pPr>
        <w:pStyle w:val="Textocomentario"/>
        <w:tabs>
          <w:tab w:val="clear" w:pos="4419"/>
          <w:tab w:val="clear" w:pos="8838"/>
        </w:tabs>
        <w:autoSpaceDE w:val="0"/>
        <w:autoSpaceDN w:val="0"/>
        <w:adjustRightInd w:val="0"/>
        <w:rPr>
          <w:lang w:val="en-US"/>
        </w:rPr>
      </w:pPr>
    </w:p>
    <w:p w14:paraId="4EE279B7" w14:textId="77777777" w:rsidR="002246F9" w:rsidRPr="00FE50A6" w:rsidRDefault="002246F9" w:rsidP="005F0182">
      <w:pPr>
        <w:pStyle w:val="Ttulo3"/>
        <w:rPr>
          <w:lang w:val="en-US"/>
        </w:rPr>
      </w:pPr>
      <w:bookmarkStart w:id="290" w:name="_Toc460433024"/>
      <w:bookmarkStart w:id="291" w:name="_Toc460441955"/>
      <w:bookmarkStart w:id="292" w:name="_Toc462750773"/>
      <w:bookmarkStart w:id="293" w:name="_Toc462751097"/>
      <w:bookmarkStart w:id="294" w:name="_Toc464813949"/>
      <w:r w:rsidRPr="00FE50A6">
        <w:rPr>
          <w:lang w:val="en-US"/>
        </w:rPr>
        <w:t>A.2</w:t>
      </w:r>
      <w:r w:rsidR="00DC2886" w:rsidRPr="00FE50A6">
        <w:rPr>
          <w:lang w:val="en-US"/>
        </w:rPr>
        <w:t>.</w:t>
      </w:r>
      <w:r w:rsidRPr="00FE50A6">
        <w:rPr>
          <w:lang w:val="en-US"/>
        </w:rPr>
        <w:t xml:space="preserve"> </w:t>
      </w:r>
      <w:r w:rsidR="000702CF" w:rsidRPr="00FE50A6">
        <w:rPr>
          <w:lang w:val="en-US"/>
        </w:rPr>
        <w:t>Considerations</w:t>
      </w:r>
      <w:r w:rsidR="000228D0" w:rsidRPr="00FE50A6">
        <w:rPr>
          <w:lang w:val="en-US"/>
        </w:rPr>
        <w:t xml:space="preserve"> of the Court</w:t>
      </w:r>
      <w:bookmarkEnd w:id="290"/>
      <w:bookmarkEnd w:id="291"/>
      <w:bookmarkEnd w:id="292"/>
      <w:bookmarkEnd w:id="293"/>
      <w:bookmarkEnd w:id="294"/>
    </w:p>
    <w:p w14:paraId="61642F67" w14:textId="77777777" w:rsidR="002246F9" w:rsidRPr="00FE50A6" w:rsidRDefault="002246F9" w:rsidP="002246F9">
      <w:pPr>
        <w:pStyle w:val="Prrafodelista"/>
        <w:rPr>
          <w:rFonts w:cs="Times New Roman"/>
          <w:szCs w:val="20"/>
          <w:lang w:val="en-US"/>
        </w:rPr>
      </w:pPr>
    </w:p>
    <w:p w14:paraId="5B7B7F06" w14:textId="77777777" w:rsidR="002246F9" w:rsidRPr="00FE50A6" w:rsidRDefault="000228D0" w:rsidP="00445155">
      <w:pPr>
        <w:pStyle w:val="Prrafodelista"/>
        <w:numPr>
          <w:ilvl w:val="0"/>
          <w:numId w:val="1"/>
        </w:numPr>
        <w:autoSpaceDE w:val="0"/>
        <w:autoSpaceDN w:val="0"/>
        <w:adjustRightInd w:val="0"/>
        <w:rPr>
          <w:szCs w:val="20"/>
          <w:lang w:val="en-US"/>
        </w:rPr>
      </w:pPr>
      <w:r w:rsidRPr="00FE50A6">
        <w:rPr>
          <w:rFonts w:cs="Times New Roman"/>
          <w:szCs w:val="20"/>
          <w:lang w:val="en-US"/>
        </w:rPr>
        <w:t>The Court</w:t>
      </w:r>
      <w:r w:rsidR="002246F9" w:rsidRPr="00FE50A6">
        <w:rPr>
          <w:rFonts w:cs="Times New Roman"/>
          <w:szCs w:val="20"/>
          <w:lang w:val="en-US"/>
        </w:rPr>
        <w:t xml:space="preserve"> </w:t>
      </w:r>
      <w:r w:rsidR="00445155" w:rsidRPr="00FE50A6">
        <w:rPr>
          <w:rFonts w:cs="Times New Roman"/>
          <w:szCs w:val="20"/>
          <w:lang w:val="en-US"/>
        </w:rPr>
        <w:t xml:space="preserve">has verified that the notes for purchases and the blank receipts on which the debts of the Hacienda Brasil Verde workers were recorded were informal </w:t>
      </w:r>
      <w:r w:rsidR="00D25255" w:rsidRPr="00FE50A6">
        <w:rPr>
          <w:rFonts w:cs="Times New Roman"/>
          <w:szCs w:val="20"/>
          <w:lang w:val="en-US"/>
        </w:rPr>
        <w:t xml:space="preserve">handwritten </w:t>
      </w:r>
      <w:r w:rsidR="00445155" w:rsidRPr="00FE50A6">
        <w:rPr>
          <w:rFonts w:cs="Times New Roman"/>
          <w:szCs w:val="20"/>
          <w:lang w:val="en-US"/>
        </w:rPr>
        <w:t xml:space="preserve">records, in which the complete name of the worker was not included and, at times, only their </w:t>
      </w:r>
      <w:r w:rsidR="00D25255" w:rsidRPr="00FE50A6">
        <w:rPr>
          <w:rFonts w:cs="Times New Roman"/>
          <w:szCs w:val="20"/>
          <w:lang w:val="en-US"/>
        </w:rPr>
        <w:t>aliases</w:t>
      </w:r>
      <w:r w:rsidR="00445155" w:rsidRPr="00FE50A6">
        <w:rPr>
          <w:rFonts w:cs="Times New Roman"/>
          <w:szCs w:val="20"/>
          <w:lang w:val="en-US"/>
        </w:rPr>
        <w:t xml:space="preserve"> were written. For example, some of the names of those who were presented as </w:t>
      </w:r>
      <w:r w:rsidR="008A7089" w:rsidRPr="00FE50A6">
        <w:rPr>
          <w:rFonts w:cs="Times New Roman"/>
          <w:szCs w:val="20"/>
          <w:lang w:val="en-US"/>
        </w:rPr>
        <w:t>presumed victims</w:t>
      </w:r>
      <w:r w:rsidR="002246F9" w:rsidRPr="00FE50A6">
        <w:rPr>
          <w:rFonts w:cs="Times New Roman"/>
          <w:szCs w:val="20"/>
          <w:lang w:val="en-US"/>
        </w:rPr>
        <w:t xml:space="preserve"> </w:t>
      </w:r>
      <w:r w:rsidR="00445155" w:rsidRPr="00FE50A6">
        <w:rPr>
          <w:rFonts w:cs="Times New Roman"/>
          <w:szCs w:val="20"/>
          <w:lang w:val="en-US"/>
        </w:rPr>
        <w:t xml:space="preserve">based on the notes for purchases or blank receipts were as follows: </w:t>
      </w:r>
      <w:r w:rsidR="002246F9" w:rsidRPr="00FE50A6">
        <w:rPr>
          <w:rFonts w:cs="Helvetica"/>
          <w:szCs w:val="20"/>
          <w:lang w:val="en-US"/>
        </w:rPr>
        <w:t xml:space="preserve">Antônio </w:t>
      </w:r>
      <w:r w:rsidR="009C48A4" w:rsidRPr="00FE50A6">
        <w:rPr>
          <w:rFonts w:cs="Helvetica"/>
          <w:szCs w:val="20"/>
          <w:lang w:val="en-US"/>
        </w:rPr>
        <w:t>“</w:t>
      </w:r>
      <w:r w:rsidR="002246F9" w:rsidRPr="00FE50A6">
        <w:rPr>
          <w:rFonts w:cs="Helvetica"/>
          <w:szCs w:val="20"/>
          <w:lang w:val="en-US"/>
        </w:rPr>
        <w:t>Caititu</w:t>
      </w:r>
      <w:r w:rsidR="00445155" w:rsidRPr="00FE50A6">
        <w:rPr>
          <w:rFonts w:cs="Helvetica"/>
          <w:szCs w:val="20"/>
          <w:lang w:val="en-US"/>
        </w:rPr>
        <w:t>,</w:t>
      </w:r>
      <w:r w:rsidR="009C48A4" w:rsidRPr="00FE50A6">
        <w:rPr>
          <w:rFonts w:cs="Helvetica"/>
          <w:szCs w:val="20"/>
          <w:lang w:val="en-US"/>
        </w:rPr>
        <w:t>”</w:t>
      </w:r>
      <w:r w:rsidR="002246F9" w:rsidRPr="00FE50A6">
        <w:rPr>
          <w:rFonts w:cs="Helvetica"/>
          <w:szCs w:val="20"/>
          <w:lang w:val="en-US"/>
        </w:rPr>
        <w:t xml:space="preserve"> </w:t>
      </w:r>
      <w:r w:rsidR="00D60654" w:rsidRPr="00FE50A6">
        <w:rPr>
          <w:rFonts w:cs="Helvetica"/>
          <w:szCs w:val="20"/>
          <w:lang w:val="en-US"/>
        </w:rPr>
        <w:t xml:space="preserve">Antônio </w:t>
      </w:r>
      <w:r w:rsidR="009C48A4" w:rsidRPr="00FE50A6">
        <w:rPr>
          <w:rFonts w:cs="Helvetica"/>
          <w:szCs w:val="20"/>
          <w:lang w:val="en-US"/>
        </w:rPr>
        <w:t>“</w:t>
      </w:r>
      <w:r w:rsidR="002246F9" w:rsidRPr="00FE50A6">
        <w:rPr>
          <w:rFonts w:cs="Helvetica"/>
          <w:szCs w:val="20"/>
          <w:lang w:val="en-US"/>
        </w:rPr>
        <w:t>Capixaba</w:t>
      </w:r>
      <w:r w:rsidR="00445155" w:rsidRPr="00FE50A6">
        <w:rPr>
          <w:rFonts w:cs="Helvetica"/>
          <w:szCs w:val="20"/>
          <w:lang w:val="en-US"/>
        </w:rPr>
        <w:t>,</w:t>
      </w:r>
      <w:r w:rsidR="009C48A4" w:rsidRPr="00FE50A6">
        <w:rPr>
          <w:rFonts w:cs="Helvetica"/>
          <w:szCs w:val="20"/>
          <w:lang w:val="en-US"/>
        </w:rPr>
        <w:t>”</w:t>
      </w:r>
      <w:r w:rsidR="002246F9" w:rsidRPr="00FE50A6">
        <w:rPr>
          <w:rFonts w:cs="Helvetica"/>
          <w:szCs w:val="20"/>
          <w:lang w:val="en-US"/>
        </w:rPr>
        <w:t xml:space="preserve"> Irineu, José Carlos, José Francisco, Francisco, </w:t>
      </w:r>
      <w:r w:rsidR="009C48A4" w:rsidRPr="00FE50A6">
        <w:rPr>
          <w:rFonts w:cs="Helvetica"/>
          <w:szCs w:val="20"/>
          <w:lang w:val="en-US"/>
        </w:rPr>
        <w:t>“</w:t>
      </w:r>
      <w:r w:rsidR="002246F9" w:rsidRPr="00FE50A6">
        <w:rPr>
          <w:rFonts w:cs="Helvetica"/>
          <w:szCs w:val="20"/>
          <w:lang w:val="en-US"/>
        </w:rPr>
        <w:t>Índio</w:t>
      </w:r>
      <w:r w:rsidR="00445155" w:rsidRPr="00FE50A6">
        <w:rPr>
          <w:rFonts w:cs="Helvetica"/>
          <w:szCs w:val="20"/>
          <w:lang w:val="en-US"/>
        </w:rPr>
        <w:t>,</w:t>
      </w:r>
      <w:r w:rsidR="009C48A4" w:rsidRPr="00FE50A6">
        <w:rPr>
          <w:rFonts w:cs="Helvetica"/>
          <w:szCs w:val="20"/>
          <w:lang w:val="en-US"/>
        </w:rPr>
        <w:t>”</w:t>
      </w:r>
      <w:r w:rsidR="002246F9" w:rsidRPr="00FE50A6">
        <w:rPr>
          <w:rFonts w:cs="Helvetica"/>
          <w:szCs w:val="20"/>
          <w:lang w:val="en-US"/>
        </w:rPr>
        <w:t xml:space="preserve"> </w:t>
      </w:r>
      <w:r w:rsidR="009C48A4" w:rsidRPr="00FE50A6">
        <w:rPr>
          <w:rFonts w:cs="Helvetica"/>
          <w:szCs w:val="20"/>
          <w:lang w:val="en-US"/>
        </w:rPr>
        <w:t>“</w:t>
      </w:r>
      <w:r w:rsidR="002246F9" w:rsidRPr="00FE50A6">
        <w:rPr>
          <w:rFonts w:cs="Helvetica"/>
          <w:szCs w:val="20"/>
          <w:lang w:val="en-US"/>
        </w:rPr>
        <w:t>Mato Grosso</w:t>
      </w:r>
      <w:r w:rsidR="00445155" w:rsidRPr="00FE50A6">
        <w:rPr>
          <w:rFonts w:cs="Helvetica"/>
          <w:szCs w:val="20"/>
          <w:lang w:val="en-US"/>
        </w:rPr>
        <w:t>,</w:t>
      </w:r>
      <w:r w:rsidR="009C48A4" w:rsidRPr="00FE50A6">
        <w:rPr>
          <w:rFonts w:cs="Helvetica"/>
          <w:szCs w:val="20"/>
          <w:lang w:val="en-US"/>
        </w:rPr>
        <w:t>”</w:t>
      </w:r>
      <w:r w:rsidR="002246F9" w:rsidRPr="00FE50A6">
        <w:rPr>
          <w:rFonts w:cs="Helvetica"/>
          <w:szCs w:val="20"/>
          <w:lang w:val="en-US"/>
        </w:rPr>
        <w:t xml:space="preserve"> </w:t>
      </w:r>
      <w:r w:rsidR="009C48A4" w:rsidRPr="00FE50A6">
        <w:rPr>
          <w:rFonts w:cs="Helvetica"/>
          <w:szCs w:val="20"/>
          <w:lang w:val="en-US"/>
        </w:rPr>
        <w:t>“</w:t>
      </w:r>
      <w:r w:rsidR="002246F9" w:rsidRPr="00FE50A6">
        <w:rPr>
          <w:rFonts w:cs="Helvetica"/>
          <w:szCs w:val="20"/>
          <w:lang w:val="en-US"/>
        </w:rPr>
        <w:t>Pará</w:t>
      </w:r>
      <w:r w:rsidR="009C48A4" w:rsidRPr="00FE50A6">
        <w:rPr>
          <w:rFonts w:cs="Helvetica"/>
          <w:szCs w:val="20"/>
          <w:lang w:val="en-US"/>
        </w:rPr>
        <w:t>”</w:t>
      </w:r>
      <w:r w:rsidR="00030C17" w:rsidRPr="00FE50A6">
        <w:rPr>
          <w:rFonts w:cs="Helvetica"/>
          <w:szCs w:val="20"/>
          <w:lang w:val="en-US"/>
        </w:rPr>
        <w:t xml:space="preserve"> and </w:t>
      </w:r>
      <w:r w:rsidR="009C48A4" w:rsidRPr="00FE50A6">
        <w:rPr>
          <w:rFonts w:cs="Helvetica"/>
          <w:szCs w:val="20"/>
          <w:lang w:val="en-US"/>
        </w:rPr>
        <w:t>“</w:t>
      </w:r>
      <w:r w:rsidR="002246F9" w:rsidRPr="00FE50A6">
        <w:rPr>
          <w:rFonts w:cs="Helvetica"/>
          <w:szCs w:val="20"/>
          <w:lang w:val="en-US"/>
        </w:rPr>
        <w:t>Parazinho</w:t>
      </w:r>
      <w:r w:rsidR="00445155" w:rsidRPr="00FE50A6">
        <w:rPr>
          <w:rFonts w:cs="Helvetica"/>
          <w:szCs w:val="20"/>
          <w:lang w:val="en-US"/>
        </w:rPr>
        <w:t>.</w:t>
      </w:r>
      <w:r w:rsidR="009C48A4" w:rsidRPr="00FE50A6">
        <w:rPr>
          <w:rFonts w:cs="Helvetica"/>
          <w:szCs w:val="20"/>
          <w:lang w:val="en-US"/>
        </w:rPr>
        <w:t>”</w:t>
      </w:r>
      <w:r w:rsidR="002246F9" w:rsidRPr="00FE50A6">
        <w:rPr>
          <w:szCs w:val="20"/>
          <w:lang w:val="en-US"/>
        </w:rPr>
        <w:t xml:space="preserve"> </w:t>
      </w:r>
    </w:p>
    <w:p w14:paraId="2BC4E5A5" w14:textId="77777777" w:rsidR="002246F9" w:rsidRPr="00FE50A6" w:rsidRDefault="002246F9" w:rsidP="002246F9">
      <w:pPr>
        <w:pStyle w:val="Prrafodelista"/>
        <w:autoSpaceDE w:val="0"/>
        <w:autoSpaceDN w:val="0"/>
        <w:adjustRightInd w:val="0"/>
        <w:ind w:left="0"/>
        <w:rPr>
          <w:szCs w:val="20"/>
          <w:lang w:val="en-US"/>
        </w:rPr>
      </w:pPr>
    </w:p>
    <w:p w14:paraId="3BAAA3F6" w14:textId="77777777" w:rsidR="00445155" w:rsidRPr="00FE50A6" w:rsidRDefault="00445155" w:rsidP="002246F9">
      <w:pPr>
        <w:pStyle w:val="Prrafodelista"/>
        <w:numPr>
          <w:ilvl w:val="0"/>
          <w:numId w:val="1"/>
        </w:numPr>
        <w:autoSpaceDE w:val="0"/>
        <w:autoSpaceDN w:val="0"/>
        <w:adjustRightInd w:val="0"/>
        <w:rPr>
          <w:szCs w:val="20"/>
          <w:lang w:val="en-US"/>
        </w:rPr>
      </w:pPr>
      <w:r w:rsidRPr="00FE50A6">
        <w:rPr>
          <w:szCs w:val="20"/>
          <w:lang w:val="en-US"/>
        </w:rPr>
        <w:t>Consequently, the Court finds that</w:t>
      </w:r>
      <w:r w:rsidR="00D25255" w:rsidRPr="00FE50A6">
        <w:rPr>
          <w:szCs w:val="20"/>
          <w:lang w:val="en-US"/>
        </w:rPr>
        <w:t xml:space="preserve"> there is</w:t>
      </w:r>
      <w:r w:rsidRPr="00FE50A6">
        <w:rPr>
          <w:szCs w:val="20"/>
          <w:lang w:val="en-US"/>
        </w:rPr>
        <w:t xml:space="preserve"> a reasonable doubt </w:t>
      </w:r>
      <w:r w:rsidR="00D25255" w:rsidRPr="00FE50A6">
        <w:rPr>
          <w:szCs w:val="20"/>
          <w:lang w:val="en-US"/>
        </w:rPr>
        <w:t xml:space="preserve">as regards the fact </w:t>
      </w:r>
      <w:r w:rsidRPr="00FE50A6">
        <w:rPr>
          <w:szCs w:val="20"/>
          <w:lang w:val="en-US"/>
        </w:rPr>
        <w:t xml:space="preserve">that the name indicated on a purchase note or blank receipt could refer to a worker </w:t>
      </w:r>
      <w:r w:rsidR="00D25255" w:rsidRPr="00FE50A6">
        <w:rPr>
          <w:szCs w:val="20"/>
          <w:lang w:val="en-US"/>
        </w:rPr>
        <w:t>previously</w:t>
      </w:r>
      <w:r w:rsidRPr="00FE50A6">
        <w:rPr>
          <w:szCs w:val="20"/>
          <w:lang w:val="en-US"/>
        </w:rPr>
        <w:t xml:space="preserve"> identified by another evidentiary document, or even a worker who was not in </w:t>
      </w:r>
      <w:r w:rsidRPr="00FE50A6">
        <w:rPr>
          <w:rFonts w:cs="Times New Roman"/>
          <w:szCs w:val="20"/>
          <w:lang w:val="en-US"/>
        </w:rPr>
        <w:t xml:space="preserve">Hacienda Brasil Verde at the time of the April 1997 inspection. Accordingly, the Court considers that, for the </w:t>
      </w:r>
      <w:r w:rsidR="00BF1BE6" w:rsidRPr="00FE50A6">
        <w:rPr>
          <w:rFonts w:cs="Times New Roman"/>
          <w:szCs w:val="20"/>
          <w:lang w:val="en-US"/>
        </w:rPr>
        <w:t>effects</w:t>
      </w:r>
      <w:r w:rsidRPr="00FE50A6">
        <w:rPr>
          <w:rFonts w:cs="Times New Roman"/>
          <w:szCs w:val="20"/>
          <w:lang w:val="en-US"/>
        </w:rPr>
        <w:t xml:space="preserve"> of this case, the </w:t>
      </w:r>
      <w:r w:rsidRPr="00FE50A6">
        <w:rPr>
          <w:szCs w:val="20"/>
          <w:lang w:val="en-US"/>
        </w:rPr>
        <w:t xml:space="preserve">purchase notes or blank receipts do not provide certain proof of the presence of a specific worker in </w:t>
      </w:r>
      <w:r w:rsidRPr="00FE50A6">
        <w:rPr>
          <w:rFonts w:cs="Times New Roman"/>
          <w:szCs w:val="20"/>
          <w:lang w:val="en-US"/>
        </w:rPr>
        <w:t xml:space="preserve">Hacienda Brasil Verde at the time of the April 1997 inspection, or </w:t>
      </w:r>
      <w:r w:rsidR="00BF1BE6" w:rsidRPr="00FE50A6">
        <w:rPr>
          <w:rFonts w:cs="Times New Roman"/>
          <w:szCs w:val="20"/>
          <w:lang w:val="en-US"/>
        </w:rPr>
        <w:t xml:space="preserve">of </w:t>
      </w:r>
      <w:r w:rsidRPr="00FE50A6">
        <w:rPr>
          <w:rFonts w:cs="Times New Roman"/>
          <w:szCs w:val="20"/>
          <w:lang w:val="en-US"/>
        </w:rPr>
        <w:t>his consequent status of presumed victim.</w:t>
      </w:r>
    </w:p>
    <w:p w14:paraId="1C60F6FA" w14:textId="77777777" w:rsidR="002246F9" w:rsidRPr="00FE50A6" w:rsidRDefault="002246F9" w:rsidP="002246F9">
      <w:pPr>
        <w:pStyle w:val="Prrafodelista"/>
        <w:autoSpaceDE w:val="0"/>
        <w:autoSpaceDN w:val="0"/>
        <w:adjustRightInd w:val="0"/>
        <w:ind w:left="0"/>
        <w:rPr>
          <w:szCs w:val="20"/>
          <w:lang w:val="en-US"/>
        </w:rPr>
      </w:pPr>
    </w:p>
    <w:p w14:paraId="4EEF89CB" w14:textId="77777777" w:rsidR="002246F9" w:rsidRPr="00FE50A6" w:rsidRDefault="00445155" w:rsidP="002246F9">
      <w:pPr>
        <w:pStyle w:val="Prrafodelista"/>
        <w:numPr>
          <w:ilvl w:val="0"/>
          <w:numId w:val="1"/>
        </w:numPr>
        <w:autoSpaceDE w:val="0"/>
        <w:autoSpaceDN w:val="0"/>
        <w:adjustRightInd w:val="0"/>
        <w:rPr>
          <w:szCs w:val="20"/>
          <w:lang w:val="en-US"/>
        </w:rPr>
      </w:pPr>
      <w:r w:rsidRPr="00FE50A6">
        <w:rPr>
          <w:szCs w:val="20"/>
          <w:lang w:val="en-US"/>
        </w:rPr>
        <w:t xml:space="preserve">Nevertheless, the Court finds it pertinent to indicate that </w:t>
      </w:r>
      <w:r w:rsidR="00BF1BE6" w:rsidRPr="00FE50A6">
        <w:rPr>
          <w:szCs w:val="20"/>
          <w:lang w:val="en-US"/>
        </w:rPr>
        <w:t xml:space="preserve">the </w:t>
      </w:r>
      <w:r w:rsidRPr="00FE50A6">
        <w:rPr>
          <w:szCs w:val="20"/>
          <w:lang w:val="en-US"/>
        </w:rPr>
        <w:t xml:space="preserve">determination that a worker is a presumed victim of alleged violations of </w:t>
      </w:r>
      <w:r w:rsidR="000228D0" w:rsidRPr="00FE50A6">
        <w:rPr>
          <w:szCs w:val="20"/>
          <w:lang w:val="en-US"/>
        </w:rPr>
        <w:t>the Convention</w:t>
      </w:r>
      <w:r w:rsidR="002246F9" w:rsidRPr="00FE50A6">
        <w:rPr>
          <w:szCs w:val="20"/>
          <w:lang w:val="en-US"/>
        </w:rPr>
        <w:t xml:space="preserve"> </w:t>
      </w:r>
      <w:r w:rsidRPr="00FE50A6">
        <w:rPr>
          <w:szCs w:val="20"/>
          <w:lang w:val="en-US"/>
        </w:rPr>
        <w:t xml:space="preserve">is not derived exclusively from a possible rescue by </w:t>
      </w:r>
      <w:r w:rsidR="00833DD0" w:rsidRPr="00FE50A6">
        <w:rPr>
          <w:szCs w:val="20"/>
          <w:lang w:val="en-US"/>
        </w:rPr>
        <w:t>the Ministry</w:t>
      </w:r>
      <w:r w:rsidR="0081756E" w:rsidRPr="00FE50A6">
        <w:rPr>
          <w:szCs w:val="20"/>
          <w:lang w:val="en-US"/>
        </w:rPr>
        <w:t xml:space="preserve"> of Labor</w:t>
      </w:r>
      <w:r w:rsidR="002246F9" w:rsidRPr="00FE50A6">
        <w:rPr>
          <w:szCs w:val="20"/>
          <w:lang w:val="en-US"/>
        </w:rPr>
        <w:t xml:space="preserve"> o</w:t>
      </w:r>
      <w:r w:rsidRPr="00FE50A6">
        <w:rPr>
          <w:szCs w:val="20"/>
          <w:lang w:val="en-US"/>
        </w:rPr>
        <w:t>r</w:t>
      </w:r>
      <w:r w:rsidR="002246F9" w:rsidRPr="00FE50A6">
        <w:rPr>
          <w:szCs w:val="20"/>
          <w:lang w:val="en-US"/>
        </w:rPr>
        <w:t xml:space="preserve"> </w:t>
      </w:r>
      <w:r w:rsidRPr="00FE50A6">
        <w:rPr>
          <w:szCs w:val="20"/>
          <w:lang w:val="en-US"/>
        </w:rPr>
        <w:t>the Federal</w:t>
      </w:r>
      <w:r w:rsidR="008B0077" w:rsidRPr="00FE50A6">
        <w:rPr>
          <w:szCs w:val="20"/>
          <w:lang w:val="en-US"/>
        </w:rPr>
        <w:t xml:space="preserve"> Police</w:t>
      </w:r>
      <w:r w:rsidR="002246F9" w:rsidRPr="00FE50A6">
        <w:rPr>
          <w:szCs w:val="20"/>
          <w:lang w:val="en-US"/>
        </w:rPr>
        <w:t xml:space="preserve">, </w:t>
      </w:r>
      <w:r w:rsidRPr="00FE50A6">
        <w:rPr>
          <w:szCs w:val="20"/>
          <w:lang w:val="en-US"/>
        </w:rPr>
        <w:t xml:space="preserve">but from the conditions </w:t>
      </w:r>
      <w:r w:rsidR="00BF1BE6" w:rsidRPr="00FE50A6">
        <w:rPr>
          <w:szCs w:val="20"/>
          <w:lang w:val="en-US"/>
        </w:rPr>
        <w:t>he experienced</w:t>
      </w:r>
      <w:r w:rsidRPr="00FE50A6">
        <w:rPr>
          <w:szCs w:val="20"/>
          <w:lang w:val="en-US"/>
        </w:rPr>
        <w:t xml:space="preserve"> during the time he provided his services in the hacienda, as well as from the respective investigations in this regard</w:t>
      </w:r>
      <w:r w:rsidR="00BF1BE6" w:rsidRPr="00FE50A6">
        <w:rPr>
          <w:szCs w:val="20"/>
          <w:lang w:val="en-US"/>
        </w:rPr>
        <w:t>,</w:t>
      </w:r>
      <w:r w:rsidRPr="00FE50A6">
        <w:rPr>
          <w:szCs w:val="20"/>
          <w:lang w:val="en-US"/>
        </w:rPr>
        <w:t xml:space="preserve"> regardless of whether he was rescued during the inspection. Consequently, the Court rejects the State’s argument that only those workers who were rescued from Hacienda Brasil Verde by state agents </w:t>
      </w:r>
      <w:r w:rsidR="00BF1BE6" w:rsidRPr="00FE50A6">
        <w:rPr>
          <w:szCs w:val="20"/>
          <w:lang w:val="en-US"/>
        </w:rPr>
        <w:t>may be</w:t>
      </w:r>
      <w:r w:rsidRPr="00FE50A6">
        <w:rPr>
          <w:szCs w:val="20"/>
          <w:lang w:val="en-US"/>
        </w:rPr>
        <w:t xml:space="preserve"> presumed victims</w:t>
      </w:r>
      <w:r w:rsidR="002246F9" w:rsidRPr="00FE50A6">
        <w:rPr>
          <w:szCs w:val="20"/>
          <w:lang w:val="en-US"/>
        </w:rPr>
        <w:t>.</w:t>
      </w:r>
    </w:p>
    <w:p w14:paraId="56861AB2" w14:textId="77777777" w:rsidR="002246F9" w:rsidRPr="00FE50A6" w:rsidRDefault="002246F9" w:rsidP="002246F9">
      <w:pPr>
        <w:pStyle w:val="Prrafodelista"/>
        <w:rPr>
          <w:szCs w:val="20"/>
          <w:lang w:val="en-US"/>
        </w:rPr>
      </w:pPr>
    </w:p>
    <w:p w14:paraId="71BAF25B" w14:textId="77777777" w:rsidR="002246F9" w:rsidRPr="00FE50A6" w:rsidRDefault="00445155" w:rsidP="00756CCE">
      <w:pPr>
        <w:pStyle w:val="Prrafodelista"/>
        <w:numPr>
          <w:ilvl w:val="0"/>
          <w:numId w:val="1"/>
        </w:numPr>
        <w:autoSpaceDE w:val="0"/>
        <w:autoSpaceDN w:val="0"/>
        <w:adjustRightInd w:val="0"/>
        <w:rPr>
          <w:szCs w:val="20"/>
          <w:lang w:val="en-US"/>
        </w:rPr>
      </w:pPr>
      <w:r w:rsidRPr="00FE50A6">
        <w:rPr>
          <w:szCs w:val="20"/>
          <w:lang w:val="en-US"/>
        </w:rPr>
        <w:t>That said, bearing in mind that, in order to analyze this case, the Court requires a minimum degree of certainty about the existence of such persons</w:t>
      </w:r>
      <w:r w:rsidR="002246F9" w:rsidRPr="00FE50A6">
        <w:rPr>
          <w:rStyle w:val="Refdenotaalpie"/>
          <w:lang w:val="en-US"/>
        </w:rPr>
        <w:footnoteReference w:id="214"/>
      </w:r>
      <w:r w:rsidRPr="00FE50A6">
        <w:rPr>
          <w:szCs w:val="20"/>
          <w:lang w:val="en-US"/>
        </w:rPr>
        <w:t xml:space="preserve"> in order to prove their status </w:t>
      </w:r>
      <w:r w:rsidR="00BF1BE6" w:rsidRPr="00FE50A6">
        <w:rPr>
          <w:szCs w:val="20"/>
          <w:lang w:val="en-US"/>
        </w:rPr>
        <w:t>as</w:t>
      </w:r>
      <w:r w:rsidR="002246F9" w:rsidRPr="00FE50A6">
        <w:rPr>
          <w:szCs w:val="20"/>
          <w:lang w:val="en-US"/>
        </w:rPr>
        <w:t xml:space="preserve"> </w:t>
      </w:r>
      <w:r w:rsidR="008A7089" w:rsidRPr="00FE50A6">
        <w:rPr>
          <w:szCs w:val="20"/>
          <w:lang w:val="en-US"/>
        </w:rPr>
        <w:t>presumed victims</w:t>
      </w:r>
      <w:r w:rsidRPr="00FE50A6">
        <w:rPr>
          <w:szCs w:val="20"/>
          <w:lang w:val="en-US"/>
        </w:rPr>
        <w:t>,</w:t>
      </w:r>
      <w:r w:rsidR="002246F9" w:rsidRPr="00FE50A6">
        <w:rPr>
          <w:szCs w:val="20"/>
          <w:lang w:val="en-US"/>
        </w:rPr>
        <w:t xml:space="preserve"> </w:t>
      </w:r>
      <w:r w:rsidR="000228D0" w:rsidRPr="00FE50A6">
        <w:rPr>
          <w:szCs w:val="20"/>
          <w:lang w:val="en-US"/>
        </w:rPr>
        <w:t>the Court</w:t>
      </w:r>
      <w:r w:rsidR="002246F9" w:rsidRPr="00FE50A6">
        <w:rPr>
          <w:szCs w:val="20"/>
          <w:lang w:val="en-US"/>
        </w:rPr>
        <w:t xml:space="preserve"> u</w:t>
      </w:r>
      <w:r w:rsidRPr="00FE50A6">
        <w:rPr>
          <w:szCs w:val="20"/>
          <w:lang w:val="en-US"/>
        </w:rPr>
        <w:t>sed the following evidentiary instruments provided by the parties</w:t>
      </w:r>
      <w:r w:rsidR="002246F9" w:rsidRPr="00FE50A6">
        <w:rPr>
          <w:szCs w:val="20"/>
          <w:lang w:val="en-US"/>
        </w:rPr>
        <w:t xml:space="preserve">: </w:t>
      </w:r>
      <w:r w:rsidRPr="00FE50A6">
        <w:rPr>
          <w:szCs w:val="20"/>
          <w:lang w:val="en-US"/>
        </w:rPr>
        <w:t>(</w:t>
      </w:r>
      <w:r w:rsidR="002246F9" w:rsidRPr="00FE50A6">
        <w:rPr>
          <w:szCs w:val="20"/>
          <w:lang w:val="en-US"/>
        </w:rPr>
        <w:t xml:space="preserve">i) </w:t>
      </w:r>
      <w:r w:rsidR="00756CCE" w:rsidRPr="00FE50A6">
        <w:rPr>
          <w:szCs w:val="20"/>
          <w:lang w:val="en-US"/>
        </w:rPr>
        <w:t>Record of offenses</w:t>
      </w:r>
      <w:r w:rsidR="002246F9" w:rsidRPr="00FE50A6">
        <w:rPr>
          <w:szCs w:val="20"/>
          <w:lang w:val="en-US"/>
        </w:rPr>
        <w:t xml:space="preserve"> (RI); </w:t>
      </w:r>
      <w:r w:rsidR="00756CCE" w:rsidRPr="00FE50A6">
        <w:rPr>
          <w:szCs w:val="20"/>
          <w:lang w:val="en-US"/>
        </w:rPr>
        <w:t>(</w:t>
      </w:r>
      <w:r w:rsidR="002246F9" w:rsidRPr="00FE50A6">
        <w:rPr>
          <w:szCs w:val="20"/>
          <w:lang w:val="en-US"/>
        </w:rPr>
        <w:t xml:space="preserve">ii) </w:t>
      </w:r>
      <w:r w:rsidR="00756CCE" w:rsidRPr="00FE50A6">
        <w:rPr>
          <w:szCs w:val="20"/>
          <w:lang w:val="en-US"/>
        </w:rPr>
        <w:t>Record of hacienda employees</w:t>
      </w:r>
      <w:r w:rsidR="002246F9" w:rsidRPr="00FE50A6">
        <w:rPr>
          <w:szCs w:val="20"/>
          <w:lang w:val="en-US"/>
        </w:rPr>
        <w:t xml:space="preserve"> (RE); </w:t>
      </w:r>
      <w:r w:rsidR="00756CCE" w:rsidRPr="00FE50A6">
        <w:rPr>
          <w:szCs w:val="20"/>
          <w:lang w:val="en-US"/>
        </w:rPr>
        <w:t>(</w:t>
      </w:r>
      <w:r w:rsidR="002246F9" w:rsidRPr="00FE50A6">
        <w:rPr>
          <w:szCs w:val="20"/>
          <w:lang w:val="en-US"/>
        </w:rPr>
        <w:t xml:space="preserve">iii) </w:t>
      </w:r>
      <w:r w:rsidR="00756CCE" w:rsidRPr="00FE50A6">
        <w:rPr>
          <w:szCs w:val="20"/>
          <w:lang w:val="en-US"/>
        </w:rPr>
        <w:t>Contract termination</w:t>
      </w:r>
      <w:r w:rsidR="00BF1BE6" w:rsidRPr="00FE50A6">
        <w:rPr>
          <w:szCs w:val="20"/>
          <w:lang w:val="en-US"/>
        </w:rPr>
        <w:t xml:space="preserve"> document</w:t>
      </w:r>
      <w:r w:rsidR="002246F9" w:rsidRPr="00FE50A6">
        <w:rPr>
          <w:szCs w:val="20"/>
          <w:lang w:val="en-US"/>
        </w:rPr>
        <w:t xml:space="preserve"> (TC); </w:t>
      </w:r>
      <w:r w:rsidR="00756CCE" w:rsidRPr="00FE50A6">
        <w:rPr>
          <w:szCs w:val="20"/>
          <w:lang w:val="en-US"/>
        </w:rPr>
        <w:t>(</w:t>
      </w:r>
      <w:r w:rsidR="002246F9" w:rsidRPr="00FE50A6">
        <w:rPr>
          <w:szCs w:val="20"/>
          <w:lang w:val="en-US"/>
        </w:rPr>
        <w:t xml:space="preserve">iv) </w:t>
      </w:r>
      <w:r w:rsidR="00756CCE" w:rsidRPr="00FE50A6">
        <w:rPr>
          <w:szCs w:val="20"/>
          <w:lang w:val="en-US"/>
        </w:rPr>
        <w:t>Physical Verification Form</w:t>
      </w:r>
      <w:r w:rsidR="002246F9" w:rsidRPr="00FE50A6">
        <w:rPr>
          <w:szCs w:val="20"/>
          <w:lang w:val="en-US"/>
        </w:rPr>
        <w:t xml:space="preserve"> (VF),</w:t>
      </w:r>
      <w:r w:rsidR="00030C17" w:rsidRPr="00FE50A6">
        <w:rPr>
          <w:szCs w:val="20"/>
          <w:lang w:val="en-US"/>
        </w:rPr>
        <w:t xml:space="preserve"> and </w:t>
      </w:r>
      <w:r w:rsidR="00756CCE" w:rsidRPr="00FE50A6">
        <w:rPr>
          <w:szCs w:val="20"/>
          <w:lang w:val="en-US"/>
        </w:rPr>
        <w:t>(</w:t>
      </w:r>
      <w:r w:rsidR="002246F9" w:rsidRPr="00FE50A6">
        <w:rPr>
          <w:szCs w:val="20"/>
          <w:lang w:val="en-US"/>
        </w:rPr>
        <w:t xml:space="preserve">v) </w:t>
      </w:r>
      <w:r w:rsidR="00756CCE" w:rsidRPr="00FE50A6">
        <w:rPr>
          <w:szCs w:val="20"/>
          <w:lang w:val="en-US"/>
        </w:rPr>
        <w:t xml:space="preserve">List of </w:t>
      </w:r>
      <w:r w:rsidR="00756CCE" w:rsidRPr="00FE50A6">
        <w:rPr>
          <w:szCs w:val="20"/>
          <w:lang w:val="en-US"/>
        </w:rPr>
        <w:lastRenderedPageBreak/>
        <w:t>workers indicated by the defense counsel of the manager and the</w:t>
      </w:r>
      <w:r w:rsidR="00DB1C1D" w:rsidRPr="00FE50A6">
        <w:rPr>
          <w:i/>
          <w:szCs w:val="20"/>
          <w:lang w:val="en-US"/>
        </w:rPr>
        <w:t xml:space="preserve"> gato </w:t>
      </w:r>
      <w:r w:rsidR="00756CCE" w:rsidRPr="00FE50A6">
        <w:rPr>
          <w:szCs w:val="20"/>
          <w:lang w:val="en-US"/>
        </w:rPr>
        <w:t>during the domestic criminal proceedings</w:t>
      </w:r>
      <w:r w:rsidR="002246F9" w:rsidRPr="00FE50A6">
        <w:rPr>
          <w:szCs w:val="20"/>
          <w:lang w:val="en-US"/>
        </w:rPr>
        <w:t xml:space="preserve"> (PP). </w:t>
      </w:r>
      <w:r w:rsidR="00756CCE" w:rsidRPr="00FE50A6">
        <w:rPr>
          <w:szCs w:val="20"/>
          <w:lang w:val="en-US"/>
        </w:rPr>
        <w:t>An analysis of these documents revealed that</w:t>
      </w:r>
      <w:r w:rsidR="002246F9" w:rsidRPr="00FE50A6">
        <w:rPr>
          <w:szCs w:val="20"/>
          <w:lang w:val="en-US"/>
        </w:rPr>
        <w:t xml:space="preserve">: </w:t>
      </w:r>
      <w:r w:rsidR="00756CCE" w:rsidRPr="00FE50A6">
        <w:rPr>
          <w:szCs w:val="20"/>
          <w:lang w:val="en-US"/>
        </w:rPr>
        <w:t>(</w:t>
      </w:r>
      <w:r w:rsidR="002246F9" w:rsidRPr="00FE50A6">
        <w:rPr>
          <w:szCs w:val="20"/>
          <w:lang w:val="en-US"/>
        </w:rPr>
        <w:t xml:space="preserve">a) 26 </w:t>
      </w:r>
      <w:r w:rsidR="00BF1BE6" w:rsidRPr="00FE50A6">
        <w:rPr>
          <w:szCs w:val="20"/>
          <w:lang w:val="en-US"/>
        </w:rPr>
        <w:t>individuals</w:t>
      </w:r>
      <w:r w:rsidR="002246F9" w:rsidRPr="00FE50A6">
        <w:rPr>
          <w:rStyle w:val="Refdenotaalpie"/>
          <w:lang w:val="en-US"/>
        </w:rPr>
        <w:footnoteReference w:id="215"/>
      </w:r>
      <w:r w:rsidR="002246F9" w:rsidRPr="00FE50A6">
        <w:rPr>
          <w:szCs w:val="20"/>
          <w:lang w:val="en-US"/>
        </w:rPr>
        <w:t xml:space="preserve"> </w:t>
      </w:r>
      <w:r w:rsidR="00756CCE" w:rsidRPr="00FE50A6">
        <w:rPr>
          <w:szCs w:val="20"/>
          <w:lang w:val="en-US"/>
        </w:rPr>
        <w:t xml:space="preserve">were presented as </w:t>
      </w:r>
      <w:r w:rsidR="008A7089" w:rsidRPr="00FE50A6">
        <w:rPr>
          <w:szCs w:val="20"/>
          <w:lang w:val="en-US"/>
        </w:rPr>
        <w:t>presumed victims</w:t>
      </w:r>
      <w:r w:rsidR="002246F9" w:rsidRPr="00FE50A6">
        <w:rPr>
          <w:szCs w:val="20"/>
          <w:lang w:val="en-US"/>
        </w:rPr>
        <w:t xml:space="preserve"> </w:t>
      </w:r>
      <w:r w:rsidR="00756CCE" w:rsidRPr="00FE50A6">
        <w:rPr>
          <w:szCs w:val="20"/>
          <w:lang w:val="en-US"/>
        </w:rPr>
        <w:t xml:space="preserve">based exclusively on purchase notes or blank receipts; (b) in the case of 10 </w:t>
      </w:r>
      <w:r w:rsidR="00BF1BE6" w:rsidRPr="00FE50A6">
        <w:rPr>
          <w:szCs w:val="20"/>
          <w:lang w:val="en-US"/>
        </w:rPr>
        <w:t>individuals,</w:t>
      </w:r>
      <w:r w:rsidR="002246F9" w:rsidRPr="00FE50A6">
        <w:rPr>
          <w:rStyle w:val="Refdenotaalpie"/>
          <w:lang w:val="en-US"/>
        </w:rPr>
        <w:footnoteReference w:id="216"/>
      </w:r>
      <w:r w:rsidR="002246F9" w:rsidRPr="00FE50A6">
        <w:rPr>
          <w:szCs w:val="20"/>
          <w:lang w:val="en-US"/>
        </w:rPr>
        <w:t xml:space="preserve"> </w:t>
      </w:r>
      <w:r w:rsidR="00756CCE" w:rsidRPr="00FE50A6">
        <w:rPr>
          <w:szCs w:val="20"/>
          <w:lang w:val="en-US"/>
        </w:rPr>
        <w:t xml:space="preserve">there was no evidence to prove their status as presumed victim, and (c) 14 </w:t>
      </w:r>
      <w:r w:rsidR="00BF1BE6" w:rsidRPr="00FE50A6">
        <w:rPr>
          <w:szCs w:val="20"/>
          <w:lang w:val="en-US"/>
        </w:rPr>
        <w:t>individuals</w:t>
      </w:r>
      <w:r w:rsidR="002246F9" w:rsidRPr="00FE50A6">
        <w:rPr>
          <w:rStyle w:val="Refdenotaalpie"/>
          <w:lang w:val="en-US"/>
        </w:rPr>
        <w:footnoteReference w:id="217"/>
      </w:r>
      <w:r w:rsidR="002246F9" w:rsidRPr="00FE50A6">
        <w:rPr>
          <w:szCs w:val="20"/>
          <w:lang w:val="en-US"/>
        </w:rPr>
        <w:t xml:space="preserve"> </w:t>
      </w:r>
      <w:r w:rsidR="00756CCE" w:rsidRPr="00FE50A6">
        <w:rPr>
          <w:szCs w:val="20"/>
          <w:lang w:val="en-US"/>
        </w:rPr>
        <w:t xml:space="preserve">refer to workers who were identified previously. </w:t>
      </w:r>
    </w:p>
    <w:p w14:paraId="2BF08924" w14:textId="77777777" w:rsidR="00756CCE" w:rsidRPr="00FE50A6" w:rsidRDefault="00756CCE" w:rsidP="00756CCE">
      <w:pPr>
        <w:pStyle w:val="Prrafodelista"/>
        <w:autoSpaceDE w:val="0"/>
        <w:autoSpaceDN w:val="0"/>
        <w:adjustRightInd w:val="0"/>
        <w:ind w:left="0"/>
        <w:rPr>
          <w:szCs w:val="20"/>
          <w:lang w:val="en-US"/>
        </w:rPr>
      </w:pPr>
    </w:p>
    <w:p w14:paraId="45C9FC20" w14:textId="77777777" w:rsidR="002246F9" w:rsidRPr="00FE50A6" w:rsidRDefault="00756CCE" w:rsidP="00756CCE">
      <w:pPr>
        <w:pStyle w:val="Prrafodelista"/>
        <w:numPr>
          <w:ilvl w:val="0"/>
          <w:numId w:val="1"/>
        </w:numPr>
        <w:autoSpaceDE w:val="0"/>
        <w:autoSpaceDN w:val="0"/>
        <w:adjustRightInd w:val="0"/>
        <w:rPr>
          <w:szCs w:val="20"/>
        </w:rPr>
      </w:pPr>
      <w:bookmarkStart w:id="295" w:name="_Ref460939590"/>
      <w:r w:rsidRPr="00FE50A6">
        <w:rPr>
          <w:szCs w:val="20"/>
          <w:lang w:val="en-US"/>
        </w:rPr>
        <w:t xml:space="preserve">Accordingly, of the group of workers present in </w:t>
      </w:r>
      <w:r w:rsidRPr="00FE50A6">
        <w:rPr>
          <w:rFonts w:cs="Times New Roman"/>
          <w:szCs w:val="20"/>
          <w:lang w:val="en-US"/>
        </w:rPr>
        <w:t xml:space="preserve">Hacienda Brasil Verde at the time of the April 1997 inspection, when delivering this judgment, the Court has sufficient and reliable probative elements to prove the status </w:t>
      </w:r>
      <w:r w:rsidR="00BF1BE6" w:rsidRPr="00FE50A6">
        <w:rPr>
          <w:rFonts w:cs="Times New Roman"/>
          <w:szCs w:val="20"/>
          <w:lang w:val="en-US"/>
        </w:rPr>
        <w:t>of</w:t>
      </w:r>
      <w:r w:rsidRPr="00FE50A6">
        <w:rPr>
          <w:rFonts w:cs="Times New Roman"/>
          <w:szCs w:val="20"/>
          <w:lang w:val="en-US"/>
        </w:rPr>
        <w:t xml:space="preserve"> presumed victims of alleged violations of the right to judicial guarantees and protection of the following 43 workers</w:t>
      </w:r>
      <w:r w:rsidR="002246F9" w:rsidRPr="00FE50A6">
        <w:rPr>
          <w:szCs w:val="20"/>
          <w:lang w:val="en-US"/>
        </w:rPr>
        <w:t xml:space="preserve">: 1. </w:t>
      </w:r>
      <w:r w:rsidR="00D60654" w:rsidRPr="00FE50A6">
        <w:rPr>
          <w:rFonts w:cs="Helvetica"/>
          <w:szCs w:val="20"/>
        </w:rPr>
        <w:t xml:space="preserve">Antônio </w:t>
      </w:r>
      <w:r w:rsidR="002246F9" w:rsidRPr="00FE50A6">
        <w:rPr>
          <w:rFonts w:cs="Helvetica"/>
          <w:szCs w:val="20"/>
        </w:rPr>
        <w:t>Alves de Souza</w:t>
      </w:r>
      <w:r w:rsidRPr="00FE50A6">
        <w:rPr>
          <w:rFonts w:cs="Helvetica"/>
          <w:szCs w:val="20"/>
        </w:rPr>
        <w:t>;</w:t>
      </w:r>
      <w:r w:rsidR="002246F9" w:rsidRPr="00FE50A6">
        <w:rPr>
          <w:rStyle w:val="Refdenotaalpie"/>
          <w:rFonts w:cs="Helvetica"/>
          <w:lang w:val="en-US"/>
        </w:rPr>
        <w:footnoteReference w:id="218"/>
      </w:r>
      <w:r w:rsidR="002246F9" w:rsidRPr="00FE50A6">
        <w:rPr>
          <w:szCs w:val="20"/>
        </w:rPr>
        <w:t xml:space="preserve"> </w:t>
      </w:r>
      <w:r w:rsidR="002246F9" w:rsidRPr="00FE50A6">
        <w:rPr>
          <w:rFonts w:cs="Helvetica"/>
          <w:szCs w:val="20"/>
        </w:rPr>
        <w:t xml:space="preserve">2. </w:t>
      </w:r>
      <w:r w:rsidR="00D60654" w:rsidRPr="00FE50A6">
        <w:rPr>
          <w:rFonts w:cs="Helvetica"/>
          <w:szCs w:val="20"/>
        </w:rPr>
        <w:t xml:space="preserve">Antônio </w:t>
      </w:r>
      <w:r w:rsidR="002246F9" w:rsidRPr="00FE50A6">
        <w:rPr>
          <w:rFonts w:cs="Helvetica"/>
          <w:szCs w:val="20"/>
        </w:rPr>
        <w:t>Bispo dos Santos</w:t>
      </w:r>
      <w:r w:rsidRPr="00FE50A6">
        <w:rPr>
          <w:rFonts w:cs="Helvetica"/>
          <w:szCs w:val="20"/>
        </w:rPr>
        <w:t>;</w:t>
      </w:r>
      <w:r w:rsidR="002246F9" w:rsidRPr="00FE50A6">
        <w:rPr>
          <w:rStyle w:val="Refdenotaalpie"/>
          <w:rFonts w:cs="Helvetica"/>
          <w:lang w:val="en-US"/>
        </w:rPr>
        <w:footnoteReference w:id="219"/>
      </w:r>
      <w:r w:rsidR="002246F9" w:rsidRPr="00FE50A6">
        <w:rPr>
          <w:szCs w:val="20"/>
        </w:rPr>
        <w:t xml:space="preserve"> </w:t>
      </w:r>
      <w:r w:rsidR="002246F9" w:rsidRPr="00FE50A6">
        <w:rPr>
          <w:rFonts w:cs="Helvetica"/>
          <w:szCs w:val="20"/>
        </w:rPr>
        <w:t xml:space="preserve">3. </w:t>
      </w:r>
      <w:r w:rsidR="00D60654" w:rsidRPr="00FE50A6">
        <w:rPr>
          <w:rFonts w:cs="Helvetica"/>
          <w:szCs w:val="20"/>
        </w:rPr>
        <w:t xml:space="preserve">Antônio </w:t>
      </w:r>
      <w:r w:rsidR="002246F9" w:rsidRPr="00FE50A6">
        <w:rPr>
          <w:rFonts w:cs="Helvetica"/>
          <w:szCs w:val="20"/>
        </w:rPr>
        <w:t>da Silva Nascimento</w:t>
      </w:r>
      <w:r w:rsidRPr="00FE50A6">
        <w:rPr>
          <w:rFonts w:cs="Helvetica"/>
          <w:szCs w:val="20"/>
        </w:rPr>
        <w:t>;</w:t>
      </w:r>
      <w:r w:rsidR="002246F9" w:rsidRPr="00FE50A6">
        <w:rPr>
          <w:rStyle w:val="Refdenotaalpie"/>
          <w:rFonts w:cs="Helvetica"/>
          <w:lang w:val="en-US"/>
        </w:rPr>
        <w:footnoteReference w:id="220"/>
      </w:r>
      <w:r w:rsidR="002246F9" w:rsidRPr="00FE50A6">
        <w:rPr>
          <w:szCs w:val="20"/>
        </w:rPr>
        <w:t xml:space="preserve"> </w:t>
      </w:r>
      <w:r w:rsidR="002246F9" w:rsidRPr="00FE50A6">
        <w:rPr>
          <w:rFonts w:cs="Helvetica"/>
          <w:szCs w:val="20"/>
        </w:rPr>
        <w:t xml:space="preserve">4. </w:t>
      </w:r>
      <w:r w:rsidR="00D60654" w:rsidRPr="00FE50A6">
        <w:rPr>
          <w:rFonts w:cs="Helvetica"/>
          <w:szCs w:val="20"/>
        </w:rPr>
        <w:t xml:space="preserve">Antônio </w:t>
      </w:r>
      <w:r w:rsidR="002246F9" w:rsidRPr="00FE50A6">
        <w:rPr>
          <w:rFonts w:cs="Helvetica"/>
          <w:szCs w:val="20"/>
        </w:rPr>
        <w:t>Pereira da Silva</w:t>
      </w:r>
      <w:r w:rsidRPr="00FE50A6">
        <w:rPr>
          <w:rFonts w:cs="Helvetica"/>
          <w:szCs w:val="20"/>
        </w:rPr>
        <w:t>;</w:t>
      </w:r>
      <w:r w:rsidR="002246F9" w:rsidRPr="00FE50A6">
        <w:rPr>
          <w:rStyle w:val="Refdenotaalpie"/>
          <w:rFonts w:cs="Helvetica"/>
          <w:lang w:val="en-US"/>
        </w:rPr>
        <w:footnoteReference w:id="221"/>
      </w:r>
      <w:r w:rsidR="002246F9" w:rsidRPr="00FE50A6">
        <w:rPr>
          <w:szCs w:val="20"/>
        </w:rPr>
        <w:t xml:space="preserve"> </w:t>
      </w:r>
      <w:r w:rsidR="002246F9" w:rsidRPr="00FE50A6">
        <w:rPr>
          <w:rFonts w:cs="Helvetica"/>
          <w:szCs w:val="20"/>
        </w:rPr>
        <w:t xml:space="preserve">5. </w:t>
      </w:r>
      <w:r w:rsidR="00D60654" w:rsidRPr="00FE50A6">
        <w:rPr>
          <w:rFonts w:cs="Helvetica"/>
          <w:szCs w:val="20"/>
        </w:rPr>
        <w:t xml:space="preserve">Antônio </w:t>
      </w:r>
      <w:r w:rsidR="002246F9" w:rsidRPr="00FE50A6">
        <w:rPr>
          <w:rFonts w:cs="Helvetica"/>
          <w:szCs w:val="20"/>
        </w:rPr>
        <w:t>Renato Barros</w:t>
      </w:r>
      <w:r w:rsidRPr="00FE50A6">
        <w:rPr>
          <w:rFonts w:cs="Helvetica"/>
          <w:szCs w:val="20"/>
        </w:rPr>
        <w:t>;</w:t>
      </w:r>
      <w:r w:rsidR="002246F9" w:rsidRPr="00FE50A6">
        <w:rPr>
          <w:rStyle w:val="Refdenotaalpie"/>
          <w:rFonts w:cs="Helvetica"/>
          <w:lang w:val="en-US"/>
        </w:rPr>
        <w:footnoteReference w:id="222"/>
      </w:r>
      <w:r w:rsidR="002246F9" w:rsidRPr="00FE50A6">
        <w:rPr>
          <w:szCs w:val="20"/>
        </w:rPr>
        <w:t xml:space="preserve"> </w:t>
      </w:r>
      <w:r w:rsidR="002246F9" w:rsidRPr="00FE50A6">
        <w:rPr>
          <w:rFonts w:cs="Helvetica"/>
          <w:szCs w:val="20"/>
        </w:rPr>
        <w:t>6. Benigno Rodrigues da Silva</w:t>
      </w:r>
      <w:r w:rsidRPr="00FE50A6">
        <w:rPr>
          <w:rFonts w:cs="Helvetica"/>
          <w:szCs w:val="20"/>
        </w:rPr>
        <w:t>;</w:t>
      </w:r>
      <w:r w:rsidR="002246F9" w:rsidRPr="00FE50A6">
        <w:rPr>
          <w:rStyle w:val="Refdenotaalpie"/>
          <w:rFonts w:cs="Helvetica"/>
          <w:lang w:val="en-US"/>
        </w:rPr>
        <w:footnoteReference w:id="223"/>
      </w:r>
      <w:r w:rsidR="002246F9" w:rsidRPr="00FE50A6">
        <w:rPr>
          <w:szCs w:val="20"/>
        </w:rPr>
        <w:t xml:space="preserve"> </w:t>
      </w:r>
      <w:r w:rsidR="002246F9" w:rsidRPr="00FE50A6">
        <w:rPr>
          <w:rFonts w:cs="Helvetica"/>
          <w:szCs w:val="20"/>
        </w:rPr>
        <w:t>7. Carlos Alberto Albino da Conceição</w:t>
      </w:r>
      <w:r w:rsidRPr="00FE50A6">
        <w:rPr>
          <w:rFonts w:cs="Helvetica"/>
          <w:szCs w:val="20"/>
        </w:rPr>
        <w:t>;</w:t>
      </w:r>
      <w:r w:rsidR="002246F9" w:rsidRPr="00FE50A6">
        <w:rPr>
          <w:rStyle w:val="Refdenotaalpie"/>
          <w:rFonts w:cs="Helvetica"/>
          <w:lang w:val="en-US"/>
        </w:rPr>
        <w:footnoteReference w:id="224"/>
      </w:r>
      <w:r w:rsidR="002246F9" w:rsidRPr="00FE50A6">
        <w:rPr>
          <w:szCs w:val="20"/>
        </w:rPr>
        <w:t xml:space="preserve"> </w:t>
      </w:r>
      <w:r w:rsidR="002246F9" w:rsidRPr="00FE50A6">
        <w:rPr>
          <w:rFonts w:cs="Helvetica"/>
          <w:szCs w:val="20"/>
        </w:rPr>
        <w:t>8. Cassimiro Neto Souza Maia</w:t>
      </w:r>
      <w:r w:rsidRPr="00FE50A6">
        <w:rPr>
          <w:rFonts w:cs="Helvetica"/>
          <w:szCs w:val="20"/>
        </w:rPr>
        <w:t>;</w:t>
      </w:r>
      <w:r w:rsidR="002246F9" w:rsidRPr="00FE50A6">
        <w:rPr>
          <w:rStyle w:val="Refdenotaalpie"/>
          <w:rFonts w:cs="Helvetica"/>
          <w:lang w:val="en-US"/>
        </w:rPr>
        <w:footnoteReference w:id="225"/>
      </w:r>
      <w:r w:rsidR="002246F9" w:rsidRPr="00FE50A6">
        <w:rPr>
          <w:szCs w:val="20"/>
        </w:rPr>
        <w:t xml:space="preserve"> </w:t>
      </w:r>
      <w:r w:rsidR="002246F9" w:rsidRPr="00FE50A6">
        <w:rPr>
          <w:rFonts w:cs="Helvetica"/>
          <w:szCs w:val="20"/>
        </w:rPr>
        <w:t>9. Dijalma Santos Batista</w:t>
      </w:r>
      <w:r w:rsidRPr="00FE50A6">
        <w:rPr>
          <w:rFonts w:cs="Helvetica"/>
          <w:szCs w:val="20"/>
        </w:rPr>
        <w:t>;</w:t>
      </w:r>
      <w:r w:rsidR="002246F9" w:rsidRPr="00FE50A6">
        <w:rPr>
          <w:rStyle w:val="Refdenotaalpie"/>
          <w:rFonts w:cs="Helvetica"/>
          <w:lang w:val="en-US"/>
        </w:rPr>
        <w:footnoteReference w:id="226"/>
      </w:r>
      <w:r w:rsidR="002246F9" w:rsidRPr="00FE50A6">
        <w:rPr>
          <w:szCs w:val="20"/>
        </w:rPr>
        <w:t xml:space="preserve"> </w:t>
      </w:r>
      <w:r w:rsidR="002246F9" w:rsidRPr="00FE50A6">
        <w:rPr>
          <w:rFonts w:cs="Helvetica"/>
          <w:szCs w:val="20"/>
        </w:rPr>
        <w:t>10. Edi Souza de Silva</w:t>
      </w:r>
      <w:r w:rsidRPr="00FE50A6">
        <w:rPr>
          <w:rFonts w:cs="Helvetica"/>
          <w:szCs w:val="20"/>
        </w:rPr>
        <w:t>;</w:t>
      </w:r>
      <w:r w:rsidR="002246F9" w:rsidRPr="00FE50A6">
        <w:rPr>
          <w:rStyle w:val="Refdenotaalpie"/>
          <w:rFonts w:cs="Helvetica"/>
          <w:lang w:val="en-US"/>
        </w:rPr>
        <w:footnoteReference w:id="227"/>
      </w:r>
      <w:r w:rsidR="002246F9" w:rsidRPr="00FE50A6">
        <w:rPr>
          <w:szCs w:val="20"/>
        </w:rPr>
        <w:t xml:space="preserve"> </w:t>
      </w:r>
      <w:r w:rsidR="002246F9" w:rsidRPr="00FE50A6">
        <w:rPr>
          <w:rFonts w:cs="Helvetica"/>
          <w:szCs w:val="20"/>
        </w:rPr>
        <w:t>11. Edmilson Fernandes dos Santos</w:t>
      </w:r>
      <w:r w:rsidRPr="00FE50A6">
        <w:rPr>
          <w:rFonts w:cs="Helvetica"/>
          <w:szCs w:val="20"/>
        </w:rPr>
        <w:t>;</w:t>
      </w:r>
      <w:r w:rsidR="002246F9" w:rsidRPr="00FE50A6">
        <w:rPr>
          <w:rStyle w:val="Refdenotaalpie"/>
          <w:rFonts w:cs="Helvetica"/>
          <w:lang w:val="en-US"/>
        </w:rPr>
        <w:footnoteReference w:id="228"/>
      </w:r>
      <w:r w:rsidR="002246F9" w:rsidRPr="00FE50A6">
        <w:rPr>
          <w:szCs w:val="20"/>
        </w:rPr>
        <w:t xml:space="preserve"> </w:t>
      </w:r>
      <w:r w:rsidR="002246F9" w:rsidRPr="00FE50A6">
        <w:rPr>
          <w:rFonts w:cs="Helvetica"/>
          <w:szCs w:val="20"/>
        </w:rPr>
        <w:t>12. Edson Pocidônio da Silva</w:t>
      </w:r>
      <w:r w:rsidRPr="00FE50A6">
        <w:rPr>
          <w:rFonts w:cs="Helvetica"/>
          <w:szCs w:val="20"/>
        </w:rPr>
        <w:t>;</w:t>
      </w:r>
      <w:r w:rsidR="002246F9" w:rsidRPr="00FE50A6">
        <w:rPr>
          <w:rStyle w:val="Refdenotaalpie"/>
          <w:rFonts w:cs="Helvetica"/>
          <w:lang w:val="en-US"/>
        </w:rPr>
        <w:footnoteReference w:id="229"/>
      </w:r>
      <w:r w:rsidR="002246F9" w:rsidRPr="00FE50A6">
        <w:rPr>
          <w:szCs w:val="20"/>
        </w:rPr>
        <w:t xml:space="preserve"> </w:t>
      </w:r>
      <w:r w:rsidR="002246F9" w:rsidRPr="00FE50A6">
        <w:rPr>
          <w:rFonts w:cs="Helvetica"/>
          <w:szCs w:val="20"/>
        </w:rPr>
        <w:t>13.</w:t>
      </w:r>
      <w:r w:rsidR="00625E01" w:rsidRPr="00FE50A6">
        <w:rPr>
          <w:rFonts w:cs="Helvetica"/>
          <w:szCs w:val="20"/>
        </w:rPr>
        <w:t xml:space="preserve"> Irineu Inácio da Silva;</w:t>
      </w:r>
      <w:r w:rsidR="00625E01" w:rsidRPr="00FE50A6">
        <w:rPr>
          <w:rStyle w:val="Refdenotaalpie"/>
          <w:rFonts w:cs="Helvetica"/>
          <w:lang w:val="en-US"/>
        </w:rPr>
        <w:footnoteReference w:id="230"/>
      </w:r>
      <w:r w:rsidR="00625E01" w:rsidRPr="00FE50A6">
        <w:rPr>
          <w:szCs w:val="20"/>
        </w:rPr>
        <w:t xml:space="preserve"> </w:t>
      </w:r>
      <w:r w:rsidR="00625E01" w:rsidRPr="00FE50A6">
        <w:rPr>
          <w:rFonts w:cs="Helvetica"/>
          <w:szCs w:val="20"/>
        </w:rPr>
        <w:t>14.</w:t>
      </w:r>
      <w:r w:rsidR="002246F9" w:rsidRPr="00FE50A6">
        <w:rPr>
          <w:rFonts w:cs="Helvetica"/>
          <w:szCs w:val="20"/>
        </w:rPr>
        <w:t xml:space="preserve"> Geraldo Hilário de Almeida</w:t>
      </w:r>
      <w:r w:rsidRPr="00FE50A6">
        <w:rPr>
          <w:rFonts w:cs="Helvetica"/>
          <w:szCs w:val="20"/>
        </w:rPr>
        <w:t>;</w:t>
      </w:r>
      <w:r w:rsidR="002246F9" w:rsidRPr="00FE50A6">
        <w:rPr>
          <w:rStyle w:val="Refdenotaalpie"/>
          <w:rFonts w:cs="Helvetica"/>
          <w:lang w:val="en-US"/>
        </w:rPr>
        <w:footnoteReference w:id="231"/>
      </w:r>
      <w:r w:rsidR="002246F9" w:rsidRPr="00FE50A6">
        <w:rPr>
          <w:szCs w:val="20"/>
        </w:rPr>
        <w:t xml:space="preserve"> </w:t>
      </w:r>
      <w:r w:rsidR="002246F9" w:rsidRPr="00FE50A6">
        <w:rPr>
          <w:rFonts w:cs="Helvetica"/>
          <w:szCs w:val="20"/>
        </w:rPr>
        <w:t xml:space="preserve">15. </w:t>
      </w:r>
      <w:r w:rsidR="002246F9" w:rsidRPr="00FE50A6">
        <w:rPr>
          <w:rFonts w:cs="Helvetica"/>
          <w:szCs w:val="20"/>
        </w:rPr>
        <w:lastRenderedPageBreak/>
        <w:t>João de Deus dos Reis Salvino</w:t>
      </w:r>
      <w:r w:rsidRPr="00FE50A6">
        <w:rPr>
          <w:rFonts w:cs="Helvetica"/>
          <w:szCs w:val="20"/>
        </w:rPr>
        <w:t>;</w:t>
      </w:r>
      <w:r w:rsidR="002246F9" w:rsidRPr="00FE50A6">
        <w:rPr>
          <w:rStyle w:val="Refdenotaalpie"/>
          <w:rFonts w:cs="Helvetica"/>
          <w:lang w:val="en-US"/>
        </w:rPr>
        <w:footnoteReference w:id="232"/>
      </w:r>
      <w:r w:rsidR="002246F9" w:rsidRPr="00FE50A6">
        <w:rPr>
          <w:szCs w:val="20"/>
        </w:rPr>
        <w:t xml:space="preserve"> </w:t>
      </w:r>
      <w:r w:rsidR="002246F9" w:rsidRPr="00FE50A6">
        <w:rPr>
          <w:rFonts w:cs="Helvetica"/>
          <w:szCs w:val="20"/>
        </w:rPr>
        <w:t>16. João Germano da Silva</w:t>
      </w:r>
      <w:r w:rsidRPr="00FE50A6">
        <w:rPr>
          <w:rFonts w:cs="Helvetica"/>
          <w:szCs w:val="20"/>
        </w:rPr>
        <w:t>;</w:t>
      </w:r>
      <w:r w:rsidR="002246F9" w:rsidRPr="00FE50A6">
        <w:rPr>
          <w:rStyle w:val="Refdenotaalpie"/>
          <w:rFonts w:cs="Helvetica"/>
          <w:lang w:val="en-US"/>
        </w:rPr>
        <w:footnoteReference w:id="233"/>
      </w:r>
      <w:r w:rsidR="002246F9" w:rsidRPr="00FE50A6">
        <w:rPr>
          <w:szCs w:val="20"/>
        </w:rPr>
        <w:t xml:space="preserve"> </w:t>
      </w:r>
      <w:r w:rsidR="002246F9" w:rsidRPr="00FE50A6">
        <w:rPr>
          <w:rFonts w:cs="Helvetica"/>
          <w:szCs w:val="20"/>
        </w:rPr>
        <w:t>17. João Pereira Marinho</w:t>
      </w:r>
      <w:r w:rsidRPr="00FE50A6">
        <w:rPr>
          <w:rFonts w:cs="Helvetica"/>
          <w:szCs w:val="20"/>
        </w:rPr>
        <w:t>;</w:t>
      </w:r>
      <w:r w:rsidR="002246F9" w:rsidRPr="00FE50A6">
        <w:rPr>
          <w:rStyle w:val="Refdenotaalpie"/>
          <w:rFonts w:cs="Helvetica"/>
          <w:lang w:val="en-US"/>
        </w:rPr>
        <w:footnoteReference w:id="234"/>
      </w:r>
      <w:r w:rsidR="002246F9" w:rsidRPr="00FE50A6">
        <w:rPr>
          <w:rFonts w:cs="Helvetica"/>
          <w:szCs w:val="20"/>
        </w:rPr>
        <w:t xml:space="preserve"> 18. Joaquim Francisco Xavier</w:t>
      </w:r>
      <w:r w:rsidRPr="00FE50A6">
        <w:rPr>
          <w:rFonts w:cs="Helvetica"/>
          <w:szCs w:val="20"/>
        </w:rPr>
        <w:t>;</w:t>
      </w:r>
      <w:r w:rsidR="002246F9" w:rsidRPr="00FE50A6">
        <w:rPr>
          <w:rStyle w:val="Refdenotaalpie"/>
          <w:rFonts w:cs="Helvetica"/>
          <w:lang w:val="en-US"/>
        </w:rPr>
        <w:footnoteReference w:id="235"/>
      </w:r>
      <w:r w:rsidR="002246F9" w:rsidRPr="00FE50A6">
        <w:rPr>
          <w:rFonts w:cs="Helvetica"/>
          <w:szCs w:val="20"/>
        </w:rPr>
        <w:t xml:space="preserve"> 19. José Astrogildo Damascena</w:t>
      </w:r>
      <w:r w:rsidRPr="00FE50A6">
        <w:rPr>
          <w:rFonts w:cs="Helvetica"/>
          <w:szCs w:val="20"/>
        </w:rPr>
        <w:t>;</w:t>
      </w:r>
      <w:r w:rsidR="002246F9" w:rsidRPr="00FE50A6">
        <w:rPr>
          <w:rStyle w:val="Refdenotaalpie"/>
          <w:rFonts w:cs="Helvetica"/>
          <w:lang w:val="en-US"/>
        </w:rPr>
        <w:footnoteReference w:id="236"/>
      </w:r>
      <w:r w:rsidR="002246F9" w:rsidRPr="00FE50A6">
        <w:rPr>
          <w:rFonts w:cs="Helvetica"/>
          <w:szCs w:val="20"/>
        </w:rPr>
        <w:t xml:space="preserve"> 20. José Carlos Alves dos Santos</w:t>
      </w:r>
      <w:r w:rsidRPr="00FE50A6">
        <w:rPr>
          <w:rFonts w:cs="Helvetica"/>
          <w:szCs w:val="20"/>
        </w:rPr>
        <w:t>;</w:t>
      </w:r>
      <w:r w:rsidR="002246F9" w:rsidRPr="00FE50A6">
        <w:rPr>
          <w:rStyle w:val="Refdenotaalpie"/>
          <w:rFonts w:cs="Helvetica"/>
          <w:lang w:val="en-US"/>
        </w:rPr>
        <w:footnoteReference w:id="237"/>
      </w:r>
      <w:r w:rsidR="002246F9" w:rsidRPr="00FE50A6">
        <w:rPr>
          <w:rFonts w:cs="Helvetica"/>
          <w:szCs w:val="20"/>
        </w:rPr>
        <w:t xml:space="preserve"> </w:t>
      </w:r>
      <w:r w:rsidR="002246F9" w:rsidRPr="00FE50A6">
        <w:rPr>
          <w:rFonts w:cs="Times New Roman"/>
          <w:szCs w:val="20"/>
        </w:rPr>
        <w:t>21. José Fernando da Silva Filho</w:t>
      </w:r>
      <w:r w:rsidRPr="00FE50A6">
        <w:rPr>
          <w:rFonts w:cs="Helvetica"/>
          <w:szCs w:val="20"/>
        </w:rPr>
        <w:t>;</w:t>
      </w:r>
      <w:r w:rsidR="002246F9" w:rsidRPr="00FE50A6">
        <w:rPr>
          <w:rStyle w:val="Refdenotaalpie"/>
          <w:lang w:val="en-US"/>
        </w:rPr>
        <w:footnoteReference w:id="238"/>
      </w:r>
      <w:r w:rsidR="002246F9" w:rsidRPr="00FE50A6">
        <w:rPr>
          <w:rFonts w:cs="Times New Roman"/>
          <w:szCs w:val="20"/>
        </w:rPr>
        <w:t xml:space="preserve"> </w:t>
      </w:r>
      <w:r w:rsidR="002246F9" w:rsidRPr="00FE50A6">
        <w:rPr>
          <w:rFonts w:cs="Helvetica"/>
          <w:szCs w:val="20"/>
        </w:rPr>
        <w:t>22. José Francisco de Lima</w:t>
      </w:r>
      <w:r w:rsidRPr="00FE50A6">
        <w:rPr>
          <w:rFonts w:cs="Helvetica"/>
          <w:szCs w:val="20"/>
        </w:rPr>
        <w:t>;</w:t>
      </w:r>
      <w:r w:rsidR="002246F9" w:rsidRPr="00FE50A6">
        <w:rPr>
          <w:rStyle w:val="Refdenotaalpie"/>
          <w:rFonts w:cs="Helvetica"/>
          <w:lang w:val="en-US"/>
        </w:rPr>
        <w:footnoteReference w:id="239"/>
      </w:r>
      <w:r w:rsidR="002246F9" w:rsidRPr="00FE50A6">
        <w:rPr>
          <w:rFonts w:cs="Helvetica"/>
          <w:szCs w:val="20"/>
        </w:rPr>
        <w:t xml:space="preserve"> 23. José Pereira da Silva</w:t>
      </w:r>
      <w:r w:rsidRPr="00FE50A6">
        <w:rPr>
          <w:rFonts w:cs="Helvetica"/>
          <w:szCs w:val="20"/>
        </w:rPr>
        <w:t>;</w:t>
      </w:r>
      <w:r w:rsidR="002246F9" w:rsidRPr="00FE50A6">
        <w:rPr>
          <w:rStyle w:val="Refdenotaalpie"/>
          <w:rFonts w:cs="Helvetica"/>
          <w:lang w:val="en-US"/>
        </w:rPr>
        <w:footnoteReference w:id="240"/>
      </w:r>
      <w:r w:rsidR="002246F9" w:rsidRPr="00FE50A6">
        <w:rPr>
          <w:rFonts w:cs="Helvetica"/>
          <w:szCs w:val="20"/>
        </w:rPr>
        <w:t xml:space="preserve"> 24. José Pereira Marinho</w:t>
      </w:r>
      <w:r w:rsidRPr="00FE50A6">
        <w:rPr>
          <w:rFonts w:cs="Helvetica"/>
          <w:szCs w:val="20"/>
        </w:rPr>
        <w:t>;</w:t>
      </w:r>
      <w:r w:rsidR="002246F9" w:rsidRPr="00FE50A6">
        <w:rPr>
          <w:rStyle w:val="Refdenotaalpie"/>
          <w:rFonts w:cs="Helvetica"/>
          <w:lang w:val="en-US"/>
        </w:rPr>
        <w:footnoteReference w:id="241"/>
      </w:r>
      <w:r w:rsidR="002246F9" w:rsidRPr="00FE50A6">
        <w:rPr>
          <w:rFonts w:cs="Helvetica"/>
          <w:szCs w:val="20"/>
        </w:rPr>
        <w:t xml:space="preserve"> 25. José Raimundo dos Santos</w:t>
      </w:r>
      <w:r w:rsidRPr="00FE50A6">
        <w:rPr>
          <w:rFonts w:cs="Helvetica"/>
          <w:szCs w:val="20"/>
        </w:rPr>
        <w:t>;</w:t>
      </w:r>
      <w:r w:rsidR="002246F9" w:rsidRPr="00FE50A6">
        <w:rPr>
          <w:rStyle w:val="Refdenotaalpie"/>
          <w:rFonts w:cs="Helvetica"/>
          <w:lang w:val="en-US"/>
        </w:rPr>
        <w:footnoteReference w:id="242"/>
      </w:r>
      <w:r w:rsidR="002246F9" w:rsidRPr="00FE50A6">
        <w:rPr>
          <w:rFonts w:cs="Helvetica"/>
          <w:szCs w:val="20"/>
        </w:rPr>
        <w:t xml:space="preserve"> 26. José Vital Nascimento</w:t>
      </w:r>
      <w:r w:rsidRPr="00FE50A6">
        <w:rPr>
          <w:rFonts w:cs="Helvetica"/>
          <w:szCs w:val="20"/>
        </w:rPr>
        <w:t>;</w:t>
      </w:r>
      <w:r w:rsidR="002246F9" w:rsidRPr="00FE50A6">
        <w:rPr>
          <w:rStyle w:val="Refdenotaalpie"/>
          <w:rFonts w:cs="Helvetica"/>
          <w:lang w:val="en-US"/>
        </w:rPr>
        <w:footnoteReference w:id="243"/>
      </w:r>
      <w:r w:rsidR="002246F9" w:rsidRPr="00FE50A6">
        <w:rPr>
          <w:rFonts w:cs="Helvetica"/>
          <w:szCs w:val="20"/>
        </w:rPr>
        <w:t xml:space="preserve"> 27. Luiz Leal dos Santos</w:t>
      </w:r>
      <w:r w:rsidRPr="00FE50A6">
        <w:rPr>
          <w:rFonts w:cs="Helvetica"/>
          <w:szCs w:val="20"/>
        </w:rPr>
        <w:t>;</w:t>
      </w:r>
      <w:r w:rsidR="002246F9" w:rsidRPr="00FE50A6">
        <w:rPr>
          <w:rStyle w:val="Refdenotaalpie"/>
          <w:rFonts w:cs="Helvetica"/>
          <w:lang w:val="en-US"/>
        </w:rPr>
        <w:footnoteReference w:id="244"/>
      </w:r>
      <w:r w:rsidR="002246F9" w:rsidRPr="00FE50A6">
        <w:rPr>
          <w:rFonts w:cs="Helvetica"/>
          <w:szCs w:val="20"/>
        </w:rPr>
        <w:t xml:space="preserve"> 28. Manoel Alves de Oliveira</w:t>
      </w:r>
      <w:r w:rsidRPr="00FE50A6">
        <w:rPr>
          <w:rFonts w:cs="Helvetica"/>
          <w:szCs w:val="20"/>
        </w:rPr>
        <w:t>;</w:t>
      </w:r>
      <w:r w:rsidR="002246F9" w:rsidRPr="00FE50A6">
        <w:rPr>
          <w:rStyle w:val="Refdenotaalpie"/>
          <w:rFonts w:cs="Helvetica"/>
          <w:lang w:val="en-US"/>
        </w:rPr>
        <w:footnoteReference w:id="245"/>
      </w:r>
      <w:r w:rsidR="002246F9" w:rsidRPr="00FE50A6">
        <w:rPr>
          <w:rFonts w:cs="Helvetica"/>
          <w:szCs w:val="20"/>
        </w:rPr>
        <w:t xml:space="preserve"> 29. Manoel Fernandes dos Santos</w:t>
      </w:r>
      <w:r w:rsidRPr="00FE50A6">
        <w:rPr>
          <w:rFonts w:cs="Helvetica"/>
          <w:szCs w:val="20"/>
        </w:rPr>
        <w:t>;</w:t>
      </w:r>
      <w:r w:rsidR="002246F9" w:rsidRPr="00FE50A6">
        <w:rPr>
          <w:rStyle w:val="Refdenotaalpie"/>
          <w:rFonts w:cs="Helvetica"/>
          <w:lang w:val="en-US"/>
        </w:rPr>
        <w:footnoteReference w:id="246"/>
      </w:r>
      <w:r w:rsidR="002246F9" w:rsidRPr="00FE50A6">
        <w:rPr>
          <w:rFonts w:cs="Helvetica"/>
          <w:szCs w:val="20"/>
        </w:rPr>
        <w:t xml:space="preserve"> 30. Marcionilo Pinto de Morais</w:t>
      </w:r>
      <w:r w:rsidRPr="00FE50A6">
        <w:rPr>
          <w:rFonts w:cs="Helvetica"/>
          <w:szCs w:val="20"/>
        </w:rPr>
        <w:t>;</w:t>
      </w:r>
      <w:r w:rsidR="002246F9" w:rsidRPr="00FE50A6">
        <w:rPr>
          <w:rStyle w:val="Refdenotaalpie"/>
          <w:rFonts w:cs="Helvetica"/>
          <w:lang w:val="en-US"/>
        </w:rPr>
        <w:footnoteReference w:id="247"/>
      </w:r>
      <w:r w:rsidR="002246F9" w:rsidRPr="00FE50A6">
        <w:rPr>
          <w:rFonts w:cs="Helvetica"/>
          <w:szCs w:val="20"/>
        </w:rPr>
        <w:t xml:space="preserve"> 31. Pedro Pereira de Andrade</w:t>
      </w:r>
      <w:r w:rsidRPr="00FE50A6">
        <w:rPr>
          <w:rFonts w:cs="Helvetica"/>
          <w:szCs w:val="20"/>
        </w:rPr>
        <w:t>;</w:t>
      </w:r>
      <w:r w:rsidR="002246F9" w:rsidRPr="00FE50A6">
        <w:rPr>
          <w:rStyle w:val="Refdenotaalpie"/>
          <w:rFonts w:cs="Helvetica"/>
          <w:lang w:val="en-US"/>
        </w:rPr>
        <w:footnoteReference w:id="248"/>
      </w:r>
      <w:r w:rsidR="002246F9" w:rsidRPr="00FE50A6">
        <w:rPr>
          <w:rFonts w:cs="Helvetica"/>
          <w:szCs w:val="20"/>
        </w:rPr>
        <w:t xml:space="preserve"> 32. Raimundo Costa Neves</w:t>
      </w:r>
      <w:r w:rsidRPr="00FE50A6">
        <w:rPr>
          <w:rFonts w:cs="Helvetica"/>
          <w:szCs w:val="20"/>
        </w:rPr>
        <w:t>;</w:t>
      </w:r>
      <w:r w:rsidR="002246F9" w:rsidRPr="00FE50A6">
        <w:rPr>
          <w:rStyle w:val="Refdenotaalpie"/>
          <w:rFonts w:cs="Helvetica"/>
          <w:lang w:val="en-US"/>
        </w:rPr>
        <w:footnoteReference w:id="249"/>
      </w:r>
      <w:r w:rsidR="002246F9" w:rsidRPr="00FE50A6">
        <w:rPr>
          <w:rFonts w:cs="Helvetica"/>
          <w:szCs w:val="20"/>
        </w:rPr>
        <w:t xml:space="preserve"> 33. Raimundo Nonato Amaro Ferreira</w:t>
      </w:r>
      <w:r w:rsidRPr="00FE50A6">
        <w:rPr>
          <w:rFonts w:cs="Helvetica"/>
          <w:szCs w:val="20"/>
        </w:rPr>
        <w:t>;</w:t>
      </w:r>
      <w:r w:rsidR="002246F9" w:rsidRPr="00FE50A6">
        <w:rPr>
          <w:rStyle w:val="Refdenotaalpie"/>
          <w:rFonts w:cs="Helvetica"/>
          <w:lang w:val="en-US"/>
        </w:rPr>
        <w:footnoteReference w:id="250"/>
      </w:r>
      <w:r w:rsidR="002246F9" w:rsidRPr="00FE50A6">
        <w:rPr>
          <w:rFonts w:cs="Helvetica"/>
          <w:szCs w:val="20"/>
        </w:rPr>
        <w:t xml:space="preserve"> 34. Raimundo Gonçalves Lima</w:t>
      </w:r>
      <w:r w:rsidRPr="00FE50A6">
        <w:rPr>
          <w:rFonts w:cs="Helvetica"/>
          <w:szCs w:val="20"/>
        </w:rPr>
        <w:t>;</w:t>
      </w:r>
      <w:r w:rsidR="002246F9" w:rsidRPr="00FE50A6">
        <w:rPr>
          <w:rStyle w:val="Refdenotaalpie"/>
          <w:rFonts w:cs="Helvetica"/>
          <w:lang w:val="en-US"/>
        </w:rPr>
        <w:footnoteReference w:id="251"/>
      </w:r>
      <w:r w:rsidR="002246F9" w:rsidRPr="00FE50A6">
        <w:rPr>
          <w:rFonts w:cs="Helvetica"/>
          <w:szCs w:val="20"/>
        </w:rPr>
        <w:t xml:space="preserve"> 35. Raimundo Nonato da Silva</w:t>
      </w:r>
      <w:r w:rsidRPr="00FE50A6">
        <w:rPr>
          <w:rFonts w:cs="Helvetica"/>
          <w:szCs w:val="20"/>
        </w:rPr>
        <w:t>;</w:t>
      </w:r>
      <w:r w:rsidR="002246F9" w:rsidRPr="00FE50A6">
        <w:rPr>
          <w:rStyle w:val="Refdenotaalpie"/>
          <w:rFonts w:cs="Helvetica"/>
          <w:lang w:val="en-US"/>
        </w:rPr>
        <w:footnoteReference w:id="252"/>
      </w:r>
      <w:r w:rsidR="002246F9" w:rsidRPr="00FE50A6">
        <w:rPr>
          <w:rFonts w:cs="Helvetica"/>
          <w:szCs w:val="20"/>
        </w:rPr>
        <w:t xml:space="preserve"> 36. Roberto Aires</w:t>
      </w:r>
      <w:r w:rsidRPr="00FE50A6">
        <w:rPr>
          <w:rFonts w:cs="Helvetica"/>
          <w:szCs w:val="20"/>
        </w:rPr>
        <w:t>;</w:t>
      </w:r>
      <w:r w:rsidR="002246F9" w:rsidRPr="00FE50A6">
        <w:rPr>
          <w:rStyle w:val="Refdenotaalpie"/>
          <w:rFonts w:cs="Helvetica"/>
          <w:lang w:val="en-US"/>
        </w:rPr>
        <w:footnoteReference w:id="253"/>
      </w:r>
      <w:r w:rsidR="002246F9" w:rsidRPr="00FE50A6">
        <w:rPr>
          <w:rFonts w:cs="Helvetica"/>
          <w:szCs w:val="20"/>
        </w:rPr>
        <w:t xml:space="preserve"> 37. Ronaldo Alves Ribeiro</w:t>
      </w:r>
      <w:r w:rsidRPr="00FE50A6">
        <w:rPr>
          <w:rFonts w:cs="Helvetica"/>
          <w:szCs w:val="20"/>
        </w:rPr>
        <w:t>;</w:t>
      </w:r>
      <w:r w:rsidR="002246F9" w:rsidRPr="00FE50A6">
        <w:rPr>
          <w:rStyle w:val="Refdenotaalpie"/>
          <w:rFonts w:cs="Helvetica"/>
          <w:lang w:val="en-US"/>
        </w:rPr>
        <w:footnoteReference w:id="254"/>
      </w:r>
      <w:r w:rsidR="002246F9" w:rsidRPr="00FE50A6">
        <w:rPr>
          <w:rFonts w:cs="Helvetica"/>
          <w:szCs w:val="20"/>
        </w:rPr>
        <w:t xml:space="preserve"> 38. Sebastião Carro Pereira dos Santos</w:t>
      </w:r>
      <w:r w:rsidRPr="00FE50A6">
        <w:rPr>
          <w:rFonts w:cs="Helvetica"/>
          <w:szCs w:val="20"/>
        </w:rPr>
        <w:t>;</w:t>
      </w:r>
      <w:r w:rsidR="002246F9" w:rsidRPr="00FE50A6">
        <w:rPr>
          <w:rStyle w:val="Refdenotaalpie"/>
          <w:rFonts w:cs="Helvetica"/>
          <w:lang w:val="en-US"/>
        </w:rPr>
        <w:footnoteReference w:id="255"/>
      </w:r>
      <w:r w:rsidR="002246F9" w:rsidRPr="00FE50A6">
        <w:rPr>
          <w:rFonts w:cs="Helvetica"/>
          <w:szCs w:val="20"/>
        </w:rPr>
        <w:t xml:space="preserve"> </w:t>
      </w:r>
      <w:r w:rsidR="002246F9" w:rsidRPr="00FE50A6">
        <w:rPr>
          <w:rFonts w:cs="Helvetica"/>
          <w:szCs w:val="20"/>
        </w:rPr>
        <w:lastRenderedPageBreak/>
        <w:t>39. Sebastião Rodrigues da Silva</w:t>
      </w:r>
      <w:r w:rsidRPr="00FE50A6">
        <w:rPr>
          <w:rFonts w:cs="Helvetica"/>
          <w:szCs w:val="20"/>
        </w:rPr>
        <w:t>;</w:t>
      </w:r>
      <w:r w:rsidR="002246F9" w:rsidRPr="00FE50A6">
        <w:rPr>
          <w:rStyle w:val="Refdenotaalpie"/>
          <w:rFonts w:cs="Helvetica"/>
          <w:lang w:val="en-US"/>
        </w:rPr>
        <w:footnoteReference w:id="256"/>
      </w:r>
      <w:r w:rsidR="002246F9" w:rsidRPr="00FE50A6">
        <w:rPr>
          <w:rFonts w:cs="Helvetica"/>
          <w:szCs w:val="20"/>
        </w:rPr>
        <w:t xml:space="preserve"> 40. Sinoca da Silva</w:t>
      </w:r>
      <w:r w:rsidRPr="00FE50A6">
        <w:rPr>
          <w:rFonts w:cs="Helvetica"/>
          <w:szCs w:val="20"/>
        </w:rPr>
        <w:t>;</w:t>
      </w:r>
      <w:r w:rsidR="002246F9" w:rsidRPr="00FE50A6">
        <w:rPr>
          <w:rStyle w:val="Refdenotaalpie"/>
          <w:rFonts w:cs="Helvetica"/>
          <w:lang w:val="en-US"/>
        </w:rPr>
        <w:footnoteReference w:id="257"/>
      </w:r>
      <w:r w:rsidR="002246F9" w:rsidRPr="00FE50A6">
        <w:rPr>
          <w:rFonts w:cs="Helvetica"/>
          <w:szCs w:val="20"/>
        </w:rPr>
        <w:t xml:space="preserve"> 41. Valdemar de Souza</w:t>
      </w:r>
      <w:r w:rsidRPr="00FE50A6">
        <w:rPr>
          <w:rFonts w:cs="Helvetica"/>
          <w:szCs w:val="20"/>
        </w:rPr>
        <w:t>;</w:t>
      </w:r>
      <w:r w:rsidR="002246F9" w:rsidRPr="00FE50A6">
        <w:rPr>
          <w:rStyle w:val="Refdenotaalpie"/>
          <w:rFonts w:cs="Helvetica"/>
          <w:lang w:val="en-US"/>
        </w:rPr>
        <w:footnoteReference w:id="258"/>
      </w:r>
      <w:r w:rsidR="002246F9" w:rsidRPr="00FE50A6">
        <w:rPr>
          <w:rFonts w:cs="Helvetica"/>
          <w:szCs w:val="20"/>
        </w:rPr>
        <w:t xml:space="preserve"> 42. Valdinar Veloso Silva</w:t>
      </w:r>
      <w:r w:rsidRPr="00FE50A6">
        <w:rPr>
          <w:rFonts w:cs="Helvetica"/>
          <w:szCs w:val="20"/>
        </w:rPr>
        <w:t>;</w:t>
      </w:r>
      <w:r w:rsidR="002246F9" w:rsidRPr="00FE50A6">
        <w:rPr>
          <w:rStyle w:val="Refdenotaalpie"/>
          <w:rFonts w:cs="Helvetica"/>
          <w:lang w:val="en-US"/>
        </w:rPr>
        <w:footnoteReference w:id="259"/>
      </w:r>
      <w:r w:rsidR="00030C17" w:rsidRPr="00FE50A6">
        <w:rPr>
          <w:rFonts w:cs="Helvetica"/>
          <w:szCs w:val="20"/>
        </w:rPr>
        <w:t xml:space="preserve"> and </w:t>
      </w:r>
      <w:r w:rsidR="002246F9" w:rsidRPr="00FE50A6">
        <w:rPr>
          <w:rFonts w:cs="Helvetica"/>
          <w:szCs w:val="20"/>
        </w:rPr>
        <w:t>43. Zeno Gomes Feitosa</w:t>
      </w:r>
      <w:r w:rsidRPr="00FE50A6">
        <w:rPr>
          <w:rFonts w:cs="Helvetica"/>
          <w:szCs w:val="20"/>
        </w:rPr>
        <w:t>.</w:t>
      </w:r>
      <w:r w:rsidR="002246F9" w:rsidRPr="00FE50A6">
        <w:rPr>
          <w:rStyle w:val="Refdenotaalpie"/>
          <w:rFonts w:cs="Helvetica"/>
          <w:lang w:val="en-US"/>
        </w:rPr>
        <w:footnoteReference w:id="260"/>
      </w:r>
      <w:bookmarkEnd w:id="295"/>
    </w:p>
    <w:p w14:paraId="70DA2D7D" w14:textId="77777777" w:rsidR="002246F9" w:rsidRPr="00FE50A6" w:rsidRDefault="002246F9" w:rsidP="002246F9">
      <w:pPr>
        <w:tabs>
          <w:tab w:val="clear" w:pos="4419"/>
          <w:tab w:val="clear" w:pos="8838"/>
        </w:tabs>
        <w:autoSpaceDE w:val="0"/>
        <w:autoSpaceDN w:val="0"/>
        <w:adjustRightInd w:val="0"/>
        <w:rPr>
          <w:szCs w:val="20"/>
        </w:rPr>
      </w:pPr>
    </w:p>
    <w:p w14:paraId="7D101AC1" w14:textId="77777777" w:rsidR="002246F9" w:rsidRPr="00FE50A6" w:rsidRDefault="00A35E19" w:rsidP="008B0BCC">
      <w:pPr>
        <w:pStyle w:val="Ttulo2"/>
        <w:numPr>
          <w:ilvl w:val="0"/>
          <w:numId w:val="18"/>
        </w:numPr>
      </w:pPr>
      <w:r w:rsidRPr="00FE50A6">
        <w:t>March 2000 inspection</w:t>
      </w:r>
    </w:p>
    <w:p w14:paraId="6DDF522D" w14:textId="77777777" w:rsidR="002246F9" w:rsidRPr="00FE50A6" w:rsidRDefault="002246F9" w:rsidP="002246F9">
      <w:pPr>
        <w:tabs>
          <w:tab w:val="clear" w:pos="4419"/>
          <w:tab w:val="clear" w:pos="8838"/>
        </w:tabs>
        <w:autoSpaceDE w:val="0"/>
        <w:autoSpaceDN w:val="0"/>
        <w:adjustRightInd w:val="0"/>
        <w:ind w:firstLine="708"/>
        <w:rPr>
          <w:b/>
          <w:szCs w:val="20"/>
          <w:lang w:val="en-US"/>
        </w:rPr>
      </w:pPr>
    </w:p>
    <w:p w14:paraId="2B607020" w14:textId="77777777" w:rsidR="002246F9" w:rsidRPr="00FE50A6" w:rsidRDefault="002246F9" w:rsidP="005F0182">
      <w:pPr>
        <w:pStyle w:val="Ttulo3"/>
        <w:rPr>
          <w:lang w:val="en-US"/>
        </w:rPr>
      </w:pPr>
      <w:bookmarkStart w:id="296" w:name="_Toc460433026"/>
      <w:bookmarkStart w:id="297" w:name="_Toc460441957"/>
      <w:bookmarkStart w:id="298" w:name="_Toc462750775"/>
      <w:bookmarkStart w:id="299" w:name="_Toc462751099"/>
      <w:bookmarkStart w:id="300" w:name="_Toc464813951"/>
      <w:r w:rsidRPr="00FE50A6">
        <w:rPr>
          <w:lang w:val="en-US"/>
        </w:rPr>
        <w:t>B.1</w:t>
      </w:r>
      <w:r w:rsidR="00DC2886" w:rsidRPr="00FE50A6">
        <w:rPr>
          <w:lang w:val="en-US"/>
        </w:rPr>
        <w:t>.</w:t>
      </w:r>
      <w:r w:rsidRPr="00FE50A6">
        <w:rPr>
          <w:lang w:val="en-US"/>
        </w:rPr>
        <w:t xml:space="preserve"> </w:t>
      </w:r>
      <w:r w:rsidR="009C27BB" w:rsidRPr="00FE50A6">
        <w:rPr>
          <w:lang w:val="en-US"/>
        </w:rPr>
        <w:t>Arguments of the parties</w:t>
      </w:r>
      <w:r w:rsidR="00030C17" w:rsidRPr="00FE50A6">
        <w:rPr>
          <w:lang w:val="en-US"/>
        </w:rPr>
        <w:t xml:space="preserve"> and </w:t>
      </w:r>
      <w:r w:rsidR="000228D0" w:rsidRPr="00FE50A6">
        <w:rPr>
          <w:lang w:val="en-US"/>
        </w:rPr>
        <w:t>of the Commission</w:t>
      </w:r>
      <w:bookmarkEnd w:id="296"/>
      <w:bookmarkEnd w:id="297"/>
      <w:bookmarkEnd w:id="298"/>
      <w:bookmarkEnd w:id="299"/>
      <w:bookmarkEnd w:id="300"/>
    </w:p>
    <w:p w14:paraId="2DBA4522" w14:textId="77777777" w:rsidR="002246F9" w:rsidRPr="00FE50A6" w:rsidRDefault="002246F9" w:rsidP="002246F9">
      <w:pPr>
        <w:tabs>
          <w:tab w:val="clear" w:pos="4419"/>
          <w:tab w:val="clear" w:pos="8838"/>
        </w:tabs>
        <w:autoSpaceDE w:val="0"/>
        <w:autoSpaceDN w:val="0"/>
        <w:adjustRightInd w:val="0"/>
        <w:rPr>
          <w:szCs w:val="20"/>
          <w:lang w:val="en-US"/>
        </w:rPr>
      </w:pPr>
    </w:p>
    <w:p w14:paraId="5DFAE418" w14:textId="77777777" w:rsidR="002246F9" w:rsidRPr="00FE50A6" w:rsidRDefault="00A35E19" w:rsidP="002246F9">
      <w:pPr>
        <w:pStyle w:val="Prrafodelista"/>
        <w:numPr>
          <w:ilvl w:val="0"/>
          <w:numId w:val="1"/>
        </w:numPr>
        <w:autoSpaceDE w:val="0"/>
        <w:autoSpaceDN w:val="0"/>
        <w:adjustRightInd w:val="0"/>
        <w:rPr>
          <w:szCs w:val="20"/>
          <w:lang w:val="en-US"/>
        </w:rPr>
      </w:pPr>
      <w:r w:rsidRPr="00FE50A6">
        <w:rPr>
          <w:szCs w:val="20"/>
          <w:lang w:val="en-US"/>
        </w:rPr>
        <w:t>In its Merits Report, t</w:t>
      </w:r>
      <w:r w:rsidR="000228D0" w:rsidRPr="00FE50A6">
        <w:rPr>
          <w:szCs w:val="20"/>
          <w:lang w:val="en-US"/>
        </w:rPr>
        <w:t xml:space="preserve">he </w:t>
      </w:r>
      <w:r w:rsidR="000228D0" w:rsidRPr="00FE50A6">
        <w:rPr>
          <w:b/>
          <w:i/>
          <w:szCs w:val="20"/>
          <w:lang w:val="en-US"/>
        </w:rPr>
        <w:t>Commission</w:t>
      </w:r>
      <w:r w:rsidR="002246F9" w:rsidRPr="00FE50A6">
        <w:rPr>
          <w:szCs w:val="20"/>
          <w:lang w:val="en-US"/>
        </w:rPr>
        <w:t xml:space="preserve"> </w:t>
      </w:r>
      <w:r w:rsidRPr="00FE50A6">
        <w:rPr>
          <w:szCs w:val="20"/>
          <w:lang w:val="en-US"/>
        </w:rPr>
        <w:t>indicated that, at the time of the March 2000 inspection, 82 workers were in</w:t>
      </w:r>
      <w:r w:rsidR="002246F9" w:rsidRPr="00FE50A6">
        <w:rPr>
          <w:szCs w:val="20"/>
          <w:lang w:val="en-US"/>
        </w:rPr>
        <w:t xml:space="preserve"> Hacienda </w:t>
      </w:r>
      <w:r w:rsidR="00322241" w:rsidRPr="00FE50A6">
        <w:rPr>
          <w:szCs w:val="20"/>
          <w:lang w:val="en-US"/>
        </w:rPr>
        <w:t>Brasil Verde</w:t>
      </w:r>
      <w:r w:rsidR="002246F9" w:rsidRPr="00FE50A6">
        <w:rPr>
          <w:szCs w:val="20"/>
          <w:lang w:val="en-US"/>
        </w:rPr>
        <w:t xml:space="preserve">. </w:t>
      </w:r>
      <w:r w:rsidRPr="00FE50A6">
        <w:rPr>
          <w:szCs w:val="20"/>
          <w:lang w:val="en-US"/>
        </w:rPr>
        <w:t>According to</w:t>
      </w:r>
      <w:r w:rsidR="002246F9" w:rsidRPr="00FE50A6">
        <w:rPr>
          <w:szCs w:val="20"/>
          <w:lang w:val="en-US"/>
        </w:rPr>
        <w:t xml:space="preserve"> </w:t>
      </w:r>
      <w:r w:rsidR="000228D0" w:rsidRPr="00FE50A6">
        <w:rPr>
          <w:szCs w:val="20"/>
          <w:lang w:val="en-US"/>
        </w:rPr>
        <w:t>the Commission</w:t>
      </w:r>
      <w:r w:rsidR="002246F9" w:rsidRPr="00FE50A6">
        <w:rPr>
          <w:szCs w:val="20"/>
          <w:lang w:val="en-US"/>
        </w:rPr>
        <w:t xml:space="preserve">, </w:t>
      </w:r>
      <w:r w:rsidRPr="00FE50A6">
        <w:rPr>
          <w:szCs w:val="20"/>
          <w:lang w:val="en-US"/>
        </w:rPr>
        <w:t xml:space="preserve">their names </w:t>
      </w:r>
      <w:r w:rsidR="006F4904" w:rsidRPr="00FE50A6">
        <w:rPr>
          <w:szCs w:val="20"/>
          <w:lang w:val="en-US"/>
        </w:rPr>
        <w:t>are derived</w:t>
      </w:r>
      <w:r w:rsidRPr="00FE50A6">
        <w:rPr>
          <w:szCs w:val="20"/>
          <w:lang w:val="en-US"/>
        </w:rPr>
        <w:t xml:space="preserve"> from </w:t>
      </w:r>
      <w:r w:rsidR="00C23CE5" w:rsidRPr="00FE50A6">
        <w:rPr>
          <w:szCs w:val="20"/>
          <w:lang w:val="en-US"/>
        </w:rPr>
        <w:t xml:space="preserve">the </w:t>
      </w:r>
      <w:r w:rsidR="00445155" w:rsidRPr="00FE50A6">
        <w:rPr>
          <w:szCs w:val="20"/>
          <w:lang w:val="en-US"/>
        </w:rPr>
        <w:t>Ministry of Labor</w:t>
      </w:r>
      <w:r w:rsidRPr="00FE50A6">
        <w:rPr>
          <w:szCs w:val="20"/>
          <w:lang w:val="en-US"/>
        </w:rPr>
        <w:t>’s inspection report</w:t>
      </w:r>
      <w:r w:rsidR="002246F9" w:rsidRPr="00FE50A6">
        <w:rPr>
          <w:szCs w:val="20"/>
          <w:lang w:val="en-US"/>
        </w:rPr>
        <w:t xml:space="preserve">, </w:t>
      </w:r>
      <w:r w:rsidRPr="00FE50A6">
        <w:rPr>
          <w:szCs w:val="20"/>
          <w:lang w:val="en-US"/>
        </w:rPr>
        <w:t>from the list provided by the</w:t>
      </w:r>
      <w:r w:rsidR="00314483" w:rsidRPr="00FE50A6">
        <w:rPr>
          <w:szCs w:val="20"/>
          <w:lang w:val="en-US"/>
        </w:rPr>
        <w:t xml:space="preserve"> owner’s</w:t>
      </w:r>
      <w:r w:rsidRPr="00FE50A6">
        <w:rPr>
          <w:szCs w:val="20"/>
          <w:lang w:val="en-US"/>
        </w:rPr>
        <w:t xml:space="preserve"> defense counsel in the domestic proceedings, and from the list provided by the petitioners on </w:t>
      </w:r>
      <w:r w:rsidR="00F8114C" w:rsidRPr="00FE50A6">
        <w:rPr>
          <w:szCs w:val="20"/>
          <w:lang w:val="en-US"/>
        </w:rPr>
        <w:t>July 10,</w:t>
      </w:r>
      <w:r w:rsidR="002246F9" w:rsidRPr="00FE50A6">
        <w:rPr>
          <w:szCs w:val="20"/>
          <w:lang w:val="en-US"/>
        </w:rPr>
        <w:t xml:space="preserve"> 2007</w:t>
      </w:r>
      <w:r w:rsidRPr="00FE50A6">
        <w:rPr>
          <w:szCs w:val="20"/>
          <w:lang w:val="en-US"/>
        </w:rPr>
        <w:t xml:space="preserve">, in the procedure before </w:t>
      </w:r>
      <w:r w:rsidR="000228D0" w:rsidRPr="00FE50A6">
        <w:rPr>
          <w:szCs w:val="20"/>
          <w:lang w:val="en-US"/>
        </w:rPr>
        <w:t>the Commission</w:t>
      </w:r>
      <w:r w:rsidR="002246F9" w:rsidRPr="00FE50A6">
        <w:rPr>
          <w:szCs w:val="20"/>
          <w:lang w:val="en-US"/>
        </w:rPr>
        <w:t>.</w:t>
      </w:r>
    </w:p>
    <w:p w14:paraId="7D0D5624" w14:textId="77777777" w:rsidR="002246F9" w:rsidRPr="00FE50A6" w:rsidRDefault="002246F9" w:rsidP="002246F9">
      <w:pPr>
        <w:pStyle w:val="Prrafodelista"/>
        <w:autoSpaceDE w:val="0"/>
        <w:autoSpaceDN w:val="0"/>
        <w:adjustRightInd w:val="0"/>
        <w:ind w:left="0"/>
        <w:rPr>
          <w:szCs w:val="20"/>
          <w:lang w:val="en-US"/>
        </w:rPr>
      </w:pPr>
    </w:p>
    <w:p w14:paraId="03AE92BA" w14:textId="77777777" w:rsidR="002246F9" w:rsidRPr="00FE50A6" w:rsidRDefault="006F4904" w:rsidP="002246F9">
      <w:pPr>
        <w:pStyle w:val="Prrafodelista"/>
        <w:numPr>
          <w:ilvl w:val="0"/>
          <w:numId w:val="1"/>
        </w:numPr>
        <w:autoSpaceDE w:val="0"/>
        <w:autoSpaceDN w:val="0"/>
        <w:adjustRightInd w:val="0"/>
        <w:rPr>
          <w:szCs w:val="20"/>
          <w:lang w:val="en-US"/>
        </w:rPr>
      </w:pPr>
      <w:r w:rsidRPr="00FE50A6">
        <w:rPr>
          <w:szCs w:val="20"/>
          <w:lang w:val="en-US"/>
        </w:rPr>
        <w:t>Meanwhile</w:t>
      </w:r>
      <w:r w:rsidR="002246F9" w:rsidRPr="00FE50A6">
        <w:rPr>
          <w:szCs w:val="20"/>
          <w:lang w:val="en-US"/>
        </w:rPr>
        <w:t xml:space="preserve">, </w:t>
      </w:r>
      <w:r w:rsidR="00700B79" w:rsidRPr="00FE50A6">
        <w:rPr>
          <w:szCs w:val="20"/>
          <w:lang w:val="en-US"/>
        </w:rPr>
        <w:t xml:space="preserve">the </w:t>
      </w:r>
      <w:r w:rsidR="00700B79" w:rsidRPr="00FE50A6">
        <w:rPr>
          <w:b/>
          <w:i/>
          <w:szCs w:val="20"/>
          <w:lang w:val="en-US"/>
        </w:rPr>
        <w:t>representatives</w:t>
      </w:r>
      <w:r w:rsidR="002246F9" w:rsidRPr="00FE50A6">
        <w:rPr>
          <w:b/>
          <w:i/>
          <w:szCs w:val="20"/>
          <w:lang w:val="en-US"/>
        </w:rPr>
        <w:t xml:space="preserve"> </w:t>
      </w:r>
      <w:r w:rsidR="002246F9" w:rsidRPr="00FE50A6">
        <w:rPr>
          <w:szCs w:val="20"/>
          <w:lang w:val="en-US"/>
        </w:rPr>
        <w:t>a</w:t>
      </w:r>
      <w:r w:rsidRPr="00FE50A6">
        <w:rPr>
          <w:szCs w:val="20"/>
          <w:lang w:val="en-US"/>
        </w:rPr>
        <w:t xml:space="preserve">rgued that, during the inspection, 85 workers were found, based on </w:t>
      </w:r>
      <w:r w:rsidR="00C23CE5" w:rsidRPr="00FE50A6">
        <w:rPr>
          <w:szCs w:val="20"/>
          <w:lang w:val="en-US"/>
        </w:rPr>
        <w:t xml:space="preserve">the </w:t>
      </w:r>
      <w:r w:rsidR="00445155" w:rsidRPr="00FE50A6">
        <w:rPr>
          <w:szCs w:val="20"/>
          <w:lang w:val="en-US"/>
        </w:rPr>
        <w:t>Ministry of Labor</w:t>
      </w:r>
      <w:r w:rsidRPr="00FE50A6">
        <w:rPr>
          <w:szCs w:val="20"/>
          <w:lang w:val="en-US"/>
        </w:rPr>
        <w:t>’s inspection report</w:t>
      </w:r>
      <w:r w:rsidR="00030C17" w:rsidRPr="00FE50A6">
        <w:rPr>
          <w:szCs w:val="20"/>
          <w:lang w:val="en-US"/>
        </w:rPr>
        <w:t xml:space="preserve"> and </w:t>
      </w:r>
      <w:r w:rsidRPr="00FE50A6">
        <w:rPr>
          <w:szCs w:val="20"/>
          <w:lang w:val="en-US"/>
        </w:rPr>
        <w:t>the public civil action of May 30,</w:t>
      </w:r>
      <w:r w:rsidR="00314483" w:rsidRPr="00FE50A6">
        <w:rPr>
          <w:szCs w:val="20"/>
          <w:lang w:val="en-US"/>
        </w:rPr>
        <w:t xml:space="preserve"> </w:t>
      </w:r>
      <w:r w:rsidRPr="00FE50A6">
        <w:rPr>
          <w:szCs w:val="20"/>
          <w:lang w:val="en-US"/>
        </w:rPr>
        <w:t xml:space="preserve">2000, filed by </w:t>
      </w:r>
      <w:r w:rsidR="00F8114C" w:rsidRPr="00FE50A6">
        <w:rPr>
          <w:szCs w:val="20"/>
          <w:lang w:val="en-US"/>
        </w:rPr>
        <w:t xml:space="preserve">the </w:t>
      </w:r>
      <w:r w:rsidR="00452450" w:rsidRPr="00FE50A6">
        <w:rPr>
          <w:szCs w:val="20"/>
          <w:lang w:val="en-US"/>
        </w:rPr>
        <w:t>Labor Public Prosecutor</w:t>
      </w:r>
      <w:r w:rsidR="002246F9" w:rsidRPr="00FE50A6">
        <w:rPr>
          <w:szCs w:val="20"/>
          <w:lang w:val="en-US"/>
        </w:rPr>
        <w:t xml:space="preserve"> </w:t>
      </w:r>
      <w:r w:rsidRPr="00FE50A6">
        <w:rPr>
          <w:rFonts w:cs="Arial"/>
          <w:szCs w:val="20"/>
          <w:lang w:val="en-US"/>
        </w:rPr>
        <w:t xml:space="preserve">before the Labor Court of </w:t>
      </w:r>
      <w:r w:rsidR="000E4BB3" w:rsidRPr="00FE50A6">
        <w:rPr>
          <w:rFonts w:cs="Arial"/>
          <w:szCs w:val="20"/>
          <w:lang w:val="en-US"/>
        </w:rPr>
        <w:t xml:space="preserve">Conceição do </w:t>
      </w:r>
      <w:r w:rsidR="002246F9" w:rsidRPr="00FE50A6">
        <w:rPr>
          <w:rFonts w:cs="Arial"/>
          <w:szCs w:val="20"/>
          <w:lang w:val="en-US"/>
        </w:rPr>
        <w:t>Araguaia</w:t>
      </w:r>
      <w:r w:rsidR="002246F9" w:rsidRPr="00FE50A6">
        <w:rPr>
          <w:szCs w:val="20"/>
          <w:lang w:val="en-US"/>
        </w:rPr>
        <w:t xml:space="preserve">. </w:t>
      </w:r>
      <w:r w:rsidRPr="00FE50A6">
        <w:rPr>
          <w:szCs w:val="20"/>
          <w:lang w:val="en-US"/>
        </w:rPr>
        <w:t xml:space="preserve">They also clarified that the names indicated by </w:t>
      </w:r>
      <w:r w:rsidR="000228D0" w:rsidRPr="00FE50A6">
        <w:rPr>
          <w:szCs w:val="20"/>
          <w:lang w:val="en-US"/>
        </w:rPr>
        <w:t>the Commission</w:t>
      </w:r>
      <w:r w:rsidR="002246F9" w:rsidRPr="00FE50A6">
        <w:rPr>
          <w:szCs w:val="20"/>
          <w:lang w:val="en-US"/>
        </w:rPr>
        <w:t xml:space="preserve"> </w:t>
      </w:r>
      <w:r w:rsidRPr="00FE50A6">
        <w:rPr>
          <w:szCs w:val="20"/>
          <w:lang w:val="en-US"/>
        </w:rPr>
        <w:t>as</w:t>
      </w:r>
      <w:r w:rsidR="002246F9" w:rsidRPr="00FE50A6">
        <w:rPr>
          <w:szCs w:val="20"/>
          <w:lang w:val="en-US"/>
        </w:rPr>
        <w:t xml:space="preserve"> Francisco das Chagas S. Lira</w:t>
      </w:r>
      <w:r w:rsidR="00030C17" w:rsidRPr="00FE50A6">
        <w:rPr>
          <w:szCs w:val="20"/>
          <w:lang w:val="en-US"/>
        </w:rPr>
        <w:t xml:space="preserve"> and </w:t>
      </w:r>
      <w:r w:rsidR="002246F9" w:rsidRPr="00FE50A6">
        <w:rPr>
          <w:szCs w:val="20"/>
          <w:lang w:val="en-US"/>
        </w:rPr>
        <w:t>Francisco das Chagas da Silva Lima</w:t>
      </w:r>
      <w:r w:rsidRPr="00FE50A6">
        <w:rPr>
          <w:szCs w:val="20"/>
          <w:lang w:val="en-US"/>
        </w:rPr>
        <w:t xml:space="preserve"> refer to one and the same person, whose name is</w:t>
      </w:r>
      <w:r w:rsidR="002246F9" w:rsidRPr="00FE50A6">
        <w:rPr>
          <w:szCs w:val="20"/>
          <w:lang w:val="en-US"/>
        </w:rPr>
        <w:t xml:space="preserve"> Francisco das Chagas da Silva Lira,</w:t>
      </w:r>
      <w:r w:rsidR="00030C17" w:rsidRPr="00FE50A6">
        <w:rPr>
          <w:szCs w:val="20"/>
          <w:lang w:val="en-US"/>
        </w:rPr>
        <w:t xml:space="preserve"> and </w:t>
      </w:r>
      <w:r w:rsidRPr="00FE50A6">
        <w:rPr>
          <w:szCs w:val="20"/>
          <w:lang w:val="en-US"/>
        </w:rPr>
        <w:t xml:space="preserve">that the name </w:t>
      </w:r>
      <w:r w:rsidR="002246F9" w:rsidRPr="00FE50A6">
        <w:rPr>
          <w:rFonts w:cs="Times New Roman"/>
          <w:szCs w:val="20"/>
          <w:lang w:val="en-US"/>
        </w:rPr>
        <w:t xml:space="preserve">Francisco das Chagas Da Silva Lima, </w:t>
      </w:r>
      <w:r w:rsidRPr="00FE50A6">
        <w:rPr>
          <w:rFonts w:cs="Times New Roman"/>
          <w:szCs w:val="20"/>
          <w:lang w:val="en-US"/>
        </w:rPr>
        <w:t xml:space="preserve">should be substituted by </w:t>
      </w:r>
      <w:r w:rsidR="002246F9" w:rsidRPr="00FE50A6">
        <w:rPr>
          <w:rFonts w:cs="Times New Roman"/>
          <w:szCs w:val="20"/>
          <w:lang w:val="en-US"/>
        </w:rPr>
        <w:t>Francisco Mariano da Silva.</w:t>
      </w:r>
    </w:p>
    <w:p w14:paraId="5B3F8F8F" w14:textId="77777777" w:rsidR="002246F9" w:rsidRPr="00FE50A6" w:rsidRDefault="002246F9" w:rsidP="002246F9">
      <w:pPr>
        <w:pStyle w:val="Prrafodelista"/>
        <w:autoSpaceDE w:val="0"/>
        <w:autoSpaceDN w:val="0"/>
        <w:adjustRightInd w:val="0"/>
        <w:ind w:left="0"/>
        <w:rPr>
          <w:szCs w:val="20"/>
          <w:lang w:val="en-US"/>
        </w:rPr>
      </w:pPr>
    </w:p>
    <w:p w14:paraId="30733E50" w14:textId="77777777" w:rsidR="002246F9" w:rsidRPr="00FE50A6" w:rsidRDefault="002246F9" w:rsidP="002246F9">
      <w:pPr>
        <w:pStyle w:val="Prrafodelista"/>
        <w:numPr>
          <w:ilvl w:val="0"/>
          <w:numId w:val="1"/>
        </w:numPr>
        <w:autoSpaceDE w:val="0"/>
        <w:autoSpaceDN w:val="0"/>
        <w:adjustRightInd w:val="0"/>
        <w:rPr>
          <w:szCs w:val="20"/>
          <w:lang w:val="en-US"/>
        </w:rPr>
      </w:pPr>
      <w:r w:rsidRPr="00FE50A6">
        <w:rPr>
          <w:szCs w:val="20"/>
          <w:lang w:val="en-US"/>
        </w:rPr>
        <w:t xml:space="preserve"> </w:t>
      </w:r>
      <w:r w:rsidR="00C1096E" w:rsidRPr="00FE50A6">
        <w:rPr>
          <w:szCs w:val="20"/>
          <w:lang w:val="en-US"/>
        </w:rPr>
        <w:t xml:space="preserve">To the contrary, the </w:t>
      </w:r>
      <w:r w:rsidR="00C1096E" w:rsidRPr="00FE50A6">
        <w:rPr>
          <w:b/>
          <w:i/>
          <w:szCs w:val="20"/>
          <w:lang w:val="en-US"/>
        </w:rPr>
        <w:t>State</w:t>
      </w:r>
      <w:r w:rsidR="00C1096E" w:rsidRPr="00FE50A6">
        <w:rPr>
          <w:szCs w:val="20"/>
          <w:lang w:val="en-US"/>
        </w:rPr>
        <w:t xml:space="preserve"> argued that, of the 81 workers indicated in </w:t>
      </w:r>
      <w:r w:rsidR="00C23CE5" w:rsidRPr="00FE50A6">
        <w:rPr>
          <w:szCs w:val="20"/>
          <w:lang w:val="en-US"/>
        </w:rPr>
        <w:t>the</w:t>
      </w:r>
      <w:r w:rsidR="00C1096E" w:rsidRPr="00FE50A6">
        <w:rPr>
          <w:szCs w:val="20"/>
          <w:lang w:val="en-US"/>
        </w:rPr>
        <w:t xml:space="preserve"> March 2000</w:t>
      </w:r>
      <w:r w:rsidR="00C23CE5" w:rsidRPr="00FE50A6">
        <w:rPr>
          <w:szCs w:val="20"/>
          <w:lang w:val="en-US"/>
        </w:rPr>
        <w:t xml:space="preserve"> inspection report</w:t>
      </w:r>
      <w:r w:rsidR="00C1096E" w:rsidRPr="00FE50A6">
        <w:rPr>
          <w:szCs w:val="20"/>
          <w:lang w:val="en-US"/>
        </w:rPr>
        <w:t xml:space="preserve">, 49 had been hired for </w:t>
      </w:r>
      <w:r w:rsidRPr="00FE50A6">
        <w:rPr>
          <w:szCs w:val="20"/>
          <w:lang w:val="en-US"/>
        </w:rPr>
        <w:t xml:space="preserve">Hacienda </w:t>
      </w:r>
      <w:r w:rsidR="00322241" w:rsidRPr="00FE50A6">
        <w:rPr>
          <w:szCs w:val="20"/>
          <w:lang w:val="en-US"/>
        </w:rPr>
        <w:t>Brasil Verde</w:t>
      </w:r>
      <w:r w:rsidR="00030C17" w:rsidRPr="00FE50A6">
        <w:rPr>
          <w:szCs w:val="20"/>
          <w:lang w:val="en-US"/>
        </w:rPr>
        <w:t xml:space="preserve"> and </w:t>
      </w:r>
      <w:r w:rsidRPr="00FE50A6">
        <w:rPr>
          <w:szCs w:val="20"/>
          <w:lang w:val="en-US"/>
        </w:rPr>
        <w:t xml:space="preserve">32 </w:t>
      </w:r>
      <w:r w:rsidR="00C1096E" w:rsidRPr="00FE50A6">
        <w:rPr>
          <w:szCs w:val="20"/>
          <w:lang w:val="en-US"/>
        </w:rPr>
        <w:t>for</w:t>
      </w:r>
      <w:r w:rsidRPr="00FE50A6">
        <w:rPr>
          <w:szCs w:val="20"/>
          <w:lang w:val="en-US"/>
        </w:rPr>
        <w:t xml:space="preserve"> Hacienda San Carlos. </w:t>
      </w:r>
      <w:r w:rsidR="00C1096E" w:rsidRPr="00FE50A6">
        <w:rPr>
          <w:szCs w:val="20"/>
          <w:lang w:val="en-US"/>
        </w:rPr>
        <w:t xml:space="preserve">Thus, the State considered that the only presumed victims that could be included in relation to the </w:t>
      </w:r>
      <w:r w:rsidR="00A35E19" w:rsidRPr="00FE50A6">
        <w:rPr>
          <w:szCs w:val="20"/>
          <w:lang w:val="en-US"/>
        </w:rPr>
        <w:t>March 2000 inspection</w:t>
      </w:r>
      <w:r w:rsidRPr="00FE50A6">
        <w:rPr>
          <w:szCs w:val="20"/>
          <w:lang w:val="en-US"/>
        </w:rPr>
        <w:t xml:space="preserve"> </w:t>
      </w:r>
      <w:r w:rsidR="00C1096E" w:rsidRPr="00FE50A6">
        <w:rPr>
          <w:szCs w:val="20"/>
          <w:lang w:val="en-US"/>
        </w:rPr>
        <w:t xml:space="preserve">would be the 49 individuals who were working for </w:t>
      </w:r>
      <w:r w:rsidRPr="00FE50A6">
        <w:rPr>
          <w:szCs w:val="20"/>
          <w:lang w:val="en-US"/>
        </w:rPr>
        <w:t xml:space="preserve">Hacienda </w:t>
      </w:r>
      <w:r w:rsidR="00322241" w:rsidRPr="00FE50A6">
        <w:rPr>
          <w:szCs w:val="20"/>
          <w:lang w:val="en-US"/>
        </w:rPr>
        <w:t>Brasil Verde</w:t>
      </w:r>
      <w:r w:rsidRPr="00FE50A6">
        <w:rPr>
          <w:szCs w:val="20"/>
          <w:lang w:val="en-US"/>
        </w:rPr>
        <w:t>.</w:t>
      </w:r>
    </w:p>
    <w:p w14:paraId="502A42FA" w14:textId="77777777" w:rsidR="002246F9" w:rsidRPr="00FE50A6" w:rsidRDefault="002246F9" w:rsidP="002246F9">
      <w:pPr>
        <w:pStyle w:val="Prrafodelista"/>
        <w:autoSpaceDE w:val="0"/>
        <w:autoSpaceDN w:val="0"/>
        <w:adjustRightInd w:val="0"/>
        <w:ind w:left="0"/>
        <w:rPr>
          <w:szCs w:val="20"/>
          <w:lang w:val="en-US"/>
        </w:rPr>
      </w:pPr>
    </w:p>
    <w:p w14:paraId="00584857" w14:textId="77777777" w:rsidR="002246F9" w:rsidRPr="00FE50A6" w:rsidRDefault="002246F9" w:rsidP="005F0182">
      <w:pPr>
        <w:pStyle w:val="Ttulo3"/>
        <w:rPr>
          <w:lang w:val="en-US"/>
        </w:rPr>
      </w:pPr>
      <w:bookmarkStart w:id="301" w:name="_Toc460433027"/>
      <w:bookmarkStart w:id="302" w:name="_Toc460441958"/>
      <w:bookmarkStart w:id="303" w:name="_Toc462750776"/>
      <w:bookmarkStart w:id="304" w:name="_Toc462751100"/>
      <w:bookmarkStart w:id="305" w:name="_Toc464813952"/>
      <w:r w:rsidRPr="00FE50A6">
        <w:rPr>
          <w:lang w:val="en-US"/>
        </w:rPr>
        <w:t>B.2</w:t>
      </w:r>
      <w:r w:rsidR="00DC2886" w:rsidRPr="00FE50A6">
        <w:rPr>
          <w:lang w:val="en-US"/>
        </w:rPr>
        <w:t>.</w:t>
      </w:r>
      <w:r w:rsidRPr="00FE50A6">
        <w:rPr>
          <w:lang w:val="en-US"/>
        </w:rPr>
        <w:t xml:space="preserve"> </w:t>
      </w:r>
      <w:r w:rsidR="000702CF" w:rsidRPr="00FE50A6">
        <w:rPr>
          <w:lang w:val="en-US"/>
        </w:rPr>
        <w:t>Considerations</w:t>
      </w:r>
      <w:r w:rsidR="000228D0" w:rsidRPr="00FE50A6">
        <w:rPr>
          <w:lang w:val="en-US"/>
        </w:rPr>
        <w:t xml:space="preserve"> of the Court</w:t>
      </w:r>
      <w:bookmarkEnd w:id="301"/>
      <w:bookmarkEnd w:id="302"/>
      <w:bookmarkEnd w:id="303"/>
      <w:bookmarkEnd w:id="304"/>
      <w:bookmarkEnd w:id="305"/>
    </w:p>
    <w:p w14:paraId="55DBEB13" w14:textId="77777777" w:rsidR="002246F9" w:rsidRPr="00FE50A6" w:rsidRDefault="002246F9" w:rsidP="002246F9">
      <w:pPr>
        <w:pStyle w:val="Prrafodelista"/>
        <w:rPr>
          <w:rFonts w:cs="Times New Roman"/>
          <w:szCs w:val="20"/>
          <w:lang w:val="en-US"/>
        </w:rPr>
      </w:pPr>
    </w:p>
    <w:p w14:paraId="70D61DF4" w14:textId="77777777" w:rsidR="002246F9" w:rsidRPr="00FE50A6" w:rsidRDefault="000228D0" w:rsidP="002246F9">
      <w:pPr>
        <w:pStyle w:val="Prrafodelista"/>
        <w:numPr>
          <w:ilvl w:val="0"/>
          <w:numId w:val="1"/>
        </w:numPr>
        <w:autoSpaceDE w:val="0"/>
        <w:autoSpaceDN w:val="0"/>
        <w:adjustRightInd w:val="0"/>
        <w:rPr>
          <w:szCs w:val="20"/>
          <w:lang w:val="en-US"/>
        </w:rPr>
      </w:pPr>
      <w:r w:rsidRPr="00FE50A6">
        <w:rPr>
          <w:rFonts w:cs="Times New Roman"/>
          <w:szCs w:val="20"/>
          <w:lang w:val="en-US"/>
        </w:rPr>
        <w:t>The Court</w:t>
      </w:r>
      <w:r w:rsidR="002246F9" w:rsidRPr="00FE50A6">
        <w:rPr>
          <w:rFonts w:cs="Times New Roman"/>
          <w:szCs w:val="20"/>
          <w:lang w:val="en-US"/>
        </w:rPr>
        <w:t xml:space="preserve"> </w:t>
      </w:r>
      <w:r w:rsidR="00C1096E" w:rsidRPr="00FE50A6">
        <w:rPr>
          <w:rFonts w:cs="Times New Roman"/>
          <w:szCs w:val="20"/>
          <w:lang w:val="en-US"/>
        </w:rPr>
        <w:t>has verified that</w:t>
      </w:r>
      <w:r w:rsidR="002246F9" w:rsidRPr="00FE50A6">
        <w:rPr>
          <w:szCs w:val="20"/>
          <w:lang w:val="en-US"/>
        </w:rPr>
        <w:t xml:space="preserve"> Hacienda </w:t>
      </w:r>
      <w:r w:rsidR="00322241" w:rsidRPr="00FE50A6">
        <w:rPr>
          <w:szCs w:val="20"/>
          <w:lang w:val="en-US"/>
        </w:rPr>
        <w:t>Brasil Verde</w:t>
      </w:r>
      <w:r w:rsidR="00030C17" w:rsidRPr="00FE50A6">
        <w:rPr>
          <w:szCs w:val="20"/>
          <w:lang w:val="en-US"/>
        </w:rPr>
        <w:t xml:space="preserve"> and</w:t>
      </w:r>
      <w:r w:rsidR="002246F9" w:rsidRPr="00FE50A6">
        <w:rPr>
          <w:szCs w:val="20"/>
          <w:lang w:val="en-US"/>
        </w:rPr>
        <w:t xml:space="preserve"> Hacienda San Carlos </w:t>
      </w:r>
      <w:r w:rsidR="00C1096E" w:rsidRPr="00FE50A6">
        <w:rPr>
          <w:szCs w:val="20"/>
          <w:lang w:val="en-US"/>
        </w:rPr>
        <w:t xml:space="preserve">were contiguous and formed part of the </w:t>
      </w:r>
      <w:r w:rsidR="002246F9" w:rsidRPr="00FE50A6">
        <w:rPr>
          <w:szCs w:val="20"/>
          <w:lang w:val="en-US"/>
        </w:rPr>
        <w:t>Quagliato</w:t>
      </w:r>
      <w:r w:rsidR="00C1096E" w:rsidRPr="00FE50A6">
        <w:rPr>
          <w:szCs w:val="20"/>
          <w:lang w:val="en-US"/>
        </w:rPr>
        <w:t xml:space="preserve"> Group</w:t>
      </w:r>
      <w:r w:rsidR="002246F9" w:rsidRPr="00FE50A6">
        <w:rPr>
          <w:szCs w:val="20"/>
          <w:lang w:val="en-US"/>
        </w:rPr>
        <w:t>,</w:t>
      </w:r>
      <w:r w:rsidR="00C1096E" w:rsidRPr="00FE50A6">
        <w:rPr>
          <w:szCs w:val="20"/>
          <w:lang w:val="en-US"/>
        </w:rPr>
        <w:t xml:space="preserve"> owned by</w:t>
      </w:r>
      <w:r w:rsidR="002246F9" w:rsidRPr="00FE50A6">
        <w:rPr>
          <w:szCs w:val="20"/>
          <w:lang w:val="en-US"/>
        </w:rPr>
        <w:t xml:space="preserve"> João Luiz Quagliato Neto. </w:t>
      </w:r>
      <w:r w:rsidR="00C1096E" w:rsidRPr="00FE50A6">
        <w:rPr>
          <w:szCs w:val="20"/>
          <w:lang w:val="en-US"/>
        </w:rPr>
        <w:t xml:space="preserve">Thus, although, in general, the case refers to the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00C1096E" w:rsidRPr="00FE50A6">
        <w:rPr>
          <w:szCs w:val="20"/>
          <w:lang w:val="en-US"/>
        </w:rPr>
        <w:t>w</w:t>
      </w:r>
      <w:r w:rsidR="00030C17" w:rsidRPr="00FE50A6">
        <w:rPr>
          <w:szCs w:val="20"/>
          <w:lang w:val="en-US"/>
        </w:rPr>
        <w:t>orkers</w:t>
      </w:r>
      <w:r w:rsidR="002246F9" w:rsidRPr="00FE50A6">
        <w:rPr>
          <w:szCs w:val="20"/>
          <w:lang w:val="en-US"/>
        </w:rPr>
        <w:t xml:space="preserve">, </w:t>
      </w:r>
      <w:r w:rsidRPr="00FE50A6">
        <w:rPr>
          <w:szCs w:val="20"/>
          <w:lang w:val="en-US"/>
        </w:rPr>
        <w:t>the Court</w:t>
      </w:r>
      <w:r w:rsidR="002246F9" w:rsidRPr="00FE50A6">
        <w:rPr>
          <w:szCs w:val="20"/>
          <w:lang w:val="en-US"/>
        </w:rPr>
        <w:t xml:space="preserve"> </w:t>
      </w:r>
      <w:r w:rsidR="00314483" w:rsidRPr="00FE50A6">
        <w:rPr>
          <w:szCs w:val="20"/>
          <w:lang w:val="en-US"/>
        </w:rPr>
        <w:t xml:space="preserve">has </w:t>
      </w:r>
      <w:r w:rsidR="00C1096E" w:rsidRPr="00FE50A6">
        <w:rPr>
          <w:szCs w:val="20"/>
          <w:lang w:val="en-US"/>
        </w:rPr>
        <w:t xml:space="preserve">verified that the </w:t>
      </w:r>
      <w:r w:rsidR="00C23CE5" w:rsidRPr="00FE50A6">
        <w:rPr>
          <w:szCs w:val="20"/>
          <w:lang w:val="en-US"/>
        </w:rPr>
        <w:t>work permits</w:t>
      </w:r>
      <w:r w:rsidR="002246F9" w:rsidRPr="00FE50A6">
        <w:rPr>
          <w:szCs w:val="20"/>
          <w:lang w:val="en-US"/>
        </w:rPr>
        <w:t xml:space="preserve"> </w:t>
      </w:r>
      <w:r w:rsidR="00C1096E" w:rsidRPr="00FE50A6">
        <w:rPr>
          <w:szCs w:val="20"/>
          <w:lang w:val="en-US"/>
        </w:rPr>
        <w:t>of some</w:t>
      </w:r>
      <w:r w:rsidR="00703850" w:rsidRPr="00FE50A6">
        <w:rPr>
          <w:szCs w:val="20"/>
          <w:lang w:val="en-US"/>
        </w:rPr>
        <w:t xml:space="preserve"> of the </w:t>
      </w:r>
      <w:r w:rsidR="0017587B" w:rsidRPr="00FE50A6">
        <w:rPr>
          <w:szCs w:val="20"/>
          <w:lang w:val="en-US"/>
        </w:rPr>
        <w:t>presumed victims</w:t>
      </w:r>
      <w:r w:rsidR="002246F9" w:rsidRPr="00FE50A6">
        <w:rPr>
          <w:szCs w:val="20"/>
          <w:lang w:val="en-US"/>
        </w:rPr>
        <w:t xml:space="preserve"> indic</w:t>
      </w:r>
      <w:r w:rsidR="00C1096E" w:rsidRPr="00FE50A6">
        <w:rPr>
          <w:szCs w:val="20"/>
          <w:lang w:val="en-US"/>
        </w:rPr>
        <w:t xml:space="preserve">ated that they had been hired for </w:t>
      </w:r>
      <w:r w:rsidR="002246F9" w:rsidRPr="00FE50A6">
        <w:rPr>
          <w:szCs w:val="20"/>
          <w:lang w:val="en-US"/>
        </w:rPr>
        <w:t xml:space="preserve">Hacienda San Carlos, </w:t>
      </w:r>
      <w:r w:rsidR="00C1096E" w:rsidRPr="00FE50A6">
        <w:rPr>
          <w:szCs w:val="20"/>
          <w:lang w:val="en-US"/>
        </w:rPr>
        <w:t xml:space="preserve">even though they had been recruited to work in </w:t>
      </w:r>
      <w:r w:rsidR="002246F9" w:rsidRPr="00FE50A6">
        <w:rPr>
          <w:szCs w:val="20"/>
          <w:lang w:val="en-US"/>
        </w:rPr>
        <w:t xml:space="preserve">Hacienda </w:t>
      </w:r>
      <w:r w:rsidR="00322241" w:rsidRPr="00FE50A6">
        <w:rPr>
          <w:szCs w:val="20"/>
          <w:lang w:val="en-US"/>
        </w:rPr>
        <w:t>Brasil Verde</w:t>
      </w:r>
      <w:r w:rsidR="00BD1B84" w:rsidRPr="00FE50A6">
        <w:rPr>
          <w:szCs w:val="20"/>
          <w:lang w:val="en-US"/>
        </w:rPr>
        <w:t>. A</w:t>
      </w:r>
      <w:r w:rsidR="00C1096E" w:rsidRPr="00FE50A6">
        <w:rPr>
          <w:szCs w:val="20"/>
          <w:lang w:val="en-US"/>
        </w:rPr>
        <w:t xml:space="preserve">lso, in some cases, </w:t>
      </w:r>
      <w:r w:rsidR="00A176D7" w:rsidRPr="00FE50A6">
        <w:rPr>
          <w:szCs w:val="20"/>
          <w:lang w:val="en-US"/>
        </w:rPr>
        <w:t>the work contracts of the workers rescued during the</w:t>
      </w:r>
      <w:r w:rsidR="00D30CDA" w:rsidRPr="00FE50A6">
        <w:rPr>
          <w:szCs w:val="20"/>
          <w:lang w:val="en-US"/>
        </w:rPr>
        <w:t xml:space="preserve"> </w:t>
      </w:r>
      <w:r w:rsidR="00A35E19" w:rsidRPr="00FE50A6">
        <w:rPr>
          <w:szCs w:val="20"/>
          <w:lang w:val="en-US"/>
        </w:rPr>
        <w:t>March 2000 inspection</w:t>
      </w:r>
      <w:r w:rsidR="00D30CDA" w:rsidRPr="00FE50A6">
        <w:rPr>
          <w:szCs w:val="20"/>
          <w:lang w:val="en-US"/>
        </w:rPr>
        <w:t xml:space="preserve"> </w:t>
      </w:r>
      <w:r w:rsidR="00A176D7" w:rsidRPr="00FE50A6">
        <w:rPr>
          <w:szCs w:val="20"/>
          <w:lang w:val="en-US"/>
        </w:rPr>
        <w:t>mentioned both haciendas, which reinforces the idea that, in practice, they constituted a single rural property where the presumed victims in the case worked. Consequently, the Court rejects the State’s argument and finds it pertinent to make this clarification regarding the connection between the two haciendas, despite the fact that</w:t>
      </w:r>
      <w:r w:rsidR="00314483" w:rsidRPr="00FE50A6">
        <w:rPr>
          <w:szCs w:val="20"/>
          <w:lang w:val="en-US"/>
        </w:rPr>
        <w:t>,</w:t>
      </w:r>
      <w:r w:rsidR="00A176D7" w:rsidRPr="00FE50A6">
        <w:rPr>
          <w:szCs w:val="20"/>
          <w:lang w:val="en-US"/>
        </w:rPr>
        <w:t xml:space="preserve"> </w:t>
      </w:r>
      <w:r w:rsidRPr="00FE50A6">
        <w:rPr>
          <w:szCs w:val="20"/>
          <w:lang w:val="en-US"/>
        </w:rPr>
        <w:t>hereinafter</w:t>
      </w:r>
      <w:r w:rsidR="00314483" w:rsidRPr="00FE50A6">
        <w:rPr>
          <w:szCs w:val="20"/>
          <w:lang w:val="en-US"/>
        </w:rPr>
        <w:t>,</w:t>
      </w:r>
      <w:r w:rsidR="002246F9" w:rsidRPr="00FE50A6">
        <w:rPr>
          <w:szCs w:val="20"/>
          <w:lang w:val="en-US"/>
        </w:rPr>
        <w:t xml:space="preserve"> </w:t>
      </w:r>
      <w:r w:rsidR="00A176D7" w:rsidRPr="00FE50A6">
        <w:rPr>
          <w:szCs w:val="20"/>
          <w:lang w:val="en-US"/>
        </w:rPr>
        <w:t xml:space="preserve">it will refer mainly and in general to the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00A176D7" w:rsidRPr="00FE50A6">
        <w:rPr>
          <w:szCs w:val="20"/>
          <w:lang w:val="en-US"/>
        </w:rPr>
        <w:t>w</w:t>
      </w:r>
      <w:r w:rsidR="00030C17" w:rsidRPr="00FE50A6">
        <w:rPr>
          <w:szCs w:val="20"/>
          <w:lang w:val="en-US"/>
        </w:rPr>
        <w:t>orkers</w:t>
      </w:r>
      <w:r w:rsidR="00A176D7" w:rsidRPr="00FE50A6">
        <w:rPr>
          <w:szCs w:val="20"/>
          <w:lang w:val="en-US"/>
        </w:rPr>
        <w:t>.</w:t>
      </w:r>
      <w:r w:rsidR="002246F9" w:rsidRPr="00FE50A6">
        <w:rPr>
          <w:rStyle w:val="Refdenotaalpie"/>
          <w:lang w:val="en-US"/>
        </w:rPr>
        <w:footnoteReference w:id="261"/>
      </w:r>
    </w:p>
    <w:p w14:paraId="61481100" w14:textId="77777777" w:rsidR="002246F9" w:rsidRPr="00FE50A6" w:rsidRDefault="002246F9" w:rsidP="002246F9">
      <w:pPr>
        <w:pStyle w:val="Prrafodelista"/>
        <w:autoSpaceDE w:val="0"/>
        <w:autoSpaceDN w:val="0"/>
        <w:adjustRightInd w:val="0"/>
        <w:ind w:left="0"/>
        <w:rPr>
          <w:szCs w:val="20"/>
          <w:lang w:val="en-US"/>
        </w:rPr>
      </w:pPr>
    </w:p>
    <w:p w14:paraId="24C1147A" w14:textId="77777777" w:rsidR="002246F9" w:rsidRPr="00FE50A6" w:rsidRDefault="00A176D7" w:rsidP="002246F9">
      <w:pPr>
        <w:pStyle w:val="Prrafodelista"/>
        <w:numPr>
          <w:ilvl w:val="0"/>
          <w:numId w:val="1"/>
        </w:numPr>
        <w:autoSpaceDE w:val="0"/>
        <w:autoSpaceDN w:val="0"/>
        <w:adjustRightInd w:val="0"/>
        <w:rPr>
          <w:szCs w:val="20"/>
          <w:lang w:val="en-US"/>
        </w:rPr>
      </w:pPr>
      <w:r w:rsidRPr="00FE50A6">
        <w:rPr>
          <w:szCs w:val="20"/>
          <w:lang w:val="en-US"/>
        </w:rPr>
        <w:t>Furthermore, the Court has verified that the three people indicated by the representatives who were additional to those on the Commission’s list were</w:t>
      </w:r>
      <w:r w:rsidR="002246F9" w:rsidRPr="00FE50A6">
        <w:rPr>
          <w:szCs w:val="20"/>
          <w:lang w:val="en-US"/>
        </w:rPr>
        <w:t xml:space="preserve">: 1. </w:t>
      </w:r>
      <w:r w:rsidR="00D60654" w:rsidRPr="00E70935">
        <w:rPr>
          <w:rFonts w:cs="Times New Roman"/>
          <w:szCs w:val="20"/>
        </w:rPr>
        <w:t xml:space="preserve">Antônio </w:t>
      </w:r>
      <w:r w:rsidR="002246F9" w:rsidRPr="00E70935">
        <w:rPr>
          <w:rFonts w:cs="Times New Roman"/>
          <w:szCs w:val="20"/>
        </w:rPr>
        <w:t xml:space="preserve">Pereira dos Santos; 2. </w:t>
      </w:r>
      <w:r w:rsidR="002246F9" w:rsidRPr="00FE50A6">
        <w:rPr>
          <w:szCs w:val="20"/>
        </w:rPr>
        <w:t>Francisco das Chagas Bastos Souza,</w:t>
      </w:r>
      <w:r w:rsidR="00030C17" w:rsidRPr="00FE50A6">
        <w:rPr>
          <w:szCs w:val="20"/>
        </w:rPr>
        <w:t xml:space="preserve"> and </w:t>
      </w:r>
      <w:r w:rsidR="002246F9" w:rsidRPr="00FE50A6">
        <w:rPr>
          <w:szCs w:val="20"/>
        </w:rPr>
        <w:t xml:space="preserve">3. </w:t>
      </w:r>
      <w:r w:rsidR="002246F9" w:rsidRPr="009F2A41">
        <w:rPr>
          <w:szCs w:val="20"/>
        </w:rPr>
        <w:t xml:space="preserve">Francisco Pereira da Silva. </w:t>
      </w:r>
      <w:r w:rsidRPr="00FE50A6">
        <w:rPr>
          <w:szCs w:val="20"/>
          <w:lang w:val="en-US"/>
        </w:rPr>
        <w:t>In addition</w:t>
      </w:r>
      <w:r w:rsidR="002246F9" w:rsidRPr="00FE50A6">
        <w:rPr>
          <w:szCs w:val="20"/>
          <w:lang w:val="en-US"/>
        </w:rPr>
        <w:t xml:space="preserve">, </w:t>
      </w:r>
      <w:r w:rsidR="002071B1" w:rsidRPr="00FE50A6">
        <w:rPr>
          <w:szCs w:val="20"/>
          <w:lang w:val="en-US"/>
        </w:rPr>
        <w:t>the Court</w:t>
      </w:r>
      <w:r w:rsidR="002246F9" w:rsidRPr="00FE50A6">
        <w:rPr>
          <w:szCs w:val="20"/>
          <w:lang w:val="en-US"/>
        </w:rPr>
        <w:t xml:space="preserve"> observ</w:t>
      </w:r>
      <w:r w:rsidRPr="00FE50A6">
        <w:rPr>
          <w:szCs w:val="20"/>
          <w:lang w:val="en-US"/>
        </w:rPr>
        <w:t>e</w:t>
      </w:r>
      <w:r w:rsidR="00314483" w:rsidRPr="00FE50A6">
        <w:rPr>
          <w:szCs w:val="20"/>
          <w:lang w:val="en-US"/>
        </w:rPr>
        <w:t>s</w:t>
      </w:r>
      <w:r w:rsidRPr="00FE50A6">
        <w:rPr>
          <w:szCs w:val="20"/>
          <w:lang w:val="en-US"/>
        </w:rPr>
        <w:t xml:space="preserve"> that</w:t>
      </w:r>
      <w:r w:rsidR="002246F9" w:rsidRPr="00FE50A6">
        <w:rPr>
          <w:szCs w:val="20"/>
          <w:lang w:val="en-US"/>
        </w:rPr>
        <w:t xml:space="preserve"> </w:t>
      </w:r>
      <w:r w:rsidR="000228D0" w:rsidRPr="00FE50A6">
        <w:rPr>
          <w:szCs w:val="20"/>
          <w:lang w:val="en-US"/>
        </w:rPr>
        <w:t>the State</w:t>
      </w:r>
      <w:r w:rsidR="002246F9" w:rsidRPr="00FE50A6">
        <w:rPr>
          <w:szCs w:val="20"/>
          <w:lang w:val="en-US"/>
        </w:rPr>
        <w:t xml:space="preserve"> </w:t>
      </w:r>
      <w:r w:rsidRPr="00FE50A6">
        <w:rPr>
          <w:szCs w:val="20"/>
          <w:lang w:val="en-US"/>
        </w:rPr>
        <w:t xml:space="preserve">did not refer to the following workers indicated by </w:t>
      </w:r>
      <w:r w:rsidR="000228D0" w:rsidRPr="00FE50A6">
        <w:rPr>
          <w:szCs w:val="20"/>
          <w:lang w:val="en-US"/>
        </w:rPr>
        <w:t>the Commission</w:t>
      </w:r>
      <w:r w:rsidR="00030C17" w:rsidRPr="00FE50A6">
        <w:rPr>
          <w:szCs w:val="20"/>
          <w:lang w:val="en-US"/>
        </w:rPr>
        <w:t xml:space="preserve"> and </w:t>
      </w:r>
      <w:r w:rsidR="00700B79" w:rsidRPr="00FE50A6">
        <w:rPr>
          <w:szCs w:val="20"/>
          <w:lang w:val="en-US"/>
        </w:rPr>
        <w:t>the representatives</w:t>
      </w:r>
      <w:r w:rsidR="002246F9" w:rsidRPr="00FE50A6">
        <w:rPr>
          <w:szCs w:val="20"/>
          <w:lang w:val="en-US"/>
        </w:rPr>
        <w:t xml:space="preserve">: 1. </w:t>
      </w:r>
      <w:r w:rsidR="00D60654" w:rsidRPr="00FE50A6">
        <w:rPr>
          <w:rFonts w:cs="Times New Roman"/>
          <w:szCs w:val="20"/>
        </w:rPr>
        <w:t xml:space="preserve">Antônio </w:t>
      </w:r>
      <w:r w:rsidR="002246F9" w:rsidRPr="00FE50A6">
        <w:rPr>
          <w:rFonts w:cs="Times New Roman"/>
          <w:szCs w:val="20"/>
        </w:rPr>
        <w:t xml:space="preserve">Francisco da Silva Fernandes; 2. Francisco das Chagas Rodrigues de Sousa; 3. </w:t>
      </w:r>
      <w:r w:rsidR="002246F9" w:rsidRPr="00FE50A6">
        <w:rPr>
          <w:rFonts w:cs="Times New Roman"/>
          <w:szCs w:val="20"/>
          <w:lang w:val="en-US"/>
        </w:rPr>
        <w:t>Gonçalo Luiz Furtado</w:t>
      </w:r>
      <w:r w:rsidR="003C73E3" w:rsidRPr="00FE50A6">
        <w:rPr>
          <w:rFonts w:cs="Times New Roman"/>
          <w:szCs w:val="20"/>
          <w:lang w:val="en-US"/>
        </w:rPr>
        <w:t>,</w:t>
      </w:r>
      <w:r w:rsidR="00030C17" w:rsidRPr="00FE50A6">
        <w:rPr>
          <w:rFonts w:cs="Times New Roman"/>
          <w:szCs w:val="20"/>
          <w:lang w:val="en-US"/>
        </w:rPr>
        <w:t xml:space="preserve"> and </w:t>
      </w:r>
      <w:r w:rsidR="002246F9" w:rsidRPr="00FE50A6">
        <w:rPr>
          <w:rFonts w:cs="Times New Roman"/>
          <w:szCs w:val="20"/>
          <w:lang w:val="en-US"/>
        </w:rPr>
        <w:t>4. Paulo Pereira dos Santos.</w:t>
      </w:r>
    </w:p>
    <w:p w14:paraId="1E3B603E" w14:textId="77777777" w:rsidR="002246F9" w:rsidRPr="00FE50A6" w:rsidRDefault="002246F9" w:rsidP="002246F9">
      <w:pPr>
        <w:pStyle w:val="Prrafodelista"/>
        <w:rPr>
          <w:szCs w:val="20"/>
          <w:lang w:val="en-US"/>
        </w:rPr>
      </w:pPr>
    </w:p>
    <w:p w14:paraId="66E7EEC8" w14:textId="77777777" w:rsidR="002246F9" w:rsidRPr="00FE50A6" w:rsidRDefault="00A176D7" w:rsidP="002246F9">
      <w:pPr>
        <w:pStyle w:val="Prrafodelista"/>
        <w:numPr>
          <w:ilvl w:val="0"/>
          <w:numId w:val="1"/>
        </w:numPr>
        <w:autoSpaceDE w:val="0"/>
        <w:autoSpaceDN w:val="0"/>
        <w:adjustRightInd w:val="0"/>
        <w:rPr>
          <w:szCs w:val="20"/>
          <w:lang w:val="en-US"/>
        </w:rPr>
      </w:pPr>
      <w:r w:rsidRPr="00FE50A6">
        <w:rPr>
          <w:szCs w:val="20"/>
          <w:lang w:val="en-US"/>
        </w:rPr>
        <w:t>As indicated in the preceding section, bearing in mind that, in order to decide this case, the Court must have a minimum degree of certainty about the existence of these persons</w:t>
      </w:r>
      <w:r w:rsidR="002246F9" w:rsidRPr="00FE50A6">
        <w:rPr>
          <w:rStyle w:val="Refdenotaalpie"/>
          <w:lang w:val="en-US"/>
        </w:rPr>
        <w:footnoteReference w:id="262"/>
      </w:r>
      <w:r w:rsidRPr="00FE50A6">
        <w:rPr>
          <w:szCs w:val="20"/>
          <w:lang w:val="en-US"/>
        </w:rPr>
        <w:t xml:space="preserve"> in order to prove their status as presumed victims, the Court used the following probative instruments provided by the parties: (</w:t>
      </w:r>
      <w:r w:rsidR="002246F9" w:rsidRPr="00FE50A6">
        <w:rPr>
          <w:szCs w:val="20"/>
          <w:lang w:val="en-US"/>
        </w:rPr>
        <w:t xml:space="preserve">i) </w:t>
      </w:r>
      <w:r w:rsidRPr="00FE50A6">
        <w:rPr>
          <w:szCs w:val="20"/>
          <w:lang w:val="en-US"/>
        </w:rPr>
        <w:t>Record of offenses</w:t>
      </w:r>
      <w:r w:rsidR="002246F9" w:rsidRPr="00FE50A6">
        <w:rPr>
          <w:szCs w:val="20"/>
          <w:lang w:val="en-US"/>
        </w:rPr>
        <w:t xml:space="preserve"> (RI); </w:t>
      </w:r>
      <w:r w:rsidRPr="00FE50A6">
        <w:rPr>
          <w:szCs w:val="20"/>
          <w:lang w:val="en-US"/>
        </w:rPr>
        <w:t>(</w:t>
      </w:r>
      <w:r w:rsidR="002246F9" w:rsidRPr="00FE50A6">
        <w:rPr>
          <w:szCs w:val="20"/>
          <w:lang w:val="en-US"/>
        </w:rPr>
        <w:t xml:space="preserve">ii) </w:t>
      </w:r>
      <w:r w:rsidR="00756CCE" w:rsidRPr="00FE50A6">
        <w:rPr>
          <w:szCs w:val="20"/>
          <w:lang w:val="en-US"/>
        </w:rPr>
        <w:t>Record of hacienda employees</w:t>
      </w:r>
      <w:r w:rsidR="002246F9" w:rsidRPr="00FE50A6">
        <w:rPr>
          <w:szCs w:val="20"/>
          <w:lang w:val="en-US"/>
        </w:rPr>
        <w:t xml:space="preserve"> (RE); </w:t>
      </w:r>
      <w:r w:rsidR="00B11237" w:rsidRPr="00FE50A6">
        <w:rPr>
          <w:szCs w:val="20"/>
          <w:lang w:val="en-US"/>
        </w:rPr>
        <w:t>(</w:t>
      </w:r>
      <w:r w:rsidR="002246F9" w:rsidRPr="00FE50A6">
        <w:rPr>
          <w:szCs w:val="20"/>
          <w:lang w:val="en-US"/>
        </w:rPr>
        <w:t xml:space="preserve">iii) </w:t>
      </w:r>
      <w:r w:rsidR="00756CCE" w:rsidRPr="00FE50A6">
        <w:rPr>
          <w:szCs w:val="20"/>
          <w:lang w:val="en-US"/>
        </w:rPr>
        <w:t>Contract termination</w:t>
      </w:r>
      <w:r w:rsidR="00314483" w:rsidRPr="00FE50A6">
        <w:rPr>
          <w:szCs w:val="20"/>
          <w:lang w:val="en-US"/>
        </w:rPr>
        <w:t xml:space="preserve"> document</w:t>
      </w:r>
      <w:r w:rsidR="002246F9" w:rsidRPr="00FE50A6">
        <w:rPr>
          <w:szCs w:val="20"/>
          <w:lang w:val="en-US"/>
        </w:rPr>
        <w:t xml:space="preserve"> (TC); </w:t>
      </w:r>
      <w:r w:rsidR="00B11237" w:rsidRPr="00FE50A6">
        <w:rPr>
          <w:szCs w:val="20"/>
          <w:lang w:val="en-US"/>
        </w:rPr>
        <w:t>(</w:t>
      </w:r>
      <w:r w:rsidR="002246F9" w:rsidRPr="00FE50A6">
        <w:rPr>
          <w:szCs w:val="20"/>
          <w:lang w:val="en-US"/>
        </w:rPr>
        <w:t xml:space="preserve">iv) </w:t>
      </w:r>
      <w:r w:rsidR="00756CCE" w:rsidRPr="00FE50A6">
        <w:rPr>
          <w:szCs w:val="20"/>
          <w:lang w:val="en-US"/>
        </w:rPr>
        <w:t>Physical Verification Form</w:t>
      </w:r>
      <w:r w:rsidR="002246F9" w:rsidRPr="00FE50A6">
        <w:rPr>
          <w:szCs w:val="20"/>
          <w:lang w:val="en-US"/>
        </w:rPr>
        <w:t xml:space="preserve"> (VF),</w:t>
      </w:r>
      <w:r w:rsidR="00030C17" w:rsidRPr="00FE50A6">
        <w:rPr>
          <w:szCs w:val="20"/>
          <w:lang w:val="en-US"/>
        </w:rPr>
        <w:t xml:space="preserve"> and </w:t>
      </w:r>
      <w:r w:rsidR="00B11237" w:rsidRPr="00FE50A6">
        <w:rPr>
          <w:szCs w:val="20"/>
          <w:lang w:val="en-US"/>
        </w:rPr>
        <w:t>(</w:t>
      </w:r>
      <w:r w:rsidR="002246F9" w:rsidRPr="00FE50A6">
        <w:rPr>
          <w:szCs w:val="20"/>
          <w:lang w:val="en-US"/>
        </w:rPr>
        <w:t xml:space="preserve">v) </w:t>
      </w:r>
      <w:r w:rsidR="00756CCE" w:rsidRPr="00FE50A6">
        <w:rPr>
          <w:szCs w:val="20"/>
          <w:lang w:val="en-US"/>
        </w:rPr>
        <w:t>List of workers indicated by the defe</w:t>
      </w:r>
      <w:r w:rsidR="00314483" w:rsidRPr="00FE50A6">
        <w:rPr>
          <w:szCs w:val="20"/>
          <w:lang w:val="en-US"/>
        </w:rPr>
        <w:t>n</w:t>
      </w:r>
      <w:r w:rsidR="00756CCE" w:rsidRPr="00FE50A6">
        <w:rPr>
          <w:szCs w:val="20"/>
          <w:lang w:val="en-US"/>
        </w:rPr>
        <w:t>se counsel of the manage</w:t>
      </w:r>
      <w:r w:rsidR="00B11237" w:rsidRPr="00FE50A6">
        <w:rPr>
          <w:szCs w:val="20"/>
          <w:lang w:val="en-US"/>
        </w:rPr>
        <w:t>r</w:t>
      </w:r>
      <w:r w:rsidR="00756CCE" w:rsidRPr="00FE50A6">
        <w:rPr>
          <w:szCs w:val="20"/>
          <w:lang w:val="en-US"/>
        </w:rPr>
        <w:t xml:space="preserve"> and the</w:t>
      </w:r>
      <w:r w:rsidR="00DB1C1D" w:rsidRPr="00FE50A6">
        <w:rPr>
          <w:i/>
          <w:szCs w:val="20"/>
          <w:lang w:val="en-US"/>
        </w:rPr>
        <w:t xml:space="preserve"> gato </w:t>
      </w:r>
      <w:r w:rsidR="00756CCE" w:rsidRPr="00FE50A6">
        <w:rPr>
          <w:szCs w:val="20"/>
          <w:lang w:val="en-US"/>
        </w:rPr>
        <w:t>during the domestic criminal proceedings</w:t>
      </w:r>
      <w:r w:rsidR="002246F9" w:rsidRPr="00FE50A6">
        <w:rPr>
          <w:szCs w:val="20"/>
          <w:lang w:val="en-US"/>
        </w:rPr>
        <w:t xml:space="preserve"> (PP). </w:t>
      </w:r>
    </w:p>
    <w:p w14:paraId="6AC05AB3" w14:textId="77777777" w:rsidR="002246F9" w:rsidRPr="00FE50A6" w:rsidRDefault="002246F9" w:rsidP="002246F9">
      <w:pPr>
        <w:pStyle w:val="Prrafodelista"/>
        <w:rPr>
          <w:szCs w:val="20"/>
          <w:lang w:val="en-US"/>
        </w:rPr>
      </w:pPr>
    </w:p>
    <w:p w14:paraId="70648261" w14:textId="77777777" w:rsidR="002246F9" w:rsidRPr="00FE50A6" w:rsidRDefault="00B11237" w:rsidP="002246F9">
      <w:pPr>
        <w:pStyle w:val="Prrafodelista"/>
        <w:numPr>
          <w:ilvl w:val="0"/>
          <w:numId w:val="1"/>
        </w:numPr>
        <w:autoSpaceDE w:val="0"/>
        <w:autoSpaceDN w:val="0"/>
        <w:adjustRightInd w:val="0"/>
        <w:rPr>
          <w:szCs w:val="20"/>
          <w:lang w:val="en-US"/>
        </w:rPr>
      </w:pPr>
      <w:bookmarkStart w:id="306" w:name="_Ref460939605"/>
      <w:r w:rsidRPr="00FE50A6">
        <w:rPr>
          <w:szCs w:val="20"/>
          <w:lang w:val="en-US"/>
        </w:rPr>
        <w:t xml:space="preserve">Therefore, of the universe of workers present in </w:t>
      </w:r>
      <w:r w:rsidR="002246F9" w:rsidRPr="00FE50A6">
        <w:rPr>
          <w:szCs w:val="20"/>
          <w:lang w:val="en-US"/>
        </w:rPr>
        <w:t xml:space="preserve">Hacienda </w:t>
      </w:r>
      <w:r w:rsidR="00322241" w:rsidRPr="00FE50A6">
        <w:rPr>
          <w:szCs w:val="20"/>
          <w:lang w:val="en-US"/>
        </w:rPr>
        <w:t>Brasil Verde</w:t>
      </w:r>
      <w:r w:rsidR="002246F9" w:rsidRPr="00FE50A6">
        <w:rPr>
          <w:szCs w:val="20"/>
          <w:lang w:val="en-US"/>
        </w:rPr>
        <w:t xml:space="preserve"> </w:t>
      </w:r>
      <w:r w:rsidRPr="00FE50A6">
        <w:rPr>
          <w:szCs w:val="20"/>
          <w:lang w:val="en-US"/>
        </w:rPr>
        <w:t>during the</w:t>
      </w:r>
      <w:r w:rsidR="002246F9" w:rsidRPr="00FE50A6">
        <w:rPr>
          <w:szCs w:val="20"/>
          <w:lang w:val="en-US"/>
        </w:rPr>
        <w:t xml:space="preserve"> </w:t>
      </w:r>
      <w:r w:rsidR="00A35E19" w:rsidRPr="00FE50A6">
        <w:rPr>
          <w:szCs w:val="20"/>
          <w:lang w:val="en-US"/>
        </w:rPr>
        <w:t>March 2000 inspection</w:t>
      </w:r>
      <w:r w:rsidR="002246F9" w:rsidRPr="00FE50A6">
        <w:rPr>
          <w:szCs w:val="20"/>
          <w:lang w:val="en-US"/>
        </w:rPr>
        <w:t xml:space="preserve">, </w:t>
      </w:r>
      <w:r w:rsidRPr="00FE50A6">
        <w:rPr>
          <w:szCs w:val="20"/>
          <w:lang w:val="en-US"/>
        </w:rPr>
        <w:t xml:space="preserve">when delivering this judgment, the Court has sufficient reliable probative elements to prove the status of presumed victims of alleged violations of the prohibition of being subjected to slavery, </w:t>
      </w:r>
      <w:r w:rsidR="005F1946" w:rsidRPr="00FE50A6">
        <w:rPr>
          <w:szCs w:val="20"/>
          <w:lang w:val="en-US"/>
        </w:rPr>
        <w:t>forced labor</w:t>
      </w:r>
      <w:r w:rsidR="002C2A2A" w:rsidRPr="00FE50A6">
        <w:rPr>
          <w:szCs w:val="20"/>
          <w:lang w:val="en-US"/>
        </w:rPr>
        <w:t xml:space="preserve">, </w:t>
      </w:r>
      <w:r w:rsidR="00125A00" w:rsidRPr="00FE50A6">
        <w:rPr>
          <w:szCs w:val="20"/>
          <w:lang w:val="en-US"/>
        </w:rPr>
        <w:t>servitude</w:t>
      </w:r>
      <w:r w:rsidR="002C2A2A" w:rsidRPr="00FE50A6">
        <w:rPr>
          <w:szCs w:val="20"/>
          <w:lang w:val="en-US"/>
        </w:rPr>
        <w:t xml:space="preserve"> o</w:t>
      </w:r>
      <w:r w:rsidRPr="00FE50A6">
        <w:rPr>
          <w:szCs w:val="20"/>
          <w:lang w:val="en-US"/>
        </w:rPr>
        <w:t>r the slave trade and of the rights to judicial guarantees and protection of the following 85 workers</w:t>
      </w:r>
      <w:r w:rsidR="002246F9" w:rsidRPr="00FE50A6">
        <w:rPr>
          <w:szCs w:val="20"/>
          <w:lang w:val="en-US"/>
        </w:rPr>
        <w:t xml:space="preserve">: 1. </w:t>
      </w:r>
      <w:r w:rsidR="002246F9" w:rsidRPr="00FE50A6">
        <w:rPr>
          <w:szCs w:val="20"/>
        </w:rPr>
        <w:t>Alcione</w:t>
      </w:r>
      <w:r w:rsidR="003C73E3" w:rsidRPr="00FE50A6">
        <w:rPr>
          <w:szCs w:val="20"/>
        </w:rPr>
        <w:t xml:space="preserve"> Freitas </w:t>
      </w:r>
      <w:r w:rsidR="002246F9" w:rsidRPr="00FE50A6">
        <w:rPr>
          <w:szCs w:val="20"/>
        </w:rPr>
        <w:t>Sousa</w:t>
      </w:r>
      <w:r w:rsidRPr="00FE50A6">
        <w:rPr>
          <w:szCs w:val="20"/>
        </w:rPr>
        <w:t>;</w:t>
      </w:r>
      <w:r w:rsidR="002246F9" w:rsidRPr="00FE50A6">
        <w:rPr>
          <w:rStyle w:val="Refdenotaalpie"/>
          <w:lang w:val="en-US"/>
        </w:rPr>
        <w:footnoteReference w:id="263"/>
      </w:r>
      <w:r w:rsidR="002246F9" w:rsidRPr="00FE50A6">
        <w:rPr>
          <w:szCs w:val="20"/>
        </w:rPr>
        <w:t xml:space="preserve"> 2. Alfredo Rodrigues</w:t>
      </w:r>
      <w:r w:rsidRPr="00FE50A6">
        <w:rPr>
          <w:szCs w:val="20"/>
        </w:rPr>
        <w:t>;</w:t>
      </w:r>
      <w:r w:rsidR="002246F9" w:rsidRPr="00FE50A6">
        <w:rPr>
          <w:rStyle w:val="Refdenotaalpie"/>
          <w:lang w:val="en-US"/>
        </w:rPr>
        <w:footnoteReference w:id="264"/>
      </w:r>
      <w:r w:rsidR="002246F9" w:rsidRPr="00FE50A6">
        <w:rPr>
          <w:szCs w:val="20"/>
        </w:rPr>
        <w:t xml:space="preserve"> 3. </w:t>
      </w:r>
      <w:r w:rsidR="00D60654" w:rsidRPr="00FE50A6">
        <w:rPr>
          <w:szCs w:val="20"/>
        </w:rPr>
        <w:t xml:space="preserve">Antônio </w:t>
      </w:r>
      <w:r w:rsidR="002246F9" w:rsidRPr="00FE50A6">
        <w:rPr>
          <w:szCs w:val="20"/>
        </w:rPr>
        <w:t>Almir Lima da Silva</w:t>
      </w:r>
      <w:r w:rsidRPr="00FE50A6">
        <w:rPr>
          <w:szCs w:val="20"/>
        </w:rPr>
        <w:t>;</w:t>
      </w:r>
      <w:r w:rsidR="002246F9" w:rsidRPr="00FE50A6">
        <w:rPr>
          <w:rStyle w:val="Refdenotaalpie"/>
          <w:lang w:val="en-US"/>
        </w:rPr>
        <w:footnoteReference w:id="265"/>
      </w:r>
      <w:r w:rsidR="002246F9" w:rsidRPr="00FE50A6">
        <w:rPr>
          <w:szCs w:val="20"/>
        </w:rPr>
        <w:t xml:space="preserve"> 4. </w:t>
      </w:r>
      <w:r w:rsidR="00D60654" w:rsidRPr="00FE50A6">
        <w:rPr>
          <w:szCs w:val="20"/>
        </w:rPr>
        <w:t xml:space="preserve">Antônio </w:t>
      </w:r>
      <w:r w:rsidR="002246F9" w:rsidRPr="00FE50A6">
        <w:rPr>
          <w:szCs w:val="20"/>
        </w:rPr>
        <w:t>Aroldo Rodrigues Santos</w:t>
      </w:r>
      <w:r w:rsidRPr="00FE50A6">
        <w:rPr>
          <w:szCs w:val="20"/>
        </w:rPr>
        <w:t>;</w:t>
      </w:r>
      <w:r w:rsidR="002246F9" w:rsidRPr="00FE50A6">
        <w:rPr>
          <w:rStyle w:val="Refdenotaalpie"/>
          <w:lang w:val="en-US"/>
        </w:rPr>
        <w:footnoteReference w:id="266"/>
      </w:r>
      <w:r w:rsidR="002246F9" w:rsidRPr="00FE50A6">
        <w:rPr>
          <w:szCs w:val="20"/>
        </w:rPr>
        <w:t xml:space="preserve"> 5. </w:t>
      </w:r>
      <w:r w:rsidR="00D60654" w:rsidRPr="00FE50A6">
        <w:rPr>
          <w:szCs w:val="20"/>
        </w:rPr>
        <w:t xml:space="preserve">Antônio </w:t>
      </w:r>
      <w:r w:rsidR="002246F9" w:rsidRPr="00FE50A6">
        <w:rPr>
          <w:szCs w:val="20"/>
        </w:rPr>
        <w:t>Bento da Silva</w:t>
      </w:r>
      <w:r w:rsidRPr="00FE50A6">
        <w:rPr>
          <w:szCs w:val="20"/>
        </w:rPr>
        <w:t>;</w:t>
      </w:r>
      <w:r w:rsidR="002246F9" w:rsidRPr="00FE50A6">
        <w:rPr>
          <w:rStyle w:val="Refdenotaalpie"/>
          <w:lang w:val="en-US"/>
        </w:rPr>
        <w:footnoteReference w:id="267"/>
      </w:r>
      <w:r w:rsidR="002246F9" w:rsidRPr="00FE50A6">
        <w:rPr>
          <w:szCs w:val="20"/>
        </w:rPr>
        <w:t xml:space="preserve"> 6. </w:t>
      </w:r>
      <w:r w:rsidR="00D60654" w:rsidRPr="00FE50A6">
        <w:rPr>
          <w:szCs w:val="20"/>
        </w:rPr>
        <w:t xml:space="preserve">Antônio </w:t>
      </w:r>
      <w:r w:rsidR="002246F9" w:rsidRPr="00FE50A6">
        <w:rPr>
          <w:szCs w:val="20"/>
        </w:rPr>
        <w:t>da Silva Martins</w:t>
      </w:r>
      <w:r w:rsidRPr="00FE50A6">
        <w:rPr>
          <w:szCs w:val="20"/>
        </w:rPr>
        <w:t>;</w:t>
      </w:r>
      <w:r w:rsidR="002246F9" w:rsidRPr="00FE50A6">
        <w:rPr>
          <w:rStyle w:val="Refdenotaalpie"/>
          <w:lang w:val="en-US"/>
        </w:rPr>
        <w:footnoteReference w:id="268"/>
      </w:r>
      <w:r w:rsidR="002246F9" w:rsidRPr="00FE50A6">
        <w:rPr>
          <w:szCs w:val="20"/>
        </w:rPr>
        <w:t xml:space="preserve"> 7. </w:t>
      </w:r>
      <w:r w:rsidR="00D60654" w:rsidRPr="00FE50A6">
        <w:rPr>
          <w:szCs w:val="20"/>
        </w:rPr>
        <w:t xml:space="preserve">Antônio </w:t>
      </w:r>
      <w:r w:rsidR="002246F9" w:rsidRPr="00FE50A6">
        <w:rPr>
          <w:szCs w:val="20"/>
        </w:rPr>
        <w:t>Damas Filho</w:t>
      </w:r>
      <w:r w:rsidRPr="00FE50A6">
        <w:rPr>
          <w:szCs w:val="20"/>
        </w:rPr>
        <w:t>;</w:t>
      </w:r>
      <w:r w:rsidR="002246F9" w:rsidRPr="00FE50A6">
        <w:rPr>
          <w:rStyle w:val="Refdenotaalpie"/>
          <w:lang w:val="en-US"/>
        </w:rPr>
        <w:footnoteReference w:id="269"/>
      </w:r>
      <w:r w:rsidR="002246F9" w:rsidRPr="00FE50A6">
        <w:rPr>
          <w:szCs w:val="20"/>
        </w:rPr>
        <w:t xml:space="preserve"> </w:t>
      </w:r>
      <w:r w:rsidR="002246F9" w:rsidRPr="00FE50A6">
        <w:rPr>
          <w:rFonts w:cs="Times New Roman"/>
          <w:szCs w:val="20"/>
        </w:rPr>
        <w:t xml:space="preserve">8. </w:t>
      </w:r>
      <w:r w:rsidR="00D60654" w:rsidRPr="00FE50A6">
        <w:rPr>
          <w:rFonts w:cs="Times New Roman"/>
          <w:szCs w:val="20"/>
        </w:rPr>
        <w:t xml:space="preserve">Antônio </w:t>
      </w:r>
      <w:r w:rsidR="002246F9" w:rsidRPr="00FE50A6">
        <w:rPr>
          <w:rFonts w:cs="Times New Roman"/>
          <w:szCs w:val="20"/>
        </w:rPr>
        <w:t>de Paula Rodrigues de Sousa</w:t>
      </w:r>
      <w:r w:rsidRPr="00FE50A6">
        <w:rPr>
          <w:szCs w:val="20"/>
        </w:rPr>
        <w:t>;</w:t>
      </w:r>
      <w:r w:rsidR="002246F9" w:rsidRPr="00FE50A6">
        <w:rPr>
          <w:rStyle w:val="Refdenotaalpie"/>
          <w:lang w:val="en-US"/>
        </w:rPr>
        <w:footnoteReference w:id="270"/>
      </w:r>
      <w:r w:rsidR="002246F9" w:rsidRPr="00FE50A6">
        <w:rPr>
          <w:szCs w:val="20"/>
        </w:rPr>
        <w:t xml:space="preserve"> </w:t>
      </w:r>
      <w:r w:rsidR="002246F9" w:rsidRPr="00FE50A6">
        <w:rPr>
          <w:rFonts w:cs="Times New Roman"/>
          <w:szCs w:val="20"/>
        </w:rPr>
        <w:t xml:space="preserve">9. </w:t>
      </w:r>
      <w:r w:rsidR="00D60654" w:rsidRPr="00FE50A6">
        <w:rPr>
          <w:rFonts w:cs="Times New Roman"/>
          <w:szCs w:val="20"/>
        </w:rPr>
        <w:t xml:space="preserve">Antônio </w:t>
      </w:r>
      <w:r w:rsidR="002246F9" w:rsidRPr="00FE50A6">
        <w:rPr>
          <w:rFonts w:cs="Times New Roman"/>
          <w:szCs w:val="20"/>
        </w:rPr>
        <w:t>Edvaldo da Silva</w:t>
      </w:r>
      <w:r w:rsidRPr="00FE50A6">
        <w:rPr>
          <w:szCs w:val="20"/>
        </w:rPr>
        <w:t>;</w:t>
      </w:r>
      <w:r w:rsidR="002246F9" w:rsidRPr="00FE50A6">
        <w:rPr>
          <w:rStyle w:val="Refdenotaalpie"/>
          <w:lang w:val="en-US"/>
        </w:rPr>
        <w:footnoteReference w:id="271"/>
      </w:r>
      <w:r w:rsidR="002246F9" w:rsidRPr="00FE50A6">
        <w:rPr>
          <w:szCs w:val="20"/>
        </w:rPr>
        <w:t xml:space="preserve"> </w:t>
      </w:r>
      <w:r w:rsidR="002246F9" w:rsidRPr="00FE50A6">
        <w:rPr>
          <w:rFonts w:cs="Times New Roman"/>
          <w:szCs w:val="20"/>
        </w:rPr>
        <w:t xml:space="preserve">10. </w:t>
      </w:r>
      <w:r w:rsidR="00D60654" w:rsidRPr="00FE50A6">
        <w:rPr>
          <w:rFonts w:cs="Times New Roman"/>
          <w:szCs w:val="20"/>
        </w:rPr>
        <w:t xml:space="preserve">Antônio </w:t>
      </w:r>
      <w:r w:rsidR="002246F9" w:rsidRPr="00FE50A6">
        <w:rPr>
          <w:rFonts w:cs="Times New Roman"/>
          <w:szCs w:val="20"/>
        </w:rPr>
        <w:t>Fernandes Costa</w:t>
      </w:r>
      <w:r w:rsidRPr="00FE50A6">
        <w:rPr>
          <w:szCs w:val="20"/>
        </w:rPr>
        <w:t>;</w:t>
      </w:r>
      <w:r w:rsidR="002246F9" w:rsidRPr="00FE50A6">
        <w:rPr>
          <w:rStyle w:val="Refdenotaalpie"/>
          <w:lang w:val="en-US"/>
        </w:rPr>
        <w:footnoteReference w:id="272"/>
      </w:r>
      <w:r w:rsidR="002246F9" w:rsidRPr="00FE50A6">
        <w:rPr>
          <w:szCs w:val="20"/>
        </w:rPr>
        <w:t xml:space="preserve"> </w:t>
      </w:r>
      <w:r w:rsidR="002246F9" w:rsidRPr="00FE50A6">
        <w:rPr>
          <w:rFonts w:cs="Times New Roman"/>
          <w:szCs w:val="20"/>
        </w:rPr>
        <w:t xml:space="preserve">11. </w:t>
      </w:r>
      <w:r w:rsidR="00D60654" w:rsidRPr="00FE50A6">
        <w:rPr>
          <w:rFonts w:cs="Times New Roman"/>
          <w:szCs w:val="20"/>
        </w:rPr>
        <w:t xml:space="preserve">Antônio </w:t>
      </w:r>
      <w:r w:rsidR="002246F9" w:rsidRPr="00FE50A6">
        <w:rPr>
          <w:rFonts w:cs="Times New Roman"/>
          <w:szCs w:val="20"/>
        </w:rPr>
        <w:t>Francisco da Silva</w:t>
      </w:r>
      <w:r w:rsidRPr="00FE50A6">
        <w:rPr>
          <w:szCs w:val="20"/>
        </w:rPr>
        <w:t>;</w:t>
      </w:r>
      <w:r w:rsidR="002246F9" w:rsidRPr="00FE50A6">
        <w:rPr>
          <w:rStyle w:val="Refdenotaalpie"/>
          <w:lang w:val="en-US"/>
        </w:rPr>
        <w:footnoteReference w:id="273"/>
      </w:r>
      <w:r w:rsidR="002246F9" w:rsidRPr="00FE50A6">
        <w:rPr>
          <w:szCs w:val="20"/>
        </w:rPr>
        <w:t xml:space="preserve"> </w:t>
      </w:r>
      <w:r w:rsidR="002246F9" w:rsidRPr="00FE50A6">
        <w:rPr>
          <w:rFonts w:cs="Times New Roman"/>
          <w:szCs w:val="20"/>
        </w:rPr>
        <w:t xml:space="preserve">12. </w:t>
      </w:r>
      <w:r w:rsidR="00D60654" w:rsidRPr="00FE50A6">
        <w:rPr>
          <w:rFonts w:cs="Times New Roman"/>
          <w:szCs w:val="20"/>
        </w:rPr>
        <w:t xml:space="preserve">Antônio </w:t>
      </w:r>
      <w:r w:rsidR="002246F9" w:rsidRPr="00FE50A6">
        <w:rPr>
          <w:rFonts w:cs="Times New Roman"/>
          <w:szCs w:val="20"/>
        </w:rPr>
        <w:t>Francisco da Silva Fernandes</w:t>
      </w:r>
      <w:r w:rsidRPr="00FE50A6">
        <w:rPr>
          <w:szCs w:val="20"/>
        </w:rPr>
        <w:t>;</w:t>
      </w:r>
      <w:r w:rsidR="002246F9" w:rsidRPr="00FE50A6">
        <w:rPr>
          <w:rStyle w:val="Refdenotaalpie"/>
          <w:lang w:val="en-US"/>
        </w:rPr>
        <w:footnoteReference w:id="274"/>
      </w:r>
      <w:r w:rsidR="002246F9" w:rsidRPr="00FE50A6">
        <w:rPr>
          <w:szCs w:val="20"/>
        </w:rPr>
        <w:t xml:space="preserve"> </w:t>
      </w:r>
      <w:r w:rsidR="002246F9" w:rsidRPr="00FE50A6">
        <w:rPr>
          <w:rFonts w:cs="Times New Roman"/>
          <w:szCs w:val="20"/>
        </w:rPr>
        <w:t xml:space="preserve">13. </w:t>
      </w:r>
      <w:r w:rsidR="00D60654" w:rsidRPr="00FE50A6">
        <w:rPr>
          <w:rFonts w:cs="Times New Roman"/>
          <w:szCs w:val="20"/>
        </w:rPr>
        <w:t xml:space="preserve">Antônio </w:t>
      </w:r>
      <w:r w:rsidR="002246F9" w:rsidRPr="00FE50A6">
        <w:rPr>
          <w:rFonts w:cs="Times New Roman"/>
          <w:szCs w:val="20"/>
        </w:rPr>
        <w:t>Ivaldo Rodrigues da Silva</w:t>
      </w:r>
      <w:r w:rsidRPr="00FE50A6">
        <w:rPr>
          <w:szCs w:val="20"/>
        </w:rPr>
        <w:t>;</w:t>
      </w:r>
      <w:r w:rsidR="002246F9" w:rsidRPr="00FE50A6">
        <w:rPr>
          <w:rStyle w:val="Refdenotaalpie"/>
          <w:lang w:val="en-US"/>
        </w:rPr>
        <w:footnoteReference w:id="275"/>
      </w:r>
      <w:r w:rsidR="002246F9" w:rsidRPr="00FE50A6">
        <w:rPr>
          <w:szCs w:val="20"/>
        </w:rPr>
        <w:t xml:space="preserve"> </w:t>
      </w:r>
      <w:r w:rsidR="002246F9" w:rsidRPr="00FE50A6">
        <w:rPr>
          <w:rFonts w:cs="Times New Roman"/>
          <w:szCs w:val="20"/>
        </w:rPr>
        <w:t xml:space="preserve">14. </w:t>
      </w:r>
      <w:r w:rsidR="00D60654" w:rsidRPr="00FE50A6">
        <w:rPr>
          <w:rFonts w:cs="Times New Roman"/>
          <w:szCs w:val="20"/>
        </w:rPr>
        <w:t xml:space="preserve">Antônio </w:t>
      </w:r>
      <w:r w:rsidR="002246F9" w:rsidRPr="00FE50A6">
        <w:rPr>
          <w:rFonts w:cs="Times New Roman"/>
          <w:szCs w:val="20"/>
        </w:rPr>
        <w:lastRenderedPageBreak/>
        <w:t>Paulo da Silva</w:t>
      </w:r>
      <w:r w:rsidRPr="00FE50A6">
        <w:rPr>
          <w:szCs w:val="20"/>
        </w:rPr>
        <w:t>;</w:t>
      </w:r>
      <w:r w:rsidR="002246F9" w:rsidRPr="00FE50A6">
        <w:rPr>
          <w:rStyle w:val="Refdenotaalpie"/>
          <w:lang w:val="en-US"/>
        </w:rPr>
        <w:footnoteReference w:id="276"/>
      </w:r>
      <w:r w:rsidR="002246F9" w:rsidRPr="00FE50A6">
        <w:rPr>
          <w:szCs w:val="20"/>
        </w:rPr>
        <w:t xml:space="preserve"> </w:t>
      </w:r>
      <w:r w:rsidR="002246F9" w:rsidRPr="00FE50A6">
        <w:rPr>
          <w:rFonts w:cs="Times New Roman"/>
          <w:szCs w:val="20"/>
        </w:rPr>
        <w:t xml:space="preserve">15. </w:t>
      </w:r>
      <w:r w:rsidR="00D60654" w:rsidRPr="00FE50A6">
        <w:rPr>
          <w:rFonts w:cs="Times New Roman"/>
          <w:szCs w:val="20"/>
        </w:rPr>
        <w:t xml:space="preserve">Antônio </w:t>
      </w:r>
      <w:r w:rsidR="002246F9" w:rsidRPr="00FE50A6">
        <w:rPr>
          <w:rFonts w:cs="Times New Roman"/>
          <w:szCs w:val="20"/>
        </w:rPr>
        <w:t>Pereira da Silva</w:t>
      </w:r>
      <w:r w:rsidRPr="00FE50A6">
        <w:rPr>
          <w:szCs w:val="20"/>
        </w:rPr>
        <w:t>;</w:t>
      </w:r>
      <w:r w:rsidR="002246F9" w:rsidRPr="00FE50A6">
        <w:rPr>
          <w:rStyle w:val="Refdenotaalpie"/>
          <w:lang w:val="en-US"/>
        </w:rPr>
        <w:footnoteReference w:id="277"/>
      </w:r>
      <w:r w:rsidR="002246F9" w:rsidRPr="00FE50A6">
        <w:rPr>
          <w:szCs w:val="20"/>
        </w:rPr>
        <w:t xml:space="preserve"> 16. </w:t>
      </w:r>
      <w:r w:rsidR="00D60654" w:rsidRPr="00FE50A6">
        <w:rPr>
          <w:rFonts w:cs="Times New Roman"/>
          <w:szCs w:val="20"/>
        </w:rPr>
        <w:t xml:space="preserve">Antônio </w:t>
      </w:r>
      <w:r w:rsidR="002246F9" w:rsidRPr="00FE50A6">
        <w:rPr>
          <w:rFonts w:cs="Times New Roman"/>
          <w:szCs w:val="20"/>
        </w:rPr>
        <w:t>Pereira dos Santos</w:t>
      </w:r>
      <w:r w:rsidRPr="00FE50A6">
        <w:rPr>
          <w:szCs w:val="20"/>
        </w:rPr>
        <w:t>;</w:t>
      </w:r>
      <w:r w:rsidR="002246F9" w:rsidRPr="00FE50A6">
        <w:rPr>
          <w:rStyle w:val="Refdenotaalpie"/>
          <w:lang w:val="en-US"/>
        </w:rPr>
        <w:footnoteReference w:id="278"/>
      </w:r>
      <w:r w:rsidR="002246F9" w:rsidRPr="00FE50A6">
        <w:rPr>
          <w:rFonts w:cs="Times New Roman"/>
          <w:szCs w:val="20"/>
        </w:rPr>
        <w:t xml:space="preserve"> 17. Carlito Bastos Gonçalves</w:t>
      </w:r>
      <w:r w:rsidRPr="00FE50A6">
        <w:rPr>
          <w:szCs w:val="20"/>
        </w:rPr>
        <w:t>;</w:t>
      </w:r>
      <w:r w:rsidR="002246F9" w:rsidRPr="00FE50A6">
        <w:rPr>
          <w:rStyle w:val="Refdenotaalpie"/>
          <w:lang w:val="en-US"/>
        </w:rPr>
        <w:footnoteReference w:id="279"/>
      </w:r>
      <w:r w:rsidR="002246F9" w:rsidRPr="00FE50A6">
        <w:rPr>
          <w:szCs w:val="20"/>
        </w:rPr>
        <w:t xml:space="preserve"> </w:t>
      </w:r>
      <w:r w:rsidR="002246F9" w:rsidRPr="00FE50A6">
        <w:rPr>
          <w:rFonts w:cs="Times New Roman"/>
          <w:szCs w:val="20"/>
        </w:rPr>
        <w:t>18. Carlos Alberto Silva Alves</w:t>
      </w:r>
      <w:r w:rsidRPr="00FE50A6">
        <w:rPr>
          <w:szCs w:val="20"/>
        </w:rPr>
        <w:t>;</w:t>
      </w:r>
      <w:r w:rsidR="002246F9" w:rsidRPr="00FE50A6">
        <w:rPr>
          <w:rStyle w:val="Refdenotaalpie"/>
          <w:lang w:val="en-US"/>
        </w:rPr>
        <w:footnoteReference w:id="280"/>
      </w:r>
      <w:r w:rsidR="002246F9" w:rsidRPr="00FE50A6">
        <w:rPr>
          <w:rFonts w:cs="Times New Roman"/>
          <w:szCs w:val="20"/>
        </w:rPr>
        <w:t xml:space="preserve"> 19. Carlos André da </w:t>
      </w:r>
      <w:r w:rsidR="00D92C1E" w:rsidRPr="00FE50A6">
        <w:rPr>
          <w:rFonts w:cs="Times New Roman"/>
          <w:szCs w:val="20"/>
        </w:rPr>
        <w:t>Conceição</w:t>
      </w:r>
      <w:r w:rsidR="002246F9" w:rsidRPr="00FE50A6">
        <w:rPr>
          <w:rFonts w:cs="Times New Roman"/>
          <w:szCs w:val="20"/>
        </w:rPr>
        <w:t xml:space="preserve"> Pereira</w:t>
      </w:r>
      <w:r w:rsidRPr="00FE50A6">
        <w:rPr>
          <w:szCs w:val="20"/>
        </w:rPr>
        <w:t>;</w:t>
      </w:r>
      <w:r w:rsidR="002246F9" w:rsidRPr="00FE50A6">
        <w:rPr>
          <w:rStyle w:val="Refdenotaalpie"/>
          <w:lang w:val="en-US"/>
        </w:rPr>
        <w:footnoteReference w:id="281"/>
      </w:r>
      <w:r w:rsidR="002246F9" w:rsidRPr="00FE50A6">
        <w:rPr>
          <w:rFonts w:cs="Times New Roman"/>
          <w:szCs w:val="20"/>
        </w:rPr>
        <w:t xml:space="preserve"> 20. Carlos Augusto Cunha</w:t>
      </w:r>
      <w:r w:rsidRPr="00FE50A6">
        <w:rPr>
          <w:szCs w:val="20"/>
        </w:rPr>
        <w:t>;</w:t>
      </w:r>
      <w:r w:rsidR="002246F9" w:rsidRPr="00FE50A6">
        <w:rPr>
          <w:rStyle w:val="Refdenotaalpie"/>
          <w:lang w:val="en-US"/>
        </w:rPr>
        <w:footnoteReference w:id="282"/>
      </w:r>
      <w:r w:rsidR="002246F9" w:rsidRPr="00FE50A6">
        <w:rPr>
          <w:rFonts w:cs="Times New Roman"/>
          <w:szCs w:val="20"/>
        </w:rPr>
        <w:t xml:space="preserve"> 21. Carlos Ferreira Lopes</w:t>
      </w:r>
      <w:r w:rsidRPr="00FE50A6">
        <w:rPr>
          <w:szCs w:val="20"/>
        </w:rPr>
        <w:t>;</w:t>
      </w:r>
      <w:r w:rsidR="002246F9" w:rsidRPr="00FE50A6">
        <w:rPr>
          <w:rStyle w:val="Refdenotaalpie"/>
          <w:lang w:val="en-US"/>
        </w:rPr>
        <w:footnoteReference w:id="283"/>
      </w:r>
      <w:r w:rsidR="002246F9" w:rsidRPr="00FE50A6">
        <w:rPr>
          <w:rFonts w:cs="Times New Roman"/>
          <w:szCs w:val="20"/>
        </w:rPr>
        <w:t xml:space="preserve"> 22. Edirceu Lima de Brito</w:t>
      </w:r>
      <w:r w:rsidRPr="00FE50A6">
        <w:rPr>
          <w:szCs w:val="20"/>
        </w:rPr>
        <w:t>;</w:t>
      </w:r>
      <w:r w:rsidR="002246F9" w:rsidRPr="00FE50A6">
        <w:rPr>
          <w:rStyle w:val="Refdenotaalpie"/>
          <w:lang w:val="en-US"/>
        </w:rPr>
        <w:footnoteReference w:id="284"/>
      </w:r>
      <w:r w:rsidR="002246F9" w:rsidRPr="00FE50A6">
        <w:rPr>
          <w:rFonts w:cs="Times New Roman"/>
          <w:szCs w:val="20"/>
        </w:rPr>
        <w:t xml:space="preserve"> 23. Erimar Lima da Silva</w:t>
      </w:r>
      <w:r w:rsidRPr="00FE50A6">
        <w:rPr>
          <w:szCs w:val="20"/>
        </w:rPr>
        <w:t>;</w:t>
      </w:r>
      <w:r w:rsidR="002246F9" w:rsidRPr="00FE50A6">
        <w:rPr>
          <w:rStyle w:val="Refdenotaalpie"/>
          <w:lang w:val="en-US"/>
        </w:rPr>
        <w:footnoteReference w:id="285"/>
      </w:r>
      <w:r w:rsidR="002246F9" w:rsidRPr="00FE50A6">
        <w:rPr>
          <w:rFonts w:cs="Times New Roman"/>
          <w:szCs w:val="20"/>
        </w:rPr>
        <w:t xml:space="preserve"> 24. Firmino da Silva</w:t>
      </w:r>
      <w:r w:rsidRPr="00FE50A6">
        <w:rPr>
          <w:szCs w:val="20"/>
        </w:rPr>
        <w:t>;</w:t>
      </w:r>
      <w:r w:rsidR="002246F9" w:rsidRPr="00FE50A6">
        <w:rPr>
          <w:rStyle w:val="Refdenotaalpie"/>
          <w:lang w:val="en-US"/>
        </w:rPr>
        <w:footnoteReference w:id="286"/>
      </w:r>
      <w:r w:rsidR="002246F9" w:rsidRPr="00FE50A6">
        <w:rPr>
          <w:rFonts w:cs="Times New Roman"/>
          <w:szCs w:val="20"/>
        </w:rPr>
        <w:t xml:space="preserve"> 25. Francisco </w:t>
      </w:r>
      <w:r w:rsidR="00D60654" w:rsidRPr="00FE50A6">
        <w:rPr>
          <w:rFonts w:cs="Times New Roman"/>
          <w:szCs w:val="20"/>
        </w:rPr>
        <w:t xml:space="preserve">Antônio </w:t>
      </w:r>
      <w:r w:rsidR="002246F9" w:rsidRPr="00FE50A6">
        <w:rPr>
          <w:rFonts w:cs="Times New Roman"/>
          <w:szCs w:val="20"/>
        </w:rPr>
        <w:t>Oliveira Barbosa</w:t>
      </w:r>
      <w:r w:rsidRPr="00FE50A6">
        <w:rPr>
          <w:szCs w:val="20"/>
        </w:rPr>
        <w:t>;</w:t>
      </w:r>
      <w:r w:rsidR="002246F9" w:rsidRPr="00FE50A6">
        <w:rPr>
          <w:rStyle w:val="Refdenotaalpie"/>
          <w:lang w:val="en-US"/>
        </w:rPr>
        <w:footnoteReference w:id="287"/>
      </w:r>
      <w:r w:rsidR="002246F9" w:rsidRPr="00FE50A6">
        <w:rPr>
          <w:rFonts w:cs="Times New Roman"/>
          <w:szCs w:val="20"/>
        </w:rPr>
        <w:t xml:space="preserve"> 26. Francisco da Silva</w:t>
      </w:r>
      <w:r w:rsidRPr="00FE50A6">
        <w:rPr>
          <w:szCs w:val="20"/>
        </w:rPr>
        <w:t>;</w:t>
      </w:r>
      <w:r w:rsidR="002246F9" w:rsidRPr="00FE50A6">
        <w:rPr>
          <w:rStyle w:val="Refdenotaalpie"/>
          <w:lang w:val="en-US"/>
        </w:rPr>
        <w:footnoteReference w:id="288"/>
      </w:r>
      <w:r w:rsidR="002246F9" w:rsidRPr="00FE50A6">
        <w:rPr>
          <w:rFonts w:cs="Times New Roman"/>
          <w:szCs w:val="20"/>
        </w:rPr>
        <w:t xml:space="preserve"> 27. Francisco das Chagas Araujo Carvalho</w:t>
      </w:r>
      <w:r w:rsidRPr="00FE50A6">
        <w:rPr>
          <w:szCs w:val="20"/>
        </w:rPr>
        <w:t>;</w:t>
      </w:r>
      <w:r w:rsidR="002246F9" w:rsidRPr="00FE50A6">
        <w:rPr>
          <w:rStyle w:val="Refdenotaalpie"/>
          <w:lang w:val="en-US"/>
        </w:rPr>
        <w:footnoteReference w:id="289"/>
      </w:r>
      <w:r w:rsidR="002246F9" w:rsidRPr="00FE50A6">
        <w:rPr>
          <w:rFonts w:cs="Times New Roman"/>
          <w:szCs w:val="20"/>
        </w:rPr>
        <w:t xml:space="preserve"> </w:t>
      </w:r>
      <w:r w:rsidR="002246F9" w:rsidRPr="00FE50A6">
        <w:rPr>
          <w:szCs w:val="20"/>
        </w:rPr>
        <w:t>28. Francisco das Chagas Bastos Souza</w:t>
      </w:r>
      <w:r w:rsidRPr="00FE50A6">
        <w:rPr>
          <w:szCs w:val="20"/>
        </w:rPr>
        <w:t>;</w:t>
      </w:r>
      <w:r w:rsidR="002246F9" w:rsidRPr="00FE50A6">
        <w:rPr>
          <w:rStyle w:val="Refdenotaalpie"/>
          <w:lang w:val="en-US"/>
        </w:rPr>
        <w:footnoteReference w:id="290"/>
      </w:r>
      <w:r w:rsidR="002246F9" w:rsidRPr="00FE50A6">
        <w:rPr>
          <w:szCs w:val="20"/>
        </w:rPr>
        <w:t xml:space="preserve"> </w:t>
      </w:r>
      <w:r w:rsidR="002246F9" w:rsidRPr="00FE50A6">
        <w:rPr>
          <w:rFonts w:cs="Times New Roman"/>
          <w:szCs w:val="20"/>
        </w:rPr>
        <w:t>29. Francisco das Chagas Cardoso Carvalho</w:t>
      </w:r>
      <w:r w:rsidRPr="00FE50A6">
        <w:rPr>
          <w:szCs w:val="20"/>
        </w:rPr>
        <w:t>;</w:t>
      </w:r>
      <w:r w:rsidR="002246F9" w:rsidRPr="00FE50A6">
        <w:rPr>
          <w:rStyle w:val="Refdenotaalpie"/>
          <w:lang w:val="en-US"/>
        </w:rPr>
        <w:footnoteReference w:id="291"/>
      </w:r>
      <w:r w:rsidRPr="00FE50A6">
        <w:rPr>
          <w:rFonts w:cs="Times New Roman"/>
          <w:szCs w:val="20"/>
        </w:rPr>
        <w:t xml:space="preserve"> </w:t>
      </w:r>
      <w:r w:rsidR="002246F9" w:rsidRPr="00FE50A6">
        <w:rPr>
          <w:rFonts w:cs="Times New Roman"/>
          <w:szCs w:val="20"/>
        </w:rPr>
        <w:t>30. Francisco das Chagas Costa Rabelo</w:t>
      </w:r>
      <w:r w:rsidRPr="00FE50A6">
        <w:rPr>
          <w:szCs w:val="20"/>
        </w:rPr>
        <w:t>;</w:t>
      </w:r>
      <w:r w:rsidR="002246F9" w:rsidRPr="00FE50A6">
        <w:rPr>
          <w:rStyle w:val="Refdenotaalpie"/>
          <w:lang w:val="en-US"/>
        </w:rPr>
        <w:footnoteReference w:id="292"/>
      </w:r>
      <w:r w:rsidR="002246F9" w:rsidRPr="00FE50A6">
        <w:rPr>
          <w:rFonts w:cs="Times New Roman"/>
          <w:szCs w:val="20"/>
        </w:rPr>
        <w:t xml:space="preserve"> 31. Francisco das Chagas da Silva Lira</w:t>
      </w:r>
      <w:r w:rsidRPr="00FE50A6">
        <w:rPr>
          <w:szCs w:val="20"/>
        </w:rPr>
        <w:t>;</w:t>
      </w:r>
      <w:r w:rsidR="002246F9" w:rsidRPr="00FE50A6">
        <w:rPr>
          <w:rStyle w:val="Refdenotaalpie"/>
          <w:lang w:val="en-US"/>
        </w:rPr>
        <w:footnoteReference w:id="293"/>
      </w:r>
      <w:r w:rsidR="002246F9" w:rsidRPr="00FE50A6">
        <w:rPr>
          <w:rFonts w:cs="Times New Roman"/>
          <w:szCs w:val="20"/>
        </w:rPr>
        <w:t xml:space="preserve"> 32. Francisco Mariano da Silva</w:t>
      </w:r>
      <w:r w:rsidRPr="00FE50A6">
        <w:rPr>
          <w:szCs w:val="20"/>
        </w:rPr>
        <w:t>;</w:t>
      </w:r>
      <w:r w:rsidR="002246F9" w:rsidRPr="00FE50A6">
        <w:rPr>
          <w:rStyle w:val="Refdenotaalpie"/>
          <w:lang w:val="en-US"/>
        </w:rPr>
        <w:footnoteReference w:id="294"/>
      </w:r>
      <w:r w:rsidR="002246F9" w:rsidRPr="00FE50A6">
        <w:rPr>
          <w:rFonts w:cs="Times New Roman"/>
          <w:szCs w:val="20"/>
        </w:rPr>
        <w:t xml:space="preserve"> 33. Francisco das Chagas Diogo</w:t>
      </w:r>
      <w:r w:rsidRPr="00FE50A6">
        <w:rPr>
          <w:szCs w:val="20"/>
        </w:rPr>
        <w:t>;</w:t>
      </w:r>
      <w:r w:rsidR="002246F9" w:rsidRPr="00FE50A6">
        <w:rPr>
          <w:rStyle w:val="Refdenotaalpie"/>
          <w:lang w:val="en-US"/>
        </w:rPr>
        <w:footnoteReference w:id="295"/>
      </w:r>
      <w:r w:rsidR="002246F9" w:rsidRPr="00FE50A6">
        <w:rPr>
          <w:rFonts w:cs="Times New Roman"/>
          <w:szCs w:val="20"/>
        </w:rPr>
        <w:t xml:space="preserve"> 34. Francisco das Chagas Moreira Alves</w:t>
      </w:r>
      <w:r w:rsidRPr="00FE50A6">
        <w:rPr>
          <w:szCs w:val="20"/>
        </w:rPr>
        <w:t>;</w:t>
      </w:r>
      <w:r w:rsidR="002246F9" w:rsidRPr="00FE50A6">
        <w:rPr>
          <w:rStyle w:val="Refdenotaalpie"/>
          <w:lang w:val="en-US"/>
        </w:rPr>
        <w:footnoteReference w:id="296"/>
      </w:r>
      <w:r w:rsidR="002246F9" w:rsidRPr="00FE50A6">
        <w:rPr>
          <w:rFonts w:cs="Times New Roman"/>
          <w:szCs w:val="20"/>
        </w:rPr>
        <w:t xml:space="preserve"> 35. Francisco das Chagas Rodrigues de Sousa</w:t>
      </w:r>
      <w:r w:rsidRPr="00FE50A6">
        <w:rPr>
          <w:szCs w:val="20"/>
        </w:rPr>
        <w:t>;</w:t>
      </w:r>
      <w:r w:rsidR="002246F9" w:rsidRPr="00FE50A6">
        <w:rPr>
          <w:rStyle w:val="Refdenotaalpie"/>
          <w:lang w:val="en-US"/>
        </w:rPr>
        <w:footnoteReference w:id="297"/>
      </w:r>
      <w:r w:rsidR="002246F9" w:rsidRPr="00FE50A6">
        <w:rPr>
          <w:rFonts w:cs="Times New Roman"/>
          <w:szCs w:val="20"/>
        </w:rPr>
        <w:t xml:space="preserve"> 36. Francisco das Chagas Sousa Cardoso</w:t>
      </w:r>
      <w:r w:rsidRPr="00FE50A6">
        <w:rPr>
          <w:szCs w:val="20"/>
        </w:rPr>
        <w:t>;</w:t>
      </w:r>
      <w:r w:rsidR="002246F9" w:rsidRPr="00FE50A6">
        <w:rPr>
          <w:rStyle w:val="Refdenotaalpie"/>
          <w:lang w:val="en-US"/>
        </w:rPr>
        <w:footnoteReference w:id="298"/>
      </w:r>
      <w:r w:rsidR="002246F9" w:rsidRPr="00FE50A6">
        <w:rPr>
          <w:rFonts w:cs="Times New Roman"/>
          <w:szCs w:val="20"/>
        </w:rPr>
        <w:t xml:space="preserve"> 37. Francisco de Assis Felix</w:t>
      </w:r>
      <w:r w:rsidRPr="00FE50A6">
        <w:rPr>
          <w:szCs w:val="20"/>
        </w:rPr>
        <w:t>;</w:t>
      </w:r>
      <w:r w:rsidR="002246F9" w:rsidRPr="00FE50A6">
        <w:rPr>
          <w:rStyle w:val="Refdenotaalpie"/>
          <w:lang w:val="en-US"/>
        </w:rPr>
        <w:footnoteReference w:id="299"/>
      </w:r>
      <w:r w:rsidR="002246F9" w:rsidRPr="00FE50A6">
        <w:rPr>
          <w:rFonts w:cs="Times New Roman"/>
          <w:szCs w:val="20"/>
        </w:rPr>
        <w:t xml:space="preserve"> 38. Francisco de Assis Pereira da Silva</w:t>
      </w:r>
      <w:r w:rsidRPr="00FE50A6">
        <w:rPr>
          <w:szCs w:val="20"/>
        </w:rPr>
        <w:t>;</w:t>
      </w:r>
      <w:r w:rsidR="002246F9" w:rsidRPr="00FE50A6">
        <w:rPr>
          <w:rStyle w:val="Refdenotaalpie"/>
          <w:lang w:val="en-US"/>
        </w:rPr>
        <w:footnoteReference w:id="300"/>
      </w:r>
      <w:r w:rsidR="002246F9" w:rsidRPr="00FE50A6">
        <w:rPr>
          <w:rFonts w:cs="Times New Roman"/>
          <w:szCs w:val="20"/>
        </w:rPr>
        <w:t xml:space="preserve"> 39. Francisco de Souza Brígido</w:t>
      </w:r>
      <w:r w:rsidRPr="00FE50A6">
        <w:rPr>
          <w:szCs w:val="20"/>
        </w:rPr>
        <w:t>;</w:t>
      </w:r>
      <w:r w:rsidR="002246F9" w:rsidRPr="00FE50A6">
        <w:rPr>
          <w:rStyle w:val="Refdenotaalpie"/>
          <w:lang w:val="en-US"/>
        </w:rPr>
        <w:footnoteReference w:id="301"/>
      </w:r>
      <w:r w:rsidR="002246F9" w:rsidRPr="00FE50A6">
        <w:rPr>
          <w:rFonts w:cs="Times New Roman"/>
          <w:szCs w:val="20"/>
        </w:rPr>
        <w:t xml:space="preserve"> 40. Francisco Ernesto de Melo</w:t>
      </w:r>
      <w:r w:rsidRPr="00FE50A6">
        <w:rPr>
          <w:szCs w:val="20"/>
        </w:rPr>
        <w:t>;</w:t>
      </w:r>
      <w:r w:rsidR="002246F9" w:rsidRPr="00FE50A6">
        <w:rPr>
          <w:rStyle w:val="Refdenotaalpie"/>
          <w:lang w:val="en-US"/>
        </w:rPr>
        <w:footnoteReference w:id="302"/>
      </w:r>
      <w:r w:rsidR="002246F9" w:rsidRPr="00FE50A6">
        <w:rPr>
          <w:rFonts w:cs="Times New Roman"/>
          <w:szCs w:val="20"/>
        </w:rPr>
        <w:t xml:space="preserve"> 41. Francisco Fabiano Leandro</w:t>
      </w:r>
      <w:r w:rsidRPr="00FE50A6">
        <w:rPr>
          <w:szCs w:val="20"/>
        </w:rPr>
        <w:t>;</w:t>
      </w:r>
      <w:r w:rsidR="002246F9" w:rsidRPr="00FE50A6">
        <w:rPr>
          <w:rStyle w:val="Refdenotaalpie"/>
          <w:lang w:val="en-US"/>
        </w:rPr>
        <w:footnoteReference w:id="303"/>
      </w:r>
      <w:r w:rsidR="002246F9" w:rsidRPr="00FE50A6">
        <w:rPr>
          <w:rFonts w:cs="Times New Roman"/>
          <w:szCs w:val="20"/>
        </w:rPr>
        <w:t xml:space="preserve"> 42. Francisco Ferreira da Silva</w:t>
      </w:r>
      <w:r w:rsidRPr="00FE50A6">
        <w:rPr>
          <w:szCs w:val="20"/>
        </w:rPr>
        <w:t>;</w:t>
      </w:r>
      <w:r w:rsidR="002246F9" w:rsidRPr="00FE50A6">
        <w:rPr>
          <w:rStyle w:val="Refdenotaalpie"/>
          <w:lang w:val="en-US"/>
        </w:rPr>
        <w:footnoteReference w:id="304"/>
      </w:r>
      <w:r w:rsidR="002246F9" w:rsidRPr="00FE50A6">
        <w:rPr>
          <w:szCs w:val="20"/>
        </w:rPr>
        <w:t xml:space="preserve"> </w:t>
      </w:r>
      <w:r w:rsidR="002246F9" w:rsidRPr="00FE50A6">
        <w:rPr>
          <w:rFonts w:cs="Times New Roman"/>
          <w:szCs w:val="20"/>
        </w:rPr>
        <w:t>43. Francisco Ferreira da Silva Filho</w:t>
      </w:r>
      <w:r w:rsidRPr="00FE50A6">
        <w:rPr>
          <w:szCs w:val="20"/>
        </w:rPr>
        <w:t>;</w:t>
      </w:r>
      <w:r w:rsidR="002246F9" w:rsidRPr="00FE50A6">
        <w:rPr>
          <w:rStyle w:val="Refdenotaalpie"/>
          <w:lang w:val="en-US"/>
        </w:rPr>
        <w:footnoteReference w:id="305"/>
      </w:r>
      <w:r w:rsidR="002246F9" w:rsidRPr="00FE50A6">
        <w:rPr>
          <w:rFonts w:cs="Times New Roman"/>
          <w:szCs w:val="20"/>
        </w:rPr>
        <w:t xml:space="preserve"> 44. Francisco José Furtado</w:t>
      </w:r>
      <w:r w:rsidRPr="00FE50A6">
        <w:rPr>
          <w:szCs w:val="20"/>
        </w:rPr>
        <w:t>;</w:t>
      </w:r>
      <w:r w:rsidR="002246F9" w:rsidRPr="00FE50A6">
        <w:rPr>
          <w:rStyle w:val="Refdenotaalpie"/>
          <w:lang w:val="en-US"/>
        </w:rPr>
        <w:footnoteReference w:id="306"/>
      </w:r>
      <w:r w:rsidR="002246F9" w:rsidRPr="00FE50A6">
        <w:rPr>
          <w:rFonts w:cs="Times New Roman"/>
          <w:szCs w:val="20"/>
        </w:rPr>
        <w:t xml:space="preserve"> 45. Francisco Junior da Silva</w:t>
      </w:r>
      <w:r w:rsidRPr="00FE50A6">
        <w:rPr>
          <w:szCs w:val="20"/>
        </w:rPr>
        <w:t>;</w:t>
      </w:r>
      <w:r w:rsidR="002246F9" w:rsidRPr="00FE50A6">
        <w:rPr>
          <w:rStyle w:val="Refdenotaalpie"/>
          <w:lang w:val="en-US"/>
        </w:rPr>
        <w:footnoteReference w:id="307"/>
      </w:r>
      <w:r w:rsidR="002246F9" w:rsidRPr="00FE50A6">
        <w:rPr>
          <w:rFonts w:cs="Times New Roman"/>
          <w:szCs w:val="20"/>
        </w:rPr>
        <w:t xml:space="preserve"> 46. Francisco Mirele Ribeiro da Silva</w:t>
      </w:r>
      <w:r w:rsidRPr="00FE50A6">
        <w:rPr>
          <w:szCs w:val="20"/>
        </w:rPr>
        <w:t>;</w:t>
      </w:r>
      <w:r w:rsidR="002246F9" w:rsidRPr="00FE50A6">
        <w:rPr>
          <w:rStyle w:val="Refdenotaalpie"/>
          <w:lang w:val="en-US"/>
        </w:rPr>
        <w:footnoteReference w:id="308"/>
      </w:r>
      <w:r w:rsidR="002246F9" w:rsidRPr="00FE50A6">
        <w:rPr>
          <w:rFonts w:cs="Times New Roman"/>
          <w:szCs w:val="20"/>
        </w:rPr>
        <w:t xml:space="preserve"> </w:t>
      </w:r>
      <w:r w:rsidR="002246F9" w:rsidRPr="00FE50A6">
        <w:rPr>
          <w:szCs w:val="20"/>
        </w:rPr>
        <w:t>47. Francisco Pereira da Silva</w:t>
      </w:r>
      <w:r w:rsidRPr="00FE50A6">
        <w:rPr>
          <w:szCs w:val="20"/>
        </w:rPr>
        <w:t>;</w:t>
      </w:r>
      <w:r w:rsidR="002246F9" w:rsidRPr="00FE50A6">
        <w:rPr>
          <w:rStyle w:val="Refdenotaalpie"/>
          <w:lang w:val="en-US"/>
        </w:rPr>
        <w:footnoteReference w:id="309"/>
      </w:r>
      <w:r w:rsidR="002246F9" w:rsidRPr="00FE50A6">
        <w:rPr>
          <w:szCs w:val="20"/>
        </w:rPr>
        <w:t xml:space="preserve"> </w:t>
      </w:r>
      <w:r w:rsidR="002246F9" w:rsidRPr="00FE50A6">
        <w:rPr>
          <w:rFonts w:cs="Times New Roman"/>
          <w:szCs w:val="20"/>
        </w:rPr>
        <w:t>48. Francisco Soares da Silva</w:t>
      </w:r>
      <w:r w:rsidRPr="00FE50A6">
        <w:rPr>
          <w:szCs w:val="20"/>
        </w:rPr>
        <w:t>;</w:t>
      </w:r>
      <w:r w:rsidR="002246F9" w:rsidRPr="00FE50A6">
        <w:rPr>
          <w:rStyle w:val="Refdenotaalpie"/>
          <w:lang w:val="en-US"/>
        </w:rPr>
        <w:footnoteReference w:id="310"/>
      </w:r>
      <w:r w:rsidR="002246F9" w:rsidRPr="00FE50A6">
        <w:rPr>
          <w:rFonts w:cs="Times New Roman"/>
          <w:szCs w:val="20"/>
        </w:rPr>
        <w:t xml:space="preserve"> 49. Francisco Teodoro Diogo</w:t>
      </w:r>
      <w:r w:rsidRPr="00FE50A6">
        <w:rPr>
          <w:szCs w:val="20"/>
        </w:rPr>
        <w:t>;</w:t>
      </w:r>
      <w:r w:rsidR="002246F9" w:rsidRPr="00FE50A6">
        <w:rPr>
          <w:rStyle w:val="Refdenotaalpie"/>
          <w:lang w:val="en-US"/>
        </w:rPr>
        <w:footnoteReference w:id="311"/>
      </w:r>
      <w:r w:rsidR="002246F9" w:rsidRPr="00FE50A6">
        <w:rPr>
          <w:rFonts w:cs="Times New Roman"/>
          <w:szCs w:val="20"/>
        </w:rPr>
        <w:t xml:space="preserve"> 50. Geraldo Ferreira da Silva</w:t>
      </w:r>
      <w:r w:rsidRPr="00FE50A6">
        <w:rPr>
          <w:szCs w:val="20"/>
        </w:rPr>
        <w:t>;</w:t>
      </w:r>
      <w:r w:rsidR="002246F9" w:rsidRPr="00FE50A6">
        <w:rPr>
          <w:rStyle w:val="Refdenotaalpie"/>
          <w:lang w:val="en-US"/>
        </w:rPr>
        <w:footnoteReference w:id="312"/>
      </w:r>
      <w:r w:rsidR="002246F9" w:rsidRPr="00FE50A6">
        <w:rPr>
          <w:rFonts w:cs="Times New Roman"/>
          <w:szCs w:val="20"/>
        </w:rPr>
        <w:t xml:space="preserve"> 51. Gonçalo Constâncio da Silva</w:t>
      </w:r>
      <w:r w:rsidRPr="00FE50A6">
        <w:rPr>
          <w:szCs w:val="20"/>
        </w:rPr>
        <w:t>;</w:t>
      </w:r>
      <w:r w:rsidR="002246F9" w:rsidRPr="00FE50A6">
        <w:rPr>
          <w:rStyle w:val="Refdenotaalpie"/>
          <w:lang w:val="en-US"/>
        </w:rPr>
        <w:footnoteReference w:id="313"/>
      </w:r>
      <w:r w:rsidR="002246F9" w:rsidRPr="00FE50A6">
        <w:rPr>
          <w:rFonts w:cs="Times New Roman"/>
          <w:szCs w:val="20"/>
        </w:rPr>
        <w:t xml:space="preserve"> 52. Gonçalo Firmino de Sousa</w:t>
      </w:r>
      <w:r w:rsidRPr="00FE50A6">
        <w:rPr>
          <w:szCs w:val="20"/>
        </w:rPr>
        <w:t>;</w:t>
      </w:r>
      <w:r w:rsidR="002246F9" w:rsidRPr="00FE50A6">
        <w:rPr>
          <w:rStyle w:val="Refdenotaalpie"/>
          <w:lang w:val="en-US"/>
        </w:rPr>
        <w:footnoteReference w:id="314"/>
      </w:r>
      <w:r w:rsidR="002246F9" w:rsidRPr="00FE50A6">
        <w:rPr>
          <w:rFonts w:cs="Times New Roman"/>
          <w:szCs w:val="20"/>
        </w:rPr>
        <w:t xml:space="preserve"> 53. Gonçalo José Gomes</w:t>
      </w:r>
      <w:r w:rsidRPr="00FE50A6">
        <w:rPr>
          <w:szCs w:val="20"/>
        </w:rPr>
        <w:t>;</w:t>
      </w:r>
      <w:r w:rsidR="002246F9" w:rsidRPr="00FE50A6">
        <w:rPr>
          <w:rStyle w:val="Refdenotaalpie"/>
          <w:lang w:val="en-US"/>
        </w:rPr>
        <w:footnoteReference w:id="315"/>
      </w:r>
      <w:r w:rsidR="002246F9" w:rsidRPr="00FE50A6">
        <w:rPr>
          <w:rFonts w:cs="Times New Roman"/>
          <w:szCs w:val="20"/>
        </w:rPr>
        <w:t xml:space="preserve"> 54. Gonçalo Luiz Furtado</w:t>
      </w:r>
      <w:r w:rsidRPr="00FE50A6">
        <w:rPr>
          <w:szCs w:val="20"/>
        </w:rPr>
        <w:t>;</w:t>
      </w:r>
      <w:r w:rsidR="002246F9" w:rsidRPr="00FE50A6">
        <w:rPr>
          <w:rStyle w:val="Refdenotaalpie"/>
          <w:lang w:val="en-US"/>
        </w:rPr>
        <w:footnoteReference w:id="316"/>
      </w:r>
      <w:r w:rsidR="00653E8C" w:rsidRPr="00FE50A6">
        <w:rPr>
          <w:rFonts w:cs="Times New Roman"/>
          <w:szCs w:val="20"/>
        </w:rPr>
        <w:t xml:space="preserve"> 55. J</w:t>
      </w:r>
      <w:r w:rsidR="002246F9" w:rsidRPr="00FE50A6">
        <w:rPr>
          <w:rFonts w:cs="Times New Roman"/>
          <w:szCs w:val="20"/>
        </w:rPr>
        <w:t>enival Lopes</w:t>
      </w:r>
      <w:r w:rsidRPr="00FE50A6">
        <w:rPr>
          <w:szCs w:val="20"/>
        </w:rPr>
        <w:t>;</w:t>
      </w:r>
      <w:r w:rsidR="002246F9" w:rsidRPr="00FE50A6">
        <w:rPr>
          <w:rStyle w:val="Refdenotaalpie"/>
          <w:lang w:val="en-US"/>
        </w:rPr>
        <w:footnoteReference w:id="317"/>
      </w:r>
      <w:r w:rsidR="002246F9" w:rsidRPr="00FE50A6">
        <w:rPr>
          <w:rFonts w:cs="Times New Roman"/>
          <w:szCs w:val="20"/>
        </w:rPr>
        <w:t xml:space="preserve"> 56. João Diogo Pereira Filho</w:t>
      </w:r>
      <w:r w:rsidRPr="00FE50A6">
        <w:rPr>
          <w:szCs w:val="20"/>
        </w:rPr>
        <w:t>;</w:t>
      </w:r>
      <w:r w:rsidR="002246F9" w:rsidRPr="00FE50A6">
        <w:rPr>
          <w:rStyle w:val="Refdenotaalpie"/>
          <w:lang w:val="en-US"/>
        </w:rPr>
        <w:footnoteReference w:id="318"/>
      </w:r>
      <w:r w:rsidR="002246F9" w:rsidRPr="00FE50A6">
        <w:rPr>
          <w:rFonts w:cs="Times New Roman"/>
          <w:szCs w:val="20"/>
        </w:rPr>
        <w:t xml:space="preserve"> 57. José Cordeiro Ramos</w:t>
      </w:r>
      <w:r w:rsidRPr="00FE50A6">
        <w:rPr>
          <w:szCs w:val="20"/>
        </w:rPr>
        <w:t>;</w:t>
      </w:r>
      <w:r w:rsidR="002246F9" w:rsidRPr="00FE50A6">
        <w:rPr>
          <w:rStyle w:val="Refdenotaalpie"/>
          <w:lang w:val="en-US"/>
        </w:rPr>
        <w:footnoteReference w:id="319"/>
      </w:r>
      <w:r w:rsidR="002246F9" w:rsidRPr="00FE50A6">
        <w:rPr>
          <w:rFonts w:cs="Times New Roman"/>
          <w:szCs w:val="20"/>
        </w:rPr>
        <w:t xml:space="preserve"> 58. </w:t>
      </w:r>
      <w:r w:rsidR="002246F9" w:rsidRPr="00FE50A6">
        <w:rPr>
          <w:rFonts w:cs="Times New Roman"/>
          <w:szCs w:val="20"/>
          <w:lang w:val="fr-FR"/>
        </w:rPr>
        <w:t>José de Deus de Jesus Sousa</w:t>
      </w:r>
      <w:r w:rsidRPr="00FE50A6">
        <w:rPr>
          <w:szCs w:val="20"/>
          <w:lang w:val="fr-FR"/>
        </w:rPr>
        <w:t>;</w:t>
      </w:r>
      <w:r w:rsidR="002246F9" w:rsidRPr="00FE50A6">
        <w:rPr>
          <w:rStyle w:val="Refdenotaalpie"/>
          <w:lang w:val="en-US"/>
        </w:rPr>
        <w:footnoteReference w:id="320"/>
      </w:r>
      <w:r w:rsidR="002246F9" w:rsidRPr="00FE50A6">
        <w:rPr>
          <w:rFonts w:cs="Times New Roman"/>
          <w:szCs w:val="20"/>
          <w:lang w:val="fr-FR"/>
        </w:rPr>
        <w:t xml:space="preserve"> 59. José de Ribamar Souza</w:t>
      </w:r>
      <w:r w:rsidRPr="00FE50A6">
        <w:rPr>
          <w:szCs w:val="20"/>
          <w:lang w:val="fr-FR"/>
        </w:rPr>
        <w:t>;</w:t>
      </w:r>
      <w:r w:rsidR="002246F9" w:rsidRPr="00FE50A6">
        <w:rPr>
          <w:rStyle w:val="Refdenotaalpie"/>
          <w:lang w:val="en-US"/>
        </w:rPr>
        <w:footnoteReference w:id="321"/>
      </w:r>
      <w:r w:rsidR="002246F9" w:rsidRPr="00FE50A6">
        <w:rPr>
          <w:rFonts w:cs="Times New Roman"/>
          <w:szCs w:val="20"/>
          <w:lang w:val="fr-FR"/>
        </w:rPr>
        <w:t xml:space="preserve"> 60. </w:t>
      </w:r>
      <w:r w:rsidR="002246F9" w:rsidRPr="00FE50A6">
        <w:rPr>
          <w:rFonts w:cs="Times New Roman"/>
          <w:szCs w:val="20"/>
        </w:rPr>
        <w:t>José do Egito Santos</w:t>
      </w:r>
      <w:r w:rsidRPr="00FE50A6">
        <w:rPr>
          <w:szCs w:val="20"/>
        </w:rPr>
        <w:t>;</w:t>
      </w:r>
      <w:r w:rsidR="002246F9" w:rsidRPr="00FE50A6">
        <w:rPr>
          <w:rStyle w:val="Refdenotaalpie"/>
          <w:lang w:val="en-US"/>
        </w:rPr>
        <w:footnoteReference w:id="322"/>
      </w:r>
      <w:r w:rsidR="002246F9" w:rsidRPr="00FE50A6">
        <w:rPr>
          <w:rFonts w:cs="Times New Roman"/>
          <w:szCs w:val="20"/>
        </w:rPr>
        <w:t xml:space="preserve"> 61. José Gomes</w:t>
      </w:r>
      <w:r w:rsidRPr="00FE50A6">
        <w:rPr>
          <w:szCs w:val="20"/>
        </w:rPr>
        <w:t>;</w:t>
      </w:r>
      <w:r w:rsidR="002246F9" w:rsidRPr="00FE50A6">
        <w:rPr>
          <w:rStyle w:val="Refdenotaalpie"/>
          <w:lang w:val="en-US"/>
        </w:rPr>
        <w:footnoteReference w:id="323"/>
      </w:r>
      <w:r w:rsidR="002246F9" w:rsidRPr="00FE50A6">
        <w:rPr>
          <w:rFonts w:cs="Times New Roman"/>
          <w:szCs w:val="20"/>
        </w:rPr>
        <w:t xml:space="preserve"> 62. José Leandro da Silva</w:t>
      </w:r>
      <w:r w:rsidRPr="00FE50A6">
        <w:rPr>
          <w:szCs w:val="20"/>
        </w:rPr>
        <w:t>;</w:t>
      </w:r>
      <w:r w:rsidR="002246F9" w:rsidRPr="00FE50A6">
        <w:rPr>
          <w:rStyle w:val="Refdenotaalpie"/>
          <w:lang w:val="en-US"/>
        </w:rPr>
        <w:footnoteReference w:id="324"/>
      </w:r>
      <w:r w:rsidR="002246F9" w:rsidRPr="00FE50A6">
        <w:rPr>
          <w:rFonts w:cs="Times New Roman"/>
          <w:szCs w:val="20"/>
        </w:rPr>
        <w:t xml:space="preserve"> </w:t>
      </w:r>
      <w:r w:rsidR="002246F9" w:rsidRPr="00FE50A6">
        <w:rPr>
          <w:szCs w:val="20"/>
        </w:rPr>
        <w:t>63. José Renato do Nascimento Costa</w:t>
      </w:r>
      <w:r w:rsidRPr="00FE50A6">
        <w:rPr>
          <w:szCs w:val="20"/>
        </w:rPr>
        <w:t>;</w:t>
      </w:r>
      <w:r w:rsidR="002246F9" w:rsidRPr="00FE50A6">
        <w:rPr>
          <w:rStyle w:val="Refdenotaalpie"/>
          <w:lang w:val="en-US"/>
        </w:rPr>
        <w:footnoteReference w:id="325"/>
      </w:r>
      <w:r w:rsidR="002246F9" w:rsidRPr="00FE50A6">
        <w:rPr>
          <w:szCs w:val="20"/>
        </w:rPr>
        <w:t xml:space="preserve"> </w:t>
      </w:r>
      <w:r w:rsidR="002246F9" w:rsidRPr="00FE50A6">
        <w:rPr>
          <w:rFonts w:cs="Times New Roman"/>
          <w:szCs w:val="20"/>
        </w:rPr>
        <w:t>64. Juni Carlos da Silva</w:t>
      </w:r>
      <w:r w:rsidRPr="00FE50A6">
        <w:rPr>
          <w:szCs w:val="20"/>
        </w:rPr>
        <w:t>;</w:t>
      </w:r>
      <w:r w:rsidR="002246F9" w:rsidRPr="00FE50A6">
        <w:rPr>
          <w:rStyle w:val="Refdenotaalpie"/>
          <w:lang w:val="en-US"/>
        </w:rPr>
        <w:footnoteReference w:id="326"/>
      </w:r>
      <w:r w:rsidR="002246F9" w:rsidRPr="00FE50A6">
        <w:rPr>
          <w:rFonts w:cs="Times New Roman"/>
          <w:szCs w:val="20"/>
        </w:rPr>
        <w:t xml:space="preserve"> 65. Lourival da Silva Santos</w:t>
      </w:r>
      <w:r w:rsidRPr="00FE50A6">
        <w:rPr>
          <w:szCs w:val="20"/>
        </w:rPr>
        <w:t>;</w:t>
      </w:r>
      <w:r w:rsidR="002246F9" w:rsidRPr="00FE50A6">
        <w:rPr>
          <w:rStyle w:val="Refdenotaalpie"/>
          <w:lang w:val="en-US"/>
        </w:rPr>
        <w:footnoteReference w:id="327"/>
      </w:r>
      <w:r w:rsidR="002246F9" w:rsidRPr="00FE50A6">
        <w:rPr>
          <w:rFonts w:cs="Times New Roman"/>
          <w:szCs w:val="20"/>
        </w:rPr>
        <w:t xml:space="preserve"> </w:t>
      </w:r>
      <w:r w:rsidR="002246F9" w:rsidRPr="00FE50A6">
        <w:rPr>
          <w:szCs w:val="20"/>
        </w:rPr>
        <w:t>66. Luis Carlos da Silva Santos</w:t>
      </w:r>
      <w:r w:rsidRPr="00FE50A6">
        <w:rPr>
          <w:szCs w:val="20"/>
        </w:rPr>
        <w:t>;</w:t>
      </w:r>
      <w:r w:rsidR="002246F9" w:rsidRPr="00FE50A6">
        <w:rPr>
          <w:rStyle w:val="Refdenotaalpie"/>
          <w:lang w:val="en-US"/>
        </w:rPr>
        <w:footnoteReference w:id="328"/>
      </w:r>
      <w:r w:rsidR="002246F9" w:rsidRPr="00FE50A6">
        <w:rPr>
          <w:szCs w:val="20"/>
        </w:rPr>
        <w:t xml:space="preserve"> </w:t>
      </w:r>
      <w:r w:rsidR="002246F9" w:rsidRPr="00FE50A6">
        <w:rPr>
          <w:rFonts w:cs="Times New Roman"/>
          <w:szCs w:val="20"/>
        </w:rPr>
        <w:t>67. Luiz Gonzaga Silva Pires</w:t>
      </w:r>
      <w:r w:rsidRPr="00FE50A6">
        <w:rPr>
          <w:szCs w:val="20"/>
        </w:rPr>
        <w:t>;</w:t>
      </w:r>
      <w:r w:rsidR="002246F9" w:rsidRPr="00FE50A6">
        <w:rPr>
          <w:rStyle w:val="Refdenotaalpie"/>
          <w:lang w:val="en-US"/>
        </w:rPr>
        <w:footnoteReference w:id="329"/>
      </w:r>
      <w:r w:rsidR="002246F9" w:rsidRPr="00FE50A6">
        <w:rPr>
          <w:rFonts w:cs="Times New Roman"/>
          <w:szCs w:val="20"/>
        </w:rPr>
        <w:t xml:space="preserve"> 68. Luiz Sicinato de Menezes</w:t>
      </w:r>
      <w:r w:rsidRPr="00FE50A6">
        <w:rPr>
          <w:szCs w:val="20"/>
        </w:rPr>
        <w:t>;</w:t>
      </w:r>
      <w:r w:rsidR="002246F9" w:rsidRPr="00FE50A6">
        <w:rPr>
          <w:rStyle w:val="Refdenotaalpie"/>
          <w:lang w:val="en-US"/>
        </w:rPr>
        <w:footnoteReference w:id="330"/>
      </w:r>
      <w:r w:rsidR="002246F9" w:rsidRPr="00FE50A6">
        <w:rPr>
          <w:rFonts w:cs="Times New Roman"/>
          <w:szCs w:val="20"/>
        </w:rPr>
        <w:t xml:space="preserve"> </w:t>
      </w:r>
      <w:r w:rsidR="002246F9" w:rsidRPr="00FE50A6">
        <w:rPr>
          <w:szCs w:val="20"/>
        </w:rPr>
        <w:t>69. Manoel do Nascimento</w:t>
      </w:r>
      <w:r w:rsidRPr="00FE50A6">
        <w:rPr>
          <w:szCs w:val="20"/>
        </w:rPr>
        <w:t>;</w:t>
      </w:r>
      <w:r w:rsidR="002246F9" w:rsidRPr="00FE50A6">
        <w:rPr>
          <w:rStyle w:val="Refdenotaalpie"/>
          <w:lang w:val="en-US"/>
        </w:rPr>
        <w:footnoteReference w:id="331"/>
      </w:r>
      <w:r w:rsidR="002246F9" w:rsidRPr="00FE50A6">
        <w:rPr>
          <w:szCs w:val="20"/>
        </w:rPr>
        <w:t xml:space="preserve"> 70</w:t>
      </w:r>
      <w:r w:rsidR="002246F9" w:rsidRPr="00FE50A6">
        <w:rPr>
          <w:rFonts w:cs="Times New Roman"/>
          <w:szCs w:val="20"/>
        </w:rPr>
        <w:t>. Manoel do Nascimento da Silva</w:t>
      </w:r>
      <w:r w:rsidRPr="00FE50A6">
        <w:rPr>
          <w:szCs w:val="20"/>
        </w:rPr>
        <w:t>;</w:t>
      </w:r>
      <w:r w:rsidR="002246F9" w:rsidRPr="00FE50A6">
        <w:rPr>
          <w:rStyle w:val="Refdenotaalpie"/>
          <w:lang w:val="en-US"/>
        </w:rPr>
        <w:footnoteReference w:id="332"/>
      </w:r>
      <w:r w:rsidR="002246F9" w:rsidRPr="00FE50A6">
        <w:rPr>
          <w:rFonts w:cs="Times New Roman"/>
          <w:szCs w:val="20"/>
        </w:rPr>
        <w:t xml:space="preserve"> 71. Manoel Pinheiro Brito</w:t>
      </w:r>
      <w:r w:rsidRPr="00FE50A6">
        <w:rPr>
          <w:szCs w:val="20"/>
        </w:rPr>
        <w:t>;</w:t>
      </w:r>
      <w:r w:rsidR="002246F9" w:rsidRPr="00FE50A6">
        <w:rPr>
          <w:rStyle w:val="Refdenotaalpie"/>
          <w:lang w:val="en-US"/>
        </w:rPr>
        <w:footnoteReference w:id="333"/>
      </w:r>
      <w:r w:rsidR="002246F9" w:rsidRPr="00FE50A6">
        <w:rPr>
          <w:rFonts w:cs="Times New Roman"/>
          <w:szCs w:val="20"/>
        </w:rPr>
        <w:t xml:space="preserve"> </w:t>
      </w:r>
      <w:r w:rsidR="002246F9" w:rsidRPr="00FE50A6">
        <w:rPr>
          <w:szCs w:val="20"/>
        </w:rPr>
        <w:t>72. Marcio F</w:t>
      </w:r>
      <w:r w:rsidR="005200F8" w:rsidRPr="00FE50A6">
        <w:rPr>
          <w:szCs w:val="20"/>
        </w:rPr>
        <w:t>ran</w:t>
      </w:r>
      <w:r w:rsidR="002246F9" w:rsidRPr="00FE50A6">
        <w:rPr>
          <w:szCs w:val="20"/>
        </w:rPr>
        <w:t>ça da Costa Silva</w:t>
      </w:r>
      <w:r w:rsidRPr="00FE50A6">
        <w:rPr>
          <w:szCs w:val="20"/>
        </w:rPr>
        <w:t>;</w:t>
      </w:r>
      <w:r w:rsidR="002246F9" w:rsidRPr="00FE50A6">
        <w:rPr>
          <w:rStyle w:val="Refdenotaalpie"/>
          <w:lang w:val="en-US"/>
        </w:rPr>
        <w:footnoteReference w:id="334"/>
      </w:r>
      <w:r w:rsidR="002246F9" w:rsidRPr="00FE50A6">
        <w:rPr>
          <w:szCs w:val="20"/>
        </w:rPr>
        <w:t xml:space="preserve"> </w:t>
      </w:r>
      <w:r w:rsidR="002A2605" w:rsidRPr="00FE50A6">
        <w:rPr>
          <w:rFonts w:cs="Times New Roman"/>
          <w:szCs w:val="20"/>
        </w:rPr>
        <w:t xml:space="preserve">73. Marcos </w:t>
      </w:r>
      <w:r w:rsidR="00D60654" w:rsidRPr="00FE50A6">
        <w:rPr>
          <w:rFonts w:cs="Times New Roman"/>
          <w:szCs w:val="20"/>
        </w:rPr>
        <w:t xml:space="preserve">Antônio </w:t>
      </w:r>
      <w:r w:rsidR="002246F9" w:rsidRPr="00FE50A6">
        <w:rPr>
          <w:rFonts w:cs="Times New Roman"/>
          <w:szCs w:val="20"/>
        </w:rPr>
        <w:t>Lima</w:t>
      </w:r>
      <w:r w:rsidRPr="00FE50A6">
        <w:rPr>
          <w:szCs w:val="20"/>
        </w:rPr>
        <w:t>;</w:t>
      </w:r>
      <w:r w:rsidR="002246F9" w:rsidRPr="00FE50A6">
        <w:rPr>
          <w:rStyle w:val="Refdenotaalpie"/>
          <w:lang w:val="en-US"/>
        </w:rPr>
        <w:footnoteReference w:id="335"/>
      </w:r>
      <w:r w:rsidR="002246F9" w:rsidRPr="00FE50A6">
        <w:rPr>
          <w:rFonts w:cs="Times New Roman"/>
          <w:szCs w:val="20"/>
        </w:rPr>
        <w:t xml:space="preserve"> 74. Paulo Pereira dos Santos</w:t>
      </w:r>
      <w:r w:rsidRPr="00FE50A6">
        <w:rPr>
          <w:szCs w:val="20"/>
        </w:rPr>
        <w:t>;</w:t>
      </w:r>
      <w:r w:rsidR="002246F9" w:rsidRPr="00FE50A6">
        <w:rPr>
          <w:rStyle w:val="Refdenotaalpie"/>
          <w:lang w:val="en-US"/>
        </w:rPr>
        <w:footnoteReference w:id="336"/>
      </w:r>
      <w:r w:rsidR="002246F9" w:rsidRPr="00FE50A6">
        <w:rPr>
          <w:rFonts w:cs="Times New Roman"/>
          <w:szCs w:val="20"/>
        </w:rPr>
        <w:t xml:space="preserve"> </w:t>
      </w:r>
      <w:r w:rsidR="002246F9" w:rsidRPr="00FE50A6">
        <w:rPr>
          <w:szCs w:val="20"/>
        </w:rPr>
        <w:t>75. Pedro Fernandes da Silva</w:t>
      </w:r>
      <w:r w:rsidRPr="00FE50A6">
        <w:rPr>
          <w:szCs w:val="20"/>
        </w:rPr>
        <w:t>;</w:t>
      </w:r>
      <w:r w:rsidR="002246F9" w:rsidRPr="00FE50A6">
        <w:rPr>
          <w:rStyle w:val="Refdenotaalpie"/>
          <w:lang w:val="en-US"/>
        </w:rPr>
        <w:footnoteReference w:id="337"/>
      </w:r>
      <w:r w:rsidR="002246F9" w:rsidRPr="00FE50A6">
        <w:rPr>
          <w:szCs w:val="20"/>
        </w:rPr>
        <w:t xml:space="preserve"> </w:t>
      </w:r>
      <w:r w:rsidR="002246F9" w:rsidRPr="00FE50A6">
        <w:rPr>
          <w:rFonts w:cs="Times New Roman"/>
          <w:szCs w:val="20"/>
        </w:rPr>
        <w:t>76. Raimundo Cardoso Mac</w:t>
      </w:r>
      <w:r w:rsidR="002A2605" w:rsidRPr="00FE50A6">
        <w:rPr>
          <w:rFonts w:cs="Times New Roman"/>
          <w:szCs w:val="20"/>
        </w:rPr>
        <w:t>ê</w:t>
      </w:r>
      <w:r w:rsidR="002246F9" w:rsidRPr="00FE50A6">
        <w:rPr>
          <w:rFonts w:cs="Times New Roman"/>
          <w:szCs w:val="20"/>
        </w:rPr>
        <w:t>do</w:t>
      </w:r>
      <w:r w:rsidRPr="00FE50A6">
        <w:rPr>
          <w:szCs w:val="20"/>
        </w:rPr>
        <w:t>;</w:t>
      </w:r>
      <w:r w:rsidR="002246F9" w:rsidRPr="00FE50A6">
        <w:rPr>
          <w:rStyle w:val="Refdenotaalpie"/>
          <w:lang w:val="en-US"/>
        </w:rPr>
        <w:footnoteReference w:id="338"/>
      </w:r>
      <w:r w:rsidR="002246F9" w:rsidRPr="00FE50A6">
        <w:rPr>
          <w:rFonts w:cs="Times New Roman"/>
          <w:szCs w:val="20"/>
        </w:rPr>
        <w:t xml:space="preserve"> 77. Raimundo de Andrade</w:t>
      </w:r>
      <w:r w:rsidRPr="00FE50A6">
        <w:rPr>
          <w:szCs w:val="20"/>
        </w:rPr>
        <w:t>;</w:t>
      </w:r>
      <w:r w:rsidR="002246F9" w:rsidRPr="00FE50A6">
        <w:rPr>
          <w:rStyle w:val="Refdenotaalpie"/>
          <w:lang w:val="en-US"/>
        </w:rPr>
        <w:footnoteReference w:id="339"/>
      </w:r>
      <w:r w:rsidR="002246F9" w:rsidRPr="00FE50A6">
        <w:rPr>
          <w:rFonts w:cs="Times New Roman"/>
          <w:szCs w:val="20"/>
        </w:rPr>
        <w:t xml:space="preserve"> </w:t>
      </w:r>
      <w:r w:rsidR="002246F9" w:rsidRPr="00FE50A6">
        <w:rPr>
          <w:szCs w:val="20"/>
        </w:rPr>
        <w:t>78. Raimundo de Sousa Leandro</w:t>
      </w:r>
      <w:r w:rsidRPr="00FE50A6">
        <w:rPr>
          <w:szCs w:val="20"/>
        </w:rPr>
        <w:t>;</w:t>
      </w:r>
      <w:r w:rsidR="002246F9" w:rsidRPr="00FE50A6">
        <w:rPr>
          <w:rStyle w:val="Refdenotaalpie"/>
          <w:lang w:val="en-US"/>
        </w:rPr>
        <w:footnoteReference w:id="340"/>
      </w:r>
      <w:r w:rsidR="002246F9" w:rsidRPr="00FE50A6">
        <w:rPr>
          <w:szCs w:val="20"/>
        </w:rPr>
        <w:t xml:space="preserve"> </w:t>
      </w:r>
      <w:r w:rsidR="002246F9" w:rsidRPr="00FE50A6">
        <w:rPr>
          <w:rFonts w:cs="Times New Roman"/>
          <w:szCs w:val="20"/>
        </w:rPr>
        <w:t>79. Raimundo Nonato da Silva</w:t>
      </w:r>
      <w:r w:rsidRPr="00FE50A6">
        <w:rPr>
          <w:szCs w:val="20"/>
        </w:rPr>
        <w:t>;</w:t>
      </w:r>
      <w:r w:rsidR="002246F9" w:rsidRPr="00FE50A6">
        <w:rPr>
          <w:rStyle w:val="Refdenotaalpie"/>
          <w:lang w:val="en-US"/>
        </w:rPr>
        <w:footnoteReference w:id="341"/>
      </w:r>
      <w:r w:rsidR="002246F9" w:rsidRPr="00FE50A6">
        <w:rPr>
          <w:rFonts w:cs="Times New Roman"/>
          <w:szCs w:val="20"/>
        </w:rPr>
        <w:t xml:space="preserve"> 80. Roberto Alves Nascimento</w:t>
      </w:r>
      <w:r w:rsidRPr="00FE50A6">
        <w:rPr>
          <w:szCs w:val="20"/>
        </w:rPr>
        <w:t>;</w:t>
      </w:r>
      <w:r w:rsidR="002246F9" w:rsidRPr="00FE50A6">
        <w:rPr>
          <w:rStyle w:val="Refdenotaalpie"/>
          <w:lang w:val="en-US"/>
        </w:rPr>
        <w:footnoteReference w:id="342"/>
      </w:r>
      <w:r w:rsidR="002246F9" w:rsidRPr="00FE50A6">
        <w:rPr>
          <w:rFonts w:cs="Times New Roman"/>
          <w:szCs w:val="20"/>
        </w:rPr>
        <w:t xml:space="preserve"> </w:t>
      </w:r>
      <w:r w:rsidR="002246F9" w:rsidRPr="00FE50A6">
        <w:rPr>
          <w:szCs w:val="20"/>
        </w:rPr>
        <w:t xml:space="preserve">81. </w:t>
      </w:r>
      <w:r w:rsidR="00D92C1E" w:rsidRPr="00FE50A6">
        <w:rPr>
          <w:szCs w:val="20"/>
        </w:rPr>
        <w:t>Rogerio</w:t>
      </w:r>
      <w:r w:rsidR="002246F9" w:rsidRPr="00FE50A6">
        <w:rPr>
          <w:szCs w:val="20"/>
        </w:rPr>
        <w:t xml:space="preserve"> Felix Silva</w:t>
      </w:r>
      <w:r w:rsidRPr="00FE50A6">
        <w:rPr>
          <w:szCs w:val="20"/>
        </w:rPr>
        <w:t>;</w:t>
      </w:r>
      <w:r w:rsidR="002246F9" w:rsidRPr="00FE50A6">
        <w:rPr>
          <w:rStyle w:val="Refdenotaalpie"/>
          <w:lang w:val="en-US"/>
        </w:rPr>
        <w:footnoteReference w:id="343"/>
      </w:r>
      <w:r w:rsidR="002246F9" w:rsidRPr="00FE50A6">
        <w:rPr>
          <w:szCs w:val="20"/>
        </w:rPr>
        <w:t xml:space="preserve"> </w:t>
      </w:r>
      <w:r w:rsidR="002246F9" w:rsidRPr="00FE50A6">
        <w:rPr>
          <w:rFonts w:cs="Times New Roman"/>
          <w:szCs w:val="20"/>
        </w:rPr>
        <w:t>82. Sebastião Pereira de Sousa Neto</w:t>
      </w:r>
      <w:r w:rsidRPr="00FE50A6">
        <w:rPr>
          <w:szCs w:val="20"/>
        </w:rPr>
        <w:t>;</w:t>
      </w:r>
      <w:r w:rsidR="002246F9" w:rsidRPr="00FE50A6">
        <w:rPr>
          <w:rStyle w:val="Refdenotaalpie"/>
          <w:lang w:val="en-US"/>
        </w:rPr>
        <w:footnoteReference w:id="344"/>
      </w:r>
      <w:r w:rsidR="002246F9" w:rsidRPr="00FE50A6">
        <w:rPr>
          <w:rFonts w:cs="Times New Roman"/>
          <w:szCs w:val="20"/>
        </w:rPr>
        <w:t xml:space="preserve"> 83. Silvestre Moreira de Castro Filho</w:t>
      </w:r>
      <w:r w:rsidRPr="00FE50A6">
        <w:rPr>
          <w:szCs w:val="20"/>
        </w:rPr>
        <w:t>;</w:t>
      </w:r>
      <w:r w:rsidR="002246F9" w:rsidRPr="00FE50A6">
        <w:rPr>
          <w:rStyle w:val="Refdenotaalpie"/>
          <w:lang w:val="en-US"/>
        </w:rPr>
        <w:footnoteReference w:id="345"/>
      </w:r>
      <w:r w:rsidR="002246F9" w:rsidRPr="00FE50A6">
        <w:rPr>
          <w:rFonts w:cs="Times New Roman"/>
          <w:szCs w:val="20"/>
        </w:rPr>
        <w:t xml:space="preserve"> </w:t>
      </w:r>
      <w:r w:rsidR="002246F9" w:rsidRPr="00FE50A6">
        <w:rPr>
          <w:szCs w:val="20"/>
        </w:rPr>
        <w:t xml:space="preserve">84. </w:t>
      </w:r>
      <w:r w:rsidR="002246F9" w:rsidRPr="00FE50A6">
        <w:rPr>
          <w:szCs w:val="20"/>
          <w:lang w:val="en-US"/>
        </w:rPr>
        <w:t>Valdir Gonçalves da Silva</w:t>
      </w:r>
      <w:r w:rsidR="002246F9" w:rsidRPr="00FE50A6">
        <w:rPr>
          <w:rStyle w:val="Refdenotaalpie"/>
          <w:lang w:val="en-US"/>
        </w:rPr>
        <w:footnoteReference w:id="346"/>
      </w:r>
      <w:r w:rsidR="00030C17" w:rsidRPr="00FE50A6">
        <w:rPr>
          <w:szCs w:val="20"/>
          <w:lang w:val="en-US"/>
        </w:rPr>
        <w:t xml:space="preserve"> and </w:t>
      </w:r>
      <w:r w:rsidR="002246F9" w:rsidRPr="00FE50A6">
        <w:rPr>
          <w:szCs w:val="20"/>
          <w:lang w:val="en-US"/>
        </w:rPr>
        <w:t>85. Vicentina Maria da Conceição</w:t>
      </w:r>
      <w:r w:rsidR="002246F9" w:rsidRPr="00FE50A6">
        <w:rPr>
          <w:rStyle w:val="Refdenotaalpie"/>
          <w:lang w:val="en-US"/>
        </w:rPr>
        <w:footnoteReference w:id="347"/>
      </w:r>
      <w:r w:rsidR="002246F9" w:rsidRPr="00FE50A6">
        <w:rPr>
          <w:szCs w:val="20"/>
          <w:lang w:val="en-US"/>
        </w:rPr>
        <w:t>.</w:t>
      </w:r>
      <w:bookmarkEnd w:id="306"/>
    </w:p>
    <w:p w14:paraId="5AEABF05" w14:textId="77777777" w:rsidR="002246F9" w:rsidRPr="00FE50A6" w:rsidRDefault="002246F9" w:rsidP="002246F9">
      <w:pPr>
        <w:pStyle w:val="Prrafodelista"/>
        <w:autoSpaceDE w:val="0"/>
        <w:autoSpaceDN w:val="0"/>
        <w:adjustRightInd w:val="0"/>
        <w:ind w:left="0"/>
        <w:rPr>
          <w:szCs w:val="20"/>
          <w:lang w:val="en-US"/>
        </w:rPr>
      </w:pPr>
    </w:p>
    <w:p w14:paraId="7AAEFF59" w14:textId="77777777" w:rsidR="002246F9" w:rsidRPr="00FE50A6" w:rsidRDefault="00B11237" w:rsidP="002246F9">
      <w:pPr>
        <w:pStyle w:val="Prrafodelista"/>
        <w:numPr>
          <w:ilvl w:val="0"/>
          <w:numId w:val="1"/>
        </w:numPr>
        <w:autoSpaceDE w:val="0"/>
        <w:autoSpaceDN w:val="0"/>
        <w:adjustRightInd w:val="0"/>
        <w:rPr>
          <w:szCs w:val="20"/>
          <w:lang w:val="en-US"/>
        </w:rPr>
      </w:pPr>
      <w:r w:rsidRPr="00FE50A6">
        <w:rPr>
          <w:szCs w:val="20"/>
          <w:lang w:val="en-US"/>
        </w:rPr>
        <w:t xml:space="preserve">Based on the above, the Court will consider the persons indicated in paragraphs </w:t>
      </w:r>
      <w:r w:rsidR="00FF5DA8" w:rsidRPr="00FE50A6">
        <w:rPr>
          <w:szCs w:val="20"/>
          <w:lang w:val="en-US"/>
        </w:rPr>
        <w:fldChar w:fldCharType="begin"/>
      </w:r>
      <w:r w:rsidR="00C5411E" w:rsidRPr="00FE50A6">
        <w:rPr>
          <w:szCs w:val="20"/>
          <w:lang w:val="en-US"/>
        </w:rPr>
        <w:instrText xml:space="preserve"> REF _Ref460939590 \r \h </w:instrText>
      </w:r>
      <w:r w:rsidR="003B7B4E" w:rsidRPr="00FE50A6">
        <w:rPr>
          <w:szCs w:val="20"/>
          <w:lang w:val="en-US"/>
        </w:rPr>
        <w:instrText xml:space="preserve"> \* MERGEFORMAT </w:instrText>
      </w:r>
      <w:r w:rsidR="00FF5DA8" w:rsidRPr="00FE50A6">
        <w:rPr>
          <w:szCs w:val="20"/>
          <w:lang w:val="en-US"/>
        </w:rPr>
      </w:r>
      <w:r w:rsidR="00FF5DA8" w:rsidRPr="00FE50A6">
        <w:rPr>
          <w:szCs w:val="20"/>
          <w:lang w:val="en-US"/>
        </w:rPr>
        <w:fldChar w:fldCharType="separate"/>
      </w:r>
      <w:r w:rsidR="000D4C30" w:rsidRPr="00FE50A6">
        <w:rPr>
          <w:szCs w:val="20"/>
          <w:lang w:val="en-US"/>
        </w:rPr>
        <w:t>199</w:t>
      </w:r>
      <w:r w:rsidR="00FF5DA8" w:rsidRPr="00FE50A6">
        <w:rPr>
          <w:szCs w:val="20"/>
          <w:lang w:val="en-US"/>
        </w:rPr>
        <w:fldChar w:fldCharType="end"/>
      </w:r>
      <w:r w:rsidR="00030C17" w:rsidRPr="00FE50A6">
        <w:rPr>
          <w:szCs w:val="20"/>
          <w:lang w:val="en-US"/>
        </w:rPr>
        <w:t xml:space="preserve"> and </w:t>
      </w:r>
      <w:r w:rsidR="00FF5DA8" w:rsidRPr="00FE50A6">
        <w:rPr>
          <w:szCs w:val="20"/>
          <w:lang w:val="en-US"/>
        </w:rPr>
        <w:fldChar w:fldCharType="begin"/>
      </w:r>
      <w:r w:rsidR="00C5411E" w:rsidRPr="00FE50A6">
        <w:rPr>
          <w:szCs w:val="20"/>
          <w:lang w:val="en-US"/>
        </w:rPr>
        <w:instrText xml:space="preserve"> REF _Ref460939605 \r \h </w:instrText>
      </w:r>
      <w:r w:rsidR="003B7B4E" w:rsidRPr="00FE50A6">
        <w:rPr>
          <w:szCs w:val="20"/>
          <w:lang w:val="en-US"/>
        </w:rPr>
        <w:instrText xml:space="preserve"> \* MERGEFORMAT </w:instrText>
      </w:r>
      <w:r w:rsidR="00FF5DA8" w:rsidRPr="00FE50A6">
        <w:rPr>
          <w:szCs w:val="20"/>
          <w:lang w:val="en-US"/>
        </w:rPr>
      </w:r>
      <w:r w:rsidR="00FF5DA8" w:rsidRPr="00FE50A6">
        <w:rPr>
          <w:szCs w:val="20"/>
          <w:lang w:val="en-US"/>
        </w:rPr>
        <w:fldChar w:fldCharType="separate"/>
      </w:r>
      <w:r w:rsidR="000D4C30" w:rsidRPr="00FE50A6">
        <w:rPr>
          <w:szCs w:val="20"/>
          <w:lang w:val="en-US"/>
        </w:rPr>
        <w:t>206</w:t>
      </w:r>
      <w:r w:rsidR="00FF5DA8" w:rsidRPr="00FE50A6">
        <w:rPr>
          <w:szCs w:val="20"/>
          <w:lang w:val="en-US"/>
        </w:rPr>
        <w:fldChar w:fldCharType="end"/>
      </w:r>
      <w:r w:rsidR="002246F9" w:rsidRPr="00FE50A6">
        <w:rPr>
          <w:szCs w:val="20"/>
          <w:lang w:val="en-US"/>
        </w:rPr>
        <w:t xml:space="preserve"> </w:t>
      </w:r>
      <w:r w:rsidRPr="00FE50A6">
        <w:rPr>
          <w:szCs w:val="20"/>
          <w:lang w:val="en-US"/>
        </w:rPr>
        <w:t>of this judgment to be presumed victims.</w:t>
      </w:r>
      <w:r w:rsidR="002246F9" w:rsidRPr="00FE50A6">
        <w:rPr>
          <w:szCs w:val="20"/>
          <w:lang w:val="en-US"/>
        </w:rPr>
        <w:t xml:space="preserve"> </w:t>
      </w:r>
    </w:p>
    <w:p w14:paraId="2687060D" w14:textId="77777777" w:rsidR="002170E1" w:rsidRPr="00FE50A6" w:rsidRDefault="002170E1"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307" w:name="_Toc460432499"/>
    </w:p>
    <w:p w14:paraId="24FFD8FF" w14:textId="77777777" w:rsidR="00C808FB" w:rsidRPr="00FE50A6" w:rsidRDefault="00C808FB"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308" w:name="_Toc464813953"/>
      <w:r w:rsidRPr="00FE50A6">
        <w:rPr>
          <w:rFonts w:eastAsia="Times New Roman" w:cs="Verdana"/>
          <w:b/>
          <w:bCs/>
          <w:caps/>
          <w:noProof/>
          <w:snapToGrid w:val="0"/>
          <w:szCs w:val="20"/>
          <w:lang w:val="en-US" w:eastAsia="es-ES"/>
        </w:rPr>
        <w:t>VIII</w:t>
      </w:r>
      <w:bookmarkEnd w:id="307"/>
      <w:bookmarkEnd w:id="308"/>
    </w:p>
    <w:p w14:paraId="063471ED" w14:textId="77777777" w:rsidR="00C808FB" w:rsidRPr="00FE50A6" w:rsidRDefault="00B11237" w:rsidP="0039404C">
      <w:pPr>
        <w:keepNext/>
        <w:keepLines/>
        <w:tabs>
          <w:tab w:val="clear" w:pos="4419"/>
          <w:tab w:val="clear" w:pos="8838"/>
        </w:tabs>
        <w:jc w:val="center"/>
        <w:outlineLvl w:val="0"/>
        <w:rPr>
          <w:rFonts w:eastAsia="Times New Roman" w:cs="Verdana"/>
          <w:b/>
          <w:bCs/>
          <w:caps/>
          <w:noProof/>
          <w:snapToGrid w:val="0"/>
          <w:szCs w:val="20"/>
          <w:lang w:val="en-US" w:eastAsia="es-ES"/>
        </w:rPr>
      </w:pPr>
      <w:r w:rsidRPr="00FE50A6">
        <w:rPr>
          <w:rFonts w:eastAsia="Times New Roman" w:cs="Verdana"/>
          <w:b/>
          <w:bCs/>
          <w:caps/>
          <w:noProof/>
          <w:snapToGrid w:val="0"/>
          <w:szCs w:val="20"/>
          <w:lang w:val="en-US" w:eastAsia="es-ES"/>
        </w:rPr>
        <w:t>MERITS</w:t>
      </w:r>
    </w:p>
    <w:p w14:paraId="250348EC" w14:textId="77777777" w:rsidR="00C808FB" w:rsidRPr="00FE50A6" w:rsidRDefault="00C808FB" w:rsidP="00140440">
      <w:pPr>
        <w:pStyle w:val="Prrafodelista"/>
        <w:autoSpaceDE w:val="0"/>
        <w:autoSpaceDN w:val="0"/>
        <w:adjustRightInd w:val="0"/>
        <w:ind w:left="0"/>
        <w:contextualSpacing w:val="0"/>
        <w:jc w:val="center"/>
        <w:rPr>
          <w:rFonts w:cs="Arial"/>
          <w:b/>
          <w:iCs/>
          <w:szCs w:val="20"/>
          <w:lang w:val="en-US"/>
        </w:rPr>
      </w:pPr>
    </w:p>
    <w:p w14:paraId="0A114594" w14:textId="77777777" w:rsidR="008F611E" w:rsidRPr="00FE50A6" w:rsidRDefault="00C808FB" w:rsidP="008E4E39">
      <w:pPr>
        <w:pStyle w:val="Ttulo1"/>
        <w:spacing w:before="0" w:after="0"/>
        <w:rPr>
          <w:noProof/>
          <w:lang w:val="en-US"/>
        </w:rPr>
      </w:pPr>
      <w:bookmarkStart w:id="309" w:name="_Toc460432501"/>
      <w:bookmarkStart w:id="310" w:name="_Toc464813955"/>
      <w:r w:rsidRPr="00FE50A6">
        <w:rPr>
          <w:noProof/>
          <w:lang w:val="en-US"/>
        </w:rPr>
        <w:t>VIII-1</w:t>
      </w:r>
      <w:bookmarkEnd w:id="309"/>
      <w:bookmarkEnd w:id="310"/>
    </w:p>
    <w:p w14:paraId="53A6E8F3" w14:textId="77777777" w:rsidR="00207197" w:rsidRPr="00FE50A6" w:rsidRDefault="00E94340"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311" w:name="_Toc464813956"/>
      <w:r w:rsidRPr="00FE50A6">
        <w:rPr>
          <w:rFonts w:eastAsia="Times New Roman" w:cs="Verdana"/>
          <w:b/>
          <w:bCs/>
          <w:caps/>
          <w:noProof/>
          <w:snapToGrid w:val="0"/>
          <w:szCs w:val="20"/>
          <w:lang w:val="en-US" w:eastAsia="es-ES"/>
        </w:rPr>
        <w:t>PROHIBITION OF SLAVERY</w:t>
      </w:r>
      <w:r w:rsidR="00195514" w:rsidRPr="00FE50A6">
        <w:rPr>
          <w:rFonts w:eastAsia="Times New Roman" w:cs="Verdana"/>
          <w:b/>
          <w:bCs/>
          <w:caps/>
          <w:noProof/>
          <w:snapToGrid w:val="0"/>
          <w:szCs w:val="20"/>
          <w:lang w:val="en-US" w:eastAsia="es-ES"/>
        </w:rPr>
        <w:t>,</w:t>
      </w:r>
      <w:r w:rsidR="00207197" w:rsidRPr="00FE50A6">
        <w:rPr>
          <w:rFonts w:eastAsia="Times New Roman" w:cs="Verdana"/>
          <w:b/>
          <w:bCs/>
          <w:caps/>
          <w:noProof/>
          <w:snapToGrid w:val="0"/>
          <w:szCs w:val="20"/>
          <w:lang w:val="en-US" w:eastAsia="es-ES"/>
        </w:rPr>
        <w:t xml:space="preserve"> </w:t>
      </w:r>
      <w:r w:rsidR="00125A00" w:rsidRPr="00FE50A6">
        <w:rPr>
          <w:rFonts w:eastAsia="Times New Roman" w:cs="Verdana"/>
          <w:b/>
          <w:bCs/>
          <w:caps/>
          <w:noProof/>
          <w:snapToGrid w:val="0"/>
          <w:szCs w:val="20"/>
          <w:lang w:val="en-US" w:eastAsia="es-ES"/>
        </w:rPr>
        <w:t>SERVITUDE</w:t>
      </w:r>
      <w:r w:rsidR="00195514" w:rsidRPr="00FE50A6">
        <w:rPr>
          <w:rFonts w:eastAsia="Times New Roman" w:cs="Verdana"/>
          <w:b/>
          <w:bCs/>
          <w:caps/>
          <w:noProof/>
          <w:snapToGrid w:val="0"/>
          <w:szCs w:val="20"/>
          <w:lang w:val="en-US" w:eastAsia="es-ES"/>
        </w:rPr>
        <w:t xml:space="preserve">, </w:t>
      </w:r>
      <w:r w:rsidR="005F1946" w:rsidRPr="00FE50A6">
        <w:rPr>
          <w:rFonts w:eastAsia="Times New Roman" w:cs="Verdana"/>
          <w:b/>
          <w:bCs/>
          <w:caps/>
          <w:noProof/>
          <w:snapToGrid w:val="0"/>
          <w:szCs w:val="20"/>
          <w:lang w:val="en-US" w:eastAsia="es-ES"/>
        </w:rPr>
        <w:t>FORCED LABOR</w:t>
      </w:r>
      <w:r w:rsidR="00030C17" w:rsidRPr="00FE50A6">
        <w:rPr>
          <w:rFonts w:eastAsia="Times New Roman" w:cs="Verdana"/>
          <w:b/>
          <w:bCs/>
          <w:caps/>
          <w:noProof/>
          <w:snapToGrid w:val="0"/>
          <w:szCs w:val="20"/>
          <w:lang w:val="en-US" w:eastAsia="es-ES"/>
        </w:rPr>
        <w:t xml:space="preserve"> and </w:t>
      </w:r>
      <w:r w:rsidR="00B11237" w:rsidRPr="00FE50A6">
        <w:rPr>
          <w:rFonts w:eastAsia="Times New Roman" w:cs="Verdana"/>
          <w:b/>
          <w:bCs/>
          <w:caps/>
          <w:noProof/>
          <w:snapToGrid w:val="0"/>
          <w:szCs w:val="20"/>
          <w:lang w:val="en-US" w:eastAsia="es-ES"/>
        </w:rPr>
        <w:t>THE SLAVE TRADE AND TRAFFIC IN WOMEN,</w:t>
      </w:r>
      <w:r w:rsidR="00207197" w:rsidRPr="00FE50A6">
        <w:rPr>
          <w:rFonts w:eastAsia="Times New Roman" w:cs="Verdana"/>
          <w:b/>
          <w:bCs/>
          <w:caps/>
          <w:noProof/>
          <w:snapToGrid w:val="0"/>
          <w:vertAlign w:val="superscript"/>
          <w:lang w:val="en-US" w:eastAsia="es-ES"/>
        </w:rPr>
        <w:footnoteReference w:id="348"/>
      </w:r>
      <w:r w:rsidR="00207197" w:rsidRPr="00FE50A6">
        <w:rPr>
          <w:rFonts w:eastAsia="Times New Roman" w:cs="Verdana"/>
          <w:b/>
          <w:bCs/>
          <w:caps/>
          <w:noProof/>
          <w:snapToGrid w:val="0"/>
          <w:szCs w:val="20"/>
          <w:lang w:val="en-US" w:eastAsia="es-ES"/>
        </w:rPr>
        <w:t xml:space="preserve"> </w:t>
      </w:r>
      <w:r w:rsidR="00B11237" w:rsidRPr="00FE50A6">
        <w:rPr>
          <w:rFonts w:eastAsia="Times New Roman" w:cs="Verdana"/>
          <w:b/>
          <w:bCs/>
          <w:caps/>
          <w:noProof/>
          <w:snapToGrid w:val="0"/>
          <w:szCs w:val="20"/>
          <w:lang w:val="en-US" w:eastAsia="es-ES"/>
        </w:rPr>
        <w:t>THE RIGHTS TO</w:t>
      </w:r>
      <w:r w:rsidR="00207197" w:rsidRPr="00FE50A6">
        <w:rPr>
          <w:rFonts w:eastAsia="Times New Roman" w:cs="Verdana"/>
          <w:b/>
          <w:bCs/>
          <w:caps/>
          <w:noProof/>
          <w:snapToGrid w:val="0"/>
          <w:szCs w:val="20"/>
          <w:lang w:val="en-US" w:eastAsia="es-ES"/>
        </w:rPr>
        <w:t xml:space="preserve"> </w:t>
      </w:r>
      <w:r w:rsidR="00D11A9F" w:rsidRPr="00FE50A6">
        <w:rPr>
          <w:rFonts w:eastAsia="Times New Roman" w:cs="Verdana"/>
          <w:b/>
          <w:bCs/>
          <w:caps/>
          <w:noProof/>
          <w:snapToGrid w:val="0"/>
          <w:szCs w:val="20"/>
          <w:lang w:val="en-US" w:eastAsia="es-ES"/>
        </w:rPr>
        <w:t>PERSONAL INTEGRITY</w:t>
      </w:r>
      <w:r w:rsidR="00207197" w:rsidRPr="00FE50A6">
        <w:rPr>
          <w:rFonts w:eastAsia="Times New Roman" w:cs="Verdana"/>
          <w:b/>
          <w:bCs/>
          <w:caps/>
          <w:noProof/>
          <w:snapToGrid w:val="0"/>
          <w:szCs w:val="20"/>
          <w:lang w:val="en-US" w:eastAsia="es-ES"/>
        </w:rPr>
        <w:t xml:space="preserve">, </w:t>
      </w:r>
      <w:r w:rsidR="00B11237" w:rsidRPr="00FE50A6">
        <w:rPr>
          <w:rFonts w:eastAsia="Times New Roman" w:cs="Verdana"/>
          <w:b/>
          <w:bCs/>
          <w:caps/>
          <w:noProof/>
          <w:snapToGrid w:val="0"/>
          <w:szCs w:val="20"/>
          <w:lang w:val="en-US" w:eastAsia="es-ES"/>
        </w:rPr>
        <w:t>PERSONAL LIBERTY, RECOGNITION OF JURIDICAL PERSONALITY, FREEDOM OF MOVEMENT AND RESIDENCE,</w:t>
      </w:r>
      <w:r w:rsidR="00207197" w:rsidRPr="00FE50A6">
        <w:rPr>
          <w:rFonts w:eastAsia="Times New Roman" w:cs="Verdana"/>
          <w:b/>
          <w:bCs/>
          <w:caps/>
          <w:noProof/>
          <w:snapToGrid w:val="0"/>
          <w:vertAlign w:val="superscript"/>
          <w:lang w:val="en-US" w:eastAsia="es-ES"/>
        </w:rPr>
        <w:footnoteReference w:id="349"/>
      </w:r>
      <w:r w:rsidR="00030C17" w:rsidRPr="00FE50A6">
        <w:rPr>
          <w:rFonts w:eastAsia="Times New Roman" w:cs="Verdana"/>
          <w:b/>
          <w:bCs/>
          <w:caps/>
          <w:noProof/>
          <w:snapToGrid w:val="0"/>
          <w:szCs w:val="20"/>
          <w:lang w:val="en-US" w:eastAsia="es-ES"/>
        </w:rPr>
        <w:t xml:space="preserve"> and </w:t>
      </w:r>
      <w:r w:rsidR="00B11237" w:rsidRPr="00FE50A6">
        <w:rPr>
          <w:rFonts w:eastAsia="Times New Roman" w:cs="Verdana"/>
          <w:b/>
          <w:bCs/>
          <w:caps/>
          <w:noProof/>
          <w:snapToGrid w:val="0"/>
          <w:szCs w:val="20"/>
          <w:lang w:val="en-US" w:eastAsia="es-ES"/>
        </w:rPr>
        <w:t>THE RIGHTS OF THE CHILD</w:t>
      </w:r>
      <w:r w:rsidR="00884208" w:rsidRPr="00FE50A6">
        <w:rPr>
          <w:rStyle w:val="Refdenotaalpie"/>
          <w:rFonts w:eastAsia="Times New Roman"/>
          <w:b/>
          <w:bCs/>
          <w:caps/>
          <w:noProof/>
          <w:snapToGrid w:val="0"/>
          <w:lang w:val="en-US" w:eastAsia="es-ES"/>
        </w:rPr>
        <w:footnoteReference w:id="350"/>
      </w:r>
      <w:bookmarkEnd w:id="311"/>
    </w:p>
    <w:p w14:paraId="4543963B" w14:textId="77777777" w:rsidR="00207197" w:rsidRPr="00FE50A6" w:rsidRDefault="00207197" w:rsidP="00140440">
      <w:pPr>
        <w:jc w:val="both"/>
        <w:rPr>
          <w:lang w:val="en-US"/>
        </w:rPr>
      </w:pPr>
    </w:p>
    <w:p w14:paraId="4CE73B1C" w14:textId="77777777" w:rsidR="00207197" w:rsidRPr="00FE50A6" w:rsidRDefault="00BC6362" w:rsidP="00F37DC4">
      <w:pPr>
        <w:pStyle w:val="Prrafodelista"/>
        <w:numPr>
          <w:ilvl w:val="0"/>
          <w:numId w:val="1"/>
        </w:numPr>
        <w:contextualSpacing w:val="0"/>
        <w:rPr>
          <w:lang w:val="en-US"/>
        </w:rPr>
      </w:pPr>
      <w:r w:rsidRPr="00FE50A6">
        <w:rPr>
          <w:lang w:val="en-US"/>
        </w:rPr>
        <w:t xml:space="preserve">In this chapter the Court will set out the arguments </w:t>
      </w:r>
      <w:r w:rsidR="005B65F5" w:rsidRPr="00FE50A6">
        <w:rPr>
          <w:lang w:val="en-US"/>
        </w:rPr>
        <w:t>of</w:t>
      </w:r>
      <w:r w:rsidR="000228D0" w:rsidRPr="00FE50A6">
        <w:rPr>
          <w:lang w:val="en-US"/>
        </w:rPr>
        <w:t xml:space="preserve"> the Commission</w:t>
      </w:r>
      <w:r w:rsidR="00207197" w:rsidRPr="00FE50A6">
        <w:rPr>
          <w:lang w:val="en-US"/>
        </w:rPr>
        <w:t>,</w:t>
      </w:r>
      <w:r w:rsidR="007571DF" w:rsidRPr="00FE50A6">
        <w:rPr>
          <w:lang w:val="en-US"/>
        </w:rPr>
        <w:t xml:space="preserve"> the </w:t>
      </w:r>
      <w:r w:rsidR="00700B79" w:rsidRPr="00FE50A6">
        <w:rPr>
          <w:lang w:val="en-US"/>
        </w:rPr>
        <w:t>representatives</w:t>
      </w:r>
      <w:r w:rsidR="00703850" w:rsidRPr="00FE50A6">
        <w:rPr>
          <w:lang w:val="en-US"/>
        </w:rPr>
        <w:t xml:space="preserve"> of the </w:t>
      </w:r>
      <w:r w:rsidR="0017587B" w:rsidRPr="00FE50A6">
        <w:rPr>
          <w:lang w:val="en-US"/>
        </w:rPr>
        <w:t>presumed victims</w:t>
      </w:r>
      <w:r w:rsidRPr="00FE50A6">
        <w:rPr>
          <w:lang w:val="en-US"/>
        </w:rPr>
        <w:t>,</w:t>
      </w:r>
      <w:r w:rsidR="00030C17" w:rsidRPr="00FE50A6">
        <w:rPr>
          <w:lang w:val="en-US"/>
        </w:rPr>
        <w:t xml:space="preserve"> and</w:t>
      </w:r>
      <w:r w:rsidR="00703850" w:rsidRPr="00FE50A6">
        <w:rPr>
          <w:lang w:val="en-US"/>
        </w:rPr>
        <w:t xml:space="preserve"> the </w:t>
      </w:r>
      <w:r w:rsidR="000228D0" w:rsidRPr="00FE50A6">
        <w:rPr>
          <w:lang w:val="en-US"/>
        </w:rPr>
        <w:t>State</w:t>
      </w:r>
      <w:r w:rsidR="00384506" w:rsidRPr="00FE50A6">
        <w:rPr>
          <w:lang w:val="en-US"/>
        </w:rPr>
        <w:t xml:space="preserve"> </w:t>
      </w:r>
      <w:r w:rsidRPr="00FE50A6">
        <w:rPr>
          <w:lang w:val="en-US"/>
        </w:rPr>
        <w:t xml:space="preserve">on the alleged violations of the </w:t>
      </w:r>
      <w:r w:rsidR="00E94340" w:rsidRPr="00FE50A6">
        <w:rPr>
          <w:lang w:val="en-US"/>
        </w:rPr>
        <w:t>prohibition of slavery</w:t>
      </w:r>
      <w:r w:rsidR="00207197" w:rsidRPr="00FE50A6">
        <w:rPr>
          <w:lang w:val="en-US"/>
        </w:rPr>
        <w:t xml:space="preserve">, </w:t>
      </w:r>
      <w:r w:rsidR="00125A00" w:rsidRPr="00FE50A6">
        <w:rPr>
          <w:lang w:val="en-US"/>
        </w:rPr>
        <w:t>servitude</w:t>
      </w:r>
      <w:r w:rsidR="00207197" w:rsidRPr="00FE50A6">
        <w:rPr>
          <w:lang w:val="en-US"/>
        </w:rPr>
        <w:t xml:space="preserve">, </w:t>
      </w:r>
      <w:r w:rsidR="000C2A19" w:rsidRPr="00FE50A6">
        <w:rPr>
          <w:lang w:val="en-US"/>
        </w:rPr>
        <w:t xml:space="preserve">trafficking </w:t>
      </w:r>
      <w:r w:rsidR="00030C17" w:rsidRPr="00FE50A6">
        <w:rPr>
          <w:lang w:val="en-US"/>
        </w:rPr>
        <w:t xml:space="preserve">and </w:t>
      </w:r>
      <w:r w:rsidR="005F1946" w:rsidRPr="00FE50A6">
        <w:rPr>
          <w:lang w:val="en-US"/>
        </w:rPr>
        <w:t>forced labor</w:t>
      </w:r>
      <w:r w:rsidR="00606B5F" w:rsidRPr="00FE50A6">
        <w:rPr>
          <w:lang w:val="en-US"/>
        </w:rPr>
        <w:t>,</w:t>
      </w:r>
      <w:r w:rsidR="00030C17" w:rsidRPr="00FE50A6">
        <w:rPr>
          <w:lang w:val="en-US"/>
        </w:rPr>
        <w:t xml:space="preserve"> and</w:t>
      </w:r>
      <w:r w:rsidRPr="00FE50A6">
        <w:rPr>
          <w:lang w:val="en-US"/>
        </w:rPr>
        <w:t xml:space="preserve"> of the rights to </w:t>
      </w:r>
      <w:r w:rsidR="00D11A9F" w:rsidRPr="00FE50A6">
        <w:rPr>
          <w:lang w:val="en-US"/>
        </w:rPr>
        <w:t>personal integrity</w:t>
      </w:r>
      <w:r w:rsidR="00207197" w:rsidRPr="00FE50A6">
        <w:rPr>
          <w:lang w:val="en-US"/>
        </w:rPr>
        <w:t xml:space="preserve">, </w:t>
      </w:r>
      <w:r w:rsidRPr="00FE50A6">
        <w:rPr>
          <w:lang w:val="en-US"/>
        </w:rPr>
        <w:t>personal liberty</w:t>
      </w:r>
      <w:r w:rsidR="00207197" w:rsidRPr="00FE50A6">
        <w:rPr>
          <w:lang w:val="en-US"/>
        </w:rPr>
        <w:t xml:space="preserve">, </w:t>
      </w:r>
      <w:r w:rsidR="00D11A9F" w:rsidRPr="00FE50A6">
        <w:rPr>
          <w:lang w:val="en-US"/>
        </w:rPr>
        <w:t>juridical personality</w:t>
      </w:r>
      <w:r w:rsidR="00207197" w:rsidRPr="00FE50A6">
        <w:rPr>
          <w:lang w:val="en-US"/>
        </w:rPr>
        <w:t xml:space="preserve">, </w:t>
      </w:r>
      <w:r w:rsidR="00D11A9F" w:rsidRPr="00FE50A6">
        <w:rPr>
          <w:lang w:val="en-US"/>
        </w:rPr>
        <w:t>honor and dignity</w:t>
      </w:r>
      <w:r w:rsidR="00207197" w:rsidRPr="00FE50A6">
        <w:rPr>
          <w:lang w:val="en-US"/>
        </w:rPr>
        <w:t>,</w:t>
      </w:r>
      <w:r w:rsidR="00030C17" w:rsidRPr="00FE50A6">
        <w:rPr>
          <w:lang w:val="en-US"/>
        </w:rPr>
        <w:t xml:space="preserve"> and </w:t>
      </w:r>
      <w:r w:rsidR="00D11A9F" w:rsidRPr="00FE50A6">
        <w:rPr>
          <w:lang w:val="en-US"/>
        </w:rPr>
        <w:t>freedom of movement and residence</w:t>
      </w:r>
      <w:r w:rsidR="00207197" w:rsidRPr="00FE50A6">
        <w:rPr>
          <w:lang w:val="en-US"/>
        </w:rPr>
        <w:t xml:space="preserve">, </w:t>
      </w:r>
      <w:r w:rsidRPr="00FE50A6">
        <w:rPr>
          <w:lang w:val="en-US"/>
        </w:rPr>
        <w:t>established in</w:t>
      </w:r>
      <w:r w:rsidR="00207197" w:rsidRPr="00FE50A6">
        <w:rPr>
          <w:lang w:val="en-US"/>
        </w:rPr>
        <w:t xml:space="preserve"> </w:t>
      </w:r>
      <w:r w:rsidR="000228D0" w:rsidRPr="00FE50A6">
        <w:rPr>
          <w:lang w:val="en-US"/>
        </w:rPr>
        <w:t>Articles</w:t>
      </w:r>
      <w:r w:rsidR="00207197" w:rsidRPr="00FE50A6">
        <w:rPr>
          <w:lang w:val="en-US"/>
        </w:rPr>
        <w:t xml:space="preserve"> 6, 5, 7, 3, 11</w:t>
      </w:r>
      <w:r w:rsidR="00030C17" w:rsidRPr="00FE50A6">
        <w:rPr>
          <w:lang w:val="en-US"/>
        </w:rPr>
        <w:t xml:space="preserve"> and </w:t>
      </w:r>
      <w:r w:rsidR="00207197" w:rsidRPr="00FE50A6">
        <w:rPr>
          <w:lang w:val="en-US"/>
        </w:rPr>
        <w:t>22</w:t>
      </w:r>
      <w:r w:rsidR="000228D0" w:rsidRPr="00FE50A6">
        <w:rPr>
          <w:lang w:val="en-US"/>
        </w:rPr>
        <w:t xml:space="preserve"> of the American Convention</w:t>
      </w:r>
      <w:r w:rsidR="00207197" w:rsidRPr="00FE50A6">
        <w:rPr>
          <w:lang w:val="en-US"/>
        </w:rPr>
        <w:t xml:space="preserve">. </w:t>
      </w:r>
      <w:r w:rsidRPr="00FE50A6">
        <w:rPr>
          <w:lang w:val="en-US"/>
        </w:rPr>
        <w:t>The</w:t>
      </w:r>
      <w:r w:rsidR="000228D0" w:rsidRPr="00FE50A6">
        <w:rPr>
          <w:lang w:val="en-US"/>
        </w:rPr>
        <w:t xml:space="preserve"> Court</w:t>
      </w:r>
      <w:r w:rsidR="00207197" w:rsidRPr="00FE50A6">
        <w:rPr>
          <w:lang w:val="en-US"/>
        </w:rPr>
        <w:t xml:space="preserve"> </w:t>
      </w:r>
      <w:r w:rsidRPr="00FE50A6">
        <w:rPr>
          <w:lang w:val="en-US"/>
        </w:rPr>
        <w:t xml:space="preserve">will then analyze the merits of: (i) the scope </w:t>
      </w:r>
      <w:r w:rsidR="00703850" w:rsidRPr="00FE50A6">
        <w:rPr>
          <w:lang w:val="en-US"/>
        </w:rPr>
        <w:t>of 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Pr="00FE50A6">
        <w:rPr>
          <w:lang w:val="en-US"/>
        </w:rPr>
        <w:t>pursuant to international human rights law</w:t>
      </w:r>
      <w:r w:rsidR="00030C17" w:rsidRPr="00FE50A6">
        <w:rPr>
          <w:lang w:val="en-US"/>
        </w:rPr>
        <w:t xml:space="preserve"> and </w:t>
      </w:r>
      <w:r w:rsidRPr="00FE50A6">
        <w:rPr>
          <w:lang w:val="en-US"/>
        </w:rPr>
        <w:t>the</w:t>
      </w:r>
      <w:r w:rsidR="00207197" w:rsidRPr="00FE50A6">
        <w:rPr>
          <w:lang w:val="en-US"/>
        </w:rPr>
        <w:t xml:space="preserve"> </w:t>
      </w:r>
      <w:r w:rsidR="00125A00" w:rsidRPr="00FE50A6">
        <w:rPr>
          <w:lang w:val="en-US"/>
        </w:rPr>
        <w:t xml:space="preserve">definitions </w:t>
      </w:r>
      <w:r w:rsidRPr="00FE50A6">
        <w:rPr>
          <w:lang w:val="en-US"/>
        </w:rPr>
        <w:t>of</w:t>
      </w:r>
      <w:r w:rsidR="00207197" w:rsidRPr="00FE50A6">
        <w:rPr>
          <w:lang w:val="en-US"/>
        </w:rPr>
        <w:t xml:space="preserve"> </w:t>
      </w:r>
      <w:r w:rsidR="00D11A9F" w:rsidRPr="00FE50A6">
        <w:rPr>
          <w:lang w:val="en-US"/>
        </w:rPr>
        <w:t>slavery</w:t>
      </w:r>
      <w:r w:rsidR="00207197" w:rsidRPr="00FE50A6">
        <w:rPr>
          <w:lang w:val="en-US"/>
        </w:rPr>
        <w:t xml:space="preserve">, </w:t>
      </w:r>
      <w:r w:rsidR="005F1946" w:rsidRPr="00FE50A6">
        <w:rPr>
          <w:lang w:val="en-US"/>
        </w:rPr>
        <w:t>forced labor</w:t>
      </w:r>
      <w:r w:rsidR="00207197" w:rsidRPr="00FE50A6">
        <w:rPr>
          <w:lang w:val="en-US"/>
        </w:rPr>
        <w:t xml:space="preserve">, </w:t>
      </w:r>
      <w:r w:rsidR="00125A00" w:rsidRPr="00FE50A6">
        <w:rPr>
          <w:lang w:val="en-US"/>
        </w:rPr>
        <w:t>servitude</w:t>
      </w:r>
      <w:r w:rsidR="00030C17" w:rsidRPr="00FE50A6">
        <w:rPr>
          <w:lang w:val="en-US"/>
        </w:rPr>
        <w:t xml:space="preserve"> and</w:t>
      </w:r>
      <w:r w:rsidR="00615E39" w:rsidRPr="00FE50A6">
        <w:rPr>
          <w:lang w:val="en-US"/>
        </w:rPr>
        <w:t xml:space="preserve"> </w:t>
      </w:r>
      <w:r w:rsidR="000C2A19" w:rsidRPr="00FE50A6">
        <w:rPr>
          <w:lang w:val="en-US"/>
        </w:rPr>
        <w:t>trafficking in persons</w:t>
      </w:r>
      <w:r w:rsidR="00207197" w:rsidRPr="00FE50A6">
        <w:rPr>
          <w:lang w:val="en-US"/>
        </w:rPr>
        <w:t xml:space="preserve">; </w:t>
      </w:r>
      <w:r w:rsidRPr="00FE50A6">
        <w:rPr>
          <w:lang w:val="en-US"/>
        </w:rPr>
        <w:t>(</w:t>
      </w:r>
      <w:r w:rsidR="00207197" w:rsidRPr="00FE50A6">
        <w:rPr>
          <w:lang w:val="en-US"/>
        </w:rPr>
        <w:t xml:space="preserve">ii) </w:t>
      </w:r>
      <w:r w:rsidRPr="00FE50A6">
        <w:rPr>
          <w:lang w:val="en-US"/>
        </w:rPr>
        <w:t>the application of the said article to the facts of this case, and (iii) the alleged responsibility</w:t>
      </w:r>
      <w:r w:rsidR="00703850" w:rsidRPr="00FE50A6">
        <w:rPr>
          <w:lang w:val="en-US"/>
        </w:rPr>
        <w:t xml:space="preserve"> of the </w:t>
      </w:r>
      <w:r w:rsidR="000228D0" w:rsidRPr="00FE50A6">
        <w:rPr>
          <w:lang w:val="en-US"/>
        </w:rPr>
        <w:t>State</w:t>
      </w:r>
      <w:r w:rsidR="00207197" w:rsidRPr="00FE50A6">
        <w:rPr>
          <w:lang w:val="en-US"/>
        </w:rPr>
        <w:t xml:space="preserve"> </w:t>
      </w:r>
      <w:r w:rsidRPr="00FE50A6">
        <w:rPr>
          <w:lang w:val="en-US"/>
        </w:rPr>
        <w:t>in relation to the foregoing.</w:t>
      </w:r>
    </w:p>
    <w:p w14:paraId="5DD38DAB" w14:textId="77777777" w:rsidR="00207197" w:rsidRPr="00FE50A6" w:rsidRDefault="00207197" w:rsidP="00140440">
      <w:pPr>
        <w:jc w:val="both"/>
        <w:rPr>
          <w:lang w:val="en-US"/>
        </w:rPr>
      </w:pPr>
    </w:p>
    <w:p w14:paraId="17EEB390" w14:textId="77777777" w:rsidR="00207197" w:rsidRPr="00FE50A6" w:rsidRDefault="009C27BB" w:rsidP="008B0BCC">
      <w:pPr>
        <w:pStyle w:val="Ttulo2"/>
        <w:numPr>
          <w:ilvl w:val="0"/>
          <w:numId w:val="19"/>
        </w:numPr>
      </w:pPr>
      <w:bookmarkStart w:id="312" w:name="_Toc464813957"/>
      <w:r w:rsidRPr="00FE50A6">
        <w:t>Arguments of the parties</w:t>
      </w:r>
      <w:r w:rsidR="00030C17" w:rsidRPr="00FE50A6">
        <w:t xml:space="preserve"> and </w:t>
      </w:r>
      <w:r w:rsidR="000228D0" w:rsidRPr="00FE50A6">
        <w:t>of the Commission</w:t>
      </w:r>
      <w:bookmarkEnd w:id="312"/>
    </w:p>
    <w:p w14:paraId="3B6B5801" w14:textId="77777777" w:rsidR="00207197" w:rsidRPr="00FE50A6" w:rsidRDefault="00207197" w:rsidP="00140440">
      <w:pPr>
        <w:ind w:left="1440"/>
        <w:jc w:val="both"/>
        <w:rPr>
          <w:lang w:val="en-US"/>
        </w:rPr>
      </w:pPr>
    </w:p>
    <w:p w14:paraId="201BFD26" w14:textId="77777777" w:rsidR="00207197" w:rsidRPr="00FE50A6" w:rsidRDefault="000228D0" w:rsidP="00F37DC4">
      <w:pPr>
        <w:pStyle w:val="Prrafodelista"/>
        <w:numPr>
          <w:ilvl w:val="0"/>
          <w:numId w:val="1"/>
        </w:numPr>
        <w:contextualSpacing w:val="0"/>
        <w:rPr>
          <w:lang w:val="en-US"/>
        </w:rPr>
      </w:pPr>
      <w:r w:rsidRPr="00FE50A6">
        <w:rPr>
          <w:lang w:val="en-US"/>
        </w:rPr>
        <w:t xml:space="preserve">The </w:t>
      </w:r>
      <w:r w:rsidRPr="00FE50A6">
        <w:rPr>
          <w:b/>
          <w:i/>
          <w:lang w:val="en-US"/>
        </w:rPr>
        <w:t>Commission</w:t>
      </w:r>
      <w:r w:rsidR="00207197" w:rsidRPr="00FE50A6">
        <w:rPr>
          <w:lang w:val="en-US"/>
        </w:rPr>
        <w:t xml:space="preserve"> </w:t>
      </w:r>
      <w:r w:rsidR="00931A2D" w:rsidRPr="00FE50A6">
        <w:rPr>
          <w:lang w:val="en-US"/>
        </w:rPr>
        <w:t>indicated that</w:t>
      </w:r>
      <w:r w:rsidR="00207197" w:rsidRPr="00FE50A6">
        <w:rPr>
          <w:lang w:val="en-US"/>
        </w:rPr>
        <w:t xml:space="preserve"> </w:t>
      </w:r>
      <w:r w:rsidR="00931A2D" w:rsidRPr="00FE50A6">
        <w:rPr>
          <w:lang w:val="en-US"/>
        </w:rPr>
        <w:t>international law</w:t>
      </w:r>
      <w:r w:rsidR="00207197" w:rsidRPr="00FE50A6">
        <w:rPr>
          <w:lang w:val="en-US"/>
        </w:rPr>
        <w:t xml:space="preserve"> proh</w:t>
      </w:r>
      <w:r w:rsidR="00931A2D" w:rsidRPr="00FE50A6">
        <w:rPr>
          <w:lang w:val="en-US"/>
        </w:rPr>
        <w:t>ibits</w:t>
      </w:r>
      <w:r w:rsidR="00207197" w:rsidRPr="00FE50A6">
        <w:rPr>
          <w:lang w:val="en-US"/>
        </w:rPr>
        <w:t xml:space="preserve"> </w:t>
      </w:r>
      <w:r w:rsidR="00D11A9F" w:rsidRPr="00FE50A6">
        <w:rPr>
          <w:lang w:val="en-US"/>
        </w:rPr>
        <w:t>slavery</w:t>
      </w:r>
      <w:r w:rsidR="00207197" w:rsidRPr="00FE50A6">
        <w:rPr>
          <w:lang w:val="en-US"/>
        </w:rPr>
        <w:t xml:space="preserve">, </w:t>
      </w:r>
      <w:r w:rsidR="00125A00" w:rsidRPr="00FE50A6">
        <w:rPr>
          <w:lang w:val="en-US"/>
        </w:rPr>
        <w:t>servitude</w:t>
      </w:r>
      <w:r w:rsidR="00207197" w:rsidRPr="00FE50A6">
        <w:rPr>
          <w:lang w:val="en-US"/>
        </w:rPr>
        <w:t xml:space="preserve">, </w:t>
      </w:r>
      <w:r w:rsidR="005F1946" w:rsidRPr="00FE50A6">
        <w:rPr>
          <w:lang w:val="en-US"/>
        </w:rPr>
        <w:t>forced labor</w:t>
      </w:r>
      <w:r w:rsidR="00030C17" w:rsidRPr="00FE50A6">
        <w:rPr>
          <w:lang w:val="en-US"/>
        </w:rPr>
        <w:t xml:space="preserve"> and </w:t>
      </w:r>
      <w:r w:rsidR="00931A2D" w:rsidRPr="00FE50A6">
        <w:rPr>
          <w:lang w:val="en-US"/>
        </w:rPr>
        <w:t xml:space="preserve">other practices similar to </w:t>
      </w:r>
      <w:r w:rsidR="00D11A9F" w:rsidRPr="00FE50A6">
        <w:rPr>
          <w:lang w:val="en-US"/>
        </w:rPr>
        <w:t>slavery</w:t>
      </w:r>
      <w:r w:rsidR="00207197" w:rsidRPr="00FE50A6">
        <w:rPr>
          <w:lang w:val="en-US"/>
        </w:rPr>
        <w:t xml:space="preserve">. </w:t>
      </w:r>
      <w:r w:rsidR="00931A2D" w:rsidRPr="00FE50A6">
        <w:rPr>
          <w:lang w:val="en-US"/>
        </w:rPr>
        <w:t>The</w:t>
      </w:r>
      <w:r w:rsidR="00207197" w:rsidRPr="00FE50A6">
        <w:rPr>
          <w:lang w:val="en-US"/>
        </w:rPr>
        <w:t xml:space="preserve"> </w:t>
      </w:r>
      <w:r w:rsidR="00E94340" w:rsidRPr="00FE50A6">
        <w:rPr>
          <w:lang w:val="en-US"/>
        </w:rPr>
        <w:t>prohibition of slavery</w:t>
      </w:r>
      <w:r w:rsidR="00030C17" w:rsidRPr="00FE50A6">
        <w:rPr>
          <w:lang w:val="en-US"/>
        </w:rPr>
        <w:t xml:space="preserve"> and</w:t>
      </w:r>
      <w:r w:rsidR="00931A2D" w:rsidRPr="00FE50A6">
        <w:rPr>
          <w:lang w:val="en-US"/>
        </w:rPr>
        <w:t xml:space="preserve"> similar practices forms part of customary international law</w:t>
      </w:r>
      <w:r w:rsidR="00207197" w:rsidRPr="00FE50A6">
        <w:rPr>
          <w:lang w:val="en-US"/>
        </w:rPr>
        <w:t xml:space="preserve"> </w:t>
      </w:r>
      <w:r w:rsidR="00931A2D" w:rsidRPr="00FE50A6">
        <w:rPr>
          <w:lang w:val="en-US"/>
        </w:rPr>
        <w:t>and</w:t>
      </w:r>
      <w:r w:rsidR="00207197" w:rsidRPr="00FE50A6">
        <w:rPr>
          <w:lang w:val="en-US"/>
        </w:rPr>
        <w:t xml:space="preserve"> </w:t>
      </w:r>
      <w:r w:rsidR="00207197" w:rsidRPr="00FE50A6">
        <w:rPr>
          <w:i/>
          <w:iCs/>
          <w:lang w:val="en-US"/>
        </w:rPr>
        <w:t xml:space="preserve">jus cogens. </w:t>
      </w:r>
      <w:r w:rsidR="00931A2D" w:rsidRPr="00FE50A6">
        <w:rPr>
          <w:lang w:val="en-US"/>
        </w:rPr>
        <w:t>Protection against</w:t>
      </w:r>
      <w:r w:rsidR="00207197" w:rsidRPr="00FE50A6">
        <w:rPr>
          <w:lang w:val="en-US"/>
        </w:rPr>
        <w:t xml:space="preserve"> </w:t>
      </w:r>
      <w:r w:rsidR="00D11A9F" w:rsidRPr="00FE50A6">
        <w:rPr>
          <w:lang w:val="en-US"/>
        </w:rPr>
        <w:t>slavery</w:t>
      </w:r>
      <w:r w:rsidR="00207197" w:rsidRPr="00FE50A6">
        <w:rPr>
          <w:lang w:val="en-US"/>
        </w:rPr>
        <w:t xml:space="preserve"> </w:t>
      </w:r>
      <w:r w:rsidR="00931A2D" w:rsidRPr="00FE50A6">
        <w:rPr>
          <w:lang w:val="en-US"/>
        </w:rPr>
        <w:t>is an obligation</w:t>
      </w:r>
      <w:r w:rsidR="00207197" w:rsidRPr="00FE50A6">
        <w:rPr>
          <w:lang w:val="en-US"/>
        </w:rPr>
        <w:t xml:space="preserve"> </w:t>
      </w:r>
      <w:r w:rsidR="00207197" w:rsidRPr="00FE50A6">
        <w:rPr>
          <w:i/>
          <w:iCs/>
          <w:lang w:val="en-US"/>
        </w:rPr>
        <w:t>erga omnes</w:t>
      </w:r>
      <w:r w:rsidR="00030C17" w:rsidRPr="00FE50A6">
        <w:rPr>
          <w:i/>
          <w:iCs/>
          <w:lang w:val="en-US"/>
        </w:rPr>
        <w:t xml:space="preserve"> </w:t>
      </w:r>
      <w:r w:rsidR="00585F24" w:rsidRPr="00FE50A6">
        <w:rPr>
          <w:iCs/>
          <w:lang w:val="en-US"/>
        </w:rPr>
        <w:t>which</w:t>
      </w:r>
      <w:r w:rsidR="00931A2D" w:rsidRPr="00FE50A6">
        <w:rPr>
          <w:iCs/>
          <w:lang w:val="en-US"/>
        </w:rPr>
        <w:t xml:space="preserve"> States must comply with</w:t>
      </w:r>
      <w:r w:rsidR="00585F24" w:rsidRPr="00FE50A6">
        <w:rPr>
          <w:iCs/>
          <w:lang w:val="en-US"/>
        </w:rPr>
        <w:t xml:space="preserve"> and that</w:t>
      </w:r>
      <w:r w:rsidR="00931A2D" w:rsidRPr="00FE50A6">
        <w:rPr>
          <w:iCs/>
          <w:lang w:val="en-US"/>
        </w:rPr>
        <w:t xml:space="preserve"> </w:t>
      </w:r>
      <w:r w:rsidR="00585F24" w:rsidRPr="00FE50A6">
        <w:rPr>
          <w:iCs/>
          <w:lang w:val="en-US"/>
        </w:rPr>
        <w:t>is derived</w:t>
      </w:r>
      <w:r w:rsidR="00931A2D" w:rsidRPr="00FE50A6">
        <w:rPr>
          <w:iCs/>
          <w:lang w:val="en-US"/>
        </w:rPr>
        <w:t xml:space="preserve"> from international human rights law</w:t>
      </w:r>
      <w:r w:rsidR="00207197" w:rsidRPr="00FE50A6">
        <w:rPr>
          <w:lang w:val="en-US"/>
        </w:rPr>
        <w:t xml:space="preserve">. </w:t>
      </w:r>
      <w:r w:rsidR="00931A2D" w:rsidRPr="00FE50A6">
        <w:rPr>
          <w:lang w:val="en-US"/>
        </w:rPr>
        <w:t xml:space="preserve">The absolute and </w:t>
      </w:r>
      <w:r w:rsidR="00931A2D" w:rsidRPr="00FE50A6">
        <w:rPr>
          <w:bCs/>
          <w:lang w:val="en-US"/>
        </w:rPr>
        <w:t>irrevocable</w:t>
      </w:r>
      <w:r w:rsidR="00931A2D" w:rsidRPr="00FE50A6">
        <w:rPr>
          <w:b/>
          <w:bCs/>
          <w:lang w:val="en-US"/>
        </w:rPr>
        <w:t xml:space="preserve"> </w:t>
      </w:r>
      <w:r w:rsidR="00931A2D" w:rsidRPr="00FE50A6">
        <w:rPr>
          <w:lang w:val="en-US"/>
        </w:rPr>
        <w:t xml:space="preserve">prohibition against subjecting </w:t>
      </w:r>
      <w:r w:rsidR="00585F24" w:rsidRPr="00FE50A6">
        <w:rPr>
          <w:lang w:val="en-US"/>
        </w:rPr>
        <w:t>someone</w:t>
      </w:r>
      <w:r w:rsidR="00931A2D" w:rsidRPr="00FE50A6">
        <w:rPr>
          <w:lang w:val="en-US"/>
        </w:rPr>
        <w:t xml:space="preserve"> to </w:t>
      </w:r>
      <w:r w:rsidR="00D11A9F" w:rsidRPr="00FE50A6">
        <w:rPr>
          <w:lang w:val="en-US"/>
        </w:rPr>
        <w:t>slavery</w:t>
      </w:r>
      <w:r w:rsidR="00207197" w:rsidRPr="00FE50A6">
        <w:rPr>
          <w:lang w:val="en-US"/>
        </w:rPr>
        <w:t xml:space="preserve">, </w:t>
      </w:r>
      <w:r w:rsidR="00125A00" w:rsidRPr="00FE50A6">
        <w:rPr>
          <w:lang w:val="en-US"/>
        </w:rPr>
        <w:t>servitude</w:t>
      </w:r>
      <w:r w:rsidR="00207197" w:rsidRPr="00FE50A6">
        <w:rPr>
          <w:lang w:val="en-US"/>
        </w:rPr>
        <w:t xml:space="preserve"> o</w:t>
      </w:r>
      <w:r w:rsidR="00931A2D" w:rsidRPr="00FE50A6">
        <w:rPr>
          <w:lang w:val="en-US"/>
        </w:rPr>
        <w:t>r</w:t>
      </w:r>
      <w:r w:rsidR="00207197" w:rsidRPr="00FE50A6">
        <w:rPr>
          <w:lang w:val="en-US"/>
        </w:rPr>
        <w:t xml:space="preserve"> </w:t>
      </w:r>
      <w:r w:rsidR="005F1946" w:rsidRPr="00FE50A6">
        <w:rPr>
          <w:lang w:val="en-US"/>
        </w:rPr>
        <w:t>forced labor</w:t>
      </w:r>
      <w:r w:rsidR="00207197" w:rsidRPr="00FE50A6">
        <w:rPr>
          <w:lang w:val="en-US"/>
        </w:rPr>
        <w:t xml:space="preserve"> </w:t>
      </w:r>
      <w:r w:rsidR="00931A2D" w:rsidRPr="00FE50A6">
        <w:rPr>
          <w:lang w:val="en-US"/>
        </w:rPr>
        <w:t xml:space="preserve">is also recognized in </w:t>
      </w:r>
      <w:r w:rsidRPr="00FE50A6">
        <w:rPr>
          <w:lang w:val="en-US"/>
        </w:rPr>
        <w:t>the American Convention</w:t>
      </w:r>
      <w:r w:rsidR="00030C17" w:rsidRPr="00FE50A6">
        <w:rPr>
          <w:lang w:val="en-US"/>
        </w:rPr>
        <w:t xml:space="preserve"> and</w:t>
      </w:r>
      <w:r w:rsidR="00931A2D" w:rsidRPr="00FE50A6">
        <w:rPr>
          <w:lang w:val="en-US"/>
        </w:rPr>
        <w:t xml:space="preserve"> in</w:t>
      </w:r>
      <w:r w:rsidR="00BF6CF5" w:rsidRPr="00FE50A6">
        <w:rPr>
          <w:lang w:val="en-US"/>
        </w:rPr>
        <w:t xml:space="preserve"> </w:t>
      </w:r>
      <w:r w:rsidR="00931A2D" w:rsidRPr="00FE50A6">
        <w:rPr>
          <w:lang w:val="en-US"/>
        </w:rPr>
        <w:t>other international instruments to which Brazil is a party.</w:t>
      </w:r>
    </w:p>
    <w:p w14:paraId="6CCB6C06" w14:textId="77777777" w:rsidR="00207197" w:rsidRPr="00FE50A6" w:rsidRDefault="00207197" w:rsidP="00140440">
      <w:pPr>
        <w:jc w:val="both"/>
        <w:rPr>
          <w:lang w:val="en-US"/>
        </w:rPr>
      </w:pPr>
    </w:p>
    <w:p w14:paraId="52FC1E7C" w14:textId="77777777" w:rsidR="00207197" w:rsidRPr="00FE50A6" w:rsidRDefault="000228D0" w:rsidP="00F37DC4">
      <w:pPr>
        <w:pStyle w:val="Prrafodelista"/>
        <w:numPr>
          <w:ilvl w:val="0"/>
          <w:numId w:val="1"/>
        </w:numPr>
        <w:contextualSpacing w:val="0"/>
        <w:rPr>
          <w:lang w:val="en-US"/>
        </w:rPr>
      </w:pPr>
      <w:r w:rsidRPr="00FE50A6">
        <w:rPr>
          <w:lang w:val="en-US"/>
        </w:rPr>
        <w:t>The Commission</w:t>
      </w:r>
      <w:r w:rsidR="00207197" w:rsidRPr="00FE50A6">
        <w:rPr>
          <w:lang w:val="en-US"/>
        </w:rPr>
        <w:t xml:space="preserve"> </w:t>
      </w:r>
      <w:r w:rsidR="00BF6CF5" w:rsidRPr="00FE50A6">
        <w:rPr>
          <w:lang w:val="en-US"/>
        </w:rPr>
        <w:t xml:space="preserve">included clarifications with regard to the above concepts. First, it asserted that </w:t>
      </w:r>
      <w:r w:rsidR="00D11A9F" w:rsidRPr="00FE50A6">
        <w:rPr>
          <w:lang w:val="en-US"/>
        </w:rPr>
        <w:t>slavery</w:t>
      </w:r>
      <w:r w:rsidR="00207197" w:rsidRPr="00FE50A6">
        <w:rPr>
          <w:lang w:val="en-US"/>
        </w:rPr>
        <w:t xml:space="preserve">, </w:t>
      </w:r>
      <w:r w:rsidR="00BF6CF5" w:rsidRPr="00FE50A6">
        <w:rPr>
          <w:lang w:val="en-US"/>
        </w:rPr>
        <w:t>according to</w:t>
      </w:r>
      <w:r w:rsidR="00207197" w:rsidRPr="00FE50A6">
        <w:rPr>
          <w:lang w:val="en-US"/>
        </w:rPr>
        <w:t xml:space="preserve"> </w:t>
      </w:r>
      <w:r w:rsidRPr="00FE50A6">
        <w:rPr>
          <w:lang w:val="en-US"/>
        </w:rPr>
        <w:t xml:space="preserve">the </w:t>
      </w:r>
      <w:r w:rsidR="00BF6CF5" w:rsidRPr="00FE50A6">
        <w:rPr>
          <w:lang w:val="en-US"/>
        </w:rPr>
        <w:t>1926 Convention to Suppress the Slave Trade and</w:t>
      </w:r>
      <w:r w:rsidR="00207197" w:rsidRPr="00FE50A6">
        <w:rPr>
          <w:lang w:val="en-US"/>
        </w:rPr>
        <w:t xml:space="preserve"> </w:t>
      </w:r>
      <w:r w:rsidR="00D11A9F" w:rsidRPr="00FE50A6">
        <w:rPr>
          <w:lang w:val="en-US"/>
        </w:rPr>
        <w:t>Slavery</w:t>
      </w:r>
      <w:r w:rsidR="00207197" w:rsidRPr="00FE50A6">
        <w:rPr>
          <w:lang w:val="en-US"/>
        </w:rPr>
        <w:t xml:space="preserve"> (</w:t>
      </w:r>
      <w:r w:rsidRPr="00FE50A6">
        <w:rPr>
          <w:lang w:val="en-US"/>
        </w:rPr>
        <w:t>hereinafter</w:t>
      </w:r>
      <w:r w:rsidR="00207197" w:rsidRPr="00FE50A6">
        <w:rPr>
          <w:lang w:val="en-US"/>
        </w:rPr>
        <w:t xml:space="preserve"> </w:t>
      </w:r>
      <w:r w:rsidR="00BF6CF5" w:rsidRPr="00FE50A6">
        <w:rPr>
          <w:lang w:val="en-US"/>
        </w:rPr>
        <w:t>the</w:t>
      </w:r>
      <w:r w:rsidR="00207197" w:rsidRPr="00FE50A6">
        <w:rPr>
          <w:lang w:val="en-US"/>
        </w:rPr>
        <w:t xml:space="preserve"> </w:t>
      </w:r>
      <w:r w:rsidR="009C48A4" w:rsidRPr="00FE50A6">
        <w:rPr>
          <w:lang w:val="en-US"/>
        </w:rPr>
        <w:t>“</w:t>
      </w:r>
      <w:r w:rsidR="00207197" w:rsidRPr="00FE50A6">
        <w:rPr>
          <w:lang w:val="en-US"/>
        </w:rPr>
        <w:t>1926</w:t>
      </w:r>
      <w:r w:rsidR="00BF6CF5" w:rsidRPr="00FE50A6">
        <w:rPr>
          <w:lang w:val="en-US"/>
        </w:rPr>
        <w:t xml:space="preserve"> Convention</w:t>
      </w:r>
      <w:r w:rsidR="009C48A4" w:rsidRPr="00FE50A6">
        <w:rPr>
          <w:lang w:val="en-US"/>
        </w:rPr>
        <w:t>”</w:t>
      </w:r>
      <w:r w:rsidR="00207197" w:rsidRPr="00FE50A6">
        <w:rPr>
          <w:lang w:val="en-US"/>
        </w:rPr>
        <w:t>)</w:t>
      </w:r>
      <w:r w:rsidR="00BF6CF5" w:rsidRPr="00FE50A6">
        <w:rPr>
          <w:lang w:val="en-US"/>
        </w:rPr>
        <w:t xml:space="preserve"> should be understood as an exercise of the powers attaching to the right of ownership of a person.</w:t>
      </w:r>
      <w:r w:rsidR="00207197" w:rsidRPr="00FE50A6">
        <w:rPr>
          <w:lang w:val="en-US"/>
        </w:rPr>
        <w:t xml:space="preserve"> </w:t>
      </w:r>
      <w:r w:rsidR="00BF6CF5" w:rsidRPr="00FE50A6">
        <w:rPr>
          <w:lang w:val="en-US"/>
        </w:rPr>
        <w:t xml:space="preserve">Second, it indicated that the contemporary concept of </w:t>
      </w:r>
      <w:r w:rsidR="00D11A9F" w:rsidRPr="00FE50A6">
        <w:rPr>
          <w:lang w:val="en-US"/>
        </w:rPr>
        <w:t>slavery</w:t>
      </w:r>
      <w:r w:rsidR="00207197" w:rsidRPr="00FE50A6">
        <w:rPr>
          <w:lang w:val="en-US"/>
        </w:rPr>
        <w:t xml:space="preserve"> inclu</w:t>
      </w:r>
      <w:r w:rsidR="00BF6CF5" w:rsidRPr="00FE50A6">
        <w:rPr>
          <w:lang w:val="en-US"/>
        </w:rPr>
        <w:t xml:space="preserve">des </w:t>
      </w:r>
      <w:r w:rsidR="005F1946" w:rsidRPr="00FE50A6">
        <w:rPr>
          <w:lang w:val="en-US"/>
        </w:rPr>
        <w:t>debt bondage</w:t>
      </w:r>
      <w:r w:rsidR="00207197" w:rsidRPr="00FE50A6">
        <w:rPr>
          <w:lang w:val="en-US"/>
        </w:rPr>
        <w:t xml:space="preserve"> </w:t>
      </w:r>
      <w:r w:rsidR="00BF6CF5" w:rsidRPr="00FE50A6">
        <w:rPr>
          <w:lang w:val="en-US"/>
        </w:rPr>
        <w:t>as a practice similar to slavery</w:t>
      </w:r>
      <w:r w:rsidR="00030C17" w:rsidRPr="00FE50A6">
        <w:rPr>
          <w:lang w:val="en-US"/>
        </w:rPr>
        <w:t xml:space="preserve"> and</w:t>
      </w:r>
      <w:r w:rsidR="00BF6CF5" w:rsidRPr="00FE50A6">
        <w:rPr>
          <w:lang w:val="en-US"/>
        </w:rPr>
        <w:t>, therefore, prohibited by</w:t>
      </w:r>
      <w:r w:rsidR="00207197" w:rsidRPr="00FE50A6">
        <w:rPr>
          <w:lang w:val="en-US"/>
        </w:rPr>
        <w:t xml:space="preserve"> </w:t>
      </w:r>
      <w:r w:rsidRPr="00FE50A6">
        <w:rPr>
          <w:lang w:val="en-US"/>
        </w:rPr>
        <w:t>the American Convention</w:t>
      </w:r>
      <w:r w:rsidR="00207197" w:rsidRPr="00FE50A6">
        <w:rPr>
          <w:lang w:val="en-US"/>
        </w:rPr>
        <w:t xml:space="preserve">. </w:t>
      </w:r>
      <w:r w:rsidR="00BF6CF5" w:rsidRPr="00FE50A6">
        <w:rPr>
          <w:lang w:val="en-US"/>
        </w:rPr>
        <w:t>The elements of</w:t>
      </w:r>
      <w:r w:rsidR="00207197" w:rsidRPr="00FE50A6">
        <w:rPr>
          <w:lang w:val="en-US"/>
        </w:rPr>
        <w:t xml:space="preserve"> </w:t>
      </w:r>
      <w:r w:rsidR="005F1946" w:rsidRPr="00FE50A6">
        <w:rPr>
          <w:lang w:val="en-US"/>
        </w:rPr>
        <w:t>debt bondage</w:t>
      </w:r>
      <w:r w:rsidR="00207197" w:rsidRPr="00FE50A6">
        <w:rPr>
          <w:lang w:val="en-US"/>
        </w:rPr>
        <w:t xml:space="preserve"> </w:t>
      </w:r>
      <w:r w:rsidR="00BF6CF5" w:rsidRPr="00FE50A6">
        <w:rPr>
          <w:lang w:val="en-US"/>
        </w:rPr>
        <w:t>are</w:t>
      </w:r>
      <w:r w:rsidR="00207197" w:rsidRPr="00FE50A6">
        <w:rPr>
          <w:lang w:val="en-US"/>
        </w:rPr>
        <w:t xml:space="preserve">: </w:t>
      </w:r>
      <w:r w:rsidR="00BF6CF5" w:rsidRPr="00FE50A6">
        <w:rPr>
          <w:lang w:val="en-US"/>
        </w:rPr>
        <w:t>(</w:t>
      </w:r>
      <w:r w:rsidR="00207197" w:rsidRPr="00FE50A6">
        <w:rPr>
          <w:lang w:val="en-US"/>
        </w:rPr>
        <w:t>i) pr</w:t>
      </w:r>
      <w:r w:rsidR="00BF6CF5" w:rsidRPr="00FE50A6">
        <w:rPr>
          <w:lang w:val="en-US"/>
        </w:rPr>
        <w:t>ovision of services as guarantee for a debt that, nevertheless, are not allocated to its payment; (ii) absence of limits to the duration of the services; (iii) failure to define the nature of the services; (iv) that the persons live on the property where they provide the services; (v) control over the movements of the</w:t>
      </w:r>
      <w:r w:rsidR="00585F24" w:rsidRPr="00FE50A6">
        <w:rPr>
          <w:lang w:val="en-US"/>
        </w:rPr>
        <w:t>se</w:t>
      </w:r>
      <w:r w:rsidR="00BF6CF5" w:rsidRPr="00FE50A6">
        <w:rPr>
          <w:lang w:val="en-US"/>
        </w:rPr>
        <w:t xml:space="preserve"> persons; (vi) existence of measures to prevent escapes; (vii) psychological control of the individual; (viii) the victims are unable to change their circumstances, and (ix) cruel and abusive treatment.</w:t>
      </w:r>
      <w:r w:rsidR="00207197" w:rsidRPr="00FE50A6">
        <w:rPr>
          <w:lang w:val="en-US"/>
        </w:rPr>
        <w:t xml:space="preserve"> </w:t>
      </w:r>
    </w:p>
    <w:p w14:paraId="2D2A6213" w14:textId="77777777" w:rsidR="00207197" w:rsidRPr="00FE50A6" w:rsidRDefault="00207197" w:rsidP="00140440">
      <w:pPr>
        <w:jc w:val="both"/>
        <w:rPr>
          <w:lang w:val="en-US"/>
        </w:rPr>
      </w:pPr>
    </w:p>
    <w:p w14:paraId="4E014360" w14:textId="77777777" w:rsidR="00207197" w:rsidRPr="00FE50A6" w:rsidRDefault="00BF6CF5" w:rsidP="00BF6CF5">
      <w:pPr>
        <w:pStyle w:val="Prrafodelista"/>
        <w:numPr>
          <w:ilvl w:val="0"/>
          <w:numId w:val="1"/>
        </w:numPr>
        <w:contextualSpacing w:val="0"/>
        <w:rPr>
          <w:lang w:val="en-US"/>
        </w:rPr>
      </w:pPr>
      <w:r w:rsidRPr="00FE50A6">
        <w:rPr>
          <w:lang w:val="en-US"/>
        </w:rPr>
        <w:t>The</w:t>
      </w:r>
      <w:r w:rsidR="000228D0" w:rsidRPr="00FE50A6">
        <w:rPr>
          <w:lang w:val="en-US"/>
        </w:rPr>
        <w:t xml:space="preserve"> Commission</w:t>
      </w:r>
      <w:r w:rsidR="00207197" w:rsidRPr="00FE50A6">
        <w:rPr>
          <w:lang w:val="en-US"/>
        </w:rPr>
        <w:t xml:space="preserve"> </w:t>
      </w:r>
      <w:r w:rsidRPr="00FE50A6">
        <w:rPr>
          <w:lang w:val="en-US"/>
        </w:rPr>
        <w:t xml:space="preserve">also indicated that </w:t>
      </w:r>
      <w:r w:rsidR="005F1946" w:rsidRPr="00FE50A6">
        <w:rPr>
          <w:lang w:val="en-US"/>
        </w:rPr>
        <w:t>forced labor</w:t>
      </w:r>
      <w:r w:rsidR="00207197" w:rsidRPr="00FE50A6">
        <w:rPr>
          <w:lang w:val="en-US"/>
        </w:rPr>
        <w:t xml:space="preserve"> </w:t>
      </w:r>
      <w:r w:rsidRPr="00FE50A6">
        <w:rPr>
          <w:lang w:val="en-US"/>
        </w:rPr>
        <w:t xml:space="preserve">refers to those services provided under threat of punishment, and that are provided unwillingly by the victims. It added that the fact that payment is received in exchange for the services does not prevent them from being classified as </w:t>
      </w:r>
      <w:r w:rsidR="00125A00" w:rsidRPr="00FE50A6">
        <w:rPr>
          <w:lang w:val="en-US"/>
        </w:rPr>
        <w:t>servitude</w:t>
      </w:r>
      <w:r w:rsidR="00207197" w:rsidRPr="00FE50A6">
        <w:rPr>
          <w:lang w:val="en-US"/>
        </w:rPr>
        <w:t xml:space="preserve"> o</w:t>
      </w:r>
      <w:r w:rsidRPr="00FE50A6">
        <w:rPr>
          <w:lang w:val="en-US"/>
        </w:rPr>
        <w:t>r</w:t>
      </w:r>
      <w:r w:rsidR="00207197" w:rsidRPr="00FE50A6">
        <w:rPr>
          <w:lang w:val="en-US"/>
        </w:rPr>
        <w:t xml:space="preserve"> </w:t>
      </w:r>
      <w:r w:rsidR="005F1946" w:rsidRPr="00FE50A6">
        <w:rPr>
          <w:lang w:val="en-US"/>
        </w:rPr>
        <w:t>forced labor</w:t>
      </w:r>
      <w:r w:rsidR="00207197" w:rsidRPr="00FE50A6">
        <w:rPr>
          <w:lang w:val="en-US"/>
        </w:rPr>
        <w:t xml:space="preserve">. </w:t>
      </w:r>
      <w:r w:rsidRPr="00FE50A6">
        <w:rPr>
          <w:lang w:val="en-US"/>
        </w:rPr>
        <w:t>Lastly</w:t>
      </w:r>
      <w:r w:rsidR="00207197" w:rsidRPr="00FE50A6">
        <w:rPr>
          <w:lang w:val="en-US"/>
        </w:rPr>
        <w:t xml:space="preserve">, </w:t>
      </w:r>
      <w:r w:rsidR="000228D0" w:rsidRPr="00FE50A6">
        <w:rPr>
          <w:lang w:val="en-US"/>
        </w:rPr>
        <w:t>the Commission</w:t>
      </w:r>
      <w:r w:rsidR="00207197" w:rsidRPr="00FE50A6">
        <w:rPr>
          <w:lang w:val="en-US"/>
        </w:rPr>
        <w:t xml:space="preserve"> </w:t>
      </w:r>
      <w:r w:rsidRPr="00FE50A6">
        <w:rPr>
          <w:lang w:val="en-US"/>
        </w:rPr>
        <w:t xml:space="preserve">asserted that there is a close relationship between the different abusive practices such as </w:t>
      </w:r>
      <w:r w:rsidR="005F1946" w:rsidRPr="00FE50A6">
        <w:rPr>
          <w:lang w:val="en-US"/>
        </w:rPr>
        <w:t>forced labor</w:t>
      </w:r>
      <w:r w:rsidR="00207197" w:rsidRPr="00FE50A6">
        <w:rPr>
          <w:lang w:val="en-US"/>
        </w:rPr>
        <w:t xml:space="preserve">, </w:t>
      </w:r>
      <w:r w:rsidR="00D11A9F" w:rsidRPr="00FE50A6">
        <w:rPr>
          <w:lang w:val="en-US"/>
        </w:rPr>
        <w:t>slavery</w:t>
      </w:r>
      <w:r w:rsidR="00207197" w:rsidRPr="00FE50A6">
        <w:rPr>
          <w:lang w:val="en-US"/>
        </w:rPr>
        <w:t xml:space="preserve">, </w:t>
      </w:r>
      <w:r w:rsidR="005F1946" w:rsidRPr="00FE50A6">
        <w:rPr>
          <w:lang w:val="en-US"/>
        </w:rPr>
        <w:t>debt bondage</w:t>
      </w:r>
      <w:r w:rsidR="00207197" w:rsidRPr="00FE50A6">
        <w:rPr>
          <w:lang w:val="en-US"/>
        </w:rPr>
        <w:t xml:space="preserve">, </w:t>
      </w:r>
      <w:r w:rsidRPr="00FE50A6">
        <w:rPr>
          <w:lang w:val="en-US"/>
        </w:rPr>
        <w:t>trafficking</w:t>
      </w:r>
      <w:r w:rsidR="00207197" w:rsidRPr="00FE50A6">
        <w:rPr>
          <w:rStyle w:val="Refdenotaalpie"/>
          <w:lang w:val="en-US"/>
        </w:rPr>
        <w:footnoteReference w:id="351"/>
      </w:r>
      <w:r w:rsidR="00030C17" w:rsidRPr="00FE50A6">
        <w:rPr>
          <w:lang w:val="en-US"/>
        </w:rPr>
        <w:t xml:space="preserve"> and </w:t>
      </w:r>
      <w:r w:rsidR="00207197" w:rsidRPr="00FE50A6">
        <w:rPr>
          <w:lang w:val="en-US"/>
        </w:rPr>
        <w:t>labor</w:t>
      </w:r>
      <w:r w:rsidRPr="00FE50A6">
        <w:rPr>
          <w:lang w:val="en-US"/>
        </w:rPr>
        <w:t xml:space="preserve"> exploitation.</w:t>
      </w:r>
      <w:r w:rsidR="00207197" w:rsidRPr="00FE50A6">
        <w:rPr>
          <w:lang w:val="en-US"/>
        </w:rPr>
        <w:t xml:space="preserve"> </w:t>
      </w:r>
      <w:r w:rsidRPr="00FE50A6">
        <w:rPr>
          <w:lang w:val="en-US"/>
        </w:rPr>
        <w:t>The interrelationship between these conducts supposes that one and the same act can be classified under different concepts and that they are never mutually exclusive</w:t>
      </w:r>
      <w:r w:rsidR="00207197" w:rsidRPr="00FE50A6">
        <w:rPr>
          <w:lang w:val="en-US"/>
        </w:rPr>
        <w:t>.</w:t>
      </w:r>
    </w:p>
    <w:p w14:paraId="218296DD" w14:textId="77777777" w:rsidR="00207197" w:rsidRPr="00FE50A6" w:rsidRDefault="00207197" w:rsidP="00140440">
      <w:pPr>
        <w:jc w:val="both"/>
        <w:rPr>
          <w:lang w:val="en-US"/>
        </w:rPr>
      </w:pPr>
      <w:r w:rsidRPr="00FE50A6">
        <w:rPr>
          <w:lang w:val="en-US"/>
        </w:rPr>
        <w:t xml:space="preserve"> </w:t>
      </w:r>
    </w:p>
    <w:p w14:paraId="29E25FB9" w14:textId="77777777" w:rsidR="001F336F" w:rsidRPr="00FE50A6" w:rsidRDefault="000228D0" w:rsidP="00F37DC4">
      <w:pPr>
        <w:pStyle w:val="Prrafodelista"/>
        <w:numPr>
          <w:ilvl w:val="0"/>
          <w:numId w:val="1"/>
        </w:numPr>
        <w:contextualSpacing w:val="0"/>
        <w:rPr>
          <w:lang w:val="en-US"/>
        </w:rPr>
      </w:pPr>
      <w:r w:rsidRPr="00FE50A6">
        <w:rPr>
          <w:lang w:val="en-US"/>
        </w:rPr>
        <w:t>The Commission</w:t>
      </w:r>
      <w:r w:rsidR="00207197" w:rsidRPr="00FE50A6">
        <w:rPr>
          <w:lang w:val="en-US"/>
        </w:rPr>
        <w:t xml:space="preserve"> </w:t>
      </w:r>
      <w:r w:rsidR="00BF6CF5" w:rsidRPr="00FE50A6">
        <w:rPr>
          <w:lang w:val="en-US"/>
        </w:rPr>
        <w:t>stated that the testimony of the rescued workers and the other evidence provided</w:t>
      </w:r>
      <w:r w:rsidR="00207197" w:rsidRPr="00FE50A6">
        <w:rPr>
          <w:rStyle w:val="Refdenotaalpie"/>
          <w:lang w:val="en-US"/>
        </w:rPr>
        <w:footnoteReference w:id="352"/>
      </w:r>
      <w:r w:rsidR="00BF6CF5" w:rsidRPr="00FE50A6">
        <w:rPr>
          <w:lang w:val="en-US"/>
        </w:rPr>
        <w:t xml:space="preserve"> reveal that, in </w:t>
      </w:r>
      <w:r w:rsidR="00207197" w:rsidRPr="00FE50A6">
        <w:rPr>
          <w:lang w:val="en-US"/>
        </w:rPr>
        <w:t xml:space="preserve">Hacienda </w:t>
      </w:r>
      <w:r w:rsidR="00322241" w:rsidRPr="00FE50A6">
        <w:rPr>
          <w:lang w:val="en-US"/>
        </w:rPr>
        <w:t>Brasil Verde</w:t>
      </w:r>
      <w:r w:rsidR="00207197" w:rsidRPr="00FE50A6">
        <w:rPr>
          <w:lang w:val="en-US"/>
        </w:rPr>
        <w:t xml:space="preserve">: </w:t>
      </w:r>
      <w:r w:rsidR="00BF6CF5" w:rsidRPr="00FE50A6">
        <w:rPr>
          <w:lang w:val="en-US"/>
        </w:rPr>
        <w:t>(</w:t>
      </w:r>
      <w:r w:rsidR="00207197" w:rsidRPr="00FE50A6">
        <w:rPr>
          <w:lang w:val="en-US"/>
        </w:rPr>
        <w:t xml:space="preserve">i) </w:t>
      </w:r>
      <w:r w:rsidR="00BF6CF5" w:rsidRPr="00FE50A6">
        <w:rPr>
          <w:lang w:val="en-US"/>
        </w:rPr>
        <w:t>the workers who wanted to leave the hacienda were subjected to death threats; (ii) the workers were prevented from leaving the property freely; (iii) there were no salaries or the</w:t>
      </w:r>
      <w:r w:rsidR="00585F24" w:rsidRPr="00FE50A6">
        <w:rPr>
          <w:lang w:val="en-US"/>
        </w:rPr>
        <w:t>se</w:t>
      </w:r>
      <w:r w:rsidR="00BF6CF5" w:rsidRPr="00FE50A6">
        <w:rPr>
          <w:lang w:val="en-US"/>
        </w:rPr>
        <w:t xml:space="preserve"> were </w:t>
      </w:r>
      <w:r w:rsidR="001F336F" w:rsidRPr="00FE50A6">
        <w:rPr>
          <w:lang w:val="en-US"/>
        </w:rPr>
        <w:t>derisory; (iv) workers were indebted to the owner of the hacienda, and (v) the</w:t>
      </w:r>
      <w:r w:rsidR="00585F24" w:rsidRPr="00FE50A6">
        <w:rPr>
          <w:lang w:val="en-US"/>
        </w:rPr>
        <w:t xml:space="preserve"> conditions of</w:t>
      </w:r>
      <w:r w:rsidR="001F336F" w:rsidRPr="00FE50A6">
        <w:rPr>
          <w:lang w:val="en-US"/>
        </w:rPr>
        <w:t xml:space="preserve"> housing, health and alimentation were appalling. On this basis, the Commission concluded that the </w:t>
      </w:r>
      <w:r w:rsidR="00585F24" w:rsidRPr="00FE50A6">
        <w:rPr>
          <w:lang w:val="en-US"/>
        </w:rPr>
        <w:t xml:space="preserve">hacienda </w:t>
      </w:r>
      <w:r w:rsidR="001F336F" w:rsidRPr="00FE50A6">
        <w:rPr>
          <w:lang w:val="en-US"/>
        </w:rPr>
        <w:t xml:space="preserve">owner and </w:t>
      </w:r>
      <w:r w:rsidR="00585F24" w:rsidRPr="00FE50A6">
        <w:rPr>
          <w:lang w:val="en-US"/>
        </w:rPr>
        <w:t>foremen</w:t>
      </w:r>
      <w:r w:rsidR="001F336F" w:rsidRPr="00FE50A6">
        <w:rPr>
          <w:lang w:val="en-US"/>
        </w:rPr>
        <w:t xml:space="preserve"> used the workers as if they owned them.</w:t>
      </w:r>
    </w:p>
    <w:p w14:paraId="6C7F01F6" w14:textId="77777777" w:rsidR="00207197" w:rsidRPr="00FE50A6" w:rsidRDefault="00207197" w:rsidP="00140440">
      <w:pPr>
        <w:jc w:val="both"/>
        <w:rPr>
          <w:lang w:val="en-US"/>
        </w:rPr>
      </w:pPr>
    </w:p>
    <w:p w14:paraId="5F7B3EB0" w14:textId="77777777" w:rsidR="001F336F" w:rsidRPr="00FE50A6" w:rsidRDefault="001F336F" w:rsidP="00F37DC4">
      <w:pPr>
        <w:pStyle w:val="Prrafodelista"/>
        <w:numPr>
          <w:ilvl w:val="0"/>
          <w:numId w:val="1"/>
        </w:numPr>
        <w:contextualSpacing w:val="0"/>
        <w:rPr>
          <w:lang w:val="en-US"/>
        </w:rPr>
      </w:pPr>
      <w:r w:rsidRPr="00FE50A6">
        <w:rPr>
          <w:lang w:val="en-US"/>
        </w:rPr>
        <w:t>In addition</w:t>
      </w:r>
      <w:r w:rsidR="00207197" w:rsidRPr="00FE50A6">
        <w:rPr>
          <w:lang w:val="en-US"/>
        </w:rPr>
        <w:t xml:space="preserve">, </w:t>
      </w:r>
      <w:r w:rsidR="000228D0" w:rsidRPr="00FE50A6">
        <w:rPr>
          <w:lang w:val="en-US"/>
        </w:rPr>
        <w:t>the Commission</w:t>
      </w:r>
      <w:r w:rsidR="00207197" w:rsidRPr="00FE50A6">
        <w:rPr>
          <w:lang w:val="en-US"/>
        </w:rPr>
        <w:t xml:space="preserve"> </w:t>
      </w:r>
      <w:r w:rsidRPr="00FE50A6">
        <w:rPr>
          <w:lang w:val="en-US"/>
        </w:rPr>
        <w:t xml:space="preserve">indicated that debt bondage existed in this case. The workers acquired huge debts with the </w:t>
      </w:r>
      <w:r w:rsidRPr="00FE50A6">
        <w:rPr>
          <w:i/>
          <w:lang w:val="en-US"/>
        </w:rPr>
        <w:t>gatos</w:t>
      </w:r>
      <w:r w:rsidRPr="00FE50A6">
        <w:rPr>
          <w:lang w:val="en-US"/>
        </w:rPr>
        <w:t xml:space="preserve"> and the hacienda</w:t>
      </w:r>
      <w:r w:rsidR="00585F24" w:rsidRPr="00FE50A6">
        <w:rPr>
          <w:lang w:val="en-US"/>
        </w:rPr>
        <w:t xml:space="preserve"> foremen</w:t>
      </w:r>
      <w:r w:rsidRPr="00FE50A6">
        <w:rPr>
          <w:lang w:val="en-US"/>
        </w:rPr>
        <w:t xml:space="preserve"> for their transfer, food and other items. </w:t>
      </w:r>
      <w:r w:rsidR="00585F24" w:rsidRPr="00FE50A6">
        <w:rPr>
          <w:lang w:val="en-US"/>
        </w:rPr>
        <w:t>Since they received</w:t>
      </w:r>
      <w:r w:rsidRPr="00FE50A6">
        <w:rPr>
          <w:lang w:val="en-US"/>
        </w:rPr>
        <w:t xml:space="preserve"> little or no </w:t>
      </w:r>
      <w:r w:rsidR="00585F24" w:rsidRPr="00FE50A6">
        <w:rPr>
          <w:lang w:val="en-US"/>
        </w:rPr>
        <w:t>wages</w:t>
      </w:r>
      <w:r w:rsidRPr="00FE50A6">
        <w:rPr>
          <w:lang w:val="en-US"/>
        </w:rPr>
        <w:t xml:space="preserve">, it was almost impossible to pay off the debt and, until it was paid, the workers could not leave the hacienda. </w:t>
      </w:r>
      <w:r w:rsidR="00A90BA3" w:rsidRPr="00FE50A6">
        <w:rPr>
          <w:lang w:val="en-US"/>
        </w:rPr>
        <w:t>The Commission</w:t>
      </w:r>
      <w:r w:rsidRPr="00FE50A6">
        <w:rPr>
          <w:lang w:val="en-US"/>
        </w:rPr>
        <w:t xml:space="preserve"> also considered that the case involved forced labor because the services were provided under threat of violence and against the will of the workers. </w:t>
      </w:r>
      <w:r w:rsidR="00A90BA3" w:rsidRPr="00FE50A6">
        <w:rPr>
          <w:lang w:val="en-US"/>
        </w:rPr>
        <w:t>It</w:t>
      </w:r>
      <w:r w:rsidRPr="00FE50A6">
        <w:rPr>
          <w:lang w:val="en-US"/>
        </w:rPr>
        <w:t xml:space="preserve"> indicated that, although the workers initially agreed to work voluntarily, this agreement was obtained based on false promises and they </w:t>
      </w:r>
      <w:r w:rsidR="00A90BA3" w:rsidRPr="00FE50A6">
        <w:rPr>
          <w:lang w:val="en-US"/>
        </w:rPr>
        <w:t>were unable to</w:t>
      </w:r>
      <w:r w:rsidRPr="00FE50A6">
        <w:rPr>
          <w:lang w:val="en-US"/>
        </w:rPr>
        <w:t xml:space="preserve"> leave the hacienda when they discovered the real working conditions.</w:t>
      </w:r>
    </w:p>
    <w:p w14:paraId="1620DDC0" w14:textId="77777777" w:rsidR="00207197" w:rsidRPr="00FE50A6" w:rsidRDefault="00207197" w:rsidP="00140440">
      <w:pPr>
        <w:jc w:val="both"/>
        <w:rPr>
          <w:lang w:val="en-US"/>
        </w:rPr>
      </w:pPr>
    </w:p>
    <w:p w14:paraId="05E7D33D" w14:textId="77777777" w:rsidR="001F336F" w:rsidRPr="00FE50A6" w:rsidRDefault="000228D0" w:rsidP="001F336F">
      <w:pPr>
        <w:pStyle w:val="Prrafodelista"/>
        <w:numPr>
          <w:ilvl w:val="0"/>
          <w:numId w:val="1"/>
        </w:numPr>
        <w:contextualSpacing w:val="0"/>
        <w:rPr>
          <w:lang w:val="en-US"/>
        </w:rPr>
      </w:pPr>
      <w:r w:rsidRPr="00FE50A6">
        <w:rPr>
          <w:lang w:val="en-US"/>
        </w:rPr>
        <w:t>The Commission</w:t>
      </w:r>
      <w:r w:rsidR="00207197" w:rsidRPr="00FE50A6">
        <w:rPr>
          <w:lang w:val="en-US"/>
        </w:rPr>
        <w:t xml:space="preserve"> </w:t>
      </w:r>
      <w:r w:rsidR="001F336F" w:rsidRPr="00FE50A6">
        <w:rPr>
          <w:lang w:val="en-US"/>
        </w:rPr>
        <w:t xml:space="preserve">asserted that the Brazilian State was aware of the phenomenon </w:t>
      </w:r>
      <w:proofErr w:type="gramStart"/>
      <w:r w:rsidR="001F336F" w:rsidRPr="00FE50A6">
        <w:rPr>
          <w:lang w:val="en-US"/>
        </w:rPr>
        <w:t xml:space="preserve">of </w:t>
      </w:r>
      <w:r w:rsidR="00207197" w:rsidRPr="00FE50A6">
        <w:rPr>
          <w:lang w:val="en-US"/>
        </w:rPr>
        <w:t xml:space="preserve"> </w:t>
      </w:r>
      <w:r w:rsidR="005F1946" w:rsidRPr="00FE50A6">
        <w:rPr>
          <w:lang w:val="en-US"/>
        </w:rPr>
        <w:t>slave</w:t>
      </w:r>
      <w:proofErr w:type="gramEnd"/>
      <w:r w:rsidR="005F1946" w:rsidRPr="00FE50A6">
        <w:rPr>
          <w:lang w:val="en-US"/>
        </w:rPr>
        <w:t xml:space="preserve"> labor</w:t>
      </w:r>
      <w:r w:rsidR="00207197" w:rsidRPr="00FE50A6">
        <w:rPr>
          <w:lang w:val="en-US"/>
        </w:rPr>
        <w:t xml:space="preserve"> </w:t>
      </w:r>
      <w:r w:rsidR="001F336F" w:rsidRPr="00FE50A6">
        <w:rPr>
          <w:lang w:val="en-US"/>
        </w:rPr>
        <w:t xml:space="preserve">in its territory long before the events of this case. </w:t>
      </w:r>
      <w:r w:rsidR="00A90BA3" w:rsidRPr="00FE50A6">
        <w:rPr>
          <w:lang w:val="en-US"/>
        </w:rPr>
        <w:t>Moreover</w:t>
      </w:r>
      <w:r w:rsidR="001F336F" w:rsidRPr="00FE50A6">
        <w:rPr>
          <w:lang w:val="en-US"/>
        </w:rPr>
        <w:t xml:space="preserve">, not only did the State know about the problem in general terms, but it was very well aware of the situation in </w:t>
      </w:r>
      <w:r w:rsidR="00207197" w:rsidRPr="00FE50A6">
        <w:rPr>
          <w:lang w:val="en-US"/>
        </w:rPr>
        <w:t xml:space="preserve">Hacienda </w:t>
      </w:r>
      <w:r w:rsidR="00322241" w:rsidRPr="00FE50A6">
        <w:rPr>
          <w:lang w:val="en-US"/>
        </w:rPr>
        <w:t>Brasil Verde</w:t>
      </w:r>
      <w:r w:rsidR="00207197" w:rsidRPr="00FE50A6">
        <w:rPr>
          <w:lang w:val="en-US"/>
        </w:rPr>
        <w:t xml:space="preserve">. </w:t>
      </w:r>
      <w:r w:rsidRPr="00FE50A6">
        <w:rPr>
          <w:lang w:val="en-US"/>
        </w:rPr>
        <w:t>The Commission</w:t>
      </w:r>
      <w:r w:rsidR="00207197" w:rsidRPr="00FE50A6">
        <w:rPr>
          <w:lang w:val="en-US"/>
        </w:rPr>
        <w:t xml:space="preserve"> </w:t>
      </w:r>
      <w:r w:rsidR="001F336F" w:rsidRPr="00FE50A6">
        <w:rPr>
          <w:lang w:val="en-US"/>
        </w:rPr>
        <w:t xml:space="preserve">indicated that, even though the 1989 and 1997 inspections fall outside the Court’s competence, they should be taken into account as the context of what happened in the hacienda and of the State’s knowledge of the situation. In the Commission’s opinion, all the requirements are fulfilled for declaring Brazil’s responsibility by omission; </w:t>
      </w:r>
      <w:r w:rsidR="00A90BA3" w:rsidRPr="00FE50A6">
        <w:rPr>
          <w:lang w:val="en-US"/>
        </w:rPr>
        <w:t>namely</w:t>
      </w:r>
      <w:r w:rsidR="001F336F" w:rsidRPr="00FE50A6">
        <w:rPr>
          <w:lang w:val="en-US"/>
        </w:rPr>
        <w:t>: (i) the existence of a real and imminent risk; (ii) the State’s knowledge of this risk; (iii) the special situation of the individuals affected, and (iv) the reasonable possibilities of prevention.</w:t>
      </w:r>
    </w:p>
    <w:p w14:paraId="299F7F63" w14:textId="77777777" w:rsidR="00207197" w:rsidRPr="00FE50A6" w:rsidRDefault="00207197" w:rsidP="00140440">
      <w:pPr>
        <w:jc w:val="both"/>
        <w:rPr>
          <w:lang w:val="en-US"/>
        </w:rPr>
      </w:pPr>
    </w:p>
    <w:p w14:paraId="66E6C397" w14:textId="77777777" w:rsidR="00207197" w:rsidRPr="00FE50A6" w:rsidRDefault="000228D0" w:rsidP="00F37DC4">
      <w:pPr>
        <w:pStyle w:val="Prrafodelista"/>
        <w:numPr>
          <w:ilvl w:val="0"/>
          <w:numId w:val="1"/>
        </w:numPr>
        <w:contextualSpacing w:val="0"/>
        <w:rPr>
          <w:lang w:val="en-US"/>
        </w:rPr>
      </w:pPr>
      <w:r w:rsidRPr="00FE50A6">
        <w:rPr>
          <w:lang w:val="en-US"/>
        </w:rPr>
        <w:t>The Commission</w:t>
      </w:r>
      <w:r w:rsidR="00207197" w:rsidRPr="00FE50A6">
        <w:rPr>
          <w:lang w:val="en-US"/>
        </w:rPr>
        <w:t xml:space="preserve"> reco</w:t>
      </w:r>
      <w:r w:rsidR="00C76677" w:rsidRPr="00FE50A6">
        <w:rPr>
          <w:lang w:val="en-US"/>
        </w:rPr>
        <w:t xml:space="preserve">gnized the efforts that Brazil had made to combat </w:t>
      </w:r>
      <w:r w:rsidR="005F1946" w:rsidRPr="00FE50A6">
        <w:rPr>
          <w:lang w:val="en-US"/>
        </w:rPr>
        <w:t>slave labor</w:t>
      </w:r>
      <w:r w:rsidR="00C76677" w:rsidRPr="00FE50A6">
        <w:rPr>
          <w:lang w:val="en-US"/>
        </w:rPr>
        <w:t xml:space="preserve">; however, it </w:t>
      </w:r>
      <w:r w:rsidR="00A90BA3" w:rsidRPr="00FE50A6">
        <w:rPr>
          <w:lang w:val="en-US"/>
        </w:rPr>
        <w:t>stressed</w:t>
      </w:r>
      <w:r w:rsidR="00C76677" w:rsidRPr="00FE50A6">
        <w:rPr>
          <w:lang w:val="en-US"/>
        </w:rPr>
        <w:t xml:space="preserve"> that all the relevant measures were taken after 2003. In </w:t>
      </w:r>
      <w:r w:rsidR="00207197" w:rsidRPr="00FE50A6">
        <w:rPr>
          <w:lang w:val="en-US"/>
        </w:rPr>
        <w:t xml:space="preserve">particular, </w:t>
      </w:r>
      <w:r w:rsidRPr="00FE50A6">
        <w:rPr>
          <w:lang w:val="en-US"/>
        </w:rPr>
        <w:t>the Commission</w:t>
      </w:r>
      <w:r w:rsidR="00207197" w:rsidRPr="00FE50A6">
        <w:rPr>
          <w:lang w:val="en-US"/>
        </w:rPr>
        <w:t xml:space="preserve"> </w:t>
      </w:r>
      <w:r w:rsidR="00C76677" w:rsidRPr="00FE50A6">
        <w:rPr>
          <w:lang w:val="en-US"/>
        </w:rPr>
        <w:t xml:space="preserve">argued that there is no evidence that Brazil had taken any measure to prevent and protect the victims in this specific case from 1998 to 2000. It underlined, for example: (i) the infrequency of the inspections despite the serious deficiencies found previously; (ii) the inadequacy of the </w:t>
      </w:r>
      <w:r w:rsidR="00A90BA3" w:rsidRPr="00FE50A6">
        <w:rPr>
          <w:lang w:val="en-US"/>
        </w:rPr>
        <w:t xml:space="preserve">verification, collection and </w:t>
      </w:r>
      <w:r w:rsidR="00C76677" w:rsidRPr="00FE50A6">
        <w:rPr>
          <w:lang w:val="en-US"/>
        </w:rPr>
        <w:t>re</w:t>
      </w:r>
      <w:r w:rsidR="00A90BA3" w:rsidRPr="00FE50A6">
        <w:rPr>
          <w:lang w:val="en-US"/>
        </w:rPr>
        <w:t xml:space="preserve">cording </w:t>
      </w:r>
      <w:r w:rsidR="00C76677" w:rsidRPr="00FE50A6">
        <w:rPr>
          <w:lang w:val="en-US"/>
        </w:rPr>
        <w:t>of evidence during the inspections, and (iii) the absence of short- and medium-term consequences following the inspections</w:t>
      </w:r>
      <w:r w:rsidR="00207197" w:rsidRPr="00FE50A6">
        <w:rPr>
          <w:lang w:val="en-US"/>
        </w:rPr>
        <w:t xml:space="preserve">. </w:t>
      </w:r>
    </w:p>
    <w:p w14:paraId="3DEA74C3" w14:textId="77777777" w:rsidR="003E533F" w:rsidRPr="00FE50A6" w:rsidRDefault="003E533F" w:rsidP="00F672B7">
      <w:pPr>
        <w:pStyle w:val="Prrafodelista"/>
        <w:rPr>
          <w:lang w:val="en-US"/>
        </w:rPr>
      </w:pPr>
    </w:p>
    <w:p w14:paraId="668E2ECF" w14:textId="77777777" w:rsidR="003E533F" w:rsidRPr="00FE50A6" w:rsidRDefault="00B02564" w:rsidP="00F37DC4">
      <w:pPr>
        <w:pStyle w:val="Prrafodelista"/>
        <w:numPr>
          <w:ilvl w:val="0"/>
          <w:numId w:val="1"/>
        </w:numPr>
        <w:contextualSpacing w:val="0"/>
        <w:rPr>
          <w:lang w:val="en-US"/>
        </w:rPr>
      </w:pPr>
      <w:r w:rsidRPr="00FE50A6">
        <w:rPr>
          <w:lang w:val="en-US"/>
        </w:rPr>
        <w:t>Lastly</w:t>
      </w:r>
      <w:r w:rsidR="003E533F" w:rsidRPr="00FE50A6">
        <w:rPr>
          <w:lang w:val="en-US"/>
        </w:rPr>
        <w:t xml:space="preserve">, </w:t>
      </w:r>
      <w:r w:rsidR="000228D0" w:rsidRPr="00FE50A6">
        <w:rPr>
          <w:lang w:val="en-US"/>
        </w:rPr>
        <w:t>the Commission</w:t>
      </w:r>
      <w:r w:rsidR="003E533F" w:rsidRPr="00FE50A6">
        <w:rPr>
          <w:b/>
          <w:i/>
          <w:lang w:val="en-US"/>
        </w:rPr>
        <w:t xml:space="preserve"> </w:t>
      </w:r>
      <w:r w:rsidRPr="00FE50A6">
        <w:rPr>
          <w:lang w:val="en-US"/>
        </w:rPr>
        <w:t xml:space="preserve">indicated that the facts of this case “reveal </w:t>
      </w:r>
      <w:r w:rsidRPr="00FE50A6">
        <w:rPr>
          <w:i/>
          <w:lang w:val="en-US"/>
        </w:rPr>
        <w:t>de facto</w:t>
      </w:r>
      <w:r w:rsidRPr="00FE50A6">
        <w:rPr>
          <w:lang w:val="en-US"/>
        </w:rPr>
        <w:t xml:space="preserve"> discrimination against a specific group of people who have been marginalized from the enjoyment of the rights examined.” The </w:t>
      </w:r>
      <w:r w:rsidR="000228D0" w:rsidRPr="00FE50A6">
        <w:rPr>
          <w:lang w:val="en-US"/>
        </w:rPr>
        <w:t>Commission</w:t>
      </w:r>
      <w:r w:rsidR="003E533F" w:rsidRPr="00FE50A6">
        <w:rPr>
          <w:lang w:val="en-US"/>
        </w:rPr>
        <w:t xml:space="preserve"> </w:t>
      </w:r>
      <w:r w:rsidRPr="00FE50A6">
        <w:rPr>
          <w:lang w:val="en-US"/>
        </w:rPr>
        <w:t xml:space="preserve">also considered that </w:t>
      </w:r>
      <w:r w:rsidR="000228D0" w:rsidRPr="00FE50A6">
        <w:rPr>
          <w:lang w:val="en-US"/>
        </w:rPr>
        <w:t>the State</w:t>
      </w:r>
      <w:r w:rsidRPr="00FE50A6">
        <w:rPr>
          <w:lang w:val="en-US"/>
        </w:rPr>
        <w:t xml:space="preserve"> had</w:t>
      </w:r>
      <w:r w:rsidR="003E533F" w:rsidRPr="00FE50A6">
        <w:rPr>
          <w:lang w:val="en-US"/>
        </w:rPr>
        <w:t xml:space="preserve"> </w:t>
      </w:r>
      <w:r w:rsidR="009C48A4" w:rsidRPr="00FE50A6">
        <w:rPr>
          <w:lang w:val="en-US"/>
        </w:rPr>
        <w:t>“</w:t>
      </w:r>
      <w:r w:rsidR="003E533F" w:rsidRPr="00FE50A6">
        <w:rPr>
          <w:lang w:val="en-US"/>
        </w:rPr>
        <w:t>no</w:t>
      </w:r>
      <w:r w:rsidRPr="00FE50A6">
        <w:rPr>
          <w:lang w:val="en-US"/>
        </w:rPr>
        <w:t>t adopted sufficient and effective measures to ensure, without discrimination, the rights of the workers found in the 1993, 1996, 1997 and 2000</w:t>
      </w:r>
      <w:r w:rsidR="00A90BA3" w:rsidRPr="00FE50A6">
        <w:rPr>
          <w:lang w:val="en-US"/>
        </w:rPr>
        <w:t xml:space="preserve"> inspections</w:t>
      </w:r>
      <w:r w:rsidRPr="00FE50A6">
        <w:rPr>
          <w:lang w:val="en-US"/>
        </w:rPr>
        <w:t>.</w:t>
      </w:r>
      <w:r w:rsidR="009C48A4" w:rsidRPr="00FE50A6">
        <w:rPr>
          <w:lang w:val="en-US"/>
        </w:rPr>
        <w:t>”</w:t>
      </w:r>
      <w:r w:rsidR="003E533F" w:rsidRPr="00FE50A6">
        <w:rPr>
          <w:lang w:val="en-US"/>
        </w:rPr>
        <w:t xml:space="preserve"> </w:t>
      </w:r>
    </w:p>
    <w:p w14:paraId="77A6B075" w14:textId="77777777" w:rsidR="00207197" w:rsidRPr="00FE50A6" w:rsidRDefault="00207197" w:rsidP="00140440">
      <w:pPr>
        <w:jc w:val="both"/>
        <w:rPr>
          <w:lang w:val="en-US"/>
        </w:rPr>
      </w:pPr>
    </w:p>
    <w:p w14:paraId="50CC82F8" w14:textId="77777777" w:rsidR="00207197" w:rsidRPr="00FE50A6" w:rsidRDefault="00B02564" w:rsidP="00F37DC4">
      <w:pPr>
        <w:pStyle w:val="Prrafodelista"/>
        <w:numPr>
          <w:ilvl w:val="0"/>
          <w:numId w:val="1"/>
        </w:numPr>
        <w:contextualSpacing w:val="0"/>
        <w:rPr>
          <w:lang w:val="en-US"/>
        </w:rPr>
      </w:pPr>
      <w:r w:rsidRPr="00FE50A6">
        <w:rPr>
          <w:lang w:val="en-US"/>
        </w:rPr>
        <w:t>I</w:t>
      </w:r>
      <w:r w:rsidR="00207197" w:rsidRPr="00FE50A6">
        <w:rPr>
          <w:lang w:val="en-US"/>
        </w:rPr>
        <w:t>n conclusi</w:t>
      </w:r>
      <w:r w:rsidRPr="00FE50A6">
        <w:rPr>
          <w:lang w:val="en-US"/>
        </w:rPr>
        <w:t>o</w:t>
      </w:r>
      <w:r w:rsidR="00207197" w:rsidRPr="00FE50A6">
        <w:rPr>
          <w:lang w:val="en-US"/>
        </w:rPr>
        <w:t xml:space="preserve">n, </w:t>
      </w:r>
      <w:r w:rsidR="000228D0" w:rsidRPr="00FE50A6">
        <w:rPr>
          <w:lang w:val="en-US"/>
        </w:rPr>
        <w:t>the Commission</w:t>
      </w:r>
      <w:r w:rsidR="00207197" w:rsidRPr="00FE50A6">
        <w:rPr>
          <w:lang w:val="en-US"/>
        </w:rPr>
        <w:t xml:space="preserve"> </w:t>
      </w:r>
      <w:r w:rsidRPr="00FE50A6">
        <w:rPr>
          <w:lang w:val="en-US"/>
        </w:rPr>
        <w:t>argued that</w:t>
      </w:r>
      <w:r w:rsidR="00207197" w:rsidRPr="00FE50A6">
        <w:rPr>
          <w:lang w:val="en-US"/>
        </w:rPr>
        <w:t xml:space="preserve"> </w:t>
      </w:r>
      <w:r w:rsidR="000228D0" w:rsidRPr="00FE50A6">
        <w:rPr>
          <w:lang w:val="en-US"/>
        </w:rPr>
        <w:t>Brazil</w:t>
      </w:r>
      <w:r w:rsidR="00207197" w:rsidRPr="00FE50A6">
        <w:rPr>
          <w:lang w:val="en-US"/>
        </w:rPr>
        <w:t xml:space="preserve"> </w:t>
      </w:r>
      <w:r w:rsidRPr="00FE50A6">
        <w:rPr>
          <w:lang w:val="en-US"/>
        </w:rPr>
        <w:t xml:space="preserve">was internationally responsible for </w:t>
      </w:r>
      <w:r w:rsidR="00700B79" w:rsidRPr="00FE50A6">
        <w:rPr>
          <w:lang w:val="en-US"/>
        </w:rPr>
        <w:t>the violation</w:t>
      </w:r>
      <w:r w:rsidR="00207197" w:rsidRPr="00FE50A6">
        <w:rPr>
          <w:lang w:val="en-US"/>
        </w:rPr>
        <w:t xml:space="preserve"> </w:t>
      </w:r>
      <w:r w:rsidR="00703850" w:rsidRPr="00FE50A6">
        <w:rPr>
          <w:lang w:val="en-US"/>
        </w:rPr>
        <w:t>of 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000B587F" w:rsidRPr="00FE50A6">
        <w:rPr>
          <w:lang w:val="en-US"/>
        </w:rPr>
        <w:t>in relation to Article</w:t>
      </w:r>
      <w:r w:rsidR="000228D0" w:rsidRPr="00FE50A6">
        <w:rPr>
          <w:lang w:val="en-US"/>
        </w:rPr>
        <w:t>s</w:t>
      </w:r>
      <w:r w:rsidR="00207197" w:rsidRPr="00FE50A6">
        <w:rPr>
          <w:lang w:val="en-US"/>
        </w:rPr>
        <w:t xml:space="preserve"> 5, 7, 22</w:t>
      </w:r>
      <w:r w:rsidR="00030C17" w:rsidRPr="00FE50A6">
        <w:rPr>
          <w:lang w:val="en-US"/>
        </w:rPr>
        <w:t xml:space="preserve"> and </w:t>
      </w:r>
      <w:r w:rsidR="00207197" w:rsidRPr="00FE50A6">
        <w:rPr>
          <w:lang w:val="en-US"/>
        </w:rPr>
        <w:t>1</w:t>
      </w:r>
      <w:r w:rsidRPr="00FE50A6">
        <w:rPr>
          <w:lang w:val="en-US"/>
        </w:rPr>
        <w:t>(1)</w:t>
      </w:r>
      <w:r w:rsidR="00207197" w:rsidRPr="00FE50A6">
        <w:rPr>
          <w:lang w:val="en-US"/>
        </w:rPr>
        <w:t xml:space="preserve"> </w:t>
      </w:r>
      <w:r w:rsidR="00703850" w:rsidRPr="00FE50A6">
        <w:rPr>
          <w:lang w:val="en-US"/>
        </w:rPr>
        <w:t>of this instrument</w:t>
      </w:r>
      <w:r w:rsidR="00207197" w:rsidRPr="00FE50A6">
        <w:rPr>
          <w:lang w:val="en-US"/>
        </w:rPr>
        <w:t xml:space="preserve">, </w:t>
      </w:r>
      <w:r w:rsidRPr="00FE50A6">
        <w:rPr>
          <w:lang w:val="en-US"/>
        </w:rPr>
        <w:t>with regard to the</w:t>
      </w:r>
      <w:r w:rsidR="00207197" w:rsidRPr="00FE50A6">
        <w:rPr>
          <w:lang w:val="en-US"/>
        </w:rPr>
        <w:t xml:space="preserve"> </w:t>
      </w:r>
      <w:r w:rsidR="00030C17" w:rsidRPr="00FE50A6">
        <w:rPr>
          <w:lang w:val="en-US"/>
        </w:rPr>
        <w:t xml:space="preserve">Hacienda </w:t>
      </w:r>
      <w:r w:rsidR="00322241" w:rsidRPr="00FE50A6">
        <w:rPr>
          <w:lang w:val="en-US"/>
        </w:rPr>
        <w:t>Brasil Verde</w:t>
      </w:r>
      <w:r w:rsidR="00030C17" w:rsidRPr="00FE50A6">
        <w:rPr>
          <w:lang w:val="en-US"/>
        </w:rPr>
        <w:t xml:space="preserve"> </w:t>
      </w:r>
      <w:r w:rsidRPr="00FE50A6">
        <w:rPr>
          <w:lang w:val="en-US"/>
        </w:rPr>
        <w:t>w</w:t>
      </w:r>
      <w:r w:rsidR="00030C17" w:rsidRPr="00FE50A6">
        <w:rPr>
          <w:lang w:val="en-US"/>
        </w:rPr>
        <w:t>orkers</w:t>
      </w:r>
      <w:r w:rsidR="00207197" w:rsidRPr="00FE50A6">
        <w:rPr>
          <w:lang w:val="en-US"/>
        </w:rPr>
        <w:t xml:space="preserve"> identifi</w:t>
      </w:r>
      <w:r w:rsidRPr="00FE50A6">
        <w:rPr>
          <w:lang w:val="en-US"/>
        </w:rPr>
        <w:t>ed in the 2000 inspection.</w:t>
      </w:r>
      <w:r w:rsidR="00207197" w:rsidRPr="00FE50A6">
        <w:rPr>
          <w:rStyle w:val="Refdenotaalpie"/>
          <w:lang w:val="en-US"/>
        </w:rPr>
        <w:footnoteReference w:id="353"/>
      </w:r>
      <w:r w:rsidRPr="00FE50A6">
        <w:rPr>
          <w:lang w:val="en-US"/>
        </w:rPr>
        <w:t xml:space="preserve"> In addition, it considered that the State had not taken sufficient and effective measures to ensure, without discrimination, the rights of the said workers in accordance with </w:t>
      </w:r>
      <w:r w:rsidR="000B587F" w:rsidRPr="00FE50A6">
        <w:rPr>
          <w:lang w:val="en-US"/>
        </w:rPr>
        <w:t>Article 1(1)</w:t>
      </w:r>
      <w:r w:rsidR="000228D0" w:rsidRPr="00FE50A6">
        <w:rPr>
          <w:lang w:val="en-US"/>
        </w:rPr>
        <w:t xml:space="preserve"> of the Convention</w:t>
      </w:r>
      <w:r w:rsidR="00207197" w:rsidRPr="00FE50A6">
        <w:rPr>
          <w:lang w:val="en-US"/>
        </w:rPr>
        <w:t xml:space="preserve"> </w:t>
      </w:r>
      <w:r w:rsidRPr="00FE50A6">
        <w:rPr>
          <w:lang w:val="en-US"/>
        </w:rPr>
        <w:t xml:space="preserve">in relation to the rights recognized in </w:t>
      </w:r>
      <w:r w:rsidR="000228D0" w:rsidRPr="00FE50A6">
        <w:rPr>
          <w:lang w:val="en-US"/>
        </w:rPr>
        <w:t>Articles</w:t>
      </w:r>
      <w:r w:rsidR="00207197" w:rsidRPr="00FE50A6">
        <w:rPr>
          <w:lang w:val="en-US"/>
        </w:rPr>
        <w:t xml:space="preserve"> 5, 6, 7</w:t>
      </w:r>
      <w:r w:rsidR="00030C17" w:rsidRPr="00FE50A6">
        <w:rPr>
          <w:lang w:val="en-US"/>
        </w:rPr>
        <w:t xml:space="preserve"> and </w:t>
      </w:r>
      <w:r w:rsidR="00207197" w:rsidRPr="00FE50A6">
        <w:rPr>
          <w:lang w:val="en-US"/>
        </w:rPr>
        <w:t xml:space="preserve">22 </w:t>
      </w:r>
      <w:r w:rsidR="00D11A9F" w:rsidRPr="00FE50A6">
        <w:rPr>
          <w:lang w:val="en-US"/>
        </w:rPr>
        <w:t>of this instrument</w:t>
      </w:r>
      <w:r w:rsidR="00207197" w:rsidRPr="00FE50A6">
        <w:rPr>
          <w:lang w:val="en-US"/>
        </w:rPr>
        <w:t xml:space="preserve">. </w:t>
      </w:r>
    </w:p>
    <w:p w14:paraId="50C957B5" w14:textId="77777777" w:rsidR="00207197" w:rsidRPr="00FE50A6" w:rsidRDefault="00207197" w:rsidP="00140440">
      <w:pPr>
        <w:jc w:val="both"/>
        <w:rPr>
          <w:lang w:val="en-US"/>
        </w:rPr>
      </w:pPr>
    </w:p>
    <w:p w14:paraId="57369F02" w14:textId="77777777" w:rsidR="00EE52F3" w:rsidRPr="00FE50A6" w:rsidRDefault="00700B79" w:rsidP="00F37DC4">
      <w:pPr>
        <w:pStyle w:val="Prrafodelista"/>
        <w:numPr>
          <w:ilvl w:val="0"/>
          <w:numId w:val="1"/>
        </w:numPr>
        <w:contextualSpacing w:val="0"/>
        <w:rPr>
          <w:lang w:val="en-US"/>
        </w:rPr>
      </w:pPr>
      <w:r w:rsidRPr="00FE50A6">
        <w:rPr>
          <w:lang w:val="en-US"/>
        </w:rPr>
        <w:t xml:space="preserve">The </w:t>
      </w:r>
      <w:r w:rsidRPr="00FE50A6">
        <w:rPr>
          <w:b/>
          <w:i/>
          <w:lang w:val="en-US"/>
        </w:rPr>
        <w:t>representatives</w:t>
      </w:r>
      <w:r w:rsidR="00207197" w:rsidRPr="00FE50A6">
        <w:rPr>
          <w:lang w:val="en-US"/>
        </w:rPr>
        <w:t xml:space="preserve"> </w:t>
      </w:r>
      <w:r w:rsidR="00EE52F3" w:rsidRPr="00FE50A6">
        <w:rPr>
          <w:lang w:val="en-US"/>
        </w:rPr>
        <w:t>indicated that</w:t>
      </w:r>
      <w:r w:rsidR="00207197" w:rsidRPr="00FE50A6">
        <w:rPr>
          <w:lang w:val="en-US"/>
        </w:rPr>
        <w:t xml:space="preserve"> </w:t>
      </w:r>
      <w:r w:rsidR="00EE52F3" w:rsidRPr="00FE50A6">
        <w:rPr>
          <w:lang w:val="en-US"/>
        </w:rPr>
        <w:t xml:space="preserve">the prohibition of </w:t>
      </w:r>
      <w:r w:rsidR="005F1946" w:rsidRPr="00FE50A6">
        <w:rPr>
          <w:lang w:val="en-US"/>
        </w:rPr>
        <w:t>slave labor</w:t>
      </w:r>
      <w:r w:rsidR="00207197" w:rsidRPr="00FE50A6">
        <w:rPr>
          <w:lang w:val="en-US"/>
        </w:rPr>
        <w:t xml:space="preserve"> </w:t>
      </w:r>
      <w:r w:rsidR="00DB292A" w:rsidRPr="00FE50A6">
        <w:rPr>
          <w:lang w:val="en-US"/>
        </w:rPr>
        <w:t>was</w:t>
      </w:r>
      <w:r w:rsidR="00EE52F3" w:rsidRPr="00FE50A6">
        <w:rPr>
          <w:lang w:val="en-US"/>
        </w:rPr>
        <w:t xml:space="preserve"> </w:t>
      </w:r>
      <w:r w:rsidR="00A90BA3" w:rsidRPr="00FE50A6">
        <w:rPr>
          <w:lang w:val="en-US"/>
        </w:rPr>
        <w:t xml:space="preserve">a </w:t>
      </w:r>
      <w:r w:rsidR="00207197" w:rsidRPr="00FE50A6">
        <w:rPr>
          <w:i/>
          <w:lang w:val="en-US"/>
        </w:rPr>
        <w:t>jus cogens</w:t>
      </w:r>
      <w:r w:rsidR="00A90BA3" w:rsidRPr="00FE50A6">
        <w:rPr>
          <w:lang w:val="en-US"/>
        </w:rPr>
        <w:t xml:space="preserve"> obligation under</w:t>
      </w:r>
      <w:r w:rsidR="00207197" w:rsidRPr="00FE50A6">
        <w:rPr>
          <w:lang w:val="en-US"/>
        </w:rPr>
        <w:t xml:space="preserve"> </w:t>
      </w:r>
      <w:r w:rsidR="00931A2D" w:rsidRPr="00FE50A6">
        <w:rPr>
          <w:lang w:val="en-US"/>
        </w:rPr>
        <w:t>international law</w:t>
      </w:r>
      <w:r w:rsidR="00030C17" w:rsidRPr="00FE50A6">
        <w:rPr>
          <w:lang w:val="en-US"/>
        </w:rPr>
        <w:t xml:space="preserve"> and</w:t>
      </w:r>
      <w:r w:rsidR="00EE52F3" w:rsidRPr="00FE50A6">
        <w:rPr>
          <w:lang w:val="en-US"/>
        </w:rPr>
        <w:t xml:space="preserve"> </w:t>
      </w:r>
      <w:r w:rsidR="00DB292A" w:rsidRPr="00FE50A6">
        <w:rPr>
          <w:lang w:val="en-US"/>
        </w:rPr>
        <w:t>was</w:t>
      </w:r>
      <w:r w:rsidR="00EE52F3" w:rsidRPr="00FE50A6">
        <w:rPr>
          <w:lang w:val="en-US"/>
        </w:rPr>
        <w:t xml:space="preserve"> also </w:t>
      </w:r>
      <w:r w:rsidR="00207197" w:rsidRPr="00FE50A6">
        <w:rPr>
          <w:i/>
          <w:lang w:val="en-US"/>
        </w:rPr>
        <w:t>erga omnes</w:t>
      </w:r>
      <w:r w:rsidR="00EE52F3" w:rsidRPr="00FE50A6">
        <w:rPr>
          <w:lang w:val="en-US"/>
        </w:rPr>
        <w:t xml:space="preserve"> </w:t>
      </w:r>
      <w:r w:rsidR="00A90BA3" w:rsidRPr="00FE50A6">
        <w:rPr>
          <w:lang w:val="en-US"/>
        </w:rPr>
        <w:t xml:space="preserve">in </w:t>
      </w:r>
      <w:r w:rsidR="00EE52F3" w:rsidRPr="00FE50A6">
        <w:rPr>
          <w:lang w:val="en-US"/>
        </w:rPr>
        <w:t>nature.</w:t>
      </w:r>
      <w:r w:rsidR="00207197" w:rsidRPr="00FE50A6">
        <w:rPr>
          <w:lang w:val="en-US"/>
        </w:rPr>
        <w:t xml:space="preserve"> </w:t>
      </w:r>
      <w:r w:rsidR="00EE52F3" w:rsidRPr="00FE50A6">
        <w:rPr>
          <w:lang w:val="en-US"/>
        </w:rPr>
        <w:t>They added that it was not possible to enumerate all contemporary forms of</w:t>
      </w:r>
      <w:r w:rsidR="00207197" w:rsidRPr="00FE50A6">
        <w:rPr>
          <w:lang w:val="en-US"/>
        </w:rPr>
        <w:t xml:space="preserve"> </w:t>
      </w:r>
      <w:r w:rsidR="00D11A9F" w:rsidRPr="00FE50A6">
        <w:rPr>
          <w:lang w:val="en-US"/>
        </w:rPr>
        <w:t>slavery</w:t>
      </w:r>
      <w:r w:rsidR="00207197" w:rsidRPr="00FE50A6">
        <w:rPr>
          <w:lang w:val="en-US"/>
        </w:rPr>
        <w:t xml:space="preserve">, </w:t>
      </w:r>
      <w:r w:rsidR="00EE52F3" w:rsidRPr="00FE50A6">
        <w:rPr>
          <w:lang w:val="en-US"/>
        </w:rPr>
        <w:t>but th</w:t>
      </w:r>
      <w:r w:rsidR="00DB292A" w:rsidRPr="00FE50A6">
        <w:rPr>
          <w:lang w:val="en-US"/>
        </w:rPr>
        <w:t>ese</w:t>
      </w:r>
      <w:r w:rsidR="00EE52F3" w:rsidRPr="00FE50A6">
        <w:rPr>
          <w:lang w:val="en-US"/>
        </w:rPr>
        <w:t xml:space="preserve"> incorporated four fundamental elements: (i) control over other persons; (ii) the employers’ ownership of his workforce; (iii) use of violence or threat of use of violence, and (iv) discrimination that result</w:t>
      </w:r>
      <w:r w:rsidR="00A90BA3" w:rsidRPr="00FE50A6">
        <w:rPr>
          <w:lang w:val="en-US"/>
        </w:rPr>
        <w:t>ed</w:t>
      </w:r>
      <w:r w:rsidR="00EE52F3" w:rsidRPr="00FE50A6">
        <w:rPr>
          <w:lang w:val="en-US"/>
        </w:rPr>
        <w:t xml:space="preserve"> in the dehumanization of those subjected to slavery. </w:t>
      </w:r>
    </w:p>
    <w:p w14:paraId="657EEAEA" w14:textId="77777777" w:rsidR="00207197" w:rsidRPr="00FE50A6" w:rsidRDefault="00207197" w:rsidP="00140440">
      <w:pPr>
        <w:pStyle w:val="Prrafodelista"/>
        <w:ind w:left="0"/>
        <w:rPr>
          <w:lang w:val="en-US"/>
        </w:rPr>
      </w:pPr>
    </w:p>
    <w:p w14:paraId="5106EF05" w14:textId="77777777" w:rsidR="00207197" w:rsidRPr="00FE50A6" w:rsidRDefault="00700B79" w:rsidP="00F37DC4">
      <w:pPr>
        <w:pStyle w:val="Prrafodelista"/>
        <w:numPr>
          <w:ilvl w:val="0"/>
          <w:numId w:val="1"/>
        </w:numPr>
        <w:contextualSpacing w:val="0"/>
        <w:rPr>
          <w:lang w:val="en-US"/>
        </w:rPr>
      </w:pPr>
      <w:r w:rsidRPr="00FE50A6">
        <w:rPr>
          <w:lang w:val="en-US"/>
        </w:rPr>
        <w:t>The representatives</w:t>
      </w:r>
      <w:r w:rsidR="00207197" w:rsidRPr="00FE50A6">
        <w:rPr>
          <w:lang w:val="en-US"/>
        </w:rPr>
        <w:t xml:space="preserve"> </w:t>
      </w:r>
      <w:r w:rsidR="00EE52F3" w:rsidRPr="00FE50A6">
        <w:rPr>
          <w:lang w:val="en-US"/>
        </w:rPr>
        <w:t xml:space="preserve">asserted that </w:t>
      </w:r>
      <w:r w:rsidR="000228D0"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00EE52F3" w:rsidRPr="00FE50A6">
        <w:rPr>
          <w:lang w:val="en-US"/>
        </w:rPr>
        <w:t>included four closely related concepts:</w:t>
      </w:r>
      <w:r w:rsidR="00207197" w:rsidRPr="00FE50A6">
        <w:rPr>
          <w:lang w:val="en-US"/>
        </w:rPr>
        <w:t xml:space="preserve"> </w:t>
      </w:r>
      <w:r w:rsidR="00D11A9F" w:rsidRPr="00FE50A6">
        <w:rPr>
          <w:lang w:val="en-US"/>
        </w:rPr>
        <w:t>slavery</w:t>
      </w:r>
      <w:r w:rsidR="00207197" w:rsidRPr="00FE50A6">
        <w:rPr>
          <w:lang w:val="en-US"/>
        </w:rPr>
        <w:t xml:space="preserve">, </w:t>
      </w:r>
      <w:r w:rsidR="00125A00" w:rsidRPr="00FE50A6">
        <w:rPr>
          <w:lang w:val="en-US"/>
        </w:rPr>
        <w:t>servitude</w:t>
      </w:r>
      <w:r w:rsidR="00207197" w:rsidRPr="00FE50A6">
        <w:rPr>
          <w:lang w:val="en-US"/>
        </w:rPr>
        <w:t xml:space="preserve">, </w:t>
      </w:r>
      <w:r w:rsidR="005F1946" w:rsidRPr="00FE50A6">
        <w:rPr>
          <w:lang w:val="en-US"/>
        </w:rPr>
        <w:t>forced labor</w:t>
      </w:r>
      <w:r w:rsidR="00030C17" w:rsidRPr="00FE50A6">
        <w:rPr>
          <w:lang w:val="en-US"/>
        </w:rPr>
        <w:t xml:space="preserve"> and </w:t>
      </w:r>
      <w:r w:rsidR="000C2A19" w:rsidRPr="00FE50A6">
        <w:rPr>
          <w:lang w:val="en-US"/>
        </w:rPr>
        <w:t>trafficking</w:t>
      </w:r>
      <w:r w:rsidR="00207197" w:rsidRPr="00FE50A6">
        <w:rPr>
          <w:lang w:val="en-US"/>
        </w:rPr>
        <w:t xml:space="preserve">. </w:t>
      </w:r>
      <w:r w:rsidR="00EE52F3" w:rsidRPr="00FE50A6">
        <w:rPr>
          <w:lang w:val="en-US"/>
        </w:rPr>
        <w:t>They added that th</w:t>
      </w:r>
      <w:r w:rsidR="00DB292A" w:rsidRPr="00FE50A6">
        <w:rPr>
          <w:lang w:val="en-US"/>
        </w:rPr>
        <w:t>o</w:t>
      </w:r>
      <w:r w:rsidR="00EE52F3" w:rsidRPr="00FE50A6">
        <w:rPr>
          <w:lang w:val="en-US"/>
        </w:rPr>
        <w:t>se four categories constituted the broadest concept of contemporary forms of</w:t>
      </w:r>
      <w:r w:rsidR="00207197" w:rsidRPr="00FE50A6">
        <w:rPr>
          <w:lang w:val="en-US"/>
        </w:rPr>
        <w:t xml:space="preserve"> </w:t>
      </w:r>
      <w:r w:rsidR="00D11A9F" w:rsidRPr="00FE50A6">
        <w:rPr>
          <w:lang w:val="en-US"/>
        </w:rPr>
        <w:t>slavery</w:t>
      </w:r>
      <w:r w:rsidR="00207197" w:rsidRPr="00FE50A6">
        <w:rPr>
          <w:lang w:val="en-US"/>
        </w:rPr>
        <w:t xml:space="preserve">. </w:t>
      </w:r>
      <w:r w:rsidR="00EE52F3" w:rsidRPr="00FE50A6">
        <w:rPr>
          <w:lang w:val="en-US"/>
        </w:rPr>
        <w:t xml:space="preserve">Furthermore, although </w:t>
      </w:r>
      <w:r w:rsidR="00125A00" w:rsidRPr="00FE50A6">
        <w:rPr>
          <w:lang w:val="en-US"/>
        </w:rPr>
        <w:t>servitude</w:t>
      </w:r>
      <w:r w:rsidR="00207197" w:rsidRPr="00FE50A6">
        <w:rPr>
          <w:lang w:val="en-US"/>
        </w:rPr>
        <w:t xml:space="preserve">, </w:t>
      </w:r>
      <w:r w:rsidR="005F1946" w:rsidRPr="00FE50A6">
        <w:rPr>
          <w:lang w:val="en-US"/>
        </w:rPr>
        <w:t>forced labor</w:t>
      </w:r>
      <w:r w:rsidR="00030C17" w:rsidRPr="00FE50A6">
        <w:rPr>
          <w:lang w:val="en-US"/>
        </w:rPr>
        <w:t xml:space="preserve"> and</w:t>
      </w:r>
      <w:r w:rsidR="00615E39" w:rsidRPr="00FE50A6">
        <w:rPr>
          <w:lang w:val="en-US"/>
        </w:rPr>
        <w:t xml:space="preserve"> </w:t>
      </w:r>
      <w:r w:rsidR="000C2A19" w:rsidRPr="00FE50A6">
        <w:rPr>
          <w:lang w:val="en-US"/>
        </w:rPr>
        <w:t xml:space="preserve">trafficking </w:t>
      </w:r>
      <w:r w:rsidR="00125A00" w:rsidRPr="00FE50A6">
        <w:rPr>
          <w:lang w:val="en-US"/>
        </w:rPr>
        <w:t>we</w:t>
      </w:r>
      <w:r w:rsidR="00EE52F3" w:rsidRPr="00FE50A6">
        <w:rPr>
          <w:lang w:val="en-US"/>
        </w:rPr>
        <w:t xml:space="preserve">re violations in themselves, </w:t>
      </w:r>
      <w:r w:rsidR="00DB292A" w:rsidRPr="00FE50A6">
        <w:rPr>
          <w:lang w:val="en-US"/>
        </w:rPr>
        <w:t>they were also</w:t>
      </w:r>
      <w:r w:rsidR="00EE52F3" w:rsidRPr="00FE50A6">
        <w:rPr>
          <w:lang w:val="en-US"/>
        </w:rPr>
        <w:t xml:space="preserve"> manifestations of contemporary forms of</w:t>
      </w:r>
      <w:r w:rsidR="00207197" w:rsidRPr="00FE50A6">
        <w:rPr>
          <w:lang w:val="en-US"/>
        </w:rPr>
        <w:t xml:space="preserve"> </w:t>
      </w:r>
      <w:r w:rsidR="00D11A9F" w:rsidRPr="00FE50A6">
        <w:rPr>
          <w:lang w:val="en-US"/>
        </w:rPr>
        <w:t>slavery</w:t>
      </w:r>
      <w:r w:rsidR="00207197" w:rsidRPr="00FE50A6">
        <w:rPr>
          <w:lang w:val="en-US"/>
        </w:rPr>
        <w:t>.</w:t>
      </w:r>
    </w:p>
    <w:p w14:paraId="120C6EC2" w14:textId="77777777" w:rsidR="00207197" w:rsidRPr="00FE50A6" w:rsidRDefault="00207197" w:rsidP="00140440">
      <w:pPr>
        <w:jc w:val="both"/>
        <w:rPr>
          <w:lang w:val="en-US"/>
        </w:rPr>
      </w:pPr>
    </w:p>
    <w:p w14:paraId="0201B716" w14:textId="77777777" w:rsidR="00207197" w:rsidRPr="00FE50A6" w:rsidRDefault="00700B79" w:rsidP="00EE52F3">
      <w:pPr>
        <w:pStyle w:val="Prrafodelista"/>
        <w:numPr>
          <w:ilvl w:val="0"/>
          <w:numId w:val="1"/>
        </w:numPr>
        <w:contextualSpacing w:val="0"/>
        <w:rPr>
          <w:lang w:val="en-US"/>
        </w:rPr>
      </w:pPr>
      <w:r w:rsidRPr="00FE50A6">
        <w:rPr>
          <w:lang w:val="en-US"/>
        </w:rPr>
        <w:t>The representatives</w:t>
      </w:r>
      <w:r w:rsidR="00207197" w:rsidRPr="00FE50A6">
        <w:rPr>
          <w:lang w:val="en-US"/>
        </w:rPr>
        <w:t xml:space="preserve"> </w:t>
      </w:r>
      <w:r w:rsidR="00EE52F3" w:rsidRPr="00FE50A6">
        <w:rPr>
          <w:lang w:val="en-US"/>
        </w:rPr>
        <w:t>indicated that</w:t>
      </w:r>
      <w:r w:rsidR="00207197" w:rsidRPr="00FE50A6">
        <w:rPr>
          <w:lang w:val="en-US"/>
        </w:rPr>
        <w:t xml:space="preserve">, </w:t>
      </w:r>
      <w:r w:rsidR="00EE52F3" w:rsidRPr="00FE50A6">
        <w:rPr>
          <w:lang w:val="en-US"/>
        </w:rPr>
        <w:t>according to the 1926 Convention and the Supplementary Convention on the Abolition of Slavery, the Slave Trade and Institutions and Practices Similar to Slavery of</w:t>
      </w:r>
      <w:r w:rsidR="00207197" w:rsidRPr="00FE50A6">
        <w:rPr>
          <w:lang w:val="en-US"/>
        </w:rPr>
        <w:t xml:space="preserve"> 1956 (</w:t>
      </w:r>
      <w:r w:rsidR="000228D0" w:rsidRPr="00FE50A6">
        <w:rPr>
          <w:lang w:val="en-US"/>
        </w:rPr>
        <w:t>hereinafter</w:t>
      </w:r>
      <w:r w:rsidR="00207197" w:rsidRPr="00FE50A6">
        <w:rPr>
          <w:lang w:val="en-US"/>
        </w:rPr>
        <w:t xml:space="preserve"> </w:t>
      </w:r>
      <w:r w:rsidR="00EE52F3" w:rsidRPr="00FE50A6">
        <w:rPr>
          <w:lang w:val="en-US"/>
        </w:rPr>
        <w:t xml:space="preserve">“the 1956 </w:t>
      </w:r>
      <w:r w:rsidR="00207197" w:rsidRPr="00FE50A6">
        <w:rPr>
          <w:lang w:val="en-US"/>
        </w:rPr>
        <w:t>Conven</w:t>
      </w:r>
      <w:r w:rsidR="00EE52F3" w:rsidRPr="00FE50A6">
        <w:rPr>
          <w:lang w:val="en-US"/>
        </w:rPr>
        <w:t>tion</w:t>
      </w:r>
      <w:r w:rsidR="009C48A4" w:rsidRPr="00FE50A6">
        <w:rPr>
          <w:lang w:val="en-US"/>
        </w:rPr>
        <w:t>”</w:t>
      </w:r>
      <w:r w:rsidR="00207197" w:rsidRPr="00FE50A6">
        <w:rPr>
          <w:lang w:val="en-US"/>
        </w:rPr>
        <w:t xml:space="preserve">), </w:t>
      </w:r>
      <w:r w:rsidR="00EE52F3" w:rsidRPr="00FE50A6">
        <w:rPr>
          <w:lang w:val="en-US"/>
        </w:rPr>
        <w:t>slavery refer</w:t>
      </w:r>
      <w:r w:rsidR="00DB292A" w:rsidRPr="00FE50A6">
        <w:rPr>
          <w:lang w:val="en-US"/>
        </w:rPr>
        <w:t>red</w:t>
      </w:r>
      <w:r w:rsidR="00EE52F3" w:rsidRPr="00FE50A6">
        <w:rPr>
          <w:lang w:val="en-US"/>
        </w:rPr>
        <w:t xml:space="preserve"> to the exercise </w:t>
      </w:r>
      <w:r w:rsidR="006824E5" w:rsidRPr="00FE50A6">
        <w:rPr>
          <w:lang w:val="en-US"/>
        </w:rPr>
        <w:t xml:space="preserve">of any or all of the powers attaching to the right of ownership over another person; in other words, the powers to use, possess or dispose of another human being. Regarding forced labor, the representatives indicated that, in the </w:t>
      </w:r>
      <w:r w:rsidR="006824E5" w:rsidRPr="00FE50A6">
        <w:rPr>
          <w:i/>
          <w:lang w:val="en-US"/>
        </w:rPr>
        <w:t>case of the Ituango Massacres</w:t>
      </w:r>
      <w:r w:rsidR="006824E5" w:rsidRPr="00FE50A6">
        <w:rPr>
          <w:lang w:val="en-US"/>
        </w:rPr>
        <w:t>, the Court had identified the two main elements: (i) threat of punishment, and (ii) unwillingness to do the work. Lastly,</w:t>
      </w:r>
      <w:r w:rsidR="00615E39" w:rsidRPr="00FE50A6">
        <w:rPr>
          <w:lang w:val="en-US"/>
        </w:rPr>
        <w:t xml:space="preserve"> </w:t>
      </w:r>
      <w:r w:rsidR="000C2A19" w:rsidRPr="00FE50A6">
        <w:rPr>
          <w:lang w:val="en-US"/>
        </w:rPr>
        <w:t xml:space="preserve">trafficking </w:t>
      </w:r>
      <w:r w:rsidR="006824E5" w:rsidRPr="00FE50A6">
        <w:rPr>
          <w:lang w:val="en-US"/>
        </w:rPr>
        <w:t>refer</w:t>
      </w:r>
      <w:r w:rsidR="00C9133F" w:rsidRPr="00FE50A6">
        <w:rPr>
          <w:lang w:val="en-US"/>
        </w:rPr>
        <w:t>red</w:t>
      </w:r>
      <w:r w:rsidR="006824E5" w:rsidRPr="00FE50A6">
        <w:rPr>
          <w:lang w:val="en-US"/>
        </w:rPr>
        <w:t xml:space="preserve"> to the slave trade or the conveyance of slaves. </w:t>
      </w:r>
    </w:p>
    <w:p w14:paraId="16D979B9" w14:textId="77777777" w:rsidR="00207197" w:rsidRPr="00FE50A6" w:rsidRDefault="00207197" w:rsidP="00140440">
      <w:pPr>
        <w:jc w:val="both"/>
        <w:rPr>
          <w:lang w:val="en-US"/>
        </w:rPr>
      </w:pPr>
    </w:p>
    <w:p w14:paraId="301F6090" w14:textId="77777777" w:rsidR="00207197" w:rsidRPr="00FE50A6" w:rsidRDefault="00700B79" w:rsidP="006824E5">
      <w:pPr>
        <w:pStyle w:val="Prrafodelista"/>
        <w:numPr>
          <w:ilvl w:val="0"/>
          <w:numId w:val="1"/>
        </w:numPr>
        <w:contextualSpacing w:val="0"/>
        <w:rPr>
          <w:lang w:val="en-US"/>
        </w:rPr>
      </w:pPr>
      <w:r w:rsidRPr="00FE50A6">
        <w:rPr>
          <w:lang w:val="en-US"/>
        </w:rPr>
        <w:t>The representatives</w:t>
      </w:r>
      <w:r w:rsidR="00207197" w:rsidRPr="00FE50A6">
        <w:rPr>
          <w:lang w:val="en-US"/>
        </w:rPr>
        <w:t xml:space="preserve"> a</w:t>
      </w:r>
      <w:r w:rsidR="006824E5" w:rsidRPr="00FE50A6">
        <w:rPr>
          <w:lang w:val="en-US"/>
        </w:rPr>
        <w:t xml:space="preserve">rgued that numerous indicators facilitated the identification of </w:t>
      </w:r>
      <w:r w:rsidR="00EE52F3" w:rsidRPr="00FE50A6">
        <w:rPr>
          <w:lang w:val="en-US"/>
        </w:rPr>
        <w:t>contemporary forms of</w:t>
      </w:r>
      <w:r w:rsidR="00207197" w:rsidRPr="00FE50A6">
        <w:rPr>
          <w:lang w:val="en-US"/>
        </w:rPr>
        <w:t xml:space="preserve"> </w:t>
      </w:r>
      <w:r w:rsidR="00D11A9F" w:rsidRPr="00FE50A6">
        <w:rPr>
          <w:lang w:val="en-US"/>
        </w:rPr>
        <w:t>slavery</w:t>
      </w:r>
      <w:r w:rsidR="006824E5" w:rsidRPr="00FE50A6">
        <w:rPr>
          <w:lang w:val="en-US"/>
        </w:rPr>
        <w:t>. They included:</w:t>
      </w:r>
      <w:r w:rsidR="00207197" w:rsidRPr="00FE50A6">
        <w:rPr>
          <w:lang w:val="en-US"/>
        </w:rPr>
        <w:t xml:space="preserve"> </w:t>
      </w:r>
      <w:r w:rsidR="006824E5" w:rsidRPr="00FE50A6">
        <w:rPr>
          <w:lang w:val="en-US"/>
        </w:rPr>
        <w:t>(</w:t>
      </w:r>
      <w:r w:rsidR="00207197" w:rsidRPr="00FE50A6">
        <w:rPr>
          <w:lang w:val="en-US"/>
        </w:rPr>
        <w:t xml:space="preserve">i) </w:t>
      </w:r>
      <w:r w:rsidR="00E43004" w:rsidRPr="00FE50A6">
        <w:rPr>
          <w:lang w:val="en-US"/>
        </w:rPr>
        <w:t>recruitment</w:t>
      </w:r>
      <w:r w:rsidR="006824E5" w:rsidRPr="00FE50A6">
        <w:rPr>
          <w:lang w:val="en-US"/>
        </w:rPr>
        <w:t xml:space="preserve">, </w:t>
      </w:r>
      <w:r w:rsidR="00C9133F" w:rsidRPr="00FE50A6">
        <w:rPr>
          <w:lang w:val="en-US"/>
        </w:rPr>
        <w:t>by means of</w:t>
      </w:r>
      <w:r w:rsidR="006824E5" w:rsidRPr="00FE50A6">
        <w:rPr>
          <w:lang w:val="en-US"/>
        </w:rPr>
        <w:t xml:space="preserve"> false promises or dece</w:t>
      </w:r>
      <w:r w:rsidR="00E43004" w:rsidRPr="00FE50A6">
        <w:rPr>
          <w:lang w:val="en-US"/>
        </w:rPr>
        <w:t>ption</w:t>
      </w:r>
      <w:r w:rsidR="006824E5" w:rsidRPr="00FE50A6">
        <w:rPr>
          <w:lang w:val="en-US"/>
        </w:rPr>
        <w:t>; (ii) conve</w:t>
      </w:r>
      <w:r w:rsidR="007B5DF2" w:rsidRPr="00FE50A6">
        <w:rPr>
          <w:lang w:val="en-US"/>
        </w:rPr>
        <w:t>y</w:t>
      </w:r>
      <w:r w:rsidR="006824E5" w:rsidRPr="00FE50A6">
        <w:rPr>
          <w:lang w:val="en-US"/>
        </w:rPr>
        <w:t>ance of persons for exploitation purposes</w:t>
      </w:r>
      <w:r w:rsidR="00207197" w:rsidRPr="00FE50A6">
        <w:rPr>
          <w:lang w:val="en-US"/>
        </w:rPr>
        <w:t xml:space="preserve">; </w:t>
      </w:r>
      <w:r w:rsidR="006824E5" w:rsidRPr="00FE50A6">
        <w:rPr>
          <w:lang w:val="en-US"/>
        </w:rPr>
        <w:t>(</w:t>
      </w:r>
      <w:r w:rsidR="00207197" w:rsidRPr="00FE50A6">
        <w:rPr>
          <w:lang w:val="en-US"/>
        </w:rPr>
        <w:t>iii) abus</w:t>
      </w:r>
      <w:r w:rsidR="006824E5" w:rsidRPr="00FE50A6">
        <w:rPr>
          <w:lang w:val="en-US"/>
        </w:rPr>
        <w:t xml:space="preserve">e of a </w:t>
      </w:r>
      <w:r w:rsidR="00E43004" w:rsidRPr="00FE50A6">
        <w:rPr>
          <w:lang w:val="en-US"/>
        </w:rPr>
        <w:t>position</w:t>
      </w:r>
      <w:r w:rsidR="006824E5" w:rsidRPr="00FE50A6">
        <w:rPr>
          <w:lang w:val="en-US"/>
        </w:rPr>
        <w:t xml:space="preserve"> of vulnerability; (iv) control or restriction of freedom of movement; (v) control of personal p</w:t>
      </w:r>
      <w:r w:rsidR="00C9133F" w:rsidRPr="00FE50A6">
        <w:rPr>
          <w:lang w:val="en-US"/>
        </w:rPr>
        <w:t>roperty</w:t>
      </w:r>
      <w:r w:rsidR="006824E5" w:rsidRPr="00FE50A6">
        <w:rPr>
          <w:lang w:val="en-US"/>
        </w:rPr>
        <w:t>; (vi) retention of identi</w:t>
      </w:r>
      <w:r w:rsidR="00370ACF" w:rsidRPr="00FE50A6">
        <w:rPr>
          <w:lang w:val="en-US"/>
        </w:rPr>
        <w:t>fication</w:t>
      </w:r>
      <w:r w:rsidR="006824E5" w:rsidRPr="00FE50A6">
        <w:rPr>
          <w:lang w:val="en-US"/>
        </w:rPr>
        <w:t xml:space="preserve"> </w:t>
      </w:r>
      <w:r w:rsidR="00C9133F" w:rsidRPr="00FE50A6">
        <w:rPr>
          <w:lang w:val="en-US"/>
        </w:rPr>
        <w:t>papers</w:t>
      </w:r>
      <w:r w:rsidR="006824E5" w:rsidRPr="00FE50A6">
        <w:rPr>
          <w:lang w:val="en-US"/>
        </w:rPr>
        <w:t>; (vii) intimidation or threats; (viii) physical or sexual violence; (ix) cruel or humiliating treatment; (x) paltry salaries and their retention</w:t>
      </w:r>
      <w:r w:rsidR="00207197" w:rsidRPr="00FE50A6">
        <w:rPr>
          <w:lang w:val="en-US"/>
        </w:rPr>
        <w:t xml:space="preserve">; </w:t>
      </w:r>
      <w:r w:rsidR="006824E5" w:rsidRPr="00FE50A6">
        <w:rPr>
          <w:lang w:val="en-US"/>
        </w:rPr>
        <w:t>(</w:t>
      </w:r>
      <w:r w:rsidR="00207197" w:rsidRPr="00FE50A6">
        <w:rPr>
          <w:lang w:val="en-US"/>
        </w:rPr>
        <w:t xml:space="preserve">xi) </w:t>
      </w:r>
      <w:r w:rsidR="005F1946" w:rsidRPr="00FE50A6">
        <w:rPr>
          <w:lang w:val="en-US"/>
        </w:rPr>
        <w:t>debt bondage</w:t>
      </w:r>
      <w:r w:rsidR="00207197" w:rsidRPr="00FE50A6">
        <w:rPr>
          <w:lang w:val="en-US"/>
        </w:rPr>
        <w:t xml:space="preserve">; </w:t>
      </w:r>
      <w:r w:rsidR="006824E5" w:rsidRPr="00FE50A6">
        <w:rPr>
          <w:lang w:val="en-US"/>
        </w:rPr>
        <w:t>(</w:t>
      </w:r>
      <w:r w:rsidR="00207197" w:rsidRPr="00FE50A6">
        <w:rPr>
          <w:lang w:val="en-US"/>
        </w:rPr>
        <w:t xml:space="preserve">xii) </w:t>
      </w:r>
      <w:r w:rsidR="006824E5" w:rsidRPr="00FE50A6">
        <w:rPr>
          <w:lang w:val="en-US"/>
        </w:rPr>
        <w:t xml:space="preserve">excessive working </w:t>
      </w:r>
      <w:r w:rsidR="00C9133F" w:rsidRPr="00FE50A6">
        <w:rPr>
          <w:lang w:val="en-US"/>
        </w:rPr>
        <w:t>hours</w:t>
      </w:r>
      <w:r w:rsidR="006824E5" w:rsidRPr="00FE50A6">
        <w:rPr>
          <w:lang w:val="en-US"/>
        </w:rPr>
        <w:t>; (</w:t>
      </w:r>
      <w:r w:rsidR="00207197" w:rsidRPr="00FE50A6">
        <w:rPr>
          <w:lang w:val="en-US"/>
        </w:rPr>
        <w:t>xiii) obliga</w:t>
      </w:r>
      <w:r w:rsidR="006824E5" w:rsidRPr="00FE50A6">
        <w:rPr>
          <w:lang w:val="en-US"/>
        </w:rPr>
        <w:t>tion to live in the place of work; (</w:t>
      </w:r>
      <w:r w:rsidR="00207197" w:rsidRPr="00FE50A6">
        <w:rPr>
          <w:lang w:val="en-US"/>
        </w:rPr>
        <w:t>xiv) existenc</w:t>
      </w:r>
      <w:r w:rsidR="006824E5" w:rsidRPr="00FE50A6">
        <w:rPr>
          <w:lang w:val="en-US"/>
        </w:rPr>
        <w:t xml:space="preserve">e of measures to prevent workers leaving; (xv) unwillingness to begin or </w:t>
      </w:r>
      <w:r w:rsidR="007B5DF2" w:rsidRPr="00FE50A6">
        <w:rPr>
          <w:lang w:val="en-US"/>
        </w:rPr>
        <w:t xml:space="preserve">to </w:t>
      </w:r>
      <w:r w:rsidR="006824E5" w:rsidRPr="00FE50A6">
        <w:rPr>
          <w:lang w:val="en-US"/>
        </w:rPr>
        <w:t>continue working</w:t>
      </w:r>
      <w:r w:rsidR="00207197" w:rsidRPr="00FE50A6">
        <w:rPr>
          <w:lang w:val="en-US"/>
        </w:rPr>
        <w:t xml:space="preserve">; </w:t>
      </w:r>
      <w:r w:rsidR="007B5DF2" w:rsidRPr="00FE50A6">
        <w:rPr>
          <w:lang w:val="en-US"/>
        </w:rPr>
        <w:t>(</w:t>
      </w:r>
      <w:r w:rsidR="00207197" w:rsidRPr="00FE50A6">
        <w:rPr>
          <w:lang w:val="en-US"/>
        </w:rPr>
        <w:t xml:space="preserve">xvi) </w:t>
      </w:r>
      <w:r w:rsidR="00C9133F" w:rsidRPr="00FE50A6">
        <w:rPr>
          <w:lang w:val="en-US"/>
        </w:rPr>
        <w:t>absence</w:t>
      </w:r>
      <w:r w:rsidR="007B5DF2" w:rsidRPr="00FE50A6">
        <w:rPr>
          <w:lang w:val="en-US"/>
        </w:rPr>
        <w:t xml:space="preserve"> of informed consent to the working conditions, and (xvii) impossibility of changing the worker’s situation freely</w:t>
      </w:r>
      <w:r w:rsidR="00207197" w:rsidRPr="00FE50A6">
        <w:rPr>
          <w:lang w:val="en-US"/>
        </w:rPr>
        <w:t>.</w:t>
      </w:r>
    </w:p>
    <w:p w14:paraId="3EC84130" w14:textId="77777777" w:rsidR="00207197" w:rsidRPr="00FE50A6" w:rsidRDefault="00207197" w:rsidP="00140440">
      <w:pPr>
        <w:jc w:val="both"/>
        <w:rPr>
          <w:lang w:val="en-US"/>
        </w:rPr>
      </w:pPr>
    </w:p>
    <w:p w14:paraId="2379B637" w14:textId="77777777" w:rsidR="00664D4D" w:rsidRPr="00FE50A6" w:rsidRDefault="00700B79" w:rsidP="007B5DF2">
      <w:pPr>
        <w:pStyle w:val="Prrafodelista"/>
        <w:numPr>
          <w:ilvl w:val="0"/>
          <w:numId w:val="1"/>
        </w:numPr>
        <w:contextualSpacing w:val="0"/>
        <w:rPr>
          <w:lang w:val="en-US"/>
        </w:rPr>
      </w:pPr>
      <w:r w:rsidRPr="00FE50A6">
        <w:rPr>
          <w:lang w:val="en-US"/>
        </w:rPr>
        <w:t>The representatives</w:t>
      </w:r>
      <w:r w:rsidR="00207197" w:rsidRPr="00FE50A6">
        <w:rPr>
          <w:lang w:val="en-US"/>
        </w:rPr>
        <w:t xml:space="preserve"> a</w:t>
      </w:r>
      <w:r w:rsidR="007B5DF2" w:rsidRPr="00FE50A6">
        <w:rPr>
          <w:lang w:val="en-US"/>
        </w:rPr>
        <w:t xml:space="preserve">rgued that, in the instant case, a situation of slavery had been constituted in Hacienda Brasil Verde, in its contemporary and similar forms. In their opinion, this conclusion </w:t>
      </w:r>
      <w:r w:rsidR="00C9133F" w:rsidRPr="00FE50A6">
        <w:rPr>
          <w:lang w:val="en-US"/>
        </w:rPr>
        <w:t>wa</w:t>
      </w:r>
      <w:r w:rsidR="007B5DF2" w:rsidRPr="00FE50A6">
        <w:rPr>
          <w:lang w:val="en-US"/>
        </w:rPr>
        <w:t xml:space="preserve">s revealed by the following facts: (i) the workers were recruited by </w:t>
      </w:r>
      <w:r w:rsidR="007B5DF2" w:rsidRPr="00FE50A6">
        <w:rPr>
          <w:i/>
          <w:lang w:val="en-US"/>
        </w:rPr>
        <w:t>gatos</w:t>
      </w:r>
      <w:r w:rsidR="007B5DF2" w:rsidRPr="00FE50A6">
        <w:rPr>
          <w:lang w:val="en-US"/>
        </w:rPr>
        <w:t xml:space="preserve"> to be exploited for labor; (ii) the workers’ </w:t>
      </w:r>
      <w:r w:rsidR="00E43004" w:rsidRPr="00FE50A6">
        <w:rPr>
          <w:lang w:val="en-US"/>
        </w:rPr>
        <w:t xml:space="preserve">consent </w:t>
      </w:r>
      <w:r w:rsidR="007B5DF2" w:rsidRPr="00FE50A6">
        <w:rPr>
          <w:lang w:val="en-US"/>
        </w:rPr>
        <w:t xml:space="preserve">to travel to Hacienda Brasil Verde was flawed, because </w:t>
      </w:r>
      <w:r w:rsidR="00664D4D" w:rsidRPr="00FE50A6">
        <w:rPr>
          <w:lang w:val="en-US"/>
        </w:rPr>
        <w:t>they had no real knowledge of what their salary and their working conditions would be; (iii) the hacienda manager retained and, at times, altered the</w:t>
      </w:r>
      <w:r w:rsidR="00207197" w:rsidRPr="00FE50A6">
        <w:rPr>
          <w:lang w:val="en-US"/>
        </w:rPr>
        <w:t xml:space="preserve"> [</w:t>
      </w:r>
      <w:r w:rsidR="00C23CE5" w:rsidRPr="00FE50A6">
        <w:rPr>
          <w:lang w:val="en-US"/>
        </w:rPr>
        <w:t>work permits</w:t>
      </w:r>
      <w:r w:rsidR="00207197" w:rsidRPr="00FE50A6">
        <w:rPr>
          <w:lang w:val="en-US"/>
        </w:rPr>
        <w:t xml:space="preserve">]; </w:t>
      </w:r>
      <w:r w:rsidR="00664D4D" w:rsidRPr="00FE50A6">
        <w:rPr>
          <w:lang w:val="en-US"/>
        </w:rPr>
        <w:t>(</w:t>
      </w:r>
      <w:r w:rsidR="00207197" w:rsidRPr="00FE50A6">
        <w:rPr>
          <w:lang w:val="en-US"/>
        </w:rPr>
        <w:t xml:space="preserve">iv) </w:t>
      </w:r>
      <w:r w:rsidR="00664D4D" w:rsidRPr="00FE50A6">
        <w:rPr>
          <w:lang w:val="en-US"/>
        </w:rPr>
        <w:t>the workers were obliged to sign different types of work contract</w:t>
      </w:r>
      <w:r w:rsidR="00C9133F" w:rsidRPr="00FE50A6">
        <w:rPr>
          <w:lang w:val="en-US"/>
        </w:rPr>
        <w:t>s</w:t>
      </w:r>
      <w:r w:rsidR="00664D4D" w:rsidRPr="00FE50A6">
        <w:rPr>
          <w:lang w:val="en-US"/>
        </w:rPr>
        <w:t xml:space="preserve"> and blank documents, although most of them were illiterate; (v) the debts </w:t>
      </w:r>
      <w:r w:rsidR="00C9133F" w:rsidRPr="00FE50A6">
        <w:rPr>
          <w:lang w:val="en-US"/>
        </w:rPr>
        <w:t>contracted</w:t>
      </w:r>
      <w:r w:rsidR="00664D4D" w:rsidRPr="00FE50A6">
        <w:rPr>
          <w:lang w:val="en-US"/>
        </w:rPr>
        <w:t xml:space="preserve"> by the workers with the </w:t>
      </w:r>
      <w:r w:rsidR="00664D4D" w:rsidRPr="00FE50A6">
        <w:rPr>
          <w:i/>
          <w:lang w:val="en-US"/>
        </w:rPr>
        <w:t xml:space="preserve">gatos </w:t>
      </w:r>
      <w:r w:rsidR="00664D4D" w:rsidRPr="00FE50A6">
        <w:rPr>
          <w:lang w:val="en-US"/>
        </w:rPr>
        <w:t>for transport and salary advances; (vi) the workers had to pay the hacienda for their tools, personal hygiene</w:t>
      </w:r>
      <w:r w:rsidR="00C9133F" w:rsidRPr="00FE50A6">
        <w:rPr>
          <w:lang w:val="en-US"/>
        </w:rPr>
        <w:t xml:space="preserve"> items</w:t>
      </w:r>
      <w:r w:rsidR="00664D4D" w:rsidRPr="00FE50A6">
        <w:rPr>
          <w:lang w:val="en-US"/>
        </w:rPr>
        <w:t xml:space="preserve"> and food at inflated prices; (vii) the workers could not leave the hacienda if they still had debts; (viii) the working day lasted more than 12 hours; (ix) the working conditions were unacceptable, with unhealthy and insufficient food, and with no health care; (x) the hacienda had armed guards who prevented the workers from leaving; (xi) workers who expressed a wish to leave the hacienda were threatened and beaten, and (xii) the workers were obliged to live at the hacienda.</w:t>
      </w:r>
    </w:p>
    <w:p w14:paraId="0F50256A" w14:textId="77777777" w:rsidR="00207197" w:rsidRPr="00FE50A6" w:rsidRDefault="00207197" w:rsidP="00140440">
      <w:pPr>
        <w:jc w:val="both"/>
        <w:rPr>
          <w:lang w:val="en-US"/>
        </w:rPr>
      </w:pPr>
    </w:p>
    <w:p w14:paraId="10B80749" w14:textId="77777777" w:rsidR="00207197" w:rsidRPr="00FE50A6" w:rsidRDefault="00216F2D" w:rsidP="00216F2D">
      <w:pPr>
        <w:pStyle w:val="Prrafodelista"/>
        <w:numPr>
          <w:ilvl w:val="0"/>
          <w:numId w:val="1"/>
        </w:numPr>
        <w:contextualSpacing w:val="0"/>
        <w:rPr>
          <w:lang w:val="en-US"/>
        </w:rPr>
      </w:pPr>
      <w:r w:rsidRPr="00FE50A6">
        <w:rPr>
          <w:lang w:val="en-US"/>
        </w:rPr>
        <w:t>Furthermore, the representatives considered that, owing to the fraudulently imposed debts and the armed guards, the workers were deprived of their liberty. The threats and beatings represented a risk to the life and physical integrity of the workers. In addition, the execrable working conditions violated their honor and dignity. Lastly, th</w:t>
      </w:r>
      <w:r w:rsidR="00C9133F" w:rsidRPr="00FE50A6">
        <w:rPr>
          <w:lang w:val="en-US"/>
        </w:rPr>
        <w:t>e</w:t>
      </w:r>
      <w:r w:rsidRPr="00FE50A6">
        <w:rPr>
          <w:lang w:val="en-US"/>
        </w:rPr>
        <w:t xml:space="preserve"> situation prevented the workers from </w:t>
      </w:r>
      <w:r w:rsidR="00C9133F" w:rsidRPr="00FE50A6">
        <w:rPr>
          <w:lang w:val="en-US"/>
        </w:rPr>
        <w:t xml:space="preserve">freely </w:t>
      </w:r>
      <w:r w:rsidRPr="00FE50A6">
        <w:rPr>
          <w:lang w:val="en-US"/>
        </w:rPr>
        <w:t xml:space="preserve">developing their life project, and negated their right to recognition of </w:t>
      </w:r>
      <w:r w:rsidR="00D11A9F" w:rsidRPr="00FE50A6">
        <w:rPr>
          <w:lang w:val="en-US"/>
        </w:rPr>
        <w:t>juridical personality</w:t>
      </w:r>
      <w:r w:rsidR="00207197" w:rsidRPr="00FE50A6">
        <w:rPr>
          <w:lang w:val="en-US"/>
        </w:rPr>
        <w:t xml:space="preserve">. </w:t>
      </w:r>
      <w:r w:rsidRPr="00FE50A6">
        <w:rPr>
          <w:lang w:val="en-US"/>
        </w:rPr>
        <w:t xml:space="preserve">Consequently, owing to the complex nature of slavery, </w:t>
      </w:r>
      <w:r w:rsidR="00125A00" w:rsidRPr="00FE50A6">
        <w:rPr>
          <w:lang w:val="en-US"/>
        </w:rPr>
        <w:t>servitude</w:t>
      </w:r>
      <w:r w:rsidRPr="00FE50A6">
        <w:rPr>
          <w:lang w:val="en-US"/>
        </w:rPr>
        <w:t xml:space="preserve"> and</w:t>
      </w:r>
      <w:r w:rsidR="00615E39" w:rsidRPr="00FE50A6">
        <w:rPr>
          <w:lang w:val="en-US"/>
        </w:rPr>
        <w:t xml:space="preserve"> </w:t>
      </w:r>
      <w:r w:rsidR="000C2A19" w:rsidRPr="00FE50A6">
        <w:rPr>
          <w:lang w:val="en-US"/>
        </w:rPr>
        <w:t>trafficking in persons</w:t>
      </w:r>
      <w:r w:rsidRPr="00FE50A6">
        <w:rPr>
          <w:lang w:val="en-US"/>
        </w:rPr>
        <w:t>, which involve</w:t>
      </w:r>
      <w:r w:rsidR="00C9133F" w:rsidRPr="00FE50A6">
        <w:rPr>
          <w:lang w:val="en-US"/>
        </w:rPr>
        <w:t>d</w:t>
      </w:r>
      <w:r w:rsidRPr="00FE50A6">
        <w:rPr>
          <w:lang w:val="en-US"/>
        </w:rPr>
        <w:t xml:space="preserve"> multiple offenses, they indicated that the rights to recognition of</w:t>
      </w:r>
      <w:r w:rsidR="00207197" w:rsidRPr="00FE50A6">
        <w:rPr>
          <w:lang w:val="en-US"/>
        </w:rPr>
        <w:t xml:space="preserve"> </w:t>
      </w:r>
      <w:r w:rsidR="00D11A9F" w:rsidRPr="00FE50A6">
        <w:rPr>
          <w:lang w:val="en-US"/>
        </w:rPr>
        <w:t>juridical personality</w:t>
      </w:r>
      <w:r w:rsidR="00207197" w:rsidRPr="00FE50A6">
        <w:rPr>
          <w:lang w:val="en-US"/>
        </w:rPr>
        <w:t xml:space="preserve"> (</w:t>
      </w:r>
      <w:r w:rsidR="00D2546E" w:rsidRPr="00FE50A6">
        <w:rPr>
          <w:lang w:val="en-US"/>
        </w:rPr>
        <w:t>Article</w:t>
      </w:r>
      <w:r w:rsidR="00207197" w:rsidRPr="00FE50A6">
        <w:rPr>
          <w:lang w:val="en-US"/>
        </w:rPr>
        <w:t xml:space="preserve"> 3</w:t>
      </w:r>
      <w:r w:rsidR="000228D0" w:rsidRPr="00FE50A6">
        <w:rPr>
          <w:lang w:val="en-US"/>
        </w:rPr>
        <w:t xml:space="preserve"> of the American Convention</w:t>
      </w:r>
      <w:r w:rsidR="00207197" w:rsidRPr="00FE50A6">
        <w:rPr>
          <w:lang w:val="en-US"/>
        </w:rPr>
        <w:t xml:space="preserve">), </w:t>
      </w:r>
      <w:r w:rsidR="00D11A9F" w:rsidRPr="00FE50A6">
        <w:rPr>
          <w:lang w:val="en-US"/>
        </w:rPr>
        <w:t>personal integrity</w:t>
      </w:r>
      <w:r w:rsidR="00207197" w:rsidRPr="00FE50A6">
        <w:rPr>
          <w:lang w:val="en-US"/>
        </w:rPr>
        <w:t xml:space="preserve"> (</w:t>
      </w:r>
      <w:r w:rsidR="00D2546E" w:rsidRPr="00FE50A6">
        <w:rPr>
          <w:lang w:val="en-US"/>
        </w:rPr>
        <w:t>Article</w:t>
      </w:r>
      <w:r w:rsidR="00207197" w:rsidRPr="00FE50A6">
        <w:rPr>
          <w:lang w:val="en-US"/>
        </w:rPr>
        <w:t xml:space="preserve"> 5), </w:t>
      </w:r>
      <w:r w:rsidR="00D11A9F" w:rsidRPr="00FE50A6">
        <w:rPr>
          <w:lang w:val="en-US"/>
        </w:rPr>
        <w:t>personal liberty and safety</w:t>
      </w:r>
      <w:r w:rsidR="00207197" w:rsidRPr="00FE50A6">
        <w:rPr>
          <w:lang w:val="en-US"/>
        </w:rPr>
        <w:t xml:space="preserve"> (</w:t>
      </w:r>
      <w:r w:rsidR="00D2546E" w:rsidRPr="00FE50A6">
        <w:rPr>
          <w:lang w:val="en-US"/>
        </w:rPr>
        <w:t>Article</w:t>
      </w:r>
      <w:r w:rsidR="00207197" w:rsidRPr="00FE50A6">
        <w:rPr>
          <w:lang w:val="en-US"/>
        </w:rPr>
        <w:t xml:space="preserve"> 7), </w:t>
      </w:r>
      <w:r w:rsidRPr="00FE50A6">
        <w:rPr>
          <w:lang w:val="en-US"/>
        </w:rPr>
        <w:t xml:space="preserve">dignity and privacy </w:t>
      </w:r>
      <w:r w:rsidR="00207197" w:rsidRPr="00FE50A6">
        <w:rPr>
          <w:lang w:val="en-US"/>
        </w:rPr>
        <w:t>(</w:t>
      </w:r>
      <w:r w:rsidR="00D2546E" w:rsidRPr="00FE50A6">
        <w:rPr>
          <w:lang w:val="en-US"/>
        </w:rPr>
        <w:t>Article</w:t>
      </w:r>
      <w:r w:rsidR="00207197" w:rsidRPr="00FE50A6">
        <w:rPr>
          <w:lang w:val="en-US"/>
        </w:rPr>
        <w:t xml:space="preserve"> 11), </w:t>
      </w:r>
      <w:r w:rsidRPr="00FE50A6">
        <w:rPr>
          <w:lang w:val="en-US"/>
        </w:rPr>
        <w:t xml:space="preserve">and </w:t>
      </w:r>
      <w:r w:rsidR="00D11A9F" w:rsidRPr="00FE50A6">
        <w:rPr>
          <w:lang w:val="en-US"/>
        </w:rPr>
        <w:t>freedom of movement and residence</w:t>
      </w:r>
      <w:r w:rsidR="00207197" w:rsidRPr="00FE50A6">
        <w:rPr>
          <w:lang w:val="en-US"/>
        </w:rPr>
        <w:t xml:space="preserve"> (</w:t>
      </w:r>
      <w:r w:rsidR="00D2546E" w:rsidRPr="00FE50A6">
        <w:rPr>
          <w:lang w:val="en-US"/>
        </w:rPr>
        <w:t>Article</w:t>
      </w:r>
      <w:r w:rsidR="00207197" w:rsidRPr="00FE50A6">
        <w:rPr>
          <w:lang w:val="en-US"/>
        </w:rPr>
        <w:t xml:space="preserve"> 22)</w:t>
      </w:r>
      <w:r w:rsidRPr="00FE50A6">
        <w:rPr>
          <w:lang w:val="en-US"/>
        </w:rPr>
        <w:t xml:space="preserve"> had been violated, in addition to the prohibition of discrimination.</w:t>
      </w:r>
    </w:p>
    <w:p w14:paraId="7EFC42B3" w14:textId="77777777" w:rsidR="00207197" w:rsidRPr="00FE50A6" w:rsidRDefault="00207197" w:rsidP="00140440">
      <w:pPr>
        <w:jc w:val="both"/>
        <w:rPr>
          <w:lang w:val="en-US"/>
        </w:rPr>
      </w:pPr>
    </w:p>
    <w:p w14:paraId="2E97BC4C" w14:textId="77777777" w:rsidR="00207197" w:rsidRPr="00FE50A6" w:rsidRDefault="00700B79" w:rsidP="00E43004">
      <w:pPr>
        <w:pStyle w:val="Prrafodelista"/>
        <w:numPr>
          <w:ilvl w:val="0"/>
          <w:numId w:val="1"/>
        </w:numPr>
        <w:contextualSpacing w:val="0"/>
        <w:rPr>
          <w:lang w:val="en-US"/>
        </w:rPr>
      </w:pPr>
      <w:r w:rsidRPr="00FE50A6">
        <w:rPr>
          <w:lang w:val="en-US"/>
        </w:rPr>
        <w:t>The representatives</w:t>
      </w:r>
      <w:r w:rsidR="00216F2D" w:rsidRPr="00FE50A6">
        <w:rPr>
          <w:lang w:val="en-US"/>
        </w:rPr>
        <w:t xml:space="preserve"> indicated that a situation of</w:t>
      </w:r>
      <w:r w:rsidR="00615E39" w:rsidRPr="00FE50A6">
        <w:rPr>
          <w:lang w:val="en-US"/>
        </w:rPr>
        <w:t xml:space="preserve"> </w:t>
      </w:r>
      <w:r w:rsidR="000C2A19" w:rsidRPr="00FE50A6">
        <w:rPr>
          <w:lang w:val="en-US"/>
        </w:rPr>
        <w:t>trafficking in persons</w:t>
      </w:r>
      <w:r w:rsidR="00615E39" w:rsidRPr="00FE50A6">
        <w:rPr>
          <w:lang w:val="en-US"/>
        </w:rPr>
        <w:t xml:space="preserve"> </w:t>
      </w:r>
      <w:r w:rsidR="00216F2D" w:rsidRPr="00FE50A6">
        <w:rPr>
          <w:lang w:val="en-US"/>
        </w:rPr>
        <w:t>had also been constituted in this case.</w:t>
      </w:r>
      <w:r w:rsidR="00207197" w:rsidRPr="00FE50A6">
        <w:rPr>
          <w:lang w:val="en-US"/>
        </w:rPr>
        <w:t xml:space="preserve"> </w:t>
      </w:r>
      <w:r w:rsidR="00216F2D" w:rsidRPr="00FE50A6">
        <w:rPr>
          <w:lang w:val="en-US"/>
        </w:rPr>
        <w:t xml:space="preserve">All the elements required to constitute trafficking as defined in the Palermo Protocol </w:t>
      </w:r>
      <w:r w:rsidR="00E43004" w:rsidRPr="00FE50A6">
        <w:rPr>
          <w:lang w:val="en-US"/>
        </w:rPr>
        <w:t xml:space="preserve">to Prevent, Suppress and Punish Trafficking in Persons Especially Women and Children </w:t>
      </w:r>
      <w:r w:rsidR="00216F2D" w:rsidRPr="00FE50A6">
        <w:rPr>
          <w:lang w:val="en-US"/>
        </w:rPr>
        <w:t>were met in</w:t>
      </w:r>
      <w:r w:rsidR="00CB2CC7" w:rsidRPr="00FE50A6">
        <w:rPr>
          <w:lang w:val="en-US"/>
        </w:rPr>
        <w:t xml:space="preserve"> </w:t>
      </w:r>
      <w:r w:rsidR="00207197" w:rsidRPr="00FE50A6">
        <w:rPr>
          <w:lang w:val="en-US"/>
        </w:rPr>
        <w:t xml:space="preserve">Hacienda </w:t>
      </w:r>
      <w:r w:rsidR="00322241" w:rsidRPr="00FE50A6">
        <w:rPr>
          <w:lang w:val="en-US"/>
        </w:rPr>
        <w:t>Brasil Verde</w:t>
      </w:r>
      <w:r w:rsidR="00C9133F" w:rsidRPr="00FE50A6">
        <w:rPr>
          <w:lang w:val="en-US"/>
        </w:rPr>
        <w:t xml:space="preserve">; this included </w:t>
      </w:r>
      <w:r w:rsidR="00541C86" w:rsidRPr="00FE50A6">
        <w:rPr>
          <w:lang w:val="en-US"/>
        </w:rPr>
        <w:t xml:space="preserve">the </w:t>
      </w:r>
      <w:r w:rsidR="00E43004" w:rsidRPr="00FE50A6">
        <w:rPr>
          <w:lang w:val="en-US"/>
        </w:rPr>
        <w:t>transportation</w:t>
      </w:r>
      <w:r w:rsidR="00541C86" w:rsidRPr="00FE50A6">
        <w:rPr>
          <w:lang w:val="en-US"/>
        </w:rPr>
        <w:t xml:space="preserve"> and transfer of work</w:t>
      </w:r>
      <w:r w:rsidR="00E43004" w:rsidRPr="00FE50A6">
        <w:rPr>
          <w:lang w:val="en-US"/>
        </w:rPr>
        <w:t>ers</w:t>
      </w:r>
      <w:r w:rsidR="00541C86" w:rsidRPr="00FE50A6">
        <w:rPr>
          <w:lang w:val="en-US"/>
        </w:rPr>
        <w:t xml:space="preserve"> </w:t>
      </w:r>
      <w:r w:rsidR="00E43004" w:rsidRPr="00FE50A6">
        <w:rPr>
          <w:lang w:val="en-US"/>
        </w:rPr>
        <w:t xml:space="preserve">by means of </w:t>
      </w:r>
      <w:r w:rsidR="00541C86" w:rsidRPr="00FE50A6">
        <w:rPr>
          <w:lang w:val="en-US"/>
        </w:rPr>
        <w:t>dece</w:t>
      </w:r>
      <w:r w:rsidR="00E43004" w:rsidRPr="00FE50A6">
        <w:rPr>
          <w:lang w:val="en-US"/>
        </w:rPr>
        <w:t>ption</w:t>
      </w:r>
      <w:r w:rsidR="00541C86" w:rsidRPr="00FE50A6">
        <w:rPr>
          <w:lang w:val="en-US"/>
        </w:rPr>
        <w:t xml:space="preserve"> and fraud for the purposes of exploiting their labor.</w:t>
      </w:r>
    </w:p>
    <w:p w14:paraId="0E1F7F69" w14:textId="77777777" w:rsidR="00207197" w:rsidRPr="00FE50A6" w:rsidRDefault="00207197" w:rsidP="00140440">
      <w:pPr>
        <w:jc w:val="both"/>
        <w:rPr>
          <w:lang w:val="en-US"/>
        </w:rPr>
      </w:pPr>
    </w:p>
    <w:p w14:paraId="6967A3C7" w14:textId="77777777" w:rsidR="00E43004" w:rsidRPr="00FE50A6" w:rsidRDefault="00E43004" w:rsidP="00F37DC4">
      <w:pPr>
        <w:pStyle w:val="Prrafodelista"/>
        <w:numPr>
          <w:ilvl w:val="0"/>
          <w:numId w:val="1"/>
        </w:numPr>
        <w:contextualSpacing w:val="0"/>
        <w:rPr>
          <w:lang w:val="en-US"/>
        </w:rPr>
      </w:pPr>
      <w:r w:rsidRPr="00FE50A6">
        <w:rPr>
          <w:lang w:val="en-US"/>
        </w:rPr>
        <w:t xml:space="preserve">According to the representatives, in Brazil, the practice of </w:t>
      </w:r>
      <w:r w:rsidR="005F1946" w:rsidRPr="00FE50A6">
        <w:rPr>
          <w:lang w:val="en-US"/>
        </w:rPr>
        <w:t>slave labor</w:t>
      </w:r>
      <w:r w:rsidR="00E368FD" w:rsidRPr="00FE50A6">
        <w:rPr>
          <w:lang w:val="en-US"/>
        </w:rPr>
        <w:t xml:space="preserve"> </w:t>
      </w:r>
      <w:r w:rsidR="00C9133F" w:rsidRPr="00FE50A6">
        <w:rPr>
          <w:lang w:val="en-US"/>
        </w:rPr>
        <w:t>was</w:t>
      </w:r>
      <w:r w:rsidRPr="00FE50A6">
        <w:rPr>
          <w:lang w:val="en-US"/>
        </w:rPr>
        <w:t xml:space="preserve"> structural </w:t>
      </w:r>
      <w:r w:rsidR="00C9133F" w:rsidRPr="00FE50A6">
        <w:rPr>
          <w:lang w:val="en-US"/>
        </w:rPr>
        <w:t xml:space="preserve">in </w:t>
      </w:r>
      <w:r w:rsidRPr="00FE50A6">
        <w:rPr>
          <w:lang w:val="en-US"/>
        </w:rPr>
        <w:t>nature and ha</w:t>
      </w:r>
      <w:r w:rsidR="00C9133F" w:rsidRPr="00FE50A6">
        <w:rPr>
          <w:lang w:val="en-US"/>
        </w:rPr>
        <w:t>d</w:t>
      </w:r>
      <w:r w:rsidRPr="00FE50A6">
        <w:rPr>
          <w:lang w:val="en-US"/>
        </w:rPr>
        <w:t xml:space="preserve"> been tolerated by the State. They added that the facts of this case</w:t>
      </w:r>
      <w:r w:rsidR="00C9133F" w:rsidRPr="00FE50A6">
        <w:rPr>
          <w:lang w:val="en-US"/>
        </w:rPr>
        <w:t xml:space="preserve"> had taken place</w:t>
      </w:r>
      <w:r w:rsidRPr="00FE50A6">
        <w:rPr>
          <w:lang w:val="en-US"/>
        </w:rPr>
        <w:t xml:space="preserve"> in this general context and, </w:t>
      </w:r>
      <w:r w:rsidR="00C9133F" w:rsidRPr="00FE50A6">
        <w:rPr>
          <w:lang w:val="en-US"/>
        </w:rPr>
        <w:t>therefore</w:t>
      </w:r>
      <w:r w:rsidRPr="00FE50A6">
        <w:rPr>
          <w:lang w:val="en-US"/>
        </w:rPr>
        <w:t>, the Court should establish certain assumptions and invert the burden of proof. They also argued that certain evidentiary shortcomings in th</w:t>
      </w:r>
      <w:r w:rsidR="00C9133F" w:rsidRPr="00FE50A6">
        <w:rPr>
          <w:lang w:val="en-US"/>
        </w:rPr>
        <w:t>e</w:t>
      </w:r>
      <w:r w:rsidRPr="00FE50A6">
        <w:rPr>
          <w:lang w:val="en-US"/>
        </w:rPr>
        <w:t xml:space="preserve"> case were due, precisely, to the State’s lack of diligence when inspecting and investigating the hacienda.</w:t>
      </w:r>
    </w:p>
    <w:p w14:paraId="4802F1D1" w14:textId="77777777" w:rsidR="00207197" w:rsidRPr="00FE50A6" w:rsidRDefault="00207197" w:rsidP="00140440">
      <w:pPr>
        <w:jc w:val="both"/>
        <w:rPr>
          <w:lang w:val="en-US"/>
        </w:rPr>
      </w:pPr>
    </w:p>
    <w:p w14:paraId="3403C7AD" w14:textId="77777777" w:rsidR="00207197" w:rsidRPr="00FE50A6" w:rsidRDefault="00E43004" w:rsidP="0018080E">
      <w:pPr>
        <w:pStyle w:val="Prrafodelista"/>
        <w:numPr>
          <w:ilvl w:val="0"/>
          <w:numId w:val="1"/>
        </w:numPr>
        <w:contextualSpacing w:val="0"/>
        <w:rPr>
          <w:lang w:val="en-US"/>
        </w:rPr>
      </w:pPr>
      <w:r w:rsidRPr="00FE50A6">
        <w:rPr>
          <w:lang w:val="en-US"/>
        </w:rPr>
        <w:t>Regarding the State’s responsibility for human rights violations committed by private individuals</w:t>
      </w:r>
      <w:r w:rsidR="00207197" w:rsidRPr="00FE50A6">
        <w:rPr>
          <w:lang w:val="en-US"/>
        </w:rPr>
        <w:t xml:space="preserve">, </w:t>
      </w:r>
      <w:r w:rsidR="00700B79" w:rsidRPr="00FE50A6">
        <w:rPr>
          <w:lang w:val="en-US"/>
        </w:rPr>
        <w:t>the representatives</w:t>
      </w:r>
      <w:r w:rsidR="00207197" w:rsidRPr="00FE50A6">
        <w:rPr>
          <w:lang w:val="en-US"/>
        </w:rPr>
        <w:t xml:space="preserve"> </w:t>
      </w:r>
      <w:r w:rsidRPr="00FE50A6">
        <w:rPr>
          <w:lang w:val="en-US"/>
        </w:rPr>
        <w:t>agreed with the</w:t>
      </w:r>
      <w:r w:rsidR="00207197" w:rsidRPr="00FE50A6">
        <w:rPr>
          <w:lang w:val="en-US"/>
        </w:rPr>
        <w:t xml:space="preserve"> arguments</w:t>
      </w:r>
      <w:r w:rsidR="000228D0" w:rsidRPr="00FE50A6">
        <w:rPr>
          <w:lang w:val="en-US"/>
        </w:rPr>
        <w:t xml:space="preserve"> of the Inter-American Commission</w:t>
      </w:r>
      <w:r w:rsidR="00207197" w:rsidRPr="00FE50A6">
        <w:rPr>
          <w:lang w:val="en-US"/>
        </w:rPr>
        <w:t xml:space="preserve">. </w:t>
      </w:r>
      <w:r w:rsidRPr="00FE50A6">
        <w:rPr>
          <w:lang w:val="en-US"/>
        </w:rPr>
        <w:t>Spec</w:t>
      </w:r>
      <w:r w:rsidR="00C9133F" w:rsidRPr="00FE50A6">
        <w:rPr>
          <w:lang w:val="en-US"/>
        </w:rPr>
        <w:t>i</w:t>
      </w:r>
      <w:r w:rsidRPr="00FE50A6">
        <w:rPr>
          <w:lang w:val="en-US"/>
        </w:rPr>
        <w:t>fically, they argued that, in this case, most of the victims were poor</w:t>
      </w:r>
      <w:r w:rsidR="0018080E" w:rsidRPr="00FE50A6">
        <w:rPr>
          <w:lang w:val="en-US"/>
        </w:rPr>
        <w:t xml:space="preserve"> </w:t>
      </w:r>
      <w:r w:rsidRPr="00FE50A6">
        <w:rPr>
          <w:lang w:val="en-US"/>
        </w:rPr>
        <w:t xml:space="preserve">men, between 17 and </w:t>
      </w:r>
      <w:r w:rsidR="0018080E" w:rsidRPr="00FE50A6">
        <w:rPr>
          <w:lang w:val="en-US"/>
        </w:rPr>
        <w:t xml:space="preserve">40 years of age, Afrodescendant and mulatto, from extremely poor states such as </w:t>
      </w:r>
      <w:r w:rsidR="00AD2DFF" w:rsidRPr="00FE50A6">
        <w:rPr>
          <w:lang w:val="en-US"/>
        </w:rPr>
        <w:t xml:space="preserve">Piauí, </w:t>
      </w:r>
      <w:r w:rsidR="0018080E" w:rsidRPr="00FE50A6">
        <w:rPr>
          <w:lang w:val="en-US"/>
        </w:rPr>
        <w:t>where they lived in conditions of extreme poverty and vulnerability</w:t>
      </w:r>
      <w:r w:rsidR="00AD2DFF" w:rsidRPr="00FE50A6">
        <w:rPr>
          <w:lang w:val="en-US"/>
        </w:rPr>
        <w:t>.</w:t>
      </w:r>
      <w:r w:rsidR="0018080E" w:rsidRPr="00FE50A6">
        <w:rPr>
          <w:lang w:val="en-US"/>
        </w:rPr>
        <w:t xml:space="preserve"> This situation allegedly corresponded to “structural discrimination.” Thus, according to </w:t>
      </w:r>
      <w:r w:rsidR="00700B79" w:rsidRPr="00FE50A6">
        <w:rPr>
          <w:lang w:val="en-US"/>
        </w:rPr>
        <w:t>the representatives</w:t>
      </w:r>
      <w:r w:rsidR="00AD2DFF" w:rsidRPr="00FE50A6">
        <w:rPr>
          <w:lang w:val="en-US"/>
        </w:rPr>
        <w:t xml:space="preserve">, </w:t>
      </w:r>
      <w:r w:rsidR="009C48A4" w:rsidRPr="00FE50A6">
        <w:rPr>
          <w:lang w:val="en-US"/>
        </w:rPr>
        <w:t>“</w:t>
      </w:r>
      <w:r w:rsidR="000228D0" w:rsidRPr="00FE50A6">
        <w:rPr>
          <w:lang w:val="en-US"/>
        </w:rPr>
        <w:t xml:space="preserve">the </w:t>
      </w:r>
      <w:r w:rsidR="0018080E" w:rsidRPr="00FE50A6">
        <w:rPr>
          <w:lang w:val="en-US"/>
        </w:rPr>
        <w:t xml:space="preserve">Brazilian </w:t>
      </w:r>
      <w:r w:rsidR="000228D0" w:rsidRPr="00FE50A6">
        <w:rPr>
          <w:lang w:val="en-US"/>
        </w:rPr>
        <w:t>State</w:t>
      </w:r>
      <w:r w:rsidR="0018080E" w:rsidRPr="00FE50A6">
        <w:rPr>
          <w:lang w:val="en-US"/>
        </w:rPr>
        <w:t xml:space="preserve"> failed to comply with its obligation to take effective steps to</w:t>
      </w:r>
      <w:r w:rsidR="00AD2DFF" w:rsidRPr="00FE50A6">
        <w:rPr>
          <w:lang w:val="en-US"/>
        </w:rPr>
        <w:t xml:space="preserve"> elimina</w:t>
      </w:r>
      <w:r w:rsidR="0018080E" w:rsidRPr="00FE50A6">
        <w:rPr>
          <w:lang w:val="en-US"/>
        </w:rPr>
        <w:t xml:space="preserve">te the practice of </w:t>
      </w:r>
      <w:r w:rsidR="005F1946" w:rsidRPr="00FE50A6">
        <w:rPr>
          <w:lang w:val="en-US"/>
        </w:rPr>
        <w:t>forced labor</w:t>
      </w:r>
      <w:r w:rsidR="00AD2DFF" w:rsidRPr="00FE50A6">
        <w:rPr>
          <w:lang w:val="en-US"/>
        </w:rPr>
        <w:t>,</w:t>
      </w:r>
      <w:r w:rsidR="00615E39" w:rsidRPr="00FE50A6">
        <w:rPr>
          <w:lang w:val="en-US"/>
        </w:rPr>
        <w:t xml:space="preserve"> </w:t>
      </w:r>
      <w:r w:rsidR="000C2A19" w:rsidRPr="00FE50A6">
        <w:rPr>
          <w:lang w:val="en-US"/>
        </w:rPr>
        <w:t>trafficking in persons</w:t>
      </w:r>
      <w:r w:rsidR="00030C17" w:rsidRPr="00FE50A6">
        <w:rPr>
          <w:lang w:val="en-US"/>
        </w:rPr>
        <w:t xml:space="preserve"> and </w:t>
      </w:r>
      <w:r w:rsidR="005F1946" w:rsidRPr="00FE50A6">
        <w:rPr>
          <w:lang w:val="en-US"/>
        </w:rPr>
        <w:t>debt bondage</w:t>
      </w:r>
      <w:r w:rsidR="00AD2DFF" w:rsidRPr="00FE50A6">
        <w:rPr>
          <w:lang w:val="en-US"/>
        </w:rPr>
        <w:t>, a</w:t>
      </w:r>
      <w:r w:rsidR="0018080E" w:rsidRPr="00FE50A6">
        <w:rPr>
          <w:lang w:val="en-US"/>
        </w:rPr>
        <w:t>nd to remove the obstacles to access to justice based on the victims’ origin, ethnicity, race and economic status, which permitted the subsistence of factors of structural discrimination that facilitated the</w:t>
      </w:r>
      <w:r w:rsidR="00923BDA" w:rsidRPr="00FE50A6">
        <w:rPr>
          <w:lang w:val="en-US"/>
        </w:rPr>
        <w:t xml:space="preserve"> subjection of the</w:t>
      </w:r>
      <w:r w:rsidR="0018080E" w:rsidRPr="00FE50A6">
        <w:rPr>
          <w:lang w:val="en-US"/>
        </w:rPr>
        <w:t xml:space="preserve"> Hacienda Brasil Verde workers </w:t>
      </w:r>
      <w:r w:rsidR="00923BDA" w:rsidRPr="00FE50A6">
        <w:rPr>
          <w:lang w:val="en-US"/>
        </w:rPr>
        <w:t>to</w:t>
      </w:r>
      <w:r w:rsidR="0018080E" w:rsidRPr="00FE50A6">
        <w:rPr>
          <w:lang w:val="en-US"/>
        </w:rPr>
        <w:t xml:space="preserve"> trafficking, </w:t>
      </w:r>
      <w:r w:rsidR="00D11A9F" w:rsidRPr="00FE50A6">
        <w:rPr>
          <w:lang w:val="en-US"/>
        </w:rPr>
        <w:t>slavery</w:t>
      </w:r>
      <w:r w:rsidR="00030C17" w:rsidRPr="00FE50A6">
        <w:rPr>
          <w:lang w:val="en-US"/>
        </w:rPr>
        <w:t xml:space="preserve"> and </w:t>
      </w:r>
      <w:r w:rsidR="005F1946" w:rsidRPr="00FE50A6">
        <w:rPr>
          <w:lang w:val="en-US"/>
        </w:rPr>
        <w:t>forced labor</w:t>
      </w:r>
      <w:r w:rsidR="0018080E" w:rsidRPr="00FE50A6">
        <w:rPr>
          <w:lang w:val="en-US"/>
        </w:rPr>
        <w:t xml:space="preserve">.” Accordingly, </w:t>
      </w:r>
      <w:r w:rsidR="00700B79" w:rsidRPr="00FE50A6">
        <w:rPr>
          <w:lang w:val="en-US"/>
        </w:rPr>
        <w:t>the representatives</w:t>
      </w:r>
      <w:r w:rsidR="00AD2DFF" w:rsidRPr="00FE50A6">
        <w:rPr>
          <w:lang w:val="en-US"/>
        </w:rPr>
        <w:t xml:space="preserve"> </w:t>
      </w:r>
      <w:r w:rsidR="0018080E" w:rsidRPr="00FE50A6">
        <w:rPr>
          <w:lang w:val="en-US"/>
        </w:rPr>
        <w:t xml:space="preserve">asked the Court to declare the violation </w:t>
      </w:r>
      <w:r w:rsidR="00703850" w:rsidRPr="00FE50A6">
        <w:rPr>
          <w:lang w:val="en-US"/>
        </w:rPr>
        <w:t>of Article</w:t>
      </w:r>
      <w:r w:rsidR="00AD2DFF" w:rsidRPr="00FE50A6">
        <w:rPr>
          <w:lang w:val="en-US"/>
        </w:rPr>
        <w:t xml:space="preserve"> 6</w:t>
      </w:r>
      <w:r w:rsidR="000228D0" w:rsidRPr="00FE50A6">
        <w:rPr>
          <w:lang w:val="en-US"/>
        </w:rPr>
        <w:t xml:space="preserve"> of the American Convention</w:t>
      </w:r>
      <w:r w:rsidR="00AD2DFF" w:rsidRPr="00FE50A6">
        <w:rPr>
          <w:lang w:val="en-US"/>
        </w:rPr>
        <w:t xml:space="preserve">, </w:t>
      </w:r>
      <w:r w:rsidR="0018080E" w:rsidRPr="00FE50A6">
        <w:rPr>
          <w:lang w:val="en-US"/>
        </w:rPr>
        <w:t xml:space="preserve">in relation, </w:t>
      </w:r>
      <w:r w:rsidR="0018080E" w:rsidRPr="00FE50A6">
        <w:rPr>
          <w:i/>
          <w:lang w:val="en-US"/>
        </w:rPr>
        <w:t>inter alia</w:t>
      </w:r>
      <w:r w:rsidR="0018080E" w:rsidRPr="00FE50A6">
        <w:rPr>
          <w:lang w:val="en-US"/>
        </w:rPr>
        <w:t xml:space="preserve">, to </w:t>
      </w:r>
      <w:r w:rsidR="000B587F" w:rsidRPr="00FE50A6">
        <w:rPr>
          <w:lang w:val="en-US"/>
        </w:rPr>
        <w:t>Article 1(1)</w:t>
      </w:r>
      <w:r w:rsidR="00AD2DFF" w:rsidRPr="00FE50A6">
        <w:rPr>
          <w:lang w:val="en-US"/>
        </w:rPr>
        <w:t xml:space="preserve"> </w:t>
      </w:r>
      <w:r w:rsidR="00D11A9F" w:rsidRPr="00FE50A6">
        <w:rPr>
          <w:lang w:val="en-US"/>
        </w:rPr>
        <w:t>of this instrument</w:t>
      </w:r>
      <w:r w:rsidR="00AD2DFF" w:rsidRPr="00FE50A6">
        <w:rPr>
          <w:lang w:val="en-US"/>
        </w:rPr>
        <w:t xml:space="preserve">. </w:t>
      </w:r>
      <w:r w:rsidR="0018080E" w:rsidRPr="00FE50A6">
        <w:rPr>
          <w:lang w:val="en-US"/>
        </w:rPr>
        <w:t xml:space="preserve">Subsequently, in their final written arguments, they also </w:t>
      </w:r>
      <w:r w:rsidR="00923BDA" w:rsidRPr="00FE50A6">
        <w:rPr>
          <w:lang w:val="en-US"/>
        </w:rPr>
        <w:t>asked the Court to declare</w:t>
      </w:r>
      <w:r w:rsidR="0018080E" w:rsidRPr="00FE50A6">
        <w:rPr>
          <w:lang w:val="en-US"/>
        </w:rPr>
        <w:t xml:space="preserve"> </w:t>
      </w:r>
      <w:r w:rsidR="00700B79" w:rsidRPr="00FE50A6">
        <w:rPr>
          <w:lang w:val="en-US"/>
        </w:rPr>
        <w:t>the violation</w:t>
      </w:r>
      <w:r w:rsidR="00AD2DFF" w:rsidRPr="00FE50A6">
        <w:rPr>
          <w:lang w:val="en-US"/>
        </w:rPr>
        <w:t xml:space="preserve"> </w:t>
      </w:r>
      <w:r w:rsidR="00703850" w:rsidRPr="00FE50A6">
        <w:rPr>
          <w:lang w:val="en-US"/>
        </w:rPr>
        <w:t>of Article</w:t>
      </w:r>
      <w:r w:rsidR="00AD2DFF" w:rsidRPr="00FE50A6">
        <w:rPr>
          <w:lang w:val="en-US"/>
        </w:rPr>
        <w:t xml:space="preserve"> 24</w:t>
      </w:r>
      <w:r w:rsidR="000228D0" w:rsidRPr="00FE50A6">
        <w:rPr>
          <w:lang w:val="en-US"/>
        </w:rPr>
        <w:t xml:space="preserve"> of the Convention</w:t>
      </w:r>
      <w:r w:rsidR="00AD2DFF" w:rsidRPr="00FE50A6">
        <w:rPr>
          <w:lang w:val="en-US"/>
        </w:rPr>
        <w:t>.</w:t>
      </w:r>
    </w:p>
    <w:p w14:paraId="10100F24" w14:textId="77777777" w:rsidR="00207197" w:rsidRPr="00FE50A6" w:rsidRDefault="00207197" w:rsidP="00140440">
      <w:pPr>
        <w:jc w:val="both"/>
        <w:rPr>
          <w:lang w:val="en-US"/>
        </w:rPr>
      </w:pPr>
    </w:p>
    <w:p w14:paraId="5321A301" w14:textId="77777777" w:rsidR="00207197" w:rsidRPr="00FE50A6" w:rsidRDefault="00700B79" w:rsidP="00F37DC4">
      <w:pPr>
        <w:pStyle w:val="Prrafodelista"/>
        <w:numPr>
          <w:ilvl w:val="0"/>
          <w:numId w:val="1"/>
        </w:numPr>
        <w:contextualSpacing w:val="0"/>
        <w:rPr>
          <w:lang w:val="en-US"/>
        </w:rPr>
      </w:pPr>
      <w:r w:rsidRPr="00FE50A6">
        <w:rPr>
          <w:lang w:val="en-US"/>
        </w:rPr>
        <w:t>The representatives</w:t>
      </w:r>
      <w:r w:rsidR="00207197" w:rsidRPr="00FE50A6">
        <w:rPr>
          <w:lang w:val="en-US"/>
        </w:rPr>
        <w:t xml:space="preserve"> conclu</w:t>
      </w:r>
      <w:r w:rsidR="0018080E" w:rsidRPr="00FE50A6">
        <w:rPr>
          <w:lang w:val="en-US"/>
        </w:rPr>
        <w:t>ded that</w:t>
      </w:r>
      <w:r w:rsidR="00207197" w:rsidRPr="00FE50A6">
        <w:rPr>
          <w:lang w:val="en-US"/>
        </w:rPr>
        <w:t xml:space="preserve"> </w:t>
      </w:r>
      <w:r w:rsidR="000228D0" w:rsidRPr="00FE50A6">
        <w:rPr>
          <w:lang w:val="en-US"/>
        </w:rPr>
        <w:t>Brazil</w:t>
      </w:r>
      <w:r w:rsidR="00207197" w:rsidRPr="00FE50A6">
        <w:rPr>
          <w:lang w:val="en-US"/>
        </w:rPr>
        <w:t xml:space="preserve"> </w:t>
      </w:r>
      <w:r w:rsidR="0018080E" w:rsidRPr="00FE50A6">
        <w:rPr>
          <w:lang w:val="en-US"/>
        </w:rPr>
        <w:t>was internationally responsible for failing to comply with its obligation to ensure</w:t>
      </w:r>
      <w:r w:rsidR="00207197" w:rsidRPr="00FE50A6">
        <w:rPr>
          <w:lang w:val="en-US"/>
        </w:rPr>
        <w:t xml:space="preserve"> </w:t>
      </w:r>
      <w:r w:rsidR="00EE52F3" w:rsidRPr="00FE50A6">
        <w:rPr>
          <w:lang w:val="en-US"/>
        </w:rPr>
        <w:t>the prohibition of</w:t>
      </w:r>
      <w:r w:rsidR="00207197" w:rsidRPr="00FE50A6">
        <w:rPr>
          <w:lang w:val="en-US"/>
        </w:rPr>
        <w:t xml:space="preserve"> </w:t>
      </w:r>
      <w:r w:rsidR="00D11A9F" w:rsidRPr="00FE50A6">
        <w:rPr>
          <w:lang w:val="en-US"/>
        </w:rPr>
        <w:t>slavery</w:t>
      </w:r>
      <w:r w:rsidR="00207197" w:rsidRPr="00FE50A6">
        <w:rPr>
          <w:lang w:val="en-US"/>
        </w:rPr>
        <w:t xml:space="preserve"> </w:t>
      </w:r>
      <w:r w:rsidR="0018080E" w:rsidRPr="00FE50A6">
        <w:rPr>
          <w:lang w:val="en-US"/>
        </w:rPr>
        <w:t>contained in</w:t>
      </w:r>
      <w:r w:rsidR="00207197" w:rsidRPr="00FE50A6">
        <w:rPr>
          <w:lang w:val="en-US"/>
        </w:rPr>
        <w:t xml:space="preserve"> </w:t>
      </w:r>
      <w:r w:rsidR="000228D0"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0018080E" w:rsidRPr="00FE50A6">
        <w:rPr>
          <w:lang w:val="en-US"/>
        </w:rPr>
        <w:t xml:space="preserve">in relation to the rights to </w:t>
      </w:r>
      <w:r w:rsidR="00D11A9F" w:rsidRPr="00FE50A6">
        <w:rPr>
          <w:lang w:val="en-US"/>
        </w:rPr>
        <w:t>juridical personality</w:t>
      </w:r>
      <w:r w:rsidR="00207197" w:rsidRPr="00FE50A6">
        <w:rPr>
          <w:lang w:val="en-US"/>
        </w:rPr>
        <w:t xml:space="preserve">, </w:t>
      </w:r>
      <w:r w:rsidR="00D11A9F" w:rsidRPr="00FE50A6">
        <w:rPr>
          <w:lang w:val="en-US"/>
        </w:rPr>
        <w:t>personal integrity</w:t>
      </w:r>
      <w:r w:rsidR="00207197" w:rsidRPr="00FE50A6">
        <w:rPr>
          <w:lang w:val="en-US"/>
        </w:rPr>
        <w:t xml:space="preserve">, </w:t>
      </w:r>
      <w:r w:rsidR="00D11A9F" w:rsidRPr="00FE50A6">
        <w:rPr>
          <w:lang w:val="en-US"/>
        </w:rPr>
        <w:t>personal liberty and safety</w:t>
      </w:r>
      <w:r w:rsidR="00207197" w:rsidRPr="00FE50A6">
        <w:rPr>
          <w:lang w:val="en-US"/>
        </w:rPr>
        <w:t>, hon</w:t>
      </w:r>
      <w:r w:rsidR="0018080E" w:rsidRPr="00FE50A6">
        <w:rPr>
          <w:lang w:val="en-US"/>
        </w:rPr>
        <w:t>or, dignity,</w:t>
      </w:r>
      <w:r w:rsidR="00207197" w:rsidRPr="00FE50A6">
        <w:rPr>
          <w:lang w:val="en-US"/>
        </w:rPr>
        <w:t xml:space="preserve"> </w:t>
      </w:r>
      <w:r w:rsidR="00D11A9F" w:rsidRPr="00FE50A6">
        <w:rPr>
          <w:lang w:val="en-US"/>
        </w:rPr>
        <w:t>privacy</w:t>
      </w:r>
      <w:r w:rsidR="00207197" w:rsidRPr="00FE50A6">
        <w:rPr>
          <w:lang w:val="en-US"/>
        </w:rPr>
        <w:t xml:space="preserve">, </w:t>
      </w:r>
      <w:r w:rsidR="0018080E" w:rsidRPr="00FE50A6">
        <w:rPr>
          <w:lang w:val="en-US"/>
        </w:rPr>
        <w:t xml:space="preserve">and </w:t>
      </w:r>
      <w:r w:rsidR="00D11A9F" w:rsidRPr="00FE50A6">
        <w:rPr>
          <w:lang w:val="en-US"/>
        </w:rPr>
        <w:t>freedom of movement and residence</w:t>
      </w:r>
      <w:r w:rsidR="00207197" w:rsidRPr="00FE50A6">
        <w:rPr>
          <w:lang w:val="en-US"/>
        </w:rPr>
        <w:t xml:space="preserve"> (</w:t>
      </w:r>
      <w:r w:rsidR="00D2546E" w:rsidRPr="00FE50A6">
        <w:rPr>
          <w:lang w:val="en-US"/>
        </w:rPr>
        <w:t>Article</w:t>
      </w:r>
      <w:r w:rsidR="00207197" w:rsidRPr="00FE50A6">
        <w:rPr>
          <w:lang w:val="en-US"/>
        </w:rPr>
        <w:t>s 3, 5, 7, 11</w:t>
      </w:r>
      <w:r w:rsidR="00030C17" w:rsidRPr="00FE50A6">
        <w:rPr>
          <w:lang w:val="en-US"/>
        </w:rPr>
        <w:t xml:space="preserve"> and </w:t>
      </w:r>
      <w:r w:rsidR="00207197" w:rsidRPr="00FE50A6">
        <w:rPr>
          <w:lang w:val="en-US"/>
        </w:rPr>
        <w:t>22</w:t>
      </w:r>
      <w:r w:rsidR="000228D0" w:rsidRPr="00FE50A6">
        <w:rPr>
          <w:lang w:val="en-US"/>
        </w:rPr>
        <w:t xml:space="preserve"> of the Convention</w:t>
      </w:r>
      <w:r w:rsidR="00207197" w:rsidRPr="00FE50A6">
        <w:rPr>
          <w:lang w:val="en-US"/>
        </w:rPr>
        <w:t xml:space="preserve">) </w:t>
      </w:r>
      <w:r w:rsidR="0018080E" w:rsidRPr="00FE50A6">
        <w:rPr>
          <w:lang w:val="en-US"/>
        </w:rPr>
        <w:t xml:space="preserve">with regard to all those who worked in </w:t>
      </w:r>
      <w:r w:rsidR="00207197" w:rsidRPr="00FE50A6">
        <w:rPr>
          <w:lang w:val="en-US"/>
        </w:rPr>
        <w:t xml:space="preserve">Hacienda </w:t>
      </w:r>
      <w:r w:rsidR="00322241" w:rsidRPr="00FE50A6">
        <w:rPr>
          <w:lang w:val="en-US"/>
        </w:rPr>
        <w:t>Brasil Verde</w:t>
      </w:r>
      <w:r w:rsidR="00207197" w:rsidRPr="00FE50A6">
        <w:rPr>
          <w:lang w:val="en-US"/>
        </w:rPr>
        <w:t xml:space="preserve"> </w:t>
      </w:r>
      <w:r w:rsidR="0081671D" w:rsidRPr="00FE50A6">
        <w:rPr>
          <w:lang w:val="en-US"/>
        </w:rPr>
        <w:t xml:space="preserve">following the date </w:t>
      </w:r>
      <w:r w:rsidR="00923BDA" w:rsidRPr="00FE50A6">
        <w:rPr>
          <w:lang w:val="en-US"/>
        </w:rPr>
        <w:t>on which</w:t>
      </w:r>
      <w:r w:rsidR="0081671D" w:rsidRPr="00FE50A6">
        <w:rPr>
          <w:lang w:val="en-US"/>
        </w:rPr>
        <w:t xml:space="preserve"> Brazil accepted the jurisdiction of the Court. This responsibility was aggravated owing to the discriminatory nature of the violations, and also the presence of victims who were under 18 years of age. </w:t>
      </w:r>
    </w:p>
    <w:p w14:paraId="4C774FC7" w14:textId="77777777" w:rsidR="00207197" w:rsidRPr="00FE50A6" w:rsidRDefault="00207197" w:rsidP="00140440">
      <w:pPr>
        <w:jc w:val="both"/>
        <w:rPr>
          <w:lang w:val="en-US"/>
        </w:rPr>
      </w:pPr>
    </w:p>
    <w:p w14:paraId="183C6D25" w14:textId="77777777" w:rsidR="00207197" w:rsidRPr="00FE50A6" w:rsidRDefault="000228D0" w:rsidP="0081671D">
      <w:pPr>
        <w:pStyle w:val="Prrafodelista"/>
        <w:numPr>
          <w:ilvl w:val="0"/>
          <w:numId w:val="1"/>
        </w:numPr>
        <w:contextualSpacing w:val="0"/>
        <w:rPr>
          <w:lang w:val="en-US"/>
        </w:rPr>
      </w:pPr>
      <w:r w:rsidRPr="00FE50A6">
        <w:rPr>
          <w:lang w:val="en-US"/>
        </w:rPr>
        <w:t xml:space="preserve">The </w:t>
      </w:r>
      <w:r w:rsidRPr="00FE50A6">
        <w:rPr>
          <w:b/>
          <w:i/>
          <w:lang w:val="en-US"/>
        </w:rPr>
        <w:t>State</w:t>
      </w:r>
      <w:r w:rsidR="00207197" w:rsidRPr="00FE50A6">
        <w:rPr>
          <w:lang w:val="en-US"/>
        </w:rPr>
        <w:t xml:space="preserve"> </w:t>
      </w:r>
      <w:r w:rsidR="0081671D" w:rsidRPr="00FE50A6">
        <w:rPr>
          <w:lang w:val="en-US"/>
        </w:rPr>
        <w:t xml:space="preserve">indicated that a clear distinction should be made between the concepts of </w:t>
      </w:r>
      <w:r w:rsidR="00D11A9F" w:rsidRPr="00FE50A6">
        <w:rPr>
          <w:lang w:val="en-US"/>
        </w:rPr>
        <w:t>slavery</w:t>
      </w:r>
      <w:r w:rsidR="00207197" w:rsidRPr="00FE50A6">
        <w:rPr>
          <w:lang w:val="en-US"/>
        </w:rPr>
        <w:t xml:space="preserve">, </w:t>
      </w:r>
      <w:r w:rsidR="00125A00" w:rsidRPr="00FE50A6">
        <w:rPr>
          <w:lang w:val="en-US"/>
        </w:rPr>
        <w:t>servitude</w:t>
      </w:r>
      <w:r w:rsidR="00030C17" w:rsidRPr="00FE50A6">
        <w:rPr>
          <w:lang w:val="en-US"/>
        </w:rPr>
        <w:t xml:space="preserve"> and </w:t>
      </w:r>
      <w:r w:rsidR="005F1946" w:rsidRPr="00FE50A6">
        <w:rPr>
          <w:lang w:val="en-US"/>
        </w:rPr>
        <w:t>forced labor</w:t>
      </w:r>
      <w:r w:rsidR="00207197" w:rsidRPr="00FE50A6">
        <w:rPr>
          <w:lang w:val="en-US"/>
        </w:rPr>
        <w:t xml:space="preserve">. </w:t>
      </w:r>
      <w:r w:rsidR="00923BDA" w:rsidRPr="00FE50A6">
        <w:rPr>
          <w:lang w:val="en-US"/>
        </w:rPr>
        <w:t>Al</w:t>
      </w:r>
      <w:r w:rsidR="0081671D" w:rsidRPr="00FE50A6">
        <w:rPr>
          <w:lang w:val="en-US"/>
        </w:rPr>
        <w:t xml:space="preserve">though the concepts </w:t>
      </w:r>
      <w:r w:rsidR="00923BDA" w:rsidRPr="00FE50A6">
        <w:rPr>
          <w:lang w:val="en-US"/>
        </w:rPr>
        <w:t>we</w:t>
      </w:r>
      <w:r w:rsidR="0081671D" w:rsidRPr="00FE50A6">
        <w:rPr>
          <w:lang w:val="en-US"/>
        </w:rPr>
        <w:t xml:space="preserve">re related and </w:t>
      </w:r>
      <w:r w:rsidR="00923BDA" w:rsidRPr="00FE50A6">
        <w:rPr>
          <w:lang w:val="en-US"/>
        </w:rPr>
        <w:t>we</w:t>
      </w:r>
      <w:r w:rsidR="0081671D" w:rsidRPr="00FE50A6">
        <w:rPr>
          <w:lang w:val="en-US"/>
        </w:rPr>
        <w:t xml:space="preserve">re all prohibited by </w:t>
      </w:r>
      <w:r w:rsidRPr="00FE50A6">
        <w:rPr>
          <w:lang w:val="en-US"/>
        </w:rPr>
        <w:t>Article</w:t>
      </w:r>
      <w:r w:rsidR="00207197" w:rsidRPr="00FE50A6">
        <w:rPr>
          <w:lang w:val="en-US"/>
        </w:rPr>
        <w:t xml:space="preserve"> 6</w:t>
      </w:r>
      <w:r w:rsidRPr="00FE50A6">
        <w:rPr>
          <w:lang w:val="en-US"/>
        </w:rPr>
        <w:t xml:space="preserve"> of the American Convention</w:t>
      </w:r>
      <w:r w:rsidR="00207197" w:rsidRPr="00FE50A6">
        <w:rPr>
          <w:lang w:val="en-US"/>
        </w:rPr>
        <w:t xml:space="preserve">, </w:t>
      </w:r>
      <w:r w:rsidR="0081671D" w:rsidRPr="00FE50A6">
        <w:rPr>
          <w:lang w:val="en-US"/>
        </w:rPr>
        <w:t>they retain</w:t>
      </w:r>
      <w:r w:rsidR="00923BDA" w:rsidRPr="00FE50A6">
        <w:rPr>
          <w:lang w:val="en-US"/>
        </w:rPr>
        <w:t>ed</w:t>
      </w:r>
      <w:r w:rsidR="0081671D" w:rsidRPr="00FE50A6">
        <w:rPr>
          <w:lang w:val="en-US"/>
        </w:rPr>
        <w:t xml:space="preserve"> their legal individuality and ha</w:t>
      </w:r>
      <w:r w:rsidR="00923BDA" w:rsidRPr="00FE50A6">
        <w:rPr>
          <w:lang w:val="en-US"/>
        </w:rPr>
        <w:t>d</w:t>
      </w:r>
      <w:r w:rsidR="0081671D" w:rsidRPr="00FE50A6">
        <w:rPr>
          <w:lang w:val="en-US"/>
        </w:rPr>
        <w:t xml:space="preserve"> varying degrees of </w:t>
      </w:r>
      <w:r w:rsidR="00923BDA" w:rsidRPr="00FE50A6">
        <w:rPr>
          <w:lang w:val="en-US"/>
        </w:rPr>
        <w:t>gravity</w:t>
      </w:r>
      <w:r w:rsidR="0081671D" w:rsidRPr="00FE50A6">
        <w:rPr>
          <w:lang w:val="en-US"/>
        </w:rPr>
        <w:t xml:space="preserve"> and, therefore, should have differentiated penalties in the case of international responsibility. In Brazil’s opinion, confusion should be avoided between the different types of human exploitation, because th</w:t>
      </w:r>
      <w:r w:rsidR="00923BDA" w:rsidRPr="00FE50A6">
        <w:rPr>
          <w:lang w:val="en-US"/>
        </w:rPr>
        <w:t>at</w:t>
      </w:r>
      <w:r w:rsidR="0081671D" w:rsidRPr="00FE50A6">
        <w:rPr>
          <w:lang w:val="en-US"/>
        </w:rPr>
        <w:t xml:space="preserve"> would trivialize slavery and make it difficult to eliminate it. Likewise, the State argued that the Court should merely analyze </w:t>
      </w:r>
      <w:r w:rsidR="00D11A9F" w:rsidRPr="00FE50A6">
        <w:rPr>
          <w:lang w:val="en-US"/>
        </w:rPr>
        <w:t>slavery</w:t>
      </w:r>
      <w:r w:rsidR="00207197" w:rsidRPr="00FE50A6">
        <w:rPr>
          <w:lang w:val="en-US"/>
        </w:rPr>
        <w:t xml:space="preserve">, </w:t>
      </w:r>
      <w:r w:rsidR="00125A00" w:rsidRPr="00FE50A6">
        <w:rPr>
          <w:lang w:val="en-US"/>
        </w:rPr>
        <w:t>servitude</w:t>
      </w:r>
      <w:r w:rsidR="00030C17" w:rsidRPr="00FE50A6">
        <w:rPr>
          <w:lang w:val="en-US"/>
        </w:rPr>
        <w:t xml:space="preserve"> and </w:t>
      </w:r>
      <w:r w:rsidR="005F1946" w:rsidRPr="00FE50A6">
        <w:rPr>
          <w:lang w:val="en-US"/>
        </w:rPr>
        <w:t>forced labor</w:t>
      </w:r>
      <w:r w:rsidR="00207197" w:rsidRPr="00FE50A6">
        <w:rPr>
          <w:lang w:val="en-US"/>
        </w:rPr>
        <w:t xml:space="preserve"> </w:t>
      </w:r>
      <w:r w:rsidR="0081671D" w:rsidRPr="00FE50A6">
        <w:rPr>
          <w:lang w:val="en-US"/>
        </w:rPr>
        <w:t xml:space="preserve">in keeping with international law and not according to </w:t>
      </w:r>
      <w:r w:rsidR="00923BDA" w:rsidRPr="00FE50A6">
        <w:rPr>
          <w:lang w:val="en-US"/>
        </w:rPr>
        <w:t>Brazil’s</w:t>
      </w:r>
      <w:r w:rsidR="0081671D" w:rsidRPr="00FE50A6">
        <w:rPr>
          <w:lang w:val="en-US"/>
        </w:rPr>
        <w:t xml:space="preserve"> domestic law, which include</w:t>
      </w:r>
      <w:r w:rsidR="00923BDA" w:rsidRPr="00FE50A6">
        <w:rPr>
          <w:lang w:val="en-US"/>
        </w:rPr>
        <w:t>d</w:t>
      </w:r>
      <w:r w:rsidR="0081671D" w:rsidRPr="00FE50A6">
        <w:rPr>
          <w:lang w:val="en-US"/>
        </w:rPr>
        <w:t xml:space="preserve"> a broader definition of th</w:t>
      </w:r>
      <w:r w:rsidR="00923BDA" w:rsidRPr="00FE50A6">
        <w:rPr>
          <w:lang w:val="en-US"/>
        </w:rPr>
        <w:t>o</w:t>
      </w:r>
      <w:r w:rsidR="0081671D" w:rsidRPr="00FE50A6">
        <w:rPr>
          <w:lang w:val="en-US"/>
        </w:rPr>
        <w:t>se concepts without differentiating between them adequately.</w:t>
      </w:r>
    </w:p>
    <w:p w14:paraId="6133F4D6" w14:textId="77777777" w:rsidR="00207197" w:rsidRPr="00FE50A6" w:rsidRDefault="00207197" w:rsidP="00140440">
      <w:pPr>
        <w:jc w:val="both"/>
        <w:rPr>
          <w:lang w:val="en-US"/>
        </w:rPr>
      </w:pPr>
    </w:p>
    <w:p w14:paraId="2144B220" w14:textId="77777777" w:rsidR="00207197" w:rsidRPr="00FE50A6" w:rsidRDefault="000228D0" w:rsidP="002843E8">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81671D" w:rsidRPr="00FE50A6">
        <w:rPr>
          <w:lang w:val="en-US"/>
        </w:rPr>
        <w:t xml:space="preserve">also indicated that </w:t>
      </w:r>
      <w:r w:rsidR="00EE52F3" w:rsidRPr="00FE50A6">
        <w:rPr>
          <w:lang w:val="en-US"/>
        </w:rPr>
        <w:t xml:space="preserve">the prohibition of </w:t>
      </w:r>
      <w:r w:rsidR="005F1946" w:rsidRPr="00FE50A6">
        <w:rPr>
          <w:lang w:val="en-US"/>
        </w:rPr>
        <w:t>slave labor</w:t>
      </w:r>
      <w:r w:rsidR="00207197" w:rsidRPr="00FE50A6">
        <w:rPr>
          <w:lang w:val="en-US"/>
        </w:rPr>
        <w:t xml:space="preserve"> </w:t>
      </w:r>
      <w:r w:rsidR="0081671D" w:rsidRPr="00FE50A6">
        <w:rPr>
          <w:lang w:val="en-US"/>
        </w:rPr>
        <w:t>was an obligation</w:t>
      </w:r>
      <w:r w:rsidR="00207197" w:rsidRPr="00FE50A6">
        <w:rPr>
          <w:lang w:val="en-US"/>
        </w:rPr>
        <w:t xml:space="preserve"> </w:t>
      </w:r>
      <w:r w:rsidR="00207197" w:rsidRPr="00FE50A6">
        <w:rPr>
          <w:i/>
          <w:lang w:val="en-US"/>
        </w:rPr>
        <w:t>erga omnes</w:t>
      </w:r>
      <w:r w:rsidR="00207197" w:rsidRPr="00FE50A6">
        <w:rPr>
          <w:lang w:val="en-US"/>
        </w:rPr>
        <w:t xml:space="preserve"> </w:t>
      </w:r>
      <w:r w:rsidR="00923BDA" w:rsidRPr="00FE50A6">
        <w:rPr>
          <w:lang w:val="en-US"/>
        </w:rPr>
        <w:t>of</w:t>
      </w:r>
      <w:r w:rsidR="00207197" w:rsidRPr="00FE50A6">
        <w:rPr>
          <w:lang w:val="en-US"/>
        </w:rPr>
        <w:t xml:space="preserve"> </w:t>
      </w:r>
      <w:r w:rsidR="00207197" w:rsidRPr="00FE50A6">
        <w:rPr>
          <w:i/>
          <w:lang w:val="en-US"/>
        </w:rPr>
        <w:t>jus cogens</w:t>
      </w:r>
      <w:r w:rsidR="00923BDA" w:rsidRPr="00FE50A6">
        <w:rPr>
          <w:lang w:val="en-US"/>
        </w:rPr>
        <w:t xml:space="preserve"> status.</w:t>
      </w:r>
      <w:r w:rsidR="00207197" w:rsidRPr="00FE50A6">
        <w:rPr>
          <w:lang w:val="en-US"/>
        </w:rPr>
        <w:t xml:space="preserve"> </w:t>
      </w:r>
      <w:r w:rsidR="002843E8" w:rsidRPr="00FE50A6">
        <w:rPr>
          <w:lang w:val="en-US"/>
        </w:rPr>
        <w:t>Nevertheless, those characteristics were insufficient to determine the content of the</w:t>
      </w:r>
      <w:r w:rsidR="00923BDA" w:rsidRPr="00FE50A6">
        <w:rPr>
          <w:lang w:val="en-US"/>
        </w:rPr>
        <w:t xml:space="preserve"> above-mentioned </w:t>
      </w:r>
      <w:r w:rsidR="002843E8" w:rsidRPr="00FE50A6">
        <w:rPr>
          <w:lang w:val="en-US"/>
        </w:rPr>
        <w:t xml:space="preserve">norms. </w:t>
      </w:r>
    </w:p>
    <w:p w14:paraId="63723D2E" w14:textId="77777777" w:rsidR="00207197" w:rsidRPr="00FE50A6" w:rsidRDefault="00207197" w:rsidP="00140440">
      <w:pPr>
        <w:jc w:val="both"/>
        <w:rPr>
          <w:lang w:val="en-US"/>
        </w:rPr>
      </w:pPr>
    </w:p>
    <w:p w14:paraId="30A1F976" w14:textId="77777777" w:rsidR="002843E8" w:rsidRPr="00FE50A6" w:rsidRDefault="002843E8" w:rsidP="00F37DC4">
      <w:pPr>
        <w:pStyle w:val="Prrafodelista"/>
        <w:numPr>
          <w:ilvl w:val="0"/>
          <w:numId w:val="1"/>
        </w:numPr>
        <w:contextualSpacing w:val="0"/>
        <w:rPr>
          <w:lang w:val="en-US"/>
        </w:rPr>
      </w:pPr>
      <w:r w:rsidRPr="00FE50A6">
        <w:rPr>
          <w:lang w:val="en-US"/>
        </w:rPr>
        <w:t>Regarding</w:t>
      </w:r>
      <w:r w:rsidR="00207197" w:rsidRPr="00FE50A6">
        <w:rPr>
          <w:lang w:val="en-US"/>
        </w:rPr>
        <w:t xml:space="preserve"> </w:t>
      </w:r>
      <w:r w:rsidR="005F1946" w:rsidRPr="00FE50A6">
        <w:rPr>
          <w:lang w:val="en-US"/>
        </w:rPr>
        <w:t>forced labor</w:t>
      </w:r>
      <w:r w:rsidR="00207197" w:rsidRPr="00FE50A6">
        <w:rPr>
          <w:lang w:val="en-US"/>
        </w:rPr>
        <w:t xml:space="preserve">, </w:t>
      </w:r>
      <w:r w:rsidR="000228D0" w:rsidRPr="00FE50A6">
        <w:rPr>
          <w:lang w:val="en-US"/>
        </w:rPr>
        <w:t>the State</w:t>
      </w:r>
      <w:r w:rsidR="00207197" w:rsidRPr="00FE50A6">
        <w:rPr>
          <w:lang w:val="en-US"/>
        </w:rPr>
        <w:t xml:space="preserve"> </w:t>
      </w:r>
      <w:r w:rsidRPr="00FE50A6">
        <w:rPr>
          <w:lang w:val="en-US"/>
        </w:rPr>
        <w:t xml:space="preserve">indicated that, according to Convention No. 29 of the International Labour Organization (ILO), this included: (i) all work or service exacted under the menace of any penalty, and (ii) for which a person has not offered himself voluntarily. It also indicated that, in the </w:t>
      </w:r>
      <w:r w:rsidRPr="00FE50A6">
        <w:rPr>
          <w:i/>
          <w:lang w:val="en-US"/>
        </w:rPr>
        <w:t>case of the Ituango Massacres</w:t>
      </w:r>
      <w:r w:rsidRPr="00FE50A6">
        <w:rPr>
          <w:lang w:val="en-US"/>
        </w:rPr>
        <w:t xml:space="preserve">, the Court had added as an additional requirement that the violation could be attributed to the State. According to Brazil, a simple omission was not sufficient; rather, there had to be a State conduct indicating the intention to </w:t>
      </w:r>
      <w:r w:rsidR="00923BDA" w:rsidRPr="00FE50A6">
        <w:rPr>
          <w:lang w:val="en-US"/>
        </w:rPr>
        <w:t>participate</w:t>
      </w:r>
      <w:r w:rsidRPr="00FE50A6">
        <w:rPr>
          <w:lang w:val="en-US"/>
        </w:rPr>
        <w:t xml:space="preserve"> in the violation of the right, or at least facilitate it.</w:t>
      </w:r>
    </w:p>
    <w:p w14:paraId="50EBDEFC" w14:textId="77777777" w:rsidR="00207197" w:rsidRPr="00FE50A6" w:rsidRDefault="00207197" w:rsidP="00140440">
      <w:pPr>
        <w:jc w:val="both"/>
        <w:rPr>
          <w:lang w:val="en-US"/>
        </w:rPr>
      </w:pPr>
    </w:p>
    <w:p w14:paraId="03D64F74" w14:textId="77777777" w:rsidR="00C10660" w:rsidRPr="00FE50A6" w:rsidRDefault="00C10660" w:rsidP="00F37DC4">
      <w:pPr>
        <w:pStyle w:val="Prrafodelista"/>
        <w:numPr>
          <w:ilvl w:val="0"/>
          <w:numId w:val="1"/>
        </w:numPr>
        <w:contextualSpacing w:val="0"/>
        <w:rPr>
          <w:lang w:val="en-US"/>
        </w:rPr>
      </w:pPr>
      <w:r w:rsidRPr="00FE50A6">
        <w:rPr>
          <w:lang w:val="en-US"/>
        </w:rPr>
        <w:t>Furthermore, the State distinguished between</w:t>
      </w:r>
      <w:r w:rsidR="00207197" w:rsidRPr="00FE50A6">
        <w:rPr>
          <w:lang w:val="en-US"/>
        </w:rPr>
        <w:t xml:space="preserve"> </w:t>
      </w:r>
      <w:r w:rsidRPr="00FE50A6">
        <w:rPr>
          <w:lang w:val="en-US"/>
        </w:rPr>
        <w:t xml:space="preserve">servitude as such, </w:t>
      </w:r>
      <w:r w:rsidR="00030C17" w:rsidRPr="00FE50A6">
        <w:rPr>
          <w:lang w:val="en-US"/>
        </w:rPr>
        <w:t xml:space="preserve">and </w:t>
      </w:r>
      <w:r w:rsidR="005F1946" w:rsidRPr="00FE50A6">
        <w:rPr>
          <w:lang w:val="en-US"/>
        </w:rPr>
        <w:t>debt bondage</w:t>
      </w:r>
      <w:r w:rsidR="00207197" w:rsidRPr="00FE50A6">
        <w:rPr>
          <w:lang w:val="en-US"/>
        </w:rPr>
        <w:t xml:space="preserve">. </w:t>
      </w:r>
      <w:r w:rsidRPr="00FE50A6">
        <w:rPr>
          <w:lang w:val="en-US"/>
        </w:rPr>
        <w:t>It argued that the elements of the former were that</w:t>
      </w:r>
      <w:r w:rsidR="00207197" w:rsidRPr="00FE50A6">
        <w:rPr>
          <w:lang w:val="en-US"/>
        </w:rPr>
        <w:t xml:space="preserve">: </w:t>
      </w:r>
      <w:r w:rsidRPr="00FE50A6">
        <w:rPr>
          <w:lang w:val="en-US"/>
        </w:rPr>
        <w:t>(</w:t>
      </w:r>
      <w:r w:rsidR="00207197" w:rsidRPr="00FE50A6">
        <w:rPr>
          <w:lang w:val="en-US"/>
        </w:rPr>
        <w:t xml:space="preserve">i) </w:t>
      </w:r>
      <w:r w:rsidRPr="00FE50A6">
        <w:rPr>
          <w:lang w:val="en-US"/>
        </w:rPr>
        <w:t xml:space="preserve">the obligatory work was performed on land belonging to another; (ii) the services were not provided voluntarily, and (iii) the obligation was based on law, custom or agreement. The threat of violence was also implicit. Meanwhile, the elements of debt bondage were that: (i) the work was demanded as guarantee </w:t>
      </w:r>
      <w:r w:rsidR="00923BDA" w:rsidRPr="00FE50A6">
        <w:rPr>
          <w:lang w:val="en-US"/>
        </w:rPr>
        <w:t>for</w:t>
      </w:r>
      <w:r w:rsidRPr="00FE50A6">
        <w:rPr>
          <w:lang w:val="en-US"/>
        </w:rPr>
        <w:t xml:space="preserve"> the payment of a debt; (ii) the work was assumed voluntarily; (iii) the value of the work was insufficient to pay off the debt; (iv) the duration of the work was indefinite, and (v) the nature of the services was indeterminate.</w:t>
      </w:r>
    </w:p>
    <w:p w14:paraId="4FB2C9D1" w14:textId="77777777" w:rsidR="00207197" w:rsidRPr="00FE50A6" w:rsidRDefault="00207197" w:rsidP="00140440">
      <w:pPr>
        <w:jc w:val="both"/>
        <w:rPr>
          <w:lang w:val="en-US"/>
        </w:rPr>
      </w:pPr>
    </w:p>
    <w:p w14:paraId="18F52501" w14:textId="77777777" w:rsidR="00207197" w:rsidRPr="00FE50A6" w:rsidRDefault="000228D0" w:rsidP="00F37DC4">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C10660" w:rsidRPr="00FE50A6">
        <w:rPr>
          <w:lang w:val="en-US"/>
        </w:rPr>
        <w:t>indicated that, according to the 1926 Convention, slavery refer</w:t>
      </w:r>
      <w:r w:rsidR="000864C6" w:rsidRPr="00FE50A6">
        <w:rPr>
          <w:lang w:val="en-US"/>
        </w:rPr>
        <w:t>red</w:t>
      </w:r>
      <w:r w:rsidR="00C10660" w:rsidRPr="00FE50A6">
        <w:rPr>
          <w:lang w:val="en-US"/>
        </w:rPr>
        <w:t xml:space="preserve"> to the </w:t>
      </w:r>
      <w:r w:rsidR="000864C6" w:rsidRPr="00FE50A6">
        <w:rPr>
          <w:lang w:val="en-US"/>
        </w:rPr>
        <w:t>“status or condition of a person over whom any or all of the powers attaching to the right of ownership are exercised.” Based on the fact that, legally, slavery ha</w:t>
      </w:r>
      <w:r w:rsidR="00923BDA" w:rsidRPr="00FE50A6">
        <w:rPr>
          <w:lang w:val="en-US"/>
        </w:rPr>
        <w:t>d</w:t>
      </w:r>
      <w:r w:rsidR="000864C6" w:rsidRPr="00FE50A6">
        <w:rPr>
          <w:lang w:val="en-US"/>
        </w:rPr>
        <w:t xml:space="preserve"> been abolished in almost all the world, the exercise of such powers would be a </w:t>
      </w:r>
      <w:r w:rsidR="00923BDA" w:rsidRPr="00FE50A6">
        <w:rPr>
          <w:lang w:val="en-US"/>
        </w:rPr>
        <w:t>factual matter</w:t>
      </w:r>
      <w:r w:rsidR="000864C6" w:rsidRPr="00FE50A6">
        <w:rPr>
          <w:lang w:val="en-US"/>
        </w:rPr>
        <w:t xml:space="preserve">. Thus, the determination of the presence of </w:t>
      </w:r>
      <w:r w:rsidR="005F1946" w:rsidRPr="00FE50A6">
        <w:rPr>
          <w:lang w:val="en-US"/>
        </w:rPr>
        <w:t>slave labor</w:t>
      </w:r>
      <w:r w:rsidR="00207197" w:rsidRPr="00FE50A6">
        <w:rPr>
          <w:lang w:val="en-US"/>
        </w:rPr>
        <w:t xml:space="preserve"> </w:t>
      </w:r>
      <w:r w:rsidR="000864C6" w:rsidRPr="00FE50A6">
        <w:rPr>
          <w:lang w:val="en-US"/>
        </w:rPr>
        <w:t>would always depend on the specific case. Nevertheless, Brazil argued that the Court should focus on the domestic element of slavery; in other words, on its definition as the exercise of ownership of a person, more than on indications, external or merely contextual elements, as</w:t>
      </w:r>
      <w:r w:rsidR="007935E8" w:rsidRPr="00FE50A6">
        <w:rPr>
          <w:lang w:val="en-US"/>
        </w:rPr>
        <w:t xml:space="preserve"> claimed</w:t>
      </w:r>
      <w:r w:rsidR="000864C6" w:rsidRPr="00FE50A6">
        <w:rPr>
          <w:lang w:val="en-US"/>
        </w:rPr>
        <w:t xml:space="preserve"> by the </w:t>
      </w:r>
      <w:r w:rsidR="00700B79" w:rsidRPr="00FE50A6">
        <w:rPr>
          <w:lang w:val="en-US"/>
        </w:rPr>
        <w:t>representatives</w:t>
      </w:r>
      <w:r w:rsidR="00207197" w:rsidRPr="00FE50A6">
        <w:rPr>
          <w:lang w:val="en-US"/>
        </w:rPr>
        <w:t xml:space="preserve">.            </w:t>
      </w:r>
    </w:p>
    <w:p w14:paraId="0F99552F" w14:textId="77777777" w:rsidR="00207197" w:rsidRPr="00FE50A6" w:rsidRDefault="00207197" w:rsidP="00140440">
      <w:pPr>
        <w:jc w:val="both"/>
        <w:rPr>
          <w:lang w:val="en-US"/>
        </w:rPr>
      </w:pPr>
    </w:p>
    <w:p w14:paraId="086599EF" w14:textId="77777777" w:rsidR="00207197" w:rsidRPr="00FE50A6" w:rsidRDefault="000228D0" w:rsidP="008E602B">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0864C6" w:rsidRPr="00FE50A6">
        <w:rPr>
          <w:lang w:val="en-US"/>
        </w:rPr>
        <w:t xml:space="preserve">indicated that, in the instant case, there </w:t>
      </w:r>
      <w:r w:rsidR="007935E8" w:rsidRPr="00FE50A6">
        <w:rPr>
          <w:lang w:val="en-US"/>
        </w:rPr>
        <w:t>was</w:t>
      </w:r>
      <w:r w:rsidR="000864C6" w:rsidRPr="00FE50A6">
        <w:rPr>
          <w:lang w:val="en-US"/>
        </w:rPr>
        <w:t xml:space="preserve"> no evidence that </w:t>
      </w:r>
      <w:r w:rsidR="00D11A9F" w:rsidRPr="00FE50A6">
        <w:rPr>
          <w:lang w:val="en-US"/>
        </w:rPr>
        <w:t>slavery</w:t>
      </w:r>
      <w:r w:rsidR="00207197" w:rsidRPr="00FE50A6">
        <w:rPr>
          <w:lang w:val="en-US"/>
        </w:rPr>
        <w:t xml:space="preserve">, </w:t>
      </w:r>
      <w:r w:rsidR="005F1946" w:rsidRPr="00FE50A6">
        <w:rPr>
          <w:lang w:val="en-US"/>
        </w:rPr>
        <w:t>forced labor</w:t>
      </w:r>
      <w:r w:rsidR="00207197" w:rsidRPr="00FE50A6">
        <w:rPr>
          <w:lang w:val="en-US"/>
        </w:rPr>
        <w:t xml:space="preserve"> o</w:t>
      </w:r>
      <w:r w:rsidR="000864C6" w:rsidRPr="00FE50A6">
        <w:rPr>
          <w:lang w:val="en-US"/>
        </w:rPr>
        <w:t>r</w:t>
      </w:r>
      <w:r w:rsidR="00207197" w:rsidRPr="00FE50A6">
        <w:rPr>
          <w:lang w:val="en-US"/>
        </w:rPr>
        <w:t xml:space="preserve"> </w:t>
      </w:r>
      <w:r w:rsidR="00693AB2" w:rsidRPr="00FE50A6">
        <w:rPr>
          <w:lang w:val="en-US"/>
        </w:rPr>
        <w:t>servitude</w:t>
      </w:r>
      <w:r w:rsidR="00207197" w:rsidRPr="00FE50A6">
        <w:rPr>
          <w:lang w:val="en-US"/>
        </w:rPr>
        <w:t xml:space="preserve"> </w:t>
      </w:r>
      <w:r w:rsidR="000864C6" w:rsidRPr="00FE50A6">
        <w:rPr>
          <w:lang w:val="en-US"/>
        </w:rPr>
        <w:t>occurred in</w:t>
      </w:r>
      <w:r w:rsidR="00207197" w:rsidRPr="00FE50A6">
        <w:rPr>
          <w:lang w:val="en-US"/>
        </w:rPr>
        <w:t xml:space="preserve"> Hacienda </w:t>
      </w:r>
      <w:r w:rsidR="00322241" w:rsidRPr="00FE50A6">
        <w:rPr>
          <w:lang w:val="en-US"/>
        </w:rPr>
        <w:t>Brasil Verde</w:t>
      </w:r>
      <w:r w:rsidR="00207197" w:rsidRPr="00FE50A6">
        <w:rPr>
          <w:lang w:val="en-US"/>
        </w:rPr>
        <w:t xml:space="preserve"> </w:t>
      </w:r>
      <w:r w:rsidR="000864C6" w:rsidRPr="00FE50A6">
        <w:rPr>
          <w:lang w:val="en-US"/>
        </w:rPr>
        <w:t xml:space="preserve">following </w:t>
      </w:r>
      <w:r w:rsidR="007935E8" w:rsidRPr="00FE50A6">
        <w:rPr>
          <w:lang w:val="en-US"/>
        </w:rPr>
        <w:t>Brazil’s</w:t>
      </w:r>
      <w:r w:rsidR="000864C6" w:rsidRPr="00FE50A6">
        <w:rPr>
          <w:lang w:val="en-US"/>
        </w:rPr>
        <w:t xml:space="preserve"> acceptance of the Court’s jurisdiction. It argued that the </w:t>
      </w:r>
      <w:r w:rsidR="00A35E19" w:rsidRPr="00FE50A6">
        <w:rPr>
          <w:lang w:val="en-US"/>
        </w:rPr>
        <w:t>March 2000 inspection</w:t>
      </w:r>
      <w:r w:rsidR="00207197" w:rsidRPr="00FE50A6">
        <w:rPr>
          <w:lang w:val="en-US"/>
        </w:rPr>
        <w:t xml:space="preserve"> </w:t>
      </w:r>
      <w:r w:rsidR="000864C6" w:rsidRPr="00FE50A6">
        <w:rPr>
          <w:lang w:val="en-US"/>
        </w:rPr>
        <w:t xml:space="preserve">had </w:t>
      </w:r>
      <w:r w:rsidR="00207197" w:rsidRPr="00FE50A6">
        <w:rPr>
          <w:lang w:val="en-US"/>
        </w:rPr>
        <w:t>conclu</w:t>
      </w:r>
      <w:r w:rsidR="000864C6" w:rsidRPr="00FE50A6">
        <w:rPr>
          <w:lang w:val="en-US"/>
        </w:rPr>
        <w:t>ded that the</w:t>
      </w:r>
      <w:r w:rsidR="00207197" w:rsidRPr="00FE50A6">
        <w:rPr>
          <w:lang w:val="en-US"/>
        </w:rPr>
        <w:t xml:space="preserve"> Hacienda </w:t>
      </w:r>
      <w:r w:rsidR="00322241" w:rsidRPr="00FE50A6">
        <w:rPr>
          <w:lang w:val="en-US"/>
        </w:rPr>
        <w:t>Brasil Verde</w:t>
      </w:r>
      <w:r w:rsidR="000864C6" w:rsidRPr="00FE50A6">
        <w:rPr>
          <w:lang w:val="en-US"/>
        </w:rPr>
        <w:t xml:space="preserve"> workers were in a situation that jeopardized their health and their physical integrity and, therefore, rescued them. This inspection verified degrading work</w:t>
      </w:r>
      <w:r w:rsidR="007935E8" w:rsidRPr="00FE50A6">
        <w:rPr>
          <w:lang w:val="en-US"/>
        </w:rPr>
        <w:t>ing conditions</w:t>
      </w:r>
      <w:r w:rsidR="000864C6" w:rsidRPr="00FE50A6">
        <w:rPr>
          <w:lang w:val="en-US"/>
        </w:rPr>
        <w:t xml:space="preserve"> and numerous violations of labor rights under the laws of Brazil, </w:t>
      </w:r>
      <w:r w:rsidR="007935E8" w:rsidRPr="00FE50A6">
        <w:rPr>
          <w:lang w:val="en-US"/>
        </w:rPr>
        <w:t>and that</w:t>
      </w:r>
      <w:r w:rsidR="000864C6" w:rsidRPr="00FE50A6">
        <w:rPr>
          <w:lang w:val="en-US"/>
        </w:rPr>
        <w:t xml:space="preserve"> was sufficient to justify their rescue. However, at that time, </w:t>
      </w:r>
      <w:r w:rsidR="008E602B" w:rsidRPr="00FE50A6">
        <w:rPr>
          <w:lang w:val="en-US"/>
        </w:rPr>
        <w:t xml:space="preserve">it did not find any deprivation of liberty, or the exercise of any of the powers </w:t>
      </w:r>
      <w:r w:rsidR="007935E8" w:rsidRPr="00FE50A6">
        <w:rPr>
          <w:lang w:val="en-US"/>
        </w:rPr>
        <w:t xml:space="preserve">attaching to the right </w:t>
      </w:r>
      <w:r w:rsidR="008E602B" w:rsidRPr="00FE50A6">
        <w:rPr>
          <w:lang w:val="en-US"/>
        </w:rPr>
        <w:t xml:space="preserve">of ownership of the rescued workers. The State indicated that this situation could possibly have been an offense under article 149 of the Brazilian Penal Code, but could never have been characterized as </w:t>
      </w:r>
      <w:r w:rsidR="00D11A9F" w:rsidRPr="00FE50A6">
        <w:rPr>
          <w:lang w:val="en-US"/>
        </w:rPr>
        <w:t>slavery</w:t>
      </w:r>
      <w:r w:rsidR="00207197" w:rsidRPr="00FE50A6">
        <w:rPr>
          <w:lang w:val="en-US"/>
        </w:rPr>
        <w:t xml:space="preserve">, </w:t>
      </w:r>
      <w:r w:rsidR="00693AB2" w:rsidRPr="00FE50A6">
        <w:rPr>
          <w:lang w:val="en-US"/>
        </w:rPr>
        <w:t>servitude</w:t>
      </w:r>
      <w:r w:rsidR="00207197" w:rsidRPr="00FE50A6">
        <w:rPr>
          <w:lang w:val="en-US"/>
        </w:rPr>
        <w:t xml:space="preserve"> o</w:t>
      </w:r>
      <w:r w:rsidR="008E602B" w:rsidRPr="00FE50A6">
        <w:rPr>
          <w:lang w:val="en-US"/>
        </w:rPr>
        <w:t>r</w:t>
      </w:r>
      <w:r w:rsidR="00207197" w:rsidRPr="00FE50A6">
        <w:rPr>
          <w:lang w:val="en-US"/>
        </w:rPr>
        <w:t xml:space="preserve"> </w:t>
      </w:r>
      <w:r w:rsidR="005F1946" w:rsidRPr="00FE50A6">
        <w:rPr>
          <w:lang w:val="en-US"/>
        </w:rPr>
        <w:t>forced labor</w:t>
      </w:r>
      <w:r w:rsidR="008E602B" w:rsidRPr="00FE50A6">
        <w:rPr>
          <w:lang w:val="en-US"/>
        </w:rPr>
        <w:t xml:space="preserve"> as understood under the relevant rules of</w:t>
      </w:r>
      <w:r w:rsidR="00207197" w:rsidRPr="00FE50A6">
        <w:rPr>
          <w:lang w:val="en-US"/>
        </w:rPr>
        <w:t xml:space="preserve"> </w:t>
      </w:r>
      <w:r w:rsidR="00BC6362" w:rsidRPr="00FE50A6">
        <w:rPr>
          <w:lang w:val="en-US"/>
        </w:rPr>
        <w:t>international human rights law</w:t>
      </w:r>
      <w:r w:rsidR="00207197" w:rsidRPr="00FE50A6">
        <w:rPr>
          <w:lang w:val="en-US"/>
        </w:rPr>
        <w:t xml:space="preserve">. </w:t>
      </w:r>
      <w:r w:rsidRPr="00FE50A6">
        <w:rPr>
          <w:lang w:val="en-US"/>
        </w:rPr>
        <w:t>The State</w:t>
      </w:r>
      <w:r w:rsidR="00207197" w:rsidRPr="00FE50A6">
        <w:rPr>
          <w:lang w:val="en-US"/>
        </w:rPr>
        <w:t xml:space="preserve"> </w:t>
      </w:r>
      <w:r w:rsidR="008E602B" w:rsidRPr="00FE50A6">
        <w:rPr>
          <w:lang w:val="en-US"/>
        </w:rPr>
        <w:t>stressed that the mere fact of the rescue of the workers was not sufficient to justify a violation of</w:t>
      </w:r>
      <w:r w:rsidR="00207197" w:rsidRPr="00FE50A6">
        <w:rPr>
          <w:lang w:val="en-US"/>
        </w:rPr>
        <w:t xml:space="preserve"> </w:t>
      </w:r>
      <w:r w:rsidRPr="00FE50A6">
        <w:rPr>
          <w:lang w:val="en-US"/>
        </w:rPr>
        <w:t>the American Convention</w:t>
      </w:r>
      <w:r w:rsidR="00207197" w:rsidRPr="00FE50A6">
        <w:rPr>
          <w:lang w:val="en-US"/>
        </w:rPr>
        <w:t xml:space="preserve">, </w:t>
      </w:r>
      <w:r w:rsidR="008E602B" w:rsidRPr="00FE50A6">
        <w:rPr>
          <w:lang w:val="en-US"/>
        </w:rPr>
        <w:t>because the laws of Brazil also establish</w:t>
      </w:r>
      <w:r w:rsidR="007935E8" w:rsidRPr="00FE50A6">
        <w:rPr>
          <w:lang w:val="en-US"/>
        </w:rPr>
        <w:t>ed</w:t>
      </w:r>
      <w:r w:rsidR="008E602B" w:rsidRPr="00FE50A6">
        <w:rPr>
          <w:lang w:val="en-US"/>
        </w:rPr>
        <w:t xml:space="preserve"> this measure for less serious situations.</w:t>
      </w:r>
    </w:p>
    <w:p w14:paraId="3CCF1F98" w14:textId="77777777" w:rsidR="00207197" w:rsidRPr="00FE50A6" w:rsidRDefault="00207197" w:rsidP="00140440">
      <w:pPr>
        <w:jc w:val="both"/>
        <w:rPr>
          <w:lang w:val="en-US"/>
        </w:rPr>
      </w:pPr>
    </w:p>
    <w:p w14:paraId="70FBE5C7" w14:textId="77777777" w:rsidR="00207197" w:rsidRPr="00FE50A6" w:rsidRDefault="000228D0" w:rsidP="00D37ADB">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D37ADB" w:rsidRPr="00FE50A6">
        <w:rPr>
          <w:lang w:val="en-US"/>
        </w:rPr>
        <w:t>asserted that both the inspection and the dismissals that occurred over the eight months prior to the March 2000 inspection reveal</w:t>
      </w:r>
      <w:r w:rsidR="007935E8" w:rsidRPr="00FE50A6">
        <w:rPr>
          <w:lang w:val="en-US"/>
        </w:rPr>
        <w:t>ed</w:t>
      </w:r>
      <w:r w:rsidR="00D37ADB" w:rsidRPr="00FE50A6">
        <w:rPr>
          <w:lang w:val="en-US"/>
        </w:rPr>
        <w:t xml:space="preserve"> that the workers provided their services in precarious and temporary conditions, and with a high rotation, </w:t>
      </w:r>
      <w:r w:rsidR="007935E8" w:rsidRPr="00FE50A6">
        <w:rPr>
          <w:lang w:val="en-US"/>
        </w:rPr>
        <w:t>which</w:t>
      </w:r>
      <w:r w:rsidR="00D37ADB" w:rsidRPr="00FE50A6">
        <w:rPr>
          <w:lang w:val="en-US"/>
        </w:rPr>
        <w:t xml:space="preserve"> was usual in rural activities in </w:t>
      </w:r>
      <w:r w:rsidR="008B65CD" w:rsidRPr="00FE50A6">
        <w:rPr>
          <w:lang w:val="en-US"/>
        </w:rPr>
        <w:t>the state of Pará</w:t>
      </w:r>
      <w:r w:rsidR="00207197" w:rsidRPr="00FE50A6">
        <w:rPr>
          <w:lang w:val="en-US"/>
        </w:rPr>
        <w:t xml:space="preserve">. </w:t>
      </w:r>
      <w:r w:rsidR="00D37ADB" w:rsidRPr="00FE50A6">
        <w:rPr>
          <w:lang w:val="en-US"/>
        </w:rPr>
        <w:t xml:space="preserve">It added that there </w:t>
      </w:r>
      <w:r w:rsidR="007935E8" w:rsidRPr="00FE50A6">
        <w:rPr>
          <w:lang w:val="en-US"/>
        </w:rPr>
        <w:t>had been</w:t>
      </w:r>
      <w:r w:rsidR="00D37ADB" w:rsidRPr="00FE50A6">
        <w:rPr>
          <w:lang w:val="en-US"/>
        </w:rPr>
        <w:t xml:space="preserve"> no impediment for the workers to abandon their work in the hacienda and that there was no indication of armed guards at the said hacienda</w:t>
      </w:r>
      <w:r w:rsidR="00207197" w:rsidRPr="00FE50A6">
        <w:rPr>
          <w:lang w:val="en-US"/>
        </w:rPr>
        <w:t>.</w:t>
      </w:r>
    </w:p>
    <w:p w14:paraId="0AAB0226" w14:textId="77777777" w:rsidR="00207197" w:rsidRPr="00FE50A6" w:rsidRDefault="00207197" w:rsidP="00140440">
      <w:pPr>
        <w:jc w:val="both"/>
        <w:rPr>
          <w:lang w:val="en-US"/>
        </w:rPr>
      </w:pPr>
    </w:p>
    <w:p w14:paraId="5D7E3336" w14:textId="77777777" w:rsidR="00D37ADB" w:rsidRPr="00FE50A6" w:rsidRDefault="000228D0" w:rsidP="00F37DC4">
      <w:pPr>
        <w:pStyle w:val="Prrafodelista"/>
        <w:numPr>
          <w:ilvl w:val="0"/>
          <w:numId w:val="1"/>
        </w:numPr>
        <w:contextualSpacing w:val="0"/>
        <w:rPr>
          <w:lang w:val="en-US"/>
        </w:rPr>
      </w:pPr>
      <w:r w:rsidRPr="00FE50A6">
        <w:rPr>
          <w:lang w:val="en-US"/>
        </w:rPr>
        <w:t>Brazil</w:t>
      </w:r>
      <w:r w:rsidR="00207197" w:rsidRPr="00FE50A6">
        <w:rPr>
          <w:lang w:val="en-US"/>
        </w:rPr>
        <w:t xml:space="preserve"> a</w:t>
      </w:r>
      <w:r w:rsidR="00D37ADB" w:rsidRPr="00FE50A6">
        <w:rPr>
          <w:lang w:val="en-US"/>
        </w:rPr>
        <w:t>r</w:t>
      </w:r>
      <w:r w:rsidR="007935E8" w:rsidRPr="00FE50A6">
        <w:rPr>
          <w:lang w:val="en-US"/>
        </w:rPr>
        <w:t>g</w:t>
      </w:r>
      <w:r w:rsidR="00D37ADB" w:rsidRPr="00FE50A6">
        <w:rPr>
          <w:lang w:val="en-US"/>
        </w:rPr>
        <w:t xml:space="preserve">ued that </w:t>
      </w:r>
      <w:r w:rsidR="00700B79" w:rsidRPr="00FE50A6">
        <w:rPr>
          <w:lang w:val="en-US"/>
        </w:rPr>
        <w:t>the representatives</w:t>
      </w:r>
      <w:r w:rsidR="00030C17" w:rsidRPr="00FE50A6">
        <w:rPr>
          <w:lang w:val="en-US"/>
        </w:rPr>
        <w:t xml:space="preserve"> and </w:t>
      </w:r>
      <w:r w:rsidRPr="00FE50A6">
        <w:rPr>
          <w:lang w:val="en-US"/>
        </w:rPr>
        <w:t>the Commission</w:t>
      </w:r>
      <w:r w:rsidR="00207197" w:rsidRPr="00FE50A6">
        <w:rPr>
          <w:lang w:val="en-US"/>
        </w:rPr>
        <w:t xml:space="preserve"> </w:t>
      </w:r>
      <w:r w:rsidR="00D37ADB" w:rsidRPr="00FE50A6">
        <w:rPr>
          <w:lang w:val="en-US"/>
        </w:rPr>
        <w:t xml:space="preserve">had the burden of proving that the </w:t>
      </w:r>
      <w:r w:rsidR="00030C17" w:rsidRPr="00FE50A6">
        <w:rPr>
          <w:lang w:val="en-US"/>
        </w:rPr>
        <w:t xml:space="preserve">Hacienda </w:t>
      </w:r>
      <w:r w:rsidR="00322241" w:rsidRPr="00FE50A6">
        <w:rPr>
          <w:lang w:val="en-US"/>
        </w:rPr>
        <w:t>Brasil Verde</w:t>
      </w:r>
      <w:r w:rsidR="00030C17" w:rsidRPr="00FE50A6">
        <w:rPr>
          <w:lang w:val="en-US"/>
        </w:rPr>
        <w:t xml:space="preserve"> </w:t>
      </w:r>
      <w:r w:rsidR="00D37ADB" w:rsidRPr="00FE50A6">
        <w:rPr>
          <w:lang w:val="en-US"/>
        </w:rPr>
        <w:t>w</w:t>
      </w:r>
      <w:r w:rsidR="00030C17" w:rsidRPr="00FE50A6">
        <w:rPr>
          <w:lang w:val="en-US"/>
        </w:rPr>
        <w:t>orkers</w:t>
      </w:r>
      <w:r w:rsidR="00207197" w:rsidRPr="00FE50A6">
        <w:rPr>
          <w:lang w:val="en-US"/>
        </w:rPr>
        <w:t xml:space="preserve"> </w:t>
      </w:r>
      <w:r w:rsidR="00D37ADB" w:rsidRPr="00FE50A6">
        <w:rPr>
          <w:lang w:val="en-US"/>
        </w:rPr>
        <w:t xml:space="preserve">had been subject to some of the attributes of the right </w:t>
      </w:r>
      <w:r w:rsidR="002C0E4F" w:rsidRPr="00FE50A6">
        <w:rPr>
          <w:lang w:val="en-US"/>
        </w:rPr>
        <w:t>of ownership</w:t>
      </w:r>
      <w:r w:rsidR="00D37ADB" w:rsidRPr="00FE50A6">
        <w:rPr>
          <w:lang w:val="en-US"/>
        </w:rPr>
        <w:t xml:space="preserve">, that they had been deprived of their liberty or subjected </w:t>
      </w:r>
      <w:proofErr w:type="gramStart"/>
      <w:r w:rsidR="00D37ADB" w:rsidRPr="00FE50A6">
        <w:rPr>
          <w:lang w:val="en-US"/>
        </w:rPr>
        <w:t>to  unpayable</w:t>
      </w:r>
      <w:proofErr w:type="gramEnd"/>
      <w:r w:rsidR="00D37ADB" w:rsidRPr="00FE50A6">
        <w:rPr>
          <w:lang w:val="en-US"/>
        </w:rPr>
        <w:t xml:space="preserve"> debts. In the State’s opinion</w:t>
      </w:r>
      <w:r w:rsidR="00207197" w:rsidRPr="00FE50A6">
        <w:rPr>
          <w:lang w:val="en-US"/>
        </w:rPr>
        <w:t xml:space="preserve">, </w:t>
      </w:r>
      <w:r w:rsidR="00700B79" w:rsidRPr="00FE50A6">
        <w:rPr>
          <w:lang w:val="en-US"/>
        </w:rPr>
        <w:t>the representatives</w:t>
      </w:r>
      <w:r w:rsidR="00030C17" w:rsidRPr="00FE50A6">
        <w:rPr>
          <w:lang w:val="en-US"/>
        </w:rPr>
        <w:t xml:space="preserve"> and </w:t>
      </w:r>
      <w:r w:rsidRPr="00FE50A6">
        <w:rPr>
          <w:lang w:val="en-US"/>
        </w:rPr>
        <w:t>the Commission</w:t>
      </w:r>
      <w:r w:rsidR="00207197" w:rsidRPr="00FE50A6">
        <w:rPr>
          <w:lang w:val="en-US"/>
        </w:rPr>
        <w:t xml:space="preserve"> </w:t>
      </w:r>
      <w:r w:rsidR="00D37ADB" w:rsidRPr="00FE50A6">
        <w:rPr>
          <w:lang w:val="en-US"/>
        </w:rPr>
        <w:t>had not been able to prove the foregoing. In particular, the State argued that evidence contemporary with the facts</w:t>
      </w:r>
      <w:r w:rsidR="002C0E4F" w:rsidRPr="00FE50A6">
        <w:rPr>
          <w:lang w:val="en-US"/>
        </w:rPr>
        <w:t>, such as</w:t>
      </w:r>
      <w:r w:rsidR="00D37ADB" w:rsidRPr="00FE50A6">
        <w:rPr>
          <w:lang w:val="en-US"/>
        </w:rPr>
        <w:t xml:space="preserve"> the inspection reports, </w:t>
      </w:r>
      <w:r w:rsidR="002C0E4F" w:rsidRPr="00FE50A6">
        <w:rPr>
          <w:lang w:val="en-US"/>
        </w:rPr>
        <w:t xml:space="preserve">should be given preference, </w:t>
      </w:r>
      <w:r w:rsidR="00D37ADB" w:rsidRPr="00FE50A6">
        <w:rPr>
          <w:lang w:val="en-US"/>
        </w:rPr>
        <w:t>rather than the testimonial evidence provided during the</w:t>
      </w:r>
      <w:r w:rsidR="002C0E4F" w:rsidRPr="00FE50A6">
        <w:rPr>
          <w:lang w:val="en-US"/>
        </w:rPr>
        <w:t xml:space="preserve"> current</w:t>
      </w:r>
      <w:r w:rsidR="00D37ADB" w:rsidRPr="00FE50A6">
        <w:rPr>
          <w:lang w:val="en-US"/>
        </w:rPr>
        <w:t xml:space="preserve"> proceedings because, owing to the time that has passed, th</w:t>
      </w:r>
      <w:r w:rsidR="000A29BC" w:rsidRPr="00FE50A6">
        <w:rPr>
          <w:lang w:val="en-US"/>
        </w:rPr>
        <w:t xml:space="preserve">e testimony was imprecise and contradictory. </w:t>
      </w:r>
    </w:p>
    <w:p w14:paraId="4D7F7C6D" w14:textId="77777777" w:rsidR="00207197" w:rsidRPr="00FE50A6" w:rsidRDefault="00207197" w:rsidP="00140440">
      <w:pPr>
        <w:jc w:val="both"/>
        <w:rPr>
          <w:lang w:val="en-US"/>
        </w:rPr>
      </w:pPr>
    </w:p>
    <w:p w14:paraId="2ED54B53" w14:textId="77777777" w:rsidR="00207197" w:rsidRPr="00FE50A6" w:rsidRDefault="000228D0" w:rsidP="000A29BC">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0A29BC" w:rsidRPr="00FE50A6">
        <w:rPr>
          <w:lang w:val="en-US"/>
        </w:rPr>
        <w:t xml:space="preserve">denied that the </w:t>
      </w:r>
      <w:r w:rsidR="002C0E4F" w:rsidRPr="00FE50A6">
        <w:rPr>
          <w:lang w:val="en-US"/>
        </w:rPr>
        <w:t>evidence</w:t>
      </w:r>
      <w:r w:rsidR="000A29BC" w:rsidRPr="00FE50A6">
        <w:rPr>
          <w:lang w:val="en-US"/>
        </w:rPr>
        <w:t xml:space="preserve"> on which the representatives justified their arguments w</w:t>
      </w:r>
      <w:r w:rsidR="002C0E4F" w:rsidRPr="00FE50A6">
        <w:rPr>
          <w:lang w:val="en-US"/>
        </w:rPr>
        <w:t>as</w:t>
      </w:r>
      <w:r w:rsidR="000A29BC" w:rsidRPr="00FE50A6">
        <w:rPr>
          <w:lang w:val="en-US"/>
        </w:rPr>
        <w:t xml:space="preserve"> sufficient to prove the presence of </w:t>
      </w:r>
      <w:r w:rsidR="005F1946" w:rsidRPr="00FE50A6">
        <w:rPr>
          <w:lang w:val="en-US"/>
        </w:rPr>
        <w:t>slave labor</w:t>
      </w:r>
      <w:r w:rsidR="00207197" w:rsidRPr="00FE50A6">
        <w:rPr>
          <w:lang w:val="en-US"/>
        </w:rPr>
        <w:t xml:space="preserve">. </w:t>
      </w:r>
      <w:r w:rsidR="000A29BC" w:rsidRPr="00FE50A6">
        <w:rPr>
          <w:lang w:val="en-US"/>
        </w:rPr>
        <w:t>I</w:t>
      </w:r>
      <w:r w:rsidR="00207197" w:rsidRPr="00FE50A6">
        <w:rPr>
          <w:lang w:val="en-US"/>
        </w:rPr>
        <w:t xml:space="preserve">n particular, </w:t>
      </w:r>
      <w:r w:rsidRPr="00FE50A6">
        <w:rPr>
          <w:lang w:val="en-US"/>
        </w:rPr>
        <w:t>Brazil</w:t>
      </w:r>
      <w:r w:rsidR="00207197" w:rsidRPr="00FE50A6">
        <w:rPr>
          <w:lang w:val="en-US"/>
        </w:rPr>
        <w:t xml:space="preserve"> </w:t>
      </w:r>
      <w:r w:rsidR="000A29BC" w:rsidRPr="00FE50A6">
        <w:rPr>
          <w:lang w:val="en-US"/>
        </w:rPr>
        <w:t>asserted that: (i) indefinite contracts were a usual practice that was more advantageous for the workers under the laws of Brazil; (ii) the purpose of the signature of blank contracts was to defraud the workers, paying them less than was legally required, but it did not affect their personal liberty, and (iii) working in degrading conditions d</w:t>
      </w:r>
      <w:r w:rsidR="002C0E4F" w:rsidRPr="00FE50A6">
        <w:rPr>
          <w:lang w:val="en-US"/>
        </w:rPr>
        <w:t>id</w:t>
      </w:r>
      <w:r w:rsidR="000A29BC" w:rsidRPr="00FE50A6">
        <w:rPr>
          <w:lang w:val="en-US"/>
        </w:rPr>
        <w:t xml:space="preserve"> not constitute a violation </w:t>
      </w:r>
      <w:r w:rsidR="00703850" w:rsidRPr="00FE50A6">
        <w:rPr>
          <w:lang w:val="en-US"/>
        </w:rPr>
        <w:t>of Article</w:t>
      </w:r>
      <w:r w:rsidR="00207197" w:rsidRPr="00FE50A6">
        <w:rPr>
          <w:lang w:val="en-US"/>
        </w:rPr>
        <w:t xml:space="preserve"> 6</w:t>
      </w:r>
      <w:r w:rsidRPr="00FE50A6">
        <w:rPr>
          <w:lang w:val="en-US"/>
        </w:rPr>
        <w:t xml:space="preserve"> of the American Convention</w:t>
      </w:r>
      <w:r w:rsidR="00207197" w:rsidRPr="00FE50A6">
        <w:rPr>
          <w:lang w:val="en-US"/>
        </w:rPr>
        <w:t xml:space="preserve">. </w:t>
      </w:r>
      <w:r w:rsidR="000A29BC" w:rsidRPr="00FE50A6">
        <w:rPr>
          <w:lang w:val="en-US"/>
        </w:rPr>
        <w:t xml:space="preserve">It added that, in the following inspection, in May 2002, the situation of the hacienda’s workers was satisfactory and </w:t>
      </w:r>
      <w:r w:rsidR="002C0E4F" w:rsidRPr="00FE50A6">
        <w:rPr>
          <w:lang w:val="en-US"/>
        </w:rPr>
        <w:t>it only resulted in</w:t>
      </w:r>
      <w:r w:rsidR="000A29BC" w:rsidRPr="00FE50A6">
        <w:rPr>
          <w:lang w:val="en-US"/>
        </w:rPr>
        <w:t xml:space="preserve"> fines </w:t>
      </w:r>
      <w:r w:rsidR="002C0E4F" w:rsidRPr="00FE50A6">
        <w:rPr>
          <w:lang w:val="en-US"/>
        </w:rPr>
        <w:t>being</w:t>
      </w:r>
      <w:r w:rsidR="000A29BC" w:rsidRPr="00FE50A6">
        <w:rPr>
          <w:lang w:val="en-US"/>
        </w:rPr>
        <w:t xml:space="preserve"> imposed for minor infractions of labor laws.</w:t>
      </w:r>
    </w:p>
    <w:p w14:paraId="47B76DF1" w14:textId="77777777" w:rsidR="00207197" w:rsidRPr="00FE50A6" w:rsidRDefault="00207197" w:rsidP="00140440">
      <w:pPr>
        <w:jc w:val="both"/>
        <w:rPr>
          <w:lang w:val="en-US"/>
        </w:rPr>
      </w:pPr>
    </w:p>
    <w:p w14:paraId="630198A1" w14:textId="77777777" w:rsidR="00207197" w:rsidRPr="00FE50A6" w:rsidRDefault="000228D0" w:rsidP="00F37DC4">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0A29BC" w:rsidRPr="00FE50A6">
        <w:rPr>
          <w:lang w:val="en-US"/>
        </w:rPr>
        <w:t xml:space="preserve">indicated that it could not be held responsible for every violation of human rights committed by private individuals in its territory </w:t>
      </w:r>
      <w:proofErr w:type="gramStart"/>
      <w:r w:rsidR="000A29BC" w:rsidRPr="00FE50A6">
        <w:rPr>
          <w:lang w:val="en-US"/>
        </w:rPr>
        <w:t>To</w:t>
      </w:r>
      <w:proofErr w:type="gramEnd"/>
      <w:r w:rsidR="000A29BC" w:rsidRPr="00FE50A6">
        <w:rPr>
          <w:lang w:val="en-US"/>
        </w:rPr>
        <w:t xml:space="preserve"> the contrary, this would entail a presumption of the</w:t>
      </w:r>
      <w:r w:rsidR="002C0E4F" w:rsidRPr="00FE50A6">
        <w:rPr>
          <w:lang w:val="en-US"/>
        </w:rPr>
        <w:t xml:space="preserve"> State’s</w:t>
      </w:r>
      <w:r w:rsidR="000A29BC" w:rsidRPr="00FE50A6">
        <w:rPr>
          <w:lang w:val="en-US"/>
        </w:rPr>
        <w:t xml:space="preserve"> international responsibility</w:t>
      </w:r>
      <w:r w:rsidR="00207197" w:rsidRPr="00FE50A6">
        <w:rPr>
          <w:lang w:val="en-US"/>
        </w:rPr>
        <w:t xml:space="preserve">. </w:t>
      </w:r>
      <w:r w:rsidRPr="00FE50A6">
        <w:rPr>
          <w:lang w:val="en-US"/>
        </w:rPr>
        <w:t>Brazil</w:t>
      </w:r>
      <w:r w:rsidR="00207197" w:rsidRPr="00FE50A6">
        <w:rPr>
          <w:lang w:val="en-US"/>
        </w:rPr>
        <w:t xml:space="preserve"> a</w:t>
      </w:r>
      <w:r w:rsidR="000A29BC" w:rsidRPr="00FE50A6">
        <w:rPr>
          <w:lang w:val="en-US"/>
        </w:rPr>
        <w:t xml:space="preserve">rgued that there was no evidence of </w:t>
      </w:r>
      <w:r w:rsidR="002C0E4F" w:rsidRPr="00FE50A6">
        <w:rPr>
          <w:lang w:val="en-US"/>
        </w:rPr>
        <w:t xml:space="preserve">the </w:t>
      </w:r>
      <w:r w:rsidR="000A29BC" w:rsidRPr="00FE50A6">
        <w:rPr>
          <w:lang w:val="en-US"/>
        </w:rPr>
        <w:t xml:space="preserve">participation or acquiescence of state agents in this case, as required by the Court’s case law. In its opinion, </w:t>
      </w:r>
      <w:r w:rsidR="00700B79" w:rsidRPr="00FE50A6">
        <w:rPr>
          <w:lang w:val="en-US"/>
        </w:rPr>
        <w:t>the representatives</w:t>
      </w:r>
      <w:r w:rsidR="00207197" w:rsidRPr="00FE50A6">
        <w:rPr>
          <w:lang w:val="en-US"/>
        </w:rPr>
        <w:t xml:space="preserve"> </w:t>
      </w:r>
      <w:r w:rsidR="000A29BC" w:rsidRPr="00FE50A6">
        <w:rPr>
          <w:lang w:val="en-US"/>
        </w:rPr>
        <w:t xml:space="preserve">should have proved specific violations of </w:t>
      </w:r>
      <w:r w:rsidR="000B587F" w:rsidRPr="00FE50A6">
        <w:rPr>
          <w:lang w:val="en-US"/>
        </w:rPr>
        <w:t>Articles 1(1)</w:t>
      </w:r>
      <w:r w:rsidR="00030C17" w:rsidRPr="00FE50A6">
        <w:rPr>
          <w:lang w:val="en-US"/>
        </w:rPr>
        <w:t xml:space="preserve"> and </w:t>
      </w:r>
      <w:r w:rsidR="00207197" w:rsidRPr="00FE50A6">
        <w:rPr>
          <w:lang w:val="en-US"/>
        </w:rPr>
        <w:t>2</w:t>
      </w:r>
      <w:r w:rsidRPr="00FE50A6">
        <w:rPr>
          <w:lang w:val="en-US"/>
        </w:rPr>
        <w:t xml:space="preserve"> of the American Convention</w:t>
      </w:r>
      <w:r w:rsidR="00207197" w:rsidRPr="00FE50A6">
        <w:rPr>
          <w:lang w:val="en-US"/>
        </w:rPr>
        <w:t xml:space="preserve"> </w:t>
      </w:r>
      <w:r w:rsidR="000A29BC" w:rsidRPr="00FE50A6">
        <w:rPr>
          <w:lang w:val="en-US"/>
        </w:rPr>
        <w:t xml:space="preserve">with regard to duly represented victims that fell within the Court’s jurisdiction based on its temporal and material limitations. The State indicated that there was no evidence of any connection between State agents </w:t>
      </w:r>
      <w:proofErr w:type="gramStart"/>
      <w:r w:rsidR="000A29BC" w:rsidRPr="00FE50A6">
        <w:rPr>
          <w:lang w:val="en-US"/>
        </w:rPr>
        <w:t xml:space="preserve">and  </w:t>
      </w:r>
      <w:r w:rsidR="00207197" w:rsidRPr="00FE50A6">
        <w:rPr>
          <w:lang w:val="en-US"/>
        </w:rPr>
        <w:t>Hacienda</w:t>
      </w:r>
      <w:proofErr w:type="gramEnd"/>
      <w:r w:rsidR="00207197" w:rsidRPr="00FE50A6">
        <w:rPr>
          <w:lang w:val="en-US"/>
        </w:rPr>
        <w:t xml:space="preserve"> </w:t>
      </w:r>
      <w:r w:rsidR="00322241" w:rsidRPr="00FE50A6">
        <w:rPr>
          <w:lang w:val="en-US"/>
        </w:rPr>
        <w:t>Brasil Verde</w:t>
      </w:r>
      <w:r w:rsidR="00207197" w:rsidRPr="00FE50A6">
        <w:rPr>
          <w:lang w:val="en-US"/>
        </w:rPr>
        <w:t>.</w:t>
      </w:r>
      <w:r w:rsidR="000A29BC" w:rsidRPr="00FE50A6">
        <w:rPr>
          <w:lang w:val="en-US"/>
        </w:rPr>
        <w:t xml:space="preserve"> It also asserted that the po</w:t>
      </w:r>
      <w:r w:rsidR="00984A55" w:rsidRPr="00FE50A6">
        <w:rPr>
          <w:lang w:val="en-US"/>
        </w:rPr>
        <w:t>s</w:t>
      </w:r>
      <w:r w:rsidR="000A29BC" w:rsidRPr="00FE50A6">
        <w:rPr>
          <w:lang w:val="en-US"/>
        </w:rPr>
        <w:t xml:space="preserve">sible shortcomings in the investigation and prosecution of </w:t>
      </w:r>
      <w:r w:rsidR="005F1946" w:rsidRPr="00FE50A6">
        <w:rPr>
          <w:lang w:val="en-US"/>
        </w:rPr>
        <w:t>slave labor</w:t>
      </w:r>
      <w:r w:rsidR="00207197" w:rsidRPr="00FE50A6">
        <w:rPr>
          <w:lang w:val="en-US"/>
        </w:rPr>
        <w:t xml:space="preserve"> </w:t>
      </w:r>
      <w:r w:rsidR="000A29BC" w:rsidRPr="00FE50A6">
        <w:rPr>
          <w:lang w:val="en-US"/>
        </w:rPr>
        <w:t xml:space="preserve">were not sufficient to </w:t>
      </w:r>
      <w:r w:rsidR="00984A55" w:rsidRPr="00FE50A6">
        <w:rPr>
          <w:lang w:val="en-US"/>
        </w:rPr>
        <w:t>declare that it had failed to comply with its obligation of guarantor under the</w:t>
      </w:r>
      <w:r w:rsidR="00207197" w:rsidRPr="00FE50A6">
        <w:rPr>
          <w:lang w:val="en-US"/>
        </w:rPr>
        <w:t xml:space="preserve"> </w:t>
      </w:r>
      <w:r w:rsidR="0084006F" w:rsidRPr="00FE50A6">
        <w:rPr>
          <w:lang w:val="en-US"/>
        </w:rPr>
        <w:t>inter-American system</w:t>
      </w:r>
      <w:r w:rsidR="00207197" w:rsidRPr="00FE50A6">
        <w:rPr>
          <w:lang w:val="en-US"/>
        </w:rPr>
        <w:t>.</w:t>
      </w:r>
    </w:p>
    <w:p w14:paraId="4F494FC6" w14:textId="77777777" w:rsidR="00207197" w:rsidRPr="00FE50A6" w:rsidRDefault="00207197" w:rsidP="00140440">
      <w:pPr>
        <w:jc w:val="both"/>
        <w:rPr>
          <w:lang w:val="en-US"/>
        </w:rPr>
      </w:pPr>
    </w:p>
    <w:p w14:paraId="4A863F5D" w14:textId="77777777" w:rsidR="00207197" w:rsidRPr="00FE50A6" w:rsidRDefault="000228D0" w:rsidP="00F37DC4">
      <w:pPr>
        <w:pStyle w:val="Prrafodelista"/>
        <w:numPr>
          <w:ilvl w:val="0"/>
          <w:numId w:val="1"/>
        </w:numPr>
        <w:contextualSpacing w:val="0"/>
        <w:rPr>
          <w:lang w:val="en-US"/>
        </w:rPr>
      </w:pPr>
      <w:r w:rsidRPr="00FE50A6">
        <w:rPr>
          <w:lang w:val="en-US"/>
        </w:rPr>
        <w:t>The State</w:t>
      </w:r>
      <w:r w:rsidR="00207197" w:rsidRPr="00FE50A6">
        <w:rPr>
          <w:lang w:val="en-US"/>
        </w:rPr>
        <w:t xml:space="preserve"> </w:t>
      </w:r>
      <w:r w:rsidR="00984A55" w:rsidRPr="00FE50A6">
        <w:rPr>
          <w:lang w:val="en-US"/>
        </w:rPr>
        <w:t>indicated</w:t>
      </w:r>
      <w:r w:rsidR="00207197" w:rsidRPr="00FE50A6">
        <w:rPr>
          <w:lang w:val="en-US"/>
        </w:rPr>
        <w:t xml:space="preserve"> </w:t>
      </w:r>
      <w:r w:rsidR="00984A55" w:rsidRPr="00FE50A6">
        <w:rPr>
          <w:lang w:val="en-US"/>
        </w:rPr>
        <w:t xml:space="preserve">that it had complied with all the international standards for the prevention and eradication of </w:t>
      </w:r>
      <w:r w:rsidR="005F1946" w:rsidRPr="00FE50A6">
        <w:rPr>
          <w:lang w:val="en-US"/>
        </w:rPr>
        <w:t>slave labor</w:t>
      </w:r>
      <w:r w:rsidR="00207197" w:rsidRPr="00FE50A6">
        <w:rPr>
          <w:lang w:val="en-US"/>
        </w:rPr>
        <w:t xml:space="preserve">. </w:t>
      </w:r>
      <w:r w:rsidR="00984A55" w:rsidRPr="00FE50A6">
        <w:rPr>
          <w:lang w:val="en-US"/>
        </w:rPr>
        <w:t>I</w:t>
      </w:r>
      <w:r w:rsidR="00207197" w:rsidRPr="00FE50A6">
        <w:rPr>
          <w:lang w:val="en-US"/>
        </w:rPr>
        <w:t xml:space="preserve">n particular, </w:t>
      </w:r>
      <w:r w:rsidR="00984A55" w:rsidRPr="00FE50A6">
        <w:rPr>
          <w:lang w:val="en-US"/>
        </w:rPr>
        <w:t xml:space="preserve">it underscored a series of public policies implemented since 2000 aimed at: (i) training, assistance and information for vulnerable people; (ii) raising awareness and commitment among employers; (iii) reinforcing inspection services and the investigation of </w:t>
      </w:r>
      <w:r w:rsidR="005F1946" w:rsidRPr="00FE50A6">
        <w:rPr>
          <w:lang w:val="en-US"/>
        </w:rPr>
        <w:t>slave labor</w:t>
      </w:r>
      <w:r w:rsidR="00660CD5" w:rsidRPr="00FE50A6">
        <w:rPr>
          <w:lang w:val="en-US"/>
        </w:rPr>
        <w:t>,</w:t>
      </w:r>
      <w:r w:rsidR="00030C17" w:rsidRPr="00FE50A6">
        <w:rPr>
          <w:lang w:val="en-US"/>
        </w:rPr>
        <w:t xml:space="preserve"> and </w:t>
      </w:r>
      <w:r w:rsidR="00984A55" w:rsidRPr="00FE50A6">
        <w:rPr>
          <w:lang w:val="en-US"/>
        </w:rPr>
        <w:t>(</w:t>
      </w:r>
      <w:r w:rsidR="00207197" w:rsidRPr="00FE50A6">
        <w:rPr>
          <w:lang w:val="en-US"/>
        </w:rPr>
        <w:t>iv) protec</w:t>
      </w:r>
      <w:r w:rsidR="00984A55" w:rsidRPr="00FE50A6">
        <w:rPr>
          <w:lang w:val="en-US"/>
        </w:rPr>
        <w:t>tion against abusive and fraudulent hiring practices</w:t>
      </w:r>
      <w:r w:rsidR="00207197" w:rsidRPr="00FE50A6">
        <w:rPr>
          <w:lang w:val="en-US"/>
        </w:rPr>
        <w:t xml:space="preserve">. </w:t>
      </w:r>
    </w:p>
    <w:p w14:paraId="1B39A3DC" w14:textId="77777777" w:rsidR="00207197" w:rsidRPr="00FE50A6" w:rsidRDefault="00207197" w:rsidP="00140440">
      <w:pPr>
        <w:jc w:val="both"/>
        <w:rPr>
          <w:lang w:val="en-US"/>
        </w:rPr>
      </w:pPr>
    </w:p>
    <w:p w14:paraId="0D4FF6EE" w14:textId="77777777" w:rsidR="00207197" w:rsidRPr="00FE50A6" w:rsidRDefault="002C0E4F" w:rsidP="00F37DC4">
      <w:pPr>
        <w:pStyle w:val="Prrafodelista"/>
        <w:numPr>
          <w:ilvl w:val="0"/>
          <w:numId w:val="1"/>
        </w:numPr>
        <w:contextualSpacing w:val="0"/>
        <w:rPr>
          <w:lang w:val="en-US"/>
        </w:rPr>
      </w:pPr>
      <w:r w:rsidRPr="00FE50A6">
        <w:rPr>
          <w:lang w:val="en-US"/>
        </w:rPr>
        <w:t>Based on</w:t>
      </w:r>
      <w:r w:rsidR="00984A55" w:rsidRPr="00FE50A6">
        <w:rPr>
          <w:lang w:val="en-US"/>
        </w:rPr>
        <w:t xml:space="preserve"> the above, the State asked the Court to declare </w:t>
      </w:r>
      <w:r w:rsidRPr="00FE50A6">
        <w:rPr>
          <w:lang w:val="en-US"/>
        </w:rPr>
        <w:t>that</w:t>
      </w:r>
      <w:r w:rsidR="00984A55" w:rsidRPr="00FE50A6">
        <w:rPr>
          <w:lang w:val="en-US"/>
        </w:rPr>
        <w:t xml:space="preserve"> the requests to recognize the existence of </w:t>
      </w:r>
      <w:r w:rsidR="005F1946" w:rsidRPr="00FE50A6">
        <w:rPr>
          <w:lang w:val="en-US"/>
        </w:rPr>
        <w:t>slave labor</w:t>
      </w:r>
      <w:r w:rsidR="00207197" w:rsidRPr="00FE50A6">
        <w:rPr>
          <w:lang w:val="en-US"/>
        </w:rPr>
        <w:t xml:space="preserve">, </w:t>
      </w:r>
      <w:r w:rsidR="00693AB2" w:rsidRPr="00FE50A6">
        <w:rPr>
          <w:lang w:val="en-US"/>
        </w:rPr>
        <w:t>servitude</w:t>
      </w:r>
      <w:r w:rsidR="00207197" w:rsidRPr="00FE50A6">
        <w:rPr>
          <w:lang w:val="en-US"/>
        </w:rPr>
        <w:t xml:space="preserve"> o</w:t>
      </w:r>
      <w:r w:rsidR="00984A55" w:rsidRPr="00FE50A6">
        <w:rPr>
          <w:lang w:val="en-US"/>
        </w:rPr>
        <w:t>r</w:t>
      </w:r>
      <w:r w:rsidR="00207197" w:rsidRPr="00FE50A6">
        <w:rPr>
          <w:lang w:val="en-US"/>
        </w:rPr>
        <w:t xml:space="preserve"> </w:t>
      </w:r>
      <w:r w:rsidR="005F1946" w:rsidRPr="00FE50A6">
        <w:rPr>
          <w:lang w:val="en-US"/>
        </w:rPr>
        <w:t>forced labor</w:t>
      </w:r>
      <w:r w:rsidR="00030C17" w:rsidRPr="00FE50A6">
        <w:rPr>
          <w:lang w:val="en-US"/>
        </w:rPr>
        <w:t xml:space="preserve"> </w:t>
      </w:r>
      <w:r w:rsidR="00984A55" w:rsidRPr="00FE50A6">
        <w:rPr>
          <w:lang w:val="en-US"/>
        </w:rPr>
        <w:t>in this case</w:t>
      </w:r>
      <w:r w:rsidRPr="00FE50A6">
        <w:rPr>
          <w:lang w:val="en-US"/>
        </w:rPr>
        <w:t xml:space="preserve"> were inadmissible</w:t>
      </w:r>
      <w:r w:rsidR="00984A55" w:rsidRPr="00FE50A6">
        <w:rPr>
          <w:lang w:val="en-US"/>
        </w:rPr>
        <w:t xml:space="preserve"> and to de</w:t>
      </w:r>
      <w:r w:rsidRPr="00FE50A6">
        <w:rPr>
          <w:lang w:val="en-US"/>
        </w:rPr>
        <w:t>termin</w:t>
      </w:r>
      <w:r w:rsidR="00984A55" w:rsidRPr="00FE50A6">
        <w:rPr>
          <w:lang w:val="en-US"/>
        </w:rPr>
        <w:t xml:space="preserve">e that Brazil had not violated </w:t>
      </w:r>
      <w:r w:rsidR="00703850" w:rsidRPr="00FE50A6">
        <w:rPr>
          <w:lang w:val="en-US"/>
        </w:rPr>
        <w:t>Article</w:t>
      </w:r>
      <w:r w:rsidR="00207197" w:rsidRPr="00FE50A6">
        <w:rPr>
          <w:lang w:val="en-US"/>
        </w:rPr>
        <w:t xml:space="preserve"> 6</w:t>
      </w:r>
      <w:r w:rsidR="000228D0" w:rsidRPr="00FE50A6">
        <w:rPr>
          <w:lang w:val="en-US"/>
        </w:rPr>
        <w:t xml:space="preserve"> of the Convention</w:t>
      </w:r>
      <w:r w:rsidR="00207197" w:rsidRPr="00FE50A6">
        <w:rPr>
          <w:lang w:val="en-US"/>
        </w:rPr>
        <w:t xml:space="preserve">. </w:t>
      </w:r>
    </w:p>
    <w:p w14:paraId="4FC0D14A" w14:textId="77777777" w:rsidR="00207197" w:rsidRPr="00FE50A6" w:rsidRDefault="00207197" w:rsidP="00140440">
      <w:pPr>
        <w:jc w:val="both"/>
        <w:rPr>
          <w:lang w:val="en-US"/>
        </w:rPr>
      </w:pPr>
    </w:p>
    <w:p w14:paraId="3329F301" w14:textId="77777777" w:rsidR="00207197" w:rsidRPr="00FE50A6" w:rsidRDefault="000702CF" w:rsidP="008B0BCC">
      <w:pPr>
        <w:pStyle w:val="Ttulo2"/>
        <w:numPr>
          <w:ilvl w:val="0"/>
          <w:numId w:val="19"/>
        </w:numPr>
      </w:pPr>
      <w:bookmarkStart w:id="313" w:name="_Toc464813958"/>
      <w:r w:rsidRPr="00FE50A6">
        <w:t>Considerations</w:t>
      </w:r>
      <w:r w:rsidR="000228D0" w:rsidRPr="00FE50A6">
        <w:t xml:space="preserve"> of the Court</w:t>
      </w:r>
      <w:bookmarkEnd w:id="313"/>
      <w:r w:rsidR="00207197" w:rsidRPr="00FE50A6">
        <w:t xml:space="preserve">  </w:t>
      </w:r>
    </w:p>
    <w:p w14:paraId="6B5C2F26" w14:textId="77777777" w:rsidR="00207197" w:rsidRPr="00FE50A6" w:rsidRDefault="00207197" w:rsidP="00140440">
      <w:pPr>
        <w:jc w:val="both"/>
        <w:rPr>
          <w:lang w:val="en-US"/>
        </w:rPr>
      </w:pPr>
    </w:p>
    <w:p w14:paraId="4A89B113" w14:textId="77777777" w:rsidR="003C2CE1" w:rsidRPr="00FE50A6" w:rsidRDefault="00E20F74" w:rsidP="00C66702">
      <w:pPr>
        <w:pStyle w:val="Prrafodelista"/>
        <w:numPr>
          <w:ilvl w:val="0"/>
          <w:numId w:val="1"/>
        </w:numPr>
        <w:contextualSpacing w:val="0"/>
        <w:rPr>
          <w:lang w:val="en-US"/>
        </w:rPr>
      </w:pPr>
      <w:r w:rsidRPr="00FE50A6">
        <w:rPr>
          <w:lang w:val="en-US"/>
        </w:rPr>
        <w:t xml:space="preserve">In this section, the Court will include considerations on the alleged violations of the different provisions </w:t>
      </w:r>
      <w:r w:rsidR="00703850" w:rsidRPr="00FE50A6">
        <w:rPr>
          <w:lang w:val="en-US"/>
        </w:rPr>
        <w:t>of 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Pr="00FE50A6">
        <w:rPr>
          <w:lang w:val="en-US"/>
        </w:rPr>
        <w:t xml:space="preserve">regarding the </w:t>
      </w:r>
      <w:r w:rsidR="00E94340" w:rsidRPr="00FE50A6">
        <w:rPr>
          <w:lang w:val="en-US"/>
        </w:rPr>
        <w:t>prohibition of slavery</w:t>
      </w:r>
      <w:r w:rsidR="00207197" w:rsidRPr="00FE50A6">
        <w:rPr>
          <w:lang w:val="en-US"/>
        </w:rPr>
        <w:t xml:space="preserve">, </w:t>
      </w:r>
      <w:r w:rsidR="00693AB2" w:rsidRPr="00FE50A6">
        <w:rPr>
          <w:lang w:val="en-US"/>
        </w:rPr>
        <w:t>servitude</w:t>
      </w:r>
      <w:r w:rsidR="00207197" w:rsidRPr="00FE50A6">
        <w:rPr>
          <w:lang w:val="en-US"/>
        </w:rPr>
        <w:t xml:space="preserve">, </w:t>
      </w:r>
      <w:r w:rsidR="005F1946" w:rsidRPr="00FE50A6">
        <w:rPr>
          <w:lang w:val="en-US"/>
        </w:rPr>
        <w:t>forced labor</w:t>
      </w:r>
      <w:r w:rsidR="00030C17" w:rsidRPr="00FE50A6">
        <w:rPr>
          <w:lang w:val="en-US"/>
        </w:rPr>
        <w:t xml:space="preserve"> and </w:t>
      </w:r>
      <w:r w:rsidR="000C2A19" w:rsidRPr="00FE50A6">
        <w:rPr>
          <w:lang w:val="en-US"/>
        </w:rPr>
        <w:t>trafficking</w:t>
      </w:r>
      <w:r w:rsidR="00207197" w:rsidRPr="00FE50A6">
        <w:rPr>
          <w:lang w:val="en-US"/>
        </w:rPr>
        <w:t xml:space="preserve">. </w:t>
      </w:r>
      <w:r w:rsidRPr="00FE50A6">
        <w:rPr>
          <w:lang w:val="en-US"/>
        </w:rPr>
        <w:t xml:space="preserve">To this end, </w:t>
      </w:r>
      <w:r w:rsidR="002071B1" w:rsidRPr="00FE50A6">
        <w:rPr>
          <w:lang w:val="en-US"/>
        </w:rPr>
        <w:t>the Court</w:t>
      </w:r>
      <w:r w:rsidR="00207197" w:rsidRPr="00FE50A6">
        <w:rPr>
          <w:lang w:val="en-US"/>
        </w:rPr>
        <w:t xml:space="preserve">: </w:t>
      </w:r>
      <w:r w:rsidRPr="00FE50A6">
        <w:rPr>
          <w:lang w:val="en-US"/>
        </w:rPr>
        <w:t>(</w:t>
      </w:r>
      <w:r w:rsidR="00207197" w:rsidRPr="00FE50A6">
        <w:rPr>
          <w:lang w:val="en-US"/>
        </w:rPr>
        <w:t xml:space="preserve">i) </w:t>
      </w:r>
      <w:r w:rsidRPr="00FE50A6">
        <w:rPr>
          <w:lang w:val="en-US"/>
        </w:rPr>
        <w:t xml:space="preserve">will analyze the </w:t>
      </w:r>
      <w:r w:rsidR="00511962" w:rsidRPr="00FE50A6">
        <w:rPr>
          <w:lang w:val="en-US"/>
        </w:rPr>
        <w:t>evolution</w:t>
      </w:r>
      <w:r w:rsidRPr="00FE50A6">
        <w:rPr>
          <w:lang w:val="en-US"/>
        </w:rPr>
        <w:t xml:space="preserve"> of these concepts in </w:t>
      </w:r>
      <w:r w:rsidR="00931A2D" w:rsidRPr="00FE50A6">
        <w:rPr>
          <w:lang w:val="en-US"/>
        </w:rPr>
        <w:t>international law</w:t>
      </w:r>
      <w:r w:rsidRPr="00FE50A6">
        <w:rPr>
          <w:lang w:val="en-US"/>
        </w:rPr>
        <w:t>, in order to (</w:t>
      </w:r>
      <w:r w:rsidR="00207197" w:rsidRPr="00FE50A6">
        <w:rPr>
          <w:lang w:val="en-US"/>
        </w:rPr>
        <w:t>ii) determin</w:t>
      </w:r>
      <w:r w:rsidRPr="00FE50A6">
        <w:rPr>
          <w:lang w:val="en-US"/>
        </w:rPr>
        <w:t xml:space="preserve">e the content of the provisions of </w:t>
      </w:r>
      <w:r w:rsidR="000228D0"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w:t>
      </w:r>
      <w:r w:rsidR="00030C17" w:rsidRPr="00FE50A6">
        <w:rPr>
          <w:lang w:val="en-US"/>
        </w:rPr>
        <w:t xml:space="preserve"> and </w:t>
      </w:r>
      <w:r w:rsidRPr="00FE50A6">
        <w:rPr>
          <w:lang w:val="en-US"/>
        </w:rPr>
        <w:t>then</w:t>
      </w:r>
      <w:r w:rsidR="00207197" w:rsidRPr="00FE50A6">
        <w:rPr>
          <w:lang w:val="en-US"/>
        </w:rPr>
        <w:t xml:space="preserve"> </w:t>
      </w:r>
      <w:r w:rsidRPr="00FE50A6">
        <w:rPr>
          <w:lang w:val="en-US"/>
        </w:rPr>
        <w:t>(</w:t>
      </w:r>
      <w:r w:rsidR="00207197" w:rsidRPr="00FE50A6">
        <w:rPr>
          <w:lang w:val="en-US"/>
        </w:rPr>
        <w:t>iii) verif</w:t>
      </w:r>
      <w:r w:rsidRPr="00FE50A6">
        <w:rPr>
          <w:lang w:val="en-US"/>
        </w:rPr>
        <w:t xml:space="preserve">y whether the facts of this case represent violations of </w:t>
      </w:r>
      <w:r w:rsidR="000228D0" w:rsidRPr="00FE50A6">
        <w:rPr>
          <w:lang w:val="en-US"/>
        </w:rPr>
        <w:t>the American Convention on Human Rights</w:t>
      </w:r>
      <w:r w:rsidR="00207197" w:rsidRPr="00FE50A6">
        <w:rPr>
          <w:lang w:val="en-US"/>
        </w:rPr>
        <w:t xml:space="preserve">. </w:t>
      </w:r>
    </w:p>
    <w:p w14:paraId="1F5B11E0" w14:textId="77777777" w:rsidR="00C66702" w:rsidRPr="00FE50A6" w:rsidRDefault="00C66702" w:rsidP="00C66702">
      <w:pPr>
        <w:pStyle w:val="Prrafodelista"/>
        <w:ind w:left="0"/>
        <w:contextualSpacing w:val="0"/>
        <w:rPr>
          <w:lang w:val="en-US"/>
        </w:rPr>
      </w:pPr>
    </w:p>
    <w:p w14:paraId="03C98E67" w14:textId="77777777" w:rsidR="00207197" w:rsidRPr="00FE50A6" w:rsidRDefault="00D2546E" w:rsidP="00F37DC4">
      <w:pPr>
        <w:pStyle w:val="Prrafodelista"/>
        <w:numPr>
          <w:ilvl w:val="0"/>
          <w:numId w:val="1"/>
        </w:numPr>
        <w:contextualSpacing w:val="0"/>
        <w:rPr>
          <w:lang w:val="en-US"/>
        </w:rPr>
      </w:pPr>
      <w:r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00E20F74" w:rsidRPr="00FE50A6">
        <w:rPr>
          <w:lang w:val="en-US"/>
        </w:rPr>
        <w:t>stipulates that</w:t>
      </w:r>
      <w:r w:rsidR="00207197" w:rsidRPr="00FE50A6">
        <w:rPr>
          <w:lang w:val="en-US"/>
        </w:rPr>
        <w:t xml:space="preserve">: </w:t>
      </w:r>
    </w:p>
    <w:p w14:paraId="6668B898" w14:textId="77777777" w:rsidR="00207197" w:rsidRPr="00FE50A6" w:rsidRDefault="00207197" w:rsidP="00140440">
      <w:pPr>
        <w:pStyle w:val="Prrafodelista"/>
        <w:ind w:left="0"/>
        <w:rPr>
          <w:lang w:val="en-US"/>
        </w:rPr>
      </w:pPr>
    </w:p>
    <w:p w14:paraId="5A7E7B61" w14:textId="77777777" w:rsidR="00D37ADB" w:rsidRPr="00FE50A6" w:rsidRDefault="00207197" w:rsidP="00D37ADB">
      <w:pPr>
        <w:tabs>
          <w:tab w:val="clear" w:pos="4419"/>
          <w:tab w:val="clear" w:pos="8838"/>
          <w:tab w:val="right" w:pos="0"/>
        </w:tabs>
        <w:ind w:left="709" w:right="804"/>
        <w:jc w:val="both"/>
        <w:rPr>
          <w:sz w:val="16"/>
          <w:szCs w:val="16"/>
          <w:lang w:val="en-US"/>
        </w:rPr>
      </w:pPr>
      <w:r w:rsidRPr="00FE50A6">
        <w:rPr>
          <w:sz w:val="16"/>
          <w:szCs w:val="16"/>
          <w:lang w:val="en-US"/>
        </w:rPr>
        <w:tab/>
      </w:r>
      <w:r w:rsidR="00D2546E" w:rsidRPr="00FE50A6">
        <w:rPr>
          <w:sz w:val="16"/>
          <w:szCs w:val="16"/>
          <w:lang w:val="en-US"/>
        </w:rPr>
        <w:t>Article</w:t>
      </w:r>
      <w:r w:rsidRPr="00FE50A6">
        <w:rPr>
          <w:sz w:val="16"/>
          <w:szCs w:val="16"/>
          <w:lang w:val="en-US"/>
        </w:rPr>
        <w:t xml:space="preserve"> 6.  </w:t>
      </w:r>
      <w:r w:rsidR="00D37ADB" w:rsidRPr="00FE50A6">
        <w:rPr>
          <w:sz w:val="16"/>
          <w:szCs w:val="16"/>
          <w:lang w:val="en-US"/>
        </w:rPr>
        <w:t>Freedom from Slavery</w:t>
      </w:r>
    </w:p>
    <w:p w14:paraId="4150221D" w14:textId="77777777" w:rsidR="00D37ADB" w:rsidRPr="00FE50A6" w:rsidRDefault="00D37ADB" w:rsidP="00D37ADB">
      <w:pPr>
        <w:tabs>
          <w:tab w:val="clear" w:pos="4419"/>
          <w:tab w:val="clear" w:pos="8838"/>
          <w:tab w:val="right" w:pos="0"/>
        </w:tabs>
        <w:ind w:left="709" w:right="804"/>
        <w:jc w:val="both"/>
        <w:rPr>
          <w:spacing w:val="-3"/>
          <w:sz w:val="16"/>
          <w:szCs w:val="16"/>
          <w:lang w:val="en-US"/>
        </w:rPr>
      </w:pPr>
      <w:r w:rsidRPr="00FE50A6">
        <w:rPr>
          <w:sz w:val="16"/>
          <w:szCs w:val="16"/>
          <w:lang w:val="en-US"/>
        </w:rPr>
        <w:t xml:space="preserve">1. </w:t>
      </w:r>
      <w:r w:rsidRPr="00FE50A6">
        <w:rPr>
          <w:spacing w:val="-3"/>
          <w:sz w:val="16"/>
          <w:szCs w:val="16"/>
          <w:lang w:val="en-US"/>
        </w:rPr>
        <w:t>No one shall be subject to slavery or to involuntary servitude, which are prohibited in all their forms, as are the slave trade and traffic in women.</w:t>
      </w:r>
    </w:p>
    <w:p w14:paraId="3A397F43" w14:textId="77777777" w:rsidR="00D37ADB" w:rsidRPr="00FE50A6" w:rsidRDefault="00D37ADB" w:rsidP="00D37ADB">
      <w:pPr>
        <w:tabs>
          <w:tab w:val="left" w:pos="480"/>
          <w:tab w:val="left" w:pos="1080"/>
          <w:tab w:val="left" w:pos="1680"/>
          <w:tab w:val="left" w:pos="5400"/>
        </w:tabs>
        <w:suppressAutoHyphens/>
        <w:ind w:left="709" w:right="832"/>
        <w:jc w:val="both"/>
        <w:rPr>
          <w:spacing w:val="-3"/>
          <w:sz w:val="16"/>
          <w:szCs w:val="16"/>
          <w:lang w:val="en-US"/>
        </w:rPr>
      </w:pPr>
      <w:r w:rsidRPr="00FE50A6">
        <w:rPr>
          <w:spacing w:val="-3"/>
          <w:sz w:val="16"/>
          <w:szCs w:val="16"/>
          <w:lang w:val="en-US"/>
        </w:rPr>
        <w:t>2. No one shall be required to perform forced or compulsory labor. This provision shall not be interpreted to mean that, in those countries in which the penalty established for certain crimes is deprivation of liberty at forced labor, the carrying out of such a sentence imposed by a competent court is prohibited. Forced labor shall not adversely affect the dignity or the physical or intellectual capacity of the prisoner.</w:t>
      </w:r>
    </w:p>
    <w:p w14:paraId="4AD4072E" w14:textId="77777777" w:rsidR="00D37ADB" w:rsidRPr="00FE50A6" w:rsidRDefault="00D37ADB" w:rsidP="00D37ADB">
      <w:pPr>
        <w:tabs>
          <w:tab w:val="left" w:pos="480"/>
          <w:tab w:val="left" w:pos="1080"/>
          <w:tab w:val="left" w:pos="1680"/>
          <w:tab w:val="left" w:pos="5400"/>
        </w:tabs>
        <w:suppressAutoHyphens/>
        <w:ind w:left="709" w:right="832"/>
        <w:jc w:val="both"/>
        <w:rPr>
          <w:spacing w:val="-3"/>
          <w:sz w:val="16"/>
          <w:szCs w:val="16"/>
          <w:lang w:val="en-US"/>
        </w:rPr>
      </w:pPr>
      <w:r w:rsidRPr="00FE50A6">
        <w:rPr>
          <w:spacing w:val="-3"/>
          <w:sz w:val="16"/>
          <w:szCs w:val="16"/>
          <w:lang w:val="en-US"/>
        </w:rPr>
        <w:t>3. For the purposes of this article, the following do not constitute forced or compulsory labor:</w:t>
      </w:r>
    </w:p>
    <w:p w14:paraId="43244162" w14:textId="77777777" w:rsidR="00D37ADB" w:rsidRPr="00FE50A6" w:rsidRDefault="00D37ADB" w:rsidP="00D37ADB">
      <w:pPr>
        <w:tabs>
          <w:tab w:val="left" w:pos="180"/>
          <w:tab w:val="left" w:pos="1080"/>
          <w:tab w:val="left" w:pos="1680"/>
          <w:tab w:val="left" w:pos="5400"/>
        </w:tabs>
        <w:suppressAutoHyphens/>
        <w:ind w:left="709" w:right="832"/>
        <w:jc w:val="both"/>
        <w:rPr>
          <w:spacing w:val="-3"/>
          <w:sz w:val="16"/>
          <w:szCs w:val="16"/>
          <w:lang w:val="en-US"/>
        </w:rPr>
      </w:pPr>
      <w:r w:rsidRPr="00FE50A6">
        <w:rPr>
          <w:spacing w:val="-3"/>
          <w:sz w:val="16"/>
          <w:szCs w:val="16"/>
          <w:lang w:val="en-US"/>
        </w:rPr>
        <w:t>a. work or service normally required of a person imprisoned in execution of a sentence or formal decision passed by the competent judicial authority. Such work or service shall be carried out under the supervision and control of public authorities, and any persons performing such work or service shall not be placed at the disposal of any private party, company, or juridical person;</w:t>
      </w:r>
    </w:p>
    <w:p w14:paraId="60ED25FD" w14:textId="77777777" w:rsidR="00D37ADB" w:rsidRPr="00FE50A6" w:rsidRDefault="00D37ADB" w:rsidP="00D37ADB">
      <w:pPr>
        <w:tabs>
          <w:tab w:val="left" w:pos="180"/>
          <w:tab w:val="left" w:pos="1080"/>
          <w:tab w:val="left" w:pos="1680"/>
          <w:tab w:val="left" w:pos="5400"/>
        </w:tabs>
        <w:suppressAutoHyphens/>
        <w:ind w:left="709" w:right="832"/>
        <w:jc w:val="both"/>
        <w:rPr>
          <w:spacing w:val="-3"/>
          <w:sz w:val="16"/>
          <w:szCs w:val="16"/>
          <w:lang w:val="en-US"/>
        </w:rPr>
      </w:pPr>
      <w:r w:rsidRPr="00FE50A6">
        <w:rPr>
          <w:spacing w:val="-3"/>
          <w:sz w:val="16"/>
          <w:szCs w:val="16"/>
          <w:lang w:val="en-US"/>
        </w:rPr>
        <w:t>b. military service and, in countries in which conscientious objectors are recognized, national service that the law may provide for in lieu of military service;</w:t>
      </w:r>
    </w:p>
    <w:p w14:paraId="04D74F81" w14:textId="77777777" w:rsidR="00D37ADB" w:rsidRPr="00FE50A6" w:rsidRDefault="00D37ADB" w:rsidP="00D37ADB">
      <w:pPr>
        <w:tabs>
          <w:tab w:val="left" w:pos="180"/>
          <w:tab w:val="left" w:pos="1080"/>
          <w:tab w:val="left" w:pos="1680"/>
          <w:tab w:val="left" w:pos="5400"/>
        </w:tabs>
        <w:suppressAutoHyphens/>
        <w:ind w:left="709" w:right="832"/>
        <w:jc w:val="both"/>
        <w:rPr>
          <w:spacing w:val="-3"/>
          <w:sz w:val="16"/>
          <w:szCs w:val="16"/>
          <w:lang w:val="en-US"/>
        </w:rPr>
      </w:pPr>
      <w:r w:rsidRPr="00FE50A6">
        <w:rPr>
          <w:spacing w:val="-3"/>
          <w:sz w:val="16"/>
          <w:szCs w:val="16"/>
          <w:lang w:val="en-US"/>
        </w:rPr>
        <w:t>c. service exacted in time of danger or calamity that threatens the existence or the well</w:t>
      </w:r>
      <w:r w:rsidRPr="00FE50A6">
        <w:rPr>
          <w:spacing w:val="-3"/>
          <w:sz w:val="16"/>
          <w:szCs w:val="16"/>
          <w:lang w:val="en-US"/>
        </w:rPr>
        <w:noBreakHyphen/>
        <w:t>being of the community; or</w:t>
      </w:r>
    </w:p>
    <w:p w14:paraId="5311AD40" w14:textId="77777777" w:rsidR="00D37ADB" w:rsidRPr="00FE50A6" w:rsidRDefault="00D37ADB" w:rsidP="00D37ADB">
      <w:pPr>
        <w:tabs>
          <w:tab w:val="clear" w:pos="4419"/>
          <w:tab w:val="clear" w:pos="8838"/>
          <w:tab w:val="right" w:pos="0"/>
        </w:tabs>
        <w:ind w:left="709" w:right="804"/>
        <w:jc w:val="both"/>
        <w:rPr>
          <w:spacing w:val="-3"/>
          <w:sz w:val="16"/>
          <w:szCs w:val="16"/>
          <w:lang w:val="en-US"/>
        </w:rPr>
      </w:pPr>
      <w:r w:rsidRPr="00FE50A6">
        <w:rPr>
          <w:spacing w:val="-3"/>
          <w:sz w:val="16"/>
          <w:szCs w:val="16"/>
          <w:lang w:val="en-US"/>
        </w:rPr>
        <w:t>d. work or service that forms part of normal civic obligations.</w:t>
      </w:r>
    </w:p>
    <w:p w14:paraId="68306297" w14:textId="77777777" w:rsidR="00D37ADB" w:rsidRPr="00FE50A6" w:rsidRDefault="00D37ADB" w:rsidP="00D37ADB">
      <w:pPr>
        <w:tabs>
          <w:tab w:val="clear" w:pos="4419"/>
          <w:tab w:val="clear" w:pos="8838"/>
          <w:tab w:val="right" w:pos="0"/>
        </w:tabs>
        <w:ind w:left="709" w:right="804"/>
        <w:jc w:val="both"/>
        <w:rPr>
          <w:sz w:val="16"/>
          <w:szCs w:val="16"/>
          <w:lang w:val="en-US"/>
        </w:rPr>
      </w:pPr>
    </w:p>
    <w:p w14:paraId="23431BBD" w14:textId="77777777" w:rsidR="00402077" w:rsidRPr="00FE50A6" w:rsidRDefault="00E20F74" w:rsidP="000944E7">
      <w:pPr>
        <w:pStyle w:val="Prrafodelista"/>
        <w:numPr>
          <w:ilvl w:val="0"/>
          <w:numId w:val="1"/>
        </w:numPr>
        <w:contextualSpacing w:val="0"/>
        <w:rPr>
          <w:lang w:val="en-US"/>
        </w:rPr>
      </w:pPr>
      <w:r w:rsidRPr="00FE50A6">
        <w:rPr>
          <w:lang w:val="en-US"/>
        </w:rPr>
        <w:t xml:space="preserve">For the purposes of this judgment, the Court will only take into consideration paragraphs </w:t>
      </w:r>
      <w:r w:rsidR="00402077" w:rsidRPr="00FE50A6">
        <w:rPr>
          <w:lang w:val="en-US"/>
        </w:rPr>
        <w:t>1 (</w:t>
      </w:r>
      <w:r w:rsidR="00D11A9F" w:rsidRPr="00FE50A6">
        <w:rPr>
          <w:lang w:val="en-US"/>
        </w:rPr>
        <w:t>slavery</w:t>
      </w:r>
      <w:r w:rsidR="00402077" w:rsidRPr="00FE50A6">
        <w:rPr>
          <w:lang w:val="en-US"/>
        </w:rPr>
        <w:t xml:space="preserve">, </w:t>
      </w:r>
      <w:r w:rsidRPr="00FE50A6">
        <w:rPr>
          <w:lang w:val="en-US"/>
        </w:rPr>
        <w:t>servitude</w:t>
      </w:r>
      <w:r w:rsidR="00030C17" w:rsidRPr="00FE50A6">
        <w:rPr>
          <w:lang w:val="en-US"/>
        </w:rPr>
        <w:t xml:space="preserve"> and </w:t>
      </w:r>
      <w:r w:rsidR="00D37ADB" w:rsidRPr="00FE50A6">
        <w:rPr>
          <w:lang w:val="en-US"/>
        </w:rPr>
        <w:t xml:space="preserve">the slave trade and traffic in women) </w:t>
      </w:r>
      <w:r w:rsidR="00030C17" w:rsidRPr="00FE50A6">
        <w:rPr>
          <w:lang w:val="en-US"/>
        </w:rPr>
        <w:t xml:space="preserve">and </w:t>
      </w:r>
      <w:r w:rsidR="00402077" w:rsidRPr="00FE50A6">
        <w:rPr>
          <w:lang w:val="en-US"/>
        </w:rPr>
        <w:t>2 (</w:t>
      </w:r>
      <w:r w:rsidR="005F1946" w:rsidRPr="00FE50A6">
        <w:rPr>
          <w:lang w:val="en-US"/>
        </w:rPr>
        <w:t>forced labor</w:t>
      </w:r>
      <w:r w:rsidR="00402077" w:rsidRPr="00FE50A6">
        <w:rPr>
          <w:lang w:val="en-US"/>
        </w:rPr>
        <w:t xml:space="preserve">) </w:t>
      </w:r>
      <w:r w:rsidR="00703850" w:rsidRPr="00FE50A6">
        <w:rPr>
          <w:lang w:val="en-US"/>
        </w:rPr>
        <w:t>of Article</w:t>
      </w:r>
      <w:r w:rsidR="00402077" w:rsidRPr="00FE50A6">
        <w:rPr>
          <w:lang w:val="en-US"/>
        </w:rPr>
        <w:t xml:space="preserve"> 6</w:t>
      </w:r>
      <w:r w:rsidR="000228D0" w:rsidRPr="00FE50A6">
        <w:rPr>
          <w:lang w:val="en-US"/>
        </w:rPr>
        <w:t xml:space="preserve"> of the Convention</w:t>
      </w:r>
      <w:r w:rsidR="00402077" w:rsidRPr="00FE50A6">
        <w:rPr>
          <w:lang w:val="en-US"/>
        </w:rPr>
        <w:t xml:space="preserve">, </w:t>
      </w:r>
      <w:r w:rsidRPr="00FE50A6">
        <w:rPr>
          <w:lang w:val="en-US"/>
        </w:rPr>
        <w:t>which refer to the issues that are the purpose of the dispute in this case. Accordingly, the Court will first analyze each of the above concepts</w:t>
      </w:r>
      <w:r w:rsidR="00402077" w:rsidRPr="00FE50A6">
        <w:rPr>
          <w:lang w:val="en-US"/>
        </w:rPr>
        <w:t>.</w:t>
      </w:r>
    </w:p>
    <w:p w14:paraId="608BF62D" w14:textId="77777777" w:rsidR="00402077" w:rsidRPr="00FE50A6" w:rsidRDefault="00402077" w:rsidP="00402077">
      <w:pPr>
        <w:pStyle w:val="Prrafodelista"/>
        <w:ind w:left="0"/>
        <w:contextualSpacing w:val="0"/>
        <w:rPr>
          <w:lang w:val="en-US"/>
        </w:rPr>
      </w:pPr>
    </w:p>
    <w:p w14:paraId="7470185A" w14:textId="77777777" w:rsidR="000944E7" w:rsidRPr="00FE50A6" w:rsidRDefault="00E20F74" w:rsidP="000944E7">
      <w:pPr>
        <w:pStyle w:val="Prrafodelista"/>
        <w:numPr>
          <w:ilvl w:val="0"/>
          <w:numId w:val="1"/>
        </w:numPr>
        <w:contextualSpacing w:val="0"/>
        <w:rPr>
          <w:lang w:val="en-US"/>
        </w:rPr>
      </w:pPr>
      <w:r w:rsidRPr="00FE50A6">
        <w:rPr>
          <w:lang w:val="en-US"/>
        </w:rPr>
        <w:t xml:space="preserve">The right not to be subject to </w:t>
      </w:r>
      <w:r w:rsidR="00D11A9F" w:rsidRPr="00FE50A6">
        <w:rPr>
          <w:lang w:val="en-US"/>
        </w:rPr>
        <w:t>slavery</w:t>
      </w:r>
      <w:r w:rsidR="000944E7" w:rsidRPr="00FE50A6">
        <w:rPr>
          <w:lang w:val="en-US"/>
        </w:rPr>
        <w:t xml:space="preserve">, </w:t>
      </w:r>
      <w:r w:rsidRPr="00FE50A6">
        <w:rPr>
          <w:lang w:val="en-US"/>
        </w:rPr>
        <w:t>servitude</w:t>
      </w:r>
      <w:r w:rsidR="00D37ADB" w:rsidRPr="00FE50A6">
        <w:rPr>
          <w:lang w:val="en-US"/>
        </w:rPr>
        <w:t>, forced labor o</w:t>
      </w:r>
      <w:r w:rsidRPr="00FE50A6">
        <w:rPr>
          <w:lang w:val="en-US"/>
        </w:rPr>
        <w:t>r</w:t>
      </w:r>
      <w:r w:rsidR="00D37ADB" w:rsidRPr="00FE50A6">
        <w:rPr>
          <w:lang w:val="en-US"/>
        </w:rPr>
        <w:t xml:space="preserve"> the slave trade and traffic in women </w:t>
      </w:r>
      <w:r w:rsidRPr="00FE50A6">
        <w:rPr>
          <w:lang w:val="en-US"/>
        </w:rPr>
        <w:t>has an absolute nature in</w:t>
      </w:r>
      <w:r w:rsidR="000944E7" w:rsidRPr="00FE50A6">
        <w:rPr>
          <w:lang w:val="en-US"/>
        </w:rPr>
        <w:t xml:space="preserve"> </w:t>
      </w:r>
      <w:r w:rsidR="000228D0" w:rsidRPr="00FE50A6">
        <w:rPr>
          <w:lang w:val="en-US"/>
        </w:rPr>
        <w:t>the American Convention</w:t>
      </w:r>
      <w:r w:rsidR="000944E7" w:rsidRPr="00FE50A6">
        <w:rPr>
          <w:lang w:val="en-US"/>
        </w:rPr>
        <w:t xml:space="preserve">. </w:t>
      </w:r>
      <w:r w:rsidRPr="00FE50A6">
        <w:rPr>
          <w:lang w:val="en-US"/>
        </w:rPr>
        <w:t>According to</w:t>
      </w:r>
      <w:r w:rsidR="000944E7" w:rsidRPr="00FE50A6">
        <w:rPr>
          <w:lang w:val="en-US"/>
        </w:rPr>
        <w:t xml:space="preserve"> </w:t>
      </w:r>
      <w:r w:rsidR="000228D0" w:rsidRPr="00FE50A6">
        <w:rPr>
          <w:lang w:val="en-US"/>
        </w:rPr>
        <w:t>Article</w:t>
      </w:r>
      <w:r w:rsidR="000944E7" w:rsidRPr="00FE50A6">
        <w:rPr>
          <w:lang w:val="en-US"/>
        </w:rPr>
        <w:t xml:space="preserve"> 27</w:t>
      </w:r>
      <w:r w:rsidRPr="00FE50A6">
        <w:rPr>
          <w:lang w:val="en-US"/>
        </w:rPr>
        <w:t>(</w:t>
      </w:r>
      <w:r w:rsidR="000944E7" w:rsidRPr="00FE50A6">
        <w:rPr>
          <w:lang w:val="en-US"/>
        </w:rPr>
        <w:t>2</w:t>
      </w:r>
      <w:r w:rsidRPr="00FE50A6">
        <w:rPr>
          <w:lang w:val="en-US"/>
        </w:rPr>
        <w:t xml:space="preserve">) of this treaty, it is one of the </w:t>
      </w:r>
      <w:proofErr w:type="gramStart"/>
      <w:r w:rsidRPr="00FE50A6">
        <w:rPr>
          <w:lang w:val="en-US"/>
        </w:rPr>
        <w:t>core</w:t>
      </w:r>
      <w:proofErr w:type="gramEnd"/>
      <w:r w:rsidRPr="00FE50A6">
        <w:rPr>
          <w:lang w:val="en-US"/>
        </w:rPr>
        <w:t xml:space="preserve"> of non-derogable rights, because it cannot be suspended in case of </w:t>
      </w:r>
      <w:r w:rsidRPr="00FE50A6">
        <w:rPr>
          <w:spacing w:val="-3"/>
          <w:szCs w:val="20"/>
          <w:lang w:val="en-US"/>
        </w:rPr>
        <w:t>war, public danger, or other threat</w:t>
      </w:r>
      <w:r w:rsidR="000944E7" w:rsidRPr="00FE50A6">
        <w:rPr>
          <w:lang w:val="en-US"/>
        </w:rPr>
        <w:t>.</w:t>
      </w:r>
      <w:r w:rsidRPr="00FE50A6">
        <w:rPr>
          <w:lang w:val="en-US"/>
        </w:rPr>
        <w:t xml:space="preserve"> </w:t>
      </w:r>
    </w:p>
    <w:p w14:paraId="0B632624" w14:textId="77777777" w:rsidR="000944E7" w:rsidRPr="00FE50A6" w:rsidRDefault="000944E7" w:rsidP="00ED3AD0">
      <w:pPr>
        <w:pStyle w:val="Prrafodelista"/>
        <w:ind w:left="0"/>
        <w:contextualSpacing w:val="0"/>
        <w:rPr>
          <w:lang w:val="en-US"/>
        </w:rPr>
      </w:pPr>
    </w:p>
    <w:p w14:paraId="75BAE6DA" w14:textId="77777777" w:rsidR="00207197" w:rsidRPr="00FE50A6" w:rsidRDefault="00511962" w:rsidP="00F37DC4">
      <w:pPr>
        <w:pStyle w:val="Prrafodelista"/>
        <w:numPr>
          <w:ilvl w:val="0"/>
          <w:numId w:val="1"/>
        </w:numPr>
        <w:contextualSpacing w:val="0"/>
        <w:rPr>
          <w:lang w:val="en-US"/>
        </w:rPr>
      </w:pPr>
      <w:r w:rsidRPr="00FE50A6">
        <w:rPr>
          <w:lang w:val="en-US"/>
        </w:rPr>
        <w:t xml:space="preserve">As this is the first contentious case before </w:t>
      </w:r>
      <w:r w:rsidR="002071B1" w:rsidRPr="00FE50A6">
        <w:rPr>
          <w:lang w:val="en-US"/>
        </w:rPr>
        <w:t xml:space="preserve">the </w:t>
      </w:r>
      <w:r w:rsidR="00090C6A" w:rsidRPr="00FE50A6">
        <w:rPr>
          <w:lang w:val="en-US"/>
        </w:rPr>
        <w:t>Inter-American Court</w:t>
      </w:r>
      <w:r w:rsidR="00592688" w:rsidRPr="00FE50A6">
        <w:rPr>
          <w:lang w:val="en-US"/>
        </w:rPr>
        <w:t xml:space="preserve"> </w:t>
      </w:r>
      <w:r w:rsidRPr="00FE50A6">
        <w:rPr>
          <w:lang w:val="en-US"/>
        </w:rPr>
        <w:t>that is substantially related to</w:t>
      </w:r>
      <w:r w:rsidR="00703850" w:rsidRPr="00FE50A6">
        <w:rPr>
          <w:lang w:val="en-US"/>
        </w:rPr>
        <w:t xml:space="preserve"> Article</w:t>
      </w:r>
      <w:r w:rsidR="00207197" w:rsidRPr="00FE50A6">
        <w:rPr>
          <w:lang w:val="en-US"/>
        </w:rPr>
        <w:t xml:space="preserve"> 6</w:t>
      </w:r>
      <w:r w:rsidRPr="00FE50A6">
        <w:rPr>
          <w:lang w:val="en-US"/>
        </w:rPr>
        <w:t>(1),</w:t>
      </w:r>
      <w:r w:rsidR="00207197" w:rsidRPr="00FE50A6">
        <w:rPr>
          <w:rStyle w:val="Refdenotaalpie"/>
          <w:lang w:val="en-US"/>
        </w:rPr>
        <w:footnoteReference w:id="354"/>
      </w:r>
      <w:r w:rsidR="00207197" w:rsidRPr="00FE50A6">
        <w:rPr>
          <w:lang w:val="en-US"/>
        </w:rPr>
        <w:t xml:space="preserve"> </w:t>
      </w:r>
      <w:r w:rsidR="000228D0" w:rsidRPr="00FE50A6">
        <w:rPr>
          <w:lang w:val="en-US"/>
        </w:rPr>
        <w:t>the Court</w:t>
      </w:r>
      <w:r w:rsidR="00207197" w:rsidRPr="00FE50A6">
        <w:rPr>
          <w:lang w:val="en-US"/>
        </w:rPr>
        <w:t xml:space="preserve"> </w:t>
      </w:r>
      <w:r w:rsidRPr="00FE50A6">
        <w:rPr>
          <w:lang w:val="en-US"/>
        </w:rPr>
        <w:t xml:space="preserve">will provide a brief summary of the evolution of the matter in </w:t>
      </w:r>
      <w:r w:rsidR="00931A2D" w:rsidRPr="00FE50A6">
        <w:rPr>
          <w:lang w:val="en-US"/>
        </w:rPr>
        <w:t>international law</w:t>
      </w:r>
      <w:r w:rsidRPr="00FE50A6">
        <w:rPr>
          <w:lang w:val="en-US"/>
        </w:rPr>
        <w:t xml:space="preserve"> to give content to the concepts of </w:t>
      </w:r>
      <w:r w:rsidR="00D11A9F" w:rsidRPr="00FE50A6">
        <w:rPr>
          <w:lang w:val="en-US"/>
        </w:rPr>
        <w:t>slavery</w:t>
      </w:r>
      <w:r w:rsidR="00207197" w:rsidRPr="00FE50A6">
        <w:rPr>
          <w:lang w:val="en-US"/>
        </w:rPr>
        <w:t xml:space="preserve">, </w:t>
      </w:r>
      <w:r w:rsidR="00693AB2" w:rsidRPr="00FE50A6">
        <w:rPr>
          <w:lang w:val="en-US"/>
        </w:rPr>
        <w:t>servitude</w:t>
      </w:r>
      <w:r w:rsidR="002C7B8C" w:rsidRPr="00FE50A6">
        <w:rPr>
          <w:lang w:val="en-US"/>
        </w:rPr>
        <w:t>,</w:t>
      </w:r>
      <w:r w:rsidR="00693AB2" w:rsidRPr="00FE50A6">
        <w:rPr>
          <w:lang w:val="en-US"/>
        </w:rPr>
        <w:t xml:space="preserve"> the slave trade and traffic in women</w:t>
      </w:r>
      <w:r w:rsidR="002C7B8C" w:rsidRPr="00FE50A6">
        <w:rPr>
          <w:lang w:val="en-US"/>
        </w:rPr>
        <w:t>,</w:t>
      </w:r>
      <w:r w:rsidR="00030C17" w:rsidRPr="00FE50A6">
        <w:rPr>
          <w:lang w:val="en-US"/>
        </w:rPr>
        <w:t xml:space="preserve"> and </w:t>
      </w:r>
      <w:r w:rsidR="005F1946" w:rsidRPr="00FE50A6">
        <w:rPr>
          <w:lang w:val="en-US"/>
        </w:rPr>
        <w:t>forced labor</w:t>
      </w:r>
      <w:r w:rsidR="00207197" w:rsidRPr="00FE50A6">
        <w:rPr>
          <w:lang w:val="en-US"/>
        </w:rPr>
        <w:t xml:space="preserve"> </w:t>
      </w:r>
      <w:r w:rsidR="002C7B8C" w:rsidRPr="00FE50A6">
        <w:rPr>
          <w:lang w:val="en-US"/>
        </w:rPr>
        <w:t>prohibi</w:t>
      </w:r>
      <w:r w:rsidRPr="00FE50A6">
        <w:rPr>
          <w:lang w:val="en-US"/>
        </w:rPr>
        <w:t>ted by</w:t>
      </w:r>
      <w:r w:rsidR="002C7B8C" w:rsidRPr="00FE50A6">
        <w:rPr>
          <w:lang w:val="en-US"/>
        </w:rPr>
        <w:t xml:space="preserve"> </w:t>
      </w:r>
      <w:r w:rsidR="000228D0" w:rsidRPr="00FE50A6">
        <w:rPr>
          <w:lang w:val="en-US"/>
        </w:rPr>
        <w:t>the American Convention</w:t>
      </w:r>
      <w:r w:rsidR="00207197" w:rsidRPr="00FE50A6">
        <w:rPr>
          <w:lang w:val="en-US"/>
        </w:rPr>
        <w:t xml:space="preserve">, </w:t>
      </w:r>
      <w:r w:rsidRPr="00FE50A6">
        <w:rPr>
          <w:lang w:val="en-US"/>
        </w:rPr>
        <w:t xml:space="preserve">in light of the general rules of interpretation established in </w:t>
      </w:r>
      <w:r w:rsidR="000228D0" w:rsidRPr="00FE50A6">
        <w:rPr>
          <w:lang w:val="en-US"/>
        </w:rPr>
        <w:t>Article</w:t>
      </w:r>
      <w:r w:rsidR="00207197" w:rsidRPr="00FE50A6">
        <w:rPr>
          <w:lang w:val="en-US"/>
        </w:rPr>
        <w:t xml:space="preserve"> 29</w:t>
      </w:r>
      <w:r w:rsidR="000228D0" w:rsidRPr="00FE50A6">
        <w:rPr>
          <w:lang w:val="en-US"/>
        </w:rPr>
        <w:t xml:space="preserve"> of the Convention</w:t>
      </w:r>
      <w:r w:rsidRPr="00FE50A6">
        <w:rPr>
          <w:lang w:val="en-US"/>
        </w:rPr>
        <w:t>.</w:t>
      </w:r>
      <w:r w:rsidR="00732777" w:rsidRPr="00FE50A6">
        <w:rPr>
          <w:rStyle w:val="Refdenotaalpie"/>
          <w:lang w:val="en-US"/>
        </w:rPr>
        <w:footnoteReference w:id="355"/>
      </w:r>
      <w:r w:rsidR="00207197" w:rsidRPr="00FE50A6">
        <w:rPr>
          <w:lang w:val="en-US"/>
        </w:rPr>
        <w:t xml:space="preserve"> </w:t>
      </w:r>
    </w:p>
    <w:p w14:paraId="1E3726BE" w14:textId="77777777" w:rsidR="00207197" w:rsidRPr="00FE50A6" w:rsidRDefault="00207197" w:rsidP="00140440">
      <w:pPr>
        <w:jc w:val="both"/>
        <w:rPr>
          <w:lang w:val="en-US"/>
        </w:rPr>
      </w:pPr>
    </w:p>
    <w:p w14:paraId="44D61014" w14:textId="77777777" w:rsidR="00207197" w:rsidRPr="00FE50A6" w:rsidRDefault="00963689" w:rsidP="00F37DC4">
      <w:pPr>
        <w:pStyle w:val="Prrafodelista"/>
        <w:numPr>
          <w:ilvl w:val="0"/>
          <w:numId w:val="1"/>
        </w:numPr>
        <w:contextualSpacing w:val="0"/>
        <w:rPr>
          <w:lang w:val="en-US"/>
        </w:rPr>
      </w:pPr>
      <w:r w:rsidRPr="00FE50A6">
        <w:rPr>
          <w:lang w:val="en-US"/>
        </w:rPr>
        <w:t>On other occasions, both this Court</w:t>
      </w:r>
      <w:r w:rsidR="00207197" w:rsidRPr="00FE50A6">
        <w:rPr>
          <w:vertAlign w:val="superscript"/>
          <w:lang w:val="en-US"/>
        </w:rPr>
        <w:footnoteReference w:id="356"/>
      </w:r>
      <w:r w:rsidR="00207197" w:rsidRPr="00FE50A6">
        <w:rPr>
          <w:lang w:val="en-US"/>
        </w:rPr>
        <w:t xml:space="preserve"> </w:t>
      </w:r>
      <w:r w:rsidRPr="00FE50A6">
        <w:rPr>
          <w:lang w:val="en-US"/>
        </w:rPr>
        <w:t>and</w:t>
      </w:r>
      <w:r w:rsidR="00207197" w:rsidRPr="00FE50A6">
        <w:rPr>
          <w:lang w:val="en-US"/>
        </w:rPr>
        <w:t xml:space="preserve"> </w:t>
      </w:r>
      <w:r w:rsidR="002071B1" w:rsidRPr="00FE50A6">
        <w:rPr>
          <w:lang w:val="en-US"/>
        </w:rPr>
        <w:t xml:space="preserve">the </w:t>
      </w:r>
      <w:r w:rsidR="00B44229" w:rsidRPr="00FE50A6">
        <w:rPr>
          <w:lang w:val="en-US"/>
        </w:rPr>
        <w:t>European Court of Human Rights</w:t>
      </w:r>
      <w:r w:rsidR="00207197" w:rsidRPr="00FE50A6">
        <w:rPr>
          <w:vertAlign w:val="superscript"/>
          <w:lang w:val="en-US"/>
        </w:rPr>
        <w:footnoteReference w:id="357"/>
      </w:r>
      <w:r w:rsidR="00207197" w:rsidRPr="00FE50A6">
        <w:rPr>
          <w:lang w:val="en-US"/>
        </w:rPr>
        <w:t xml:space="preserve"> </w:t>
      </w:r>
      <w:r w:rsidR="00472939" w:rsidRPr="00FE50A6">
        <w:rPr>
          <w:lang w:val="en-US"/>
        </w:rPr>
        <w:t>(</w:t>
      </w:r>
      <w:r w:rsidR="000228D0" w:rsidRPr="00FE50A6">
        <w:rPr>
          <w:lang w:val="en-US"/>
        </w:rPr>
        <w:t>hereinafter</w:t>
      </w:r>
      <w:r w:rsidR="00472939" w:rsidRPr="00FE50A6">
        <w:rPr>
          <w:lang w:val="en-US"/>
        </w:rPr>
        <w:t xml:space="preserve"> </w:t>
      </w:r>
      <w:r w:rsidR="009C48A4" w:rsidRPr="00FE50A6">
        <w:rPr>
          <w:lang w:val="en-US"/>
        </w:rPr>
        <w:t>“</w:t>
      </w:r>
      <w:r w:rsidRPr="00FE50A6">
        <w:rPr>
          <w:lang w:val="en-US"/>
        </w:rPr>
        <w:t xml:space="preserve">the </w:t>
      </w:r>
      <w:r w:rsidR="00B44229" w:rsidRPr="00FE50A6">
        <w:rPr>
          <w:lang w:val="en-US"/>
        </w:rPr>
        <w:t>ECHR</w:t>
      </w:r>
      <w:r w:rsidR="009C48A4" w:rsidRPr="00FE50A6">
        <w:rPr>
          <w:lang w:val="en-US"/>
        </w:rPr>
        <w:t>”</w:t>
      </w:r>
      <w:r w:rsidR="00472939" w:rsidRPr="00FE50A6">
        <w:rPr>
          <w:lang w:val="en-US"/>
        </w:rPr>
        <w:t xml:space="preserve">) </w:t>
      </w:r>
      <w:r w:rsidR="00207197" w:rsidRPr="00FE50A6">
        <w:rPr>
          <w:lang w:val="en-US"/>
        </w:rPr>
        <w:t>ha</w:t>
      </w:r>
      <w:r w:rsidRPr="00FE50A6">
        <w:rPr>
          <w:lang w:val="en-US"/>
        </w:rPr>
        <w:t xml:space="preserve">ve indicated that human rights treaties are living instruments, the interpretation of which must evolve with the times and current living conditions. This evolutive interpretation is consequent with the general rules of interpretation </w:t>
      </w:r>
      <w:r w:rsidR="00BF659B" w:rsidRPr="00FE50A6">
        <w:rPr>
          <w:lang w:val="en-US"/>
        </w:rPr>
        <w:t>recognized</w:t>
      </w:r>
      <w:r w:rsidRPr="00FE50A6">
        <w:rPr>
          <w:lang w:val="en-US"/>
        </w:rPr>
        <w:t xml:space="preserve"> in </w:t>
      </w:r>
      <w:r w:rsidR="000228D0" w:rsidRPr="00FE50A6">
        <w:rPr>
          <w:lang w:val="en-US"/>
        </w:rPr>
        <w:t>Article</w:t>
      </w:r>
      <w:r w:rsidR="00207197" w:rsidRPr="00FE50A6">
        <w:rPr>
          <w:lang w:val="en-US"/>
        </w:rPr>
        <w:t xml:space="preserve"> 29</w:t>
      </w:r>
      <w:r w:rsidR="000228D0" w:rsidRPr="00FE50A6">
        <w:rPr>
          <w:lang w:val="en-US"/>
        </w:rPr>
        <w:t xml:space="preserve"> of the American Convention</w:t>
      </w:r>
      <w:r w:rsidR="00207197" w:rsidRPr="00FE50A6">
        <w:rPr>
          <w:lang w:val="en-US"/>
        </w:rPr>
        <w:t>, as</w:t>
      </w:r>
      <w:r w:rsidRPr="00FE50A6">
        <w:rPr>
          <w:lang w:val="en-US"/>
        </w:rPr>
        <w:t xml:space="preserve"> well as those established by </w:t>
      </w:r>
      <w:r w:rsidR="000228D0" w:rsidRPr="00FE50A6">
        <w:rPr>
          <w:lang w:val="en-US"/>
        </w:rPr>
        <w:t xml:space="preserve">the </w:t>
      </w:r>
      <w:r w:rsidRPr="00FE50A6">
        <w:rPr>
          <w:lang w:val="en-US"/>
        </w:rPr>
        <w:t>Vienna Convention</w:t>
      </w:r>
      <w:r w:rsidR="00207197" w:rsidRPr="00FE50A6">
        <w:rPr>
          <w:lang w:val="en-US"/>
        </w:rPr>
        <w:t xml:space="preserve"> </w:t>
      </w:r>
      <w:r w:rsidRPr="00FE50A6">
        <w:rPr>
          <w:lang w:val="en-US"/>
        </w:rPr>
        <w:t>on the Law of Treaties</w:t>
      </w:r>
      <w:r w:rsidR="00207197" w:rsidRPr="00FE50A6">
        <w:rPr>
          <w:lang w:val="en-US"/>
        </w:rPr>
        <w:t>.</w:t>
      </w:r>
    </w:p>
    <w:p w14:paraId="6333ACED" w14:textId="77777777" w:rsidR="00207197" w:rsidRPr="00FE50A6" w:rsidRDefault="00207197" w:rsidP="00140440">
      <w:pPr>
        <w:jc w:val="both"/>
        <w:rPr>
          <w:lang w:val="en-US"/>
        </w:rPr>
      </w:pPr>
    </w:p>
    <w:p w14:paraId="507DDBE2" w14:textId="77777777" w:rsidR="00207197" w:rsidRPr="00FE50A6" w:rsidRDefault="00963689" w:rsidP="00963689">
      <w:pPr>
        <w:pStyle w:val="Prrafodelista"/>
        <w:numPr>
          <w:ilvl w:val="0"/>
          <w:numId w:val="1"/>
        </w:numPr>
        <w:contextualSpacing w:val="0"/>
        <w:rPr>
          <w:lang w:val="en-US"/>
        </w:rPr>
      </w:pPr>
      <w:r w:rsidRPr="00FE50A6">
        <w:rPr>
          <w:lang w:val="en-US"/>
        </w:rPr>
        <w:t xml:space="preserve">In this regard, the Court has affirmed that, when interpreting a treaty, </w:t>
      </w:r>
      <w:r w:rsidR="007A74DC" w:rsidRPr="00FE50A6">
        <w:rPr>
          <w:lang w:val="en-US"/>
        </w:rPr>
        <w:t xml:space="preserve">not only should the agreements and instruments formally related to it be taken into account (second paragraph </w:t>
      </w:r>
      <w:r w:rsidR="00703850" w:rsidRPr="00FE50A6">
        <w:rPr>
          <w:lang w:val="en-US"/>
        </w:rPr>
        <w:t>of Article</w:t>
      </w:r>
      <w:r w:rsidR="00207197" w:rsidRPr="00FE50A6">
        <w:rPr>
          <w:lang w:val="en-US"/>
        </w:rPr>
        <w:t xml:space="preserve"> 31</w:t>
      </w:r>
      <w:r w:rsidR="000228D0" w:rsidRPr="00FE50A6">
        <w:rPr>
          <w:lang w:val="en-US"/>
        </w:rPr>
        <w:t xml:space="preserve"> of the </w:t>
      </w:r>
      <w:r w:rsidRPr="00FE50A6">
        <w:rPr>
          <w:lang w:val="en-US"/>
        </w:rPr>
        <w:t>Vienna Convention</w:t>
      </w:r>
      <w:r w:rsidR="00207197" w:rsidRPr="00FE50A6">
        <w:rPr>
          <w:lang w:val="en-US"/>
        </w:rPr>
        <w:t>),</w:t>
      </w:r>
      <w:r w:rsidR="007A74DC" w:rsidRPr="00FE50A6">
        <w:rPr>
          <w:lang w:val="en-US"/>
        </w:rPr>
        <w:t xml:space="preserve"> but also the system within which it is inserted </w:t>
      </w:r>
      <w:r w:rsidR="00207197" w:rsidRPr="00FE50A6">
        <w:rPr>
          <w:lang w:val="en-US"/>
        </w:rPr>
        <w:t>(</w:t>
      </w:r>
      <w:r w:rsidR="007A74DC" w:rsidRPr="00FE50A6">
        <w:rPr>
          <w:lang w:val="en-US"/>
        </w:rPr>
        <w:t>third paragraph</w:t>
      </w:r>
      <w:r w:rsidR="00207197" w:rsidRPr="00FE50A6">
        <w:rPr>
          <w:lang w:val="en-US"/>
        </w:rPr>
        <w:t xml:space="preserve"> </w:t>
      </w:r>
      <w:r w:rsidR="00703850" w:rsidRPr="00FE50A6">
        <w:rPr>
          <w:lang w:val="en-US"/>
        </w:rPr>
        <w:t>of Article</w:t>
      </w:r>
      <w:r w:rsidR="00207197" w:rsidRPr="00FE50A6">
        <w:rPr>
          <w:lang w:val="en-US"/>
        </w:rPr>
        <w:t xml:space="preserve"> 31 </w:t>
      </w:r>
      <w:r w:rsidR="007A74DC" w:rsidRPr="00FE50A6">
        <w:rPr>
          <w:lang w:val="en-US"/>
        </w:rPr>
        <w:t>of this</w:t>
      </w:r>
      <w:r w:rsidR="00207197" w:rsidRPr="00FE50A6">
        <w:rPr>
          <w:lang w:val="en-US"/>
        </w:rPr>
        <w:t xml:space="preserve"> Conven</w:t>
      </w:r>
      <w:r w:rsidR="007A74DC" w:rsidRPr="00FE50A6">
        <w:rPr>
          <w:lang w:val="en-US"/>
        </w:rPr>
        <w:t>tion</w:t>
      </w:r>
      <w:r w:rsidR="00207197" w:rsidRPr="00FE50A6">
        <w:rPr>
          <w:lang w:val="en-US"/>
        </w:rPr>
        <w:t>)</w:t>
      </w:r>
      <w:r w:rsidR="007A74DC" w:rsidRPr="00FE50A6">
        <w:rPr>
          <w:lang w:val="en-US"/>
        </w:rPr>
        <w:t>.</w:t>
      </w:r>
      <w:r w:rsidR="00207197" w:rsidRPr="00FE50A6">
        <w:rPr>
          <w:vertAlign w:val="superscript"/>
          <w:lang w:val="en-US"/>
        </w:rPr>
        <w:footnoteReference w:id="358"/>
      </w:r>
      <w:r w:rsidR="007A74DC" w:rsidRPr="00FE50A6">
        <w:rPr>
          <w:lang w:val="en-US"/>
        </w:rPr>
        <w:t xml:space="preserve"> Thus, in order to </w:t>
      </w:r>
      <w:r w:rsidR="00BF659B" w:rsidRPr="00FE50A6">
        <w:rPr>
          <w:lang w:val="en-US"/>
        </w:rPr>
        <w:t xml:space="preserve">issue </w:t>
      </w:r>
      <w:r w:rsidR="007A74DC" w:rsidRPr="00FE50A6">
        <w:rPr>
          <w:lang w:val="en-US"/>
        </w:rPr>
        <w:t>an opinion on the interpret</w:t>
      </w:r>
      <w:r w:rsidR="002577A8" w:rsidRPr="00FE50A6">
        <w:rPr>
          <w:lang w:val="en-US"/>
        </w:rPr>
        <w:t>a</w:t>
      </w:r>
      <w:r w:rsidR="007A74DC" w:rsidRPr="00FE50A6">
        <w:rPr>
          <w:lang w:val="en-US"/>
        </w:rPr>
        <w:t xml:space="preserve">tion of the legal provisions in question, the Court will have recourse to </w:t>
      </w:r>
      <w:r w:rsidR="000228D0" w:rsidRPr="00FE50A6">
        <w:rPr>
          <w:rFonts w:cs="Times"/>
          <w:lang w:val="en-US"/>
        </w:rPr>
        <w:t xml:space="preserve">the </w:t>
      </w:r>
      <w:r w:rsidRPr="00FE50A6">
        <w:rPr>
          <w:rFonts w:cs="Times"/>
          <w:lang w:val="en-US"/>
        </w:rPr>
        <w:t>Vienna Convention</w:t>
      </w:r>
      <w:r w:rsidR="00EF30D7" w:rsidRPr="00FE50A6">
        <w:rPr>
          <w:rFonts w:cs="Times"/>
          <w:lang w:val="en-US"/>
        </w:rPr>
        <w:t xml:space="preserve"> </w:t>
      </w:r>
      <w:r w:rsidR="007A74DC" w:rsidRPr="00FE50A6">
        <w:rPr>
          <w:lang w:val="en-US"/>
        </w:rPr>
        <w:t>on the Law of Treaties</w:t>
      </w:r>
      <w:r w:rsidR="00EF30D7" w:rsidRPr="00FE50A6">
        <w:rPr>
          <w:rFonts w:cs="Times"/>
          <w:lang w:val="en-US"/>
        </w:rPr>
        <w:t xml:space="preserve">, </w:t>
      </w:r>
      <w:r w:rsidR="007A74DC" w:rsidRPr="00FE50A6">
        <w:rPr>
          <w:rFonts w:cs="Times"/>
          <w:lang w:val="en-US"/>
        </w:rPr>
        <w:t>which establishes the general and customary rule</w:t>
      </w:r>
      <w:r w:rsidR="00BF659B" w:rsidRPr="00FE50A6">
        <w:rPr>
          <w:rFonts w:cs="Times"/>
          <w:lang w:val="en-US"/>
        </w:rPr>
        <w:t>s</w:t>
      </w:r>
      <w:r w:rsidR="007A74DC" w:rsidRPr="00FE50A6">
        <w:rPr>
          <w:rFonts w:cs="Times"/>
          <w:lang w:val="en-US"/>
        </w:rPr>
        <w:t xml:space="preserve"> for the interpretation of international treaties,</w:t>
      </w:r>
      <w:r w:rsidR="00EF30D7" w:rsidRPr="00FE50A6">
        <w:rPr>
          <w:rStyle w:val="Refdenotaalpie"/>
          <w:rFonts w:cs="Calibri"/>
          <w:lang w:val="en-US"/>
        </w:rPr>
        <w:footnoteReference w:id="359"/>
      </w:r>
      <w:r w:rsidR="007A74DC" w:rsidRPr="00FE50A6">
        <w:rPr>
          <w:rFonts w:cs="Calibri"/>
          <w:lang w:val="en-US"/>
        </w:rPr>
        <w:t xml:space="preserve"> which entails the simultaneous and joint application of good faith, the ordinary meaning to be given to the terms of the treaty in their context, and the object and purpose of the treaty</w:t>
      </w:r>
      <w:r w:rsidR="00EF30D7" w:rsidRPr="00FE50A6">
        <w:rPr>
          <w:rFonts w:cs="Calibri"/>
          <w:lang w:val="en-US"/>
        </w:rPr>
        <w:t xml:space="preserve">. </w:t>
      </w:r>
      <w:r w:rsidR="007A74DC" w:rsidRPr="00FE50A6">
        <w:rPr>
          <w:rFonts w:cs="Calibri"/>
          <w:lang w:val="en-US"/>
        </w:rPr>
        <w:t>Accordingly</w:t>
      </w:r>
      <w:r w:rsidR="00EF30D7" w:rsidRPr="00FE50A6">
        <w:rPr>
          <w:rFonts w:cs="Calibri"/>
          <w:lang w:val="en-US"/>
        </w:rPr>
        <w:t xml:space="preserve">, </w:t>
      </w:r>
      <w:r w:rsidR="000228D0" w:rsidRPr="00FE50A6">
        <w:rPr>
          <w:lang w:val="en-US"/>
        </w:rPr>
        <w:t>the Court</w:t>
      </w:r>
      <w:r w:rsidR="00EF30D7" w:rsidRPr="00FE50A6">
        <w:rPr>
          <w:lang w:val="en-US"/>
        </w:rPr>
        <w:t xml:space="preserve"> </w:t>
      </w:r>
      <w:r w:rsidR="007A74DC" w:rsidRPr="00FE50A6">
        <w:rPr>
          <w:lang w:val="en-US"/>
        </w:rPr>
        <w:t>will use the methods of interpretation stipulated in</w:t>
      </w:r>
      <w:r w:rsidR="00EF30D7" w:rsidRPr="00FE50A6">
        <w:rPr>
          <w:lang w:val="en-US"/>
        </w:rPr>
        <w:t xml:space="preserve"> </w:t>
      </w:r>
      <w:r w:rsidR="000228D0" w:rsidRPr="00FE50A6">
        <w:rPr>
          <w:lang w:val="en-US"/>
        </w:rPr>
        <w:t>Articles</w:t>
      </w:r>
      <w:r w:rsidR="00EF30D7" w:rsidRPr="00FE50A6">
        <w:rPr>
          <w:lang w:val="en-US"/>
        </w:rPr>
        <w:t xml:space="preserve"> 31</w:t>
      </w:r>
      <w:r w:rsidR="00EF30D7" w:rsidRPr="00FE50A6">
        <w:rPr>
          <w:rStyle w:val="Refdenotaalpie"/>
          <w:lang w:val="en-US"/>
        </w:rPr>
        <w:footnoteReference w:id="360"/>
      </w:r>
      <w:r w:rsidR="00030C17" w:rsidRPr="00FE50A6">
        <w:rPr>
          <w:lang w:val="en-US"/>
        </w:rPr>
        <w:t xml:space="preserve"> and </w:t>
      </w:r>
      <w:r w:rsidR="00EF30D7" w:rsidRPr="00FE50A6">
        <w:rPr>
          <w:lang w:val="en-US"/>
        </w:rPr>
        <w:t>32</w:t>
      </w:r>
      <w:r w:rsidR="00EF30D7" w:rsidRPr="00FE50A6">
        <w:rPr>
          <w:rStyle w:val="Refdenotaalpie"/>
          <w:lang w:val="en-US"/>
        </w:rPr>
        <w:footnoteReference w:id="361"/>
      </w:r>
      <w:r w:rsidR="000228D0" w:rsidRPr="00FE50A6">
        <w:rPr>
          <w:lang w:val="en-US"/>
        </w:rPr>
        <w:t xml:space="preserve"> of the </w:t>
      </w:r>
      <w:r w:rsidRPr="00FE50A6">
        <w:rPr>
          <w:lang w:val="en-US"/>
        </w:rPr>
        <w:t>Vienna Convention</w:t>
      </w:r>
      <w:r w:rsidR="00EF30D7" w:rsidRPr="00FE50A6">
        <w:rPr>
          <w:lang w:val="en-US"/>
        </w:rPr>
        <w:t xml:space="preserve"> </w:t>
      </w:r>
      <w:r w:rsidR="007A74DC" w:rsidRPr="00FE50A6">
        <w:rPr>
          <w:lang w:val="en-US"/>
        </w:rPr>
        <w:t>to make this interpretation.</w:t>
      </w:r>
      <w:r w:rsidR="00E65F7D" w:rsidRPr="00FE50A6">
        <w:rPr>
          <w:rStyle w:val="Refdenotaalpie"/>
          <w:lang w:val="en-US"/>
        </w:rPr>
        <w:footnoteReference w:id="362"/>
      </w:r>
    </w:p>
    <w:p w14:paraId="07695A80" w14:textId="77777777" w:rsidR="00207197" w:rsidRPr="00FE50A6" w:rsidRDefault="00207197" w:rsidP="00140440">
      <w:pPr>
        <w:jc w:val="both"/>
        <w:rPr>
          <w:lang w:val="en-US"/>
        </w:rPr>
      </w:pPr>
    </w:p>
    <w:p w14:paraId="6FC19B77" w14:textId="77777777" w:rsidR="00207197" w:rsidRPr="00FE50A6" w:rsidRDefault="007A74DC" w:rsidP="00F37DC4">
      <w:pPr>
        <w:pStyle w:val="Prrafodelista"/>
        <w:numPr>
          <w:ilvl w:val="0"/>
          <w:numId w:val="1"/>
        </w:numPr>
        <w:contextualSpacing w:val="0"/>
        <w:rPr>
          <w:lang w:val="en-US"/>
        </w:rPr>
      </w:pPr>
      <w:r w:rsidRPr="00FE50A6">
        <w:rPr>
          <w:lang w:val="en-US"/>
        </w:rPr>
        <w:t xml:space="preserve">In this case, when analyzing the scope of </w:t>
      </w:r>
      <w:r w:rsidR="00703850"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002071B1" w:rsidRPr="00FE50A6">
        <w:rPr>
          <w:lang w:val="en-US"/>
        </w:rPr>
        <w:t>the Court</w:t>
      </w:r>
      <w:r w:rsidR="00207197" w:rsidRPr="00FE50A6">
        <w:rPr>
          <w:lang w:val="en-US"/>
        </w:rPr>
        <w:t xml:space="preserve"> </w:t>
      </w:r>
      <w:r w:rsidR="00BF659B" w:rsidRPr="00FE50A6">
        <w:rPr>
          <w:lang w:val="en-US"/>
        </w:rPr>
        <w:t>has found</w:t>
      </w:r>
      <w:r w:rsidRPr="00FE50A6">
        <w:rPr>
          <w:lang w:val="en-US"/>
        </w:rPr>
        <w:t xml:space="preserve"> it useful and appropriate to use other international treaties</w:t>
      </w:r>
      <w:r w:rsidR="00BF659B" w:rsidRPr="00FE50A6">
        <w:rPr>
          <w:lang w:val="en-US"/>
        </w:rPr>
        <w:t>,</w:t>
      </w:r>
      <w:r w:rsidRPr="00FE50A6">
        <w:rPr>
          <w:lang w:val="en-US"/>
        </w:rPr>
        <w:t xml:space="preserve"> in addition to the Convention</w:t>
      </w:r>
      <w:r w:rsidR="00BF659B" w:rsidRPr="00FE50A6">
        <w:rPr>
          <w:lang w:val="en-US"/>
        </w:rPr>
        <w:t>,</w:t>
      </w:r>
      <w:r w:rsidRPr="00FE50A6">
        <w:rPr>
          <w:lang w:val="en-US"/>
        </w:rPr>
        <w:t xml:space="preserve"> to interpret </w:t>
      </w:r>
      <w:r w:rsidR="00BF659B" w:rsidRPr="00FE50A6">
        <w:rPr>
          <w:lang w:val="en-US"/>
        </w:rPr>
        <w:t>its</w:t>
      </w:r>
      <w:r w:rsidRPr="00FE50A6">
        <w:rPr>
          <w:lang w:val="en-US"/>
        </w:rPr>
        <w:t xml:space="preserve"> provisions in </w:t>
      </w:r>
      <w:r w:rsidR="00BF659B" w:rsidRPr="00FE50A6">
        <w:rPr>
          <w:lang w:val="en-US"/>
        </w:rPr>
        <w:t>keeping</w:t>
      </w:r>
      <w:r w:rsidRPr="00FE50A6">
        <w:rPr>
          <w:lang w:val="en-US"/>
        </w:rPr>
        <w:t xml:space="preserve"> with the evolution of the </w:t>
      </w:r>
      <w:r w:rsidR="0084006F" w:rsidRPr="00FE50A6">
        <w:rPr>
          <w:lang w:val="en-US"/>
        </w:rPr>
        <w:t>inter-American system</w:t>
      </w:r>
      <w:r w:rsidR="00207197" w:rsidRPr="00FE50A6">
        <w:rPr>
          <w:lang w:val="en-US"/>
        </w:rPr>
        <w:t xml:space="preserve">, </w:t>
      </w:r>
      <w:r w:rsidRPr="00FE50A6">
        <w:rPr>
          <w:lang w:val="en-US"/>
        </w:rPr>
        <w:t xml:space="preserve">taking into consideration the </w:t>
      </w:r>
      <w:r w:rsidR="00BF659B" w:rsidRPr="00FE50A6">
        <w:rPr>
          <w:lang w:val="en-US"/>
        </w:rPr>
        <w:t xml:space="preserve">corresponding </w:t>
      </w:r>
      <w:r w:rsidRPr="00FE50A6">
        <w:rPr>
          <w:lang w:val="en-US"/>
        </w:rPr>
        <w:t xml:space="preserve">evolution in the different branches of </w:t>
      </w:r>
      <w:r w:rsidR="00931A2D" w:rsidRPr="00FE50A6">
        <w:rPr>
          <w:lang w:val="en-US"/>
        </w:rPr>
        <w:t>international law</w:t>
      </w:r>
      <w:r w:rsidR="00207197" w:rsidRPr="00FE50A6">
        <w:rPr>
          <w:lang w:val="en-US"/>
        </w:rPr>
        <w:t>, particular</w:t>
      </w:r>
      <w:r w:rsidR="00BF659B" w:rsidRPr="00FE50A6">
        <w:rPr>
          <w:lang w:val="en-US"/>
        </w:rPr>
        <w:t>ly</w:t>
      </w:r>
      <w:r w:rsidR="00207197" w:rsidRPr="00FE50A6">
        <w:rPr>
          <w:lang w:val="en-US"/>
        </w:rPr>
        <w:t xml:space="preserve"> </w:t>
      </w:r>
      <w:r w:rsidR="00BC6362" w:rsidRPr="00FE50A6">
        <w:rPr>
          <w:lang w:val="en-US"/>
        </w:rPr>
        <w:t>international human rights law</w:t>
      </w:r>
      <w:r w:rsidRPr="00FE50A6">
        <w:rPr>
          <w:lang w:val="en-US"/>
        </w:rPr>
        <w:t>.</w:t>
      </w:r>
      <w:r w:rsidR="00207197" w:rsidRPr="00FE50A6">
        <w:rPr>
          <w:vertAlign w:val="superscript"/>
          <w:lang w:val="en-US"/>
        </w:rPr>
        <w:footnoteReference w:id="363"/>
      </w:r>
    </w:p>
    <w:p w14:paraId="7176228F" w14:textId="77777777" w:rsidR="00207197" w:rsidRPr="00FE50A6" w:rsidRDefault="00207197" w:rsidP="00140440">
      <w:pPr>
        <w:jc w:val="both"/>
        <w:rPr>
          <w:lang w:val="en-US"/>
        </w:rPr>
      </w:pPr>
    </w:p>
    <w:p w14:paraId="5C18AB61" w14:textId="77777777" w:rsidR="00207197" w:rsidRPr="00FE50A6" w:rsidRDefault="008B5D60" w:rsidP="008B5D60">
      <w:pPr>
        <w:pStyle w:val="Ttulo3"/>
        <w:rPr>
          <w:lang w:val="en-US"/>
        </w:rPr>
      </w:pPr>
      <w:bookmarkStart w:id="314" w:name="_Toc464813959"/>
      <w:r w:rsidRPr="00FE50A6">
        <w:rPr>
          <w:lang w:val="en-US"/>
        </w:rPr>
        <w:t>B.1</w:t>
      </w:r>
      <w:r w:rsidR="00DC2886" w:rsidRPr="00FE50A6">
        <w:rPr>
          <w:lang w:val="en-US"/>
        </w:rPr>
        <w:t>.</w:t>
      </w:r>
      <w:r w:rsidR="00207197" w:rsidRPr="00FE50A6">
        <w:rPr>
          <w:lang w:val="en-US"/>
        </w:rPr>
        <w:t xml:space="preserve"> </w:t>
      </w:r>
      <w:r w:rsidR="00693AB2" w:rsidRPr="00FE50A6">
        <w:rPr>
          <w:lang w:val="en-US"/>
        </w:rPr>
        <w:t>The evolution of the prohibition of slavery, servitude, forced labor</w:t>
      </w:r>
      <w:r w:rsidR="00030C17" w:rsidRPr="00FE50A6">
        <w:rPr>
          <w:lang w:val="en-US"/>
        </w:rPr>
        <w:t xml:space="preserve"> and </w:t>
      </w:r>
      <w:r w:rsidR="00693AB2" w:rsidRPr="00FE50A6">
        <w:rPr>
          <w:lang w:val="en-US"/>
        </w:rPr>
        <w:t>practices similar to slavery in</w:t>
      </w:r>
      <w:r w:rsidR="00207197" w:rsidRPr="00FE50A6">
        <w:rPr>
          <w:lang w:val="en-US"/>
        </w:rPr>
        <w:t xml:space="preserve"> </w:t>
      </w:r>
      <w:r w:rsidR="00931A2D" w:rsidRPr="00FE50A6">
        <w:rPr>
          <w:lang w:val="en-US"/>
        </w:rPr>
        <w:t>international law</w:t>
      </w:r>
      <w:bookmarkEnd w:id="314"/>
    </w:p>
    <w:p w14:paraId="39738394" w14:textId="77777777" w:rsidR="00207197" w:rsidRPr="00FE50A6" w:rsidRDefault="00207197" w:rsidP="00140440">
      <w:pPr>
        <w:jc w:val="both"/>
        <w:rPr>
          <w:lang w:val="en-US"/>
        </w:rPr>
      </w:pPr>
    </w:p>
    <w:p w14:paraId="1F8B885A" w14:textId="77777777" w:rsidR="00207197" w:rsidRPr="00FE50A6" w:rsidRDefault="002577A8" w:rsidP="00F37DC4">
      <w:pPr>
        <w:pStyle w:val="Prrafodelista"/>
        <w:numPr>
          <w:ilvl w:val="0"/>
          <w:numId w:val="1"/>
        </w:numPr>
        <w:contextualSpacing w:val="0"/>
        <w:rPr>
          <w:lang w:val="en-US"/>
        </w:rPr>
      </w:pPr>
      <w:r w:rsidRPr="00FE50A6">
        <w:rPr>
          <w:lang w:val="en-US"/>
        </w:rPr>
        <w:t xml:space="preserve">The universal elimination of the practice of </w:t>
      </w:r>
      <w:r w:rsidR="00D11A9F" w:rsidRPr="00FE50A6">
        <w:rPr>
          <w:lang w:val="en-US"/>
        </w:rPr>
        <w:t>slavery</w:t>
      </w:r>
      <w:r w:rsidR="00207197" w:rsidRPr="00FE50A6">
        <w:rPr>
          <w:lang w:val="en-US"/>
        </w:rPr>
        <w:t xml:space="preserve"> </w:t>
      </w:r>
      <w:r w:rsidRPr="00FE50A6">
        <w:rPr>
          <w:lang w:val="en-US"/>
        </w:rPr>
        <w:t xml:space="preserve">began in the eighteenth century, when several national courts declared this practice </w:t>
      </w:r>
      <w:r w:rsidR="00BF659B" w:rsidRPr="00FE50A6">
        <w:rPr>
          <w:lang w:val="en-US"/>
        </w:rPr>
        <w:t>in</w:t>
      </w:r>
      <w:r w:rsidRPr="00FE50A6">
        <w:rPr>
          <w:lang w:val="en-US"/>
        </w:rPr>
        <w:t>acceptable. Despite various bilateral and multilateral initiative</w:t>
      </w:r>
      <w:r w:rsidR="00BF659B" w:rsidRPr="00FE50A6">
        <w:rPr>
          <w:lang w:val="en-US"/>
        </w:rPr>
        <w:t>s</w:t>
      </w:r>
      <w:r w:rsidRPr="00FE50A6">
        <w:rPr>
          <w:lang w:val="en-US"/>
        </w:rPr>
        <w:t xml:space="preserve"> to prohibit slavery in the nineteenth century, the first universal treaty on the matter was </w:t>
      </w:r>
      <w:r w:rsidR="000228D0" w:rsidRPr="00FE50A6">
        <w:rPr>
          <w:lang w:val="en-US"/>
        </w:rPr>
        <w:t xml:space="preserve">the </w:t>
      </w:r>
      <w:r w:rsidRPr="00FE50A6">
        <w:rPr>
          <w:lang w:val="en-US"/>
        </w:rPr>
        <w:t xml:space="preserve">Slavery </w:t>
      </w:r>
      <w:r w:rsidR="000228D0" w:rsidRPr="00FE50A6">
        <w:rPr>
          <w:lang w:val="en-US"/>
        </w:rPr>
        <w:t>Conv</w:t>
      </w:r>
      <w:r w:rsidRPr="00FE50A6">
        <w:rPr>
          <w:lang w:val="en-US"/>
        </w:rPr>
        <w:t>ention</w:t>
      </w:r>
      <w:r w:rsidR="00207197" w:rsidRPr="00FE50A6">
        <w:rPr>
          <w:lang w:val="en-US"/>
        </w:rPr>
        <w:t xml:space="preserve"> </w:t>
      </w:r>
      <w:r w:rsidRPr="00FE50A6">
        <w:rPr>
          <w:lang w:val="en-US"/>
        </w:rPr>
        <w:t xml:space="preserve">signed at Geneva on </w:t>
      </w:r>
      <w:r w:rsidR="00703850" w:rsidRPr="00FE50A6">
        <w:rPr>
          <w:lang w:val="en-US"/>
        </w:rPr>
        <w:t>September 25,</w:t>
      </w:r>
      <w:r w:rsidR="00207197" w:rsidRPr="00FE50A6">
        <w:rPr>
          <w:lang w:val="en-US"/>
        </w:rPr>
        <w:t xml:space="preserve"> 1926, </w:t>
      </w:r>
      <w:r w:rsidRPr="00FE50A6">
        <w:rPr>
          <w:lang w:val="en-US"/>
        </w:rPr>
        <w:t>under the auspices of the League of Nations. The Convention stipulated that:</w:t>
      </w:r>
    </w:p>
    <w:p w14:paraId="46FAB864" w14:textId="77777777" w:rsidR="00207197" w:rsidRPr="00FE50A6" w:rsidRDefault="00207197" w:rsidP="00140440">
      <w:pPr>
        <w:jc w:val="both"/>
        <w:rPr>
          <w:lang w:val="en-US"/>
        </w:rPr>
      </w:pPr>
    </w:p>
    <w:p w14:paraId="1B80AA0C" w14:textId="77777777" w:rsidR="00207197" w:rsidRPr="00FE50A6" w:rsidRDefault="00D2546E" w:rsidP="00F37DC4">
      <w:pPr>
        <w:tabs>
          <w:tab w:val="clear" w:pos="4419"/>
          <w:tab w:val="clear" w:pos="8838"/>
          <w:tab w:val="center" w:pos="709"/>
        </w:tabs>
        <w:ind w:left="709" w:right="758"/>
        <w:jc w:val="both"/>
        <w:rPr>
          <w:sz w:val="16"/>
          <w:szCs w:val="16"/>
          <w:lang w:val="en-US"/>
        </w:rPr>
      </w:pPr>
      <w:r w:rsidRPr="00FE50A6">
        <w:rPr>
          <w:sz w:val="16"/>
          <w:szCs w:val="16"/>
          <w:lang w:val="en-US"/>
        </w:rPr>
        <w:t>Article</w:t>
      </w:r>
      <w:r w:rsidR="00207197" w:rsidRPr="00FE50A6">
        <w:rPr>
          <w:sz w:val="16"/>
          <w:szCs w:val="16"/>
          <w:lang w:val="en-US"/>
        </w:rPr>
        <w:t xml:space="preserve"> 1</w:t>
      </w:r>
    </w:p>
    <w:p w14:paraId="32086068"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For the purpose of the present Convention, the following definitions are agreed upon: </w:t>
      </w:r>
    </w:p>
    <w:p w14:paraId="06674BA7"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(1) Slavery is the status or condition of a person over whom any or all of the powers attaching to the right of ownership are exercised. </w:t>
      </w:r>
    </w:p>
    <w:p w14:paraId="43CDFF4A"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(2) The slave trade includes all acts involved in the capture, acquisition or disposal of a person with intent to reduce him to slavery; all acts involved in the acquisition of a slave with a view to selling or exchanging him; all acts of disposal by sale or exchange of a slave acquired with a view to being sold or exchanged, and, in general, every act of trade or transport in slaves. </w:t>
      </w:r>
    </w:p>
    <w:p w14:paraId="50C78782" w14:textId="77777777" w:rsidR="002577A8" w:rsidRPr="00FE50A6" w:rsidRDefault="002577A8" w:rsidP="002577A8">
      <w:pPr>
        <w:ind w:left="720" w:right="720"/>
        <w:jc w:val="both"/>
        <w:rPr>
          <w:rFonts w:cs="Arial"/>
          <w:sz w:val="16"/>
          <w:szCs w:val="16"/>
          <w:lang w:val="en-US"/>
        </w:rPr>
      </w:pPr>
    </w:p>
    <w:p w14:paraId="11A666F6"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Article 2 </w:t>
      </w:r>
    </w:p>
    <w:p w14:paraId="37C8B1F3"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The High Contracting Parties undertake, each in respect of the territories placed under its sovereignty, jurisdiction, protection, suzerainty or tutelage, so far as they have not already taken the necessary steps: </w:t>
      </w:r>
    </w:p>
    <w:p w14:paraId="295F952A"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 xml:space="preserve">(a) To prevent and suppress the slave trade; </w:t>
      </w:r>
    </w:p>
    <w:p w14:paraId="52EA3696" w14:textId="77777777" w:rsidR="002577A8" w:rsidRPr="00FE50A6" w:rsidRDefault="002577A8" w:rsidP="002577A8">
      <w:pPr>
        <w:ind w:left="720" w:right="720"/>
        <w:jc w:val="both"/>
        <w:rPr>
          <w:rFonts w:cs="Arial"/>
          <w:sz w:val="16"/>
          <w:szCs w:val="16"/>
          <w:lang w:val="en-US"/>
        </w:rPr>
      </w:pPr>
      <w:r w:rsidRPr="00FE50A6">
        <w:rPr>
          <w:rFonts w:cs="Arial"/>
          <w:sz w:val="16"/>
          <w:szCs w:val="16"/>
          <w:lang w:val="en-US"/>
        </w:rPr>
        <w:t>(b) To bring about, progressively and as soon as possible, the complete abolition of slavery in all its forms.</w:t>
      </w:r>
    </w:p>
    <w:p w14:paraId="7E3CF985" w14:textId="77777777" w:rsidR="00207197" w:rsidRPr="00FE50A6" w:rsidRDefault="00207197" w:rsidP="00140440">
      <w:pPr>
        <w:jc w:val="both"/>
        <w:rPr>
          <w:szCs w:val="20"/>
          <w:lang w:val="en-US"/>
        </w:rPr>
      </w:pPr>
    </w:p>
    <w:p w14:paraId="043D6C24" w14:textId="77777777" w:rsidR="00207197" w:rsidRPr="00FE50A6" w:rsidRDefault="002A125A" w:rsidP="00F37DC4">
      <w:pPr>
        <w:pStyle w:val="Prrafodelista"/>
        <w:numPr>
          <w:ilvl w:val="0"/>
          <w:numId w:val="1"/>
        </w:numPr>
        <w:contextualSpacing w:val="0"/>
        <w:rPr>
          <w:lang w:val="en-US"/>
        </w:rPr>
      </w:pPr>
      <w:r w:rsidRPr="00FE50A6">
        <w:rPr>
          <w:lang w:val="en-US"/>
        </w:rPr>
        <w:t xml:space="preserve">Since then, several international treaties have reiterated the </w:t>
      </w:r>
      <w:r w:rsidR="00E94340" w:rsidRPr="00FE50A6">
        <w:rPr>
          <w:lang w:val="en-US"/>
        </w:rPr>
        <w:t>prohibition of slavery</w:t>
      </w:r>
      <w:r w:rsidRPr="00FE50A6">
        <w:rPr>
          <w:lang w:val="en-US"/>
        </w:rPr>
        <w:t>,</w:t>
      </w:r>
      <w:r w:rsidR="00207197" w:rsidRPr="00FE50A6">
        <w:rPr>
          <w:rStyle w:val="Refdenotaalpie"/>
          <w:lang w:val="en-US"/>
        </w:rPr>
        <w:footnoteReference w:id="364"/>
      </w:r>
      <w:r w:rsidRPr="00FE50A6">
        <w:rPr>
          <w:lang w:val="en-US"/>
        </w:rPr>
        <w:t xml:space="preserve"> which is considered a peremptory rule of international</w:t>
      </w:r>
      <w:r w:rsidR="00931A2D" w:rsidRPr="00FE50A6">
        <w:rPr>
          <w:lang w:val="en-US"/>
        </w:rPr>
        <w:t xml:space="preserve"> law</w:t>
      </w:r>
      <w:r w:rsidR="00207197" w:rsidRPr="00FE50A6">
        <w:rPr>
          <w:lang w:val="en-US"/>
        </w:rPr>
        <w:t xml:space="preserve"> (</w:t>
      </w:r>
      <w:r w:rsidR="00207197" w:rsidRPr="00FE50A6">
        <w:rPr>
          <w:i/>
          <w:lang w:val="en-US"/>
        </w:rPr>
        <w:t>jus cogens</w:t>
      </w:r>
      <w:r w:rsidR="00207197" w:rsidRPr="00FE50A6">
        <w:rPr>
          <w:lang w:val="en-US"/>
        </w:rPr>
        <w:t>)</w:t>
      </w:r>
      <w:r w:rsidRPr="00FE50A6">
        <w:rPr>
          <w:lang w:val="en-US"/>
        </w:rPr>
        <w:t>,</w:t>
      </w:r>
      <w:r w:rsidR="00207197" w:rsidRPr="00FE50A6">
        <w:rPr>
          <w:rStyle w:val="Refdenotaalpie"/>
          <w:lang w:val="en-US"/>
        </w:rPr>
        <w:footnoteReference w:id="365"/>
      </w:r>
      <w:r w:rsidR="00030C17" w:rsidRPr="00FE50A6">
        <w:rPr>
          <w:lang w:val="en-US"/>
        </w:rPr>
        <w:t xml:space="preserve"> and </w:t>
      </w:r>
      <w:r w:rsidRPr="00FE50A6">
        <w:rPr>
          <w:lang w:val="en-US"/>
        </w:rPr>
        <w:t xml:space="preserve">entails obligations </w:t>
      </w:r>
      <w:r w:rsidR="00207197" w:rsidRPr="00FE50A6">
        <w:rPr>
          <w:i/>
          <w:lang w:val="en-US"/>
        </w:rPr>
        <w:t>erga omnes</w:t>
      </w:r>
      <w:r w:rsidR="00207197" w:rsidRPr="00FE50A6">
        <w:rPr>
          <w:lang w:val="en-US"/>
        </w:rPr>
        <w:t xml:space="preserve"> </w:t>
      </w:r>
      <w:r w:rsidRPr="00FE50A6">
        <w:rPr>
          <w:lang w:val="en-US"/>
        </w:rPr>
        <w:t>according to</w:t>
      </w:r>
      <w:r w:rsidR="00207197" w:rsidRPr="00FE50A6">
        <w:rPr>
          <w:lang w:val="en-US"/>
        </w:rPr>
        <w:t xml:space="preserve"> </w:t>
      </w:r>
      <w:r w:rsidR="000228D0" w:rsidRPr="00FE50A6">
        <w:rPr>
          <w:lang w:val="en-US"/>
        </w:rPr>
        <w:t xml:space="preserve">the </w:t>
      </w:r>
      <w:r w:rsidRPr="00FE50A6">
        <w:rPr>
          <w:lang w:val="en-US"/>
        </w:rPr>
        <w:t>International Court of Justice.</w:t>
      </w:r>
      <w:r w:rsidR="00207197" w:rsidRPr="00FE50A6">
        <w:rPr>
          <w:rStyle w:val="Refdenotaalpie"/>
          <w:lang w:val="en-US"/>
        </w:rPr>
        <w:footnoteReference w:id="366"/>
      </w:r>
      <w:r w:rsidRPr="00FE50A6">
        <w:rPr>
          <w:lang w:val="en-US"/>
        </w:rPr>
        <w:t xml:space="preserve"> In the instant case, all the parties have expressly recognized this international legal status of the </w:t>
      </w:r>
      <w:r w:rsidR="00207197" w:rsidRPr="00FE50A6">
        <w:rPr>
          <w:lang w:val="en-US"/>
        </w:rPr>
        <w:t xml:space="preserve"> </w:t>
      </w:r>
      <w:r w:rsidR="00E94340" w:rsidRPr="00FE50A6">
        <w:rPr>
          <w:lang w:val="en-US"/>
        </w:rPr>
        <w:t>prohibition of slavery</w:t>
      </w:r>
      <w:r w:rsidR="00207197" w:rsidRPr="00FE50A6">
        <w:rPr>
          <w:lang w:val="en-US"/>
        </w:rPr>
        <w:t>.</w:t>
      </w:r>
      <w:r w:rsidR="00BB4320" w:rsidRPr="00FE50A6">
        <w:rPr>
          <w:lang w:val="en-US"/>
        </w:rPr>
        <w:t xml:space="preserve"> </w:t>
      </w:r>
      <w:r w:rsidRPr="00FE50A6">
        <w:rPr>
          <w:lang w:val="en-US"/>
        </w:rPr>
        <w:t>In addition, both Brazil and most States in the region</w:t>
      </w:r>
      <w:r w:rsidR="00302931" w:rsidRPr="00FE50A6">
        <w:rPr>
          <w:rStyle w:val="Refdenotaalpie"/>
          <w:lang w:val="en-US"/>
        </w:rPr>
        <w:footnoteReference w:id="367"/>
      </w:r>
      <w:r w:rsidRPr="00FE50A6">
        <w:rPr>
          <w:lang w:val="en-US"/>
        </w:rPr>
        <w:t xml:space="preserve"> are parties to the 1926 Slavery Convention and the Supplementary</w:t>
      </w:r>
      <w:r w:rsidR="00BB4320" w:rsidRPr="00FE50A6">
        <w:rPr>
          <w:lang w:val="en-US"/>
        </w:rPr>
        <w:t xml:space="preserve"> </w:t>
      </w:r>
      <w:r w:rsidR="000228D0" w:rsidRPr="00FE50A6">
        <w:rPr>
          <w:lang w:val="en-US"/>
        </w:rPr>
        <w:t>Convention</w:t>
      </w:r>
      <w:r w:rsidR="00BB4320" w:rsidRPr="00FE50A6">
        <w:rPr>
          <w:lang w:val="en-US"/>
        </w:rPr>
        <w:t xml:space="preserve"> </w:t>
      </w:r>
      <w:r w:rsidRPr="00FE50A6">
        <w:rPr>
          <w:lang w:val="en-US"/>
        </w:rPr>
        <w:t xml:space="preserve">on the Abolition of Slavery of </w:t>
      </w:r>
      <w:r w:rsidR="00BB4320" w:rsidRPr="00FE50A6">
        <w:rPr>
          <w:lang w:val="en-US"/>
        </w:rPr>
        <w:t>1956.</w:t>
      </w:r>
    </w:p>
    <w:p w14:paraId="436A4844" w14:textId="77777777" w:rsidR="00207197" w:rsidRPr="00FE50A6" w:rsidRDefault="00207197" w:rsidP="00140440">
      <w:pPr>
        <w:jc w:val="both"/>
        <w:rPr>
          <w:lang w:val="en-US"/>
        </w:rPr>
      </w:pPr>
    </w:p>
    <w:p w14:paraId="5F633277" w14:textId="77777777" w:rsidR="00207197" w:rsidRPr="00FE50A6" w:rsidRDefault="000228D0" w:rsidP="00140440">
      <w:pPr>
        <w:pStyle w:val="Prrafodelista"/>
        <w:numPr>
          <w:ilvl w:val="0"/>
          <w:numId w:val="1"/>
        </w:numPr>
        <w:contextualSpacing w:val="0"/>
        <w:rPr>
          <w:lang w:val="en-US"/>
        </w:rPr>
      </w:pPr>
      <w:r w:rsidRPr="00FE50A6">
        <w:rPr>
          <w:lang w:val="en-US"/>
        </w:rPr>
        <w:t xml:space="preserve">The </w:t>
      </w:r>
      <w:r w:rsidR="002A125A" w:rsidRPr="00FE50A6">
        <w:rPr>
          <w:lang w:val="en-US"/>
        </w:rPr>
        <w:t>Supplementary Convention on the Abolition of Slavery of 1956,</w:t>
      </w:r>
      <w:r w:rsidR="00D15AA9" w:rsidRPr="00FE50A6">
        <w:rPr>
          <w:rStyle w:val="Refdenotaalpie"/>
          <w:lang w:val="en-US"/>
        </w:rPr>
        <w:footnoteReference w:id="368"/>
      </w:r>
      <w:r w:rsidR="002A125A" w:rsidRPr="00FE50A6">
        <w:rPr>
          <w:lang w:val="en-US"/>
        </w:rPr>
        <w:t xml:space="preserve"> expanded the definition of</w:t>
      </w:r>
      <w:r w:rsidR="00207197" w:rsidRPr="00FE50A6">
        <w:rPr>
          <w:lang w:val="en-US"/>
        </w:rPr>
        <w:t xml:space="preserve"> </w:t>
      </w:r>
      <w:r w:rsidR="00D11A9F" w:rsidRPr="00FE50A6">
        <w:rPr>
          <w:lang w:val="en-US"/>
        </w:rPr>
        <w:t>slavery</w:t>
      </w:r>
      <w:r w:rsidR="00207197" w:rsidRPr="00FE50A6">
        <w:rPr>
          <w:lang w:val="en-US"/>
        </w:rPr>
        <w:t xml:space="preserve"> </w:t>
      </w:r>
      <w:r w:rsidR="002A125A" w:rsidRPr="00FE50A6">
        <w:rPr>
          <w:lang w:val="en-US"/>
        </w:rPr>
        <w:t xml:space="preserve">by including </w:t>
      </w:r>
      <w:r w:rsidR="009C48A4" w:rsidRPr="00FE50A6">
        <w:rPr>
          <w:lang w:val="en-US"/>
        </w:rPr>
        <w:t>“</w:t>
      </w:r>
      <w:r w:rsidR="00207197" w:rsidRPr="00FE50A6">
        <w:rPr>
          <w:lang w:val="en-US"/>
        </w:rPr>
        <w:t>institu</w:t>
      </w:r>
      <w:r w:rsidR="002A125A" w:rsidRPr="00FE50A6">
        <w:rPr>
          <w:lang w:val="en-US"/>
        </w:rPr>
        <w:t xml:space="preserve">tions and practices similar </w:t>
      </w:r>
      <w:r w:rsidR="00FF2618" w:rsidRPr="00FE50A6">
        <w:rPr>
          <w:lang w:val="en-US"/>
        </w:rPr>
        <w:t xml:space="preserve">to </w:t>
      </w:r>
      <w:r w:rsidR="00D11A9F" w:rsidRPr="00FE50A6">
        <w:rPr>
          <w:lang w:val="en-US"/>
        </w:rPr>
        <w:t>slavery</w:t>
      </w:r>
      <w:r w:rsidR="009C48A4" w:rsidRPr="00FE50A6">
        <w:rPr>
          <w:lang w:val="en-US"/>
        </w:rPr>
        <w:t>”</w:t>
      </w:r>
      <w:r w:rsidR="002A125A" w:rsidRPr="00FE50A6">
        <w:rPr>
          <w:lang w:val="en-US"/>
        </w:rPr>
        <w:t xml:space="preserve"> such as </w:t>
      </w:r>
      <w:r w:rsidR="005F1946" w:rsidRPr="00FE50A6">
        <w:rPr>
          <w:lang w:val="en-US"/>
        </w:rPr>
        <w:t>debt bondage</w:t>
      </w:r>
      <w:r w:rsidR="00AE4701" w:rsidRPr="00FE50A6">
        <w:rPr>
          <w:lang w:val="en-US"/>
        </w:rPr>
        <w:t xml:space="preserve"> </w:t>
      </w:r>
      <w:r w:rsidR="00030C17" w:rsidRPr="00FE50A6">
        <w:rPr>
          <w:lang w:val="en-US"/>
        </w:rPr>
        <w:t xml:space="preserve">and </w:t>
      </w:r>
      <w:r w:rsidR="002A125A" w:rsidRPr="00FE50A6">
        <w:rPr>
          <w:lang w:val="en-US"/>
        </w:rPr>
        <w:t>serfdom, among others, within the absolute prohibition of slavery.</w:t>
      </w:r>
      <w:r w:rsidR="00207197" w:rsidRPr="00FE50A6">
        <w:rPr>
          <w:rStyle w:val="Refdenotaalpie"/>
          <w:lang w:val="en-US"/>
        </w:rPr>
        <w:footnoteReference w:id="369"/>
      </w:r>
    </w:p>
    <w:p w14:paraId="7B93F04B" w14:textId="77777777" w:rsidR="00207197" w:rsidRPr="00FE50A6" w:rsidRDefault="008232F3" w:rsidP="008232F3">
      <w:pPr>
        <w:pStyle w:val="Prrafodelista"/>
        <w:numPr>
          <w:ilvl w:val="0"/>
          <w:numId w:val="1"/>
        </w:numPr>
        <w:contextualSpacing w:val="0"/>
        <w:rPr>
          <w:lang w:val="en-US"/>
        </w:rPr>
      </w:pPr>
      <w:r w:rsidRPr="00FE50A6">
        <w:rPr>
          <w:lang w:val="en-US"/>
        </w:rPr>
        <w:t>In the sphere of</w:t>
      </w:r>
      <w:r w:rsidR="002A125A" w:rsidRPr="00FE50A6">
        <w:rPr>
          <w:lang w:val="en-US"/>
        </w:rPr>
        <w:t xml:space="preserve"> international</w:t>
      </w:r>
      <w:r w:rsidR="00BC6362" w:rsidRPr="00FE50A6">
        <w:rPr>
          <w:lang w:val="en-US"/>
        </w:rPr>
        <w:t xml:space="preserve"> human rights law</w:t>
      </w:r>
      <w:r w:rsidR="00207197" w:rsidRPr="00FE50A6">
        <w:rPr>
          <w:lang w:val="en-US"/>
        </w:rPr>
        <w:t xml:space="preserve">, </w:t>
      </w:r>
      <w:r w:rsidRPr="00FE50A6">
        <w:rPr>
          <w:lang w:val="en-US"/>
        </w:rPr>
        <w:t>Article 4 of the 1948 Universal Declaration of Human Rights establishes that “[n]o one shall be held in slavery or servitude” and that “slavery and the slave trade shall be prohibited in all their forms.</w:t>
      </w:r>
      <w:r w:rsidR="009C48A4" w:rsidRPr="00FE50A6">
        <w:rPr>
          <w:lang w:val="en-US"/>
        </w:rPr>
        <w:t>”</w:t>
      </w:r>
      <w:r w:rsidR="00207197" w:rsidRPr="00FE50A6">
        <w:rPr>
          <w:rStyle w:val="Refdenotaalpie"/>
          <w:lang w:val="en-US"/>
        </w:rPr>
        <w:footnoteReference w:id="370"/>
      </w:r>
      <w:r w:rsidRPr="00FE50A6">
        <w:rPr>
          <w:lang w:val="en-US"/>
        </w:rPr>
        <w:t xml:space="preserve"> Article 8(1) and 8(2) of the 1966</w:t>
      </w:r>
      <w:r w:rsidR="00207197" w:rsidRPr="00FE50A6">
        <w:rPr>
          <w:lang w:val="en-US"/>
        </w:rPr>
        <w:t xml:space="preserve"> </w:t>
      </w:r>
      <w:r w:rsidR="002A125A" w:rsidRPr="00FE50A6">
        <w:rPr>
          <w:lang w:val="en-US"/>
        </w:rPr>
        <w:t>International Covenant on Civil and Political Rights</w:t>
      </w:r>
      <w:r w:rsidRPr="00FE50A6">
        <w:rPr>
          <w:lang w:val="en-US"/>
        </w:rPr>
        <w:t xml:space="preserve"> stipulates that: “[n]</w:t>
      </w:r>
      <w:r w:rsidRPr="00FE50A6">
        <w:rPr>
          <w:rFonts w:cs="Arial"/>
          <w:lang w:val="en-US"/>
        </w:rPr>
        <w:t>o one shall be held in slavery,” that “slavery and the slave-trade in all their forms shall be prohibited,” and that “[n]o one shall be held in servitude</w:t>
      </w:r>
      <w:r w:rsidRPr="00FE50A6">
        <w:rPr>
          <w:lang w:val="en-US"/>
        </w:rPr>
        <w:t>.</w:t>
      </w:r>
      <w:r w:rsidR="009C48A4" w:rsidRPr="00FE50A6">
        <w:rPr>
          <w:lang w:val="en-US"/>
        </w:rPr>
        <w:t>”</w:t>
      </w:r>
      <w:r w:rsidR="00207197" w:rsidRPr="00FE50A6">
        <w:rPr>
          <w:rStyle w:val="Refdenotaalpie"/>
          <w:lang w:val="en-US"/>
        </w:rPr>
        <w:footnoteReference w:id="371"/>
      </w:r>
      <w:r w:rsidR="00207197" w:rsidRPr="00FE50A6">
        <w:rPr>
          <w:lang w:val="en-US"/>
        </w:rPr>
        <w:t xml:space="preserve"> </w:t>
      </w:r>
    </w:p>
    <w:p w14:paraId="7576711E" w14:textId="77777777" w:rsidR="00207197" w:rsidRPr="00FE50A6" w:rsidRDefault="00207197" w:rsidP="00140440">
      <w:pPr>
        <w:jc w:val="both"/>
        <w:rPr>
          <w:lang w:val="en-US"/>
        </w:rPr>
      </w:pPr>
    </w:p>
    <w:p w14:paraId="5BDE801C" w14:textId="77777777" w:rsidR="00207197" w:rsidRPr="00FE50A6" w:rsidRDefault="008232F3" w:rsidP="00F37DC4">
      <w:pPr>
        <w:pStyle w:val="Prrafodelista"/>
        <w:numPr>
          <w:ilvl w:val="0"/>
          <w:numId w:val="1"/>
        </w:numPr>
        <w:contextualSpacing w:val="0"/>
        <w:rPr>
          <w:lang w:val="en-US"/>
        </w:rPr>
      </w:pPr>
      <w:r w:rsidRPr="00FE50A6">
        <w:rPr>
          <w:lang w:val="en-US"/>
        </w:rPr>
        <w:t>At the regional level, Article 4 of the 1950</w:t>
      </w:r>
      <w:r w:rsidR="00207197" w:rsidRPr="00FE50A6">
        <w:rPr>
          <w:lang w:val="en-US"/>
        </w:rPr>
        <w:t xml:space="preserve"> </w:t>
      </w:r>
      <w:r w:rsidRPr="00FE50A6">
        <w:rPr>
          <w:lang w:val="en-US"/>
        </w:rPr>
        <w:t xml:space="preserve">European Convention on Human Rights establishes the </w:t>
      </w:r>
      <w:r w:rsidR="00E94340" w:rsidRPr="00FE50A6">
        <w:rPr>
          <w:lang w:val="en-US"/>
        </w:rPr>
        <w:t>prohibition of slavery</w:t>
      </w:r>
      <w:r w:rsidR="00207197" w:rsidRPr="00FE50A6">
        <w:rPr>
          <w:lang w:val="en-US"/>
        </w:rPr>
        <w:t xml:space="preserve">, </w:t>
      </w:r>
      <w:r w:rsidRPr="00FE50A6">
        <w:rPr>
          <w:lang w:val="en-US"/>
        </w:rPr>
        <w:t>servitude</w:t>
      </w:r>
      <w:r w:rsidR="00030C17" w:rsidRPr="00FE50A6">
        <w:rPr>
          <w:lang w:val="en-US"/>
        </w:rPr>
        <w:t xml:space="preserve"> and </w:t>
      </w:r>
      <w:r w:rsidR="005F1946" w:rsidRPr="00FE50A6">
        <w:rPr>
          <w:lang w:val="en-US"/>
        </w:rPr>
        <w:t>forced labor</w:t>
      </w:r>
      <w:r w:rsidR="00207197" w:rsidRPr="00FE50A6">
        <w:rPr>
          <w:lang w:val="en-US"/>
        </w:rPr>
        <w:t xml:space="preserve"> </w:t>
      </w:r>
      <w:r w:rsidRPr="00FE50A6">
        <w:rPr>
          <w:lang w:val="en-US"/>
        </w:rPr>
        <w:t>in general.</w:t>
      </w:r>
      <w:r w:rsidR="00207197" w:rsidRPr="00FE50A6">
        <w:rPr>
          <w:rStyle w:val="Refdenotaalpie"/>
          <w:lang w:val="en-US"/>
        </w:rPr>
        <w:footnoteReference w:id="372"/>
      </w:r>
      <w:r w:rsidRPr="00FE50A6">
        <w:rPr>
          <w:lang w:val="en-US"/>
        </w:rPr>
        <w:t xml:space="preserve"> Meanwhile, the 1981 African Charter on Human and Peoples’ Rights prohibits slavery together with other forms of exploitation and </w:t>
      </w:r>
      <w:r w:rsidRPr="00FE50A6">
        <w:rPr>
          <w:szCs w:val="20"/>
          <w:lang w:val="en-US"/>
        </w:rPr>
        <w:t xml:space="preserve">degradation of man, such as the slave trade, torture, cruel, inhuman or degrading punishment and treatment </w:t>
      </w:r>
      <w:r w:rsidR="00150ECA" w:rsidRPr="00FE50A6">
        <w:rPr>
          <w:szCs w:val="20"/>
          <w:lang w:val="en-US"/>
        </w:rPr>
        <w:t>.</w:t>
      </w:r>
      <w:r w:rsidR="00207197" w:rsidRPr="00FE50A6">
        <w:rPr>
          <w:rStyle w:val="Refdenotaalpie"/>
          <w:lang w:val="en-US"/>
        </w:rPr>
        <w:footnoteReference w:id="373"/>
      </w:r>
      <w:r w:rsidR="00207197" w:rsidRPr="00FE50A6">
        <w:rPr>
          <w:lang w:val="en-US"/>
        </w:rPr>
        <w:t xml:space="preserve"> </w:t>
      </w:r>
    </w:p>
    <w:p w14:paraId="01E5A7E3" w14:textId="77777777" w:rsidR="00207197" w:rsidRPr="00FE50A6" w:rsidRDefault="00207197" w:rsidP="00140440">
      <w:pPr>
        <w:jc w:val="both"/>
        <w:rPr>
          <w:lang w:val="en-US"/>
        </w:rPr>
      </w:pPr>
    </w:p>
    <w:p w14:paraId="626670A7" w14:textId="77777777" w:rsidR="00207197" w:rsidRPr="00FE50A6" w:rsidRDefault="00150ECA" w:rsidP="00150ECA">
      <w:pPr>
        <w:pStyle w:val="Prrafodelista"/>
        <w:numPr>
          <w:ilvl w:val="0"/>
          <w:numId w:val="1"/>
        </w:numPr>
        <w:contextualSpacing w:val="0"/>
        <w:rPr>
          <w:lang w:val="en-US"/>
        </w:rPr>
      </w:pPr>
      <w:r w:rsidRPr="00FE50A6">
        <w:rPr>
          <w:lang w:val="en-US"/>
        </w:rPr>
        <w:t>The</w:t>
      </w:r>
      <w:r w:rsidR="00207197" w:rsidRPr="00FE50A6">
        <w:rPr>
          <w:lang w:val="en-US"/>
        </w:rPr>
        <w:t xml:space="preserve"> </w:t>
      </w:r>
      <w:r w:rsidR="002A125A" w:rsidRPr="00FE50A6">
        <w:rPr>
          <w:lang w:val="en-US"/>
        </w:rPr>
        <w:t>International Labour Organization</w:t>
      </w:r>
      <w:r w:rsidR="00207197" w:rsidRPr="00FE50A6">
        <w:rPr>
          <w:lang w:val="en-US"/>
        </w:rPr>
        <w:t xml:space="preserve"> </w:t>
      </w:r>
      <w:r w:rsidR="00155B0D" w:rsidRPr="00FE50A6">
        <w:rPr>
          <w:lang w:val="en-US"/>
        </w:rPr>
        <w:t>(</w:t>
      </w:r>
      <w:r w:rsidR="0081756E" w:rsidRPr="00FE50A6">
        <w:rPr>
          <w:lang w:val="en-US"/>
        </w:rPr>
        <w:t>ILO</w:t>
      </w:r>
      <w:r w:rsidR="00155B0D" w:rsidRPr="00FE50A6">
        <w:rPr>
          <w:lang w:val="en-US"/>
        </w:rPr>
        <w:t xml:space="preserve">) </w:t>
      </w:r>
      <w:r w:rsidRPr="00FE50A6">
        <w:rPr>
          <w:lang w:val="en-US"/>
        </w:rPr>
        <w:t xml:space="preserve">also refers to the </w:t>
      </w:r>
      <w:r w:rsidR="00E94340" w:rsidRPr="00FE50A6">
        <w:rPr>
          <w:lang w:val="en-US"/>
        </w:rPr>
        <w:t>prohibition of slavery</w:t>
      </w:r>
      <w:r w:rsidR="00030C17" w:rsidRPr="00FE50A6">
        <w:rPr>
          <w:lang w:val="en-US"/>
        </w:rPr>
        <w:t xml:space="preserve"> and </w:t>
      </w:r>
      <w:r w:rsidRPr="00FE50A6">
        <w:rPr>
          <w:lang w:val="en-US"/>
        </w:rPr>
        <w:t xml:space="preserve">similar practices in its </w:t>
      </w:r>
      <w:r w:rsidR="002A125A" w:rsidRPr="00FE50A6">
        <w:rPr>
          <w:lang w:val="en-US"/>
        </w:rPr>
        <w:t>Convention No. 182</w:t>
      </w:r>
      <w:r w:rsidRPr="00FE50A6">
        <w:rPr>
          <w:lang w:val="en-US"/>
        </w:rPr>
        <w:t xml:space="preserve"> </w:t>
      </w:r>
      <w:r w:rsidRPr="00FE50A6">
        <w:rPr>
          <w:szCs w:val="20"/>
          <w:lang w:val="en-US"/>
        </w:rPr>
        <w:t>of</w:t>
      </w:r>
      <w:r w:rsidR="00207197" w:rsidRPr="00FE50A6">
        <w:rPr>
          <w:szCs w:val="20"/>
          <w:lang w:val="en-US"/>
        </w:rPr>
        <w:t xml:space="preserve"> 1999, </w:t>
      </w:r>
      <w:r w:rsidRPr="00FE50A6">
        <w:rPr>
          <w:szCs w:val="20"/>
          <w:lang w:val="en-US"/>
        </w:rPr>
        <w:t>concerning the Prohibition and Immediate Action for the Elimination of the Worst Forms of Child Labour.</w:t>
      </w:r>
      <w:r w:rsidR="00207197" w:rsidRPr="00FE50A6">
        <w:rPr>
          <w:rStyle w:val="Refdenotaalpie"/>
          <w:lang w:val="en-US"/>
        </w:rPr>
        <w:footnoteReference w:id="374"/>
      </w:r>
      <w:r w:rsidRPr="00FE50A6">
        <w:rPr>
          <w:lang w:val="en-US"/>
        </w:rPr>
        <w:t xml:space="preserve"> The ILO also refers expressly to the Supplementary Convention of 1956 when considering that “all necessary measures shall be taken to prevent compulsory or forced labour from developing into conditions analogous to slavery.”</w:t>
      </w:r>
      <w:r w:rsidR="00A87AF5" w:rsidRPr="00FE50A6">
        <w:rPr>
          <w:rStyle w:val="Refdenotaalpie"/>
          <w:lang w:val="en-US"/>
        </w:rPr>
        <w:footnoteReference w:id="375"/>
      </w:r>
    </w:p>
    <w:p w14:paraId="0EFC9190" w14:textId="77777777" w:rsidR="00207197" w:rsidRPr="00FE50A6" w:rsidRDefault="00207197" w:rsidP="00140440">
      <w:pPr>
        <w:jc w:val="both"/>
        <w:rPr>
          <w:lang w:val="en-US"/>
        </w:rPr>
      </w:pPr>
    </w:p>
    <w:p w14:paraId="0A68F218" w14:textId="77777777" w:rsidR="00207197" w:rsidRPr="00FE50A6" w:rsidRDefault="004D0663" w:rsidP="00F37DC4">
      <w:pPr>
        <w:pStyle w:val="Prrafodelista"/>
        <w:numPr>
          <w:ilvl w:val="0"/>
          <w:numId w:val="1"/>
        </w:numPr>
        <w:contextualSpacing w:val="0"/>
        <w:rPr>
          <w:lang w:val="en-US"/>
        </w:rPr>
      </w:pPr>
      <w:r w:rsidRPr="00FE50A6">
        <w:rPr>
          <w:lang w:val="en-US"/>
        </w:rPr>
        <w:t xml:space="preserve">In addition to the regional and universal treaties mentioned above, other relevant legal documents from different branches of </w:t>
      </w:r>
      <w:r w:rsidR="002A125A" w:rsidRPr="00FE50A6">
        <w:rPr>
          <w:lang w:val="en-US"/>
        </w:rPr>
        <w:t>international</w:t>
      </w:r>
      <w:r w:rsidR="00931A2D" w:rsidRPr="00FE50A6">
        <w:rPr>
          <w:lang w:val="en-US"/>
        </w:rPr>
        <w:t xml:space="preserve"> law</w:t>
      </w:r>
      <w:r w:rsidR="00FD1A90" w:rsidRPr="00FE50A6">
        <w:rPr>
          <w:lang w:val="en-US"/>
        </w:rPr>
        <w:t xml:space="preserve"> </w:t>
      </w:r>
      <w:r w:rsidRPr="00FE50A6">
        <w:rPr>
          <w:lang w:val="en-US"/>
        </w:rPr>
        <w:t>reflect the</w:t>
      </w:r>
      <w:r w:rsidR="00207197" w:rsidRPr="00FE50A6">
        <w:rPr>
          <w:lang w:val="en-US"/>
        </w:rPr>
        <w:t xml:space="preserve"> </w:t>
      </w:r>
      <w:r w:rsidR="00E94340" w:rsidRPr="00FE50A6">
        <w:rPr>
          <w:lang w:val="en-US"/>
        </w:rPr>
        <w:t>prohibition of slavery</w:t>
      </w:r>
      <w:r w:rsidR="00030C17" w:rsidRPr="00FE50A6">
        <w:rPr>
          <w:lang w:val="en-US"/>
        </w:rPr>
        <w:t xml:space="preserve"> and </w:t>
      </w:r>
      <w:r w:rsidRPr="00FE50A6">
        <w:rPr>
          <w:lang w:val="en-US"/>
        </w:rPr>
        <w:t>similar practices</w:t>
      </w:r>
      <w:r w:rsidR="00207197" w:rsidRPr="00FE50A6">
        <w:rPr>
          <w:lang w:val="en-US"/>
        </w:rPr>
        <w:t xml:space="preserve">. </w:t>
      </w:r>
      <w:r w:rsidR="007D79EE" w:rsidRPr="00FE50A6">
        <w:rPr>
          <w:lang w:val="en-US"/>
        </w:rPr>
        <w:t>In the case of</w:t>
      </w:r>
      <w:r w:rsidRPr="00FE50A6">
        <w:rPr>
          <w:lang w:val="en-US"/>
        </w:rPr>
        <w:t xml:space="preserve"> the post-war international tribunals</w:t>
      </w:r>
      <w:r w:rsidR="00207197" w:rsidRPr="00FE50A6">
        <w:rPr>
          <w:lang w:val="en-US"/>
        </w:rPr>
        <w:t xml:space="preserve">, </w:t>
      </w:r>
      <w:r w:rsidRPr="00FE50A6">
        <w:rPr>
          <w:lang w:val="en-US"/>
        </w:rPr>
        <w:t>the Charter</w:t>
      </w:r>
      <w:r w:rsidR="007D79EE" w:rsidRPr="00FE50A6">
        <w:rPr>
          <w:lang w:val="en-US"/>
        </w:rPr>
        <w:t>s</w:t>
      </w:r>
      <w:r w:rsidRPr="00FE50A6">
        <w:rPr>
          <w:lang w:val="en-US"/>
        </w:rPr>
        <w:t xml:space="preserve"> of the 1945 International Military Tribunal of </w:t>
      </w:r>
      <w:r w:rsidR="00207197" w:rsidRPr="00FE50A6">
        <w:rPr>
          <w:lang w:val="en-US"/>
        </w:rPr>
        <w:t>N</w:t>
      </w:r>
      <w:r w:rsidRPr="00FE50A6">
        <w:rPr>
          <w:lang w:val="en-US"/>
        </w:rPr>
        <w:t>u</w:t>
      </w:r>
      <w:r w:rsidR="00207197" w:rsidRPr="00FE50A6">
        <w:rPr>
          <w:lang w:val="en-US"/>
        </w:rPr>
        <w:t>remberg,</w:t>
      </w:r>
      <w:r w:rsidR="00207197" w:rsidRPr="00FE50A6">
        <w:rPr>
          <w:rStyle w:val="Refdenotaalpie"/>
          <w:lang w:val="en-US"/>
        </w:rPr>
        <w:footnoteReference w:id="376"/>
      </w:r>
      <w:r w:rsidR="00030C17" w:rsidRPr="00FE50A6">
        <w:rPr>
          <w:lang w:val="en-US"/>
        </w:rPr>
        <w:t xml:space="preserve"> and</w:t>
      </w:r>
      <w:r w:rsidR="007571DF" w:rsidRPr="00FE50A6">
        <w:rPr>
          <w:lang w:val="en-US"/>
        </w:rPr>
        <w:t xml:space="preserve"> of the </w:t>
      </w:r>
      <w:r w:rsidRPr="00FE50A6">
        <w:rPr>
          <w:lang w:val="en-US"/>
        </w:rPr>
        <w:t>1946 International Military Tribunal of Tokyo</w:t>
      </w:r>
      <w:r w:rsidR="00207197" w:rsidRPr="00FE50A6">
        <w:rPr>
          <w:rStyle w:val="Refdenotaalpie"/>
          <w:lang w:val="en-US"/>
        </w:rPr>
        <w:footnoteReference w:id="377"/>
      </w:r>
      <w:r w:rsidR="00207197" w:rsidRPr="00FE50A6">
        <w:rPr>
          <w:lang w:val="en-US"/>
        </w:rPr>
        <w:t xml:space="preserve"> proh</w:t>
      </w:r>
      <w:r w:rsidRPr="00FE50A6">
        <w:rPr>
          <w:lang w:val="en-US"/>
        </w:rPr>
        <w:t xml:space="preserve">ibit </w:t>
      </w:r>
      <w:r w:rsidR="00D11A9F" w:rsidRPr="00FE50A6">
        <w:rPr>
          <w:lang w:val="en-US"/>
        </w:rPr>
        <w:t>slavery</w:t>
      </w:r>
      <w:r w:rsidR="00207197" w:rsidRPr="00FE50A6">
        <w:rPr>
          <w:lang w:val="en-US"/>
        </w:rPr>
        <w:t xml:space="preserve"> </w:t>
      </w:r>
      <w:r w:rsidRPr="00FE50A6">
        <w:rPr>
          <w:lang w:val="en-US"/>
        </w:rPr>
        <w:t>as a crime against humanity</w:t>
      </w:r>
      <w:r w:rsidR="00207197" w:rsidRPr="00FE50A6">
        <w:rPr>
          <w:lang w:val="en-US"/>
        </w:rPr>
        <w:t>.</w:t>
      </w:r>
    </w:p>
    <w:p w14:paraId="771C3FB5" w14:textId="77777777" w:rsidR="00207197" w:rsidRPr="00FE50A6" w:rsidRDefault="00207197" w:rsidP="00140440">
      <w:pPr>
        <w:jc w:val="both"/>
        <w:rPr>
          <w:lang w:val="en-US"/>
        </w:rPr>
      </w:pPr>
    </w:p>
    <w:p w14:paraId="11C4FD6A" w14:textId="77777777" w:rsidR="00207197" w:rsidRPr="00FE50A6" w:rsidRDefault="004D0663" w:rsidP="00F37DC4">
      <w:pPr>
        <w:pStyle w:val="Prrafodelista"/>
        <w:numPr>
          <w:ilvl w:val="0"/>
          <w:numId w:val="1"/>
        </w:numPr>
        <w:contextualSpacing w:val="0"/>
        <w:rPr>
          <w:lang w:val="en-US"/>
        </w:rPr>
      </w:pPr>
      <w:r w:rsidRPr="00FE50A6">
        <w:rPr>
          <w:lang w:val="en-US"/>
        </w:rPr>
        <w:t>Also, in the sphere of international humanitarian law</w:t>
      </w:r>
      <w:r w:rsidR="00207197" w:rsidRPr="00FE50A6">
        <w:rPr>
          <w:lang w:val="en-US"/>
        </w:rPr>
        <w:t>, Protocol</w:t>
      </w:r>
      <w:r w:rsidRPr="00FE50A6">
        <w:rPr>
          <w:lang w:val="en-US"/>
        </w:rPr>
        <w:t xml:space="preserve"> II</w:t>
      </w:r>
      <w:r w:rsidR="00207197" w:rsidRPr="00FE50A6">
        <w:rPr>
          <w:lang w:val="en-US"/>
        </w:rPr>
        <w:t xml:space="preserve"> Ad</w:t>
      </w:r>
      <w:r w:rsidRPr="00FE50A6">
        <w:rPr>
          <w:lang w:val="en-US"/>
        </w:rPr>
        <w:t>ditional to the Geneva Conventions declares the prohibition “at any time and in any place whatsoever” of</w:t>
      </w:r>
      <w:r w:rsidR="00207197" w:rsidRPr="00FE50A6">
        <w:rPr>
          <w:lang w:val="en-US"/>
        </w:rPr>
        <w:t xml:space="preserve"> </w:t>
      </w:r>
      <w:r w:rsidR="009C48A4" w:rsidRPr="00FE50A6">
        <w:rPr>
          <w:lang w:val="en-US"/>
        </w:rPr>
        <w:t>“</w:t>
      </w:r>
      <w:r w:rsidR="0064266E" w:rsidRPr="00FE50A6">
        <w:rPr>
          <w:lang w:val="en-US"/>
        </w:rPr>
        <w:t>s</w:t>
      </w:r>
      <w:r w:rsidRPr="00FE50A6">
        <w:rPr>
          <w:lang w:val="en-US"/>
        </w:rPr>
        <w:t>lavery and the slave trade in all their forms.</w:t>
      </w:r>
      <w:r w:rsidR="009C48A4" w:rsidRPr="00FE50A6">
        <w:rPr>
          <w:lang w:val="en-US"/>
        </w:rPr>
        <w:t>”</w:t>
      </w:r>
      <w:r w:rsidR="00207197" w:rsidRPr="00FE50A6">
        <w:rPr>
          <w:rStyle w:val="Refdenotaalpie"/>
          <w:lang w:val="en-US"/>
        </w:rPr>
        <w:footnoteReference w:id="378"/>
      </w:r>
      <w:r w:rsidR="00207197" w:rsidRPr="00FE50A6">
        <w:rPr>
          <w:lang w:val="en-US"/>
        </w:rPr>
        <w:t xml:space="preserve"> </w:t>
      </w:r>
    </w:p>
    <w:p w14:paraId="4D3A8C52" w14:textId="77777777" w:rsidR="00207197" w:rsidRPr="00FE50A6" w:rsidRDefault="00207197" w:rsidP="00140440">
      <w:pPr>
        <w:jc w:val="both"/>
        <w:rPr>
          <w:lang w:val="en-US"/>
        </w:rPr>
      </w:pPr>
    </w:p>
    <w:p w14:paraId="5A260433" w14:textId="77777777" w:rsidR="00207197" w:rsidRPr="00FE50A6" w:rsidRDefault="004D0663" w:rsidP="003372C9">
      <w:pPr>
        <w:pStyle w:val="Prrafodelista"/>
        <w:numPr>
          <w:ilvl w:val="0"/>
          <w:numId w:val="1"/>
        </w:numPr>
        <w:contextualSpacing w:val="0"/>
        <w:rPr>
          <w:lang w:val="en-US"/>
        </w:rPr>
      </w:pPr>
      <w:r w:rsidRPr="00FE50A6">
        <w:rPr>
          <w:lang w:val="en-US"/>
        </w:rPr>
        <w:t xml:space="preserve">Slavery has also been included as a crime against humanity over which the international criminal courts have jurisdiction. Thus, the Statute of the </w:t>
      </w:r>
      <w:r w:rsidR="006417F7" w:rsidRPr="00FE50A6">
        <w:rPr>
          <w:i/>
          <w:lang w:val="en-US"/>
        </w:rPr>
        <w:t>Ad hoc</w:t>
      </w:r>
      <w:r w:rsidR="006417F7" w:rsidRPr="00FE50A6">
        <w:rPr>
          <w:lang w:val="en-US"/>
        </w:rPr>
        <w:t xml:space="preserve"> </w:t>
      </w:r>
      <w:r w:rsidRPr="00FE50A6">
        <w:rPr>
          <w:lang w:val="en-US"/>
        </w:rPr>
        <w:t xml:space="preserve">International </w:t>
      </w:r>
      <w:r w:rsidR="003372C9" w:rsidRPr="00FE50A6">
        <w:rPr>
          <w:lang w:val="en-US"/>
        </w:rPr>
        <w:t xml:space="preserve">Criminal Tribunal for the prosecution of persons responsible for serious violations of </w:t>
      </w:r>
      <w:r w:rsidRPr="00FE50A6">
        <w:rPr>
          <w:lang w:val="en-US"/>
        </w:rPr>
        <w:t xml:space="preserve">international </w:t>
      </w:r>
      <w:r w:rsidR="003372C9" w:rsidRPr="00FE50A6">
        <w:rPr>
          <w:lang w:val="en-US"/>
        </w:rPr>
        <w:t>humanitarian</w:t>
      </w:r>
      <w:r w:rsidRPr="00FE50A6">
        <w:rPr>
          <w:lang w:val="en-US"/>
        </w:rPr>
        <w:t xml:space="preserve"> law</w:t>
      </w:r>
      <w:r w:rsidR="003372C9" w:rsidRPr="00FE50A6">
        <w:rPr>
          <w:lang w:val="en-US"/>
        </w:rPr>
        <w:t xml:space="preserve"> committed in the territory of the Former Yugoslavia since 1991</w:t>
      </w:r>
      <w:r w:rsidR="00207197" w:rsidRPr="00FE50A6">
        <w:rPr>
          <w:lang w:val="en-US"/>
        </w:rPr>
        <w:t xml:space="preserve"> (</w:t>
      </w:r>
      <w:r w:rsidR="000228D0" w:rsidRPr="00FE50A6">
        <w:rPr>
          <w:lang w:val="en-US"/>
        </w:rPr>
        <w:t>hereinafter</w:t>
      </w:r>
      <w:r w:rsidR="00207197" w:rsidRPr="00FE50A6">
        <w:rPr>
          <w:lang w:val="en-US"/>
        </w:rPr>
        <w:t xml:space="preserve"> </w:t>
      </w:r>
      <w:r w:rsidR="009C48A4" w:rsidRPr="00FE50A6">
        <w:rPr>
          <w:lang w:val="en-US"/>
        </w:rPr>
        <w:t>“</w:t>
      </w:r>
      <w:r w:rsidRPr="00FE50A6">
        <w:rPr>
          <w:lang w:val="en-US"/>
        </w:rPr>
        <w:t>th</w:t>
      </w:r>
      <w:r w:rsidR="003372C9" w:rsidRPr="00FE50A6">
        <w:rPr>
          <w:lang w:val="en-US"/>
        </w:rPr>
        <w:t>e</w:t>
      </w:r>
      <w:r w:rsidRPr="00FE50A6">
        <w:rPr>
          <w:lang w:val="en-US"/>
        </w:rPr>
        <w:t xml:space="preserve"> </w:t>
      </w:r>
      <w:r w:rsidR="006417F7" w:rsidRPr="00FE50A6">
        <w:rPr>
          <w:i/>
          <w:lang w:val="en-US"/>
        </w:rPr>
        <w:t>Ad hoc</w:t>
      </w:r>
      <w:r w:rsidR="006417F7" w:rsidRPr="00FE50A6">
        <w:rPr>
          <w:lang w:val="en-US"/>
        </w:rPr>
        <w:t xml:space="preserve"> </w:t>
      </w:r>
      <w:r w:rsidRPr="00FE50A6">
        <w:rPr>
          <w:lang w:val="en-US"/>
        </w:rPr>
        <w:t xml:space="preserve">International Criminal </w:t>
      </w:r>
      <w:r w:rsidR="007A680A" w:rsidRPr="00FE50A6">
        <w:rPr>
          <w:lang w:val="en-US"/>
        </w:rPr>
        <w:t xml:space="preserve">Tribunal </w:t>
      </w:r>
      <w:r w:rsidRPr="00FE50A6">
        <w:rPr>
          <w:lang w:val="en-US"/>
        </w:rPr>
        <w:t xml:space="preserve">for the former Yugoslavia” or “the </w:t>
      </w:r>
      <w:r w:rsidR="003372C9" w:rsidRPr="00FE50A6">
        <w:rPr>
          <w:lang w:val="en-US"/>
        </w:rPr>
        <w:t xml:space="preserve">ICTY”) of 1993, establishes </w:t>
      </w:r>
      <w:r w:rsidR="00207197" w:rsidRPr="00FE50A6">
        <w:rPr>
          <w:lang w:val="en-US"/>
        </w:rPr>
        <w:t>enslavement</w:t>
      </w:r>
      <w:r w:rsidR="003372C9" w:rsidRPr="00FE50A6">
        <w:rPr>
          <w:lang w:val="en-US"/>
        </w:rPr>
        <w:t xml:space="preserve"> as a crime against humanity</w:t>
      </w:r>
      <w:r w:rsidR="00207197" w:rsidRPr="00FE50A6">
        <w:rPr>
          <w:lang w:val="en-US"/>
        </w:rPr>
        <w:t xml:space="preserve"> (</w:t>
      </w:r>
      <w:r w:rsidR="00D2546E" w:rsidRPr="00FE50A6">
        <w:rPr>
          <w:lang w:val="en-US"/>
        </w:rPr>
        <w:t>Article</w:t>
      </w:r>
      <w:r w:rsidR="00207197" w:rsidRPr="00FE50A6">
        <w:rPr>
          <w:lang w:val="en-US"/>
        </w:rPr>
        <w:t xml:space="preserve"> 5.c)</w:t>
      </w:r>
      <w:r w:rsidR="003372C9" w:rsidRPr="00FE50A6">
        <w:rPr>
          <w:lang w:val="en-US"/>
        </w:rPr>
        <w:t>.</w:t>
      </w:r>
      <w:r w:rsidR="00207197" w:rsidRPr="00FE50A6">
        <w:rPr>
          <w:rStyle w:val="Refdenotaalpie"/>
          <w:lang w:val="en-US"/>
        </w:rPr>
        <w:footnoteReference w:id="379"/>
      </w:r>
      <w:r w:rsidR="003372C9" w:rsidRPr="00FE50A6">
        <w:rPr>
          <w:lang w:val="en-US"/>
        </w:rPr>
        <w:t xml:space="preserve"> The Statutes of the International Tribunal for Rwanda, of 1994, and the Special </w:t>
      </w:r>
      <w:r w:rsidR="00B4112F" w:rsidRPr="00FE50A6">
        <w:rPr>
          <w:lang w:val="en-US"/>
        </w:rPr>
        <w:t>Court</w:t>
      </w:r>
      <w:r w:rsidR="003372C9" w:rsidRPr="00FE50A6">
        <w:rPr>
          <w:lang w:val="en-US"/>
        </w:rPr>
        <w:t xml:space="preserve"> for Sierra Leone, of 2000, include “</w:t>
      </w:r>
      <w:r w:rsidR="00B4112F" w:rsidRPr="00FE50A6">
        <w:rPr>
          <w:lang w:val="en-US"/>
        </w:rPr>
        <w:t>enslavement</w:t>
      </w:r>
      <w:r w:rsidR="003372C9" w:rsidRPr="00FE50A6">
        <w:rPr>
          <w:lang w:val="en-US"/>
        </w:rPr>
        <w:t>” as a crime against humanity in their a</w:t>
      </w:r>
      <w:r w:rsidR="00D2546E" w:rsidRPr="00FE50A6">
        <w:rPr>
          <w:lang w:val="en-US"/>
        </w:rPr>
        <w:t>rticle</w:t>
      </w:r>
      <w:r w:rsidR="00207197" w:rsidRPr="00FE50A6">
        <w:rPr>
          <w:lang w:val="en-US"/>
        </w:rPr>
        <w:t>s 3.c</w:t>
      </w:r>
      <w:r w:rsidR="00030C17" w:rsidRPr="00FE50A6">
        <w:rPr>
          <w:lang w:val="en-US"/>
        </w:rPr>
        <w:t xml:space="preserve"> and </w:t>
      </w:r>
      <w:r w:rsidR="00207197" w:rsidRPr="00FE50A6">
        <w:rPr>
          <w:lang w:val="en-US"/>
        </w:rPr>
        <w:t>2.c, respectiv</w:t>
      </w:r>
      <w:r w:rsidR="003372C9" w:rsidRPr="00FE50A6">
        <w:rPr>
          <w:lang w:val="en-US"/>
        </w:rPr>
        <w:t>ely.</w:t>
      </w:r>
      <w:r w:rsidR="00207197" w:rsidRPr="00FE50A6">
        <w:rPr>
          <w:rStyle w:val="Refdenotaalpie"/>
          <w:lang w:val="en-US"/>
        </w:rPr>
        <w:footnoteReference w:id="380"/>
      </w:r>
      <w:r w:rsidR="003372C9" w:rsidRPr="00FE50A6">
        <w:rPr>
          <w:lang w:val="en-US"/>
        </w:rPr>
        <w:t xml:space="preserve"> Lastly, the 1998 </w:t>
      </w:r>
      <w:r w:rsidR="002A125A" w:rsidRPr="00FE50A6">
        <w:rPr>
          <w:lang w:val="en-US"/>
        </w:rPr>
        <w:t>Rome Statute of the International Criminal Court</w:t>
      </w:r>
      <w:r w:rsidR="00207197" w:rsidRPr="00FE50A6">
        <w:rPr>
          <w:lang w:val="en-US"/>
        </w:rPr>
        <w:t xml:space="preserve"> </w:t>
      </w:r>
      <w:r w:rsidR="003372C9" w:rsidRPr="00FE50A6">
        <w:rPr>
          <w:lang w:val="en-US"/>
        </w:rPr>
        <w:t xml:space="preserve">defines </w:t>
      </w:r>
      <w:r w:rsidR="00B4112F" w:rsidRPr="00FE50A6">
        <w:rPr>
          <w:szCs w:val="20"/>
          <w:lang w:val="en-US"/>
        </w:rPr>
        <w:t>enslavement</w:t>
      </w:r>
      <w:r w:rsidR="003372C9" w:rsidRPr="00FE50A6">
        <w:rPr>
          <w:szCs w:val="20"/>
          <w:lang w:val="en-US"/>
        </w:rPr>
        <w:t xml:space="preserve"> as “the exercise </w:t>
      </w:r>
      <w:r w:rsidR="00B4112F" w:rsidRPr="00FE50A6">
        <w:rPr>
          <w:szCs w:val="20"/>
          <w:lang w:val="en-US"/>
        </w:rPr>
        <w:t>of any or all of the powers attaching to the right of ownership over a person and includes the exercise of such power in the course of trafficking in persons, in particular women and children.</w:t>
      </w:r>
      <w:r w:rsidR="009C48A4" w:rsidRPr="00FE50A6">
        <w:rPr>
          <w:szCs w:val="20"/>
          <w:lang w:val="en-US"/>
        </w:rPr>
        <w:t>”</w:t>
      </w:r>
      <w:r w:rsidR="00207197" w:rsidRPr="00FE50A6">
        <w:rPr>
          <w:rStyle w:val="Refdenotaalpie"/>
          <w:lang w:val="en-US"/>
        </w:rPr>
        <w:footnoteReference w:id="381"/>
      </w:r>
    </w:p>
    <w:p w14:paraId="7F7BED45" w14:textId="77777777" w:rsidR="00207197" w:rsidRPr="00FE50A6" w:rsidRDefault="00207197" w:rsidP="00140440">
      <w:pPr>
        <w:jc w:val="both"/>
        <w:rPr>
          <w:lang w:val="en-US"/>
        </w:rPr>
      </w:pPr>
    </w:p>
    <w:p w14:paraId="504A5A9D" w14:textId="77777777" w:rsidR="00207197" w:rsidRPr="00FE50A6" w:rsidRDefault="00207197" w:rsidP="00F37DC4">
      <w:pPr>
        <w:pStyle w:val="Prrafodelista"/>
        <w:numPr>
          <w:ilvl w:val="0"/>
          <w:numId w:val="1"/>
        </w:numPr>
        <w:contextualSpacing w:val="0"/>
        <w:rPr>
          <w:lang w:val="en-US"/>
        </w:rPr>
      </w:pPr>
      <w:r w:rsidRPr="00FE50A6">
        <w:rPr>
          <w:lang w:val="en-US"/>
        </w:rPr>
        <w:t>M</w:t>
      </w:r>
      <w:r w:rsidR="00150ECA" w:rsidRPr="00FE50A6">
        <w:rPr>
          <w:lang w:val="en-US"/>
        </w:rPr>
        <w:t xml:space="preserve">ore recently, both the </w:t>
      </w:r>
      <w:r w:rsidR="00192387" w:rsidRPr="00FE50A6">
        <w:rPr>
          <w:lang w:val="en-US"/>
        </w:rPr>
        <w:t>D</w:t>
      </w:r>
      <w:r w:rsidR="00150ECA" w:rsidRPr="00FE50A6">
        <w:rPr>
          <w:lang w:val="en-US"/>
        </w:rPr>
        <w:t xml:space="preserve">raft Code of Crimes against the Peace and Security of Mankind adopted in 1996 by the International Law Commission </w:t>
      </w:r>
      <w:r w:rsidRPr="00FE50A6">
        <w:rPr>
          <w:lang w:val="en-US"/>
        </w:rPr>
        <w:t>(</w:t>
      </w:r>
      <w:r w:rsidR="00D2546E" w:rsidRPr="00FE50A6">
        <w:rPr>
          <w:lang w:val="en-US"/>
        </w:rPr>
        <w:t>Article</w:t>
      </w:r>
      <w:r w:rsidRPr="00FE50A6">
        <w:rPr>
          <w:lang w:val="en-US"/>
        </w:rPr>
        <w:t xml:space="preserve"> 18.d)</w:t>
      </w:r>
      <w:r w:rsidR="00150ECA" w:rsidRPr="00FE50A6">
        <w:rPr>
          <w:lang w:val="en-US"/>
        </w:rPr>
        <w:t>,</w:t>
      </w:r>
      <w:r w:rsidRPr="00FE50A6">
        <w:rPr>
          <w:rStyle w:val="Refdenotaalpie"/>
          <w:lang w:val="en-US"/>
        </w:rPr>
        <w:footnoteReference w:id="382"/>
      </w:r>
      <w:r w:rsidR="00150ECA" w:rsidRPr="00FE50A6">
        <w:rPr>
          <w:lang w:val="en-US"/>
        </w:rPr>
        <w:t xml:space="preserve"> and the subsequent </w:t>
      </w:r>
      <w:r w:rsidR="00192387" w:rsidRPr="00FE50A6">
        <w:rPr>
          <w:lang w:val="en-US"/>
        </w:rPr>
        <w:t xml:space="preserve">draft articles on crimes against humanity </w:t>
      </w:r>
      <w:r w:rsidR="00150ECA" w:rsidRPr="00FE50A6">
        <w:rPr>
          <w:lang w:val="en-US"/>
        </w:rPr>
        <w:t xml:space="preserve">adopted provisionally in 2015, also by </w:t>
      </w:r>
      <w:r w:rsidR="000228D0" w:rsidRPr="00FE50A6">
        <w:rPr>
          <w:lang w:val="en-US"/>
        </w:rPr>
        <w:t xml:space="preserve">the </w:t>
      </w:r>
      <w:r w:rsidR="00150ECA" w:rsidRPr="00FE50A6">
        <w:rPr>
          <w:lang w:val="en-US"/>
        </w:rPr>
        <w:t>International Law Commission</w:t>
      </w:r>
      <w:r w:rsidRPr="00FE50A6">
        <w:rPr>
          <w:lang w:val="en-US"/>
        </w:rPr>
        <w:t xml:space="preserve"> establ</w:t>
      </w:r>
      <w:r w:rsidR="00150ECA" w:rsidRPr="00FE50A6">
        <w:rPr>
          <w:lang w:val="en-US"/>
        </w:rPr>
        <w:t xml:space="preserve">ish that </w:t>
      </w:r>
      <w:r w:rsidR="00192387" w:rsidRPr="00FE50A6">
        <w:rPr>
          <w:lang w:val="en-US"/>
        </w:rPr>
        <w:t>enslavement</w:t>
      </w:r>
      <w:r w:rsidR="00150ECA" w:rsidRPr="00FE50A6">
        <w:rPr>
          <w:lang w:val="en-US"/>
        </w:rPr>
        <w:t xml:space="preserve"> is a crime against humanity </w:t>
      </w:r>
      <w:r w:rsidRPr="00FE50A6">
        <w:rPr>
          <w:lang w:val="en-US"/>
        </w:rPr>
        <w:t>(</w:t>
      </w:r>
      <w:r w:rsidR="00D2546E" w:rsidRPr="00FE50A6">
        <w:rPr>
          <w:lang w:val="en-US"/>
        </w:rPr>
        <w:t>Article</w:t>
      </w:r>
      <w:r w:rsidRPr="00FE50A6">
        <w:rPr>
          <w:lang w:val="en-US"/>
        </w:rPr>
        <w:t xml:space="preserve"> 3.1.c), </w:t>
      </w:r>
      <w:r w:rsidR="00150ECA" w:rsidRPr="00FE50A6">
        <w:rPr>
          <w:lang w:val="en-US"/>
        </w:rPr>
        <w:t xml:space="preserve">which is defined in the latter document as “the exercise of </w:t>
      </w:r>
      <w:r w:rsidR="00192387" w:rsidRPr="00FE50A6">
        <w:rPr>
          <w:lang w:val="en-US"/>
        </w:rPr>
        <w:t>any or all of the powers attaching to the right of ownership over a person and includes the exercise of such power in the course of trafficking in persons, in particular women and children</w:t>
      </w:r>
      <w:r w:rsidR="009C48A4" w:rsidRPr="00FE50A6">
        <w:rPr>
          <w:lang w:val="en-US"/>
        </w:rPr>
        <w:t>”</w:t>
      </w:r>
      <w:r w:rsidRPr="00FE50A6">
        <w:rPr>
          <w:lang w:val="en-US"/>
        </w:rPr>
        <w:t xml:space="preserve"> (</w:t>
      </w:r>
      <w:r w:rsidR="00D2546E" w:rsidRPr="00FE50A6">
        <w:rPr>
          <w:lang w:val="en-US"/>
        </w:rPr>
        <w:t>Article</w:t>
      </w:r>
      <w:r w:rsidRPr="00FE50A6">
        <w:rPr>
          <w:lang w:val="en-US"/>
        </w:rPr>
        <w:t xml:space="preserve"> 3.2.c)</w:t>
      </w:r>
      <w:r w:rsidR="00192387" w:rsidRPr="00FE50A6">
        <w:rPr>
          <w:lang w:val="en-US"/>
        </w:rPr>
        <w:t>.</w:t>
      </w:r>
      <w:r w:rsidRPr="00FE50A6">
        <w:rPr>
          <w:rStyle w:val="Refdenotaalpie"/>
          <w:lang w:val="en-US"/>
        </w:rPr>
        <w:footnoteReference w:id="383"/>
      </w:r>
    </w:p>
    <w:p w14:paraId="4F831E43" w14:textId="77777777" w:rsidR="00207197" w:rsidRPr="00FE50A6" w:rsidRDefault="00207197" w:rsidP="00140440">
      <w:pPr>
        <w:jc w:val="both"/>
        <w:rPr>
          <w:lang w:val="en-US"/>
        </w:rPr>
      </w:pPr>
    </w:p>
    <w:p w14:paraId="742CD963" w14:textId="77777777" w:rsidR="00207197" w:rsidRPr="00FE50A6" w:rsidRDefault="006417F7" w:rsidP="00F37DC4">
      <w:pPr>
        <w:pStyle w:val="Prrafodelista"/>
        <w:numPr>
          <w:ilvl w:val="0"/>
          <w:numId w:val="1"/>
        </w:numPr>
        <w:contextualSpacing w:val="0"/>
        <w:rPr>
          <w:lang w:val="en-US"/>
        </w:rPr>
      </w:pPr>
      <w:r w:rsidRPr="00FE50A6">
        <w:rPr>
          <w:lang w:val="en-US"/>
        </w:rPr>
        <w:t xml:space="preserve">The Court will now review the interpretation of the definition of slavery and similar forms, by different international courts that have had the occasion to rule on this crime; as well as its development by the </w:t>
      </w:r>
      <w:r w:rsidR="002A125A" w:rsidRPr="00FE50A6">
        <w:rPr>
          <w:lang w:val="en-US"/>
        </w:rPr>
        <w:t>International Labour Organization</w:t>
      </w:r>
      <w:r w:rsidR="00030C17" w:rsidRPr="00FE50A6">
        <w:rPr>
          <w:lang w:val="en-US"/>
        </w:rPr>
        <w:t xml:space="preserve"> and</w:t>
      </w:r>
      <w:r w:rsidRPr="00FE50A6">
        <w:rPr>
          <w:lang w:val="en-US"/>
        </w:rPr>
        <w:t xml:space="preserve"> the relevant United Nations specialized agencies.</w:t>
      </w:r>
    </w:p>
    <w:p w14:paraId="779C9E20" w14:textId="77777777" w:rsidR="008B22F5" w:rsidRPr="00FE50A6" w:rsidRDefault="008B22F5" w:rsidP="008B5D60">
      <w:pPr>
        <w:pStyle w:val="Ttulo3"/>
        <w:rPr>
          <w:lang w:val="en-US"/>
        </w:rPr>
      </w:pPr>
    </w:p>
    <w:p w14:paraId="4E6B38DF" w14:textId="77777777" w:rsidR="00207197" w:rsidRPr="00FE50A6" w:rsidRDefault="008B5D60" w:rsidP="006417F7">
      <w:pPr>
        <w:pStyle w:val="Ttulo3"/>
        <w:tabs>
          <w:tab w:val="left" w:pos="8550"/>
        </w:tabs>
        <w:rPr>
          <w:lang w:val="en-US"/>
        </w:rPr>
      </w:pPr>
      <w:bookmarkStart w:id="315" w:name="_Toc464813960"/>
      <w:r w:rsidRPr="00FE50A6">
        <w:rPr>
          <w:lang w:val="en-US"/>
        </w:rPr>
        <w:t>B.2</w:t>
      </w:r>
      <w:r w:rsidR="00DC2886" w:rsidRPr="00FE50A6">
        <w:rPr>
          <w:lang w:val="en-US"/>
        </w:rPr>
        <w:t>.</w:t>
      </w:r>
      <w:r w:rsidR="00207197" w:rsidRPr="00FE50A6">
        <w:rPr>
          <w:lang w:val="en-US"/>
        </w:rPr>
        <w:t xml:space="preserve"> </w:t>
      </w:r>
      <w:r w:rsidR="006417F7" w:rsidRPr="00FE50A6">
        <w:rPr>
          <w:lang w:val="en-US"/>
        </w:rPr>
        <w:t>International tribunals and quasi-judicial bodies</w:t>
      </w:r>
      <w:bookmarkEnd w:id="315"/>
    </w:p>
    <w:p w14:paraId="0271979C" w14:textId="77777777" w:rsidR="00207197" w:rsidRPr="00FE50A6" w:rsidRDefault="00207197" w:rsidP="00AB60EE">
      <w:pPr>
        <w:jc w:val="both"/>
        <w:rPr>
          <w:lang w:val="en-US"/>
        </w:rPr>
      </w:pPr>
    </w:p>
    <w:p w14:paraId="5AD1F1EB" w14:textId="77777777" w:rsidR="00207197" w:rsidRPr="00FE50A6" w:rsidRDefault="006417F7" w:rsidP="009D5855">
      <w:pPr>
        <w:pStyle w:val="Prrafodelista"/>
        <w:numPr>
          <w:ilvl w:val="0"/>
          <w:numId w:val="1"/>
        </w:numPr>
        <w:contextualSpacing w:val="0"/>
        <w:rPr>
          <w:lang w:val="en-US"/>
        </w:rPr>
      </w:pPr>
      <w:r w:rsidRPr="00FE50A6">
        <w:rPr>
          <w:lang w:val="en-US"/>
        </w:rPr>
        <w:t>In its historic decision in the case of the</w:t>
      </w:r>
      <w:r w:rsidR="00207197" w:rsidRPr="00FE50A6">
        <w:rPr>
          <w:i/>
          <w:lang w:val="en-US"/>
        </w:rPr>
        <w:t xml:space="preserve"> </w:t>
      </w:r>
      <w:r w:rsidRPr="00FE50A6">
        <w:rPr>
          <w:i/>
          <w:lang w:val="en-US"/>
        </w:rPr>
        <w:t>Prosecutor</w:t>
      </w:r>
      <w:r w:rsidR="00207197" w:rsidRPr="00FE50A6">
        <w:rPr>
          <w:i/>
          <w:lang w:val="en-US"/>
        </w:rPr>
        <w:t xml:space="preserve"> </w:t>
      </w:r>
      <w:r w:rsidR="000228D0" w:rsidRPr="00FE50A6">
        <w:rPr>
          <w:i/>
          <w:lang w:val="en-US"/>
        </w:rPr>
        <w:t>v.</w:t>
      </w:r>
      <w:r w:rsidR="00207197" w:rsidRPr="00FE50A6">
        <w:rPr>
          <w:i/>
          <w:lang w:val="en-US"/>
        </w:rPr>
        <w:t xml:space="preserve"> Kunarac</w:t>
      </w:r>
      <w:r w:rsidRPr="00FE50A6">
        <w:rPr>
          <w:i/>
          <w:lang w:val="en-US"/>
        </w:rPr>
        <w:t>,</w:t>
      </w:r>
      <w:r w:rsidR="00207197" w:rsidRPr="00FE50A6">
        <w:rPr>
          <w:vertAlign w:val="superscript"/>
          <w:lang w:val="en-US"/>
        </w:rPr>
        <w:footnoteReference w:id="384"/>
      </w:r>
      <w:r w:rsidR="00207197" w:rsidRPr="00FE50A6">
        <w:rPr>
          <w:lang w:val="en-US"/>
        </w:rPr>
        <w:t xml:space="preserve"> </w:t>
      </w:r>
      <w:r w:rsidRPr="00FE50A6">
        <w:rPr>
          <w:lang w:val="en-US"/>
        </w:rPr>
        <w:t>the Appeals Chamber of</w:t>
      </w:r>
      <w:r w:rsidR="007571DF" w:rsidRPr="00FE50A6">
        <w:rPr>
          <w:lang w:val="en-US"/>
        </w:rPr>
        <w:t xml:space="preserve"> </w:t>
      </w:r>
      <w:r w:rsidRPr="00FE50A6">
        <w:rPr>
          <w:lang w:val="en-US"/>
        </w:rPr>
        <w:t xml:space="preserve">the </w:t>
      </w:r>
      <w:r w:rsidRPr="00FE50A6">
        <w:rPr>
          <w:i/>
          <w:lang w:val="en-US"/>
        </w:rPr>
        <w:t>Ad hoc</w:t>
      </w:r>
      <w:r w:rsidRPr="00FE50A6">
        <w:rPr>
          <w:lang w:val="en-US"/>
        </w:rPr>
        <w:t xml:space="preserve"> International Criminal Tribunal for the former Yugoslavia d</w:t>
      </w:r>
      <w:r w:rsidR="00FB27DA" w:rsidRPr="00FE50A6">
        <w:rPr>
          <w:lang w:val="en-US"/>
        </w:rPr>
        <w:t>efined</w:t>
      </w:r>
      <w:r w:rsidR="007571DF" w:rsidRPr="00FE50A6">
        <w:rPr>
          <w:lang w:val="en-US"/>
        </w:rPr>
        <w:t xml:space="preserve"> </w:t>
      </w:r>
      <w:r w:rsidR="001B0D33" w:rsidRPr="00FE50A6">
        <w:rPr>
          <w:szCs w:val="20"/>
          <w:lang w:val="en-US"/>
        </w:rPr>
        <w:t>enslavement</w:t>
      </w:r>
      <w:r w:rsidR="00207197" w:rsidRPr="00FE50A6">
        <w:rPr>
          <w:szCs w:val="20"/>
          <w:lang w:val="en-US"/>
        </w:rPr>
        <w:t xml:space="preserve"> </w:t>
      </w:r>
      <w:r w:rsidR="00FB27DA" w:rsidRPr="00FE50A6">
        <w:rPr>
          <w:szCs w:val="20"/>
          <w:lang w:val="en-US"/>
        </w:rPr>
        <w:t>as “</w:t>
      </w:r>
      <w:r w:rsidR="001B0D33" w:rsidRPr="00FE50A6">
        <w:rPr>
          <w:szCs w:val="20"/>
          <w:lang w:val="en-US"/>
        </w:rPr>
        <w:t xml:space="preserve">the </w:t>
      </w:r>
      <w:r w:rsidR="001B0D33" w:rsidRPr="00FE50A6">
        <w:rPr>
          <w:rFonts w:cs="Arial"/>
          <w:szCs w:val="20"/>
          <w:lang w:val="en-US"/>
        </w:rPr>
        <w:t>exercise of any or all of the powers attaching to the right of ownership over a person</w:t>
      </w:r>
      <w:r w:rsidR="00FB27DA" w:rsidRPr="00FE50A6">
        <w:rPr>
          <w:rFonts w:cs="Arial"/>
          <w:szCs w:val="20"/>
          <w:lang w:val="en-US"/>
        </w:rPr>
        <w:t xml:space="preserve">.” It is important to note that, in its original judgment, the </w:t>
      </w:r>
      <w:r w:rsidR="00FB27DA" w:rsidRPr="00FE50A6">
        <w:rPr>
          <w:i/>
          <w:szCs w:val="20"/>
          <w:lang w:val="en-US"/>
        </w:rPr>
        <w:t>Ad hoc</w:t>
      </w:r>
      <w:r w:rsidR="00FB27DA" w:rsidRPr="00FE50A6">
        <w:rPr>
          <w:szCs w:val="20"/>
          <w:lang w:val="en-US"/>
        </w:rPr>
        <w:t xml:space="preserve"> International Criminal Tribunal for the former Yugoslavia established the following criteria to determine the</w:t>
      </w:r>
      <w:r w:rsidR="00FB27DA" w:rsidRPr="00FE50A6">
        <w:rPr>
          <w:lang w:val="en-US"/>
        </w:rPr>
        <w:t xml:space="preserve"> existence of a situation of </w:t>
      </w:r>
      <w:r w:rsidR="009D5855" w:rsidRPr="00FE50A6">
        <w:rPr>
          <w:lang w:val="en-US"/>
        </w:rPr>
        <w:t xml:space="preserve">enslavement </w:t>
      </w:r>
      <w:r w:rsidR="00FB27DA" w:rsidRPr="00FE50A6">
        <w:rPr>
          <w:lang w:val="en-US"/>
        </w:rPr>
        <w:t xml:space="preserve">or reduction to servitude: (a) the </w:t>
      </w:r>
      <w:r w:rsidR="00FB27DA" w:rsidRPr="00FE50A6">
        <w:rPr>
          <w:rStyle w:val="highlight"/>
          <w:rFonts w:cs="Arial"/>
          <w:szCs w:val="20"/>
          <w:lang w:val="en-US"/>
        </w:rPr>
        <w:t>restriction</w:t>
      </w:r>
      <w:r w:rsidR="00FB27DA" w:rsidRPr="00FE50A6">
        <w:rPr>
          <w:rFonts w:cs="Arial"/>
          <w:szCs w:val="20"/>
          <w:lang w:val="en-US"/>
        </w:rPr>
        <w:t xml:space="preserve"> or control of an individual’s autonomy, freedom of choice or freedom of movement; (b) the accruing of some gain to the perpetrator; (c) the consent or free will of the victim is absent or is rendered impossible or irrelevant by, for example, the threat or use of force or other forms of coercion, the fear of violence, deception or false promises; (d) the abuse of power; (e) the victim’s position of vulnerability; (f) detention or captivity, and (g) psychological oppression or socio-economic conditions. Further indications of enslavement include (h) exploitation; (i) the exaction of forced or compulsory</w:t>
      </w:r>
      <w:r w:rsidR="009D5855" w:rsidRPr="00FE50A6">
        <w:rPr>
          <w:rFonts w:cs="Arial"/>
          <w:szCs w:val="20"/>
          <w:lang w:val="en-US"/>
        </w:rPr>
        <w:t xml:space="preserve"> </w:t>
      </w:r>
      <w:r w:rsidR="00FB27DA" w:rsidRPr="00FE50A6">
        <w:rPr>
          <w:rFonts w:cs="Arial"/>
          <w:szCs w:val="20"/>
          <w:lang w:val="en-US"/>
        </w:rPr>
        <w:t>labour or service, often without remuneration and often, though not necessarily, involving</w:t>
      </w:r>
      <w:r w:rsidR="009D5855" w:rsidRPr="00FE50A6">
        <w:rPr>
          <w:rFonts w:cs="Arial"/>
          <w:szCs w:val="20"/>
          <w:lang w:val="en-US"/>
        </w:rPr>
        <w:t xml:space="preserve"> </w:t>
      </w:r>
      <w:r w:rsidR="00FB27DA" w:rsidRPr="00FE50A6">
        <w:rPr>
          <w:rFonts w:cs="Arial"/>
          <w:szCs w:val="20"/>
          <w:lang w:val="en-US"/>
        </w:rPr>
        <w:t>physical hardship</w:t>
      </w:r>
      <w:r w:rsidR="009D5855" w:rsidRPr="00FE50A6">
        <w:rPr>
          <w:rFonts w:cs="Arial"/>
          <w:szCs w:val="20"/>
          <w:lang w:val="en-US"/>
        </w:rPr>
        <w:t>,</w:t>
      </w:r>
      <w:r w:rsidR="00FB27DA" w:rsidRPr="00FE50A6">
        <w:rPr>
          <w:rFonts w:cs="Arial"/>
          <w:szCs w:val="20"/>
          <w:lang w:val="en-US"/>
        </w:rPr>
        <w:t xml:space="preserve"> sex</w:t>
      </w:r>
      <w:r w:rsidR="009D5855" w:rsidRPr="00FE50A6">
        <w:rPr>
          <w:rFonts w:cs="Arial"/>
          <w:szCs w:val="20"/>
          <w:lang w:val="en-US"/>
        </w:rPr>
        <w:t>,</w:t>
      </w:r>
      <w:r w:rsidR="00FB27DA" w:rsidRPr="00FE50A6">
        <w:rPr>
          <w:rFonts w:cs="Arial"/>
          <w:szCs w:val="20"/>
          <w:lang w:val="en-US"/>
        </w:rPr>
        <w:t xml:space="preserve"> prostitution</w:t>
      </w:r>
      <w:r w:rsidR="009D5855" w:rsidRPr="00FE50A6">
        <w:rPr>
          <w:rFonts w:cs="Arial"/>
          <w:szCs w:val="20"/>
          <w:lang w:val="en-US"/>
        </w:rPr>
        <w:t>,</w:t>
      </w:r>
      <w:r w:rsidR="00FB27DA" w:rsidRPr="00FE50A6">
        <w:rPr>
          <w:rFonts w:cs="Arial"/>
          <w:szCs w:val="20"/>
          <w:lang w:val="en-US"/>
        </w:rPr>
        <w:t xml:space="preserve"> and </w:t>
      </w:r>
      <w:r w:rsidR="000F3526" w:rsidRPr="00FE50A6">
        <w:rPr>
          <w:rFonts w:cs="Arial"/>
          <w:szCs w:val="20"/>
          <w:lang w:val="en-US"/>
        </w:rPr>
        <w:t xml:space="preserve">human </w:t>
      </w:r>
      <w:r w:rsidR="00615E39" w:rsidRPr="00FE50A6">
        <w:rPr>
          <w:rFonts w:cs="Arial"/>
          <w:szCs w:val="20"/>
          <w:lang w:val="en-US"/>
        </w:rPr>
        <w:t>trafficking</w:t>
      </w:r>
      <w:r w:rsidR="00FB27DA" w:rsidRPr="00FE50A6">
        <w:rPr>
          <w:rFonts w:cs="Arial"/>
          <w:szCs w:val="20"/>
          <w:lang w:val="en-US"/>
        </w:rPr>
        <w:t>.</w:t>
      </w:r>
      <w:r w:rsidR="00207197" w:rsidRPr="00FE50A6">
        <w:rPr>
          <w:rStyle w:val="Refdenotaalpie"/>
          <w:lang w:val="en-US"/>
        </w:rPr>
        <w:footnoteReference w:id="385"/>
      </w:r>
      <w:r w:rsidR="00207197" w:rsidRPr="00FE50A6">
        <w:rPr>
          <w:lang w:val="en-US"/>
        </w:rPr>
        <w:t xml:space="preserve"> </w:t>
      </w:r>
      <w:r w:rsidR="009D5855" w:rsidRPr="00FE50A6">
        <w:rPr>
          <w:lang w:val="en-US"/>
        </w:rPr>
        <w:t>The judgment of the Appeals Chamber emphasizes the evolutive interpretation of the concept of</w:t>
      </w:r>
      <w:r w:rsidR="00207197" w:rsidRPr="00FE50A6">
        <w:rPr>
          <w:lang w:val="en-US"/>
        </w:rPr>
        <w:t xml:space="preserve"> </w:t>
      </w:r>
      <w:r w:rsidR="00D11A9F" w:rsidRPr="00FE50A6">
        <w:rPr>
          <w:lang w:val="en-US"/>
        </w:rPr>
        <w:t>slavery</w:t>
      </w:r>
      <w:r w:rsidR="00207197" w:rsidRPr="00FE50A6">
        <w:rPr>
          <w:lang w:val="en-US"/>
        </w:rPr>
        <w:t xml:space="preserve">, </w:t>
      </w:r>
      <w:r w:rsidR="009D5855" w:rsidRPr="00FE50A6">
        <w:rPr>
          <w:lang w:val="en-US"/>
        </w:rPr>
        <w:t>considering that in the case of contemporary forms of slavery, the victim is not subject to the exercise of the more extreme rights of ownership, but in all cases, as a result of the exercise of any or all of the powers attaching to the right of ownership there is some destruction of the juridical personality.”</w:t>
      </w:r>
      <w:r w:rsidR="00207197" w:rsidRPr="00FE50A6">
        <w:rPr>
          <w:rStyle w:val="Refdenotaalpie"/>
          <w:lang w:val="en-US"/>
        </w:rPr>
        <w:footnoteReference w:id="386"/>
      </w:r>
      <w:r w:rsidR="00207197" w:rsidRPr="00FE50A6">
        <w:rPr>
          <w:lang w:val="en-US"/>
        </w:rPr>
        <w:t xml:space="preserve"> </w:t>
      </w:r>
      <w:r w:rsidR="009D5855" w:rsidRPr="00FE50A6">
        <w:rPr>
          <w:lang w:val="en-US"/>
        </w:rPr>
        <w:t xml:space="preserve">The </w:t>
      </w:r>
      <w:r w:rsidR="009D5855" w:rsidRPr="00FE50A6">
        <w:rPr>
          <w:i/>
          <w:lang w:val="en-US"/>
        </w:rPr>
        <w:t>Ad hoc</w:t>
      </w:r>
      <w:r w:rsidR="009D5855" w:rsidRPr="00FE50A6">
        <w:rPr>
          <w:lang w:val="en-US"/>
        </w:rPr>
        <w:t xml:space="preserve"> International Criminal Tribunal for the former Yugoslavia considered that, at the time of the facts of the case (1992), the </w:t>
      </w:r>
      <w:r w:rsidR="00EE52F3" w:rsidRPr="00FE50A6">
        <w:rPr>
          <w:lang w:val="en-US"/>
        </w:rPr>
        <w:t>contemporary forms of</w:t>
      </w:r>
      <w:r w:rsidR="00207197" w:rsidRPr="00FE50A6">
        <w:rPr>
          <w:lang w:val="en-US"/>
        </w:rPr>
        <w:t xml:space="preserve"> </w:t>
      </w:r>
      <w:r w:rsidR="00D11A9F" w:rsidRPr="00FE50A6">
        <w:rPr>
          <w:lang w:val="en-US"/>
        </w:rPr>
        <w:t>slavery</w:t>
      </w:r>
      <w:r w:rsidR="00207197" w:rsidRPr="00FE50A6">
        <w:rPr>
          <w:lang w:val="en-US"/>
        </w:rPr>
        <w:t xml:space="preserve"> identifi</w:t>
      </w:r>
      <w:r w:rsidR="009D5855" w:rsidRPr="00FE50A6">
        <w:rPr>
          <w:lang w:val="en-US"/>
        </w:rPr>
        <w:t xml:space="preserve">ed in the original judgment </w:t>
      </w:r>
      <w:r w:rsidR="001B0D33" w:rsidRPr="00FE50A6">
        <w:rPr>
          <w:lang w:val="en-US"/>
        </w:rPr>
        <w:t xml:space="preserve">formed part of enslavement as a crime against humanity under </w:t>
      </w:r>
      <w:r w:rsidR="00207197" w:rsidRPr="00FE50A6">
        <w:rPr>
          <w:lang w:val="en-US"/>
        </w:rPr>
        <w:t>customary international law</w:t>
      </w:r>
      <w:r w:rsidR="001B0D33" w:rsidRPr="00FE50A6">
        <w:rPr>
          <w:lang w:val="en-US"/>
        </w:rPr>
        <w:t>.</w:t>
      </w:r>
      <w:r w:rsidR="00207197" w:rsidRPr="00FE50A6">
        <w:rPr>
          <w:rStyle w:val="Refdenotaalpie"/>
          <w:lang w:val="en-US"/>
        </w:rPr>
        <w:footnoteReference w:id="387"/>
      </w:r>
    </w:p>
    <w:p w14:paraId="433AB1B2" w14:textId="77777777" w:rsidR="00207197" w:rsidRPr="00FE50A6" w:rsidRDefault="00207197" w:rsidP="00140440">
      <w:pPr>
        <w:jc w:val="both"/>
        <w:rPr>
          <w:lang w:val="en-US"/>
        </w:rPr>
      </w:pPr>
    </w:p>
    <w:p w14:paraId="3DBFC4AB" w14:textId="77777777" w:rsidR="00207197" w:rsidRPr="00FE50A6" w:rsidRDefault="00212AFD" w:rsidP="00F37DC4">
      <w:pPr>
        <w:pStyle w:val="Prrafodelista"/>
        <w:numPr>
          <w:ilvl w:val="0"/>
          <w:numId w:val="1"/>
        </w:numPr>
        <w:contextualSpacing w:val="0"/>
        <w:rPr>
          <w:lang w:val="en-US"/>
        </w:rPr>
      </w:pPr>
      <w:r w:rsidRPr="00FE50A6">
        <w:rPr>
          <w:lang w:val="en-US"/>
        </w:rPr>
        <w:t xml:space="preserve">Subsequently, in the </w:t>
      </w:r>
      <w:r w:rsidR="00207197" w:rsidRPr="00FE50A6">
        <w:rPr>
          <w:i/>
          <w:lang w:val="en-US"/>
        </w:rPr>
        <w:t>Krnojelac</w:t>
      </w:r>
      <w:r w:rsidRPr="00FE50A6">
        <w:rPr>
          <w:i/>
          <w:lang w:val="en-US"/>
        </w:rPr>
        <w:t xml:space="preserve"> </w:t>
      </w:r>
      <w:r w:rsidRPr="00FE50A6">
        <w:rPr>
          <w:lang w:val="en-US"/>
        </w:rPr>
        <w:t>case</w:t>
      </w:r>
      <w:r w:rsidR="00207197" w:rsidRPr="00FE50A6">
        <w:rPr>
          <w:lang w:val="en-US"/>
        </w:rPr>
        <w:t xml:space="preserve">, </w:t>
      </w:r>
      <w:r w:rsidR="002071B1" w:rsidRPr="00FE50A6">
        <w:rPr>
          <w:lang w:val="en-US"/>
        </w:rPr>
        <w:t xml:space="preserve">the </w:t>
      </w:r>
      <w:r w:rsidRPr="00FE50A6">
        <w:rPr>
          <w:i/>
          <w:szCs w:val="20"/>
          <w:lang w:val="en-US"/>
        </w:rPr>
        <w:t>Ad hoc</w:t>
      </w:r>
      <w:r w:rsidRPr="00FE50A6">
        <w:rPr>
          <w:szCs w:val="20"/>
          <w:lang w:val="en-US"/>
        </w:rPr>
        <w:t xml:space="preserve"> International Criminal Tribunal for the former Yugoslavia </w:t>
      </w:r>
      <w:r w:rsidR="00207197" w:rsidRPr="00FE50A6">
        <w:rPr>
          <w:lang w:val="en-US"/>
        </w:rPr>
        <w:t>confirm</w:t>
      </w:r>
      <w:r w:rsidRPr="00FE50A6">
        <w:rPr>
          <w:lang w:val="en-US"/>
        </w:rPr>
        <w:t xml:space="preserve">ed the standards </w:t>
      </w:r>
      <w:r w:rsidR="00BC6362" w:rsidRPr="00FE50A6">
        <w:rPr>
          <w:lang w:val="en-US"/>
        </w:rPr>
        <w:t>established in</w:t>
      </w:r>
      <w:r w:rsidR="00207197" w:rsidRPr="00FE50A6">
        <w:rPr>
          <w:lang w:val="en-US"/>
        </w:rPr>
        <w:t xml:space="preserve"> </w:t>
      </w:r>
      <w:r w:rsidRPr="00FE50A6">
        <w:rPr>
          <w:lang w:val="en-US"/>
        </w:rPr>
        <w:t>the</w:t>
      </w:r>
      <w:r w:rsidR="00B502F2" w:rsidRPr="00FE50A6">
        <w:rPr>
          <w:i/>
          <w:lang w:val="en-US"/>
        </w:rPr>
        <w:t xml:space="preserve"> </w:t>
      </w:r>
      <w:r w:rsidR="00207197" w:rsidRPr="00FE50A6">
        <w:rPr>
          <w:i/>
          <w:lang w:val="en-US"/>
        </w:rPr>
        <w:t>Kunarac</w:t>
      </w:r>
      <w:r w:rsidR="00030C17" w:rsidRPr="00FE50A6">
        <w:rPr>
          <w:lang w:val="en-US"/>
        </w:rPr>
        <w:t xml:space="preserve"> </w:t>
      </w:r>
      <w:r w:rsidRPr="00FE50A6">
        <w:rPr>
          <w:lang w:val="en-US"/>
        </w:rPr>
        <w:t xml:space="preserve">case </w:t>
      </w:r>
      <w:r w:rsidR="00030C17" w:rsidRPr="00FE50A6">
        <w:rPr>
          <w:lang w:val="en-US"/>
        </w:rPr>
        <w:t xml:space="preserve">and </w:t>
      </w:r>
      <w:r w:rsidR="00984A55" w:rsidRPr="00FE50A6">
        <w:rPr>
          <w:lang w:val="en-US"/>
        </w:rPr>
        <w:t>indicated</w:t>
      </w:r>
      <w:r w:rsidR="00207197" w:rsidRPr="00FE50A6">
        <w:rPr>
          <w:lang w:val="en-US"/>
        </w:rPr>
        <w:t xml:space="preserve"> </w:t>
      </w:r>
      <w:r w:rsidRPr="00FE50A6">
        <w:rPr>
          <w:lang w:val="en-US"/>
        </w:rPr>
        <w:t xml:space="preserve">that, in that case, the enslavement that occurred was “primarily related to </w:t>
      </w:r>
      <w:r w:rsidR="005F1946" w:rsidRPr="00FE50A6">
        <w:rPr>
          <w:lang w:val="en-US"/>
        </w:rPr>
        <w:t>forced labo</w:t>
      </w:r>
      <w:r w:rsidR="0064266E" w:rsidRPr="00FE50A6">
        <w:rPr>
          <w:lang w:val="en-US"/>
        </w:rPr>
        <w:t>u</w:t>
      </w:r>
      <w:r w:rsidR="005F1946" w:rsidRPr="00FE50A6">
        <w:rPr>
          <w:lang w:val="en-US"/>
        </w:rPr>
        <w:t>r</w:t>
      </w:r>
      <w:r w:rsidRPr="00FE50A6">
        <w:rPr>
          <w:lang w:val="en-US"/>
        </w:rPr>
        <w:t>.”</w:t>
      </w:r>
      <w:r w:rsidR="00207197" w:rsidRPr="00FE50A6">
        <w:rPr>
          <w:rStyle w:val="Refdenotaalpie"/>
          <w:lang w:val="en-US"/>
        </w:rPr>
        <w:footnoteReference w:id="388"/>
      </w:r>
      <w:r w:rsidR="00207197" w:rsidRPr="00FE50A6">
        <w:rPr>
          <w:lang w:val="en-US"/>
        </w:rPr>
        <w:t xml:space="preserve"> </w:t>
      </w:r>
    </w:p>
    <w:p w14:paraId="00E8A725" w14:textId="77777777" w:rsidR="00207197" w:rsidRPr="00FE50A6" w:rsidRDefault="00207197" w:rsidP="00140440">
      <w:pPr>
        <w:jc w:val="both"/>
        <w:rPr>
          <w:lang w:val="en-US"/>
        </w:rPr>
      </w:pPr>
    </w:p>
    <w:p w14:paraId="7860F3CE" w14:textId="77777777" w:rsidR="00207197" w:rsidRPr="00FE50A6" w:rsidRDefault="002071B1" w:rsidP="00F37DC4">
      <w:pPr>
        <w:pStyle w:val="Prrafodelista"/>
        <w:numPr>
          <w:ilvl w:val="0"/>
          <w:numId w:val="1"/>
        </w:numPr>
        <w:contextualSpacing w:val="0"/>
        <w:rPr>
          <w:lang w:val="en-US"/>
        </w:rPr>
      </w:pPr>
      <w:r w:rsidRPr="00FE50A6">
        <w:rPr>
          <w:lang w:val="en-US"/>
        </w:rPr>
        <w:t xml:space="preserve">The </w:t>
      </w:r>
      <w:r w:rsidR="00212AFD" w:rsidRPr="00FE50A6">
        <w:rPr>
          <w:lang w:val="en-US"/>
        </w:rPr>
        <w:t xml:space="preserve">Special </w:t>
      </w:r>
      <w:r w:rsidRPr="00FE50A6">
        <w:rPr>
          <w:lang w:val="en-US"/>
        </w:rPr>
        <w:t>Court</w:t>
      </w:r>
      <w:r w:rsidR="00207197" w:rsidRPr="00FE50A6">
        <w:rPr>
          <w:lang w:val="en-US"/>
        </w:rPr>
        <w:t xml:space="preserve"> </w:t>
      </w:r>
      <w:r w:rsidR="00212AFD" w:rsidRPr="00FE50A6">
        <w:rPr>
          <w:lang w:val="en-US"/>
        </w:rPr>
        <w:t>for</w:t>
      </w:r>
      <w:r w:rsidR="00207197" w:rsidRPr="00FE50A6">
        <w:rPr>
          <w:lang w:val="en-US"/>
        </w:rPr>
        <w:t xml:space="preserve"> </w:t>
      </w:r>
      <w:r w:rsidR="00212AFD" w:rsidRPr="00FE50A6">
        <w:rPr>
          <w:lang w:val="en-US"/>
        </w:rPr>
        <w:t>Sierra Leone</w:t>
      </w:r>
      <w:r w:rsidR="00207197" w:rsidRPr="00FE50A6">
        <w:rPr>
          <w:lang w:val="en-US"/>
        </w:rPr>
        <w:t xml:space="preserve"> (</w:t>
      </w:r>
      <w:r w:rsidR="000228D0" w:rsidRPr="00FE50A6">
        <w:rPr>
          <w:lang w:val="en-US"/>
        </w:rPr>
        <w:t>hereinafter</w:t>
      </w:r>
      <w:r w:rsidR="00207197" w:rsidRPr="00FE50A6">
        <w:rPr>
          <w:lang w:val="en-US"/>
        </w:rPr>
        <w:t xml:space="preserve"> </w:t>
      </w:r>
      <w:r w:rsidR="00212AFD" w:rsidRPr="00FE50A6">
        <w:rPr>
          <w:lang w:val="en-US"/>
        </w:rPr>
        <w:t>also</w:t>
      </w:r>
      <w:r w:rsidR="00B2396C" w:rsidRPr="00FE50A6">
        <w:rPr>
          <w:lang w:val="en-US"/>
        </w:rPr>
        <w:t xml:space="preserve"> </w:t>
      </w:r>
      <w:r w:rsidR="009C48A4" w:rsidRPr="00FE50A6">
        <w:rPr>
          <w:lang w:val="en-US"/>
        </w:rPr>
        <w:t>“</w:t>
      </w:r>
      <w:r w:rsidR="00212AFD" w:rsidRPr="00FE50A6">
        <w:rPr>
          <w:lang w:val="en-US"/>
        </w:rPr>
        <w:t>SCSL</w:t>
      </w:r>
      <w:r w:rsidR="009C48A4" w:rsidRPr="00FE50A6">
        <w:rPr>
          <w:lang w:val="en-US"/>
        </w:rPr>
        <w:t>”</w:t>
      </w:r>
      <w:r w:rsidR="00207197" w:rsidRPr="00FE50A6">
        <w:rPr>
          <w:lang w:val="en-US"/>
        </w:rPr>
        <w:t xml:space="preserve">), </w:t>
      </w:r>
      <w:r w:rsidR="00212AFD" w:rsidRPr="00FE50A6">
        <w:rPr>
          <w:lang w:val="en-US"/>
        </w:rPr>
        <w:t xml:space="preserve">in the judgments in the 2007 cases of </w:t>
      </w:r>
      <w:r w:rsidR="00207197" w:rsidRPr="00FE50A6">
        <w:rPr>
          <w:i/>
          <w:iCs/>
          <w:lang w:val="en-US"/>
        </w:rPr>
        <w:t>Sesay, Kallon and Gbao</w:t>
      </w:r>
      <w:r w:rsidR="00207197" w:rsidRPr="00FE50A6">
        <w:rPr>
          <w:rStyle w:val="Refdenotaalpie"/>
          <w:lang w:val="en-US"/>
        </w:rPr>
        <w:footnoteReference w:id="389"/>
      </w:r>
      <w:r w:rsidR="00030C17" w:rsidRPr="00FE50A6">
        <w:rPr>
          <w:lang w:val="en-US"/>
        </w:rPr>
        <w:t xml:space="preserve"> and </w:t>
      </w:r>
      <w:r w:rsidR="00207197" w:rsidRPr="00FE50A6">
        <w:rPr>
          <w:i/>
          <w:lang w:val="en-US"/>
        </w:rPr>
        <w:t>Brima, Kamara</w:t>
      </w:r>
      <w:r w:rsidR="00A627F6" w:rsidRPr="00FE50A6">
        <w:rPr>
          <w:i/>
          <w:lang w:val="en-US"/>
        </w:rPr>
        <w:t xml:space="preserve"> and</w:t>
      </w:r>
      <w:r w:rsidR="00207197" w:rsidRPr="00FE50A6">
        <w:rPr>
          <w:i/>
          <w:lang w:val="en-US"/>
        </w:rPr>
        <w:t xml:space="preserve"> Kanu</w:t>
      </w:r>
      <w:r w:rsidR="00207197" w:rsidRPr="00FE50A6">
        <w:rPr>
          <w:lang w:val="en-US"/>
        </w:rPr>
        <w:t xml:space="preserve">, </w:t>
      </w:r>
      <w:r w:rsidR="00212AFD" w:rsidRPr="00FE50A6">
        <w:rPr>
          <w:lang w:val="en-US"/>
        </w:rPr>
        <w:t xml:space="preserve">reaffirmed the standards established by </w:t>
      </w:r>
      <w:r w:rsidRPr="00FE50A6">
        <w:rPr>
          <w:lang w:val="en-US"/>
        </w:rPr>
        <w:t xml:space="preserve">the </w:t>
      </w:r>
      <w:r w:rsidR="00212AFD" w:rsidRPr="00FE50A6">
        <w:rPr>
          <w:i/>
          <w:lang w:val="en-US"/>
        </w:rPr>
        <w:t>Ad hoc</w:t>
      </w:r>
      <w:r w:rsidR="00212AFD" w:rsidRPr="00FE50A6">
        <w:rPr>
          <w:lang w:val="en-US"/>
        </w:rPr>
        <w:t xml:space="preserve"> International Criminal Tribunal for the former Yugoslavia</w:t>
      </w:r>
      <w:r w:rsidR="00207197" w:rsidRPr="00FE50A6">
        <w:rPr>
          <w:lang w:val="en-US"/>
        </w:rPr>
        <w:t xml:space="preserve"> </w:t>
      </w:r>
      <w:r w:rsidR="00212AFD" w:rsidRPr="00FE50A6">
        <w:rPr>
          <w:lang w:val="en-US"/>
        </w:rPr>
        <w:t>in the</w:t>
      </w:r>
      <w:r w:rsidR="00231EE9" w:rsidRPr="00FE50A6">
        <w:rPr>
          <w:lang w:val="en-US"/>
        </w:rPr>
        <w:t xml:space="preserve"> </w:t>
      </w:r>
      <w:r w:rsidR="00207197" w:rsidRPr="00FE50A6">
        <w:rPr>
          <w:i/>
          <w:lang w:val="en-US"/>
        </w:rPr>
        <w:t>Kunarac</w:t>
      </w:r>
      <w:r w:rsidR="00030C17" w:rsidRPr="00FE50A6">
        <w:rPr>
          <w:lang w:val="en-US"/>
        </w:rPr>
        <w:t xml:space="preserve"> and </w:t>
      </w:r>
      <w:r w:rsidR="00207197" w:rsidRPr="00FE50A6">
        <w:rPr>
          <w:i/>
          <w:lang w:val="en-US"/>
        </w:rPr>
        <w:t>Krnojelac</w:t>
      </w:r>
      <w:r w:rsidR="00212AFD" w:rsidRPr="00FE50A6">
        <w:rPr>
          <w:i/>
          <w:lang w:val="en-US"/>
        </w:rPr>
        <w:t xml:space="preserve"> </w:t>
      </w:r>
      <w:r w:rsidR="00212AFD" w:rsidRPr="00FE50A6">
        <w:rPr>
          <w:lang w:val="en-US"/>
        </w:rPr>
        <w:t>cases.</w:t>
      </w:r>
      <w:r w:rsidR="00207197" w:rsidRPr="00FE50A6">
        <w:rPr>
          <w:rStyle w:val="Refdenotaalpie"/>
          <w:lang w:val="en-US"/>
        </w:rPr>
        <w:footnoteReference w:id="390"/>
      </w:r>
      <w:r w:rsidR="00207197" w:rsidRPr="00FE50A6">
        <w:rPr>
          <w:lang w:val="en-US"/>
        </w:rPr>
        <w:t xml:space="preserve"> </w:t>
      </w:r>
      <w:r w:rsidRPr="00FE50A6">
        <w:rPr>
          <w:lang w:val="en-US"/>
        </w:rPr>
        <w:t xml:space="preserve">The </w:t>
      </w:r>
      <w:r w:rsidR="00212AFD" w:rsidRPr="00FE50A6">
        <w:rPr>
          <w:lang w:val="en-US"/>
        </w:rPr>
        <w:t>Special Court for Sierra Leone</w:t>
      </w:r>
      <w:r w:rsidR="00207197" w:rsidRPr="00FE50A6">
        <w:rPr>
          <w:lang w:val="en-US"/>
        </w:rPr>
        <w:t xml:space="preserve"> </w:t>
      </w:r>
      <w:r w:rsidR="00212AFD" w:rsidRPr="00FE50A6">
        <w:rPr>
          <w:lang w:val="en-US"/>
        </w:rPr>
        <w:t xml:space="preserve">also considered </w:t>
      </w:r>
      <w:r w:rsidR="005F1946" w:rsidRPr="00FE50A6">
        <w:rPr>
          <w:lang w:val="en-US"/>
        </w:rPr>
        <w:t>forced labor</w:t>
      </w:r>
      <w:r w:rsidR="00207197" w:rsidRPr="00FE50A6">
        <w:rPr>
          <w:lang w:val="en-US"/>
        </w:rPr>
        <w:t xml:space="preserve"> </w:t>
      </w:r>
      <w:r w:rsidR="00212AFD" w:rsidRPr="00FE50A6">
        <w:rPr>
          <w:lang w:val="en-US"/>
        </w:rPr>
        <w:t>as a form of</w:t>
      </w:r>
      <w:r w:rsidR="00207197" w:rsidRPr="00FE50A6">
        <w:rPr>
          <w:lang w:val="en-US"/>
        </w:rPr>
        <w:t xml:space="preserve"> </w:t>
      </w:r>
      <w:r w:rsidR="00D11A9F" w:rsidRPr="00FE50A6">
        <w:rPr>
          <w:lang w:val="en-US"/>
        </w:rPr>
        <w:t>slavery</w:t>
      </w:r>
      <w:r w:rsidR="00212AFD" w:rsidRPr="00FE50A6">
        <w:rPr>
          <w:lang w:val="en-US"/>
        </w:rPr>
        <w:t xml:space="preserve"> in the </w:t>
      </w:r>
      <w:r w:rsidR="00212AFD" w:rsidRPr="00FE50A6">
        <w:rPr>
          <w:i/>
          <w:lang w:val="en-US"/>
        </w:rPr>
        <w:t>case of Charles Taylor</w:t>
      </w:r>
      <w:r w:rsidR="00212AFD" w:rsidRPr="00FE50A6">
        <w:rPr>
          <w:lang w:val="en-US"/>
        </w:rPr>
        <w:t>, among others. In</w:t>
      </w:r>
      <w:r w:rsidR="005A0481" w:rsidRPr="00FE50A6">
        <w:rPr>
          <w:lang w:val="en-US"/>
        </w:rPr>
        <w:t xml:space="preserve"> </w:t>
      </w:r>
      <w:r w:rsidR="00212AFD" w:rsidRPr="00FE50A6">
        <w:rPr>
          <w:lang w:val="en-US"/>
        </w:rPr>
        <w:t xml:space="preserve">this regard, it stated that </w:t>
      </w:r>
      <w:r w:rsidR="009C48A4" w:rsidRPr="00FE50A6">
        <w:rPr>
          <w:lang w:val="en-US"/>
        </w:rPr>
        <w:t>“</w:t>
      </w:r>
      <w:r w:rsidR="005A0481" w:rsidRPr="00FE50A6">
        <w:rPr>
          <w:lang w:val="en-US"/>
        </w:rPr>
        <w:t>[i]n order to establish forced labour as enslavement, the relevant consideration is whether ‘the relevant persons had no choice as to whether they would work,’ which is a factual determination,” rather than one based on the subjective perspective of the victims.</w:t>
      </w:r>
      <w:r w:rsidR="00207197" w:rsidRPr="00FE50A6">
        <w:rPr>
          <w:rStyle w:val="Refdenotaalpie"/>
          <w:lang w:val="en-US"/>
        </w:rPr>
        <w:footnoteReference w:id="391"/>
      </w:r>
      <w:r w:rsidR="00207197" w:rsidRPr="00FE50A6">
        <w:rPr>
          <w:lang w:val="en-US"/>
        </w:rPr>
        <w:t xml:space="preserve"> </w:t>
      </w:r>
    </w:p>
    <w:p w14:paraId="3A761CF9" w14:textId="77777777" w:rsidR="00207197" w:rsidRPr="00FE50A6" w:rsidRDefault="00207197" w:rsidP="00140440">
      <w:pPr>
        <w:jc w:val="both"/>
        <w:rPr>
          <w:lang w:val="en-US"/>
        </w:rPr>
      </w:pPr>
    </w:p>
    <w:p w14:paraId="60425A7E" w14:textId="77777777" w:rsidR="00207197" w:rsidRPr="00FE50A6" w:rsidRDefault="002071B1" w:rsidP="005A0481">
      <w:pPr>
        <w:pStyle w:val="Prrafodelista"/>
        <w:numPr>
          <w:ilvl w:val="0"/>
          <w:numId w:val="1"/>
        </w:numPr>
        <w:contextualSpacing w:val="0"/>
        <w:rPr>
          <w:lang w:val="en-US"/>
        </w:rPr>
      </w:pPr>
      <w:r w:rsidRPr="00FE50A6">
        <w:rPr>
          <w:lang w:val="en-US"/>
        </w:rPr>
        <w:t xml:space="preserve">The </w:t>
      </w:r>
      <w:r w:rsidR="00A627F6" w:rsidRPr="00FE50A6">
        <w:rPr>
          <w:lang w:val="en-US"/>
        </w:rPr>
        <w:t>Court of Justice of the Economic Community of West African States</w:t>
      </w:r>
      <w:r w:rsidR="005A0481" w:rsidRPr="00FE50A6">
        <w:rPr>
          <w:lang w:val="en-US"/>
        </w:rPr>
        <w:t xml:space="preserve"> </w:t>
      </w:r>
      <w:r w:rsidR="00207197" w:rsidRPr="00FE50A6">
        <w:rPr>
          <w:lang w:val="en-US"/>
        </w:rPr>
        <w:t>(</w:t>
      </w:r>
      <w:r w:rsidR="000228D0" w:rsidRPr="00FE50A6">
        <w:rPr>
          <w:lang w:val="en-US"/>
        </w:rPr>
        <w:t>hereinafter</w:t>
      </w:r>
      <w:r w:rsidR="00207197" w:rsidRPr="00FE50A6">
        <w:rPr>
          <w:lang w:val="en-US"/>
        </w:rPr>
        <w:t xml:space="preserve"> </w:t>
      </w:r>
      <w:r w:rsidR="00A627F6" w:rsidRPr="00FE50A6">
        <w:rPr>
          <w:lang w:val="en-US"/>
        </w:rPr>
        <w:t>also</w:t>
      </w:r>
      <w:r w:rsidR="00B2396C" w:rsidRPr="00FE50A6">
        <w:rPr>
          <w:lang w:val="en-US"/>
        </w:rPr>
        <w:t xml:space="preserve"> </w:t>
      </w:r>
      <w:r w:rsidR="009C48A4" w:rsidRPr="00FE50A6">
        <w:rPr>
          <w:lang w:val="en-US"/>
        </w:rPr>
        <w:t>“</w:t>
      </w:r>
      <w:r w:rsidR="005A0481" w:rsidRPr="00FE50A6">
        <w:rPr>
          <w:lang w:val="en-US"/>
        </w:rPr>
        <w:t>the</w:t>
      </w:r>
      <w:r w:rsidR="00B2396C" w:rsidRPr="00FE50A6">
        <w:rPr>
          <w:lang w:val="en-US"/>
        </w:rPr>
        <w:t xml:space="preserve"> </w:t>
      </w:r>
      <w:r w:rsidR="00A627F6" w:rsidRPr="00FE50A6">
        <w:rPr>
          <w:lang w:val="en-US"/>
        </w:rPr>
        <w:t>ECOWAS Court of Justice</w:t>
      </w:r>
      <w:r w:rsidR="009C48A4" w:rsidRPr="00FE50A6">
        <w:rPr>
          <w:lang w:val="en-US"/>
        </w:rPr>
        <w:t>”</w:t>
      </w:r>
      <w:r w:rsidR="00207197" w:rsidRPr="00FE50A6">
        <w:rPr>
          <w:lang w:val="en-US"/>
        </w:rPr>
        <w:t xml:space="preserve">), </w:t>
      </w:r>
      <w:r w:rsidR="005A0481" w:rsidRPr="00FE50A6">
        <w:rPr>
          <w:lang w:val="en-US"/>
        </w:rPr>
        <w:t>in the case of</w:t>
      </w:r>
      <w:r w:rsidR="00207197" w:rsidRPr="00FE50A6">
        <w:rPr>
          <w:lang w:val="en-US"/>
        </w:rPr>
        <w:t xml:space="preserve"> </w:t>
      </w:r>
      <w:r w:rsidR="00207197" w:rsidRPr="00FE50A6">
        <w:rPr>
          <w:i/>
          <w:lang w:val="en-US"/>
        </w:rPr>
        <w:t xml:space="preserve">Adijatou Mani Koraou </w:t>
      </w:r>
      <w:r w:rsidR="000228D0" w:rsidRPr="00FE50A6">
        <w:rPr>
          <w:i/>
          <w:lang w:val="en-US"/>
        </w:rPr>
        <w:t>v.</w:t>
      </w:r>
      <w:r w:rsidR="00207197" w:rsidRPr="00FE50A6">
        <w:rPr>
          <w:i/>
          <w:lang w:val="en-US"/>
        </w:rPr>
        <w:t xml:space="preserve"> Niger</w:t>
      </w:r>
      <w:r w:rsidR="005A0481" w:rsidRPr="00FE50A6">
        <w:rPr>
          <w:i/>
          <w:lang w:val="en-US"/>
        </w:rPr>
        <w:t>,</w:t>
      </w:r>
      <w:r w:rsidR="00207197" w:rsidRPr="00FE50A6">
        <w:rPr>
          <w:rStyle w:val="Refdenotaalpie"/>
          <w:lang w:val="en-US"/>
        </w:rPr>
        <w:footnoteReference w:id="392"/>
      </w:r>
      <w:r w:rsidR="00207197" w:rsidRPr="00FE50A6">
        <w:rPr>
          <w:lang w:val="en-US"/>
        </w:rPr>
        <w:t xml:space="preserve"> reaf</w:t>
      </w:r>
      <w:r w:rsidR="005A0481" w:rsidRPr="00FE50A6">
        <w:rPr>
          <w:lang w:val="en-US"/>
        </w:rPr>
        <w:t xml:space="preserve">firmed the absolute prohibition of </w:t>
      </w:r>
      <w:r w:rsidR="00D11A9F" w:rsidRPr="00FE50A6">
        <w:rPr>
          <w:lang w:val="en-US"/>
        </w:rPr>
        <w:t>slave</w:t>
      </w:r>
      <w:r w:rsidR="005A0481" w:rsidRPr="00FE50A6">
        <w:rPr>
          <w:lang w:val="en-US"/>
        </w:rPr>
        <w:t xml:space="preserve">ry </w:t>
      </w:r>
      <w:r w:rsidR="0064266E" w:rsidRPr="00FE50A6">
        <w:rPr>
          <w:lang w:val="en-US"/>
        </w:rPr>
        <w:t>under</w:t>
      </w:r>
      <w:r w:rsidR="005A0481" w:rsidRPr="00FE50A6">
        <w:rPr>
          <w:lang w:val="en-US"/>
        </w:rPr>
        <w:t xml:space="preserve"> international law and</w:t>
      </w:r>
      <w:r w:rsidR="0064266E" w:rsidRPr="00FE50A6">
        <w:rPr>
          <w:lang w:val="en-US"/>
        </w:rPr>
        <w:t xml:space="preserve"> in</w:t>
      </w:r>
      <w:r w:rsidR="005A0481" w:rsidRPr="00FE50A6">
        <w:rPr>
          <w:lang w:val="en-US"/>
        </w:rPr>
        <w:t xml:space="preserve"> the above-mentioned case, asserting that the crime of</w:t>
      </w:r>
      <w:r w:rsidR="00207197" w:rsidRPr="00FE50A6">
        <w:rPr>
          <w:lang w:val="en-US"/>
        </w:rPr>
        <w:t xml:space="preserve"> </w:t>
      </w:r>
      <w:r w:rsidR="00D11A9F" w:rsidRPr="00FE50A6">
        <w:rPr>
          <w:lang w:val="en-US"/>
        </w:rPr>
        <w:t>slavery</w:t>
      </w:r>
      <w:r w:rsidR="00207197" w:rsidRPr="00FE50A6">
        <w:rPr>
          <w:lang w:val="en-US"/>
        </w:rPr>
        <w:t xml:space="preserve"> </w:t>
      </w:r>
      <w:r w:rsidR="005A0481" w:rsidRPr="00FE50A6">
        <w:rPr>
          <w:lang w:val="en-US"/>
        </w:rPr>
        <w:t xml:space="preserve">was characterized </w:t>
      </w:r>
      <w:r w:rsidR="0064266E" w:rsidRPr="00FE50A6">
        <w:rPr>
          <w:lang w:val="en-US"/>
        </w:rPr>
        <w:t>by</w:t>
      </w:r>
      <w:r w:rsidR="005A0481" w:rsidRPr="00FE50A6">
        <w:rPr>
          <w:lang w:val="en-US"/>
        </w:rPr>
        <w:t xml:space="preserve"> the concept of the “powers relat</w:t>
      </w:r>
      <w:r w:rsidR="0064266E" w:rsidRPr="00FE50A6">
        <w:rPr>
          <w:lang w:val="en-US"/>
        </w:rPr>
        <w:t>ing</w:t>
      </w:r>
      <w:r w:rsidR="005A0481" w:rsidRPr="00FE50A6">
        <w:rPr>
          <w:lang w:val="en-US"/>
        </w:rPr>
        <w:t xml:space="preserve"> to ownership,” and considering, as a fundamental element, the degree of power or control exercised over the person. </w:t>
      </w:r>
      <w:r w:rsidRPr="00FE50A6">
        <w:rPr>
          <w:lang w:val="en-US"/>
        </w:rPr>
        <w:t xml:space="preserve">The </w:t>
      </w:r>
      <w:r w:rsidR="005A0481" w:rsidRPr="00FE50A6">
        <w:rPr>
          <w:lang w:val="en-US"/>
        </w:rPr>
        <w:t>ECOWAS Court of Justice</w:t>
      </w:r>
      <w:r w:rsidR="00207197" w:rsidRPr="00FE50A6">
        <w:rPr>
          <w:lang w:val="en-US"/>
        </w:rPr>
        <w:t xml:space="preserve"> </w:t>
      </w:r>
      <w:r w:rsidR="005A0481" w:rsidRPr="00FE50A6">
        <w:rPr>
          <w:lang w:val="en-US"/>
        </w:rPr>
        <w:t>agreed with</w:t>
      </w:r>
      <w:r w:rsidR="00207197" w:rsidRPr="00FE50A6">
        <w:rPr>
          <w:lang w:val="en-US"/>
        </w:rPr>
        <w:t xml:space="preserve"> </w:t>
      </w:r>
      <w:r w:rsidRPr="00FE50A6">
        <w:rPr>
          <w:lang w:val="en-US"/>
        </w:rPr>
        <w:t xml:space="preserve">the </w:t>
      </w:r>
      <w:r w:rsidR="00212AFD" w:rsidRPr="00FE50A6">
        <w:rPr>
          <w:lang w:val="en-US"/>
        </w:rPr>
        <w:t>Ad hoc International Criminal Tribunal for the former Yugoslavia</w:t>
      </w:r>
      <w:r w:rsidR="00207197" w:rsidRPr="00FE50A6">
        <w:rPr>
          <w:lang w:val="en-US"/>
        </w:rPr>
        <w:t xml:space="preserve"> (</w:t>
      </w:r>
      <w:r w:rsidR="00207197" w:rsidRPr="00FE50A6">
        <w:rPr>
          <w:i/>
          <w:lang w:val="en-US"/>
        </w:rPr>
        <w:t xml:space="preserve">Fiscal </w:t>
      </w:r>
      <w:r w:rsidR="000228D0" w:rsidRPr="00FE50A6">
        <w:rPr>
          <w:i/>
          <w:lang w:val="en-US"/>
        </w:rPr>
        <w:t>v.</w:t>
      </w:r>
      <w:r w:rsidR="00207197" w:rsidRPr="00FE50A6">
        <w:rPr>
          <w:i/>
          <w:lang w:val="en-US"/>
        </w:rPr>
        <w:t xml:space="preserve"> Kunarac</w:t>
      </w:r>
      <w:r w:rsidR="00207197" w:rsidRPr="00FE50A6">
        <w:rPr>
          <w:lang w:val="en-US"/>
        </w:rPr>
        <w:t xml:space="preserve">) </w:t>
      </w:r>
      <w:r w:rsidR="005A0481" w:rsidRPr="00FE50A6">
        <w:rPr>
          <w:lang w:val="en-US"/>
        </w:rPr>
        <w:t xml:space="preserve">that </w:t>
      </w:r>
      <w:r w:rsidR="00487F77" w:rsidRPr="00FE50A6">
        <w:rPr>
          <w:lang w:val="en-US"/>
        </w:rPr>
        <w:t>“</w:t>
      </w:r>
      <w:r w:rsidR="005A0481" w:rsidRPr="00FE50A6">
        <w:rPr>
          <w:lang w:val="en-US"/>
        </w:rPr>
        <w:t>enslavement depended on</w:t>
      </w:r>
      <w:r w:rsidR="00487F77" w:rsidRPr="00FE50A6">
        <w:rPr>
          <w:lang w:val="en-US"/>
        </w:rPr>
        <w:t xml:space="preserve"> the operation of</w:t>
      </w:r>
      <w:r w:rsidR="005A0481" w:rsidRPr="00FE50A6">
        <w:rPr>
          <w:lang w:val="en-US"/>
        </w:rPr>
        <w:t xml:space="preserve"> factors or </w:t>
      </w:r>
      <w:r w:rsidR="005A0481" w:rsidRPr="00FE50A6">
        <w:rPr>
          <w:i/>
          <w:lang w:val="en-US"/>
        </w:rPr>
        <w:t>indic</w:t>
      </w:r>
      <w:r w:rsidR="00487F77" w:rsidRPr="00FE50A6">
        <w:rPr>
          <w:i/>
          <w:lang w:val="en-US"/>
        </w:rPr>
        <w:t>ia</w:t>
      </w:r>
      <w:r w:rsidR="005A0481" w:rsidRPr="00FE50A6">
        <w:rPr>
          <w:lang w:val="en-US"/>
        </w:rPr>
        <w:t xml:space="preserve"> of </w:t>
      </w:r>
      <w:r w:rsidR="00487F77" w:rsidRPr="00FE50A6">
        <w:rPr>
          <w:lang w:val="en-US"/>
        </w:rPr>
        <w:t>enslavement</w:t>
      </w:r>
      <w:r w:rsidR="005A0481" w:rsidRPr="00FE50A6">
        <w:rPr>
          <w:lang w:val="en-US"/>
        </w:rPr>
        <w:t xml:space="preserve"> </w:t>
      </w:r>
      <w:r w:rsidR="00487F77" w:rsidRPr="00FE50A6">
        <w:rPr>
          <w:lang w:val="en-US"/>
        </w:rPr>
        <w:t>including</w:t>
      </w:r>
      <w:r w:rsidR="005A0481" w:rsidRPr="00FE50A6">
        <w:rPr>
          <w:lang w:val="en-US"/>
        </w:rPr>
        <w:t xml:space="preserve"> the control of a </w:t>
      </w:r>
      <w:r w:rsidR="00487F77" w:rsidRPr="00FE50A6">
        <w:rPr>
          <w:lang w:val="en-US"/>
        </w:rPr>
        <w:t>someone</w:t>
      </w:r>
      <w:r w:rsidR="005A0481" w:rsidRPr="00FE50A6">
        <w:rPr>
          <w:lang w:val="en-US"/>
        </w:rPr>
        <w:t>’s movement</w:t>
      </w:r>
      <w:r w:rsidR="00487F77" w:rsidRPr="00FE50A6">
        <w:rPr>
          <w:lang w:val="en-US"/>
        </w:rPr>
        <w:t xml:space="preserve">, control of </w:t>
      </w:r>
      <w:r w:rsidR="005A0481" w:rsidRPr="00FE50A6">
        <w:rPr>
          <w:lang w:val="en-US"/>
        </w:rPr>
        <w:t xml:space="preserve">physical environment, psychological control, measures to prevent or </w:t>
      </w:r>
      <w:r w:rsidR="00487F77" w:rsidRPr="00FE50A6">
        <w:rPr>
          <w:lang w:val="en-US"/>
        </w:rPr>
        <w:t>deter</w:t>
      </w:r>
      <w:r w:rsidR="005A0481" w:rsidRPr="00FE50A6">
        <w:rPr>
          <w:lang w:val="en-US"/>
        </w:rPr>
        <w:t xml:space="preserve"> escape, force, threat </w:t>
      </w:r>
      <w:r w:rsidR="00073CE0" w:rsidRPr="00FE50A6">
        <w:rPr>
          <w:lang w:val="en-US"/>
        </w:rPr>
        <w:t xml:space="preserve">of force </w:t>
      </w:r>
      <w:r w:rsidR="005A0481" w:rsidRPr="00FE50A6">
        <w:rPr>
          <w:lang w:val="en-US"/>
        </w:rPr>
        <w:t xml:space="preserve">or coercion, duration, </w:t>
      </w:r>
      <w:r w:rsidR="00073CE0" w:rsidRPr="00FE50A6">
        <w:rPr>
          <w:lang w:val="en-US"/>
        </w:rPr>
        <w:t xml:space="preserve">[…] </w:t>
      </w:r>
      <w:r w:rsidR="005A0481" w:rsidRPr="00FE50A6">
        <w:rPr>
          <w:lang w:val="en-US"/>
        </w:rPr>
        <w:t>subjection to cruel treatment and abuse, control of sexuality, and forced labor.</w:t>
      </w:r>
      <w:r w:rsidR="00207197" w:rsidRPr="00FE50A6">
        <w:rPr>
          <w:rStyle w:val="Refdenotaalpie"/>
          <w:lang w:val="en-US"/>
        </w:rPr>
        <w:footnoteReference w:id="393"/>
      </w:r>
      <w:r w:rsidR="00207197" w:rsidRPr="00FE50A6">
        <w:rPr>
          <w:lang w:val="en-US"/>
        </w:rPr>
        <w:t xml:space="preserve"> </w:t>
      </w:r>
    </w:p>
    <w:p w14:paraId="6C966C09" w14:textId="77777777" w:rsidR="00207197" w:rsidRPr="00FE50A6" w:rsidRDefault="00207197" w:rsidP="00140440">
      <w:pPr>
        <w:jc w:val="both"/>
        <w:rPr>
          <w:lang w:val="en-US"/>
        </w:rPr>
      </w:pPr>
    </w:p>
    <w:p w14:paraId="61BB946C" w14:textId="77777777" w:rsidR="00207197" w:rsidRPr="00FE50A6" w:rsidRDefault="005A0481" w:rsidP="00C54881">
      <w:pPr>
        <w:pStyle w:val="Prrafodelista"/>
        <w:numPr>
          <w:ilvl w:val="0"/>
          <w:numId w:val="1"/>
        </w:numPr>
        <w:contextualSpacing w:val="0"/>
        <w:rPr>
          <w:lang w:val="en-US"/>
        </w:rPr>
      </w:pPr>
      <w:r w:rsidRPr="00FE50A6">
        <w:rPr>
          <w:lang w:val="en-US"/>
        </w:rPr>
        <w:t>In</w:t>
      </w:r>
      <w:r w:rsidR="00207197" w:rsidRPr="00FE50A6">
        <w:rPr>
          <w:lang w:val="en-US"/>
        </w:rPr>
        <w:t xml:space="preserve"> 2005</w:t>
      </w:r>
      <w:r w:rsidRPr="00FE50A6">
        <w:rPr>
          <w:lang w:val="en-US"/>
        </w:rPr>
        <w:t>,</w:t>
      </w:r>
      <w:r w:rsidR="00207197" w:rsidRPr="00FE50A6">
        <w:rPr>
          <w:lang w:val="en-US"/>
        </w:rPr>
        <w:t xml:space="preserve"> </w:t>
      </w:r>
      <w:r w:rsidR="002071B1" w:rsidRPr="00FE50A6">
        <w:rPr>
          <w:lang w:val="en-US"/>
        </w:rPr>
        <w:t xml:space="preserve">the </w:t>
      </w:r>
      <w:r w:rsidR="00B44229" w:rsidRPr="00FE50A6">
        <w:rPr>
          <w:lang w:val="en-US"/>
        </w:rPr>
        <w:t>European Court of Human Rights</w:t>
      </w:r>
      <w:r w:rsidR="00207197" w:rsidRPr="00FE50A6">
        <w:rPr>
          <w:lang w:val="en-US"/>
        </w:rPr>
        <w:t xml:space="preserve"> </w:t>
      </w:r>
      <w:r w:rsidRPr="00FE50A6">
        <w:rPr>
          <w:lang w:val="en-US"/>
        </w:rPr>
        <w:t xml:space="preserve">had the occasion to examine the phenomenon of slavery and servitude for the first time in the </w:t>
      </w:r>
      <w:r w:rsidRPr="00FE50A6">
        <w:rPr>
          <w:i/>
          <w:lang w:val="en-US"/>
        </w:rPr>
        <w:t>c</w:t>
      </w:r>
      <w:r w:rsidR="00207197" w:rsidRPr="00FE50A6">
        <w:rPr>
          <w:i/>
          <w:lang w:val="en-US"/>
        </w:rPr>
        <w:t>as</w:t>
      </w:r>
      <w:r w:rsidRPr="00FE50A6">
        <w:rPr>
          <w:i/>
          <w:lang w:val="en-US"/>
        </w:rPr>
        <w:t>e of</w:t>
      </w:r>
      <w:r w:rsidR="00207197" w:rsidRPr="00FE50A6">
        <w:rPr>
          <w:lang w:val="en-US"/>
        </w:rPr>
        <w:t xml:space="preserve"> </w:t>
      </w:r>
      <w:r w:rsidR="00207197" w:rsidRPr="00FE50A6">
        <w:rPr>
          <w:i/>
          <w:lang w:val="en-US"/>
        </w:rPr>
        <w:t xml:space="preserve">Siliadin </w:t>
      </w:r>
      <w:r w:rsidR="000228D0" w:rsidRPr="00FE50A6">
        <w:rPr>
          <w:i/>
          <w:lang w:val="en-US"/>
        </w:rPr>
        <w:t>v.</w:t>
      </w:r>
      <w:r w:rsidR="00207197" w:rsidRPr="00FE50A6">
        <w:rPr>
          <w:i/>
          <w:lang w:val="en-US"/>
        </w:rPr>
        <w:t xml:space="preserve"> Franc</w:t>
      </w:r>
      <w:r w:rsidRPr="00FE50A6">
        <w:rPr>
          <w:i/>
          <w:lang w:val="en-US"/>
        </w:rPr>
        <w:t>e.</w:t>
      </w:r>
      <w:r w:rsidR="00207197" w:rsidRPr="00FE50A6">
        <w:rPr>
          <w:vertAlign w:val="superscript"/>
          <w:lang w:val="en-US"/>
        </w:rPr>
        <w:footnoteReference w:id="394"/>
      </w:r>
      <w:r w:rsidR="00207197" w:rsidRPr="00FE50A6">
        <w:rPr>
          <w:lang w:val="en-US"/>
        </w:rPr>
        <w:t xml:space="preserve"> </w:t>
      </w:r>
      <w:r w:rsidRPr="00FE50A6">
        <w:rPr>
          <w:lang w:val="en-US"/>
        </w:rPr>
        <w:t xml:space="preserve">Although the ECHR did not classify the specific situation in litigation as </w:t>
      </w:r>
      <w:r w:rsidR="00D11A9F" w:rsidRPr="00FE50A6">
        <w:rPr>
          <w:lang w:val="en-US"/>
        </w:rPr>
        <w:t>slavery</w:t>
      </w:r>
      <w:r w:rsidR="004242F3" w:rsidRPr="00FE50A6">
        <w:rPr>
          <w:lang w:val="en-US"/>
        </w:rPr>
        <w:t xml:space="preserve"> (</w:t>
      </w:r>
      <w:r w:rsidRPr="00FE50A6">
        <w:rPr>
          <w:lang w:val="en-US"/>
        </w:rPr>
        <w:t xml:space="preserve">understood at that time in the sense of the classic definition of the 1926 </w:t>
      </w:r>
      <w:r w:rsidR="000228D0" w:rsidRPr="00FE50A6">
        <w:rPr>
          <w:lang w:val="en-US"/>
        </w:rPr>
        <w:t>Convention</w:t>
      </w:r>
      <w:r w:rsidR="00207197" w:rsidRPr="00FE50A6">
        <w:rPr>
          <w:lang w:val="en-US"/>
        </w:rPr>
        <w:t xml:space="preserve">), </w:t>
      </w:r>
      <w:r w:rsidRPr="00FE50A6">
        <w:rPr>
          <w:lang w:val="en-US"/>
        </w:rPr>
        <w:t xml:space="preserve">it considered that the situation of Ms. </w:t>
      </w:r>
      <w:r w:rsidR="00207197" w:rsidRPr="00FE50A6">
        <w:rPr>
          <w:lang w:val="en-US"/>
        </w:rPr>
        <w:t>Siliadin constitu</w:t>
      </w:r>
      <w:r w:rsidRPr="00FE50A6">
        <w:rPr>
          <w:lang w:val="en-US"/>
        </w:rPr>
        <w:t xml:space="preserve">ted servitude. In this regard, it mentioned, </w:t>
      </w:r>
      <w:r w:rsidRPr="00FE50A6">
        <w:rPr>
          <w:i/>
          <w:lang w:val="en-US"/>
        </w:rPr>
        <w:t>inter alia</w:t>
      </w:r>
      <w:r w:rsidRPr="00FE50A6">
        <w:rPr>
          <w:lang w:val="en-US"/>
        </w:rPr>
        <w:t xml:space="preserve">, the 1956 Supplementary Convention. Thus, it concluded that servitude </w:t>
      </w:r>
      <w:r w:rsidR="00C54881" w:rsidRPr="00FE50A6">
        <w:rPr>
          <w:lang w:val="en-US"/>
        </w:rPr>
        <w:t>meant “an</w:t>
      </w:r>
      <w:r w:rsidRPr="00FE50A6">
        <w:rPr>
          <w:lang w:val="en-US"/>
        </w:rPr>
        <w:t xml:space="preserve"> obligation to provide </w:t>
      </w:r>
      <w:r w:rsidR="00C54881" w:rsidRPr="00FE50A6">
        <w:rPr>
          <w:lang w:val="en-US"/>
        </w:rPr>
        <w:t xml:space="preserve">one’s </w:t>
      </w:r>
      <w:r w:rsidRPr="00FE50A6">
        <w:rPr>
          <w:lang w:val="en-US"/>
        </w:rPr>
        <w:t xml:space="preserve">services </w:t>
      </w:r>
      <w:r w:rsidR="00C54881" w:rsidRPr="00FE50A6">
        <w:rPr>
          <w:lang w:val="en-US"/>
        </w:rPr>
        <w:t>that is imposed by the use of coercion, and is to be linked wit</w:t>
      </w:r>
      <w:r w:rsidR="0095325A" w:rsidRPr="00FE50A6">
        <w:rPr>
          <w:lang w:val="en-US"/>
        </w:rPr>
        <w:t>h</w:t>
      </w:r>
      <w:r w:rsidR="00C54881" w:rsidRPr="00FE50A6">
        <w:rPr>
          <w:lang w:val="en-US"/>
        </w:rPr>
        <w:t xml:space="preserve"> the concept of ‘slavery.’”</w:t>
      </w:r>
      <w:r w:rsidRPr="00FE50A6">
        <w:rPr>
          <w:lang w:val="en-US"/>
        </w:rPr>
        <w:t xml:space="preserve"> </w:t>
      </w:r>
      <w:r w:rsidR="00C54881" w:rsidRPr="00FE50A6">
        <w:rPr>
          <w:lang w:val="en-US"/>
        </w:rPr>
        <w:t>In addition, the “serf” has the obligation to live on another person’s property and [finds himself in] the impossibility of altering his condition.”</w:t>
      </w:r>
      <w:r w:rsidR="00207197" w:rsidRPr="00FE50A6">
        <w:rPr>
          <w:rStyle w:val="Refdenotaalpie"/>
          <w:lang w:val="en-US"/>
        </w:rPr>
        <w:footnoteReference w:id="395"/>
      </w:r>
      <w:r w:rsidR="00C54881" w:rsidRPr="00FE50A6">
        <w:rPr>
          <w:lang w:val="en-US"/>
        </w:rPr>
        <w:t xml:space="preserve"> Other relevant facts to determine the condition of servitude were the fact that the victim was “a minor and she had no resources and was vulnerable and isolated, and had no means of living elsewhere” and was entirely at the mercy of her tormentors, without freedom of movement or free time.</w:t>
      </w:r>
      <w:r w:rsidR="00207197" w:rsidRPr="00FE50A6">
        <w:rPr>
          <w:rStyle w:val="Refdenotaalpie"/>
          <w:lang w:val="en-US"/>
        </w:rPr>
        <w:footnoteReference w:id="396"/>
      </w:r>
      <w:r w:rsidR="00207197" w:rsidRPr="00FE50A6">
        <w:rPr>
          <w:lang w:val="en-US"/>
        </w:rPr>
        <w:t xml:space="preserve">   </w:t>
      </w:r>
    </w:p>
    <w:p w14:paraId="7439D683" w14:textId="77777777" w:rsidR="00207197" w:rsidRPr="00FE50A6" w:rsidRDefault="00207197" w:rsidP="00140440">
      <w:pPr>
        <w:jc w:val="both"/>
        <w:rPr>
          <w:lang w:val="en-US"/>
        </w:rPr>
      </w:pPr>
    </w:p>
    <w:p w14:paraId="69E75347" w14:textId="77777777" w:rsidR="00207197" w:rsidRPr="00FE50A6" w:rsidRDefault="00C54881" w:rsidP="00F37DC4">
      <w:pPr>
        <w:pStyle w:val="Prrafodelista"/>
        <w:numPr>
          <w:ilvl w:val="0"/>
          <w:numId w:val="1"/>
        </w:numPr>
        <w:contextualSpacing w:val="0"/>
        <w:rPr>
          <w:lang w:val="en-US"/>
        </w:rPr>
      </w:pPr>
      <w:r w:rsidRPr="00FE50A6">
        <w:rPr>
          <w:lang w:val="en-US"/>
        </w:rPr>
        <w:t>In addition, in a more recent jud</w:t>
      </w:r>
      <w:r w:rsidR="00487F77" w:rsidRPr="00FE50A6">
        <w:rPr>
          <w:lang w:val="en-US"/>
        </w:rPr>
        <w:t>g</w:t>
      </w:r>
      <w:r w:rsidRPr="00FE50A6">
        <w:rPr>
          <w:lang w:val="en-US"/>
        </w:rPr>
        <w:t xml:space="preserve">ment, in </w:t>
      </w:r>
      <w:r w:rsidR="00207197" w:rsidRPr="00FE50A6">
        <w:rPr>
          <w:lang w:val="en-US"/>
        </w:rPr>
        <w:t xml:space="preserve">2010, </w:t>
      </w:r>
      <w:r w:rsidR="002071B1" w:rsidRPr="00FE50A6">
        <w:rPr>
          <w:lang w:val="en-US"/>
        </w:rPr>
        <w:t xml:space="preserve">the </w:t>
      </w:r>
      <w:r w:rsidR="00B44229" w:rsidRPr="00FE50A6">
        <w:rPr>
          <w:lang w:val="en-US"/>
        </w:rPr>
        <w:t>European Court</w:t>
      </w:r>
      <w:r w:rsidR="00207197" w:rsidRPr="00FE50A6">
        <w:rPr>
          <w:lang w:val="en-US"/>
        </w:rPr>
        <w:t xml:space="preserve"> </w:t>
      </w:r>
      <w:r w:rsidRPr="00FE50A6">
        <w:rPr>
          <w:lang w:val="en-US"/>
        </w:rPr>
        <w:t xml:space="preserve">diverged from the “classic” definition of </w:t>
      </w:r>
      <w:r w:rsidR="00487F77" w:rsidRPr="00FE50A6">
        <w:rPr>
          <w:lang w:val="en-US"/>
        </w:rPr>
        <w:t>servitude</w:t>
      </w:r>
      <w:r w:rsidRPr="00FE50A6">
        <w:rPr>
          <w:lang w:val="en-US"/>
        </w:rPr>
        <w:t xml:space="preserve"> mentioned in the </w:t>
      </w:r>
      <w:r w:rsidR="00207197" w:rsidRPr="00FE50A6">
        <w:rPr>
          <w:i/>
          <w:lang w:val="en-US"/>
        </w:rPr>
        <w:t>Siliadin</w:t>
      </w:r>
      <w:r w:rsidR="00207197" w:rsidRPr="00FE50A6">
        <w:rPr>
          <w:lang w:val="en-US"/>
        </w:rPr>
        <w:t xml:space="preserve"> </w:t>
      </w:r>
      <w:r w:rsidR="00487F77" w:rsidRPr="00FE50A6">
        <w:rPr>
          <w:lang w:val="en-US"/>
        </w:rPr>
        <w:t>case, to recognize, as had</w:t>
      </w:r>
      <w:r w:rsidR="00207197" w:rsidRPr="00FE50A6">
        <w:rPr>
          <w:lang w:val="en-US"/>
        </w:rPr>
        <w:t xml:space="preserve"> </w:t>
      </w:r>
      <w:r w:rsidR="002071B1" w:rsidRPr="00FE50A6">
        <w:rPr>
          <w:lang w:val="en-US"/>
        </w:rPr>
        <w:t xml:space="preserve">the </w:t>
      </w:r>
      <w:r w:rsidR="00212AFD" w:rsidRPr="00FE50A6">
        <w:rPr>
          <w:lang w:val="en-US"/>
        </w:rPr>
        <w:t>Ad hoc International Criminal Tribunal for the former Yugoslavia</w:t>
      </w:r>
      <w:r w:rsidR="00207197" w:rsidRPr="00FE50A6">
        <w:rPr>
          <w:lang w:val="en-US"/>
        </w:rPr>
        <w:t xml:space="preserve"> </w:t>
      </w:r>
      <w:r w:rsidR="00487F77" w:rsidRPr="00FE50A6">
        <w:rPr>
          <w:lang w:val="en-US"/>
        </w:rPr>
        <w:t>in the</w:t>
      </w:r>
      <w:r w:rsidR="00207197" w:rsidRPr="00FE50A6">
        <w:rPr>
          <w:i/>
          <w:lang w:val="en-US"/>
        </w:rPr>
        <w:t xml:space="preserve"> Kunarac</w:t>
      </w:r>
      <w:r w:rsidR="00207197" w:rsidRPr="00FE50A6">
        <w:rPr>
          <w:lang w:val="en-US"/>
        </w:rPr>
        <w:t xml:space="preserve"> </w:t>
      </w:r>
      <w:r w:rsidR="00487F77" w:rsidRPr="00FE50A6">
        <w:rPr>
          <w:lang w:val="en-US"/>
        </w:rPr>
        <w:t>case, that “the traditional concept of “</w:t>
      </w:r>
      <w:r w:rsidR="00D11A9F" w:rsidRPr="00FE50A6">
        <w:rPr>
          <w:lang w:val="en-US"/>
        </w:rPr>
        <w:t>slavery</w:t>
      </w:r>
      <w:r w:rsidR="00487F77" w:rsidRPr="00FE50A6">
        <w:rPr>
          <w:lang w:val="en-US"/>
        </w:rPr>
        <w:t>”</w:t>
      </w:r>
      <w:r w:rsidR="00207197" w:rsidRPr="00FE50A6">
        <w:rPr>
          <w:lang w:val="en-US"/>
        </w:rPr>
        <w:t xml:space="preserve"> ha</w:t>
      </w:r>
      <w:r w:rsidR="00487F77" w:rsidRPr="00FE50A6">
        <w:rPr>
          <w:lang w:val="en-US"/>
        </w:rPr>
        <w:t xml:space="preserve">s evolved to encompass various contemporary forms of slavery based on the exercise of any or all of the powers attaching to the right of ownership,” reiterating the relevant factors listed by </w:t>
      </w:r>
      <w:r w:rsidR="002071B1" w:rsidRPr="00FE50A6">
        <w:rPr>
          <w:lang w:val="en-US"/>
        </w:rPr>
        <w:t xml:space="preserve">the </w:t>
      </w:r>
      <w:r w:rsidR="00212AFD" w:rsidRPr="00FE50A6">
        <w:rPr>
          <w:lang w:val="en-US"/>
        </w:rPr>
        <w:t>Ad hoc International Criminal Tribunal for the former Yugoslavia</w:t>
      </w:r>
      <w:r w:rsidR="00207197" w:rsidRPr="00FE50A6">
        <w:rPr>
          <w:lang w:val="en-US"/>
        </w:rPr>
        <w:t xml:space="preserve"> </w:t>
      </w:r>
      <w:r w:rsidR="00487F77" w:rsidRPr="00FE50A6">
        <w:rPr>
          <w:lang w:val="en-US"/>
        </w:rPr>
        <w:t>to</w:t>
      </w:r>
      <w:r w:rsidR="00207197" w:rsidRPr="00FE50A6">
        <w:rPr>
          <w:lang w:val="en-US"/>
        </w:rPr>
        <w:t xml:space="preserve"> determin</w:t>
      </w:r>
      <w:r w:rsidR="00487F77" w:rsidRPr="00FE50A6">
        <w:rPr>
          <w:lang w:val="en-US"/>
        </w:rPr>
        <w:t xml:space="preserve">e whether the situation in question represented a contemporary form of </w:t>
      </w:r>
      <w:r w:rsidR="00D11A9F" w:rsidRPr="00FE50A6">
        <w:rPr>
          <w:lang w:val="en-US"/>
        </w:rPr>
        <w:t>slavery</w:t>
      </w:r>
      <w:r w:rsidR="00073CE0" w:rsidRPr="00FE50A6">
        <w:rPr>
          <w:lang w:val="en-US"/>
        </w:rPr>
        <w:t>.</w:t>
      </w:r>
      <w:r w:rsidR="00207197" w:rsidRPr="00FE50A6">
        <w:rPr>
          <w:rStyle w:val="Refdenotaalpie"/>
          <w:lang w:val="en-US"/>
        </w:rPr>
        <w:footnoteReference w:id="397"/>
      </w:r>
      <w:r w:rsidR="00207197" w:rsidRPr="00FE50A6">
        <w:rPr>
          <w:lang w:val="en-US"/>
        </w:rPr>
        <w:t xml:space="preserve"> </w:t>
      </w:r>
    </w:p>
    <w:p w14:paraId="6A72B603" w14:textId="77777777" w:rsidR="0065579B" w:rsidRPr="00FE50A6" w:rsidRDefault="0065579B" w:rsidP="0065579B">
      <w:pPr>
        <w:pStyle w:val="Prrafodelista"/>
        <w:rPr>
          <w:lang w:val="en-US"/>
        </w:rPr>
      </w:pPr>
    </w:p>
    <w:p w14:paraId="4DBD8E85" w14:textId="77777777" w:rsidR="00207197" w:rsidRPr="00FE50A6" w:rsidRDefault="0065579B" w:rsidP="00140440">
      <w:pPr>
        <w:pStyle w:val="Prrafodelista"/>
        <w:numPr>
          <w:ilvl w:val="0"/>
          <w:numId w:val="1"/>
        </w:numPr>
        <w:contextualSpacing w:val="0"/>
        <w:rPr>
          <w:lang w:val="en-US"/>
        </w:rPr>
      </w:pPr>
      <w:r w:rsidRPr="00FE50A6">
        <w:rPr>
          <w:lang w:val="en-US"/>
        </w:rPr>
        <w:t>Re</w:t>
      </w:r>
      <w:r w:rsidR="00073CE0" w:rsidRPr="00FE50A6">
        <w:rPr>
          <w:lang w:val="en-US"/>
        </w:rPr>
        <w:t>cently, the Extraordinary Chambers in the Courts of Cambodia, in the judgment</w:t>
      </w:r>
      <w:r w:rsidR="000A463D" w:rsidRPr="00FE50A6">
        <w:rPr>
          <w:lang w:val="en-US"/>
        </w:rPr>
        <w:t xml:space="preserve"> on appeal</w:t>
      </w:r>
      <w:r w:rsidR="00073CE0" w:rsidRPr="00FE50A6">
        <w:rPr>
          <w:lang w:val="en-US"/>
        </w:rPr>
        <w:t xml:space="preserve"> in the </w:t>
      </w:r>
      <w:r w:rsidRPr="00FE50A6">
        <w:rPr>
          <w:i/>
          <w:lang w:val="en-US"/>
        </w:rPr>
        <w:t>Duch</w:t>
      </w:r>
      <w:r w:rsidR="00073CE0" w:rsidRPr="00FE50A6">
        <w:rPr>
          <w:i/>
          <w:lang w:val="en-US"/>
        </w:rPr>
        <w:t xml:space="preserve"> case,</w:t>
      </w:r>
      <w:r w:rsidRPr="00FE50A6">
        <w:rPr>
          <w:rStyle w:val="Refdenotaalpie"/>
          <w:lang w:val="en-US"/>
        </w:rPr>
        <w:footnoteReference w:id="398"/>
      </w:r>
      <w:r w:rsidRPr="00FE50A6">
        <w:rPr>
          <w:lang w:val="en-US"/>
        </w:rPr>
        <w:t xml:space="preserve"> </w:t>
      </w:r>
      <w:r w:rsidR="000A463D" w:rsidRPr="00FE50A6">
        <w:rPr>
          <w:lang w:val="en-US"/>
        </w:rPr>
        <w:t>used the evolution of the concept of slavery to esta</w:t>
      </w:r>
      <w:r w:rsidR="00837AC5" w:rsidRPr="00FE50A6">
        <w:rPr>
          <w:lang w:val="en-US"/>
        </w:rPr>
        <w:t>bl</w:t>
      </w:r>
      <w:r w:rsidR="000A463D" w:rsidRPr="00FE50A6">
        <w:rPr>
          <w:lang w:val="en-US"/>
        </w:rPr>
        <w:t xml:space="preserve">ish its definition in the </w:t>
      </w:r>
      <w:r w:rsidR="00837AC5" w:rsidRPr="00FE50A6">
        <w:rPr>
          <w:lang w:val="en-US"/>
        </w:rPr>
        <w:t>sense</w:t>
      </w:r>
      <w:r w:rsidR="000A463D" w:rsidRPr="00FE50A6">
        <w:rPr>
          <w:lang w:val="en-US"/>
        </w:rPr>
        <w:t xml:space="preserve"> used by </w:t>
      </w:r>
      <w:r w:rsidR="002071B1" w:rsidRPr="00FE50A6">
        <w:rPr>
          <w:lang w:val="en-US"/>
        </w:rPr>
        <w:t xml:space="preserve">the </w:t>
      </w:r>
      <w:r w:rsidR="00212AFD" w:rsidRPr="00FE50A6">
        <w:rPr>
          <w:lang w:val="en-US"/>
        </w:rPr>
        <w:t>Ad hoc International Criminal Tribunal for the former Yugoslavia</w:t>
      </w:r>
      <w:r w:rsidR="00577388" w:rsidRPr="00FE50A6">
        <w:rPr>
          <w:lang w:val="en-US"/>
        </w:rPr>
        <w:t xml:space="preserve"> </w:t>
      </w:r>
      <w:r w:rsidR="000A463D" w:rsidRPr="00FE50A6">
        <w:rPr>
          <w:lang w:val="en-US"/>
        </w:rPr>
        <w:t>in</w:t>
      </w:r>
      <w:r w:rsidR="00577388" w:rsidRPr="00FE50A6">
        <w:rPr>
          <w:lang w:val="en-US"/>
        </w:rPr>
        <w:t xml:space="preserve"> </w:t>
      </w:r>
      <w:r w:rsidR="00577388" w:rsidRPr="00FE50A6">
        <w:rPr>
          <w:i/>
          <w:lang w:val="en-US"/>
        </w:rPr>
        <w:t>Kunarac</w:t>
      </w:r>
      <w:r w:rsidR="000A463D" w:rsidRPr="00FE50A6">
        <w:rPr>
          <w:i/>
          <w:lang w:val="en-US"/>
        </w:rPr>
        <w:t>,</w:t>
      </w:r>
      <w:r w:rsidR="00030C17" w:rsidRPr="00FE50A6">
        <w:rPr>
          <w:lang w:val="en-US"/>
        </w:rPr>
        <w:t xml:space="preserve"> and</w:t>
      </w:r>
      <w:r w:rsidR="00837AC5" w:rsidRPr="00FE50A6">
        <w:rPr>
          <w:lang w:val="en-US"/>
        </w:rPr>
        <w:t xml:space="preserve"> the international courts mentioned above.</w:t>
      </w:r>
    </w:p>
    <w:p w14:paraId="7C1160B3" w14:textId="77777777" w:rsidR="00837AC5" w:rsidRPr="00FE50A6" w:rsidRDefault="00837AC5" w:rsidP="00837AC5">
      <w:pPr>
        <w:pStyle w:val="Prrafodelista"/>
        <w:ind w:left="0"/>
        <w:contextualSpacing w:val="0"/>
        <w:rPr>
          <w:lang w:val="en-US"/>
        </w:rPr>
      </w:pPr>
    </w:p>
    <w:p w14:paraId="41B7B1CE" w14:textId="77777777" w:rsidR="00207197" w:rsidRPr="00FE50A6" w:rsidRDefault="000228D0" w:rsidP="00F37DC4">
      <w:pPr>
        <w:pStyle w:val="Prrafodelista"/>
        <w:numPr>
          <w:ilvl w:val="0"/>
          <w:numId w:val="1"/>
        </w:numPr>
        <w:contextualSpacing w:val="0"/>
        <w:rPr>
          <w:bCs/>
          <w:lang w:val="en-US"/>
        </w:rPr>
      </w:pPr>
      <w:r w:rsidRPr="00FE50A6">
        <w:rPr>
          <w:lang w:val="en-US"/>
        </w:rPr>
        <w:t xml:space="preserve">The </w:t>
      </w:r>
      <w:r w:rsidR="0055567E" w:rsidRPr="00FE50A6">
        <w:rPr>
          <w:lang w:val="en-US"/>
        </w:rPr>
        <w:t>African Commission on Human and Peoples’ Rights</w:t>
      </w:r>
      <w:r w:rsidR="0095325A" w:rsidRPr="00FE50A6">
        <w:rPr>
          <w:lang w:val="en-US"/>
        </w:rPr>
        <w:t>,</w:t>
      </w:r>
      <w:r w:rsidR="00207197" w:rsidRPr="00FE50A6">
        <w:rPr>
          <w:lang w:val="en-US"/>
        </w:rPr>
        <w:t xml:space="preserve"> </w:t>
      </w:r>
      <w:r w:rsidR="0055567E" w:rsidRPr="00FE50A6">
        <w:rPr>
          <w:lang w:val="en-US"/>
        </w:rPr>
        <w:t>in the case of the</w:t>
      </w:r>
      <w:r w:rsidR="00207197" w:rsidRPr="00FE50A6">
        <w:rPr>
          <w:lang w:val="en-US"/>
        </w:rPr>
        <w:t xml:space="preserve"> </w:t>
      </w:r>
      <w:r w:rsidR="00207197" w:rsidRPr="00FE50A6">
        <w:rPr>
          <w:i/>
          <w:lang w:val="en-US"/>
        </w:rPr>
        <w:t>Malawi African Association</w:t>
      </w:r>
      <w:r w:rsidR="00030C17" w:rsidRPr="00FE50A6">
        <w:rPr>
          <w:lang w:val="en-US"/>
        </w:rPr>
        <w:t xml:space="preserve"> </w:t>
      </w:r>
      <w:r w:rsidR="0055567E" w:rsidRPr="00FE50A6">
        <w:rPr>
          <w:i/>
          <w:lang w:val="en-US"/>
        </w:rPr>
        <w:t>and Others</w:t>
      </w:r>
      <w:r w:rsidR="00B44229" w:rsidRPr="00FE50A6">
        <w:rPr>
          <w:i/>
          <w:lang w:val="en-US"/>
        </w:rPr>
        <w:t xml:space="preserve"> v.</w:t>
      </w:r>
      <w:r w:rsidR="00207197" w:rsidRPr="00FE50A6">
        <w:rPr>
          <w:i/>
          <w:lang w:val="en-US"/>
        </w:rPr>
        <w:t xml:space="preserve"> Mauritania</w:t>
      </w:r>
      <w:r w:rsidR="00207197" w:rsidRPr="00FE50A6">
        <w:rPr>
          <w:bCs/>
          <w:vertAlign w:val="superscript"/>
          <w:lang w:val="en-US"/>
        </w:rPr>
        <w:footnoteReference w:id="399"/>
      </w:r>
      <w:r w:rsidR="00EB33A4" w:rsidRPr="00FE50A6">
        <w:rPr>
          <w:lang w:val="en-US"/>
        </w:rPr>
        <w:t xml:space="preserve"> </w:t>
      </w:r>
      <w:r w:rsidR="0055567E" w:rsidRPr="00FE50A6">
        <w:rPr>
          <w:lang w:val="en-US"/>
        </w:rPr>
        <w:t xml:space="preserve">on “practices analogous to slavery” and racial discrimination against Black ethnic groups, considered that </w:t>
      </w:r>
      <w:r w:rsidRPr="00FE50A6">
        <w:rPr>
          <w:lang w:val="en-US"/>
        </w:rPr>
        <w:t>Article</w:t>
      </w:r>
      <w:r w:rsidR="00207197" w:rsidRPr="00FE50A6">
        <w:rPr>
          <w:lang w:val="en-US"/>
        </w:rPr>
        <w:t xml:space="preserve"> 5 </w:t>
      </w:r>
      <w:r w:rsidR="0055567E" w:rsidRPr="00FE50A6">
        <w:rPr>
          <w:lang w:val="en-US"/>
        </w:rPr>
        <w:t>of the</w:t>
      </w:r>
      <w:r w:rsidR="00207197" w:rsidRPr="00FE50A6">
        <w:rPr>
          <w:lang w:val="en-US"/>
        </w:rPr>
        <w:t xml:space="preserve"> </w:t>
      </w:r>
      <w:r w:rsidR="008232F3" w:rsidRPr="00FE50A6">
        <w:rPr>
          <w:lang w:val="en-US"/>
        </w:rPr>
        <w:t>African Charter on Human and Peoples’ Rights</w:t>
      </w:r>
      <w:r w:rsidR="0055567E" w:rsidRPr="00FE50A6">
        <w:rPr>
          <w:lang w:val="en-US"/>
        </w:rPr>
        <w:t xml:space="preserve"> had been violated,</w:t>
      </w:r>
      <w:r w:rsidR="00207197" w:rsidRPr="00FE50A6">
        <w:rPr>
          <w:rStyle w:val="Refdenotaalpie"/>
          <w:iCs/>
          <w:lang w:val="en-US"/>
        </w:rPr>
        <w:footnoteReference w:id="400"/>
      </w:r>
      <w:r w:rsidR="0055567E" w:rsidRPr="00FE50A6">
        <w:rPr>
          <w:lang w:val="en-US"/>
        </w:rPr>
        <w:t xml:space="preserve"> owing to the</w:t>
      </w:r>
      <w:r w:rsidR="0095325A" w:rsidRPr="00FE50A6">
        <w:rPr>
          <w:lang w:val="en-US"/>
        </w:rPr>
        <w:t xml:space="preserve"> State’s</w:t>
      </w:r>
      <w:r w:rsidR="0055567E" w:rsidRPr="00FE50A6">
        <w:rPr>
          <w:lang w:val="en-US"/>
        </w:rPr>
        <w:t xml:space="preserve"> </w:t>
      </w:r>
      <w:r w:rsidR="0095325A" w:rsidRPr="00FE50A6">
        <w:rPr>
          <w:lang w:val="en-US"/>
        </w:rPr>
        <w:t xml:space="preserve">failure </w:t>
      </w:r>
      <w:r w:rsidR="0055567E" w:rsidRPr="00FE50A6">
        <w:rPr>
          <w:lang w:val="en-US"/>
        </w:rPr>
        <w:t>to prevent practices similar to slavery in its territory.</w:t>
      </w:r>
    </w:p>
    <w:p w14:paraId="3F2D1290" w14:textId="77777777" w:rsidR="00207197" w:rsidRPr="00FE50A6" w:rsidRDefault="00207197" w:rsidP="00140440">
      <w:pPr>
        <w:jc w:val="both"/>
        <w:rPr>
          <w:lang w:val="en-US"/>
        </w:rPr>
      </w:pPr>
    </w:p>
    <w:p w14:paraId="3F2DF947" w14:textId="77777777" w:rsidR="00207197" w:rsidRPr="00FE50A6" w:rsidRDefault="0055567E" w:rsidP="0055567E">
      <w:pPr>
        <w:pStyle w:val="Prrafodelista"/>
        <w:numPr>
          <w:ilvl w:val="0"/>
          <w:numId w:val="1"/>
        </w:numPr>
        <w:contextualSpacing w:val="0"/>
        <w:rPr>
          <w:lang w:val="en-US"/>
        </w:rPr>
      </w:pPr>
      <w:r w:rsidRPr="00FE50A6">
        <w:rPr>
          <w:lang w:val="en-US"/>
        </w:rPr>
        <w:t xml:space="preserve">In addition to these international tribunals, other international </w:t>
      </w:r>
      <w:r w:rsidR="0095325A" w:rsidRPr="00FE50A6">
        <w:rPr>
          <w:lang w:val="en-US"/>
        </w:rPr>
        <w:t>bodies</w:t>
      </w:r>
      <w:r w:rsidRPr="00FE50A6">
        <w:rPr>
          <w:lang w:val="en-US"/>
        </w:rPr>
        <w:t xml:space="preserve"> have expressed similar opinions, giving content to the </w:t>
      </w:r>
      <w:r w:rsidR="00CD3C66" w:rsidRPr="00FE50A6">
        <w:rPr>
          <w:lang w:val="en-US"/>
        </w:rPr>
        <w:t>current</w:t>
      </w:r>
      <w:r w:rsidRPr="00FE50A6">
        <w:rPr>
          <w:lang w:val="en-US"/>
        </w:rPr>
        <w:t xml:space="preserve"> </w:t>
      </w:r>
      <w:r w:rsidR="00CD3C66" w:rsidRPr="00FE50A6">
        <w:rPr>
          <w:lang w:val="en-US"/>
        </w:rPr>
        <w:t>phenomenon of</w:t>
      </w:r>
      <w:r w:rsidRPr="00FE50A6">
        <w:rPr>
          <w:lang w:val="en-US"/>
        </w:rPr>
        <w:t xml:space="preserve"> slavery</w:t>
      </w:r>
      <w:r w:rsidR="00CD3C66" w:rsidRPr="00FE50A6">
        <w:rPr>
          <w:lang w:val="en-US"/>
        </w:rPr>
        <w:t xml:space="preserve"> to include contemporary or analogous forms. In this regard, the Court underlines the rulings of the United Nations Committee on the Elimination of Discrimination against Women (CEDAW),</w:t>
      </w:r>
      <w:r w:rsidR="00207197" w:rsidRPr="00FE50A6">
        <w:rPr>
          <w:rStyle w:val="Refdenotaalpie"/>
          <w:bCs/>
          <w:iCs/>
          <w:lang w:val="en-US"/>
        </w:rPr>
        <w:footnoteReference w:id="401"/>
      </w:r>
      <w:r w:rsidR="00207197" w:rsidRPr="00FE50A6">
        <w:rPr>
          <w:lang w:val="en-US"/>
        </w:rPr>
        <w:t xml:space="preserve"> </w:t>
      </w:r>
      <w:r w:rsidR="00CD3C66" w:rsidRPr="00FE50A6">
        <w:rPr>
          <w:lang w:val="en-US"/>
        </w:rPr>
        <w:t>the United Nations Human Rights Committee,</w:t>
      </w:r>
      <w:r w:rsidR="00207197" w:rsidRPr="00FE50A6">
        <w:rPr>
          <w:rStyle w:val="Refdenotaalpie"/>
          <w:bCs/>
          <w:iCs/>
          <w:lang w:val="en-US"/>
        </w:rPr>
        <w:footnoteReference w:id="402"/>
      </w:r>
      <w:r w:rsidR="00207197" w:rsidRPr="00FE50A6">
        <w:rPr>
          <w:lang w:val="en-US"/>
        </w:rPr>
        <w:t xml:space="preserve"> </w:t>
      </w:r>
      <w:r w:rsidR="00CD3C66" w:rsidRPr="00FE50A6">
        <w:rPr>
          <w:lang w:val="en-US"/>
        </w:rPr>
        <w:t>the</w:t>
      </w:r>
      <w:r w:rsidR="00207197" w:rsidRPr="00FE50A6">
        <w:rPr>
          <w:lang w:val="en-US"/>
        </w:rPr>
        <w:t xml:space="preserve"> </w:t>
      </w:r>
      <w:r w:rsidR="00CD3C66" w:rsidRPr="00FE50A6">
        <w:rPr>
          <w:lang w:val="en-US"/>
        </w:rPr>
        <w:t>United Nations</w:t>
      </w:r>
      <w:r w:rsidR="00207197" w:rsidRPr="00FE50A6">
        <w:rPr>
          <w:lang w:val="en-US"/>
        </w:rPr>
        <w:t xml:space="preserve"> </w:t>
      </w:r>
      <w:r w:rsidR="00CD3C66" w:rsidRPr="00FE50A6">
        <w:rPr>
          <w:lang w:val="en-US"/>
        </w:rPr>
        <w:t>Working Group on</w:t>
      </w:r>
      <w:r w:rsidR="00207197" w:rsidRPr="00FE50A6">
        <w:rPr>
          <w:lang w:val="en-US"/>
        </w:rPr>
        <w:t xml:space="preserve"> </w:t>
      </w:r>
      <w:r w:rsidR="00EE52F3" w:rsidRPr="00FE50A6">
        <w:rPr>
          <w:lang w:val="en-US"/>
        </w:rPr>
        <w:t xml:space="preserve">Contemporary </w:t>
      </w:r>
      <w:r w:rsidR="00CD3C66" w:rsidRPr="00FE50A6">
        <w:rPr>
          <w:lang w:val="en-US"/>
        </w:rPr>
        <w:t>F</w:t>
      </w:r>
      <w:r w:rsidR="00EE52F3" w:rsidRPr="00FE50A6">
        <w:rPr>
          <w:lang w:val="en-US"/>
        </w:rPr>
        <w:t>orms of</w:t>
      </w:r>
      <w:r w:rsidR="00207197" w:rsidRPr="00FE50A6">
        <w:rPr>
          <w:lang w:val="en-US"/>
        </w:rPr>
        <w:t xml:space="preserve"> </w:t>
      </w:r>
      <w:r w:rsidR="00D11A9F" w:rsidRPr="00FE50A6">
        <w:rPr>
          <w:lang w:val="en-US"/>
        </w:rPr>
        <w:t>Slavery</w:t>
      </w:r>
      <w:r w:rsidR="00CD3C66" w:rsidRPr="00FE50A6">
        <w:rPr>
          <w:lang w:val="en-US"/>
        </w:rPr>
        <w:t>,</w:t>
      </w:r>
      <w:r w:rsidR="00207197" w:rsidRPr="00FE50A6">
        <w:rPr>
          <w:rStyle w:val="Refdenotaalpie"/>
          <w:bCs/>
          <w:iCs/>
          <w:lang w:val="en-US"/>
        </w:rPr>
        <w:footnoteReference w:id="403"/>
      </w:r>
      <w:r w:rsidR="00207197" w:rsidRPr="00FE50A6">
        <w:rPr>
          <w:lang w:val="en-US"/>
        </w:rPr>
        <w:t xml:space="preserve"> </w:t>
      </w:r>
      <w:r w:rsidR="00CD3C66" w:rsidRPr="00FE50A6">
        <w:rPr>
          <w:lang w:val="en-US"/>
        </w:rPr>
        <w:t>the</w:t>
      </w:r>
      <w:r w:rsidR="00207197" w:rsidRPr="00FE50A6">
        <w:rPr>
          <w:lang w:val="en-US"/>
        </w:rPr>
        <w:t xml:space="preserve"> </w:t>
      </w:r>
      <w:r w:rsidR="00CD3C66" w:rsidRPr="00FE50A6">
        <w:rPr>
          <w:lang w:val="en-US"/>
        </w:rPr>
        <w:t>United Nations Special Rapporteur on</w:t>
      </w:r>
      <w:r w:rsidR="00207197" w:rsidRPr="00FE50A6">
        <w:rPr>
          <w:lang w:val="en-US"/>
        </w:rPr>
        <w:t xml:space="preserve"> </w:t>
      </w:r>
      <w:r w:rsidR="00D11A9F" w:rsidRPr="00FE50A6">
        <w:rPr>
          <w:lang w:val="en-US"/>
        </w:rPr>
        <w:t>trafficking</w:t>
      </w:r>
      <w:r w:rsidR="005346AF" w:rsidRPr="00FE50A6">
        <w:rPr>
          <w:lang w:val="en-US"/>
        </w:rPr>
        <w:t xml:space="preserve"> in persons</w:t>
      </w:r>
      <w:r w:rsidR="00CD3C66" w:rsidRPr="00FE50A6">
        <w:rPr>
          <w:lang w:val="en-US"/>
        </w:rPr>
        <w:t>,</w:t>
      </w:r>
      <w:r w:rsidR="00207197" w:rsidRPr="00FE50A6">
        <w:rPr>
          <w:rStyle w:val="Refdenotaalpie"/>
          <w:bCs/>
          <w:iCs/>
          <w:lang w:val="en-US"/>
        </w:rPr>
        <w:footnoteReference w:id="404"/>
      </w:r>
      <w:r w:rsidR="00207197" w:rsidRPr="00FE50A6">
        <w:rPr>
          <w:lang w:val="en-US"/>
        </w:rPr>
        <w:t xml:space="preserve"> </w:t>
      </w:r>
      <w:r w:rsidR="00CD3C66" w:rsidRPr="00FE50A6">
        <w:rPr>
          <w:lang w:val="en-US"/>
        </w:rPr>
        <w:t>the Office of the United Nations High Commissioner for Human Rights</w:t>
      </w:r>
      <w:r w:rsidR="00207197" w:rsidRPr="00FE50A6">
        <w:rPr>
          <w:rStyle w:val="Refdenotaalpie"/>
          <w:bCs/>
          <w:iCs/>
          <w:lang w:val="en-US"/>
        </w:rPr>
        <w:footnoteReference w:id="405"/>
      </w:r>
      <w:r w:rsidR="00030C17" w:rsidRPr="00FE50A6">
        <w:rPr>
          <w:lang w:val="en-US"/>
        </w:rPr>
        <w:t xml:space="preserve"> and </w:t>
      </w:r>
      <w:r w:rsidR="000228D0" w:rsidRPr="00FE50A6">
        <w:rPr>
          <w:lang w:val="en-US"/>
        </w:rPr>
        <w:t>the Inter-American Commission on Human Rights</w:t>
      </w:r>
      <w:r w:rsidR="00CD3C66" w:rsidRPr="00FE50A6">
        <w:rPr>
          <w:lang w:val="en-US"/>
        </w:rPr>
        <w:t>.</w:t>
      </w:r>
      <w:r w:rsidR="00207197" w:rsidRPr="00FE50A6">
        <w:rPr>
          <w:rStyle w:val="Refdenotaalpie"/>
          <w:bCs/>
          <w:iCs/>
          <w:lang w:val="en-US"/>
        </w:rPr>
        <w:footnoteReference w:id="406"/>
      </w:r>
    </w:p>
    <w:p w14:paraId="61C0DFE6" w14:textId="77777777" w:rsidR="00207197" w:rsidRPr="00FE50A6" w:rsidRDefault="00207197" w:rsidP="00140440">
      <w:pPr>
        <w:jc w:val="both"/>
        <w:rPr>
          <w:lang w:val="en-US"/>
        </w:rPr>
      </w:pPr>
    </w:p>
    <w:p w14:paraId="3F5A62DB" w14:textId="77777777" w:rsidR="00207197" w:rsidRPr="00FE50A6" w:rsidRDefault="00FA397E" w:rsidP="00FF2618">
      <w:pPr>
        <w:pStyle w:val="Prrafodelista"/>
        <w:numPr>
          <w:ilvl w:val="0"/>
          <w:numId w:val="1"/>
        </w:numPr>
        <w:contextualSpacing w:val="0"/>
        <w:rPr>
          <w:lang w:val="en-US"/>
        </w:rPr>
      </w:pPr>
      <w:r w:rsidRPr="00FE50A6">
        <w:rPr>
          <w:lang w:val="en-US"/>
        </w:rPr>
        <w:t xml:space="preserve">Based on the summary of binding international instruments and the rulings of the international tribunals listed above, </w:t>
      </w:r>
      <w:r w:rsidR="00FF2618" w:rsidRPr="00FE50A6">
        <w:rPr>
          <w:lang w:val="en-US"/>
        </w:rPr>
        <w:t>the Court notes that the absolute and universal prohibition of slavery is established in international law, and the definition of this concept has not varied substantially since the 1926 Convention:</w:t>
      </w:r>
      <w:r w:rsidR="008C4E2D" w:rsidRPr="00FE50A6">
        <w:rPr>
          <w:lang w:val="en-US"/>
        </w:rPr>
        <w:t xml:space="preserve"> </w:t>
      </w:r>
      <w:r w:rsidR="009C48A4" w:rsidRPr="00FE50A6">
        <w:rPr>
          <w:lang w:val="en-US"/>
        </w:rPr>
        <w:t>“</w:t>
      </w:r>
      <w:r w:rsidR="00FF2618" w:rsidRPr="00FE50A6">
        <w:rPr>
          <w:lang w:val="en-US"/>
        </w:rPr>
        <w:t>Slavery is the status or condition of a person over whom any or all of the powers attaching to the right of ownership are exercised.</w:t>
      </w:r>
      <w:r w:rsidR="009C48A4" w:rsidRPr="00FE50A6">
        <w:rPr>
          <w:lang w:val="en-US"/>
        </w:rPr>
        <w:t>”</w:t>
      </w:r>
      <w:r w:rsidR="00FF2618" w:rsidRPr="00FE50A6">
        <w:rPr>
          <w:lang w:val="en-US"/>
        </w:rPr>
        <w:t xml:space="preserve"> Regarding the two aspects of the traditional definition</w:t>
      </w:r>
      <w:r w:rsidR="00207197" w:rsidRPr="00FE50A6">
        <w:rPr>
          <w:lang w:val="en-US"/>
        </w:rPr>
        <w:t xml:space="preserve"> </w:t>
      </w:r>
      <w:r w:rsidR="00FF2618" w:rsidRPr="00FE50A6">
        <w:rPr>
          <w:lang w:val="en-US"/>
        </w:rPr>
        <w:t>of</w:t>
      </w:r>
      <w:r w:rsidR="00207197" w:rsidRPr="00FE50A6">
        <w:rPr>
          <w:lang w:val="en-US"/>
        </w:rPr>
        <w:t xml:space="preserve"> </w:t>
      </w:r>
      <w:r w:rsidR="00D11A9F" w:rsidRPr="00FE50A6">
        <w:rPr>
          <w:lang w:val="en-US"/>
        </w:rPr>
        <w:t>slavery</w:t>
      </w:r>
      <w:r w:rsidR="00207197" w:rsidRPr="00FE50A6">
        <w:rPr>
          <w:lang w:val="en-US"/>
        </w:rPr>
        <w:t xml:space="preserve"> </w:t>
      </w:r>
      <w:r w:rsidR="00FF2618" w:rsidRPr="00FE50A6">
        <w:rPr>
          <w:lang w:val="en-US"/>
        </w:rPr>
        <w:t>or “chat</w:t>
      </w:r>
      <w:r w:rsidR="0095325A" w:rsidRPr="00FE50A6">
        <w:rPr>
          <w:lang w:val="en-US"/>
        </w:rPr>
        <w:t>t</w:t>
      </w:r>
      <w:r w:rsidR="00FF2618" w:rsidRPr="00FE50A6">
        <w:rPr>
          <w:lang w:val="en-US"/>
        </w:rPr>
        <w:t>el slavery”</w:t>
      </w:r>
      <w:r w:rsidR="00207197" w:rsidRPr="00FE50A6">
        <w:rPr>
          <w:rStyle w:val="Refdenotaalpie"/>
          <w:lang w:val="en-US"/>
        </w:rPr>
        <w:footnoteReference w:id="407"/>
      </w:r>
      <w:r w:rsidR="00207197" w:rsidRPr="00FE50A6">
        <w:rPr>
          <w:lang w:val="en-US"/>
        </w:rPr>
        <w:t xml:space="preserve"> (</w:t>
      </w:r>
      <w:r w:rsidR="00FF2618" w:rsidRPr="00FE50A6">
        <w:rPr>
          <w:lang w:val="en-US"/>
        </w:rPr>
        <w:t>status or condition of a person; exerc</w:t>
      </w:r>
      <w:r w:rsidR="00EB4E04" w:rsidRPr="00FE50A6">
        <w:rPr>
          <w:lang w:val="en-US"/>
        </w:rPr>
        <w:t>i</w:t>
      </w:r>
      <w:r w:rsidR="00FF2618" w:rsidRPr="00FE50A6">
        <w:rPr>
          <w:lang w:val="en-US"/>
        </w:rPr>
        <w:t>se of any or all of the powers attaching to the right of ownership</w:t>
      </w:r>
      <w:r w:rsidR="00207197" w:rsidRPr="00FE50A6">
        <w:rPr>
          <w:lang w:val="en-US"/>
        </w:rPr>
        <w:t>)</w:t>
      </w:r>
      <w:r w:rsidR="00FF2618" w:rsidRPr="00FE50A6">
        <w:rPr>
          <w:lang w:val="en-US"/>
        </w:rPr>
        <w:t xml:space="preserve">, the Court has verified that: (i) since </w:t>
      </w:r>
      <w:r w:rsidR="000228D0" w:rsidRPr="00FE50A6">
        <w:rPr>
          <w:lang w:val="en-US"/>
        </w:rPr>
        <w:t>the</w:t>
      </w:r>
      <w:r w:rsidR="00FF2618" w:rsidRPr="00FE50A6">
        <w:rPr>
          <w:lang w:val="en-US"/>
        </w:rPr>
        <w:t xml:space="preserve"> 1926</w:t>
      </w:r>
      <w:r w:rsidR="000228D0" w:rsidRPr="00FE50A6">
        <w:rPr>
          <w:lang w:val="en-US"/>
        </w:rPr>
        <w:t xml:space="preserve"> Convention</w:t>
      </w:r>
      <w:r w:rsidR="00207197" w:rsidRPr="00FE50A6">
        <w:rPr>
          <w:lang w:val="en-US"/>
        </w:rPr>
        <w:t xml:space="preserve"> </w:t>
      </w:r>
      <w:r w:rsidR="00FF2618" w:rsidRPr="00FE50A6">
        <w:rPr>
          <w:lang w:val="en-US"/>
        </w:rPr>
        <w:t xml:space="preserve">the slave trade has been equated to </w:t>
      </w:r>
      <w:r w:rsidR="00D11A9F" w:rsidRPr="00FE50A6">
        <w:rPr>
          <w:lang w:val="en-US"/>
        </w:rPr>
        <w:t>slavery</w:t>
      </w:r>
      <w:r w:rsidR="00207197" w:rsidRPr="00FE50A6">
        <w:rPr>
          <w:lang w:val="en-US"/>
        </w:rPr>
        <w:t xml:space="preserve"> </w:t>
      </w:r>
      <w:r w:rsidR="00FF2618" w:rsidRPr="00FE50A6">
        <w:rPr>
          <w:lang w:val="en-US"/>
        </w:rPr>
        <w:t>for the purposes of its prohibition and elimination; (ii) the 1956 Supplement</w:t>
      </w:r>
      <w:r w:rsidR="0095325A" w:rsidRPr="00FE50A6">
        <w:rPr>
          <w:lang w:val="en-US"/>
        </w:rPr>
        <w:t>ary</w:t>
      </w:r>
      <w:r w:rsidR="00FF2618" w:rsidRPr="00FE50A6">
        <w:rPr>
          <w:lang w:val="en-US"/>
        </w:rPr>
        <w:t xml:space="preserve"> </w:t>
      </w:r>
      <w:r w:rsidR="000228D0" w:rsidRPr="00FE50A6">
        <w:rPr>
          <w:lang w:val="en-US"/>
        </w:rPr>
        <w:t>Convention</w:t>
      </w:r>
      <w:r w:rsidR="00207197" w:rsidRPr="00FE50A6">
        <w:rPr>
          <w:lang w:val="en-US"/>
        </w:rPr>
        <w:t xml:space="preserve"> </w:t>
      </w:r>
      <w:r w:rsidR="00FF2618" w:rsidRPr="00FE50A6">
        <w:rPr>
          <w:lang w:val="en-US"/>
        </w:rPr>
        <w:t xml:space="preserve">extended protection against slavery also to “institutions and practices similar to </w:t>
      </w:r>
      <w:r w:rsidR="00D11A9F" w:rsidRPr="00FE50A6">
        <w:rPr>
          <w:lang w:val="en-US"/>
        </w:rPr>
        <w:t>slavery</w:t>
      </w:r>
      <w:r w:rsidR="009C48A4" w:rsidRPr="00FE50A6">
        <w:rPr>
          <w:lang w:val="en-US"/>
        </w:rPr>
        <w:t>”</w:t>
      </w:r>
      <w:r w:rsidR="00207197" w:rsidRPr="00FE50A6">
        <w:rPr>
          <w:lang w:val="en-US"/>
        </w:rPr>
        <w:t xml:space="preserve"> </w:t>
      </w:r>
      <w:r w:rsidR="00FF2618" w:rsidRPr="00FE50A6">
        <w:rPr>
          <w:lang w:val="en-US"/>
        </w:rPr>
        <w:t>such as</w:t>
      </w:r>
      <w:r w:rsidR="00207197" w:rsidRPr="00FE50A6">
        <w:rPr>
          <w:lang w:val="en-US"/>
        </w:rPr>
        <w:t xml:space="preserve"> </w:t>
      </w:r>
      <w:r w:rsidR="005F1946" w:rsidRPr="00FE50A6">
        <w:rPr>
          <w:lang w:val="en-US"/>
        </w:rPr>
        <w:t>debt bondage</w:t>
      </w:r>
      <w:r w:rsidR="00FF2618" w:rsidRPr="00FE50A6">
        <w:rPr>
          <w:lang w:val="en-US"/>
        </w:rPr>
        <w:t xml:space="preserve"> and serfdom, among others</w:t>
      </w:r>
      <w:r w:rsidR="00207197" w:rsidRPr="00FE50A6">
        <w:rPr>
          <w:lang w:val="en-US"/>
        </w:rPr>
        <w:t>,</w:t>
      </w:r>
      <w:r w:rsidR="00207197" w:rsidRPr="00FE50A6">
        <w:rPr>
          <w:rStyle w:val="Refdenotaalpie"/>
          <w:lang w:val="en-US"/>
        </w:rPr>
        <w:footnoteReference w:id="408"/>
      </w:r>
      <w:r w:rsidR="00207197" w:rsidRPr="00FE50A6">
        <w:rPr>
          <w:lang w:val="en-US"/>
        </w:rPr>
        <w:t xml:space="preserve"> </w:t>
      </w:r>
      <w:r w:rsidR="00FF2618" w:rsidRPr="00FE50A6">
        <w:rPr>
          <w:lang w:val="en-US"/>
        </w:rPr>
        <w:t>in addition to stipulating the proh</w:t>
      </w:r>
      <w:r w:rsidR="00781A7F" w:rsidRPr="00FE50A6">
        <w:rPr>
          <w:lang w:val="en-US"/>
        </w:rPr>
        <w:t>ibition of trafficking and the respective State obligations, and (iii) the Rome Statute and the International Law Commission added the “exercise of</w:t>
      </w:r>
      <w:r w:rsidR="0095325A" w:rsidRPr="00FE50A6">
        <w:rPr>
          <w:lang w:val="en-US"/>
        </w:rPr>
        <w:t xml:space="preserve"> any or all of</w:t>
      </w:r>
      <w:r w:rsidR="00781A7F" w:rsidRPr="00FE50A6">
        <w:rPr>
          <w:lang w:val="en-US"/>
        </w:rPr>
        <w:t xml:space="preserve"> the powers attaching to the right of ownership</w:t>
      </w:r>
      <w:r w:rsidR="000818B2" w:rsidRPr="00FE50A6">
        <w:rPr>
          <w:lang w:val="en-US"/>
        </w:rPr>
        <w:t>”</w:t>
      </w:r>
      <w:r w:rsidR="00781A7F" w:rsidRPr="00FE50A6">
        <w:rPr>
          <w:lang w:val="en-US"/>
        </w:rPr>
        <w:t xml:space="preserve"> </w:t>
      </w:r>
      <w:r w:rsidR="000818B2" w:rsidRPr="00FE50A6">
        <w:rPr>
          <w:lang w:val="en-US"/>
        </w:rPr>
        <w:t>such as by</w:t>
      </w:r>
      <w:r w:rsidR="00D11A9F" w:rsidRPr="00FE50A6">
        <w:rPr>
          <w:lang w:val="en-US"/>
        </w:rPr>
        <w:t xml:space="preserve"> </w:t>
      </w:r>
      <w:r w:rsidR="000C2A19" w:rsidRPr="00FE50A6">
        <w:rPr>
          <w:lang w:val="en-US"/>
        </w:rPr>
        <w:t>trafficking in persons</w:t>
      </w:r>
      <w:r w:rsidR="00207197" w:rsidRPr="00FE50A6">
        <w:rPr>
          <w:lang w:val="en-US"/>
        </w:rPr>
        <w:t xml:space="preserve"> </w:t>
      </w:r>
      <w:r w:rsidR="00781A7F" w:rsidRPr="00FE50A6">
        <w:rPr>
          <w:lang w:val="en-US"/>
        </w:rPr>
        <w:t>to the definition of</w:t>
      </w:r>
      <w:r w:rsidR="00207197" w:rsidRPr="00FE50A6">
        <w:rPr>
          <w:lang w:val="en-US"/>
        </w:rPr>
        <w:t xml:space="preserve"> </w:t>
      </w:r>
      <w:r w:rsidR="000818B2" w:rsidRPr="00FE50A6">
        <w:rPr>
          <w:lang w:val="en-US"/>
        </w:rPr>
        <w:t>enslavement</w:t>
      </w:r>
      <w:r w:rsidR="00207197" w:rsidRPr="00FE50A6">
        <w:rPr>
          <w:lang w:val="en-US"/>
        </w:rPr>
        <w:t xml:space="preserve">. </w:t>
      </w:r>
    </w:p>
    <w:p w14:paraId="098F3F68" w14:textId="77777777" w:rsidR="00207197" w:rsidRPr="00FE50A6" w:rsidRDefault="00207197" w:rsidP="00140440">
      <w:pPr>
        <w:jc w:val="both"/>
        <w:rPr>
          <w:lang w:val="en-US"/>
        </w:rPr>
      </w:pPr>
    </w:p>
    <w:p w14:paraId="57803612" w14:textId="77777777" w:rsidR="00207197" w:rsidRPr="00FE50A6" w:rsidRDefault="005D2CE2" w:rsidP="005D2CE2">
      <w:pPr>
        <w:pStyle w:val="Ttulo3"/>
        <w:rPr>
          <w:lang w:val="en-US"/>
        </w:rPr>
      </w:pPr>
      <w:bookmarkStart w:id="316" w:name="_Toc464813961"/>
      <w:r w:rsidRPr="00FE50A6">
        <w:rPr>
          <w:lang w:val="en-US"/>
        </w:rPr>
        <w:t>B.3</w:t>
      </w:r>
      <w:r w:rsidR="00DC2886" w:rsidRPr="00FE50A6">
        <w:rPr>
          <w:lang w:val="en-US"/>
        </w:rPr>
        <w:t>.</w:t>
      </w:r>
      <w:r w:rsidR="00207197" w:rsidRPr="00FE50A6">
        <w:rPr>
          <w:lang w:val="en-US"/>
        </w:rPr>
        <w:t xml:space="preserve"> </w:t>
      </w:r>
      <w:r w:rsidR="002A3B9B" w:rsidRPr="00FE50A6">
        <w:rPr>
          <w:lang w:val="en-US"/>
        </w:rPr>
        <w:t>Aspects of the concept of</w:t>
      </w:r>
      <w:r w:rsidR="007F203E" w:rsidRPr="00FE50A6">
        <w:rPr>
          <w:lang w:val="en-US"/>
        </w:rPr>
        <w:t xml:space="preserve"> </w:t>
      </w:r>
      <w:r w:rsidR="00D11A9F" w:rsidRPr="00FE50A6">
        <w:rPr>
          <w:lang w:val="en-US"/>
        </w:rPr>
        <w:t>slavery</w:t>
      </w:r>
      <w:bookmarkEnd w:id="316"/>
    </w:p>
    <w:p w14:paraId="6CA740B4" w14:textId="77777777" w:rsidR="00207197" w:rsidRPr="00FE50A6" w:rsidRDefault="00207197" w:rsidP="00140440">
      <w:pPr>
        <w:jc w:val="both"/>
        <w:rPr>
          <w:lang w:val="en-US"/>
        </w:rPr>
      </w:pPr>
    </w:p>
    <w:p w14:paraId="676A365E" w14:textId="77777777" w:rsidR="00207197" w:rsidRPr="00FE50A6" w:rsidRDefault="00EB4E04" w:rsidP="00F37DC4">
      <w:pPr>
        <w:pStyle w:val="Prrafodelista"/>
        <w:numPr>
          <w:ilvl w:val="0"/>
          <w:numId w:val="1"/>
        </w:numPr>
        <w:contextualSpacing w:val="0"/>
        <w:rPr>
          <w:lang w:val="en-US"/>
        </w:rPr>
      </w:pPr>
      <w:r w:rsidRPr="00FE50A6">
        <w:rPr>
          <w:lang w:val="en-US"/>
        </w:rPr>
        <w:t>Based on the evolution of the concept of</w:t>
      </w:r>
      <w:r w:rsidR="00207197" w:rsidRPr="00FE50A6">
        <w:rPr>
          <w:lang w:val="en-US"/>
        </w:rPr>
        <w:t xml:space="preserve"> </w:t>
      </w:r>
      <w:r w:rsidR="00D11A9F" w:rsidRPr="00FE50A6">
        <w:rPr>
          <w:lang w:val="en-US"/>
        </w:rPr>
        <w:t>slavery</w:t>
      </w:r>
      <w:r w:rsidR="00207197" w:rsidRPr="00FE50A6">
        <w:rPr>
          <w:lang w:val="en-US"/>
        </w:rPr>
        <w:t xml:space="preserve"> </w:t>
      </w:r>
      <w:r w:rsidRPr="00FE50A6">
        <w:rPr>
          <w:lang w:val="en-US"/>
        </w:rPr>
        <w:t>i</w:t>
      </w:r>
      <w:r w:rsidR="00207197" w:rsidRPr="00FE50A6">
        <w:rPr>
          <w:lang w:val="en-US"/>
        </w:rPr>
        <w:t xml:space="preserve">n </w:t>
      </w:r>
      <w:r w:rsidR="00931A2D" w:rsidRPr="00FE50A6">
        <w:rPr>
          <w:lang w:val="en-US"/>
        </w:rPr>
        <w:t>international law</w:t>
      </w:r>
      <w:r w:rsidR="00030C17" w:rsidRPr="00FE50A6">
        <w:rPr>
          <w:lang w:val="en-US"/>
        </w:rPr>
        <w:t xml:space="preserve"> and </w:t>
      </w:r>
      <w:r w:rsidRPr="00FE50A6">
        <w:rPr>
          <w:lang w:val="en-US"/>
        </w:rPr>
        <w:t xml:space="preserve">on the prohibition established in </w:t>
      </w:r>
      <w:r w:rsidR="000228D0" w:rsidRPr="00FE50A6">
        <w:rPr>
          <w:lang w:val="en-US"/>
        </w:rPr>
        <w:t>Article</w:t>
      </w:r>
      <w:r w:rsidR="00207197" w:rsidRPr="00FE50A6">
        <w:rPr>
          <w:lang w:val="en-US"/>
        </w:rPr>
        <w:t xml:space="preserve"> 6</w:t>
      </w:r>
      <w:r w:rsidR="000228D0" w:rsidRPr="00FE50A6">
        <w:rPr>
          <w:lang w:val="en-US"/>
        </w:rPr>
        <w:t xml:space="preserve"> of the American Convention on Human Rights</w:t>
      </w:r>
      <w:r w:rsidR="00207197" w:rsidRPr="00FE50A6">
        <w:rPr>
          <w:lang w:val="en-US"/>
        </w:rPr>
        <w:t>,</w:t>
      </w:r>
      <w:r w:rsidR="00DD3E22" w:rsidRPr="00FE50A6">
        <w:rPr>
          <w:lang w:val="en-US"/>
        </w:rPr>
        <w:t xml:space="preserve"> </w:t>
      </w:r>
      <w:r w:rsidR="000228D0" w:rsidRPr="00FE50A6">
        <w:rPr>
          <w:lang w:val="en-US"/>
        </w:rPr>
        <w:t>the Court</w:t>
      </w:r>
      <w:r w:rsidR="00DD3E22" w:rsidRPr="00FE50A6">
        <w:rPr>
          <w:lang w:val="en-US"/>
        </w:rPr>
        <w:t xml:space="preserve"> observ</w:t>
      </w:r>
      <w:r w:rsidRPr="00FE50A6">
        <w:rPr>
          <w:lang w:val="en-US"/>
        </w:rPr>
        <w:t xml:space="preserve">es that the concept has evolved and is no longer limited to the ownership of a person. In this regard, the Court considers that the two fundamental aspects to define a situation as </w:t>
      </w:r>
      <w:r w:rsidR="00D11A9F" w:rsidRPr="00FE50A6">
        <w:rPr>
          <w:lang w:val="en-US"/>
        </w:rPr>
        <w:t>slavery</w:t>
      </w:r>
      <w:r w:rsidR="00207197" w:rsidRPr="00FE50A6">
        <w:rPr>
          <w:lang w:val="en-US"/>
        </w:rPr>
        <w:t xml:space="preserve"> </w:t>
      </w:r>
      <w:r w:rsidRPr="00FE50A6">
        <w:rPr>
          <w:lang w:val="en-US"/>
        </w:rPr>
        <w:t>are</w:t>
      </w:r>
      <w:r w:rsidR="0077111B" w:rsidRPr="00FE50A6">
        <w:rPr>
          <w:lang w:val="en-US"/>
        </w:rPr>
        <w:t>:</w:t>
      </w:r>
      <w:r w:rsidR="00207197" w:rsidRPr="00FE50A6">
        <w:rPr>
          <w:lang w:val="en-US"/>
        </w:rPr>
        <w:t xml:space="preserve"> </w:t>
      </w:r>
      <w:r w:rsidRPr="00FE50A6">
        <w:rPr>
          <w:lang w:val="en-US"/>
        </w:rPr>
        <w:t>(</w:t>
      </w:r>
      <w:r w:rsidR="00207197" w:rsidRPr="00FE50A6">
        <w:rPr>
          <w:lang w:val="en-US"/>
        </w:rPr>
        <w:t xml:space="preserve">i) </w:t>
      </w:r>
      <w:r w:rsidR="000228D0" w:rsidRPr="00FE50A6">
        <w:rPr>
          <w:lang w:val="en-US"/>
        </w:rPr>
        <w:t>the</w:t>
      </w:r>
      <w:r w:rsidRPr="00FE50A6">
        <w:rPr>
          <w:lang w:val="en-US"/>
        </w:rPr>
        <w:t xml:space="preserve"> status or condition of a person, and (ii)</w:t>
      </w:r>
      <w:r w:rsidR="00207197" w:rsidRPr="00FE50A6">
        <w:rPr>
          <w:lang w:val="en-US"/>
        </w:rPr>
        <w:t xml:space="preserve"> </w:t>
      </w:r>
      <w:r w:rsidRPr="00FE50A6">
        <w:rPr>
          <w:lang w:val="en-US"/>
        </w:rPr>
        <w:t>the exercise of any or all of the powers attaching to the right of ownership; in other words, the enslaver exercises power or control over the enslaved person to the point of obliterating the personality of the victim. The characteristics of each of these aspects are understood in keeping with the criteri</w:t>
      </w:r>
      <w:r w:rsidR="000818B2" w:rsidRPr="00FE50A6">
        <w:rPr>
          <w:lang w:val="en-US"/>
        </w:rPr>
        <w:t>a</w:t>
      </w:r>
      <w:r w:rsidRPr="00FE50A6">
        <w:rPr>
          <w:lang w:val="en-US"/>
        </w:rPr>
        <w:t xml:space="preserve"> or factors identified below.</w:t>
      </w:r>
    </w:p>
    <w:p w14:paraId="70B4B373" w14:textId="77777777" w:rsidR="00207197" w:rsidRPr="00FE50A6" w:rsidRDefault="00207197" w:rsidP="00140440">
      <w:pPr>
        <w:jc w:val="both"/>
        <w:rPr>
          <w:lang w:val="en-US"/>
        </w:rPr>
      </w:pPr>
    </w:p>
    <w:p w14:paraId="5F5533EB" w14:textId="77777777" w:rsidR="00207197" w:rsidRPr="00FE50A6" w:rsidRDefault="00EB4E04" w:rsidP="00F37DC4">
      <w:pPr>
        <w:pStyle w:val="Prrafodelista"/>
        <w:numPr>
          <w:ilvl w:val="0"/>
          <w:numId w:val="1"/>
        </w:numPr>
        <w:contextualSpacing w:val="0"/>
        <w:rPr>
          <w:lang w:val="en-US"/>
        </w:rPr>
      </w:pPr>
      <w:r w:rsidRPr="00FE50A6">
        <w:rPr>
          <w:lang w:val="en-US"/>
        </w:rPr>
        <w:t xml:space="preserve">The first aspect (status or condition) refers to both the </w:t>
      </w:r>
      <w:r w:rsidRPr="00FE50A6">
        <w:rPr>
          <w:i/>
          <w:lang w:val="en-US"/>
        </w:rPr>
        <w:t xml:space="preserve">de jure </w:t>
      </w:r>
      <w:r w:rsidRPr="00FE50A6">
        <w:rPr>
          <w:lang w:val="en-US"/>
        </w:rPr>
        <w:t>and the</w:t>
      </w:r>
      <w:r w:rsidRPr="00FE50A6">
        <w:rPr>
          <w:i/>
          <w:lang w:val="en-US"/>
        </w:rPr>
        <w:t xml:space="preserve"> de facto</w:t>
      </w:r>
      <w:r w:rsidRPr="00FE50A6">
        <w:rPr>
          <w:lang w:val="en-US"/>
        </w:rPr>
        <w:t xml:space="preserve"> situation; in other words, the existence of a formal document or law is not essential to characterize the phenomenon, as in the case of traditional or chattel slavery</w:t>
      </w:r>
      <w:r w:rsidR="00207197" w:rsidRPr="00FE50A6">
        <w:rPr>
          <w:lang w:val="en-US"/>
        </w:rPr>
        <w:t xml:space="preserve">. </w:t>
      </w:r>
    </w:p>
    <w:p w14:paraId="62B5A2FF" w14:textId="77777777" w:rsidR="00207197" w:rsidRPr="00FE50A6" w:rsidRDefault="00207197" w:rsidP="00140440">
      <w:pPr>
        <w:jc w:val="both"/>
        <w:rPr>
          <w:lang w:val="en-US"/>
        </w:rPr>
      </w:pPr>
    </w:p>
    <w:p w14:paraId="6D3B0EAA" w14:textId="77777777" w:rsidR="00C44C4F" w:rsidRPr="00FE50A6" w:rsidRDefault="00207197" w:rsidP="00732757">
      <w:pPr>
        <w:pStyle w:val="Prrafodelista"/>
        <w:numPr>
          <w:ilvl w:val="0"/>
          <w:numId w:val="1"/>
        </w:numPr>
        <w:contextualSpacing w:val="0"/>
        <w:rPr>
          <w:lang w:val="en-US"/>
        </w:rPr>
      </w:pPr>
      <w:r w:rsidRPr="00FE50A6">
        <w:rPr>
          <w:lang w:val="en-US"/>
        </w:rPr>
        <w:t>Re</w:t>
      </w:r>
      <w:r w:rsidR="00EB4E04" w:rsidRPr="00FE50A6">
        <w:rPr>
          <w:lang w:val="en-US"/>
        </w:rPr>
        <w:t xml:space="preserve">garding the aspect of </w:t>
      </w:r>
      <w:r w:rsidR="009C48A4" w:rsidRPr="00FE50A6">
        <w:rPr>
          <w:lang w:val="en-US"/>
        </w:rPr>
        <w:t>“</w:t>
      </w:r>
      <w:r w:rsidR="00EB4E04" w:rsidRPr="00FE50A6">
        <w:rPr>
          <w:lang w:val="en-US"/>
        </w:rPr>
        <w:t>ownership,</w:t>
      </w:r>
      <w:r w:rsidR="009C48A4" w:rsidRPr="00FE50A6">
        <w:rPr>
          <w:lang w:val="en-US"/>
        </w:rPr>
        <w:t>”</w:t>
      </w:r>
      <w:r w:rsidR="00EB4E04" w:rsidRPr="00FE50A6">
        <w:rPr>
          <w:lang w:val="en-US"/>
        </w:rPr>
        <w:t xml:space="preserve"> this should be understood </w:t>
      </w:r>
      <w:r w:rsidR="00732757" w:rsidRPr="00FE50A6">
        <w:rPr>
          <w:lang w:val="en-US"/>
        </w:rPr>
        <w:t>within the phenomenon of slavery as “possession”; that is, demonstration of control of one person over another. Consequently, “when determining the level of control required to consider an act as slavery, […] this could be equated to the loss of a person’s own will, or to a considerable decrease in personal autonomy,”</w:t>
      </w:r>
      <w:r w:rsidRPr="00FE50A6">
        <w:rPr>
          <w:rStyle w:val="Refdenotaalpie"/>
          <w:lang w:val="en-US"/>
        </w:rPr>
        <w:footnoteReference w:id="409"/>
      </w:r>
      <w:r w:rsidR="00732757" w:rsidRPr="00FE50A6">
        <w:rPr>
          <w:lang w:val="en-US"/>
        </w:rPr>
        <w:t xml:space="preserve"> In this regard, the so-called “exercise of the powers attaching to the right of ownership” should now be understood as</w:t>
      </w:r>
      <w:r w:rsidR="00095852" w:rsidRPr="00FE50A6">
        <w:rPr>
          <w:lang w:val="en-US"/>
        </w:rPr>
        <w:t xml:space="preserve"> constituting</w:t>
      </w:r>
      <w:r w:rsidR="00732757" w:rsidRPr="00FE50A6">
        <w:rPr>
          <w:lang w:val="en-US"/>
        </w:rPr>
        <w:t xml:space="preserve"> control over a person </w:t>
      </w:r>
      <w:r w:rsidR="00095852" w:rsidRPr="00FE50A6">
        <w:rPr>
          <w:lang w:val="en-US"/>
        </w:rPr>
        <w:t>in such a way as to significantly</w:t>
      </w:r>
      <w:r w:rsidR="00732757" w:rsidRPr="00FE50A6">
        <w:rPr>
          <w:lang w:val="en-US"/>
        </w:rPr>
        <w:t xml:space="preserve"> </w:t>
      </w:r>
      <w:r w:rsidR="00107D3F" w:rsidRPr="00FE50A6">
        <w:rPr>
          <w:lang w:val="en-US"/>
        </w:rPr>
        <w:t>deprive</w:t>
      </w:r>
      <w:r w:rsidR="00095852" w:rsidRPr="00FE50A6">
        <w:rPr>
          <w:lang w:val="en-US"/>
        </w:rPr>
        <w:t xml:space="preserve"> that person of his or her</w:t>
      </w:r>
      <w:r w:rsidR="00107D3F" w:rsidRPr="00FE50A6">
        <w:rPr>
          <w:lang w:val="en-US"/>
        </w:rPr>
        <w:t xml:space="preserve"> individual liberty,</w:t>
      </w:r>
      <w:r w:rsidR="00107D3F" w:rsidRPr="00FE50A6">
        <w:rPr>
          <w:rStyle w:val="Refdenotaalpie"/>
          <w:lang w:val="en-US"/>
        </w:rPr>
        <w:footnoteReference w:id="410"/>
      </w:r>
      <w:r w:rsidR="00107D3F" w:rsidRPr="00FE50A6">
        <w:rPr>
          <w:lang w:val="en-US"/>
        </w:rPr>
        <w:t xml:space="preserve"> </w:t>
      </w:r>
      <w:r w:rsidR="00095852" w:rsidRPr="00FE50A6">
        <w:rPr>
          <w:lang w:val="en-US"/>
        </w:rPr>
        <w:t>“</w:t>
      </w:r>
      <w:r w:rsidR="00732757" w:rsidRPr="00FE50A6">
        <w:rPr>
          <w:lang w:val="en-US"/>
        </w:rPr>
        <w:t xml:space="preserve">with the intent </w:t>
      </w:r>
      <w:r w:rsidR="00107D3F" w:rsidRPr="00FE50A6">
        <w:rPr>
          <w:lang w:val="en-US"/>
        </w:rPr>
        <w:t>of</w:t>
      </w:r>
      <w:r w:rsidR="00732757" w:rsidRPr="00FE50A6">
        <w:rPr>
          <w:lang w:val="en-US"/>
        </w:rPr>
        <w:t xml:space="preserve"> exploit</w:t>
      </w:r>
      <w:r w:rsidR="00095852" w:rsidRPr="00FE50A6">
        <w:rPr>
          <w:lang w:val="en-US"/>
        </w:rPr>
        <w:t>ation through the</w:t>
      </w:r>
      <w:r w:rsidR="00732757" w:rsidRPr="00FE50A6">
        <w:rPr>
          <w:lang w:val="en-US"/>
        </w:rPr>
        <w:t xml:space="preserve"> use, </w:t>
      </w:r>
      <w:r w:rsidR="00095852" w:rsidRPr="00FE50A6">
        <w:rPr>
          <w:lang w:val="en-US"/>
        </w:rPr>
        <w:t>management, profit</w:t>
      </w:r>
      <w:r w:rsidR="00732757" w:rsidRPr="00FE50A6">
        <w:rPr>
          <w:lang w:val="en-US"/>
        </w:rPr>
        <w:t>, transfer or disposal</w:t>
      </w:r>
      <w:r w:rsidR="00095852" w:rsidRPr="00FE50A6">
        <w:rPr>
          <w:lang w:val="en-US"/>
        </w:rPr>
        <w:t xml:space="preserve"> of that person</w:t>
      </w:r>
      <w:r w:rsidRPr="00FE50A6">
        <w:rPr>
          <w:lang w:val="en-US"/>
        </w:rPr>
        <w:t xml:space="preserve">. </w:t>
      </w:r>
      <w:r w:rsidR="00095852" w:rsidRPr="00FE50A6">
        <w:rPr>
          <w:lang w:val="en-US"/>
        </w:rPr>
        <w:t>Usually</w:t>
      </w:r>
      <w:r w:rsidR="00107D3F" w:rsidRPr="00FE50A6">
        <w:rPr>
          <w:lang w:val="en-US"/>
        </w:rPr>
        <w:t>, th</w:t>
      </w:r>
      <w:r w:rsidR="00095852" w:rsidRPr="00FE50A6">
        <w:rPr>
          <w:lang w:val="en-US"/>
        </w:rPr>
        <w:t>is</w:t>
      </w:r>
      <w:r w:rsidR="00107D3F" w:rsidRPr="00FE50A6">
        <w:rPr>
          <w:lang w:val="en-US"/>
        </w:rPr>
        <w:t xml:space="preserve"> exercise </w:t>
      </w:r>
      <w:r w:rsidR="00095852" w:rsidRPr="00FE50A6">
        <w:rPr>
          <w:lang w:val="en-US"/>
        </w:rPr>
        <w:t>will be</w:t>
      </w:r>
      <w:r w:rsidR="00107D3F" w:rsidRPr="00FE50A6">
        <w:rPr>
          <w:lang w:val="en-US"/>
        </w:rPr>
        <w:t xml:space="preserve"> supported by </w:t>
      </w:r>
      <w:r w:rsidR="00095852" w:rsidRPr="00FE50A6">
        <w:rPr>
          <w:lang w:val="en-US"/>
        </w:rPr>
        <w:t xml:space="preserve">and obtained through </w:t>
      </w:r>
      <w:r w:rsidR="00107D3F" w:rsidRPr="00FE50A6">
        <w:rPr>
          <w:lang w:val="en-US"/>
        </w:rPr>
        <w:t>means such as violen</w:t>
      </w:r>
      <w:r w:rsidR="00095852" w:rsidRPr="00FE50A6">
        <w:rPr>
          <w:lang w:val="en-US"/>
        </w:rPr>
        <w:t>t force</w:t>
      </w:r>
      <w:r w:rsidR="00107D3F" w:rsidRPr="00FE50A6">
        <w:rPr>
          <w:lang w:val="en-US"/>
        </w:rPr>
        <w:t xml:space="preserve">, </w:t>
      </w:r>
      <w:r w:rsidR="00681925" w:rsidRPr="00FE50A6">
        <w:rPr>
          <w:lang w:val="en-US"/>
        </w:rPr>
        <w:t>deception</w:t>
      </w:r>
      <w:r w:rsidR="00107D3F" w:rsidRPr="00FE50A6">
        <w:rPr>
          <w:lang w:val="en-US"/>
        </w:rPr>
        <w:t xml:space="preserve"> and/or coercion.</w:t>
      </w:r>
      <w:r w:rsidR="00095852" w:rsidRPr="00FE50A6">
        <w:rPr>
          <w:lang w:val="en-US"/>
        </w:rPr>
        <w:t>”</w:t>
      </w:r>
      <w:r w:rsidRPr="00FE50A6">
        <w:rPr>
          <w:rStyle w:val="Refdenotaalpie"/>
          <w:lang w:val="en-US"/>
        </w:rPr>
        <w:footnoteReference w:id="411"/>
      </w:r>
      <w:r w:rsidRPr="00FE50A6">
        <w:rPr>
          <w:lang w:val="en-US"/>
        </w:rPr>
        <w:t xml:space="preserve"> </w:t>
      </w:r>
    </w:p>
    <w:p w14:paraId="0DAE7D88" w14:textId="77777777" w:rsidR="00C44C4F" w:rsidRPr="00FE50A6" w:rsidRDefault="00C44C4F" w:rsidP="00C44C4F">
      <w:pPr>
        <w:pStyle w:val="Prrafodelista"/>
        <w:rPr>
          <w:lang w:val="en-US"/>
        </w:rPr>
      </w:pPr>
    </w:p>
    <w:p w14:paraId="7A1281ED" w14:textId="77777777" w:rsidR="00107D3F" w:rsidRPr="00FE50A6" w:rsidRDefault="000228D0" w:rsidP="00F37DC4">
      <w:pPr>
        <w:pStyle w:val="Prrafodelista"/>
        <w:numPr>
          <w:ilvl w:val="0"/>
          <w:numId w:val="1"/>
        </w:numPr>
        <w:contextualSpacing w:val="0"/>
        <w:rPr>
          <w:lang w:val="en-US"/>
        </w:rPr>
      </w:pPr>
      <w:r w:rsidRPr="00FE50A6">
        <w:rPr>
          <w:lang w:val="en-US"/>
        </w:rPr>
        <w:t>The Court</w:t>
      </w:r>
      <w:r w:rsidR="00207197" w:rsidRPr="00FE50A6">
        <w:rPr>
          <w:lang w:val="en-US"/>
        </w:rPr>
        <w:t xml:space="preserve"> </w:t>
      </w:r>
      <w:r w:rsidR="00107D3F" w:rsidRPr="00FE50A6">
        <w:rPr>
          <w:lang w:val="en-US"/>
        </w:rPr>
        <w:t xml:space="preserve">shares this opinion and considers that it accords with the rulings of </w:t>
      </w:r>
      <w:r w:rsidR="002071B1" w:rsidRPr="00FE50A6">
        <w:rPr>
          <w:lang w:val="en-US"/>
        </w:rPr>
        <w:t xml:space="preserve">the </w:t>
      </w:r>
      <w:r w:rsidR="00212AFD" w:rsidRPr="00FE50A6">
        <w:rPr>
          <w:i/>
          <w:lang w:val="en-US"/>
        </w:rPr>
        <w:t xml:space="preserve">Ad hoc </w:t>
      </w:r>
      <w:r w:rsidR="00212AFD" w:rsidRPr="00FE50A6">
        <w:rPr>
          <w:lang w:val="en-US"/>
        </w:rPr>
        <w:t>International Criminal Tribunal for the former Yugoslavia</w:t>
      </w:r>
      <w:r w:rsidR="00207197" w:rsidRPr="00FE50A6">
        <w:rPr>
          <w:b/>
          <w:lang w:val="en-US"/>
        </w:rPr>
        <w:t xml:space="preserve">, </w:t>
      </w:r>
      <w:r w:rsidR="002071B1" w:rsidRPr="00FE50A6">
        <w:rPr>
          <w:lang w:val="en-US"/>
        </w:rPr>
        <w:t xml:space="preserve">the </w:t>
      </w:r>
      <w:r w:rsidR="00212AFD" w:rsidRPr="00FE50A6">
        <w:rPr>
          <w:lang w:val="en-US"/>
        </w:rPr>
        <w:t>Special Court for Sierra Leone</w:t>
      </w:r>
      <w:r w:rsidR="00207197" w:rsidRPr="00FE50A6">
        <w:rPr>
          <w:lang w:val="en-US"/>
        </w:rPr>
        <w:t>,</w:t>
      </w:r>
      <w:r w:rsidR="00030C17" w:rsidRPr="00FE50A6">
        <w:rPr>
          <w:lang w:val="en-US"/>
        </w:rPr>
        <w:t xml:space="preserve"> and </w:t>
      </w:r>
      <w:r w:rsidR="00107D3F" w:rsidRPr="00FE50A6">
        <w:rPr>
          <w:lang w:val="en-US"/>
        </w:rPr>
        <w:t>Court of Justice of the Economic Community of West African States</w:t>
      </w:r>
      <w:r w:rsidR="00665818" w:rsidRPr="00FE50A6">
        <w:rPr>
          <w:lang w:val="en-US"/>
        </w:rPr>
        <w:t xml:space="preserve"> </w:t>
      </w:r>
      <w:r w:rsidR="00207197" w:rsidRPr="00FE50A6">
        <w:rPr>
          <w:lang w:val="en-US"/>
        </w:rPr>
        <w:t>(</w:t>
      </w:r>
      <w:r w:rsidR="00207197" w:rsidRPr="00FE50A6">
        <w:rPr>
          <w:i/>
          <w:lang w:val="en-US"/>
        </w:rPr>
        <w:t xml:space="preserve">supra </w:t>
      </w:r>
      <w:r w:rsidR="00700B79" w:rsidRPr="00FE50A6">
        <w:rPr>
          <w:lang w:val="en-US"/>
        </w:rPr>
        <w:t>paras.</w:t>
      </w:r>
      <w:r w:rsidR="00207197" w:rsidRPr="00FE50A6">
        <w:rPr>
          <w:lang w:val="en-US"/>
        </w:rPr>
        <w:t xml:space="preserve"> </w:t>
      </w:r>
      <w:r w:rsidR="00A05771" w:rsidRPr="00FE50A6">
        <w:rPr>
          <w:lang w:val="en-US"/>
        </w:rPr>
        <w:t xml:space="preserve">259 </w:t>
      </w:r>
      <w:r w:rsidR="00107D3F" w:rsidRPr="00FE50A6">
        <w:rPr>
          <w:lang w:val="en-US"/>
        </w:rPr>
        <w:t>to</w:t>
      </w:r>
      <w:r w:rsidR="00A05771" w:rsidRPr="00FE50A6">
        <w:rPr>
          <w:lang w:val="en-US"/>
        </w:rPr>
        <w:t xml:space="preserve"> 262</w:t>
      </w:r>
      <w:r w:rsidR="00207197" w:rsidRPr="00FE50A6">
        <w:rPr>
          <w:lang w:val="en-US"/>
        </w:rPr>
        <w:t xml:space="preserve">), </w:t>
      </w:r>
      <w:r w:rsidR="00107D3F" w:rsidRPr="00FE50A6">
        <w:rPr>
          <w:lang w:val="en-US"/>
        </w:rPr>
        <w:t>so that, in order to determine whether a situation of slavery exists nowadays, it is necessary to assess the manifestation of the so-called “powers attaching to the right of ownership” based on the following elements:</w:t>
      </w:r>
    </w:p>
    <w:p w14:paraId="330F51CA" w14:textId="77777777" w:rsidR="00207197" w:rsidRPr="00FE50A6" w:rsidRDefault="00207197" w:rsidP="00140440">
      <w:pPr>
        <w:jc w:val="both"/>
        <w:rPr>
          <w:lang w:val="en-US"/>
        </w:rPr>
      </w:pPr>
    </w:p>
    <w:p w14:paraId="6DC1936A" w14:textId="77777777" w:rsidR="00207197" w:rsidRPr="00FE50A6" w:rsidRDefault="00207197" w:rsidP="00D152C2">
      <w:pPr>
        <w:spacing w:after="120"/>
        <w:ind w:left="851"/>
        <w:jc w:val="both"/>
        <w:rPr>
          <w:lang w:val="en-US"/>
        </w:rPr>
      </w:pPr>
      <w:r w:rsidRPr="00FE50A6">
        <w:rPr>
          <w:lang w:val="en-US"/>
        </w:rPr>
        <w:t xml:space="preserve">a) </w:t>
      </w:r>
      <w:r w:rsidR="001A77F4" w:rsidRPr="00FE50A6">
        <w:rPr>
          <w:lang w:val="en-US"/>
        </w:rPr>
        <w:t xml:space="preserve">the </w:t>
      </w:r>
      <w:r w:rsidRPr="00FE50A6">
        <w:rPr>
          <w:lang w:val="en-US"/>
        </w:rPr>
        <w:t>restric</w:t>
      </w:r>
      <w:r w:rsidR="001A77F4" w:rsidRPr="00FE50A6">
        <w:rPr>
          <w:lang w:val="en-US"/>
        </w:rPr>
        <w:t>tion or control of</w:t>
      </w:r>
      <w:r w:rsidR="00C7478A" w:rsidRPr="00FE50A6">
        <w:rPr>
          <w:lang w:val="en-US"/>
        </w:rPr>
        <w:t xml:space="preserve"> an</w:t>
      </w:r>
      <w:r w:rsidR="001A77F4" w:rsidRPr="00FE50A6">
        <w:rPr>
          <w:lang w:val="en-US"/>
        </w:rPr>
        <w:t xml:space="preserve"> individual</w:t>
      </w:r>
      <w:r w:rsidR="00C7478A" w:rsidRPr="00FE50A6">
        <w:rPr>
          <w:lang w:val="en-US"/>
        </w:rPr>
        <w:t>’s</w:t>
      </w:r>
      <w:r w:rsidR="001A77F4" w:rsidRPr="00FE50A6">
        <w:rPr>
          <w:lang w:val="en-US"/>
        </w:rPr>
        <w:t xml:space="preserve"> autonomy;</w:t>
      </w:r>
    </w:p>
    <w:p w14:paraId="36412BF7" w14:textId="77777777" w:rsidR="00207197" w:rsidRPr="00FE50A6" w:rsidRDefault="00207197" w:rsidP="00D152C2">
      <w:pPr>
        <w:spacing w:after="120"/>
        <w:ind w:left="851"/>
        <w:jc w:val="both"/>
        <w:rPr>
          <w:lang w:val="en-US"/>
        </w:rPr>
      </w:pPr>
      <w:r w:rsidRPr="00FE50A6">
        <w:rPr>
          <w:lang w:val="en-US"/>
        </w:rPr>
        <w:t xml:space="preserve">b) </w:t>
      </w:r>
      <w:r w:rsidR="001A77F4" w:rsidRPr="00FE50A6">
        <w:rPr>
          <w:lang w:val="en-US"/>
        </w:rPr>
        <w:t xml:space="preserve">the loss or restriction </w:t>
      </w:r>
      <w:r w:rsidR="00C7478A" w:rsidRPr="00FE50A6">
        <w:rPr>
          <w:lang w:val="en-US"/>
        </w:rPr>
        <w:t xml:space="preserve">of </w:t>
      </w:r>
      <w:r w:rsidR="001A77F4" w:rsidRPr="00FE50A6">
        <w:rPr>
          <w:lang w:val="en-US"/>
        </w:rPr>
        <w:t>freedom of movement;</w:t>
      </w:r>
    </w:p>
    <w:p w14:paraId="7D407047" w14:textId="77777777" w:rsidR="00207197" w:rsidRPr="00FE50A6" w:rsidRDefault="00207197" w:rsidP="00D152C2">
      <w:pPr>
        <w:spacing w:after="120"/>
        <w:ind w:left="851"/>
        <w:jc w:val="both"/>
        <w:rPr>
          <w:lang w:val="en-US"/>
        </w:rPr>
      </w:pPr>
      <w:r w:rsidRPr="00FE50A6">
        <w:rPr>
          <w:lang w:val="en-US"/>
        </w:rPr>
        <w:t xml:space="preserve">c) </w:t>
      </w:r>
      <w:r w:rsidR="001A77F4" w:rsidRPr="00FE50A6">
        <w:rPr>
          <w:lang w:val="en-US"/>
        </w:rPr>
        <w:t xml:space="preserve">the </w:t>
      </w:r>
      <w:r w:rsidR="00C7478A" w:rsidRPr="00FE50A6">
        <w:rPr>
          <w:lang w:val="en-US"/>
        </w:rPr>
        <w:t>accruing of some gain to</w:t>
      </w:r>
      <w:r w:rsidR="001A77F4" w:rsidRPr="00FE50A6">
        <w:rPr>
          <w:lang w:val="en-US"/>
        </w:rPr>
        <w:t xml:space="preserve"> the perpetrator;</w:t>
      </w:r>
      <w:r w:rsidRPr="00FE50A6">
        <w:rPr>
          <w:lang w:val="en-US"/>
        </w:rPr>
        <w:t xml:space="preserve"> </w:t>
      </w:r>
    </w:p>
    <w:p w14:paraId="2C2053EC" w14:textId="77777777" w:rsidR="00207197" w:rsidRPr="00FE50A6" w:rsidRDefault="00207197" w:rsidP="00D152C2">
      <w:pPr>
        <w:spacing w:after="120"/>
        <w:ind w:left="851"/>
        <w:jc w:val="both"/>
        <w:rPr>
          <w:lang w:val="en-US"/>
        </w:rPr>
      </w:pPr>
      <w:r w:rsidRPr="00FE50A6">
        <w:rPr>
          <w:lang w:val="en-US"/>
        </w:rPr>
        <w:t>d)</w:t>
      </w:r>
      <w:r w:rsidR="001A77F4" w:rsidRPr="00FE50A6">
        <w:rPr>
          <w:lang w:val="en-US"/>
        </w:rPr>
        <w:t xml:space="preserve"> the absence of the victim’s consent or free will, or it</w:t>
      </w:r>
      <w:r w:rsidR="00C7478A" w:rsidRPr="00FE50A6">
        <w:rPr>
          <w:lang w:val="en-US"/>
        </w:rPr>
        <w:t xml:space="preserve"> is rendered</w:t>
      </w:r>
      <w:r w:rsidR="001A77F4" w:rsidRPr="00FE50A6">
        <w:rPr>
          <w:lang w:val="en-US"/>
        </w:rPr>
        <w:t xml:space="preserve"> impossib</w:t>
      </w:r>
      <w:r w:rsidR="00C7478A" w:rsidRPr="00FE50A6">
        <w:rPr>
          <w:lang w:val="en-US"/>
        </w:rPr>
        <w:t>le</w:t>
      </w:r>
      <w:r w:rsidR="001A77F4" w:rsidRPr="00FE50A6">
        <w:rPr>
          <w:lang w:val="en-US"/>
        </w:rPr>
        <w:t xml:space="preserve"> or irrelevan</w:t>
      </w:r>
      <w:r w:rsidR="00C7478A" w:rsidRPr="00FE50A6">
        <w:rPr>
          <w:lang w:val="en-US"/>
        </w:rPr>
        <w:t>t</w:t>
      </w:r>
      <w:r w:rsidR="001A77F4" w:rsidRPr="00FE50A6">
        <w:rPr>
          <w:lang w:val="en-US"/>
        </w:rPr>
        <w:t xml:space="preserve"> </w:t>
      </w:r>
      <w:r w:rsidR="00C7478A" w:rsidRPr="00FE50A6">
        <w:rPr>
          <w:lang w:val="en-US"/>
        </w:rPr>
        <w:t>by</w:t>
      </w:r>
      <w:r w:rsidR="001A77F4" w:rsidRPr="00FE50A6">
        <w:rPr>
          <w:lang w:val="en-US"/>
        </w:rPr>
        <w:t xml:space="preserve"> the threat </w:t>
      </w:r>
      <w:r w:rsidR="00C7478A" w:rsidRPr="00FE50A6">
        <w:rPr>
          <w:lang w:val="en-US"/>
        </w:rPr>
        <w:t>or</w:t>
      </w:r>
      <w:r w:rsidR="001A77F4" w:rsidRPr="00FE50A6">
        <w:rPr>
          <w:lang w:val="en-US"/>
        </w:rPr>
        <w:t xml:space="preserve"> use of </w:t>
      </w:r>
      <w:r w:rsidR="00C7478A" w:rsidRPr="00FE50A6">
        <w:rPr>
          <w:lang w:val="en-US"/>
        </w:rPr>
        <w:t>force</w:t>
      </w:r>
      <w:r w:rsidR="001A77F4" w:rsidRPr="00FE50A6">
        <w:rPr>
          <w:lang w:val="en-US"/>
        </w:rPr>
        <w:t xml:space="preserve"> or other forms of coercion,</w:t>
      </w:r>
      <w:r w:rsidR="00C7478A" w:rsidRPr="00FE50A6">
        <w:rPr>
          <w:lang w:val="en-US"/>
        </w:rPr>
        <w:t xml:space="preserve"> the</w:t>
      </w:r>
      <w:r w:rsidR="001A77F4" w:rsidRPr="00FE50A6">
        <w:rPr>
          <w:lang w:val="en-US"/>
        </w:rPr>
        <w:t xml:space="preserve"> fear of violence</w:t>
      </w:r>
      <w:r w:rsidRPr="00FE50A6">
        <w:rPr>
          <w:lang w:val="en-US"/>
        </w:rPr>
        <w:t>,</w:t>
      </w:r>
      <w:r w:rsidR="001A77F4" w:rsidRPr="00FE50A6">
        <w:rPr>
          <w:lang w:val="en-US"/>
        </w:rPr>
        <w:t xml:space="preserve"> dece</w:t>
      </w:r>
      <w:r w:rsidR="00C7478A" w:rsidRPr="00FE50A6">
        <w:rPr>
          <w:lang w:val="en-US"/>
        </w:rPr>
        <w:t>ption</w:t>
      </w:r>
      <w:r w:rsidR="001A77F4" w:rsidRPr="00FE50A6">
        <w:rPr>
          <w:lang w:val="en-US"/>
        </w:rPr>
        <w:t xml:space="preserve"> or false promises;</w:t>
      </w:r>
    </w:p>
    <w:p w14:paraId="6F404F96" w14:textId="77777777" w:rsidR="00207197" w:rsidRPr="00FE50A6" w:rsidRDefault="00207197" w:rsidP="00D152C2">
      <w:pPr>
        <w:spacing w:after="120"/>
        <w:ind w:left="851"/>
        <w:jc w:val="both"/>
        <w:rPr>
          <w:lang w:val="en-US"/>
        </w:rPr>
      </w:pPr>
      <w:r w:rsidRPr="00FE50A6">
        <w:rPr>
          <w:lang w:val="en-US"/>
        </w:rPr>
        <w:t xml:space="preserve">e) </w:t>
      </w:r>
      <w:r w:rsidR="00C7478A" w:rsidRPr="00FE50A6">
        <w:rPr>
          <w:lang w:val="en-US"/>
        </w:rPr>
        <w:t xml:space="preserve">the use of physical </w:t>
      </w:r>
      <w:r w:rsidR="00CD5AB8" w:rsidRPr="00FE50A6">
        <w:rPr>
          <w:lang w:val="en-US"/>
        </w:rPr>
        <w:t xml:space="preserve">force </w:t>
      </w:r>
      <w:r w:rsidR="00C7478A" w:rsidRPr="00FE50A6">
        <w:rPr>
          <w:lang w:val="en-US"/>
        </w:rPr>
        <w:t xml:space="preserve">or psychological </w:t>
      </w:r>
      <w:r w:rsidR="00CD5AB8" w:rsidRPr="00FE50A6">
        <w:rPr>
          <w:lang w:val="en-US"/>
        </w:rPr>
        <w:t>oppression</w:t>
      </w:r>
      <w:r w:rsidR="00C7478A" w:rsidRPr="00FE50A6">
        <w:rPr>
          <w:lang w:val="en-US"/>
        </w:rPr>
        <w:t xml:space="preserve">; </w:t>
      </w:r>
    </w:p>
    <w:p w14:paraId="113A18F1" w14:textId="77777777" w:rsidR="00207197" w:rsidRPr="00FE50A6" w:rsidRDefault="00207197" w:rsidP="00D152C2">
      <w:pPr>
        <w:spacing w:after="120"/>
        <w:ind w:left="851"/>
        <w:jc w:val="both"/>
        <w:rPr>
          <w:lang w:val="en-US"/>
        </w:rPr>
      </w:pPr>
      <w:r w:rsidRPr="00FE50A6">
        <w:rPr>
          <w:lang w:val="en-US"/>
        </w:rPr>
        <w:t xml:space="preserve">f) </w:t>
      </w:r>
      <w:r w:rsidR="00C7478A" w:rsidRPr="00FE50A6">
        <w:rPr>
          <w:lang w:val="en-US"/>
        </w:rPr>
        <w:t>the victim’s position of vulnerability;</w:t>
      </w:r>
    </w:p>
    <w:p w14:paraId="7CDB9B4E" w14:textId="77777777" w:rsidR="00207197" w:rsidRPr="00FE50A6" w:rsidRDefault="00207197" w:rsidP="00D152C2">
      <w:pPr>
        <w:spacing w:after="120"/>
        <w:ind w:left="851"/>
        <w:jc w:val="both"/>
        <w:rPr>
          <w:lang w:val="en-US"/>
        </w:rPr>
      </w:pPr>
      <w:r w:rsidRPr="00FE50A6">
        <w:rPr>
          <w:lang w:val="en-US"/>
        </w:rPr>
        <w:t xml:space="preserve">g) </w:t>
      </w:r>
      <w:r w:rsidR="00C7478A" w:rsidRPr="00FE50A6">
        <w:rPr>
          <w:lang w:val="en-US"/>
        </w:rPr>
        <w:t xml:space="preserve">detention or captivity; </w:t>
      </w:r>
    </w:p>
    <w:p w14:paraId="0FE203AA" w14:textId="77777777" w:rsidR="00207197" w:rsidRPr="00FE50A6" w:rsidRDefault="00207197" w:rsidP="00F727E4">
      <w:pPr>
        <w:ind w:left="851"/>
        <w:jc w:val="both"/>
        <w:rPr>
          <w:lang w:val="en-US"/>
        </w:rPr>
      </w:pPr>
      <w:r w:rsidRPr="00FE50A6">
        <w:rPr>
          <w:lang w:val="en-US"/>
        </w:rPr>
        <w:t xml:space="preserve">i) </w:t>
      </w:r>
      <w:r w:rsidR="00C7478A" w:rsidRPr="00FE50A6">
        <w:rPr>
          <w:lang w:val="en-US"/>
        </w:rPr>
        <w:t>exploitation</w:t>
      </w:r>
      <w:r w:rsidR="00C44C4F" w:rsidRPr="00FE50A6">
        <w:rPr>
          <w:lang w:val="en-US"/>
        </w:rPr>
        <w:t>.</w:t>
      </w:r>
      <w:r w:rsidRPr="00FE50A6">
        <w:rPr>
          <w:rStyle w:val="Refdenotaalpie"/>
          <w:sz w:val="18"/>
          <w:szCs w:val="18"/>
          <w:lang w:val="en-US"/>
        </w:rPr>
        <w:footnoteReference w:id="412"/>
      </w:r>
      <w:r w:rsidRPr="00FE50A6">
        <w:rPr>
          <w:lang w:val="en-US"/>
        </w:rPr>
        <w:t xml:space="preserve"> </w:t>
      </w:r>
    </w:p>
    <w:p w14:paraId="6CB33BD7" w14:textId="77777777" w:rsidR="00207197" w:rsidRPr="00FE50A6" w:rsidRDefault="00207197" w:rsidP="00140440">
      <w:pPr>
        <w:jc w:val="both"/>
        <w:rPr>
          <w:lang w:val="en-US"/>
        </w:rPr>
      </w:pPr>
    </w:p>
    <w:p w14:paraId="330B91F4" w14:textId="77777777" w:rsidR="00207197" w:rsidRPr="00FE50A6" w:rsidRDefault="00CD5AB8" w:rsidP="00F37DC4">
      <w:pPr>
        <w:pStyle w:val="Prrafodelista"/>
        <w:numPr>
          <w:ilvl w:val="0"/>
          <w:numId w:val="1"/>
        </w:numPr>
        <w:contextualSpacing w:val="0"/>
        <w:rPr>
          <w:lang w:val="en-US"/>
        </w:rPr>
      </w:pPr>
      <w:r w:rsidRPr="00FE50A6">
        <w:rPr>
          <w:lang w:val="en-US"/>
        </w:rPr>
        <w:t xml:space="preserve">It is evident from the above that when a situation of slavery is verified, there has been a substantial restriction of the </w:t>
      </w:r>
      <w:r w:rsidR="00D11A9F" w:rsidRPr="00FE50A6">
        <w:rPr>
          <w:lang w:val="en-US"/>
        </w:rPr>
        <w:t>juridical personality</w:t>
      </w:r>
      <w:r w:rsidR="00207197" w:rsidRPr="00FE50A6">
        <w:rPr>
          <w:lang w:val="en-US"/>
        </w:rPr>
        <w:t xml:space="preserve"> </w:t>
      </w:r>
      <w:r w:rsidRPr="00FE50A6">
        <w:rPr>
          <w:lang w:val="en-US"/>
        </w:rPr>
        <w:t>of the individual concerned</w:t>
      </w:r>
      <w:r w:rsidR="00207197" w:rsidRPr="00FE50A6">
        <w:rPr>
          <w:rStyle w:val="Refdenotaalpie"/>
          <w:lang w:val="en-US"/>
        </w:rPr>
        <w:footnoteReference w:id="413"/>
      </w:r>
      <w:r w:rsidR="00030C17" w:rsidRPr="00FE50A6">
        <w:rPr>
          <w:lang w:val="en-US"/>
        </w:rPr>
        <w:t xml:space="preserve"> and </w:t>
      </w:r>
      <w:r w:rsidR="00095852" w:rsidRPr="00FE50A6">
        <w:rPr>
          <w:lang w:val="en-US"/>
        </w:rPr>
        <w:t>it</w:t>
      </w:r>
      <w:r w:rsidRPr="00FE50A6">
        <w:rPr>
          <w:lang w:val="en-US"/>
        </w:rPr>
        <w:t xml:space="preserve"> could also include violations of the rights to </w:t>
      </w:r>
      <w:r w:rsidR="00D11A9F" w:rsidRPr="00FE50A6">
        <w:rPr>
          <w:lang w:val="en-US"/>
        </w:rPr>
        <w:t>personal integrity</w:t>
      </w:r>
      <w:r w:rsidR="00207197" w:rsidRPr="00FE50A6">
        <w:rPr>
          <w:lang w:val="en-US"/>
        </w:rPr>
        <w:t xml:space="preserve">, </w:t>
      </w:r>
      <w:r w:rsidR="00BC6362" w:rsidRPr="00FE50A6">
        <w:rPr>
          <w:lang w:val="en-US"/>
        </w:rPr>
        <w:t>personal liberty</w:t>
      </w:r>
      <w:r w:rsidR="00030C17" w:rsidRPr="00FE50A6">
        <w:rPr>
          <w:lang w:val="en-US"/>
        </w:rPr>
        <w:t xml:space="preserve"> and </w:t>
      </w:r>
      <w:r w:rsidRPr="00FE50A6">
        <w:rPr>
          <w:lang w:val="en-US"/>
        </w:rPr>
        <w:t>dignity, among others, depending on the specific circumstances of each case</w:t>
      </w:r>
      <w:r w:rsidR="00207197" w:rsidRPr="00FE50A6">
        <w:rPr>
          <w:lang w:val="en-US"/>
        </w:rPr>
        <w:t xml:space="preserve">. </w:t>
      </w:r>
    </w:p>
    <w:p w14:paraId="5DEB1861" w14:textId="77777777" w:rsidR="00307914" w:rsidRPr="00FE50A6" w:rsidRDefault="00307914" w:rsidP="00140440">
      <w:pPr>
        <w:pStyle w:val="Prrafodelista"/>
        <w:ind w:left="0"/>
        <w:rPr>
          <w:b/>
          <w:lang w:val="en-US"/>
        </w:rPr>
      </w:pPr>
    </w:p>
    <w:p w14:paraId="1F1319CE" w14:textId="77777777" w:rsidR="00207197" w:rsidRPr="00FE50A6" w:rsidRDefault="005D2CE2" w:rsidP="005D2CE2">
      <w:pPr>
        <w:pStyle w:val="Ttulo3"/>
        <w:rPr>
          <w:lang w:val="en-US"/>
        </w:rPr>
      </w:pPr>
      <w:bookmarkStart w:id="317" w:name="_Toc464813962"/>
      <w:r w:rsidRPr="00FE50A6">
        <w:rPr>
          <w:lang w:val="en-US"/>
        </w:rPr>
        <w:t>B.4</w:t>
      </w:r>
      <w:r w:rsidR="00DC2886" w:rsidRPr="00FE50A6">
        <w:rPr>
          <w:lang w:val="en-US"/>
        </w:rPr>
        <w:t>.</w:t>
      </w:r>
      <w:r w:rsidR="00207197" w:rsidRPr="00FE50A6">
        <w:rPr>
          <w:lang w:val="en-US"/>
        </w:rPr>
        <w:t xml:space="preserve"> </w:t>
      </w:r>
      <w:r w:rsidR="00CD5AB8" w:rsidRPr="00FE50A6">
        <w:rPr>
          <w:lang w:val="en-US"/>
        </w:rPr>
        <w:t>Prohibition of servitude and its definition as a practice similar to slavery</w:t>
      </w:r>
      <w:bookmarkEnd w:id="317"/>
    </w:p>
    <w:p w14:paraId="3AD1C223" w14:textId="77777777" w:rsidR="00207197" w:rsidRPr="00FE50A6" w:rsidRDefault="00207197" w:rsidP="00140440">
      <w:pPr>
        <w:jc w:val="both"/>
        <w:rPr>
          <w:lang w:val="en-US"/>
        </w:rPr>
      </w:pPr>
    </w:p>
    <w:p w14:paraId="1C118B70" w14:textId="77777777" w:rsidR="00207197" w:rsidRPr="00FE50A6" w:rsidRDefault="00CD5AB8" w:rsidP="00F37DC4">
      <w:pPr>
        <w:pStyle w:val="Prrafodelista"/>
        <w:numPr>
          <w:ilvl w:val="0"/>
          <w:numId w:val="1"/>
        </w:numPr>
        <w:contextualSpacing w:val="0"/>
        <w:rPr>
          <w:lang w:val="en-US"/>
        </w:rPr>
      </w:pPr>
      <w:r w:rsidRPr="00FE50A6">
        <w:rPr>
          <w:lang w:val="en-US"/>
        </w:rPr>
        <w:t xml:space="preserve">Before analyzing the specific facts of this case, the Court deems it pertinent to include some considerations on the interpretation of servitude, the slave trade, traffic in women and forced labor in light </w:t>
      </w:r>
      <w:r w:rsidR="00703850" w:rsidRPr="00FE50A6">
        <w:rPr>
          <w:lang w:val="en-US"/>
        </w:rPr>
        <w:t>of Article</w:t>
      </w:r>
      <w:r w:rsidR="00207197" w:rsidRPr="00FE50A6">
        <w:rPr>
          <w:lang w:val="en-US"/>
        </w:rPr>
        <w:t xml:space="preserve"> 6</w:t>
      </w:r>
      <w:r w:rsidR="000228D0" w:rsidRPr="00FE50A6">
        <w:rPr>
          <w:lang w:val="en-US"/>
        </w:rPr>
        <w:t xml:space="preserve"> of the American Convention</w:t>
      </w:r>
      <w:r w:rsidR="00207197" w:rsidRPr="00FE50A6">
        <w:rPr>
          <w:lang w:val="en-US"/>
        </w:rPr>
        <w:t>.</w:t>
      </w:r>
      <w:r w:rsidR="0070011D" w:rsidRPr="00FE50A6">
        <w:rPr>
          <w:lang w:val="en-US"/>
        </w:rPr>
        <w:t xml:space="preserve"> </w:t>
      </w:r>
      <w:r w:rsidRPr="00FE50A6">
        <w:rPr>
          <w:lang w:val="en-US"/>
        </w:rPr>
        <w:t xml:space="preserve">Accordingly, the Court will refer to the evolution of these concepts in </w:t>
      </w:r>
      <w:r w:rsidR="00931A2D" w:rsidRPr="00FE50A6">
        <w:rPr>
          <w:lang w:val="en-US"/>
        </w:rPr>
        <w:t>international law</w:t>
      </w:r>
      <w:r w:rsidR="0070011D" w:rsidRPr="00FE50A6">
        <w:rPr>
          <w:lang w:val="en-US"/>
        </w:rPr>
        <w:t xml:space="preserve">. </w:t>
      </w:r>
    </w:p>
    <w:p w14:paraId="681F0F8B" w14:textId="77777777" w:rsidR="00207197" w:rsidRPr="00FE50A6" w:rsidRDefault="00207197" w:rsidP="00140440">
      <w:pPr>
        <w:pStyle w:val="Prrafodelista"/>
        <w:ind w:left="0"/>
        <w:rPr>
          <w:lang w:val="en-US"/>
        </w:rPr>
      </w:pPr>
    </w:p>
    <w:p w14:paraId="0AA428C2" w14:textId="77777777" w:rsidR="00207197" w:rsidRPr="00FE50A6" w:rsidRDefault="0070011D" w:rsidP="00221539">
      <w:pPr>
        <w:pStyle w:val="Prrafodelista"/>
        <w:numPr>
          <w:ilvl w:val="0"/>
          <w:numId w:val="1"/>
        </w:numPr>
        <w:contextualSpacing w:val="0"/>
        <w:rPr>
          <w:lang w:val="en-US"/>
        </w:rPr>
      </w:pPr>
      <w:r w:rsidRPr="00FE50A6">
        <w:rPr>
          <w:lang w:val="en-US"/>
        </w:rPr>
        <w:t>Re</w:t>
      </w:r>
      <w:r w:rsidR="00CD5AB8" w:rsidRPr="00FE50A6">
        <w:rPr>
          <w:lang w:val="en-US"/>
        </w:rPr>
        <w:t xml:space="preserve">garding servitude, its absolute prohibition dates from the 1956 Supplementary Convention and its codification in subsequent instruments </w:t>
      </w:r>
      <w:r w:rsidR="002A125A" w:rsidRPr="00FE50A6">
        <w:rPr>
          <w:lang w:val="en-US"/>
        </w:rPr>
        <w:t>of international</w:t>
      </w:r>
      <w:r w:rsidR="00931A2D" w:rsidRPr="00FE50A6">
        <w:rPr>
          <w:lang w:val="en-US"/>
        </w:rPr>
        <w:t xml:space="preserve"> law</w:t>
      </w:r>
      <w:r w:rsidR="00207197" w:rsidRPr="00FE50A6">
        <w:rPr>
          <w:lang w:val="en-US"/>
        </w:rPr>
        <w:t xml:space="preserve"> (</w:t>
      </w:r>
      <w:r w:rsidR="00207197" w:rsidRPr="00FE50A6">
        <w:rPr>
          <w:i/>
          <w:lang w:val="en-US"/>
        </w:rPr>
        <w:t xml:space="preserve">supra </w:t>
      </w:r>
      <w:r w:rsidR="00700B79" w:rsidRPr="00FE50A6">
        <w:rPr>
          <w:lang w:val="en-US"/>
        </w:rPr>
        <w:t>paras.</w:t>
      </w:r>
      <w:r w:rsidR="00207197" w:rsidRPr="00FE50A6">
        <w:rPr>
          <w:lang w:val="en-US"/>
        </w:rPr>
        <w:t xml:space="preserve"> </w:t>
      </w:r>
      <w:r w:rsidR="004F5957" w:rsidRPr="00FE50A6">
        <w:rPr>
          <w:lang w:val="en-US"/>
        </w:rPr>
        <w:t>249</w:t>
      </w:r>
      <w:r w:rsidR="00207197" w:rsidRPr="00FE50A6">
        <w:rPr>
          <w:lang w:val="en-US"/>
        </w:rPr>
        <w:t xml:space="preserve"> </w:t>
      </w:r>
      <w:r w:rsidR="00CD5AB8" w:rsidRPr="00FE50A6">
        <w:rPr>
          <w:lang w:val="en-US"/>
        </w:rPr>
        <w:t>to</w:t>
      </w:r>
      <w:r w:rsidR="00207197" w:rsidRPr="00FE50A6">
        <w:rPr>
          <w:lang w:val="en-US"/>
        </w:rPr>
        <w:t xml:space="preserve"> </w:t>
      </w:r>
      <w:r w:rsidR="004F5957" w:rsidRPr="00FE50A6">
        <w:rPr>
          <w:lang w:val="en-US"/>
        </w:rPr>
        <w:t>257</w:t>
      </w:r>
      <w:r w:rsidR="00207197" w:rsidRPr="00FE50A6">
        <w:rPr>
          <w:lang w:val="en-US"/>
        </w:rPr>
        <w:t>)</w:t>
      </w:r>
      <w:r w:rsidR="004F5957" w:rsidRPr="00FE50A6">
        <w:rPr>
          <w:lang w:val="en-US"/>
        </w:rPr>
        <w:t>.</w:t>
      </w:r>
      <w:r w:rsidR="00734415" w:rsidRPr="00FE50A6">
        <w:rPr>
          <w:lang w:val="en-US"/>
        </w:rPr>
        <w:t xml:space="preserve"> </w:t>
      </w:r>
      <w:r w:rsidR="00CD5AB8" w:rsidRPr="00FE50A6">
        <w:rPr>
          <w:lang w:val="en-US"/>
        </w:rPr>
        <w:t>In this regard</w:t>
      </w:r>
      <w:r w:rsidR="00734415" w:rsidRPr="00FE50A6">
        <w:rPr>
          <w:lang w:val="en-US"/>
        </w:rPr>
        <w:t xml:space="preserve">, </w:t>
      </w:r>
      <w:r w:rsidR="000228D0" w:rsidRPr="00FE50A6">
        <w:rPr>
          <w:lang w:val="en-US"/>
        </w:rPr>
        <w:t>Article</w:t>
      </w:r>
      <w:r w:rsidR="00734415" w:rsidRPr="00FE50A6">
        <w:rPr>
          <w:lang w:val="en-US"/>
        </w:rPr>
        <w:t xml:space="preserve"> 1</w:t>
      </w:r>
      <w:r w:rsidR="000228D0" w:rsidRPr="00FE50A6">
        <w:rPr>
          <w:lang w:val="en-US"/>
        </w:rPr>
        <w:t xml:space="preserve"> of the </w:t>
      </w:r>
      <w:r w:rsidR="00CD5AB8" w:rsidRPr="00FE50A6">
        <w:rPr>
          <w:lang w:val="en-US"/>
        </w:rPr>
        <w:t>1956 Supplementary Convention</w:t>
      </w:r>
      <w:r w:rsidR="00734415" w:rsidRPr="00FE50A6">
        <w:rPr>
          <w:lang w:val="en-US"/>
        </w:rPr>
        <w:t xml:space="preserve"> </w:t>
      </w:r>
      <w:r w:rsidR="00CD5AB8" w:rsidRPr="00FE50A6">
        <w:rPr>
          <w:lang w:val="en-US"/>
        </w:rPr>
        <w:t xml:space="preserve">indicates that debt bondage and serfdom are practices similar to slavery that must be abolished or abandoned. All the regional instruments include the prohibition of servitude, and this was considered a practice analogous to slavery by, </w:t>
      </w:r>
      <w:r w:rsidR="00CD5AB8" w:rsidRPr="00FE50A6">
        <w:rPr>
          <w:i/>
          <w:lang w:val="en-US"/>
        </w:rPr>
        <w:t>inter alia</w:t>
      </w:r>
      <w:r w:rsidR="00CD5AB8" w:rsidRPr="00FE50A6">
        <w:rPr>
          <w:lang w:val="en-US"/>
        </w:rPr>
        <w:t xml:space="preserve">, </w:t>
      </w:r>
      <w:r w:rsidR="002071B1" w:rsidRPr="00FE50A6">
        <w:rPr>
          <w:lang w:val="en-US"/>
        </w:rPr>
        <w:t xml:space="preserve">the </w:t>
      </w:r>
      <w:r w:rsidR="00B44229" w:rsidRPr="00FE50A6">
        <w:rPr>
          <w:lang w:val="en-US"/>
        </w:rPr>
        <w:t>European Court of Human Rights</w:t>
      </w:r>
      <w:r w:rsidR="00CD5AB8" w:rsidRPr="00FE50A6">
        <w:rPr>
          <w:lang w:val="en-US"/>
        </w:rPr>
        <w:t>,</w:t>
      </w:r>
      <w:r w:rsidR="00207197" w:rsidRPr="00FE50A6">
        <w:rPr>
          <w:rStyle w:val="Refdenotaalpie"/>
          <w:lang w:val="en-US"/>
        </w:rPr>
        <w:footnoteReference w:id="414"/>
      </w:r>
      <w:r w:rsidR="00CD5AB8" w:rsidRPr="00FE50A6">
        <w:rPr>
          <w:lang w:val="en-US"/>
        </w:rPr>
        <w:t xml:space="preserve"> the </w:t>
      </w:r>
      <w:r w:rsidR="00CD5AB8" w:rsidRPr="00FE50A6">
        <w:rPr>
          <w:i/>
          <w:lang w:val="en-US"/>
        </w:rPr>
        <w:t xml:space="preserve">Ad hoc </w:t>
      </w:r>
      <w:r w:rsidR="00CD5AB8" w:rsidRPr="00FE50A6">
        <w:rPr>
          <w:lang w:val="en-US"/>
        </w:rPr>
        <w:t>International Criminal Tribunal for the former Yugoslavia</w:t>
      </w:r>
      <w:r w:rsidR="00CD5AB8" w:rsidRPr="00FE50A6">
        <w:rPr>
          <w:b/>
          <w:lang w:val="en-US"/>
        </w:rPr>
        <w:t xml:space="preserve">, </w:t>
      </w:r>
      <w:r w:rsidR="00CD5AB8" w:rsidRPr="00FE50A6">
        <w:rPr>
          <w:lang w:val="en-US"/>
        </w:rPr>
        <w:t>the Special Court for Sierra Leone and other specialized bodies</w:t>
      </w:r>
      <w:r w:rsidR="00207197" w:rsidRPr="00FE50A6">
        <w:rPr>
          <w:lang w:val="en-US"/>
        </w:rPr>
        <w:t xml:space="preserve"> (</w:t>
      </w:r>
      <w:r w:rsidR="00207197" w:rsidRPr="00FE50A6">
        <w:rPr>
          <w:i/>
          <w:lang w:val="en-US"/>
        </w:rPr>
        <w:t xml:space="preserve">supra </w:t>
      </w:r>
      <w:r w:rsidR="00700B79" w:rsidRPr="00FE50A6">
        <w:rPr>
          <w:lang w:val="en-US"/>
        </w:rPr>
        <w:t>paras.</w:t>
      </w:r>
      <w:r w:rsidR="00207197" w:rsidRPr="00FE50A6">
        <w:rPr>
          <w:lang w:val="en-US"/>
        </w:rPr>
        <w:t xml:space="preserve"> </w:t>
      </w:r>
      <w:r w:rsidR="00E90245" w:rsidRPr="00FE50A6">
        <w:rPr>
          <w:lang w:val="en-US"/>
        </w:rPr>
        <w:t>259</w:t>
      </w:r>
      <w:r w:rsidR="00207197" w:rsidRPr="00FE50A6">
        <w:rPr>
          <w:lang w:val="en-US"/>
        </w:rPr>
        <w:t xml:space="preserve"> </w:t>
      </w:r>
      <w:r w:rsidR="00CD5AB8" w:rsidRPr="00FE50A6">
        <w:rPr>
          <w:lang w:val="en-US"/>
        </w:rPr>
        <w:t>to</w:t>
      </w:r>
      <w:r w:rsidR="00207197" w:rsidRPr="00FE50A6">
        <w:rPr>
          <w:lang w:val="en-US"/>
        </w:rPr>
        <w:t xml:space="preserve"> </w:t>
      </w:r>
      <w:r w:rsidR="00E90245" w:rsidRPr="00FE50A6">
        <w:rPr>
          <w:lang w:val="en-US"/>
        </w:rPr>
        <w:t>268</w:t>
      </w:r>
      <w:r w:rsidR="00207197" w:rsidRPr="00FE50A6">
        <w:rPr>
          <w:lang w:val="en-US"/>
        </w:rPr>
        <w:t xml:space="preserve">). </w:t>
      </w:r>
    </w:p>
    <w:p w14:paraId="56BC451C" w14:textId="77777777" w:rsidR="00207197" w:rsidRPr="00FE50A6" w:rsidRDefault="00207197" w:rsidP="00140440">
      <w:pPr>
        <w:jc w:val="both"/>
        <w:rPr>
          <w:lang w:val="en-US"/>
        </w:rPr>
      </w:pPr>
    </w:p>
    <w:p w14:paraId="0FB42A94" w14:textId="77777777" w:rsidR="004C4889" w:rsidRPr="00FE50A6" w:rsidRDefault="00E850DF" w:rsidP="00E850DF">
      <w:pPr>
        <w:pStyle w:val="Prrafodelista"/>
        <w:numPr>
          <w:ilvl w:val="0"/>
          <w:numId w:val="1"/>
        </w:numPr>
        <w:contextualSpacing w:val="0"/>
        <w:rPr>
          <w:lang w:val="en-US"/>
        </w:rPr>
      </w:pPr>
      <w:r w:rsidRPr="00FE50A6">
        <w:rPr>
          <w:lang w:val="en-US"/>
        </w:rPr>
        <w:t>On this basis, the Court notes that the absolute prohibition of traditional slavery and its interpretation have evolved so that it also includes certain analogous forms of this phenomenon, which are revealed in different ways at the present time, but retain certain essential characteristics that are common to traditional slavery, such as the exercise of control o</w:t>
      </w:r>
      <w:r w:rsidR="00221539" w:rsidRPr="00FE50A6">
        <w:rPr>
          <w:lang w:val="en-US"/>
        </w:rPr>
        <w:t>ver</w:t>
      </w:r>
      <w:r w:rsidRPr="00FE50A6">
        <w:rPr>
          <w:lang w:val="en-US"/>
        </w:rPr>
        <w:t xml:space="preserve"> an individual by physical or psychological coercion in such a way that it entails the loss of the individual’s autonomy and his unwilling exploitation.</w:t>
      </w:r>
      <w:r w:rsidR="004C4889" w:rsidRPr="00FE50A6">
        <w:rPr>
          <w:rStyle w:val="Refdenotaalpie"/>
          <w:lang w:val="en-US"/>
        </w:rPr>
        <w:footnoteReference w:id="415"/>
      </w:r>
      <w:r w:rsidR="004C4889" w:rsidRPr="00FE50A6">
        <w:rPr>
          <w:lang w:val="en-US"/>
        </w:rPr>
        <w:t xml:space="preserve"> </w:t>
      </w:r>
      <w:r w:rsidRPr="00FE50A6">
        <w:rPr>
          <w:lang w:val="en-US"/>
        </w:rPr>
        <w:t xml:space="preserve">Accordingly, </w:t>
      </w:r>
      <w:r w:rsidR="000228D0" w:rsidRPr="00FE50A6">
        <w:rPr>
          <w:lang w:val="en-US"/>
        </w:rPr>
        <w:t>the Inter-American Court</w:t>
      </w:r>
      <w:r w:rsidR="004C4889" w:rsidRPr="00FE50A6">
        <w:rPr>
          <w:lang w:val="en-US"/>
        </w:rPr>
        <w:t xml:space="preserve"> consider</w:t>
      </w:r>
      <w:r w:rsidRPr="00FE50A6">
        <w:rPr>
          <w:lang w:val="en-US"/>
        </w:rPr>
        <w:t>s that servitude is a practice analogous to slavery and should receive the same protection and involve the same obligations as traditional slavery</w:t>
      </w:r>
      <w:r w:rsidR="004C4889" w:rsidRPr="00FE50A6">
        <w:rPr>
          <w:lang w:val="en-US"/>
        </w:rPr>
        <w:t>.</w:t>
      </w:r>
      <w:r w:rsidR="009B2EDB" w:rsidRPr="00FE50A6">
        <w:rPr>
          <w:lang w:val="en-US"/>
        </w:rPr>
        <w:t xml:space="preserve"> </w:t>
      </w:r>
    </w:p>
    <w:p w14:paraId="0DD2165B" w14:textId="77777777" w:rsidR="004C4889" w:rsidRPr="00FE50A6" w:rsidRDefault="004C4889" w:rsidP="00140440">
      <w:pPr>
        <w:jc w:val="both"/>
        <w:rPr>
          <w:lang w:val="en-US"/>
        </w:rPr>
      </w:pPr>
    </w:p>
    <w:p w14:paraId="4FB06970" w14:textId="77777777" w:rsidR="00207197" w:rsidRPr="00FE50A6" w:rsidRDefault="00E850DF" w:rsidP="00F37DC4">
      <w:pPr>
        <w:pStyle w:val="Prrafodelista"/>
        <w:numPr>
          <w:ilvl w:val="0"/>
          <w:numId w:val="1"/>
        </w:numPr>
        <w:contextualSpacing w:val="0"/>
        <w:rPr>
          <w:bCs/>
          <w:lang w:val="en-US"/>
        </w:rPr>
      </w:pPr>
      <w:r w:rsidRPr="00FE50A6">
        <w:rPr>
          <w:lang w:val="en-US"/>
        </w:rPr>
        <w:t>Consequently</w:t>
      </w:r>
      <w:r w:rsidR="00207197" w:rsidRPr="00FE50A6">
        <w:rPr>
          <w:lang w:val="en-US"/>
        </w:rPr>
        <w:t xml:space="preserve">, </w:t>
      </w:r>
      <w:r w:rsidR="000228D0" w:rsidRPr="00FE50A6">
        <w:rPr>
          <w:lang w:val="en-US"/>
        </w:rPr>
        <w:t>the Court</w:t>
      </w:r>
      <w:r w:rsidR="00207197" w:rsidRPr="00FE50A6">
        <w:rPr>
          <w:lang w:val="en-US"/>
        </w:rPr>
        <w:t xml:space="preserve"> </w:t>
      </w:r>
      <w:r w:rsidRPr="00FE50A6">
        <w:rPr>
          <w:lang w:val="en-US"/>
        </w:rPr>
        <w:t>will define the scope of the prohibition established i</w:t>
      </w:r>
      <w:r w:rsidR="00207197" w:rsidRPr="00FE50A6">
        <w:rPr>
          <w:lang w:val="en-US"/>
        </w:rPr>
        <w:t xml:space="preserve">n </w:t>
      </w:r>
      <w:r w:rsidR="000228D0" w:rsidRPr="00FE50A6">
        <w:rPr>
          <w:lang w:val="en-US"/>
        </w:rPr>
        <w:t>Article</w:t>
      </w:r>
      <w:r w:rsidR="00207197" w:rsidRPr="00FE50A6">
        <w:rPr>
          <w:bCs/>
          <w:lang w:val="en-US"/>
        </w:rPr>
        <w:t xml:space="preserve"> </w:t>
      </w:r>
      <w:r w:rsidR="00090C6A" w:rsidRPr="00FE50A6">
        <w:rPr>
          <w:bCs/>
          <w:lang w:val="en-US"/>
        </w:rPr>
        <w:t>6(1)</w:t>
      </w:r>
      <w:r w:rsidR="000228D0" w:rsidRPr="00FE50A6">
        <w:rPr>
          <w:bCs/>
          <w:lang w:val="en-US"/>
        </w:rPr>
        <w:t xml:space="preserve"> of the Convention</w:t>
      </w:r>
      <w:r w:rsidR="00DB1C1D" w:rsidRPr="00FE50A6">
        <w:rPr>
          <w:bCs/>
          <w:lang w:val="en-US"/>
        </w:rPr>
        <w:t xml:space="preserve">. </w:t>
      </w:r>
      <w:r w:rsidRPr="00FE50A6">
        <w:rPr>
          <w:bCs/>
          <w:lang w:val="en-US"/>
        </w:rPr>
        <w:t xml:space="preserve">To this end, it finds it useful </w:t>
      </w:r>
      <w:r w:rsidR="00030C17" w:rsidRPr="00FE50A6">
        <w:rPr>
          <w:bCs/>
          <w:lang w:val="en-US"/>
        </w:rPr>
        <w:t xml:space="preserve">and </w:t>
      </w:r>
      <w:r w:rsidR="00207197" w:rsidRPr="00FE50A6">
        <w:rPr>
          <w:bCs/>
          <w:lang w:val="en-US"/>
        </w:rPr>
        <w:t>ap</w:t>
      </w:r>
      <w:r w:rsidRPr="00FE50A6">
        <w:rPr>
          <w:bCs/>
          <w:lang w:val="en-US"/>
        </w:rPr>
        <w:t>propriate to examine the evolution that has occurred on this issue in</w:t>
      </w:r>
      <w:r w:rsidR="00207197" w:rsidRPr="00FE50A6">
        <w:rPr>
          <w:bCs/>
          <w:lang w:val="en-US"/>
        </w:rPr>
        <w:t xml:space="preserve"> </w:t>
      </w:r>
      <w:r w:rsidR="00BC6362" w:rsidRPr="00FE50A6">
        <w:rPr>
          <w:bCs/>
          <w:lang w:val="en-US"/>
        </w:rPr>
        <w:t>international human rights law</w:t>
      </w:r>
      <w:r w:rsidR="00207197" w:rsidRPr="00FE50A6">
        <w:rPr>
          <w:bCs/>
          <w:lang w:val="en-US"/>
        </w:rPr>
        <w:t>.</w:t>
      </w:r>
    </w:p>
    <w:p w14:paraId="3DC9D95C" w14:textId="77777777" w:rsidR="00207197" w:rsidRPr="00FE50A6" w:rsidRDefault="00207197" w:rsidP="00140440">
      <w:pPr>
        <w:jc w:val="both"/>
        <w:rPr>
          <w:lang w:val="en-US"/>
        </w:rPr>
      </w:pPr>
    </w:p>
    <w:p w14:paraId="03A478F0" w14:textId="77777777" w:rsidR="00207197" w:rsidRPr="00FE50A6" w:rsidRDefault="005E5A13" w:rsidP="00F37DC4">
      <w:pPr>
        <w:pStyle w:val="Prrafodelista"/>
        <w:numPr>
          <w:ilvl w:val="0"/>
          <w:numId w:val="1"/>
        </w:numPr>
        <w:contextualSpacing w:val="0"/>
        <w:rPr>
          <w:lang w:val="en-US"/>
        </w:rPr>
      </w:pPr>
      <w:r w:rsidRPr="00FE50A6">
        <w:rPr>
          <w:lang w:val="en-US"/>
        </w:rPr>
        <w:t xml:space="preserve">As indicated previously, </w:t>
      </w:r>
      <w:r w:rsidR="000228D0" w:rsidRPr="00FE50A6">
        <w:rPr>
          <w:lang w:val="en-US"/>
        </w:rPr>
        <w:t xml:space="preserve">the </w:t>
      </w:r>
      <w:r w:rsidR="00CD5AB8" w:rsidRPr="00FE50A6">
        <w:rPr>
          <w:lang w:val="en-US"/>
        </w:rPr>
        <w:t>1956 Supplementary Convention</w:t>
      </w:r>
      <w:r w:rsidR="00207197" w:rsidRPr="00FE50A6">
        <w:rPr>
          <w:lang w:val="en-US"/>
        </w:rPr>
        <w:t xml:space="preserve"> defin</w:t>
      </w:r>
      <w:r w:rsidRPr="00FE50A6">
        <w:rPr>
          <w:lang w:val="en-US"/>
        </w:rPr>
        <w:t xml:space="preserve">ed practices similar to </w:t>
      </w:r>
      <w:r w:rsidR="0084006F" w:rsidRPr="00FE50A6">
        <w:rPr>
          <w:lang w:val="en-US"/>
        </w:rPr>
        <w:t>slavery</w:t>
      </w:r>
      <w:r w:rsidR="00207197" w:rsidRPr="00FE50A6">
        <w:rPr>
          <w:lang w:val="en-US"/>
        </w:rPr>
        <w:t xml:space="preserve"> </w:t>
      </w:r>
      <w:r w:rsidRPr="00FE50A6">
        <w:rPr>
          <w:lang w:val="en-US"/>
        </w:rPr>
        <w:t>as</w:t>
      </w:r>
      <w:r w:rsidR="00207197" w:rsidRPr="00FE50A6">
        <w:rPr>
          <w:lang w:val="en-US"/>
        </w:rPr>
        <w:t xml:space="preserve"> </w:t>
      </w:r>
      <w:r w:rsidRPr="00FE50A6">
        <w:rPr>
          <w:lang w:val="en-US"/>
        </w:rPr>
        <w:t>serfdom,</w:t>
      </w:r>
      <w:r w:rsidR="00207197" w:rsidRPr="00FE50A6">
        <w:rPr>
          <w:rStyle w:val="Refdenotaalpie"/>
          <w:lang w:val="en-US"/>
        </w:rPr>
        <w:footnoteReference w:id="416"/>
      </w:r>
      <w:r w:rsidR="00207197" w:rsidRPr="00FE50A6">
        <w:rPr>
          <w:lang w:val="en-US"/>
        </w:rPr>
        <w:t xml:space="preserve"> </w:t>
      </w:r>
      <w:r w:rsidRPr="00FE50A6">
        <w:rPr>
          <w:lang w:val="en-US"/>
        </w:rPr>
        <w:t xml:space="preserve">and </w:t>
      </w:r>
      <w:r w:rsidR="005F1946" w:rsidRPr="00FE50A6">
        <w:rPr>
          <w:lang w:val="en-US"/>
        </w:rPr>
        <w:t>debt bondage</w:t>
      </w:r>
      <w:r w:rsidRPr="00FE50A6">
        <w:rPr>
          <w:lang w:val="en-US"/>
        </w:rPr>
        <w:t>,</w:t>
      </w:r>
      <w:r w:rsidR="00207197" w:rsidRPr="00FE50A6">
        <w:rPr>
          <w:rStyle w:val="Refdenotaalpie"/>
          <w:lang w:val="en-US"/>
        </w:rPr>
        <w:footnoteReference w:id="417"/>
      </w:r>
      <w:r w:rsidRPr="00FE50A6">
        <w:rPr>
          <w:lang w:val="en-US"/>
        </w:rPr>
        <w:t xml:space="preserve"> </w:t>
      </w:r>
      <w:r w:rsidR="00170A45" w:rsidRPr="00FE50A6">
        <w:rPr>
          <w:i/>
          <w:lang w:val="en-US"/>
        </w:rPr>
        <w:t>inter alia</w:t>
      </w:r>
      <w:r w:rsidRPr="00FE50A6">
        <w:rPr>
          <w:lang w:val="en-US"/>
        </w:rPr>
        <w:t>.</w:t>
      </w:r>
      <w:r w:rsidR="00207197" w:rsidRPr="00FE50A6">
        <w:rPr>
          <w:rStyle w:val="Refdenotaalpie"/>
          <w:lang w:val="en-US"/>
        </w:rPr>
        <w:footnoteReference w:id="418"/>
      </w:r>
    </w:p>
    <w:p w14:paraId="57C052D9" w14:textId="77777777" w:rsidR="00207197" w:rsidRPr="00FE50A6" w:rsidRDefault="00207197" w:rsidP="005F1946">
      <w:pPr>
        <w:pStyle w:val="TDC1"/>
        <w:rPr>
          <w:lang w:val="en-US"/>
        </w:rPr>
      </w:pPr>
    </w:p>
    <w:p w14:paraId="08372980" w14:textId="77777777" w:rsidR="00207197" w:rsidRPr="00FE50A6" w:rsidRDefault="002071B1" w:rsidP="00515FC5">
      <w:pPr>
        <w:pStyle w:val="Prrafodelista"/>
        <w:numPr>
          <w:ilvl w:val="0"/>
          <w:numId w:val="1"/>
        </w:numPr>
        <w:contextualSpacing w:val="0"/>
        <w:rPr>
          <w:lang w:val="en-US"/>
        </w:rPr>
      </w:pPr>
      <w:r w:rsidRPr="00FE50A6">
        <w:rPr>
          <w:lang w:val="en-US"/>
        </w:rPr>
        <w:t xml:space="preserve">The </w:t>
      </w:r>
      <w:r w:rsidR="00B44229" w:rsidRPr="00FE50A6">
        <w:rPr>
          <w:lang w:val="en-US"/>
        </w:rPr>
        <w:t>European Court of Human Rights</w:t>
      </w:r>
      <w:r w:rsidR="00207197" w:rsidRPr="00FE50A6">
        <w:rPr>
          <w:lang w:val="en-US"/>
        </w:rPr>
        <w:t xml:space="preserve">, </w:t>
      </w:r>
      <w:r w:rsidR="005E5A13" w:rsidRPr="00FE50A6">
        <w:rPr>
          <w:lang w:val="en-US"/>
        </w:rPr>
        <w:t>in the case of</w:t>
      </w:r>
      <w:r w:rsidR="007F32C3" w:rsidRPr="00FE50A6">
        <w:rPr>
          <w:i/>
          <w:lang w:val="en-US"/>
        </w:rPr>
        <w:t xml:space="preserve"> </w:t>
      </w:r>
      <w:r w:rsidR="00207197" w:rsidRPr="00FE50A6">
        <w:rPr>
          <w:i/>
          <w:lang w:val="en-US"/>
        </w:rPr>
        <w:t xml:space="preserve">Siliadin </w:t>
      </w:r>
      <w:r w:rsidR="000228D0" w:rsidRPr="00FE50A6">
        <w:rPr>
          <w:i/>
          <w:lang w:val="en-US"/>
        </w:rPr>
        <w:t>v.</w:t>
      </w:r>
      <w:r w:rsidR="00207197" w:rsidRPr="00FE50A6">
        <w:rPr>
          <w:i/>
          <w:lang w:val="en-US"/>
        </w:rPr>
        <w:t xml:space="preserve"> </w:t>
      </w:r>
      <w:r w:rsidR="005F3FDB" w:rsidRPr="00FE50A6">
        <w:rPr>
          <w:i/>
          <w:lang w:val="en-US"/>
        </w:rPr>
        <w:t>France</w:t>
      </w:r>
      <w:r w:rsidR="00207197" w:rsidRPr="00FE50A6">
        <w:rPr>
          <w:lang w:val="en-US"/>
        </w:rPr>
        <w:t xml:space="preserve"> men</w:t>
      </w:r>
      <w:r w:rsidR="005E5A13" w:rsidRPr="00FE50A6">
        <w:rPr>
          <w:lang w:val="en-US"/>
        </w:rPr>
        <w:t>tione</w:t>
      </w:r>
      <w:r w:rsidR="00515FC5" w:rsidRPr="00FE50A6">
        <w:rPr>
          <w:lang w:val="en-US"/>
        </w:rPr>
        <w:t>d</w:t>
      </w:r>
      <w:r w:rsidR="005E5A13" w:rsidRPr="00FE50A6">
        <w:rPr>
          <w:lang w:val="en-US"/>
        </w:rPr>
        <w:t xml:space="preserve"> above, determined that servitude </w:t>
      </w:r>
      <w:r w:rsidR="00515FC5" w:rsidRPr="00FE50A6">
        <w:rPr>
          <w:lang w:val="en-US"/>
        </w:rPr>
        <w:t xml:space="preserve">consisted in “the obligation to perform certain services for others […] that is imposed by the use of coercion,” and “the obligation for the </w:t>
      </w:r>
      <w:r w:rsidR="00596519" w:rsidRPr="00FE50A6">
        <w:rPr>
          <w:lang w:val="en-US"/>
        </w:rPr>
        <w:t>‘</w:t>
      </w:r>
      <w:r w:rsidR="00515FC5" w:rsidRPr="00FE50A6">
        <w:rPr>
          <w:lang w:val="en-US"/>
        </w:rPr>
        <w:t>serf</w:t>
      </w:r>
      <w:r w:rsidR="00596519" w:rsidRPr="00FE50A6">
        <w:rPr>
          <w:lang w:val="en-US"/>
        </w:rPr>
        <w:t>’</w:t>
      </w:r>
      <w:r w:rsidR="00515FC5" w:rsidRPr="00FE50A6">
        <w:rPr>
          <w:lang w:val="en-US"/>
        </w:rPr>
        <w:t xml:space="preserve"> to live on another person's property and the impossibility of altering his condition.</w:t>
      </w:r>
      <w:r w:rsidR="009C48A4" w:rsidRPr="00FE50A6">
        <w:rPr>
          <w:lang w:val="en-US"/>
        </w:rPr>
        <w:t>”</w:t>
      </w:r>
      <w:r w:rsidR="00207197" w:rsidRPr="00FE50A6">
        <w:rPr>
          <w:rStyle w:val="Refdenotaalpie"/>
          <w:lang w:val="en-US"/>
        </w:rPr>
        <w:footnoteReference w:id="419"/>
      </w:r>
      <w:r w:rsidR="00207197" w:rsidRPr="00FE50A6">
        <w:rPr>
          <w:lang w:val="en-US"/>
        </w:rPr>
        <w:t xml:space="preserve"> </w:t>
      </w:r>
      <w:r w:rsidR="00515FC5" w:rsidRPr="00FE50A6">
        <w:rPr>
          <w:lang w:val="en-US"/>
        </w:rPr>
        <w:t>Subsequently</w:t>
      </w:r>
      <w:r w:rsidR="0070011D" w:rsidRPr="00FE50A6">
        <w:rPr>
          <w:lang w:val="en-US"/>
        </w:rPr>
        <w:t xml:space="preserve">, </w:t>
      </w:r>
      <w:r w:rsidRPr="00FE50A6">
        <w:rPr>
          <w:lang w:val="en-US"/>
        </w:rPr>
        <w:t xml:space="preserve">the </w:t>
      </w:r>
      <w:r w:rsidR="00B44229" w:rsidRPr="00FE50A6">
        <w:rPr>
          <w:lang w:val="en-US"/>
        </w:rPr>
        <w:t>European Court</w:t>
      </w:r>
      <w:r w:rsidR="0070011D" w:rsidRPr="00FE50A6">
        <w:rPr>
          <w:lang w:val="en-US"/>
        </w:rPr>
        <w:t xml:space="preserve"> </w:t>
      </w:r>
      <w:r w:rsidR="00515FC5" w:rsidRPr="00FE50A6">
        <w:rPr>
          <w:lang w:val="en-US"/>
        </w:rPr>
        <w:t>observed that servitude corresponded to “‘aggravated’ forced or compulsory labour,” because the victim feels “that their condition is permanent and that the situation is unlikely to change.</w:t>
      </w:r>
      <w:r w:rsidR="00170A45" w:rsidRPr="00FE50A6">
        <w:rPr>
          <w:lang w:val="en-US"/>
        </w:rPr>
        <w:t>”</w:t>
      </w:r>
      <w:r w:rsidR="00207197" w:rsidRPr="00FE50A6">
        <w:rPr>
          <w:rStyle w:val="Refdenotaalpie"/>
          <w:lang w:val="en-US"/>
        </w:rPr>
        <w:footnoteReference w:id="420"/>
      </w:r>
      <w:r w:rsidR="00207197" w:rsidRPr="00FE50A6">
        <w:rPr>
          <w:lang w:val="en-US"/>
        </w:rPr>
        <w:t xml:space="preserve"> </w:t>
      </w:r>
      <w:r w:rsidR="00515FC5" w:rsidRPr="00FE50A6">
        <w:rPr>
          <w:lang w:val="en-US"/>
        </w:rPr>
        <w:t>In addition, coerci</w:t>
      </w:r>
      <w:r w:rsidR="00596519" w:rsidRPr="00FE50A6">
        <w:rPr>
          <w:lang w:val="en-US"/>
        </w:rPr>
        <w:t>o</w:t>
      </w:r>
      <w:r w:rsidR="00515FC5" w:rsidRPr="00FE50A6">
        <w:rPr>
          <w:lang w:val="en-US"/>
        </w:rPr>
        <w:t xml:space="preserve">n may </w:t>
      </w:r>
      <w:r w:rsidR="00596519" w:rsidRPr="00FE50A6">
        <w:rPr>
          <w:lang w:val="en-US"/>
        </w:rPr>
        <w:t xml:space="preserve">be </w:t>
      </w:r>
      <w:r w:rsidR="00515FC5" w:rsidRPr="00FE50A6">
        <w:rPr>
          <w:lang w:val="en-US"/>
        </w:rPr>
        <w:t xml:space="preserve">both </w:t>
      </w:r>
      <w:r w:rsidR="00596519" w:rsidRPr="00FE50A6">
        <w:rPr>
          <w:lang w:val="en-US"/>
        </w:rPr>
        <w:t>overt</w:t>
      </w:r>
      <w:r w:rsidR="00515FC5" w:rsidRPr="00FE50A6">
        <w:rPr>
          <w:lang w:val="en-US"/>
        </w:rPr>
        <w:t xml:space="preserve"> and </w:t>
      </w:r>
      <w:r w:rsidR="00596519" w:rsidRPr="00FE50A6">
        <w:rPr>
          <w:lang w:val="en-US"/>
        </w:rPr>
        <w:t>subtle.</w:t>
      </w:r>
      <w:r w:rsidR="00207197" w:rsidRPr="00FE50A6">
        <w:rPr>
          <w:rStyle w:val="Refdenotaalpie"/>
          <w:lang w:val="en-US"/>
        </w:rPr>
        <w:footnoteReference w:id="421"/>
      </w:r>
    </w:p>
    <w:p w14:paraId="473FBEBC" w14:textId="77777777" w:rsidR="00207197" w:rsidRPr="00FE50A6" w:rsidRDefault="00207197" w:rsidP="00140440">
      <w:pPr>
        <w:jc w:val="both"/>
        <w:rPr>
          <w:lang w:val="en-US"/>
        </w:rPr>
      </w:pPr>
    </w:p>
    <w:p w14:paraId="738504B7" w14:textId="77777777" w:rsidR="00207197" w:rsidRPr="00FE50A6" w:rsidRDefault="00596519" w:rsidP="00F37DC4">
      <w:pPr>
        <w:pStyle w:val="Prrafodelista"/>
        <w:numPr>
          <w:ilvl w:val="0"/>
          <w:numId w:val="1"/>
        </w:numPr>
        <w:contextualSpacing w:val="0"/>
        <w:rPr>
          <w:lang w:val="en-US"/>
        </w:rPr>
      </w:pPr>
      <w:r w:rsidRPr="00FE50A6">
        <w:rPr>
          <w:lang w:val="en-US"/>
        </w:rPr>
        <w:t xml:space="preserve">Consequently, the Court agrees with </w:t>
      </w:r>
      <w:r w:rsidR="007571DF" w:rsidRPr="00FE50A6">
        <w:rPr>
          <w:lang w:val="en-US"/>
        </w:rPr>
        <w:t xml:space="preserve">the </w:t>
      </w:r>
      <w:r w:rsidR="00B44229" w:rsidRPr="00FE50A6">
        <w:rPr>
          <w:lang w:val="en-US"/>
        </w:rPr>
        <w:t>European Court</w:t>
      </w:r>
      <w:r w:rsidR="00170A45" w:rsidRPr="00FE50A6">
        <w:rPr>
          <w:lang w:val="en-US"/>
        </w:rPr>
        <w:t xml:space="preserve">’s definition </w:t>
      </w:r>
      <w:r w:rsidRPr="00FE50A6">
        <w:rPr>
          <w:lang w:val="en-US"/>
        </w:rPr>
        <w:t xml:space="preserve">of “servitude” and considers that this term in </w:t>
      </w:r>
      <w:r w:rsidR="00703850" w:rsidRPr="00FE50A6">
        <w:rPr>
          <w:lang w:val="en-US"/>
        </w:rPr>
        <w:t>Article</w:t>
      </w:r>
      <w:r w:rsidR="00207197" w:rsidRPr="00FE50A6">
        <w:rPr>
          <w:lang w:val="en-US"/>
        </w:rPr>
        <w:t xml:space="preserve"> </w:t>
      </w:r>
      <w:r w:rsidR="00090C6A" w:rsidRPr="00FE50A6">
        <w:rPr>
          <w:lang w:val="en-US"/>
        </w:rPr>
        <w:t>6(1)</w:t>
      </w:r>
      <w:r w:rsidR="000228D0" w:rsidRPr="00FE50A6">
        <w:rPr>
          <w:lang w:val="en-US"/>
        </w:rPr>
        <w:t xml:space="preserve"> of the Convention</w:t>
      </w:r>
      <w:r w:rsidR="00207197" w:rsidRPr="00FE50A6">
        <w:rPr>
          <w:lang w:val="en-US"/>
        </w:rPr>
        <w:t xml:space="preserve"> </w:t>
      </w:r>
      <w:r w:rsidRPr="00FE50A6">
        <w:rPr>
          <w:lang w:val="en-US"/>
        </w:rPr>
        <w:t>should be interpreted as “the obligation to perform certain services for others […] that is imposed by the use of coercion,” and “the obligation for the ‘serf’ to live on another person's property and the impossibility of altering his condition</w:t>
      </w:r>
      <w:r w:rsidR="00170A45" w:rsidRPr="00FE50A6">
        <w:rPr>
          <w:lang w:val="en-US"/>
        </w:rPr>
        <w:t>.”</w:t>
      </w:r>
    </w:p>
    <w:p w14:paraId="5112D930" w14:textId="77777777" w:rsidR="00207197" w:rsidRPr="00FE50A6" w:rsidRDefault="00207197" w:rsidP="00140440">
      <w:pPr>
        <w:jc w:val="both"/>
        <w:rPr>
          <w:szCs w:val="20"/>
          <w:lang w:val="en-US"/>
        </w:rPr>
      </w:pPr>
    </w:p>
    <w:p w14:paraId="5B22F841" w14:textId="77777777" w:rsidR="00F01959" w:rsidRPr="00FE50A6" w:rsidRDefault="005D2CE2" w:rsidP="005D2CE2">
      <w:pPr>
        <w:pStyle w:val="Ttulo3"/>
        <w:rPr>
          <w:lang w:val="en-US"/>
        </w:rPr>
      </w:pPr>
      <w:bookmarkStart w:id="318" w:name="_Toc464813963"/>
      <w:r w:rsidRPr="00FE50A6">
        <w:rPr>
          <w:lang w:val="en-US"/>
        </w:rPr>
        <w:t>B.5</w:t>
      </w:r>
      <w:r w:rsidR="00DC2886" w:rsidRPr="00FE50A6">
        <w:rPr>
          <w:lang w:val="en-US"/>
        </w:rPr>
        <w:t>.</w:t>
      </w:r>
      <w:r w:rsidR="00F01959" w:rsidRPr="00FE50A6">
        <w:rPr>
          <w:lang w:val="en-US"/>
        </w:rPr>
        <w:t xml:space="preserve"> </w:t>
      </w:r>
      <w:bookmarkEnd w:id="318"/>
      <w:r w:rsidR="00596519" w:rsidRPr="00FE50A6">
        <w:rPr>
          <w:lang w:val="en-US"/>
        </w:rPr>
        <w:t>Definition of the slave trade and traffic in women and their prohibition</w:t>
      </w:r>
    </w:p>
    <w:p w14:paraId="679AAC14" w14:textId="77777777" w:rsidR="0038138B" w:rsidRPr="00FE50A6" w:rsidRDefault="0038138B" w:rsidP="0038138B">
      <w:pPr>
        <w:tabs>
          <w:tab w:val="clear" w:pos="4419"/>
          <w:tab w:val="clear" w:pos="8838"/>
        </w:tabs>
        <w:jc w:val="both"/>
        <w:rPr>
          <w:rFonts w:eastAsia="Calibri" w:cs="Times New Roman"/>
          <w:szCs w:val="20"/>
          <w:lang w:val="en-US"/>
        </w:rPr>
      </w:pPr>
    </w:p>
    <w:p w14:paraId="33C86CA2" w14:textId="77777777" w:rsidR="0038138B" w:rsidRPr="00FE50A6" w:rsidRDefault="000228D0" w:rsidP="002A3B9B">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The American Convention</w:t>
      </w:r>
      <w:r w:rsidR="0038138B" w:rsidRPr="00FE50A6">
        <w:rPr>
          <w:rFonts w:eastAsia="Calibri" w:cs="Times New Roman"/>
          <w:szCs w:val="20"/>
          <w:lang w:val="en-US"/>
        </w:rPr>
        <w:t xml:space="preserve"> proh</w:t>
      </w:r>
      <w:r w:rsidR="002A3B9B" w:rsidRPr="00FE50A6">
        <w:rPr>
          <w:rFonts w:eastAsia="Calibri" w:cs="Times New Roman"/>
          <w:szCs w:val="20"/>
          <w:lang w:val="en-US"/>
        </w:rPr>
        <w:t xml:space="preserve">ibits both the slave trade and traffic </w:t>
      </w:r>
      <w:r w:rsidR="00170A45" w:rsidRPr="00FE50A6">
        <w:rPr>
          <w:rFonts w:eastAsia="Calibri" w:cs="Times New Roman"/>
          <w:szCs w:val="20"/>
          <w:lang w:val="en-US"/>
        </w:rPr>
        <w:t>in</w:t>
      </w:r>
      <w:r w:rsidR="002A3B9B" w:rsidRPr="00FE50A6">
        <w:rPr>
          <w:rFonts w:eastAsia="Calibri" w:cs="Times New Roman"/>
          <w:szCs w:val="20"/>
          <w:lang w:val="en-US"/>
        </w:rPr>
        <w:t xml:space="preserve"> women “in all their forms”; therefore, the Court interprets this prohibition broadly and subject to clarification of its definition in keeping with its evolution in </w:t>
      </w:r>
      <w:r w:rsidR="00931A2D" w:rsidRPr="00FE50A6">
        <w:rPr>
          <w:rFonts w:eastAsia="Calibri" w:cs="Times New Roman"/>
          <w:szCs w:val="20"/>
          <w:lang w:val="en-US"/>
        </w:rPr>
        <w:t>international law</w:t>
      </w:r>
      <w:r w:rsidR="0038138B" w:rsidRPr="00FE50A6">
        <w:rPr>
          <w:rFonts w:eastAsia="Calibri" w:cs="Times New Roman"/>
          <w:szCs w:val="20"/>
          <w:lang w:val="en-US"/>
        </w:rPr>
        <w:t xml:space="preserve">. </w:t>
      </w:r>
      <w:r w:rsidRPr="00FE50A6">
        <w:rPr>
          <w:rFonts w:eastAsia="Calibri" w:cs="Times New Roman"/>
          <w:szCs w:val="20"/>
          <w:lang w:val="en-US"/>
        </w:rPr>
        <w:t>The Court</w:t>
      </w:r>
      <w:r w:rsidR="0038138B" w:rsidRPr="00FE50A6">
        <w:rPr>
          <w:rFonts w:eastAsia="Calibri" w:cs="Times New Roman"/>
          <w:szCs w:val="20"/>
          <w:lang w:val="en-US"/>
        </w:rPr>
        <w:t xml:space="preserve"> </w:t>
      </w:r>
      <w:r w:rsidR="002A3B9B" w:rsidRPr="00FE50A6">
        <w:rPr>
          <w:rFonts w:eastAsia="Calibri" w:cs="Times New Roman"/>
          <w:szCs w:val="20"/>
          <w:lang w:val="en-US"/>
        </w:rPr>
        <w:t xml:space="preserve">will now examine the evolution </w:t>
      </w:r>
      <w:r w:rsidR="00511962" w:rsidRPr="00FE50A6">
        <w:rPr>
          <w:rFonts w:eastAsia="Calibri" w:cs="Times New Roman"/>
          <w:szCs w:val="20"/>
          <w:lang w:val="en-US"/>
        </w:rPr>
        <w:t xml:space="preserve">of the </w:t>
      </w:r>
      <w:r w:rsidR="00EE52F3" w:rsidRPr="00FE50A6">
        <w:rPr>
          <w:rFonts w:eastAsia="Calibri" w:cs="Times New Roman"/>
          <w:szCs w:val="20"/>
          <w:lang w:val="en-US"/>
        </w:rPr>
        <w:t>prohibition of</w:t>
      </w:r>
      <w:r w:rsidR="0038138B" w:rsidRPr="00FE50A6">
        <w:rPr>
          <w:rFonts w:eastAsia="Calibri" w:cs="Times New Roman"/>
          <w:szCs w:val="20"/>
          <w:lang w:val="en-US"/>
        </w:rPr>
        <w:t xml:space="preserve"> </w:t>
      </w:r>
      <w:r w:rsidR="002A3B9B" w:rsidRPr="00FE50A6">
        <w:rPr>
          <w:rFonts w:eastAsia="Calibri" w:cs="Times New Roman"/>
          <w:szCs w:val="20"/>
          <w:lang w:val="en-US"/>
        </w:rPr>
        <w:t>the slave trade</w:t>
      </w:r>
      <w:r w:rsidR="00030C17" w:rsidRPr="00FE50A6">
        <w:rPr>
          <w:rFonts w:eastAsia="Calibri" w:cs="Times New Roman"/>
          <w:szCs w:val="20"/>
          <w:lang w:val="en-US"/>
        </w:rPr>
        <w:t xml:space="preserve"> and</w:t>
      </w:r>
      <w:r w:rsidR="002A3B9B" w:rsidRPr="00FE50A6">
        <w:rPr>
          <w:rFonts w:eastAsia="Calibri" w:cs="Times New Roman"/>
          <w:szCs w:val="20"/>
          <w:lang w:val="en-US"/>
        </w:rPr>
        <w:t xml:space="preserve"> traffic of women in</w:t>
      </w:r>
      <w:r w:rsidR="0038138B" w:rsidRPr="00FE50A6">
        <w:rPr>
          <w:rFonts w:eastAsia="Calibri" w:cs="Times New Roman"/>
          <w:szCs w:val="20"/>
          <w:lang w:val="en-US"/>
        </w:rPr>
        <w:t xml:space="preserve"> </w:t>
      </w:r>
      <w:r w:rsidR="00931A2D" w:rsidRPr="00FE50A6">
        <w:rPr>
          <w:rFonts w:eastAsia="Calibri" w:cs="Times New Roman"/>
          <w:szCs w:val="20"/>
          <w:lang w:val="en-US"/>
        </w:rPr>
        <w:t>international law</w:t>
      </w:r>
      <w:r w:rsidR="0038138B" w:rsidRPr="00FE50A6">
        <w:rPr>
          <w:rFonts w:eastAsia="Calibri" w:cs="Times New Roman"/>
          <w:szCs w:val="20"/>
          <w:lang w:val="en-US"/>
        </w:rPr>
        <w:t xml:space="preserve"> </w:t>
      </w:r>
      <w:r w:rsidR="002A3B9B" w:rsidRPr="00FE50A6">
        <w:rPr>
          <w:rFonts w:eastAsia="Calibri" w:cs="Times New Roman"/>
          <w:szCs w:val="20"/>
          <w:lang w:val="en-US"/>
        </w:rPr>
        <w:t>in order to define the legal content of the prohibition established in</w:t>
      </w:r>
      <w:r w:rsidR="0038138B" w:rsidRPr="00FE50A6">
        <w:rPr>
          <w:rFonts w:eastAsia="Calibri" w:cs="Times New Roman"/>
          <w:szCs w:val="20"/>
          <w:lang w:val="en-US"/>
        </w:rPr>
        <w:t xml:space="preserve"> </w:t>
      </w:r>
      <w:r w:rsidRPr="00FE50A6">
        <w:rPr>
          <w:rFonts w:eastAsia="Calibri" w:cs="Times New Roman"/>
          <w:szCs w:val="20"/>
          <w:lang w:val="en-US"/>
        </w:rPr>
        <w:t>the American Convention</w:t>
      </w:r>
      <w:r w:rsidR="0038138B" w:rsidRPr="00FE50A6">
        <w:rPr>
          <w:rFonts w:eastAsia="Calibri" w:cs="Times New Roman"/>
          <w:szCs w:val="20"/>
          <w:lang w:val="en-US"/>
        </w:rPr>
        <w:t>.</w:t>
      </w:r>
    </w:p>
    <w:p w14:paraId="2AFC55E0" w14:textId="77777777" w:rsidR="0038138B" w:rsidRPr="00FE50A6" w:rsidRDefault="0038138B" w:rsidP="0038138B">
      <w:pPr>
        <w:tabs>
          <w:tab w:val="clear" w:pos="4419"/>
          <w:tab w:val="clear" w:pos="8838"/>
        </w:tabs>
        <w:jc w:val="both"/>
        <w:rPr>
          <w:rFonts w:eastAsia="Calibri" w:cs="Times New Roman"/>
          <w:szCs w:val="20"/>
          <w:lang w:val="en-US"/>
        </w:rPr>
      </w:pPr>
    </w:p>
    <w:p w14:paraId="2D772FBE" w14:textId="77777777" w:rsidR="00D43A25" w:rsidRPr="00FE50A6" w:rsidRDefault="002A3B9B" w:rsidP="003F32D2">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Regarding</w:t>
      </w:r>
      <w:r w:rsidR="00F727E4" w:rsidRPr="00FE50A6">
        <w:rPr>
          <w:rFonts w:eastAsia="Calibri" w:cs="Times New Roman"/>
          <w:szCs w:val="20"/>
          <w:lang w:val="en-US"/>
        </w:rPr>
        <w:t xml:space="preserve"> </w:t>
      </w:r>
      <w:r w:rsidR="00EE52F3" w:rsidRPr="00FE50A6">
        <w:rPr>
          <w:rFonts w:eastAsia="Calibri" w:cs="Times New Roman"/>
          <w:szCs w:val="20"/>
          <w:lang w:val="en-US"/>
        </w:rPr>
        <w:t>the prohibition o</w:t>
      </w:r>
      <w:r w:rsidR="00170A45" w:rsidRPr="00FE50A6">
        <w:rPr>
          <w:rFonts w:eastAsia="Calibri" w:cs="Times New Roman"/>
          <w:szCs w:val="20"/>
          <w:lang w:val="en-US"/>
        </w:rPr>
        <w:t>f the</w:t>
      </w:r>
      <w:r w:rsidRPr="00FE50A6">
        <w:rPr>
          <w:rFonts w:eastAsia="Calibri" w:cs="Times New Roman"/>
          <w:szCs w:val="20"/>
          <w:lang w:val="en-US"/>
        </w:rPr>
        <w:t xml:space="preserve"> slave trade</w:t>
      </w:r>
      <w:r w:rsidR="00F727E4" w:rsidRPr="00FE50A6">
        <w:rPr>
          <w:rFonts w:eastAsia="Calibri" w:cs="Times New Roman"/>
          <w:szCs w:val="20"/>
          <w:lang w:val="en-US"/>
        </w:rPr>
        <w:t xml:space="preserve">, </w:t>
      </w:r>
      <w:r w:rsidRPr="00FE50A6">
        <w:rPr>
          <w:rFonts w:eastAsia="Calibri" w:cs="Times New Roman"/>
          <w:szCs w:val="20"/>
          <w:lang w:val="en-US"/>
        </w:rPr>
        <w:t>this has been associated with slavery</w:t>
      </w:r>
      <w:r w:rsidR="00F727E4" w:rsidRPr="00FE50A6">
        <w:rPr>
          <w:rFonts w:eastAsia="Calibri" w:cs="Times New Roman"/>
          <w:szCs w:val="20"/>
          <w:vertAlign w:val="superscript"/>
          <w:lang w:val="en-US"/>
        </w:rPr>
        <w:footnoteReference w:id="422"/>
      </w:r>
      <w:r w:rsidR="00F727E4" w:rsidRPr="00FE50A6">
        <w:rPr>
          <w:rFonts w:eastAsia="Calibri" w:cs="Times New Roman"/>
          <w:szCs w:val="20"/>
          <w:lang w:val="en-US"/>
        </w:rPr>
        <w:t xml:space="preserve"> </w:t>
      </w:r>
      <w:r w:rsidRPr="00FE50A6">
        <w:rPr>
          <w:rFonts w:eastAsia="Calibri" w:cs="Times New Roman"/>
          <w:szCs w:val="20"/>
          <w:lang w:val="en-US"/>
        </w:rPr>
        <w:t>since the 1926</w:t>
      </w:r>
      <w:r w:rsidR="000228D0" w:rsidRPr="00FE50A6">
        <w:rPr>
          <w:rFonts w:eastAsia="Calibri" w:cs="Times New Roman"/>
          <w:szCs w:val="20"/>
          <w:lang w:val="en-US"/>
        </w:rPr>
        <w:t xml:space="preserve"> Convention</w:t>
      </w:r>
      <w:r w:rsidR="00F727E4" w:rsidRPr="00FE50A6">
        <w:rPr>
          <w:rFonts w:eastAsia="Calibri" w:cs="Times New Roman"/>
          <w:szCs w:val="20"/>
          <w:lang w:val="en-US"/>
        </w:rPr>
        <w:t xml:space="preserve"> </w:t>
      </w:r>
      <w:r w:rsidRPr="00FE50A6">
        <w:rPr>
          <w:rFonts w:eastAsia="Calibri" w:cs="Times New Roman"/>
          <w:szCs w:val="20"/>
          <w:lang w:val="en-US"/>
        </w:rPr>
        <w:t>and entails the obligation for States to abolish this practice.</w:t>
      </w:r>
      <w:r w:rsidR="00F727E4" w:rsidRPr="00FE50A6">
        <w:rPr>
          <w:rFonts w:eastAsia="Calibri" w:cs="Times New Roman"/>
          <w:szCs w:val="20"/>
          <w:vertAlign w:val="superscript"/>
          <w:lang w:val="en-US"/>
        </w:rPr>
        <w:footnoteReference w:id="423"/>
      </w:r>
      <w:r w:rsidR="00F727E4" w:rsidRPr="00FE50A6">
        <w:rPr>
          <w:rFonts w:eastAsia="Calibri" w:cs="Times New Roman"/>
          <w:szCs w:val="20"/>
          <w:lang w:val="en-US"/>
        </w:rPr>
        <w:t xml:space="preserve"> </w:t>
      </w:r>
      <w:r w:rsidRPr="00FE50A6">
        <w:rPr>
          <w:rFonts w:eastAsia="Calibri" w:cs="Times New Roman"/>
          <w:szCs w:val="20"/>
          <w:lang w:val="en-US"/>
        </w:rPr>
        <w:t>Its prohibition is also absolute and is explicit in all the instruments reviewed in the previous sections.</w:t>
      </w:r>
    </w:p>
    <w:p w14:paraId="506F5CCC" w14:textId="77777777" w:rsidR="00AC608F" w:rsidRPr="00FE50A6" w:rsidRDefault="00AC608F" w:rsidP="00AC608F">
      <w:pPr>
        <w:pStyle w:val="Prrafodelista"/>
        <w:rPr>
          <w:rFonts w:eastAsia="Calibri" w:cs="Times New Roman"/>
          <w:szCs w:val="20"/>
          <w:lang w:val="en-US"/>
        </w:rPr>
      </w:pPr>
    </w:p>
    <w:p w14:paraId="5B47D09B" w14:textId="77777777" w:rsidR="003F32D2" w:rsidRPr="00FE50A6" w:rsidRDefault="002A3B9B" w:rsidP="00973A4F">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 xml:space="preserve">The prohibition of </w:t>
      </w:r>
      <w:r w:rsidR="00C43711" w:rsidRPr="00FE50A6">
        <w:rPr>
          <w:rFonts w:eastAsia="Calibri" w:cs="Times New Roman"/>
          <w:szCs w:val="20"/>
          <w:lang w:val="en-US"/>
        </w:rPr>
        <w:t xml:space="preserve">the </w:t>
      </w:r>
      <w:r w:rsidRPr="00FE50A6">
        <w:rPr>
          <w:rFonts w:eastAsia="Calibri" w:cs="Times New Roman"/>
          <w:szCs w:val="20"/>
          <w:lang w:val="en-US"/>
        </w:rPr>
        <w:t xml:space="preserve">traffic </w:t>
      </w:r>
      <w:r w:rsidR="00C43711" w:rsidRPr="00FE50A6">
        <w:rPr>
          <w:rFonts w:eastAsia="Calibri" w:cs="Times New Roman"/>
          <w:szCs w:val="20"/>
          <w:lang w:val="en-US"/>
        </w:rPr>
        <w:t>in</w:t>
      </w:r>
      <w:r w:rsidRPr="00FE50A6">
        <w:rPr>
          <w:rFonts w:eastAsia="Calibri" w:cs="Times New Roman"/>
          <w:szCs w:val="20"/>
          <w:lang w:val="en-US"/>
        </w:rPr>
        <w:t xml:space="preserve"> women</w:t>
      </w:r>
      <w:r w:rsidR="00D43A25" w:rsidRPr="00FE50A6">
        <w:rPr>
          <w:rFonts w:eastAsia="Calibri" w:cs="Times New Roman"/>
          <w:szCs w:val="20"/>
          <w:lang w:val="en-US"/>
        </w:rPr>
        <w:t xml:space="preserve"> (</w:t>
      </w:r>
      <w:r w:rsidRPr="00FE50A6">
        <w:rPr>
          <w:rFonts w:eastAsia="Calibri" w:cs="Times New Roman"/>
          <w:szCs w:val="20"/>
          <w:lang w:val="en-US"/>
        </w:rPr>
        <w:t>and children</w:t>
      </w:r>
      <w:r w:rsidR="00D43A25" w:rsidRPr="00FE50A6">
        <w:rPr>
          <w:rFonts w:eastAsia="Calibri" w:cs="Times New Roman"/>
          <w:szCs w:val="20"/>
          <w:lang w:val="en-US"/>
        </w:rPr>
        <w:t xml:space="preserve">) </w:t>
      </w:r>
      <w:r w:rsidRPr="00FE50A6">
        <w:rPr>
          <w:rFonts w:eastAsia="Calibri" w:cs="Times New Roman"/>
          <w:szCs w:val="20"/>
          <w:lang w:val="en-US"/>
        </w:rPr>
        <w:t>is the subject of several international treaties adopted during the twentieth century,</w:t>
      </w:r>
      <w:r w:rsidR="00D43A25" w:rsidRPr="00FE50A6">
        <w:rPr>
          <w:rStyle w:val="Refdenotaalpie"/>
          <w:rFonts w:eastAsia="Calibri"/>
          <w:lang w:val="en-US"/>
        </w:rPr>
        <w:footnoteReference w:id="424"/>
      </w:r>
      <w:r w:rsidRPr="00FE50A6">
        <w:rPr>
          <w:rFonts w:eastAsia="Calibri" w:cs="Times New Roman"/>
          <w:szCs w:val="20"/>
          <w:lang w:val="en-US"/>
        </w:rPr>
        <w:t xml:space="preserve"> and </w:t>
      </w:r>
      <w:r w:rsidR="00C43711" w:rsidRPr="00FE50A6">
        <w:rPr>
          <w:rFonts w:eastAsia="Calibri" w:cs="Times New Roman"/>
          <w:szCs w:val="20"/>
          <w:lang w:val="en-US"/>
        </w:rPr>
        <w:t xml:space="preserve">it </w:t>
      </w:r>
      <w:r w:rsidRPr="00FE50A6">
        <w:rPr>
          <w:rFonts w:eastAsia="Calibri" w:cs="Times New Roman"/>
          <w:szCs w:val="20"/>
          <w:lang w:val="en-US"/>
        </w:rPr>
        <w:t xml:space="preserve">was consolidated in the 1949 </w:t>
      </w:r>
      <w:r w:rsidRPr="00FE50A6">
        <w:rPr>
          <w:rStyle w:val="e24kjd"/>
          <w:bCs/>
          <w:szCs w:val="20"/>
          <w:lang w:val="en-US"/>
        </w:rPr>
        <w:t>Convention for the Suppression</w:t>
      </w:r>
      <w:r w:rsidRPr="00FE50A6">
        <w:rPr>
          <w:rStyle w:val="e24kjd"/>
          <w:szCs w:val="20"/>
          <w:lang w:val="en-US"/>
        </w:rPr>
        <w:t xml:space="preserve"> of the </w:t>
      </w:r>
      <w:r w:rsidRPr="00FE50A6">
        <w:rPr>
          <w:rStyle w:val="e24kjd"/>
          <w:bCs/>
          <w:szCs w:val="20"/>
          <w:lang w:val="en-US"/>
        </w:rPr>
        <w:t>Traffic in</w:t>
      </w:r>
      <w:r w:rsidRPr="00FE50A6">
        <w:rPr>
          <w:rStyle w:val="e24kjd"/>
          <w:szCs w:val="20"/>
          <w:lang w:val="en-US"/>
        </w:rPr>
        <w:t xml:space="preserve"> Persons and of the </w:t>
      </w:r>
      <w:r w:rsidRPr="00FE50A6">
        <w:rPr>
          <w:rStyle w:val="e24kjd"/>
          <w:bCs/>
          <w:szCs w:val="20"/>
          <w:lang w:val="en-US"/>
        </w:rPr>
        <w:t>Exploitation</w:t>
      </w:r>
      <w:r w:rsidRPr="00FE50A6">
        <w:rPr>
          <w:rStyle w:val="e24kjd"/>
          <w:szCs w:val="20"/>
          <w:lang w:val="en-US"/>
        </w:rPr>
        <w:t xml:space="preserve"> of the </w:t>
      </w:r>
      <w:r w:rsidRPr="00FE50A6">
        <w:rPr>
          <w:rStyle w:val="e24kjd"/>
          <w:bCs/>
          <w:szCs w:val="20"/>
          <w:lang w:val="en-US"/>
        </w:rPr>
        <w:t>Prostitution</w:t>
      </w:r>
      <w:r w:rsidRPr="00FE50A6">
        <w:rPr>
          <w:rStyle w:val="e24kjd"/>
          <w:szCs w:val="20"/>
          <w:lang w:val="en-US"/>
        </w:rPr>
        <w:t xml:space="preserve"> of Others</w:t>
      </w:r>
      <w:r w:rsidR="00973A4F" w:rsidRPr="00FE50A6">
        <w:rPr>
          <w:rStyle w:val="e24kjd"/>
          <w:szCs w:val="20"/>
          <w:lang w:val="en-US"/>
        </w:rPr>
        <w:t>.</w:t>
      </w:r>
      <w:r w:rsidR="00D43A25" w:rsidRPr="00FE50A6">
        <w:rPr>
          <w:rStyle w:val="Refdenotaalpie"/>
          <w:rFonts w:eastAsia="Calibri"/>
          <w:lang w:val="en-US"/>
        </w:rPr>
        <w:footnoteReference w:id="425"/>
      </w:r>
      <w:r w:rsidR="003F32D2" w:rsidRPr="00FE50A6">
        <w:rPr>
          <w:rFonts w:eastAsia="Calibri" w:cs="Times New Roman"/>
          <w:szCs w:val="20"/>
          <w:lang w:val="en-US"/>
        </w:rPr>
        <w:t xml:space="preserve"> </w:t>
      </w:r>
      <w:r w:rsidR="000228D0" w:rsidRPr="00FE50A6">
        <w:rPr>
          <w:rFonts w:eastAsia="Calibri" w:cs="Times New Roman"/>
          <w:szCs w:val="20"/>
          <w:lang w:val="en-US"/>
        </w:rPr>
        <w:t>Article</w:t>
      </w:r>
      <w:r w:rsidR="003F32D2" w:rsidRPr="00FE50A6">
        <w:rPr>
          <w:rFonts w:eastAsia="Calibri" w:cs="Times New Roman"/>
          <w:szCs w:val="20"/>
          <w:lang w:val="en-US"/>
        </w:rPr>
        <w:t xml:space="preserve"> 1 </w:t>
      </w:r>
      <w:r w:rsidR="00AC608F" w:rsidRPr="00FE50A6">
        <w:rPr>
          <w:rFonts w:eastAsia="Calibri" w:cs="Times New Roman"/>
          <w:szCs w:val="20"/>
          <w:lang w:val="en-US"/>
        </w:rPr>
        <w:t xml:space="preserve">of this Convention refers to the element of “consent” and to the exploitation (the prostitution) of another person, as key elements of the prohibition of prostitution and the traffic in persons </w:t>
      </w:r>
      <w:r w:rsidR="00973A4F" w:rsidRPr="00FE50A6">
        <w:rPr>
          <w:rFonts w:eastAsia="Calibri" w:cs="Times New Roman"/>
          <w:szCs w:val="20"/>
          <w:lang w:val="en-US"/>
        </w:rPr>
        <w:t>for this purpose</w:t>
      </w:r>
      <w:r w:rsidR="003F32D2" w:rsidRPr="00FE50A6">
        <w:rPr>
          <w:rFonts w:eastAsia="Calibri" w:cs="Times New Roman"/>
          <w:szCs w:val="20"/>
          <w:lang w:val="en-US"/>
        </w:rPr>
        <w:t xml:space="preserve">. </w:t>
      </w:r>
    </w:p>
    <w:p w14:paraId="6D1AA39F" w14:textId="77777777" w:rsidR="00973A4F" w:rsidRPr="00FE50A6" w:rsidRDefault="00973A4F" w:rsidP="00973A4F">
      <w:pPr>
        <w:pStyle w:val="Prrafodelista"/>
        <w:rPr>
          <w:rFonts w:eastAsia="Calibri" w:cs="Times New Roman"/>
          <w:szCs w:val="20"/>
          <w:lang w:val="en-US"/>
        </w:rPr>
      </w:pPr>
    </w:p>
    <w:p w14:paraId="3203F862" w14:textId="77777777" w:rsidR="00CE5161" w:rsidRPr="00FE50A6" w:rsidRDefault="00973A4F" w:rsidP="00973A4F">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Meanwhile, the principal specialized international treaty on</w:t>
      </w:r>
      <w:r w:rsidR="003F32D2" w:rsidRPr="00FE50A6">
        <w:rPr>
          <w:rFonts w:eastAsia="Calibri" w:cs="Times New Roman"/>
          <w:szCs w:val="20"/>
          <w:lang w:val="en-US"/>
        </w:rPr>
        <w:t xml:space="preserve"> </w:t>
      </w:r>
      <w:r w:rsidR="00615E39" w:rsidRPr="00FE50A6">
        <w:rPr>
          <w:rFonts w:eastAsia="Calibri" w:cs="Times New Roman"/>
          <w:szCs w:val="20"/>
          <w:lang w:val="en-US"/>
        </w:rPr>
        <w:t>trafficking</w:t>
      </w:r>
      <w:r w:rsidR="003F32D2" w:rsidRPr="00FE50A6">
        <w:rPr>
          <w:rFonts w:eastAsia="Calibri" w:cs="Times New Roman"/>
          <w:szCs w:val="20"/>
          <w:lang w:val="en-US"/>
        </w:rPr>
        <w:t xml:space="preserve">, </w:t>
      </w:r>
      <w:r w:rsidRPr="00FE50A6">
        <w:rPr>
          <w:rFonts w:eastAsia="Calibri" w:cs="Times New Roman"/>
          <w:szCs w:val="20"/>
          <w:lang w:val="en-US"/>
        </w:rPr>
        <w:t xml:space="preserve">the </w:t>
      </w:r>
      <w:bookmarkStart w:id="319" w:name="_Hlk9590867"/>
      <w:r w:rsidRPr="00FE50A6">
        <w:rPr>
          <w:rFonts w:eastAsia="Times New Roman" w:cs="Times New Roman"/>
          <w:bCs/>
          <w:kern w:val="36"/>
          <w:szCs w:val="20"/>
          <w:lang w:val="en-US"/>
        </w:rPr>
        <w:t xml:space="preserve">Protocol to Prevent, Suppress and Punish Trafficking in Persons, Especially Women and Children, supplementing </w:t>
      </w:r>
      <w:bookmarkEnd w:id="319"/>
      <w:r w:rsidR="000228D0" w:rsidRPr="00FE50A6">
        <w:rPr>
          <w:rFonts w:eastAsia="Calibri" w:cs="Times New Roman"/>
          <w:szCs w:val="20"/>
          <w:lang w:val="en-US"/>
        </w:rPr>
        <w:t xml:space="preserve">the </w:t>
      </w:r>
      <w:r w:rsidRPr="00FE50A6">
        <w:rPr>
          <w:rFonts w:eastAsia="Calibri" w:cs="Times New Roman"/>
          <w:szCs w:val="20"/>
          <w:lang w:val="en-US"/>
        </w:rPr>
        <w:t>United Nations Convention against Transnational Organized Crime</w:t>
      </w:r>
      <w:r w:rsidR="003F32D2" w:rsidRPr="00FE50A6">
        <w:rPr>
          <w:rFonts w:eastAsia="Calibri" w:cs="Times New Roman"/>
          <w:szCs w:val="20"/>
          <w:lang w:val="en-US"/>
        </w:rPr>
        <w:t xml:space="preserve"> (</w:t>
      </w:r>
      <w:r w:rsidR="000228D0" w:rsidRPr="00FE50A6">
        <w:rPr>
          <w:rFonts w:eastAsia="Calibri" w:cs="Times New Roman"/>
          <w:szCs w:val="20"/>
          <w:lang w:val="en-US"/>
        </w:rPr>
        <w:t>hereinafter</w:t>
      </w:r>
      <w:r w:rsidR="003F32D2" w:rsidRPr="00FE50A6">
        <w:rPr>
          <w:rFonts w:eastAsia="Calibri" w:cs="Times New Roman"/>
          <w:szCs w:val="20"/>
          <w:lang w:val="en-US"/>
        </w:rPr>
        <w:t xml:space="preserve"> </w:t>
      </w:r>
      <w:r w:rsidR="009C48A4" w:rsidRPr="00FE50A6">
        <w:rPr>
          <w:rFonts w:eastAsia="Calibri" w:cs="Times New Roman"/>
          <w:szCs w:val="20"/>
          <w:lang w:val="en-US"/>
        </w:rPr>
        <w:t>“</w:t>
      </w:r>
      <w:r w:rsidR="00C43711" w:rsidRPr="00FE50A6">
        <w:rPr>
          <w:rFonts w:eastAsia="Calibri" w:cs="Times New Roman"/>
          <w:szCs w:val="20"/>
          <w:lang w:val="en-US"/>
        </w:rPr>
        <w:t xml:space="preserve">the </w:t>
      </w:r>
      <w:r w:rsidR="00F15589" w:rsidRPr="00FE50A6">
        <w:rPr>
          <w:rFonts w:eastAsia="Calibri" w:cs="Times New Roman"/>
          <w:szCs w:val="20"/>
          <w:lang w:val="en-US"/>
        </w:rPr>
        <w:t>Protocol of</w:t>
      </w:r>
      <w:r w:rsidR="003F32D2" w:rsidRPr="00FE50A6">
        <w:rPr>
          <w:rFonts w:eastAsia="Calibri" w:cs="Times New Roman"/>
          <w:szCs w:val="20"/>
          <w:lang w:val="en-US"/>
        </w:rPr>
        <w:t xml:space="preserve"> Palermo</w:t>
      </w:r>
      <w:r w:rsidR="009C48A4" w:rsidRPr="00FE50A6">
        <w:rPr>
          <w:rFonts w:eastAsia="Calibri" w:cs="Times New Roman"/>
          <w:szCs w:val="20"/>
          <w:lang w:val="en-US"/>
        </w:rPr>
        <w:t>”</w:t>
      </w:r>
      <w:r w:rsidR="003F32D2" w:rsidRPr="00FE50A6">
        <w:rPr>
          <w:rFonts w:eastAsia="Calibri" w:cs="Times New Roman"/>
          <w:szCs w:val="20"/>
          <w:lang w:val="en-US"/>
        </w:rPr>
        <w:t xml:space="preserve">), </w:t>
      </w:r>
      <w:r w:rsidRPr="00FE50A6">
        <w:rPr>
          <w:rFonts w:eastAsia="Calibri" w:cs="Times New Roman"/>
          <w:szCs w:val="20"/>
          <w:lang w:val="en-US"/>
        </w:rPr>
        <w:t>of</w:t>
      </w:r>
      <w:r w:rsidR="003F32D2" w:rsidRPr="00FE50A6">
        <w:rPr>
          <w:rFonts w:eastAsia="Calibri" w:cs="Times New Roman"/>
          <w:szCs w:val="20"/>
          <w:lang w:val="en-US"/>
        </w:rPr>
        <w:t xml:space="preserve"> 2000, </w:t>
      </w:r>
      <w:r w:rsidRPr="00FE50A6">
        <w:rPr>
          <w:rFonts w:eastAsia="Calibri" w:cs="Times New Roman"/>
          <w:szCs w:val="20"/>
          <w:lang w:val="en-US"/>
        </w:rPr>
        <w:t xml:space="preserve">clearly establishes </w:t>
      </w:r>
      <w:r w:rsidR="00EE52F3" w:rsidRPr="00FE50A6">
        <w:rPr>
          <w:rFonts w:eastAsia="Calibri" w:cs="Times New Roman"/>
          <w:szCs w:val="20"/>
          <w:lang w:val="en-US"/>
        </w:rPr>
        <w:t>the prohibition of</w:t>
      </w:r>
      <w:r w:rsidRPr="00FE50A6">
        <w:rPr>
          <w:rFonts w:eastAsia="Calibri" w:cs="Times New Roman"/>
          <w:szCs w:val="20"/>
          <w:lang w:val="en-US"/>
        </w:rPr>
        <w:t xml:space="preserve"> trafficking in persons in its</w:t>
      </w:r>
      <w:r w:rsidR="003F32D2" w:rsidRPr="00FE50A6">
        <w:rPr>
          <w:rFonts w:eastAsia="Calibri" w:cs="Times New Roman"/>
          <w:szCs w:val="20"/>
          <w:lang w:val="en-US"/>
        </w:rPr>
        <w:t xml:space="preserve"> </w:t>
      </w:r>
      <w:r w:rsidR="00573932" w:rsidRPr="00FE50A6">
        <w:rPr>
          <w:rFonts w:eastAsia="Calibri" w:cs="Times New Roman"/>
          <w:szCs w:val="20"/>
          <w:lang w:val="en-US"/>
        </w:rPr>
        <w:t>a</w:t>
      </w:r>
      <w:r w:rsidR="00D2546E" w:rsidRPr="00FE50A6">
        <w:rPr>
          <w:rFonts w:eastAsia="Calibri" w:cs="Times New Roman"/>
          <w:szCs w:val="20"/>
          <w:lang w:val="en-US"/>
        </w:rPr>
        <w:t>rticle</w:t>
      </w:r>
      <w:r w:rsidR="003F32D2" w:rsidRPr="00FE50A6">
        <w:rPr>
          <w:rFonts w:eastAsia="Calibri" w:cs="Times New Roman"/>
          <w:szCs w:val="20"/>
          <w:lang w:val="en-US"/>
        </w:rPr>
        <w:t xml:space="preserve"> 4</w:t>
      </w:r>
      <w:r w:rsidRPr="00FE50A6">
        <w:rPr>
          <w:rFonts w:eastAsia="Calibri" w:cs="Times New Roman"/>
          <w:szCs w:val="20"/>
          <w:lang w:val="en-US"/>
        </w:rPr>
        <w:t>.</w:t>
      </w:r>
      <w:r w:rsidR="003F32D2" w:rsidRPr="00FE50A6">
        <w:rPr>
          <w:rFonts w:eastAsia="Calibri" w:cs="Times New Roman"/>
          <w:szCs w:val="20"/>
          <w:vertAlign w:val="superscript"/>
          <w:lang w:val="en-US"/>
        </w:rPr>
        <w:footnoteReference w:id="426"/>
      </w:r>
      <w:r w:rsidR="003F32D2" w:rsidRPr="00FE50A6">
        <w:rPr>
          <w:rFonts w:eastAsia="Calibri" w:cs="Times New Roman"/>
          <w:szCs w:val="20"/>
          <w:lang w:val="en-US"/>
        </w:rPr>
        <w:t xml:space="preserve"> </w:t>
      </w:r>
      <w:r w:rsidR="00CE5161" w:rsidRPr="00FE50A6">
        <w:rPr>
          <w:rFonts w:eastAsia="Calibri" w:cs="Times New Roman"/>
          <w:szCs w:val="20"/>
          <w:lang w:val="en-US"/>
        </w:rPr>
        <w:t>A</w:t>
      </w:r>
      <w:r w:rsidR="00573932" w:rsidRPr="00FE50A6">
        <w:rPr>
          <w:rFonts w:eastAsia="Calibri" w:cs="Times New Roman"/>
          <w:szCs w:val="20"/>
          <w:lang w:val="en-US"/>
        </w:rPr>
        <w:t>lso, a</w:t>
      </w:r>
      <w:r w:rsidR="00D2546E" w:rsidRPr="00FE50A6">
        <w:rPr>
          <w:rFonts w:eastAsia="Calibri" w:cs="Times New Roman"/>
          <w:szCs w:val="20"/>
          <w:lang w:val="en-US"/>
        </w:rPr>
        <w:t>rticle</w:t>
      </w:r>
      <w:r w:rsidR="00CE5161" w:rsidRPr="00FE50A6">
        <w:rPr>
          <w:rFonts w:eastAsia="Calibri" w:cs="Times New Roman"/>
          <w:szCs w:val="20"/>
          <w:lang w:val="en-US"/>
        </w:rPr>
        <w:t xml:space="preserve"> 3 </w:t>
      </w:r>
      <w:r w:rsidR="00573932" w:rsidRPr="00FE50A6">
        <w:rPr>
          <w:rFonts w:eastAsia="Calibri" w:cs="Times New Roman"/>
          <w:szCs w:val="20"/>
          <w:lang w:val="en-US"/>
        </w:rPr>
        <w:t xml:space="preserve">of this Protocol defines </w:t>
      </w:r>
      <w:r w:rsidR="000F3526" w:rsidRPr="00FE50A6">
        <w:rPr>
          <w:rFonts w:eastAsia="Calibri" w:cs="Times New Roman"/>
          <w:szCs w:val="20"/>
          <w:lang w:val="en-US"/>
        </w:rPr>
        <w:t>human</w:t>
      </w:r>
      <w:r w:rsidR="00573932" w:rsidRPr="00FE50A6">
        <w:rPr>
          <w:rFonts w:eastAsia="Calibri" w:cs="Times New Roman"/>
          <w:szCs w:val="20"/>
          <w:lang w:val="en-US"/>
        </w:rPr>
        <w:t xml:space="preserve"> trafficking or</w:t>
      </w:r>
      <w:r w:rsidR="00615E39" w:rsidRPr="00FE50A6">
        <w:rPr>
          <w:rFonts w:eastAsia="Calibri" w:cs="Times New Roman"/>
          <w:szCs w:val="20"/>
          <w:lang w:val="en-US"/>
        </w:rPr>
        <w:t xml:space="preserve"> </w:t>
      </w:r>
      <w:r w:rsidR="000C2A19" w:rsidRPr="00FE50A6">
        <w:rPr>
          <w:rFonts w:eastAsia="Calibri" w:cs="Times New Roman"/>
          <w:szCs w:val="20"/>
          <w:lang w:val="en-US"/>
        </w:rPr>
        <w:t>trafficking in persons</w:t>
      </w:r>
      <w:r w:rsidR="00615E39" w:rsidRPr="00FE50A6">
        <w:rPr>
          <w:rFonts w:eastAsia="Calibri" w:cs="Times New Roman"/>
          <w:szCs w:val="20"/>
          <w:lang w:val="en-US"/>
        </w:rPr>
        <w:t xml:space="preserve"> </w:t>
      </w:r>
      <w:r w:rsidR="00CE5161" w:rsidRPr="00FE50A6">
        <w:rPr>
          <w:rFonts w:eastAsia="Calibri" w:cs="Times New Roman"/>
          <w:szCs w:val="20"/>
          <w:lang w:val="en-US"/>
        </w:rPr>
        <w:t xml:space="preserve"> </w:t>
      </w:r>
      <w:r w:rsidR="00573932" w:rsidRPr="00FE50A6">
        <w:rPr>
          <w:rFonts w:eastAsia="Calibri" w:cs="Times New Roman"/>
          <w:szCs w:val="20"/>
          <w:lang w:val="en-US"/>
        </w:rPr>
        <w:t>as follows</w:t>
      </w:r>
      <w:r w:rsidR="00CE5161" w:rsidRPr="00FE50A6">
        <w:rPr>
          <w:rFonts w:eastAsia="Calibri" w:cs="Times New Roman"/>
          <w:szCs w:val="20"/>
          <w:lang w:val="en-US"/>
        </w:rPr>
        <w:t>:</w:t>
      </w:r>
    </w:p>
    <w:p w14:paraId="5D5C978C" w14:textId="77777777" w:rsidR="00CE5161" w:rsidRPr="00FE50A6" w:rsidRDefault="00CE5161" w:rsidP="00CE5161">
      <w:pPr>
        <w:tabs>
          <w:tab w:val="clear" w:pos="4419"/>
          <w:tab w:val="clear" w:pos="8838"/>
        </w:tabs>
        <w:jc w:val="both"/>
        <w:rPr>
          <w:rFonts w:eastAsia="Calibri" w:cs="Times New Roman"/>
          <w:szCs w:val="20"/>
          <w:lang w:val="en-US"/>
        </w:rPr>
      </w:pPr>
    </w:p>
    <w:p w14:paraId="442ECECB" w14:textId="77777777" w:rsidR="006B0C55" w:rsidRPr="00FE50A6" w:rsidRDefault="006B0C55" w:rsidP="006B0C55">
      <w:pPr>
        <w:pStyle w:val="NormalWeb"/>
        <w:spacing w:before="0" w:beforeAutospacing="0" w:after="0" w:afterAutospacing="0"/>
        <w:ind w:left="720" w:right="922"/>
        <w:jc w:val="both"/>
        <w:rPr>
          <w:sz w:val="16"/>
          <w:szCs w:val="16"/>
          <w:lang w:val="en-US"/>
        </w:rPr>
      </w:pPr>
      <w:r w:rsidRPr="00FE50A6">
        <w:rPr>
          <w:sz w:val="16"/>
          <w:szCs w:val="16"/>
          <w:lang w:val="en-US"/>
        </w:rPr>
        <w:t xml:space="preserve">(a) "Trafficking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w:t>
      </w:r>
    </w:p>
    <w:p w14:paraId="52C02207" w14:textId="77777777" w:rsidR="006B0C55" w:rsidRPr="00FE50A6" w:rsidRDefault="006B0C55" w:rsidP="006B0C55">
      <w:pPr>
        <w:pStyle w:val="NormalWeb"/>
        <w:spacing w:before="0" w:beforeAutospacing="0" w:after="0" w:afterAutospacing="0"/>
        <w:ind w:left="720" w:right="922"/>
        <w:jc w:val="both"/>
        <w:rPr>
          <w:sz w:val="16"/>
          <w:szCs w:val="16"/>
          <w:lang w:val="en-US"/>
        </w:rPr>
      </w:pPr>
      <w:r w:rsidRPr="00FE50A6">
        <w:rPr>
          <w:sz w:val="16"/>
          <w:szCs w:val="16"/>
          <w:lang w:val="en-US"/>
        </w:rPr>
        <w:t xml:space="preserve">(b) The consent of a victim of trafficking in persons to the intended exploitation set forth in subparagraph (a) of this article shall be irrelevant where any of the means set forth in subparagraph (a) have been used; </w:t>
      </w:r>
    </w:p>
    <w:p w14:paraId="2FE6500B" w14:textId="77777777" w:rsidR="00CE5161" w:rsidRPr="00FE50A6" w:rsidRDefault="006B0C55" w:rsidP="006B0C55">
      <w:pPr>
        <w:pStyle w:val="NormalWeb"/>
        <w:spacing w:before="0" w:beforeAutospacing="0" w:after="0" w:afterAutospacing="0"/>
        <w:ind w:left="720" w:right="922"/>
        <w:jc w:val="both"/>
        <w:rPr>
          <w:sz w:val="16"/>
          <w:szCs w:val="16"/>
          <w:lang w:val="en-US"/>
        </w:rPr>
      </w:pPr>
      <w:r w:rsidRPr="00FE50A6">
        <w:rPr>
          <w:sz w:val="16"/>
          <w:szCs w:val="16"/>
          <w:lang w:val="en-US"/>
        </w:rPr>
        <w:t xml:space="preserve">(c) The recruitment, transportation, transfer, harbouring or receipt of a child for the purpose of exploitation shall be considered "trafficking in persons" even if this does not involve any of the means set forth in subparagraph (a) of this article; </w:t>
      </w:r>
      <w:r w:rsidRPr="00FE50A6">
        <w:rPr>
          <w:rFonts w:eastAsia="Calibri"/>
          <w:sz w:val="16"/>
          <w:szCs w:val="16"/>
          <w:lang w:val="en-US"/>
        </w:rPr>
        <w:t>[…].</w:t>
      </w:r>
      <w:r w:rsidR="00CE5161" w:rsidRPr="00FE50A6">
        <w:rPr>
          <w:rFonts w:eastAsia="Calibri"/>
          <w:sz w:val="16"/>
          <w:szCs w:val="16"/>
          <w:lang w:val="en-US"/>
        </w:rPr>
        <w:t xml:space="preserve"> </w:t>
      </w:r>
    </w:p>
    <w:p w14:paraId="3199863F" w14:textId="77777777" w:rsidR="00CE5161" w:rsidRPr="00FE50A6" w:rsidRDefault="00CE5161" w:rsidP="00ED3AD0">
      <w:pPr>
        <w:pStyle w:val="Prrafodelista"/>
        <w:rPr>
          <w:rFonts w:eastAsia="Calibri" w:cs="Times New Roman"/>
          <w:szCs w:val="20"/>
          <w:lang w:val="en-US"/>
        </w:rPr>
      </w:pPr>
    </w:p>
    <w:p w14:paraId="69BFE6F7" w14:textId="77777777" w:rsidR="003F32D2" w:rsidRPr="00FE50A6" w:rsidRDefault="006B0C55" w:rsidP="003F32D2">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 xml:space="preserve">Likewise, the 2005 </w:t>
      </w:r>
      <w:r w:rsidRPr="00FE50A6">
        <w:rPr>
          <w:szCs w:val="20"/>
          <w:lang w:val="en-US"/>
        </w:rPr>
        <w:t xml:space="preserve">Convention of the Council of Europe on Action against Trafficking in Human Beings establishes </w:t>
      </w:r>
      <w:r w:rsidR="00EE52F3" w:rsidRPr="00FE50A6">
        <w:rPr>
          <w:rFonts w:eastAsia="Calibri" w:cs="Times New Roman"/>
          <w:szCs w:val="20"/>
          <w:lang w:val="en-US"/>
        </w:rPr>
        <w:t>the prohibition of</w:t>
      </w:r>
      <w:r w:rsidR="003F32D2" w:rsidRPr="00FE50A6">
        <w:rPr>
          <w:rFonts w:eastAsia="Calibri" w:cs="Times New Roman"/>
          <w:szCs w:val="20"/>
          <w:lang w:val="en-US"/>
        </w:rPr>
        <w:t xml:space="preserve"> </w:t>
      </w:r>
      <w:r w:rsidRPr="00FE50A6">
        <w:rPr>
          <w:rFonts w:eastAsia="Calibri" w:cs="Times New Roman"/>
          <w:szCs w:val="20"/>
          <w:lang w:val="en-US"/>
        </w:rPr>
        <w:t>trafficking in human beings and determines the State obligations in</w:t>
      </w:r>
      <w:r w:rsidR="00C43711" w:rsidRPr="00FE50A6">
        <w:rPr>
          <w:rFonts w:eastAsia="Calibri" w:cs="Times New Roman"/>
          <w:szCs w:val="20"/>
          <w:lang w:val="en-US"/>
        </w:rPr>
        <w:t xml:space="preserve"> similar</w:t>
      </w:r>
      <w:r w:rsidRPr="00FE50A6">
        <w:rPr>
          <w:rFonts w:eastAsia="Calibri" w:cs="Times New Roman"/>
          <w:szCs w:val="20"/>
          <w:lang w:val="en-US"/>
        </w:rPr>
        <w:t xml:space="preserve"> terms to the </w:t>
      </w:r>
      <w:r w:rsidR="00F15589" w:rsidRPr="00FE50A6">
        <w:rPr>
          <w:rFonts w:eastAsia="Calibri" w:cs="Times New Roman"/>
          <w:szCs w:val="20"/>
          <w:lang w:val="en-US"/>
        </w:rPr>
        <w:t>Protocol of</w:t>
      </w:r>
      <w:r w:rsidR="00CE5161" w:rsidRPr="00FE50A6">
        <w:rPr>
          <w:rFonts w:eastAsia="Calibri" w:cs="Times New Roman"/>
          <w:szCs w:val="20"/>
          <w:lang w:val="en-US"/>
        </w:rPr>
        <w:t xml:space="preserve"> Palermo</w:t>
      </w:r>
      <w:r w:rsidRPr="00FE50A6">
        <w:rPr>
          <w:rFonts w:eastAsia="Calibri" w:cs="Times New Roman"/>
          <w:szCs w:val="20"/>
          <w:lang w:val="en-US"/>
        </w:rPr>
        <w:t>.</w:t>
      </w:r>
      <w:r w:rsidR="003F32D2" w:rsidRPr="00FE50A6">
        <w:rPr>
          <w:rFonts w:eastAsia="Calibri" w:cs="Times New Roman"/>
          <w:szCs w:val="20"/>
          <w:vertAlign w:val="superscript"/>
          <w:lang w:val="en-US"/>
        </w:rPr>
        <w:footnoteReference w:id="427"/>
      </w:r>
    </w:p>
    <w:p w14:paraId="020C87E6" w14:textId="77777777" w:rsidR="003F32D2" w:rsidRPr="00FE50A6" w:rsidRDefault="003F32D2" w:rsidP="003F32D2">
      <w:pPr>
        <w:tabs>
          <w:tab w:val="clear" w:pos="4419"/>
          <w:tab w:val="clear" w:pos="8838"/>
        </w:tabs>
        <w:ind w:left="720"/>
        <w:contextualSpacing/>
        <w:jc w:val="both"/>
        <w:rPr>
          <w:rFonts w:eastAsia="Calibri" w:cs="Times New Roman"/>
          <w:szCs w:val="20"/>
          <w:lang w:val="en-US"/>
        </w:rPr>
      </w:pPr>
    </w:p>
    <w:p w14:paraId="35C620D4" w14:textId="77777777" w:rsidR="003F32D2" w:rsidRPr="00FE50A6" w:rsidRDefault="006B0C55" w:rsidP="008E1F41">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In addition,</w:t>
      </w:r>
      <w:r w:rsidR="00C43711" w:rsidRPr="00FE50A6">
        <w:rPr>
          <w:rFonts w:eastAsia="Calibri" w:cs="Times New Roman"/>
          <w:szCs w:val="20"/>
          <w:lang w:val="en-US"/>
        </w:rPr>
        <w:t xml:space="preserve"> several of the United Nations specialized agencies working in this area have referred to</w:t>
      </w:r>
      <w:r w:rsidR="00615E39" w:rsidRPr="00FE50A6">
        <w:rPr>
          <w:rFonts w:eastAsia="Calibri" w:cs="Times New Roman"/>
          <w:szCs w:val="20"/>
          <w:lang w:val="en-US"/>
        </w:rPr>
        <w:t xml:space="preserve"> </w:t>
      </w:r>
      <w:r w:rsidR="000C2A19" w:rsidRPr="00FE50A6">
        <w:rPr>
          <w:rFonts w:eastAsia="Calibri" w:cs="Times New Roman"/>
          <w:szCs w:val="20"/>
          <w:lang w:val="en-US"/>
        </w:rPr>
        <w:t>trafficking in persons</w:t>
      </w:r>
      <w:r w:rsidR="003F32D2" w:rsidRPr="00FE50A6">
        <w:rPr>
          <w:rFonts w:eastAsia="Calibri" w:cs="Times New Roman"/>
          <w:szCs w:val="20"/>
          <w:lang w:val="en-US"/>
        </w:rPr>
        <w:t xml:space="preserve"> </w:t>
      </w:r>
      <w:r w:rsidRPr="00FE50A6">
        <w:rPr>
          <w:rFonts w:eastAsia="Calibri" w:cs="Times New Roman"/>
          <w:szCs w:val="20"/>
          <w:lang w:val="en-US"/>
        </w:rPr>
        <w:t xml:space="preserve">as a form of </w:t>
      </w:r>
      <w:r w:rsidR="00D11A9F" w:rsidRPr="00FE50A6">
        <w:rPr>
          <w:rFonts w:eastAsia="Calibri" w:cs="Times New Roman"/>
          <w:szCs w:val="20"/>
          <w:lang w:val="en-US"/>
        </w:rPr>
        <w:t>slavery</w:t>
      </w:r>
      <w:r w:rsidRPr="00FE50A6">
        <w:rPr>
          <w:rFonts w:eastAsia="Calibri" w:cs="Times New Roman"/>
          <w:szCs w:val="20"/>
          <w:lang w:val="en-US"/>
        </w:rPr>
        <w:t xml:space="preserve">. Thus, the Working Group on </w:t>
      </w:r>
      <w:r w:rsidR="00EE52F3" w:rsidRPr="00FE50A6">
        <w:rPr>
          <w:rFonts w:eastAsia="Calibri" w:cs="Times New Roman"/>
          <w:szCs w:val="20"/>
          <w:lang w:val="en-US"/>
        </w:rPr>
        <w:t>Contemporary forms of</w:t>
      </w:r>
      <w:r w:rsidR="003F32D2" w:rsidRPr="00FE50A6">
        <w:rPr>
          <w:rFonts w:eastAsia="Calibri" w:cs="Times New Roman"/>
          <w:szCs w:val="20"/>
          <w:lang w:val="en-US"/>
        </w:rPr>
        <w:t xml:space="preserve"> </w:t>
      </w:r>
      <w:r w:rsidR="00D11A9F" w:rsidRPr="00FE50A6">
        <w:rPr>
          <w:rFonts w:eastAsia="Calibri" w:cs="Times New Roman"/>
          <w:szCs w:val="20"/>
          <w:lang w:val="en-US"/>
        </w:rPr>
        <w:t>Slavery</w:t>
      </w:r>
      <w:r w:rsidR="003F32D2" w:rsidRPr="00FE50A6">
        <w:rPr>
          <w:rFonts w:eastAsia="Calibri" w:cs="Times New Roman"/>
          <w:szCs w:val="20"/>
          <w:lang w:val="en-US"/>
        </w:rPr>
        <w:t xml:space="preserve"> </w:t>
      </w:r>
      <w:r w:rsidRPr="00FE50A6">
        <w:rPr>
          <w:rFonts w:eastAsia="Calibri" w:cs="Times New Roman"/>
          <w:szCs w:val="20"/>
          <w:lang w:val="en-US"/>
        </w:rPr>
        <w:t xml:space="preserve">has </w:t>
      </w:r>
      <w:r w:rsidR="00F53C51" w:rsidRPr="00FE50A6">
        <w:rPr>
          <w:rFonts w:eastAsia="Calibri" w:cs="Times New Roman"/>
          <w:szCs w:val="20"/>
          <w:lang w:val="en-US"/>
        </w:rPr>
        <w:t>declar</w:t>
      </w:r>
      <w:r w:rsidRPr="00FE50A6">
        <w:rPr>
          <w:rFonts w:eastAsia="Calibri" w:cs="Times New Roman"/>
          <w:szCs w:val="20"/>
          <w:lang w:val="en-US"/>
        </w:rPr>
        <w:t>ed that</w:t>
      </w:r>
      <w:r w:rsidR="003F32D2" w:rsidRPr="00FE50A6">
        <w:rPr>
          <w:rFonts w:eastAsia="Calibri" w:cs="Times New Roman"/>
          <w:szCs w:val="20"/>
          <w:lang w:val="en-US"/>
        </w:rPr>
        <w:t xml:space="preserve"> </w:t>
      </w:r>
      <w:r w:rsidR="002A3B9B" w:rsidRPr="00FE50A6">
        <w:rPr>
          <w:rFonts w:eastAsia="Calibri" w:cs="Times New Roman"/>
          <w:szCs w:val="20"/>
          <w:lang w:val="en-US"/>
        </w:rPr>
        <w:t xml:space="preserve">the </w:t>
      </w:r>
      <w:r w:rsidR="00BC6CFA" w:rsidRPr="00FE50A6">
        <w:rPr>
          <w:rFonts w:eastAsia="Calibri" w:cs="Times New Roman"/>
          <w:szCs w:val="20"/>
          <w:lang w:val="en-US"/>
        </w:rPr>
        <w:t xml:space="preserve">trans-border </w:t>
      </w:r>
      <w:r w:rsidR="002A3B9B" w:rsidRPr="00FE50A6">
        <w:rPr>
          <w:rFonts w:eastAsia="Calibri" w:cs="Times New Roman"/>
          <w:szCs w:val="20"/>
          <w:lang w:val="en-US"/>
        </w:rPr>
        <w:t>traffic</w:t>
      </w:r>
      <w:r w:rsidR="00BC6CFA" w:rsidRPr="00FE50A6">
        <w:rPr>
          <w:rFonts w:eastAsia="Calibri" w:cs="Times New Roman"/>
          <w:szCs w:val="20"/>
          <w:lang w:val="en-US"/>
        </w:rPr>
        <w:t>king</w:t>
      </w:r>
      <w:r w:rsidR="002A3B9B" w:rsidRPr="00FE50A6">
        <w:rPr>
          <w:rFonts w:eastAsia="Calibri" w:cs="Times New Roman"/>
          <w:szCs w:val="20"/>
          <w:lang w:val="en-US"/>
        </w:rPr>
        <w:t xml:space="preserve"> of women</w:t>
      </w:r>
      <w:r w:rsidR="00030C17" w:rsidRPr="00FE50A6">
        <w:rPr>
          <w:rFonts w:eastAsia="Calibri" w:cs="Times New Roman"/>
          <w:szCs w:val="20"/>
          <w:lang w:val="en-US"/>
        </w:rPr>
        <w:t xml:space="preserve"> and </w:t>
      </w:r>
      <w:r w:rsidRPr="00FE50A6">
        <w:rPr>
          <w:rFonts w:eastAsia="Calibri" w:cs="Times New Roman"/>
          <w:szCs w:val="20"/>
          <w:lang w:val="en-US"/>
        </w:rPr>
        <w:t>gir</w:t>
      </w:r>
      <w:r w:rsidR="00BC6CFA" w:rsidRPr="00FE50A6">
        <w:rPr>
          <w:rFonts w:eastAsia="Calibri" w:cs="Times New Roman"/>
          <w:szCs w:val="20"/>
          <w:lang w:val="en-US"/>
        </w:rPr>
        <w:t>ls</w:t>
      </w:r>
      <w:r w:rsidRPr="00FE50A6">
        <w:rPr>
          <w:rFonts w:eastAsia="Calibri" w:cs="Times New Roman"/>
          <w:szCs w:val="20"/>
          <w:lang w:val="en-US"/>
        </w:rPr>
        <w:t xml:space="preserve"> for </w:t>
      </w:r>
      <w:r w:rsidR="00BC6CFA" w:rsidRPr="00FE50A6">
        <w:rPr>
          <w:rFonts w:eastAsia="Calibri" w:cs="Times New Roman"/>
          <w:szCs w:val="20"/>
          <w:lang w:val="en-US"/>
        </w:rPr>
        <w:t>sexual</w:t>
      </w:r>
      <w:r w:rsidRPr="00FE50A6">
        <w:rPr>
          <w:rFonts w:eastAsia="Calibri" w:cs="Times New Roman"/>
          <w:szCs w:val="20"/>
          <w:lang w:val="en-US"/>
        </w:rPr>
        <w:t xml:space="preserve"> exploitation was a contemporary form of </w:t>
      </w:r>
      <w:r w:rsidR="00D11A9F" w:rsidRPr="00FE50A6">
        <w:rPr>
          <w:rFonts w:eastAsia="Calibri" w:cs="Times New Roman"/>
          <w:szCs w:val="20"/>
          <w:lang w:val="en-US"/>
        </w:rPr>
        <w:t>slavery</w:t>
      </w:r>
      <w:r w:rsidR="00030C17" w:rsidRPr="00FE50A6">
        <w:rPr>
          <w:rFonts w:eastAsia="Calibri" w:cs="Times New Roman"/>
          <w:szCs w:val="20"/>
          <w:lang w:val="en-US"/>
        </w:rPr>
        <w:t xml:space="preserve"> and </w:t>
      </w:r>
      <w:r w:rsidRPr="00FE50A6">
        <w:rPr>
          <w:rFonts w:eastAsia="Calibri" w:cs="Times New Roman"/>
          <w:szCs w:val="20"/>
          <w:lang w:val="en-US"/>
        </w:rPr>
        <w:t>that the international treaties against slavery included trafficking.</w:t>
      </w:r>
      <w:r w:rsidR="003F32D2" w:rsidRPr="00FE50A6">
        <w:rPr>
          <w:rFonts w:eastAsia="Calibri" w:cs="Times New Roman"/>
          <w:szCs w:val="20"/>
          <w:vertAlign w:val="superscript"/>
          <w:lang w:val="en-US"/>
        </w:rPr>
        <w:footnoteReference w:id="428"/>
      </w:r>
      <w:r w:rsidR="003F32D2" w:rsidRPr="00FE50A6">
        <w:rPr>
          <w:rFonts w:eastAsia="Calibri" w:cs="Times New Roman"/>
          <w:szCs w:val="20"/>
          <w:lang w:val="en-US"/>
        </w:rPr>
        <w:t xml:space="preserve"> </w:t>
      </w:r>
      <w:r w:rsidRPr="00FE50A6">
        <w:rPr>
          <w:rFonts w:eastAsia="Calibri" w:cs="Times New Roman"/>
          <w:szCs w:val="20"/>
          <w:lang w:val="en-US"/>
        </w:rPr>
        <w:t>The Special Rapporteur</w:t>
      </w:r>
      <w:r w:rsidR="003F32D2" w:rsidRPr="00FE50A6">
        <w:rPr>
          <w:rFonts w:eastAsia="Calibri" w:cs="Times New Roman"/>
          <w:szCs w:val="20"/>
          <w:lang w:val="en-US"/>
        </w:rPr>
        <w:t xml:space="preserve"> </w:t>
      </w:r>
      <w:r w:rsidRPr="00FE50A6">
        <w:rPr>
          <w:rFonts w:eastAsia="Calibri" w:cs="Times New Roman"/>
          <w:szCs w:val="20"/>
          <w:lang w:val="en-US"/>
        </w:rPr>
        <w:t>on Violence against Women has adopted a similar position.</w:t>
      </w:r>
      <w:r w:rsidR="003F32D2" w:rsidRPr="00FE50A6">
        <w:rPr>
          <w:rFonts w:eastAsia="Calibri" w:cs="Times New Roman"/>
          <w:szCs w:val="20"/>
          <w:vertAlign w:val="superscript"/>
          <w:lang w:val="en-US"/>
        </w:rPr>
        <w:footnoteReference w:id="429"/>
      </w:r>
      <w:r w:rsidR="003F32D2" w:rsidRPr="00FE50A6">
        <w:rPr>
          <w:rFonts w:eastAsia="Calibri" w:cs="Times New Roman"/>
          <w:szCs w:val="20"/>
          <w:lang w:val="en-US"/>
        </w:rPr>
        <w:t xml:space="preserve"> </w:t>
      </w:r>
      <w:r w:rsidRPr="00FE50A6">
        <w:rPr>
          <w:rFonts w:eastAsia="Calibri" w:cs="Times New Roman"/>
          <w:szCs w:val="20"/>
          <w:lang w:val="en-US"/>
        </w:rPr>
        <w:t>While, in 2009,</w:t>
      </w:r>
      <w:r w:rsidR="003F32D2" w:rsidRPr="00FE50A6">
        <w:rPr>
          <w:rFonts w:eastAsia="Calibri" w:cs="Times New Roman"/>
          <w:szCs w:val="20"/>
          <w:lang w:val="en-US"/>
        </w:rPr>
        <w:t xml:space="preserve"> </w:t>
      </w:r>
      <w:r w:rsidRPr="00FE50A6">
        <w:rPr>
          <w:rFonts w:eastAsia="Calibri" w:cs="Times New Roman"/>
          <w:szCs w:val="20"/>
          <w:lang w:val="en-US"/>
        </w:rPr>
        <w:t>the Special Rapporteur</w:t>
      </w:r>
      <w:r w:rsidR="003F32D2" w:rsidRPr="00FE50A6">
        <w:rPr>
          <w:rFonts w:eastAsia="Calibri" w:cs="Times New Roman"/>
          <w:szCs w:val="20"/>
          <w:lang w:val="en-US"/>
        </w:rPr>
        <w:t xml:space="preserve"> </w:t>
      </w:r>
      <w:r w:rsidRPr="00FE50A6">
        <w:rPr>
          <w:rFonts w:eastAsia="Calibri" w:cs="Times New Roman"/>
          <w:szCs w:val="20"/>
          <w:lang w:val="en-US"/>
        </w:rPr>
        <w:t>on</w:t>
      </w:r>
      <w:r w:rsidR="003F32D2" w:rsidRPr="00FE50A6">
        <w:rPr>
          <w:rFonts w:eastAsia="Calibri" w:cs="Times New Roman"/>
          <w:szCs w:val="20"/>
          <w:lang w:val="en-US"/>
        </w:rPr>
        <w:t xml:space="preserve"> </w:t>
      </w:r>
      <w:r w:rsidR="00EE52F3" w:rsidRPr="00FE50A6">
        <w:rPr>
          <w:rFonts w:eastAsia="Calibri" w:cs="Times New Roman"/>
          <w:szCs w:val="20"/>
          <w:lang w:val="en-US"/>
        </w:rPr>
        <w:t>Contemporary forms of</w:t>
      </w:r>
      <w:r w:rsidR="003F32D2" w:rsidRPr="00FE50A6">
        <w:rPr>
          <w:rFonts w:eastAsia="Calibri" w:cs="Times New Roman"/>
          <w:szCs w:val="20"/>
          <w:lang w:val="en-US"/>
        </w:rPr>
        <w:t xml:space="preserve"> </w:t>
      </w:r>
      <w:r w:rsidR="00D11A9F" w:rsidRPr="00FE50A6">
        <w:rPr>
          <w:rFonts w:eastAsia="Calibri" w:cs="Times New Roman"/>
          <w:szCs w:val="20"/>
          <w:lang w:val="en-US"/>
        </w:rPr>
        <w:t>Slavery</w:t>
      </w:r>
      <w:r w:rsidR="003F32D2" w:rsidRPr="00FE50A6">
        <w:rPr>
          <w:rFonts w:eastAsia="Calibri" w:cs="Times New Roman"/>
          <w:szCs w:val="20"/>
          <w:lang w:val="en-US"/>
        </w:rPr>
        <w:t xml:space="preserve">, </w:t>
      </w:r>
      <w:r w:rsidR="00BC6CFA" w:rsidRPr="00FE50A6">
        <w:rPr>
          <w:rFonts w:eastAsia="Calibri" w:cs="Times New Roman"/>
          <w:szCs w:val="20"/>
          <w:lang w:val="en-US"/>
        </w:rPr>
        <w:t xml:space="preserve">its </w:t>
      </w:r>
      <w:r w:rsidRPr="00FE50A6">
        <w:rPr>
          <w:rFonts w:eastAsia="Calibri" w:cs="Times New Roman"/>
          <w:szCs w:val="20"/>
          <w:lang w:val="en-US"/>
        </w:rPr>
        <w:t>causes and consequences</w:t>
      </w:r>
      <w:r w:rsidR="00C43711" w:rsidRPr="00FE50A6">
        <w:rPr>
          <w:rFonts w:eastAsia="Calibri" w:cs="Times New Roman"/>
          <w:szCs w:val="20"/>
          <w:lang w:val="en-US"/>
        </w:rPr>
        <w:t>, has</w:t>
      </w:r>
      <w:r w:rsidRPr="00FE50A6">
        <w:rPr>
          <w:rFonts w:eastAsia="Calibri" w:cs="Times New Roman"/>
          <w:szCs w:val="20"/>
          <w:lang w:val="en-US"/>
        </w:rPr>
        <w:t xml:space="preserve"> stated that</w:t>
      </w:r>
      <w:bookmarkStart w:id="320" w:name="_Hlk9592397"/>
      <w:r w:rsidR="008E1F41" w:rsidRPr="00FE50A6">
        <w:rPr>
          <w:rFonts w:eastAsia="Calibri" w:cs="Times New Roman"/>
          <w:szCs w:val="20"/>
          <w:lang w:val="en-US"/>
        </w:rPr>
        <w:t xml:space="preserve"> “[t]</w:t>
      </w:r>
      <w:r w:rsidR="008E1F41" w:rsidRPr="00FE50A6">
        <w:rPr>
          <w:szCs w:val="20"/>
          <w:lang w:val="en-US"/>
        </w:rPr>
        <w:t xml:space="preserve">he advance payment, both in the cases of trafficking in humans and bonded labour, becomes the tool of enslavement and puts the trafficker and creditor in a </w:t>
      </w:r>
      <w:r w:rsidR="008E1F41" w:rsidRPr="00FE50A6">
        <w:rPr>
          <w:rStyle w:val="highlight"/>
          <w:szCs w:val="20"/>
          <w:lang w:val="en-US"/>
        </w:rPr>
        <w:t>dominant</w:t>
      </w:r>
      <w:r w:rsidR="008E1F41" w:rsidRPr="00FE50A6">
        <w:rPr>
          <w:szCs w:val="20"/>
          <w:lang w:val="en-US"/>
        </w:rPr>
        <w:t xml:space="preserve"> position.</w:t>
      </w:r>
      <w:bookmarkEnd w:id="320"/>
      <w:r w:rsidR="008E1F41" w:rsidRPr="00FE50A6">
        <w:rPr>
          <w:szCs w:val="20"/>
          <w:lang w:val="en-US"/>
        </w:rPr>
        <w:t>”</w:t>
      </w:r>
      <w:r w:rsidR="003F32D2" w:rsidRPr="00FE50A6">
        <w:rPr>
          <w:rFonts w:eastAsia="Calibri" w:cs="Times New Roman"/>
          <w:vertAlign w:val="superscript"/>
          <w:lang w:val="en-US"/>
        </w:rPr>
        <w:footnoteReference w:id="430"/>
      </w:r>
      <w:r w:rsidR="003F32D2" w:rsidRPr="00FE50A6">
        <w:rPr>
          <w:rFonts w:eastAsia="Calibri" w:cs="Times New Roman"/>
          <w:szCs w:val="20"/>
          <w:lang w:val="en-US"/>
        </w:rPr>
        <w:t xml:space="preserve"> </w:t>
      </w:r>
      <w:r w:rsidRPr="00FE50A6">
        <w:rPr>
          <w:rFonts w:eastAsia="Calibri" w:cs="Times New Roman"/>
          <w:szCs w:val="20"/>
          <w:lang w:val="en-US"/>
        </w:rPr>
        <w:t>The Special Rapporteur</w:t>
      </w:r>
      <w:r w:rsidR="003F32D2" w:rsidRPr="00FE50A6">
        <w:rPr>
          <w:rFonts w:eastAsia="Calibri" w:cs="Times New Roman"/>
          <w:szCs w:val="20"/>
          <w:lang w:val="en-US"/>
        </w:rPr>
        <w:t xml:space="preserve"> </w:t>
      </w:r>
      <w:r w:rsidR="008E1F41" w:rsidRPr="00FE50A6">
        <w:rPr>
          <w:rFonts w:eastAsia="Calibri" w:cs="Times New Roman"/>
          <w:szCs w:val="20"/>
          <w:lang w:val="en-US"/>
        </w:rPr>
        <w:t>on</w:t>
      </w:r>
      <w:r w:rsidR="003F32D2" w:rsidRPr="00FE50A6">
        <w:rPr>
          <w:rFonts w:eastAsia="Calibri" w:cs="Times New Roman"/>
          <w:szCs w:val="20"/>
          <w:lang w:val="en-US"/>
        </w:rPr>
        <w:t xml:space="preserve"> </w:t>
      </w:r>
      <w:r w:rsidR="00090C6A" w:rsidRPr="00FE50A6">
        <w:rPr>
          <w:rFonts w:eastAsia="Calibri" w:cs="Times New Roman"/>
          <w:szCs w:val="20"/>
          <w:lang w:val="en-US"/>
        </w:rPr>
        <w:t>trafficking</w:t>
      </w:r>
      <w:r w:rsidR="008E1F41" w:rsidRPr="00FE50A6">
        <w:rPr>
          <w:rFonts w:eastAsia="Calibri" w:cs="Times New Roman"/>
          <w:szCs w:val="20"/>
          <w:lang w:val="en-US"/>
        </w:rPr>
        <w:t xml:space="preserve"> in persons</w:t>
      </w:r>
      <w:r w:rsidR="003F32D2" w:rsidRPr="00FE50A6">
        <w:rPr>
          <w:rFonts w:eastAsia="Calibri" w:cs="Times New Roman"/>
          <w:szCs w:val="20"/>
          <w:lang w:val="en-US"/>
        </w:rPr>
        <w:t xml:space="preserve">, </w:t>
      </w:r>
      <w:r w:rsidR="008E1F41" w:rsidRPr="00FE50A6">
        <w:rPr>
          <w:rFonts w:eastAsia="Calibri" w:cs="Times New Roman"/>
          <w:szCs w:val="20"/>
          <w:lang w:val="en-US"/>
        </w:rPr>
        <w:t>especially women and children</w:t>
      </w:r>
      <w:r w:rsidR="003F32D2" w:rsidRPr="00FE50A6">
        <w:rPr>
          <w:rFonts w:eastAsia="Calibri" w:cs="Times New Roman"/>
          <w:szCs w:val="20"/>
          <w:lang w:val="en-US"/>
        </w:rPr>
        <w:t xml:space="preserve">, </w:t>
      </w:r>
      <w:r w:rsidR="008E1F41" w:rsidRPr="00FE50A6">
        <w:rPr>
          <w:rFonts w:eastAsia="Calibri" w:cs="Times New Roman"/>
          <w:szCs w:val="20"/>
          <w:lang w:val="en-US"/>
        </w:rPr>
        <w:t xml:space="preserve">also considered </w:t>
      </w:r>
      <w:r w:rsidR="00090C6A" w:rsidRPr="00FE50A6">
        <w:rPr>
          <w:rFonts w:eastAsia="Calibri" w:cs="Times New Roman"/>
          <w:szCs w:val="20"/>
          <w:lang w:val="en-US"/>
        </w:rPr>
        <w:t>trafficking</w:t>
      </w:r>
      <w:r w:rsidR="003F32D2" w:rsidRPr="00FE50A6">
        <w:rPr>
          <w:rFonts w:eastAsia="Calibri" w:cs="Times New Roman"/>
          <w:szCs w:val="20"/>
          <w:lang w:val="en-US"/>
        </w:rPr>
        <w:t xml:space="preserve"> </w:t>
      </w:r>
      <w:r w:rsidR="008E1F41" w:rsidRPr="00FE50A6">
        <w:rPr>
          <w:rFonts w:eastAsia="Calibri" w:cs="Times New Roman"/>
          <w:szCs w:val="20"/>
          <w:lang w:val="en-US"/>
        </w:rPr>
        <w:t xml:space="preserve">in persons to be </w:t>
      </w:r>
      <w:r w:rsidR="009C48A4" w:rsidRPr="00FE50A6">
        <w:rPr>
          <w:rFonts w:eastAsia="Calibri" w:cs="Times New Roman"/>
          <w:szCs w:val="20"/>
          <w:lang w:val="en-US"/>
        </w:rPr>
        <w:t>“</w:t>
      </w:r>
      <w:r w:rsidR="008E1F41" w:rsidRPr="00FE50A6">
        <w:rPr>
          <w:rFonts w:eastAsia="Calibri" w:cs="Times New Roman"/>
          <w:szCs w:val="20"/>
          <w:lang w:val="en-US"/>
        </w:rPr>
        <w:t>a modern day slave trade” on a massive scale.</w:t>
      </w:r>
      <w:r w:rsidR="003F32D2" w:rsidRPr="00FE50A6">
        <w:rPr>
          <w:rFonts w:eastAsia="Calibri" w:cs="Times New Roman"/>
          <w:vertAlign w:val="superscript"/>
          <w:lang w:val="en-US"/>
        </w:rPr>
        <w:footnoteReference w:id="431"/>
      </w:r>
      <w:r w:rsidR="003F32D2" w:rsidRPr="00FE50A6">
        <w:rPr>
          <w:rFonts w:eastAsia="Calibri" w:cs="Times New Roman"/>
          <w:szCs w:val="20"/>
          <w:lang w:val="en-US"/>
        </w:rPr>
        <w:t xml:space="preserve"> </w:t>
      </w:r>
      <w:r w:rsidR="008E1F41" w:rsidRPr="00FE50A6">
        <w:rPr>
          <w:rFonts w:eastAsia="Calibri" w:cs="Times New Roman"/>
          <w:szCs w:val="20"/>
          <w:lang w:val="en-US"/>
        </w:rPr>
        <w:t xml:space="preserve">The Special Rapporteur also stated that </w:t>
      </w:r>
      <w:r w:rsidR="00F85375" w:rsidRPr="00FE50A6">
        <w:rPr>
          <w:rFonts w:eastAsia="Calibri" w:cs="Times New Roman"/>
          <w:szCs w:val="20"/>
          <w:lang w:val="en-US"/>
        </w:rPr>
        <w:t>“</w:t>
      </w:r>
      <w:r w:rsidR="008E1F41" w:rsidRPr="00FE50A6">
        <w:rPr>
          <w:rFonts w:eastAsia="Calibri" w:cs="Times New Roman"/>
          <w:szCs w:val="20"/>
          <w:lang w:val="en-US"/>
        </w:rPr>
        <w:t xml:space="preserve">trafficking </w:t>
      </w:r>
      <w:r w:rsidR="00F85375" w:rsidRPr="00FE50A6">
        <w:rPr>
          <w:rFonts w:eastAsia="Calibri" w:cs="Times New Roman"/>
          <w:szCs w:val="20"/>
          <w:lang w:val="en-US"/>
        </w:rPr>
        <w:t>i</w:t>
      </w:r>
      <w:r w:rsidR="008E1F41" w:rsidRPr="00FE50A6">
        <w:rPr>
          <w:rFonts w:eastAsia="Calibri" w:cs="Times New Roman"/>
          <w:szCs w:val="20"/>
          <w:lang w:val="en-US"/>
        </w:rPr>
        <w:t xml:space="preserve">s a grave violation of human rights, </w:t>
      </w:r>
      <w:r w:rsidR="00F85375" w:rsidRPr="00FE50A6">
        <w:rPr>
          <w:rFonts w:eastAsia="Calibri" w:cs="Times New Roman"/>
          <w:szCs w:val="20"/>
          <w:lang w:val="en-US"/>
        </w:rPr>
        <w:t xml:space="preserve">especially </w:t>
      </w:r>
      <w:r w:rsidR="008E1F41" w:rsidRPr="00FE50A6">
        <w:rPr>
          <w:rFonts w:eastAsia="Calibri" w:cs="Times New Roman"/>
          <w:szCs w:val="20"/>
          <w:lang w:val="en-US"/>
        </w:rPr>
        <w:t xml:space="preserve">the right not be </w:t>
      </w:r>
      <w:r w:rsidR="00F85375" w:rsidRPr="00FE50A6">
        <w:rPr>
          <w:rFonts w:eastAsia="Calibri" w:cs="Times New Roman"/>
          <w:szCs w:val="20"/>
          <w:lang w:val="en-US"/>
        </w:rPr>
        <w:t>held in</w:t>
      </w:r>
      <w:r w:rsidR="008E1F41" w:rsidRPr="00FE50A6">
        <w:rPr>
          <w:rFonts w:eastAsia="Calibri" w:cs="Times New Roman"/>
          <w:szCs w:val="20"/>
          <w:lang w:val="en-US"/>
        </w:rPr>
        <w:t xml:space="preserve"> </w:t>
      </w:r>
      <w:r w:rsidR="00D11A9F" w:rsidRPr="00FE50A6">
        <w:rPr>
          <w:rFonts w:eastAsia="Calibri" w:cs="Times New Roman"/>
          <w:szCs w:val="20"/>
          <w:lang w:val="en-US"/>
        </w:rPr>
        <w:t>slavery</w:t>
      </w:r>
      <w:r w:rsidR="003F32D2" w:rsidRPr="00FE50A6">
        <w:rPr>
          <w:rFonts w:eastAsia="Calibri" w:cs="Times New Roman"/>
          <w:szCs w:val="20"/>
          <w:lang w:val="en-US"/>
        </w:rPr>
        <w:t xml:space="preserve"> o</w:t>
      </w:r>
      <w:r w:rsidR="008E1F41" w:rsidRPr="00FE50A6">
        <w:rPr>
          <w:rFonts w:eastAsia="Calibri" w:cs="Times New Roman"/>
          <w:szCs w:val="20"/>
          <w:lang w:val="en-US"/>
        </w:rPr>
        <w:t xml:space="preserve">r </w:t>
      </w:r>
      <w:r w:rsidR="00F85375" w:rsidRPr="00FE50A6">
        <w:rPr>
          <w:rFonts w:eastAsia="Calibri" w:cs="Times New Roman"/>
          <w:szCs w:val="20"/>
          <w:lang w:val="en-US"/>
        </w:rPr>
        <w:t xml:space="preserve">involuntary </w:t>
      </w:r>
      <w:r w:rsidR="008E1F41" w:rsidRPr="00FE50A6">
        <w:rPr>
          <w:rFonts w:eastAsia="Calibri" w:cs="Times New Roman"/>
          <w:szCs w:val="20"/>
          <w:lang w:val="en-US"/>
        </w:rPr>
        <w:t>servitude.</w:t>
      </w:r>
      <w:r w:rsidR="00F85375" w:rsidRPr="00FE50A6">
        <w:rPr>
          <w:rFonts w:eastAsia="Calibri" w:cs="Times New Roman"/>
          <w:szCs w:val="20"/>
          <w:lang w:val="en-US"/>
        </w:rPr>
        <w:t>”</w:t>
      </w:r>
      <w:r w:rsidR="003F32D2" w:rsidRPr="00FE50A6">
        <w:rPr>
          <w:rFonts w:eastAsia="Calibri" w:cs="Times New Roman"/>
          <w:vertAlign w:val="superscript"/>
          <w:lang w:val="en-US"/>
        </w:rPr>
        <w:footnoteReference w:id="432"/>
      </w:r>
    </w:p>
    <w:p w14:paraId="0CE6272F" w14:textId="77777777" w:rsidR="003F32D2" w:rsidRPr="00FE50A6" w:rsidRDefault="003F32D2" w:rsidP="00ED3AD0">
      <w:pPr>
        <w:tabs>
          <w:tab w:val="clear" w:pos="4419"/>
          <w:tab w:val="clear" w:pos="8838"/>
        </w:tabs>
        <w:jc w:val="both"/>
        <w:rPr>
          <w:rFonts w:eastAsia="Calibri" w:cs="Times New Roman"/>
          <w:szCs w:val="20"/>
          <w:lang w:val="en-US"/>
        </w:rPr>
      </w:pPr>
    </w:p>
    <w:p w14:paraId="7479E919" w14:textId="77777777" w:rsidR="00F727E4" w:rsidRPr="00FE50A6" w:rsidRDefault="00C43711" w:rsidP="001927CD">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Under</w:t>
      </w:r>
      <w:r w:rsidR="00F85375" w:rsidRPr="00FE50A6">
        <w:rPr>
          <w:rFonts w:eastAsia="Calibri" w:cs="Times New Roman"/>
          <w:szCs w:val="20"/>
          <w:lang w:val="en-US"/>
        </w:rPr>
        <w:t xml:space="preserve"> the</w:t>
      </w:r>
      <w:r w:rsidR="00CE5161" w:rsidRPr="00FE50A6">
        <w:rPr>
          <w:rFonts w:eastAsia="Calibri" w:cs="Times New Roman"/>
          <w:szCs w:val="20"/>
          <w:lang w:val="en-US"/>
        </w:rPr>
        <w:t xml:space="preserve"> </w:t>
      </w:r>
      <w:r w:rsidR="00B44229" w:rsidRPr="00FE50A6">
        <w:rPr>
          <w:rFonts w:eastAsia="Calibri" w:cs="Times New Roman"/>
          <w:szCs w:val="20"/>
          <w:lang w:val="en-US"/>
        </w:rPr>
        <w:t>European human rights system</w:t>
      </w:r>
      <w:r w:rsidR="00A046A2" w:rsidRPr="00FE50A6">
        <w:rPr>
          <w:rFonts w:eastAsia="Calibri" w:cs="Times New Roman"/>
          <w:szCs w:val="20"/>
          <w:lang w:val="en-US"/>
        </w:rPr>
        <w:t xml:space="preserve">, </w:t>
      </w:r>
      <w:r w:rsidR="00F85375" w:rsidRPr="00FE50A6">
        <w:rPr>
          <w:rFonts w:eastAsia="Calibri" w:cs="Times New Roman"/>
          <w:szCs w:val="20"/>
          <w:lang w:val="en-US"/>
        </w:rPr>
        <w:t>even though there is no explicit mention of the phenomenon in the</w:t>
      </w:r>
      <w:r w:rsidR="00F727E4" w:rsidRPr="00FE50A6">
        <w:rPr>
          <w:rFonts w:eastAsia="Calibri" w:cs="Times New Roman"/>
          <w:szCs w:val="20"/>
          <w:lang w:val="en-US"/>
        </w:rPr>
        <w:t xml:space="preserve"> </w:t>
      </w:r>
      <w:r w:rsidR="008232F3" w:rsidRPr="00FE50A6">
        <w:rPr>
          <w:rFonts w:eastAsia="Calibri" w:cs="Times New Roman"/>
          <w:szCs w:val="20"/>
          <w:lang w:val="en-US"/>
        </w:rPr>
        <w:t>European Convention on Human Rights</w:t>
      </w:r>
      <w:r w:rsidR="00F85375" w:rsidRPr="00FE50A6">
        <w:rPr>
          <w:rFonts w:eastAsia="Calibri" w:cs="Times New Roman"/>
          <w:szCs w:val="20"/>
          <w:lang w:val="en-US"/>
        </w:rPr>
        <w:t>,</w:t>
      </w:r>
      <w:r w:rsidR="00F727E4" w:rsidRPr="00FE50A6">
        <w:rPr>
          <w:rFonts w:eastAsia="Calibri" w:cs="Times New Roman"/>
          <w:szCs w:val="20"/>
          <w:vertAlign w:val="superscript"/>
          <w:lang w:val="en-US"/>
        </w:rPr>
        <w:footnoteReference w:id="433"/>
      </w:r>
      <w:r w:rsidR="00F727E4" w:rsidRPr="00FE50A6">
        <w:rPr>
          <w:rFonts w:eastAsia="Calibri" w:cs="Times New Roman"/>
          <w:szCs w:val="20"/>
          <w:lang w:val="en-US"/>
        </w:rPr>
        <w:t xml:space="preserve"> </w:t>
      </w:r>
      <w:r w:rsidR="002071B1" w:rsidRPr="00FE50A6">
        <w:rPr>
          <w:rFonts w:eastAsia="Calibri" w:cs="Times New Roman"/>
          <w:szCs w:val="20"/>
          <w:lang w:val="en-US"/>
        </w:rPr>
        <w:t xml:space="preserve">the </w:t>
      </w:r>
      <w:r w:rsidR="00B44229" w:rsidRPr="00FE50A6">
        <w:rPr>
          <w:rFonts w:eastAsia="Calibri" w:cs="Times New Roman"/>
          <w:szCs w:val="20"/>
          <w:lang w:val="en-US"/>
        </w:rPr>
        <w:t>European Court</w:t>
      </w:r>
      <w:r w:rsidR="00CE5161" w:rsidRPr="00FE50A6">
        <w:rPr>
          <w:rFonts w:eastAsia="Calibri" w:cs="Times New Roman"/>
          <w:szCs w:val="20"/>
          <w:lang w:val="en-US"/>
        </w:rPr>
        <w:t xml:space="preserve"> </w:t>
      </w:r>
      <w:r w:rsidR="00F85375" w:rsidRPr="00FE50A6">
        <w:rPr>
          <w:rFonts w:eastAsia="Calibri" w:cs="Times New Roman"/>
          <w:szCs w:val="20"/>
          <w:lang w:val="en-US"/>
        </w:rPr>
        <w:t xml:space="preserve">has </w:t>
      </w:r>
      <w:r w:rsidR="00166A54" w:rsidRPr="00FE50A6">
        <w:rPr>
          <w:rFonts w:eastAsia="Calibri" w:cs="Times New Roman"/>
          <w:szCs w:val="20"/>
          <w:lang w:val="en-US"/>
        </w:rPr>
        <w:t>concluded</w:t>
      </w:r>
      <w:r w:rsidR="00F85375" w:rsidRPr="00FE50A6">
        <w:rPr>
          <w:rFonts w:eastAsia="Calibri" w:cs="Times New Roman"/>
          <w:szCs w:val="20"/>
          <w:lang w:val="en-US"/>
        </w:rPr>
        <w:t xml:space="preserve"> that the definition of </w:t>
      </w:r>
      <w:r w:rsidR="000C2A19" w:rsidRPr="00FE50A6">
        <w:rPr>
          <w:rFonts w:eastAsia="Calibri" w:cs="Times New Roman"/>
          <w:szCs w:val="20"/>
          <w:lang w:val="en-US"/>
        </w:rPr>
        <w:t>trafficking in persons</w:t>
      </w:r>
      <w:r w:rsidR="00F85375" w:rsidRPr="00FE50A6">
        <w:rPr>
          <w:rFonts w:eastAsia="Calibri" w:cs="Times New Roman"/>
          <w:szCs w:val="20"/>
          <w:lang w:val="en-US"/>
        </w:rPr>
        <w:t xml:space="preserve"> in</w:t>
      </w:r>
      <w:r w:rsidR="00F15589" w:rsidRPr="00FE50A6">
        <w:rPr>
          <w:rFonts w:eastAsia="Calibri" w:cs="Times New Roman"/>
          <w:szCs w:val="20"/>
          <w:lang w:val="en-US"/>
        </w:rPr>
        <w:t xml:space="preserve"> the Protocol of</w:t>
      </w:r>
      <w:r w:rsidR="00F727E4" w:rsidRPr="00FE50A6">
        <w:rPr>
          <w:rFonts w:eastAsia="Calibri" w:cs="Times New Roman"/>
          <w:szCs w:val="20"/>
          <w:lang w:val="en-US"/>
        </w:rPr>
        <w:t xml:space="preserve"> Palermo </w:t>
      </w:r>
      <w:r w:rsidR="00F85375" w:rsidRPr="00FE50A6">
        <w:rPr>
          <w:rFonts w:eastAsia="Calibri" w:cs="Times New Roman"/>
          <w:szCs w:val="20"/>
          <w:lang w:val="en-US"/>
        </w:rPr>
        <w:t>included the</w:t>
      </w:r>
      <w:r w:rsidR="00F727E4" w:rsidRPr="00FE50A6">
        <w:rPr>
          <w:rFonts w:eastAsia="Calibri" w:cs="Times New Roman"/>
          <w:szCs w:val="20"/>
          <w:lang w:val="en-US"/>
        </w:rPr>
        <w:t xml:space="preserve"> </w:t>
      </w:r>
      <w:r w:rsidR="00E94340" w:rsidRPr="00FE50A6">
        <w:rPr>
          <w:rFonts w:eastAsia="Calibri" w:cs="Times New Roman"/>
          <w:szCs w:val="20"/>
          <w:lang w:val="en-US"/>
        </w:rPr>
        <w:t>prohibition of slavery</w:t>
      </w:r>
      <w:r w:rsidR="00F727E4" w:rsidRPr="00FE50A6">
        <w:rPr>
          <w:rFonts w:eastAsia="Calibri" w:cs="Times New Roman"/>
          <w:szCs w:val="20"/>
          <w:lang w:val="en-US"/>
        </w:rPr>
        <w:t xml:space="preserve">, </w:t>
      </w:r>
      <w:r w:rsidR="00F85375" w:rsidRPr="00FE50A6">
        <w:rPr>
          <w:rFonts w:eastAsia="Calibri" w:cs="Times New Roman"/>
          <w:szCs w:val="20"/>
          <w:lang w:val="en-US"/>
        </w:rPr>
        <w:t>servitude</w:t>
      </w:r>
      <w:r w:rsidR="00030C17" w:rsidRPr="00FE50A6">
        <w:rPr>
          <w:rFonts w:eastAsia="Calibri" w:cs="Times New Roman"/>
          <w:szCs w:val="20"/>
          <w:lang w:val="en-US"/>
        </w:rPr>
        <w:t xml:space="preserve"> and </w:t>
      </w:r>
      <w:r w:rsidR="005F1946" w:rsidRPr="00FE50A6">
        <w:rPr>
          <w:rFonts w:eastAsia="Calibri" w:cs="Times New Roman"/>
          <w:szCs w:val="20"/>
          <w:lang w:val="en-US"/>
        </w:rPr>
        <w:t>forced labor</w:t>
      </w:r>
      <w:r w:rsidR="00F727E4" w:rsidRPr="00FE50A6">
        <w:rPr>
          <w:rFonts w:eastAsia="Calibri" w:cs="Times New Roman"/>
          <w:szCs w:val="20"/>
          <w:lang w:val="en-US"/>
        </w:rPr>
        <w:t xml:space="preserve"> </w:t>
      </w:r>
      <w:r w:rsidR="00166A54" w:rsidRPr="00FE50A6">
        <w:rPr>
          <w:rFonts w:eastAsia="Calibri" w:cs="Times New Roman"/>
          <w:szCs w:val="20"/>
          <w:lang w:val="en-US"/>
        </w:rPr>
        <w:t>and fell within the scope of</w:t>
      </w:r>
      <w:r w:rsidR="00703850" w:rsidRPr="00FE50A6">
        <w:rPr>
          <w:rFonts w:eastAsia="Calibri" w:cs="Times New Roman"/>
          <w:szCs w:val="20"/>
          <w:lang w:val="en-US"/>
        </w:rPr>
        <w:t xml:space="preserve"> Article</w:t>
      </w:r>
      <w:r w:rsidR="00F727E4" w:rsidRPr="00FE50A6">
        <w:rPr>
          <w:rFonts w:eastAsia="Calibri" w:cs="Times New Roman"/>
          <w:szCs w:val="20"/>
          <w:lang w:val="en-US"/>
        </w:rPr>
        <w:t xml:space="preserve"> 4 </w:t>
      </w:r>
      <w:r w:rsidR="00F85375" w:rsidRPr="00FE50A6">
        <w:rPr>
          <w:rFonts w:eastAsia="Calibri" w:cs="Times New Roman"/>
          <w:szCs w:val="20"/>
          <w:lang w:val="en-US"/>
        </w:rPr>
        <w:t>of the European Convention.</w:t>
      </w:r>
      <w:r w:rsidR="00F727E4" w:rsidRPr="00FE50A6">
        <w:rPr>
          <w:rFonts w:eastAsia="Calibri" w:cs="Times New Roman"/>
          <w:szCs w:val="20"/>
          <w:vertAlign w:val="superscript"/>
          <w:lang w:val="en-US"/>
        </w:rPr>
        <w:footnoteReference w:id="434"/>
      </w:r>
      <w:r w:rsidR="00F727E4" w:rsidRPr="00FE50A6">
        <w:rPr>
          <w:rFonts w:eastAsia="Calibri" w:cs="Times New Roman"/>
          <w:szCs w:val="20"/>
          <w:lang w:val="en-US"/>
        </w:rPr>
        <w:t xml:space="preserve"> </w:t>
      </w:r>
      <w:r w:rsidR="00F85375" w:rsidRPr="00FE50A6">
        <w:rPr>
          <w:rFonts w:eastAsia="Calibri" w:cs="Times New Roman"/>
          <w:szCs w:val="20"/>
          <w:lang w:val="en-US"/>
        </w:rPr>
        <w:t>In the case of</w:t>
      </w:r>
      <w:r w:rsidR="00F727E4" w:rsidRPr="00FE50A6">
        <w:rPr>
          <w:rFonts w:eastAsia="Calibri" w:cs="Times New Roman"/>
          <w:i/>
          <w:szCs w:val="20"/>
          <w:lang w:val="en-US"/>
        </w:rPr>
        <w:t xml:space="preserve"> Rantsev </w:t>
      </w:r>
      <w:r w:rsidR="000228D0" w:rsidRPr="00FE50A6">
        <w:rPr>
          <w:rFonts w:eastAsia="Calibri" w:cs="Times New Roman"/>
          <w:i/>
          <w:szCs w:val="20"/>
          <w:lang w:val="en-US"/>
        </w:rPr>
        <w:t>v.</w:t>
      </w:r>
      <w:r w:rsidR="00F727E4" w:rsidRPr="00FE50A6">
        <w:rPr>
          <w:rFonts w:eastAsia="Calibri" w:cs="Times New Roman"/>
          <w:i/>
          <w:szCs w:val="20"/>
          <w:lang w:val="en-US"/>
        </w:rPr>
        <w:t xml:space="preserve"> </w:t>
      </w:r>
      <w:r w:rsidR="006B0C55" w:rsidRPr="00FE50A6">
        <w:rPr>
          <w:rFonts w:eastAsia="Calibri" w:cs="Times New Roman"/>
          <w:i/>
          <w:szCs w:val="20"/>
          <w:lang w:val="en-US"/>
        </w:rPr>
        <w:t>Cyprus</w:t>
      </w:r>
      <w:r w:rsidR="00030C17" w:rsidRPr="00FE50A6">
        <w:rPr>
          <w:rFonts w:eastAsia="Calibri" w:cs="Times New Roman"/>
          <w:i/>
          <w:szCs w:val="20"/>
          <w:lang w:val="en-US"/>
        </w:rPr>
        <w:t xml:space="preserve"> and </w:t>
      </w:r>
      <w:r w:rsidR="006B0C55" w:rsidRPr="00FE50A6">
        <w:rPr>
          <w:rFonts w:eastAsia="Calibri" w:cs="Times New Roman"/>
          <w:i/>
          <w:szCs w:val="20"/>
          <w:lang w:val="en-US"/>
        </w:rPr>
        <w:t>Russia</w:t>
      </w:r>
      <w:r w:rsidR="00F727E4" w:rsidRPr="00FE50A6">
        <w:rPr>
          <w:rFonts w:eastAsia="Calibri" w:cs="Times New Roman"/>
          <w:szCs w:val="20"/>
          <w:lang w:val="en-US"/>
        </w:rPr>
        <w:t xml:space="preserve">, </w:t>
      </w:r>
      <w:r w:rsidR="002071B1" w:rsidRPr="00FE50A6">
        <w:rPr>
          <w:rFonts w:eastAsia="Calibri" w:cs="Times New Roman"/>
          <w:szCs w:val="20"/>
          <w:lang w:val="en-US"/>
        </w:rPr>
        <w:t xml:space="preserve">the </w:t>
      </w:r>
      <w:r w:rsidR="00B44229" w:rsidRPr="00FE50A6">
        <w:rPr>
          <w:rFonts w:eastAsia="Calibri" w:cs="Times New Roman"/>
          <w:szCs w:val="20"/>
          <w:lang w:val="en-US"/>
        </w:rPr>
        <w:t>European Court</w:t>
      </w:r>
      <w:r w:rsidR="00F727E4" w:rsidRPr="00FE50A6">
        <w:rPr>
          <w:rFonts w:eastAsia="Calibri" w:cs="Times New Roman"/>
          <w:szCs w:val="20"/>
          <w:lang w:val="en-US"/>
        </w:rPr>
        <w:t xml:space="preserve"> </w:t>
      </w:r>
      <w:r w:rsidR="00F85375" w:rsidRPr="00FE50A6">
        <w:rPr>
          <w:rFonts w:eastAsia="Calibri" w:cs="Times New Roman"/>
          <w:szCs w:val="20"/>
          <w:lang w:val="en-US"/>
        </w:rPr>
        <w:t>established that</w:t>
      </w:r>
      <w:r w:rsidRPr="00FE50A6">
        <w:rPr>
          <w:rStyle w:val="sb8d990e2"/>
          <w:szCs w:val="20"/>
          <w:lang w:val="en-US"/>
        </w:rPr>
        <w:t xml:space="preserve"> trafficking </w:t>
      </w:r>
      <w:r w:rsidR="00A30556" w:rsidRPr="00FE50A6">
        <w:rPr>
          <w:rStyle w:val="sb8d990e2"/>
          <w:szCs w:val="20"/>
          <w:lang w:val="en-US"/>
        </w:rPr>
        <w:t>in</w:t>
      </w:r>
      <w:r w:rsidRPr="00FE50A6">
        <w:rPr>
          <w:rStyle w:val="sb8d990e2"/>
          <w:szCs w:val="20"/>
          <w:lang w:val="en-US"/>
        </w:rPr>
        <w:t xml:space="preserve"> persons</w:t>
      </w:r>
      <w:r w:rsidR="00166A54" w:rsidRPr="00FE50A6">
        <w:rPr>
          <w:rFonts w:eastAsia="Calibri" w:cs="Times New Roman"/>
          <w:szCs w:val="20"/>
          <w:lang w:val="en-US"/>
        </w:rPr>
        <w:t xml:space="preserve"> </w:t>
      </w:r>
      <w:r w:rsidR="001927CD" w:rsidRPr="00FE50A6">
        <w:rPr>
          <w:rFonts w:eastAsia="Calibri" w:cs="Times New Roman"/>
          <w:szCs w:val="20"/>
          <w:lang w:val="en-US"/>
        </w:rPr>
        <w:t>“by its very nature</w:t>
      </w:r>
      <w:r w:rsidR="00F727E4" w:rsidRPr="00FE50A6">
        <w:rPr>
          <w:rFonts w:eastAsia="Calibri" w:cs="Times New Roman"/>
          <w:szCs w:val="20"/>
          <w:lang w:val="en-US"/>
        </w:rPr>
        <w:t xml:space="preserve"> </w:t>
      </w:r>
      <w:r w:rsidR="001927CD" w:rsidRPr="00FE50A6">
        <w:rPr>
          <w:rFonts w:eastAsia="Calibri" w:cs="Times New Roman"/>
          <w:szCs w:val="20"/>
          <w:lang w:val="en-US"/>
        </w:rPr>
        <w:t xml:space="preserve">and aim </w:t>
      </w:r>
      <w:r w:rsidR="001927CD" w:rsidRPr="00FE50A6">
        <w:rPr>
          <w:rStyle w:val="sb8d990e2"/>
          <w:szCs w:val="20"/>
          <w:lang w:val="en-US"/>
        </w:rPr>
        <w:t>of exploitation,</w:t>
      </w:r>
      <w:r w:rsidRPr="00FE50A6">
        <w:rPr>
          <w:rStyle w:val="sb8d990e2"/>
          <w:szCs w:val="20"/>
          <w:lang w:val="en-US"/>
        </w:rPr>
        <w:t xml:space="preserve"> </w:t>
      </w:r>
      <w:r w:rsidR="001927CD" w:rsidRPr="00FE50A6">
        <w:rPr>
          <w:rStyle w:val="sb8d990e2"/>
          <w:szCs w:val="20"/>
          <w:lang w:val="en-US"/>
        </w:rPr>
        <w:t>is based on the exercise of powers attaching to the right of ownership. It treats human beings as commodities to be bought and sold and put to forced labour, often for little or no payment, usually in the sex industry but also elsewhere. It implies close surveillance of the activities of victims, whose movements are often circumscribed. It involves the use of violence and threats against victims, who live and work under poor conditions.</w:t>
      </w:r>
      <w:r w:rsidR="009C48A4" w:rsidRPr="00FE50A6">
        <w:rPr>
          <w:rFonts w:eastAsia="Calibri" w:cs="Times New Roman"/>
          <w:szCs w:val="20"/>
          <w:lang w:val="en-US"/>
        </w:rPr>
        <w:t>”</w:t>
      </w:r>
      <w:r w:rsidR="00F727E4" w:rsidRPr="00FE50A6">
        <w:rPr>
          <w:rFonts w:eastAsia="Calibri" w:cs="Times New Roman"/>
          <w:szCs w:val="20"/>
          <w:vertAlign w:val="superscript"/>
          <w:lang w:val="en-US"/>
        </w:rPr>
        <w:footnoteReference w:id="435"/>
      </w:r>
    </w:p>
    <w:p w14:paraId="03F058AD" w14:textId="77777777" w:rsidR="008455B0" w:rsidRPr="00FE50A6" w:rsidRDefault="008455B0" w:rsidP="00ED3AD0">
      <w:pPr>
        <w:pStyle w:val="Prrafodelista"/>
        <w:rPr>
          <w:rFonts w:eastAsia="Calibri" w:cs="Times New Roman"/>
          <w:szCs w:val="20"/>
          <w:lang w:val="en-US"/>
        </w:rPr>
      </w:pPr>
    </w:p>
    <w:p w14:paraId="36868A3D" w14:textId="77777777" w:rsidR="00C773A0" w:rsidRPr="00FE50A6" w:rsidRDefault="001927CD" w:rsidP="001927CD">
      <w:pPr>
        <w:numPr>
          <w:ilvl w:val="0"/>
          <w:numId w:val="1"/>
        </w:numPr>
        <w:tabs>
          <w:tab w:val="clear" w:pos="4419"/>
          <w:tab w:val="clear" w:pos="8838"/>
        </w:tabs>
        <w:jc w:val="both"/>
        <w:rPr>
          <w:rFonts w:eastAsia="Calibri" w:cs="Times New Roman"/>
          <w:szCs w:val="20"/>
          <w:u w:val="single"/>
          <w:lang w:val="en-US"/>
        </w:rPr>
      </w:pPr>
      <w:r w:rsidRPr="00FE50A6">
        <w:rPr>
          <w:rFonts w:eastAsia="Calibri" w:cs="Times New Roman"/>
          <w:szCs w:val="20"/>
          <w:lang w:val="en-US"/>
        </w:rPr>
        <w:t xml:space="preserve">The definitions included in the previously mentioned international treaties and the interpretation by </w:t>
      </w:r>
      <w:r w:rsidR="002071B1" w:rsidRPr="00FE50A6">
        <w:rPr>
          <w:rFonts w:eastAsia="Calibri" w:cs="Times New Roman"/>
          <w:szCs w:val="20"/>
          <w:lang w:val="en-US"/>
        </w:rPr>
        <w:t xml:space="preserve">the </w:t>
      </w:r>
      <w:r w:rsidR="00B44229" w:rsidRPr="00FE50A6">
        <w:rPr>
          <w:rFonts w:eastAsia="Calibri" w:cs="Times New Roman"/>
          <w:szCs w:val="20"/>
          <w:lang w:val="en-US"/>
        </w:rPr>
        <w:t>European Court of Human Rights</w:t>
      </w:r>
      <w:r w:rsidR="00F727E4" w:rsidRPr="00FE50A6">
        <w:rPr>
          <w:rFonts w:eastAsia="Calibri" w:cs="Times New Roman"/>
          <w:szCs w:val="20"/>
          <w:lang w:val="en-US"/>
        </w:rPr>
        <w:t xml:space="preserve"> </w:t>
      </w:r>
      <w:r w:rsidRPr="00FE50A6">
        <w:rPr>
          <w:rFonts w:eastAsia="Calibri" w:cs="Times New Roman"/>
          <w:szCs w:val="20"/>
          <w:lang w:val="en-US"/>
        </w:rPr>
        <w:t xml:space="preserve">in the </w:t>
      </w:r>
      <w:r w:rsidR="00F727E4" w:rsidRPr="00FE50A6">
        <w:rPr>
          <w:rFonts w:eastAsia="Calibri" w:cs="Times New Roman"/>
          <w:i/>
          <w:szCs w:val="20"/>
          <w:lang w:val="en-US"/>
        </w:rPr>
        <w:t>Rantsev</w:t>
      </w:r>
      <w:r w:rsidRPr="00FE50A6">
        <w:rPr>
          <w:rFonts w:eastAsia="Calibri" w:cs="Times New Roman"/>
          <w:szCs w:val="20"/>
          <w:lang w:val="en-US"/>
        </w:rPr>
        <w:t xml:space="preserve"> case</w:t>
      </w:r>
      <w:r w:rsidR="00F727E4" w:rsidRPr="00FE50A6">
        <w:rPr>
          <w:rFonts w:eastAsia="Calibri" w:cs="Times New Roman"/>
          <w:szCs w:val="20"/>
          <w:lang w:val="en-US"/>
        </w:rPr>
        <w:t xml:space="preserve"> </w:t>
      </w:r>
      <w:r w:rsidRPr="00FE50A6">
        <w:rPr>
          <w:rFonts w:eastAsia="Calibri" w:cs="Times New Roman"/>
          <w:szCs w:val="20"/>
          <w:lang w:val="en-US"/>
        </w:rPr>
        <w:t>leave no</w:t>
      </w:r>
      <w:r w:rsidR="00B3124F" w:rsidRPr="00FE50A6">
        <w:rPr>
          <w:rFonts w:eastAsia="Calibri" w:cs="Times New Roman"/>
          <w:szCs w:val="20"/>
          <w:lang w:val="en-US"/>
        </w:rPr>
        <w:t xml:space="preserve"> </w:t>
      </w:r>
      <w:r w:rsidRPr="00FE50A6">
        <w:rPr>
          <w:rFonts w:eastAsia="Calibri" w:cs="Times New Roman"/>
          <w:szCs w:val="20"/>
          <w:lang w:val="en-US"/>
        </w:rPr>
        <w:t xml:space="preserve">doubt that the concepts of the slave trade and traffic in women have transcended their literal meaning in order, at the current stage of evolution of international human rights law, to protect the “persons” trafficked </w:t>
      </w:r>
      <w:r w:rsidR="00B3124F" w:rsidRPr="00FE50A6">
        <w:rPr>
          <w:rFonts w:eastAsia="Calibri" w:cs="Times New Roman"/>
          <w:szCs w:val="20"/>
          <w:lang w:val="en-US"/>
        </w:rPr>
        <w:t>for the purpose of</w:t>
      </w:r>
      <w:r w:rsidRPr="00FE50A6">
        <w:rPr>
          <w:rFonts w:eastAsia="Calibri" w:cs="Times New Roman"/>
          <w:szCs w:val="20"/>
          <w:lang w:val="en-US"/>
        </w:rPr>
        <w:t xml:space="preserve"> subject</w:t>
      </w:r>
      <w:r w:rsidR="00B3124F" w:rsidRPr="00FE50A6">
        <w:rPr>
          <w:rFonts w:eastAsia="Calibri" w:cs="Times New Roman"/>
          <w:szCs w:val="20"/>
          <w:lang w:val="en-US"/>
        </w:rPr>
        <w:t>ing them</w:t>
      </w:r>
      <w:r w:rsidRPr="00FE50A6">
        <w:rPr>
          <w:rFonts w:eastAsia="Calibri" w:cs="Times New Roman"/>
          <w:szCs w:val="20"/>
          <w:lang w:val="en-US"/>
        </w:rPr>
        <w:t xml:space="preserve"> to different forms of unwilling exploitation. One and the same factor connects the prohibitions of the slave trade and traffic in women, and that is the control exercised by the perpetrators over the victims during their transportation and transfer for exploitation purposes. The </w:t>
      </w:r>
      <w:r w:rsidR="005D6EF6" w:rsidRPr="00FE50A6">
        <w:rPr>
          <w:rFonts w:eastAsia="Calibri" w:cs="Times New Roman"/>
          <w:szCs w:val="20"/>
          <w:lang w:val="en-US"/>
        </w:rPr>
        <w:t xml:space="preserve">European </w:t>
      </w:r>
      <w:r w:rsidRPr="00FE50A6">
        <w:rPr>
          <w:rFonts w:eastAsia="Calibri" w:cs="Times New Roman"/>
          <w:szCs w:val="20"/>
          <w:lang w:val="en-US"/>
        </w:rPr>
        <w:t xml:space="preserve">Court also identified the following factors that were common to both forms of trafficking: (i) control of </w:t>
      </w:r>
      <w:r w:rsidR="005D6EF6" w:rsidRPr="00FE50A6">
        <w:rPr>
          <w:rFonts w:eastAsia="Calibri" w:cs="Times New Roman"/>
          <w:szCs w:val="20"/>
          <w:lang w:val="en-US"/>
        </w:rPr>
        <w:t>a person’s movement or</w:t>
      </w:r>
      <w:r w:rsidRPr="00FE50A6">
        <w:rPr>
          <w:rFonts w:eastAsia="Calibri" w:cs="Times New Roman"/>
          <w:szCs w:val="20"/>
          <w:lang w:val="en-US"/>
        </w:rPr>
        <w:t xml:space="preserve"> physical environment; (ii) psychological control. (iii) adoption of measures to prevent escape, and (iv) forced or compulsory labor.</w:t>
      </w:r>
      <w:r w:rsidR="0018065A" w:rsidRPr="00FE50A6">
        <w:rPr>
          <w:rFonts w:eastAsia="Calibri" w:cs="Times New Roman"/>
          <w:szCs w:val="20"/>
          <w:vertAlign w:val="superscript"/>
          <w:lang w:val="en-US"/>
        </w:rPr>
        <w:footnoteReference w:id="436"/>
      </w:r>
    </w:p>
    <w:p w14:paraId="62721223" w14:textId="77777777" w:rsidR="00C773A0" w:rsidRPr="00FE50A6" w:rsidRDefault="00C773A0" w:rsidP="00ED3AD0">
      <w:pPr>
        <w:pStyle w:val="Prrafodelista"/>
        <w:rPr>
          <w:rFonts w:eastAsia="Calibri" w:cs="Times New Roman"/>
          <w:szCs w:val="20"/>
          <w:u w:val="single"/>
          <w:lang w:val="en-US"/>
        </w:rPr>
      </w:pPr>
    </w:p>
    <w:p w14:paraId="4D2EA999" w14:textId="77777777" w:rsidR="00F727E4" w:rsidRPr="00FE50A6" w:rsidRDefault="005D6EF6" w:rsidP="005D6EF6">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 xml:space="preserve">Based on the foregoing, </w:t>
      </w:r>
      <w:r w:rsidR="000228D0" w:rsidRPr="00FE50A6">
        <w:rPr>
          <w:rFonts w:eastAsia="Calibri" w:cs="Times New Roman"/>
          <w:szCs w:val="20"/>
          <w:lang w:val="en-US"/>
        </w:rPr>
        <w:t>the Inter-American Court</w:t>
      </w:r>
      <w:r w:rsidR="00C773A0" w:rsidRPr="00FE50A6">
        <w:rPr>
          <w:rFonts w:eastAsia="Calibri" w:cs="Times New Roman"/>
          <w:szCs w:val="20"/>
          <w:lang w:val="en-US"/>
        </w:rPr>
        <w:t xml:space="preserve"> consider</w:t>
      </w:r>
      <w:r w:rsidRPr="00FE50A6">
        <w:rPr>
          <w:rFonts w:eastAsia="Calibri" w:cs="Times New Roman"/>
          <w:szCs w:val="20"/>
          <w:lang w:val="en-US"/>
        </w:rPr>
        <w:t xml:space="preserve">s that, in light of the evolution of </w:t>
      </w:r>
      <w:r w:rsidR="00931A2D" w:rsidRPr="00FE50A6">
        <w:rPr>
          <w:rFonts w:eastAsia="Calibri" w:cs="Times New Roman"/>
          <w:szCs w:val="20"/>
          <w:lang w:val="en-US"/>
        </w:rPr>
        <w:t>international law</w:t>
      </w:r>
      <w:r w:rsidR="0018065A" w:rsidRPr="00FE50A6">
        <w:rPr>
          <w:rFonts w:eastAsia="Calibri" w:cs="Times New Roman"/>
          <w:szCs w:val="20"/>
          <w:lang w:val="en-US"/>
        </w:rPr>
        <w:t xml:space="preserve"> </w:t>
      </w:r>
      <w:r w:rsidRPr="00FE50A6">
        <w:rPr>
          <w:rFonts w:eastAsia="Calibri" w:cs="Times New Roman"/>
          <w:szCs w:val="20"/>
          <w:lang w:val="en-US"/>
        </w:rPr>
        <w:t xml:space="preserve">in recent decades, the phrase “slave trade and traffic in women” </w:t>
      </w:r>
      <w:r w:rsidR="00703850" w:rsidRPr="00FE50A6">
        <w:rPr>
          <w:rFonts w:eastAsia="Calibri" w:cs="Times New Roman"/>
          <w:szCs w:val="20"/>
          <w:lang w:val="en-US"/>
        </w:rPr>
        <w:t>of Article</w:t>
      </w:r>
      <w:r w:rsidR="00CF3C54" w:rsidRPr="00FE50A6">
        <w:rPr>
          <w:rFonts w:eastAsia="Calibri" w:cs="Times New Roman"/>
          <w:szCs w:val="20"/>
          <w:lang w:val="en-US"/>
        </w:rPr>
        <w:t xml:space="preserve"> </w:t>
      </w:r>
      <w:r w:rsidR="00090C6A" w:rsidRPr="00FE50A6">
        <w:rPr>
          <w:rFonts w:eastAsia="Calibri" w:cs="Times New Roman"/>
          <w:szCs w:val="20"/>
          <w:lang w:val="en-US"/>
        </w:rPr>
        <w:t>6(1)</w:t>
      </w:r>
      <w:r w:rsidR="000228D0" w:rsidRPr="00FE50A6">
        <w:rPr>
          <w:rFonts w:eastAsia="Calibri" w:cs="Times New Roman"/>
          <w:szCs w:val="20"/>
          <w:lang w:val="en-US"/>
        </w:rPr>
        <w:t xml:space="preserve"> of the American Convention</w:t>
      </w:r>
      <w:r w:rsidR="00C773A0" w:rsidRPr="00FE50A6">
        <w:rPr>
          <w:rFonts w:eastAsia="Calibri" w:cs="Times New Roman"/>
          <w:szCs w:val="20"/>
          <w:lang w:val="en-US"/>
        </w:rPr>
        <w:t xml:space="preserve"> </w:t>
      </w:r>
      <w:r w:rsidRPr="00FE50A6">
        <w:rPr>
          <w:rFonts w:eastAsia="Calibri" w:cs="Times New Roman"/>
          <w:szCs w:val="20"/>
          <w:lang w:val="en-US"/>
        </w:rPr>
        <w:t xml:space="preserve">should be interpreted broadly to refer to “trafficking in persons.” In the same way that </w:t>
      </w:r>
      <w:r w:rsidR="002A3B9B" w:rsidRPr="00FE50A6">
        <w:rPr>
          <w:rFonts w:eastAsia="Calibri" w:cs="Times New Roman"/>
          <w:szCs w:val="20"/>
          <w:lang w:val="en-US"/>
        </w:rPr>
        <w:t>the</w:t>
      </w:r>
      <w:r w:rsidRPr="00FE50A6">
        <w:rPr>
          <w:rFonts w:eastAsia="Calibri" w:cs="Times New Roman"/>
          <w:szCs w:val="20"/>
          <w:lang w:val="en-US"/>
        </w:rPr>
        <w:t xml:space="preserve"> purpose of the</w:t>
      </w:r>
      <w:r w:rsidR="002A3B9B" w:rsidRPr="00FE50A6">
        <w:rPr>
          <w:rFonts w:eastAsia="Calibri" w:cs="Times New Roman"/>
          <w:szCs w:val="20"/>
          <w:lang w:val="en-US"/>
        </w:rPr>
        <w:t xml:space="preserve"> slave trade</w:t>
      </w:r>
      <w:r w:rsidR="00030C17" w:rsidRPr="00FE50A6">
        <w:rPr>
          <w:rFonts w:eastAsia="Calibri" w:cs="Times New Roman"/>
          <w:szCs w:val="20"/>
          <w:lang w:val="en-US"/>
        </w:rPr>
        <w:t xml:space="preserve"> and </w:t>
      </w:r>
      <w:r w:rsidRPr="00FE50A6">
        <w:rPr>
          <w:rFonts w:eastAsia="Calibri" w:cs="Times New Roman"/>
          <w:szCs w:val="20"/>
          <w:lang w:val="en-US"/>
        </w:rPr>
        <w:t xml:space="preserve">traffic in women is the exploitation of the human </w:t>
      </w:r>
      <w:r w:rsidR="00B3124F" w:rsidRPr="00FE50A6">
        <w:rPr>
          <w:rFonts w:eastAsia="Calibri" w:cs="Times New Roman"/>
          <w:szCs w:val="20"/>
          <w:lang w:val="en-US"/>
        </w:rPr>
        <w:t>person</w:t>
      </w:r>
      <w:r w:rsidRPr="00FE50A6">
        <w:rPr>
          <w:rFonts w:eastAsia="Calibri" w:cs="Times New Roman"/>
          <w:szCs w:val="20"/>
          <w:lang w:val="en-US"/>
        </w:rPr>
        <w:t xml:space="preserve">, </w:t>
      </w:r>
      <w:r w:rsidR="00B3124F" w:rsidRPr="00FE50A6">
        <w:rPr>
          <w:rFonts w:eastAsia="Calibri" w:cs="Times New Roman"/>
          <w:szCs w:val="20"/>
          <w:lang w:val="en-US"/>
        </w:rPr>
        <w:t xml:space="preserve">based on the interpretation that is most favorable to the individual and the </w:t>
      </w:r>
      <w:r w:rsidR="00B3124F" w:rsidRPr="00FE50A6">
        <w:rPr>
          <w:rFonts w:eastAsia="Calibri" w:cs="Times New Roman"/>
          <w:i/>
          <w:szCs w:val="20"/>
          <w:lang w:val="en-US"/>
        </w:rPr>
        <w:t>pro persona</w:t>
      </w:r>
      <w:r w:rsidR="00B3124F" w:rsidRPr="00FE50A6">
        <w:rPr>
          <w:rFonts w:eastAsia="Calibri" w:cs="Times New Roman"/>
          <w:szCs w:val="20"/>
          <w:lang w:val="en-US"/>
        </w:rPr>
        <w:t xml:space="preserve"> principle, </w:t>
      </w:r>
      <w:r w:rsidRPr="00FE50A6">
        <w:rPr>
          <w:rFonts w:eastAsia="Calibri" w:cs="Times New Roman"/>
          <w:szCs w:val="20"/>
          <w:lang w:val="en-US"/>
        </w:rPr>
        <w:t>the Court cannot limit the protection granted by this article only to women or to the said “slaves</w:t>
      </w:r>
      <w:r w:rsidR="00B3124F" w:rsidRPr="00FE50A6">
        <w:rPr>
          <w:rFonts w:eastAsia="Calibri" w:cs="Times New Roman"/>
          <w:szCs w:val="20"/>
          <w:lang w:val="en-US"/>
        </w:rPr>
        <w:t>.</w:t>
      </w:r>
      <w:r w:rsidRPr="00FE50A6">
        <w:rPr>
          <w:rFonts w:eastAsia="Calibri" w:cs="Times New Roman"/>
          <w:szCs w:val="20"/>
          <w:lang w:val="en-US"/>
        </w:rPr>
        <w:t>”</w:t>
      </w:r>
      <w:r w:rsidR="00F727E4" w:rsidRPr="00FE50A6">
        <w:rPr>
          <w:rFonts w:eastAsia="Calibri" w:cs="Times New Roman"/>
          <w:szCs w:val="20"/>
          <w:vertAlign w:val="superscript"/>
          <w:lang w:val="en-US"/>
        </w:rPr>
        <w:footnoteReference w:id="437"/>
      </w:r>
      <w:r w:rsidRPr="00FE50A6">
        <w:rPr>
          <w:rFonts w:eastAsia="Calibri" w:cs="Times New Roman"/>
          <w:szCs w:val="20"/>
          <w:lang w:val="en-US"/>
        </w:rPr>
        <w:t xml:space="preserve"> This is important to give practical effects to the prohibition established in </w:t>
      </w:r>
      <w:r w:rsidR="000228D0" w:rsidRPr="00FE50A6">
        <w:rPr>
          <w:rFonts w:eastAsia="Calibri" w:cs="Times New Roman"/>
          <w:szCs w:val="20"/>
          <w:lang w:val="en-US"/>
        </w:rPr>
        <w:t>the American Convention</w:t>
      </w:r>
      <w:r w:rsidR="00F727E4" w:rsidRPr="00FE50A6">
        <w:rPr>
          <w:rFonts w:eastAsia="Calibri" w:cs="Times New Roman"/>
          <w:szCs w:val="20"/>
          <w:lang w:val="en-US"/>
        </w:rPr>
        <w:t xml:space="preserve"> </w:t>
      </w:r>
      <w:r w:rsidRPr="00FE50A6">
        <w:rPr>
          <w:rFonts w:eastAsia="Calibri" w:cs="Times New Roman"/>
          <w:szCs w:val="20"/>
          <w:lang w:val="en-US"/>
        </w:rPr>
        <w:t xml:space="preserve">pursuant to the evolution of the phenomenon of </w:t>
      </w:r>
      <w:r w:rsidR="00A30556" w:rsidRPr="00FE50A6">
        <w:rPr>
          <w:rFonts w:eastAsia="Calibri" w:cs="Times New Roman"/>
          <w:szCs w:val="20"/>
          <w:lang w:val="en-US"/>
        </w:rPr>
        <w:t xml:space="preserve">human </w:t>
      </w:r>
      <w:r w:rsidR="000C2A19" w:rsidRPr="00FE50A6">
        <w:rPr>
          <w:rFonts w:eastAsia="Calibri" w:cs="Times New Roman"/>
          <w:szCs w:val="20"/>
          <w:lang w:val="en-US"/>
        </w:rPr>
        <w:t xml:space="preserve">trafficking </w:t>
      </w:r>
      <w:r w:rsidRPr="00FE50A6">
        <w:rPr>
          <w:rFonts w:eastAsia="Calibri" w:cs="Times New Roman"/>
          <w:szCs w:val="20"/>
          <w:lang w:val="en-US"/>
        </w:rPr>
        <w:t>in our societies.</w:t>
      </w:r>
      <w:r w:rsidR="00F727E4" w:rsidRPr="00FE50A6">
        <w:rPr>
          <w:rFonts w:eastAsia="Calibri" w:cs="Times New Roman"/>
          <w:szCs w:val="20"/>
          <w:lang w:val="en-US"/>
        </w:rPr>
        <w:t xml:space="preserve"> </w:t>
      </w:r>
    </w:p>
    <w:p w14:paraId="122D271B" w14:textId="77777777" w:rsidR="00CF3C54" w:rsidRPr="00FE50A6" w:rsidRDefault="00CF3C54" w:rsidP="00ED3AD0">
      <w:pPr>
        <w:tabs>
          <w:tab w:val="clear" w:pos="4419"/>
          <w:tab w:val="clear" w:pos="8838"/>
        </w:tabs>
        <w:jc w:val="both"/>
        <w:rPr>
          <w:rFonts w:eastAsia="Calibri" w:cs="Times New Roman"/>
          <w:szCs w:val="20"/>
          <w:u w:val="single"/>
          <w:lang w:val="en-US"/>
        </w:rPr>
      </w:pPr>
    </w:p>
    <w:p w14:paraId="6941E616" w14:textId="77777777" w:rsidR="00F727E4" w:rsidRPr="00FE50A6" w:rsidRDefault="004C722D" w:rsidP="00F727E4">
      <w:pPr>
        <w:numPr>
          <w:ilvl w:val="0"/>
          <w:numId w:val="1"/>
        </w:numPr>
        <w:tabs>
          <w:tab w:val="clear" w:pos="4419"/>
          <w:tab w:val="clear" w:pos="8838"/>
        </w:tabs>
        <w:jc w:val="both"/>
        <w:rPr>
          <w:rFonts w:eastAsia="Calibri" w:cs="Times New Roman"/>
          <w:szCs w:val="20"/>
          <w:lang w:val="en-US"/>
        </w:rPr>
      </w:pPr>
      <w:r w:rsidRPr="00FE50A6">
        <w:rPr>
          <w:rFonts w:eastAsia="Calibri" w:cs="Times New Roman"/>
          <w:szCs w:val="20"/>
          <w:lang w:val="en-US"/>
        </w:rPr>
        <w:t xml:space="preserve">Therefore, </w:t>
      </w:r>
      <w:r w:rsidR="00EE52F3" w:rsidRPr="00FE50A6">
        <w:rPr>
          <w:rFonts w:eastAsia="Calibri" w:cs="Times New Roman"/>
          <w:szCs w:val="20"/>
          <w:lang w:val="en-US"/>
        </w:rPr>
        <w:t>the prohibition of</w:t>
      </w:r>
      <w:r w:rsidR="0018065A" w:rsidRPr="00FE50A6">
        <w:rPr>
          <w:rFonts w:eastAsia="Calibri" w:cs="Times New Roman"/>
          <w:szCs w:val="20"/>
          <w:lang w:val="en-US"/>
        </w:rPr>
        <w:t xml:space="preserve"> </w:t>
      </w:r>
      <w:r w:rsidR="009C48A4" w:rsidRPr="00FE50A6">
        <w:rPr>
          <w:rFonts w:eastAsia="Calibri" w:cs="Times New Roman"/>
          <w:szCs w:val="20"/>
          <w:lang w:val="en-US"/>
        </w:rPr>
        <w:t>“</w:t>
      </w:r>
      <w:r w:rsidR="002A3B9B" w:rsidRPr="00FE50A6">
        <w:rPr>
          <w:rFonts w:eastAsia="Calibri" w:cs="Times New Roman"/>
          <w:szCs w:val="20"/>
          <w:lang w:val="en-US"/>
        </w:rPr>
        <w:t>the slave trade</w:t>
      </w:r>
      <w:r w:rsidR="00030C17" w:rsidRPr="00FE50A6">
        <w:rPr>
          <w:rFonts w:eastAsia="Calibri" w:cs="Times New Roman"/>
          <w:szCs w:val="20"/>
          <w:lang w:val="en-US"/>
        </w:rPr>
        <w:t xml:space="preserve"> and</w:t>
      </w:r>
      <w:r w:rsidR="002A3B9B" w:rsidRPr="00FE50A6">
        <w:rPr>
          <w:rFonts w:eastAsia="Calibri" w:cs="Times New Roman"/>
          <w:szCs w:val="20"/>
          <w:lang w:val="en-US"/>
        </w:rPr>
        <w:t xml:space="preserve"> traffic </w:t>
      </w:r>
      <w:r w:rsidR="00B3124F" w:rsidRPr="00FE50A6">
        <w:rPr>
          <w:rFonts w:eastAsia="Calibri" w:cs="Times New Roman"/>
          <w:szCs w:val="20"/>
          <w:lang w:val="en-US"/>
        </w:rPr>
        <w:t>in</w:t>
      </w:r>
      <w:r w:rsidR="002A3B9B" w:rsidRPr="00FE50A6">
        <w:rPr>
          <w:rFonts w:eastAsia="Calibri" w:cs="Times New Roman"/>
          <w:szCs w:val="20"/>
          <w:lang w:val="en-US"/>
        </w:rPr>
        <w:t xml:space="preserve"> women</w:t>
      </w:r>
      <w:r w:rsidR="009C48A4" w:rsidRPr="00FE50A6">
        <w:rPr>
          <w:rFonts w:eastAsia="Calibri" w:cs="Times New Roman"/>
          <w:szCs w:val="20"/>
          <w:lang w:val="en-US"/>
        </w:rPr>
        <w:t>”</w:t>
      </w:r>
      <w:r w:rsidR="0038138B" w:rsidRPr="00FE50A6">
        <w:rPr>
          <w:rFonts w:eastAsia="Calibri" w:cs="Times New Roman"/>
          <w:szCs w:val="20"/>
          <w:lang w:val="en-US"/>
        </w:rPr>
        <w:t xml:space="preserve"> </w:t>
      </w:r>
      <w:r w:rsidR="00DB1C1D" w:rsidRPr="00FE50A6">
        <w:rPr>
          <w:rFonts w:eastAsia="Calibri" w:cs="Times New Roman"/>
          <w:szCs w:val="20"/>
          <w:lang w:val="en-US"/>
        </w:rPr>
        <w:t>cont</w:t>
      </w:r>
      <w:r w:rsidRPr="00FE50A6">
        <w:rPr>
          <w:rFonts w:eastAsia="Calibri" w:cs="Times New Roman"/>
          <w:szCs w:val="20"/>
          <w:lang w:val="en-US"/>
        </w:rPr>
        <w:t xml:space="preserve">ained in </w:t>
      </w:r>
      <w:r w:rsidR="000228D0" w:rsidRPr="00FE50A6">
        <w:rPr>
          <w:rFonts w:eastAsia="Calibri" w:cs="Times New Roman"/>
          <w:szCs w:val="20"/>
          <w:lang w:val="en-US"/>
        </w:rPr>
        <w:t>Article</w:t>
      </w:r>
      <w:r w:rsidR="00DB1C1D" w:rsidRPr="00FE50A6">
        <w:rPr>
          <w:rFonts w:eastAsia="Calibri" w:cs="Times New Roman"/>
          <w:szCs w:val="20"/>
          <w:lang w:val="en-US"/>
        </w:rPr>
        <w:t xml:space="preserve"> </w:t>
      </w:r>
      <w:r w:rsidR="00090C6A" w:rsidRPr="00FE50A6">
        <w:rPr>
          <w:rFonts w:eastAsia="Calibri" w:cs="Times New Roman"/>
          <w:szCs w:val="20"/>
          <w:lang w:val="en-US"/>
        </w:rPr>
        <w:t>6(1)</w:t>
      </w:r>
      <w:r w:rsidR="000228D0" w:rsidRPr="00FE50A6">
        <w:rPr>
          <w:rFonts w:eastAsia="Calibri" w:cs="Times New Roman"/>
          <w:szCs w:val="20"/>
          <w:lang w:val="en-US"/>
        </w:rPr>
        <w:t xml:space="preserve"> of the American Convention</w:t>
      </w:r>
      <w:r w:rsidR="0018065A" w:rsidRPr="00FE50A6">
        <w:rPr>
          <w:rFonts w:eastAsia="Calibri" w:cs="Times New Roman"/>
          <w:szCs w:val="20"/>
          <w:lang w:val="en-US"/>
        </w:rPr>
        <w:t xml:space="preserve"> </w:t>
      </w:r>
      <w:r w:rsidRPr="00FE50A6">
        <w:rPr>
          <w:rFonts w:eastAsia="Calibri" w:cs="Times New Roman"/>
          <w:szCs w:val="20"/>
          <w:lang w:val="en-US"/>
        </w:rPr>
        <w:t>refers to:</w:t>
      </w:r>
      <w:r w:rsidR="00F727E4" w:rsidRPr="00FE50A6">
        <w:rPr>
          <w:rFonts w:eastAsia="Calibri" w:cs="Times New Roman"/>
          <w:szCs w:val="20"/>
          <w:lang w:val="en-US"/>
        </w:rPr>
        <w:t xml:space="preserve"> </w:t>
      </w:r>
    </w:p>
    <w:p w14:paraId="2024CB70" w14:textId="77777777" w:rsidR="00F727E4" w:rsidRPr="00FE50A6" w:rsidRDefault="00F727E4" w:rsidP="00F727E4">
      <w:pPr>
        <w:tabs>
          <w:tab w:val="clear" w:pos="4419"/>
          <w:tab w:val="clear" w:pos="8838"/>
        </w:tabs>
        <w:jc w:val="both"/>
        <w:rPr>
          <w:rFonts w:eastAsia="Calibri" w:cs="Times New Roman"/>
          <w:szCs w:val="20"/>
          <w:lang w:val="en-US"/>
        </w:rPr>
      </w:pPr>
    </w:p>
    <w:p w14:paraId="3E9D3B50" w14:textId="77777777" w:rsidR="00F727E4" w:rsidRPr="00FE50A6" w:rsidRDefault="004C722D" w:rsidP="008B0BCC">
      <w:pPr>
        <w:numPr>
          <w:ilvl w:val="0"/>
          <w:numId w:val="11"/>
        </w:numPr>
        <w:tabs>
          <w:tab w:val="clear" w:pos="4419"/>
          <w:tab w:val="clear" w:pos="8838"/>
        </w:tabs>
        <w:spacing w:after="120"/>
        <w:ind w:left="709" w:right="902" w:firstLine="0"/>
        <w:jc w:val="both"/>
        <w:rPr>
          <w:rFonts w:eastAsia="Calibri" w:cs="Times New Roman"/>
          <w:szCs w:val="20"/>
          <w:lang w:val="en-US"/>
        </w:rPr>
      </w:pPr>
      <w:r w:rsidRPr="00FE50A6">
        <w:rPr>
          <w:rFonts w:eastAsia="Calibri" w:cs="Times New Roman"/>
          <w:szCs w:val="20"/>
          <w:lang w:val="en-US"/>
        </w:rPr>
        <w:t xml:space="preserve">The </w:t>
      </w:r>
      <w:r w:rsidRPr="00FE50A6">
        <w:rPr>
          <w:rStyle w:val="normal10"/>
          <w:szCs w:val="20"/>
          <w:lang w:val="en-US"/>
        </w:rPr>
        <w:t>recruitment, transportation, transfer, harboring or receipt of persons</w:t>
      </w:r>
      <w:r w:rsidR="00F727E4" w:rsidRPr="00FE50A6">
        <w:rPr>
          <w:rFonts w:eastAsia="Calibri" w:cs="Times New Roman"/>
          <w:szCs w:val="20"/>
          <w:lang w:val="en-US"/>
        </w:rPr>
        <w:t xml:space="preserve">; </w:t>
      </w:r>
    </w:p>
    <w:p w14:paraId="30F94BAC" w14:textId="77777777" w:rsidR="00F00B82" w:rsidRPr="00FE50A6" w:rsidRDefault="00B3124F" w:rsidP="00F00B82">
      <w:pPr>
        <w:numPr>
          <w:ilvl w:val="0"/>
          <w:numId w:val="11"/>
        </w:numPr>
        <w:tabs>
          <w:tab w:val="clear" w:pos="4419"/>
          <w:tab w:val="clear" w:pos="8838"/>
        </w:tabs>
        <w:spacing w:after="120"/>
        <w:ind w:left="709" w:right="902" w:firstLine="0"/>
        <w:jc w:val="both"/>
        <w:rPr>
          <w:rFonts w:eastAsia="Calibri" w:cs="Times New Roman"/>
          <w:szCs w:val="20"/>
          <w:lang w:val="en-US"/>
        </w:rPr>
      </w:pPr>
      <w:r w:rsidRPr="00FE50A6">
        <w:rPr>
          <w:rFonts w:eastAsia="Calibri" w:cs="Times New Roman"/>
          <w:szCs w:val="20"/>
          <w:lang w:val="en-US"/>
        </w:rPr>
        <w:t>Resorting to</w:t>
      </w:r>
      <w:r w:rsidR="00F727E4" w:rsidRPr="00FE50A6">
        <w:rPr>
          <w:rFonts w:eastAsia="Calibri" w:cs="Times New Roman"/>
          <w:szCs w:val="20"/>
          <w:lang w:val="en-US"/>
        </w:rPr>
        <w:t xml:space="preserve"> </w:t>
      </w:r>
      <w:r w:rsidR="004C722D" w:rsidRPr="00FE50A6">
        <w:rPr>
          <w:rStyle w:val="normal10"/>
          <w:szCs w:val="20"/>
          <w:lang w:val="en-US"/>
        </w:rPr>
        <w:t xml:space="preserve">threat or use of force or other forms of coercion, </w:t>
      </w:r>
      <w:r w:rsidR="00F00B82" w:rsidRPr="00FE50A6">
        <w:rPr>
          <w:rStyle w:val="normal10"/>
          <w:szCs w:val="20"/>
          <w:lang w:val="en-US"/>
        </w:rPr>
        <w:t xml:space="preserve">of </w:t>
      </w:r>
      <w:r w:rsidR="004C722D" w:rsidRPr="00FE50A6">
        <w:rPr>
          <w:rStyle w:val="normal10"/>
          <w:szCs w:val="20"/>
          <w:lang w:val="en-US"/>
        </w:rPr>
        <w:t>abduction,</w:t>
      </w:r>
      <w:r w:rsidR="00F00B82" w:rsidRPr="00FE50A6">
        <w:rPr>
          <w:rStyle w:val="normal10"/>
          <w:szCs w:val="20"/>
          <w:lang w:val="en-US"/>
        </w:rPr>
        <w:t xml:space="preserve"> of</w:t>
      </w:r>
      <w:r w:rsidR="004C722D" w:rsidRPr="00FE50A6">
        <w:rPr>
          <w:rStyle w:val="normal10"/>
          <w:szCs w:val="20"/>
          <w:lang w:val="en-US"/>
        </w:rPr>
        <w:t xml:space="preserve"> </w:t>
      </w:r>
      <w:r w:rsidRPr="00FE50A6">
        <w:rPr>
          <w:rStyle w:val="normal10"/>
          <w:szCs w:val="20"/>
          <w:lang w:val="en-US"/>
        </w:rPr>
        <w:t>fraud,</w:t>
      </w:r>
      <w:r w:rsidR="004C722D" w:rsidRPr="00FE50A6">
        <w:rPr>
          <w:rStyle w:val="normal10"/>
          <w:szCs w:val="20"/>
          <w:lang w:val="en-US"/>
        </w:rPr>
        <w:t xml:space="preserve"> </w:t>
      </w:r>
      <w:r w:rsidR="00F00B82" w:rsidRPr="00FE50A6">
        <w:rPr>
          <w:rStyle w:val="normal10"/>
          <w:szCs w:val="20"/>
          <w:lang w:val="en-US"/>
        </w:rPr>
        <w:t xml:space="preserve">of </w:t>
      </w:r>
      <w:r w:rsidR="004C722D" w:rsidRPr="00FE50A6">
        <w:rPr>
          <w:rStyle w:val="normal10"/>
          <w:szCs w:val="20"/>
          <w:lang w:val="en-US"/>
        </w:rPr>
        <w:t xml:space="preserve">deception, </w:t>
      </w:r>
      <w:r w:rsidR="00F00B82" w:rsidRPr="00FE50A6">
        <w:rPr>
          <w:rStyle w:val="normal10"/>
          <w:szCs w:val="20"/>
          <w:lang w:val="en-US"/>
        </w:rPr>
        <w:t xml:space="preserve">of the </w:t>
      </w:r>
      <w:r w:rsidR="004C722D" w:rsidRPr="00FE50A6">
        <w:rPr>
          <w:rStyle w:val="normal10"/>
          <w:szCs w:val="20"/>
          <w:lang w:val="en-US"/>
        </w:rPr>
        <w:t xml:space="preserve">abuse of power or of a position of vulnerability or </w:t>
      </w:r>
      <w:r w:rsidR="00F00B82" w:rsidRPr="00FE50A6">
        <w:rPr>
          <w:rStyle w:val="normal10"/>
          <w:szCs w:val="20"/>
          <w:lang w:val="en-US"/>
        </w:rPr>
        <w:t xml:space="preserve">of the </w:t>
      </w:r>
      <w:r w:rsidR="004C722D" w:rsidRPr="00FE50A6">
        <w:rPr>
          <w:rStyle w:val="normal10"/>
          <w:szCs w:val="20"/>
          <w:lang w:val="en-US"/>
        </w:rPr>
        <w:t xml:space="preserve">giving or receiving </w:t>
      </w:r>
      <w:r w:rsidR="00F00B82" w:rsidRPr="00FE50A6">
        <w:rPr>
          <w:rStyle w:val="normal10"/>
          <w:szCs w:val="20"/>
          <w:lang w:val="en-US"/>
        </w:rPr>
        <w:t xml:space="preserve">of </w:t>
      </w:r>
      <w:r w:rsidR="004C722D" w:rsidRPr="00FE50A6">
        <w:rPr>
          <w:rStyle w:val="normal10"/>
          <w:szCs w:val="20"/>
          <w:lang w:val="en-US"/>
        </w:rPr>
        <w:t xml:space="preserve">payments or benefits to achieve consent </w:t>
      </w:r>
      <w:r w:rsidR="00F00B82" w:rsidRPr="00FE50A6">
        <w:rPr>
          <w:rStyle w:val="normal10"/>
          <w:szCs w:val="20"/>
          <w:lang w:val="en-US"/>
        </w:rPr>
        <w:t>by</w:t>
      </w:r>
      <w:r w:rsidR="004C722D" w:rsidRPr="00FE50A6">
        <w:rPr>
          <w:rStyle w:val="normal10"/>
          <w:szCs w:val="20"/>
          <w:lang w:val="en-US"/>
        </w:rPr>
        <w:t xml:space="preserve"> a person having control over anothe</w:t>
      </w:r>
      <w:r w:rsidR="001217DE" w:rsidRPr="00FE50A6">
        <w:rPr>
          <w:rStyle w:val="normal10"/>
          <w:szCs w:val="20"/>
          <w:lang w:val="en-US"/>
        </w:rPr>
        <w:t>r</w:t>
      </w:r>
      <w:r w:rsidR="00F00B82" w:rsidRPr="00FE50A6">
        <w:rPr>
          <w:rStyle w:val="normal10"/>
          <w:szCs w:val="20"/>
          <w:lang w:val="en-US"/>
        </w:rPr>
        <w:t xml:space="preserve"> person</w:t>
      </w:r>
      <w:r w:rsidR="00F727E4" w:rsidRPr="00FE50A6">
        <w:rPr>
          <w:rFonts w:eastAsia="Calibri" w:cs="Times New Roman"/>
          <w:szCs w:val="20"/>
          <w:lang w:val="en-US"/>
        </w:rPr>
        <w:t xml:space="preserve">. </w:t>
      </w:r>
      <w:r w:rsidR="001217DE" w:rsidRPr="00FE50A6">
        <w:rPr>
          <w:rFonts w:eastAsia="Calibri" w:cs="Times New Roman"/>
          <w:szCs w:val="20"/>
          <w:lang w:val="en-US"/>
        </w:rPr>
        <w:t>In the case of children under 18 years of age these requirements are not a necessary condition to characterize trafficking</w:t>
      </w:r>
      <w:r w:rsidR="00F727E4" w:rsidRPr="00FE50A6">
        <w:rPr>
          <w:rFonts w:eastAsia="Calibri" w:cs="Times New Roman"/>
          <w:szCs w:val="20"/>
          <w:lang w:val="en-US"/>
        </w:rPr>
        <w:t xml:space="preserve">; </w:t>
      </w:r>
    </w:p>
    <w:p w14:paraId="66D8D6A1" w14:textId="77777777" w:rsidR="00F727E4" w:rsidRPr="00FE50A6" w:rsidRDefault="001217DE" w:rsidP="008B0BCC">
      <w:pPr>
        <w:numPr>
          <w:ilvl w:val="0"/>
          <w:numId w:val="11"/>
        </w:numPr>
        <w:tabs>
          <w:tab w:val="clear" w:pos="4419"/>
          <w:tab w:val="clear" w:pos="8838"/>
        </w:tabs>
        <w:ind w:left="709" w:right="899" w:firstLine="0"/>
        <w:jc w:val="both"/>
        <w:rPr>
          <w:rFonts w:eastAsia="Calibri" w:cs="Times New Roman"/>
          <w:szCs w:val="20"/>
          <w:lang w:val="en-US"/>
        </w:rPr>
      </w:pPr>
      <w:r w:rsidRPr="00FE50A6">
        <w:rPr>
          <w:rFonts w:eastAsia="Calibri" w:cs="Times New Roman"/>
          <w:szCs w:val="20"/>
          <w:lang w:val="en-US"/>
        </w:rPr>
        <w:t>For the purpose of any kind of exploitation.</w:t>
      </w:r>
      <w:r w:rsidR="00F727E4" w:rsidRPr="00FE50A6">
        <w:rPr>
          <w:rFonts w:eastAsia="Calibri" w:cs="Times New Roman"/>
          <w:szCs w:val="20"/>
          <w:vertAlign w:val="superscript"/>
          <w:lang w:val="en-US"/>
        </w:rPr>
        <w:footnoteReference w:id="438"/>
      </w:r>
    </w:p>
    <w:p w14:paraId="27AED3D4" w14:textId="77777777" w:rsidR="00F727E4" w:rsidRPr="00FE50A6" w:rsidRDefault="00F727E4" w:rsidP="00F727E4">
      <w:pPr>
        <w:tabs>
          <w:tab w:val="clear" w:pos="4419"/>
          <w:tab w:val="clear" w:pos="8838"/>
        </w:tabs>
        <w:jc w:val="both"/>
        <w:rPr>
          <w:rFonts w:eastAsia="Calibri" w:cs="Times New Roman"/>
          <w:szCs w:val="20"/>
          <w:lang w:val="en-US"/>
        </w:rPr>
      </w:pPr>
    </w:p>
    <w:p w14:paraId="790130B9" w14:textId="77777777" w:rsidR="00207197" w:rsidRPr="00FE50A6" w:rsidRDefault="00B21658" w:rsidP="005D2CE2">
      <w:pPr>
        <w:pStyle w:val="Ttulo3"/>
        <w:rPr>
          <w:lang w:val="en-US"/>
        </w:rPr>
      </w:pPr>
      <w:bookmarkStart w:id="321" w:name="_Toc464813964"/>
      <w:r w:rsidRPr="00FE50A6">
        <w:rPr>
          <w:lang w:val="en-US"/>
        </w:rPr>
        <w:t>B.</w:t>
      </w:r>
      <w:r w:rsidR="005D2CE2" w:rsidRPr="00FE50A6">
        <w:rPr>
          <w:lang w:val="en-US"/>
        </w:rPr>
        <w:t>6</w:t>
      </w:r>
      <w:r w:rsidR="00DC2886" w:rsidRPr="00FE50A6">
        <w:rPr>
          <w:lang w:val="en-US"/>
        </w:rPr>
        <w:t>.</w:t>
      </w:r>
      <w:r w:rsidR="00207197" w:rsidRPr="00FE50A6">
        <w:rPr>
          <w:lang w:val="en-US"/>
        </w:rPr>
        <w:t xml:space="preserve"> </w:t>
      </w:r>
      <w:r w:rsidR="001217DE" w:rsidRPr="00FE50A6">
        <w:rPr>
          <w:lang w:val="en-US"/>
        </w:rPr>
        <w:t>Forced or compulsory labor</w:t>
      </w:r>
      <w:bookmarkEnd w:id="321"/>
    </w:p>
    <w:p w14:paraId="3DB718B3" w14:textId="77777777" w:rsidR="00207197" w:rsidRPr="00FE50A6" w:rsidRDefault="00207197" w:rsidP="00140440">
      <w:pPr>
        <w:jc w:val="both"/>
        <w:rPr>
          <w:szCs w:val="20"/>
          <w:lang w:val="en-US"/>
        </w:rPr>
      </w:pPr>
    </w:p>
    <w:p w14:paraId="343B6FA8" w14:textId="77777777" w:rsidR="00207197" w:rsidRPr="00FE50A6" w:rsidRDefault="001217DE" w:rsidP="00F37DC4">
      <w:pPr>
        <w:pStyle w:val="Prrafodelista"/>
        <w:numPr>
          <w:ilvl w:val="0"/>
          <w:numId w:val="1"/>
        </w:numPr>
        <w:contextualSpacing w:val="0"/>
        <w:rPr>
          <w:lang w:val="en-US"/>
        </w:rPr>
      </w:pPr>
      <w:r w:rsidRPr="00FE50A6">
        <w:rPr>
          <w:lang w:val="en-US"/>
        </w:rPr>
        <w:t>Regarding</w:t>
      </w:r>
      <w:r w:rsidR="00207197" w:rsidRPr="00FE50A6">
        <w:rPr>
          <w:lang w:val="en-US"/>
        </w:rPr>
        <w:t xml:space="preserve"> </w:t>
      </w:r>
      <w:r w:rsidRPr="00FE50A6">
        <w:rPr>
          <w:lang w:val="en-US"/>
        </w:rPr>
        <w:t>forced or compulsory labor</w:t>
      </w:r>
      <w:r w:rsidR="00207197" w:rsidRPr="00FE50A6">
        <w:rPr>
          <w:lang w:val="en-US"/>
        </w:rPr>
        <w:t xml:space="preserve">, </w:t>
      </w:r>
      <w:r w:rsidRPr="00FE50A6">
        <w:rPr>
          <w:lang w:val="en-US"/>
        </w:rPr>
        <w:t>prohibited in</w:t>
      </w:r>
      <w:r w:rsidR="00207197" w:rsidRPr="00FE50A6">
        <w:rPr>
          <w:lang w:val="en-US"/>
        </w:rPr>
        <w:t xml:space="preserve"> </w:t>
      </w:r>
      <w:r w:rsidR="000228D0" w:rsidRPr="00FE50A6">
        <w:rPr>
          <w:lang w:val="en-US"/>
        </w:rPr>
        <w:t>Article</w:t>
      </w:r>
      <w:r w:rsidR="00207197" w:rsidRPr="00FE50A6">
        <w:rPr>
          <w:lang w:val="en-US"/>
        </w:rPr>
        <w:t xml:space="preserve"> </w:t>
      </w:r>
      <w:r w:rsidRPr="00FE50A6">
        <w:rPr>
          <w:lang w:val="en-US"/>
        </w:rPr>
        <w:t>6(2)</w:t>
      </w:r>
      <w:r w:rsidR="000228D0" w:rsidRPr="00FE50A6">
        <w:rPr>
          <w:lang w:val="en-US"/>
        </w:rPr>
        <w:t xml:space="preserve"> of the American Convention</w:t>
      </w:r>
      <w:r w:rsidR="00207197" w:rsidRPr="00FE50A6">
        <w:rPr>
          <w:lang w:val="en-US"/>
        </w:rPr>
        <w:t xml:space="preserve">, </w:t>
      </w:r>
      <w:r w:rsidR="000228D0" w:rsidRPr="00FE50A6">
        <w:rPr>
          <w:lang w:val="en-US"/>
        </w:rPr>
        <w:t>the Court</w:t>
      </w:r>
      <w:r w:rsidR="00207197" w:rsidRPr="00FE50A6">
        <w:rPr>
          <w:lang w:val="en-US"/>
        </w:rPr>
        <w:t xml:space="preserve"> </w:t>
      </w:r>
      <w:r w:rsidRPr="00FE50A6">
        <w:rPr>
          <w:lang w:val="en-US"/>
        </w:rPr>
        <w:t xml:space="preserve">has already ruled on the meaning and scope of this provision in the case of </w:t>
      </w:r>
      <w:r w:rsidRPr="00FE50A6">
        <w:rPr>
          <w:i/>
          <w:lang w:val="en-US"/>
        </w:rPr>
        <w:t>the Ituan</w:t>
      </w:r>
      <w:r w:rsidR="00F00B82" w:rsidRPr="00FE50A6">
        <w:rPr>
          <w:i/>
          <w:lang w:val="en-US"/>
        </w:rPr>
        <w:t>g</w:t>
      </w:r>
      <w:r w:rsidRPr="00FE50A6">
        <w:rPr>
          <w:i/>
          <w:lang w:val="en-US"/>
        </w:rPr>
        <w:t>o</w:t>
      </w:r>
      <w:r w:rsidR="00915049" w:rsidRPr="00FE50A6">
        <w:rPr>
          <w:i/>
          <w:lang w:val="en-US"/>
        </w:rPr>
        <w:t xml:space="preserve"> </w:t>
      </w:r>
      <w:r w:rsidR="00207197" w:rsidRPr="00FE50A6">
        <w:rPr>
          <w:i/>
          <w:lang w:val="en-US"/>
        </w:rPr>
        <w:t>Ma</w:t>
      </w:r>
      <w:r w:rsidRPr="00FE50A6">
        <w:rPr>
          <w:i/>
          <w:lang w:val="en-US"/>
        </w:rPr>
        <w:t>s</w:t>
      </w:r>
      <w:r w:rsidR="00207197" w:rsidRPr="00FE50A6">
        <w:rPr>
          <w:i/>
          <w:lang w:val="en-US"/>
        </w:rPr>
        <w:t xml:space="preserve">sacres </w:t>
      </w:r>
      <w:r w:rsidR="000228D0" w:rsidRPr="00FE50A6">
        <w:rPr>
          <w:i/>
          <w:lang w:val="en-US"/>
        </w:rPr>
        <w:t>v.</w:t>
      </w:r>
      <w:r w:rsidR="00207197" w:rsidRPr="00FE50A6">
        <w:rPr>
          <w:i/>
          <w:lang w:val="en-US"/>
        </w:rPr>
        <w:t xml:space="preserve"> Colombia</w:t>
      </w:r>
      <w:r w:rsidRPr="00FE50A6">
        <w:rPr>
          <w:i/>
          <w:lang w:val="en-US"/>
        </w:rPr>
        <w:t>.</w:t>
      </w:r>
      <w:r w:rsidR="00207197" w:rsidRPr="00FE50A6">
        <w:rPr>
          <w:rStyle w:val="Refdenotaalpie"/>
          <w:lang w:val="en-US"/>
        </w:rPr>
        <w:footnoteReference w:id="439"/>
      </w:r>
      <w:r w:rsidRPr="00FE50A6">
        <w:rPr>
          <w:lang w:val="en-US"/>
        </w:rPr>
        <w:t xml:space="preserve"> In th</w:t>
      </w:r>
      <w:r w:rsidR="00F00B82" w:rsidRPr="00FE50A6">
        <w:rPr>
          <w:lang w:val="en-US"/>
        </w:rPr>
        <w:t>at</w:t>
      </w:r>
      <w:r w:rsidRPr="00FE50A6">
        <w:rPr>
          <w:lang w:val="en-US"/>
        </w:rPr>
        <w:t xml:space="preserve"> judgment, the Court accepted the definition of </w:t>
      </w:r>
      <w:r w:rsidR="005F1946" w:rsidRPr="00FE50A6">
        <w:rPr>
          <w:lang w:val="en-US"/>
        </w:rPr>
        <w:t>forced labor</w:t>
      </w:r>
      <w:r w:rsidR="00207197" w:rsidRPr="00FE50A6">
        <w:rPr>
          <w:lang w:val="en-US"/>
        </w:rPr>
        <w:t xml:space="preserve"> </w:t>
      </w:r>
      <w:r w:rsidRPr="00FE50A6">
        <w:rPr>
          <w:lang w:val="en-US"/>
        </w:rPr>
        <w:t>contained in</w:t>
      </w:r>
      <w:r w:rsidR="00207197" w:rsidRPr="00FE50A6">
        <w:rPr>
          <w:lang w:val="en-US"/>
        </w:rPr>
        <w:t xml:space="preserve"> </w:t>
      </w:r>
      <w:r w:rsidR="000228D0" w:rsidRPr="00FE50A6">
        <w:rPr>
          <w:lang w:val="en-US"/>
        </w:rPr>
        <w:t>Article</w:t>
      </w:r>
      <w:r w:rsidR="00207197" w:rsidRPr="00FE50A6">
        <w:rPr>
          <w:lang w:val="en-US"/>
        </w:rPr>
        <w:t xml:space="preserve"> </w:t>
      </w:r>
      <w:r w:rsidRPr="00FE50A6">
        <w:rPr>
          <w:lang w:val="en-US"/>
        </w:rPr>
        <w:t>2(1)</w:t>
      </w:r>
      <w:r w:rsidR="00207197" w:rsidRPr="00FE50A6">
        <w:rPr>
          <w:lang w:val="en-US"/>
        </w:rPr>
        <w:t xml:space="preserve"> </w:t>
      </w:r>
      <w:r w:rsidRPr="00FE50A6">
        <w:rPr>
          <w:lang w:val="en-US"/>
        </w:rPr>
        <w:t xml:space="preserve">of ILO Convention </w:t>
      </w:r>
      <w:r w:rsidR="00207197" w:rsidRPr="00FE50A6">
        <w:rPr>
          <w:lang w:val="en-US"/>
        </w:rPr>
        <w:t>No. 29</w:t>
      </w:r>
      <w:r w:rsidRPr="00FE50A6">
        <w:rPr>
          <w:lang w:val="en-US"/>
        </w:rPr>
        <w:t>, which stipulates that:</w:t>
      </w:r>
    </w:p>
    <w:p w14:paraId="673757B2" w14:textId="77777777" w:rsidR="00207197" w:rsidRPr="00FE50A6" w:rsidRDefault="00207197" w:rsidP="00140440">
      <w:pPr>
        <w:jc w:val="both"/>
        <w:rPr>
          <w:lang w:val="en-US"/>
        </w:rPr>
      </w:pPr>
    </w:p>
    <w:p w14:paraId="512C356F" w14:textId="77777777" w:rsidR="00207197" w:rsidRPr="00FE50A6" w:rsidRDefault="004B1820" w:rsidP="00140440">
      <w:pPr>
        <w:pStyle w:val="Textodebloque"/>
        <w:jc w:val="both"/>
        <w:rPr>
          <w:lang w:val="en-US"/>
        </w:rPr>
      </w:pPr>
      <w:r w:rsidRPr="00FE50A6">
        <w:rPr>
          <w:lang w:val="en-US"/>
        </w:rPr>
        <w:t xml:space="preserve">[T]he </w:t>
      </w:r>
      <w:proofErr w:type="gramStart"/>
      <w:r w:rsidRPr="00FE50A6">
        <w:rPr>
          <w:lang w:val="en-US"/>
        </w:rPr>
        <w:t>term</w:t>
      </w:r>
      <w:proofErr w:type="gramEnd"/>
      <w:r w:rsidR="00207197" w:rsidRPr="00FE50A6">
        <w:rPr>
          <w:lang w:val="en-US"/>
        </w:rPr>
        <w:t xml:space="preserve"> </w:t>
      </w:r>
      <w:r w:rsidRPr="00FE50A6">
        <w:rPr>
          <w:lang w:val="en-US"/>
        </w:rPr>
        <w:t>‘</w:t>
      </w:r>
      <w:r w:rsidR="005F1946" w:rsidRPr="00FE50A6">
        <w:rPr>
          <w:lang w:val="en-US"/>
        </w:rPr>
        <w:t xml:space="preserve">forced </w:t>
      </w:r>
      <w:r w:rsidRPr="00FE50A6">
        <w:rPr>
          <w:lang w:val="en-US"/>
        </w:rPr>
        <w:t xml:space="preserve">or compulsory </w:t>
      </w:r>
      <w:r w:rsidR="005F1946" w:rsidRPr="00FE50A6">
        <w:rPr>
          <w:lang w:val="en-US"/>
        </w:rPr>
        <w:t>labo</w:t>
      </w:r>
      <w:r w:rsidRPr="00FE50A6">
        <w:rPr>
          <w:lang w:val="en-US"/>
        </w:rPr>
        <w:t>u</w:t>
      </w:r>
      <w:r w:rsidR="005F1946" w:rsidRPr="00FE50A6">
        <w:rPr>
          <w:lang w:val="en-US"/>
        </w:rPr>
        <w:t>r</w:t>
      </w:r>
      <w:r w:rsidRPr="00FE50A6">
        <w:rPr>
          <w:lang w:val="en-US"/>
        </w:rPr>
        <w:t>’</w:t>
      </w:r>
      <w:r w:rsidR="00207197" w:rsidRPr="00FE50A6">
        <w:rPr>
          <w:lang w:val="en-US"/>
        </w:rPr>
        <w:t xml:space="preserve"> </w:t>
      </w:r>
      <w:r w:rsidRPr="00FE50A6">
        <w:rPr>
          <w:lang w:val="en-US"/>
        </w:rPr>
        <w:t>shall mean all work or service which is exacted from any person under the menace of any penalty and for which the said person has not offered himself voluntarily</w:t>
      </w:r>
      <w:r w:rsidR="00207197" w:rsidRPr="00FE50A6">
        <w:rPr>
          <w:lang w:val="en-US"/>
        </w:rPr>
        <w:t>.</w:t>
      </w:r>
    </w:p>
    <w:p w14:paraId="280AC123" w14:textId="77777777" w:rsidR="00207197" w:rsidRPr="00FE50A6" w:rsidRDefault="00207197" w:rsidP="00140440">
      <w:pPr>
        <w:jc w:val="both"/>
        <w:rPr>
          <w:lang w:val="en-US"/>
        </w:rPr>
      </w:pPr>
    </w:p>
    <w:p w14:paraId="3FA01F13" w14:textId="77777777" w:rsidR="00207197" w:rsidRPr="00FE50A6" w:rsidRDefault="00681925" w:rsidP="00681925">
      <w:pPr>
        <w:pStyle w:val="Prrafodelista"/>
        <w:numPr>
          <w:ilvl w:val="0"/>
          <w:numId w:val="1"/>
        </w:numPr>
        <w:contextualSpacing w:val="0"/>
        <w:rPr>
          <w:lang w:val="en-US"/>
        </w:rPr>
      </w:pPr>
      <w:r w:rsidRPr="00FE50A6">
        <w:rPr>
          <w:lang w:val="en-US"/>
        </w:rPr>
        <w:t>In the said judgment, the Court considered that the definition of f</w:t>
      </w:r>
      <w:r w:rsidR="001217DE" w:rsidRPr="00FE50A6">
        <w:rPr>
          <w:lang w:val="en-US"/>
        </w:rPr>
        <w:t>orced or compulsory labor</w:t>
      </w:r>
      <w:r w:rsidR="00207197" w:rsidRPr="00FE50A6">
        <w:rPr>
          <w:lang w:val="en-US"/>
        </w:rPr>
        <w:t xml:space="preserve"> </w:t>
      </w:r>
      <w:r w:rsidRPr="00FE50A6">
        <w:rPr>
          <w:lang w:val="en-US"/>
        </w:rPr>
        <w:t xml:space="preserve">included two basic elements: that the work or service was </w:t>
      </w:r>
      <w:r w:rsidR="004B1820" w:rsidRPr="00FE50A6">
        <w:rPr>
          <w:lang w:val="en-US"/>
        </w:rPr>
        <w:t>exacted</w:t>
      </w:r>
      <w:r w:rsidRPr="00FE50A6">
        <w:rPr>
          <w:lang w:val="en-US"/>
        </w:rPr>
        <w:t xml:space="preserve"> “</w:t>
      </w:r>
      <w:r w:rsidR="004B1820" w:rsidRPr="00FE50A6">
        <w:rPr>
          <w:lang w:val="en-US"/>
        </w:rPr>
        <w:t xml:space="preserve">by </w:t>
      </w:r>
      <w:r w:rsidRPr="00FE50A6">
        <w:rPr>
          <w:lang w:val="en-US"/>
        </w:rPr>
        <w:t>threat of a p</w:t>
      </w:r>
      <w:r w:rsidR="004B1820" w:rsidRPr="00FE50A6">
        <w:rPr>
          <w:lang w:val="en-US"/>
        </w:rPr>
        <w:t>enalty</w:t>
      </w:r>
      <w:r w:rsidRPr="00FE50A6">
        <w:rPr>
          <w:lang w:val="en-US"/>
        </w:rPr>
        <w:t>,” and that it was performed unwillingly.</w:t>
      </w:r>
      <w:r w:rsidR="00207197" w:rsidRPr="00FE50A6">
        <w:rPr>
          <w:rStyle w:val="Refdenotaalpie"/>
          <w:lang w:val="en-US"/>
        </w:rPr>
        <w:footnoteReference w:id="440"/>
      </w:r>
      <w:r w:rsidRPr="00FE50A6">
        <w:rPr>
          <w:lang w:val="en-US"/>
        </w:rPr>
        <w:t xml:space="preserve"> Also, in the circumstances of that case, the Court considered that, in order to constitute a violation</w:t>
      </w:r>
      <w:r w:rsidR="00207197" w:rsidRPr="00FE50A6">
        <w:rPr>
          <w:lang w:val="en-US"/>
        </w:rPr>
        <w:t xml:space="preserve">  </w:t>
      </w:r>
      <w:r w:rsidR="00703850" w:rsidRPr="00FE50A6">
        <w:rPr>
          <w:lang w:val="en-US"/>
        </w:rPr>
        <w:t>of Article</w:t>
      </w:r>
      <w:r w:rsidR="00207197" w:rsidRPr="00FE50A6">
        <w:rPr>
          <w:lang w:val="en-US"/>
        </w:rPr>
        <w:t xml:space="preserve"> </w:t>
      </w:r>
      <w:r w:rsidR="001217DE" w:rsidRPr="00FE50A6">
        <w:rPr>
          <w:lang w:val="en-US"/>
        </w:rPr>
        <w:t>6(2)</w:t>
      </w:r>
      <w:r w:rsidR="000228D0" w:rsidRPr="00FE50A6">
        <w:rPr>
          <w:lang w:val="en-US"/>
        </w:rPr>
        <w:t xml:space="preserve"> of the Convention</w:t>
      </w:r>
      <w:r w:rsidR="00207197" w:rsidRPr="00FE50A6">
        <w:rPr>
          <w:lang w:val="en-US"/>
        </w:rPr>
        <w:t xml:space="preserve"> </w:t>
      </w:r>
      <w:r w:rsidRPr="00FE50A6">
        <w:rPr>
          <w:lang w:val="en-US"/>
        </w:rPr>
        <w:t>it would be necessary that the presumed violation could be attributed to State</w:t>
      </w:r>
      <w:r w:rsidR="004B1820" w:rsidRPr="00FE50A6">
        <w:rPr>
          <w:lang w:val="en-US"/>
        </w:rPr>
        <w:t xml:space="preserve"> agents</w:t>
      </w:r>
      <w:r w:rsidRPr="00FE50A6">
        <w:rPr>
          <w:lang w:val="en-US"/>
        </w:rPr>
        <w:t>, either by their direct participation in the facts or by their acquiescence to them.</w:t>
      </w:r>
      <w:r w:rsidR="00207197" w:rsidRPr="00FE50A6">
        <w:rPr>
          <w:rStyle w:val="Refdenotaalpie"/>
          <w:lang w:val="en-US"/>
        </w:rPr>
        <w:footnoteReference w:id="441"/>
      </w:r>
      <w:r w:rsidR="00207197" w:rsidRPr="00FE50A6">
        <w:rPr>
          <w:lang w:val="en-US"/>
        </w:rPr>
        <w:t xml:space="preserve">  </w:t>
      </w:r>
      <w:r w:rsidR="000228D0" w:rsidRPr="00FE50A6">
        <w:rPr>
          <w:lang w:val="en-US"/>
        </w:rPr>
        <w:t>The Court</w:t>
      </w:r>
      <w:r w:rsidR="00207197" w:rsidRPr="00FE50A6">
        <w:rPr>
          <w:lang w:val="en-US"/>
        </w:rPr>
        <w:t xml:space="preserve"> </w:t>
      </w:r>
      <w:r w:rsidRPr="00FE50A6">
        <w:rPr>
          <w:lang w:val="en-US"/>
        </w:rPr>
        <w:t>will now analyze the facts of this case in light of these three criteria.</w:t>
      </w:r>
    </w:p>
    <w:p w14:paraId="7CD5010D" w14:textId="77777777" w:rsidR="00207197" w:rsidRPr="00FE50A6" w:rsidRDefault="00207197" w:rsidP="00140440">
      <w:pPr>
        <w:jc w:val="both"/>
        <w:rPr>
          <w:lang w:val="en-US"/>
        </w:rPr>
      </w:pPr>
    </w:p>
    <w:p w14:paraId="1296582C" w14:textId="77777777" w:rsidR="00207197" w:rsidRPr="00FE50A6" w:rsidRDefault="00681925" w:rsidP="00681925">
      <w:pPr>
        <w:pStyle w:val="Prrafodelista"/>
        <w:numPr>
          <w:ilvl w:val="0"/>
          <w:numId w:val="1"/>
        </w:numPr>
        <w:contextualSpacing w:val="0"/>
        <w:rPr>
          <w:lang w:val="en-US"/>
        </w:rPr>
      </w:pPr>
      <w:r w:rsidRPr="00FE50A6">
        <w:rPr>
          <w:lang w:val="en-US"/>
        </w:rPr>
        <w:t>Regarding</w:t>
      </w:r>
      <w:r w:rsidR="00207197" w:rsidRPr="00FE50A6">
        <w:rPr>
          <w:lang w:val="en-US"/>
        </w:rPr>
        <w:t xml:space="preserve"> </w:t>
      </w:r>
      <w:r w:rsidR="009C48A4" w:rsidRPr="00FE50A6">
        <w:rPr>
          <w:lang w:val="en-US"/>
        </w:rPr>
        <w:t>“</w:t>
      </w:r>
      <w:r w:rsidRPr="00FE50A6">
        <w:rPr>
          <w:lang w:val="en-US"/>
        </w:rPr>
        <w:t>threat of a p</w:t>
      </w:r>
      <w:r w:rsidR="004B1820" w:rsidRPr="00FE50A6">
        <w:rPr>
          <w:lang w:val="en-US"/>
        </w:rPr>
        <w:t>enalty</w:t>
      </w:r>
      <w:r w:rsidRPr="00FE50A6">
        <w:rPr>
          <w:lang w:val="en-US"/>
        </w:rPr>
        <w:t>,</w:t>
      </w:r>
      <w:r w:rsidR="009C48A4" w:rsidRPr="00FE50A6">
        <w:rPr>
          <w:lang w:val="en-US"/>
        </w:rPr>
        <w:t>”</w:t>
      </w:r>
      <w:r w:rsidRPr="00FE50A6">
        <w:rPr>
          <w:lang w:val="en-US"/>
        </w:rPr>
        <w:t xml:space="preserve"> this many consist, </w:t>
      </w:r>
      <w:r w:rsidRPr="00FE50A6">
        <w:rPr>
          <w:i/>
          <w:lang w:val="en-US"/>
        </w:rPr>
        <w:t>inter alia</w:t>
      </w:r>
      <w:r w:rsidRPr="00FE50A6">
        <w:rPr>
          <w:lang w:val="en-US"/>
        </w:rPr>
        <w:t>, in the real and actual presence of intimidation that can assume multiple forms and degrees</w:t>
      </w:r>
      <w:r w:rsidR="004B1820" w:rsidRPr="00FE50A6">
        <w:rPr>
          <w:lang w:val="en-US"/>
        </w:rPr>
        <w:t>,</w:t>
      </w:r>
      <w:r w:rsidRPr="00FE50A6">
        <w:rPr>
          <w:lang w:val="en-US"/>
        </w:rPr>
        <w:t xml:space="preserve"> the most extreme</w:t>
      </w:r>
      <w:r w:rsidR="004B1820" w:rsidRPr="00FE50A6">
        <w:rPr>
          <w:lang w:val="en-US"/>
        </w:rPr>
        <w:t xml:space="preserve"> of which</w:t>
      </w:r>
      <w:r w:rsidRPr="00FE50A6">
        <w:rPr>
          <w:lang w:val="en-US"/>
        </w:rPr>
        <w:t xml:space="preserve"> are those that entail coerci</w:t>
      </w:r>
      <w:r w:rsidR="00BF60A9" w:rsidRPr="00FE50A6">
        <w:rPr>
          <w:lang w:val="en-US"/>
        </w:rPr>
        <w:t>o</w:t>
      </w:r>
      <w:r w:rsidRPr="00FE50A6">
        <w:rPr>
          <w:lang w:val="en-US"/>
        </w:rPr>
        <w:t>n, physical violence, isolation, or restriction of movement, as well as death threats addressed at the victims or their family members.</w:t>
      </w:r>
      <w:r w:rsidR="00207197" w:rsidRPr="00FE50A6">
        <w:rPr>
          <w:vertAlign w:val="superscript"/>
          <w:lang w:val="en-US"/>
        </w:rPr>
        <w:footnoteReference w:id="442"/>
      </w:r>
      <w:r w:rsidR="00030C17" w:rsidRPr="00FE50A6">
        <w:rPr>
          <w:lang w:val="en-US"/>
        </w:rPr>
        <w:t xml:space="preserve"> </w:t>
      </w:r>
      <w:r w:rsidRPr="00FE50A6">
        <w:rPr>
          <w:lang w:val="en-US"/>
        </w:rPr>
        <w:t>A</w:t>
      </w:r>
      <w:r w:rsidR="00030C17" w:rsidRPr="00FE50A6">
        <w:rPr>
          <w:lang w:val="en-US"/>
        </w:rPr>
        <w:t>nd</w:t>
      </w:r>
      <w:r w:rsidRPr="00FE50A6">
        <w:rPr>
          <w:lang w:val="en-US"/>
        </w:rPr>
        <w:t xml:space="preserve">, with regard to the “unwillingness to perform the work or service,” this consists in the absence of consent or of free choice at the time of beginning or continuing the situation of </w:t>
      </w:r>
      <w:r w:rsidR="00030C17" w:rsidRPr="00FE50A6">
        <w:rPr>
          <w:lang w:val="en-US"/>
        </w:rPr>
        <w:t xml:space="preserve"> </w:t>
      </w:r>
      <w:r w:rsidR="005F1946" w:rsidRPr="00FE50A6">
        <w:rPr>
          <w:lang w:val="en-US"/>
        </w:rPr>
        <w:t>forced labor</w:t>
      </w:r>
      <w:r w:rsidR="00207197" w:rsidRPr="00FE50A6">
        <w:rPr>
          <w:lang w:val="en-US"/>
        </w:rPr>
        <w:t xml:space="preserve">. </w:t>
      </w:r>
      <w:r w:rsidRPr="00FE50A6">
        <w:rPr>
          <w:lang w:val="en-US"/>
        </w:rPr>
        <w:t>This can occur for different reasons, such as the unlawful deprivation of liberty, deception or psychological coercion.</w:t>
      </w:r>
      <w:r w:rsidR="00207197" w:rsidRPr="00FE50A6">
        <w:rPr>
          <w:rStyle w:val="Refdenotaalpie"/>
          <w:lang w:val="en-US"/>
        </w:rPr>
        <w:footnoteReference w:id="443"/>
      </w:r>
      <w:r w:rsidRPr="00FE50A6">
        <w:rPr>
          <w:lang w:val="en-US"/>
        </w:rPr>
        <w:t xml:space="preserve"> In the case of </w:t>
      </w:r>
      <w:r w:rsidR="004B1820" w:rsidRPr="00FE50A6">
        <w:rPr>
          <w:lang w:val="en-US"/>
        </w:rPr>
        <w:t>attribution</w:t>
      </w:r>
      <w:r w:rsidRPr="00FE50A6">
        <w:rPr>
          <w:lang w:val="en-US"/>
        </w:rPr>
        <w:t xml:space="preserve"> to State agents, the Court considers that this element is restricted to the obligation to respect the prohibition of forced labor, which was relevant in the case of the </w:t>
      </w:r>
      <w:r w:rsidRPr="00FE50A6">
        <w:rPr>
          <w:i/>
          <w:lang w:val="en-US"/>
        </w:rPr>
        <w:t>Ituango Massacres</w:t>
      </w:r>
      <w:r w:rsidRPr="00FE50A6">
        <w:rPr>
          <w:lang w:val="en-US"/>
        </w:rPr>
        <w:t xml:space="preserve"> due to the specific circumstances</w:t>
      </w:r>
      <w:r w:rsidR="004B1820" w:rsidRPr="00FE50A6">
        <w:rPr>
          <w:lang w:val="en-US"/>
        </w:rPr>
        <w:t xml:space="preserve"> of the case</w:t>
      </w:r>
      <w:r w:rsidRPr="00FE50A6">
        <w:rPr>
          <w:lang w:val="en-US"/>
        </w:rPr>
        <w:t xml:space="preserve">. </w:t>
      </w:r>
      <w:r w:rsidR="004B1820" w:rsidRPr="00FE50A6">
        <w:rPr>
          <w:lang w:val="en-US"/>
        </w:rPr>
        <w:t>However,</w:t>
      </w:r>
      <w:r w:rsidRPr="00FE50A6">
        <w:rPr>
          <w:lang w:val="en-US"/>
        </w:rPr>
        <w:t xml:space="preserve"> that element cannot be </w:t>
      </w:r>
      <w:r w:rsidR="004B1820" w:rsidRPr="00FE50A6">
        <w:rPr>
          <w:lang w:val="en-US"/>
        </w:rPr>
        <w:t>re</w:t>
      </w:r>
      <w:r w:rsidR="00BF60A9" w:rsidRPr="00FE50A6">
        <w:rPr>
          <w:lang w:val="en-US"/>
        </w:rPr>
        <w:t xml:space="preserve">tained when the alleged violation refers to the obligation to guarantee and to prevent harm to a human right established in the </w:t>
      </w:r>
      <w:r w:rsidR="000228D0" w:rsidRPr="00FE50A6">
        <w:rPr>
          <w:lang w:val="en-US"/>
        </w:rPr>
        <w:t>American Convention</w:t>
      </w:r>
      <w:r w:rsidR="000F72AF" w:rsidRPr="00FE50A6">
        <w:rPr>
          <w:lang w:val="en-US"/>
        </w:rPr>
        <w:t>; thus,</w:t>
      </w:r>
      <w:r w:rsidR="00BF60A9" w:rsidRPr="00FE50A6">
        <w:rPr>
          <w:lang w:val="en-US"/>
        </w:rPr>
        <w:t xml:space="preserve"> it is not necessary that the violation could be attributed to State agents in order to constitute</w:t>
      </w:r>
      <w:r w:rsidR="00207197" w:rsidRPr="00FE50A6">
        <w:rPr>
          <w:lang w:val="en-US"/>
        </w:rPr>
        <w:t xml:space="preserve"> </w:t>
      </w:r>
      <w:r w:rsidR="005F1946" w:rsidRPr="00FE50A6">
        <w:rPr>
          <w:lang w:val="en-US"/>
        </w:rPr>
        <w:t>forced labor</w:t>
      </w:r>
      <w:r w:rsidR="00207197" w:rsidRPr="00FE50A6">
        <w:rPr>
          <w:lang w:val="en-US"/>
        </w:rPr>
        <w:t xml:space="preserve">. </w:t>
      </w:r>
      <w:r w:rsidR="00BF60A9" w:rsidRPr="00FE50A6">
        <w:rPr>
          <w:lang w:val="en-US"/>
        </w:rPr>
        <w:t xml:space="preserve">In this regard, in the next section, the Court will establish the State’s obligations </w:t>
      </w:r>
      <w:r w:rsidR="000F72AF" w:rsidRPr="00FE50A6">
        <w:rPr>
          <w:lang w:val="en-US"/>
        </w:rPr>
        <w:t>in relation to</w:t>
      </w:r>
      <w:r w:rsidR="00BF60A9" w:rsidRPr="00FE50A6">
        <w:rPr>
          <w:lang w:val="en-US"/>
        </w:rPr>
        <w:t xml:space="preserve"> the prohibition of </w:t>
      </w:r>
      <w:r w:rsidR="00D11A9F" w:rsidRPr="00FE50A6">
        <w:rPr>
          <w:lang w:val="en-US"/>
        </w:rPr>
        <w:t>slavery</w:t>
      </w:r>
      <w:r w:rsidR="00207197" w:rsidRPr="00FE50A6">
        <w:rPr>
          <w:lang w:val="en-US"/>
        </w:rPr>
        <w:t xml:space="preserve">, </w:t>
      </w:r>
      <w:r w:rsidR="00BF60A9" w:rsidRPr="00FE50A6">
        <w:rPr>
          <w:lang w:val="en-US"/>
        </w:rPr>
        <w:t>servitude</w:t>
      </w:r>
      <w:r w:rsidR="00207197" w:rsidRPr="00FE50A6">
        <w:rPr>
          <w:lang w:val="en-US"/>
        </w:rPr>
        <w:t>,</w:t>
      </w:r>
      <w:r w:rsidR="00615E39" w:rsidRPr="00FE50A6">
        <w:rPr>
          <w:lang w:val="en-US"/>
        </w:rPr>
        <w:t xml:space="preserve"> </w:t>
      </w:r>
      <w:r w:rsidR="000C2A19" w:rsidRPr="00FE50A6">
        <w:rPr>
          <w:lang w:val="en-US"/>
        </w:rPr>
        <w:t>trafficking in persons</w:t>
      </w:r>
      <w:r w:rsidR="00030C17" w:rsidRPr="00FE50A6">
        <w:rPr>
          <w:lang w:val="en-US"/>
        </w:rPr>
        <w:t xml:space="preserve"> and </w:t>
      </w:r>
      <w:r w:rsidR="005F1946" w:rsidRPr="00FE50A6">
        <w:rPr>
          <w:lang w:val="en-US"/>
        </w:rPr>
        <w:t>forced labor</w:t>
      </w:r>
      <w:r w:rsidR="00207197" w:rsidRPr="00FE50A6">
        <w:rPr>
          <w:lang w:val="en-US"/>
        </w:rPr>
        <w:t xml:space="preserve">. </w:t>
      </w:r>
    </w:p>
    <w:p w14:paraId="2CC13A9F" w14:textId="77777777" w:rsidR="00207197" w:rsidRPr="00FE50A6" w:rsidRDefault="00207197" w:rsidP="00140440">
      <w:pPr>
        <w:jc w:val="both"/>
        <w:rPr>
          <w:szCs w:val="20"/>
          <w:lang w:val="en-US"/>
        </w:rPr>
      </w:pPr>
    </w:p>
    <w:p w14:paraId="0BF2A6CE" w14:textId="77777777" w:rsidR="00207197" w:rsidRPr="00FE50A6" w:rsidRDefault="00B21658" w:rsidP="005D2CE2">
      <w:pPr>
        <w:pStyle w:val="Ttulo3"/>
        <w:rPr>
          <w:lang w:val="en-US"/>
        </w:rPr>
      </w:pPr>
      <w:bookmarkStart w:id="322" w:name="_Toc464813965"/>
      <w:r w:rsidRPr="00FE50A6">
        <w:rPr>
          <w:lang w:val="en-US"/>
        </w:rPr>
        <w:t>B.</w:t>
      </w:r>
      <w:r w:rsidR="005D2CE2" w:rsidRPr="00FE50A6">
        <w:rPr>
          <w:lang w:val="en-US"/>
        </w:rPr>
        <w:t>7</w:t>
      </w:r>
      <w:r w:rsidR="00DC2886" w:rsidRPr="00FE50A6">
        <w:rPr>
          <w:lang w:val="en-US"/>
        </w:rPr>
        <w:t>.</w:t>
      </w:r>
      <w:r w:rsidR="00207197" w:rsidRPr="00FE50A6">
        <w:rPr>
          <w:lang w:val="en-US"/>
        </w:rPr>
        <w:t xml:space="preserve"> </w:t>
      </w:r>
      <w:r w:rsidR="00BF60A9" w:rsidRPr="00FE50A6">
        <w:rPr>
          <w:lang w:val="en-US"/>
        </w:rPr>
        <w:t>The facts of this case in light of the international standards</w:t>
      </w:r>
      <w:bookmarkEnd w:id="322"/>
    </w:p>
    <w:p w14:paraId="76F5D36C" w14:textId="77777777" w:rsidR="00207197" w:rsidRPr="00FE50A6" w:rsidRDefault="00207197" w:rsidP="00140440">
      <w:pPr>
        <w:jc w:val="both"/>
        <w:rPr>
          <w:szCs w:val="20"/>
          <w:lang w:val="en-US"/>
        </w:rPr>
      </w:pPr>
    </w:p>
    <w:p w14:paraId="4FBCC4FA" w14:textId="77777777" w:rsidR="00207197" w:rsidRPr="00FE50A6" w:rsidRDefault="00BF60A9" w:rsidP="00F37DC4">
      <w:pPr>
        <w:pStyle w:val="Prrafodelista"/>
        <w:numPr>
          <w:ilvl w:val="0"/>
          <w:numId w:val="1"/>
        </w:numPr>
        <w:contextualSpacing w:val="0"/>
        <w:rPr>
          <w:lang w:val="en-US"/>
        </w:rPr>
      </w:pPr>
      <w:r w:rsidRPr="00FE50A6">
        <w:rPr>
          <w:lang w:val="en-US"/>
        </w:rPr>
        <w:t xml:space="preserve">The Court will now examine the facts of this case to determine whether they correspond to any of the situations defined in the preceding sections. </w:t>
      </w:r>
      <w:r w:rsidR="000F72AF" w:rsidRPr="00FE50A6">
        <w:rPr>
          <w:lang w:val="en-US"/>
        </w:rPr>
        <w:t>After</w:t>
      </w:r>
      <w:r w:rsidRPr="00FE50A6">
        <w:rPr>
          <w:lang w:val="en-US"/>
        </w:rPr>
        <w:t xml:space="preserve"> determin</w:t>
      </w:r>
      <w:r w:rsidR="000F72AF" w:rsidRPr="00FE50A6">
        <w:rPr>
          <w:lang w:val="en-US"/>
        </w:rPr>
        <w:t>ing</w:t>
      </w:r>
      <w:r w:rsidRPr="00FE50A6">
        <w:rPr>
          <w:lang w:val="en-US"/>
        </w:rPr>
        <w:t xml:space="preserve"> the type of situation to which the presumed victims were subjected in </w:t>
      </w:r>
      <w:r w:rsidR="00207197" w:rsidRPr="00FE50A6">
        <w:rPr>
          <w:lang w:val="en-US"/>
        </w:rPr>
        <w:t xml:space="preserve">Hacienda </w:t>
      </w:r>
      <w:r w:rsidR="00322241" w:rsidRPr="00FE50A6">
        <w:rPr>
          <w:lang w:val="en-US"/>
        </w:rPr>
        <w:t>Brasil Verde</w:t>
      </w:r>
      <w:r w:rsidR="00207197" w:rsidRPr="00FE50A6">
        <w:rPr>
          <w:lang w:val="en-US"/>
        </w:rPr>
        <w:t xml:space="preserve">, </w:t>
      </w:r>
      <w:r w:rsidR="000228D0" w:rsidRPr="00FE50A6">
        <w:rPr>
          <w:lang w:val="en-US"/>
        </w:rPr>
        <w:t>the Court</w:t>
      </w:r>
      <w:r w:rsidR="00207197" w:rsidRPr="00FE50A6">
        <w:rPr>
          <w:lang w:val="en-US"/>
        </w:rPr>
        <w:t xml:space="preserve"> </w:t>
      </w:r>
      <w:r w:rsidRPr="00FE50A6">
        <w:rPr>
          <w:lang w:val="en-US"/>
        </w:rPr>
        <w:t>will describe the obligations of the State that may have been violated in this case.</w:t>
      </w:r>
    </w:p>
    <w:p w14:paraId="17DD96A5" w14:textId="77777777" w:rsidR="00207197" w:rsidRPr="00FE50A6" w:rsidRDefault="00207197" w:rsidP="00140440">
      <w:pPr>
        <w:pStyle w:val="Prrafodelista"/>
        <w:ind w:left="0"/>
        <w:rPr>
          <w:lang w:val="en-US"/>
        </w:rPr>
      </w:pPr>
      <w:r w:rsidRPr="00FE50A6">
        <w:rPr>
          <w:lang w:val="en-US"/>
        </w:rPr>
        <w:t xml:space="preserve"> </w:t>
      </w:r>
    </w:p>
    <w:p w14:paraId="2AE8FA08" w14:textId="77777777" w:rsidR="00207197" w:rsidRPr="00FE50A6" w:rsidRDefault="00207197" w:rsidP="00EC5C1A">
      <w:pPr>
        <w:pStyle w:val="Prrafodelista"/>
        <w:numPr>
          <w:ilvl w:val="0"/>
          <w:numId w:val="1"/>
        </w:numPr>
        <w:contextualSpacing w:val="0"/>
        <w:rPr>
          <w:lang w:val="en-US"/>
        </w:rPr>
      </w:pPr>
      <w:r w:rsidRPr="00FE50A6">
        <w:rPr>
          <w:lang w:val="en-US"/>
        </w:rPr>
        <w:t>Ini</w:t>
      </w:r>
      <w:r w:rsidR="00BF60A9" w:rsidRPr="00FE50A6">
        <w:rPr>
          <w:lang w:val="en-US"/>
        </w:rPr>
        <w:t>tially, it should be pointed out that there is no dispute between the parties about the historic</w:t>
      </w:r>
      <w:r w:rsidR="009308B1" w:rsidRPr="00FE50A6">
        <w:rPr>
          <w:lang w:val="en-US"/>
        </w:rPr>
        <w:t>al</w:t>
      </w:r>
      <w:r w:rsidR="00BF60A9" w:rsidRPr="00FE50A6">
        <w:rPr>
          <w:lang w:val="en-US"/>
        </w:rPr>
        <w:t xml:space="preserve"> evolution of the phenomenon of </w:t>
      </w:r>
      <w:r w:rsidR="00D11A9F" w:rsidRPr="00FE50A6">
        <w:rPr>
          <w:lang w:val="en-US"/>
        </w:rPr>
        <w:t>slavery</w:t>
      </w:r>
      <w:r w:rsidR="00E368FD" w:rsidRPr="00FE50A6">
        <w:rPr>
          <w:lang w:val="en-US"/>
        </w:rPr>
        <w:t xml:space="preserve"> in Brazil</w:t>
      </w:r>
      <w:r w:rsidR="00BF60A9" w:rsidRPr="00FE50A6">
        <w:rPr>
          <w:lang w:val="en-US"/>
        </w:rPr>
        <w:t>;</w:t>
      </w:r>
      <w:r w:rsidRPr="00FE50A6">
        <w:rPr>
          <w:lang w:val="en-US"/>
        </w:rPr>
        <w:t xml:space="preserve"> particular</w:t>
      </w:r>
      <w:r w:rsidR="000F72AF" w:rsidRPr="00FE50A6">
        <w:rPr>
          <w:lang w:val="en-US"/>
        </w:rPr>
        <w:t>ly</w:t>
      </w:r>
      <w:r w:rsidR="00BF60A9" w:rsidRPr="00FE50A6">
        <w:rPr>
          <w:lang w:val="en-US"/>
        </w:rPr>
        <w:t xml:space="preserve">, in rural areas. Furthermore, there is no dispute concerning the reports presented by the </w:t>
      </w:r>
      <w:r w:rsidR="00C61525" w:rsidRPr="00FE50A6">
        <w:rPr>
          <w:i/>
          <w:lang w:val="en-US"/>
        </w:rPr>
        <w:t xml:space="preserve">Comissão Pastoral da Terra </w:t>
      </w:r>
      <w:r w:rsidR="00030C17" w:rsidRPr="00FE50A6">
        <w:rPr>
          <w:i/>
          <w:lang w:val="en-US"/>
        </w:rPr>
        <w:t xml:space="preserve"> </w:t>
      </w:r>
      <w:r w:rsidR="00030C17" w:rsidRPr="00FE50A6">
        <w:rPr>
          <w:lang w:val="en-US"/>
        </w:rPr>
        <w:t xml:space="preserve">and </w:t>
      </w:r>
      <w:r w:rsidRPr="00FE50A6">
        <w:rPr>
          <w:lang w:val="en-US"/>
        </w:rPr>
        <w:t>o</w:t>
      </w:r>
      <w:r w:rsidR="00BF60A9" w:rsidRPr="00FE50A6">
        <w:rPr>
          <w:lang w:val="en-US"/>
        </w:rPr>
        <w:t>ther organisations, starting in the 1970s, about the occurrence of</w:t>
      </w:r>
      <w:r w:rsidRPr="00FE50A6">
        <w:rPr>
          <w:lang w:val="en-US"/>
        </w:rPr>
        <w:t xml:space="preserve"> </w:t>
      </w:r>
      <w:r w:rsidR="009C48A4" w:rsidRPr="00FE50A6">
        <w:rPr>
          <w:lang w:val="en-US"/>
        </w:rPr>
        <w:t>“</w:t>
      </w:r>
      <w:r w:rsidR="005F1946" w:rsidRPr="00FE50A6">
        <w:rPr>
          <w:lang w:val="en-US"/>
        </w:rPr>
        <w:t>slave labor</w:t>
      </w:r>
      <w:r w:rsidR="009C48A4" w:rsidRPr="00FE50A6">
        <w:rPr>
          <w:lang w:val="en-US"/>
        </w:rPr>
        <w:t>”</w:t>
      </w:r>
      <w:r w:rsidRPr="00FE50A6">
        <w:rPr>
          <w:lang w:val="en-US"/>
        </w:rPr>
        <w:t xml:space="preserve"> </w:t>
      </w:r>
      <w:r w:rsidR="00BF60A9" w:rsidRPr="00FE50A6">
        <w:rPr>
          <w:lang w:val="en-US"/>
        </w:rPr>
        <w:t xml:space="preserve">in the north and northeast of the country, or about Hacienda </w:t>
      </w:r>
      <w:r w:rsidR="00322241" w:rsidRPr="00FE50A6">
        <w:rPr>
          <w:lang w:val="en-US"/>
        </w:rPr>
        <w:t>Brasil Verde</w:t>
      </w:r>
      <w:r w:rsidRPr="00FE50A6">
        <w:rPr>
          <w:lang w:val="en-US"/>
        </w:rPr>
        <w:t xml:space="preserve"> </w:t>
      </w:r>
      <w:r w:rsidR="00BF60A9" w:rsidRPr="00FE50A6">
        <w:rPr>
          <w:lang w:val="en-US"/>
        </w:rPr>
        <w:t xml:space="preserve">specifically, from </w:t>
      </w:r>
      <w:r w:rsidRPr="00FE50A6">
        <w:rPr>
          <w:lang w:val="en-US"/>
        </w:rPr>
        <w:t xml:space="preserve">1988 </w:t>
      </w:r>
      <w:r w:rsidR="00BF60A9" w:rsidRPr="00FE50A6">
        <w:rPr>
          <w:lang w:val="en-US"/>
        </w:rPr>
        <w:t>to</w:t>
      </w:r>
      <w:r w:rsidRPr="00FE50A6">
        <w:rPr>
          <w:lang w:val="en-US"/>
        </w:rPr>
        <w:t xml:space="preserve"> 2000 (</w:t>
      </w:r>
      <w:r w:rsidRPr="00FE50A6">
        <w:rPr>
          <w:i/>
          <w:lang w:val="en-US"/>
        </w:rPr>
        <w:t xml:space="preserve">supra </w:t>
      </w:r>
      <w:r w:rsidR="00700B79" w:rsidRPr="00FE50A6">
        <w:rPr>
          <w:lang w:val="en-US"/>
        </w:rPr>
        <w:t>paras.</w:t>
      </w:r>
      <w:r w:rsidRPr="00FE50A6">
        <w:rPr>
          <w:lang w:val="en-US"/>
        </w:rPr>
        <w:t xml:space="preserve"> </w:t>
      </w:r>
      <w:r w:rsidR="00CE22AD" w:rsidRPr="00FE50A6">
        <w:rPr>
          <w:lang w:val="en-US"/>
        </w:rPr>
        <w:t>110</w:t>
      </w:r>
      <w:r w:rsidRPr="00FE50A6">
        <w:rPr>
          <w:lang w:val="en-US"/>
        </w:rPr>
        <w:t xml:space="preserve"> </w:t>
      </w:r>
      <w:r w:rsidR="00BF60A9" w:rsidRPr="00FE50A6">
        <w:rPr>
          <w:lang w:val="en-US"/>
        </w:rPr>
        <w:t>to</w:t>
      </w:r>
      <w:r w:rsidRPr="00FE50A6">
        <w:rPr>
          <w:lang w:val="en-US"/>
        </w:rPr>
        <w:t xml:space="preserve"> </w:t>
      </w:r>
      <w:r w:rsidR="00CE22AD" w:rsidRPr="00FE50A6">
        <w:rPr>
          <w:lang w:val="en-US"/>
        </w:rPr>
        <w:t>115</w:t>
      </w:r>
      <w:r w:rsidRPr="00FE50A6">
        <w:rPr>
          <w:lang w:val="en-US"/>
        </w:rPr>
        <w:t xml:space="preserve">). </w:t>
      </w:r>
      <w:r w:rsidR="00BF60A9" w:rsidRPr="00FE50A6">
        <w:rPr>
          <w:lang w:val="en-US"/>
        </w:rPr>
        <w:t xml:space="preserve">Lastly, the Court considers that there is no dispute regarding the fact that State agents did not participate actively and directly in the subjection of the workers to the alleged situation of </w:t>
      </w:r>
      <w:r w:rsidR="009C48A4" w:rsidRPr="00FE50A6">
        <w:rPr>
          <w:lang w:val="en-US"/>
        </w:rPr>
        <w:t>“</w:t>
      </w:r>
      <w:r w:rsidR="005F1946" w:rsidRPr="00FE50A6">
        <w:rPr>
          <w:lang w:val="en-US"/>
        </w:rPr>
        <w:t>slave labor</w:t>
      </w:r>
      <w:r w:rsidR="009C48A4" w:rsidRPr="00FE50A6">
        <w:rPr>
          <w:lang w:val="en-US"/>
        </w:rPr>
        <w:t>”</w:t>
      </w:r>
      <w:r w:rsidR="00B16982" w:rsidRPr="00FE50A6">
        <w:rPr>
          <w:lang w:val="en-US"/>
        </w:rPr>
        <w:t xml:space="preserve"> </w:t>
      </w:r>
      <w:r w:rsidR="00BF60A9" w:rsidRPr="00FE50A6">
        <w:rPr>
          <w:lang w:val="en-US"/>
        </w:rPr>
        <w:t>in</w:t>
      </w:r>
      <w:r w:rsidR="00B16982" w:rsidRPr="00FE50A6">
        <w:rPr>
          <w:lang w:val="en-US"/>
        </w:rPr>
        <w:t xml:space="preserve"> Hacienda </w:t>
      </w:r>
      <w:r w:rsidR="00322241" w:rsidRPr="00FE50A6">
        <w:rPr>
          <w:lang w:val="en-US"/>
        </w:rPr>
        <w:t>Brasil Verde</w:t>
      </w:r>
      <w:r w:rsidR="00B16982" w:rsidRPr="00FE50A6">
        <w:rPr>
          <w:lang w:val="en-US"/>
        </w:rPr>
        <w:t xml:space="preserve">, </w:t>
      </w:r>
      <w:r w:rsidR="00BF60A9" w:rsidRPr="00FE50A6">
        <w:rPr>
          <w:lang w:val="en-US"/>
        </w:rPr>
        <w:t>but rather this involved private third parties.</w:t>
      </w:r>
      <w:r w:rsidRPr="00FE50A6">
        <w:rPr>
          <w:lang w:val="en-US"/>
        </w:rPr>
        <w:t xml:space="preserve"> </w:t>
      </w:r>
    </w:p>
    <w:p w14:paraId="46CCC053" w14:textId="77777777" w:rsidR="00207197" w:rsidRPr="00FE50A6" w:rsidRDefault="00207197" w:rsidP="00140440">
      <w:pPr>
        <w:pStyle w:val="Prrafodelista"/>
        <w:ind w:left="0"/>
        <w:rPr>
          <w:lang w:val="en-US"/>
        </w:rPr>
      </w:pPr>
    </w:p>
    <w:p w14:paraId="37FB0B91" w14:textId="77777777" w:rsidR="00207197" w:rsidRPr="00FE50A6" w:rsidRDefault="000F72AF" w:rsidP="00F37DC4">
      <w:pPr>
        <w:pStyle w:val="Prrafodelista"/>
        <w:numPr>
          <w:ilvl w:val="0"/>
          <w:numId w:val="1"/>
        </w:numPr>
        <w:contextualSpacing w:val="0"/>
        <w:rPr>
          <w:lang w:val="en-US"/>
        </w:rPr>
      </w:pPr>
      <w:r w:rsidRPr="00FE50A6">
        <w:rPr>
          <w:lang w:val="en-US"/>
        </w:rPr>
        <w:t>Regarding</w:t>
      </w:r>
      <w:r w:rsidR="00BF60A9" w:rsidRPr="00FE50A6">
        <w:rPr>
          <w:lang w:val="en-US"/>
        </w:rPr>
        <w:t xml:space="preserve"> the specific facts of the case that were alleged to violate</w:t>
      </w:r>
      <w:r w:rsidR="00207197" w:rsidRPr="00FE50A6">
        <w:rPr>
          <w:lang w:val="en-US"/>
        </w:rPr>
        <w:t xml:space="preserve"> </w:t>
      </w:r>
      <w:r w:rsidR="00D2546E" w:rsidRPr="00FE50A6">
        <w:rPr>
          <w:lang w:val="en-US"/>
        </w:rPr>
        <w:t>Article</w:t>
      </w:r>
      <w:r w:rsidR="00207197" w:rsidRPr="00FE50A6">
        <w:rPr>
          <w:lang w:val="en-US"/>
        </w:rPr>
        <w:t xml:space="preserve"> </w:t>
      </w:r>
      <w:r w:rsidR="00090C6A" w:rsidRPr="00FE50A6">
        <w:rPr>
          <w:lang w:val="en-US"/>
        </w:rPr>
        <w:t>6(1)</w:t>
      </w:r>
      <w:r w:rsidR="000228D0" w:rsidRPr="00FE50A6">
        <w:rPr>
          <w:lang w:val="en-US"/>
        </w:rPr>
        <w:t xml:space="preserve"> of the American Convention</w:t>
      </w:r>
      <w:r w:rsidR="00207197" w:rsidRPr="00FE50A6">
        <w:rPr>
          <w:lang w:val="en-US"/>
        </w:rPr>
        <w:t xml:space="preserve">, </w:t>
      </w:r>
      <w:r w:rsidR="00BF60A9" w:rsidRPr="00FE50A6">
        <w:rPr>
          <w:lang w:val="en-US"/>
        </w:rPr>
        <w:t>following a careful examination of the case file and the evidence submitted by the parties to this litigation, the Court has established the relevant facts, and these are described below</w:t>
      </w:r>
      <w:r w:rsidR="00207197" w:rsidRPr="00FE50A6">
        <w:rPr>
          <w:lang w:val="en-US"/>
        </w:rPr>
        <w:t xml:space="preserve">. </w:t>
      </w:r>
    </w:p>
    <w:p w14:paraId="34F7843B" w14:textId="77777777" w:rsidR="00207197" w:rsidRPr="00FE50A6" w:rsidRDefault="00207197" w:rsidP="00140440">
      <w:pPr>
        <w:pStyle w:val="Prrafodelista"/>
        <w:ind w:left="0"/>
        <w:rPr>
          <w:lang w:val="en-US"/>
        </w:rPr>
      </w:pPr>
    </w:p>
    <w:p w14:paraId="16989B03" w14:textId="77777777" w:rsidR="00207197" w:rsidRPr="00FE50A6" w:rsidRDefault="00BF60A9" w:rsidP="00F37DC4">
      <w:pPr>
        <w:pStyle w:val="Prrafodelista"/>
        <w:numPr>
          <w:ilvl w:val="0"/>
          <w:numId w:val="1"/>
        </w:numPr>
        <w:contextualSpacing w:val="0"/>
        <w:rPr>
          <w:lang w:val="en-US"/>
        </w:rPr>
      </w:pPr>
      <w:r w:rsidRPr="00FE50A6">
        <w:rPr>
          <w:lang w:val="en-US"/>
        </w:rPr>
        <w:t>In February</w:t>
      </w:r>
      <w:r w:rsidR="007B5AFA" w:rsidRPr="00FE50A6">
        <w:rPr>
          <w:lang w:val="en-US"/>
        </w:rPr>
        <w:t xml:space="preserve"> </w:t>
      </w:r>
      <w:r w:rsidR="00207197" w:rsidRPr="00FE50A6">
        <w:rPr>
          <w:lang w:val="en-US"/>
        </w:rPr>
        <w:t xml:space="preserve">2000, </w:t>
      </w:r>
      <w:r w:rsidRPr="00FE50A6">
        <w:rPr>
          <w:lang w:val="en-US"/>
        </w:rPr>
        <w:t>the</w:t>
      </w:r>
      <w:r w:rsidR="00DB1C1D" w:rsidRPr="00FE50A6">
        <w:rPr>
          <w:i/>
          <w:lang w:val="en-US"/>
        </w:rPr>
        <w:t xml:space="preserve"> gato </w:t>
      </w:r>
      <w:r w:rsidRPr="00FE50A6">
        <w:rPr>
          <w:lang w:val="en-US"/>
        </w:rPr>
        <w:t>known as</w:t>
      </w:r>
      <w:r w:rsidR="00207197" w:rsidRPr="00FE50A6">
        <w:rPr>
          <w:lang w:val="en-US"/>
        </w:rPr>
        <w:t xml:space="preserve"> </w:t>
      </w:r>
      <w:r w:rsidR="009C48A4" w:rsidRPr="00FE50A6">
        <w:rPr>
          <w:lang w:val="en-US"/>
        </w:rPr>
        <w:t>“</w:t>
      </w:r>
      <w:r w:rsidR="00207197" w:rsidRPr="00FE50A6">
        <w:rPr>
          <w:lang w:val="en-US"/>
        </w:rPr>
        <w:t>Meladinho</w:t>
      </w:r>
      <w:r w:rsidR="009C48A4" w:rsidRPr="00FE50A6">
        <w:rPr>
          <w:lang w:val="en-US"/>
        </w:rPr>
        <w:t>”</w:t>
      </w:r>
      <w:r w:rsidR="00207197" w:rsidRPr="00FE50A6">
        <w:rPr>
          <w:lang w:val="en-US"/>
        </w:rPr>
        <w:t xml:space="preserve"> rec</w:t>
      </w:r>
      <w:r w:rsidRPr="00FE50A6">
        <w:rPr>
          <w:lang w:val="en-US"/>
        </w:rPr>
        <w:t xml:space="preserve">ruited dozens of workers in the municipality of </w:t>
      </w:r>
      <w:r w:rsidR="00207197" w:rsidRPr="00FE50A6">
        <w:rPr>
          <w:lang w:val="en-US"/>
        </w:rPr>
        <w:t xml:space="preserve">Barras, </w:t>
      </w:r>
      <w:r w:rsidRPr="00FE50A6">
        <w:rPr>
          <w:lang w:val="en-US"/>
        </w:rPr>
        <w:t>state of</w:t>
      </w:r>
      <w:r w:rsidR="00207197" w:rsidRPr="00FE50A6">
        <w:rPr>
          <w:lang w:val="en-US"/>
        </w:rPr>
        <w:t xml:space="preserve"> Piauí, </w:t>
      </w:r>
      <w:r w:rsidRPr="00FE50A6">
        <w:rPr>
          <w:lang w:val="en-US"/>
        </w:rPr>
        <w:t>to work in</w:t>
      </w:r>
      <w:r w:rsidR="00207197" w:rsidRPr="00FE50A6">
        <w:rPr>
          <w:lang w:val="en-US"/>
        </w:rPr>
        <w:t xml:space="preserve"> Hacienda </w:t>
      </w:r>
      <w:r w:rsidR="00322241" w:rsidRPr="00FE50A6">
        <w:rPr>
          <w:lang w:val="en-US"/>
        </w:rPr>
        <w:t>Brasil Verde</w:t>
      </w:r>
      <w:r w:rsidR="0073312C" w:rsidRPr="00FE50A6">
        <w:rPr>
          <w:lang w:val="en-US"/>
        </w:rPr>
        <w:t xml:space="preserve"> (</w:t>
      </w:r>
      <w:r w:rsidR="0073312C" w:rsidRPr="00FE50A6">
        <w:rPr>
          <w:i/>
          <w:lang w:val="en-US"/>
        </w:rPr>
        <w:t xml:space="preserve">supra </w:t>
      </w:r>
      <w:r w:rsidR="00700B79" w:rsidRPr="00FE50A6">
        <w:rPr>
          <w:lang w:val="en-US"/>
        </w:rPr>
        <w:t>para.</w:t>
      </w:r>
      <w:r w:rsidR="0073312C" w:rsidRPr="00FE50A6">
        <w:rPr>
          <w:lang w:val="en-US"/>
        </w:rPr>
        <w:t xml:space="preserve"> </w:t>
      </w:r>
      <w:r w:rsidR="00CE22AD" w:rsidRPr="00FE50A6">
        <w:rPr>
          <w:lang w:val="en-US"/>
        </w:rPr>
        <w:t>164</w:t>
      </w:r>
      <w:r w:rsidR="0073312C" w:rsidRPr="00FE50A6">
        <w:rPr>
          <w:lang w:val="en-US"/>
        </w:rPr>
        <w:t>)</w:t>
      </w:r>
      <w:r w:rsidR="00207197" w:rsidRPr="00FE50A6">
        <w:rPr>
          <w:lang w:val="en-US"/>
        </w:rPr>
        <w:t xml:space="preserve">. </w:t>
      </w:r>
    </w:p>
    <w:p w14:paraId="777F71D1" w14:textId="77777777" w:rsidR="00207197" w:rsidRPr="00FE50A6" w:rsidRDefault="00207197" w:rsidP="00140440">
      <w:pPr>
        <w:pStyle w:val="Prrafodelista"/>
        <w:ind w:left="0"/>
        <w:rPr>
          <w:lang w:val="en-US"/>
        </w:rPr>
      </w:pPr>
    </w:p>
    <w:p w14:paraId="6F3E53D0" w14:textId="77777777" w:rsidR="00207197" w:rsidRPr="00FE50A6" w:rsidRDefault="00BF60A9" w:rsidP="00F37DC4">
      <w:pPr>
        <w:pStyle w:val="Prrafodelista"/>
        <w:numPr>
          <w:ilvl w:val="0"/>
          <w:numId w:val="1"/>
        </w:numPr>
        <w:contextualSpacing w:val="0"/>
        <w:rPr>
          <w:lang w:val="en-US"/>
        </w:rPr>
      </w:pPr>
      <w:r w:rsidRPr="00FE50A6">
        <w:rPr>
          <w:lang w:val="en-US"/>
        </w:rPr>
        <w:t>To reach</w:t>
      </w:r>
      <w:r w:rsidR="00207197" w:rsidRPr="00FE50A6">
        <w:rPr>
          <w:lang w:val="en-US"/>
        </w:rPr>
        <w:t xml:space="preserve"> Hacienda </w:t>
      </w:r>
      <w:r w:rsidR="00322241" w:rsidRPr="00FE50A6">
        <w:rPr>
          <w:lang w:val="en-US"/>
        </w:rPr>
        <w:t>Brasil Verde</w:t>
      </w:r>
      <w:r w:rsidR="00207197" w:rsidRPr="00FE50A6">
        <w:rPr>
          <w:lang w:val="en-US"/>
        </w:rPr>
        <w:t xml:space="preserve">, </w:t>
      </w:r>
      <w:r w:rsidRPr="00FE50A6">
        <w:rPr>
          <w:lang w:val="en-US"/>
        </w:rPr>
        <w:t xml:space="preserve">the recruited workers traveled for around three days by bus, train and truck </w:t>
      </w:r>
      <w:r w:rsidR="0073312C" w:rsidRPr="00FE50A6">
        <w:rPr>
          <w:lang w:val="en-US"/>
        </w:rPr>
        <w:t>(</w:t>
      </w:r>
      <w:r w:rsidR="0073312C" w:rsidRPr="00FE50A6">
        <w:rPr>
          <w:i/>
          <w:lang w:val="en-US"/>
        </w:rPr>
        <w:t xml:space="preserve">supra </w:t>
      </w:r>
      <w:r w:rsidR="00700B79" w:rsidRPr="00FE50A6">
        <w:rPr>
          <w:lang w:val="en-US"/>
        </w:rPr>
        <w:t>para.</w:t>
      </w:r>
      <w:r w:rsidR="0073312C" w:rsidRPr="00FE50A6">
        <w:rPr>
          <w:lang w:val="en-US"/>
        </w:rPr>
        <w:t xml:space="preserve"> </w:t>
      </w:r>
      <w:r w:rsidR="00CE22AD" w:rsidRPr="00FE50A6">
        <w:rPr>
          <w:lang w:val="en-US"/>
        </w:rPr>
        <w:t>165</w:t>
      </w:r>
      <w:r w:rsidR="0073312C" w:rsidRPr="00FE50A6">
        <w:rPr>
          <w:lang w:val="en-US"/>
        </w:rPr>
        <w:t>)</w:t>
      </w:r>
      <w:r w:rsidR="00207197" w:rsidRPr="00FE50A6">
        <w:rPr>
          <w:lang w:val="en-US"/>
        </w:rPr>
        <w:t xml:space="preserve">. </w:t>
      </w:r>
      <w:r w:rsidRPr="00FE50A6">
        <w:rPr>
          <w:lang w:val="en-US"/>
        </w:rPr>
        <w:t xml:space="preserve">The workers also had to spend one night in a hotel located in </w:t>
      </w:r>
      <w:r w:rsidR="00207197" w:rsidRPr="00FE50A6">
        <w:rPr>
          <w:lang w:val="en-US"/>
        </w:rPr>
        <w:t xml:space="preserve">Xinguara, </w:t>
      </w:r>
      <w:r w:rsidRPr="00FE50A6">
        <w:rPr>
          <w:lang w:val="en-US"/>
        </w:rPr>
        <w:t xml:space="preserve">and incurred debts in this regard </w:t>
      </w:r>
      <w:r w:rsidR="0073312C" w:rsidRPr="00FE50A6">
        <w:rPr>
          <w:lang w:val="en-US"/>
        </w:rPr>
        <w:t>(</w:t>
      </w:r>
      <w:r w:rsidR="0073312C" w:rsidRPr="00FE50A6">
        <w:rPr>
          <w:i/>
          <w:lang w:val="en-US"/>
        </w:rPr>
        <w:t xml:space="preserve">supra </w:t>
      </w:r>
      <w:r w:rsidR="00700B79" w:rsidRPr="00FE50A6">
        <w:rPr>
          <w:lang w:val="en-US"/>
        </w:rPr>
        <w:t>para.</w:t>
      </w:r>
      <w:r w:rsidR="0073312C" w:rsidRPr="00FE50A6">
        <w:rPr>
          <w:lang w:val="en-US"/>
        </w:rPr>
        <w:t xml:space="preserve"> </w:t>
      </w:r>
      <w:r w:rsidR="00CE22AD" w:rsidRPr="00FE50A6">
        <w:rPr>
          <w:lang w:val="en-US"/>
        </w:rPr>
        <w:t>165</w:t>
      </w:r>
      <w:r w:rsidR="0073312C" w:rsidRPr="00FE50A6">
        <w:rPr>
          <w:lang w:val="en-US"/>
        </w:rPr>
        <w:t>)</w:t>
      </w:r>
      <w:r w:rsidR="00207197" w:rsidRPr="00FE50A6">
        <w:rPr>
          <w:lang w:val="en-US"/>
        </w:rPr>
        <w:t>.</w:t>
      </w:r>
    </w:p>
    <w:p w14:paraId="45223A30" w14:textId="77777777" w:rsidR="00207197" w:rsidRPr="00FE50A6" w:rsidRDefault="00207197" w:rsidP="00140440">
      <w:pPr>
        <w:pStyle w:val="Prrafodelista"/>
        <w:ind w:left="0"/>
        <w:rPr>
          <w:lang w:val="en-US"/>
        </w:rPr>
      </w:pPr>
    </w:p>
    <w:p w14:paraId="4D1F255E" w14:textId="77777777" w:rsidR="00207197" w:rsidRPr="00FE50A6" w:rsidRDefault="00BF60A9" w:rsidP="00F37DC4">
      <w:pPr>
        <w:pStyle w:val="Prrafodelista"/>
        <w:numPr>
          <w:ilvl w:val="0"/>
          <w:numId w:val="1"/>
        </w:numPr>
        <w:contextualSpacing w:val="0"/>
        <w:rPr>
          <w:lang w:val="en-US"/>
        </w:rPr>
      </w:pPr>
      <w:r w:rsidRPr="00FE50A6">
        <w:rPr>
          <w:lang w:val="en-US"/>
        </w:rPr>
        <w:t xml:space="preserve">When the workers arrived at </w:t>
      </w:r>
      <w:r w:rsidR="00207197" w:rsidRPr="00FE50A6">
        <w:rPr>
          <w:lang w:val="en-US"/>
        </w:rPr>
        <w:t xml:space="preserve">Hacienda </w:t>
      </w:r>
      <w:r w:rsidR="00322241" w:rsidRPr="00FE50A6">
        <w:rPr>
          <w:lang w:val="en-US"/>
        </w:rPr>
        <w:t>Brasil Verde</w:t>
      </w:r>
      <w:r w:rsidR="00207197" w:rsidRPr="00FE50A6">
        <w:rPr>
          <w:lang w:val="en-US"/>
        </w:rPr>
        <w:t xml:space="preserve"> </w:t>
      </w:r>
      <w:r w:rsidRPr="00FE50A6">
        <w:rPr>
          <w:lang w:val="en-US"/>
        </w:rPr>
        <w:t xml:space="preserve">they handed </w:t>
      </w:r>
      <w:r w:rsidR="000F72AF" w:rsidRPr="00FE50A6">
        <w:rPr>
          <w:lang w:val="en-US"/>
        </w:rPr>
        <w:t xml:space="preserve">over </w:t>
      </w:r>
      <w:r w:rsidRPr="00FE50A6">
        <w:rPr>
          <w:lang w:val="en-US"/>
        </w:rPr>
        <w:t xml:space="preserve">their </w:t>
      </w:r>
      <w:r w:rsidR="00C23CE5" w:rsidRPr="00FE50A6">
        <w:rPr>
          <w:lang w:val="en-US"/>
        </w:rPr>
        <w:t>work permits</w:t>
      </w:r>
      <w:r w:rsidRPr="00FE50A6">
        <w:rPr>
          <w:lang w:val="en-US"/>
        </w:rPr>
        <w:t xml:space="preserve"> to the manager, who obliged them to sign blank documents</w:t>
      </w:r>
      <w:r w:rsidR="00207197" w:rsidRPr="00FE50A6">
        <w:rPr>
          <w:lang w:val="en-US"/>
        </w:rPr>
        <w:t xml:space="preserve">. </w:t>
      </w:r>
      <w:r w:rsidRPr="00FE50A6">
        <w:rPr>
          <w:lang w:val="en-US"/>
        </w:rPr>
        <w:t xml:space="preserve">The State was aware of this practice from previous inspections </w:t>
      </w:r>
      <w:r w:rsidR="004C75FC" w:rsidRPr="00FE50A6">
        <w:rPr>
          <w:lang w:val="en-US"/>
        </w:rPr>
        <w:t>(</w:t>
      </w:r>
      <w:r w:rsidR="004C75FC" w:rsidRPr="00FE50A6">
        <w:rPr>
          <w:i/>
          <w:lang w:val="en-US"/>
        </w:rPr>
        <w:t xml:space="preserve">supra </w:t>
      </w:r>
      <w:r w:rsidR="00700B79" w:rsidRPr="00FE50A6">
        <w:rPr>
          <w:lang w:val="en-US"/>
        </w:rPr>
        <w:t>para.</w:t>
      </w:r>
      <w:r w:rsidR="004C75FC" w:rsidRPr="00FE50A6">
        <w:rPr>
          <w:lang w:val="en-US"/>
        </w:rPr>
        <w:t xml:space="preserve"> 166)</w:t>
      </w:r>
      <w:r w:rsidRPr="00FE50A6">
        <w:rPr>
          <w:lang w:val="en-US"/>
        </w:rPr>
        <w:t>.</w:t>
      </w:r>
      <w:r w:rsidR="00207197" w:rsidRPr="00FE50A6">
        <w:rPr>
          <w:rStyle w:val="Refdenotaalpie"/>
          <w:lang w:val="en-US"/>
        </w:rPr>
        <w:footnoteReference w:id="444"/>
      </w:r>
      <w:r w:rsidR="00207197" w:rsidRPr="00FE50A6">
        <w:rPr>
          <w:lang w:val="en-US"/>
        </w:rPr>
        <w:t xml:space="preserve"> </w:t>
      </w:r>
      <w:r w:rsidRPr="00FE50A6">
        <w:rPr>
          <w:lang w:val="en-US"/>
        </w:rPr>
        <w:t xml:space="preserve">In the case of presumed </w:t>
      </w:r>
      <w:proofErr w:type="gramStart"/>
      <w:r w:rsidRPr="00FE50A6">
        <w:rPr>
          <w:lang w:val="en-US"/>
        </w:rPr>
        <w:t xml:space="preserve">victim </w:t>
      </w:r>
      <w:r w:rsidR="00207197" w:rsidRPr="00FE50A6">
        <w:rPr>
          <w:lang w:val="en-US"/>
        </w:rPr>
        <w:t xml:space="preserve"> </w:t>
      </w:r>
      <w:r w:rsidR="00D60654" w:rsidRPr="00FE50A6">
        <w:rPr>
          <w:lang w:val="en-US"/>
        </w:rPr>
        <w:t>Antônio</w:t>
      </w:r>
      <w:proofErr w:type="gramEnd"/>
      <w:r w:rsidR="00D60654" w:rsidRPr="00FE50A6">
        <w:rPr>
          <w:lang w:val="en-US"/>
        </w:rPr>
        <w:t xml:space="preserve"> </w:t>
      </w:r>
      <w:r w:rsidR="00207197" w:rsidRPr="00FE50A6">
        <w:rPr>
          <w:lang w:val="en-US"/>
        </w:rPr>
        <w:t>Francisco da Silva,</w:t>
      </w:r>
      <w:r w:rsidRPr="00FE50A6">
        <w:rPr>
          <w:lang w:val="en-US"/>
        </w:rPr>
        <w:t xml:space="preserve"> the managers changed the date of birth recorded on his work permit so that it would appear that he was an adult and, thus, could work in the hacienda. </w:t>
      </w:r>
    </w:p>
    <w:p w14:paraId="3EE9707F" w14:textId="77777777" w:rsidR="00207197" w:rsidRPr="00FE50A6" w:rsidRDefault="00207197" w:rsidP="00140440">
      <w:pPr>
        <w:pStyle w:val="Prrafodelista"/>
        <w:ind w:left="0"/>
        <w:rPr>
          <w:lang w:val="en-US"/>
        </w:rPr>
      </w:pPr>
    </w:p>
    <w:p w14:paraId="1C8DA0D0" w14:textId="77777777" w:rsidR="00526541" w:rsidRPr="00FE50A6" w:rsidRDefault="00BF60A9" w:rsidP="00BF60A9">
      <w:pPr>
        <w:pStyle w:val="Prrafodelista"/>
        <w:numPr>
          <w:ilvl w:val="0"/>
          <w:numId w:val="1"/>
        </w:numPr>
        <w:contextualSpacing w:val="0"/>
        <w:rPr>
          <w:lang w:val="en-US"/>
        </w:rPr>
      </w:pPr>
      <w:r w:rsidRPr="00FE50A6">
        <w:rPr>
          <w:lang w:val="en-US"/>
        </w:rPr>
        <w:t>The statements obtained from the workers reveal that, on arriving at the</w:t>
      </w:r>
      <w:r w:rsidR="000F72AF" w:rsidRPr="00FE50A6">
        <w:rPr>
          <w:lang w:val="en-US"/>
        </w:rPr>
        <w:t xml:space="preserve"> </w:t>
      </w:r>
      <w:r w:rsidRPr="00FE50A6">
        <w:rPr>
          <w:lang w:val="en-US"/>
        </w:rPr>
        <w:t xml:space="preserve">hacienda, they realized that nothing that the </w:t>
      </w:r>
      <w:r w:rsidRPr="00FE50A6">
        <w:rPr>
          <w:i/>
          <w:lang w:val="en-US"/>
        </w:rPr>
        <w:t>gato</w:t>
      </w:r>
      <w:r w:rsidRPr="00FE50A6">
        <w:rPr>
          <w:lang w:val="en-US"/>
        </w:rPr>
        <w:t xml:space="preserve"> had offered was true </w:t>
      </w:r>
      <w:r w:rsidR="00BA5F4E" w:rsidRPr="00FE50A6">
        <w:rPr>
          <w:lang w:val="en-US"/>
        </w:rPr>
        <w:t>(</w:t>
      </w:r>
      <w:r w:rsidR="00BA5F4E" w:rsidRPr="00FE50A6">
        <w:rPr>
          <w:i/>
          <w:lang w:val="en-US"/>
        </w:rPr>
        <w:t xml:space="preserve">supra </w:t>
      </w:r>
      <w:r w:rsidR="00700B79" w:rsidRPr="00FE50A6">
        <w:rPr>
          <w:lang w:val="en-US"/>
        </w:rPr>
        <w:t>para.</w:t>
      </w:r>
      <w:r w:rsidR="00BA5F4E" w:rsidRPr="00FE50A6">
        <w:rPr>
          <w:lang w:val="en-US"/>
        </w:rPr>
        <w:t xml:space="preserve"> </w:t>
      </w:r>
      <w:r w:rsidR="004C75FC" w:rsidRPr="00FE50A6">
        <w:rPr>
          <w:lang w:val="en-US"/>
        </w:rPr>
        <w:t>166</w:t>
      </w:r>
      <w:r w:rsidR="00BA5F4E" w:rsidRPr="00FE50A6">
        <w:rPr>
          <w:lang w:val="en-US"/>
        </w:rPr>
        <w:t>).</w:t>
      </w:r>
      <w:r w:rsidR="005512DA" w:rsidRPr="00FE50A6">
        <w:rPr>
          <w:lang w:val="en-US"/>
        </w:rPr>
        <w:t xml:space="preserve"> </w:t>
      </w:r>
      <w:r w:rsidRPr="00FE50A6">
        <w:rPr>
          <w:lang w:val="en-US"/>
        </w:rPr>
        <w:t>Their living and working conditions were unhygienic and degrading. The food was insufficient and of poor quality. The water they</w:t>
      </w:r>
      <w:r w:rsidR="00C94E82" w:rsidRPr="00FE50A6">
        <w:rPr>
          <w:lang w:val="en-US"/>
        </w:rPr>
        <w:t xml:space="preserve"> used came from a small waterfall amid the vegetation, and it was stored in inadequate recipients and shared out in communal bottles (</w:t>
      </w:r>
      <w:r w:rsidR="00C94E82" w:rsidRPr="00FE50A6">
        <w:rPr>
          <w:i/>
          <w:lang w:val="en-US"/>
        </w:rPr>
        <w:t xml:space="preserve">supra </w:t>
      </w:r>
      <w:r w:rsidR="00C94E82" w:rsidRPr="00FE50A6">
        <w:rPr>
          <w:lang w:val="en-US"/>
        </w:rPr>
        <w:t xml:space="preserve">para. 167). The working </w:t>
      </w:r>
      <w:r w:rsidR="000F72AF" w:rsidRPr="00FE50A6">
        <w:rPr>
          <w:lang w:val="en-US"/>
        </w:rPr>
        <w:t>day</w:t>
      </w:r>
      <w:r w:rsidR="00C94E82" w:rsidRPr="00FE50A6">
        <w:rPr>
          <w:lang w:val="en-US"/>
        </w:rPr>
        <w:t xml:space="preserve"> was exhausting, lasting 12 hours or more every day except Sunday</w:t>
      </w:r>
      <w:r w:rsidR="00526541" w:rsidRPr="00FE50A6">
        <w:rPr>
          <w:lang w:val="en-US"/>
        </w:rPr>
        <w:t xml:space="preserve"> (</w:t>
      </w:r>
      <w:r w:rsidR="00526541" w:rsidRPr="00FE50A6">
        <w:rPr>
          <w:i/>
          <w:lang w:val="en-US"/>
        </w:rPr>
        <w:t xml:space="preserve">supra </w:t>
      </w:r>
      <w:r w:rsidR="00700B79" w:rsidRPr="00FE50A6">
        <w:rPr>
          <w:lang w:val="en-US"/>
        </w:rPr>
        <w:t>para.</w:t>
      </w:r>
      <w:r w:rsidR="00526541" w:rsidRPr="00FE50A6">
        <w:rPr>
          <w:lang w:val="en-US"/>
        </w:rPr>
        <w:t xml:space="preserve"> </w:t>
      </w:r>
      <w:r w:rsidR="00711223" w:rsidRPr="00FE50A6">
        <w:rPr>
          <w:lang w:val="en-US"/>
        </w:rPr>
        <w:t>168</w:t>
      </w:r>
      <w:r w:rsidR="00526541" w:rsidRPr="00FE50A6">
        <w:rPr>
          <w:lang w:val="en-US"/>
        </w:rPr>
        <w:t xml:space="preserve">). </w:t>
      </w:r>
    </w:p>
    <w:p w14:paraId="005F1BE4" w14:textId="77777777" w:rsidR="00526541" w:rsidRPr="00FE50A6" w:rsidRDefault="00526541" w:rsidP="00ED3AD0">
      <w:pPr>
        <w:pStyle w:val="Prrafodelista"/>
        <w:rPr>
          <w:lang w:val="en-US"/>
        </w:rPr>
      </w:pPr>
    </w:p>
    <w:p w14:paraId="5BBDA283" w14:textId="77777777" w:rsidR="00207197" w:rsidRPr="00FE50A6" w:rsidRDefault="00C94E82" w:rsidP="00363CDD">
      <w:pPr>
        <w:pStyle w:val="Prrafodelista"/>
        <w:numPr>
          <w:ilvl w:val="0"/>
          <w:numId w:val="1"/>
        </w:numPr>
        <w:contextualSpacing w:val="0"/>
        <w:rPr>
          <w:lang w:val="en-US"/>
        </w:rPr>
      </w:pPr>
      <w:r w:rsidRPr="00FE50A6">
        <w:rPr>
          <w:lang w:val="en-US"/>
        </w:rPr>
        <w:t xml:space="preserve">All the food they ate was noted down in a notebook </w:t>
      </w:r>
      <w:r w:rsidR="000F72AF" w:rsidRPr="00FE50A6">
        <w:rPr>
          <w:lang w:val="en-US"/>
        </w:rPr>
        <w:t>and</w:t>
      </w:r>
      <w:r w:rsidRPr="00FE50A6">
        <w:rPr>
          <w:lang w:val="en-US"/>
        </w:rPr>
        <w:t xml:space="preserve"> the</w:t>
      </w:r>
      <w:r w:rsidR="000F72AF" w:rsidRPr="00FE50A6">
        <w:rPr>
          <w:lang w:val="en-US"/>
        </w:rPr>
        <w:t xml:space="preserve"> cost was then</w:t>
      </w:r>
      <w:r w:rsidRPr="00FE50A6">
        <w:rPr>
          <w:lang w:val="en-US"/>
        </w:rPr>
        <w:t xml:space="preserve"> deduct</w:t>
      </w:r>
      <w:r w:rsidR="000F72AF" w:rsidRPr="00FE50A6">
        <w:rPr>
          <w:lang w:val="en-US"/>
        </w:rPr>
        <w:t>ed</w:t>
      </w:r>
      <w:r w:rsidRPr="00FE50A6">
        <w:rPr>
          <w:lang w:val="en-US"/>
        </w:rPr>
        <w:t xml:space="preserve"> from their salaries, which increased their debt to their employer </w:t>
      </w:r>
      <w:r w:rsidR="006F47BB" w:rsidRPr="00FE50A6">
        <w:rPr>
          <w:lang w:val="en-US"/>
        </w:rPr>
        <w:t>(</w:t>
      </w:r>
      <w:r w:rsidR="006F47BB" w:rsidRPr="00FE50A6">
        <w:rPr>
          <w:i/>
          <w:lang w:val="en-US"/>
        </w:rPr>
        <w:t xml:space="preserve">supra </w:t>
      </w:r>
      <w:r w:rsidR="00700B79" w:rsidRPr="00FE50A6">
        <w:rPr>
          <w:lang w:val="en-US"/>
        </w:rPr>
        <w:t>para.</w:t>
      </w:r>
      <w:r w:rsidR="006F47BB" w:rsidRPr="00FE50A6">
        <w:rPr>
          <w:lang w:val="en-US"/>
        </w:rPr>
        <w:t xml:space="preserve"> </w:t>
      </w:r>
      <w:r w:rsidR="00D508C2" w:rsidRPr="00FE50A6">
        <w:rPr>
          <w:lang w:val="en-US"/>
        </w:rPr>
        <w:t>167</w:t>
      </w:r>
      <w:r w:rsidR="006F47BB" w:rsidRPr="00FE50A6">
        <w:rPr>
          <w:lang w:val="en-US"/>
        </w:rPr>
        <w:t>).</w:t>
      </w:r>
      <w:r w:rsidR="00F46084" w:rsidRPr="00FE50A6">
        <w:rPr>
          <w:lang w:val="en-US"/>
        </w:rPr>
        <w:t xml:space="preserve"> </w:t>
      </w:r>
      <w:r w:rsidRPr="00FE50A6">
        <w:rPr>
          <w:lang w:val="en-US"/>
        </w:rPr>
        <w:t xml:space="preserve">In addition, the workers were obliged to work under the orders and threats of the </w:t>
      </w:r>
      <w:r w:rsidR="000F572B" w:rsidRPr="00FE50A6">
        <w:rPr>
          <w:lang w:val="en-US"/>
        </w:rPr>
        <w:t xml:space="preserve">hacienda </w:t>
      </w:r>
      <w:r w:rsidR="000F72AF" w:rsidRPr="00FE50A6">
        <w:rPr>
          <w:lang w:val="en-US"/>
        </w:rPr>
        <w:t>foremen</w:t>
      </w:r>
      <w:r w:rsidR="00526541" w:rsidRPr="00FE50A6">
        <w:rPr>
          <w:lang w:val="en-US"/>
        </w:rPr>
        <w:t xml:space="preserve">, </w:t>
      </w:r>
      <w:r w:rsidRPr="00FE50A6">
        <w:rPr>
          <w:lang w:val="en-US"/>
        </w:rPr>
        <w:t xml:space="preserve">who </w:t>
      </w:r>
      <w:r w:rsidR="000F72AF" w:rsidRPr="00FE50A6">
        <w:rPr>
          <w:lang w:val="en-US"/>
        </w:rPr>
        <w:t>were armed</w:t>
      </w:r>
      <w:r w:rsidRPr="00FE50A6">
        <w:rPr>
          <w:lang w:val="en-US"/>
        </w:rPr>
        <w:t xml:space="preserve"> and </w:t>
      </w:r>
      <w:r w:rsidR="000F72AF" w:rsidRPr="00FE50A6">
        <w:rPr>
          <w:lang w:val="en-US"/>
        </w:rPr>
        <w:t>guarded</w:t>
      </w:r>
      <w:r w:rsidRPr="00FE50A6">
        <w:rPr>
          <w:lang w:val="en-US"/>
        </w:rPr>
        <w:t xml:space="preserve"> them permanently </w:t>
      </w:r>
      <w:r w:rsidR="00526541" w:rsidRPr="00FE50A6">
        <w:rPr>
          <w:lang w:val="en-US"/>
        </w:rPr>
        <w:t>(</w:t>
      </w:r>
      <w:r w:rsidR="00526541" w:rsidRPr="00FE50A6">
        <w:rPr>
          <w:i/>
          <w:lang w:val="en-US"/>
        </w:rPr>
        <w:t xml:space="preserve">supra </w:t>
      </w:r>
      <w:r w:rsidR="00700B79" w:rsidRPr="00FE50A6">
        <w:rPr>
          <w:lang w:val="en-US"/>
        </w:rPr>
        <w:t>para.</w:t>
      </w:r>
      <w:r w:rsidR="00526541" w:rsidRPr="00FE50A6">
        <w:rPr>
          <w:lang w:val="en-US"/>
        </w:rPr>
        <w:t xml:space="preserve"> </w:t>
      </w:r>
      <w:r w:rsidR="00D508C2" w:rsidRPr="00FE50A6">
        <w:rPr>
          <w:lang w:val="en-US"/>
        </w:rPr>
        <w:t>171</w:t>
      </w:r>
      <w:r w:rsidR="00526541" w:rsidRPr="00FE50A6">
        <w:rPr>
          <w:lang w:val="en-US"/>
        </w:rPr>
        <w:t xml:space="preserve">). </w:t>
      </w:r>
      <w:r w:rsidRPr="00FE50A6">
        <w:rPr>
          <w:lang w:val="en-US"/>
        </w:rPr>
        <w:t xml:space="preserve">Consequently, the workers were prevented from leaving the hacienda if they needed to buy something and were obliged to ask the </w:t>
      </w:r>
      <w:r w:rsidR="000F572B" w:rsidRPr="00FE50A6">
        <w:rPr>
          <w:lang w:val="en-US"/>
        </w:rPr>
        <w:t xml:space="preserve">hacienda </w:t>
      </w:r>
      <w:r w:rsidR="000F72AF" w:rsidRPr="00FE50A6">
        <w:rPr>
          <w:lang w:val="en-US"/>
        </w:rPr>
        <w:t>foremen</w:t>
      </w:r>
      <w:r w:rsidRPr="00FE50A6">
        <w:rPr>
          <w:lang w:val="en-US"/>
        </w:rPr>
        <w:t xml:space="preserve"> to make the corresponding purchase</w:t>
      </w:r>
      <w:r w:rsidR="000F72AF" w:rsidRPr="00FE50A6">
        <w:rPr>
          <w:lang w:val="en-US"/>
        </w:rPr>
        <w:t>s</w:t>
      </w:r>
      <w:r w:rsidRPr="00FE50A6">
        <w:rPr>
          <w:lang w:val="en-US"/>
        </w:rPr>
        <w:t>, with the respective deduction from their salary</w:t>
      </w:r>
      <w:r w:rsidR="00687C31" w:rsidRPr="00FE50A6">
        <w:rPr>
          <w:lang w:val="en-US"/>
        </w:rPr>
        <w:t xml:space="preserve"> (</w:t>
      </w:r>
      <w:r w:rsidR="00687C31" w:rsidRPr="00FE50A6">
        <w:rPr>
          <w:i/>
          <w:lang w:val="en-US"/>
        </w:rPr>
        <w:t xml:space="preserve">supra </w:t>
      </w:r>
      <w:r w:rsidR="00700B79" w:rsidRPr="00FE50A6">
        <w:rPr>
          <w:lang w:val="en-US"/>
        </w:rPr>
        <w:t>para.</w:t>
      </w:r>
      <w:r w:rsidR="00687C31" w:rsidRPr="00FE50A6">
        <w:rPr>
          <w:lang w:val="en-US"/>
        </w:rPr>
        <w:t xml:space="preserve"> </w:t>
      </w:r>
      <w:r w:rsidR="00D508C2" w:rsidRPr="00FE50A6">
        <w:rPr>
          <w:lang w:val="en-US"/>
        </w:rPr>
        <w:t>172</w:t>
      </w:r>
      <w:r w:rsidR="00687C31" w:rsidRPr="00FE50A6">
        <w:rPr>
          <w:lang w:val="en-US"/>
        </w:rPr>
        <w:t>)</w:t>
      </w:r>
      <w:r w:rsidR="00207197" w:rsidRPr="00FE50A6">
        <w:rPr>
          <w:lang w:val="en-US"/>
        </w:rPr>
        <w:t xml:space="preserve">. </w:t>
      </w:r>
    </w:p>
    <w:p w14:paraId="15106DA3" w14:textId="77777777" w:rsidR="00207197" w:rsidRPr="00FE50A6" w:rsidRDefault="00207197" w:rsidP="00140440">
      <w:pPr>
        <w:pStyle w:val="Prrafodelista"/>
        <w:ind w:left="0"/>
        <w:rPr>
          <w:lang w:val="en-US"/>
        </w:rPr>
      </w:pPr>
    </w:p>
    <w:p w14:paraId="324AB33F" w14:textId="77777777" w:rsidR="00207197" w:rsidRPr="00FE50A6" w:rsidRDefault="000F72AF" w:rsidP="00C94E82">
      <w:pPr>
        <w:pStyle w:val="Prrafodelista"/>
        <w:numPr>
          <w:ilvl w:val="0"/>
          <w:numId w:val="1"/>
        </w:numPr>
        <w:contextualSpacing w:val="0"/>
        <w:rPr>
          <w:lang w:val="en-US"/>
        </w:rPr>
      </w:pPr>
      <w:r w:rsidRPr="00FE50A6">
        <w:rPr>
          <w:lang w:val="en-US"/>
        </w:rPr>
        <w:t>Owing to the situation in which the workers found themselves, they longed to escape from the hacienda</w:t>
      </w:r>
      <w:r w:rsidR="00C94E82" w:rsidRPr="00FE50A6">
        <w:rPr>
          <w:lang w:val="en-US"/>
        </w:rPr>
        <w:t>. However, the surveillance to which they were subject, added to the lack of a salary, and the isolated location of the hacienda with the presence of wild animals in the surrounding areas, prevented them from returning home</w:t>
      </w:r>
      <w:r w:rsidR="001532EE" w:rsidRPr="00FE50A6">
        <w:rPr>
          <w:lang w:val="en-US"/>
        </w:rPr>
        <w:t xml:space="preserve"> (</w:t>
      </w:r>
      <w:r w:rsidR="001532EE" w:rsidRPr="00FE50A6">
        <w:rPr>
          <w:i/>
          <w:lang w:val="en-US"/>
        </w:rPr>
        <w:t xml:space="preserve">supra </w:t>
      </w:r>
      <w:r w:rsidR="00700B79" w:rsidRPr="00FE50A6">
        <w:rPr>
          <w:lang w:val="en-US"/>
        </w:rPr>
        <w:t>para.</w:t>
      </w:r>
      <w:r w:rsidR="001532EE" w:rsidRPr="00FE50A6">
        <w:rPr>
          <w:lang w:val="en-US"/>
        </w:rPr>
        <w:t xml:space="preserve"> 173)</w:t>
      </w:r>
      <w:r w:rsidR="00207197" w:rsidRPr="00FE50A6">
        <w:rPr>
          <w:lang w:val="en-US"/>
        </w:rPr>
        <w:t xml:space="preserve">. </w:t>
      </w:r>
      <w:r w:rsidR="00D608DD" w:rsidRPr="00FE50A6">
        <w:rPr>
          <w:lang w:val="en-US"/>
        </w:rPr>
        <w:t xml:space="preserve"> </w:t>
      </w:r>
      <w:r w:rsidR="00C94E82" w:rsidRPr="00FE50A6">
        <w:rPr>
          <w:lang w:val="en-US"/>
        </w:rPr>
        <w:t>T</w:t>
      </w:r>
      <w:r w:rsidR="00F8114C" w:rsidRPr="00FE50A6">
        <w:rPr>
          <w:lang w:val="en-US"/>
        </w:rPr>
        <w:t>he Public</w:t>
      </w:r>
      <w:r w:rsidR="006B2842" w:rsidRPr="00FE50A6">
        <w:rPr>
          <w:lang w:val="en-US"/>
        </w:rPr>
        <w:t xml:space="preserve"> Prosecution Service</w:t>
      </w:r>
      <w:r w:rsidR="00D608DD" w:rsidRPr="00FE50A6">
        <w:rPr>
          <w:lang w:val="en-US"/>
        </w:rPr>
        <w:t xml:space="preserve"> </w:t>
      </w:r>
      <w:r w:rsidR="00C94E82" w:rsidRPr="00FE50A6">
        <w:rPr>
          <w:lang w:val="en-US"/>
        </w:rPr>
        <w:t xml:space="preserve">characterized this as a “private prison system” </w:t>
      </w:r>
      <w:r w:rsidR="00D608DD" w:rsidRPr="00FE50A6">
        <w:rPr>
          <w:lang w:val="en-US"/>
        </w:rPr>
        <w:t>(</w:t>
      </w:r>
      <w:r w:rsidR="00D608DD" w:rsidRPr="00FE50A6">
        <w:rPr>
          <w:i/>
          <w:lang w:val="en-US"/>
        </w:rPr>
        <w:t xml:space="preserve">supra </w:t>
      </w:r>
      <w:r w:rsidR="00700B79" w:rsidRPr="00FE50A6">
        <w:rPr>
          <w:lang w:val="en-US"/>
        </w:rPr>
        <w:t>para.</w:t>
      </w:r>
      <w:r w:rsidR="00D608DD" w:rsidRPr="00FE50A6">
        <w:rPr>
          <w:lang w:val="en-US"/>
        </w:rPr>
        <w:t xml:space="preserve"> </w:t>
      </w:r>
      <w:r w:rsidR="001532EE" w:rsidRPr="00FE50A6">
        <w:rPr>
          <w:lang w:val="en-US"/>
        </w:rPr>
        <w:t>179</w:t>
      </w:r>
      <w:r w:rsidR="00D608DD" w:rsidRPr="00FE50A6">
        <w:rPr>
          <w:lang w:val="en-US"/>
        </w:rPr>
        <w:t>).</w:t>
      </w:r>
    </w:p>
    <w:p w14:paraId="76CB5817" w14:textId="77777777" w:rsidR="00D608DD" w:rsidRPr="00FE50A6" w:rsidRDefault="00D608DD" w:rsidP="00ED3AD0">
      <w:pPr>
        <w:pStyle w:val="Prrafodelista"/>
        <w:rPr>
          <w:lang w:val="en-US"/>
        </w:rPr>
      </w:pPr>
    </w:p>
    <w:p w14:paraId="71FF733F" w14:textId="77777777" w:rsidR="00D608DD" w:rsidRPr="00FE50A6" w:rsidRDefault="00C94E82" w:rsidP="00C94E82">
      <w:pPr>
        <w:pStyle w:val="Prrafodelista"/>
        <w:numPr>
          <w:ilvl w:val="0"/>
          <w:numId w:val="1"/>
        </w:numPr>
        <w:contextualSpacing w:val="0"/>
        <w:rPr>
          <w:lang w:val="en-US"/>
        </w:rPr>
      </w:pPr>
      <w:r w:rsidRPr="00FE50A6">
        <w:rPr>
          <w:lang w:val="en-US"/>
        </w:rPr>
        <w:t>The description of the facts in the preceding paragraphs underscores the existence of a mechanism to recruit workers using fraud and deception. The Court also considers</w:t>
      </w:r>
      <w:r w:rsidR="00CC4509" w:rsidRPr="00FE50A6">
        <w:rPr>
          <w:lang w:val="en-US"/>
        </w:rPr>
        <w:t xml:space="preserve"> that the facts of the case indicate the existence of a situation of debt bondage because, from the moment the workers received the money advanced by the </w:t>
      </w:r>
      <w:r w:rsidR="00CC4509" w:rsidRPr="00FE50A6">
        <w:rPr>
          <w:i/>
          <w:lang w:val="en-US"/>
        </w:rPr>
        <w:t>gato</w:t>
      </w:r>
      <w:r w:rsidR="00CC4509" w:rsidRPr="00FE50A6">
        <w:rPr>
          <w:lang w:val="en-US"/>
        </w:rPr>
        <w:t xml:space="preserve">, until they received their paltry salaries with the deductions for food, medicines and other products, they were </w:t>
      </w:r>
      <w:r w:rsidR="000F72AF" w:rsidRPr="00FE50A6">
        <w:rPr>
          <w:lang w:val="en-US"/>
        </w:rPr>
        <w:t>contracting</w:t>
      </w:r>
      <w:r w:rsidR="00CC4509" w:rsidRPr="00FE50A6">
        <w:rPr>
          <w:lang w:val="en-US"/>
        </w:rPr>
        <w:t xml:space="preserve"> a debt that they could never repay. As an aggravating factor to this system known </w:t>
      </w:r>
      <w:r w:rsidR="000F72AF" w:rsidRPr="00FE50A6">
        <w:rPr>
          <w:iCs/>
          <w:lang w:val="en-US"/>
        </w:rPr>
        <w:t>in some countries</w:t>
      </w:r>
      <w:r w:rsidR="000F72AF" w:rsidRPr="00FE50A6">
        <w:rPr>
          <w:lang w:val="en-US"/>
        </w:rPr>
        <w:t xml:space="preserve"> </w:t>
      </w:r>
      <w:r w:rsidR="00CC4509" w:rsidRPr="00FE50A6">
        <w:rPr>
          <w:lang w:val="en-US"/>
        </w:rPr>
        <w:t xml:space="preserve">as the “truck system,” “peonage or debt slavery” or “system of </w:t>
      </w:r>
      <w:r w:rsidR="00CC4509" w:rsidRPr="00FE50A6">
        <w:rPr>
          <w:i/>
          <w:iCs/>
          <w:lang w:val="en-US"/>
        </w:rPr>
        <w:t>barracão</w:t>
      </w:r>
      <w:r w:rsidR="000F72AF" w:rsidRPr="00FE50A6">
        <w:rPr>
          <w:i/>
          <w:iCs/>
          <w:lang w:val="en-US"/>
        </w:rPr>
        <w:t>,</w:t>
      </w:r>
      <w:r w:rsidR="00CC4509" w:rsidRPr="00FE50A6">
        <w:rPr>
          <w:iCs/>
          <w:lang w:val="en-US"/>
        </w:rPr>
        <w:t>” the workers were subjected to ex</w:t>
      </w:r>
      <w:r w:rsidR="000F72AF" w:rsidRPr="00FE50A6">
        <w:rPr>
          <w:iCs/>
          <w:lang w:val="en-US"/>
        </w:rPr>
        <w:t>cessive</w:t>
      </w:r>
      <w:r w:rsidR="00CC4509" w:rsidRPr="00FE50A6">
        <w:rPr>
          <w:iCs/>
          <w:lang w:val="en-US"/>
        </w:rPr>
        <w:t xml:space="preserve"> working </w:t>
      </w:r>
      <w:r w:rsidR="000F72AF" w:rsidRPr="00FE50A6">
        <w:rPr>
          <w:iCs/>
          <w:lang w:val="en-US"/>
        </w:rPr>
        <w:t>hours</w:t>
      </w:r>
      <w:r w:rsidR="00CC4509" w:rsidRPr="00FE50A6">
        <w:rPr>
          <w:iCs/>
          <w:lang w:val="en-US"/>
        </w:rPr>
        <w:t xml:space="preserve"> </w:t>
      </w:r>
      <w:r w:rsidR="00B64FC9" w:rsidRPr="00FE50A6">
        <w:rPr>
          <w:iCs/>
          <w:lang w:val="en-US"/>
        </w:rPr>
        <w:t>by</w:t>
      </w:r>
      <w:r w:rsidR="00CC4509" w:rsidRPr="00FE50A6">
        <w:rPr>
          <w:iCs/>
          <w:lang w:val="en-US"/>
        </w:rPr>
        <w:t xml:space="preserve"> threat</w:t>
      </w:r>
      <w:r w:rsidR="00B64FC9" w:rsidRPr="00FE50A6">
        <w:rPr>
          <w:iCs/>
          <w:lang w:val="en-US"/>
        </w:rPr>
        <w:t>s</w:t>
      </w:r>
      <w:r w:rsidR="00CC4509" w:rsidRPr="00FE50A6">
        <w:rPr>
          <w:iCs/>
          <w:lang w:val="en-US"/>
        </w:rPr>
        <w:t xml:space="preserve"> and violence, while living in degrading conditions. In addition, the workers had no possibility of being able to escape from this situation owing to: (i) the presence of armed guards; (ii) the restrictions to leaving the hacienda without paying off their debts; (iii) the physical and psychological coercion by </w:t>
      </w:r>
      <w:r w:rsidR="00CC4509" w:rsidRPr="00FE50A6">
        <w:rPr>
          <w:i/>
          <w:iCs/>
          <w:lang w:val="en-US"/>
        </w:rPr>
        <w:t>gatos</w:t>
      </w:r>
      <w:r w:rsidR="00CC4509" w:rsidRPr="00FE50A6">
        <w:rPr>
          <w:iCs/>
          <w:lang w:val="en-US"/>
        </w:rPr>
        <w:t xml:space="preserve"> and security guards, and (iv) the fear of reprisals and </w:t>
      </w:r>
      <w:r w:rsidR="00B64FC9" w:rsidRPr="00FE50A6">
        <w:rPr>
          <w:iCs/>
          <w:lang w:val="en-US"/>
        </w:rPr>
        <w:t xml:space="preserve">of </w:t>
      </w:r>
      <w:r w:rsidR="00CC4509" w:rsidRPr="00FE50A6">
        <w:rPr>
          <w:iCs/>
          <w:lang w:val="en-US"/>
        </w:rPr>
        <w:t>d</w:t>
      </w:r>
      <w:r w:rsidR="00B64FC9" w:rsidRPr="00FE50A6">
        <w:rPr>
          <w:iCs/>
          <w:lang w:val="en-US"/>
        </w:rPr>
        <w:t>ying</w:t>
      </w:r>
      <w:r w:rsidR="00CC4509" w:rsidRPr="00FE50A6">
        <w:rPr>
          <w:iCs/>
          <w:lang w:val="en-US"/>
        </w:rPr>
        <w:t xml:space="preserve"> in the forest if their tried to flee. These conditions were magnified by the situation of vulnerability of the workers, who were mostly illiterate</w:t>
      </w:r>
      <w:r w:rsidR="00B64FC9" w:rsidRPr="00FE50A6">
        <w:rPr>
          <w:iCs/>
          <w:lang w:val="en-US"/>
        </w:rPr>
        <w:t xml:space="preserve"> and</w:t>
      </w:r>
      <w:r w:rsidR="00CC4509" w:rsidRPr="00FE50A6">
        <w:rPr>
          <w:iCs/>
          <w:lang w:val="en-US"/>
        </w:rPr>
        <w:t xml:space="preserve"> from a </w:t>
      </w:r>
      <w:r w:rsidR="00B64FC9" w:rsidRPr="00FE50A6">
        <w:rPr>
          <w:iCs/>
          <w:lang w:val="en-US"/>
        </w:rPr>
        <w:t xml:space="preserve">distant </w:t>
      </w:r>
      <w:r w:rsidR="004B0B1B" w:rsidRPr="00FE50A6">
        <w:rPr>
          <w:iCs/>
          <w:lang w:val="en-US"/>
        </w:rPr>
        <w:t>region of the country, who had no knowledge of the area surrounding</w:t>
      </w:r>
      <w:r w:rsidR="004B0B1B" w:rsidRPr="00FE50A6">
        <w:rPr>
          <w:lang w:val="en-US"/>
        </w:rPr>
        <w:t xml:space="preserve"> </w:t>
      </w:r>
      <w:r w:rsidR="00D608DD" w:rsidRPr="00FE50A6">
        <w:rPr>
          <w:lang w:val="en-US"/>
        </w:rPr>
        <w:t xml:space="preserve">Hacienda </w:t>
      </w:r>
      <w:r w:rsidR="00322241" w:rsidRPr="00FE50A6">
        <w:rPr>
          <w:lang w:val="en-US"/>
        </w:rPr>
        <w:t>Brasil Verde</w:t>
      </w:r>
      <w:r w:rsidR="00030C17" w:rsidRPr="00FE50A6">
        <w:rPr>
          <w:lang w:val="en-US"/>
        </w:rPr>
        <w:t xml:space="preserve"> and </w:t>
      </w:r>
      <w:r w:rsidR="004B0B1B" w:rsidRPr="00FE50A6">
        <w:rPr>
          <w:lang w:val="en-US"/>
        </w:rPr>
        <w:t>who were subjected to inhumane living conditions</w:t>
      </w:r>
      <w:r w:rsidR="00D608DD" w:rsidRPr="00FE50A6">
        <w:rPr>
          <w:lang w:val="en-US"/>
        </w:rPr>
        <w:t xml:space="preserve">.  </w:t>
      </w:r>
    </w:p>
    <w:p w14:paraId="6FF532B1" w14:textId="77777777" w:rsidR="00207197" w:rsidRPr="00FE50A6" w:rsidRDefault="00207197" w:rsidP="00A4639F">
      <w:pPr>
        <w:pStyle w:val="Prrafodelista"/>
        <w:ind w:left="0"/>
        <w:contextualSpacing w:val="0"/>
        <w:rPr>
          <w:lang w:val="en-US"/>
        </w:rPr>
      </w:pPr>
    </w:p>
    <w:p w14:paraId="2CA6A56A" w14:textId="77777777" w:rsidR="000968FA" w:rsidRPr="00FE50A6" w:rsidRDefault="004B0B1B" w:rsidP="004B0B1B">
      <w:pPr>
        <w:pStyle w:val="Prrafodelista"/>
        <w:numPr>
          <w:ilvl w:val="0"/>
          <w:numId w:val="1"/>
        </w:numPr>
        <w:contextualSpacing w:val="0"/>
        <w:rPr>
          <w:lang w:val="en-US"/>
        </w:rPr>
      </w:pPr>
      <w:r w:rsidRPr="00FE50A6">
        <w:rPr>
          <w:lang w:val="en-US"/>
        </w:rPr>
        <w:t xml:space="preserve">In view of the foregoing, the Court finds it evident that the workers rescued from </w:t>
      </w:r>
      <w:r w:rsidR="007F49A4" w:rsidRPr="00FE50A6">
        <w:rPr>
          <w:lang w:val="en-US"/>
        </w:rPr>
        <w:t xml:space="preserve">Hacienda </w:t>
      </w:r>
      <w:r w:rsidR="00322241" w:rsidRPr="00FE50A6">
        <w:rPr>
          <w:lang w:val="en-US"/>
        </w:rPr>
        <w:t>Brasil Verde</w:t>
      </w:r>
      <w:r w:rsidR="007F49A4" w:rsidRPr="00FE50A6">
        <w:rPr>
          <w:lang w:val="en-US"/>
        </w:rPr>
        <w:t xml:space="preserve"> </w:t>
      </w:r>
      <w:r w:rsidRPr="00FE50A6">
        <w:rPr>
          <w:lang w:val="en-US"/>
        </w:rPr>
        <w:t xml:space="preserve">were in a situation of </w:t>
      </w:r>
      <w:r w:rsidR="005F1946" w:rsidRPr="00FE50A6">
        <w:rPr>
          <w:lang w:val="en-US"/>
        </w:rPr>
        <w:t>debt bondage</w:t>
      </w:r>
      <w:r w:rsidR="007F49A4" w:rsidRPr="00FE50A6">
        <w:rPr>
          <w:lang w:val="en-US"/>
        </w:rPr>
        <w:t xml:space="preserve"> </w:t>
      </w:r>
      <w:r w:rsidRPr="00FE50A6">
        <w:rPr>
          <w:lang w:val="en-US"/>
        </w:rPr>
        <w:t xml:space="preserve">and subject to forced labor. Nevertheless, the Court considers that the specific characteristics of the situation to which the 85 workers rescued on March 15, 2000, were subjected exceeds the limits of debt bondage and forced labor, and meets the strictest criteria of the definition of slavery established by </w:t>
      </w:r>
      <w:r w:rsidR="000228D0" w:rsidRPr="00FE50A6">
        <w:rPr>
          <w:lang w:val="en-US"/>
        </w:rPr>
        <w:t>the Court</w:t>
      </w:r>
      <w:r w:rsidR="007F49A4" w:rsidRPr="00FE50A6">
        <w:rPr>
          <w:lang w:val="en-US"/>
        </w:rPr>
        <w:t xml:space="preserve"> (</w:t>
      </w:r>
      <w:r w:rsidR="007F49A4" w:rsidRPr="00FE50A6">
        <w:rPr>
          <w:i/>
          <w:iCs/>
          <w:lang w:val="en-US"/>
        </w:rPr>
        <w:t xml:space="preserve">supra </w:t>
      </w:r>
      <w:r w:rsidR="00700B79" w:rsidRPr="00FE50A6">
        <w:rPr>
          <w:lang w:val="en-US"/>
        </w:rPr>
        <w:t>para.</w:t>
      </w:r>
      <w:r w:rsidR="007F49A4" w:rsidRPr="00FE50A6">
        <w:rPr>
          <w:lang w:val="en-US"/>
        </w:rPr>
        <w:t xml:space="preserve"> </w:t>
      </w:r>
      <w:r w:rsidR="003E0D27" w:rsidRPr="00FE50A6">
        <w:rPr>
          <w:lang w:val="en-US"/>
        </w:rPr>
        <w:t>2</w:t>
      </w:r>
      <w:r w:rsidR="00C02C35" w:rsidRPr="00FE50A6">
        <w:rPr>
          <w:lang w:val="en-US"/>
        </w:rPr>
        <w:t>72</w:t>
      </w:r>
      <w:r w:rsidR="007F49A4" w:rsidRPr="00FE50A6">
        <w:rPr>
          <w:lang w:val="en-US"/>
        </w:rPr>
        <w:t>)</w:t>
      </w:r>
      <w:r w:rsidRPr="00FE50A6">
        <w:rPr>
          <w:lang w:val="en-US"/>
        </w:rPr>
        <w:t>; i</w:t>
      </w:r>
      <w:r w:rsidR="007F49A4" w:rsidRPr="00FE50A6">
        <w:rPr>
          <w:lang w:val="en-US"/>
        </w:rPr>
        <w:t>n particular</w:t>
      </w:r>
      <w:r w:rsidRPr="00FE50A6">
        <w:rPr>
          <w:lang w:val="en-US"/>
        </w:rPr>
        <w:t>,</w:t>
      </w:r>
      <w:r w:rsidR="007F49A4" w:rsidRPr="00FE50A6">
        <w:rPr>
          <w:lang w:val="en-US"/>
        </w:rPr>
        <w:t xml:space="preserve"> </w:t>
      </w:r>
      <w:r w:rsidRPr="00FE50A6">
        <w:rPr>
          <w:lang w:val="en-US"/>
        </w:rPr>
        <w:t>the exercise</w:t>
      </w:r>
      <w:r w:rsidR="00B64FC9" w:rsidRPr="00FE50A6">
        <w:rPr>
          <w:lang w:val="en-US"/>
        </w:rPr>
        <w:t xml:space="preserve"> of</w:t>
      </w:r>
      <w:r w:rsidRPr="00FE50A6">
        <w:rPr>
          <w:lang w:val="en-US"/>
        </w:rPr>
        <w:t xml:space="preserve"> the powers attaching to the right of ownership</w:t>
      </w:r>
      <w:r w:rsidR="007F49A4" w:rsidRPr="00FE50A6">
        <w:rPr>
          <w:lang w:val="en-US"/>
        </w:rPr>
        <w:t xml:space="preserve">. </w:t>
      </w:r>
      <w:r w:rsidRPr="00FE50A6">
        <w:rPr>
          <w:lang w:val="en-US"/>
        </w:rPr>
        <w:t>In this regard</w:t>
      </w:r>
      <w:r w:rsidR="007F49A4" w:rsidRPr="00FE50A6">
        <w:rPr>
          <w:lang w:val="en-US"/>
        </w:rPr>
        <w:t xml:space="preserve">, </w:t>
      </w:r>
      <w:r w:rsidR="000228D0" w:rsidRPr="00FE50A6">
        <w:rPr>
          <w:lang w:val="en-US"/>
        </w:rPr>
        <w:t>the Court</w:t>
      </w:r>
      <w:r w:rsidR="007F49A4" w:rsidRPr="00FE50A6">
        <w:rPr>
          <w:lang w:val="en-US"/>
        </w:rPr>
        <w:t xml:space="preserve"> </w:t>
      </w:r>
      <w:r w:rsidRPr="00FE50A6">
        <w:rPr>
          <w:lang w:val="en-US"/>
        </w:rPr>
        <w:t>notes that</w:t>
      </w:r>
      <w:r w:rsidR="007F49A4" w:rsidRPr="00FE50A6">
        <w:rPr>
          <w:lang w:val="en-US"/>
        </w:rPr>
        <w:t xml:space="preserve">: </w:t>
      </w:r>
      <w:r w:rsidRPr="00FE50A6">
        <w:rPr>
          <w:lang w:val="en-US"/>
        </w:rPr>
        <w:t>(</w:t>
      </w:r>
      <w:r w:rsidR="007F49A4" w:rsidRPr="00FE50A6">
        <w:rPr>
          <w:lang w:val="en-US"/>
        </w:rPr>
        <w:t xml:space="preserve">i) </w:t>
      </w:r>
      <w:r w:rsidRPr="00FE50A6">
        <w:rPr>
          <w:lang w:val="en-US"/>
        </w:rPr>
        <w:t>the workers</w:t>
      </w:r>
      <w:r w:rsidR="00684A00" w:rsidRPr="00FE50A6">
        <w:rPr>
          <w:lang w:val="en-US"/>
        </w:rPr>
        <w:t xml:space="preserve"> </w:t>
      </w:r>
      <w:r w:rsidRPr="00FE50A6">
        <w:rPr>
          <w:lang w:val="en-US"/>
        </w:rPr>
        <w:t xml:space="preserve">were subject to the control of the </w:t>
      </w:r>
      <w:r w:rsidR="007F49A4" w:rsidRPr="00FE50A6">
        <w:rPr>
          <w:i/>
          <w:iCs/>
          <w:lang w:val="en-US"/>
        </w:rPr>
        <w:t>gatos</w:t>
      </w:r>
      <w:r w:rsidR="007F49A4" w:rsidRPr="00FE50A6">
        <w:rPr>
          <w:lang w:val="en-US"/>
        </w:rPr>
        <w:t xml:space="preserve">, </w:t>
      </w:r>
      <w:r w:rsidR="00B64FC9" w:rsidRPr="00FE50A6">
        <w:rPr>
          <w:lang w:val="en-US"/>
        </w:rPr>
        <w:t>foremen</w:t>
      </w:r>
      <w:r w:rsidRPr="00FE50A6">
        <w:rPr>
          <w:lang w:val="en-US"/>
        </w:rPr>
        <w:t xml:space="preserve">, and armed guards of the </w:t>
      </w:r>
      <w:r w:rsidR="007F49A4" w:rsidRPr="00FE50A6">
        <w:rPr>
          <w:lang w:val="en-US"/>
        </w:rPr>
        <w:t>hacienda</w:t>
      </w:r>
      <w:r w:rsidR="00030C17" w:rsidRPr="00FE50A6">
        <w:rPr>
          <w:lang w:val="en-US"/>
        </w:rPr>
        <w:t xml:space="preserve"> and</w:t>
      </w:r>
      <w:r w:rsidRPr="00FE50A6">
        <w:rPr>
          <w:lang w:val="en-US"/>
        </w:rPr>
        <w:t xml:space="preserve"> ultimately, of its owner; (ii) in a way that restricted their personal liberty and autonomy; (iii) without their free consent; (iv) by means of threats, and physical and psychological violence</w:t>
      </w:r>
      <w:r w:rsidR="00B64FC9" w:rsidRPr="00FE50A6">
        <w:rPr>
          <w:lang w:val="en-US"/>
        </w:rPr>
        <w:t>,</w:t>
      </w:r>
      <w:r w:rsidRPr="00FE50A6">
        <w:rPr>
          <w:lang w:val="en-US"/>
        </w:rPr>
        <w:t xml:space="preserve"> (v) </w:t>
      </w:r>
      <w:r w:rsidR="00B64FC9" w:rsidRPr="00FE50A6">
        <w:rPr>
          <w:lang w:val="en-US"/>
        </w:rPr>
        <w:t xml:space="preserve">in order </w:t>
      </w:r>
      <w:r w:rsidRPr="00FE50A6">
        <w:rPr>
          <w:lang w:val="en-US"/>
        </w:rPr>
        <w:t xml:space="preserve">to exploit their forced labor in inhumane conditions. Furthermore, the circumstances of the escape undertaken by </w:t>
      </w:r>
      <w:r w:rsidR="00D60654" w:rsidRPr="00FE50A6">
        <w:rPr>
          <w:lang w:val="en-US"/>
        </w:rPr>
        <w:t xml:space="preserve">Antônio </w:t>
      </w:r>
      <w:r w:rsidR="007F49A4" w:rsidRPr="00FE50A6">
        <w:rPr>
          <w:lang w:val="en-US"/>
        </w:rPr>
        <w:t>Francisco da Silva</w:t>
      </w:r>
      <w:r w:rsidR="00030C17" w:rsidRPr="00FE50A6">
        <w:rPr>
          <w:lang w:val="en-US"/>
        </w:rPr>
        <w:t xml:space="preserve"> and </w:t>
      </w:r>
      <w:r w:rsidR="007F49A4" w:rsidRPr="00FE50A6">
        <w:rPr>
          <w:lang w:val="en-US"/>
        </w:rPr>
        <w:t>Gonçalo Luiz Furtado</w:t>
      </w:r>
      <w:r w:rsidR="00030C17" w:rsidRPr="00FE50A6">
        <w:rPr>
          <w:lang w:val="en-US"/>
        </w:rPr>
        <w:t xml:space="preserve"> and </w:t>
      </w:r>
      <w:r w:rsidRPr="00FE50A6">
        <w:rPr>
          <w:lang w:val="en-US"/>
        </w:rPr>
        <w:t xml:space="preserve">the risks they faced until they were able to report what had happened to </w:t>
      </w:r>
      <w:r w:rsidR="00445155" w:rsidRPr="00FE50A6">
        <w:rPr>
          <w:lang w:val="en-US"/>
        </w:rPr>
        <w:t>the Federal</w:t>
      </w:r>
      <w:r w:rsidR="008B0077" w:rsidRPr="00FE50A6">
        <w:rPr>
          <w:lang w:val="en-US"/>
        </w:rPr>
        <w:t xml:space="preserve"> Police</w:t>
      </w:r>
      <w:r w:rsidR="007F49A4" w:rsidRPr="00FE50A6">
        <w:rPr>
          <w:lang w:val="en-US"/>
        </w:rPr>
        <w:t xml:space="preserve"> </w:t>
      </w:r>
      <w:r w:rsidRPr="00FE50A6">
        <w:rPr>
          <w:lang w:val="en-US"/>
        </w:rPr>
        <w:t>reveal</w:t>
      </w:r>
      <w:r w:rsidR="00044CBD" w:rsidRPr="00FE50A6">
        <w:rPr>
          <w:lang w:val="en-US"/>
        </w:rPr>
        <w:t>:</w:t>
      </w:r>
      <w:r w:rsidR="007F49A4" w:rsidRPr="00FE50A6">
        <w:rPr>
          <w:lang w:val="en-US"/>
        </w:rPr>
        <w:t xml:space="preserve"> </w:t>
      </w:r>
      <w:r w:rsidR="00BC54DC" w:rsidRPr="00FE50A6">
        <w:rPr>
          <w:lang w:val="en-US"/>
        </w:rPr>
        <w:t>(</w:t>
      </w:r>
      <w:r w:rsidR="007F49A4" w:rsidRPr="00FE50A6">
        <w:rPr>
          <w:lang w:val="en-US"/>
        </w:rPr>
        <w:t xml:space="preserve">vi) </w:t>
      </w:r>
      <w:r w:rsidR="00BC54DC" w:rsidRPr="00FE50A6">
        <w:rPr>
          <w:lang w:val="en-US"/>
        </w:rPr>
        <w:t>the vulnerability of the workers, and (vii) the environment of coercion that existed in the</w:t>
      </w:r>
      <w:r w:rsidR="007F49A4" w:rsidRPr="00FE50A6">
        <w:rPr>
          <w:lang w:val="en-US"/>
        </w:rPr>
        <w:t xml:space="preserve"> hacienda, </w:t>
      </w:r>
      <w:r w:rsidR="00BC54DC" w:rsidRPr="00FE50A6">
        <w:rPr>
          <w:lang w:val="en-US"/>
        </w:rPr>
        <w:t>which</w:t>
      </w:r>
      <w:r w:rsidR="007F49A4" w:rsidRPr="00FE50A6">
        <w:rPr>
          <w:lang w:val="en-US"/>
        </w:rPr>
        <w:t xml:space="preserve"> </w:t>
      </w:r>
      <w:r w:rsidR="00BC54DC" w:rsidRPr="00FE50A6">
        <w:rPr>
          <w:lang w:val="en-US"/>
        </w:rPr>
        <w:t>(</w:t>
      </w:r>
      <w:r w:rsidR="007F49A4" w:rsidRPr="00FE50A6">
        <w:rPr>
          <w:lang w:val="en-US"/>
        </w:rPr>
        <w:t xml:space="preserve">viii) </w:t>
      </w:r>
      <w:r w:rsidR="00BC54DC" w:rsidRPr="00FE50A6">
        <w:rPr>
          <w:lang w:val="en-US"/>
        </w:rPr>
        <w:t xml:space="preserve">did not allow the workers to change their situation and recover their liberty. Based on all the foregoing, the Court concludes that the situation verified in </w:t>
      </w:r>
      <w:r w:rsidR="007F49A4" w:rsidRPr="00FE50A6">
        <w:rPr>
          <w:lang w:val="en-US"/>
        </w:rPr>
        <w:t xml:space="preserve">Hacienda </w:t>
      </w:r>
      <w:r w:rsidR="00322241" w:rsidRPr="00FE50A6">
        <w:rPr>
          <w:lang w:val="en-US"/>
        </w:rPr>
        <w:t>Brasil Verde</w:t>
      </w:r>
      <w:r w:rsidR="007F49A4" w:rsidRPr="00FE50A6">
        <w:rPr>
          <w:lang w:val="en-US"/>
        </w:rPr>
        <w:t xml:space="preserve"> </w:t>
      </w:r>
      <w:r w:rsidR="00BC54DC" w:rsidRPr="00FE50A6">
        <w:rPr>
          <w:lang w:val="en-US"/>
        </w:rPr>
        <w:t>in March</w:t>
      </w:r>
      <w:r w:rsidR="007F49A4" w:rsidRPr="00FE50A6">
        <w:rPr>
          <w:lang w:val="en-US"/>
        </w:rPr>
        <w:t xml:space="preserve"> 2000 </w:t>
      </w:r>
      <w:r w:rsidR="004A04C5" w:rsidRPr="00FE50A6">
        <w:rPr>
          <w:lang w:val="en-US"/>
        </w:rPr>
        <w:t>constituted</w:t>
      </w:r>
      <w:r w:rsidR="00BC54DC" w:rsidRPr="00FE50A6">
        <w:rPr>
          <w:lang w:val="en-US"/>
        </w:rPr>
        <w:t xml:space="preserve"> a situation of </w:t>
      </w:r>
      <w:r w:rsidR="00D11A9F" w:rsidRPr="00FE50A6">
        <w:rPr>
          <w:lang w:val="en-US"/>
        </w:rPr>
        <w:t>slavery</w:t>
      </w:r>
      <w:r w:rsidR="007F49A4" w:rsidRPr="00FE50A6">
        <w:rPr>
          <w:lang w:val="en-US"/>
        </w:rPr>
        <w:t>.</w:t>
      </w:r>
    </w:p>
    <w:p w14:paraId="1024A9C1" w14:textId="77777777" w:rsidR="00207197" w:rsidRPr="00FE50A6" w:rsidRDefault="00207197" w:rsidP="00140440">
      <w:pPr>
        <w:pStyle w:val="Prrafodelista"/>
        <w:ind w:left="0"/>
        <w:rPr>
          <w:lang w:val="en-US"/>
        </w:rPr>
      </w:pPr>
    </w:p>
    <w:p w14:paraId="69910736" w14:textId="77777777" w:rsidR="00207197" w:rsidRPr="00FE50A6" w:rsidRDefault="00684A00" w:rsidP="00684A00">
      <w:pPr>
        <w:pStyle w:val="Prrafodelista"/>
        <w:numPr>
          <w:ilvl w:val="0"/>
          <w:numId w:val="1"/>
        </w:numPr>
        <w:contextualSpacing w:val="0"/>
        <w:rPr>
          <w:lang w:val="en-US"/>
        </w:rPr>
      </w:pPr>
      <w:r w:rsidRPr="00FE50A6">
        <w:rPr>
          <w:lang w:val="en-US"/>
        </w:rPr>
        <w:t xml:space="preserve">Furthermore, </w:t>
      </w:r>
      <w:r w:rsidR="004A04C5" w:rsidRPr="00FE50A6">
        <w:rPr>
          <w:lang w:val="en-US"/>
        </w:rPr>
        <w:t>taking into consideration</w:t>
      </w:r>
      <w:r w:rsidRPr="00FE50A6">
        <w:rPr>
          <w:lang w:val="en-US"/>
        </w:rPr>
        <w:t xml:space="preserve"> the context of this case as regards the capture and recruitment of workers from the poorest regions of the country in particular, using fraud, deception and false promises, to bring them to haciendas in the states of </w:t>
      </w:r>
      <w:r w:rsidR="00207197" w:rsidRPr="00FE50A6">
        <w:rPr>
          <w:lang w:val="en-US"/>
        </w:rPr>
        <w:t xml:space="preserve">Maranhão, </w:t>
      </w:r>
      <w:r w:rsidR="00193110" w:rsidRPr="00FE50A6">
        <w:rPr>
          <w:lang w:val="en-US"/>
        </w:rPr>
        <w:t xml:space="preserve">Mato Grosso, </w:t>
      </w:r>
      <w:r w:rsidR="00207197" w:rsidRPr="00FE50A6">
        <w:rPr>
          <w:lang w:val="en-US"/>
        </w:rPr>
        <w:t>Pará</w:t>
      </w:r>
      <w:r w:rsidR="00030C17" w:rsidRPr="00FE50A6">
        <w:rPr>
          <w:lang w:val="en-US"/>
        </w:rPr>
        <w:t xml:space="preserve"> and </w:t>
      </w:r>
      <w:r w:rsidR="00207197" w:rsidRPr="00FE50A6">
        <w:rPr>
          <w:lang w:val="en-US"/>
        </w:rPr>
        <w:t>Tocantins (</w:t>
      </w:r>
      <w:r w:rsidR="00207197" w:rsidRPr="00FE50A6">
        <w:rPr>
          <w:i/>
          <w:lang w:val="en-US"/>
        </w:rPr>
        <w:t xml:space="preserve">supra </w:t>
      </w:r>
      <w:r w:rsidR="00700B79" w:rsidRPr="00FE50A6">
        <w:rPr>
          <w:lang w:val="en-US"/>
        </w:rPr>
        <w:t>para.</w:t>
      </w:r>
      <w:r w:rsidR="00207197" w:rsidRPr="00FE50A6">
        <w:rPr>
          <w:lang w:val="en-US"/>
        </w:rPr>
        <w:t xml:space="preserve"> </w:t>
      </w:r>
      <w:r w:rsidR="00193110" w:rsidRPr="00FE50A6">
        <w:rPr>
          <w:lang w:val="en-US"/>
        </w:rPr>
        <w:t>112</w:t>
      </w:r>
      <w:r w:rsidR="00446C55" w:rsidRPr="00FE50A6">
        <w:rPr>
          <w:lang w:val="en-US"/>
        </w:rPr>
        <w:t xml:space="preserve">), </w:t>
      </w:r>
      <w:r w:rsidR="00207197" w:rsidRPr="00FE50A6">
        <w:rPr>
          <w:lang w:val="en-US"/>
        </w:rPr>
        <w:t>as</w:t>
      </w:r>
      <w:r w:rsidRPr="00FE50A6">
        <w:rPr>
          <w:lang w:val="en-US"/>
        </w:rPr>
        <w:t xml:space="preserve"> well as the expert opinion of Federal Prosecutor</w:t>
      </w:r>
      <w:r w:rsidR="00207197" w:rsidRPr="00FE50A6">
        <w:rPr>
          <w:lang w:val="en-US"/>
        </w:rPr>
        <w:t xml:space="preserve"> Raquel Elias Dodge dur</w:t>
      </w:r>
      <w:r w:rsidRPr="00FE50A6">
        <w:rPr>
          <w:lang w:val="en-US"/>
        </w:rPr>
        <w:t>ing the</w:t>
      </w:r>
      <w:r w:rsidR="00207197" w:rsidRPr="00FE50A6">
        <w:rPr>
          <w:lang w:val="en-US"/>
        </w:rPr>
        <w:t xml:space="preserve"> </w:t>
      </w:r>
      <w:r w:rsidR="002071B1" w:rsidRPr="00FE50A6">
        <w:rPr>
          <w:lang w:val="en-US"/>
        </w:rPr>
        <w:t>public hearing</w:t>
      </w:r>
      <w:r w:rsidR="00D36269" w:rsidRPr="00FE50A6">
        <w:rPr>
          <w:lang w:val="en-US"/>
        </w:rPr>
        <w:t xml:space="preserve"> </w:t>
      </w:r>
      <w:r w:rsidRPr="00FE50A6">
        <w:rPr>
          <w:lang w:val="en-US"/>
        </w:rPr>
        <w:t xml:space="preserve">in this case, in which she provided details of </w:t>
      </w:r>
      <w:r w:rsidR="004A04C5" w:rsidRPr="00FE50A6">
        <w:rPr>
          <w:lang w:val="en-US"/>
        </w:rPr>
        <w:t xml:space="preserve">the </w:t>
      </w:r>
      <w:r w:rsidRPr="00FE50A6">
        <w:rPr>
          <w:lang w:val="en-US"/>
        </w:rPr>
        <w:t xml:space="preserve">contemporary </w:t>
      </w:r>
      <w:r w:rsidR="000C2A19" w:rsidRPr="00FE50A6">
        <w:rPr>
          <w:lang w:val="en-US"/>
        </w:rPr>
        <w:t>trafficking in persons</w:t>
      </w:r>
      <w:r w:rsidRPr="00FE50A6">
        <w:rPr>
          <w:lang w:val="en-US"/>
        </w:rPr>
        <w:t xml:space="preserve"> in Brazil in order to exploit their labor, the “interview notes” of the workers rescued as a result of the March 2000 inspection, the reports of </w:t>
      </w:r>
      <w:r w:rsidR="00D60654" w:rsidRPr="00FE50A6">
        <w:rPr>
          <w:lang w:val="en-US"/>
        </w:rPr>
        <w:t xml:space="preserve">Antônio </w:t>
      </w:r>
      <w:r w:rsidR="0021497B" w:rsidRPr="00FE50A6">
        <w:rPr>
          <w:lang w:val="en-US"/>
        </w:rPr>
        <w:t>Francisco da Silva</w:t>
      </w:r>
      <w:r w:rsidR="00030C17" w:rsidRPr="00FE50A6">
        <w:rPr>
          <w:lang w:val="en-US"/>
        </w:rPr>
        <w:t xml:space="preserve"> and </w:t>
      </w:r>
      <w:r w:rsidR="0021497B" w:rsidRPr="00FE50A6">
        <w:rPr>
          <w:lang w:val="en-US"/>
        </w:rPr>
        <w:t>Gonçalo Luiz Furtado</w:t>
      </w:r>
      <w:r w:rsidR="00207197" w:rsidRPr="00FE50A6">
        <w:rPr>
          <w:lang w:val="en-US"/>
        </w:rPr>
        <w:t xml:space="preserve"> </w:t>
      </w:r>
      <w:r w:rsidRPr="00FE50A6">
        <w:rPr>
          <w:lang w:val="en-US"/>
        </w:rPr>
        <w:t>that originated the said inspection</w:t>
      </w:r>
      <w:r w:rsidR="004A04C5" w:rsidRPr="00FE50A6">
        <w:rPr>
          <w:lang w:val="en-US"/>
        </w:rPr>
        <w:t xml:space="preserve">, </w:t>
      </w:r>
      <w:r w:rsidRPr="00FE50A6">
        <w:rPr>
          <w:lang w:val="en-US"/>
        </w:rPr>
        <w:t xml:space="preserve">and the testimony of </w:t>
      </w:r>
      <w:r w:rsidR="00446C55" w:rsidRPr="00FE50A6">
        <w:rPr>
          <w:szCs w:val="20"/>
          <w:lang w:val="en-US"/>
        </w:rPr>
        <w:t xml:space="preserve">Marcos </w:t>
      </w:r>
      <w:r w:rsidR="00D60654" w:rsidRPr="00FE50A6">
        <w:rPr>
          <w:szCs w:val="20"/>
          <w:lang w:val="en-US"/>
        </w:rPr>
        <w:t xml:space="preserve">Antônio </w:t>
      </w:r>
      <w:r w:rsidR="00446C55" w:rsidRPr="00FE50A6">
        <w:rPr>
          <w:szCs w:val="20"/>
          <w:lang w:val="en-US"/>
        </w:rPr>
        <w:t>Lima, Francisco Fabiano Leandro, Rogerio Felix Silva,</w:t>
      </w:r>
      <w:r w:rsidR="00030C17" w:rsidRPr="00FE50A6">
        <w:rPr>
          <w:szCs w:val="20"/>
          <w:lang w:val="en-US"/>
        </w:rPr>
        <w:t xml:space="preserve"> and </w:t>
      </w:r>
      <w:r w:rsidR="00446C55" w:rsidRPr="00FE50A6">
        <w:rPr>
          <w:szCs w:val="20"/>
          <w:lang w:val="en-US"/>
        </w:rPr>
        <w:t xml:space="preserve">Francisco das Chagas Bastos Sousa, </w:t>
      </w:r>
      <w:r w:rsidR="00207197" w:rsidRPr="00FE50A6">
        <w:rPr>
          <w:lang w:val="en-US"/>
        </w:rPr>
        <w:t>dur</w:t>
      </w:r>
      <w:r w:rsidRPr="00FE50A6">
        <w:rPr>
          <w:lang w:val="en-US"/>
        </w:rPr>
        <w:t>ing the</w:t>
      </w:r>
      <w:r w:rsidR="00207197" w:rsidRPr="00FE50A6">
        <w:rPr>
          <w:lang w:val="en-US"/>
        </w:rPr>
        <w:t xml:space="preserve"> </w:t>
      </w:r>
      <w:r w:rsidR="007571DF" w:rsidRPr="00FE50A6">
        <w:rPr>
          <w:lang w:val="en-US"/>
        </w:rPr>
        <w:t>on-site procedure</w:t>
      </w:r>
      <w:r w:rsidR="00207197" w:rsidRPr="00FE50A6">
        <w:rPr>
          <w:lang w:val="en-US"/>
        </w:rPr>
        <w:t xml:space="preserve"> </w:t>
      </w:r>
      <w:r w:rsidRPr="00FE50A6">
        <w:rPr>
          <w:lang w:val="en-US"/>
        </w:rPr>
        <w:t xml:space="preserve">in this case, </w:t>
      </w:r>
      <w:r w:rsidR="000228D0" w:rsidRPr="00FE50A6">
        <w:rPr>
          <w:lang w:val="en-US"/>
        </w:rPr>
        <w:t>the Court</w:t>
      </w:r>
      <w:r w:rsidR="00207197" w:rsidRPr="00FE50A6">
        <w:rPr>
          <w:lang w:val="en-US"/>
        </w:rPr>
        <w:t xml:space="preserve"> </w:t>
      </w:r>
      <w:r w:rsidRPr="00FE50A6">
        <w:rPr>
          <w:lang w:val="en-US"/>
        </w:rPr>
        <w:t>finds it proved that the workers rescued in March 2000 had been victims of</w:t>
      </w:r>
      <w:r w:rsidR="00615E39" w:rsidRPr="00FE50A6">
        <w:rPr>
          <w:lang w:val="en-US"/>
        </w:rPr>
        <w:t xml:space="preserve"> </w:t>
      </w:r>
      <w:r w:rsidR="000C2A19" w:rsidRPr="00FE50A6">
        <w:rPr>
          <w:lang w:val="en-US"/>
        </w:rPr>
        <w:t>trafficking</w:t>
      </w:r>
      <w:r w:rsidR="00207197" w:rsidRPr="00FE50A6">
        <w:rPr>
          <w:lang w:val="en-US"/>
        </w:rPr>
        <w:t xml:space="preserve">. </w:t>
      </w:r>
    </w:p>
    <w:p w14:paraId="7BCE81FF" w14:textId="77777777" w:rsidR="00103A50" w:rsidRPr="00FE50A6" w:rsidRDefault="00103A50" w:rsidP="00103A50">
      <w:pPr>
        <w:pStyle w:val="Prrafodelista"/>
        <w:rPr>
          <w:lang w:val="en-US"/>
        </w:rPr>
      </w:pPr>
    </w:p>
    <w:p w14:paraId="3C5E1C9B" w14:textId="77777777" w:rsidR="00FF291B" w:rsidRPr="00FE50A6" w:rsidRDefault="00684A00" w:rsidP="00684A00">
      <w:pPr>
        <w:pStyle w:val="Prrafodelista"/>
        <w:numPr>
          <w:ilvl w:val="0"/>
          <w:numId w:val="1"/>
        </w:numPr>
        <w:contextualSpacing w:val="0"/>
        <w:rPr>
          <w:lang w:val="en-US"/>
        </w:rPr>
      </w:pPr>
      <w:r w:rsidRPr="00FE50A6">
        <w:rPr>
          <w:lang w:val="en-US"/>
        </w:rPr>
        <w:t>In</w:t>
      </w:r>
      <w:r w:rsidR="00BE0C9E" w:rsidRPr="00FE50A6">
        <w:rPr>
          <w:lang w:val="en-US"/>
        </w:rPr>
        <w:t xml:space="preserve"> the instant </w:t>
      </w:r>
      <w:r w:rsidRPr="00FE50A6">
        <w:rPr>
          <w:lang w:val="en-US"/>
        </w:rPr>
        <w:t>case</w:t>
      </w:r>
      <w:r w:rsidR="00FF291B" w:rsidRPr="00FE50A6">
        <w:rPr>
          <w:lang w:val="en-US"/>
        </w:rPr>
        <w:t xml:space="preserve">, </w:t>
      </w:r>
      <w:r w:rsidR="00700B79" w:rsidRPr="00FE50A6">
        <w:rPr>
          <w:lang w:val="en-US"/>
        </w:rPr>
        <w:t>the representatives</w:t>
      </w:r>
      <w:r w:rsidR="00FF291B" w:rsidRPr="00FE50A6">
        <w:rPr>
          <w:lang w:val="en-US"/>
        </w:rPr>
        <w:t xml:space="preserve"> </w:t>
      </w:r>
      <w:r w:rsidRPr="00FE50A6">
        <w:rPr>
          <w:lang w:val="en-US"/>
        </w:rPr>
        <w:t>argued that</w:t>
      </w:r>
      <w:r w:rsidR="00BE0C9E" w:rsidRPr="00FE50A6">
        <w:rPr>
          <w:lang w:val="en-US"/>
        </w:rPr>
        <w:t>, in addition,</w:t>
      </w:r>
      <w:r w:rsidRPr="00FE50A6">
        <w:rPr>
          <w:lang w:val="en-US"/>
        </w:rPr>
        <w:t xml:space="preserve"> the </w:t>
      </w:r>
      <w:r w:rsidR="00BE0C9E" w:rsidRPr="00FE50A6">
        <w:rPr>
          <w:lang w:val="en-US"/>
        </w:rPr>
        <w:t>context</w:t>
      </w:r>
      <w:r w:rsidRPr="00FE50A6">
        <w:rPr>
          <w:lang w:val="en-US"/>
        </w:rPr>
        <w:t xml:space="preserve"> and the situation in </w:t>
      </w:r>
      <w:r w:rsidR="00FF291B" w:rsidRPr="00FE50A6">
        <w:rPr>
          <w:lang w:val="en-US"/>
        </w:rPr>
        <w:t xml:space="preserve">Hacienda </w:t>
      </w:r>
      <w:r w:rsidR="00322241" w:rsidRPr="00FE50A6">
        <w:rPr>
          <w:lang w:val="en-US"/>
        </w:rPr>
        <w:t>Brasil Verde</w:t>
      </w:r>
      <w:r w:rsidR="00FF291B" w:rsidRPr="00FE50A6">
        <w:rPr>
          <w:lang w:val="en-US"/>
        </w:rPr>
        <w:t xml:space="preserve"> </w:t>
      </w:r>
      <w:r w:rsidRPr="00FE50A6">
        <w:rPr>
          <w:lang w:val="en-US"/>
        </w:rPr>
        <w:t>in March</w:t>
      </w:r>
      <w:r w:rsidR="00FF291B" w:rsidRPr="00FE50A6">
        <w:rPr>
          <w:lang w:val="en-US"/>
        </w:rPr>
        <w:t xml:space="preserve"> 2000 </w:t>
      </w:r>
      <w:r w:rsidR="00BE0C9E" w:rsidRPr="00FE50A6">
        <w:rPr>
          <w:lang w:val="en-US"/>
        </w:rPr>
        <w:t>constituted</w:t>
      </w:r>
      <w:r w:rsidRPr="00FE50A6">
        <w:rPr>
          <w:lang w:val="en-US"/>
        </w:rPr>
        <w:t xml:space="preserve"> violations of the rights to </w:t>
      </w:r>
      <w:r w:rsidR="00D11A9F" w:rsidRPr="00FE50A6">
        <w:rPr>
          <w:lang w:val="en-US"/>
        </w:rPr>
        <w:t>juridical personality</w:t>
      </w:r>
      <w:r w:rsidR="00FF291B" w:rsidRPr="00FE50A6">
        <w:rPr>
          <w:lang w:val="en-US"/>
        </w:rPr>
        <w:t xml:space="preserve">, </w:t>
      </w:r>
      <w:r w:rsidR="00D11A9F" w:rsidRPr="00FE50A6">
        <w:rPr>
          <w:lang w:val="en-US"/>
        </w:rPr>
        <w:t>personal integrity</w:t>
      </w:r>
      <w:r w:rsidR="00FF291B" w:rsidRPr="00FE50A6">
        <w:rPr>
          <w:lang w:val="en-US"/>
        </w:rPr>
        <w:t xml:space="preserve">, </w:t>
      </w:r>
      <w:r w:rsidR="00BC6362" w:rsidRPr="00FE50A6">
        <w:rPr>
          <w:lang w:val="en-US"/>
        </w:rPr>
        <w:t>personal liberty</w:t>
      </w:r>
      <w:r w:rsidR="00FF291B" w:rsidRPr="00FE50A6">
        <w:rPr>
          <w:lang w:val="en-US"/>
        </w:rPr>
        <w:t xml:space="preserve">, </w:t>
      </w:r>
      <w:r w:rsidR="00D11A9F" w:rsidRPr="00FE50A6">
        <w:rPr>
          <w:lang w:val="en-US"/>
        </w:rPr>
        <w:t>honor and dignity</w:t>
      </w:r>
      <w:r w:rsidR="00BE0C9E" w:rsidRPr="00FE50A6">
        <w:rPr>
          <w:lang w:val="en-US"/>
        </w:rPr>
        <w:t>,</w:t>
      </w:r>
      <w:r w:rsidR="00030C17" w:rsidRPr="00FE50A6">
        <w:rPr>
          <w:lang w:val="en-US"/>
        </w:rPr>
        <w:t xml:space="preserve"> and </w:t>
      </w:r>
      <w:r w:rsidRPr="00FE50A6">
        <w:rPr>
          <w:lang w:val="en-US"/>
        </w:rPr>
        <w:t>to</w:t>
      </w:r>
      <w:r w:rsidR="00FF291B" w:rsidRPr="00FE50A6">
        <w:rPr>
          <w:lang w:val="en-US"/>
        </w:rPr>
        <w:t xml:space="preserve"> </w:t>
      </w:r>
      <w:r w:rsidR="00D11A9F" w:rsidRPr="00FE50A6">
        <w:rPr>
          <w:lang w:val="en-US"/>
        </w:rPr>
        <w:t>freedom of movement and residence</w:t>
      </w:r>
      <w:r w:rsidR="00FF291B" w:rsidRPr="00FE50A6">
        <w:rPr>
          <w:lang w:val="en-US"/>
        </w:rPr>
        <w:t xml:space="preserve">. </w:t>
      </w:r>
      <w:r w:rsidRPr="00FE50A6">
        <w:rPr>
          <w:lang w:val="en-US"/>
        </w:rPr>
        <w:t>In this regard</w:t>
      </w:r>
      <w:r w:rsidR="00FF291B" w:rsidRPr="00FE50A6">
        <w:rPr>
          <w:lang w:val="en-US"/>
        </w:rPr>
        <w:t xml:space="preserve">, </w:t>
      </w:r>
      <w:r w:rsidR="002071B1" w:rsidRPr="00FE50A6">
        <w:rPr>
          <w:lang w:val="en-US"/>
        </w:rPr>
        <w:t>the Court</w:t>
      </w:r>
      <w:r w:rsidR="00FF291B" w:rsidRPr="00FE50A6">
        <w:rPr>
          <w:lang w:val="en-US"/>
        </w:rPr>
        <w:t xml:space="preserve"> </w:t>
      </w:r>
      <w:r w:rsidR="008B0A8B" w:rsidRPr="00FE50A6">
        <w:rPr>
          <w:lang w:val="en-US"/>
        </w:rPr>
        <w:t>not</w:t>
      </w:r>
      <w:r w:rsidRPr="00FE50A6">
        <w:rPr>
          <w:lang w:val="en-US"/>
        </w:rPr>
        <w:t xml:space="preserve">es that these arguments refer to the facts that have already been analyzed </w:t>
      </w:r>
      <w:r w:rsidR="00BE0C9E" w:rsidRPr="00FE50A6">
        <w:rPr>
          <w:lang w:val="en-US"/>
        </w:rPr>
        <w:t>under</w:t>
      </w:r>
      <w:r w:rsidR="00703850" w:rsidRPr="00FE50A6">
        <w:rPr>
          <w:lang w:val="en-US"/>
        </w:rPr>
        <w:t xml:space="preserve"> Article</w:t>
      </w:r>
      <w:r w:rsidR="008B0A8B" w:rsidRPr="00FE50A6">
        <w:rPr>
          <w:lang w:val="en-US"/>
        </w:rPr>
        <w:t xml:space="preserve"> 6</w:t>
      </w:r>
      <w:r w:rsidR="000228D0" w:rsidRPr="00FE50A6">
        <w:rPr>
          <w:lang w:val="en-US"/>
        </w:rPr>
        <w:t xml:space="preserve"> of the Convention</w:t>
      </w:r>
      <w:r w:rsidR="008B0A8B" w:rsidRPr="00FE50A6">
        <w:rPr>
          <w:lang w:val="en-US"/>
        </w:rPr>
        <w:t xml:space="preserve">. </w:t>
      </w:r>
      <w:r w:rsidRPr="00FE50A6">
        <w:rPr>
          <w:lang w:val="en-US"/>
        </w:rPr>
        <w:t xml:space="preserve">Accordingly, the Court considers that, </w:t>
      </w:r>
      <w:r w:rsidR="00BE0C9E" w:rsidRPr="00FE50A6">
        <w:rPr>
          <w:lang w:val="en-US"/>
        </w:rPr>
        <w:t>due</w:t>
      </w:r>
      <w:r w:rsidRPr="00FE50A6">
        <w:rPr>
          <w:lang w:val="en-US"/>
        </w:rPr>
        <w:t xml:space="preserve"> to the nature of slavery as a crime that violates multiple norms, when a person is subjected to this condition, various individual rights are violated to a greater or lesser extent depending on the specific factual circumstances of each case. Nevertheless, </w:t>
      </w:r>
      <w:r w:rsidR="00BE0C9E" w:rsidRPr="00FE50A6">
        <w:rPr>
          <w:lang w:val="en-US"/>
        </w:rPr>
        <w:t>owing to</w:t>
      </w:r>
      <w:r w:rsidRPr="00FE50A6">
        <w:rPr>
          <w:lang w:val="en-US"/>
        </w:rPr>
        <w:t xml:space="preserve"> the specific and complex definition of the concept of slavery, when verifying a situation of slavery, </w:t>
      </w:r>
      <w:r w:rsidR="00BE0C9E" w:rsidRPr="00FE50A6">
        <w:rPr>
          <w:lang w:val="en-US"/>
        </w:rPr>
        <w:t>such</w:t>
      </w:r>
      <w:r w:rsidRPr="00FE50A6">
        <w:rPr>
          <w:lang w:val="en-US"/>
        </w:rPr>
        <w:t xml:space="preserve"> rights are subsumed in the </w:t>
      </w:r>
      <w:r w:rsidR="000228D0" w:rsidRPr="00FE50A6">
        <w:rPr>
          <w:lang w:val="en-US"/>
        </w:rPr>
        <w:t>Convention</w:t>
      </w:r>
      <w:r w:rsidR="00405792" w:rsidRPr="00FE50A6">
        <w:rPr>
          <w:lang w:val="en-US"/>
        </w:rPr>
        <w:t xml:space="preserve"> </w:t>
      </w:r>
      <w:r w:rsidRPr="00FE50A6">
        <w:rPr>
          <w:lang w:val="en-US"/>
        </w:rPr>
        <w:t>under</w:t>
      </w:r>
      <w:r w:rsidR="00405792" w:rsidRPr="00FE50A6">
        <w:rPr>
          <w:lang w:val="en-US"/>
        </w:rPr>
        <w:t xml:space="preserve"> </w:t>
      </w:r>
      <w:r w:rsidR="000228D0" w:rsidRPr="00FE50A6">
        <w:rPr>
          <w:lang w:val="en-US"/>
        </w:rPr>
        <w:t>Article</w:t>
      </w:r>
      <w:r w:rsidR="0081303A" w:rsidRPr="00FE50A6">
        <w:rPr>
          <w:lang w:val="en-US"/>
        </w:rPr>
        <w:t xml:space="preserve"> 6</w:t>
      </w:r>
      <w:r w:rsidR="00A3112D" w:rsidRPr="00FE50A6">
        <w:rPr>
          <w:lang w:val="en-US"/>
        </w:rPr>
        <w:t xml:space="preserve">. </w:t>
      </w:r>
      <w:r w:rsidRPr="00FE50A6">
        <w:rPr>
          <w:lang w:val="en-US"/>
        </w:rPr>
        <w:t>Thus</w:t>
      </w:r>
      <w:r w:rsidR="00A3112D" w:rsidRPr="00FE50A6">
        <w:rPr>
          <w:lang w:val="en-US"/>
        </w:rPr>
        <w:t xml:space="preserve">, </w:t>
      </w:r>
      <w:r w:rsidR="000228D0" w:rsidRPr="00FE50A6">
        <w:rPr>
          <w:lang w:val="en-US"/>
        </w:rPr>
        <w:t>the Court</w:t>
      </w:r>
      <w:r w:rsidR="00732D99" w:rsidRPr="00FE50A6">
        <w:rPr>
          <w:lang w:val="en-US"/>
        </w:rPr>
        <w:t xml:space="preserve"> consider</w:t>
      </w:r>
      <w:r w:rsidRPr="00FE50A6">
        <w:rPr>
          <w:lang w:val="en-US"/>
        </w:rPr>
        <w:t>s that the analysis</w:t>
      </w:r>
      <w:r w:rsidR="00732D99" w:rsidRPr="00FE50A6">
        <w:rPr>
          <w:lang w:val="en-US"/>
        </w:rPr>
        <w:t xml:space="preserve"> </w:t>
      </w:r>
      <w:r w:rsidR="007571DF" w:rsidRPr="00FE50A6">
        <w:rPr>
          <w:lang w:val="en-US"/>
        </w:rPr>
        <w:t xml:space="preserve">of the </w:t>
      </w:r>
      <w:r w:rsidR="00700B79" w:rsidRPr="00FE50A6">
        <w:rPr>
          <w:lang w:val="en-US"/>
        </w:rPr>
        <w:t>violation</w:t>
      </w:r>
      <w:r w:rsidR="00732D99" w:rsidRPr="00FE50A6">
        <w:rPr>
          <w:lang w:val="en-US"/>
        </w:rPr>
        <w:t xml:space="preserve"> </w:t>
      </w:r>
      <w:r w:rsidRPr="00FE50A6">
        <w:rPr>
          <w:lang w:val="en-US"/>
        </w:rPr>
        <w:t>of</w:t>
      </w:r>
      <w:r w:rsidR="00732D99" w:rsidRPr="00FE50A6">
        <w:rPr>
          <w:lang w:val="en-US"/>
        </w:rPr>
        <w:t xml:space="preserve"> </w:t>
      </w:r>
      <w:r w:rsidR="00D2546E" w:rsidRPr="00FE50A6">
        <w:rPr>
          <w:lang w:val="en-US"/>
        </w:rPr>
        <w:t>Article</w:t>
      </w:r>
      <w:r w:rsidR="00732D99" w:rsidRPr="00FE50A6">
        <w:rPr>
          <w:lang w:val="en-US"/>
        </w:rPr>
        <w:t xml:space="preserve"> 6</w:t>
      </w:r>
      <w:r w:rsidR="000228D0" w:rsidRPr="00FE50A6">
        <w:rPr>
          <w:lang w:val="en-US"/>
        </w:rPr>
        <w:t xml:space="preserve"> of the Convention</w:t>
      </w:r>
      <w:r w:rsidR="00732D99" w:rsidRPr="00FE50A6">
        <w:rPr>
          <w:lang w:val="en-US"/>
        </w:rPr>
        <w:t xml:space="preserve"> </w:t>
      </w:r>
      <w:r w:rsidRPr="00FE50A6">
        <w:rPr>
          <w:lang w:val="en-US"/>
        </w:rPr>
        <w:t xml:space="preserve">has already taken into account the elements alleged by </w:t>
      </w:r>
      <w:r w:rsidR="00700B79" w:rsidRPr="00FE50A6">
        <w:rPr>
          <w:lang w:val="en-US"/>
        </w:rPr>
        <w:t>the representatives</w:t>
      </w:r>
      <w:r w:rsidR="00732D99" w:rsidRPr="00FE50A6">
        <w:rPr>
          <w:lang w:val="en-US"/>
        </w:rPr>
        <w:t xml:space="preserve"> </w:t>
      </w:r>
      <w:r w:rsidRPr="00FE50A6">
        <w:rPr>
          <w:lang w:val="en-US"/>
        </w:rPr>
        <w:t>as violations of other rights because</w:t>
      </w:r>
      <w:r w:rsidR="00BE0C9E" w:rsidRPr="00FE50A6">
        <w:rPr>
          <w:lang w:val="en-US"/>
        </w:rPr>
        <w:t xml:space="preserve">, when examining the facts of </w:t>
      </w:r>
      <w:r w:rsidRPr="00FE50A6">
        <w:rPr>
          <w:lang w:val="en-US"/>
        </w:rPr>
        <w:t xml:space="preserve">the case, the Court verified that the violation of </w:t>
      </w:r>
      <w:r w:rsidR="00D11A9F" w:rsidRPr="00FE50A6">
        <w:rPr>
          <w:lang w:val="en-US"/>
        </w:rPr>
        <w:t>personal integrity and liberty</w:t>
      </w:r>
      <w:r w:rsidR="00FC200D" w:rsidRPr="00FE50A6">
        <w:rPr>
          <w:lang w:val="en-US"/>
        </w:rPr>
        <w:t xml:space="preserve"> (</w:t>
      </w:r>
      <w:r w:rsidR="00BE0C9E" w:rsidRPr="00FE50A6">
        <w:rPr>
          <w:lang w:val="en-US"/>
        </w:rPr>
        <w:t>use of force</w:t>
      </w:r>
      <w:r w:rsidRPr="00FE50A6">
        <w:rPr>
          <w:lang w:val="en-US"/>
        </w:rPr>
        <w:t xml:space="preserve"> and threats of violence, physical and psychological coercion of the workers, restriction of freedom of movement), the demeaning treatment (degrading housing, food</w:t>
      </w:r>
      <w:r w:rsidR="00BE0C9E" w:rsidRPr="00FE50A6">
        <w:rPr>
          <w:lang w:val="en-US"/>
        </w:rPr>
        <w:t>,</w:t>
      </w:r>
      <w:r w:rsidRPr="00FE50A6">
        <w:rPr>
          <w:lang w:val="en-US"/>
        </w:rPr>
        <w:t xml:space="preserve"> and work conditions), and the limitation of freedom of movement (restrictions of movement based on the debts, and forced labor), were elements that constituted slavery in this case. Consequently, the Court finds </w:t>
      </w:r>
      <w:r w:rsidR="00BE0C9E" w:rsidRPr="00FE50A6">
        <w:rPr>
          <w:lang w:val="en-US"/>
        </w:rPr>
        <w:t>it</w:t>
      </w:r>
      <w:r w:rsidRPr="00FE50A6">
        <w:rPr>
          <w:lang w:val="en-US"/>
        </w:rPr>
        <w:t xml:space="preserve"> unnecessary to make an individual ruling on the other rights alleged by </w:t>
      </w:r>
      <w:r w:rsidR="00700B79" w:rsidRPr="00FE50A6">
        <w:rPr>
          <w:lang w:val="en-US"/>
        </w:rPr>
        <w:t>the representatives</w:t>
      </w:r>
      <w:r w:rsidR="00BE0C9E" w:rsidRPr="00FE50A6">
        <w:rPr>
          <w:lang w:val="en-US"/>
        </w:rPr>
        <w:t>.</w:t>
      </w:r>
      <w:r w:rsidR="00044CBD" w:rsidRPr="00FE50A6">
        <w:rPr>
          <w:rStyle w:val="Refdenotaalpie"/>
          <w:lang w:val="en-US"/>
        </w:rPr>
        <w:footnoteReference w:id="445"/>
      </w:r>
      <w:r w:rsidRPr="00FE50A6">
        <w:rPr>
          <w:spacing w:val="-3"/>
          <w:szCs w:val="20"/>
          <w:lang w:val="en-US"/>
        </w:rPr>
        <w:t xml:space="preserve"> </w:t>
      </w:r>
      <w:r w:rsidR="00BE0C9E" w:rsidRPr="00FE50A6">
        <w:rPr>
          <w:spacing w:val="-3"/>
          <w:szCs w:val="20"/>
          <w:lang w:val="en-US"/>
        </w:rPr>
        <w:t>Nevertheless</w:t>
      </w:r>
      <w:r w:rsidRPr="00FE50A6">
        <w:rPr>
          <w:spacing w:val="-3"/>
          <w:szCs w:val="20"/>
          <w:lang w:val="en-US"/>
        </w:rPr>
        <w:t>, the</w:t>
      </w:r>
      <w:r w:rsidR="00BE0C9E" w:rsidRPr="00FE50A6">
        <w:rPr>
          <w:spacing w:val="-3"/>
          <w:szCs w:val="20"/>
          <w:lang w:val="en-US"/>
        </w:rPr>
        <w:t>se rights</w:t>
      </w:r>
      <w:r w:rsidRPr="00FE50A6">
        <w:rPr>
          <w:spacing w:val="-3"/>
          <w:szCs w:val="20"/>
          <w:lang w:val="en-US"/>
        </w:rPr>
        <w:t xml:space="preserve"> will be taken into account when determining the State’s responsibility in this case and, as appropriate, when ordering reparations. </w:t>
      </w:r>
    </w:p>
    <w:p w14:paraId="017C41A6" w14:textId="77777777" w:rsidR="00637B75" w:rsidRPr="00FE50A6" w:rsidRDefault="00637B75" w:rsidP="00140440">
      <w:pPr>
        <w:pStyle w:val="Prrafodelista"/>
        <w:ind w:left="0"/>
        <w:rPr>
          <w:lang w:val="en-US"/>
        </w:rPr>
      </w:pPr>
    </w:p>
    <w:p w14:paraId="16EF40E5" w14:textId="77777777" w:rsidR="001E1449" w:rsidRPr="00FE50A6" w:rsidRDefault="001E1449" w:rsidP="001E1449">
      <w:pPr>
        <w:pStyle w:val="Ttulo3"/>
        <w:rPr>
          <w:lang w:val="en-US"/>
        </w:rPr>
      </w:pPr>
      <w:bookmarkStart w:id="323" w:name="_Toc464813966"/>
      <w:r w:rsidRPr="00FE50A6">
        <w:rPr>
          <w:lang w:val="en-US"/>
        </w:rPr>
        <w:t>B.8</w:t>
      </w:r>
      <w:r w:rsidR="00DC2886" w:rsidRPr="00FE50A6">
        <w:rPr>
          <w:lang w:val="en-US"/>
        </w:rPr>
        <w:t>.</w:t>
      </w:r>
      <w:r w:rsidRPr="00FE50A6">
        <w:rPr>
          <w:lang w:val="en-US"/>
        </w:rPr>
        <w:t xml:space="preserve"> </w:t>
      </w:r>
      <w:r w:rsidR="00684A00" w:rsidRPr="00FE50A6">
        <w:rPr>
          <w:lang w:val="en-US"/>
        </w:rPr>
        <w:t>Brazil’s criminal l</w:t>
      </w:r>
      <w:bookmarkEnd w:id="323"/>
      <w:r w:rsidR="00BE0C9E" w:rsidRPr="00FE50A6">
        <w:rPr>
          <w:lang w:val="en-US"/>
        </w:rPr>
        <w:t>aws</w:t>
      </w:r>
    </w:p>
    <w:p w14:paraId="73993E85" w14:textId="77777777" w:rsidR="001E1449" w:rsidRPr="00FE50A6" w:rsidRDefault="001E1449" w:rsidP="001E1449">
      <w:pPr>
        <w:pStyle w:val="Prrafodelista"/>
        <w:ind w:left="0"/>
        <w:rPr>
          <w:lang w:val="en-US"/>
        </w:rPr>
      </w:pPr>
    </w:p>
    <w:p w14:paraId="59007BE6" w14:textId="77777777" w:rsidR="001E1449" w:rsidRPr="00FE50A6" w:rsidRDefault="000228D0" w:rsidP="001E1449">
      <w:pPr>
        <w:pStyle w:val="Prrafodelista"/>
        <w:numPr>
          <w:ilvl w:val="0"/>
          <w:numId w:val="1"/>
        </w:numPr>
        <w:contextualSpacing w:val="0"/>
        <w:rPr>
          <w:lang w:val="en-US"/>
        </w:rPr>
      </w:pPr>
      <w:r w:rsidRPr="00FE50A6">
        <w:rPr>
          <w:lang w:val="en-US"/>
        </w:rPr>
        <w:t>The Court</w:t>
      </w:r>
      <w:r w:rsidR="001E1449" w:rsidRPr="00FE50A6">
        <w:rPr>
          <w:lang w:val="en-US"/>
        </w:rPr>
        <w:t xml:space="preserve"> </w:t>
      </w:r>
      <w:r w:rsidR="00684A00" w:rsidRPr="00FE50A6">
        <w:rPr>
          <w:lang w:val="en-US"/>
        </w:rPr>
        <w:t xml:space="preserve">finds it opportune to include some </w:t>
      </w:r>
      <w:r w:rsidR="000702CF" w:rsidRPr="00FE50A6">
        <w:rPr>
          <w:lang w:val="en-US"/>
        </w:rPr>
        <w:t>considerations</w:t>
      </w:r>
      <w:r w:rsidR="001E1449" w:rsidRPr="00FE50A6">
        <w:rPr>
          <w:lang w:val="en-US"/>
        </w:rPr>
        <w:t xml:space="preserve"> </w:t>
      </w:r>
      <w:r w:rsidR="00684A00" w:rsidRPr="00FE50A6">
        <w:rPr>
          <w:lang w:val="en-US"/>
        </w:rPr>
        <w:t xml:space="preserve">on the </w:t>
      </w:r>
      <w:r w:rsidRPr="00FE50A6">
        <w:rPr>
          <w:lang w:val="en-US"/>
        </w:rPr>
        <w:t>State</w:t>
      </w:r>
      <w:r w:rsidR="001E1449" w:rsidRPr="00FE50A6">
        <w:rPr>
          <w:lang w:val="en-US"/>
        </w:rPr>
        <w:t xml:space="preserve"> </w:t>
      </w:r>
      <w:r w:rsidR="00684A00" w:rsidRPr="00FE50A6">
        <w:rPr>
          <w:lang w:val="en-US"/>
        </w:rPr>
        <w:t>of</w:t>
      </w:r>
      <w:r w:rsidR="001E1449" w:rsidRPr="00FE50A6">
        <w:rPr>
          <w:lang w:val="en-US"/>
        </w:rPr>
        <w:t xml:space="preserve"> </w:t>
      </w:r>
      <w:r w:rsidRPr="00FE50A6">
        <w:rPr>
          <w:lang w:val="en-US"/>
        </w:rPr>
        <w:t>Brazil</w:t>
      </w:r>
      <w:r w:rsidR="00684A00" w:rsidRPr="00FE50A6">
        <w:rPr>
          <w:lang w:val="en-US"/>
        </w:rPr>
        <w:t xml:space="preserve">’s argument that the situation identified in </w:t>
      </w:r>
      <w:r w:rsidR="001E1449" w:rsidRPr="00FE50A6">
        <w:rPr>
          <w:lang w:val="en-US"/>
        </w:rPr>
        <w:t xml:space="preserve">Hacienda </w:t>
      </w:r>
      <w:r w:rsidR="00322241" w:rsidRPr="00FE50A6">
        <w:rPr>
          <w:lang w:val="en-US"/>
        </w:rPr>
        <w:t>Brasil Verde</w:t>
      </w:r>
      <w:r w:rsidR="001E1449" w:rsidRPr="00FE50A6">
        <w:rPr>
          <w:lang w:val="en-US"/>
        </w:rPr>
        <w:t xml:space="preserve"> </w:t>
      </w:r>
      <w:r w:rsidR="00684A00" w:rsidRPr="00FE50A6">
        <w:rPr>
          <w:lang w:val="en-US"/>
        </w:rPr>
        <w:t>would only represent violations of labor laws under the laws of Brazil</w:t>
      </w:r>
      <w:r w:rsidR="00852473" w:rsidRPr="00FE50A6">
        <w:rPr>
          <w:lang w:val="en-US"/>
        </w:rPr>
        <w:t>,</w:t>
      </w:r>
      <w:r w:rsidR="00684A00" w:rsidRPr="00FE50A6">
        <w:rPr>
          <w:lang w:val="en-US"/>
        </w:rPr>
        <w:t xml:space="preserve"> and that it could possibly have been characterized as an offense under a</w:t>
      </w:r>
      <w:r w:rsidRPr="00FE50A6">
        <w:rPr>
          <w:lang w:val="en-US"/>
        </w:rPr>
        <w:t>rticle</w:t>
      </w:r>
      <w:r w:rsidR="001E1449" w:rsidRPr="00FE50A6">
        <w:rPr>
          <w:lang w:val="en-US"/>
        </w:rPr>
        <w:t xml:space="preserve"> 149 </w:t>
      </w:r>
      <w:r w:rsidR="0032018A" w:rsidRPr="00FE50A6">
        <w:rPr>
          <w:lang w:val="en-US"/>
        </w:rPr>
        <w:t>of the Penal Code</w:t>
      </w:r>
      <w:r w:rsidR="001E1449" w:rsidRPr="00FE50A6">
        <w:rPr>
          <w:lang w:val="en-US"/>
        </w:rPr>
        <w:t xml:space="preserve">, </w:t>
      </w:r>
      <w:r w:rsidR="00684A00" w:rsidRPr="00FE50A6">
        <w:rPr>
          <w:lang w:val="en-US"/>
        </w:rPr>
        <w:t xml:space="preserve">but, in no circumstances, could it be characterized as </w:t>
      </w:r>
      <w:r w:rsidR="00D11A9F" w:rsidRPr="00FE50A6">
        <w:rPr>
          <w:lang w:val="en-US"/>
        </w:rPr>
        <w:t>slavery</w:t>
      </w:r>
      <w:r w:rsidR="001E1449" w:rsidRPr="00FE50A6">
        <w:rPr>
          <w:lang w:val="en-US"/>
        </w:rPr>
        <w:t xml:space="preserve">, </w:t>
      </w:r>
      <w:r w:rsidR="00684A00" w:rsidRPr="00FE50A6">
        <w:rPr>
          <w:lang w:val="en-US"/>
        </w:rPr>
        <w:t>servitude</w:t>
      </w:r>
      <w:r w:rsidR="001E1449" w:rsidRPr="00FE50A6">
        <w:rPr>
          <w:lang w:val="en-US"/>
        </w:rPr>
        <w:t xml:space="preserve"> o</w:t>
      </w:r>
      <w:r w:rsidR="00684A00" w:rsidRPr="00FE50A6">
        <w:rPr>
          <w:lang w:val="en-US"/>
        </w:rPr>
        <w:t>r</w:t>
      </w:r>
      <w:r w:rsidR="001E1449" w:rsidRPr="00FE50A6">
        <w:rPr>
          <w:lang w:val="en-US"/>
        </w:rPr>
        <w:t xml:space="preserve"> </w:t>
      </w:r>
      <w:r w:rsidR="005F1946" w:rsidRPr="00FE50A6">
        <w:rPr>
          <w:lang w:val="en-US"/>
        </w:rPr>
        <w:t>forced labor</w:t>
      </w:r>
      <w:r w:rsidR="001E1449" w:rsidRPr="00FE50A6">
        <w:rPr>
          <w:lang w:val="en-US"/>
        </w:rPr>
        <w:t xml:space="preserve"> </w:t>
      </w:r>
      <w:r w:rsidR="00684A00" w:rsidRPr="00FE50A6">
        <w:rPr>
          <w:lang w:val="en-US"/>
        </w:rPr>
        <w:t xml:space="preserve">under the relevant provisions </w:t>
      </w:r>
      <w:r w:rsidR="002A125A" w:rsidRPr="00FE50A6">
        <w:rPr>
          <w:lang w:val="en-US"/>
        </w:rPr>
        <w:t>of international</w:t>
      </w:r>
      <w:r w:rsidR="00BC6362" w:rsidRPr="00FE50A6">
        <w:rPr>
          <w:lang w:val="en-US"/>
        </w:rPr>
        <w:t xml:space="preserve"> human rights law</w:t>
      </w:r>
      <w:r w:rsidR="001E1449" w:rsidRPr="00FE50A6">
        <w:rPr>
          <w:lang w:val="en-US"/>
        </w:rPr>
        <w:t xml:space="preserve">. </w:t>
      </w:r>
    </w:p>
    <w:p w14:paraId="029E074B" w14:textId="77777777" w:rsidR="001E1449" w:rsidRPr="00FE50A6" w:rsidRDefault="001E1449" w:rsidP="001E1449">
      <w:pPr>
        <w:pStyle w:val="Prrafodelista"/>
        <w:ind w:left="0"/>
        <w:rPr>
          <w:lang w:val="en-US"/>
        </w:rPr>
      </w:pPr>
    </w:p>
    <w:p w14:paraId="038A6878" w14:textId="77777777" w:rsidR="001E1449" w:rsidRPr="00FE50A6" w:rsidRDefault="000228D0" w:rsidP="001E1449">
      <w:pPr>
        <w:pStyle w:val="Prrafodelista"/>
        <w:numPr>
          <w:ilvl w:val="0"/>
          <w:numId w:val="1"/>
        </w:numPr>
        <w:contextualSpacing w:val="0"/>
        <w:rPr>
          <w:lang w:val="en-US"/>
        </w:rPr>
      </w:pPr>
      <w:r w:rsidRPr="00FE50A6">
        <w:rPr>
          <w:lang w:val="en-US"/>
        </w:rPr>
        <w:t>The Court</w:t>
      </w:r>
      <w:r w:rsidR="001E1449" w:rsidRPr="00FE50A6">
        <w:rPr>
          <w:lang w:val="en-US"/>
        </w:rPr>
        <w:t xml:space="preserve"> </w:t>
      </w:r>
      <w:r w:rsidR="00852473" w:rsidRPr="00FE50A6">
        <w:rPr>
          <w:lang w:val="en-US"/>
        </w:rPr>
        <w:t xml:space="preserve">has </w:t>
      </w:r>
      <w:r w:rsidR="00531F92" w:rsidRPr="00FE50A6">
        <w:rPr>
          <w:lang w:val="en-US"/>
        </w:rPr>
        <w:t>examin</w:t>
      </w:r>
      <w:r w:rsidR="00795FA5" w:rsidRPr="00FE50A6">
        <w:rPr>
          <w:lang w:val="en-US"/>
        </w:rPr>
        <w:t xml:space="preserve">ed the facts of this case in light of the evolution </w:t>
      </w:r>
      <w:r w:rsidR="002A125A" w:rsidRPr="00FE50A6">
        <w:rPr>
          <w:lang w:val="en-US"/>
        </w:rPr>
        <w:t>of</w:t>
      </w:r>
      <w:r w:rsidR="00795FA5" w:rsidRPr="00FE50A6">
        <w:rPr>
          <w:lang w:val="en-US"/>
        </w:rPr>
        <w:t xml:space="preserve"> the </w:t>
      </w:r>
      <w:r w:rsidR="00852473" w:rsidRPr="00FE50A6">
        <w:rPr>
          <w:lang w:val="en-US"/>
        </w:rPr>
        <w:t>relevant</w:t>
      </w:r>
      <w:r w:rsidR="002A125A" w:rsidRPr="00FE50A6">
        <w:rPr>
          <w:lang w:val="en-US"/>
        </w:rPr>
        <w:t xml:space="preserve"> international</w:t>
      </w:r>
      <w:r w:rsidR="00BC6362" w:rsidRPr="00FE50A6">
        <w:rPr>
          <w:lang w:val="en-US"/>
        </w:rPr>
        <w:t xml:space="preserve"> human rights law</w:t>
      </w:r>
      <w:r w:rsidR="001E1449" w:rsidRPr="00FE50A6">
        <w:rPr>
          <w:lang w:val="en-US"/>
        </w:rPr>
        <w:t xml:space="preserve"> </w:t>
      </w:r>
      <w:r w:rsidR="00795FA5" w:rsidRPr="00FE50A6">
        <w:rPr>
          <w:lang w:val="en-US"/>
        </w:rPr>
        <w:t xml:space="preserve">and </w:t>
      </w:r>
      <w:r w:rsidR="00852473" w:rsidRPr="00FE50A6">
        <w:rPr>
          <w:lang w:val="en-US"/>
        </w:rPr>
        <w:t xml:space="preserve">has </w:t>
      </w:r>
      <w:r w:rsidR="00795FA5" w:rsidRPr="00FE50A6">
        <w:rPr>
          <w:lang w:val="en-US"/>
        </w:rPr>
        <w:t xml:space="preserve">concluded that the situation of the workers rescued in March 2000 constituted a condition similar to slavery, prohibited by </w:t>
      </w:r>
      <w:r w:rsidRPr="00FE50A6">
        <w:rPr>
          <w:lang w:val="en-US"/>
        </w:rPr>
        <w:t>Article</w:t>
      </w:r>
      <w:r w:rsidR="001E1449" w:rsidRPr="00FE50A6">
        <w:rPr>
          <w:lang w:val="en-US"/>
        </w:rPr>
        <w:t xml:space="preserve"> </w:t>
      </w:r>
      <w:r w:rsidR="00090C6A" w:rsidRPr="00FE50A6">
        <w:rPr>
          <w:lang w:val="en-US"/>
        </w:rPr>
        <w:t>6(1)</w:t>
      </w:r>
      <w:r w:rsidRPr="00FE50A6">
        <w:rPr>
          <w:lang w:val="en-US"/>
        </w:rPr>
        <w:t xml:space="preserve"> of the American Convention</w:t>
      </w:r>
      <w:r w:rsidR="001E1449" w:rsidRPr="00FE50A6">
        <w:rPr>
          <w:lang w:val="en-US"/>
        </w:rPr>
        <w:t xml:space="preserve"> (</w:t>
      </w:r>
      <w:r w:rsidR="001E1449" w:rsidRPr="00FE50A6">
        <w:rPr>
          <w:i/>
          <w:lang w:val="en-US"/>
        </w:rPr>
        <w:t xml:space="preserve">supra </w:t>
      </w:r>
      <w:r w:rsidR="00700B79" w:rsidRPr="00FE50A6">
        <w:rPr>
          <w:lang w:val="en-US"/>
        </w:rPr>
        <w:t>para.</w:t>
      </w:r>
      <w:r w:rsidR="001E1449" w:rsidRPr="00FE50A6">
        <w:rPr>
          <w:lang w:val="en-US"/>
        </w:rPr>
        <w:t xml:space="preserve"> </w:t>
      </w:r>
      <w:r w:rsidR="006513B0" w:rsidRPr="00FE50A6">
        <w:rPr>
          <w:lang w:val="en-US"/>
        </w:rPr>
        <w:t>241</w:t>
      </w:r>
      <w:r w:rsidR="001E1449" w:rsidRPr="00FE50A6">
        <w:rPr>
          <w:lang w:val="en-US"/>
        </w:rPr>
        <w:t xml:space="preserve">). </w:t>
      </w:r>
      <w:r w:rsidR="00795FA5" w:rsidRPr="00FE50A6">
        <w:rPr>
          <w:lang w:val="en-US"/>
        </w:rPr>
        <w:t>The</w:t>
      </w:r>
      <w:r w:rsidR="00703850" w:rsidRPr="00FE50A6">
        <w:rPr>
          <w:lang w:val="en-US"/>
        </w:rPr>
        <w:t xml:space="preserve"> </w:t>
      </w:r>
      <w:r w:rsidRPr="00FE50A6">
        <w:rPr>
          <w:lang w:val="en-US"/>
        </w:rPr>
        <w:t>State</w:t>
      </w:r>
      <w:r w:rsidR="00795FA5" w:rsidRPr="00FE50A6">
        <w:rPr>
          <w:lang w:val="en-US"/>
        </w:rPr>
        <w:t>’s argument suggests that the definition of the offense of reducing someone to the condition of a slave in a</w:t>
      </w:r>
      <w:r w:rsidR="00703850" w:rsidRPr="00FE50A6">
        <w:rPr>
          <w:lang w:val="en-US"/>
        </w:rPr>
        <w:t>rticle</w:t>
      </w:r>
      <w:r w:rsidR="001E1449" w:rsidRPr="00FE50A6">
        <w:rPr>
          <w:lang w:val="en-US"/>
        </w:rPr>
        <w:t xml:space="preserve"> 149 </w:t>
      </w:r>
      <w:r w:rsidR="0032018A" w:rsidRPr="00FE50A6">
        <w:rPr>
          <w:lang w:val="en-US"/>
        </w:rPr>
        <w:t xml:space="preserve">of the </w:t>
      </w:r>
      <w:r w:rsidR="00AC769B" w:rsidRPr="00FE50A6">
        <w:rPr>
          <w:lang w:val="en-US"/>
        </w:rPr>
        <w:t>Brazilian Penal Code</w:t>
      </w:r>
      <w:r w:rsidR="001E1449" w:rsidRPr="00FE50A6">
        <w:rPr>
          <w:lang w:val="en-US"/>
        </w:rPr>
        <w:t xml:space="preserve"> </w:t>
      </w:r>
      <w:r w:rsidR="00795FA5" w:rsidRPr="00FE50A6">
        <w:rPr>
          <w:lang w:val="en-US"/>
        </w:rPr>
        <w:t>was too broad, and supposedly incorporated elements that</w:t>
      </w:r>
      <w:r w:rsidR="00852473" w:rsidRPr="00FE50A6">
        <w:rPr>
          <w:lang w:val="en-US"/>
        </w:rPr>
        <w:t xml:space="preserve"> were not contemplated in</w:t>
      </w:r>
      <w:r w:rsidR="00795FA5" w:rsidRPr="00FE50A6">
        <w:rPr>
          <w:lang w:val="en-US"/>
        </w:rPr>
        <w:t xml:space="preserve"> </w:t>
      </w:r>
      <w:r w:rsidR="00931A2D" w:rsidRPr="00FE50A6">
        <w:rPr>
          <w:lang w:val="en-US"/>
        </w:rPr>
        <w:t>international law</w:t>
      </w:r>
      <w:r w:rsidR="001E1449" w:rsidRPr="00FE50A6">
        <w:rPr>
          <w:lang w:val="en-US"/>
        </w:rPr>
        <w:t xml:space="preserve">. </w:t>
      </w:r>
      <w:r w:rsidR="00795FA5" w:rsidRPr="00FE50A6">
        <w:rPr>
          <w:lang w:val="en-US"/>
        </w:rPr>
        <w:t xml:space="preserve">In this regard, the Court finds it </w:t>
      </w:r>
      <w:r w:rsidR="00EB731A" w:rsidRPr="00FE50A6">
        <w:rPr>
          <w:lang w:val="en-US"/>
        </w:rPr>
        <w:t xml:space="preserve">pertinent </w:t>
      </w:r>
      <w:r w:rsidR="00795FA5" w:rsidRPr="00FE50A6">
        <w:rPr>
          <w:lang w:val="en-US"/>
        </w:rPr>
        <w:t xml:space="preserve">to </w:t>
      </w:r>
      <w:r w:rsidR="00EB731A" w:rsidRPr="00FE50A6">
        <w:rPr>
          <w:lang w:val="en-US"/>
        </w:rPr>
        <w:t xml:space="preserve">emphasize </w:t>
      </w:r>
      <w:r w:rsidR="00795FA5" w:rsidRPr="00FE50A6">
        <w:rPr>
          <w:lang w:val="en-US"/>
        </w:rPr>
        <w:t xml:space="preserve">two </w:t>
      </w:r>
      <w:r w:rsidR="00EB731A" w:rsidRPr="00FE50A6">
        <w:rPr>
          <w:lang w:val="en-US"/>
        </w:rPr>
        <w:t>crucial</w:t>
      </w:r>
      <w:r w:rsidR="00795FA5" w:rsidRPr="00FE50A6">
        <w:rPr>
          <w:lang w:val="en-US"/>
        </w:rPr>
        <w:t xml:space="preserve"> points.</w:t>
      </w:r>
      <w:r w:rsidR="001E1449" w:rsidRPr="00FE50A6">
        <w:rPr>
          <w:lang w:val="en-US"/>
        </w:rPr>
        <w:t xml:space="preserve"> </w:t>
      </w:r>
    </w:p>
    <w:p w14:paraId="6FD67B1E" w14:textId="77777777" w:rsidR="001E1449" w:rsidRPr="00FE50A6" w:rsidRDefault="001E1449" w:rsidP="001E1449">
      <w:pPr>
        <w:pStyle w:val="Prrafodelista"/>
        <w:ind w:left="0"/>
        <w:rPr>
          <w:lang w:val="en-US"/>
        </w:rPr>
      </w:pPr>
    </w:p>
    <w:p w14:paraId="123E0F39" w14:textId="77777777" w:rsidR="001E1449" w:rsidRPr="00FE50A6" w:rsidRDefault="00795FA5" w:rsidP="00795FA5">
      <w:pPr>
        <w:pStyle w:val="Prrafodelista"/>
        <w:numPr>
          <w:ilvl w:val="0"/>
          <w:numId w:val="1"/>
        </w:numPr>
        <w:contextualSpacing w:val="0"/>
        <w:rPr>
          <w:lang w:val="en-US"/>
        </w:rPr>
      </w:pPr>
      <w:r w:rsidRPr="00FE50A6">
        <w:rPr>
          <w:lang w:val="en-US"/>
        </w:rPr>
        <w:t>First, it should be clarified that, at the time of the facts of this case, the definition of the offense was merely:</w:t>
      </w:r>
      <w:r w:rsidR="001E1449" w:rsidRPr="00FE50A6">
        <w:rPr>
          <w:lang w:val="en-US"/>
        </w:rPr>
        <w:t xml:space="preserve"> </w:t>
      </w:r>
      <w:r w:rsidR="009C48A4" w:rsidRPr="00FE50A6">
        <w:rPr>
          <w:lang w:val="en-US"/>
        </w:rPr>
        <w:t>“</w:t>
      </w:r>
      <w:r w:rsidR="001E1449" w:rsidRPr="00FE50A6">
        <w:rPr>
          <w:i/>
          <w:lang w:val="en-US"/>
        </w:rPr>
        <w:t xml:space="preserve">Art. 149 </w:t>
      </w:r>
      <w:r w:rsidRPr="00FE50A6">
        <w:rPr>
          <w:i/>
          <w:lang w:val="en-US"/>
        </w:rPr>
        <w:t>–</w:t>
      </w:r>
      <w:r w:rsidR="001E1449" w:rsidRPr="00FE50A6">
        <w:rPr>
          <w:i/>
          <w:lang w:val="en-US"/>
        </w:rPr>
        <w:t xml:space="preserve"> </w:t>
      </w:r>
      <w:r w:rsidRPr="00FE50A6">
        <w:rPr>
          <w:i/>
          <w:lang w:val="en-US"/>
        </w:rPr>
        <w:t xml:space="preserve">To reduce someone to a condition similar to that of a slave: Penalty – from 2 (two) to 8 (eight) years’ imprisonment.” </w:t>
      </w:r>
      <w:r w:rsidRPr="00FE50A6">
        <w:rPr>
          <w:lang w:val="en-US"/>
        </w:rPr>
        <w:t xml:space="preserve"> In other words, this was not the new definition of the offense established by the 2003 amendment, which included four conducts </w:t>
      </w:r>
      <w:r w:rsidR="00EB731A" w:rsidRPr="00FE50A6">
        <w:rPr>
          <w:lang w:val="en-US"/>
        </w:rPr>
        <w:t>that</w:t>
      </w:r>
      <w:r w:rsidRPr="00FE50A6">
        <w:rPr>
          <w:lang w:val="en-US"/>
        </w:rPr>
        <w:t xml:space="preserve"> constitut</w:t>
      </w:r>
      <w:r w:rsidR="00EB731A" w:rsidRPr="00FE50A6">
        <w:rPr>
          <w:lang w:val="en-US"/>
        </w:rPr>
        <w:t>ed</w:t>
      </w:r>
      <w:r w:rsidRPr="00FE50A6">
        <w:rPr>
          <w:lang w:val="en-US"/>
        </w:rPr>
        <w:t xml:space="preserve"> conditions similar to slavery (forced labor, </w:t>
      </w:r>
      <w:r w:rsidR="002E3B91" w:rsidRPr="00FE50A6">
        <w:rPr>
          <w:lang w:val="en-US"/>
        </w:rPr>
        <w:t xml:space="preserve">arduous </w:t>
      </w:r>
      <w:r w:rsidRPr="00FE50A6">
        <w:rPr>
          <w:lang w:val="en-US"/>
        </w:rPr>
        <w:t xml:space="preserve">working </w:t>
      </w:r>
      <w:r w:rsidR="002E3B91" w:rsidRPr="00FE50A6">
        <w:rPr>
          <w:lang w:val="en-US"/>
        </w:rPr>
        <w:t>days</w:t>
      </w:r>
      <w:r w:rsidRPr="00FE50A6">
        <w:rPr>
          <w:lang w:val="en-US"/>
        </w:rPr>
        <w:t xml:space="preserve">, degrading working conditions, and restriction of movement based on </w:t>
      </w:r>
      <w:r w:rsidR="00463461" w:rsidRPr="00FE50A6">
        <w:rPr>
          <w:lang w:val="en-US"/>
        </w:rPr>
        <w:t xml:space="preserve">a debt </w:t>
      </w:r>
      <w:r w:rsidR="002E3B91" w:rsidRPr="00FE50A6">
        <w:rPr>
          <w:lang w:val="en-US"/>
        </w:rPr>
        <w:t>contracted with</w:t>
      </w:r>
      <w:r w:rsidRPr="00FE50A6">
        <w:rPr>
          <w:lang w:val="en-US"/>
        </w:rPr>
        <w:t xml:space="preserve"> the employer</w:t>
      </w:r>
      <w:r w:rsidR="001E1449" w:rsidRPr="00FE50A6">
        <w:rPr>
          <w:lang w:val="en-US"/>
        </w:rPr>
        <w:t>)</w:t>
      </w:r>
      <w:r w:rsidR="00463461" w:rsidRPr="00FE50A6">
        <w:rPr>
          <w:lang w:val="en-US"/>
        </w:rPr>
        <w:t>.</w:t>
      </w:r>
      <w:r w:rsidR="001E1449" w:rsidRPr="00FE50A6">
        <w:rPr>
          <w:rStyle w:val="Refdenotaalpie"/>
          <w:lang w:val="en-US"/>
        </w:rPr>
        <w:footnoteReference w:id="446"/>
      </w:r>
      <w:r w:rsidR="00463461" w:rsidRPr="00FE50A6">
        <w:rPr>
          <w:lang w:val="en-US"/>
        </w:rPr>
        <w:t xml:space="preserve"> Thus, it should be recalled that the definition of the offense in </w:t>
      </w:r>
      <w:r w:rsidR="00EB731A" w:rsidRPr="00FE50A6">
        <w:rPr>
          <w:lang w:val="en-US"/>
        </w:rPr>
        <w:t>force</w:t>
      </w:r>
      <w:r w:rsidR="00463461" w:rsidRPr="00FE50A6">
        <w:rPr>
          <w:lang w:val="en-US"/>
        </w:rPr>
        <w:t xml:space="preserve"> at the time of the facts could not be characterized as different from the prohibition that exists in </w:t>
      </w:r>
      <w:r w:rsidR="000228D0" w:rsidRPr="00FE50A6">
        <w:rPr>
          <w:lang w:val="en-US"/>
        </w:rPr>
        <w:t>the American Convention</w:t>
      </w:r>
      <w:r w:rsidR="001E1449" w:rsidRPr="00FE50A6">
        <w:rPr>
          <w:lang w:val="en-US"/>
        </w:rPr>
        <w:t>, o</w:t>
      </w:r>
      <w:r w:rsidR="00463461" w:rsidRPr="00FE50A6">
        <w:rPr>
          <w:lang w:val="en-US"/>
        </w:rPr>
        <w:t>r</w:t>
      </w:r>
      <w:r w:rsidR="001E1449" w:rsidRPr="00FE50A6">
        <w:rPr>
          <w:lang w:val="en-US"/>
        </w:rPr>
        <w:t xml:space="preserve"> </w:t>
      </w:r>
      <w:r w:rsidR="009C48A4" w:rsidRPr="00FE50A6">
        <w:rPr>
          <w:lang w:val="en-US"/>
        </w:rPr>
        <w:t>“</w:t>
      </w:r>
      <w:r w:rsidR="00463461" w:rsidRPr="00FE50A6">
        <w:rPr>
          <w:lang w:val="en-US"/>
        </w:rPr>
        <w:t>too broad” as the State has suggested.</w:t>
      </w:r>
    </w:p>
    <w:p w14:paraId="71DAC676" w14:textId="77777777" w:rsidR="001E1449" w:rsidRPr="00FE50A6" w:rsidRDefault="001E1449" w:rsidP="001E1449">
      <w:pPr>
        <w:pStyle w:val="Prrafodelista"/>
        <w:ind w:left="0"/>
        <w:rPr>
          <w:lang w:val="en-US"/>
        </w:rPr>
      </w:pPr>
    </w:p>
    <w:p w14:paraId="70FC8504" w14:textId="77777777" w:rsidR="00BC7AD7" w:rsidRPr="00FE50A6" w:rsidRDefault="00463461" w:rsidP="00463461">
      <w:pPr>
        <w:pStyle w:val="Prrafodelista"/>
        <w:numPr>
          <w:ilvl w:val="0"/>
          <w:numId w:val="1"/>
        </w:numPr>
        <w:contextualSpacing w:val="0"/>
        <w:rPr>
          <w:lang w:val="en-US"/>
        </w:rPr>
      </w:pPr>
      <w:r w:rsidRPr="00FE50A6">
        <w:rPr>
          <w:lang w:val="en-US"/>
        </w:rPr>
        <w:t xml:space="preserve">In addition, the </w:t>
      </w:r>
      <w:r w:rsidR="00EB731A" w:rsidRPr="00FE50A6">
        <w:rPr>
          <w:lang w:val="en-US"/>
        </w:rPr>
        <w:t>jurisprudence</w:t>
      </w:r>
      <w:r w:rsidRPr="00FE50A6">
        <w:rPr>
          <w:lang w:val="en-US"/>
        </w:rPr>
        <w:t xml:space="preserve"> of Brazil’s high courts provided to the Court during the litigation of this case by </w:t>
      </w:r>
      <w:r w:rsidR="002E3B91" w:rsidRPr="00FE50A6">
        <w:rPr>
          <w:lang w:val="en-US"/>
        </w:rPr>
        <w:t xml:space="preserve">both </w:t>
      </w:r>
      <w:r w:rsidRPr="00FE50A6">
        <w:rPr>
          <w:lang w:val="en-US"/>
        </w:rPr>
        <w:t xml:space="preserve">the State and the representatives, witnesses, deponents for information purpose, and expert witnesses reveals that the fundamental </w:t>
      </w:r>
      <w:r w:rsidR="002E3B91" w:rsidRPr="00FE50A6">
        <w:rPr>
          <w:lang w:val="en-US"/>
        </w:rPr>
        <w:t>factor for the Brazilian courts</w:t>
      </w:r>
      <w:r w:rsidRPr="00FE50A6">
        <w:rPr>
          <w:lang w:val="en-US"/>
        </w:rPr>
        <w:t xml:space="preserve"> to determine the existence of a situation </w:t>
      </w:r>
      <w:r w:rsidR="002E3B91" w:rsidRPr="00FE50A6">
        <w:rPr>
          <w:lang w:val="en-US"/>
        </w:rPr>
        <w:t>analogous</w:t>
      </w:r>
      <w:r w:rsidRPr="00FE50A6">
        <w:rPr>
          <w:lang w:val="en-US"/>
        </w:rPr>
        <w:t xml:space="preserve"> to that of a slave before the definition of the offense </w:t>
      </w:r>
      <w:r w:rsidR="002E3B91" w:rsidRPr="00FE50A6">
        <w:rPr>
          <w:lang w:val="en-US"/>
        </w:rPr>
        <w:t xml:space="preserve">was amended </w:t>
      </w:r>
      <w:r w:rsidRPr="00FE50A6">
        <w:rPr>
          <w:lang w:val="en-US"/>
        </w:rPr>
        <w:t xml:space="preserve">in 2003 was the deprivation of the worker’s liberty. The interpretation of the </w:t>
      </w:r>
      <w:r w:rsidR="00E94340" w:rsidRPr="00FE50A6">
        <w:rPr>
          <w:lang w:val="en-US"/>
        </w:rPr>
        <w:t>prohibition of slavery</w:t>
      </w:r>
      <w:r w:rsidR="001E1449" w:rsidRPr="00FE50A6">
        <w:rPr>
          <w:lang w:val="en-US"/>
        </w:rPr>
        <w:t xml:space="preserve"> </w:t>
      </w:r>
      <w:r w:rsidR="002E3B91" w:rsidRPr="00FE50A6">
        <w:rPr>
          <w:lang w:val="en-US"/>
        </w:rPr>
        <w:t>in</w:t>
      </w:r>
      <w:r w:rsidRPr="00FE50A6">
        <w:rPr>
          <w:lang w:val="en-US"/>
        </w:rPr>
        <w:t xml:space="preserve"> the original</w:t>
      </w:r>
      <w:r w:rsidR="001E1449" w:rsidRPr="00FE50A6">
        <w:rPr>
          <w:lang w:val="en-US"/>
        </w:rPr>
        <w:t xml:space="preserve"> </w:t>
      </w:r>
      <w:r w:rsidRPr="00FE50A6">
        <w:rPr>
          <w:lang w:val="en-US"/>
        </w:rPr>
        <w:t>a</w:t>
      </w:r>
      <w:r w:rsidR="000228D0" w:rsidRPr="00FE50A6">
        <w:rPr>
          <w:lang w:val="en-US"/>
        </w:rPr>
        <w:t>rticle</w:t>
      </w:r>
      <w:r w:rsidR="001E1449" w:rsidRPr="00FE50A6">
        <w:rPr>
          <w:lang w:val="en-US"/>
        </w:rPr>
        <w:t xml:space="preserve"> 149 </w:t>
      </w:r>
      <w:r w:rsidR="0032018A" w:rsidRPr="00FE50A6">
        <w:rPr>
          <w:lang w:val="en-US"/>
        </w:rPr>
        <w:t>of the Penal Code</w:t>
      </w:r>
      <w:r w:rsidR="001E1449" w:rsidRPr="00FE50A6">
        <w:rPr>
          <w:lang w:val="en-US"/>
        </w:rPr>
        <w:t xml:space="preserve"> </w:t>
      </w:r>
      <w:r w:rsidRPr="00FE50A6">
        <w:rPr>
          <w:lang w:val="en-US"/>
        </w:rPr>
        <w:t xml:space="preserve">indicated that there must be a restriction of the victims’ liberty, a fact confirmed in this case </w:t>
      </w:r>
      <w:r w:rsidR="00BC7AD7" w:rsidRPr="00FE50A6">
        <w:rPr>
          <w:lang w:val="en-US"/>
        </w:rPr>
        <w:t xml:space="preserve">based on the threats, violence and debt bondage that existed in </w:t>
      </w:r>
      <w:r w:rsidR="001E1449" w:rsidRPr="00FE50A6">
        <w:rPr>
          <w:lang w:val="en-US"/>
        </w:rPr>
        <w:t xml:space="preserve">Hacienda </w:t>
      </w:r>
      <w:r w:rsidR="00322241" w:rsidRPr="00FE50A6">
        <w:rPr>
          <w:lang w:val="en-US"/>
        </w:rPr>
        <w:t>Brasil Verde</w:t>
      </w:r>
      <w:r w:rsidR="001E1449" w:rsidRPr="00FE50A6">
        <w:rPr>
          <w:lang w:val="en-US"/>
        </w:rPr>
        <w:t xml:space="preserve"> (</w:t>
      </w:r>
      <w:r w:rsidR="001E1449" w:rsidRPr="00FE50A6">
        <w:rPr>
          <w:i/>
          <w:lang w:val="en-US"/>
        </w:rPr>
        <w:t xml:space="preserve">supra </w:t>
      </w:r>
      <w:r w:rsidR="00700B79" w:rsidRPr="00FE50A6">
        <w:rPr>
          <w:lang w:val="en-US"/>
        </w:rPr>
        <w:t>para.</w:t>
      </w:r>
      <w:r w:rsidR="001E1449" w:rsidRPr="00FE50A6">
        <w:rPr>
          <w:lang w:val="en-US"/>
        </w:rPr>
        <w:t xml:space="preserve"> </w:t>
      </w:r>
      <w:r w:rsidR="006912F8" w:rsidRPr="00FE50A6">
        <w:rPr>
          <w:lang w:val="en-US"/>
        </w:rPr>
        <w:t>304</w:t>
      </w:r>
      <w:r w:rsidR="001E1449" w:rsidRPr="00FE50A6">
        <w:rPr>
          <w:lang w:val="en-US"/>
        </w:rPr>
        <w:t xml:space="preserve">). </w:t>
      </w:r>
      <w:r w:rsidR="00BC7AD7" w:rsidRPr="00FE50A6">
        <w:rPr>
          <w:lang w:val="en-US"/>
        </w:rPr>
        <w:t xml:space="preserve">In addition, the existence of extenuating work, degrading living conditions, falsification of documents and the presence of minors were verified. This totally contradicts the State’s argument that the workers were free to leave the hacienda. Consequently, the State’s argument that the facts could characterize slavery only under domestic laws – and not based on international law – </w:t>
      </w:r>
      <w:r w:rsidR="002E3B91" w:rsidRPr="00FE50A6">
        <w:rPr>
          <w:lang w:val="en-US"/>
        </w:rPr>
        <w:t>is</w:t>
      </w:r>
      <w:r w:rsidR="00BC7AD7" w:rsidRPr="00FE50A6">
        <w:rPr>
          <w:lang w:val="en-US"/>
        </w:rPr>
        <w:t xml:space="preserve"> groundless.</w:t>
      </w:r>
    </w:p>
    <w:p w14:paraId="2287D6E0" w14:textId="77777777" w:rsidR="001E1449" w:rsidRPr="00FE50A6" w:rsidRDefault="001E1449" w:rsidP="001E1449">
      <w:pPr>
        <w:pStyle w:val="Prrafodelista"/>
        <w:ind w:left="0"/>
        <w:rPr>
          <w:lang w:val="en-US"/>
        </w:rPr>
      </w:pPr>
    </w:p>
    <w:p w14:paraId="504B22EB" w14:textId="77777777" w:rsidR="001E1449" w:rsidRPr="00FE50A6" w:rsidRDefault="00BC7AD7" w:rsidP="001E1449">
      <w:pPr>
        <w:pStyle w:val="Prrafodelista"/>
        <w:numPr>
          <w:ilvl w:val="0"/>
          <w:numId w:val="1"/>
        </w:numPr>
        <w:contextualSpacing w:val="0"/>
        <w:rPr>
          <w:lang w:val="en-US"/>
        </w:rPr>
      </w:pPr>
      <w:r w:rsidRPr="00FE50A6">
        <w:rPr>
          <w:lang w:val="en-US"/>
        </w:rPr>
        <w:t xml:space="preserve">Second, it is important to point out that, if a country enacts laws that are more protective of the individual, as could be understood by the </w:t>
      </w:r>
      <w:r w:rsidR="00E94340" w:rsidRPr="00FE50A6">
        <w:rPr>
          <w:lang w:val="en-US"/>
        </w:rPr>
        <w:t>prohibition of slavery</w:t>
      </w:r>
      <w:r w:rsidR="002E3B91" w:rsidRPr="00FE50A6">
        <w:rPr>
          <w:lang w:val="en-US"/>
        </w:rPr>
        <w:t xml:space="preserve"> under </w:t>
      </w:r>
      <w:r w:rsidRPr="00FE50A6">
        <w:rPr>
          <w:lang w:val="en-US"/>
        </w:rPr>
        <w:t xml:space="preserve"> Brazil’s legal system in 2003, the Court cannot restrict its analysis of the specific situation based on a </w:t>
      </w:r>
      <w:r w:rsidR="002E3B91" w:rsidRPr="00FE50A6">
        <w:rPr>
          <w:lang w:val="en-US"/>
        </w:rPr>
        <w:t>law</w:t>
      </w:r>
      <w:r w:rsidRPr="00FE50A6">
        <w:rPr>
          <w:lang w:val="en-US"/>
        </w:rPr>
        <w:t xml:space="preserve"> that grants less protection. This is the meaning of </w:t>
      </w:r>
      <w:r w:rsidR="00703850" w:rsidRPr="00FE50A6">
        <w:rPr>
          <w:lang w:val="en-US"/>
        </w:rPr>
        <w:t>Article</w:t>
      </w:r>
      <w:r w:rsidR="001E1449" w:rsidRPr="00FE50A6">
        <w:rPr>
          <w:lang w:val="en-US"/>
        </w:rPr>
        <w:t xml:space="preserve"> 29</w:t>
      </w:r>
      <w:r w:rsidR="000228D0" w:rsidRPr="00FE50A6">
        <w:rPr>
          <w:lang w:val="en-US"/>
        </w:rPr>
        <w:t xml:space="preserve"> of the American Convention</w:t>
      </w:r>
      <w:r w:rsidR="001E1449" w:rsidRPr="00FE50A6">
        <w:rPr>
          <w:lang w:val="en-US"/>
        </w:rPr>
        <w:t xml:space="preserve">, </w:t>
      </w:r>
      <w:r w:rsidRPr="00FE50A6">
        <w:rPr>
          <w:lang w:val="en-US"/>
        </w:rPr>
        <w:t>which stipulates</w:t>
      </w:r>
      <w:r w:rsidR="001E1449" w:rsidRPr="00FE50A6">
        <w:rPr>
          <w:lang w:val="en-US"/>
        </w:rPr>
        <w:t>:</w:t>
      </w:r>
    </w:p>
    <w:p w14:paraId="6D877F83" w14:textId="77777777" w:rsidR="001E1449" w:rsidRPr="00FE50A6" w:rsidRDefault="001E1449" w:rsidP="001E1449">
      <w:pPr>
        <w:pStyle w:val="Prrafodelista"/>
        <w:ind w:left="0"/>
        <w:rPr>
          <w:lang w:val="en-US"/>
        </w:rPr>
      </w:pPr>
    </w:p>
    <w:p w14:paraId="0233C53F" w14:textId="77777777" w:rsidR="001E1449" w:rsidRPr="00FE50A6" w:rsidRDefault="001E1449" w:rsidP="00BC2E7B">
      <w:pPr>
        <w:ind w:left="720" w:right="804"/>
        <w:rPr>
          <w:sz w:val="16"/>
          <w:szCs w:val="16"/>
          <w:lang w:val="en-US"/>
        </w:rPr>
      </w:pPr>
      <w:r w:rsidRPr="00FE50A6">
        <w:rPr>
          <w:sz w:val="16"/>
          <w:szCs w:val="16"/>
          <w:lang w:val="en-US"/>
        </w:rPr>
        <w:t>Art</w:t>
      </w:r>
      <w:r w:rsidR="00BC2E7B" w:rsidRPr="00FE50A6">
        <w:rPr>
          <w:sz w:val="16"/>
          <w:szCs w:val="16"/>
          <w:lang w:val="en-US"/>
        </w:rPr>
        <w:t>icle</w:t>
      </w:r>
      <w:r w:rsidRPr="00FE50A6">
        <w:rPr>
          <w:sz w:val="16"/>
          <w:szCs w:val="16"/>
          <w:lang w:val="en-US"/>
        </w:rPr>
        <w:t xml:space="preserve"> 29. </w:t>
      </w:r>
      <w:r w:rsidR="00BC7AD7" w:rsidRPr="00FE50A6">
        <w:rPr>
          <w:sz w:val="16"/>
          <w:szCs w:val="16"/>
          <w:lang w:val="en-US"/>
        </w:rPr>
        <w:t>Restrictions regarding Interpretation</w:t>
      </w:r>
      <w:r w:rsidRPr="00FE50A6">
        <w:rPr>
          <w:sz w:val="16"/>
          <w:szCs w:val="16"/>
          <w:lang w:val="en-US"/>
        </w:rPr>
        <w:t xml:space="preserve"> </w:t>
      </w:r>
    </w:p>
    <w:p w14:paraId="1722B0B8" w14:textId="77777777" w:rsidR="00BC2E7B" w:rsidRPr="00FE50A6" w:rsidRDefault="00BC2E7B" w:rsidP="002E3B91">
      <w:pPr>
        <w:tabs>
          <w:tab w:val="left" w:pos="1080"/>
          <w:tab w:val="left" w:pos="1680"/>
          <w:tab w:val="left" w:pos="5400"/>
        </w:tabs>
        <w:suppressAutoHyphens/>
        <w:ind w:left="720" w:right="720"/>
        <w:jc w:val="both"/>
        <w:rPr>
          <w:spacing w:val="-3"/>
          <w:sz w:val="16"/>
          <w:szCs w:val="16"/>
          <w:lang w:val="en-US"/>
        </w:rPr>
      </w:pPr>
      <w:r w:rsidRPr="00FE50A6">
        <w:rPr>
          <w:spacing w:val="-3"/>
          <w:sz w:val="16"/>
          <w:szCs w:val="16"/>
          <w:lang w:val="en-US"/>
        </w:rPr>
        <w:t>No provision of this Convention shall be interpreted as:</w:t>
      </w:r>
    </w:p>
    <w:p w14:paraId="28E24A7B" w14:textId="77777777" w:rsidR="00BC7AD7" w:rsidRPr="00FE50A6" w:rsidRDefault="00BC7AD7" w:rsidP="00BC7AD7">
      <w:pPr>
        <w:tabs>
          <w:tab w:val="left" w:pos="1080"/>
          <w:tab w:val="left" w:pos="1680"/>
          <w:tab w:val="left" w:pos="5400"/>
        </w:tabs>
        <w:suppressAutoHyphens/>
        <w:ind w:left="720" w:right="720"/>
        <w:jc w:val="both"/>
        <w:rPr>
          <w:spacing w:val="-3"/>
          <w:sz w:val="16"/>
          <w:szCs w:val="16"/>
          <w:lang w:val="en-US"/>
        </w:rPr>
      </w:pPr>
      <w:r w:rsidRPr="00FE50A6">
        <w:rPr>
          <w:spacing w:val="-3"/>
          <w:sz w:val="16"/>
          <w:szCs w:val="16"/>
          <w:lang w:val="en-US"/>
        </w:rPr>
        <w:t>a. permitting any State Party, group, or person to suppress the enjoyment or exercise of the rights and freedoms recognized in this Convention or to restrict them to a greater extent than is provided for herein;</w:t>
      </w:r>
    </w:p>
    <w:p w14:paraId="0C500DAE" w14:textId="77777777" w:rsidR="00BC7AD7" w:rsidRPr="00FE50A6" w:rsidRDefault="00BC7AD7" w:rsidP="00BC7AD7">
      <w:pPr>
        <w:tabs>
          <w:tab w:val="left" w:pos="1080"/>
          <w:tab w:val="left" w:pos="1680"/>
          <w:tab w:val="left" w:pos="5400"/>
        </w:tabs>
        <w:suppressAutoHyphens/>
        <w:ind w:left="720" w:right="720"/>
        <w:jc w:val="both"/>
        <w:rPr>
          <w:spacing w:val="-3"/>
          <w:sz w:val="16"/>
          <w:szCs w:val="16"/>
          <w:lang w:val="en-US"/>
        </w:rPr>
      </w:pPr>
      <w:r w:rsidRPr="00FE50A6">
        <w:rPr>
          <w:spacing w:val="-3"/>
          <w:sz w:val="16"/>
          <w:szCs w:val="16"/>
          <w:lang w:val="en-US"/>
        </w:rPr>
        <w:t>b. restricting the enjoyment or exercise of any right or freedom recognized by virtue of the laws of any State Party or by virtue of another convention to which one of the said states is a party;</w:t>
      </w:r>
    </w:p>
    <w:p w14:paraId="76297A24" w14:textId="77777777" w:rsidR="00BC7AD7" w:rsidRPr="00FE50A6" w:rsidRDefault="00BC7AD7" w:rsidP="00BC7AD7">
      <w:pPr>
        <w:tabs>
          <w:tab w:val="left" w:pos="1080"/>
          <w:tab w:val="left" w:pos="1680"/>
          <w:tab w:val="left" w:pos="5400"/>
        </w:tabs>
        <w:suppressAutoHyphens/>
        <w:ind w:left="720" w:right="720"/>
        <w:jc w:val="both"/>
        <w:rPr>
          <w:spacing w:val="-3"/>
          <w:sz w:val="16"/>
          <w:szCs w:val="16"/>
          <w:lang w:val="en-US"/>
        </w:rPr>
      </w:pPr>
      <w:r w:rsidRPr="00FE50A6">
        <w:rPr>
          <w:spacing w:val="-3"/>
          <w:sz w:val="16"/>
          <w:szCs w:val="16"/>
          <w:lang w:val="en-US"/>
        </w:rPr>
        <w:t>c. precluding other rights or guarantees that are inherent in the human personality or derived from representative democracy as a form of government; or</w:t>
      </w:r>
    </w:p>
    <w:p w14:paraId="303F9E2E" w14:textId="77777777" w:rsidR="00BC7AD7" w:rsidRPr="00FE50A6" w:rsidRDefault="00BC7AD7" w:rsidP="00BC7AD7">
      <w:pPr>
        <w:tabs>
          <w:tab w:val="left" w:pos="1080"/>
          <w:tab w:val="left" w:pos="1680"/>
          <w:tab w:val="left" w:pos="5400"/>
        </w:tabs>
        <w:suppressAutoHyphens/>
        <w:ind w:left="720" w:right="720"/>
        <w:jc w:val="both"/>
        <w:rPr>
          <w:spacing w:val="-3"/>
          <w:sz w:val="16"/>
          <w:szCs w:val="16"/>
          <w:lang w:val="en-US"/>
        </w:rPr>
      </w:pPr>
      <w:r w:rsidRPr="00FE50A6">
        <w:rPr>
          <w:spacing w:val="-3"/>
          <w:sz w:val="16"/>
          <w:szCs w:val="16"/>
          <w:lang w:val="en-US"/>
        </w:rPr>
        <w:t>d. excluding or limiting the effect that the American Declaration of the Rights and Duties of Man and other international acts of the same nature may have.</w:t>
      </w:r>
    </w:p>
    <w:p w14:paraId="13A42228" w14:textId="77777777" w:rsidR="00BC7AD7" w:rsidRPr="00FE50A6" w:rsidRDefault="00BC7AD7" w:rsidP="006912F8">
      <w:pPr>
        <w:pStyle w:val="Prrafodelista"/>
        <w:ind w:left="851" w:right="804"/>
        <w:rPr>
          <w:sz w:val="16"/>
          <w:szCs w:val="16"/>
          <w:lang w:val="en-US"/>
        </w:rPr>
      </w:pPr>
    </w:p>
    <w:p w14:paraId="1ABF0B09" w14:textId="77777777" w:rsidR="001E1449" w:rsidRPr="00FE50A6" w:rsidRDefault="00BC2E7B" w:rsidP="001E1449">
      <w:pPr>
        <w:pStyle w:val="Prrafodelista"/>
        <w:numPr>
          <w:ilvl w:val="0"/>
          <w:numId w:val="1"/>
        </w:numPr>
        <w:contextualSpacing w:val="0"/>
        <w:rPr>
          <w:lang w:val="en-US"/>
        </w:rPr>
      </w:pPr>
      <w:r w:rsidRPr="00FE50A6">
        <w:rPr>
          <w:lang w:val="en-US"/>
        </w:rPr>
        <w:t xml:space="preserve">A literal reading of paragraph (b) </w:t>
      </w:r>
      <w:r w:rsidR="00703850" w:rsidRPr="00FE50A6">
        <w:rPr>
          <w:lang w:val="en-US"/>
        </w:rPr>
        <w:t>of Article</w:t>
      </w:r>
      <w:r w:rsidR="001E1449" w:rsidRPr="00FE50A6">
        <w:rPr>
          <w:lang w:val="en-US"/>
        </w:rPr>
        <w:t xml:space="preserve"> 29 </w:t>
      </w:r>
      <w:r w:rsidRPr="00FE50A6">
        <w:rPr>
          <w:lang w:val="en-US"/>
        </w:rPr>
        <w:t>clearly reveals that the Convention does not permit an interpretation that limits the enjoyment and exercise of human rights.</w:t>
      </w:r>
      <w:r w:rsidR="001E1449" w:rsidRPr="00FE50A6">
        <w:rPr>
          <w:rStyle w:val="Refdenotaalpie"/>
          <w:lang w:val="en-US"/>
        </w:rPr>
        <w:footnoteReference w:id="447"/>
      </w:r>
      <w:r w:rsidRPr="00FE50A6">
        <w:rPr>
          <w:lang w:val="en-US"/>
        </w:rPr>
        <w:t xml:space="preserve"> The</w:t>
      </w:r>
      <w:r w:rsidR="001E1449" w:rsidRPr="00FE50A6">
        <w:rPr>
          <w:lang w:val="en-US"/>
        </w:rPr>
        <w:t xml:space="preserve"> </w:t>
      </w:r>
      <w:r w:rsidR="001E1449" w:rsidRPr="00FE50A6">
        <w:rPr>
          <w:i/>
          <w:lang w:val="en-US"/>
        </w:rPr>
        <w:t xml:space="preserve">pro persona </w:t>
      </w:r>
      <w:r w:rsidRPr="00FE50A6">
        <w:rPr>
          <w:lang w:val="en-US"/>
        </w:rPr>
        <w:t>interpretation requires the Court to interpret the human rights recognized in th</w:t>
      </w:r>
      <w:r w:rsidR="000228D0" w:rsidRPr="00FE50A6">
        <w:rPr>
          <w:lang w:val="en-US"/>
        </w:rPr>
        <w:t>e American Convention</w:t>
      </w:r>
      <w:r w:rsidR="001E1449" w:rsidRPr="00FE50A6">
        <w:rPr>
          <w:lang w:val="en-US"/>
        </w:rPr>
        <w:t xml:space="preserve"> </w:t>
      </w:r>
      <w:r w:rsidRPr="00FE50A6">
        <w:rPr>
          <w:lang w:val="en-US"/>
        </w:rPr>
        <w:t xml:space="preserve">in light of the most protective norm to which the persons under its jurisdiction </w:t>
      </w:r>
      <w:r w:rsidR="002E3B91" w:rsidRPr="00FE50A6">
        <w:rPr>
          <w:lang w:val="en-US"/>
        </w:rPr>
        <w:t>are</w:t>
      </w:r>
      <w:r w:rsidRPr="00FE50A6">
        <w:rPr>
          <w:lang w:val="en-US"/>
        </w:rPr>
        <w:t xml:space="preserve"> subject.</w:t>
      </w:r>
    </w:p>
    <w:p w14:paraId="2E171C15" w14:textId="77777777" w:rsidR="001E1449" w:rsidRPr="00FE50A6" w:rsidRDefault="001E1449" w:rsidP="001E1449">
      <w:pPr>
        <w:pStyle w:val="Prrafodelista"/>
        <w:ind w:left="0"/>
        <w:rPr>
          <w:lang w:val="en-US"/>
        </w:rPr>
      </w:pPr>
    </w:p>
    <w:p w14:paraId="479D13DE" w14:textId="77777777" w:rsidR="001E1449" w:rsidRPr="00FE50A6" w:rsidRDefault="00BC2E7B" w:rsidP="00BC2E7B">
      <w:pPr>
        <w:pStyle w:val="Prrafodelista"/>
        <w:numPr>
          <w:ilvl w:val="0"/>
          <w:numId w:val="1"/>
        </w:numPr>
        <w:contextualSpacing w:val="0"/>
        <w:rPr>
          <w:lang w:val="en-US"/>
        </w:rPr>
      </w:pPr>
      <w:r w:rsidRPr="00FE50A6">
        <w:rPr>
          <w:lang w:val="en-US"/>
        </w:rPr>
        <w:t>Lastly</w:t>
      </w:r>
      <w:r w:rsidR="001E1449" w:rsidRPr="00FE50A6">
        <w:rPr>
          <w:lang w:val="en-US"/>
        </w:rPr>
        <w:t xml:space="preserve">, </w:t>
      </w:r>
      <w:r w:rsidR="000228D0" w:rsidRPr="00FE50A6">
        <w:rPr>
          <w:lang w:val="en-US"/>
        </w:rPr>
        <w:t>the Court</w:t>
      </w:r>
      <w:r w:rsidR="001E1449" w:rsidRPr="00FE50A6">
        <w:rPr>
          <w:lang w:val="en-US"/>
        </w:rPr>
        <w:t xml:space="preserve"> </w:t>
      </w:r>
      <w:r w:rsidRPr="00FE50A6">
        <w:rPr>
          <w:lang w:val="en-US"/>
        </w:rPr>
        <w:t xml:space="preserve">points out that the recent </w:t>
      </w:r>
      <w:r w:rsidR="002E3B91" w:rsidRPr="00FE50A6">
        <w:rPr>
          <w:lang w:val="en-US"/>
        </w:rPr>
        <w:t>jurisprudence</w:t>
      </w:r>
      <w:r w:rsidRPr="00FE50A6">
        <w:rPr>
          <w:lang w:val="en-US"/>
        </w:rPr>
        <w:t xml:space="preserve"> </w:t>
      </w:r>
      <w:r w:rsidR="00015022" w:rsidRPr="00FE50A6">
        <w:rPr>
          <w:lang w:val="en-US"/>
        </w:rPr>
        <w:t xml:space="preserve">of </w:t>
      </w:r>
      <w:r w:rsidRPr="00FE50A6">
        <w:rPr>
          <w:lang w:val="en-US"/>
        </w:rPr>
        <w:t>Brazil’s</w:t>
      </w:r>
      <w:r w:rsidR="00015022" w:rsidRPr="00FE50A6">
        <w:rPr>
          <w:lang w:val="en-US"/>
        </w:rPr>
        <w:t xml:space="preserve"> </w:t>
      </w:r>
      <w:r w:rsidR="00704BB6" w:rsidRPr="00FE50A6">
        <w:rPr>
          <w:lang w:val="en-US"/>
        </w:rPr>
        <w:t>Supreme Federal Court</w:t>
      </w:r>
      <w:r w:rsidRPr="00FE50A6">
        <w:rPr>
          <w:lang w:val="en-US"/>
        </w:rPr>
        <w:t xml:space="preserve"> accords with the ruling </w:t>
      </w:r>
      <w:r w:rsidR="000228D0" w:rsidRPr="00FE50A6">
        <w:rPr>
          <w:lang w:val="en-US"/>
        </w:rPr>
        <w:t>of the Inter-American Court</w:t>
      </w:r>
      <w:r w:rsidR="001E1449" w:rsidRPr="00FE50A6">
        <w:rPr>
          <w:lang w:val="en-US"/>
        </w:rPr>
        <w:t xml:space="preserve"> </w:t>
      </w:r>
      <w:r w:rsidRPr="00FE50A6">
        <w:rPr>
          <w:lang w:val="en-US"/>
        </w:rPr>
        <w:t xml:space="preserve">in this case. The decisions handed down during this litigation reveal that the Supreme Labor Court and </w:t>
      </w:r>
      <w:r w:rsidR="00CC620B" w:rsidRPr="00FE50A6">
        <w:rPr>
          <w:lang w:val="en-US"/>
        </w:rPr>
        <w:t xml:space="preserve">the </w:t>
      </w:r>
      <w:r w:rsidR="002E3B91" w:rsidRPr="00FE50A6">
        <w:rPr>
          <w:lang w:val="en-US"/>
        </w:rPr>
        <w:t>Supreme Federal Court</w:t>
      </w:r>
      <w:r w:rsidRPr="00FE50A6">
        <w:rPr>
          <w:lang w:val="en-US"/>
        </w:rPr>
        <w:t xml:space="preserve"> interpret situations </w:t>
      </w:r>
      <w:r w:rsidR="00F43AAC" w:rsidRPr="00FE50A6">
        <w:rPr>
          <w:lang w:val="en-US"/>
        </w:rPr>
        <w:t>analogous</w:t>
      </w:r>
      <w:r w:rsidRPr="00FE50A6">
        <w:rPr>
          <w:lang w:val="en-US"/>
        </w:rPr>
        <w:t xml:space="preserve"> to slavery responsibly, making it clear that a mere violation of the labor laws does not reach the threshold </w:t>
      </w:r>
      <w:r w:rsidR="00CC620B" w:rsidRPr="00FE50A6">
        <w:rPr>
          <w:lang w:val="en-US"/>
        </w:rPr>
        <w:t>of reduction to slavery</w:t>
      </w:r>
      <w:r w:rsidR="00F43AAC" w:rsidRPr="00FE50A6">
        <w:rPr>
          <w:lang w:val="en-US"/>
        </w:rPr>
        <w:t>;</w:t>
      </w:r>
      <w:r w:rsidR="00CC620B" w:rsidRPr="00FE50A6">
        <w:rPr>
          <w:lang w:val="en-US"/>
        </w:rPr>
        <w:t xml:space="preserve"> rather the violations must be serious, persistent and affect the victim’s free will. The opinion of Justice Rosa Weber in Special Remedy 459510/MT reflect</w:t>
      </w:r>
      <w:r w:rsidR="00F43AAC" w:rsidRPr="00FE50A6">
        <w:rPr>
          <w:lang w:val="en-US"/>
        </w:rPr>
        <w:t>s</w:t>
      </w:r>
      <w:r w:rsidR="00CC620B" w:rsidRPr="00FE50A6">
        <w:rPr>
          <w:lang w:val="en-US"/>
        </w:rPr>
        <w:t xml:space="preserve"> this perspective</w:t>
      </w:r>
      <w:r w:rsidR="001E1449" w:rsidRPr="00FE50A6">
        <w:rPr>
          <w:lang w:val="en-US"/>
        </w:rPr>
        <w:t xml:space="preserve">: </w:t>
      </w:r>
    </w:p>
    <w:p w14:paraId="700FF500" w14:textId="77777777" w:rsidR="001E1449" w:rsidRPr="00FE50A6" w:rsidRDefault="001E1449" w:rsidP="001E1449">
      <w:pPr>
        <w:pStyle w:val="Prrafodelista"/>
        <w:ind w:left="0"/>
        <w:rPr>
          <w:sz w:val="16"/>
          <w:szCs w:val="16"/>
          <w:lang w:val="en-US"/>
        </w:rPr>
      </w:pPr>
    </w:p>
    <w:p w14:paraId="2F36FA89" w14:textId="77777777" w:rsidR="001E1449" w:rsidRPr="00FE50A6" w:rsidRDefault="009C48A4" w:rsidP="00CC620B">
      <w:pPr>
        <w:pStyle w:val="Prrafodelista"/>
        <w:ind w:left="709" w:right="804"/>
        <w:rPr>
          <w:sz w:val="16"/>
          <w:szCs w:val="16"/>
          <w:lang w:val="en-US"/>
        </w:rPr>
      </w:pPr>
      <w:r w:rsidRPr="00FE50A6">
        <w:rPr>
          <w:sz w:val="16"/>
          <w:szCs w:val="16"/>
          <w:lang w:val="en-US"/>
        </w:rPr>
        <w:t>“</w:t>
      </w:r>
      <w:r w:rsidR="00B066A0" w:rsidRPr="00FE50A6">
        <w:rPr>
          <w:sz w:val="16"/>
          <w:szCs w:val="16"/>
          <w:lang w:val="en-US"/>
        </w:rPr>
        <w:t>Obvi</w:t>
      </w:r>
      <w:r w:rsidR="00CC620B" w:rsidRPr="00FE50A6">
        <w:rPr>
          <w:sz w:val="16"/>
          <w:szCs w:val="16"/>
          <w:lang w:val="en-US"/>
        </w:rPr>
        <w:t xml:space="preserve">ously, not every violation of labor rights constitutes </w:t>
      </w:r>
      <w:r w:rsidR="005F1946" w:rsidRPr="00FE50A6">
        <w:rPr>
          <w:sz w:val="16"/>
          <w:szCs w:val="16"/>
          <w:lang w:val="en-US"/>
        </w:rPr>
        <w:t>slave labor</w:t>
      </w:r>
      <w:r w:rsidR="00B066A0" w:rsidRPr="00FE50A6">
        <w:rPr>
          <w:sz w:val="16"/>
          <w:szCs w:val="16"/>
          <w:lang w:val="en-US"/>
        </w:rPr>
        <w:t xml:space="preserve">. </w:t>
      </w:r>
      <w:r w:rsidR="00CC620B" w:rsidRPr="00FE50A6">
        <w:rPr>
          <w:sz w:val="16"/>
          <w:szCs w:val="16"/>
          <w:lang w:val="en-US"/>
        </w:rPr>
        <w:t>However, if the violation of the rights guaranteed by the labor laws in force is intense and persistent, if it reaches unacceptable levels and if workers are subjected to forced labor, extenuating working days or degrading conditions, it is possible</w:t>
      </w:r>
      <w:r w:rsidR="003609CD" w:rsidRPr="00FE50A6">
        <w:rPr>
          <w:sz w:val="16"/>
          <w:szCs w:val="16"/>
          <w:lang w:val="en-US"/>
        </w:rPr>
        <w:t>, under these circumstances,</w:t>
      </w:r>
      <w:r w:rsidR="00CC620B" w:rsidRPr="00FE50A6">
        <w:rPr>
          <w:sz w:val="16"/>
          <w:szCs w:val="16"/>
          <w:lang w:val="en-US"/>
        </w:rPr>
        <w:t xml:space="preserve"> to characterize th</w:t>
      </w:r>
      <w:r w:rsidR="00F43AAC" w:rsidRPr="00FE50A6">
        <w:rPr>
          <w:sz w:val="16"/>
          <w:szCs w:val="16"/>
          <w:lang w:val="en-US"/>
        </w:rPr>
        <w:t>e situation</w:t>
      </w:r>
      <w:r w:rsidR="00CC620B" w:rsidRPr="00FE50A6">
        <w:rPr>
          <w:sz w:val="16"/>
          <w:szCs w:val="16"/>
          <w:lang w:val="en-US"/>
        </w:rPr>
        <w:t xml:space="preserve"> under the offense defined in art. 149 of the Penal Code, because the workers have been subjected to treatment </w:t>
      </w:r>
      <w:r w:rsidR="00F43AAC" w:rsidRPr="00FE50A6">
        <w:rPr>
          <w:sz w:val="16"/>
          <w:szCs w:val="16"/>
          <w:lang w:val="en-US"/>
        </w:rPr>
        <w:t>analogous</w:t>
      </w:r>
      <w:r w:rsidR="00CC620B" w:rsidRPr="00FE50A6">
        <w:rPr>
          <w:sz w:val="16"/>
          <w:szCs w:val="16"/>
          <w:lang w:val="en-US"/>
        </w:rPr>
        <w:t xml:space="preserve"> to that of a slave, with the deprivation of their liberty and, above all, their dignity, even in the absence of direct restriction of the freedom to come and go</w:t>
      </w:r>
      <w:r w:rsidR="001E1449" w:rsidRPr="00FE50A6">
        <w:rPr>
          <w:sz w:val="16"/>
          <w:szCs w:val="16"/>
          <w:lang w:val="en-US"/>
        </w:rPr>
        <w:t>.</w:t>
      </w:r>
      <w:r w:rsidRPr="00FE50A6">
        <w:rPr>
          <w:sz w:val="16"/>
          <w:szCs w:val="16"/>
          <w:lang w:val="en-US"/>
        </w:rPr>
        <w:t>”</w:t>
      </w:r>
      <w:r w:rsidR="00B066A0" w:rsidRPr="00FE50A6">
        <w:rPr>
          <w:rStyle w:val="Refdenotaalpie"/>
          <w:sz w:val="16"/>
          <w:lang w:val="en-US"/>
        </w:rPr>
        <w:footnoteReference w:id="448"/>
      </w:r>
      <w:r w:rsidR="001E1449" w:rsidRPr="00FE50A6">
        <w:rPr>
          <w:sz w:val="16"/>
          <w:szCs w:val="16"/>
          <w:lang w:val="en-US"/>
        </w:rPr>
        <w:t xml:space="preserve">  </w:t>
      </w:r>
    </w:p>
    <w:p w14:paraId="6B362538" w14:textId="77777777" w:rsidR="001E1449" w:rsidRPr="00FE50A6" w:rsidRDefault="001E1449" w:rsidP="001E1449">
      <w:pPr>
        <w:pStyle w:val="Prrafodelista"/>
        <w:ind w:left="0"/>
        <w:rPr>
          <w:szCs w:val="20"/>
          <w:lang w:val="en-US"/>
        </w:rPr>
      </w:pPr>
    </w:p>
    <w:p w14:paraId="173ED22D" w14:textId="77777777" w:rsidR="001E1449" w:rsidRPr="00FE50A6" w:rsidRDefault="00CC620B" w:rsidP="001E1449">
      <w:pPr>
        <w:pStyle w:val="Prrafodelista"/>
        <w:numPr>
          <w:ilvl w:val="0"/>
          <w:numId w:val="1"/>
        </w:numPr>
        <w:contextualSpacing w:val="0"/>
        <w:rPr>
          <w:bCs/>
          <w:lang w:val="en-US"/>
        </w:rPr>
      </w:pPr>
      <w:r w:rsidRPr="00FE50A6">
        <w:rPr>
          <w:lang w:val="en-US"/>
        </w:rPr>
        <w:t xml:space="preserve">Based on the above, the Court does not find that the State’s argument regarding a broader protection provided by article </w:t>
      </w:r>
      <w:r w:rsidR="001E1449" w:rsidRPr="00FE50A6">
        <w:rPr>
          <w:lang w:val="en-US"/>
        </w:rPr>
        <w:t xml:space="preserve">149 </w:t>
      </w:r>
      <w:r w:rsidR="0032018A" w:rsidRPr="00FE50A6">
        <w:rPr>
          <w:lang w:val="en-US"/>
        </w:rPr>
        <w:t xml:space="preserve">of the </w:t>
      </w:r>
      <w:r w:rsidR="00AC769B" w:rsidRPr="00FE50A6">
        <w:rPr>
          <w:lang w:val="en-US"/>
        </w:rPr>
        <w:t>Brazilian Penal Code</w:t>
      </w:r>
      <w:r w:rsidR="001E1449" w:rsidRPr="00FE50A6">
        <w:rPr>
          <w:lang w:val="en-US"/>
        </w:rPr>
        <w:t xml:space="preserve"> </w:t>
      </w:r>
      <w:r w:rsidRPr="00FE50A6">
        <w:rPr>
          <w:lang w:val="en-US"/>
        </w:rPr>
        <w:t>can exempt it from responsibility in this case</w:t>
      </w:r>
      <w:r w:rsidR="001E1449" w:rsidRPr="00FE50A6">
        <w:rPr>
          <w:lang w:val="en-US"/>
        </w:rPr>
        <w:t xml:space="preserve">. </w:t>
      </w:r>
    </w:p>
    <w:p w14:paraId="6011D380" w14:textId="77777777" w:rsidR="001E1449" w:rsidRPr="00FE50A6" w:rsidRDefault="001E1449" w:rsidP="005D2CE2">
      <w:pPr>
        <w:pStyle w:val="Ttulo3"/>
        <w:rPr>
          <w:lang w:val="en-US"/>
        </w:rPr>
      </w:pPr>
    </w:p>
    <w:p w14:paraId="26EBB676" w14:textId="77777777" w:rsidR="00207197" w:rsidRPr="00FE50A6" w:rsidRDefault="00F9204B" w:rsidP="005D2CE2">
      <w:pPr>
        <w:pStyle w:val="Ttulo3"/>
        <w:rPr>
          <w:lang w:val="en-US"/>
        </w:rPr>
      </w:pPr>
      <w:bookmarkStart w:id="325" w:name="_Toc464813967"/>
      <w:r w:rsidRPr="00FE50A6">
        <w:rPr>
          <w:lang w:val="en-US"/>
        </w:rPr>
        <w:t>B.</w:t>
      </w:r>
      <w:r w:rsidR="001E1449" w:rsidRPr="00FE50A6">
        <w:rPr>
          <w:lang w:val="en-US"/>
        </w:rPr>
        <w:t>9</w:t>
      </w:r>
      <w:r w:rsidR="00DC2886" w:rsidRPr="00FE50A6">
        <w:rPr>
          <w:lang w:val="en-US"/>
        </w:rPr>
        <w:t>.</w:t>
      </w:r>
      <w:r w:rsidR="00207197" w:rsidRPr="00FE50A6">
        <w:rPr>
          <w:lang w:val="en-US"/>
        </w:rPr>
        <w:t xml:space="preserve"> </w:t>
      </w:r>
      <w:r w:rsidR="00305E15" w:rsidRPr="00FE50A6">
        <w:rPr>
          <w:lang w:val="en-US"/>
        </w:rPr>
        <w:t>State responsibility in this case</w:t>
      </w:r>
      <w:bookmarkEnd w:id="325"/>
    </w:p>
    <w:p w14:paraId="3BC381FE" w14:textId="77777777" w:rsidR="00207197" w:rsidRPr="00FE50A6" w:rsidRDefault="00207197" w:rsidP="00140440">
      <w:pPr>
        <w:jc w:val="both"/>
        <w:rPr>
          <w:lang w:val="en-US"/>
        </w:rPr>
      </w:pPr>
    </w:p>
    <w:p w14:paraId="565EBECB" w14:textId="77777777" w:rsidR="00207197" w:rsidRPr="00FE50A6" w:rsidRDefault="00305E15" w:rsidP="00F37DC4">
      <w:pPr>
        <w:pStyle w:val="Prrafodelista"/>
        <w:numPr>
          <w:ilvl w:val="0"/>
          <w:numId w:val="1"/>
        </w:numPr>
        <w:contextualSpacing w:val="0"/>
        <w:rPr>
          <w:lang w:val="en-US"/>
        </w:rPr>
      </w:pPr>
      <w:r w:rsidRPr="00FE50A6">
        <w:rPr>
          <w:lang w:val="en-US"/>
        </w:rPr>
        <w:t xml:space="preserve">Having characterized the situation of the workers present in </w:t>
      </w:r>
      <w:r w:rsidR="00207197" w:rsidRPr="00FE50A6">
        <w:rPr>
          <w:lang w:val="en-US"/>
        </w:rPr>
        <w:t xml:space="preserve">Hacienda </w:t>
      </w:r>
      <w:r w:rsidR="00322241" w:rsidRPr="00FE50A6">
        <w:rPr>
          <w:lang w:val="en-US"/>
        </w:rPr>
        <w:t>Brasil Verde</w:t>
      </w:r>
      <w:r w:rsidR="00207197" w:rsidRPr="00FE50A6">
        <w:rPr>
          <w:lang w:val="en-US"/>
        </w:rPr>
        <w:t xml:space="preserve"> </w:t>
      </w:r>
      <w:r w:rsidRPr="00FE50A6">
        <w:rPr>
          <w:lang w:val="en-US"/>
        </w:rPr>
        <w:t>as a</w:t>
      </w:r>
      <w:r w:rsidR="003609CD" w:rsidRPr="00FE50A6">
        <w:rPr>
          <w:lang w:val="en-US"/>
        </w:rPr>
        <w:t xml:space="preserve"> </w:t>
      </w:r>
      <w:r w:rsidR="00207197" w:rsidRPr="00FE50A6">
        <w:rPr>
          <w:lang w:val="en-US"/>
        </w:rPr>
        <w:t>manifesta</w:t>
      </w:r>
      <w:r w:rsidRPr="00FE50A6">
        <w:rPr>
          <w:lang w:val="en-US"/>
        </w:rPr>
        <w:t>tio</w:t>
      </w:r>
      <w:r w:rsidR="00207197" w:rsidRPr="00FE50A6">
        <w:rPr>
          <w:lang w:val="en-US"/>
        </w:rPr>
        <w:t>n</w:t>
      </w:r>
      <w:r w:rsidR="003609CD" w:rsidRPr="00FE50A6">
        <w:rPr>
          <w:lang w:val="en-US"/>
        </w:rPr>
        <w:t xml:space="preserve"> of </w:t>
      </w:r>
      <w:r w:rsidR="00D11A9F" w:rsidRPr="00FE50A6">
        <w:rPr>
          <w:lang w:val="en-US"/>
        </w:rPr>
        <w:t>slavery</w:t>
      </w:r>
      <w:r w:rsidR="00207197" w:rsidRPr="00FE50A6">
        <w:rPr>
          <w:lang w:val="en-US"/>
        </w:rPr>
        <w:t xml:space="preserve">, </w:t>
      </w:r>
      <w:r w:rsidR="000228D0" w:rsidRPr="00FE50A6">
        <w:rPr>
          <w:lang w:val="en-US"/>
        </w:rPr>
        <w:t>the Court</w:t>
      </w:r>
      <w:r w:rsidR="00207197" w:rsidRPr="00FE50A6">
        <w:rPr>
          <w:lang w:val="en-US"/>
        </w:rPr>
        <w:t xml:space="preserve"> </w:t>
      </w:r>
      <w:r w:rsidR="003609CD" w:rsidRPr="00FE50A6">
        <w:rPr>
          <w:lang w:val="en-US"/>
        </w:rPr>
        <w:t xml:space="preserve">will </w:t>
      </w:r>
      <w:r w:rsidR="00F43AAC" w:rsidRPr="00FE50A6">
        <w:rPr>
          <w:lang w:val="en-US"/>
        </w:rPr>
        <w:t>now examine</w:t>
      </w:r>
      <w:r w:rsidR="003609CD" w:rsidRPr="00FE50A6">
        <w:rPr>
          <w:lang w:val="en-US"/>
        </w:rPr>
        <w:t xml:space="preserve"> whether the State was responsible for these facts based on </w:t>
      </w:r>
      <w:r w:rsidR="000228D0" w:rsidRPr="00FE50A6">
        <w:rPr>
          <w:lang w:val="en-US"/>
        </w:rPr>
        <w:t>the American Convention</w:t>
      </w:r>
      <w:r w:rsidR="00207197" w:rsidRPr="00FE50A6">
        <w:rPr>
          <w:lang w:val="en-US"/>
        </w:rPr>
        <w:t>.</w:t>
      </w:r>
    </w:p>
    <w:p w14:paraId="0BCA6391" w14:textId="77777777" w:rsidR="003609CD" w:rsidRPr="00FE50A6" w:rsidRDefault="003609CD" w:rsidP="003609CD">
      <w:pPr>
        <w:pStyle w:val="Prrafodelista"/>
        <w:ind w:left="0"/>
        <w:contextualSpacing w:val="0"/>
        <w:rPr>
          <w:lang w:val="en-US"/>
        </w:rPr>
      </w:pPr>
    </w:p>
    <w:p w14:paraId="6E5A61C7" w14:textId="77777777" w:rsidR="00207197" w:rsidRPr="00FE50A6" w:rsidRDefault="003609CD" w:rsidP="00F37DC4">
      <w:pPr>
        <w:pStyle w:val="Prrafodelista"/>
        <w:numPr>
          <w:ilvl w:val="0"/>
          <w:numId w:val="1"/>
        </w:numPr>
        <w:contextualSpacing w:val="0"/>
        <w:rPr>
          <w:lang w:val="en-US"/>
        </w:rPr>
      </w:pPr>
      <w:r w:rsidRPr="00FE50A6">
        <w:rPr>
          <w:lang w:val="en-US"/>
        </w:rPr>
        <w:t xml:space="preserve">As on other occasions, the Court </w:t>
      </w:r>
      <w:r w:rsidR="00F43AAC" w:rsidRPr="00FE50A6">
        <w:rPr>
          <w:lang w:val="en-US"/>
        </w:rPr>
        <w:t>reiterates</w:t>
      </w:r>
      <w:r w:rsidRPr="00FE50A6">
        <w:rPr>
          <w:lang w:val="en-US"/>
        </w:rPr>
        <w:t xml:space="preserve"> that it is not sufficient that State</w:t>
      </w:r>
      <w:r w:rsidR="00F43AAC" w:rsidRPr="00FE50A6">
        <w:rPr>
          <w:lang w:val="en-US"/>
        </w:rPr>
        <w:t>s</w:t>
      </w:r>
      <w:r w:rsidRPr="00FE50A6">
        <w:rPr>
          <w:lang w:val="en-US"/>
        </w:rPr>
        <w:t xml:space="preserve"> refrain from violating rights</w:t>
      </w:r>
      <w:r w:rsidR="00F43AAC" w:rsidRPr="00FE50A6">
        <w:rPr>
          <w:lang w:val="en-US"/>
        </w:rPr>
        <w:t>;</w:t>
      </w:r>
      <w:r w:rsidRPr="00FE50A6">
        <w:rPr>
          <w:lang w:val="en-US"/>
        </w:rPr>
        <w:t xml:space="preserve"> it is </w:t>
      </w:r>
      <w:r w:rsidR="00F43AAC" w:rsidRPr="00FE50A6">
        <w:rPr>
          <w:lang w:val="en-US"/>
        </w:rPr>
        <w:t xml:space="preserve">also </w:t>
      </w:r>
      <w:r w:rsidRPr="00FE50A6">
        <w:rPr>
          <w:lang w:val="en-US"/>
        </w:rPr>
        <w:t xml:space="preserve">essential that they adopt positive measures </w:t>
      </w:r>
      <w:r w:rsidR="00F43AAC" w:rsidRPr="00FE50A6">
        <w:rPr>
          <w:lang w:val="en-US"/>
        </w:rPr>
        <w:t>determined</w:t>
      </w:r>
      <w:r w:rsidRPr="00FE50A6">
        <w:rPr>
          <w:lang w:val="en-US"/>
        </w:rPr>
        <w:t xml:space="preserve"> on the basis of the specific needs for protection of the subject of law, due to his personal situation or to the specific situation in which he finds himself.</w:t>
      </w:r>
      <w:bookmarkStart w:id="326" w:name="_Ref248140230"/>
      <w:r w:rsidR="00207197" w:rsidRPr="00FE50A6">
        <w:rPr>
          <w:vertAlign w:val="superscript"/>
          <w:lang w:val="en-US"/>
        </w:rPr>
        <w:footnoteReference w:id="449"/>
      </w:r>
      <w:bookmarkEnd w:id="326"/>
    </w:p>
    <w:p w14:paraId="1C6600A9" w14:textId="77777777" w:rsidR="00207197" w:rsidRPr="00FE50A6" w:rsidRDefault="00207197" w:rsidP="00140440">
      <w:pPr>
        <w:pStyle w:val="Prrafodelista"/>
        <w:ind w:left="0"/>
        <w:rPr>
          <w:lang w:val="en-US"/>
        </w:rPr>
      </w:pPr>
    </w:p>
    <w:p w14:paraId="1034267E" w14:textId="77777777" w:rsidR="00207197" w:rsidRPr="00FE50A6" w:rsidRDefault="0016518A" w:rsidP="0016518A">
      <w:pPr>
        <w:pStyle w:val="Prrafodelista"/>
        <w:numPr>
          <w:ilvl w:val="0"/>
          <w:numId w:val="1"/>
        </w:numPr>
        <w:contextualSpacing w:val="0"/>
        <w:rPr>
          <w:lang w:val="en-US"/>
        </w:rPr>
      </w:pPr>
      <w:bookmarkStart w:id="327" w:name="_Ref243801398"/>
      <w:r w:rsidRPr="00FE50A6">
        <w:rPr>
          <w:lang w:val="en-US"/>
        </w:rPr>
        <w:t>In addition, the prohibition of subjection to slavery plays an essential role in</w:t>
      </w:r>
      <w:r w:rsidR="00207197" w:rsidRPr="00FE50A6">
        <w:rPr>
          <w:lang w:val="en-US"/>
        </w:rPr>
        <w:t xml:space="preserve"> </w:t>
      </w:r>
      <w:r w:rsidR="000228D0" w:rsidRPr="00FE50A6">
        <w:rPr>
          <w:lang w:val="en-US"/>
        </w:rPr>
        <w:t>the American Convention</w:t>
      </w:r>
      <w:r w:rsidR="00207197" w:rsidRPr="00FE50A6">
        <w:rPr>
          <w:lang w:val="en-US"/>
        </w:rPr>
        <w:t xml:space="preserve">, </w:t>
      </w:r>
      <w:r w:rsidRPr="00FE50A6">
        <w:rPr>
          <w:lang w:val="en-US"/>
        </w:rPr>
        <w:t xml:space="preserve">because slavery represents one of the most fundamental violations of an individual’s dignity and, at the same time, of various rights recognized in </w:t>
      </w:r>
      <w:r w:rsidR="000228D0" w:rsidRPr="00FE50A6">
        <w:rPr>
          <w:lang w:val="en-US"/>
        </w:rPr>
        <w:t>the Convention</w:t>
      </w:r>
      <w:r w:rsidR="000944E7" w:rsidRPr="00FE50A6">
        <w:rPr>
          <w:lang w:val="en-US"/>
        </w:rPr>
        <w:t xml:space="preserve"> (</w:t>
      </w:r>
      <w:r w:rsidR="000944E7" w:rsidRPr="00FE50A6">
        <w:rPr>
          <w:i/>
          <w:lang w:val="en-US"/>
        </w:rPr>
        <w:t xml:space="preserve">supra </w:t>
      </w:r>
      <w:r w:rsidR="00700B79" w:rsidRPr="00FE50A6">
        <w:rPr>
          <w:lang w:val="en-US"/>
        </w:rPr>
        <w:t>para.</w:t>
      </w:r>
      <w:r w:rsidR="000944E7" w:rsidRPr="00FE50A6">
        <w:rPr>
          <w:lang w:val="en-US"/>
        </w:rPr>
        <w:t xml:space="preserve"> </w:t>
      </w:r>
      <w:r w:rsidR="00C25F96" w:rsidRPr="00FE50A6">
        <w:rPr>
          <w:lang w:val="en-US"/>
        </w:rPr>
        <w:t>306</w:t>
      </w:r>
      <w:r w:rsidR="000944E7" w:rsidRPr="00FE50A6">
        <w:rPr>
          <w:lang w:val="en-US"/>
        </w:rPr>
        <w:t>)</w:t>
      </w:r>
      <w:r w:rsidR="00207197" w:rsidRPr="00FE50A6">
        <w:rPr>
          <w:lang w:val="en-US"/>
        </w:rPr>
        <w:t xml:space="preserve">. </w:t>
      </w:r>
      <w:r w:rsidRPr="00FE50A6">
        <w:rPr>
          <w:lang w:val="en-US"/>
        </w:rPr>
        <w:t xml:space="preserve">States have the obligation to ensure the creation of the conditions required to </w:t>
      </w:r>
      <w:r w:rsidR="00F43AAC" w:rsidRPr="00FE50A6">
        <w:rPr>
          <w:lang w:val="en-US"/>
        </w:rPr>
        <w:t>guarantee</w:t>
      </w:r>
      <w:r w:rsidRPr="00FE50A6">
        <w:rPr>
          <w:lang w:val="en-US"/>
        </w:rPr>
        <w:t xml:space="preserve"> that violations of this inalienable right do not occur and, in particular, the duty to prevent its agents a</w:t>
      </w:r>
      <w:r w:rsidR="00F43AAC" w:rsidRPr="00FE50A6">
        <w:rPr>
          <w:lang w:val="en-US"/>
        </w:rPr>
        <w:t>s well as</w:t>
      </w:r>
      <w:r w:rsidRPr="00FE50A6">
        <w:rPr>
          <w:lang w:val="en-US"/>
        </w:rPr>
        <w:t xml:space="preserve"> private </w:t>
      </w:r>
      <w:r w:rsidR="00F43AAC" w:rsidRPr="00FE50A6">
        <w:rPr>
          <w:lang w:val="en-US"/>
        </w:rPr>
        <w:t>individuals</w:t>
      </w:r>
      <w:r w:rsidRPr="00FE50A6">
        <w:rPr>
          <w:lang w:val="en-US"/>
        </w:rPr>
        <w:t xml:space="preserve"> from violating it. Compliance with </w:t>
      </w:r>
      <w:r w:rsidR="00703850" w:rsidRPr="00FE50A6">
        <w:rPr>
          <w:lang w:val="en-US"/>
        </w:rPr>
        <w:t>Article</w:t>
      </w:r>
      <w:r w:rsidR="00207197" w:rsidRPr="00FE50A6">
        <w:rPr>
          <w:lang w:val="en-US"/>
        </w:rPr>
        <w:t xml:space="preserve"> 6, </w:t>
      </w:r>
      <w:r w:rsidRPr="00FE50A6">
        <w:rPr>
          <w:lang w:val="en-US"/>
        </w:rPr>
        <w:t>in relation to</w:t>
      </w:r>
      <w:r w:rsidR="00207197" w:rsidRPr="00FE50A6">
        <w:rPr>
          <w:lang w:val="en-US"/>
        </w:rPr>
        <w:t xml:space="preserve"> </w:t>
      </w:r>
      <w:r w:rsidR="000B587F" w:rsidRPr="00FE50A6">
        <w:rPr>
          <w:lang w:val="en-US"/>
        </w:rPr>
        <w:t>Article 1(1)</w:t>
      </w:r>
      <w:r w:rsidR="000228D0" w:rsidRPr="00FE50A6">
        <w:rPr>
          <w:lang w:val="en-US"/>
        </w:rPr>
        <w:t xml:space="preserve"> of the American Convention</w:t>
      </w:r>
      <w:r w:rsidR="00207197" w:rsidRPr="00FE50A6">
        <w:rPr>
          <w:lang w:val="en-US"/>
        </w:rPr>
        <w:t>, no</w:t>
      </w:r>
      <w:r w:rsidRPr="00FE50A6">
        <w:rPr>
          <w:lang w:val="en-US"/>
        </w:rPr>
        <w:t xml:space="preserve">t only supposes that no one may be subjected to </w:t>
      </w:r>
      <w:r w:rsidR="00D11A9F" w:rsidRPr="00FE50A6">
        <w:rPr>
          <w:lang w:val="en-US"/>
        </w:rPr>
        <w:t>slavery</w:t>
      </w:r>
      <w:r w:rsidR="00207197" w:rsidRPr="00FE50A6">
        <w:rPr>
          <w:lang w:val="en-US"/>
        </w:rPr>
        <w:t xml:space="preserve">, </w:t>
      </w:r>
      <w:r w:rsidRPr="00FE50A6">
        <w:rPr>
          <w:lang w:val="en-US"/>
        </w:rPr>
        <w:t>servitude</w:t>
      </w:r>
      <w:r w:rsidR="00207197" w:rsidRPr="00FE50A6">
        <w:rPr>
          <w:lang w:val="en-US"/>
        </w:rPr>
        <w:t>, tr</w:t>
      </w:r>
      <w:r w:rsidRPr="00FE50A6">
        <w:rPr>
          <w:lang w:val="en-US"/>
        </w:rPr>
        <w:t>afficking</w:t>
      </w:r>
      <w:r w:rsidR="00207197" w:rsidRPr="00FE50A6">
        <w:rPr>
          <w:lang w:val="en-US"/>
        </w:rPr>
        <w:t xml:space="preserve"> o</w:t>
      </w:r>
      <w:r w:rsidRPr="00FE50A6">
        <w:rPr>
          <w:lang w:val="en-US"/>
        </w:rPr>
        <w:t>r</w:t>
      </w:r>
      <w:r w:rsidR="00207197" w:rsidRPr="00FE50A6">
        <w:rPr>
          <w:lang w:val="en-US"/>
        </w:rPr>
        <w:t xml:space="preserve"> </w:t>
      </w:r>
      <w:r w:rsidR="005F1946" w:rsidRPr="00FE50A6">
        <w:rPr>
          <w:lang w:val="en-US"/>
        </w:rPr>
        <w:t>forced labor</w:t>
      </w:r>
      <w:r w:rsidR="00207197" w:rsidRPr="00FE50A6">
        <w:rPr>
          <w:lang w:val="en-US"/>
        </w:rPr>
        <w:t xml:space="preserve">, </w:t>
      </w:r>
      <w:r w:rsidRPr="00FE50A6">
        <w:rPr>
          <w:lang w:val="en-US"/>
        </w:rPr>
        <w:t xml:space="preserve">but also requires States to adopt all appropriate measures to end such practices and prevent violations of the right not to be subjected to such conditions </w:t>
      </w:r>
      <w:r w:rsidR="00F43AAC" w:rsidRPr="00FE50A6">
        <w:rPr>
          <w:lang w:val="en-US"/>
        </w:rPr>
        <w:t>pursuant to</w:t>
      </w:r>
      <w:r w:rsidRPr="00FE50A6">
        <w:rPr>
          <w:lang w:val="en-US"/>
        </w:rPr>
        <w:t xml:space="preserve"> the obligation to ensure the free and full exercise of their rights to every person subject to their jurisdiction.</w:t>
      </w:r>
      <w:r w:rsidR="00207197" w:rsidRPr="00FE50A6">
        <w:rPr>
          <w:vertAlign w:val="superscript"/>
          <w:lang w:val="en-US"/>
        </w:rPr>
        <w:footnoteReference w:id="450"/>
      </w:r>
      <w:bookmarkStart w:id="328" w:name="_Ref243816827"/>
      <w:bookmarkStart w:id="329" w:name="_Ref243801479"/>
      <w:bookmarkEnd w:id="327"/>
      <w:r w:rsidR="00B83BEA" w:rsidRPr="00FE50A6">
        <w:rPr>
          <w:lang w:val="en-US"/>
        </w:rPr>
        <w:t xml:space="preserve"> </w:t>
      </w:r>
    </w:p>
    <w:p w14:paraId="3BB5741C" w14:textId="77777777" w:rsidR="00207197" w:rsidRPr="00FE50A6" w:rsidRDefault="00207197" w:rsidP="00140440">
      <w:pPr>
        <w:pStyle w:val="Prrafodelista"/>
        <w:ind w:left="0"/>
        <w:rPr>
          <w:lang w:val="en-US"/>
        </w:rPr>
      </w:pPr>
    </w:p>
    <w:p w14:paraId="3B3422D3" w14:textId="77777777" w:rsidR="00386419" w:rsidRPr="00FE50A6" w:rsidRDefault="003A2B32" w:rsidP="00B83BEA">
      <w:pPr>
        <w:pStyle w:val="Prrafodelista"/>
        <w:numPr>
          <w:ilvl w:val="0"/>
          <w:numId w:val="1"/>
        </w:numPr>
        <w:rPr>
          <w:iCs/>
          <w:lang w:val="en-US"/>
        </w:rPr>
      </w:pPr>
      <w:r w:rsidRPr="00FE50A6">
        <w:rPr>
          <w:iCs/>
          <w:lang w:val="en-US"/>
        </w:rPr>
        <w:t xml:space="preserve">Moreover, owing to the elevated number of victims of </w:t>
      </w:r>
      <w:r w:rsidR="00D11A9F" w:rsidRPr="00FE50A6">
        <w:rPr>
          <w:iCs/>
          <w:lang w:val="en-US"/>
        </w:rPr>
        <w:t>slavery</w:t>
      </w:r>
      <w:r w:rsidR="00386419" w:rsidRPr="00FE50A6">
        <w:rPr>
          <w:iCs/>
          <w:lang w:val="en-US"/>
        </w:rPr>
        <w:t>, tr</w:t>
      </w:r>
      <w:r w:rsidRPr="00FE50A6">
        <w:rPr>
          <w:iCs/>
          <w:lang w:val="en-US"/>
        </w:rPr>
        <w:t>afficking</w:t>
      </w:r>
      <w:r w:rsidR="00030C17" w:rsidRPr="00FE50A6">
        <w:rPr>
          <w:iCs/>
          <w:lang w:val="en-US"/>
        </w:rPr>
        <w:t xml:space="preserve"> and </w:t>
      </w:r>
      <w:r w:rsidRPr="00FE50A6">
        <w:rPr>
          <w:iCs/>
          <w:lang w:val="en-US"/>
        </w:rPr>
        <w:t>servitude that the Brazilian authorities continue to free</w:t>
      </w:r>
      <w:r w:rsidR="00F43AAC" w:rsidRPr="00FE50A6">
        <w:rPr>
          <w:iCs/>
          <w:lang w:val="en-US"/>
        </w:rPr>
        <w:t>,</w:t>
      </w:r>
      <w:r w:rsidRPr="00FE50A6">
        <w:rPr>
          <w:iCs/>
          <w:lang w:val="en-US"/>
        </w:rPr>
        <w:t xml:space="preserve"> and the change in</w:t>
      </w:r>
      <w:r w:rsidR="00F43AAC" w:rsidRPr="00FE50A6">
        <w:rPr>
          <w:iCs/>
          <w:lang w:val="en-US"/>
        </w:rPr>
        <w:t xml:space="preserve"> the</w:t>
      </w:r>
      <w:r w:rsidRPr="00FE50A6">
        <w:rPr>
          <w:iCs/>
          <w:lang w:val="en-US"/>
        </w:rPr>
        <w:t xml:space="preserve"> per</w:t>
      </w:r>
      <w:r w:rsidR="00F43AAC" w:rsidRPr="00FE50A6">
        <w:rPr>
          <w:iCs/>
          <w:lang w:val="en-US"/>
        </w:rPr>
        <w:t>ception</w:t>
      </w:r>
      <w:r w:rsidRPr="00FE50A6">
        <w:rPr>
          <w:iCs/>
          <w:lang w:val="en-US"/>
        </w:rPr>
        <w:t xml:space="preserve"> o</w:t>
      </w:r>
      <w:r w:rsidR="00F43AAC" w:rsidRPr="00FE50A6">
        <w:rPr>
          <w:iCs/>
          <w:lang w:val="en-US"/>
        </w:rPr>
        <w:t>f</w:t>
      </w:r>
      <w:r w:rsidRPr="00FE50A6">
        <w:rPr>
          <w:iCs/>
          <w:lang w:val="en-US"/>
        </w:rPr>
        <w:t xml:space="preserve"> these phenomena and their occurrence “in the last links of the supply chains of a globalized economy,</w:t>
      </w:r>
      <w:r w:rsidR="009C48A4" w:rsidRPr="00FE50A6">
        <w:rPr>
          <w:iCs/>
          <w:lang w:val="en-US"/>
        </w:rPr>
        <w:t>”</w:t>
      </w:r>
      <w:r w:rsidR="00386419" w:rsidRPr="00FE50A6">
        <w:rPr>
          <w:iCs/>
          <w:vertAlign w:val="superscript"/>
          <w:lang w:val="en-US"/>
        </w:rPr>
        <w:footnoteReference w:id="451"/>
      </w:r>
      <w:r w:rsidRPr="00FE50A6">
        <w:rPr>
          <w:iCs/>
          <w:lang w:val="en-US"/>
        </w:rPr>
        <w:t xml:space="preserve"> it is important that the State take steps to discourage the demand that feed</w:t>
      </w:r>
      <w:r w:rsidR="00430530" w:rsidRPr="00FE50A6">
        <w:rPr>
          <w:iCs/>
          <w:lang w:val="en-US"/>
        </w:rPr>
        <w:t>s</w:t>
      </w:r>
      <w:r w:rsidRPr="00FE50A6">
        <w:rPr>
          <w:iCs/>
          <w:lang w:val="en-US"/>
        </w:rPr>
        <w:t xml:space="preserve"> </w:t>
      </w:r>
      <w:r w:rsidR="006E4CAC" w:rsidRPr="00FE50A6">
        <w:rPr>
          <w:iCs/>
          <w:lang w:val="en-US"/>
        </w:rPr>
        <w:t xml:space="preserve">worker </w:t>
      </w:r>
      <w:r w:rsidRPr="00FE50A6">
        <w:rPr>
          <w:iCs/>
          <w:lang w:val="en-US"/>
        </w:rPr>
        <w:t xml:space="preserve">exploitation, by both </w:t>
      </w:r>
      <w:r w:rsidR="005F1946" w:rsidRPr="00FE50A6">
        <w:rPr>
          <w:iCs/>
          <w:lang w:val="en-US"/>
        </w:rPr>
        <w:t>forced labor</w:t>
      </w:r>
      <w:r w:rsidR="004D1879" w:rsidRPr="00FE50A6">
        <w:rPr>
          <w:iCs/>
          <w:lang w:val="en-US"/>
        </w:rPr>
        <w:t>,</w:t>
      </w:r>
      <w:r w:rsidR="00386419" w:rsidRPr="00FE50A6">
        <w:rPr>
          <w:iCs/>
          <w:lang w:val="en-US"/>
        </w:rPr>
        <w:t xml:space="preserve"> </w:t>
      </w:r>
      <w:r w:rsidRPr="00FE50A6">
        <w:rPr>
          <w:iCs/>
          <w:lang w:val="en-US"/>
        </w:rPr>
        <w:t>and servitude</w:t>
      </w:r>
      <w:r w:rsidR="00030C17" w:rsidRPr="00FE50A6">
        <w:rPr>
          <w:iCs/>
          <w:lang w:val="en-US"/>
        </w:rPr>
        <w:t xml:space="preserve"> and </w:t>
      </w:r>
      <w:r w:rsidR="00D11A9F" w:rsidRPr="00FE50A6">
        <w:rPr>
          <w:iCs/>
          <w:lang w:val="en-US"/>
        </w:rPr>
        <w:t>slavery</w:t>
      </w:r>
      <w:r w:rsidRPr="00FE50A6">
        <w:rPr>
          <w:iCs/>
          <w:lang w:val="en-US"/>
        </w:rPr>
        <w:t>.</w:t>
      </w:r>
      <w:r w:rsidR="00386419" w:rsidRPr="00FE50A6">
        <w:rPr>
          <w:rStyle w:val="Refdenotaalpie"/>
          <w:iCs/>
          <w:lang w:val="en-US"/>
        </w:rPr>
        <w:footnoteReference w:id="452"/>
      </w:r>
    </w:p>
    <w:p w14:paraId="5A28CB86" w14:textId="77777777" w:rsidR="00386419" w:rsidRPr="00FE50A6" w:rsidRDefault="00386419" w:rsidP="00386419">
      <w:pPr>
        <w:pStyle w:val="Prrafodelista"/>
        <w:rPr>
          <w:lang w:val="en-US"/>
        </w:rPr>
      </w:pPr>
    </w:p>
    <w:p w14:paraId="6A14A978" w14:textId="77777777" w:rsidR="003A2B32" w:rsidRPr="00FE50A6" w:rsidRDefault="00207197" w:rsidP="003A2B32">
      <w:pPr>
        <w:pStyle w:val="Prrafodelista"/>
        <w:numPr>
          <w:ilvl w:val="0"/>
          <w:numId w:val="1"/>
        </w:numPr>
        <w:rPr>
          <w:iCs/>
          <w:lang w:val="en-US"/>
        </w:rPr>
      </w:pPr>
      <w:r w:rsidRPr="00FE50A6">
        <w:rPr>
          <w:lang w:val="en-US"/>
        </w:rPr>
        <w:t>Re</w:t>
      </w:r>
      <w:r w:rsidR="003A2B32" w:rsidRPr="00FE50A6">
        <w:rPr>
          <w:lang w:val="en-US"/>
        </w:rPr>
        <w:t xml:space="preserve">garding the obligation to ensure the right recognized in </w:t>
      </w:r>
      <w:r w:rsidR="000228D0" w:rsidRPr="00FE50A6">
        <w:rPr>
          <w:lang w:val="en-US"/>
        </w:rPr>
        <w:t>Article</w:t>
      </w:r>
      <w:r w:rsidRPr="00FE50A6">
        <w:rPr>
          <w:lang w:val="en-US"/>
        </w:rPr>
        <w:t xml:space="preserve"> 6</w:t>
      </w:r>
      <w:r w:rsidR="000228D0" w:rsidRPr="00FE50A6">
        <w:rPr>
          <w:lang w:val="en-US"/>
        </w:rPr>
        <w:t xml:space="preserve"> of the American Convention</w:t>
      </w:r>
      <w:r w:rsidRPr="00FE50A6">
        <w:rPr>
          <w:lang w:val="en-US"/>
        </w:rPr>
        <w:t xml:space="preserve">, </w:t>
      </w:r>
      <w:r w:rsidR="000228D0" w:rsidRPr="00FE50A6">
        <w:rPr>
          <w:lang w:val="en-US"/>
        </w:rPr>
        <w:t>the Court</w:t>
      </w:r>
      <w:r w:rsidRPr="00FE50A6">
        <w:rPr>
          <w:lang w:val="en-US"/>
        </w:rPr>
        <w:t xml:space="preserve"> consider</w:t>
      </w:r>
      <w:r w:rsidR="003A2B32" w:rsidRPr="00FE50A6">
        <w:rPr>
          <w:lang w:val="en-US"/>
        </w:rPr>
        <w:t xml:space="preserve">s that this entails the State’s duty to prevent and to investigate possible situations of </w:t>
      </w:r>
      <w:r w:rsidR="00D11A9F" w:rsidRPr="00FE50A6">
        <w:rPr>
          <w:lang w:val="en-US"/>
        </w:rPr>
        <w:t>slavery</w:t>
      </w:r>
      <w:r w:rsidRPr="00FE50A6">
        <w:rPr>
          <w:lang w:val="en-US"/>
        </w:rPr>
        <w:t xml:space="preserve">, </w:t>
      </w:r>
      <w:r w:rsidR="003A2B32" w:rsidRPr="00FE50A6">
        <w:rPr>
          <w:lang w:val="en-US"/>
        </w:rPr>
        <w:t>servitude</w:t>
      </w:r>
      <w:r w:rsidRPr="00FE50A6">
        <w:rPr>
          <w:lang w:val="en-US"/>
        </w:rPr>
        <w:t>,</w:t>
      </w:r>
      <w:r w:rsidR="00615E39" w:rsidRPr="00FE50A6">
        <w:rPr>
          <w:lang w:val="en-US"/>
        </w:rPr>
        <w:t xml:space="preserve"> </w:t>
      </w:r>
      <w:r w:rsidR="000C2A19" w:rsidRPr="00FE50A6">
        <w:rPr>
          <w:lang w:val="en-US"/>
        </w:rPr>
        <w:t>trafficking</w:t>
      </w:r>
      <w:r w:rsidR="00030C17" w:rsidRPr="00FE50A6">
        <w:rPr>
          <w:lang w:val="en-US"/>
        </w:rPr>
        <w:t xml:space="preserve"> and </w:t>
      </w:r>
      <w:r w:rsidR="005F1946" w:rsidRPr="00FE50A6">
        <w:rPr>
          <w:lang w:val="en-US"/>
        </w:rPr>
        <w:t>forced labor</w:t>
      </w:r>
      <w:r w:rsidRPr="00FE50A6">
        <w:rPr>
          <w:lang w:val="en-US"/>
        </w:rPr>
        <w:t xml:space="preserve">. </w:t>
      </w:r>
      <w:r w:rsidR="003A2B32" w:rsidRPr="00FE50A6">
        <w:rPr>
          <w:lang w:val="en-US"/>
        </w:rPr>
        <w:t xml:space="preserve">Among other measure, States have the obligation to: (i) open, </w:t>
      </w:r>
      <w:r w:rsidR="003A2B32" w:rsidRPr="00FE50A6">
        <w:rPr>
          <w:i/>
          <w:lang w:val="en-US"/>
        </w:rPr>
        <w:t>ex officio</w:t>
      </w:r>
      <w:r w:rsidR="003A2B32" w:rsidRPr="00FE50A6">
        <w:rPr>
          <w:lang w:val="en-US"/>
        </w:rPr>
        <w:t xml:space="preserve"> and immediately, an effective investigation that permits the identification, prosecution and punishment of those responsible, when a report has been filed or there is justified reason to believe that persons subject to their jurisdiction are subjected to one of the offenses established in</w:t>
      </w:r>
      <w:r w:rsidRPr="00FE50A6">
        <w:rPr>
          <w:lang w:val="en-US"/>
        </w:rPr>
        <w:t xml:space="preserve"> </w:t>
      </w:r>
      <w:r w:rsidR="000228D0" w:rsidRPr="00FE50A6">
        <w:rPr>
          <w:lang w:val="en-US"/>
        </w:rPr>
        <w:t>Article</w:t>
      </w:r>
      <w:r w:rsidRPr="00FE50A6">
        <w:rPr>
          <w:lang w:val="en-US"/>
        </w:rPr>
        <w:t xml:space="preserve"> </w:t>
      </w:r>
      <w:r w:rsidR="00090C6A" w:rsidRPr="00FE50A6">
        <w:rPr>
          <w:lang w:val="en-US"/>
        </w:rPr>
        <w:t>6(1)</w:t>
      </w:r>
      <w:r w:rsidR="00030C17" w:rsidRPr="00FE50A6">
        <w:rPr>
          <w:lang w:val="en-US"/>
        </w:rPr>
        <w:t xml:space="preserve"> and </w:t>
      </w:r>
      <w:r w:rsidR="001217DE" w:rsidRPr="00FE50A6">
        <w:rPr>
          <w:lang w:val="en-US"/>
        </w:rPr>
        <w:t>6(2)</w:t>
      </w:r>
      <w:r w:rsidR="000228D0" w:rsidRPr="00FE50A6">
        <w:rPr>
          <w:lang w:val="en-US"/>
        </w:rPr>
        <w:t xml:space="preserve"> of the Convention</w:t>
      </w:r>
      <w:r w:rsidR="00B83BEA" w:rsidRPr="00FE50A6">
        <w:rPr>
          <w:lang w:val="en-US"/>
        </w:rPr>
        <w:t xml:space="preserve">; </w:t>
      </w:r>
      <w:r w:rsidR="003A2B32" w:rsidRPr="00FE50A6">
        <w:rPr>
          <w:lang w:val="en-US"/>
        </w:rPr>
        <w:t>(</w:t>
      </w:r>
      <w:r w:rsidR="00B83BEA" w:rsidRPr="00FE50A6">
        <w:rPr>
          <w:lang w:val="en-US"/>
        </w:rPr>
        <w:t>ii)</w:t>
      </w:r>
      <w:r w:rsidR="00B83BEA" w:rsidRPr="00FE50A6">
        <w:rPr>
          <w:iCs/>
          <w:lang w:val="en-US"/>
        </w:rPr>
        <w:t xml:space="preserve"> elimina</w:t>
      </w:r>
      <w:r w:rsidR="003A2B32" w:rsidRPr="00FE50A6">
        <w:rPr>
          <w:iCs/>
          <w:lang w:val="en-US"/>
        </w:rPr>
        <w:t>te any laws that legalize or tolerate slavery and servitude; (iii) define such offenses under criminal law, with severe penalties; (iv) conduct inspections or other measures to detect such practices, and (v) adopt measure of protection and assistance for the victims.</w:t>
      </w:r>
    </w:p>
    <w:p w14:paraId="35B65FF9" w14:textId="77777777" w:rsidR="00207197" w:rsidRPr="00FE50A6" w:rsidRDefault="00207197" w:rsidP="00140440">
      <w:pPr>
        <w:pStyle w:val="Prrafodelista"/>
        <w:ind w:left="0"/>
        <w:rPr>
          <w:lang w:val="en-US"/>
        </w:rPr>
      </w:pPr>
    </w:p>
    <w:p w14:paraId="308CA534" w14:textId="77777777" w:rsidR="00386419" w:rsidRPr="00FE50A6" w:rsidRDefault="003A2B32" w:rsidP="005B046D">
      <w:pPr>
        <w:pStyle w:val="Prrafodelista"/>
        <w:numPr>
          <w:ilvl w:val="0"/>
          <w:numId w:val="1"/>
        </w:numPr>
        <w:contextualSpacing w:val="0"/>
        <w:rPr>
          <w:lang w:val="en-US"/>
        </w:rPr>
      </w:pPr>
      <w:r w:rsidRPr="00FE50A6">
        <w:rPr>
          <w:lang w:val="en-US"/>
        </w:rPr>
        <w:t>The foregoing signifies that States must adopt comprehensive measure</w:t>
      </w:r>
      <w:r w:rsidR="006E4CAC" w:rsidRPr="00FE50A6">
        <w:rPr>
          <w:lang w:val="en-US"/>
        </w:rPr>
        <w:t>s</w:t>
      </w:r>
      <w:r w:rsidRPr="00FE50A6">
        <w:rPr>
          <w:lang w:val="en-US"/>
        </w:rPr>
        <w:t xml:space="preserve"> to </w:t>
      </w:r>
      <w:r w:rsidR="006E4CAC" w:rsidRPr="00FE50A6">
        <w:rPr>
          <w:lang w:val="en-US"/>
        </w:rPr>
        <w:t>act</w:t>
      </w:r>
      <w:r w:rsidRPr="00FE50A6">
        <w:rPr>
          <w:lang w:val="en-US"/>
        </w:rPr>
        <w:t xml:space="preserve"> with due diligence in cases of servitude, </w:t>
      </w:r>
      <w:r w:rsidR="00D11A9F" w:rsidRPr="00FE50A6">
        <w:rPr>
          <w:lang w:val="en-US"/>
        </w:rPr>
        <w:t>slavery</w:t>
      </w:r>
      <w:r w:rsidR="004D1879" w:rsidRPr="00FE50A6">
        <w:rPr>
          <w:lang w:val="en-US"/>
        </w:rPr>
        <w:t>,</w:t>
      </w:r>
      <w:r w:rsidR="00386419" w:rsidRPr="00FE50A6">
        <w:rPr>
          <w:lang w:val="en-US"/>
        </w:rPr>
        <w:t xml:space="preserve"> </w:t>
      </w:r>
      <w:r w:rsidR="000C2A19" w:rsidRPr="00FE50A6">
        <w:rPr>
          <w:lang w:val="en-US"/>
        </w:rPr>
        <w:t>trafficking</w:t>
      </w:r>
      <w:r w:rsidRPr="00FE50A6">
        <w:rPr>
          <w:lang w:val="en-US"/>
        </w:rPr>
        <w:t xml:space="preserve"> </w:t>
      </w:r>
      <w:r w:rsidR="00030C17" w:rsidRPr="00FE50A6">
        <w:rPr>
          <w:lang w:val="en-US"/>
        </w:rPr>
        <w:t xml:space="preserve">and </w:t>
      </w:r>
      <w:r w:rsidR="005F1946" w:rsidRPr="00FE50A6">
        <w:rPr>
          <w:lang w:val="en-US"/>
        </w:rPr>
        <w:t>forced labor</w:t>
      </w:r>
      <w:r w:rsidR="00386419" w:rsidRPr="00FE50A6">
        <w:rPr>
          <w:lang w:val="en-US"/>
        </w:rPr>
        <w:t xml:space="preserve">. </w:t>
      </w:r>
      <w:r w:rsidR="005B046D" w:rsidRPr="00FE50A6">
        <w:rPr>
          <w:lang w:val="en-US"/>
        </w:rPr>
        <w:t>I</w:t>
      </w:r>
      <w:r w:rsidR="00386419" w:rsidRPr="00FE50A6">
        <w:rPr>
          <w:lang w:val="en-US"/>
        </w:rPr>
        <w:t xml:space="preserve">n particular, </w:t>
      </w:r>
      <w:r w:rsidR="005B046D" w:rsidRPr="00FE50A6">
        <w:rPr>
          <w:lang w:val="en-US"/>
        </w:rPr>
        <w:t xml:space="preserve">States should have an appropriate legal framework and enforce it effectively, as well as prevention policies and practices that allow them to take effective measures when </w:t>
      </w:r>
      <w:r w:rsidR="006E4CAC" w:rsidRPr="00FE50A6">
        <w:rPr>
          <w:lang w:val="en-US"/>
        </w:rPr>
        <w:t>complaints</w:t>
      </w:r>
      <w:r w:rsidR="005B046D" w:rsidRPr="00FE50A6">
        <w:rPr>
          <w:lang w:val="en-US"/>
        </w:rPr>
        <w:t xml:space="preserve"> are </w:t>
      </w:r>
      <w:r w:rsidR="006E4CAC" w:rsidRPr="00FE50A6">
        <w:rPr>
          <w:lang w:val="en-US"/>
        </w:rPr>
        <w:t>received</w:t>
      </w:r>
      <w:r w:rsidR="005B046D" w:rsidRPr="00FE50A6">
        <w:rPr>
          <w:lang w:val="en-US"/>
        </w:rPr>
        <w:t xml:space="preserve">. The prevention strategy should be comprehensive; in other words, it should prevent the risk factors and, at the same time, reinforce </w:t>
      </w:r>
      <w:r w:rsidR="006E4CAC" w:rsidRPr="00FE50A6">
        <w:rPr>
          <w:lang w:val="en-US"/>
        </w:rPr>
        <w:t>its</w:t>
      </w:r>
      <w:r w:rsidR="005B046D" w:rsidRPr="00FE50A6">
        <w:rPr>
          <w:lang w:val="en-US"/>
        </w:rPr>
        <w:t xml:space="preserve"> institutions so that the</w:t>
      </w:r>
      <w:r w:rsidR="006E4CAC" w:rsidRPr="00FE50A6">
        <w:rPr>
          <w:lang w:val="en-US"/>
        </w:rPr>
        <w:t xml:space="preserve">y </w:t>
      </w:r>
      <w:r w:rsidR="005B046D" w:rsidRPr="00FE50A6">
        <w:rPr>
          <w:lang w:val="en-US"/>
        </w:rPr>
        <w:t xml:space="preserve">can respond effectively to </w:t>
      </w:r>
      <w:r w:rsidR="006E4CAC" w:rsidRPr="00FE50A6">
        <w:rPr>
          <w:lang w:val="en-US"/>
        </w:rPr>
        <w:t xml:space="preserve">situations </w:t>
      </w:r>
      <w:r w:rsidR="005B046D" w:rsidRPr="00FE50A6">
        <w:rPr>
          <w:lang w:val="en-US"/>
        </w:rPr>
        <w:t>of contemporary slavery. In addition, States should take preventive measures in specific cases in which it is evident that certain groups of people may be victims of trafficking or slavery. This obligation is increased owing to the nature of the prohibition of slavery as a peremptory norm of international law</w:t>
      </w:r>
      <w:r w:rsidR="00386419" w:rsidRPr="00FE50A6">
        <w:rPr>
          <w:lang w:val="en-US"/>
        </w:rPr>
        <w:t xml:space="preserve"> (</w:t>
      </w:r>
      <w:r w:rsidR="00386419" w:rsidRPr="00FE50A6">
        <w:rPr>
          <w:i/>
          <w:lang w:val="en-US"/>
        </w:rPr>
        <w:t xml:space="preserve">supra </w:t>
      </w:r>
      <w:r w:rsidR="00700B79" w:rsidRPr="00FE50A6">
        <w:rPr>
          <w:lang w:val="en-US"/>
        </w:rPr>
        <w:t>para.</w:t>
      </w:r>
      <w:r w:rsidR="00386419" w:rsidRPr="00FE50A6">
        <w:rPr>
          <w:lang w:val="en-US"/>
        </w:rPr>
        <w:t xml:space="preserve"> </w:t>
      </w:r>
      <w:r w:rsidR="006912F8" w:rsidRPr="00FE50A6">
        <w:rPr>
          <w:lang w:val="en-US"/>
        </w:rPr>
        <w:t>249</w:t>
      </w:r>
      <w:r w:rsidR="00386419" w:rsidRPr="00FE50A6">
        <w:rPr>
          <w:lang w:val="en-US"/>
        </w:rPr>
        <w:t>)</w:t>
      </w:r>
      <w:r w:rsidR="00030C17" w:rsidRPr="00FE50A6">
        <w:rPr>
          <w:lang w:val="en-US"/>
        </w:rPr>
        <w:t xml:space="preserve"> and</w:t>
      </w:r>
      <w:r w:rsidR="005B046D" w:rsidRPr="00FE50A6">
        <w:rPr>
          <w:lang w:val="en-US"/>
        </w:rPr>
        <w:t xml:space="preserve"> to the seriousness and intensity </w:t>
      </w:r>
      <w:r w:rsidR="00703850" w:rsidRPr="00FE50A6">
        <w:rPr>
          <w:lang w:val="en-US"/>
        </w:rPr>
        <w:t xml:space="preserve">of the </w:t>
      </w:r>
      <w:r w:rsidR="005B046D" w:rsidRPr="00FE50A6">
        <w:rPr>
          <w:lang w:val="en-US"/>
        </w:rPr>
        <w:t>rights</w:t>
      </w:r>
      <w:r w:rsidR="006E4CAC" w:rsidRPr="00FE50A6">
        <w:rPr>
          <w:lang w:val="en-US"/>
        </w:rPr>
        <w:t xml:space="preserve"> violations</w:t>
      </w:r>
      <w:r w:rsidR="005B046D" w:rsidRPr="00FE50A6">
        <w:rPr>
          <w:lang w:val="en-US"/>
        </w:rPr>
        <w:t xml:space="preserve"> due to this practice</w:t>
      </w:r>
      <w:r w:rsidR="00386419" w:rsidRPr="00FE50A6">
        <w:rPr>
          <w:lang w:val="en-US"/>
        </w:rPr>
        <w:t xml:space="preserve">. </w:t>
      </w:r>
    </w:p>
    <w:p w14:paraId="1EAA9C40" w14:textId="77777777" w:rsidR="00386419" w:rsidRPr="00FE50A6" w:rsidRDefault="00386419" w:rsidP="00386419">
      <w:pPr>
        <w:pStyle w:val="Prrafodelista"/>
        <w:rPr>
          <w:lang w:val="en-US"/>
        </w:rPr>
      </w:pPr>
    </w:p>
    <w:p w14:paraId="12390D5B" w14:textId="77777777" w:rsidR="00207197" w:rsidRPr="00FE50A6" w:rsidRDefault="005B046D" w:rsidP="00F37DC4">
      <w:pPr>
        <w:pStyle w:val="Prrafodelista"/>
        <w:numPr>
          <w:ilvl w:val="0"/>
          <w:numId w:val="1"/>
        </w:numPr>
        <w:contextualSpacing w:val="0"/>
        <w:rPr>
          <w:lang w:val="en-US"/>
        </w:rPr>
      </w:pPr>
      <w:r w:rsidRPr="00FE50A6">
        <w:rPr>
          <w:lang w:val="en-US"/>
        </w:rPr>
        <w:t xml:space="preserve">The Court must now analyze whether the State </w:t>
      </w:r>
      <w:r w:rsidR="006E4CAC" w:rsidRPr="00FE50A6">
        <w:rPr>
          <w:lang w:val="en-US"/>
        </w:rPr>
        <w:t xml:space="preserve">responded </w:t>
      </w:r>
      <w:r w:rsidRPr="00FE50A6">
        <w:rPr>
          <w:lang w:val="en-US"/>
        </w:rPr>
        <w:t xml:space="preserve">adequately </w:t>
      </w:r>
      <w:r w:rsidR="006E4CAC" w:rsidRPr="00FE50A6">
        <w:rPr>
          <w:lang w:val="en-US"/>
        </w:rPr>
        <w:t>to</w:t>
      </w:r>
      <w:r w:rsidRPr="00FE50A6">
        <w:rPr>
          <w:lang w:val="en-US"/>
        </w:rPr>
        <w:t xml:space="preserve"> the situation of </w:t>
      </w:r>
      <w:r w:rsidR="00D11A9F" w:rsidRPr="00FE50A6">
        <w:rPr>
          <w:lang w:val="en-US"/>
        </w:rPr>
        <w:t>slavery</w:t>
      </w:r>
      <w:r w:rsidR="00207197" w:rsidRPr="00FE50A6">
        <w:rPr>
          <w:lang w:val="en-US"/>
        </w:rPr>
        <w:t xml:space="preserve"> verifi</w:t>
      </w:r>
      <w:r w:rsidRPr="00FE50A6">
        <w:rPr>
          <w:lang w:val="en-US"/>
        </w:rPr>
        <w:t xml:space="preserve">ed in this case. In other words, if it complied with the obligation to guarantee the rights protected by </w:t>
      </w:r>
      <w:r w:rsidR="00703850" w:rsidRPr="00FE50A6">
        <w:rPr>
          <w:lang w:val="en-US"/>
        </w:rPr>
        <w:t>Article</w:t>
      </w:r>
      <w:r w:rsidR="00207197" w:rsidRPr="00FE50A6">
        <w:rPr>
          <w:lang w:val="en-US"/>
        </w:rPr>
        <w:t xml:space="preserve"> 6</w:t>
      </w:r>
      <w:r w:rsidR="000228D0" w:rsidRPr="00FE50A6">
        <w:rPr>
          <w:lang w:val="en-US"/>
        </w:rPr>
        <w:t xml:space="preserve"> of the American Convention</w:t>
      </w:r>
      <w:r w:rsidR="00207197" w:rsidRPr="00FE50A6">
        <w:rPr>
          <w:lang w:val="en-US"/>
        </w:rPr>
        <w:t xml:space="preserve">, </w:t>
      </w:r>
      <w:r w:rsidRPr="00FE50A6">
        <w:rPr>
          <w:lang w:val="en-US"/>
        </w:rPr>
        <w:t>pursuant to</w:t>
      </w:r>
      <w:r w:rsidR="00207197" w:rsidRPr="00FE50A6">
        <w:rPr>
          <w:lang w:val="en-US"/>
        </w:rPr>
        <w:t xml:space="preserve"> </w:t>
      </w:r>
      <w:bookmarkEnd w:id="328"/>
      <w:bookmarkEnd w:id="329"/>
      <w:r w:rsidR="00D2546E" w:rsidRPr="00FE50A6">
        <w:rPr>
          <w:lang w:val="en-US"/>
        </w:rPr>
        <w:t>Article</w:t>
      </w:r>
      <w:r w:rsidR="00207197" w:rsidRPr="00FE50A6">
        <w:rPr>
          <w:lang w:val="en-US"/>
        </w:rPr>
        <w:t xml:space="preserve"> 1</w:t>
      </w:r>
      <w:r w:rsidRPr="00FE50A6">
        <w:rPr>
          <w:lang w:val="en-US"/>
        </w:rPr>
        <w:t>(1)</w:t>
      </w:r>
      <w:r w:rsidR="00207197" w:rsidRPr="00FE50A6">
        <w:rPr>
          <w:lang w:val="en-US"/>
        </w:rPr>
        <w:t xml:space="preserve"> </w:t>
      </w:r>
      <w:r w:rsidR="00703850" w:rsidRPr="00FE50A6">
        <w:rPr>
          <w:lang w:val="en-US"/>
        </w:rPr>
        <w:t>of this instrument</w:t>
      </w:r>
      <w:r w:rsidR="00207197" w:rsidRPr="00FE50A6">
        <w:rPr>
          <w:lang w:val="en-US"/>
        </w:rPr>
        <w:t xml:space="preserve">. </w:t>
      </w:r>
      <w:r w:rsidRPr="00FE50A6">
        <w:rPr>
          <w:lang w:val="en-US"/>
        </w:rPr>
        <w:t xml:space="preserve">Determination of the victims’ right of access to justice will be examined in the chapter on </w:t>
      </w:r>
      <w:bookmarkStart w:id="330" w:name="_Ref118170518"/>
      <w:r w:rsidR="000228D0" w:rsidRPr="00FE50A6">
        <w:rPr>
          <w:lang w:val="en-US"/>
        </w:rPr>
        <w:t>Articles</w:t>
      </w:r>
      <w:r w:rsidR="00207197" w:rsidRPr="00FE50A6">
        <w:rPr>
          <w:lang w:val="en-US"/>
        </w:rPr>
        <w:t xml:space="preserve"> </w:t>
      </w:r>
      <w:r w:rsidR="00703850" w:rsidRPr="00FE50A6">
        <w:rPr>
          <w:lang w:val="en-US"/>
        </w:rPr>
        <w:t>8(1)</w:t>
      </w:r>
      <w:r w:rsidR="00030C17" w:rsidRPr="00FE50A6">
        <w:rPr>
          <w:lang w:val="en-US"/>
        </w:rPr>
        <w:t xml:space="preserve"> and </w:t>
      </w:r>
      <w:r w:rsidR="00703850" w:rsidRPr="00FE50A6">
        <w:rPr>
          <w:lang w:val="en-US"/>
        </w:rPr>
        <w:t>25(1)</w:t>
      </w:r>
      <w:r w:rsidR="000228D0" w:rsidRPr="00FE50A6">
        <w:rPr>
          <w:lang w:val="en-US"/>
        </w:rPr>
        <w:t xml:space="preserve"> of the American Convention</w:t>
      </w:r>
      <w:r w:rsidR="00207197" w:rsidRPr="00FE50A6">
        <w:rPr>
          <w:lang w:val="en-US"/>
        </w:rPr>
        <w:t xml:space="preserve"> </w:t>
      </w:r>
      <w:r w:rsidR="000B587F" w:rsidRPr="00FE50A6">
        <w:rPr>
          <w:lang w:val="en-US"/>
        </w:rPr>
        <w:t>in relation to Articles 1(1)</w:t>
      </w:r>
      <w:r w:rsidR="00030C17" w:rsidRPr="00FE50A6">
        <w:rPr>
          <w:lang w:val="en-US"/>
        </w:rPr>
        <w:t xml:space="preserve"> and </w:t>
      </w:r>
      <w:r w:rsidR="00207197" w:rsidRPr="00FE50A6">
        <w:rPr>
          <w:lang w:val="en-US"/>
        </w:rPr>
        <w:t xml:space="preserve">2 </w:t>
      </w:r>
      <w:r w:rsidR="00703850" w:rsidRPr="00FE50A6">
        <w:rPr>
          <w:lang w:val="en-US"/>
        </w:rPr>
        <w:t>of this instrument</w:t>
      </w:r>
      <w:r w:rsidR="00207197" w:rsidRPr="00FE50A6">
        <w:rPr>
          <w:lang w:val="en-US"/>
        </w:rPr>
        <w:t>.</w:t>
      </w:r>
      <w:bookmarkStart w:id="331" w:name="_Ref244172477"/>
      <w:bookmarkEnd w:id="330"/>
    </w:p>
    <w:p w14:paraId="31C22830" w14:textId="77777777" w:rsidR="00207197" w:rsidRPr="00FE50A6" w:rsidRDefault="00207197" w:rsidP="00140440">
      <w:pPr>
        <w:pStyle w:val="Prrafodelista"/>
        <w:ind w:left="0"/>
        <w:rPr>
          <w:lang w:val="en-US"/>
        </w:rPr>
      </w:pPr>
    </w:p>
    <w:p w14:paraId="008C81E6" w14:textId="77777777" w:rsidR="00207197" w:rsidRPr="00FE50A6" w:rsidRDefault="00F9204B" w:rsidP="005D2CE2">
      <w:pPr>
        <w:pStyle w:val="Ttulo3"/>
        <w:rPr>
          <w:lang w:val="en-US"/>
        </w:rPr>
      </w:pPr>
      <w:bookmarkStart w:id="332" w:name="_Toc464813968"/>
      <w:r w:rsidRPr="00FE50A6">
        <w:rPr>
          <w:lang w:val="en-US"/>
        </w:rPr>
        <w:t>B.</w:t>
      </w:r>
      <w:r w:rsidR="001E1449" w:rsidRPr="00FE50A6">
        <w:rPr>
          <w:lang w:val="en-US"/>
        </w:rPr>
        <w:t>10</w:t>
      </w:r>
      <w:r w:rsidR="00DC2886" w:rsidRPr="00FE50A6">
        <w:rPr>
          <w:lang w:val="en-US"/>
        </w:rPr>
        <w:t>.</w:t>
      </w:r>
      <w:r w:rsidR="00207197" w:rsidRPr="00FE50A6">
        <w:rPr>
          <w:lang w:val="en-US"/>
        </w:rPr>
        <w:t xml:space="preserve"> </w:t>
      </w:r>
      <w:r w:rsidR="00430530" w:rsidRPr="00FE50A6">
        <w:rPr>
          <w:lang w:val="en-US"/>
        </w:rPr>
        <w:t>Obligation of prevention and non-discrimination</w:t>
      </w:r>
      <w:bookmarkEnd w:id="332"/>
    </w:p>
    <w:bookmarkEnd w:id="331"/>
    <w:p w14:paraId="295FFA78" w14:textId="77777777" w:rsidR="00207197" w:rsidRPr="00FE50A6" w:rsidRDefault="00207197" w:rsidP="00140440">
      <w:pPr>
        <w:pStyle w:val="Prrafodelista"/>
        <w:ind w:left="0"/>
        <w:rPr>
          <w:lang w:val="en-US"/>
        </w:rPr>
      </w:pPr>
    </w:p>
    <w:p w14:paraId="6218A3FC" w14:textId="77777777" w:rsidR="00207197" w:rsidRPr="00FE50A6" w:rsidRDefault="000228D0" w:rsidP="00430530">
      <w:pPr>
        <w:pStyle w:val="Prrafodelista"/>
        <w:numPr>
          <w:ilvl w:val="0"/>
          <w:numId w:val="1"/>
        </w:numPr>
        <w:contextualSpacing w:val="0"/>
        <w:rPr>
          <w:b/>
          <w:lang w:val="en-US"/>
        </w:rPr>
      </w:pPr>
      <w:r w:rsidRPr="00FE50A6">
        <w:rPr>
          <w:lang w:val="en-US"/>
        </w:rPr>
        <w:t>The Court</w:t>
      </w:r>
      <w:r w:rsidR="00207197" w:rsidRPr="00FE50A6">
        <w:rPr>
          <w:lang w:val="en-US"/>
        </w:rPr>
        <w:t xml:space="preserve"> ha</w:t>
      </w:r>
      <w:r w:rsidR="00430530" w:rsidRPr="00FE50A6">
        <w:rPr>
          <w:lang w:val="en-US"/>
        </w:rPr>
        <w:t>s established that the obligation of prevention encompasses all those measures of a legal, political, administrative and cultural nature that promote the safeguard of human rights and that ensure that any violations of th</w:t>
      </w:r>
      <w:r w:rsidR="006E4CAC" w:rsidRPr="00FE50A6">
        <w:rPr>
          <w:lang w:val="en-US"/>
        </w:rPr>
        <w:t>e</w:t>
      </w:r>
      <w:r w:rsidR="00430530" w:rsidRPr="00FE50A6">
        <w:rPr>
          <w:lang w:val="en-US"/>
        </w:rPr>
        <w:t xml:space="preserve">se rights are effectively examined and treated as a wrongful act that, as such, </w:t>
      </w:r>
      <w:r w:rsidR="006E4CAC" w:rsidRPr="00FE50A6">
        <w:rPr>
          <w:lang w:val="en-US"/>
        </w:rPr>
        <w:t>is</w:t>
      </w:r>
      <w:r w:rsidR="00430530" w:rsidRPr="00FE50A6">
        <w:rPr>
          <w:lang w:val="en-US"/>
        </w:rPr>
        <w:t xml:space="preserve"> subject to p</w:t>
      </w:r>
      <w:r w:rsidR="006E4CAC" w:rsidRPr="00FE50A6">
        <w:rPr>
          <w:lang w:val="en-US"/>
        </w:rPr>
        <w:t>enalties</w:t>
      </w:r>
      <w:r w:rsidR="00430530" w:rsidRPr="00FE50A6">
        <w:rPr>
          <w:lang w:val="en-US"/>
        </w:rPr>
        <w:t xml:space="preserve"> for those who commit it, as well as the obligation to compensate the victims for</w:t>
      </w:r>
      <w:r w:rsidR="00967F00" w:rsidRPr="00FE50A6">
        <w:rPr>
          <w:lang w:val="en-US"/>
        </w:rPr>
        <w:t xml:space="preserve"> the </w:t>
      </w:r>
      <w:r w:rsidR="006E4CAC" w:rsidRPr="00FE50A6">
        <w:rPr>
          <w:lang w:val="en-US"/>
        </w:rPr>
        <w:t>adverse</w:t>
      </w:r>
      <w:r w:rsidR="00967F00" w:rsidRPr="00FE50A6">
        <w:rPr>
          <w:lang w:val="en-US"/>
        </w:rPr>
        <w:t xml:space="preserve"> effects. It is also clear that the obligation to prevent is a duty of means or conduct and failure to comply with it is not proved by the mere fact that a right has been violated.</w:t>
      </w:r>
      <w:r w:rsidR="00207197" w:rsidRPr="00FE50A6">
        <w:rPr>
          <w:rStyle w:val="Refdenotaalpie"/>
          <w:lang w:val="en-US"/>
        </w:rPr>
        <w:footnoteReference w:id="453"/>
      </w:r>
    </w:p>
    <w:p w14:paraId="6657F072" w14:textId="77777777" w:rsidR="00207197" w:rsidRPr="00FE50A6" w:rsidRDefault="00207197" w:rsidP="00140440">
      <w:pPr>
        <w:pStyle w:val="Prrafodelista"/>
        <w:ind w:left="0"/>
        <w:rPr>
          <w:lang w:val="en-US"/>
        </w:rPr>
      </w:pPr>
    </w:p>
    <w:p w14:paraId="56B02B2A" w14:textId="77777777" w:rsidR="00207197" w:rsidRPr="00FE50A6" w:rsidRDefault="007D0107" w:rsidP="007D0107">
      <w:pPr>
        <w:pStyle w:val="Prrafodelista"/>
        <w:numPr>
          <w:ilvl w:val="0"/>
          <w:numId w:val="1"/>
        </w:numPr>
        <w:contextualSpacing w:val="0"/>
        <w:rPr>
          <w:lang w:val="en-US"/>
        </w:rPr>
      </w:pPr>
      <w:r w:rsidRPr="00FE50A6">
        <w:rPr>
          <w:lang w:val="en-US"/>
        </w:rPr>
        <w:t xml:space="preserve">According to the Court’s case law, it is evident that a State cannot be responsible for every human rights violation committed </w:t>
      </w:r>
      <w:r w:rsidR="00B413CF" w:rsidRPr="00FE50A6">
        <w:rPr>
          <w:lang w:val="en-US"/>
        </w:rPr>
        <w:t>among</w:t>
      </w:r>
      <w:r w:rsidRPr="00FE50A6">
        <w:rPr>
          <w:lang w:val="en-US"/>
        </w:rPr>
        <w:t xml:space="preserve"> private individuals subject to its jurisdiction. Indeed, the State’s treaty-based obligations of guarantee do not entail the unlimited responsibility of the State </w:t>
      </w:r>
      <w:r w:rsidR="00B413CF" w:rsidRPr="00FE50A6">
        <w:rPr>
          <w:lang w:val="en-US"/>
        </w:rPr>
        <w:t>for</w:t>
      </w:r>
      <w:r w:rsidRPr="00FE50A6">
        <w:rPr>
          <w:lang w:val="en-US"/>
        </w:rPr>
        <w:t xml:space="preserve"> every fact or act involving private individuals, because </w:t>
      </w:r>
      <w:r w:rsidR="00E4123D" w:rsidRPr="00FE50A6">
        <w:rPr>
          <w:lang w:val="en-US"/>
        </w:rPr>
        <w:t xml:space="preserve">its duty to adopt measures of prevention and to protect private individuals in their relations among themselves </w:t>
      </w:r>
      <w:r w:rsidR="00B413CF" w:rsidRPr="00FE50A6">
        <w:rPr>
          <w:lang w:val="en-US"/>
        </w:rPr>
        <w:t>is</w:t>
      </w:r>
      <w:r w:rsidR="00E4123D" w:rsidRPr="00FE50A6">
        <w:rPr>
          <w:lang w:val="en-US"/>
        </w:rPr>
        <w:t xml:space="preserve"> conditioned </w:t>
      </w:r>
      <w:r w:rsidR="00B413CF" w:rsidRPr="00FE50A6">
        <w:rPr>
          <w:lang w:val="en-US"/>
        </w:rPr>
        <w:t>by its</w:t>
      </w:r>
      <w:r w:rsidR="00E4123D" w:rsidRPr="00FE50A6">
        <w:rPr>
          <w:lang w:val="en-US"/>
        </w:rPr>
        <w:t xml:space="preserve"> awareness of a situation of real and immediate </w:t>
      </w:r>
      <w:r w:rsidR="00B413CF" w:rsidRPr="00FE50A6">
        <w:rPr>
          <w:lang w:val="en-US"/>
        </w:rPr>
        <w:t>risk</w:t>
      </w:r>
      <w:r w:rsidR="00E4123D" w:rsidRPr="00FE50A6">
        <w:rPr>
          <w:lang w:val="en-US"/>
        </w:rPr>
        <w:t xml:space="preserve"> for a specific individual or group of individuals and the reasonable possibilities of preventing or avoiding that </w:t>
      </w:r>
      <w:r w:rsidR="00B413CF" w:rsidRPr="00FE50A6">
        <w:rPr>
          <w:lang w:val="en-US"/>
        </w:rPr>
        <w:t>risk</w:t>
      </w:r>
      <w:r w:rsidR="00E4123D" w:rsidRPr="00FE50A6">
        <w:rPr>
          <w:lang w:val="en-US"/>
        </w:rPr>
        <w:t>. In other words, even though an act or omission of a private individual may have the legal consequence of the violation of certain human rights of another private individual, this cannot be automatically attributed to the State, because it is necessary to take into account the specific circumstances of the case and whether the said obligation to guarantee rights has been met.</w:t>
      </w:r>
      <w:r w:rsidR="00207197" w:rsidRPr="00FE50A6">
        <w:rPr>
          <w:vertAlign w:val="superscript"/>
          <w:lang w:val="en-US"/>
        </w:rPr>
        <w:footnoteReference w:id="454"/>
      </w:r>
    </w:p>
    <w:p w14:paraId="3F74DDB9" w14:textId="77777777" w:rsidR="00207197" w:rsidRPr="00FE50A6" w:rsidRDefault="00207197" w:rsidP="00140440">
      <w:pPr>
        <w:pStyle w:val="Prrafodelista"/>
        <w:ind w:left="0"/>
        <w:rPr>
          <w:b/>
          <w:lang w:val="en-US"/>
        </w:rPr>
      </w:pPr>
    </w:p>
    <w:p w14:paraId="016AD887" w14:textId="77777777" w:rsidR="00E4123D" w:rsidRPr="00FE50A6" w:rsidRDefault="00E4123D" w:rsidP="00F37DC4">
      <w:pPr>
        <w:pStyle w:val="Prrafodelista"/>
        <w:numPr>
          <w:ilvl w:val="0"/>
          <w:numId w:val="1"/>
        </w:numPr>
        <w:contextualSpacing w:val="0"/>
        <w:rPr>
          <w:b/>
          <w:lang w:val="en-US"/>
        </w:rPr>
      </w:pPr>
      <w:r w:rsidRPr="00FE50A6">
        <w:rPr>
          <w:lang w:val="en-US"/>
        </w:rPr>
        <w:t xml:space="preserve">For the purposes of analyzing this specific case, however, the Court’s consistent case law determines that, in order to establish the State’s responsibility it is necessary to establish whether “at the time of the facts, the State authorities were aware or should have been aware of the existence of a situation that involved a real and immediate </w:t>
      </w:r>
      <w:r w:rsidR="00B413CF" w:rsidRPr="00FE50A6">
        <w:rPr>
          <w:lang w:val="en-US"/>
        </w:rPr>
        <w:t>risk to</w:t>
      </w:r>
      <w:r w:rsidRPr="00FE50A6">
        <w:rPr>
          <w:lang w:val="en-US"/>
        </w:rPr>
        <w:t xml:space="preserve"> the life of an individual or a group of individuals, and failed to take the necessary measures that fell within the scope of their authority to prevent or avoid that </w:t>
      </w:r>
      <w:r w:rsidR="00B413CF" w:rsidRPr="00FE50A6">
        <w:rPr>
          <w:lang w:val="en-US"/>
        </w:rPr>
        <w:t>risk</w:t>
      </w:r>
      <w:r w:rsidRPr="00FE50A6">
        <w:rPr>
          <w:lang w:val="en-US"/>
        </w:rPr>
        <w:t>.”</w:t>
      </w:r>
    </w:p>
    <w:p w14:paraId="7B01701B" w14:textId="77777777" w:rsidR="00A51198" w:rsidRPr="00FE50A6" w:rsidRDefault="00A51198" w:rsidP="00E4123D">
      <w:pPr>
        <w:rPr>
          <w:lang w:val="en-US"/>
        </w:rPr>
      </w:pPr>
    </w:p>
    <w:p w14:paraId="0136BD71" w14:textId="77777777" w:rsidR="009B15CC" w:rsidRPr="00FE50A6" w:rsidRDefault="00E4123D" w:rsidP="00E4123D">
      <w:pPr>
        <w:pStyle w:val="Prrafodelista"/>
        <w:numPr>
          <w:ilvl w:val="0"/>
          <w:numId w:val="1"/>
        </w:numPr>
        <w:contextualSpacing w:val="0"/>
        <w:rPr>
          <w:lang w:val="en-US"/>
        </w:rPr>
      </w:pPr>
      <w:r w:rsidRPr="00FE50A6">
        <w:rPr>
          <w:lang w:val="en-US"/>
        </w:rPr>
        <w:t xml:space="preserve">In this regard, in this case, the Court has verified </w:t>
      </w:r>
      <w:r w:rsidR="00B413CF" w:rsidRPr="00FE50A6">
        <w:rPr>
          <w:lang w:val="en-US"/>
        </w:rPr>
        <w:t xml:space="preserve">the State’s </w:t>
      </w:r>
      <w:r w:rsidRPr="00FE50A6">
        <w:rPr>
          <w:lang w:val="en-US"/>
        </w:rPr>
        <w:t>negligence and a series of shortcomings as regard</w:t>
      </w:r>
      <w:r w:rsidR="00B413CF" w:rsidRPr="00FE50A6">
        <w:rPr>
          <w:lang w:val="en-US"/>
        </w:rPr>
        <w:t>s</w:t>
      </w:r>
      <w:r w:rsidRPr="00FE50A6">
        <w:rPr>
          <w:lang w:val="en-US"/>
        </w:rPr>
        <w:t xml:space="preserve"> </w:t>
      </w:r>
      <w:r w:rsidR="00B413CF" w:rsidRPr="00FE50A6">
        <w:rPr>
          <w:lang w:val="en-US"/>
        </w:rPr>
        <w:t>preventing</w:t>
      </w:r>
      <w:r w:rsidRPr="00FE50A6">
        <w:rPr>
          <w:lang w:val="en-US"/>
        </w:rPr>
        <w:t xml:space="preserve"> the occurrence of servitude, trafficking and slavery in its territory prior to 2000, but also following the specific report filed by the adolescents, </w:t>
      </w:r>
      <w:r w:rsidR="00D60654" w:rsidRPr="00FE50A6">
        <w:rPr>
          <w:lang w:val="en-US"/>
        </w:rPr>
        <w:t xml:space="preserve">Antônio </w:t>
      </w:r>
      <w:r w:rsidR="008829AF" w:rsidRPr="00FE50A6">
        <w:rPr>
          <w:lang w:val="en-US"/>
        </w:rPr>
        <w:t>Francisco da Silva</w:t>
      </w:r>
      <w:r w:rsidR="00030C17" w:rsidRPr="00FE50A6">
        <w:rPr>
          <w:lang w:val="en-US"/>
        </w:rPr>
        <w:t xml:space="preserve"> and </w:t>
      </w:r>
      <w:r w:rsidR="008829AF" w:rsidRPr="00FE50A6">
        <w:rPr>
          <w:lang w:val="en-US"/>
        </w:rPr>
        <w:t>Gonçalo Luiz Furtado</w:t>
      </w:r>
      <w:r w:rsidR="00207197" w:rsidRPr="00FE50A6">
        <w:rPr>
          <w:lang w:val="en-US"/>
        </w:rPr>
        <w:t xml:space="preserve">. </w:t>
      </w:r>
    </w:p>
    <w:p w14:paraId="2C0E39D8" w14:textId="77777777" w:rsidR="009B15CC" w:rsidRPr="00FE50A6" w:rsidRDefault="009B15CC" w:rsidP="009B15CC">
      <w:pPr>
        <w:pStyle w:val="Prrafodelista"/>
        <w:rPr>
          <w:lang w:val="en-US"/>
        </w:rPr>
      </w:pPr>
    </w:p>
    <w:p w14:paraId="38CDEA3D" w14:textId="77777777" w:rsidR="00207197" w:rsidRPr="00FE50A6" w:rsidRDefault="00E4123D" w:rsidP="00ED3AD0">
      <w:pPr>
        <w:pStyle w:val="Prrafodelista"/>
        <w:numPr>
          <w:ilvl w:val="0"/>
          <w:numId w:val="1"/>
        </w:numPr>
        <w:contextualSpacing w:val="0"/>
        <w:rPr>
          <w:lang w:val="en-US"/>
        </w:rPr>
      </w:pPr>
      <w:r w:rsidRPr="00FE50A6">
        <w:rPr>
          <w:lang w:val="en-US"/>
        </w:rPr>
        <w:t>Since</w:t>
      </w:r>
      <w:r w:rsidR="00207197" w:rsidRPr="00FE50A6">
        <w:rPr>
          <w:b/>
          <w:lang w:val="en-US"/>
        </w:rPr>
        <w:t xml:space="preserve"> </w:t>
      </w:r>
      <w:r w:rsidR="00207197" w:rsidRPr="00FE50A6">
        <w:rPr>
          <w:lang w:val="en-US"/>
        </w:rPr>
        <w:t>1988</w:t>
      </w:r>
      <w:r w:rsidRPr="00FE50A6">
        <w:rPr>
          <w:lang w:val="en-US"/>
        </w:rPr>
        <w:t>,</w:t>
      </w:r>
      <w:r w:rsidR="00207197" w:rsidRPr="00FE50A6">
        <w:rPr>
          <w:lang w:val="en-US"/>
        </w:rPr>
        <w:t xml:space="preserve"> </w:t>
      </w:r>
      <w:r w:rsidR="000228D0" w:rsidRPr="00FE50A6">
        <w:rPr>
          <w:lang w:val="en-US"/>
        </w:rPr>
        <w:t xml:space="preserve">the </w:t>
      </w:r>
      <w:r w:rsidR="00C61525" w:rsidRPr="00FE50A6">
        <w:rPr>
          <w:i/>
          <w:lang w:val="en-US"/>
        </w:rPr>
        <w:t xml:space="preserve">Comissão Pastoral da </w:t>
      </w:r>
      <w:proofErr w:type="gramStart"/>
      <w:r w:rsidR="00C61525" w:rsidRPr="00FE50A6">
        <w:rPr>
          <w:i/>
          <w:lang w:val="en-US"/>
        </w:rPr>
        <w:t xml:space="preserve">Terra </w:t>
      </w:r>
      <w:r w:rsidR="00207197" w:rsidRPr="00FE50A6">
        <w:rPr>
          <w:lang w:val="en-US"/>
        </w:rPr>
        <w:t xml:space="preserve"> ha</w:t>
      </w:r>
      <w:r w:rsidRPr="00FE50A6">
        <w:rPr>
          <w:lang w:val="en-US"/>
        </w:rPr>
        <w:t>s</w:t>
      </w:r>
      <w:proofErr w:type="gramEnd"/>
      <w:r w:rsidRPr="00FE50A6">
        <w:rPr>
          <w:lang w:val="en-US"/>
        </w:rPr>
        <w:t xml:space="preserve"> filed various complaints concerning the existence of a situation similar to slavery in</w:t>
      </w:r>
      <w:r w:rsidR="00207197" w:rsidRPr="00FE50A6">
        <w:rPr>
          <w:lang w:val="en-US"/>
        </w:rPr>
        <w:t xml:space="preserve"> </w:t>
      </w:r>
      <w:r w:rsidR="008B65CD" w:rsidRPr="00FE50A6">
        <w:rPr>
          <w:lang w:val="en-US"/>
        </w:rPr>
        <w:t>the state of Pará</w:t>
      </w:r>
      <w:r w:rsidR="00030C17" w:rsidRPr="00FE50A6">
        <w:rPr>
          <w:lang w:val="en-US"/>
        </w:rPr>
        <w:t xml:space="preserve"> and</w:t>
      </w:r>
      <w:r w:rsidRPr="00FE50A6">
        <w:rPr>
          <w:lang w:val="en-US"/>
        </w:rPr>
        <w:t xml:space="preserve">, specifically, in </w:t>
      </w:r>
      <w:r w:rsidR="00207197" w:rsidRPr="00FE50A6">
        <w:rPr>
          <w:lang w:val="en-US"/>
        </w:rPr>
        <w:t xml:space="preserve">Hacienda </w:t>
      </w:r>
      <w:r w:rsidR="00322241" w:rsidRPr="00FE50A6">
        <w:rPr>
          <w:lang w:val="en-US"/>
        </w:rPr>
        <w:t>Brasil Verde</w:t>
      </w:r>
      <w:r w:rsidR="00207197" w:rsidRPr="00FE50A6">
        <w:rPr>
          <w:lang w:val="en-US"/>
        </w:rPr>
        <w:t xml:space="preserve">. </w:t>
      </w:r>
      <w:r w:rsidRPr="00FE50A6">
        <w:rPr>
          <w:lang w:val="en-US"/>
        </w:rPr>
        <w:t xml:space="preserve">These complaints identified a </w:t>
      </w:r>
      <w:r w:rsidR="00207197" w:rsidRPr="00FE50A6">
        <w:rPr>
          <w:i/>
          <w:lang w:val="en-US"/>
        </w:rPr>
        <w:t>modus operandi</w:t>
      </w:r>
      <w:r w:rsidR="00207197" w:rsidRPr="00FE50A6">
        <w:rPr>
          <w:lang w:val="en-US"/>
        </w:rPr>
        <w:t xml:space="preserve"> </w:t>
      </w:r>
      <w:r w:rsidRPr="00FE50A6">
        <w:rPr>
          <w:lang w:val="en-US"/>
        </w:rPr>
        <w:t>for the recruitme</w:t>
      </w:r>
      <w:r w:rsidR="00AE2C60" w:rsidRPr="00FE50A6">
        <w:rPr>
          <w:lang w:val="en-US"/>
        </w:rPr>
        <w:t>n</w:t>
      </w:r>
      <w:r w:rsidRPr="00FE50A6">
        <w:rPr>
          <w:lang w:val="en-US"/>
        </w:rPr>
        <w:t xml:space="preserve">t and exploitation of workers in the specific area </w:t>
      </w:r>
      <w:r w:rsidR="00AE2C60" w:rsidRPr="00FE50A6">
        <w:rPr>
          <w:lang w:val="en-US"/>
        </w:rPr>
        <w:t>in the south</w:t>
      </w:r>
      <w:r w:rsidR="00703850" w:rsidRPr="00FE50A6">
        <w:rPr>
          <w:lang w:val="en-US"/>
        </w:rPr>
        <w:t xml:space="preserve"> of the </w:t>
      </w:r>
      <w:r w:rsidR="008B65CD" w:rsidRPr="00FE50A6">
        <w:rPr>
          <w:lang w:val="en-US"/>
        </w:rPr>
        <w:t>state of Pará</w:t>
      </w:r>
      <w:r w:rsidR="00207197" w:rsidRPr="00FE50A6">
        <w:rPr>
          <w:lang w:val="en-US"/>
        </w:rPr>
        <w:t xml:space="preserve">. </w:t>
      </w:r>
      <w:r w:rsidR="000228D0" w:rsidRPr="00FE50A6">
        <w:rPr>
          <w:lang w:val="en-US"/>
        </w:rPr>
        <w:t>The State</w:t>
      </w:r>
      <w:r w:rsidR="006A00D0" w:rsidRPr="00FE50A6">
        <w:rPr>
          <w:lang w:val="en-US"/>
        </w:rPr>
        <w:t xml:space="preserve"> </w:t>
      </w:r>
      <w:r w:rsidR="00AE2C60" w:rsidRPr="00FE50A6">
        <w:rPr>
          <w:lang w:val="en-US"/>
        </w:rPr>
        <w:t xml:space="preserve">was aware of this situation because, as a result of these complaints, inspections of </w:t>
      </w:r>
      <w:r w:rsidR="00207197" w:rsidRPr="00FE50A6">
        <w:rPr>
          <w:lang w:val="en-US"/>
        </w:rPr>
        <w:t xml:space="preserve">Hacienda </w:t>
      </w:r>
      <w:r w:rsidR="00322241" w:rsidRPr="00FE50A6">
        <w:rPr>
          <w:lang w:val="en-US"/>
        </w:rPr>
        <w:t>Brasil Verde</w:t>
      </w:r>
      <w:r w:rsidR="00207197" w:rsidRPr="00FE50A6">
        <w:rPr>
          <w:lang w:val="en-US"/>
        </w:rPr>
        <w:t xml:space="preserve"> </w:t>
      </w:r>
      <w:r w:rsidR="00AE2C60" w:rsidRPr="00FE50A6">
        <w:rPr>
          <w:lang w:val="en-US"/>
        </w:rPr>
        <w:t xml:space="preserve">were conducted in </w:t>
      </w:r>
      <w:r w:rsidR="00207197" w:rsidRPr="00FE50A6">
        <w:rPr>
          <w:lang w:val="en-US"/>
        </w:rPr>
        <w:t>1989, 1992, 1993, 1996, 1997, 1999</w:t>
      </w:r>
      <w:r w:rsidR="00030C17" w:rsidRPr="00FE50A6">
        <w:rPr>
          <w:lang w:val="en-US"/>
        </w:rPr>
        <w:t xml:space="preserve"> and </w:t>
      </w:r>
      <w:r w:rsidR="00207197" w:rsidRPr="00FE50A6">
        <w:rPr>
          <w:lang w:val="en-US"/>
        </w:rPr>
        <w:t xml:space="preserve">2000. </w:t>
      </w:r>
      <w:r w:rsidR="00AE2C60" w:rsidRPr="00FE50A6">
        <w:rPr>
          <w:lang w:val="en-US"/>
        </w:rPr>
        <w:t xml:space="preserve">During several of these inspections, labor law violations were verified, together with degrading living and working conditions, </w:t>
      </w:r>
      <w:r w:rsidR="00B413CF" w:rsidRPr="00FE50A6">
        <w:rPr>
          <w:lang w:val="en-US"/>
        </w:rPr>
        <w:t xml:space="preserve">and </w:t>
      </w:r>
      <w:r w:rsidR="00AE2C60" w:rsidRPr="00FE50A6">
        <w:rPr>
          <w:lang w:val="en-US"/>
        </w:rPr>
        <w:t>situations similar to</w:t>
      </w:r>
      <w:r w:rsidR="00207197" w:rsidRPr="00FE50A6">
        <w:rPr>
          <w:lang w:val="en-US"/>
        </w:rPr>
        <w:t xml:space="preserve"> </w:t>
      </w:r>
      <w:r w:rsidR="00D11A9F" w:rsidRPr="00FE50A6">
        <w:rPr>
          <w:lang w:val="en-US"/>
        </w:rPr>
        <w:t>slavery</w:t>
      </w:r>
      <w:r w:rsidR="00207197" w:rsidRPr="00FE50A6">
        <w:rPr>
          <w:lang w:val="en-US"/>
        </w:rPr>
        <w:t xml:space="preserve">. </w:t>
      </w:r>
      <w:r w:rsidR="00AE2C60" w:rsidRPr="00FE50A6">
        <w:rPr>
          <w:lang w:val="en-US"/>
        </w:rPr>
        <w:t xml:space="preserve">These verifications resulted in the opening of labor and criminal proceedings; however, such proceedings were ineffective to prevent the situation verified in March </w:t>
      </w:r>
      <w:r w:rsidR="006A00D0" w:rsidRPr="00FE50A6">
        <w:rPr>
          <w:lang w:val="en-US"/>
        </w:rPr>
        <w:t>2000</w:t>
      </w:r>
      <w:r w:rsidR="00AE2C60" w:rsidRPr="00FE50A6">
        <w:rPr>
          <w:lang w:val="en-US"/>
        </w:rPr>
        <w:t>.</w:t>
      </w:r>
      <w:r w:rsidR="006A00D0" w:rsidRPr="00FE50A6">
        <w:rPr>
          <w:rStyle w:val="Refdenotaalpie"/>
          <w:lang w:val="en-US"/>
        </w:rPr>
        <w:footnoteReference w:id="455"/>
      </w:r>
      <w:r w:rsidR="00AE2C60" w:rsidRPr="00FE50A6">
        <w:rPr>
          <w:lang w:val="en-US"/>
        </w:rPr>
        <w:t xml:space="preserve"> Also, given the frequent complaints, the seriousness of the facts denounced, and the special obligation of prevention imposed on the State in relation to slavery, the State should have increased the inspections in this hacienda in order to eradicate the practice of slavery in this establishment.</w:t>
      </w:r>
    </w:p>
    <w:p w14:paraId="4E9FF22D" w14:textId="77777777" w:rsidR="00207197" w:rsidRPr="00FE50A6" w:rsidRDefault="00207197" w:rsidP="00140440">
      <w:pPr>
        <w:pStyle w:val="Prrafodelista"/>
        <w:ind w:left="0"/>
        <w:rPr>
          <w:b/>
          <w:lang w:val="en-US"/>
        </w:rPr>
      </w:pPr>
    </w:p>
    <w:p w14:paraId="691A7991" w14:textId="77777777" w:rsidR="00EC1DB9" w:rsidRPr="00FE50A6" w:rsidRDefault="00AE2C60" w:rsidP="00F37DC4">
      <w:pPr>
        <w:pStyle w:val="Prrafodelista"/>
        <w:numPr>
          <w:ilvl w:val="0"/>
          <w:numId w:val="1"/>
        </w:numPr>
        <w:contextualSpacing w:val="0"/>
        <w:rPr>
          <w:b/>
          <w:lang w:val="en-US"/>
        </w:rPr>
      </w:pPr>
      <w:r w:rsidRPr="00FE50A6">
        <w:rPr>
          <w:lang w:val="en-US"/>
        </w:rPr>
        <w:t xml:space="preserve">Moreover, in addition to the known </w:t>
      </w:r>
      <w:r w:rsidR="00B413CF" w:rsidRPr="00FE50A6">
        <w:rPr>
          <w:lang w:val="en-US"/>
        </w:rPr>
        <w:t>risk</w:t>
      </w:r>
      <w:r w:rsidRPr="00FE50A6">
        <w:rPr>
          <w:lang w:val="en-US"/>
        </w:rPr>
        <w:t xml:space="preserve"> described above, the actual situation of risk was verified when the youths </w:t>
      </w:r>
      <w:r w:rsidR="00D60654" w:rsidRPr="00FE50A6">
        <w:rPr>
          <w:lang w:val="en-US"/>
        </w:rPr>
        <w:t xml:space="preserve">Antônio </w:t>
      </w:r>
      <w:r w:rsidR="00DF57D3" w:rsidRPr="00FE50A6">
        <w:rPr>
          <w:lang w:val="en-US"/>
        </w:rPr>
        <w:t>Francisco da Silva</w:t>
      </w:r>
      <w:r w:rsidR="00030C17" w:rsidRPr="00FE50A6">
        <w:rPr>
          <w:lang w:val="en-US"/>
        </w:rPr>
        <w:t xml:space="preserve"> and </w:t>
      </w:r>
      <w:r w:rsidR="00DF57D3" w:rsidRPr="00FE50A6">
        <w:rPr>
          <w:lang w:val="en-US"/>
        </w:rPr>
        <w:t>Gonçalo Luiz Furtado</w:t>
      </w:r>
      <w:r w:rsidR="001D0A2C" w:rsidRPr="00FE50A6">
        <w:rPr>
          <w:lang w:val="en-US"/>
        </w:rPr>
        <w:t xml:space="preserve"> </w:t>
      </w:r>
      <w:r w:rsidRPr="00FE50A6">
        <w:rPr>
          <w:lang w:val="en-US"/>
        </w:rPr>
        <w:t xml:space="preserve">were able to escape from </w:t>
      </w:r>
      <w:r w:rsidR="001D0A2C" w:rsidRPr="00FE50A6">
        <w:rPr>
          <w:lang w:val="en-US"/>
        </w:rPr>
        <w:t xml:space="preserve">Hacienda </w:t>
      </w:r>
      <w:r w:rsidR="00322241" w:rsidRPr="00FE50A6">
        <w:rPr>
          <w:lang w:val="en-US"/>
        </w:rPr>
        <w:t>Brasil Verde</w:t>
      </w:r>
      <w:r w:rsidR="00030C17" w:rsidRPr="00FE50A6">
        <w:rPr>
          <w:lang w:val="en-US"/>
        </w:rPr>
        <w:t xml:space="preserve"> and </w:t>
      </w:r>
      <w:r w:rsidRPr="00FE50A6">
        <w:rPr>
          <w:lang w:val="en-US"/>
        </w:rPr>
        <w:t>went to</w:t>
      </w:r>
      <w:r w:rsidR="001D0A2C" w:rsidRPr="00FE50A6">
        <w:rPr>
          <w:lang w:val="en-US"/>
        </w:rPr>
        <w:t xml:space="preserve"> </w:t>
      </w:r>
      <w:r w:rsidR="00445155" w:rsidRPr="00FE50A6">
        <w:rPr>
          <w:lang w:val="en-US"/>
        </w:rPr>
        <w:t xml:space="preserve">the </w:t>
      </w:r>
      <w:r w:rsidRPr="00FE50A6">
        <w:rPr>
          <w:lang w:val="en-US"/>
        </w:rPr>
        <w:t xml:space="preserve">Marabá </w:t>
      </w:r>
      <w:r w:rsidR="00445155" w:rsidRPr="00FE50A6">
        <w:rPr>
          <w:lang w:val="en-US"/>
        </w:rPr>
        <w:t>Federal</w:t>
      </w:r>
      <w:r w:rsidR="008B0077" w:rsidRPr="00FE50A6">
        <w:rPr>
          <w:lang w:val="en-US"/>
        </w:rPr>
        <w:t xml:space="preserve"> Police</w:t>
      </w:r>
      <w:r w:rsidR="001D0A2C" w:rsidRPr="00FE50A6">
        <w:rPr>
          <w:lang w:val="en-US"/>
        </w:rPr>
        <w:t xml:space="preserve">. </w:t>
      </w:r>
      <w:r w:rsidRPr="00FE50A6">
        <w:rPr>
          <w:lang w:val="en-US"/>
        </w:rPr>
        <w:t>On that occasion,</w:t>
      </w:r>
      <w:r w:rsidR="00EC1DB9" w:rsidRPr="00FE50A6">
        <w:rPr>
          <w:lang w:val="en-US"/>
        </w:rPr>
        <w:t xml:space="preserve"> after receiving the report of the adolescents about the offenses that were </w:t>
      </w:r>
      <w:r w:rsidR="00B413CF" w:rsidRPr="00FE50A6">
        <w:rPr>
          <w:lang w:val="en-US"/>
        </w:rPr>
        <w:t>occurring in this</w:t>
      </w:r>
      <w:r w:rsidR="00EC1DB9" w:rsidRPr="00FE50A6">
        <w:rPr>
          <w:lang w:val="en-US"/>
        </w:rPr>
        <w:t xml:space="preserve"> hacienda, the fact that </w:t>
      </w:r>
      <w:r w:rsidR="00D60654" w:rsidRPr="00FE50A6">
        <w:rPr>
          <w:lang w:val="en-US"/>
        </w:rPr>
        <w:t xml:space="preserve">Antônio </w:t>
      </w:r>
      <w:r w:rsidR="00DF57D3" w:rsidRPr="00FE50A6">
        <w:rPr>
          <w:lang w:val="en-US"/>
        </w:rPr>
        <w:t>Francisco da Silva</w:t>
      </w:r>
      <w:r w:rsidR="00030C17" w:rsidRPr="00FE50A6">
        <w:rPr>
          <w:lang w:val="en-US"/>
        </w:rPr>
        <w:t xml:space="preserve"> </w:t>
      </w:r>
      <w:r w:rsidR="00EC1DB9" w:rsidRPr="00FE50A6">
        <w:rPr>
          <w:lang w:val="en-US"/>
        </w:rPr>
        <w:t xml:space="preserve">was still a minor, </w:t>
      </w:r>
      <w:r w:rsidR="00030C17" w:rsidRPr="00FE50A6">
        <w:rPr>
          <w:lang w:val="en-US"/>
        </w:rPr>
        <w:t xml:space="preserve">and </w:t>
      </w:r>
      <w:r w:rsidR="00EC1DB9" w:rsidRPr="00FE50A6">
        <w:rPr>
          <w:lang w:val="en-US"/>
        </w:rPr>
        <w:t xml:space="preserve">the seriousness of the facts reported, the police merely </w:t>
      </w:r>
      <w:r w:rsidR="00B413CF" w:rsidRPr="00FE50A6">
        <w:rPr>
          <w:lang w:val="en-US"/>
        </w:rPr>
        <w:t>indicated</w:t>
      </w:r>
      <w:r w:rsidR="00EC1DB9" w:rsidRPr="00FE50A6">
        <w:rPr>
          <w:lang w:val="en-US"/>
        </w:rPr>
        <w:t xml:space="preserve"> that they </w:t>
      </w:r>
      <w:r w:rsidR="00B413CF" w:rsidRPr="00FE50A6">
        <w:rPr>
          <w:lang w:val="en-US"/>
        </w:rPr>
        <w:t xml:space="preserve">not </w:t>
      </w:r>
      <w:r w:rsidR="00EC1DB9" w:rsidRPr="00FE50A6">
        <w:rPr>
          <w:lang w:val="en-US"/>
        </w:rPr>
        <w:t>could assist them because it was carnival time, and advised them to return two days later. This attitude was in open contradiction to the obligation of due diligence, especially considering that the reported facts referred to an offense as serious as slavery. On receiving information of the occurrence of slavery and violence against a child, the State had the obligation to take every possible measure to deal with these human rights violations. By failing to proceed in this way, it violated the State obligation to prevent the occurrence of slavery in its territory.</w:t>
      </w:r>
    </w:p>
    <w:p w14:paraId="37B6ABFC" w14:textId="77777777" w:rsidR="00207197" w:rsidRPr="00FE50A6" w:rsidRDefault="00207197" w:rsidP="00140440">
      <w:pPr>
        <w:pStyle w:val="Prrafodelista"/>
        <w:ind w:left="0"/>
        <w:rPr>
          <w:lang w:val="en-US"/>
        </w:rPr>
      </w:pPr>
    </w:p>
    <w:p w14:paraId="75F0A322" w14:textId="77777777" w:rsidR="00207197" w:rsidRPr="00FE50A6" w:rsidRDefault="00EC1DB9" w:rsidP="00EC1DB9">
      <w:pPr>
        <w:pStyle w:val="Prrafodelista"/>
        <w:numPr>
          <w:ilvl w:val="0"/>
          <w:numId w:val="1"/>
        </w:numPr>
        <w:contextualSpacing w:val="0"/>
        <w:rPr>
          <w:lang w:val="en-US"/>
        </w:rPr>
      </w:pPr>
      <w:r w:rsidRPr="00FE50A6">
        <w:rPr>
          <w:lang w:val="en-US"/>
        </w:rPr>
        <w:t>Even though the State was fully aware of the danger faced by the workers subjected to slavery or forced labor in</w:t>
      </w:r>
      <w:r w:rsidR="00207197" w:rsidRPr="00FE50A6">
        <w:rPr>
          <w:lang w:val="en-US"/>
        </w:rPr>
        <w:t xml:space="preserve"> </w:t>
      </w:r>
      <w:r w:rsidR="008B65CD" w:rsidRPr="00FE50A6">
        <w:rPr>
          <w:lang w:val="en-US"/>
        </w:rPr>
        <w:t>the state of Pará</w:t>
      </w:r>
      <w:r w:rsidR="008720B2" w:rsidRPr="00FE50A6">
        <w:rPr>
          <w:rStyle w:val="Refdenotaalpie"/>
          <w:lang w:val="en-US"/>
        </w:rPr>
        <w:footnoteReference w:id="456"/>
      </w:r>
      <w:r w:rsidR="00030C17" w:rsidRPr="00FE50A6">
        <w:rPr>
          <w:lang w:val="en-US"/>
        </w:rPr>
        <w:t xml:space="preserve"> and </w:t>
      </w:r>
      <w:r w:rsidRPr="00FE50A6">
        <w:rPr>
          <w:lang w:val="en-US"/>
        </w:rPr>
        <w:t xml:space="preserve">specifically in </w:t>
      </w:r>
      <w:r w:rsidR="00207197" w:rsidRPr="00FE50A6">
        <w:rPr>
          <w:lang w:val="en-US"/>
        </w:rPr>
        <w:t xml:space="preserve">Hacienda </w:t>
      </w:r>
      <w:r w:rsidR="00322241" w:rsidRPr="00FE50A6">
        <w:rPr>
          <w:lang w:val="en-US"/>
        </w:rPr>
        <w:t>Brasil Verde</w:t>
      </w:r>
      <w:r w:rsidRPr="00FE50A6">
        <w:rPr>
          <w:lang w:val="en-US"/>
        </w:rPr>
        <w:t>,</w:t>
      </w:r>
      <w:r w:rsidR="00CC0C20" w:rsidRPr="00FE50A6">
        <w:rPr>
          <w:rStyle w:val="Refdenotaalpie"/>
          <w:lang w:val="en-US"/>
        </w:rPr>
        <w:footnoteReference w:id="457"/>
      </w:r>
      <w:r w:rsidR="00207197" w:rsidRPr="00FE50A6">
        <w:rPr>
          <w:lang w:val="en-US"/>
        </w:rPr>
        <w:t xml:space="preserve"> </w:t>
      </w:r>
      <w:r w:rsidRPr="00FE50A6">
        <w:rPr>
          <w:lang w:val="en-US"/>
        </w:rPr>
        <w:t>it has not proved that, prior to March 2000, it had adopted effective measures to prevent this practice and subjection of human beings to the degrading and inhumane conditions that have been identified. Although the obligation of prevention is one of means and not of results, the State has not demonstrated that the public policies adopted between 1995 and 2000 and the previous inspections conducted by Ministry of Labor officials</w:t>
      </w:r>
      <w:r w:rsidR="005C38AD" w:rsidRPr="00FE50A6">
        <w:rPr>
          <w:lang w:val="en-US"/>
        </w:rPr>
        <w:t xml:space="preserve">, even though they were necessary and reveal a commitment by the State, were sufficient and effective to prevent the subjection of 85 workers to slavery in </w:t>
      </w:r>
      <w:r w:rsidR="00207197" w:rsidRPr="00FE50A6">
        <w:rPr>
          <w:lang w:val="en-US"/>
        </w:rPr>
        <w:t xml:space="preserve">Hacienda </w:t>
      </w:r>
      <w:r w:rsidR="00322241" w:rsidRPr="00FE50A6">
        <w:rPr>
          <w:lang w:val="en-US"/>
        </w:rPr>
        <w:t>Brasil Verde</w:t>
      </w:r>
      <w:r w:rsidR="001E1449" w:rsidRPr="00FE50A6">
        <w:rPr>
          <w:lang w:val="en-US"/>
        </w:rPr>
        <w:t xml:space="preserve"> (</w:t>
      </w:r>
      <w:r w:rsidR="005C38AD" w:rsidRPr="00FE50A6">
        <w:rPr>
          <w:lang w:val="en-US"/>
        </w:rPr>
        <w:t xml:space="preserve">first </w:t>
      </w:r>
      <w:r w:rsidR="000D2069" w:rsidRPr="00FE50A6">
        <w:rPr>
          <w:lang w:val="en-US"/>
        </w:rPr>
        <w:t>example</w:t>
      </w:r>
      <w:r w:rsidR="005C38AD" w:rsidRPr="00FE50A6">
        <w:rPr>
          <w:lang w:val="en-US"/>
        </w:rPr>
        <w:t xml:space="preserve"> of </w:t>
      </w:r>
      <w:r w:rsidR="00105B31" w:rsidRPr="00FE50A6">
        <w:rPr>
          <w:lang w:val="en-US"/>
        </w:rPr>
        <w:t xml:space="preserve">the need to comply with </w:t>
      </w:r>
      <w:r w:rsidR="005C38AD" w:rsidRPr="00FE50A6">
        <w:rPr>
          <w:lang w:val="en-US"/>
        </w:rPr>
        <w:t xml:space="preserve">the obligation of prevention). In addition, when it received the report of violence and subjection to a situation of slavery, the State failed to react with the due diligence required by the seriousness of the facts, the victims’ situation of vulnerability, and its international obligation to prevent slavery (second </w:t>
      </w:r>
      <w:r w:rsidR="000D2069" w:rsidRPr="00FE50A6">
        <w:rPr>
          <w:lang w:val="en-US"/>
        </w:rPr>
        <w:t>example</w:t>
      </w:r>
      <w:r w:rsidR="005C38AD" w:rsidRPr="00FE50A6">
        <w:rPr>
          <w:lang w:val="en-US"/>
        </w:rPr>
        <w:t xml:space="preserve"> of the</w:t>
      </w:r>
      <w:r w:rsidR="00105B31" w:rsidRPr="00FE50A6">
        <w:rPr>
          <w:lang w:val="en-US"/>
        </w:rPr>
        <w:t xml:space="preserve"> need to comply with the</w:t>
      </w:r>
      <w:r w:rsidR="005C38AD" w:rsidRPr="00FE50A6">
        <w:rPr>
          <w:lang w:val="en-US"/>
        </w:rPr>
        <w:t xml:space="preserve"> obligation of prevention following the two reports filed). </w:t>
      </w:r>
    </w:p>
    <w:p w14:paraId="2BAF3F39" w14:textId="77777777" w:rsidR="00207197" w:rsidRPr="00FE50A6" w:rsidRDefault="00207197" w:rsidP="00140440">
      <w:pPr>
        <w:pStyle w:val="Prrafodelista"/>
        <w:ind w:left="0"/>
        <w:rPr>
          <w:lang w:val="en-US"/>
        </w:rPr>
      </w:pPr>
    </w:p>
    <w:p w14:paraId="7D192886" w14:textId="77777777" w:rsidR="00207197" w:rsidRPr="00FE50A6" w:rsidRDefault="00CA1CA8" w:rsidP="005D2CE2">
      <w:pPr>
        <w:pStyle w:val="Ttulo3"/>
        <w:rPr>
          <w:lang w:val="en-US"/>
        </w:rPr>
      </w:pPr>
      <w:bookmarkStart w:id="333" w:name="_Toc464813969"/>
      <w:r w:rsidRPr="00FE50A6">
        <w:rPr>
          <w:lang w:val="en-US"/>
        </w:rPr>
        <w:t>B.1</w:t>
      </w:r>
      <w:r w:rsidR="001E1449" w:rsidRPr="00FE50A6">
        <w:rPr>
          <w:lang w:val="en-US"/>
        </w:rPr>
        <w:t>1</w:t>
      </w:r>
      <w:r w:rsidR="00DC2886" w:rsidRPr="00FE50A6">
        <w:rPr>
          <w:lang w:val="en-US"/>
        </w:rPr>
        <w:t>.</w:t>
      </w:r>
      <w:r w:rsidR="00207197" w:rsidRPr="00FE50A6">
        <w:rPr>
          <w:lang w:val="en-US"/>
        </w:rPr>
        <w:t xml:space="preserve"> </w:t>
      </w:r>
      <w:r w:rsidR="00B11237" w:rsidRPr="00FE50A6">
        <w:rPr>
          <w:lang w:val="en-US"/>
        </w:rPr>
        <w:t>T</w:t>
      </w:r>
      <w:r w:rsidR="00AE2C60" w:rsidRPr="00FE50A6">
        <w:rPr>
          <w:lang w:val="en-US"/>
        </w:rPr>
        <w:t>he rights of the child</w:t>
      </w:r>
      <w:bookmarkEnd w:id="333"/>
    </w:p>
    <w:p w14:paraId="49348D12" w14:textId="77777777" w:rsidR="00207197" w:rsidRPr="00FE50A6" w:rsidRDefault="00207197" w:rsidP="00140440">
      <w:pPr>
        <w:pStyle w:val="Prrafodelista"/>
        <w:ind w:left="0"/>
        <w:rPr>
          <w:lang w:val="en-US"/>
        </w:rPr>
      </w:pPr>
    </w:p>
    <w:p w14:paraId="0014D711" w14:textId="77777777" w:rsidR="004713F4" w:rsidRPr="00FE50A6" w:rsidRDefault="005C6174" w:rsidP="001113DC">
      <w:pPr>
        <w:numPr>
          <w:ilvl w:val="0"/>
          <w:numId w:val="1"/>
        </w:numPr>
        <w:tabs>
          <w:tab w:val="clear" w:pos="4419"/>
          <w:tab w:val="clear" w:pos="8838"/>
        </w:tabs>
        <w:jc w:val="both"/>
        <w:rPr>
          <w:lang w:val="en-US"/>
        </w:rPr>
      </w:pPr>
      <w:r w:rsidRPr="00FE50A6">
        <w:rPr>
          <w:lang w:val="en-US"/>
        </w:rPr>
        <w:t xml:space="preserve">From the facts </w:t>
      </w:r>
      <w:r w:rsidR="0070231F" w:rsidRPr="00FE50A6">
        <w:rPr>
          <w:lang w:val="en-US"/>
        </w:rPr>
        <w:t>recounted</w:t>
      </w:r>
      <w:r w:rsidRPr="00FE50A6">
        <w:rPr>
          <w:lang w:val="en-US"/>
        </w:rPr>
        <w:t xml:space="preserve"> to the March 2000 inspection, it can be observed that </w:t>
      </w:r>
      <w:r w:rsidR="00D60654" w:rsidRPr="00FE50A6">
        <w:rPr>
          <w:lang w:val="en-US"/>
        </w:rPr>
        <w:t xml:space="preserve">Antônio </w:t>
      </w:r>
      <w:r w:rsidR="004713F4" w:rsidRPr="00FE50A6">
        <w:rPr>
          <w:lang w:val="en-US"/>
        </w:rPr>
        <w:t xml:space="preserve">Francisco da Silva, </w:t>
      </w:r>
      <w:r w:rsidRPr="00FE50A6">
        <w:rPr>
          <w:lang w:val="en-US"/>
        </w:rPr>
        <w:t xml:space="preserve">who escaped from the hacienda and, after an enormous effort, was able to report the existence of </w:t>
      </w:r>
      <w:r w:rsidR="0070231F" w:rsidRPr="00FE50A6">
        <w:rPr>
          <w:lang w:val="en-US"/>
        </w:rPr>
        <w:t xml:space="preserve">a </w:t>
      </w:r>
      <w:r w:rsidRPr="00FE50A6">
        <w:rPr>
          <w:lang w:val="en-US"/>
        </w:rPr>
        <w:t xml:space="preserve">situation of slavery, threats and violence in </w:t>
      </w:r>
      <w:r w:rsidR="004713F4" w:rsidRPr="00FE50A6">
        <w:rPr>
          <w:lang w:val="en-US"/>
        </w:rPr>
        <w:t xml:space="preserve">Hacienda </w:t>
      </w:r>
      <w:r w:rsidR="00322241" w:rsidRPr="00FE50A6">
        <w:rPr>
          <w:lang w:val="en-US"/>
        </w:rPr>
        <w:t>Brasil Verde</w:t>
      </w:r>
      <w:r w:rsidR="004713F4" w:rsidRPr="00FE50A6">
        <w:rPr>
          <w:lang w:val="en-US"/>
        </w:rPr>
        <w:t xml:space="preserve">, </w:t>
      </w:r>
      <w:r w:rsidRPr="00FE50A6">
        <w:rPr>
          <w:lang w:val="en-US"/>
        </w:rPr>
        <w:t xml:space="preserve">was a minor at that time </w:t>
      </w:r>
      <w:r w:rsidR="004713F4" w:rsidRPr="00FE50A6">
        <w:rPr>
          <w:lang w:val="en-US"/>
        </w:rPr>
        <w:t>(</w:t>
      </w:r>
      <w:r w:rsidR="004713F4" w:rsidRPr="00FE50A6">
        <w:rPr>
          <w:i/>
          <w:lang w:val="en-US"/>
        </w:rPr>
        <w:t xml:space="preserve">supra </w:t>
      </w:r>
      <w:r w:rsidR="00700B79" w:rsidRPr="00FE50A6">
        <w:rPr>
          <w:lang w:val="en-US"/>
        </w:rPr>
        <w:t>paras.</w:t>
      </w:r>
      <w:r w:rsidR="004713F4" w:rsidRPr="00FE50A6">
        <w:rPr>
          <w:lang w:val="en-US"/>
        </w:rPr>
        <w:t xml:space="preserve"> </w:t>
      </w:r>
      <w:r w:rsidR="00146AEA" w:rsidRPr="00FE50A6">
        <w:rPr>
          <w:lang w:val="en-US"/>
        </w:rPr>
        <w:t>174,</w:t>
      </w:r>
      <w:r w:rsidR="00BB7553" w:rsidRPr="00FE50A6">
        <w:rPr>
          <w:lang w:val="en-US"/>
        </w:rPr>
        <w:t xml:space="preserve"> 175</w:t>
      </w:r>
      <w:r w:rsidR="00030C17" w:rsidRPr="00FE50A6">
        <w:rPr>
          <w:lang w:val="en-US"/>
        </w:rPr>
        <w:t xml:space="preserve"> and </w:t>
      </w:r>
      <w:r w:rsidR="00146AEA" w:rsidRPr="00FE50A6">
        <w:rPr>
          <w:lang w:val="en-US"/>
        </w:rPr>
        <w:t>299</w:t>
      </w:r>
      <w:r w:rsidR="004713F4" w:rsidRPr="00FE50A6">
        <w:rPr>
          <w:lang w:val="en-US"/>
        </w:rPr>
        <w:t xml:space="preserve">). </w:t>
      </w:r>
      <w:r w:rsidR="00D60654" w:rsidRPr="00FE50A6">
        <w:rPr>
          <w:lang w:val="en-US"/>
        </w:rPr>
        <w:t xml:space="preserve">Antônio </w:t>
      </w:r>
      <w:r w:rsidR="004713F4" w:rsidRPr="00FE50A6">
        <w:rPr>
          <w:lang w:val="en-US"/>
        </w:rPr>
        <w:t>Francisco da Silva</w:t>
      </w:r>
      <w:r w:rsidRPr="00FE50A6">
        <w:rPr>
          <w:lang w:val="en-US"/>
        </w:rPr>
        <w:t xml:space="preserve"> testified before the Court that he had reported this fact to </w:t>
      </w:r>
      <w:r w:rsidR="00F3170E" w:rsidRPr="00FE50A6">
        <w:rPr>
          <w:lang w:val="en-US"/>
        </w:rPr>
        <w:t xml:space="preserve">both </w:t>
      </w:r>
      <w:r w:rsidR="00445155" w:rsidRPr="00FE50A6">
        <w:rPr>
          <w:lang w:val="en-US"/>
        </w:rPr>
        <w:t>the Federal</w:t>
      </w:r>
      <w:r w:rsidR="008B0077" w:rsidRPr="00FE50A6">
        <w:rPr>
          <w:lang w:val="en-US"/>
        </w:rPr>
        <w:t xml:space="preserve"> Police</w:t>
      </w:r>
      <w:r w:rsidR="00030C17" w:rsidRPr="00FE50A6">
        <w:rPr>
          <w:lang w:val="en-US"/>
        </w:rPr>
        <w:t xml:space="preserve"> and </w:t>
      </w:r>
      <w:r w:rsidRPr="00FE50A6">
        <w:rPr>
          <w:lang w:val="en-US"/>
        </w:rPr>
        <w:t xml:space="preserve">the </w:t>
      </w:r>
      <w:r w:rsidR="00C61525" w:rsidRPr="00FE50A6">
        <w:rPr>
          <w:rFonts w:eastAsia="Batang" w:cs="Times"/>
          <w:i/>
          <w:szCs w:val="24"/>
          <w:lang w:val="en-US"/>
        </w:rPr>
        <w:t xml:space="preserve">Comissão Pastoral da </w:t>
      </w:r>
      <w:proofErr w:type="gramStart"/>
      <w:r w:rsidR="00C61525" w:rsidRPr="00FE50A6">
        <w:rPr>
          <w:rFonts w:eastAsia="Batang" w:cs="Times"/>
          <w:i/>
          <w:szCs w:val="24"/>
          <w:lang w:val="en-US"/>
        </w:rPr>
        <w:t xml:space="preserve">Terra </w:t>
      </w:r>
      <w:r w:rsidR="00303055" w:rsidRPr="00FE50A6">
        <w:rPr>
          <w:lang w:val="en-US"/>
        </w:rPr>
        <w:t>.</w:t>
      </w:r>
      <w:proofErr w:type="gramEnd"/>
      <w:r w:rsidR="004713F4" w:rsidRPr="00FE50A6">
        <w:rPr>
          <w:lang w:val="en-US"/>
        </w:rPr>
        <w:t xml:space="preserve"> </w:t>
      </w:r>
    </w:p>
    <w:p w14:paraId="3A8B4D64" w14:textId="77777777" w:rsidR="00D57137" w:rsidRPr="00FE50A6" w:rsidRDefault="00D57137" w:rsidP="00D57137">
      <w:pPr>
        <w:jc w:val="both"/>
        <w:rPr>
          <w:i/>
          <w:lang w:val="en-US" w:eastAsia="es-ES"/>
        </w:rPr>
      </w:pPr>
    </w:p>
    <w:p w14:paraId="0D24C13C" w14:textId="77777777" w:rsidR="004713F4" w:rsidRPr="00FE50A6" w:rsidRDefault="000228D0" w:rsidP="00B30223">
      <w:pPr>
        <w:numPr>
          <w:ilvl w:val="0"/>
          <w:numId w:val="1"/>
        </w:numPr>
        <w:tabs>
          <w:tab w:val="clear" w:pos="4419"/>
          <w:tab w:val="clear" w:pos="8838"/>
        </w:tabs>
        <w:jc w:val="both"/>
        <w:rPr>
          <w:lang w:val="en-US"/>
        </w:rPr>
      </w:pPr>
      <w:r w:rsidRPr="00FE50A6">
        <w:rPr>
          <w:lang w:val="en-US"/>
        </w:rPr>
        <w:t>The Court</w:t>
      </w:r>
      <w:r w:rsidR="00D57137" w:rsidRPr="00FE50A6">
        <w:rPr>
          <w:lang w:val="en-US"/>
        </w:rPr>
        <w:t xml:space="preserve"> </w:t>
      </w:r>
      <w:r w:rsidR="005C6174" w:rsidRPr="00FE50A6">
        <w:rPr>
          <w:lang w:val="en-US"/>
        </w:rPr>
        <w:t xml:space="preserve">underscores that children are holders of the rights </w:t>
      </w:r>
      <w:r w:rsidR="00BC6362" w:rsidRPr="00FE50A6">
        <w:rPr>
          <w:lang w:val="en-US"/>
        </w:rPr>
        <w:t>established in</w:t>
      </w:r>
      <w:r w:rsidR="00D57137" w:rsidRPr="00FE50A6">
        <w:rPr>
          <w:lang w:val="en-US"/>
        </w:rPr>
        <w:t xml:space="preserve"> </w:t>
      </w:r>
      <w:r w:rsidRPr="00FE50A6">
        <w:rPr>
          <w:lang w:val="en-US"/>
        </w:rPr>
        <w:t>the American Convention</w:t>
      </w:r>
      <w:r w:rsidR="00D57137" w:rsidRPr="00FE50A6">
        <w:rPr>
          <w:lang w:val="en-US"/>
        </w:rPr>
        <w:t xml:space="preserve">, </w:t>
      </w:r>
      <w:r w:rsidR="005C6174" w:rsidRPr="00FE50A6">
        <w:rPr>
          <w:lang w:val="en-US"/>
        </w:rPr>
        <w:t xml:space="preserve">in addition to being </w:t>
      </w:r>
      <w:r w:rsidR="0070231F" w:rsidRPr="00FE50A6">
        <w:rPr>
          <w:lang w:val="en-US"/>
        </w:rPr>
        <w:t>guaranteed</w:t>
      </w:r>
      <w:r w:rsidR="005C6174" w:rsidRPr="00FE50A6">
        <w:rPr>
          <w:lang w:val="en-US"/>
        </w:rPr>
        <w:t xml:space="preserve"> the special measures of protection established in </w:t>
      </w:r>
      <w:r w:rsidRPr="00FE50A6">
        <w:rPr>
          <w:bCs/>
          <w:lang w:val="en-US"/>
        </w:rPr>
        <w:t>Article</w:t>
      </w:r>
      <w:r w:rsidR="00D57137" w:rsidRPr="00FE50A6">
        <w:rPr>
          <w:bCs/>
          <w:lang w:val="en-US"/>
        </w:rPr>
        <w:t xml:space="preserve"> 19</w:t>
      </w:r>
      <w:r w:rsidRPr="00FE50A6">
        <w:rPr>
          <w:bCs/>
          <w:lang w:val="en-US"/>
        </w:rPr>
        <w:t xml:space="preserve"> of the Convention</w:t>
      </w:r>
      <w:r w:rsidR="00D57137" w:rsidRPr="00FE50A6">
        <w:rPr>
          <w:bCs/>
          <w:lang w:val="en-US"/>
        </w:rPr>
        <w:t xml:space="preserve">, </w:t>
      </w:r>
      <w:r w:rsidR="0070231F" w:rsidRPr="00FE50A6">
        <w:rPr>
          <w:bCs/>
          <w:lang w:val="en-US"/>
        </w:rPr>
        <w:t>to</w:t>
      </w:r>
      <w:r w:rsidR="00F3170E" w:rsidRPr="00FE50A6">
        <w:rPr>
          <w:bCs/>
          <w:lang w:val="en-US"/>
        </w:rPr>
        <w:t xml:space="preserve"> be defined </w:t>
      </w:r>
      <w:r w:rsidR="0070231F" w:rsidRPr="00FE50A6">
        <w:rPr>
          <w:bCs/>
          <w:lang w:val="en-US"/>
        </w:rPr>
        <w:t>in keeping with</w:t>
      </w:r>
      <w:r w:rsidR="00F3170E" w:rsidRPr="00FE50A6">
        <w:rPr>
          <w:bCs/>
          <w:lang w:val="en-US"/>
        </w:rPr>
        <w:t xml:space="preserve"> the particular circumstances of each specific case.</w:t>
      </w:r>
      <w:bookmarkStart w:id="334" w:name="_Ref318129080"/>
      <w:r w:rsidR="00D57137" w:rsidRPr="00FE50A6">
        <w:rPr>
          <w:rStyle w:val="Refdenotaalpie"/>
          <w:bCs/>
          <w:lang w:val="en-US"/>
        </w:rPr>
        <w:footnoteReference w:id="458"/>
      </w:r>
      <w:bookmarkEnd w:id="334"/>
      <w:r w:rsidR="004713F4" w:rsidRPr="00FE50A6">
        <w:rPr>
          <w:lang w:val="en-US"/>
        </w:rPr>
        <w:t xml:space="preserve"> </w:t>
      </w:r>
      <w:r w:rsidR="00D2546E" w:rsidRPr="00FE50A6">
        <w:rPr>
          <w:lang w:val="en-US"/>
        </w:rPr>
        <w:t>Article</w:t>
      </w:r>
      <w:r w:rsidR="004713F4" w:rsidRPr="00FE50A6">
        <w:rPr>
          <w:lang w:val="en-US"/>
        </w:rPr>
        <w:t xml:space="preserve"> 19</w:t>
      </w:r>
      <w:r w:rsidRPr="00FE50A6">
        <w:rPr>
          <w:lang w:val="en-US"/>
        </w:rPr>
        <w:t xml:space="preserve"> of the Convention</w:t>
      </w:r>
      <w:r w:rsidR="004713F4" w:rsidRPr="00FE50A6">
        <w:rPr>
          <w:lang w:val="en-US"/>
        </w:rPr>
        <w:t xml:space="preserve"> establ</w:t>
      </w:r>
      <w:r w:rsidR="00B30223" w:rsidRPr="00FE50A6">
        <w:rPr>
          <w:lang w:val="en-US"/>
        </w:rPr>
        <w:t xml:space="preserve">ishes the obligation to adopt special measures of protection in favor </w:t>
      </w:r>
      <w:r w:rsidR="0070231F" w:rsidRPr="00FE50A6">
        <w:rPr>
          <w:lang w:val="en-US"/>
        </w:rPr>
        <w:t xml:space="preserve">of </w:t>
      </w:r>
      <w:r w:rsidR="00B30223" w:rsidRPr="00FE50A6">
        <w:rPr>
          <w:lang w:val="en-US"/>
        </w:rPr>
        <w:t xml:space="preserve">all children based on their condition as such, and this has an impact on the interpretation of all the other rights when </w:t>
      </w:r>
      <w:r w:rsidR="0070231F" w:rsidRPr="00FE50A6">
        <w:rPr>
          <w:lang w:val="en-US"/>
        </w:rPr>
        <w:t xml:space="preserve">a </w:t>
      </w:r>
      <w:r w:rsidR="00B30223" w:rsidRPr="00FE50A6">
        <w:rPr>
          <w:lang w:val="en-US"/>
        </w:rPr>
        <w:t xml:space="preserve">case relates to children. Accordingly, the Court has considered that </w:t>
      </w:r>
      <w:r w:rsidR="005C6174" w:rsidRPr="00FE50A6">
        <w:rPr>
          <w:rFonts w:cs="Arial"/>
          <w:szCs w:val="20"/>
          <w:lang w:val="en-US"/>
        </w:rPr>
        <w:t>the protection due to the rights of the child, as subjects of law, must take into consideration their intrinsic characteristics and the need to foster their development, offering them the necessary conditions to live and develop their aptitudes taking full advantage of their potential.</w:t>
      </w:r>
      <w:r w:rsidR="004713F4" w:rsidRPr="00FE50A6">
        <w:rPr>
          <w:vertAlign w:val="superscript"/>
          <w:lang w:val="en-US"/>
        </w:rPr>
        <w:footnoteReference w:id="459"/>
      </w:r>
      <w:r w:rsidR="004713F4" w:rsidRPr="00FE50A6">
        <w:rPr>
          <w:lang w:val="en-US"/>
        </w:rPr>
        <w:t xml:space="preserve"> </w:t>
      </w:r>
      <w:r w:rsidR="0070231F" w:rsidRPr="00FE50A6">
        <w:rPr>
          <w:lang w:val="en-US"/>
        </w:rPr>
        <w:t>W</w:t>
      </w:r>
      <w:r w:rsidR="005C6174" w:rsidRPr="00FE50A6">
        <w:rPr>
          <w:lang w:val="en-US"/>
        </w:rPr>
        <w:t xml:space="preserve">hen examining the rights of the child, the Court will have recourse to the international </w:t>
      </w:r>
      <w:r w:rsidR="004713F4" w:rsidRPr="00FE50A6">
        <w:rPr>
          <w:i/>
          <w:lang w:val="en-US"/>
        </w:rPr>
        <w:t xml:space="preserve">corpus iuris </w:t>
      </w:r>
      <w:r w:rsidR="005C6174" w:rsidRPr="00FE50A6">
        <w:rPr>
          <w:lang w:val="en-US"/>
        </w:rPr>
        <w:t>for the protection of children</w:t>
      </w:r>
      <w:r w:rsidR="0070231F" w:rsidRPr="00FE50A6">
        <w:rPr>
          <w:lang w:val="en-US"/>
        </w:rPr>
        <w:t>, as it has on previous occasions,</w:t>
      </w:r>
      <w:r w:rsidR="004713F4" w:rsidRPr="00FE50A6">
        <w:rPr>
          <w:vertAlign w:val="superscript"/>
          <w:lang w:val="en-US"/>
        </w:rPr>
        <w:footnoteReference w:id="460"/>
      </w:r>
      <w:r w:rsidR="0070231F" w:rsidRPr="00FE50A6">
        <w:rPr>
          <w:lang w:val="en-US"/>
        </w:rPr>
        <w:t xml:space="preserve"> to define the content and scope of the obligations assumed by the State.</w:t>
      </w:r>
    </w:p>
    <w:p w14:paraId="5615DBFC" w14:textId="77777777" w:rsidR="00F3170E" w:rsidRPr="00FE50A6" w:rsidRDefault="00F3170E" w:rsidP="00F3170E">
      <w:pPr>
        <w:tabs>
          <w:tab w:val="clear" w:pos="4419"/>
          <w:tab w:val="clear" w:pos="8838"/>
        </w:tabs>
        <w:jc w:val="both"/>
        <w:rPr>
          <w:lang w:val="en-US"/>
        </w:rPr>
      </w:pPr>
    </w:p>
    <w:p w14:paraId="1FA52D70" w14:textId="77777777" w:rsidR="00E535CD" w:rsidRPr="00FE50A6" w:rsidRDefault="00F3170E" w:rsidP="00055CAB">
      <w:pPr>
        <w:numPr>
          <w:ilvl w:val="0"/>
          <w:numId w:val="1"/>
        </w:numPr>
        <w:tabs>
          <w:tab w:val="clear" w:pos="4419"/>
          <w:tab w:val="clear" w:pos="8838"/>
        </w:tabs>
        <w:jc w:val="both"/>
        <w:rPr>
          <w:lang w:val="en-US"/>
        </w:rPr>
      </w:pPr>
      <w:r w:rsidRPr="00FE50A6">
        <w:rPr>
          <w:bCs/>
          <w:lang w:val="en-US"/>
        </w:rPr>
        <w:t>The provisions of</w:t>
      </w:r>
      <w:r w:rsidR="00E535CD" w:rsidRPr="00FE50A6">
        <w:rPr>
          <w:lang w:val="en-US"/>
        </w:rPr>
        <w:t xml:space="preserve"> </w:t>
      </w:r>
      <w:r w:rsidR="000228D0" w:rsidRPr="00FE50A6">
        <w:rPr>
          <w:lang w:val="en-US"/>
        </w:rPr>
        <w:t>the Convention</w:t>
      </w:r>
      <w:r w:rsidR="00E535CD" w:rsidRPr="00FE50A6">
        <w:rPr>
          <w:lang w:val="en-US"/>
        </w:rPr>
        <w:t xml:space="preserve"> </w:t>
      </w:r>
      <w:r w:rsidRPr="00FE50A6">
        <w:rPr>
          <w:lang w:val="en-US"/>
        </w:rPr>
        <w:t>on</w:t>
      </w:r>
      <w:r w:rsidR="00E535CD" w:rsidRPr="00FE50A6">
        <w:rPr>
          <w:lang w:val="en-US"/>
        </w:rPr>
        <w:t xml:space="preserve"> </w:t>
      </w:r>
      <w:r w:rsidR="00D11A9F" w:rsidRPr="00FE50A6">
        <w:rPr>
          <w:lang w:val="en-US"/>
        </w:rPr>
        <w:t xml:space="preserve">the </w:t>
      </w:r>
      <w:r w:rsidRPr="00FE50A6">
        <w:rPr>
          <w:lang w:val="en-US"/>
        </w:rPr>
        <w:t>R</w:t>
      </w:r>
      <w:r w:rsidR="00D11A9F" w:rsidRPr="00FE50A6">
        <w:rPr>
          <w:lang w:val="en-US"/>
        </w:rPr>
        <w:t xml:space="preserve">ights of the </w:t>
      </w:r>
      <w:r w:rsidRPr="00FE50A6">
        <w:rPr>
          <w:lang w:val="en-US"/>
        </w:rPr>
        <w:t>C</w:t>
      </w:r>
      <w:r w:rsidR="00D11A9F" w:rsidRPr="00FE50A6">
        <w:rPr>
          <w:lang w:val="en-US"/>
        </w:rPr>
        <w:t>hild</w:t>
      </w:r>
      <w:r w:rsidR="00030C17" w:rsidRPr="00FE50A6">
        <w:rPr>
          <w:lang w:val="en-US"/>
        </w:rPr>
        <w:t xml:space="preserve"> and </w:t>
      </w:r>
      <w:r w:rsidRPr="00FE50A6">
        <w:rPr>
          <w:lang w:val="en-US"/>
        </w:rPr>
        <w:t>ILO Conventions Nos.</w:t>
      </w:r>
      <w:r w:rsidR="00E535CD" w:rsidRPr="00FE50A6">
        <w:rPr>
          <w:lang w:val="en-US"/>
        </w:rPr>
        <w:t xml:space="preserve"> 138</w:t>
      </w:r>
      <w:r w:rsidR="00030C17" w:rsidRPr="00FE50A6">
        <w:rPr>
          <w:lang w:val="en-US"/>
        </w:rPr>
        <w:t xml:space="preserve"> and </w:t>
      </w:r>
      <w:r w:rsidR="00E535CD" w:rsidRPr="00FE50A6">
        <w:rPr>
          <w:lang w:val="en-US"/>
        </w:rPr>
        <w:t>182</w:t>
      </w:r>
      <w:r w:rsidR="00E535CD" w:rsidRPr="00FE50A6">
        <w:rPr>
          <w:rStyle w:val="Refdenotaalpie"/>
          <w:lang w:val="en-US"/>
        </w:rPr>
        <w:footnoteReference w:id="461"/>
      </w:r>
      <w:r w:rsidR="00E535CD" w:rsidRPr="00FE50A6">
        <w:rPr>
          <w:lang w:val="en-US"/>
        </w:rPr>
        <w:t xml:space="preserve"> </w:t>
      </w:r>
      <w:r w:rsidR="00E535CD" w:rsidRPr="00FE50A6">
        <w:rPr>
          <w:bCs/>
          <w:lang w:val="en-US"/>
        </w:rPr>
        <w:t>in</w:t>
      </w:r>
      <w:r w:rsidRPr="00FE50A6">
        <w:rPr>
          <w:bCs/>
          <w:lang w:val="en-US"/>
        </w:rPr>
        <w:t>corporate the</w:t>
      </w:r>
      <w:r w:rsidR="00E535CD" w:rsidRPr="00FE50A6">
        <w:rPr>
          <w:bCs/>
          <w:lang w:val="en-US"/>
        </w:rPr>
        <w:t xml:space="preserve"> </w:t>
      </w:r>
      <w:r w:rsidR="00E535CD" w:rsidRPr="00FE50A6">
        <w:rPr>
          <w:bCs/>
          <w:i/>
          <w:lang w:val="en-US"/>
        </w:rPr>
        <w:t>corpus iuris</w:t>
      </w:r>
      <w:r w:rsidR="00E535CD" w:rsidRPr="00FE50A6">
        <w:rPr>
          <w:bCs/>
          <w:lang w:val="en-US"/>
        </w:rPr>
        <w:t xml:space="preserve"> </w:t>
      </w:r>
      <w:r w:rsidRPr="00FE50A6">
        <w:rPr>
          <w:bCs/>
          <w:lang w:val="en-US"/>
        </w:rPr>
        <w:t>in this regard</w:t>
      </w:r>
      <w:r w:rsidR="00E535CD" w:rsidRPr="00FE50A6">
        <w:rPr>
          <w:bCs/>
          <w:lang w:val="en-US"/>
        </w:rPr>
        <w:t xml:space="preserve">. </w:t>
      </w:r>
      <w:r w:rsidR="00D2546E" w:rsidRPr="00FE50A6">
        <w:rPr>
          <w:bCs/>
          <w:lang w:val="en-US"/>
        </w:rPr>
        <w:t>Article</w:t>
      </w:r>
      <w:r w:rsidR="00E535CD" w:rsidRPr="00FE50A6">
        <w:rPr>
          <w:bCs/>
          <w:lang w:val="en-US"/>
        </w:rPr>
        <w:t xml:space="preserve"> 32</w:t>
      </w:r>
      <w:r w:rsidR="000228D0" w:rsidRPr="00FE50A6">
        <w:rPr>
          <w:bCs/>
          <w:lang w:val="en-US"/>
        </w:rPr>
        <w:t xml:space="preserve"> of the Convention</w:t>
      </w:r>
      <w:r w:rsidR="00E535CD" w:rsidRPr="00FE50A6">
        <w:rPr>
          <w:bCs/>
          <w:lang w:val="en-US"/>
        </w:rPr>
        <w:t xml:space="preserve"> </w:t>
      </w:r>
      <w:r w:rsidRPr="00FE50A6">
        <w:rPr>
          <w:lang w:val="en-US"/>
        </w:rPr>
        <w:t>on the Rights of the Child establishes that “</w:t>
      </w:r>
      <w:r w:rsidRPr="00FE50A6">
        <w:rPr>
          <w:szCs w:val="20"/>
          <w:lang w:val="en-US"/>
        </w:rPr>
        <w:t>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r w:rsidRPr="00FE50A6">
        <w:rPr>
          <w:lang w:val="en-US"/>
        </w:rPr>
        <w:t xml:space="preserve">” The same article indicates that States Parties shall “provide for a minimum age for admission to employment.” </w:t>
      </w:r>
      <w:r w:rsidR="0048065D" w:rsidRPr="00FE50A6">
        <w:rPr>
          <w:lang w:val="en-US"/>
        </w:rPr>
        <w:t>Meanwhile</w:t>
      </w:r>
      <w:r w:rsidRPr="00FE50A6">
        <w:rPr>
          <w:lang w:val="en-US"/>
        </w:rPr>
        <w:t xml:space="preserve">, article 3 of ILO Convention 138 indicates that “[t]he minimum age for admission to any type of employment or work </w:t>
      </w:r>
      <w:r w:rsidRPr="00FE50A6">
        <w:rPr>
          <w:szCs w:val="20"/>
          <w:lang w:val="en-US"/>
        </w:rPr>
        <w:t>which by its nature or the circumstances in which it is carried out is likely to jeopardise the health, safety or morals of young persons shall not be less than 18 years.</w:t>
      </w:r>
      <w:r w:rsidRPr="00FE50A6">
        <w:rPr>
          <w:lang w:val="en-US"/>
        </w:rPr>
        <w:t>”</w:t>
      </w:r>
      <w:r w:rsidR="00E535CD" w:rsidRPr="00FE50A6">
        <w:rPr>
          <w:lang w:val="en-US"/>
        </w:rPr>
        <w:t xml:space="preserve"> </w:t>
      </w:r>
      <w:r w:rsidRPr="00FE50A6">
        <w:rPr>
          <w:lang w:val="en-US"/>
        </w:rPr>
        <w:t>Similarly, ILO Convention 1</w:t>
      </w:r>
      <w:r w:rsidR="00055CAB" w:rsidRPr="00FE50A6">
        <w:rPr>
          <w:lang w:val="en-US"/>
        </w:rPr>
        <w:t>8</w:t>
      </w:r>
      <w:r w:rsidRPr="00FE50A6">
        <w:rPr>
          <w:lang w:val="en-US"/>
        </w:rPr>
        <w:t xml:space="preserve">2 </w:t>
      </w:r>
      <w:r w:rsidR="00055CAB" w:rsidRPr="00FE50A6">
        <w:rPr>
          <w:lang w:val="en-US"/>
        </w:rPr>
        <w:t xml:space="preserve">establishes that </w:t>
      </w:r>
      <w:r w:rsidR="00055CAB" w:rsidRPr="00FE50A6">
        <w:rPr>
          <w:szCs w:val="20"/>
          <w:lang w:val="en-US"/>
        </w:rPr>
        <w:t>“all forms of slavery or practices similar to slavery, such as the sale and trafficking of children, debt bondage and serfdom and forced or compulsory labour,” and “work which, by its nature or the circumstances in which it is carried out, is likely to harm the health, safety or morals of children” are considered among the worst forms of child labor</w:t>
      </w:r>
      <w:r w:rsidR="00055CAB" w:rsidRPr="00FE50A6">
        <w:rPr>
          <w:lang w:val="en-US"/>
        </w:rPr>
        <w:t>.</w:t>
      </w:r>
      <w:r w:rsidR="00E535CD" w:rsidRPr="00FE50A6">
        <w:rPr>
          <w:rStyle w:val="Refdenotaalpie"/>
          <w:lang w:val="en-US"/>
        </w:rPr>
        <w:footnoteReference w:id="462"/>
      </w:r>
      <w:r w:rsidR="00E535CD" w:rsidRPr="00FE50A6">
        <w:rPr>
          <w:lang w:val="en-US"/>
        </w:rPr>
        <w:t xml:space="preserve"> </w:t>
      </w:r>
    </w:p>
    <w:p w14:paraId="1ECCE1D4" w14:textId="77777777" w:rsidR="00E535CD" w:rsidRPr="00FE50A6" w:rsidRDefault="00E535CD" w:rsidP="00E535CD">
      <w:pPr>
        <w:tabs>
          <w:tab w:val="clear" w:pos="4419"/>
          <w:tab w:val="clear" w:pos="8838"/>
        </w:tabs>
        <w:jc w:val="both"/>
        <w:rPr>
          <w:bCs/>
          <w:lang w:val="en-US"/>
        </w:rPr>
      </w:pPr>
    </w:p>
    <w:p w14:paraId="35004813" w14:textId="77777777" w:rsidR="00E535CD" w:rsidRPr="00FE50A6" w:rsidRDefault="00055CAB" w:rsidP="00055CAB">
      <w:pPr>
        <w:numPr>
          <w:ilvl w:val="0"/>
          <w:numId w:val="1"/>
        </w:numPr>
        <w:tabs>
          <w:tab w:val="clear" w:pos="4419"/>
          <w:tab w:val="clear" w:pos="8838"/>
          <w:tab w:val="num" w:pos="720"/>
        </w:tabs>
        <w:jc w:val="both"/>
        <w:rPr>
          <w:bCs/>
          <w:lang w:val="en-US"/>
        </w:rPr>
      </w:pPr>
      <w:r w:rsidRPr="00FE50A6">
        <w:rPr>
          <w:lang w:val="en-US"/>
        </w:rPr>
        <w:t xml:space="preserve">In this regard, the Court emphasizes that the obligations that the State must meet in order to eliminate the worst forms of child labor are a priority and include the </w:t>
      </w:r>
      <w:r w:rsidR="0048065D" w:rsidRPr="00FE50A6">
        <w:rPr>
          <w:lang w:val="en-US"/>
        </w:rPr>
        <w:t>design</w:t>
      </w:r>
      <w:r w:rsidRPr="00FE50A6">
        <w:rPr>
          <w:lang w:val="en-US"/>
        </w:rPr>
        <w:t xml:space="preserve"> and implementation of programs of action to ensure children the full enjoyment and exercise of their rights</w:t>
      </w:r>
      <w:r w:rsidRPr="00FE50A6">
        <w:rPr>
          <w:bCs/>
          <w:lang w:val="en-US"/>
        </w:rPr>
        <w:t>.</w:t>
      </w:r>
      <w:r w:rsidR="00E535CD" w:rsidRPr="00FE50A6">
        <w:rPr>
          <w:vertAlign w:val="superscript"/>
          <w:lang w:val="en-US"/>
        </w:rPr>
        <w:footnoteReference w:id="463"/>
      </w:r>
      <w:r w:rsidRPr="00FE50A6">
        <w:rPr>
          <w:lang w:val="en-US"/>
        </w:rPr>
        <w:t xml:space="preserve"> Specifically, States have the obligation to: (i</w:t>
      </w:r>
      <w:r w:rsidR="00A26FEC" w:rsidRPr="00FE50A6">
        <w:rPr>
          <w:lang w:val="en-US"/>
        </w:rPr>
        <w:t xml:space="preserve">) </w:t>
      </w:r>
      <w:r w:rsidR="00A26FEC" w:rsidRPr="00FE50A6">
        <w:rPr>
          <w:szCs w:val="20"/>
          <w:lang w:val="en-US"/>
        </w:rPr>
        <w:t>prevent the engagement of children in the worst forms of child labour; (ii) provide the necessary and appropriate direct assistance for the removal of children from the worst forms of child labour and for their rehabilitation and social integration; (iii) ensure access to free basic education, and, wherever possible and appropriate, vocational training, for all children removed from the worst forms of child labour; (iv) identify and reach out to children at special risk; and (v) take account of the special situation of girls.</w:t>
      </w:r>
      <w:r w:rsidR="00E535CD" w:rsidRPr="00FE50A6">
        <w:rPr>
          <w:rStyle w:val="Refdenotaalpie"/>
          <w:lang w:val="en-US"/>
        </w:rPr>
        <w:footnoteReference w:id="464"/>
      </w:r>
    </w:p>
    <w:p w14:paraId="66D9D45F" w14:textId="77777777" w:rsidR="00E535CD" w:rsidRPr="00FE50A6" w:rsidRDefault="00E535CD" w:rsidP="00E535CD">
      <w:pPr>
        <w:tabs>
          <w:tab w:val="clear" w:pos="4419"/>
          <w:tab w:val="clear" w:pos="8838"/>
        </w:tabs>
        <w:jc w:val="both"/>
        <w:rPr>
          <w:lang w:val="en-US"/>
        </w:rPr>
      </w:pPr>
      <w:r w:rsidRPr="00FE50A6">
        <w:rPr>
          <w:lang w:val="en-US"/>
        </w:rPr>
        <w:t xml:space="preserve"> </w:t>
      </w:r>
    </w:p>
    <w:p w14:paraId="4DB527B0" w14:textId="77777777" w:rsidR="00B3636E" w:rsidRPr="00FE50A6" w:rsidRDefault="00A26FEC" w:rsidP="00E535CD">
      <w:pPr>
        <w:numPr>
          <w:ilvl w:val="0"/>
          <w:numId w:val="1"/>
        </w:numPr>
        <w:tabs>
          <w:tab w:val="clear" w:pos="4419"/>
          <w:tab w:val="clear" w:pos="8838"/>
        </w:tabs>
        <w:jc w:val="both"/>
        <w:rPr>
          <w:lang w:val="en-US"/>
        </w:rPr>
      </w:pPr>
      <w:r w:rsidRPr="00FE50A6">
        <w:rPr>
          <w:lang w:val="en-US"/>
        </w:rPr>
        <w:t xml:space="preserve">The facts of this case leave no doubt that </w:t>
      </w:r>
      <w:r w:rsidR="00D60654" w:rsidRPr="00FE50A6">
        <w:rPr>
          <w:lang w:val="en-US"/>
        </w:rPr>
        <w:t xml:space="preserve">Antônio </w:t>
      </w:r>
      <w:r w:rsidR="00E535CD" w:rsidRPr="00FE50A6">
        <w:rPr>
          <w:lang w:val="en-US"/>
        </w:rPr>
        <w:t xml:space="preserve">Francisco da Silva </w:t>
      </w:r>
      <w:r w:rsidRPr="00FE50A6">
        <w:rPr>
          <w:lang w:val="en-US"/>
        </w:rPr>
        <w:t xml:space="preserve">was subjected to the forms of </w:t>
      </w:r>
      <w:r w:rsidR="0048065D" w:rsidRPr="00FE50A6">
        <w:rPr>
          <w:lang w:val="en-US"/>
        </w:rPr>
        <w:t xml:space="preserve">child </w:t>
      </w:r>
      <w:r w:rsidRPr="00FE50A6">
        <w:rPr>
          <w:lang w:val="en-US"/>
        </w:rPr>
        <w:t xml:space="preserve">labor indicated above because, as previously determined, he was a victim of slavery. Therefore, when it became aware of the concrete situation of violence and slavery to which the minor had been subjected, and the possibility that other minors were in the same situation, as well as the </w:t>
      </w:r>
      <w:r w:rsidR="0048065D" w:rsidRPr="00FE50A6">
        <w:rPr>
          <w:lang w:val="en-US"/>
        </w:rPr>
        <w:t>egregious nature</w:t>
      </w:r>
      <w:r w:rsidRPr="00FE50A6">
        <w:rPr>
          <w:lang w:val="en-US"/>
        </w:rPr>
        <w:t xml:space="preserve"> of the facts involved, the State should have adopted effective measures to end the situation of slavery that had been identified and to ensure the rehabilitation and social integration of </w:t>
      </w:r>
      <w:r w:rsidR="00D60654" w:rsidRPr="00FE50A6">
        <w:rPr>
          <w:lang w:val="en-US"/>
        </w:rPr>
        <w:t xml:space="preserve">Antônio </w:t>
      </w:r>
      <w:r w:rsidR="00E535CD" w:rsidRPr="00FE50A6">
        <w:rPr>
          <w:lang w:val="en-US"/>
        </w:rPr>
        <w:t xml:space="preserve">Francisco da Silva, </w:t>
      </w:r>
      <w:r w:rsidR="0048065D" w:rsidRPr="00FE50A6">
        <w:rPr>
          <w:lang w:val="en-US"/>
        </w:rPr>
        <w:t>as well as</w:t>
      </w:r>
      <w:r w:rsidRPr="00FE50A6">
        <w:rPr>
          <w:lang w:val="en-US"/>
        </w:rPr>
        <w:t xml:space="preserve"> his access to basic education and, if possible, vocational training.</w:t>
      </w:r>
    </w:p>
    <w:p w14:paraId="39C06959" w14:textId="77777777" w:rsidR="001217FA" w:rsidRPr="00FE50A6" w:rsidRDefault="001217FA" w:rsidP="00242CDD">
      <w:pPr>
        <w:tabs>
          <w:tab w:val="clear" w:pos="4419"/>
          <w:tab w:val="clear" w:pos="8838"/>
        </w:tabs>
        <w:jc w:val="both"/>
        <w:rPr>
          <w:lang w:val="en-US"/>
        </w:rPr>
      </w:pPr>
    </w:p>
    <w:p w14:paraId="25965014" w14:textId="77777777" w:rsidR="001E1449" w:rsidRPr="00FE50A6" w:rsidRDefault="001E1449" w:rsidP="001E1449">
      <w:pPr>
        <w:pStyle w:val="Ttulo3"/>
        <w:rPr>
          <w:lang w:val="en-US"/>
        </w:rPr>
      </w:pPr>
      <w:bookmarkStart w:id="335" w:name="_Toc464813970"/>
      <w:r w:rsidRPr="00FE50A6">
        <w:rPr>
          <w:lang w:val="en-US"/>
        </w:rPr>
        <w:t>B.12</w:t>
      </w:r>
      <w:r w:rsidR="00DC2886" w:rsidRPr="00FE50A6">
        <w:rPr>
          <w:lang w:val="en-US"/>
        </w:rPr>
        <w:t>.</w:t>
      </w:r>
      <w:r w:rsidRPr="00FE50A6">
        <w:rPr>
          <w:lang w:val="en-US"/>
        </w:rPr>
        <w:t xml:space="preserve"> </w:t>
      </w:r>
      <w:r w:rsidR="00A26FEC" w:rsidRPr="00FE50A6">
        <w:rPr>
          <w:lang w:val="en-US"/>
        </w:rPr>
        <w:t>Structural discrimination</w:t>
      </w:r>
      <w:bookmarkEnd w:id="335"/>
    </w:p>
    <w:p w14:paraId="128AD374" w14:textId="77777777" w:rsidR="001E1449" w:rsidRPr="00FE50A6" w:rsidRDefault="001E1449" w:rsidP="001E1449">
      <w:pPr>
        <w:pStyle w:val="Prrafodelista"/>
        <w:ind w:left="0"/>
        <w:rPr>
          <w:lang w:val="en-US"/>
        </w:rPr>
      </w:pPr>
    </w:p>
    <w:p w14:paraId="72DEC7DA" w14:textId="77777777" w:rsidR="006C5E11" w:rsidRPr="00FE50A6" w:rsidRDefault="0048065D" w:rsidP="006C5E11">
      <w:pPr>
        <w:pStyle w:val="Prrafodelista"/>
        <w:numPr>
          <w:ilvl w:val="0"/>
          <w:numId w:val="1"/>
        </w:numPr>
        <w:contextualSpacing w:val="0"/>
        <w:rPr>
          <w:lang w:val="en-US"/>
        </w:rPr>
      </w:pPr>
      <w:r w:rsidRPr="00FE50A6">
        <w:rPr>
          <w:lang w:val="en-US"/>
        </w:rPr>
        <w:t>Regarding</w:t>
      </w:r>
      <w:r w:rsidR="00707414" w:rsidRPr="00FE50A6">
        <w:rPr>
          <w:lang w:val="en-US"/>
        </w:rPr>
        <w:t xml:space="preserve"> structural discrimination, the Court points out </w:t>
      </w:r>
      <w:r w:rsidRPr="00FE50A6">
        <w:rPr>
          <w:lang w:val="en-US"/>
        </w:rPr>
        <w:t xml:space="preserve">that the representatives included </w:t>
      </w:r>
      <w:r w:rsidR="00707414" w:rsidRPr="00FE50A6">
        <w:rPr>
          <w:lang w:val="en-US"/>
        </w:rPr>
        <w:t xml:space="preserve">the alleged violation </w:t>
      </w:r>
      <w:r w:rsidR="00703850" w:rsidRPr="00FE50A6">
        <w:rPr>
          <w:lang w:val="en-US"/>
        </w:rPr>
        <w:t>of Article</w:t>
      </w:r>
      <w:r w:rsidR="006C5E11" w:rsidRPr="00FE50A6">
        <w:rPr>
          <w:lang w:val="en-US"/>
        </w:rPr>
        <w:t xml:space="preserve"> 24</w:t>
      </w:r>
      <w:r w:rsidR="000228D0" w:rsidRPr="00FE50A6">
        <w:rPr>
          <w:lang w:val="en-US"/>
        </w:rPr>
        <w:t xml:space="preserve"> of the Convention</w:t>
      </w:r>
      <w:r w:rsidR="006C5E11" w:rsidRPr="00FE50A6">
        <w:rPr>
          <w:lang w:val="en-US"/>
        </w:rPr>
        <w:t xml:space="preserve"> (</w:t>
      </w:r>
      <w:r w:rsidR="00707414" w:rsidRPr="00FE50A6">
        <w:rPr>
          <w:lang w:val="en-US"/>
        </w:rPr>
        <w:t>Right to Equal Protection</w:t>
      </w:r>
      <w:r w:rsidR="006C5E11" w:rsidRPr="00FE50A6">
        <w:rPr>
          <w:lang w:val="en-US"/>
        </w:rPr>
        <w:t xml:space="preserve">) </w:t>
      </w:r>
      <w:r w:rsidR="00707414" w:rsidRPr="00FE50A6">
        <w:rPr>
          <w:lang w:val="en-US"/>
        </w:rPr>
        <w:t xml:space="preserve">in </w:t>
      </w:r>
      <w:r w:rsidR="007571DF" w:rsidRPr="00FE50A6">
        <w:rPr>
          <w:lang w:val="en-US"/>
        </w:rPr>
        <w:t>the</w:t>
      </w:r>
      <w:r w:rsidRPr="00FE50A6">
        <w:rPr>
          <w:lang w:val="en-US"/>
        </w:rPr>
        <w:t>ir</w:t>
      </w:r>
      <w:r w:rsidR="00707414" w:rsidRPr="00FE50A6">
        <w:rPr>
          <w:lang w:val="en-US"/>
        </w:rPr>
        <w:t xml:space="preserve"> brief with final arguments, even though they failed to submit any argument or explanation for this inclusion and change in position. Accordingly, the Court recalls that, while the general obligation under </w:t>
      </w:r>
      <w:r w:rsidR="00703850" w:rsidRPr="00FE50A6">
        <w:rPr>
          <w:lang w:val="en-US"/>
        </w:rPr>
        <w:t>Article</w:t>
      </w:r>
      <w:r w:rsidR="000B587F" w:rsidRPr="00FE50A6">
        <w:rPr>
          <w:lang w:val="en-US"/>
        </w:rPr>
        <w:t xml:space="preserve"> 1(1)</w:t>
      </w:r>
      <w:r w:rsidR="006C5E11" w:rsidRPr="00FE50A6">
        <w:rPr>
          <w:lang w:val="en-US"/>
        </w:rPr>
        <w:t xml:space="preserve"> </w:t>
      </w:r>
      <w:r w:rsidR="00707414" w:rsidRPr="00FE50A6">
        <w:rPr>
          <w:lang w:val="en-US"/>
        </w:rPr>
        <w:t xml:space="preserve">refers to the State’s obligation to respect and ensure the rights contained in </w:t>
      </w:r>
      <w:r w:rsidR="000228D0" w:rsidRPr="00FE50A6">
        <w:rPr>
          <w:lang w:val="en-US"/>
        </w:rPr>
        <w:t>the American Convention</w:t>
      </w:r>
      <w:r w:rsidR="00707414" w:rsidRPr="00FE50A6">
        <w:rPr>
          <w:lang w:val="en-US"/>
        </w:rPr>
        <w:t xml:space="preserve"> “without discrimination,”</w:t>
      </w:r>
      <w:r w:rsidR="006C5E11" w:rsidRPr="00FE50A6">
        <w:rPr>
          <w:lang w:val="en-US"/>
        </w:rPr>
        <w:t xml:space="preserve"> </w:t>
      </w:r>
      <w:r w:rsidR="000228D0" w:rsidRPr="00FE50A6">
        <w:rPr>
          <w:lang w:val="en-US"/>
        </w:rPr>
        <w:t>Article</w:t>
      </w:r>
      <w:r w:rsidR="006C5E11" w:rsidRPr="00FE50A6">
        <w:rPr>
          <w:lang w:val="en-US"/>
        </w:rPr>
        <w:t xml:space="preserve"> 24 prote</w:t>
      </w:r>
      <w:r w:rsidR="00707414" w:rsidRPr="00FE50A6">
        <w:rPr>
          <w:lang w:val="en-US"/>
        </w:rPr>
        <w:t xml:space="preserve">cts the right to equal protection </w:t>
      </w:r>
      <w:r w:rsidRPr="00FE50A6">
        <w:rPr>
          <w:lang w:val="en-US"/>
        </w:rPr>
        <w:t>of</w:t>
      </w:r>
      <w:r w:rsidR="00707414" w:rsidRPr="00FE50A6">
        <w:rPr>
          <w:lang w:val="en-US"/>
        </w:rPr>
        <w:t xml:space="preserve"> the law.</w:t>
      </w:r>
      <w:r w:rsidR="009C48A4" w:rsidRPr="00FE50A6">
        <w:rPr>
          <w:lang w:val="en-US"/>
        </w:rPr>
        <w:t>”</w:t>
      </w:r>
      <w:r w:rsidR="006C5E11" w:rsidRPr="00FE50A6">
        <w:rPr>
          <w:rStyle w:val="Refdenotaalpie"/>
          <w:lang w:val="en-US"/>
        </w:rPr>
        <w:footnoteReference w:id="465"/>
      </w:r>
      <w:r w:rsidR="00707414" w:rsidRPr="00FE50A6">
        <w:rPr>
          <w:lang w:val="en-US"/>
        </w:rPr>
        <w:t xml:space="preserve"> In other words,</w:t>
      </w:r>
      <w:r w:rsidR="006C5E11" w:rsidRPr="00FE50A6">
        <w:rPr>
          <w:lang w:val="en-US"/>
        </w:rPr>
        <w:t xml:space="preserve"> </w:t>
      </w:r>
      <w:r w:rsidR="000228D0" w:rsidRPr="00FE50A6">
        <w:rPr>
          <w:lang w:val="en-US"/>
        </w:rPr>
        <w:t>Article</w:t>
      </w:r>
      <w:r w:rsidR="006C5E11" w:rsidRPr="00FE50A6">
        <w:rPr>
          <w:lang w:val="en-US"/>
        </w:rPr>
        <w:t xml:space="preserve"> 24</w:t>
      </w:r>
      <w:r w:rsidR="000228D0" w:rsidRPr="00FE50A6">
        <w:rPr>
          <w:lang w:val="en-US"/>
        </w:rPr>
        <w:t xml:space="preserve"> of the American Convention</w:t>
      </w:r>
      <w:r w:rsidR="006C5E11" w:rsidRPr="00FE50A6">
        <w:rPr>
          <w:lang w:val="en-US"/>
        </w:rPr>
        <w:t xml:space="preserve"> proh</w:t>
      </w:r>
      <w:r w:rsidR="00707414" w:rsidRPr="00FE50A6">
        <w:rPr>
          <w:lang w:val="en-US"/>
        </w:rPr>
        <w:t>ibits factual or legal discrimination, not only  with regard to the rights contained in this treaty, but also with regard to all the laws enacted by the State and their implementation.</w:t>
      </w:r>
      <w:r w:rsidR="006C5E11" w:rsidRPr="00FE50A6">
        <w:rPr>
          <w:rFonts w:eastAsia="Calibri"/>
          <w:spacing w:val="-2"/>
          <w:vertAlign w:val="superscript"/>
          <w:lang w:val="en-US"/>
        </w:rPr>
        <w:footnoteReference w:id="466"/>
      </w:r>
      <w:r w:rsidR="00707414" w:rsidRPr="00FE50A6">
        <w:rPr>
          <w:lang w:val="en-US"/>
        </w:rPr>
        <w:t xml:space="preserve"> This means that, if a State discriminates in the respect and guarantee of a treaty-based right, it would be failing to comp</w:t>
      </w:r>
      <w:r w:rsidRPr="00FE50A6">
        <w:rPr>
          <w:lang w:val="en-US"/>
        </w:rPr>
        <w:t>l</w:t>
      </w:r>
      <w:r w:rsidR="00707414" w:rsidRPr="00FE50A6">
        <w:rPr>
          <w:lang w:val="en-US"/>
        </w:rPr>
        <w:t>y with the obligation established in</w:t>
      </w:r>
      <w:r w:rsidR="006C5E11" w:rsidRPr="00FE50A6">
        <w:rPr>
          <w:lang w:val="en-US"/>
        </w:rPr>
        <w:t xml:space="preserve"> </w:t>
      </w:r>
      <w:r w:rsidR="000B587F" w:rsidRPr="00FE50A6">
        <w:rPr>
          <w:lang w:val="en-US" w:eastAsia="es-ES"/>
        </w:rPr>
        <w:t>Article 1(1)</w:t>
      </w:r>
      <w:r w:rsidR="00030C17" w:rsidRPr="00FE50A6">
        <w:rPr>
          <w:lang w:val="en-US" w:eastAsia="es-ES"/>
        </w:rPr>
        <w:t xml:space="preserve"> and </w:t>
      </w:r>
      <w:r w:rsidR="00707414" w:rsidRPr="00FE50A6">
        <w:rPr>
          <w:lang w:val="en-US" w:eastAsia="es-ES"/>
        </w:rPr>
        <w:t>the substantive right in question. I</w:t>
      </w:r>
      <w:r w:rsidRPr="00FE50A6">
        <w:rPr>
          <w:lang w:val="en-US" w:eastAsia="es-ES"/>
        </w:rPr>
        <w:t>f</w:t>
      </w:r>
      <w:r w:rsidR="00707414" w:rsidRPr="00FE50A6">
        <w:rPr>
          <w:lang w:val="en-US" w:eastAsia="es-ES"/>
        </w:rPr>
        <w:t>, to the contrary, the discrimination refers to an unequal protection under domestic law or its application, the fact should be analyzed in light</w:t>
      </w:r>
      <w:r w:rsidR="006C5E11" w:rsidRPr="00FE50A6">
        <w:rPr>
          <w:lang w:val="en-US" w:eastAsia="es-ES"/>
        </w:rPr>
        <w:t xml:space="preserve"> </w:t>
      </w:r>
      <w:r w:rsidR="00703850" w:rsidRPr="00FE50A6">
        <w:rPr>
          <w:lang w:val="en-US" w:eastAsia="es-ES"/>
        </w:rPr>
        <w:t>of Article</w:t>
      </w:r>
      <w:r w:rsidR="006C5E11" w:rsidRPr="00FE50A6">
        <w:rPr>
          <w:lang w:val="en-US" w:eastAsia="es-ES"/>
        </w:rPr>
        <w:t xml:space="preserve"> 24</w:t>
      </w:r>
      <w:r w:rsidR="000228D0" w:rsidRPr="00FE50A6">
        <w:rPr>
          <w:lang w:val="en-US" w:eastAsia="es-ES"/>
        </w:rPr>
        <w:t xml:space="preserve"> of the American Convention</w:t>
      </w:r>
      <w:r w:rsidR="006C5E11" w:rsidRPr="00FE50A6">
        <w:rPr>
          <w:rStyle w:val="Refdenotaalpie"/>
          <w:lang w:val="en-US" w:eastAsia="es-ES"/>
        </w:rPr>
        <w:footnoteReference w:id="467"/>
      </w:r>
      <w:r w:rsidR="006C5E11" w:rsidRPr="00FE50A6">
        <w:rPr>
          <w:lang w:val="en-US" w:eastAsia="es-ES"/>
        </w:rPr>
        <w:t xml:space="preserve"> </w:t>
      </w:r>
      <w:r w:rsidR="00147AC0" w:rsidRPr="00FE50A6">
        <w:rPr>
          <w:lang w:val="en-US" w:eastAsia="es-ES"/>
        </w:rPr>
        <w:t xml:space="preserve">in relation to the categories protected by </w:t>
      </w:r>
      <w:r w:rsidR="000B587F" w:rsidRPr="00FE50A6">
        <w:rPr>
          <w:lang w:val="en-US" w:eastAsia="es-ES"/>
        </w:rPr>
        <w:t>Article 1(1)</w:t>
      </w:r>
      <w:r w:rsidR="000228D0" w:rsidRPr="00FE50A6">
        <w:rPr>
          <w:lang w:val="en-US" w:eastAsia="es-ES"/>
        </w:rPr>
        <w:t xml:space="preserve"> of the Convention</w:t>
      </w:r>
      <w:r w:rsidR="006C5E11" w:rsidRPr="00FE50A6">
        <w:rPr>
          <w:lang w:val="en-US" w:eastAsia="es-ES"/>
        </w:rPr>
        <w:t>.</w:t>
      </w:r>
    </w:p>
    <w:p w14:paraId="67A5F7AB" w14:textId="77777777" w:rsidR="006C5E11" w:rsidRPr="00FE50A6" w:rsidRDefault="006C5E11" w:rsidP="006C5E11">
      <w:pPr>
        <w:pStyle w:val="Prrafodelista"/>
        <w:ind w:left="0"/>
        <w:rPr>
          <w:lang w:val="en-US"/>
        </w:rPr>
      </w:pPr>
    </w:p>
    <w:p w14:paraId="651B5687" w14:textId="77777777" w:rsidR="006C5E11" w:rsidRPr="00FE50A6" w:rsidRDefault="00707414" w:rsidP="009C3D88">
      <w:pPr>
        <w:pStyle w:val="Prrafodelista"/>
        <w:numPr>
          <w:ilvl w:val="0"/>
          <w:numId w:val="1"/>
        </w:numPr>
        <w:contextualSpacing w:val="0"/>
        <w:rPr>
          <w:rFonts w:cs="Arial"/>
          <w:lang w:val="en-US"/>
        </w:rPr>
      </w:pPr>
      <w:r w:rsidRPr="00FE50A6">
        <w:rPr>
          <w:lang w:val="en-US"/>
        </w:rPr>
        <w:t>Furthermore</w:t>
      </w:r>
      <w:r w:rsidR="006C5E11" w:rsidRPr="00FE50A6">
        <w:rPr>
          <w:lang w:val="en-US"/>
        </w:rPr>
        <w:t xml:space="preserve">, </w:t>
      </w:r>
      <w:r w:rsidR="000B587F" w:rsidRPr="00FE50A6">
        <w:rPr>
          <w:lang w:val="en-US"/>
        </w:rPr>
        <w:t>in relation to Article 1(1)</w:t>
      </w:r>
      <w:r w:rsidR="000228D0" w:rsidRPr="00FE50A6">
        <w:rPr>
          <w:lang w:val="en-US"/>
        </w:rPr>
        <w:t xml:space="preserve"> of the Convention</w:t>
      </w:r>
      <w:r w:rsidR="006C5E11" w:rsidRPr="00FE50A6">
        <w:rPr>
          <w:lang w:val="en-US"/>
        </w:rPr>
        <w:t xml:space="preserve">, </w:t>
      </w:r>
      <w:r w:rsidR="000228D0" w:rsidRPr="00FE50A6">
        <w:rPr>
          <w:lang w:val="en-US"/>
        </w:rPr>
        <w:t>the Court</w:t>
      </w:r>
      <w:r w:rsidR="006C5E11" w:rsidRPr="00FE50A6">
        <w:rPr>
          <w:lang w:val="en-US"/>
        </w:rPr>
        <w:t xml:space="preserve"> ha</w:t>
      </w:r>
      <w:r w:rsidRPr="00FE50A6">
        <w:rPr>
          <w:lang w:val="en-US"/>
        </w:rPr>
        <w:t xml:space="preserve">s established that this is a </w:t>
      </w:r>
      <w:r w:rsidR="0048065D" w:rsidRPr="00FE50A6">
        <w:rPr>
          <w:lang w:val="en-US"/>
        </w:rPr>
        <w:t>norm</w:t>
      </w:r>
      <w:r w:rsidRPr="00FE50A6">
        <w:rPr>
          <w:lang w:val="en-US"/>
        </w:rPr>
        <w:t xml:space="preserve"> of a general nature, the content of which extends to all the provisions of the treaty, and establishes the obligation of the States Parties to respect and ensure the free and full exercise of the rights and freedoms recognized therein “without any discrimination.”  In other words, </w:t>
      </w:r>
      <w:r w:rsidR="009C3D88" w:rsidRPr="00FE50A6">
        <w:rPr>
          <w:lang w:val="en-US"/>
        </w:rPr>
        <w:t xml:space="preserve">whatsoever its origin or form, any treatment that could be considered discriminatory in relation to the exercise of any of the rights guaranteed in the Convention is, </w:t>
      </w:r>
      <w:r w:rsidR="009C3D88" w:rsidRPr="00FE50A6">
        <w:rPr>
          <w:i/>
          <w:lang w:val="en-US"/>
        </w:rPr>
        <w:t>per se</w:t>
      </w:r>
      <w:r w:rsidR="009C3D88" w:rsidRPr="00FE50A6">
        <w:rPr>
          <w:lang w:val="en-US"/>
        </w:rPr>
        <w:t>, incompatible with this instrument.</w:t>
      </w:r>
      <w:r w:rsidR="006C5E11" w:rsidRPr="00FE50A6">
        <w:rPr>
          <w:rStyle w:val="Refdenotaalpie"/>
          <w:lang w:val="en-US"/>
        </w:rPr>
        <w:footnoteReference w:id="468"/>
      </w:r>
      <w:r w:rsidR="009C3D88" w:rsidRPr="00FE50A6">
        <w:rPr>
          <w:lang w:val="en-US"/>
        </w:rPr>
        <w:t xml:space="preserve"> The State’s non-compliance with the general obligation to respect and ensure human rights by any discriminatory treatment results in its international responsibility.</w:t>
      </w:r>
      <w:r w:rsidR="006C5E11" w:rsidRPr="00FE50A6">
        <w:rPr>
          <w:rFonts w:cs="Arial"/>
          <w:vertAlign w:val="superscript"/>
          <w:lang w:val="en-US"/>
        </w:rPr>
        <w:footnoteReference w:id="469"/>
      </w:r>
      <w:r w:rsidR="009C3D88" w:rsidRPr="00FE50A6">
        <w:rPr>
          <w:rFonts w:cs="Arial"/>
          <w:lang w:val="en-US"/>
        </w:rPr>
        <w:t xml:space="preserve"> This is why there is an indissoluble</w:t>
      </w:r>
      <w:r w:rsidR="006C5E11" w:rsidRPr="00FE50A6">
        <w:rPr>
          <w:rFonts w:cs="Arial"/>
          <w:lang w:val="en-US"/>
        </w:rPr>
        <w:t xml:space="preserve"> </w:t>
      </w:r>
      <w:r w:rsidR="009C3D88" w:rsidRPr="00FE50A6">
        <w:rPr>
          <w:rFonts w:cs="Arial"/>
          <w:lang w:val="en-US"/>
        </w:rPr>
        <w:t>link between the obligation to respect and to ensure human rights and the principle of equality and non-discrimination.</w:t>
      </w:r>
      <w:r w:rsidR="006C5E11" w:rsidRPr="00FE50A6">
        <w:rPr>
          <w:rFonts w:cs="Arial"/>
          <w:vertAlign w:val="superscript"/>
          <w:lang w:val="en-US"/>
        </w:rPr>
        <w:footnoteReference w:id="470"/>
      </w:r>
      <w:r w:rsidR="009C3D88" w:rsidRPr="00FE50A6">
        <w:rPr>
          <w:rFonts w:cs="Arial"/>
          <w:lang w:val="en-US"/>
        </w:rPr>
        <w:t xml:space="preserve"> In this regard, the Court stresses that, </w:t>
      </w:r>
      <w:r w:rsidR="0048065D" w:rsidRPr="00FE50A6">
        <w:rPr>
          <w:rFonts w:cs="Arial"/>
          <w:lang w:val="en-US"/>
        </w:rPr>
        <w:t>unlike</w:t>
      </w:r>
      <w:r w:rsidR="009C3D88" w:rsidRPr="00FE50A6">
        <w:rPr>
          <w:rFonts w:cs="Arial"/>
          <w:lang w:val="en-US"/>
        </w:rPr>
        <w:t xml:space="preserve"> other human rights treaties, the “economic status” of the individual is one of the causes of discrimination prohibited by</w:t>
      </w:r>
      <w:r w:rsidR="006C5E11" w:rsidRPr="00FE50A6">
        <w:rPr>
          <w:rFonts w:cs="Arial"/>
          <w:lang w:val="en-US"/>
        </w:rPr>
        <w:t xml:space="preserve"> </w:t>
      </w:r>
      <w:r w:rsidR="000B587F" w:rsidRPr="00FE50A6">
        <w:rPr>
          <w:rFonts w:cs="Arial"/>
          <w:lang w:val="en-US"/>
        </w:rPr>
        <w:t>Article 1(1)</w:t>
      </w:r>
      <w:r w:rsidR="000228D0" w:rsidRPr="00FE50A6">
        <w:rPr>
          <w:rFonts w:cs="Arial"/>
          <w:lang w:val="en-US"/>
        </w:rPr>
        <w:t xml:space="preserve"> of the American Convention</w:t>
      </w:r>
      <w:r w:rsidR="006C5E11" w:rsidRPr="00FE50A6">
        <w:rPr>
          <w:rFonts w:cs="Arial"/>
          <w:lang w:val="en-US"/>
        </w:rPr>
        <w:t xml:space="preserve">. </w:t>
      </w:r>
    </w:p>
    <w:p w14:paraId="64D35919" w14:textId="77777777" w:rsidR="006C5E11" w:rsidRPr="00FE50A6" w:rsidRDefault="006C5E11" w:rsidP="006C5E11">
      <w:pPr>
        <w:pStyle w:val="Prrafodelista"/>
        <w:ind w:left="0"/>
        <w:rPr>
          <w:rFonts w:cs="Arial"/>
          <w:lang w:val="en-US"/>
        </w:rPr>
      </w:pPr>
    </w:p>
    <w:p w14:paraId="1B0E0F0B" w14:textId="77777777" w:rsidR="006C5E11" w:rsidRPr="00FE50A6" w:rsidRDefault="000228D0" w:rsidP="009329CA">
      <w:pPr>
        <w:pStyle w:val="Estilo1"/>
        <w:numPr>
          <w:ilvl w:val="0"/>
          <w:numId w:val="1"/>
        </w:numPr>
        <w:tabs>
          <w:tab w:val="left" w:pos="720"/>
          <w:tab w:val="left" w:pos="1134"/>
        </w:tabs>
        <w:spacing w:after="0"/>
        <w:ind w:right="0"/>
        <w:jc w:val="both"/>
        <w:rPr>
          <w:i w:val="0"/>
          <w:lang w:val="en-US"/>
        </w:rPr>
      </w:pPr>
      <w:r w:rsidRPr="00FE50A6">
        <w:rPr>
          <w:i w:val="0"/>
          <w:lang w:val="en-US"/>
        </w:rPr>
        <w:t>The Court</w:t>
      </w:r>
      <w:r w:rsidR="006C5E11" w:rsidRPr="00FE50A6">
        <w:rPr>
          <w:i w:val="0"/>
          <w:lang w:val="en-US"/>
        </w:rPr>
        <w:t xml:space="preserve"> ha</w:t>
      </w:r>
      <w:r w:rsidR="009C3D88" w:rsidRPr="00FE50A6">
        <w:rPr>
          <w:i w:val="0"/>
          <w:lang w:val="en-US"/>
        </w:rPr>
        <w:t xml:space="preserve">s indicated that “States must refrain from undertaking actions that are in an way aimed, directly or indirectly, at creating situations of discrimination </w:t>
      </w:r>
      <w:r w:rsidR="006C5E11" w:rsidRPr="00FE50A6">
        <w:rPr>
          <w:lang w:val="en-US"/>
        </w:rPr>
        <w:t>de</w:t>
      </w:r>
      <w:r w:rsidR="006C5E11" w:rsidRPr="00FE50A6">
        <w:rPr>
          <w:i w:val="0"/>
          <w:lang w:val="en-US"/>
        </w:rPr>
        <w:t xml:space="preserve"> </w:t>
      </w:r>
      <w:r w:rsidR="006C5E11" w:rsidRPr="00FE50A6">
        <w:rPr>
          <w:lang w:val="en-US"/>
        </w:rPr>
        <w:t>jure</w:t>
      </w:r>
      <w:r w:rsidR="006C5E11" w:rsidRPr="00FE50A6">
        <w:rPr>
          <w:i w:val="0"/>
          <w:lang w:val="en-US"/>
        </w:rPr>
        <w:t xml:space="preserve"> o</w:t>
      </w:r>
      <w:r w:rsidR="009C3D88" w:rsidRPr="00FE50A6">
        <w:rPr>
          <w:i w:val="0"/>
          <w:lang w:val="en-US"/>
        </w:rPr>
        <w:t>r</w:t>
      </w:r>
      <w:r w:rsidR="006C5E11" w:rsidRPr="00FE50A6">
        <w:rPr>
          <w:i w:val="0"/>
          <w:lang w:val="en-US"/>
        </w:rPr>
        <w:t xml:space="preserve"> </w:t>
      </w:r>
      <w:r w:rsidR="006C5E11" w:rsidRPr="00FE50A6">
        <w:rPr>
          <w:lang w:val="en-US"/>
        </w:rPr>
        <w:t>de</w:t>
      </w:r>
      <w:r w:rsidR="006C5E11" w:rsidRPr="00FE50A6">
        <w:rPr>
          <w:i w:val="0"/>
          <w:lang w:val="en-US"/>
        </w:rPr>
        <w:t xml:space="preserve"> </w:t>
      </w:r>
      <w:r w:rsidR="006C5E11" w:rsidRPr="00FE50A6">
        <w:rPr>
          <w:lang w:val="en-US"/>
        </w:rPr>
        <w:t>facto</w:t>
      </w:r>
      <w:r w:rsidR="009C3D88" w:rsidRPr="00FE50A6">
        <w:rPr>
          <w:lang w:val="en-US"/>
        </w:rPr>
        <w:t>.</w:t>
      </w:r>
      <w:r w:rsidR="009C48A4" w:rsidRPr="00FE50A6">
        <w:rPr>
          <w:i w:val="0"/>
          <w:lang w:val="en-US"/>
        </w:rPr>
        <w:t>”</w:t>
      </w:r>
      <w:r w:rsidR="006C5E11" w:rsidRPr="00FE50A6">
        <w:rPr>
          <w:i w:val="0"/>
          <w:vertAlign w:val="superscript"/>
          <w:lang w:val="en-US"/>
        </w:rPr>
        <w:footnoteReference w:id="471"/>
      </w:r>
      <w:r w:rsidR="009C3D88" w:rsidRPr="00FE50A6">
        <w:rPr>
          <w:i w:val="0"/>
          <w:lang w:val="en-US"/>
        </w:rPr>
        <w:t xml:space="preserve"> States are obliged “to adopt positive measures to revert or modify any discriminatory situations in their</w:t>
      </w:r>
      <w:r w:rsidR="005304C4" w:rsidRPr="00FE50A6">
        <w:rPr>
          <w:i w:val="0"/>
          <w:lang w:val="en-US"/>
        </w:rPr>
        <w:t xml:space="preserve"> societies that prejudice a specific</w:t>
      </w:r>
      <w:r w:rsidR="006C5E11" w:rsidRPr="00FE50A6">
        <w:rPr>
          <w:i w:val="0"/>
          <w:lang w:val="en-US"/>
        </w:rPr>
        <w:t xml:space="preserve"> gr</w:t>
      </w:r>
      <w:r w:rsidR="005304C4" w:rsidRPr="00FE50A6">
        <w:rPr>
          <w:i w:val="0"/>
          <w:lang w:val="en-US"/>
        </w:rPr>
        <w:t>oup of people. This entails the special duty of protection that the State must exercise with regard to acts and practices of third parties who, with its tolerance or acquiescence, create, maintain or promote discriminatory situations.</w:t>
      </w:r>
      <w:r w:rsidR="009C48A4" w:rsidRPr="00FE50A6">
        <w:rPr>
          <w:i w:val="0"/>
          <w:lang w:val="en-US"/>
        </w:rPr>
        <w:t>”</w:t>
      </w:r>
      <w:r w:rsidR="006C5E11" w:rsidRPr="00FE50A6">
        <w:rPr>
          <w:i w:val="0"/>
          <w:vertAlign w:val="superscript"/>
          <w:lang w:val="en-US"/>
        </w:rPr>
        <w:footnoteReference w:id="472"/>
      </w:r>
      <w:r w:rsidR="006C5E11" w:rsidRPr="00FE50A6">
        <w:rPr>
          <w:i w:val="0"/>
          <w:lang w:val="en-US"/>
        </w:rPr>
        <w:t xml:space="preserve"> </w:t>
      </w:r>
    </w:p>
    <w:p w14:paraId="0563CF40" w14:textId="77777777" w:rsidR="006C5E11" w:rsidRPr="00FE50A6" w:rsidRDefault="006C5E11" w:rsidP="006C5E11">
      <w:pPr>
        <w:pStyle w:val="Estilo1"/>
        <w:tabs>
          <w:tab w:val="left" w:pos="567"/>
          <w:tab w:val="left" w:pos="1134"/>
        </w:tabs>
        <w:spacing w:after="0"/>
        <w:ind w:left="0" w:right="0" w:firstLine="0"/>
        <w:jc w:val="both"/>
        <w:rPr>
          <w:i w:val="0"/>
          <w:lang w:val="en-US"/>
        </w:rPr>
      </w:pPr>
    </w:p>
    <w:p w14:paraId="61126AD8" w14:textId="77777777" w:rsidR="006C5E11" w:rsidRPr="00FE50A6" w:rsidRDefault="000228D0" w:rsidP="005304C4">
      <w:pPr>
        <w:pStyle w:val="Prrafodelista"/>
        <w:numPr>
          <w:ilvl w:val="0"/>
          <w:numId w:val="1"/>
        </w:numPr>
        <w:rPr>
          <w:rFonts w:cs="Times New Roman"/>
          <w:b/>
          <w:szCs w:val="20"/>
          <w:lang w:val="en-US"/>
        </w:rPr>
      </w:pPr>
      <w:r w:rsidRPr="00FE50A6">
        <w:rPr>
          <w:lang w:val="en-US"/>
        </w:rPr>
        <w:t>The Court</w:t>
      </w:r>
      <w:r w:rsidR="006C5E11" w:rsidRPr="00FE50A6">
        <w:rPr>
          <w:lang w:val="en-US"/>
        </w:rPr>
        <w:t xml:space="preserve"> </w:t>
      </w:r>
      <w:r w:rsidR="005304C4" w:rsidRPr="00FE50A6">
        <w:rPr>
          <w:lang w:val="en-US"/>
        </w:rPr>
        <w:t xml:space="preserve">has established that anyone in a position of vulnerability is owed special protection, </w:t>
      </w:r>
      <w:r w:rsidR="009329CA" w:rsidRPr="00FE50A6">
        <w:rPr>
          <w:lang w:val="en-US"/>
        </w:rPr>
        <w:t>due</w:t>
      </w:r>
      <w:r w:rsidR="005304C4" w:rsidRPr="00FE50A6">
        <w:rPr>
          <w:lang w:val="en-US"/>
        </w:rPr>
        <w:t xml:space="preserve"> to the special duties that the State must fulfill to satisfy the general obligation to respect and to guarantee human rights. The Court recalls that it is not sufficient that States merely abstain from violating rights; rather, it is essential that they adopt positive measures, determined on the basis of the particular needs for protection of the subject of law </w:t>
      </w:r>
      <w:r w:rsidR="009329CA" w:rsidRPr="00FE50A6">
        <w:rPr>
          <w:lang w:val="en-US"/>
        </w:rPr>
        <w:t xml:space="preserve">due to </w:t>
      </w:r>
      <w:r w:rsidR="005304C4" w:rsidRPr="00FE50A6">
        <w:rPr>
          <w:lang w:val="en-US"/>
        </w:rPr>
        <w:t xml:space="preserve">his personal situation or </w:t>
      </w:r>
      <w:r w:rsidR="009329CA" w:rsidRPr="00FE50A6">
        <w:rPr>
          <w:lang w:val="en-US"/>
        </w:rPr>
        <w:t xml:space="preserve">to </w:t>
      </w:r>
      <w:r w:rsidR="005304C4" w:rsidRPr="00FE50A6">
        <w:rPr>
          <w:lang w:val="en-US"/>
        </w:rPr>
        <w:t>the specific situation in which he finds himself,</w:t>
      </w:r>
      <w:r w:rsidR="006C5E11" w:rsidRPr="00FE50A6">
        <w:rPr>
          <w:rStyle w:val="Refdenotaalpie"/>
          <w:lang w:val="en-US"/>
        </w:rPr>
        <w:footnoteReference w:id="473"/>
      </w:r>
      <w:r w:rsidR="005304C4" w:rsidRPr="00FE50A6">
        <w:rPr>
          <w:lang w:val="en-US"/>
        </w:rPr>
        <w:t xml:space="preserve"> such as extreme poverty or marginalization.</w:t>
      </w:r>
      <w:r w:rsidR="006C5E11" w:rsidRPr="00FE50A6">
        <w:rPr>
          <w:rStyle w:val="Refdenotaalpie"/>
          <w:lang w:val="en-US"/>
        </w:rPr>
        <w:footnoteReference w:id="474"/>
      </w:r>
      <w:r w:rsidR="006C5E11" w:rsidRPr="00FE50A6">
        <w:rPr>
          <w:lang w:val="en-US"/>
        </w:rPr>
        <w:t xml:space="preserve"> </w:t>
      </w:r>
    </w:p>
    <w:p w14:paraId="1A99BAD6" w14:textId="77777777" w:rsidR="006C5E11" w:rsidRPr="00FE50A6" w:rsidRDefault="006C5E11" w:rsidP="006C5E11">
      <w:pPr>
        <w:pStyle w:val="Prrafodelista"/>
        <w:widowControl w:val="0"/>
        <w:autoSpaceDE w:val="0"/>
        <w:autoSpaceDN w:val="0"/>
        <w:adjustRightInd w:val="0"/>
        <w:ind w:left="0"/>
        <w:rPr>
          <w:rFonts w:cs="Times New Roman"/>
          <w:lang w:val="en-US"/>
        </w:rPr>
      </w:pPr>
    </w:p>
    <w:p w14:paraId="16A15978" w14:textId="77777777" w:rsidR="006C5E11" w:rsidRPr="00FE50A6" w:rsidRDefault="000228D0" w:rsidP="005304C4">
      <w:pPr>
        <w:pStyle w:val="Prrafodelista"/>
        <w:numPr>
          <w:ilvl w:val="0"/>
          <w:numId w:val="1"/>
        </w:numPr>
        <w:rPr>
          <w:lang w:val="en-US"/>
        </w:rPr>
      </w:pPr>
      <w:bookmarkStart w:id="336" w:name="_Hlk10369024"/>
      <w:r w:rsidRPr="00FE50A6">
        <w:rPr>
          <w:szCs w:val="20"/>
          <w:lang w:val="en-US"/>
        </w:rPr>
        <w:t>The Court</w:t>
      </w:r>
      <w:r w:rsidR="003E26D4" w:rsidRPr="00FE50A6">
        <w:rPr>
          <w:szCs w:val="20"/>
          <w:lang w:val="en-US"/>
        </w:rPr>
        <w:t xml:space="preserve"> </w:t>
      </w:r>
      <w:r w:rsidR="005304C4" w:rsidRPr="00FE50A6">
        <w:rPr>
          <w:szCs w:val="20"/>
          <w:lang w:val="en-US"/>
        </w:rPr>
        <w:t xml:space="preserve">finds that the State incurs international responsibility when, faced with the existence of structural discrimination, it fails to adopt specific measures </w:t>
      </w:r>
      <w:r w:rsidR="009329CA" w:rsidRPr="00FE50A6">
        <w:rPr>
          <w:szCs w:val="20"/>
          <w:lang w:val="en-US"/>
        </w:rPr>
        <w:t>with regard to</w:t>
      </w:r>
      <w:r w:rsidR="005304C4" w:rsidRPr="00FE50A6">
        <w:rPr>
          <w:szCs w:val="20"/>
          <w:lang w:val="en-US"/>
        </w:rPr>
        <w:t xml:space="preserve"> the particular situation of victimization</w:t>
      </w:r>
      <w:r w:rsidR="00F43F03" w:rsidRPr="00FE50A6">
        <w:rPr>
          <w:szCs w:val="20"/>
          <w:lang w:val="en-US"/>
        </w:rPr>
        <w:t xml:space="preserve"> that reveals</w:t>
      </w:r>
      <w:r w:rsidR="005304C4" w:rsidRPr="00FE50A6">
        <w:rPr>
          <w:szCs w:val="20"/>
          <w:lang w:val="en-US"/>
        </w:rPr>
        <w:t xml:space="preserve"> </w:t>
      </w:r>
      <w:r w:rsidR="00A67F6B" w:rsidRPr="00FE50A6">
        <w:rPr>
          <w:szCs w:val="20"/>
          <w:lang w:val="en-US"/>
        </w:rPr>
        <w:t xml:space="preserve">the vulnerability of a universe of individualized persons. It is the victimization of </w:t>
      </w:r>
      <w:r w:rsidR="009329CA" w:rsidRPr="00FE50A6">
        <w:rPr>
          <w:szCs w:val="20"/>
          <w:lang w:val="en-US"/>
        </w:rPr>
        <w:t>such persons</w:t>
      </w:r>
      <w:r w:rsidR="00A67F6B" w:rsidRPr="00FE50A6">
        <w:rPr>
          <w:szCs w:val="20"/>
          <w:lang w:val="en-US"/>
        </w:rPr>
        <w:t xml:space="preserve"> that </w:t>
      </w:r>
      <w:r w:rsidR="00F43F03" w:rsidRPr="00FE50A6">
        <w:rPr>
          <w:szCs w:val="20"/>
          <w:lang w:val="en-US"/>
        </w:rPr>
        <w:t>exposes</w:t>
      </w:r>
      <w:r w:rsidR="00A67F6B" w:rsidRPr="00FE50A6">
        <w:rPr>
          <w:szCs w:val="20"/>
          <w:lang w:val="en-US"/>
        </w:rPr>
        <w:t xml:space="preserve"> their particular vulnerability, </w:t>
      </w:r>
      <w:r w:rsidR="009329CA" w:rsidRPr="00FE50A6">
        <w:rPr>
          <w:szCs w:val="20"/>
          <w:lang w:val="en-US"/>
        </w:rPr>
        <w:t>and this</w:t>
      </w:r>
      <w:r w:rsidR="00A67F6B" w:rsidRPr="00FE50A6">
        <w:rPr>
          <w:szCs w:val="20"/>
          <w:lang w:val="en-US"/>
        </w:rPr>
        <w:t xml:space="preserve"> calls for specific protective action</w:t>
      </w:r>
      <w:r w:rsidR="009329CA" w:rsidRPr="00FE50A6">
        <w:rPr>
          <w:szCs w:val="20"/>
          <w:lang w:val="en-US"/>
        </w:rPr>
        <w:t>s</w:t>
      </w:r>
      <w:r w:rsidR="00A67F6B" w:rsidRPr="00FE50A6">
        <w:rPr>
          <w:szCs w:val="20"/>
          <w:lang w:val="en-US"/>
        </w:rPr>
        <w:t xml:space="preserve"> that w</w:t>
      </w:r>
      <w:r w:rsidR="009329CA" w:rsidRPr="00FE50A6">
        <w:rPr>
          <w:szCs w:val="20"/>
          <w:lang w:val="en-US"/>
        </w:rPr>
        <w:t>ere</w:t>
      </w:r>
      <w:r w:rsidR="00A67F6B" w:rsidRPr="00FE50A6">
        <w:rPr>
          <w:szCs w:val="20"/>
          <w:lang w:val="en-US"/>
        </w:rPr>
        <w:t xml:space="preserve"> omitted in the case of the </w:t>
      </w:r>
      <w:r w:rsidR="009329CA" w:rsidRPr="00FE50A6">
        <w:rPr>
          <w:szCs w:val="20"/>
          <w:lang w:val="en-US"/>
        </w:rPr>
        <w:t>individuals</w:t>
      </w:r>
      <w:r w:rsidR="00A67F6B" w:rsidRPr="00FE50A6">
        <w:rPr>
          <w:szCs w:val="20"/>
          <w:lang w:val="en-US"/>
        </w:rPr>
        <w:t xml:space="preserve"> recruited to work in</w:t>
      </w:r>
      <w:r w:rsidR="00A67F6B" w:rsidRPr="00FE50A6">
        <w:rPr>
          <w:lang w:val="en-US"/>
        </w:rPr>
        <w:t xml:space="preserve"> </w:t>
      </w:r>
      <w:r w:rsidR="006C5E11" w:rsidRPr="00FE50A6">
        <w:rPr>
          <w:lang w:val="en-US"/>
        </w:rPr>
        <w:t xml:space="preserve">Hacienda </w:t>
      </w:r>
      <w:r w:rsidR="00322241" w:rsidRPr="00FE50A6">
        <w:rPr>
          <w:lang w:val="en-US"/>
        </w:rPr>
        <w:t>Brasil Verde</w:t>
      </w:r>
      <w:r w:rsidR="006C5E11" w:rsidRPr="00FE50A6">
        <w:rPr>
          <w:lang w:val="en-US"/>
        </w:rPr>
        <w:t xml:space="preserve">. </w:t>
      </w:r>
    </w:p>
    <w:p w14:paraId="46F20D23" w14:textId="77777777" w:rsidR="006C5E11" w:rsidRPr="00FE50A6" w:rsidRDefault="006C5E11" w:rsidP="006C5E11">
      <w:pPr>
        <w:pStyle w:val="Prrafodelista"/>
        <w:ind w:left="0"/>
        <w:rPr>
          <w:lang w:val="en-US"/>
        </w:rPr>
      </w:pPr>
    </w:p>
    <w:p w14:paraId="4EEEC890" w14:textId="77777777" w:rsidR="006C5E11" w:rsidRPr="00FE50A6" w:rsidRDefault="00A67F6B" w:rsidP="00A67F6B">
      <w:pPr>
        <w:pStyle w:val="Prrafodelista"/>
        <w:numPr>
          <w:ilvl w:val="0"/>
          <w:numId w:val="1"/>
        </w:numPr>
        <w:rPr>
          <w:lang w:val="en-US"/>
        </w:rPr>
      </w:pPr>
      <w:r w:rsidRPr="00FE50A6">
        <w:rPr>
          <w:lang w:val="en-US"/>
        </w:rPr>
        <w:t>In this case, t</w:t>
      </w:r>
      <w:r w:rsidR="000228D0" w:rsidRPr="00FE50A6">
        <w:rPr>
          <w:lang w:val="en-US"/>
        </w:rPr>
        <w:t>he Court</w:t>
      </w:r>
      <w:r w:rsidR="006C5E11" w:rsidRPr="00FE50A6">
        <w:rPr>
          <w:lang w:val="en-US"/>
        </w:rPr>
        <w:t xml:space="preserve"> </w:t>
      </w:r>
      <w:r w:rsidRPr="00FE50A6">
        <w:rPr>
          <w:lang w:val="en-US"/>
        </w:rPr>
        <w:t>notes some characteristics of specific victimization shared by the 85 workers rescued on March 15, 2000: they were poor; they came from the poorest regions of the country, with the lowest human development and p</w:t>
      </w:r>
      <w:r w:rsidR="00F43F03" w:rsidRPr="00FE50A6">
        <w:rPr>
          <w:lang w:val="en-US"/>
        </w:rPr>
        <w:t>ossibilities</w:t>
      </w:r>
      <w:r w:rsidRPr="00FE50A6">
        <w:rPr>
          <w:lang w:val="en-US"/>
        </w:rPr>
        <w:t xml:space="preserve"> of work and employment, and they were illiterate with little or no schooling</w:t>
      </w:r>
      <w:r w:rsidR="006C5E11" w:rsidRPr="00FE50A6">
        <w:rPr>
          <w:lang w:val="en-US"/>
        </w:rPr>
        <w:t xml:space="preserve"> (supra </w:t>
      </w:r>
      <w:r w:rsidR="00700B79" w:rsidRPr="00FE50A6">
        <w:rPr>
          <w:lang w:val="en-US"/>
        </w:rPr>
        <w:t>para.</w:t>
      </w:r>
      <w:r w:rsidR="006C5E11" w:rsidRPr="00FE50A6">
        <w:rPr>
          <w:lang w:val="en-US"/>
        </w:rPr>
        <w:t xml:space="preserve"> </w:t>
      </w:r>
      <w:r w:rsidR="00B80B63" w:rsidRPr="00FE50A6">
        <w:rPr>
          <w:lang w:val="en-US"/>
        </w:rPr>
        <w:t>41</w:t>
      </w:r>
      <w:r w:rsidR="006C5E11" w:rsidRPr="00FE50A6">
        <w:rPr>
          <w:lang w:val="en-US"/>
        </w:rPr>
        <w:t xml:space="preserve">). </w:t>
      </w:r>
      <w:r w:rsidRPr="00FE50A6">
        <w:rPr>
          <w:lang w:val="en-US"/>
        </w:rPr>
        <w:t>This placed them in a situation that made them more susceptible to recruit</w:t>
      </w:r>
      <w:r w:rsidR="00F43F03" w:rsidRPr="00FE50A6">
        <w:rPr>
          <w:lang w:val="en-US"/>
        </w:rPr>
        <w:t>ment</w:t>
      </w:r>
      <w:r w:rsidRPr="00FE50A6">
        <w:rPr>
          <w:lang w:val="en-US"/>
        </w:rPr>
        <w:t xml:space="preserve"> by means of false promises and deception. This situation of imm</w:t>
      </w:r>
      <w:r w:rsidR="00F43F03" w:rsidRPr="00FE50A6">
        <w:rPr>
          <w:lang w:val="en-US"/>
        </w:rPr>
        <w:t>inent</w:t>
      </w:r>
      <w:r w:rsidRPr="00FE50A6">
        <w:rPr>
          <w:lang w:val="en-US"/>
        </w:rPr>
        <w:t xml:space="preserve"> risk for a specific group of people with identical characteristics, from the same regions of the country, had historic</w:t>
      </w:r>
      <w:r w:rsidR="009308B1" w:rsidRPr="00FE50A6">
        <w:rPr>
          <w:lang w:val="en-US"/>
        </w:rPr>
        <w:t>al</w:t>
      </w:r>
      <w:r w:rsidRPr="00FE50A6">
        <w:rPr>
          <w:lang w:val="en-US"/>
        </w:rPr>
        <w:t xml:space="preserve"> roots and </w:t>
      </w:r>
      <w:r w:rsidR="000A24E9" w:rsidRPr="00FE50A6">
        <w:rPr>
          <w:lang w:val="en-US"/>
        </w:rPr>
        <w:t xml:space="preserve">had been </w:t>
      </w:r>
      <w:r w:rsidRPr="00FE50A6">
        <w:rPr>
          <w:lang w:val="en-US"/>
        </w:rPr>
        <w:t>know</w:t>
      </w:r>
      <w:r w:rsidR="00F43F03" w:rsidRPr="00FE50A6">
        <w:rPr>
          <w:lang w:val="en-US"/>
        </w:rPr>
        <w:t>n</w:t>
      </w:r>
      <w:r w:rsidRPr="00FE50A6">
        <w:rPr>
          <w:lang w:val="en-US"/>
        </w:rPr>
        <w:t xml:space="preserve"> since, at least, 1995 when the Brazilian Government expressly acknowledged the existence of</w:t>
      </w:r>
      <w:r w:rsidR="006C5E11" w:rsidRPr="00FE50A6">
        <w:rPr>
          <w:lang w:val="en-US"/>
        </w:rPr>
        <w:t xml:space="preserve"> </w:t>
      </w:r>
      <w:r w:rsidR="009C48A4" w:rsidRPr="00FE50A6">
        <w:rPr>
          <w:lang w:val="en-US"/>
        </w:rPr>
        <w:t>“</w:t>
      </w:r>
      <w:r w:rsidR="005F1946" w:rsidRPr="00FE50A6">
        <w:rPr>
          <w:lang w:val="en-US"/>
        </w:rPr>
        <w:t>slave labor</w:t>
      </w:r>
      <w:r w:rsidR="009C48A4" w:rsidRPr="00FE50A6">
        <w:rPr>
          <w:lang w:val="en-US"/>
        </w:rPr>
        <w:t>”</w:t>
      </w:r>
      <w:r w:rsidR="006C5E11" w:rsidRPr="00FE50A6">
        <w:rPr>
          <w:lang w:val="en-US"/>
        </w:rPr>
        <w:t xml:space="preserve"> </w:t>
      </w:r>
      <w:r w:rsidRPr="00FE50A6">
        <w:rPr>
          <w:lang w:val="en-US"/>
        </w:rPr>
        <w:t>in the country</w:t>
      </w:r>
      <w:r w:rsidR="006C5E11" w:rsidRPr="00FE50A6">
        <w:rPr>
          <w:lang w:val="en-US"/>
        </w:rPr>
        <w:t xml:space="preserve"> (</w:t>
      </w:r>
      <w:r w:rsidR="006C5E11" w:rsidRPr="00FE50A6">
        <w:rPr>
          <w:i/>
          <w:lang w:val="en-US"/>
        </w:rPr>
        <w:t xml:space="preserve">supra </w:t>
      </w:r>
      <w:r w:rsidR="00700B79" w:rsidRPr="00FE50A6">
        <w:rPr>
          <w:lang w:val="en-US"/>
        </w:rPr>
        <w:t>para.</w:t>
      </w:r>
      <w:r w:rsidR="006C5E11" w:rsidRPr="00FE50A6">
        <w:rPr>
          <w:lang w:val="en-US"/>
        </w:rPr>
        <w:t xml:space="preserve"> </w:t>
      </w:r>
      <w:r w:rsidR="00B80B63" w:rsidRPr="00FE50A6">
        <w:rPr>
          <w:lang w:val="en-US"/>
        </w:rPr>
        <w:t>111</w:t>
      </w:r>
      <w:r w:rsidR="006C5E11" w:rsidRPr="00FE50A6">
        <w:rPr>
          <w:lang w:val="en-US"/>
        </w:rPr>
        <w:t xml:space="preserve">). </w:t>
      </w:r>
    </w:p>
    <w:p w14:paraId="399115C7" w14:textId="77777777" w:rsidR="006C5E11" w:rsidRPr="00FE50A6" w:rsidRDefault="006C5E11" w:rsidP="006C5E11">
      <w:pPr>
        <w:pStyle w:val="Prrafodelista"/>
        <w:ind w:left="0"/>
        <w:rPr>
          <w:lang w:val="en-US"/>
        </w:rPr>
      </w:pPr>
    </w:p>
    <w:p w14:paraId="0DFD487D" w14:textId="77777777" w:rsidR="006C5E11" w:rsidRPr="00FE50A6" w:rsidRDefault="00A67F6B" w:rsidP="006C5E11">
      <w:pPr>
        <w:pStyle w:val="Prrafodelista"/>
        <w:numPr>
          <w:ilvl w:val="0"/>
          <w:numId w:val="1"/>
        </w:numPr>
        <w:rPr>
          <w:lang w:val="en-US"/>
        </w:rPr>
      </w:pPr>
      <w:r w:rsidRPr="00FE50A6">
        <w:rPr>
          <w:lang w:val="en-US"/>
        </w:rPr>
        <w:t>The evidence provided to the case file reveals the existence of a situation</w:t>
      </w:r>
      <w:r w:rsidR="00F43F03" w:rsidRPr="00FE50A6">
        <w:rPr>
          <w:lang w:val="en-US"/>
        </w:rPr>
        <w:t xml:space="preserve"> that characterized discriminatory treatment</w:t>
      </w:r>
      <w:r w:rsidRPr="00FE50A6">
        <w:rPr>
          <w:lang w:val="en-US"/>
        </w:rPr>
        <w:t xml:space="preserve"> based</w:t>
      </w:r>
      <w:r w:rsidR="00F43F03" w:rsidRPr="00FE50A6">
        <w:rPr>
          <w:lang w:val="en-US"/>
        </w:rPr>
        <w:t xml:space="preserve"> </w:t>
      </w:r>
      <w:r w:rsidRPr="00FE50A6">
        <w:rPr>
          <w:lang w:val="en-US"/>
        </w:rPr>
        <w:t>on the economic status of the victims rescued on March 15,</w:t>
      </w:r>
      <w:r w:rsidR="006C5E11" w:rsidRPr="00FE50A6">
        <w:rPr>
          <w:lang w:val="en-US"/>
        </w:rPr>
        <w:t xml:space="preserve"> 2000</w:t>
      </w:r>
      <w:r w:rsidR="00F43F03" w:rsidRPr="00FE50A6">
        <w:rPr>
          <w:lang w:val="en-US"/>
        </w:rPr>
        <w:t>.</w:t>
      </w:r>
      <w:r w:rsidRPr="00FE50A6">
        <w:rPr>
          <w:lang w:val="en-US"/>
        </w:rPr>
        <w:t xml:space="preserve"> According to several reports of the ILO and of the</w:t>
      </w:r>
      <w:r w:rsidR="006C5E11" w:rsidRPr="00FE50A6">
        <w:rPr>
          <w:lang w:val="en-US"/>
        </w:rPr>
        <w:t xml:space="preserve"> </w:t>
      </w:r>
      <w:r w:rsidRPr="00FE50A6">
        <w:rPr>
          <w:lang w:val="en-US"/>
        </w:rPr>
        <w:t xml:space="preserve">Brazilian </w:t>
      </w:r>
      <w:r w:rsidR="00445155" w:rsidRPr="00FE50A6">
        <w:rPr>
          <w:lang w:val="en-US"/>
        </w:rPr>
        <w:t>Ministry of Labor</w:t>
      </w:r>
      <w:r w:rsidR="006C5E11" w:rsidRPr="00FE50A6">
        <w:rPr>
          <w:lang w:val="en-US"/>
        </w:rPr>
        <w:t xml:space="preserve">, </w:t>
      </w:r>
      <w:r w:rsidR="009C48A4" w:rsidRPr="00FE50A6">
        <w:rPr>
          <w:lang w:val="en-US"/>
        </w:rPr>
        <w:t>“</w:t>
      </w:r>
      <w:r w:rsidR="00F43F03" w:rsidRPr="00FE50A6">
        <w:rPr>
          <w:lang w:val="en-US"/>
        </w:rPr>
        <w:t xml:space="preserve">it is </w:t>
      </w:r>
      <w:r w:rsidRPr="00FE50A6">
        <w:rPr>
          <w:lang w:val="en-US"/>
        </w:rPr>
        <w:t xml:space="preserve">the </w:t>
      </w:r>
      <w:r w:rsidR="00F43F03" w:rsidRPr="00FE50A6">
        <w:rPr>
          <w:lang w:val="en-US"/>
        </w:rPr>
        <w:t xml:space="preserve">worker’s miserable </w:t>
      </w:r>
      <w:r w:rsidRPr="00FE50A6">
        <w:rPr>
          <w:lang w:val="en-US"/>
        </w:rPr>
        <w:t xml:space="preserve">situation </w:t>
      </w:r>
      <w:r w:rsidR="00F43F03" w:rsidRPr="00FE50A6">
        <w:rPr>
          <w:lang w:val="en-US"/>
        </w:rPr>
        <w:t>that</w:t>
      </w:r>
      <w:r w:rsidRPr="00FE50A6">
        <w:rPr>
          <w:lang w:val="en-US"/>
        </w:rPr>
        <w:t xml:space="preserve"> leads him</w:t>
      </w:r>
      <w:r w:rsidR="00F43F03" w:rsidRPr="00FE50A6">
        <w:rPr>
          <w:lang w:val="en-US"/>
        </w:rPr>
        <w:t>,</w:t>
      </w:r>
      <w:r w:rsidRPr="00FE50A6">
        <w:rPr>
          <w:lang w:val="en-US"/>
        </w:rPr>
        <w:t xml:space="preserve"> spontaneously</w:t>
      </w:r>
      <w:r w:rsidR="00F43F03" w:rsidRPr="00FE50A6">
        <w:rPr>
          <w:lang w:val="en-US"/>
        </w:rPr>
        <w:t>,</w:t>
      </w:r>
      <w:r w:rsidRPr="00FE50A6">
        <w:rPr>
          <w:lang w:val="en-US"/>
        </w:rPr>
        <w:t xml:space="preserve"> to accept the working conditions that are offered,</w:t>
      </w:r>
      <w:r w:rsidR="009C48A4" w:rsidRPr="00FE50A6">
        <w:rPr>
          <w:lang w:val="en-US"/>
        </w:rPr>
        <w:t>”</w:t>
      </w:r>
      <w:r w:rsidR="006C5E11" w:rsidRPr="00FE50A6">
        <w:rPr>
          <w:rStyle w:val="Refdenotaalpie"/>
          <w:lang w:val="en-US"/>
        </w:rPr>
        <w:footnoteReference w:id="475"/>
      </w:r>
      <w:r w:rsidRPr="00FE50A6">
        <w:rPr>
          <w:lang w:val="en-US"/>
        </w:rPr>
        <w:t xml:space="preserve"> and “the worse the living conditions, the more </w:t>
      </w:r>
      <w:r w:rsidR="002D30DF" w:rsidRPr="00FE50A6">
        <w:rPr>
          <w:lang w:val="en-US"/>
        </w:rPr>
        <w:t xml:space="preserve">willing workers are to take the risks inherent in </w:t>
      </w:r>
      <w:r w:rsidRPr="00FE50A6">
        <w:rPr>
          <w:lang w:val="en-US"/>
        </w:rPr>
        <w:t xml:space="preserve">accepting work far from home. </w:t>
      </w:r>
      <w:r w:rsidR="002D30DF" w:rsidRPr="00FE50A6">
        <w:rPr>
          <w:lang w:val="en-US"/>
        </w:rPr>
        <w:t xml:space="preserve">[…] Poverty, therefore, </w:t>
      </w:r>
      <w:r w:rsidRPr="00FE50A6">
        <w:rPr>
          <w:lang w:val="en-US"/>
        </w:rPr>
        <w:t xml:space="preserve">is the main factor </w:t>
      </w:r>
      <w:r w:rsidR="002D30DF" w:rsidRPr="00FE50A6">
        <w:rPr>
          <w:lang w:val="en-US"/>
        </w:rPr>
        <w:t xml:space="preserve">behind </w:t>
      </w:r>
      <w:r w:rsidR="00F43F03" w:rsidRPr="00FE50A6">
        <w:rPr>
          <w:lang w:val="en-US"/>
        </w:rPr>
        <w:t>modern-day</w:t>
      </w:r>
      <w:r w:rsidR="002D30DF" w:rsidRPr="00FE50A6">
        <w:rPr>
          <w:lang w:val="en-US"/>
        </w:rPr>
        <w:t xml:space="preserve"> </w:t>
      </w:r>
      <w:r w:rsidR="00D11A9F" w:rsidRPr="00FE50A6">
        <w:rPr>
          <w:lang w:val="en-US"/>
        </w:rPr>
        <w:t>slavery</w:t>
      </w:r>
      <w:r w:rsidR="006C5E11" w:rsidRPr="00FE50A6">
        <w:rPr>
          <w:lang w:val="en-US"/>
        </w:rPr>
        <w:t xml:space="preserve"> </w:t>
      </w:r>
      <w:r w:rsidR="00E368FD" w:rsidRPr="00FE50A6">
        <w:rPr>
          <w:lang w:val="en-US"/>
        </w:rPr>
        <w:t>in Brazil</w:t>
      </w:r>
      <w:r w:rsidR="006C5E11" w:rsidRPr="00FE50A6">
        <w:rPr>
          <w:lang w:val="en-US"/>
        </w:rPr>
        <w:t xml:space="preserve">, </w:t>
      </w:r>
      <w:r w:rsidR="002D30DF" w:rsidRPr="00FE50A6">
        <w:rPr>
          <w:lang w:val="en-US"/>
        </w:rPr>
        <w:t>since</w:t>
      </w:r>
      <w:r w:rsidRPr="00FE50A6">
        <w:rPr>
          <w:lang w:val="en-US"/>
        </w:rPr>
        <w:t xml:space="preserve"> it increases the vulnerability of a significant </w:t>
      </w:r>
      <w:r w:rsidR="002D30DF" w:rsidRPr="00FE50A6">
        <w:rPr>
          <w:lang w:val="en-US"/>
        </w:rPr>
        <w:t xml:space="preserve">portion </w:t>
      </w:r>
      <w:r w:rsidRPr="00FE50A6">
        <w:rPr>
          <w:lang w:val="en-US"/>
        </w:rPr>
        <w:t xml:space="preserve">of the population, making them easy prey for </w:t>
      </w:r>
      <w:r w:rsidR="002D30DF" w:rsidRPr="00FE50A6">
        <w:rPr>
          <w:lang w:val="en-US"/>
        </w:rPr>
        <w:t>enticers</w:t>
      </w:r>
      <w:r w:rsidRPr="00FE50A6">
        <w:rPr>
          <w:lang w:val="en-US"/>
        </w:rPr>
        <w:t xml:space="preserve"> of </w:t>
      </w:r>
      <w:r w:rsidR="005F1946" w:rsidRPr="00FE50A6">
        <w:rPr>
          <w:lang w:val="en-US"/>
        </w:rPr>
        <w:t>slave labor</w:t>
      </w:r>
      <w:r w:rsidRPr="00FE50A6">
        <w:rPr>
          <w:lang w:val="en-US"/>
        </w:rPr>
        <w:t>.</w:t>
      </w:r>
      <w:r w:rsidR="009C48A4" w:rsidRPr="00FE50A6">
        <w:rPr>
          <w:lang w:val="en-US"/>
        </w:rPr>
        <w:t>”</w:t>
      </w:r>
      <w:r w:rsidR="006C5E11" w:rsidRPr="00FE50A6">
        <w:rPr>
          <w:rStyle w:val="Refdenotaalpie"/>
          <w:lang w:val="en-US"/>
        </w:rPr>
        <w:footnoteReference w:id="476"/>
      </w:r>
    </w:p>
    <w:p w14:paraId="48D2AB0B" w14:textId="77777777" w:rsidR="006C5E11" w:rsidRPr="00FE50A6" w:rsidRDefault="006C5E11" w:rsidP="006C5E11">
      <w:pPr>
        <w:pStyle w:val="Prrafodelista"/>
        <w:ind w:left="0"/>
        <w:rPr>
          <w:lang w:val="en-US"/>
        </w:rPr>
      </w:pPr>
    </w:p>
    <w:p w14:paraId="54F89159" w14:textId="77777777" w:rsidR="00322854" w:rsidRPr="00FE50A6" w:rsidRDefault="002D30DF" w:rsidP="006C5E11">
      <w:pPr>
        <w:pStyle w:val="Prrafodelista"/>
        <w:numPr>
          <w:ilvl w:val="0"/>
          <w:numId w:val="1"/>
        </w:numPr>
        <w:contextualSpacing w:val="0"/>
        <w:rPr>
          <w:b/>
          <w:lang w:val="en-US"/>
        </w:rPr>
      </w:pPr>
      <w:r w:rsidRPr="00FE50A6">
        <w:rPr>
          <w:lang w:val="en-US"/>
        </w:rPr>
        <w:t xml:space="preserve">Having verified this situation, the Court finds that the State </w:t>
      </w:r>
      <w:r w:rsidR="00AF42D1" w:rsidRPr="00FE50A6">
        <w:rPr>
          <w:lang w:val="en-US"/>
        </w:rPr>
        <w:t xml:space="preserve">failed to take into account the vulnerability of the 85 workers rescued </w:t>
      </w:r>
      <w:r w:rsidR="00A67F6B" w:rsidRPr="00FE50A6">
        <w:rPr>
          <w:lang w:val="en-US"/>
        </w:rPr>
        <w:t>on March 15,</w:t>
      </w:r>
      <w:r w:rsidR="006C5E11" w:rsidRPr="00FE50A6">
        <w:rPr>
          <w:lang w:val="en-US"/>
        </w:rPr>
        <w:t xml:space="preserve"> 2000</w:t>
      </w:r>
      <w:r w:rsidR="00BD5E2B" w:rsidRPr="00FE50A6">
        <w:rPr>
          <w:lang w:val="en-US"/>
        </w:rPr>
        <w:t>,</w:t>
      </w:r>
      <w:r w:rsidR="006C5E11" w:rsidRPr="00FE50A6">
        <w:rPr>
          <w:lang w:val="en-US"/>
        </w:rPr>
        <w:t xml:space="preserve"> </w:t>
      </w:r>
      <w:r w:rsidR="00AF42D1" w:rsidRPr="00FE50A6">
        <w:rPr>
          <w:lang w:val="en-US"/>
        </w:rPr>
        <w:t xml:space="preserve">owing to discrimination </w:t>
      </w:r>
      <w:r w:rsidR="00F43F03" w:rsidRPr="00FE50A6">
        <w:rPr>
          <w:lang w:val="en-US"/>
        </w:rPr>
        <w:t>based on</w:t>
      </w:r>
      <w:r w:rsidR="00AF42D1" w:rsidRPr="00FE50A6">
        <w:rPr>
          <w:lang w:val="en-US"/>
        </w:rPr>
        <w:t xml:space="preserve"> their economic status. This constitutes a violation of </w:t>
      </w:r>
      <w:r w:rsidR="00D2546E" w:rsidRPr="00FE50A6">
        <w:rPr>
          <w:lang w:val="en-US"/>
        </w:rPr>
        <w:t>Article</w:t>
      </w:r>
      <w:r w:rsidR="006C5E11" w:rsidRPr="00FE50A6">
        <w:rPr>
          <w:lang w:val="en-US"/>
        </w:rPr>
        <w:t xml:space="preserve"> </w:t>
      </w:r>
      <w:r w:rsidR="00090C6A" w:rsidRPr="00FE50A6">
        <w:rPr>
          <w:lang w:val="en-US"/>
        </w:rPr>
        <w:t>6(1)</w:t>
      </w:r>
      <w:r w:rsidR="000228D0" w:rsidRPr="00FE50A6">
        <w:rPr>
          <w:lang w:val="en-US"/>
        </w:rPr>
        <w:t xml:space="preserve"> of the American Convention</w:t>
      </w:r>
      <w:r w:rsidR="00B4372E" w:rsidRPr="00FE50A6">
        <w:rPr>
          <w:lang w:val="en-US"/>
        </w:rPr>
        <w:t xml:space="preserve">, </w:t>
      </w:r>
      <w:r w:rsidR="000B587F" w:rsidRPr="00FE50A6">
        <w:rPr>
          <w:lang w:val="en-US"/>
        </w:rPr>
        <w:t>in relation to Article 1(1)</w:t>
      </w:r>
      <w:r w:rsidR="00B4372E" w:rsidRPr="00FE50A6">
        <w:rPr>
          <w:lang w:val="en-US"/>
        </w:rPr>
        <w:t xml:space="preserve"> </w:t>
      </w:r>
      <w:r w:rsidR="00D11A9F" w:rsidRPr="00FE50A6">
        <w:rPr>
          <w:lang w:val="en-US"/>
        </w:rPr>
        <w:t>of this instrument</w:t>
      </w:r>
      <w:r w:rsidR="00B4372E" w:rsidRPr="00FE50A6">
        <w:rPr>
          <w:lang w:val="en-US"/>
        </w:rPr>
        <w:t>,</w:t>
      </w:r>
      <w:r w:rsidR="006C5E11" w:rsidRPr="00FE50A6">
        <w:rPr>
          <w:lang w:val="en-US"/>
        </w:rPr>
        <w:t xml:space="preserve"> </w:t>
      </w:r>
      <w:r w:rsidR="00703850" w:rsidRPr="00FE50A6">
        <w:rPr>
          <w:lang w:val="en-US"/>
        </w:rPr>
        <w:t xml:space="preserve">to </w:t>
      </w:r>
      <w:r w:rsidR="00AF42D1" w:rsidRPr="00FE50A6">
        <w:rPr>
          <w:lang w:val="en-US"/>
        </w:rPr>
        <w:t xml:space="preserve">their </w:t>
      </w:r>
      <w:r w:rsidR="00703850" w:rsidRPr="00FE50A6">
        <w:rPr>
          <w:lang w:val="en-US"/>
        </w:rPr>
        <w:t>detriment</w:t>
      </w:r>
      <w:r w:rsidR="005269CC" w:rsidRPr="00FE50A6">
        <w:rPr>
          <w:lang w:val="en-US"/>
        </w:rPr>
        <w:t>.</w:t>
      </w:r>
    </w:p>
    <w:p w14:paraId="5EECE0B1" w14:textId="77777777" w:rsidR="00FF020F" w:rsidRPr="00FE50A6" w:rsidRDefault="00FF020F" w:rsidP="00140440">
      <w:pPr>
        <w:pStyle w:val="Prrafodelista"/>
        <w:ind w:left="0"/>
        <w:rPr>
          <w:lang w:val="en-US"/>
        </w:rPr>
      </w:pPr>
    </w:p>
    <w:p w14:paraId="4074CC94" w14:textId="77777777" w:rsidR="00207197" w:rsidRPr="00FE50A6" w:rsidRDefault="00CA1CA8" w:rsidP="005D2CE2">
      <w:pPr>
        <w:pStyle w:val="Ttulo3"/>
        <w:rPr>
          <w:lang w:val="en-US"/>
        </w:rPr>
      </w:pPr>
      <w:bookmarkStart w:id="337" w:name="_Toc464813971"/>
      <w:r w:rsidRPr="00FE50A6">
        <w:rPr>
          <w:lang w:val="en-US"/>
        </w:rPr>
        <w:t>B.1</w:t>
      </w:r>
      <w:r w:rsidR="001E1449" w:rsidRPr="00FE50A6">
        <w:rPr>
          <w:lang w:val="en-US"/>
        </w:rPr>
        <w:t>3</w:t>
      </w:r>
      <w:r w:rsidR="00DC2886" w:rsidRPr="00FE50A6">
        <w:rPr>
          <w:lang w:val="en-US"/>
        </w:rPr>
        <w:t>.</w:t>
      </w:r>
      <w:r w:rsidR="00207197" w:rsidRPr="00FE50A6">
        <w:rPr>
          <w:lang w:val="en-US"/>
        </w:rPr>
        <w:t xml:space="preserve"> </w:t>
      </w:r>
      <w:r w:rsidR="00AF42D1" w:rsidRPr="00FE50A6">
        <w:rPr>
          <w:lang w:val="en-US"/>
        </w:rPr>
        <w:t>Conclusion</w:t>
      </w:r>
      <w:bookmarkEnd w:id="337"/>
    </w:p>
    <w:p w14:paraId="5BD92148" w14:textId="77777777" w:rsidR="00207197" w:rsidRPr="00FE50A6" w:rsidRDefault="00207197" w:rsidP="00140440">
      <w:pPr>
        <w:pStyle w:val="Prrafodelista"/>
        <w:ind w:left="0"/>
        <w:rPr>
          <w:lang w:val="en-US"/>
        </w:rPr>
      </w:pPr>
    </w:p>
    <w:p w14:paraId="33DEA6FE" w14:textId="77777777" w:rsidR="00207197" w:rsidRPr="00FE50A6" w:rsidRDefault="00AF42D1" w:rsidP="00AF42D1">
      <w:pPr>
        <w:pStyle w:val="Prrafodelista"/>
        <w:numPr>
          <w:ilvl w:val="0"/>
          <w:numId w:val="1"/>
        </w:numPr>
        <w:contextualSpacing w:val="0"/>
        <w:rPr>
          <w:lang w:val="en-US"/>
        </w:rPr>
      </w:pPr>
      <w:r w:rsidRPr="00FE50A6">
        <w:rPr>
          <w:lang w:val="en-US"/>
        </w:rPr>
        <w:t>Based on all the foregoing, Brazil has not proved that it had taken, with regard to this case and at the time of the facts, the specific measures – in accordance with the circumstances of which it was aware of workers in a situation of slavery and of specific complaints against Hacienda Brasil Verde – to prevent the occurrence of the violation of Article 6(1) verified in this case. The State failed to act promptly in the initial hours and days following the report of slavery and violence filed by Gonçalo Luiz Furtado and Antônio Francisco da Silva, at great personal sacrifice and risk, losing valuable hours and days. Over the period between the report and the inspection, the State failed to coordinate the active participation of the Federal Police in the said inspection, other than for the protection of the Ministry of Labor’s team. Everything shows that the State failed to act with the required due diligence to prevent adequately the contemporary form of slavery verified in this case and did not act as could reasonably be expected</w:t>
      </w:r>
      <w:r w:rsidR="00F43F03" w:rsidRPr="00FE50A6">
        <w:rPr>
          <w:lang w:val="en-US"/>
        </w:rPr>
        <w:t>,</w:t>
      </w:r>
      <w:r w:rsidRPr="00FE50A6">
        <w:rPr>
          <w:lang w:val="en-US"/>
        </w:rPr>
        <w:t xml:space="preserve"> based on the circumstances of the case</w:t>
      </w:r>
      <w:r w:rsidR="00F43F03" w:rsidRPr="00FE50A6">
        <w:rPr>
          <w:lang w:val="en-US"/>
        </w:rPr>
        <w:t>,</w:t>
      </w:r>
      <w:r w:rsidRPr="00FE50A6">
        <w:rPr>
          <w:lang w:val="en-US"/>
        </w:rPr>
        <w:t xml:space="preserve"> to terminate that type of violation. This failure to comply with the obligation to ensure rights is particularly egregious owing to the context that the State was aware of and the obligations imposed by </w:t>
      </w:r>
      <w:r w:rsidR="00703850" w:rsidRPr="00FE50A6">
        <w:rPr>
          <w:lang w:val="en-US"/>
        </w:rPr>
        <w:t>Article</w:t>
      </w:r>
      <w:r w:rsidR="00207197" w:rsidRPr="00FE50A6">
        <w:rPr>
          <w:lang w:val="en-US"/>
        </w:rPr>
        <w:t xml:space="preserve"> </w:t>
      </w:r>
      <w:r w:rsidR="00090C6A" w:rsidRPr="00FE50A6">
        <w:rPr>
          <w:lang w:val="en-US"/>
        </w:rPr>
        <w:t>6(1)</w:t>
      </w:r>
      <w:r w:rsidR="000228D0" w:rsidRPr="00FE50A6">
        <w:rPr>
          <w:lang w:val="en-US"/>
        </w:rPr>
        <w:t xml:space="preserve"> of the American Convention</w:t>
      </w:r>
      <w:r w:rsidR="00030C17" w:rsidRPr="00FE50A6">
        <w:rPr>
          <w:lang w:val="en-US"/>
        </w:rPr>
        <w:t xml:space="preserve"> and</w:t>
      </w:r>
      <w:r w:rsidRPr="00FE50A6">
        <w:rPr>
          <w:lang w:val="en-US"/>
        </w:rPr>
        <w:t xml:space="preserve"> specifically derived from the </w:t>
      </w:r>
      <w:r w:rsidR="00207197" w:rsidRPr="00FE50A6">
        <w:rPr>
          <w:i/>
          <w:lang w:val="en-US"/>
        </w:rPr>
        <w:t xml:space="preserve">jus cogens </w:t>
      </w:r>
      <w:r w:rsidRPr="00FE50A6">
        <w:rPr>
          <w:lang w:val="en-US"/>
        </w:rPr>
        <w:t>nature of the prohibition.</w:t>
      </w:r>
    </w:p>
    <w:p w14:paraId="7FB91DF5" w14:textId="77777777" w:rsidR="00207197" w:rsidRPr="00FE50A6" w:rsidRDefault="00207197" w:rsidP="00140440">
      <w:pPr>
        <w:pStyle w:val="Prrafodelista"/>
        <w:ind w:left="0"/>
        <w:rPr>
          <w:lang w:val="en-US"/>
        </w:rPr>
      </w:pPr>
    </w:p>
    <w:p w14:paraId="7BBF4F57" w14:textId="77777777" w:rsidR="0027773F" w:rsidRPr="00FE50A6" w:rsidRDefault="00AF42D1" w:rsidP="00841077">
      <w:pPr>
        <w:pStyle w:val="Prrafodelista"/>
        <w:numPr>
          <w:ilvl w:val="0"/>
          <w:numId w:val="1"/>
        </w:numPr>
        <w:contextualSpacing w:val="0"/>
        <w:rPr>
          <w:lang w:val="en-US"/>
        </w:rPr>
      </w:pPr>
      <w:r w:rsidRPr="00FE50A6">
        <w:rPr>
          <w:lang w:val="en-US"/>
        </w:rPr>
        <w:t>On this basis, the Court considers that the State violated the right not to be subjected to</w:t>
      </w:r>
      <w:r w:rsidR="00F43F03" w:rsidRPr="00FE50A6">
        <w:rPr>
          <w:lang w:val="en-US"/>
        </w:rPr>
        <w:t xml:space="preserve"> </w:t>
      </w:r>
      <w:r w:rsidR="00D11A9F" w:rsidRPr="00FE50A6">
        <w:rPr>
          <w:lang w:val="en-US"/>
        </w:rPr>
        <w:t>slavery</w:t>
      </w:r>
      <w:r w:rsidR="00030C17" w:rsidRPr="00FE50A6">
        <w:rPr>
          <w:lang w:val="en-US"/>
        </w:rPr>
        <w:t xml:space="preserve"> and</w:t>
      </w:r>
      <w:r w:rsidR="00615E39" w:rsidRPr="00FE50A6">
        <w:rPr>
          <w:lang w:val="en-US"/>
        </w:rPr>
        <w:t xml:space="preserve"> </w:t>
      </w:r>
      <w:r w:rsidR="000C2A19" w:rsidRPr="00FE50A6">
        <w:rPr>
          <w:lang w:val="en-US"/>
        </w:rPr>
        <w:t xml:space="preserve">trafficking </w:t>
      </w:r>
      <w:r w:rsidRPr="00FE50A6">
        <w:rPr>
          <w:lang w:val="en-US"/>
        </w:rPr>
        <w:t>i</w:t>
      </w:r>
      <w:r w:rsidR="00207197" w:rsidRPr="00FE50A6">
        <w:rPr>
          <w:lang w:val="en-US"/>
        </w:rPr>
        <w:t>n viola</w:t>
      </w:r>
      <w:r w:rsidRPr="00FE50A6">
        <w:rPr>
          <w:lang w:val="en-US"/>
        </w:rPr>
        <w:t>tion</w:t>
      </w:r>
      <w:r w:rsidR="00207197" w:rsidRPr="00FE50A6">
        <w:rPr>
          <w:lang w:val="en-US"/>
        </w:rPr>
        <w:t xml:space="preserve"> </w:t>
      </w:r>
      <w:r w:rsidR="00703850" w:rsidRPr="00FE50A6">
        <w:rPr>
          <w:lang w:val="en-US"/>
        </w:rPr>
        <w:t>of Article</w:t>
      </w:r>
      <w:r w:rsidR="00207197" w:rsidRPr="00FE50A6">
        <w:rPr>
          <w:lang w:val="en-US"/>
        </w:rPr>
        <w:t xml:space="preserve"> </w:t>
      </w:r>
      <w:r w:rsidR="00090C6A" w:rsidRPr="00FE50A6">
        <w:rPr>
          <w:lang w:val="en-US"/>
        </w:rPr>
        <w:t>6(1)</w:t>
      </w:r>
      <w:r w:rsidR="000228D0" w:rsidRPr="00FE50A6">
        <w:rPr>
          <w:lang w:val="en-US"/>
        </w:rPr>
        <w:t xml:space="preserve"> of the American Convention on Human Rights</w:t>
      </w:r>
      <w:r w:rsidR="00207197" w:rsidRPr="00FE50A6">
        <w:rPr>
          <w:lang w:val="en-US"/>
        </w:rPr>
        <w:t xml:space="preserve">, </w:t>
      </w:r>
      <w:r w:rsidR="000B587F" w:rsidRPr="00FE50A6">
        <w:rPr>
          <w:lang w:val="en-US"/>
        </w:rPr>
        <w:t>in relation to Articles 1(1)</w:t>
      </w:r>
      <w:r w:rsidR="00EC2B75" w:rsidRPr="00FE50A6">
        <w:rPr>
          <w:lang w:val="en-US"/>
        </w:rPr>
        <w:t>, 3, 5, 7, 11</w:t>
      </w:r>
      <w:r w:rsidR="00030C17" w:rsidRPr="00FE50A6">
        <w:rPr>
          <w:lang w:val="en-US"/>
        </w:rPr>
        <w:t xml:space="preserve"> and </w:t>
      </w:r>
      <w:r w:rsidR="00EC2B75" w:rsidRPr="00FE50A6">
        <w:rPr>
          <w:lang w:val="en-US"/>
        </w:rPr>
        <w:t>22</w:t>
      </w:r>
      <w:r w:rsidR="00C30FB8" w:rsidRPr="00FE50A6">
        <w:rPr>
          <w:lang w:val="en-US"/>
        </w:rPr>
        <w:t xml:space="preserve"> </w:t>
      </w:r>
      <w:r w:rsidR="00D11A9F" w:rsidRPr="00FE50A6">
        <w:rPr>
          <w:lang w:val="en-US"/>
        </w:rPr>
        <w:t>of this instrument</w:t>
      </w:r>
      <w:r w:rsidR="00207197" w:rsidRPr="00FE50A6">
        <w:rPr>
          <w:lang w:val="en-US"/>
        </w:rPr>
        <w:t xml:space="preserve">, </w:t>
      </w:r>
      <w:r w:rsidR="00703850" w:rsidRPr="00FE50A6">
        <w:rPr>
          <w:lang w:val="en-US"/>
        </w:rPr>
        <w:t>to the detriment of the</w:t>
      </w:r>
      <w:r w:rsidR="00207197" w:rsidRPr="00FE50A6">
        <w:rPr>
          <w:lang w:val="en-US"/>
        </w:rPr>
        <w:t xml:space="preserve"> 85 </w:t>
      </w:r>
      <w:r w:rsidRPr="00FE50A6">
        <w:rPr>
          <w:lang w:val="en-US"/>
        </w:rPr>
        <w:t>workers rescued</w:t>
      </w:r>
      <w:r w:rsidR="00207197" w:rsidRPr="00FE50A6">
        <w:rPr>
          <w:lang w:val="en-US"/>
        </w:rPr>
        <w:t xml:space="preserve"> </w:t>
      </w:r>
      <w:r w:rsidR="00A67F6B" w:rsidRPr="00FE50A6">
        <w:rPr>
          <w:lang w:val="en-US"/>
        </w:rPr>
        <w:t>on March 15,</w:t>
      </w:r>
      <w:r w:rsidR="00207197" w:rsidRPr="00FE50A6">
        <w:rPr>
          <w:lang w:val="en-US"/>
        </w:rPr>
        <w:t xml:space="preserve"> 2000</w:t>
      </w:r>
      <w:r w:rsidRPr="00FE50A6">
        <w:rPr>
          <w:lang w:val="en-US"/>
        </w:rPr>
        <w:t>, in</w:t>
      </w:r>
      <w:r w:rsidR="00207197" w:rsidRPr="00FE50A6">
        <w:rPr>
          <w:lang w:val="en-US"/>
        </w:rPr>
        <w:t xml:space="preserve"> Hacienda </w:t>
      </w:r>
      <w:r w:rsidR="00322241" w:rsidRPr="00FE50A6">
        <w:rPr>
          <w:lang w:val="en-US"/>
        </w:rPr>
        <w:t>Brasil Verde</w:t>
      </w:r>
      <w:r w:rsidR="00207197" w:rsidRPr="00FE50A6">
        <w:rPr>
          <w:lang w:val="en-US"/>
        </w:rPr>
        <w:t xml:space="preserve">, </w:t>
      </w:r>
      <w:r w:rsidR="00567F9D" w:rsidRPr="00FE50A6">
        <w:rPr>
          <w:lang w:val="en-US"/>
        </w:rPr>
        <w:t xml:space="preserve">and </w:t>
      </w:r>
      <w:r w:rsidRPr="00FE50A6">
        <w:rPr>
          <w:lang w:val="en-US"/>
        </w:rPr>
        <w:t>listed in</w:t>
      </w:r>
      <w:r w:rsidR="00207197" w:rsidRPr="00FE50A6">
        <w:rPr>
          <w:lang w:val="en-US"/>
        </w:rPr>
        <w:t xml:space="preserve"> </w:t>
      </w:r>
      <w:r w:rsidRPr="00FE50A6">
        <w:rPr>
          <w:lang w:val="en-US"/>
        </w:rPr>
        <w:t>paragraph</w:t>
      </w:r>
      <w:r w:rsidR="00207197" w:rsidRPr="00FE50A6">
        <w:rPr>
          <w:lang w:val="en-US"/>
        </w:rPr>
        <w:t xml:space="preserve"> </w:t>
      </w:r>
      <w:r w:rsidR="006D753C" w:rsidRPr="00FE50A6">
        <w:rPr>
          <w:lang w:val="en-US"/>
        </w:rPr>
        <w:t>206</w:t>
      </w:r>
      <w:r w:rsidR="00207197" w:rsidRPr="00FE50A6">
        <w:rPr>
          <w:lang w:val="en-US"/>
        </w:rPr>
        <w:t xml:space="preserve"> </w:t>
      </w:r>
      <w:r w:rsidRPr="00FE50A6">
        <w:rPr>
          <w:lang w:val="en-US"/>
        </w:rPr>
        <w:t>of this judgment</w:t>
      </w:r>
      <w:r w:rsidR="00207197" w:rsidRPr="00FE50A6">
        <w:rPr>
          <w:lang w:val="en-US"/>
        </w:rPr>
        <w:t>. Ad</w:t>
      </w:r>
      <w:r w:rsidRPr="00FE50A6">
        <w:rPr>
          <w:lang w:val="en-US"/>
        </w:rPr>
        <w:t xml:space="preserve">ditionally, with regard to </w:t>
      </w:r>
      <w:r w:rsidR="00D60654" w:rsidRPr="00FE50A6">
        <w:rPr>
          <w:lang w:val="en-US"/>
        </w:rPr>
        <w:t xml:space="preserve">Antônio </w:t>
      </w:r>
      <w:r w:rsidR="0027773F" w:rsidRPr="00FE50A6">
        <w:rPr>
          <w:lang w:val="en-US"/>
        </w:rPr>
        <w:t>Francisco da Silva</w:t>
      </w:r>
      <w:r w:rsidRPr="00FE50A6">
        <w:rPr>
          <w:lang w:val="en-US"/>
        </w:rPr>
        <w:t xml:space="preserve">, that violation also occurred </w:t>
      </w:r>
      <w:r w:rsidR="000B587F" w:rsidRPr="00FE50A6">
        <w:rPr>
          <w:lang w:val="en-US"/>
        </w:rPr>
        <w:t>in relation to Article</w:t>
      </w:r>
      <w:r w:rsidR="0027773F" w:rsidRPr="00FE50A6">
        <w:rPr>
          <w:lang w:val="en-US"/>
        </w:rPr>
        <w:t xml:space="preserve"> 19</w:t>
      </w:r>
      <w:r w:rsidR="000228D0" w:rsidRPr="00FE50A6">
        <w:rPr>
          <w:lang w:val="en-US"/>
        </w:rPr>
        <w:t xml:space="preserve"> of the American Convention</w:t>
      </w:r>
      <w:r w:rsidR="009B15CC" w:rsidRPr="00FE50A6">
        <w:rPr>
          <w:lang w:val="en-US"/>
        </w:rPr>
        <w:t xml:space="preserve">, </w:t>
      </w:r>
      <w:r w:rsidRPr="00FE50A6">
        <w:rPr>
          <w:lang w:val="en-US"/>
        </w:rPr>
        <w:t xml:space="preserve">since he was a minor at the time of the facts. Lastly, </w:t>
      </w:r>
      <w:r w:rsidR="000228D0" w:rsidRPr="00FE50A6">
        <w:rPr>
          <w:lang w:val="en-US"/>
        </w:rPr>
        <w:t>Brazil</w:t>
      </w:r>
      <w:r w:rsidR="00BA3F90" w:rsidRPr="00FE50A6">
        <w:rPr>
          <w:lang w:val="en-US"/>
        </w:rPr>
        <w:t xml:space="preserve"> </w:t>
      </w:r>
      <w:r w:rsidRPr="00FE50A6">
        <w:rPr>
          <w:lang w:val="en-US"/>
        </w:rPr>
        <w:t>i</w:t>
      </w:r>
      <w:r w:rsidR="00BA3F90" w:rsidRPr="00FE50A6">
        <w:rPr>
          <w:lang w:val="en-US"/>
        </w:rPr>
        <w:t>s respons</w:t>
      </w:r>
      <w:r w:rsidRPr="00FE50A6">
        <w:rPr>
          <w:lang w:val="en-US"/>
        </w:rPr>
        <w:t>i</w:t>
      </w:r>
      <w:r w:rsidR="00BA3F90" w:rsidRPr="00FE50A6">
        <w:rPr>
          <w:lang w:val="en-US"/>
        </w:rPr>
        <w:t xml:space="preserve">ble </w:t>
      </w:r>
      <w:r w:rsidRPr="00FE50A6">
        <w:rPr>
          <w:lang w:val="en-US"/>
        </w:rPr>
        <w:t>f</w:t>
      </w:r>
      <w:r w:rsidR="00BA3F90" w:rsidRPr="00FE50A6">
        <w:rPr>
          <w:lang w:val="en-US"/>
        </w:rPr>
        <w:t xml:space="preserve">or </w:t>
      </w:r>
      <w:r w:rsidR="00700B79" w:rsidRPr="00FE50A6">
        <w:rPr>
          <w:lang w:val="en-US"/>
        </w:rPr>
        <w:t>the violation</w:t>
      </w:r>
      <w:r w:rsidR="00841077" w:rsidRPr="00FE50A6">
        <w:rPr>
          <w:lang w:val="en-US"/>
        </w:rPr>
        <w:t xml:space="preserve"> </w:t>
      </w:r>
      <w:r w:rsidR="00703850" w:rsidRPr="00FE50A6">
        <w:rPr>
          <w:lang w:val="en-US"/>
        </w:rPr>
        <w:t>of Article</w:t>
      </w:r>
      <w:r w:rsidR="00841077" w:rsidRPr="00FE50A6">
        <w:rPr>
          <w:lang w:val="en-US"/>
        </w:rPr>
        <w:t xml:space="preserve"> </w:t>
      </w:r>
      <w:r w:rsidR="00090C6A" w:rsidRPr="00FE50A6">
        <w:rPr>
          <w:lang w:val="en-US"/>
        </w:rPr>
        <w:t>6(1)</w:t>
      </w:r>
      <w:r w:rsidR="000228D0" w:rsidRPr="00FE50A6">
        <w:rPr>
          <w:lang w:val="en-US"/>
        </w:rPr>
        <w:t xml:space="preserve"> of the American Convention</w:t>
      </w:r>
      <w:r w:rsidR="00841077" w:rsidRPr="00FE50A6">
        <w:rPr>
          <w:lang w:val="en-US"/>
        </w:rPr>
        <w:t xml:space="preserve">, </w:t>
      </w:r>
      <w:r w:rsidR="000B587F" w:rsidRPr="00FE50A6">
        <w:rPr>
          <w:lang w:val="en-US"/>
        </w:rPr>
        <w:t>in relation to Article 1(1)</w:t>
      </w:r>
      <w:r w:rsidR="00841077" w:rsidRPr="00FE50A6">
        <w:rPr>
          <w:lang w:val="en-US"/>
        </w:rPr>
        <w:t xml:space="preserve"> </w:t>
      </w:r>
      <w:r w:rsidR="00D11A9F" w:rsidRPr="00FE50A6">
        <w:rPr>
          <w:lang w:val="en-US"/>
        </w:rPr>
        <w:t>of this instrument</w:t>
      </w:r>
      <w:r w:rsidR="00841077" w:rsidRPr="00FE50A6">
        <w:rPr>
          <w:lang w:val="en-US"/>
        </w:rPr>
        <w:t xml:space="preserve">, </w:t>
      </w:r>
      <w:r w:rsidRPr="00FE50A6">
        <w:rPr>
          <w:lang w:val="en-US"/>
        </w:rPr>
        <w:t xml:space="preserve">that occurred in the context of a situation of </w:t>
      </w:r>
      <w:r w:rsidR="009308B1" w:rsidRPr="00FE50A6">
        <w:rPr>
          <w:lang w:val="en-US"/>
        </w:rPr>
        <w:t>historical structural</w:t>
      </w:r>
      <w:r w:rsidR="00311174" w:rsidRPr="00FE50A6">
        <w:rPr>
          <w:lang w:val="en-US"/>
        </w:rPr>
        <w:t xml:space="preserve"> discrimination</w:t>
      </w:r>
      <w:r w:rsidR="00841077" w:rsidRPr="00FE50A6">
        <w:rPr>
          <w:lang w:val="en-US"/>
        </w:rPr>
        <w:t xml:space="preserve"> </w:t>
      </w:r>
      <w:r w:rsidRPr="00FE50A6">
        <w:rPr>
          <w:lang w:val="en-US"/>
        </w:rPr>
        <w:t>based on the economic status of the 85 workers identified in</w:t>
      </w:r>
      <w:r w:rsidR="00841077" w:rsidRPr="00FE50A6">
        <w:rPr>
          <w:lang w:val="en-US"/>
        </w:rPr>
        <w:t xml:space="preserve"> </w:t>
      </w:r>
      <w:r w:rsidRPr="00FE50A6">
        <w:rPr>
          <w:lang w:val="en-US"/>
        </w:rPr>
        <w:t>paragraph</w:t>
      </w:r>
      <w:r w:rsidR="00841077" w:rsidRPr="00FE50A6">
        <w:rPr>
          <w:lang w:val="en-US"/>
        </w:rPr>
        <w:t xml:space="preserve"> </w:t>
      </w:r>
      <w:r w:rsidR="006D753C" w:rsidRPr="00FE50A6">
        <w:rPr>
          <w:lang w:val="en-US"/>
        </w:rPr>
        <w:t>206</w:t>
      </w:r>
      <w:r w:rsidR="00841077" w:rsidRPr="00FE50A6">
        <w:rPr>
          <w:lang w:val="en-US"/>
        </w:rPr>
        <w:t xml:space="preserve"> </w:t>
      </w:r>
      <w:r w:rsidRPr="00FE50A6">
        <w:rPr>
          <w:lang w:val="en-US"/>
        </w:rPr>
        <w:t>of this judgment</w:t>
      </w:r>
      <w:r w:rsidR="00841077" w:rsidRPr="00FE50A6">
        <w:rPr>
          <w:lang w:val="en-US"/>
        </w:rPr>
        <w:t>.</w:t>
      </w:r>
    </w:p>
    <w:p w14:paraId="7553A8E0" w14:textId="77777777" w:rsidR="00207197" w:rsidRPr="00FE50A6" w:rsidRDefault="00207197" w:rsidP="00963163">
      <w:pPr>
        <w:pStyle w:val="Prrafodelista"/>
        <w:tabs>
          <w:tab w:val="right" w:pos="0"/>
        </w:tabs>
        <w:ind w:left="0"/>
        <w:rPr>
          <w:lang w:val="en-US"/>
        </w:rPr>
      </w:pPr>
    </w:p>
    <w:p w14:paraId="25828559" w14:textId="77777777" w:rsidR="0069414E" w:rsidRPr="00FE50A6" w:rsidRDefault="00864574" w:rsidP="008705BA">
      <w:pPr>
        <w:pStyle w:val="Ttulo1"/>
        <w:keepLines w:val="0"/>
        <w:tabs>
          <w:tab w:val="center" w:pos="4419"/>
          <w:tab w:val="right" w:pos="8838"/>
        </w:tabs>
        <w:spacing w:before="0" w:after="0"/>
        <w:rPr>
          <w:rFonts w:eastAsiaTheme="minorHAnsi" w:cstheme="minorBidi"/>
          <w:bCs w:val="0"/>
          <w:caps w:val="0"/>
          <w:noProof/>
          <w:szCs w:val="22"/>
          <w:lang w:val="en-US"/>
        </w:rPr>
      </w:pPr>
      <w:bookmarkStart w:id="338" w:name="_Toc460432518"/>
      <w:bookmarkStart w:id="339" w:name="_Toc464813972"/>
      <w:bookmarkStart w:id="340" w:name="_Toc429519511"/>
      <w:bookmarkStart w:id="341" w:name="_Toc430339016"/>
      <w:bookmarkStart w:id="342" w:name="_Toc451267358"/>
      <w:r w:rsidRPr="00FE50A6">
        <w:rPr>
          <w:rFonts w:eastAsiaTheme="minorHAnsi" w:cstheme="minorBidi"/>
          <w:bCs w:val="0"/>
          <w:caps w:val="0"/>
          <w:noProof/>
          <w:szCs w:val="22"/>
          <w:lang w:val="en-US"/>
        </w:rPr>
        <w:t>VIII-2</w:t>
      </w:r>
      <w:bookmarkEnd w:id="338"/>
      <w:bookmarkEnd w:id="339"/>
    </w:p>
    <w:p w14:paraId="1B42776F" w14:textId="77777777" w:rsidR="004D4500" w:rsidRPr="00FE50A6" w:rsidRDefault="00B11237" w:rsidP="008705BA">
      <w:pPr>
        <w:pStyle w:val="Ttulo1"/>
        <w:rPr>
          <w:lang w:val="en-US"/>
        </w:rPr>
      </w:pPr>
      <w:bookmarkStart w:id="343" w:name="_Toc464813973"/>
      <w:bookmarkEnd w:id="336"/>
      <w:r w:rsidRPr="00FE50A6">
        <w:rPr>
          <w:noProof/>
          <w:lang w:val="en-US"/>
        </w:rPr>
        <w:t xml:space="preserve">THE </w:t>
      </w:r>
      <w:r w:rsidR="00977CD5" w:rsidRPr="00FE50A6">
        <w:rPr>
          <w:noProof/>
          <w:lang w:val="en-US"/>
        </w:rPr>
        <w:t>RIGHTS TO JUDICIAL</w:t>
      </w:r>
      <w:r w:rsidR="00D11A9F" w:rsidRPr="00FE50A6">
        <w:rPr>
          <w:noProof/>
          <w:lang w:val="en-US"/>
        </w:rPr>
        <w:t xml:space="preserve"> GUARANTEES</w:t>
      </w:r>
      <w:r w:rsidR="004D4500" w:rsidRPr="00FE50A6">
        <w:rPr>
          <w:noProof/>
          <w:vertAlign w:val="superscript"/>
          <w:lang w:val="en-US"/>
        </w:rPr>
        <w:footnoteReference w:id="477"/>
      </w:r>
      <w:r w:rsidR="00030C17" w:rsidRPr="00FE50A6">
        <w:rPr>
          <w:noProof/>
          <w:lang w:val="en-US"/>
        </w:rPr>
        <w:t xml:space="preserve"> </w:t>
      </w:r>
      <w:r w:rsidR="00977CD5" w:rsidRPr="00FE50A6">
        <w:rPr>
          <w:noProof/>
          <w:lang w:val="en-US"/>
        </w:rPr>
        <w:t>AND TO JUDICIAL</w:t>
      </w:r>
      <w:r w:rsidR="00D11A9F" w:rsidRPr="00FE50A6">
        <w:rPr>
          <w:noProof/>
          <w:lang w:val="en-US"/>
        </w:rPr>
        <w:t xml:space="preserve"> PROTECTION</w:t>
      </w:r>
      <w:bookmarkEnd w:id="340"/>
      <w:bookmarkEnd w:id="341"/>
      <w:bookmarkEnd w:id="342"/>
      <w:r w:rsidR="004D4500" w:rsidRPr="00FE50A6">
        <w:rPr>
          <w:noProof/>
          <w:vertAlign w:val="superscript"/>
          <w:lang w:val="en-US"/>
        </w:rPr>
        <w:footnoteReference w:id="478"/>
      </w:r>
      <w:bookmarkEnd w:id="343"/>
    </w:p>
    <w:p w14:paraId="5FEC9778" w14:textId="77777777" w:rsidR="004D4500" w:rsidRPr="00FE50A6" w:rsidRDefault="004D4500" w:rsidP="00140440">
      <w:pPr>
        <w:jc w:val="both"/>
        <w:rPr>
          <w:rFonts w:cs="Arial"/>
          <w:noProof/>
          <w:szCs w:val="20"/>
          <w:lang w:val="en-US"/>
        </w:rPr>
      </w:pPr>
    </w:p>
    <w:p w14:paraId="127BAEA3" w14:textId="77777777" w:rsidR="00D81AA1" w:rsidRPr="00FE50A6" w:rsidRDefault="00576F80" w:rsidP="00D81AA1">
      <w:pPr>
        <w:pStyle w:val="Prrafodelista"/>
        <w:numPr>
          <w:ilvl w:val="0"/>
          <w:numId w:val="1"/>
        </w:numPr>
        <w:autoSpaceDE w:val="0"/>
        <w:autoSpaceDN w:val="0"/>
        <w:adjustRightInd w:val="0"/>
        <w:contextualSpacing w:val="0"/>
        <w:rPr>
          <w:rFonts w:cs="Arial"/>
          <w:szCs w:val="20"/>
          <w:lang w:val="en-US"/>
        </w:rPr>
      </w:pPr>
      <w:bookmarkStart w:id="344" w:name="_Ref319671385"/>
      <w:r w:rsidRPr="00FE50A6">
        <w:rPr>
          <w:rFonts w:cs="Arial"/>
          <w:noProof/>
          <w:szCs w:val="20"/>
          <w:lang w:val="en-US"/>
        </w:rPr>
        <w:t xml:space="preserve">In this chapter, the Court will proceed to examine the arguments submitted by the parties and will develop pertinent legal considerations </w:t>
      </w:r>
      <w:r w:rsidR="00567F9D" w:rsidRPr="00FE50A6">
        <w:rPr>
          <w:rFonts w:cs="Arial"/>
          <w:noProof/>
          <w:szCs w:val="20"/>
          <w:lang w:val="en-US"/>
        </w:rPr>
        <w:t>concerning</w:t>
      </w:r>
      <w:r w:rsidRPr="00FE50A6">
        <w:rPr>
          <w:rFonts w:cs="Arial"/>
          <w:noProof/>
          <w:szCs w:val="20"/>
          <w:lang w:val="en-US"/>
        </w:rPr>
        <w:t xml:space="preserve"> the alleged violations of the right</w:t>
      </w:r>
      <w:r w:rsidR="00567F9D" w:rsidRPr="00FE50A6">
        <w:rPr>
          <w:rFonts w:cs="Arial"/>
          <w:noProof/>
          <w:szCs w:val="20"/>
          <w:lang w:val="en-US"/>
        </w:rPr>
        <w:t>s</w:t>
      </w:r>
      <w:r w:rsidRPr="00FE50A6">
        <w:rPr>
          <w:rFonts w:cs="Arial"/>
          <w:noProof/>
          <w:szCs w:val="20"/>
          <w:lang w:val="en-US"/>
        </w:rPr>
        <w:t xml:space="preserve"> to </w:t>
      </w:r>
      <w:r w:rsidR="00D11A9F" w:rsidRPr="00FE50A6">
        <w:rPr>
          <w:rFonts w:cs="Arial"/>
          <w:noProof/>
          <w:szCs w:val="20"/>
          <w:lang w:val="en-US"/>
        </w:rPr>
        <w:t>judicial guarantees</w:t>
      </w:r>
      <w:r w:rsidR="00030C17" w:rsidRPr="00FE50A6">
        <w:rPr>
          <w:rFonts w:cs="Arial"/>
          <w:noProof/>
          <w:szCs w:val="20"/>
          <w:lang w:val="en-US"/>
        </w:rPr>
        <w:t xml:space="preserve"> </w:t>
      </w:r>
      <w:r w:rsidRPr="00FE50A6">
        <w:rPr>
          <w:rFonts w:cs="Arial"/>
          <w:noProof/>
          <w:szCs w:val="20"/>
          <w:lang w:val="en-US"/>
        </w:rPr>
        <w:t xml:space="preserve">and to judicial </w:t>
      </w:r>
      <w:r w:rsidR="00D11A9F" w:rsidRPr="00FE50A6">
        <w:rPr>
          <w:rFonts w:cs="Arial"/>
          <w:noProof/>
          <w:szCs w:val="20"/>
          <w:lang w:val="en-US"/>
        </w:rPr>
        <w:t>protection</w:t>
      </w:r>
      <w:r w:rsidR="00D81AA1" w:rsidRPr="00FE50A6">
        <w:rPr>
          <w:rFonts w:cs="Arial"/>
          <w:noProof/>
          <w:szCs w:val="20"/>
          <w:lang w:val="en-US"/>
        </w:rPr>
        <w:t xml:space="preserve">. </w:t>
      </w:r>
      <w:r w:rsidRPr="00FE50A6">
        <w:rPr>
          <w:rFonts w:cs="Arial"/>
          <w:noProof/>
          <w:szCs w:val="20"/>
          <w:lang w:val="en-US"/>
        </w:rPr>
        <w:t>To this end, it will make its analysis in the following order</w:t>
      </w:r>
      <w:r w:rsidR="00D81AA1" w:rsidRPr="00FE50A6">
        <w:rPr>
          <w:rFonts w:cs="Arial"/>
          <w:noProof/>
          <w:szCs w:val="20"/>
          <w:lang w:val="en-US"/>
        </w:rPr>
        <w:t xml:space="preserve">: </w:t>
      </w:r>
      <w:r w:rsidRPr="00FE50A6">
        <w:rPr>
          <w:rFonts w:cs="Arial"/>
          <w:noProof/>
          <w:szCs w:val="20"/>
          <w:lang w:val="en-US"/>
        </w:rPr>
        <w:t>(</w:t>
      </w:r>
      <w:r w:rsidR="00D81AA1" w:rsidRPr="00FE50A6">
        <w:rPr>
          <w:rFonts w:cs="Arial"/>
          <w:noProof/>
          <w:szCs w:val="20"/>
          <w:lang w:val="en-US"/>
        </w:rPr>
        <w:t xml:space="preserve">a) </w:t>
      </w:r>
      <w:r w:rsidRPr="00FE50A6">
        <w:rPr>
          <w:rFonts w:cs="Arial"/>
          <w:noProof/>
          <w:szCs w:val="20"/>
          <w:lang w:val="en-US"/>
        </w:rPr>
        <w:t>the alleged</w:t>
      </w:r>
      <w:r w:rsidR="00D81AA1" w:rsidRPr="00FE50A6">
        <w:rPr>
          <w:rFonts w:cs="Arial"/>
          <w:noProof/>
          <w:szCs w:val="20"/>
          <w:lang w:val="en-US"/>
        </w:rPr>
        <w:t xml:space="preserve"> </w:t>
      </w:r>
      <w:r w:rsidRPr="00FE50A6">
        <w:rPr>
          <w:rFonts w:cs="Arial"/>
          <w:noProof/>
          <w:szCs w:val="20"/>
          <w:lang w:val="en-US"/>
        </w:rPr>
        <w:t>lack of due diligence</w:t>
      </w:r>
      <w:r w:rsidR="00D81AA1" w:rsidRPr="00FE50A6">
        <w:rPr>
          <w:rFonts w:cs="Arial"/>
          <w:noProof/>
          <w:szCs w:val="20"/>
          <w:lang w:val="en-US"/>
        </w:rPr>
        <w:t xml:space="preserve">; </w:t>
      </w:r>
      <w:r w:rsidRPr="00FE50A6">
        <w:rPr>
          <w:rFonts w:cs="Arial"/>
          <w:noProof/>
          <w:szCs w:val="20"/>
          <w:lang w:val="en-US"/>
        </w:rPr>
        <w:t>(</w:t>
      </w:r>
      <w:r w:rsidR="00D81AA1" w:rsidRPr="00FE50A6">
        <w:rPr>
          <w:rFonts w:cs="Arial"/>
          <w:noProof/>
          <w:szCs w:val="20"/>
          <w:lang w:val="en-US"/>
        </w:rPr>
        <w:t xml:space="preserve">b) </w:t>
      </w:r>
      <w:r w:rsidRPr="00FE50A6">
        <w:rPr>
          <w:rFonts w:cs="Arial"/>
          <w:noProof/>
          <w:szCs w:val="20"/>
          <w:lang w:val="en-US"/>
        </w:rPr>
        <w:t>the alleged</w:t>
      </w:r>
      <w:r w:rsidR="00D81AA1" w:rsidRPr="00FE50A6">
        <w:rPr>
          <w:rFonts w:cs="Arial"/>
          <w:noProof/>
          <w:szCs w:val="20"/>
          <w:lang w:val="en-US"/>
        </w:rPr>
        <w:t xml:space="preserve"> </w:t>
      </w:r>
      <w:r w:rsidRPr="00FE50A6">
        <w:rPr>
          <w:rFonts w:cs="Arial"/>
          <w:noProof/>
          <w:szCs w:val="20"/>
          <w:lang w:val="en-US"/>
        </w:rPr>
        <w:t>violation of the reasonable time in the criminal proceedings, and (c) the alleged</w:t>
      </w:r>
      <w:r w:rsidR="00D81AA1" w:rsidRPr="00FE50A6">
        <w:rPr>
          <w:rFonts w:cs="Arial"/>
          <w:noProof/>
          <w:szCs w:val="20"/>
          <w:lang w:val="en-US"/>
        </w:rPr>
        <w:t xml:space="preserve"> </w:t>
      </w:r>
      <w:r w:rsidRPr="00FE50A6">
        <w:rPr>
          <w:spacing w:val="-3"/>
          <w:szCs w:val="20"/>
          <w:lang w:val="en-US"/>
        </w:rPr>
        <w:t>absence of effective</w:t>
      </w:r>
      <w:r w:rsidR="00D81AA1" w:rsidRPr="00FE50A6">
        <w:rPr>
          <w:spacing w:val="-3"/>
          <w:szCs w:val="20"/>
          <w:lang w:val="en-US"/>
        </w:rPr>
        <w:t xml:space="preserve"> </w:t>
      </w:r>
      <w:r w:rsidR="00D11A9F" w:rsidRPr="00FE50A6">
        <w:rPr>
          <w:spacing w:val="-3"/>
          <w:szCs w:val="20"/>
          <w:lang w:val="en-US"/>
        </w:rPr>
        <w:t>judicial protection</w:t>
      </w:r>
      <w:r w:rsidR="00D81AA1" w:rsidRPr="00FE50A6">
        <w:rPr>
          <w:rFonts w:cs="Arial"/>
          <w:noProof/>
          <w:szCs w:val="20"/>
          <w:lang w:val="en-US"/>
        </w:rPr>
        <w:t xml:space="preserve">. </w:t>
      </w:r>
      <w:r w:rsidRPr="00FE50A6">
        <w:rPr>
          <w:rFonts w:cs="Arial"/>
          <w:noProof/>
          <w:szCs w:val="20"/>
          <w:lang w:val="en-US"/>
        </w:rPr>
        <w:t>The Court will also analyze the</w:t>
      </w:r>
      <w:r w:rsidR="00567F9D" w:rsidRPr="00FE50A6">
        <w:rPr>
          <w:rFonts w:cs="Arial"/>
          <w:noProof/>
          <w:szCs w:val="20"/>
          <w:lang w:val="en-US"/>
        </w:rPr>
        <w:t xml:space="preserve"> </w:t>
      </w:r>
      <w:r w:rsidRPr="00FE50A6">
        <w:rPr>
          <w:rFonts w:cs="Arial"/>
          <w:noProof/>
          <w:szCs w:val="20"/>
          <w:lang w:val="en-US"/>
        </w:rPr>
        <w:t xml:space="preserve">investigations conducted into </w:t>
      </w:r>
      <w:r w:rsidR="00567F9D" w:rsidRPr="00FE50A6">
        <w:rPr>
          <w:rFonts w:cs="Arial"/>
          <w:noProof/>
          <w:szCs w:val="20"/>
          <w:lang w:val="en-US"/>
        </w:rPr>
        <w:t>the</w:t>
      </w:r>
      <w:r w:rsidRPr="00FE50A6">
        <w:rPr>
          <w:rFonts w:cs="Arial"/>
          <w:noProof/>
          <w:szCs w:val="20"/>
          <w:lang w:val="en-US"/>
        </w:rPr>
        <w:t xml:space="preserve"> alleged disappearance of </w:t>
      </w:r>
      <w:r w:rsidR="008B075C" w:rsidRPr="00FE50A6">
        <w:rPr>
          <w:rFonts w:cs="Arial"/>
          <w:noProof/>
          <w:szCs w:val="20"/>
          <w:lang w:val="en-US"/>
        </w:rPr>
        <w:t>Iron Canuto da Silva</w:t>
      </w:r>
      <w:r w:rsidR="00030C17" w:rsidRPr="00FE50A6">
        <w:rPr>
          <w:rFonts w:cs="Arial"/>
          <w:noProof/>
          <w:szCs w:val="20"/>
          <w:lang w:val="en-US"/>
        </w:rPr>
        <w:t xml:space="preserve"> and </w:t>
      </w:r>
      <w:r w:rsidR="00200C04" w:rsidRPr="00FE50A6">
        <w:rPr>
          <w:rFonts w:cs="Arial"/>
          <w:noProof/>
          <w:szCs w:val="20"/>
          <w:lang w:val="en-US"/>
        </w:rPr>
        <w:t>Luis Ferreira da Cruz</w:t>
      </w:r>
      <w:r w:rsidR="00D81AA1" w:rsidRPr="00FE50A6">
        <w:rPr>
          <w:rFonts w:cs="Arial"/>
          <w:noProof/>
          <w:szCs w:val="20"/>
          <w:lang w:val="en-US"/>
        </w:rPr>
        <w:t>.</w:t>
      </w:r>
    </w:p>
    <w:p w14:paraId="2DE7671A" w14:textId="77777777" w:rsidR="00D81AA1" w:rsidRPr="00FE50A6" w:rsidRDefault="00D81AA1" w:rsidP="00D81AA1">
      <w:pPr>
        <w:pStyle w:val="Ttulo8"/>
        <w:tabs>
          <w:tab w:val="right" w:pos="0"/>
        </w:tabs>
        <w:autoSpaceDE w:val="0"/>
        <w:autoSpaceDN w:val="0"/>
        <w:adjustRightInd w:val="0"/>
        <w:contextualSpacing w:val="0"/>
        <w:jc w:val="both"/>
        <w:rPr>
          <w:rFonts w:eastAsiaTheme="minorHAnsi" w:cs="Arial"/>
          <w:noProof/>
          <w:szCs w:val="20"/>
          <w:lang w:val="en-US"/>
        </w:rPr>
      </w:pPr>
    </w:p>
    <w:p w14:paraId="216B19A7" w14:textId="77777777" w:rsidR="00D81AA1" w:rsidRPr="00FE50A6" w:rsidRDefault="009C27BB" w:rsidP="008B0BCC">
      <w:pPr>
        <w:pStyle w:val="Ttulo2"/>
        <w:numPr>
          <w:ilvl w:val="0"/>
          <w:numId w:val="20"/>
        </w:numPr>
        <w:rPr>
          <w:rFonts w:eastAsiaTheme="minorHAnsi"/>
        </w:rPr>
      </w:pPr>
      <w:bookmarkStart w:id="345" w:name="_Toc464813974"/>
      <w:r w:rsidRPr="00FE50A6">
        <w:rPr>
          <w:rFonts w:eastAsiaTheme="minorHAnsi"/>
        </w:rPr>
        <w:t>Arguments of the parties</w:t>
      </w:r>
      <w:r w:rsidR="00030C17" w:rsidRPr="00FE50A6">
        <w:rPr>
          <w:rFonts w:eastAsiaTheme="minorHAnsi"/>
        </w:rPr>
        <w:t xml:space="preserve"> and </w:t>
      </w:r>
      <w:r w:rsidR="000228D0" w:rsidRPr="00FE50A6">
        <w:rPr>
          <w:rFonts w:eastAsiaTheme="minorHAnsi"/>
        </w:rPr>
        <w:t>of the Commission</w:t>
      </w:r>
      <w:bookmarkEnd w:id="345"/>
    </w:p>
    <w:p w14:paraId="24C3E0E7" w14:textId="77777777" w:rsidR="00D81AA1" w:rsidRPr="00FE50A6" w:rsidRDefault="00D81AA1" w:rsidP="00D81AA1">
      <w:pPr>
        <w:autoSpaceDE w:val="0"/>
        <w:autoSpaceDN w:val="0"/>
        <w:adjustRightInd w:val="0"/>
        <w:jc w:val="both"/>
        <w:rPr>
          <w:rFonts w:cs="Arial"/>
          <w:szCs w:val="20"/>
          <w:lang w:val="en-US"/>
        </w:rPr>
      </w:pPr>
    </w:p>
    <w:p w14:paraId="0997D177" w14:textId="77777777" w:rsidR="00D81AA1" w:rsidRPr="00FE50A6" w:rsidRDefault="000228D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The </w:t>
      </w:r>
      <w:r w:rsidRPr="00FE50A6">
        <w:rPr>
          <w:rFonts w:cs="Arial"/>
          <w:b/>
          <w:i/>
          <w:szCs w:val="20"/>
          <w:lang w:val="en-US"/>
        </w:rPr>
        <w:t>Commission</w:t>
      </w:r>
      <w:r w:rsidR="00D81AA1" w:rsidRPr="00FE50A6">
        <w:rPr>
          <w:rFonts w:cs="Arial"/>
          <w:szCs w:val="20"/>
          <w:lang w:val="en-US"/>
        </w:rPr>
        <w:t xml:space="preserve"> conside</w:t>
      </w:r>
      <w:r w:rsidR="00576F80" w:rsidRPr="00FE50A6">
        <w:rPr>
          <w:rFonts w:cs="Arial"/>
          <w:szCs w:val="20"/>
          <w:lang w:val="en-US"/>
        </w:rPr>
        <w:t>red that</w:t>
      </w:r>
      <w:r w:rsidR="00D81AA1" w:rsidRPr="00FE50A6">
        <w:rPr>
          <w:rFonts w:cs="Arial"/>
          <w:szCs w:val="20"/>
          <w:lang w:val="en-US"/>
        </w:rPr>
        <w:t xml:space="preserve"> </w:t>
      </w:r>
      <w:r w:rsidRPr="00FE50A6">
        <w:rPr>
          <w:rFonts w:cs="Arial"/>
          <w:szCs w:val="20"/>
          <w:lang w:val="en-US"/>
        </w:rPr>
        <w:t>the State</w:t>
      </w:r>
      <w:r w:rsidR="00D81AA1" w:rsidRPr="00FE50A6">
        <w:rPr>
          <w:rFonts w:cs="Arial"/>
          <w:szCs w:val="20"/>
          <w:lang w:val="en-US"/>
        </w:rPr>
        <w:t xml:space="preserve"> </w:t>
      </w:r>
      <w:r w:rsidR="00576F80" w:rsidRPr="00FE50A6">
        <w:rPr>
          <w:rFonts w:cs="Arial"/>
          <w:szCs w:val="20"/>
          <w:lang w:val="en-US"/>
        </w:rPr>
        <w:t>was responsible for failing to adopt measures to protect the</w:t>
      </w:r>
      <w:r w:rsidR="00D81AA1" w:rsidRPr="00FE50A6">
        <w:rPr>
          <w:rFonts w:cs="Arial"/>
          <w:szCs w:val="20"/>
          <w:lang w:val="en-US"/>
        </w:rPr>
        <w:t xml:space="preserve"> </w:t>
      </w:r>
      <w:r w:rsidR="00D11A9F" w:rsidRPr="00FE50A6">
        <w:rPr>
          <w:rFonts w:cs="Arial"/>
          <w:szCs w:val="20"/>
          <w:lang w:val="en-US"/>
        </w:rPr>
        <w:t>judicial guarantees</w:t>
      </w:r>
      <w:r w:rsidR="00D81AA1" w:rsidRPr="00FE50A6">
        <w:rPr>
          <w:rFonts w:cs="Arial"/>
          <w:szCs w:val="20"/>
          <w:lang w:val="en-US"/>
        </w:rPr>
        <w:t xml:space="preserve"> </w:t>
      </w:r>
      <w:r w:rsidR="00576F80" w:rsidRPr="00FE50A6">
        <w:rPr>
          <w:rFonts w:cs="Arial"/>
          <w:szCs w:val="20"/>
          <w:lang w:val="en-US"/>
        </w:rPr>
        <w:t>within a reasonable time. In this regard</w:t>
      </w:r>
      <w:r w:rsidR="00D81AA1" w:rsidRPr="00FE50A6">
        <w:rPr>
          <w:rFonts w:cs="Arial"/>
          <w:szCs w:val="20"/>
          <w:lang w:val="en-US"/>
        </w:rPr>
        <w:t xml:space="preserve">, </w:t>
      </w:r>
      <w:r w:rsidRPr="00FE50A6">
        <w:rPr>
          <w:rFonts w:cs="Arial"/>
          <w:szCs w:val="20"/>
          <w:lang w:val="en-US"/>
        </w:rPr>
        <w:t>the Commission</w:t>
      </w:r>
      <w:r w:rsidR="00D81AA1" w:rsidRPr="00FE50A6">
        <w:rPr>
          <w:rFonts w:cs="Arial"/>
          <w:szCs w:val="20"/>
          <w:lang w:val="en-US"/>
        </w:rPr>
        <w:t xml:space="preserve"> </w:t>
      </w:r>
      <w:r w:rsidR="00984A55" w:rsidRPr="00FE50A6">
        <w:rPr>
          <w:rFonts w:cs="Arial"/>
          <w:szCs w:val="20"/>
          <w:lang w:val="en-US"/>
        </w:rPr>
        <w:t>indicated</w:t>
      </w:r>
      <w:r w:rsidR="00D81AA1" w:rsidRPr="00FE50A6">
        <w:rPr>
          <w:rFonts w:cs="Arial"/>
          <w:szCs w:val="20"/>
          <w:lang w:val="en-US"/>
        </w:rPr>
        <w:t xml:space="preserve"> </w:t>
      </w:r>
      <w:r w:rsidR="00576F80" w:rsidRPr="00FE50A6">
        <w:rPr>
          <w:rFonts w:cs="Arial"/>
          <w:szCs w:val="20"/>
          <w:lang w:val="en-US"/>
        </w:rPr>
        <w:t>that</w:t>
      </w:r>
      <w:r w:rsidR="00D81AA1" w:rsidRPr="00FE50A6">
        <w:rPr>
          <w:rFonts w:cs="Arial"/>
          <w:szCs w:val="20"/>
          <w:lang w:val="en-US"/>
        </w:rPr>
        <w:t xml:space="preserve"> </w:t>
      </w:r>
      <w:r w:rsidRPr="00FE50A6">
        <w:rPr>
          <w:rFonts w:cs="Arial"/>
          <w:szCs w:val="20"/>
          <w:lang w:val="en-US"/>
        </w:rPr>
        <w:t>the State</w:t>
      </w:r>
      <w:r w:rsidR="00576F80" w:rsidRPr="00FE50A6">
        <w:rPr>
          <w:rFonts w:cs="Arial"/>
          <w:szCs w:val="20"/>
          <w:lang w:val="en-US"/>
        </w:rPr>
        <w:t xml:space="preserve"> was responsible for</w:t>
      </w:r>
      <w:r w:rsidR="00D81AA1" w:rsidRPr="00FE50A6">
        <w:rPr>
          <w:rFonts w:cs="Arial"/>
          <w:szCs w:val="20"/>
          <w:lang w:val="en-US"/>
        </w:rPr>
        <w:t xml:space="preserve"> </w:t>
      </w:r>
      <w:r w:rsidR="00700B79" w:rsidRPr="00FE50A6">
        <w:rPr>
          <w:rFonts w:cs="Arial"/>
          <w:szCs w:val="20"/>
          <w:lang w:val="en-US"/>
        </w:rPr>
        <w:t>the violation</w:t>
      </w:r>
      <w:r w:rsidR="00D81AA1" w:rsidRPr="00FE50A6">
        <w:rPr>
          <w:rFonts w:cs="Arial"/>
          <w:szCs w:val="20"/>
          <w:lang w:val="en-US"/>
        </w:rPr>
        <w:t xml:space="preserve"> </w:t>
      </w:r>
      <w:r w:rsidR="00703850" w:rsidRPr="00FE50A6">
        <w:rPr>
          <w:rFonts w:cs="Arial"/>
          <w:szCs w:val="20"/>
          <w:lang w:val="en-US"/>
        </w:rPr>
        <w:t>of Article</w:t>
      </w:r>
      <w:r w:rsidR="00D81AA1" w:rsidRPr="00FE50A6">
        <w:rPr>
          <w:rFonts w:cs="Arial"/>
          <w:szCs w:val="20"/>
          <w:lang w:val="en-US"/>
        </w:rPr>
        <w:t xml:space="preserve"> 8</w:t>
      </w:r>
      <w:r w:rsidRPr="00FE50A6">
        <w:rPr>
          <w:rFonts w:cs="Arial"/>
          <w:szCs w:val="20"/>
          <w:lang w:val="en-US"/>
        </w:rPr>
        <w:t xml:space="preserve"> of the Convention</w:t>
      </w:r>
      <w:r w:rsidR="00576F80" w:rsidRPr="00FE50A6">
        <w:rPr>
          <w:rFonts w:cs="Arial"/>
          <w:szCs w:val="20"/>
          <w:lang w:val="en-US"/>
        </w:rPr>
        <w:t xml:space="preserve"> by failing in it duty to prevent and to investigate </w:t>
      </w:r>
      <w:r w:rsidR="005F1946" w:rsidRPr="00FE50A6">
        <w:rPr>
          <w:rFonts w:cs="Arial"/>
          <w:szCs w:val="20"/>
          <w:lang w:val="en-US"/>
        </w:rPr>
        <w:t>slave labor</w:t>
      </w:r>
      <w:r w:rsidR="00576F80" w:rsidRPr="00FE50A6">
        <w:rPr>
          <w:rFonts w:cs="Arial"/>
          <w:szCs w:val="20"/>
          <w:lang w:val="en-US"/>
        </w:rPr>
        <w:t xml:space="preserve"> because, despite being aware of the existence of this situation in </w:t>
      </w:r>
      <w:r w:rsidR="00D81AA1" w:rsidRPr="00FE50A6">
        <w:rPr>
          <w:rFonts w:cs="Arial"/>
          <w:szCs w:val="20"/>
          <w:lang w:val="en-US"/>
        </w:rPr>
        <w:t xml:space="preserve">Hacienda </w:t>
      </w:r>
      <w:r w:rsidR="00322241" w:rsidRPr="00FE50A6">
        <w:rPr>
          <w:rFonts w:cs="Arial"/>
          <w:szCs w:val="20"/>
          <w:lang w:val="en-US"/>
        </w:rPr>
        <w:t>Brasil Verde</w:t>
      </w:r>
      <w:r w:rsidR="00576F80" w:rsidRPr="00FE50A6">
        <w:rPr>
          <w:rFonts w:cs="Arial"/>
          <w:szCs w:val="20"/>
          <w:lang w:val="en-US"/>
        </w:rPr>
        <w:t xml:space="preserve"> since 1988 owing to the reports that had been presented, it was not diligent in determining responsibilities for the facts.</w:t>
      </w:r>
    </w:p>
    <w:p w14:paraId="204B8A04" w14:textId="77777777" w:rsidR="00D81AA1" w:rsidRPr="00FE50A6" w:rsidRDefault="00D81AA1" w:rsidP="00D81AA1">
      <w:pPr>
        <w:pStyle w:val="Prrafodelista"/>
        <w:autoSpaceDE w:val="0"/>
        <w:autoSpaceDN w:val="0"/>
        <w:adjustRightInd w:val="0"/>
        <w:ind w:left="0"/>
        <w:rPr>
          <w:rFonts w:cs="Arial"/>
          <w:szCs w:val="20"/>
          <w:lang w:val="en-US"/>
        </w:rPr>
      </w:pPr>
    </w:p>
    <w:p w14:paraId="0CFA6F62" w14:textId="77777777" w:rsidR="00D81AA1" w:rsidRPr="00FE50A6" w:rsidRDefault="000228D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Commission</w:t>
      </w:r>
      <w:r w:rsidR="00D81AA1" w:rsidRPr="00FE50A6">
        <w:rPr>
          <w:rFonts w:cs="Arial"/>
          <w:szCs w:val="20"/>
          <w:lang w:val="en-US"/>
        </w:rPr>
        <w:t xml:space="preserve"> </w:t>
      </w:r>
      <w:r w:rsidR="00984A55" w:rsidRPr="00FE50A6">
        <w:rPr>
          <w:rFonts w:cs="Arial"/>
          <w:szCs w:val="20"/>
          <w:lang w:val="en-US"/>
        </w:rPr>
        <w:t>indicated</w:t>
      </w:r>
      <w:r w:rsidR="00D81AA1" w:rsidRPr="00FE50A6">
        <w:rPr>
          <w:rFonts w:cs="Arial"/>
          <w:szCs w:val="20"/>
          <w:lang w:val="en-US"/>
        </w:rPr>
        <w:t xml:space="preserve"> </w:t>
      </w:r>
      <w:r w:rsidR="00576F80" w:rsidRPr="00FE50A6">
        <w:rPr>
          <w:rFonts w:cs="Arial"/>
          <w:szCs w:val="20"/>
          <w:lang w:val="en-US"/>
        </w:rPr>
        <w:t xml:space="preserve">that the criminal proceedings </w:t>
      </w:r>
      <w:r w:rsidR="003E0019" w:rsidRPr="00FE50A6">
        <w:rPr>
          <w:rFonts w:cs="Arial"/>
          <w:szCs w:val="20"/>
          <w:lang w:val="en-US"/>
        </w:rPr>
        <w:t xml:space="preserve">that were </w:t>
      </w:r>
      <w:r w:rsidR="00576F80" w:rsidRPr="00FE50A6">
        <w:rPr>
          <w:rFonts w:cs="Arial"/>
          <w:szCs w:val="20"/>
          <w:lang w:val="en-US"/>
        </w:rPr>
        <w:t>opened in June 1997</w:t>
      </w:r>
      <w:r w:rsidR="003E0019" w:rsidRPr="00FE50A6">
        <w:rPr>
          <w:rFonts w:cs="Arial"/>
          <w:szCs w:val="20"/>
          <w:lang w:val="en-US"/>
        </w:rPr>
        <w:t xml:space="preserve"> and concluded in 2008 were characterized by structural facto</w:t>
      </w:r>
      <w:r w:rsidR="005D0370" w:rsidRPr="00FE50A6">
        <w:rPr>
          <w:rFonts w:cs="Arial"/>
          <w:szCs w:val="20"/>
          <w:lang w:val="en-US"/>
        </w:rPr>
        <w:t>r</w:t>
      </w:r>
      <w:r w:rsidR="003E0019" w:rsidRPr="00FE50A6">
        <w:rPr>
          <w:rFonts w:cs="Arial"/>
          <w:szCs w:val="20"/>
          <w:lang w:val="en-US"/>
        </w:rPr>
        <w:t xml:space="preserve">s of impunity; namely: (i) the existence of an unjustified delay </w:t>
      </w:r>
      <w:r w:rsidR="007A20C2" w:rsidRPr="00FE50A6">
        <w:rPr>
          <w:rFonts w:cs="Arial"/>
          <w:szCs w:val="20"/>
          <w:lang w:val="en-US"/>
        </w:rPr>
        <w:t>due to</w:t>
      </w:r>
      <w:r w:rsidR="003E0019" w:rsidRPr="00FE50A6">
        <w:rPr>
          <w:rFonts w:cs="Arial"/>
          <w:szCs w:val="20"/>
          <w:lang w:val="en-US"/>
        </w:rPr>
        <w:t xml:space="preserve"> the conflict of competences between the federal and state </w:t>
      </w:r>
      <w:r w:rsidR="007A20C2" w:rsidRPr="00FE50A6">
        <w:rPr>
          <w:rFonts w:cs="Arial"/>
          <w:szCs w:val="20"/>
          <w:lang w:val="en-US"/>
        </w:rPr>
        <w:t>jurisdictions</w:t>
      </w:r>
      <w:r w:rsidR="003E0019" w:rsidRPr="00FE50A6">
        <w:rPr>
          <w:rFonts w:cs="Arial"/>
          <w:szCs w:val="20"/>
          <w:lang w:val="en-US"/>
        </w:rPr>
        <w:t xml:space="preserve"> </w:t>
      </w:r>
      <w:r w:rsidR="007A20C2" w:rsidRPr="00FE50A6">
        <w:rPr>
          <w:rFonts w:cs="Arial"/>
          <w:szCs w:val="20"/>
          <w:lang w:val="en-US"/>
        </w:rPr>
        <w:t>that</w:t>
      </w:r>
      <w:r w:rsidR="003E0019" w:rsidRPr="00FE50A6">
        <w:rPr>
          <w:rFonts w:cs="Arial"/>
          <w:szCs w:val="20"/>
          <w:lang w:val="en-US"/>
        </w:rPr>
        <w:t xml:space="preserve"> lasted for almost 10 years; (</w:t>
      </w:r>
      <w:r w:rsidR="00D81AA1" w:rsidRPr="00FE50A6">
        <w:rPr>
          <w:rFonts w:cs="Arial"/>
          <w:szCs w:val="20"/>
          <w:lang w:val="en-US"/>
        </w:rPr>
        <w:t xml:space="preserve">ii) </w:t>
      </w:r>
      <w:r w:rsidR="003E0019" w:rsidRPr="00FE50A6">
        <w:rPr>
          <w:rFonts w:cs="Arial"/>
          <w:szCs w:val="20"/>
          <w:lang w:val="en-US"/>
        </w:rPr>
        <w:t>the absence of a real willingness to investigate with</w:t>
      </w:r>
      <w:r w:rsidR="00D81AA1" w:rsidRPr="00FE50A6">
        <w:rPr>
          <w:rFonts w:cs="Arial"/>
          <w:szCs w:val="20"/>
          <w:lang w:val="en-US"/>
        </w:rPr>
        <w:t xml:space="preserve"> </w:t>
      </w:r>
      <w:r w:rsidR="00576F80" w:rsidRPr="00FE50A6">
        <w:rPr>
          <w:rFonts w:cs="Arial"/>
          <w:szCs w:val="20"/>
          <w:lang w:val="en-US"/>
        </w:rPr>
        <w:t>due diligence</w:t>
      </w:r>
      <w:r w:rsidR="00D81AA1" w:rsidRPr="00FE50A6">
        <w:rPr>
          <w:rFonts w:cs="Arial"/>
          <w:szCs w:val="20"/>
          <w:lang w:val="en-US"/>
        </w:rPr>
        <w:t xml:space="preserve">; </w:t>
      </w:r>
      <w:r w:rsidR="003E0019" w:rsidRPr="00FE50A6">
        <w:rPr>
          <w:rFonts w:cs="Arial"/>
          <w:szCs w:val="20"/>
          <w:lang w:val="en-US"/>
        </w:rPr>
        <w:t>(</w:t>
      </w:r>
      <w:r w:rsidR="00D81AA1" w:rsidRPr="00FE50A6">
        <w:rPr>
          <w:rFonts w:cs="Arial"/>
          <w:szCs w:val="20"/>
          <w:lang w:val="en-US"/>
        </w:rPr>
        <w:t xml:space="preserve">iii) </w:t>
      </w:r>
      <w:r w:rsidR="003E0019" w:rsidRPr="00FE50A6">
        <w:rPr>
          <w:rFonts w:cs="Arial"/>
          <w:szCs w:val="20"/>
          <w:lang w:val="en-US"/>
        </w:rPr>
        <w:t xml:space="preserve">the option given to the owner of the hacienda to suspend the proceedings in exchange for him providing a basic basket of commodities to the victims, and (iv) the extinguishment of the possibility of punishment owing to the statute of limitations, even though, pursuant to the Court’s case law, the conducts of </w:t>
      </w:r>
      <w:r w:rsidR="00D11A9F" w:rsidRPr="00FE50A6">
        <w:rPr>
          <w:rFonts w:cs="Arial"/>
          <w:szCs w:val="20"/>
          <w:lang w:val="en-US"/>
        </w:rPr>
        <w:t>slavery</w:t>
      </w:r>
      <w:r w:rsidR="00030C17" w:rsidRPr="00FE50A6">
        <w:rPr>
          <w:rFonts w:cs="Arial"/>
          <w:szCs w:val="20"/>
          <w:lang w:val="en-US"/>
        </w:rPr>
        <w:t xml:space="preserve"> and </w:t>
      </w:r>
      <w:r w:rsidR="005F1946" w:rsidRPr="00FE50A6">
        <w:rPr>
          <w:rFonts w:cs="Arial"/>
          <w:szCs w:val="20"/>
          <w:lang w:val="en-US"/>
        </w:rPr>
        <w:t>forced labor</w:t>
      </w:r>
      <w:r w:rsidR="00D81AA1" w:rsidRPr="00FE50A6">
        <w:rPr>
          <w:rFonts w:cs="Arial"/>
          <w:szCs w:val="20"/>
          <w:lang w:val="en-US"/>
        </w:rPr>
        <w:t xml:space="preserve"> constitu</w:t>
      </w:r>
      <w:r w:rsidR="003E0019" w:rsidRPr="00FE50A6">
        <w:rPr>
          <w:rFonts w:cs="Arial"/>
          <w:szCs w:val="20"/>
          <w:lang w:val="en-US"/>
        </w:rPr>
        <w:t xml:space="preserve">te </w:t>
      </w:r>
      <w:r w:rsidR="007A20C2" w:rsidRPr="00FE50A6">
        <w:rPr>
          <w:rFonts w:cs="Arial"/>
          <w:szCs w:val="20"/>
          <w:lang w:val="en-US"/>
        </w:rPr>
        <w:t>egregious</w:t>
      </w:r>
      <w:r w:rsidR="003E0019" w:rsidRPr="00FE50A6">
        <w:rPr>
          <w:rFonts w:cs="Arial"/>
          <w:szCs w:val="20"/>
          <w:lang w:val="en-US"/>
        </w:rPr>
        <w:t xml:space="preserve"> human rights violations that should not be subject to this mechanism.</w:t>
      </w:r>
    </w:p>
    <w:p w14:paraId="7E8FB15A" w14:textId="77777777" w:rsidR="00D81AA1" w:rsidRPr="00FE50A6" w:rsidRDefault="00D81AA1" w:rsidP="00D81AA1">
      <w:pPr>
        <w:autoSpaceDE w:val="0"/>
        <w:autoSpaceDN w:val="0"/>
        <w:adjustRightInd w:val="0"/>
        <w:rPr>
          <w:rFonts w:cs="Arial"/>
          <w:szCs w:val="20"/>
          <w:lang w:val="en-US"/>
        </w:rPr>
      </w:pPr>
    </w:p>
    <w:p w14:paraId="6993D715" w14:textId="77777777" w:rsidR="00D81AA1" w:rsidRPr="00FE50A6" w:rsidRDefault="005D0370" w:rsidP="005D0370">
      <w:pPr>
        <w:pStyle w:val="Prrafodelista"/>
        <w:numPr>
          <w:ilvl w:val="0"/>
          <w:numId w:val="1"/>
        </w:numPr>
        <w:autoSpaceDE w:val="0"/>
        <w:autoSpaceDN w:val="0"/>
        <w:adjustRightInd w:val="0"/>
        <w:contextualSpacing w:val="0"/>
        <w:rPr>
          <w:rFonts w:cs="Arial"/>
          <w:b/>
          <w:szCs w:val="20"/>
          <w:lang w:val="en-US"/>
        </w:rPr>
      </w:pPr>
      <w:r w:rsidRPr="00FE50A6">
        <w:rPr>
          <w:rFonts w:cs="Arial"/>
          <w:szCs w:val="20"/>
          <w:lang w:val="en-US"/>
        </w:rPr>
        <w:t>The</w:t>
      </w:r>
      <w:r w:rsidR="000228D0" w:rsidRPr="00FE50A6">
        <w:rPr>
          <w:rFonts w:cs="Arial"/>
          <w:szCs w:val="20"/>
          <w:lang w:val="en-US"/>
        </w:rPr>
        <w:t xml:space="preserve"> Commission</w:t>
      </w:r>
      <w:r w:rsidRPr="00FE50A6">
        <w:rPr>
          <w:rFonts w:cs="Arial"/>
          <w:szCs w:val="20"/>
          <w:lang w:val="en-US"/>
        </w:rPr>
        <w:t xml:space="preserve"> also</w:t>
      </w:r>
      <w:r w:rsidR="00D81AA1" w:rsidRPr="00FE50A6">
        <w:rPr>
          <w:rFonts w:cs="Arial"/>
          <w:szCs w:val="20"/>
          <w:lang w:val="en-US"/>
        </w:rPr>
        <w:t xml:space="preserve"> consider</w:t>
      </w:r>
      <w:r w:rsidRPr="00FE50A6">
        <w:rPr>
          <w:rFonts w:cs="Arial"/>
          <w:szCs w:val="20"/>
          <w:lang w:val="en-US"/>
        </w:rPr>
        <w:t>ed that</w:t>
      </w:r>
      <w:r w:rsidR="00D81AA1" w:rsidRPr="00FE50A6">
        <w:rPr>
          <w:rFonts w:cs="Arial"/>
          <w:szCs w:val="20"/>
          <w:lang w:val="en-US"/>
        </w:rPr>
        <w:t xml:space="preserve"> </w:t>
      </w:r>
      <w:r w:rsidR="000228D0" w:rsidRPr="00FE50A6">
        <w:rPr>
          <w:rFonts w:cs="Arial"/>
          <w:szCs w:val="20"/>
          <w:lang w:val="en-US"/>
        </w:rPr>
        <w:t>the State</w:t>
      </w:r>
      <w:r w:rsidR="00D81AA1" w:rsidRPr="00FE50A6">
        <w:rPr>
          <w:rFonts w:cs="Arial"/>
          <w:szCs w:val="20"/>
          <w:lang w:val="en-US"/>
        </w:rPr>
        <w:t xml:space="preserve"> </w:t>
      </w:r>
      <w:r w:rsidRPr="00FE50A6">
        <w:rPr>
          <w:rFonts w:cs="Arial"/>
          <w:szCs w:val="20"/>
          <w:lang w:val="en-US"/>
        </w:rPr>
        <w:t>was responsible for</w:t>
      </w:r>
      <w:r w:rsidR="00D81AA1" w:rsidRPr="00FE50A6">
        <w:rPr>
          <w:rFonts w:cs="Arial"/>
          <w:szCs w:val="20"/>
          <w:lang w:val="en-US"/>
        </w:rPr>
        <w:t xml:space="preserve"> </w:t>
      </w:r>
      <w:r w:rsidR="00700B79" w:rsidRPr="00FE50A6">
        <w:rPr>
          <w:rFonts w:cs="Arial"/>
          <w:szCs w:val="20"/>
          <w:lang w:val="en-US"/>
        </w:rPr>
        <w:t>the violation</w:t>
      </w:r>
      <w:r w:rsidR="00D81AA1" w:rsidRPr="00FE50A6">
        <w:rPr>
          <w:rFonts w:cs="Arial"/>
          <w:szCs w:val="20"/>
          <w:lang w:val="en-US"/>
        </w:rPr>
        <w:t xml:space="preserve"> </w:t>
      </w:r>
      <w:r w:rsidR="00703850" w:rsidRPr="00FE50A6">
        <w:rPr>
          <w:rFonts w:cs="Arial"/>
          <w:szCs w:val="20"/>
          <w:lang w:val="en-US"/>
        </w:rPr>
        <w:t>of Article</w:t>
      </w:r>
      <w:r w:rsidR="00D81AA1" w:rsidRPr="00FE50A6">
        <w:rPr>
          <w:rFonts w:cs="Arial"/>
          <w:szCs w:val="20"/>
          <w:lang w:val="en-US"/>
        </w:rPr>
        <w:t xml:space="preserve"> 25</w:t>
      </w:r>
      <w:r w:rsidR="000228D0" w:rsidRPr="00FE50A6">
        <w:rPr>
          <w:rFonts w:cs="Arial"/>
          <w:szCs w:val="20"/>
          <w:lang w:val="en-US"/>
        </w:rPr>
        <w:t xml:space="preserve"> of the Convention</w:t>
      </w:r>
      <w:r w:rsidRPr="00FE50A6">
        <w:rPr>
          <w:rFonts w:cs="Arial"/>
          <w:szCs w:val="20"/>
          <w:lang w:val="en-US"/>
        </w:rPr>
        <w:t xml:space="preserve"> because, even though it was aware of the existing situation in</w:t>
      </w:r>
      <w:r w:rsidR="00D81AA1" w:rsidRPr="00FE50A6">
        <w:rPr>
          <w:rFonts w:cs="Arial"/>
          <w:szCs w:val="20"/>
          <w:lang w:val="en-US"/>
        </w:rPr>
        <w:t xml:space="preserve"> Hacienda </w:t>
      </w:r>
      <w:r w:rsidR="00322241" w:rsidRPr="00FE50A6">
        <w:rPr>
          <w:rFonts w:cs="Arial"/>
          <w:szCs w:val="20"/>
          <w:lang w:val="en-US"/>
        </w:rPr>
        <w:t>Brasil Verde</w:t>
      </w:r>
      <w:r w:rsidRPr="00FE50A6">
        <w:rPr>
          <w:rFonts w:cs="Arial"/>
          <w:szCs w:val="20"/>
          <w:lang w:val="en-US"/>
        </w:rPr>
        <w:t>, since 1989,</w:t>
      </w:r>
      <w:r w:rsidR="00D81AA1" w:rsidRPr="00FE50A6">
        <w:rPr>
          <w:rFonts w:cs="Arial"/>
          <w:szCs w:val="20"/>
          <w:lang w:val="en-US"/>
        </w:rPr>
        <w:t xml:space="preserve"> </w:t>
      </w:r>
      <w:r w:rsidRPr="00FE50A6">
        <w:rPr>
          <w:rFonts w:cs="Arial"/>
          <w:szCs w:val="20"/>
          <w:lang w:val="en-US"/>
        </w:rPr>
        <w:t xml:space="preserve">the victims did not have effective judicial mechanisms to protect their rights, punish those responsible, and obtain reparation, because a complete and effective investigation was not conducted to </w:t>
      </w:r>
      <w:r w:rsidR="007A20C2" w:rsidRPr="00FE50A6">
        <w:rPr>
          <w:rFonts w:cs="Arial"/>
          <w:szCs w:val="20"/>
          <w:lang w:val="en-US"/>
        </w:rPr>
        <w:t>identify</w:t>
      </w:r>
      <w:r w:rsidRPr="00FE50A6">
        <w:rPr>
          <w:rFonts w:cs="Arial"/>
          <w:szCs w:val="20"/>
          <w:lang w:val="en-US"/>
        </w:rPr>
        <w:t xml:space="preserve"> those responsible for the facts, and an effective judicial remedy</w:t>
      </w:r>
      <w:r w:rsidR="007A20C2" w:rsidRPr="00FE50A6">
        <w:rPr>
          <w:rFonts w:cs="Arial"/>
          <w:szCs w:val="20"/>
          <w:lang w:val="en-US"/>
        </w:rPr>
        <w:t xml:space="preserve"> was not guaranteed</w:t>
      </w:r>
      <w:r w:rsidRPr="00FE50A6">
        <w:rPr>
          <w:rFonts w:cs="Arial"/>
          <w:szCs w:val="20"/>
          <w:lang w:val="en-US"/>
        </w:rPr>
        <w:t xml:space="preserve"> to protect the workers from acts that violated their rights.</w:t>
      </w:r>
      <w:r w:rsidRPr="00FE50A6">
        <w:rPr>
          <w:rFonts w:cs="Arial"/>
          <w:b/>
          <w:szCs w:val="20"/>
          <w:lang w:val="en-US"/>
        </w:rPr>
        <w:t xml:space="preserve"> </w:t>
      </w:r>
      <w:r w:rsidR="000228D0" w:rsidRPr="00FE50A6">
        <w:rPr>
          <w:rFonts w:cs="Arial"/>
          <w:szCs w:val="20"/>
          <w:lang w:val="en-US"/>
        </w:rPr>
        <w:t>The Commission</w:t>
      </w:r>
      <w:r w:rsidR="00D81AA1" w:rsidRPr="00FE50A6">
        <w:rPr>
          <w:rFonts w:cs="Arial"/>
          <w:szCs w:val="20"/>
          <w:lang w:val="en-US"/>
        </w:rPr>
        <w:t xml:space="preserve"> a</w:t>
      </w:r>
      <w:r w:rsidRPr="00FE50A6">
        <w:rPr>
          <w:rFonts w:cs="Arial"/>
          <w:szCs w:val="20"/>
          <w:lang w:val="en-US"/>
        </w:rPr>
        <w:t xml:space="preserve">dded that the situation of impunity that reigned in this case persists to date. </w:t>
      </w:r>
    </w:p>
    <w:p w14:paraId="67AF378A" w14:textId="77777777" w:rsidR="00D81AA1" w:rsidRPr="00FE50A6" w:rsidRDefault="00D81AA1" w:rsidP="00D81AA1">
      <w:pPr>
        <w:pStyle w:val="Prrafodelista"/>
        <w:rPr>
          <w:rFonts w:cs="Arial"/>
          <w:b/>
          <w:szCs w:val="20"/>
          <w:lang w:val="en-US"/>
        </w:rPr>
      </w:pPr>
    </w:p>
    <w:p w14:paraId="47F28D16" w14:textId="77777777" w:rsidR="00D81AA1" w:rsidRPr="00FE50A6" w:rsidRDefault="000228D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Commission</w:t>
      </w:r>
      <w:r w:rsidR="00D81AA1" w:rsidRPr="00FE50A6">
        <w:rPr>
          <w:rFonts w:cs="Arial"/>
          <w:szCs w:val="20"/>
          <w:lang w:val="en-US"/>
        </w:rPr>
        <w:t xml:space="preserve"> </w:t>
      </w:r>
      <w:r w:rsidR="005D0370" w:rsidRPr="00FE50A6">
        <w:rPr>
          <w:rFonts w:cs="Arial"/>
          <w:szCs w:val="20"/>
          <w:lang w:val="en-US"/>
        </w:rPr>
        <w:t>alleged that</w:t>
      </w:r>
      <w:r w:rsidR="00D81AA1" w:rsidRPr="00FE50A6">
        <w:rPr>
          <w:rFonts w:cs="Arial"/>
          <w:szCs w:val="20"/>
          <w:lang w:val="en-US"/>
        </w:rPr>
        <w:t xml:space="preserve"> </w:t>
      </w:r>
      <w:r w:rsidRPr="00FE50A6">
        <w:rPr>
          <w:rFonts w:cs="Arial"/>
          <w:szCs w:val="20"/>
          <w:lang w:val="en-US"/>
        </w:rPr>
        <w:t>the State</w:t>
      </w:r>
      <w:r w:rsidR="00D81AA1" w:rsidRPr="00FE50A6">
        <w:rPr>
          <w:rFonts w:cs="Arial"/>
          <w:szCs w:val="20"/>
          <w:lang w:val="en-US"/>
        </w:rPr>
        <w:t xml:space="preserve"> </w:t>
      </w:r>
      <w:r w:rsidR="005D0370" w:rsidRPr="00FE50A6">
        <w:rPr>
          <w:rFonts w:cs="Arial"/>
          <w:szCs w:val="20"/>
          <w:lang w:val="en-US"/>
        </w:rPr>
        <w:t>had failed to ensure access to justice, determination of the truth of the facts, investigation and punishment of those responsible, and reparation for the consequences of the violations</w:t>
      </w:r>
      <w:r w:rsidR="00D81AA1" w:rsidRPr="00FE50A6">
        <w:rPr>
          <w:rFonts w:cs="Arial"/>
          <w:szCs w:val="20"/>
          <w:lang w:val="en-US"/>
        </w:rPr>
        <w:t>.</w:t>
      </w:r>
    </w:p>
    <w:p w14:paraId="3F1B6AAC" w14:textId="77777777" w:rsidR="00D81AA1" w:rsidRPr="00FE50A6" w:rsidRDefault="00D81AA1" w:rsidP="00D81AA1">
      <w:pPr>
        <w:pStyle w:val="Prrafodelista"/>
        <w:rPr>
          <w:rFonts w:cs="Arial"/>
          <w:szCs w:val="20"/>
          <w:lang w:val="en-US"/>
        </w:rPr>
      </w:pPr>
    </w:p>
    <w:p w14:paraId="19D80E9F" w14:textId="77777777" w:rsidR="005D0370" w:rsidRPr="00FE50A6" w:rsidRDefault="005D037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In addition</w:t>
      </w:r>
      <w:r w:rsidR="00D81AA1" w:rsidRPr="00FE50A6">
        <w:rPr>
          <w:rFonts w:cs="Arial"/>
          <w:szCs w:val="20"/>
          <w:lang w:val="en-US"/>
        </w:rPr>
        <w:t xml:space="preserve">, </w:t>
      </w:r>
      <w:r w:rsidR="000228D0" w:rsidRPr="00FE50A6">
        <w:rPr>
          <w:rFonts w:cs="Arial"/>
          <w:szCs w:val="20"/>
          <w:lang w:val="en-US"/>
        </w:rPr>
        <w:t>the Commission</w:t>
      </w:r>
      <w:r w:rsidR="00FE1C39" w:rsidRPr="00FE50A6">
        <w:rPr>
          <w:rFonts w:cs="Arial"/>
          <w:szCs w:val="20"/>
          <w:lang w:val="en-US"/>
        </w:rPr>
        <w:t xml:space="preserve"> a</w:t>
      </w:r>
      <w:r w:rsidRPr="00FE50A6">
        <w:rPr>
          <w:rFonts w:cs="Arial"/>
          <w:szCs w:val="20"/>
          <w:lang w:val="en-US"/>
        </w:rPr>
        <w:t>rgued that the case provided examples of specific actions in access to justice that fall within the definition of structural discrimination because</w:t>
      </w:r>
      <w:r w:rsidR="007A20C2" w:rsidRPr="00FE50A6">
        <w:rPr>
          <w:rFonts w:cs="Arial"/>
          <w:szCs w:val="20"/>
          <w:lang w:val="en-US"/>
        </w:rPr>
        <w:t>,</w:t>
      </w:r>
      <w:r w:rsidRPr="00FE50A6">
        <w:rPr>
          <w:rFonts w:cs="Arial"/>
          <w:szCs w:val="20"/>
          <w:lang w:val="en-US"/>
        </w:rPr>
        <w:t xml:space="preserve"> not only was there a failure to institute criminal proceedings when labor irregularities were found, but when the labor proceedings were opened, a conciliation agreement was reached with the owner of the hacienda, without taking the victims into consideration and, in this agreement, the authorities underscored that, if the accused engaged in slave labor practices again, he would have to pay a fine for each worker, whether they were “white or black.”</w:t>
      </w:r>
    </w:p>
    <w:p w14:paraId="10B59DD7" w14:textId="77777777" w:rsidR="00D81AA1" w:rsidRPr="00FE50A6" w:rsidRDefault="00D81AA1" w:rsidP="00D81AA1">
      <w:pPr>
        <w:pStyle w:val="Prrafodelista"/>
        <w:rPr>
          <w:rFonts w:cs="Arial"/>
          <w:szCs w:val="20"/>
          <w:lang w:val="en-US"/>
        </w:rPr>
      </w:pPr>
    </w:p>
    <w:p w14:paraId="2274FDCD" w14:textId="77777777" w:rsidR="00D81AA1" w:rsidRPr="00FE50A6" w:rsidRDefault="005D0370" w:rsidP="005D037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Finally</w:t>
      </w:r>
      <w:r w:rsidR="00D81AA1" w:rsidRPr="00FE50A6">
        <w:rPr>
          <w:rFonts w:cs="Arial"/>
          <w:szCs w:val="20"/>
          <w:lang w:val="en-US"/>
        </w:rPr>
        <w:t xml:space="preserve">, </w:t>
      </w:r>
      <w:r w:rsidR="000228D0" w:rsidRPr="00FE50A6">
        <w:rPr>
          <w:rFonts w:cs="Arial"/>
          <w:szCs w:val="20"/>
          <w:lang w:val="en-US"/>
        </w:rPr>
        <w:t>the Commission</w:t>
      </w:r>
      <w:r w:rsidR="00FE1C39" w:rsidRPr="00FE50A6">
        <w:rPr>
          <w:rFonts w:cs="Arial"/>
          <w:szCs w:val="20"/>
          <w:lang w:val="en-US"/>
        </w:rPr>
        <w:t xml:space="preserve"> </w:t>
      </w:r>
      <w:r w:rsidR="00984A55" w:rsidRPr="00FE50A6">
        <w:rPr>
          <w:rFonts w:cs="Arial"/>
          <w:szCs w:val="20"/>
          <w:lang w:val="en-US"/>
        </w:rPr>
        <w:t>indicated</w:t>
      </w:r>
      <w:r w:rsidR="00FE1C39" w:rsidRPr="00FE50A6">
        <w:rPr>
          <w:rFonts w:cs="Arial"/>
          <w:szCs w:val="20"/>
          <w:lang w:val="en-US"/>
        </w:rPr>
        <w:t xml:space="preserve"> </w:t>
      </w:r>
      <w:r w:rsidRPr="00FE50A6">
        <w:rPr>
          <w:rFonts w:cs="Arial"/>
          <w:szCs w:val="20"/>
          <w:lang w:val="en-US"/>
        </w:rPr>
        <w:t xml:space="preserve">that the </w:t>
      </w:r>
      <w:r w:rsidR="007A20C2" w:rsidRPr="00FE50A6">
        <w:rPr>
          <w:rFonts w:cs="Arial"/>
          <w:szCs w:val="20"/>
          <w:lang w:val="en-US"/>
        </w:rPr>
        <w:t>application of the statute of limitations to</w:t>
      </w:r>
      <w:r w:rsidRPr="00FE50A6">
        <w:rPr>
          <w:rFonts w:cs="Arial"/>
          <w:szCs w:val="20"/>
          <w:lang w:val="en-US"/>
        </w:rPr>
        <w:t xml:space="preserve"> the crime of subjection </w:t>
      </w:r>
      <w:r w:rsidR="007A20C2" w:rsidRPr="00FE50A6">
        <w:rPr>
          <w:rFonts w:cs="Arial"/>
          <w:szCs w:val="20"/>
          <w:lang w:val="en-US"/>
        </w:rPr>
        <w:t>to</w:t>
      </w:r>
      <w:r w:rsidRPr="00FE50A6">
        <w:rPr>
          <w:rFonts w:cs="Arial"/>
          <w:szCs w:val="20"/>
          <w:lang w:val="en-US"/>
        </w:rPr>
        <w:t xml:space="preserve"> slave labor was </w:t>
      </w:r>
      <w:r w:rsidR="00FE1C39" w:rsidRPr="00FE50A6">
        <w:rPr>
          <w:rFonts w:cs="Arial"/>
          <w:szCs w:val="20"/>
          <w:lang w:val="en-US"/>
        </w:rPr>
        <w:t xml:space="preserve">incompatible </w:t>
      </w:r>
      <w:r w:rsidRPr="00FE50A6">
        <w:rPr>
          <w:rFonts w:cs="Arial"/>
          <w:szCs w:val="20"/>
          <w:lang w:val="en-US"/>
        </w:rPr>
        <w:t>with the Brazilia</w:t>
      </w:r>
      <w:r w:rsidR="007A20C2" w:rsidRPr="00FE50A6">
        <w:rPr>
          <w:rFonts w:cs="Arial"/>
          <w:szCs w:val="20"/>
          <w:lang w:val="en-US"/>
        </w:rPr>
        <w:t>n</w:t>
      </w:r>
      <w:r w:rsidRPr="00FE50A6">
        <w:rPr>
          <w:rFonts w:cs="Arial"/>
          <w:szCs w:val="20"/>
          <w:lang w:val="en-US"/>
        </w:rPr>
        <w:t xml:space="preserve"> State’s international obligations</w:t>
      </w:r>
      <w:r w:rsidR="007F6E23" w:rsidRPr="00FE50A6">
        <w:rPr>
          <w:rFonts w:cs="Arial"/>
          <w:szCs w:val="20"/>
          <w:lang w:val="en-US"/>
        </w:rPr>
        <w:t>; also,</w:t>
      </w:r>
      <w:r w:rsidRPr="00FE50A6">
        <w:rPr>
          <w:rFonts w:cs="Arial"/>
          <w:szCs w:val="20"/>
          <w:lang w:val="en-US"/>
        </w:rPr>
        <w:t xml:space="preserve"> </w:t>
      </w:r>
      <w:r w:rsidR="007F6E23" w:rsidRPr="00FE50A6">
        <w:rPr>
          <w:rFonts w:cs="Arial"/>
          <w:szCs w:val="20"/>
          <w:lang w:val="en-US"/>
        </w:rPr>
        <w:t xml:space="preserve">that </w:t>
      </w:r>
      <w:r w:rsidRPr="00FE50A6">
        <w:rPr>
          <w:rFonts w:cs="Arial"/>
          <w:szCs w:val="20"/>
          <w:lang w:val="en-US"/>
        </w:rPr>
        <w:t xml:space="preserve">the domestic law that permits the prescription of this crime could not continue </w:t>
      </w:r>
      <w:r w:rsidR="007F6E23" w:rsidRPr="00FE50A6">
        <w:rPr>
          <w:rFonts w:cs="Arial"/>
          <w:szCs w:val="20"/>
          <w:lang w:val="en-US"/>
        </w:rPr>
        <w:t xml:space="preserve">to </w:t>
      </w:r>
      <w:r w:rsidRPr="00FE50A6">
        <w:rPr>
          <w:rFonts w:cs="Arial"/>
          <w:szCs w:val="20"/>
          <w:lang w:val="en-US"/>
        </w:rPr>
        <w:t xml:space="preserve">be an obstacle for the investigation of the facts and the punishment of those responsible. Therefore, the Commission indicated that the State was responsible for </w:t>
      </w:r>
      <w:r w:rsidR="007571DF" w:rsidRPr="00FE50A6">
        <w:rPr>
          <w:rFonts w:cs="Arial"/>
          <w:szCs w:val="20"/>
          <w:lang w:val="en-US"/>
        </w:rPr>
        <w:t xml:space="preserve">the </w:t>
      </w:r>
      <w:r w:rsidR="00700B79" w:rsidRPr="00FE50A6">
        <w:rPr>
          <w:rFonts w:cs="Arial"/>
          <w:szCs w:val="20"/>
          <w:lang w:val="en-US"/>
        </w:rPr>
        <w:t>violation</w:t>
      </w:r>
      <w:r w:rsidR="00FE1C39" w:rsidRPr="00FE50A6">
        <w:rPr>
          <w:rFonts w:cs="Arial"/>
          <w:szCs w:val="20"/>
          <w:lang w:val="en-US"/>
        </w:rPr>
        <w:t xml:space="preserve"> </w:t>
      </w:r>
      <w:r w:rsidRPr="00FE50A6">
        <w:rPr>
          <w:rFonts w:cs="Arial"/>
          <w:szCs w:val="20"/>
          <w:lang w:val="en-US"/>
        </w:rPr>
        <w:t>of</w:t>
      </w:r>
      <w:r w:rsidR="00FE1C39" w:rsidRPr="00FE50A6">
        <w:rPr>
          <w:rFonts w:cs="Arial"/>
          <w:szCs w:val="20"/>
          <w:lang w:val="en-US"/>
        </w:rPr>
        <w:t xml:space="preserve"> </w:t>
      </w:r>
      <w:r w:rsidR="000228D0" w:rsidRPr="00FE50A6">
        <w:rPr>
          <w:rFonts w:cs="Arial"/>
          <w:szCs w:val="20"/>
          <w:lang w:val="en-US"/>
        </w:rPr>
        <w:t>Articles</w:t>
      </w:r>
      <w:r w:rsidR="00FE1C39" w:rsidRPr="00FE50A6">
        <w:rPr>
          <w:rFonts w:cs="Arial"/>
          <w:szCs w:val="20"/>
          <w:lang w:val="en-US"/>
        </w:rPr>
        <w:t xml:space="preserve"> </w:t>
      </w:r>
      <w:r w:rsidR="00703850" w:rsidRPr="00FE50A6">
        <w:rPr>
          <w:rFonts w:cs="Arial"/>
          <w:szCs w:val="20"/>
          <w:lang w:val="en-US"/>
        </w:rPr>
        <w:t>8(1)</w:t>
      </w:r>
      <w:r w:rsidR="00030C17" w:rsidRPr="00FE50A6">
        <w:rPr>
          <w:rFonts w:cs="Arial"/>
          <w:szCs w:val="20"/>
          <w:lang w:val="en-US"/>
        </w:rPr>
        <w:t xml:space="preserve"> and </w:t>
      </w:r>
      <w:r w:rsidR="00703850" w:rsidRPr="00FE50A6">
        <w:rPr>
          <w:rFonts w:cs="Arial"/>
          <w:szCs w:val="20"/>
          <w:lang w:val="en-US"/>
        </w:rPr>
        <w:t>25(1)</w:t>
      </w:r>
      <w:r w:rsidR="00FE1C39" w:rsidRPr="00FE50A6">
        <w:rPr>
          <w:rFonts w:cs="Arial"/>
          <w:szCs w:val="20"/>
          <w:lang w:val="en-US"/>
        </w:rPr>
        <w:t xml:space="preserve">, </w:t>
      </w:r>
      <w:r w:rsidR="000B587F" w:rsidRPr="00FE50A6">
        <w:rPr>
          <w:rFonts w:cs="Arial"/>
          <w:szCs w:val="20"/>
          <w:lang w:val="en-US"/>
        </w:rPr>
        <w:t>in relation to Articles 1(1)</w:t>
      </w:r>
      <w:r w:rsidR="00030C17" w:rsidRPr="00FE50A6">
        <w:rPr>
          <w:rFonts w:cs="Arial"/>
          <w:szCs w:val="20"/>
          <w:lang w:val="en-US"/>
        </w:rPr>
        <w:t xml:space="preserve"> and </w:t>
      </w:r>
      <w:r w:rsidR="00FE1C39" w:rsidRPr="00FE50A6">
        <w:rPr>
          <w:rFonts w:cs="Arial"/>
          <w:szCs w:val="20"/>
          <w:lang w:val="en-US"/>
        </w:rPr>
        <w:t>2</w:t>
      </w:r>
      <w:r w:rsidR="000228D0" w:rsidRPr="00FE50A6">
        <w:rPr>
          <w:rFonts w:cs="Arial"/>
          <w:szCs w:val="20"/>
          <w:lang w:val="en-US"/>
        </w:rPr>
        <w:t xml:space="preserve"> of the American Convention</w:t>
      </w:r>
      <w:r w:rsidR="00FE1C39" w:rsidRPr="00FE50A6">
        <w:rPr>
          <w:rFonts w:cs="Arial"/>
          <w:szCs w:val="20"/>
          <w:lang w:val="en-US"/>
        </w:rPr>
        <w:t xml:space="preserve">. </w:t>
      </w:r>
    </w:p>
    <w:p w14:paraId="7D3959E4" w14:textId="77777777" w:rsidR="00D81AA1" w:rsidRPr="00FE50A6" w:rsidRDefault="00D81AA1" w:rsidP="00D81AA1">
      <w:pPr>
        <w:pStyle w:val="Prrafodelista"/>
        <w:rPr>
          <w:rFonts w:cs="Arial"/>
          <w:szCs w:val="20"/>
          <w:lang w:val="en-US"/>
        </w:rPr>
      </w:pPr>
    </w:p>
    <w:p w14:paraId="1C3A776B" w14:textId="77777777" w:rsidR="00D81AA1" w:rsidRPr="00FE50A6" w:rsidRDefault="00D81AA1"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 </w:t>
      </w:r>
      <w:r w:rsidR="00700B79" w:rsidRPr="00FE50A6">
        <w:rPr>
          <w:rFonts w:cs="Arial"/>
          <w:szCs w:val="20"/>
          <w:lang w:val="en-US"/>
        </w:rPr>
        <w:t xml:space="preserve">The </w:t>
      </w:r>
      <w:r w:rsidR="00700B79" w:rsidRPr="00FE50A6">
        <w:rPr>
          <w:rFonts w:cs="Arial"/>
          <w:b/>
          <w:i/>
          <w:szCs w:val="20"/>
          <w:lang w:val="en-US"/>
        </w:rPr>
        <w:t>representatives</w:t>
      </w:r>
      <w:r w:rsidRPr="00FE50A6">
        <w:rPr>
          <w:rFonts w:cs="Arial"/>
          <w:szCs w:val="20"/>
          <w:lang w:val="en-US"/>
        </w:rPr>
        <w:t xml:space="preserve"> </w:t>
      </w:r>
      <w:r w:rsidR="005D0370" w:rsidRPr="00FE50A6">
        <w:rPr>
          <w:rFonts w:cs="Arial"/>
          <w:szCs w:val="20"/>
          <w:lang w:val="en-US"/>
        </w:rPr>
        <w:t>indicated that</w:t>
      </w:r>
      <w:r w:rsidRPr="00FE50A6">
        <w:rPr>
          <w:rFonts w:cs="Arial"/>
          <w:szCs w:val="20"/>
          <w:lang w:val="en-US"/>
        </w:rPr>
        <w:t xml:space="preserve"> </w:t>
      </w:r>
      <w:r w:rsidR="000228D0" w:rsidRPr="00FE50A6">
        <w:rPr>
          <w:rFonts w:cs="Arial"/>
          <w:szCs w:val="20"/>
          <w:lang w:val="en-US"/>
        </w:rPr>
        <w:t xml:space="preserve">the </w:t>
      </w:r>
      <w:r w:rsidR="005D0370" w:rsidRPr="00FE50A6">
        <w:rPr>
          <w:rFonts w:cs="Arial"/>
          <w:szCs w:val="20"/>
          <w:lang w:val="en-US"/>
        </w:rPr>
        <w:t>Brazilian State</w:t>
      </w:r>
      <w:r w:rsidRPr="00FE50A6">
        <w:rPr>
          <w:rFonts w:cs="Arial"/>
          <w:szCs w:val="20"/>
          <w:lang w:val="en-US"/>
        </w:rPr>
        <w:t xml:space="preserve"> </w:t>
      </w:r>
      <w:r w:rsidR="005D0370" w:rsidRPr="00FE50A6">
        <w:rPr>
          <w:rFonts w:cs="Arial"/>
          <w:szCs w:val="20"/>
          <w:lang w:val="en-US"/>
        </w:rPr>
        <w:t xml:space="preserve">was responsible for </w:t>
      </w:r>
      <w:r w:rsidR="003E5879" w:rsidRPr="00FE50A6">
        <w:rPr>
          <w:rFonts w:cs="Arial"/>
          <w:szCs w:val="20"/>
          <w:lang w:val="en-US"/>
        </w:rPr>
        <w:t>v</w:t>
      </w:r>
      <w:r w:rsidR="005D0370" w:rsidRPr="00FE50A6">
        <w:rPr>
          <w:rFonts w:cs="Arial"/>
          <w:szCs w:val="20"/>
          <w:lang w:val="en-US"/>
        </w:rPr>
        <w:t xml:space="preserve">iolating the right to </w:t>
      </w:r>
      <w:r w:rsidR="00D11A9F" w:rsidRPr="00FE50A6">
        <w:rPr>
          <w:rFonts w:cs="Arial"/>
          <w:szCs w:val="20"/>
          <w:lang w:val="en-US"/>
        </w:rPr>
        <w:t>judicial protection</w:t>
      </w:r>
      <w:r w:rsidRPr="00FE50A6">
        <w:rPr>
          <w:rFonts w:cs="Arial"/>
          <w:szCs w:val="20"/>
          <w:lang w:val="en-US"/>
        </w:rPr>
        <w:t xml:space="preserve"> </w:t>
      </w:r>
      <w:r w:rsidR="005D0370" w:rsidRPr="00FE50A6">
        <w:rPr>
          <w:rFonts w:cs="Arial"/>
          <w:szCs w:val="20"/>
          <w:lang w:val="en-US"/>
        </w:rPr>
        <w:t>established in</w:t>
      </w:r>
      <w:r w:rsidRPr="00FE50A6">
        <w:rPr>
          <w:rFonts w:cs="Arial"/>
          <w:szCs w:val="20"/>
          <w:lang w:val="en-US"/>
        </w:rPr>
        <w:t xml:space="preserve"> </w:t>
      </w:r>
      <w:r w:rsidR="000228D0" w:rsidRPr="00FE50A6">
        <w:rPr>
          <w:rFonts w:cs="Arial"/>
          <w:szCs w:val="20"/>
          <w:lang w:val="en-US"/>
        </w:rPr>
        <w:t>Article</w:t>
      </w:r>
      <w:r w:rsidRPr="00FE50A6">
        <w:rPr>
          <w:rFonts w:cs="Arial"/>
          <w:szCs w:val="20"/>
          <w:lang w:val="en-US"/>
        </w:rPr>
        <w:t xml:space="preserve"> 8</w:t>
      </w:r>
      <w:r w:rsidR="000228D0" w:rsidRPr="00FE50A6">
        <w:rPr>
          <w:rFonts w:cs="Arial"/>
          <w:szCs w:val="20"/>
          <w:lang w:val="en-US"/>
        </w:rPr>
        <w:t xml:space="preserve"> of the Convention</w:t>
      </w:r>
      <w:r w:rsidRPr="00FE50A6">
        <w:rPr>
          <w:rFonts w:cs="Arial"/>
          <w:szCs w:val="20"/>
          <w:lang w:val="en-US"/>
        </w:rPr>
        <w:t xml:space="preserve"> </w:t>
      </w:r>
      <w:r w:rsidR="00703850" w:rsidRPr="00FE50A6">
        <w:rPr>
          <w:rFonts w:cs="Arial"/>
          <w:szCs w:val="20"/>
          <w:lang w:val="en-US"/>
        </w:rPr>
        <w:t>of</w:t>
      </w:r>
      <w:r w:rsidRPr="00FE50A6">
        <w:rPr>
          <w:rFonts w:cs="Arial"/>
          <w:szCs w:val="20"/>
          <w:lang w:val="en-US"/>
        </w:rPr>
        <w:t xml:space="preserve"> </w:t>
      </w:r>
      <w:r w:rsidR="005D0370" w:rsidRPr="00FE50A6">
        <w:rPr>
          <w:rFonts w:cs="Arial"/>
          <w:szCs w:val="20"/>
          <w:lang w:val="en-US"/>
        </w:rPr>
        <w:t>the individuals who worked in</w:t>
      </w:r>
      <w:r w:rsidRPr="00FE50A6">
        <w:rPr>
          <w:rFonts w:cs="Arial"/>
          <w:szCs w:val="20"/>
          <w:lang w:val="en-US"/>
        </w:rPr>
        <w:t xml:space="preserve"> Hacienda </w:t>
      </w:r>
      <w:r w:rsidR="00322241" w:rsidRPr="00FE50A6">
        <w:rPr>
          <w:rFonts w:cs="Arial"/>
          <w:szCs w:val="20"/>
          <w:lang w:val="en-US"/>
        </w:rPr>
        <w:t>Brasil Verde</w:t>
      </w:r>
      <w:r w:rsidR="005D0370" w:rsidRPr="00FE50A6">
        <w:rPr>
          <w:rFonts w:cs="Arial"/>
          <w:szCs w:val="20"/>
          <w:lang w:val="en-US"/>
        </w:rPr>
        <w:t xml:space="preserve"> because, even though it was aware of the existence of acts that constituted reduction to conditions similar to</w:t>
      </w:r>
      <w:r w:rsidRPr="00FE50A6">
        <w:rPr>
          <w:rFonts w:cs="Arial"/>
          <w:szCs w:val="20"/>
          <w:lang w:val="en-US"/>
        </w:rPr>
        <w:t xml:space="preserve"> </w:t>
      </w:r>
      <w:r w:rsidR="00D11A9F" w:rsidRPr="00FE50A6">
        <w:rPr>
          <w:rFonts w:cs="Arial"/>
          <w:szCs w:val="20"/>
          <w:lang w:val="en-US"/>
        </w:rPr>
        <w:t>slavery</w:t>
      </w:r>
      <w:r w:rsidRPr="00FE50A6">
        <w:rPr>
          <w:rFonts w:cs="Arial"/>
          <w:szCs w:val="20"/>
          <w:lang w:val="en-US"/>
        </w:rPr>
        <w:t xml:space="preserve">, </w:t>
      </w:r>
      <w:r w:rsidR="005D0370" w:rsidRPr="00FE50A6">
        <w:rPr>
          <w:rFonts w:cs="Arial"/>
          <w:szCs w:val="20"/>
          <w:lang w:val="en-US"/>
        </w:rPr>
        <w:t>it failed in its obligation to investigate the</w:t>
      </w:r>
      <w:r w:rsidR="003E5879" w:rsidRPr="00FE50A6">
        <w:rPr>
          <w:rFonts w:cs="Arial"/>
          <w:szCs w:val="20"/>
          <w:lang w:val="en-US"/>
        </w:rPr>
        <w:t>se</w:t>
      </w:r>
      <w:r w:rsidR="005D0370" w:rsidRPr="00FE50A6">
        <w:rPr>
          <w:rFonts w:cs="Arial"/>
          <w:szCs w:val="20"/>
          <w:lang w:val="en-US"/>
        </w:rPr>
        <w:t xml:space="preserve"> acts within a reasonable time. They also argue</w:t>
      </w:r>
      <w:r w:rsidR="003E5879" w:rsidRPr="00FE50A6">
        <w:rPr>
          <w:rFonts w:cs="Arial"/>
          <w:szCs w:val="20"/>
          <w:lang w:val="en-US"/>
        </w:rPr>
        <w:t>d</w:t>
      </w:r>
      <w:r w:rsidR="005D0370" w:rsidRPr="00FE50A6">
        <w:rPr>
          <w:rFonts w:cs="Arial"/>
          <w:szCs w:val="20"/>
          <w:lang w:val="en-US"/>
        </w:rPr>
        <w:t xml:space="preserve"> that the State had not acted with the urgency that the case warranted to remove the victims from the</w:t>
      </w:r>
      <w:r w:rsidR="003E5879" w:rsidRPr="00FE50A6">
        <w:rPr>
          <w:rFonts w:cs="Arial"/>
          <w:szCs w:val="20"/>
          <w:lang w:val="en-US"/>
        </w:rPr>
        <w:t xml:space="preserve"> </w:t>
      </w:r>
      <w:r w:rsidR="005D0370" w:rsidRPr="00FE50A6">
        <w:rPr>
          <w:rFonts w:cs="Arial"/>
          <w:szCs w:val="20"/>
          <w:lang w:val="en-US"/>
        </w:rPr>
        <w:t xml:space="preserve">situation </w:t>
      </w:r>
      <w:r w:rsidR="003E5879" w:rsidRPr="00FE50A6">
        <w:rPr>
          <w:rFonts w:cs="Arial"/>
          <w:szCs w:val="20"/>
          <w:lang w:val="en-US"/>
        </w:rPr>
        <w:t>that violated their rights.</w:t>
      </w:r>
    </w:p>
    <w:p w14:paraId="0A03F374" w14:textId="77777777" w:rsidR="00D81AA1" w:rsidRPr="00FE50A6" w:rsidRDefault="00D81AA1" w:rsidP="00D81AA1">
      <w:pPr>
        <w:jc w:val="both"/>
        <w:rPr>
          <w:rFonts w:cs="Arial"/>
          <w:szCs w:val="20"/>
          <w:lang w:val="en-US"/>
        </w:rPr>
      </w:pPr>
    </w:p>
    <w:p w14:paraId="549F69BA" w14:textId="77777777" w:rsidR="00D81AA1" w:rsidRPr="00FE50A6" w:rsidRDefault="003E5879" w:rsidP="005D0370">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w:t>
      </w:r>
      <w:r w:rsidR="005D0370" w:rsidRPr="00FE50A6">
        <w:rPr>
          <w:rFonts w:cs="Arial"/>
          <w:szCs w:val="20"/>
          <w:lang w:val="en-US"/>
        </w:rPr>
        <w:t>he</w:t>
      </w:r>
      <w:r w:rsidR="00700B79" w:rsidRPr="00FE50A6">
        <w:rPr>
          <w:rFonts w:cs="Arial"/>
          <w:szCs w:val="20"/>
          <w:lang w:val="en-US"/>
        </w:rPr>
        <w:t xml:space="preserve"> representatives</w:t>
      </w:r>
      <w:r w:rsidR="00D81AA1" w:rsidRPr="00FE50A6">
        <w:rPr>
          <w:rFonts w:cs="Arial"/>
          <w:szCs w:val="20"/>
          <w:lang w:val="en-US"/>
        </w:rPr>
        <w:t xml:space="preserve"> </w:t>
      </w:r>
      <w:r w:rsidRPr="00FE50A6">
        <w:rPr>
          <w:rFonts w:cs="Arial"/>
          <w:szCs w:val="20"/>
          <w:lang w:val="en-US"/>
        </w:rPr>
        <w:t xml:space="preserve">also </w:t>
      </w:r>
      <w:r w:rsidR="005D0370" w:rsidRPr="00FE50A6">
        <w:rPr>
          <w:rFonts w:cs="Arial"/>
          <w:szCs w:val="20"/>
          <w:lang w:val="en-US"/>
        </w:rPr>
        <w:t xml:space="preserve">emphasized that, although 18 years had passed, absolute impunity existed with regard to the alleged facts, because the State had failed to comply with its obligation to investigate egregious human rights violations within a reasonable time. Therefore, it was internationally responsible for the “continuing violation” of the </w:t>
      </w:r>
      <w:r w:rsidR="00D11A9F" w:rsidRPr="00FE50A6">
        <w:rPr>
          <w:rFonts w:cs="Arial"/>
          <w:szCs w:val="20"/>
          <w:lang w:val="en-US"/>
        </w:rPr>
        <w:t>judicial guarantees</w:t>
      </w:r>
      <w:r w:rsidR="00D81AA1" w:rsidRPr="00FE50A6">
        <w:rPr>
          <w:rFonts w:cs="Arial"/>
          <w:szCs w:val="20"/>
          <w:lang w:val="en-US"/>
        </w:rPr>
        <w:t xml:space="preserve"> </w:t>
      </w:r>
      <w:r w:rsidR="005D0370" w:rsidRPr="00FE50A6">
        <w:rPr>
          <w:rFonts w:cs="Arial"/>
          <w:szCs w:val="20"/>
          <w:lang w:val="en-US"/>
        </w:rPr>
        <w:t>protected by</w:t>
      </w:r>
      <w:r w:rsidR="00D81AA1" w:rsidRPr="00FE50A6">
        <w:rPr>
          <w:rFonts w:cs="Arial"/>
          <w:szCs w:val="20"/>
          <w:lang w:val="en-US"/>
        </w:rPr>
        <w:t xml:space="preserve"> </w:t>
      </w:r>
      <w:r w:rsidR="000228D0" w:rsidRPr="00FE50A6">
        <w:rPr>
          <w:rFonts w:cs="Arial"/>
          <w:szCs w:val="20"/>
          <w:lang w:val="en-US"/>
        </w:rPr>
        <w:t>Article</w:t>
      </w:r>
      <w:r w:rsidR="00D81AA1" w:rsidRPr="00FE50A6">
        <w:rPr>
          <w:rFonts w:cs="Arial"/>
          <w:szCs w:val="20"/>
          <w:lang w:val="en-US"/>
        </w:rPr>
        <w:t xml:space="preserve"> 8</w:t>
      </w:r>
      <w:r w:rsidR="000228D0" w:rsidRPr="00FE50A6">
        <w:rPr>
          <w:rFonts w:cs="Arial"/>
          <w:szCs w:val="20"/>
          <w:lang w:val="en-US"/>
        </w:rPr>
        <w:t xml:space="preserve"> of the Convention</w:t>
      </w:r>
      <w:r w:rsidR="00D81AA1" w:rsidRPr="00FE50A6">
        <w:rPr>
          <w:rFonts w:cs="Arial"/>
          <w:szCs w:val="20"/>
          <w:lang w:val="en-US"/>
        </w:rPr>
        <w:t xml:space="preserve">, </w:t>
      </w:r>
      <w:r w:rsidR="00703850" w:rsidRPr="00FE50A6">
        <w:rPr>
          <w:rFonts w:cs="Arial"/>
          <w:szCs w:val="20"/>
          <w:lang w:val="en-US"/>
        </w:rPr>
        <w:t>to the detriment of</w:t>
      </w:r>
      <w:r w:rsidR="00D81AA1" w:rsidRPr="00FE50A6">
        <w:rPr>
          <w:rFonts w:cs="Arial"/>
          <w:szCs w:val="20"/>
          <w:lang w:val="en-US"/>
        </w:rPr>
        <w:t xml:space="preserve"> </w:t>
      </w:r>
      <w:r w:rsidR="005D0370" w:rsidRPr="00FE50A6">
        <w:rPr>
          <w:rFonts w:cs="Arial"/>
          <w:szCs w:val="20"/>
          <w:lang w:val="en-US"/>
        </w:rPr>
        <w:t xml:space="preserve">the individuals who were working in </w:t>
      </w:r>
      <w:r w:rsidR="00D81AA1" w:rsidRPr="00FE50A6">
        <w:rPr>
          <w:rFonts w:cs="Arial"/>
          <w:szCs w:val="20"/>
          <w:lang w:val="en-US"/>
        </w:rPr>
        <w:t xml:space="preserve">Hacienda </w:t>
      </w:r>
      <w:r w:rsidR="00322241" w:rsidRPr="00FE50A6">
        <w:rPr>
          <w:rFonts w:cs="Arial"/>
          <w:szCs w:val="20"/>
          <w:lang w:val="en-US"/>
        </w:rPr>
        <w:t>Brasil Verde</w:t>
      </w:r>
      <w:r w:rsidR="00AD4C88" w:rsidRPr="00FE50A6">
        <w:rPr>
          <w:rFonts w:cs="Arial"/>
          <w:szCs w:val="20"/>
          <w:lang w:val="en-US"/>
        </w:rPr>
        <w:t xml:space="preserve"> </w:t>
      </w:r>
      <w:r w:rsidR="005D0370" w:rsidRPr="00FE50A6">
        <w:rPr>
          <w:rFonts w:cs="Arial"/>
          <w:szCs w:val="20"/>
          <w:lang w:val="en-US"/>
        </w:rPr>
        <w:t>prior to</w:t>
      </w:r>
      <w:r w:rsidR="00AD4C88" w:rsidRPr="00FE50A6">
        <w:rPr>
          <w:rFonts w:cs="Arial"/>
          <w:szCs w:val="20"/>
          <w:lang w:val="en-US"/>
        </w:rPr>
        <w:t xml:space="preserve"> </w:t>
      </w:r>
      <w:r w:rsidR="00700B79" w:rsidRPr="00FE50A6">
        <w:rPr>
          <w:rFonts w:cs="Arial"/>
          <w:szCs w:val="20"/>
          <w:lang w:val="en-US"/>
        </w:rPr>
        <w:t>December 10,</w:t>
      </w:r>
      <w:r w:rsidR="00AD4C88" w:rsidRPr="00FE50A6">
        <w:rPr>
          <w:rFonts w:cs="Arial"/>
          <w:szCs w:val="20"/>
          <w:lang w:val="en-US"/>
        </w:rPr>
        <w:t xml:space="preserve"> 1998</w:t>
      </w:r>
      <w:r w:rsidR="00D81AA1" w:rsidRPr="00FE50A6">
        <w:rPr>
          <w:rFonts w:cs="Arial"/>
          <w:szCs w:val="20"/>
          <w:lang w:val="en-US"/>
        </w:rPr>
        <w:t xml:space="preserve">. </w:t>
      </w:r>
      <w:r w:rsidR="005D0370" w:rsidRPr="00FE50A6">
        <w:rPr>
          <w:rFonts w:cs="Arial"/>
          <w:szCs w:val="20"/>
          <w:lang w:val="en-US"/>
        </w:rPr>
        <w:t>Lastly</w:t>
      </w:r>
      <w:r w:rsidR="00D81AA1" w:rsidRPr="00FE50A6">
        <w:rPr>
          <w:rFonts w:cs="Arial"/>
          <w:szCs w:val="20"/>
          <w:lang w:val="en-US"/>
        </w:rPr>
        <w:t xml:space="preserve">, </w:t>
      </w:r>
      <w:r w:rsidR="00700B79" w:rsidRPr="00FE50A6">
        <w:rPr>
          <w:rFonts w:cs="Arial"/>
          <w:szCs w:val="20"/>
          <w:lang w:val="en-US"/>
        </w:rPr>
        <w:t>the representatives</w:t>
      </w:r>
      <w:r w:rsidR="00D81AA1" w:rsidRPr="00FE50A6">
        <w:rPr>
          <w:rFonts w:cs="Arial"/>
          <w:szCs w:val="20"/>
          <w:lang w:val="en-US"/>
        </w:rPr>
        <w:t xml:space="preserve"> </w:t>
      </w:r>
      <w:r w:rsidR="005D0370" w:rsidRPr="00FE50A6">
        <w:rPr>
          <w:rFonts w:cs="Arial"/>
          <w:szCs w:val="20"/>
          <w:lang w:val="en-US"/>
        </w:rPr>
        <w:t>indicated that</w:t>
      </w:r>
      <w:r w:rsidR="00D81AA1" w:rsidRPr="00FE50A6">
        <w:rPr>
          <w:rFonts w:cs="Arial"/>
          <w:szCs w:val="20"/>
          <w:lang w:val="en-US"/>
        </w:rPr>
        <w:t xml:space="preserve"> </w:t>
      </w:r>
      <w:r w:rsidR="000228D0" w:rsidRPr="00FE50A6">
        <w:rPr>
          <w:rFonts w:cs="Arial"/>
          <w:szCs w:val="20"/>
          <w:lang w:val="en-US"/>
        </w:rPr>
        <w:t>the State</w:t>
      </w:r>
      <w:r w:rsidR="00D81AA1" w:rsidRPr="00FE50A6">
        <w:rPr>
          <w:rFonts w:cs="Arial"/>
          <w:szCs w:val="20"/>
          <w:lang w:val="en-US"/>
        </w:rPr>
        <w:t xml:space="preserve"> </w:t>
      </w:r>
      <w:r w:rsidR="005D0370" w:rsidRPr="00FE50A6">
        <w:rPr>
          <w:rFonts w:cs="Arial"/>
          <w:szCs w:val="20"/>
          <w:lang w:val="en-US"/>
        </w:rPr>
        <w:t xml:space="preserve">had not complied with the requirement </w:t>
      </w:r>
      <w:r w:rsidRPr="00FE50A6">
        <w:rPr>
          <w:rFonts w:cs="Arial"/>
          <w:szCs w:val="20"/>
          <w:lang w:val="en-US"/>
        </w:rPr>
        <w:t xml:space="preserve">to conduct an exhaustive investigation </w:t>
      </w:r>
      <w:r w:rsidRPr="00FE50A6">
        <w:rPr>
          <w:rFonts w:cs="Arial"/>
          <w:i/>
          <w:szCs w:val="20"/>
          <w:lang w:val="en-US"/>
        </w:rPr>
        <w:t>ex officio</w:t>
      </w:r>
      <w:r w:rsidRPr="00FE50A6">
        <w:rPr>
          <w:rFonts w:cs="Arial"/>
          <w:szCs w:val="20"/>
          <w:lang w:val="en-US"/>
        </w:rPr>
        <w:t xml:space="preserve"> or</w:t>
      </w:r>
      <w:r w:rsidR="00DB5112" w:rsidRPr="00FE50A6">
        <w:rPr>
          <w:rFonts w:cs="Arial"/>
          <w:szCs w:val="20"/>
          <w:lang w:val="en-US"/>
        </w:rPr>
        <w:t xml:space="preserve"> the guarantee of</w:t>
      </w:r>
      <w:r w:rsidR="00D81AA1" w:rsidRPr="00FE50A6">
        <w:rPr>
          <w:rFonts w:cs="Arial"/>
          <w:szCs w:val="20"/>
          <w:lang w:val="en-US"/>
        </w:rPr>
        <w:t xml:space="preserve"> </w:t>
      </w:r>
      <w:r w:rsidR="00576F80" w:rsidRPr="00FE50A6">
        <w:rPr>
          <w:rFonts w:cs="Arial"/>
          <w:szCs w:val="20"/>
          <w:lang w:val="en-US"/>
        </w:rPr>
        <w:t>due diligence</w:t>
      </w:r>
      <w:r w:rsidR="00D81AA1" w:rsidRPr="00FE50A6">
        <w:rPr>
          <w:rFonts w:cs="Arial"/>
          <w:szCs w:val="20"/>
          <w:lang w:val="en-US"/>
        </w:rPr>
        <w:t>.</w:t>
      </w:r>
    </w:p>
    <w:p w14:paraId="02A7F471" w14:textId="77777777" w:rsidR="00D81AA1" w:rsidRPr="00FE50A6" w:rsidRDefault="00D81AA1" w:rsidP="00D81AA1">
      <w:pPr>
        <w:autoSpaceDE w:val="0"/>
        <w:autoSpaceDN w:val="0"/>
        <w:adjustRightInd w:val="0"/>
        <w:rPr>
          <w:rFonts w:cs="Arial"/>
          <w:szCs w:val="20"/>
          <w:lang w:val="en-US"/>
        </w:rPr>
      </w:pPr>
    </w:p>
    <w:p w14:paraId="00594DCC" w14:textId="77777777" w:rsidR="00D81AA1" w:rsidRPr="00FE50A6" w:rsidRDefault="003E5879"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In addition, t</w:t>
      </w:r>
      <w:r w:rsidR="00700B79" w:rsidRPr="00FE50A6">
        <w:rPr>
          <w:rFonts w:cs="Arial"/>
          <w:szCs w:val="20"/>
          <w:lang w:val="en-US"/>
        </w:rPr>
        <w:t>he representatives</w:t>
      </w:r>
      <w:r w:rsidR="00D81AA1" w:rsidRPr="00FE50A6">
        <w:rPr>
          <w:rFonts w:cs="Arial"/>
          <w:szCs w:val="20"/>
          <w:lang w:val="en-US"/>
        </w:rPr>
        <w:t xml:space="preserve"> </w:t>
      </w:r>
      <w:r w:rsidR="00DB5112" w:rsidRPr="00FE50A6">
        <w:rPr>
          <w:rFonts w:cs="Arial"/>
          <w:szCs w:val="20"/>
          <w:lang w:val="en-US"/>
        </w:rPr>
        <w:t xml:space="preserve">indicated that </w:t>
      </w:r>
      <w:r w:rsidR="000228D0" w:rsidRPr="00FE50A6">
        <w:rPr>
          <w:rFonts w:cs="Arial"/>
          <w:szCs w:val="20"/>
          <w:lang w:val="en-US"/>
        </w:rPr>
        <w:t xml:space="preserve">the </w:t>
      </w:r>
      <w:r w:rsidR="005D0370" w:rsidRPr="00FE50A6">
        <w:rPr>
          <w:rFonts w:cs="Arial"/>
          <w:szCs w:val="20"/>
          <w:lang w:val="en-US"/>
        </w:rPr>
        <w:t>Brazilian State</w:t>
      </w:r>
      <w:r w:rsidR="00D81AA1" w:rsidRPr="00FE50A6">
        <w:rPr>
          <w:rFonts w:cs="Arial"/>
          <w:szCs w:val="20"/>
          <w:lang w:val="en-US"/>
        </w:rPr>
        <w:t xml:space="preserve"> </w:t>
      </w:r>
      <w:r w:rsidR="00DB5112" w:rsidRPr="00FE50A6">
        <w:rPr>
          <w:rFonts w:cs="Arial"/>
          <w:szCs w:val="20"/>
          <w:lang w:val="en-US"/>
        </w:rPr>
        <w:t xml:space="preserve">was responsible for violating the </w:t>
      </w:r>
      <w:r w:rsidR="00D11A9F" w:rsidRPr="00FE50A6">
        <w:rPr>
          <w:rFonts w:cs="Arial"/>
          <w:szCs w:val="20"/>
          <w:lang w:val="en-US"/>
        </w:rPr>
        <w:t>judicial guarantees</w:t>
      </w:r>
      <w:r w:rsidR="00D81AA1" w:rsidRPr="00FE50A6">
        <w:rPr>
          <w:rFonts w:cs="Arial"/>
          <w:szCs w:val="20"/>
          <w:lang w:val="en-US"/>
        </w:rPr>
        <w:t xml:space="preserve"> </w:t>
      </w:r>
      <w:r w:rsidR="00DB5112" w:rsidRPr="00FE50A6">
        <w:rPr>
          <w:rFonts w:cs="Arial"/>
          <w:szCs w:val="20"/>
          <w:lang w:val="en-US"/>
        </w:rPr>
        <w:t>established in</w:t>
      </w:r>
      <w:r w:rsidR="00D81AA1" w:rsidRPr="00FE50A6">
        <w:rPr>
          <w:rFonts w:cs="Arial"/>
          <w:szCs w:val="20"/>
          <w:lang w:val="en-US"/>
        </w:rPr>
        <w:t xml:space="preserve"> </w:t>
      </w:r>
      <w:r w:rsidR="000228D0" w:rsidRPr="00FE50A6">
        <w:rPr>
          <w:rFonts w:cs="Arial"/>
          <w:szCs w:val="20"/>
          <w:lang w:val="en-US"/>
        </w:rPr>
        <w:t>Article</w:t>
      </w:r>
      <w:r w:rsidR="00D81AA1" w:rsidRPr="00FE50A6">
        <w:rPr>
          <w:rFonts w:cs="Arial"/>
          <w:szCs w:val="20"/>
          <w:lang w:val="en-US"/>
        </w:rPr>
        <w:t xml:space="preserve"> 25</w:t>
      </w:r>
      <w:r w:rsidR="000228D0" w:rsidRPr="00FE50A6">
        <w:rPr>
          <w:rFonts w:cs="Arial"/>
          <w:szCs w:val="20"/>
          <w:lang w:val="en-US"/>
        </w:rPr>
        <w:t xml:space="preserve"> of the Convention</w:t>
      </w:r>
      <w:r w:rsidR="00D81AA1" w:rsidRPr="00FE50A6">
        <w:rPr>
          <w:rFonts w:cs="Arial"/>
          <w:szCs w:val="20"/>
          <w:lang w:val="en-US"/>
        </w:rPr>
        <w:t xml:space="preserve">, </w:t>
      </w:r>
      <w:r w:rsidR="00703850" w:rsidRPr="00FE50A6">
        <w:rPr>
          <w:rFonts w:cs="Arial"/>
          <w:szCs w:val="20"/>
          <w:lang w:val="en-US"/>
        </w:rPr>
        <w:t>to the detriment of</w:t>
      </w:r>
      <w:r w:rsidR="00D81AA1" w:rsidRPr="00FE50A6">
        <w:rPr>
          <w:rFonts w:cs="Arial"/>
          <w:szCs w:val="20"/>
          <w:lang w:val="en-US"/>
        </w:rPr>
        <w:t xml:space="preserve"> </w:t>
      </w:r>
      <w:r w:rsidR="00DB5112" w:rsidRPr="00FE50A6">
        <w:rPr>
          <w:rFonts w:cs="Arial"/>
          <w:szCs w:val="20"/>
          <w:lang w:val="en-US"/>
        </w:rPr>
        <w:t>the individuals who were working in</w:t>
      </w:r>
      <w:r w:rsidR="00D81AA1" w:rsidRPr="00FE50A6">
        <w:rPr>
          <w:rFonts w:cs="Arial"/>
          <w:szCs w:val="20"/>
          <w:lang w:val="en-US"/>
        </w:rPr>
        <w:t xml:space="preserve"> Hacienda </w:t>
      </w:r>
      <w:r w:rsidR="00322241" w:rsidRPr="00FE50A6">
        <w:rPr>
          <w:rFonts w:cs="Arial"/>
          <w:szCs w:val="20"/>
          <w:lang w:val="en-US"/>
        </w:rPr>
        <w:t>Brasil Verde</w:t>
      </w:r>
      <w:r w:rsidR="00D81AA1" w:rsidRPr="00FE50A6">
        <w:rPr>
          <w:rFonts w:cs="Arial"/>
          <w:szCs w:val="20"/>
          <w:lang w:val="en-US"/>
        </w:rPr>
        <w:t xml:space="preserve">, </w:t>
      </w:r>
      <w:r w:rsidR="00DB5112" w:rsidRPr="00FE50A6">
        <w:rPr>
          <w:rFonts w:cs="Arial"/>
          <w:szCs w:val="20"/>
          <w:lang w:val="en-US"/>
        </w:rPr>
        <w:t>by failing to comply with its duty to investigate the acts diligently</w:t>
      </w:r>
      <w:r w:rsidR="00030C17" w:rsidRPr="00FE50A6">
        <w:rPr>
          <w:rFonts w:cs="Arial"/>
          <w:szCs w:val="20"/>
          <w:lang w:val="en-US"/>
        </w:rPr>
        <w:t xml:space="preserve"> and </w:t>
      </w:r>
      <w:r w:rsidR="00D81AA1" w:rsidRPr="00FE50A6">
        <w:rPr>
          <w:rFonts w:cs="Arial"/>
          <w:szCs w:val="20"/>
          <w:lang w:val="en-US"/>
        </w:rPr>
        <w:t>exhaustiv</w:t>
      </w:r>
      <w:r w:rsidR="00DB5112" w:rsidRPr="00FE50A6">
        <w:rPr>
          <w:rFonts w:cs="Arial"/>
          <w:szCs w:val="20"/>
          <w:lang w:val="en-US"/>
        </w:rPr>
        <w:t xml:space="preserve">ely. Moreover, they indicated that the victims had not received any protection </w:t>
      </w:r>
      <w:r w:rsidR="002B3624" w:rsidRPr="00FE50A6">
        <w:rPr>
          <w:rFonts w:cs="Arial"/>
          <w:szCs w:val="20"/>
          <w:lang w:val="en-US"/>
        </w:rPr>
        <w:t>for</w:t>
      </w:r>
      <w:r w:rsidR="00DB5112" w:rsidRPr="00FE50A6">
        <w:rPr>
          <w:rFonts w:cs="Arial"/>
          <w:szCs w:val="20"/>
          <w:lang w:val="en-US"/>
        </w:rPr>
        <w:t xml:space="preserve"> the</w:t>
      </w:r>
      <w:r w:rsidR="002B3624" w:rsidRPr="00FE50A6">
        <w:rPr>
          <w:rFonts w:cs="Arial"/>
          <w:szCs w:val="20"/>
          <w:lang w:val="en-US"/>
        </w:rPr>
        <w:t>ir</w:t>
      </w:r>
      <w:r w:rsidR="00DB5112" w:rsidRPr="00FE50A6">
        <w:rPr>
          <w:rFonts w:cs="Arial"/>
          <w:szCs w:val="20"/>
          <w:lang w:val="en-US"/>
        </w:rPr>
        <w:t xml:space="preserve"> physical safety, and the authorities did not provide them with any counseling on comprehensive assistance.  </w:t>
      </w:r>
      <w:r w:rsidR="00700B79" w:rsidRPr="00FE50A6">
        <w:rPr>
          <w:rFonts w:cs="Arial"/>
          <w:szCs w:val="20"/>
          <w:lang w:val="en-US"/>
        </w:rPr>
        <w:t>The representatives</w:t>
      </w:r>
      <w:r w:rsidR="00C14F62" w:rsidRPr="00FE50A6">
        <w:rPr>
          <w:rFonts w:cs="Arial"/>
          <w:szCs w:val="20"/>
          <w:lang w:val="en-US"/>
        </w:rPr>
        <w:t xml:space="preserve"> </w:t>
      </w:r>
      <w:r w:rsidR="00DB5112" w:rsidRPr="00FE50A6">
        <w:rPr>
          <w:rFonts w:cs="Arial"/>
          <w:szCs w:val="20"/>
          <w:lang w:val="en-US"/>
        </w:rPr>
        <w:t>indicated that the victims had not participated in the proceedings, and thus had been unable to assert their rights.</w:t>
      </w:r>
    </w:p>
    <w:p w14:paraId="7D0A4E2B" w14:textId="77777777" w:rsidR="00D81AA1" w:rsidRPr="00FE50A6" w:rsidRDefault="00D81AA1" w:rsidP="00D81AA1">
      <w:pPr>
        <w:pStyle w:val="Prrafodelista"/>
        <w:rPr>
          <w:rFonts w:cs="Arial"/>
          <w:szCs w:val="20"/>
          <w:lang w:val="en-US"/>
        </w:rPr>
      </w:pPr>
    </w:p>
    <w:p w14:paraId="0F65CE44" w14:textId="77777777" w:rsidR="00D81AA1" w:rsidRPr="00FE50A6" w:rsidRDefault="00DB5112"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In addition</w:t>
      </w:r>
      <w:r w:rsidR="00D81AA1" w:rsidRPr="00FE50A6">
        <w:rPr>
          <w:rFonts w:cs="Arial"/>
          <w:szCs w:val="20"/>
          <w:lang w:val="en-US"/>
        </w:rPr>
        <w:t xml:space="preserve">, </w:t>
      </w:r>
      <w:r w:rsidR="00700B79" w:rsidRPr="00FE50A6">
        <w:rPr>
          <w:rFonts w:cs="Arial"/>
          <w:szCs w:val="20"/>
          <w:lang w:val="en-US"/>
        </w:rPr>
        <w:t>the representatives</w:t>
      </w:r>
      <w:r w:rsidR="00D81AA1" w:rsidRPr="00FE50A6">
        <w:rPr>
          <w:rFonts w:cs="Arial"/>
          <w:szCs w:val="20"/>
          <w:lang w:val="en-US"/>
        </w:rPr>
        <w:t xml:space="preserve"> a</w:t>
      </w:r>
      <w:r w:rsidRPr="00FE50A6">
        <w:rPr>
          <w:rFonts w:cs="Arial"/>
          <w:szCs w:val="20"/>
          <w:lang w:val="en-US"/>
        </w:rPr>
        <w:t>rgued that the</w:t>
      </w:r>
      <w:r w:rsidR="00D81AA1" w:rsidRPr="00FE50A6">
        <w:rPr>
          <w:rFonts w:cs="Arial"/>
          <w:szCs w:val="20"/>
          <w:lang w:val="en-US"/>
        </w:rPr>
        <w:t xml:space="preserve"> </w:t>
      </w:r>
      <w:r w:rsidR="00EE52F3" w:rsidRPr="00FE50A6">
        <w:rPr>
          <w:rFonts w:cs="Arial"/>
          <w:szCs w:val="20"/>
          <w:lang w:val="en-US"/>
        </w:rPr>
        <w:t>contemporary forms of</w:t>
      </w:r>
      <w:r w:rsidR="00D81AA1" w:rsidRPr="00FE50A6">
        <w:rPr>
          <w:rFonts w:cs="Arial"/>
          <w:szCs w:val="20"/>
          <w:lang w:val="en-US"/>
        </w:rPr>
        <w:t xml:space="preserve"> </w:t>
      </w:r>
      <w:r w:rsidR="00D11A9F" w:rsidRPr="00FE50A6">
        <w:rPr>
          <w:rFonts w:cs="Arial"/>
          <w:szCs w:val="20"/>
          <w:lang w:val="en-US"/>
        </w:rPr>
        <w:t>slavery</w:t>
      </w:r>
      <w:r w:rsidR="001B63D0" w:rsidRPr="00FE50A6">
        <w:rPr>
          <w:rFonts w:cs="Arial"/>
          <w:szCs w:val="20"/>
          <w:lang w:val="en-US"/>
        </w:rPr>
        <w:t xml:space="preserve"> </w:t>
      </w:r>
      <w:r w:rsidRPr="00FE50A6">
        <w:rPr>
          <w:rFonts w:cs="Arial"/>
          <w:szCs w:val="20"/>
          <w:lang w:val="en-US"/>
        </w:rPr>
        <w:t xml:space="preserve">are gross human rights violations, and their absolute prohibition by </w:t>
      </w:r>
      <w:r w:rsidR="00931A2D" w:rsidRPr="00FE50A6">
        <w:rPr>
          <w:rFonts w:cs="Arial"/>
          <w:szCs w:val="20"/>
          <w:lang w:val="en-US"/>
        </w:rPr>
        <w:t>international law</w:t>
      </w:r>
      <w:r w:rsidR="00D81AA1" w:rsidRPr="00FE50A6">
        <w:rPr>
          <w:rFonts w:cs="Arial"/>
          <w:szCs w:val="20"/>
          <w:lang w:val="en-US"/>
        </w:rPr>
        <w:t xml:space="preserve"> </w:t>
      </w:r>
      <w:r w:rsidRPr="00FE50A6">
        <w:rPr>
          <w:rFonts w:cs="Arial"/>
          <w:szCs w:val="20"/>
          <w:lang w:val="en-US"/>
        </w:rPr>
        <w:t xml:space="preserve">is a norm of </w:t>
      </w:r>
      <w:r w:rsidR="00D81AA1" w:rsidRPr="00FE50A6">
        <w:rPr>
          <w:rFonts w:cs="Arial"/>
          <w:i/>
          <w:szCs w:val="20"/>
          <w:lang w:val="en-US"/>
        </w:rPr>
        <w:t>jus cogens</w:t>
      </w:r>
      <w:r w:rsidR="002B3624" w:rsidRPr="00FE50A6">
        <w:rPr>
          <w:rFonts w:cs="Arial"/>
          <w:szCs w:val="20"/>
          <w:lang w:val="en-US"/>
        </w:rPr>
        <w:t>; therefore, the</w:t>
      </w:r>
      <w:r w:rsidRPr="00FE50A6">
        <w:rPr>
          <w:rFonts w:cs="Arial"/>
          <w:szCs w:val="20"/>
          <w:lang w:val="en-US"/>
        </w:rPr>
        <w:t xml:space="preserve"> application of the statute of limitations </w:t>
      </w:r>
      <w:r w:rsidR="002B3624" w:rsidRPr="00FE50A6">
        <w:rPr>
          <w:rFonts w:cs="Arial"/>
          <w:szCs w:val="20"/>
          <w:lang w:val="en-US"/>
        </w:rPr>
        <w:t>was</w:t>
      </w:r>
      <w:r w:rsidRPr="00FE50A6">
        <w:rPr>
          <w:rFonts w:cs="Arial"/>
          <w:szCs w:val="20"/>
          <w:lang w:val="en-US"/>
        </w:rPr>
        <w:t xml:space="preserve"> inadmissible. According to </w:t>
      </w:r>
      <w:r w:rsidR="00700B79" w:rsidRPr="00FE50A6">
        <w:rPr>
          <w:rFonts w:cs="Arial"/>
          <w:szCs w:val="20"/>
          <w:lang w:val="en-US"/>
        </w:rPr>
        <w:t>the representatives</w:t>
      </w:r>
      <w:r w:rsidR="00C413E2" w:rsidRPr="00FE50A6">
        <w:rPr>
          <w:rFonts w:cs="Arial"/>
          <w:szCs w:val="20"/>
          <w:lang w:val="en-US"/>
        </w:rPr>
        <w:t>,</w:t>
      </w:r>
      <w:r w:rsidR="00D81AA1" w:rsidRPr="00FE50A6">
        <w:rPr>
          <w:rFonts w:cs="Arial"/>
          <w:szCs w:val="20"/>
          <w:lang w:val="en-US"/>
        </w:rPr>
        <w:t xml:space="preserve"> </w:t>
      </w:r>
      <w:r w:rsidRPr="00FE50A6">
        <w:rPr>
          <w:rFonts w:cs="Arial"/>
          <w:szCs w:val="20"/>
          <w:lang w:val="en-US"/>
        </w:rPr>
        <w:t>the facts remain</w:t>
      </w:r>
      <w:r w:rsidR="002B3624" w:rsidRPr="00FE50A6">
        <w:rPr>
          <w:rFonts w:cs="Arial"/>
          <w:szCs w:val="20"/>
          <w:lang w:val="en-US"/>
        </w:rPr>
        <w:t>ed</w:t>
      </w:r>
      <w:r w:rsidRPr="00FE50A6">
        <w:rPr>
          <w:rFonts w:cs="Arial"/>
          <w:szCs w:val="20"/>
          <w:lang w:val="en-US"/>
        </w:rPr>
        <w:t xml:space="preserve"> in impunity due, </w:t>
      </w:r>
      <w:r w:rsidR="002B3624" w:rsidRPr="00FE50A6">
        <w:rPr>
          <w:rFonts w:cs="Arial"/>
          <w:szCs w:val="20"/>
          <w:lang w:val="en-US"/>
        </w:rPr>
        <w:t>in great measure</w:t>
      </w:r>
      <w:r w:rsidRPr="00FE50A6">
        <w:rPr>
          <w:rFonts w:cs="Arial"/>
          <w:szCs w:val="20"/>
          <w:lang w:val="en-US"/>
        </w:rPr>
        <w:t>, to the prescription of the crimes for which criminal proceedings could have been opened</w:t>
      </w:r>
      <w:r w:rsidR="00D81AA1" w:rsidRPr="00FE50A6">
        <w:rPr>
          <w:rFonts w:cs="Arial"/>
          <w:szCs w:val="20"/>
          <w:lang w:val="en-US"/>
        </w:rPr>
        <w:t xml:space="preserve">. </w:t>
      </w:r>
    </w:p>
    <w:p w14:paraId="4FA6B9BB" w14:textId="77777777" w:rsidR="00D81AA1" w:rsidRPr="00FE50A6" w:rsidRDefault="00D81AA1" w:rsidP="00D81AA1">
      <w:pPr>
        <w:pStyle w:val="Prrafodelista"/>
        <w:rPr>
          <w:rFonts w:cs="Arial"/>
          <w:szCs w:val="20"/>
          <w:lang w:val="en-US"/>
        </w:rPr>
      </w:pPr>
    </w:p>
    <w:p w14:paraId="4A300929" w14:textId="77777777" w:rsidR="00DB5112" w:rsidRPr="00FE50A6" w:rsidRDefault="00DB5112" w:rsidP="00DB5112">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w:t>
      </w:r>
      <w:r w:rsidR="00700B79" w:rsidRPr="00FE50A6">
        <w:rPr>
          <w:rFonts w:cs="Arial"/>
          <w:szCs w:val="20"/>
          <w:lang w:val="en-US"/>
        </w:rPr>
        <w:t xml:space="preserve"> representatives</w:t>
      </w:r>
      <w:r w:rsidRPr="00FE50A6">
        <w:rPr>
          <w:rFonts w:cs="Arial"/>
          <w:szCs w:val="20"/>
          <w:lang w:val="en-US"/>
        </w:rPr>
        <w:t xml:space="preserve"> also indicated that the failure of the authorities to take effective </w:t>
      </w:r>
      <w:r w:rsidR="002B3624" w:rsidRPr="00FE50A6">
        <w:rPr>
          <w:rFonts w:cs="Arial"/>
          <w:szCs w:val="20"/>
          <w:lang w:val="en-US"/>
        </w:rPr>
        <w:t>steps</w:t>
      </w:r>
      <w:r w:rsidRPr="00FE50A6">
        <w:rPr>
          <w:rFonts w:cs="Arial"/>
          <w:szCs w:val="20"/>
          <w:lang w:val="en-US"/>
        </w:rPr>
        <w:t xml:space="preserve"> to respond to the complaints</w:t>
      </w:r>
      <w:r w:rsidR="002B3624" w:rsidRPr="00FE50A6">
        <w:rPr>
          <w:rFonts w:cs="Arial"/>
          <w:szCs w:val="20"/>
          <w:lang w:val="en-US"/>
        </w:rPr>
        <w:t>,</w:t>
      </w:r>
      <w:r w:rsidRPr="00FE50A6">
        <w:rPr>
          <w:rFonts w:cs="Arial"/>
          <w:szCs w:val="20"/>
          <w:lang w:val="en-US"/>
        </w:rPr>
        <w:t xml:space="preserve"> and the recurrence of the reported facts</w:t>
      </w:r>
      <w:r w:rsidR="002B3624" w:rsidRPr="00FE50A6">
        <w:rPr>
          <w:rFonts w:cs="Arial"/>
          <w:szCs w:val="20"/>
          <w:lang w:val="en-US"/>
        </w:rPr>
        <w:t>,</w:t>
      </w:r>
      <w:r w:rsidRPr="00FE50A6">
        <w:rPr>
          <w:rFonts w:cs="Arial"/>
          <w:szCs w:val="20"/>
          <w:lang w:val="en-US"/>
        </w:rPr>
        <w:t xml:space="preserve"> </w:t>
      </w:r>
      <w:proofErr w:type="gramStart"/>
      <w:r w:rsidRPr="00FE50A6">
        <w:rPr>
          <w:rFonts w:cs="Arial"/>
          <w:szCs w:val="20"/>
          <w:lang w:val="en-US"/>
        </w:rPr>
        <w:t>reveal</w:t>
      </w:r>
      <w:r w:rsidR="002B3624" w:rsidRPr="00FE50A6">
        <w:rPr>
          <w:rFonts w:cs="Arial"/>
          <w:szCs w:val="20"/>
          <w:lang w:val="en-US"/>
        </w:rPr>
        <w:t xml:space="preserve">ed </w:t>
      </w:r>
      <w:r w:rsidRPr="00FE50A6">
        <w:rPr>
          <w:rFonts w:cs="Arial"/>
          <w:szCs w:val="20"/>
          <w:lang w:val="en-US"/>
        </w:rPr>
        <w:t xml:space="preserve"> a</w:t>
      </w:r>
      <w:proofErr w:type="gramEnd"/>
      <w:r w:rsidRPr="00FE50A6">
        <w:rPr>
          <w:rFonts w:cs="Arial"/>
          <w:szCs w:val="20"/>
          <w:lang w:val="en-US"/>
        </w:rPr>
        <w:t xml:space="preserve"> situation of structural discrimination in the State’s response </w:t>
      </w:r>
      <w:r w:rsidR="002B3624" w:rsidRPr="00FE50A6">
        <w:rPr>
          <w:rFonts w:cs="Arial"/>
          <w:szCs w:val="20"/>
          <w:lang w:val="en-US"/>
        </w:rPr>
        <w:t>that</w:t>
      </w:r>
      <w:r w:rsidRPr="00FE50A6">
        <w:rPr>
          <w:rFonts w:cs="Arial"/>
          <w:szCs w:val="20"/>
          <w:lang w:val="en-US"/>
        </w:rPr>
        <w:t xml:space="preserve"> permitted the perpetuation of a situation of exploitation of a specific group of persons. Lastly</w:t>
      </w:r>
      <w:r w:rsidR="00D81AA1" w:rsidRPr="00FE50A6">
        <w:rPr>
          <w:rFonts w:cs="Arial"/>
          <w:szCs w:val="20"/>
          <w:lang w:val="en-US"/>
        </w:rPr>
        <w:t xml:space="preserve">, </w:t>
      </w:r>
      <w:r w:rsidR="00700B79" w:rsidRPr="00FE50A6">
        <w:rPr>
          <w:rFonts w:cs="Arial"/>
          <w:szCs w:val="20"/>
          <w:lang w:val="en-US"/>
        </w:rPr>
        <w:t>the representatives</w:t>
      </w:r>
      <w:r w:rsidR="00D81AA1" w:rsidRPr="00FE50A6">
        <w:rPr>
          <w:rFonts w:cs="Arial"/>
          <w:szCs w:val="20"/>
          <w:lang w:val="en-US"/>
        </w:rPr>
        <w:t xml:space="preserve"> </w:t>
      </w:r>
      <w:r w:rsidRPr="00FE50A6">
        <w:rPr>
          <w:rFonts w:cs="Arial"/>
          <w:szCs w:val="20"/>
          <w:lang w:val="en-US"/>
        </w:rPr>
        <w:t>argued that</w:t>
      </w:r>
      <w:r w:rsidR="00D81AA1" w:rsidRPr="00FE50A6">
        <w:rPr>
          <w:rFonts w:cs="Arial"/>
          <w:szCs w:val="20"/>
          <w:lang w:val="en-US"/>
        </w:rPr>
        <w:t xml:space="preserve"> </w:t>
      </w:r>
      <w:r w:rsidR="000228D0" w:rsidRPr="00FE50A6">
        <w:rPr>
          <w:rFonts w:cs="Arial"/>
          <w:szCs w:val="20"/>
          <w:lang w:val="en-US"/>
        </w:rPr>
        <w:t>the State</w:t>
      </w:r>
      <w:r w:rsidR="00D81AA1" w:rsidRPr="00FE50A6">
        <w:rPr>
          <w:rFonts w:cs="Arial"/>
          <w:szCs w:val="20"/>
          <w:lang w:val="en-US"/>
        </w:rPr>
        <w:t xml:space="preserve"> </w:t>
      </w:r>
      <w:r w:rsidRPr="00FE50A6">
        <w:rPr>
          <w:rFonts w:cs="Arial"/>
          <w:szCs w:val="20"/>
          <w:lang w:val="en-US"/>
        </w:rPr>
        <w:t>had the duty to act and to investigate with urgent diligence because the authorities had been made aware that there could be children and adolescents in Hacienda Brasil Verde.</w:t>
      </w:r>
    </w:p>
    <w:p w14:paraId="2FDC35A6" w14:textId="77777777" w:rsidR="00D81AA1" w:rsidRPr="00FE50A6" w:rsidRDefault="00D81AA1" w:rsidP="00DB5112">
      <w:pPr>
        <w:rPr>
          <w:rFonts w:cs="Arial"/>
          <w:szCs w:val="20"/>
          <w:lang w:val="en-US"/>
        </w:rPr>
      </w:pPr>
    </w:p>
    <w:p w14:paraId="2E02ED49" w14:textId="77777777" w:rsidR="00D81AA1" w:rsidRPr="00FE50A6" w:rsidRDefault="000228D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The </w:t>
      </w:r>
      <w:r w:rsidRPr="00FE50A6">
        <w:rPr>
          <w:rFonts w:cs="Arial"/>
          <w:b/>
          <w:i/>
          <w:szCs w:val="20"/>
          <w:lang w:val="en-US"/>
        </w:rPr>
        <w:t>State</w:t>
      </w:r>
      <w:r w:rsidR="00D81AA1" w:rsidRPr="00FE50A6">
        <w:rPr>
          <w:rFonts w:cs="Arial"/>
          <w:szCs w:val="20"/>
          <w:lang w:val="en-US"/>
        </w:rPr>
        <w:t xml:space="preserve"> </w:t>
      </w:r>
      <w:r w:rsidR="00DB5112" w:rsidRPr="00FE50A6">
        <w:rPr>
          <w:rFonts w:cs="Arial"/>
          <w:szCs w:val="20"/>
          <w:lang w:val="en-US"/>
        </w:rPr>
        <w:t>argue</w:t>
      </w:r>
      <w:r w:rsidR="002B3624" w:rsidRPr="00FE50A6">
        <w:rPr>
          <w:rFonts w:cs="Arial"/>
          <w:szCs w:val="20"/>
          <w:lang w:val="en-US"/>
        </w:rPr>
        <w:t>d</w:t>
      </w:r>
      <w:r w:rsidR="00DB5112" w:rsidRPr="00FE50A6">
        <w:rPr>
          <w:rFonts w:cs="Arial"/>
          <w:szCs w:val="20"/>
          <w:lang w:val="en-US"/>
        </w:rPr>
        <w:t xml:space="preserve"> that</w:t>
      </w:r>
      <w:r w:rsidR="00D81AA1" w:rsidRPr="00FE50A6">
        <w:rPr>
          <w:rFonts w:cs="Arial"/>
          <w:szCs w:val="20"/>
          <w:lang w:val="en-US"/>
        </w:rPr>
        <w:t xml:space="preserve"> </w:t>
      </w:r>
      <w:r w:rsidRPr="00FE50A6">
        <w:rPr>
          <w:rFonts w:cs="Arial"/>
          <w:szCs w:val="20"/>
          <w:lang w:val="en-US"/>
        </w:rPr>
        <w:t>the Commission</w:t>
      </w:r>
      <w:r w:rsidR="00D81AA1" w:rsidRPr="00FE50A6">
        <w:rPr>
          <w:rFonts w:cs="Arial"/>
          <w:szCs w:val="20"/>
          <w:lang w:val="en-US"/>
        </w:rPr>
        <w:t xml:space="preserve"> </w:t>
      </w:r>
      <w:r w:rsidR="00DB5112" w:rsidRPr="00FE50A6">
        <w:rPr>
          <w:rFonts w:cs="Arial"/>
          <w:szCs w:val="20"/>
          <w:lang w:val="en-US"/>
        </w:rPr>
        <w:t xml:space="preserve">had </w:t>
      </w:r>
      <w:r w:rsidR="00D81AA1" w:rsidRPr="00FE50A6">
        <w:rPr>
          <w:rFonts w:cs="Arial"/>
          <w:szCs w:val="20"/>
          <w:lang w:val="en-US"/>
        </w:rPr>
        <w:t>no</w:t>
      </w:r>
      <w:r w:rsidR="00DB5112" w:rsidRPr="00FE50A6">
        <w:rPr>
          <w:rFonts w:cs="Arial"/>
          <w:szCs w:val="20"/>
          <w:lang w:val="en-US"/>
        </w:rPr>
        <w:t>t</w:t>
      </w:r>
      <w:r w:rsidR="00D81AA1" w:rsidRPr="00FE50A6">
        <w:rPr>
          <w:rFonts w:cs="Arial"/>
          <w:szCs w:val="20"/>
          <w:lang w:val="en-US"/>
        </w:rPr>
        <w:t xml:space="preserve"> </w:t>
      </w:r>
      <w:r w:rsidR="00984A55" w:rsidRPr="00FE50A6">
        <w:rPr>
          <w:rFonts w:cs="Arial"/>
          <w:szCs w:val="20"/>
          <w:lang w:val="en-US"/>
        </w:rPr>
        <w:t>indicated</w:t>
      </w:r>
      <w:r w:rsidR="00D81AA1" w:rsidRPr="00FE50A6">
        <w:rPr>
          <w:rFonts w:cs="Arial"/>
          <w:szCs w:val="20"/>
          <w:lang w:val="en-US"/>
        </w:rPr>
        <w:t xml:space="preserve"> </w:t>
      </w:r>
      <w:r w:rsidR="00DB5112" w:rsidRPr="00FE50A6">
        <w:rPr>
          <w:rFonts w:cs="Arial"/>
          <w:szCs w:val="20"/>
          <w:lang w:val="en-US"/>
        </w:rPr>
        <w:t xml:space="preserve">clearly and specifically the grounds for the violation of the obligation to respect judicial guarantees, and added that the State could not be held responsible for the </w:t>
      </w:r>
      <w:r w:rsidR="002B3624" w:rsidRPr="00FE50A6">
        <w:rPr>
          <w:rFonts w:cs="Arial"/>
          <w:szCs w:val="20"/>
          <w:lang w:val="en-US"/>
        </w:rPr>
        <w:t>possible</w:t>
      </w:r>
      <w:r w:rsidR="00DB5112" w:rsidRPr="00FE50A6">
        <w:rPr>
          <w:rFonts w:cs="Arial"/>
          <w:szCs w:val="20"/>
          <w:lang w:val="en-US"/>
        </w:rPr>
        <w:t xml:space="preserve"> failure of the criminal investigation and prosecution</w:t>
      </w:r>
      <w:r w:rsidR="00D81AA1" w:rsidRPr="00FE50A6">
        <w:rPr>
          <w:rFonts w:cs="Arial"/>
          <w:szCs w:val="20"/>
          <w:lang w:val="en-US"/>
        </w:rPr>
        <w:t xml:space="preserve">. </w:t>
      </w:r>
    </w:p>
    <w:p w14:paraId="4155C40A" w14:textId="77777777" w:rsidR="00D81AA1" w:rsidRPr="00FE50A6" w:rsidRDefault="00D81AA1" w:rsidP="00D81AA1">
      <w:pPr>
        <w:pStyle w:val="Prrafodelista"/>
        <w:rPr>
          <w:rFonts w:cs="Arial"/>
          <w:szCs w:val="20"/>
          <w:lang w:val="en-US"/>
        </w:rPr>
      </w:pPr>
    </w:p>
    <w:p w14:paraId="124E8828" w14:textId="77777777" w:rsidR="00D81AA1" w:rsidRPr="00FE50A6" w:rsidRDefault="00DB5112"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w:t>
      </w:r>
      <w:r w:rsidR="000228D0" w:rsidRPr="00FE50A6">
        <w:rPr>
          <w:rFonts w:cs="Arial"/>
          <w:szCs w:val="20"/>
          <w:lang w:val="en-US"/>
        </w:rPr>
        <w:t xml:space="preserve"> State</w:t>
      </w:r>
      <w:r w:rsidRPr="00FE50A6">
        <w:rPr>
          <w:rFonts w:cs="Arial"/>
          <w:szCs w:val="20"/>
          <w:lang w:val="en-US"/>
        </w:rPr>
        <w:t xml:space="preserve"> also</w:t>
      </w:r>
      <w:r w:rsidR="00D81AA1" w:rsidRPr="00FE50A6">
        <w:rPr>
          <w:rFonts w:cs="Arial"/>
          <w:szCs w:val="20"/>
          <w:lang w:val="en-US"/>
        </w:rPr>
        <w:t xml:space="preserve"> </w:t>
      </w:r>
      <w:r w:rsidR="00984A55" w:rsidRPr="00FE50A6">
        <w:rPr>
          <w:rFonts w:cs="Arial"/>
          <w:szCs w:val="20"/>
          <w:lang w:val="en-US"/>
        </w:rPr>
        <w:t>indicated</w:t>
      </w:r>
      <w:r w:rsidR="00D81AA1" w:rsidRPr="00FE50A6">
        <w:rPr>
          <w:rFonts w:cs="Arial"/>
          <w:szCs w:val="20"/>
          <w:lang w:val="en-US"/>
        </w:rPr>
        <w:t xml:space="preserve"> </w:t>
      </w:r>
      <w:r w:rsidRPr="00FE50A6">
        <w:rPr>
          <w:rFonts w:cs="Arial"/>
          <w:szCs w:val="20"/>
          <w:lang w:val="en-US"/>
        </w:rPr>
        <w:t xml:space="preserve">that it had acted with </w:t>
      </w:r>
      <w:r w:rsidR="00576F80" w:rsidRPr="00FE50A6">
        <w:rPr>
          <w:rFonts w:cs="Arial"/>
          <w:szCs w:val="20"/>
          <w:lang w:val="en-US"/>
        </w:rPr>
        <w:t>due diligence</w:t>
      </w:r>
      <w:r w:rsidR="00D81AA1" w:rsidRPr="00FE50A6">
        <w:rPr>
          <w:rFonts w:cs="Arial"/>
          <w:szCs w:val="20"/>
          <w:lang w:val="en-US"/>
        </w:rPr>
        <w:t xml:space="preserve"> dur</w:t>
      </w:r>
      <w:r w:rsidRPr="00FE50A6">
        <w:rPr>
          <w:rFonts w:cs="Arial"/>
          <w:szCs w:val="20"/>
          <w:lang w:val="en-US"/>
        </w:rPr>
        <w:t xml:space="preserve">ing the different visits to inspect </w:t>
      </w:r>
      <w:r w:rsidR="00D81AA1" w:rsidRPr="00FE50A6">
        <w:rPr>
          <w:rFonts w:cs="Arial"/>
          <w:szCs w:val="20"/>
          <w:lang w:val="en-US"/>
        </w:rPr>
        <w:t xml:space="preserve">Hacienda </w:t>
      </w:r>
      <w:r w:rsidR="00322241" w:rsidRPr="00FE50A6">
        <w:rPr>
          <w:rFonts w:cs="Arial"/>
          <w:szCs w:val="20"/>
          <w:lang w:val="en-US"/>
        </w:rPr>
        <w:t>Brasil Verde</w:t>
      </w:r>
      <w:r w:rsidR="00030C17" w:rsidRPr="00FE50A6">
        <w:rPr>
          <w:rFonts w:cs="Arial"/>
          <w:szCs w:val="20"/>
          <w:lang w:val="en-US"/>
        </w:rPr>
        <w:t xml:space="preserve"> and </w:t>
      </w:r>
      <w:r w:rsidRPr="00FE50A6">
        <w:rPr>
          <w:rFonts w:cs="Arial"/>
          <w:szCs w:val="20"/>
          <w:lang w:val="en-US"/>
        </w:rPr>
        <w:t xml:space="preserve">that, during the said inspections, the State agents </w:t>
      </w:r>
      <w:r w:rsidR="002B3624" w:rsidRPr="00FE50A6">
        <w:rPr>
          <w:rFonts w:cs="Arial"/>
          <w:szCs w:val="20"/>
          <w:lang w:val="en-US"/>
        </w:rPr>
        <w:t xml:space="preserve">had </w:t>
      </w:r>
      <w:r w:rsidRPr="00FE50A6">
        <w:rPr>
          <w:rFonts w:cs="Arial"/>
          <w:szCs w:val="20"/>
          <w:lang w:val="en-US"/>
        </w:rPr>
        <w:t>performed their functions adequately and determined that slave labor was not practi</w:t>
      </w:r>
      <w:r w:rsidR="002B3624" w:rsidRPr="00FE50A6">
        <w:rPr>
          <w:rFonts w:cs="Arial"/>
          <w:szCs w:val="20"/>
          <w:lang w:val="en-US"/>
        </w:rPr>
        <w:t>c</w:t>
      </w:r>
      <w:r w:rsidRPr="00FE50A6">
        <w:rPr>
          <w:rFonts w:cs="Arial"/>
          <w:szCs w:val="20"/>
          <w:lang w:val="en-US"/>
        </w:rPr>
        <w:t xml:space="preserve">ed </w:t>
      </w:r>
      <w:r w:rsidR="002B3624" w:rsidRPr="00FE50A6">
        <w:rPr>
          <w:rFonts w:cs="Arial"/>
          <w:szCs w:val="20"/>
          <w:lang w:val="en-US"/>
        </w:rPr>
        <w:t xml:space="preserve">and </w:t>
      </w:r>
      <w:r w:rsidRPr="00FE50A6">
        <w:rPr>
          <w:rFonts w:cs="Arial"/>
          <w:szCs w:val="20"/>
          <w:lang w:val="en-US"/>
        </w:rPr>
        <w:t xml:space="preserve">nor were there conditions similar to </w:t>
      </w:r>
      <w:r w:rsidR="00D11A9F" w:rsidRPr="00FE50A6">
        <w:rPr>
          <w:rFonts w:cs="Arial"/>
          <w:szCs w:val="20"/>
          <w:lang w:val="en-US"/>
        </w:rPr>
        <w:t>slavery</w:t>
      </w:r>
      <w:r w:rsidR="00D81AA1" w:rsidRPr="00FE50A6">
        <w:rPr>
          <w:rFonts w:cs="Arial"/>
          <w:szCs w:val="20"/>
          <w:lang w:val="en-US"/>
        </w:rPr>
        <w:t xml:space="preserve">. </w:t>
      </w:r>
    </w:p>
    <w:p w14:paraId="69CA15CF" w14:textId="77777777" w:rsidR="00D81AA1" w:rsidRPr="00FE50A6" w:rsidRDefault="00D81AA1" w:rsidP="00D81AA1">
      <w:pPr>
        <w:pStyle w:val="Prrafodelista"/>
        <w:rPr>
          <w:rFonts w:cs="Arial"/>
          <w:szCs w:val="20"/>
          <w:lang w:val="en-US"/>
        </w:rPr>
      </w:pPr>
    </w:p>
    <w:p w14:paraId="08B397A5" w14:textId="77777777" w:rsidR="00DB5112" w:rsidRPr="00FE50A6" w:rsidRDefault="00DB5112"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 xml:space="preserve">In addition, the State indicated that </w:t>
      </w:r>
      <w:r w:rsidR="002B3624" w:rsidRPr="00FE50A6">
        <w:rPr>
          <w:rFonts w:cs="Arial"/>
          <w:szCs w:val="20"/>
          <w:lang w:val="en-US"/>
        </w:rPr>
        <w:t xml:space="preserve">there were </w:t>
      </w:r>
      <w:r w:rsidRPr="00FE50A6">
        <w:rPr>
          <w:rFonts w:cs="Arial"/>
          <w:szCs w:val="20"/>
          <w:lang w:val="en-US"/>
        </w:rPr>
        <w:t>elements that justified the delay</w:t>
      </w:r>
      <w:r w:rsidR="002B3624" w:rsidRPr="00FE50A6">
        <w:rPr>
          <w:rFonts w:cs="Arial"/>
          <w:szCs w:val="20"/>
          <w:lang w:val="en-US"/>
        </w:rPr>
        <w:t xml:space="preserve"> </w:t>
      </w:r>
      <w:r w:rsidRPr="00FE50A6">
        <w:rPr>
          <w:rFonts w:cs="Arial"/>
          <w:szCs w:val="20"/>
          <w:lang w:val="en-US"/>
        </w:rPr>
        <w:t>in the criminal proceedings initiated in 1997, and that the</w:t>
      </w:r>
      <w:r w:rsidR="002B3624" w:rsidRPr="00FE50A6">
        <w:rPr>
          <w:rFonts w:cs="Arial"/>
          <w:szCs w:val="20"/>
          <w:lang w:val="en-US"/>
        </w:rPr>
        <w:t>se referred to factors of</w:t>
      </w:r>
      <w:r w:rsidRPr="00FE50A6">
        <w:rPr>
          <w:rFonts w:cs="Arial"/>
          <w:szCs w:val="20"/>
          <w:lang w:val="en-US"/>
        </w:rPr>
        <w:t xml:space="preserve"> special complexit</w:t>
      </w:r>
      <w:r w:rsidR="002B3624" w:rsidRPr="00FE50A6">
        <w:rPr>
          <w:rFonts w:cs="Arial"/>
          <w:szCs w:val="20"/>
          <w:lang w:val="en-US"/>
        </w:rPr>
        <w:t>y.</w:t>
      </w:r>
      <w:r w:rsidRPr="00FE50A6">
        <w:rPr>
          <w:rFonts w:cs="Arial"/>
          <w:szCs w:val="20"/>
          <w:lang w:val="en-US"/>
        </w:rPr>
        <w:t xml:space="preserve"> </w:t>
      </w:r>
      <w:r w:rsidR="002B3624" w:rsidRPr="00FE50A6">
        <w:rPr>
          <w:rFonts w:cs="Arial"/>
          <w:szCs w:val="20"/>
          <w:lang w:val="en-US"/>
        </w:rPr>
        <w:t>F</w:t>
      </w:r>
      <w:r w:rsidRPr="00FE50A6">
        <w:rPr>
          <w:rFonts w:cs="Arial"/>
          <w:szCs w:val="20"/>
          <w:lang w:val="en-US"/>
        </w:rPr>
        <w:t xml:space="preserve">or example, the accused lived in towns </w:t>
      </w:r>
      <w:r w:rsidR="002B3624" w:rsidRPr="00FE50A6">
        <w:rPr>
          <w:rFonts w:cs="Arial"/>
          <w:szCs w:val="20"/>
          <w:lang w:val="en-US"/>
        </w:rPr>
        <w:t>other than</w:t>
      </w:r>
      <w:r w:rsidRPr="00FE50A6">
        <w:rPr>
          <w:rFonts w:cs="Arial"/>
          <w:szCs w:val="20"/>
          <w:lang w:val="en-US"/>
        </w:rPr>
        <w:t xml:space="preserve"> the place where the criminal action was filed</w:t>
      </w:r>
      <w:r w:rsidR="002B3624" w:rsidRPr="00FE50A6">
        <w:rPr>
          <w:rFonts w:cs="Arial"/>
          <w:szCs w:val="20"/>
          <w:lang w:val="en-US"/>
        </w:rPr>
        <w:t>;</w:t>
      </w:r>
      <w:r w:rsidRPr="00FE50A6">
        <w:rPr>
          <w:rFonts w:cs="Arial"/>
          <w:szCs w:val="20"/>
          <w:lang w:val="en-US"/>
        </w:rPr>
        <w:t xml:space="preserve"> the authorities were unaware of Mr. Quagliato Neto’s domicile</w:t>
      </w:r>
      <w:r w:rsidR="002B3624" w:rsidRPr="00FE50A6">
        <w:rPr>
          <w:rFonts w:cs="Arial"/>
          <w:szCs w:val="20"/>
          <w:lang w:val="en-US"/>
        </w:rPr>
        <w:t>;</w:t>
      </w:r>
      <w:r w:rsidRPr="00FE50A6">
        <w:rPr>
          <w:rFonts w:cs="Arial"/>
          <w:szCs w:val="20"/>
          <w:lang w:val="en-US"/>
        </w:rPr>
        <w:t xml:space="preserve"> the geographical distance made it complicated to obtain evidence, and the</w:t>
      </w:r>
      <w:r w:rsidR="00D14D34" w:rsidRPr="00FE50A6">
        <w:rPr>
          <w:rFonts w:cs="Arial"/>
          <w:szCs w:val="20"/>
          <w:lang w:val="en-US"/>
        </w:rPr>
        <w:t>re was</w:t>
      </w:r>
      <w:r w:rsidRPr="00FE50A6">
        <w:rPr>
          <w:rFonts w:cs="Arial"/>
          <w:szCs w:val="20"/>
          <w:lang w:val="en-US"/>
        </w:rPr>
        <w:t xml:space="preserve"> “</w:t>
      </w:r>
      <w:r w:rsidR="00D14D34" w:rsidRPr="00FE50A6">
        <w:rPr>
          <w:rFonts w:cs="Arial"/>
          <w:szCs w:val="20"/>
          <w:lang w:val="en-US"/>
        </w:rPr>
        <w:t>absolutely no</w:t>
      </w:r>
      <w:r w:rsidRPr="00FE50A6">
        <w:rPr>
          <w:rFonts w:cs="Arial"/>
          <w:szCs w:val="20"/>
          <w:lang w:val="en-US"/>
        </w:rPr>
        <w:t xml:space="preserve"> legal definition” of the</w:t>
      </w:r>
      <w:r w:rsidR="00D14D34" w:rsidRPr="00FE50A6">
        <w:rPr>
          <w:rFonts w:cs="Arial"/>
          <w:szCs w:val="20"/>
          <w:lang w:val="en-US"/>
        </w:rPr>
        <w:t xml:space="preserve"> who had</w:t>
      </w:r>
      <w:r w:rsidRPr="00FE50A6">
        <w:rPr>
          <w:rFonts w:cs="Arial"/>
          <w:szCs w:val="20"/>
          <w:lang w:val="en-US"/>
        </w:rPr>
        <w:t xml:space="preserve"> competence to process the crime of reduction to conditions similar to slavery.</w:t>
      </w:r>
    </w:p>
    <w:p w14:paraId="6CCD4891" w14:textId="77777777" w:rsidR="00D81AA1" w:rsidRPr="00FE50A6" w:rsidRDefault="00D81AA1" w:rsidP="00D81AA1">
      <w:pPr>
        <w:autoSpaceDE w:val="0"/>
        <w:autoSpaceDN w:val="0"/>
        <w:adjustRightInd w:val="0"/>
        <w:rPr>
          <w:rFonts w:cs="Arial"/>
          <w:szCs w:val="20"/>
          <w:lang w:val="en-US"/>
        </w:rPr>
      </w:pPr>
    </w:p>
    <w:p w14:paraId="1A65C249" w14:textId="77777777" w:rsidR="00D81AA1" w:rsidRPr="00FE50A6" w:rsidRDefault="000228D0" w:rsidP="00DB5112">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State</w:t>
      </w:r>
      <w:r w:rsidR="00D81AA1" w:rsidRPr="00FE50A6">
        <w:rPr>
          <w:rFonts w:cs="Arial"/>
          <w:szCs w:val="20"/>
          <w:lang w:val="en-US"/>
        </w:rPr>
        <w:t xml:space="preserve"> </w:t>
      </w:r>
      <w:r w:rsidR="00984A55" w:rsidRPr="00FE50A6">
        <w:rPr>
          <w:rFonts w:cs="Arial"/>
          <w:szCs w:val="20"/>
          <w:lang w:val="en-US"/>
        </w:rPr>
        <w:t>indicated</w:t>
      </w:r>
      <w:r w:rsidR="00D81AA1" w:rsidRPr="00FE50A6">
        <w:rPr>
          <w:rFonts w:cs="Arial"/>
          <w:szCs w:val="20"/>
          <w:lang w:val="en-US"/>
        </w:rPr>
        <w:t xml:space="preserve"> </w:t>
      </w:r>
      <w:r w:rsidR="00DB5112" w:rsidRPr="00FE50A6">
        <w:rPr>
          <w:rFonts w:cs="Arial"/>
          <w:szCs w:val="20"/>
          <w:lang w:val="en-US"/>
        </w:rPr>
        <w:t xml:space="preserve">that the investigation procedures conducted by </w:t>
      </w:r>
      <w:r w:rsidR="00F8114C" w:rsidRPr="00FE50A6">
        <w:rPr>
          <w:rFonts w:cs="Arial"/>
          <w:szCs w:val="20"/>
          <w:lang w:val="en-US"/>
        </w:rPr>
        <w:t>the Public</w:t>
      </w:r>
      <w:r w:rsidR="006B2842" w:rsidRPr="00FE50A6">
        <w:rPr>
          <w:rFonts w:cs="Arial"/>
          <w:szCs w:val="20"/>
          <w:lang w:val="en-US"/>
        </w:rPr>
        <w:t xml:space="preserve"> Prosecution Service</w:t>
      </w:r>
      <w:r w:rsidR="00D81AA1" w:rsidRPr="00FE50A6">
        <w:rPr>
          <w:rFonts w:cs="Arial"/>
          <w:szCs w:val="20"/>
          <w:lang w:val="en-US"/>
        </w:rPr>
        <w:t xml:space="preserve"> </w:t>
      </w:r>
      <w:r w:rsidR="00DB5112" w:rsidRPr="00FE50A6">
        <w:rPr>
          <w:rFonts w:cs="Arial"/>
          <w:szCs w:val="20"/>
          <w:lang w:val="en-US"/>
        </w:rPr>
        <w:t>were adequate and effective mechanisms for criminal investigation</w:t>
      </w:r>
      <w:r w:rsidR="00D14D34" w:rsidRPr="00FE50A6">
        <w:rPr>
          <w:rFonts w:cs="Arial"/>
          <w:szCs w:val="20"/>
          <w:lang w:val="en-US"/>
        </w:rPr>
        <w:t>s</w:t>
      </w:r>
      <w:r w:rsidR="00DB5112" w:rsidRPr="00FE50A6">
        <w:rPr>
          <w:rFonts w:cs="Arial"/>
          <w:szCs w:val="20"/>
          <w:lang w:val="en-US"/>
        </w:rPr>
        <w:t xml:space="preserve"> and prosecution</w:t>
      </w:r>
      <w:r w:rsidR="00D14D34" w:rsidRPr="00FE50A6">
        <w:rPr>
          <w:rFonts w:cs="Arial"/>
          <w:szCs w:val="20"/>
          <w:lang w:val="en-US"/>
        </w:rPr>
        <w:t>s</w:t>
      </w:r>
      <w:r w:rsidR="00DB5112" w:rsidRPr="00FE50A6">
        <w:rPr>
          <w:rFonts w:cs="Arial"/>
          <w:szCs w:val="20"/>
          <w:lang w:val="en-US"/>
        </w:rPr>
        <w:t>. It indicated that the inspections conducted in Hacienda Brasil Verde had not led to the conclusion that slave labor existed, and that the administrative infractions verified, such as degrading conditions and extenuating</w:t>
      </w:r>
      <w:r w:rsidR="00D14D34" w:rsidRPr="00FE50A6">
        <w:rPr>
          <w:rFonts w:cs="Arial"/>
          <w:szCs w:val="20"/>
          <w:lang w:val="en-US"/>
        </w:rPr>
        <w:t xml:space="preserve"> </w:t>
      </w:r>
      <w:r w:rsidR="00DB5112" w:rsidRPr="00FE50A6">
        <w:rPr>
          <w:rFonts w:cs="Arial"/>
          <w:szCs w:val="20"/>
          <w:lang w:val="en-US"/>
        </w:rPr>
        <w:t>work</w:t>
      </w:r>
      <w:r w:rsidR="00D14D34" w:rsidRPr="00FE50A6">
        <w:rPr>
          <w:rFonts w:cs="Arial"/>
          <w:szCs w:val="20"/>
          <w:lang w:val="en-US"/>
        </w:rPr>
        <w:t xml:space="preserve">ing </w:t>
      </w:r>
      <w:r w:rsidR="00DB5112" w:rsidRPr="00FE50A6">
        <w:rPr>
          <w:rFonts w:cs="Arial"/>
          <w:szCs w:val="20"/>
          <w:lang w:val="en-US"/>
        </w:rPr>
        <w:t>days</w:t>
      </w:r>
      <w:r w:rsidR="00D14D34" w:rsidRPr="00FE50A6">
        <w:rPr>
          <w:rFonts w:cs="Arial"/>
          <w:szCs w:val="20"/>
          <w:lang w:val="en-US"/>
        </w:rPr>
        <w:t>,</w:t>
      </w:r>
      <w:r w:rsidR="00DB5112" w:rsidRPr="00FE50A6">
        <w:rPr>
          <w:rFonts w:cs="Arial"/>
          <w:szCs w:val="20"/>
          <w:lang w:val="en-US"/>
        </w:rPr>
        <w:t xml:space="preserve"> could not be characterized as crimes </w:t>
      </w:r>
      <w:r w:rsidR="00D14D34" w:rsidRPr="00FE50A6">
        <w:rPr>
          <w:rFonts w:cs="Arial"/>
          <w:szCs w:val="20"/>
          <w:lang w:val="en-US"/>
        </w:rPr>
        <w:t>under</w:t>
      </w:r>
      <w:r w:rsidR="00DB5112" w:rsidRPr="00FE50A6">
        <w:rPr>
          <w:rFonts w:cs="Arial"/>
          <w:szCs w:val="20"/>
          <w:lang w:val="en-US"/>
        </w:rPr>
        <w:t xml:space="preserve"> the laws in force at th</w:t>
      </w:r>
      <w:r w:rsidR="00D14D34" w:rsidRPr="00FE50A6">
        <w:rPr>
          <w:rFonts w:cs="Arial"/>
          <w:szCs w:val="20"/>
          <w:lang w:val="en-US"/>
        </w:rPr>
        <w:t>at</w:t>
      </w:r>
      <w:r w:rsidR="00DB5112" w:rsidRPr="00FE50A6">
        <w:rPr>
          <w:rFonts w:cs="Arial"/>
          <w:szCs w:val="20"/>
          <w:lang w:val="en-US"/>
        </w:rPr>
        <w:t xml:space="preserve"> time</w:t>
      </w:r>
      <w:r w:rsidR="00D81AA1" w:rsidRPr="00FE50A6">
        <w:rPr>
          <w:rFonts w:cs="Arial"/>
          <w:szCs w:val="20"/>
          <w:lang w:val="en-US"/>
        </w:rPr>
        <w:t>.</w:t>
      </w:r>
    </w:p>
    <w:p w14:paraId="4CDB3BAB" w14:textId="77777777" w:rsidR="00D81AA1" w:rsidRPr="00FE50A6" w:rsidRDefault="00D81AA1" w:rsidP="00D81AA1">
      <w:pPr>
        <w:pStyle w:val="Prrafodelista"/>
        <w:rPr>
          <w:rFonts w:cs="Arial"/>
          <w:szCs w:val="20"/>
          <w:lang w:val="en-US"/>
        </w:rPr>
      </w:pPr>
    </w:p>
    <w:p w14:paraId="118CDE19" w14:textId="77777777" w:rsidR="00D81AA1" w:rsidRPr="00FE50A6" w:rsidRDefault="00DB5112"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Lastly</w:t>
      </w:r>
      <w:r w:rsidR="00D81AA1" w:rsidRPr="00FE50A6">
        <w:rPr>
          <w:rFonts w:cs="Arial"/>
          <w:szCs w:val="20"/>
          <w:lang w:val="en-US"/>
        </w:rPr>
        <w:t xml:space="preserve">, </w:t>
      </w:r>
      <w:r w:rsidR="000228D0" w:rsidRPr="00FE50A6">
        <w:rPr>
          <w:rFonts w:cs="Arial"/>
          <w:szCs w:val="20"/>
          <w:lang w:val="en-US"/>
        </w:rPr>
        <w:t>the State</w:t>
      </w:r>
      <w:r w:rsidR="00D81AA1" w:rsidRPr="00FE50A6">
        <w:rPr>
          <w:rFonts w:cs="Arial"/>
          <w:szCs w:val="20"/>
          <w:lang w:val="en-US"/>
        </w:rPr>
        <w:t xml:space="preserve"> </w:t>
      </w:r>
      <w:r w:rsidRPr="00FE50A6">
        <w:rPr>
          <w:rFonts w:cs="Arial"/>
          <w:szCs w:val="20"/>
          <w:lang w:val="en-US"/>
        </w:rPr>
        <w:t>argued that</w:t>
      </w:r>
      <w:r w:rsidR="00D81AA1" w:rsidRPr="00FE50A6">
        <w:rPr>
          <w:rFonts w:cs="Arial"/>
          <w:szCs w:val="20"/>
          <w:lang w:val="en-US"/>
        </w:rPr>
        <w:t xml:space="preserve"> </w:t>
      </w:r>
      <w:r w:rsidR="00F8114C" w:rsidRPr="00FE50A6">
        <w:rPr>
          <w:rFonts w:cs="Arial"/>
          <w:szCs w:val="20"/>
          <w:lang w:val="en-US"/>
        </w:rPr>
        <w:t>the Public</w:t>
      </w:r>
      <w:r w:rsidR="006B2842" w:rsidRPr="00FE50A6">
        <w:rPr>
          <w:rFonts w:cs="Arial"/>
          <w:szCs w:val="20"/>
          <w:lang w:val="en-US"/>
        </w:rPr>
        <w:t xml:space="preserve"> Prosecution Service</w:t>
      </w:r>
      <w:r w:rsidR="00D81AA1" w:rsidRPr="00FE50A6">
        <w:rPr>
          <w:rFonts w:cs="Arial"/>
          <w:szCs w:val="20"/>
          <w:lang w:val="en-US"/>
        </w:rPr>
        <w:t xml:space="preserve"> </w:t>
      </w:r>
      <w:r w:rsidRPr="00FE50A6">
        <w:rPr>
          <w:rFonts w:cs="Arial"/>
          <w:szCs w:val="20"/>
          <w:lang w:val="en-US"/>
        </w:rPr>
        <w:t xml:space="preserve">had competence to conduct autonomous </w:t>
      </w:r>
      <w:r w:rsidR="00351E20" w:rsidRPr="00FE50A6">
        <w:rPr>
          <w:rFonts w:cs="Arial"/>
          <w:szCs w:val="20"/>
          <w:lang w:val="en-US"/>
        </w:rPr>
        <w:t xml:space="preserve">criminal investigation procedures, as in this case, and these procedures should also be considered adequate and effective remedies for the investigation of crimes that represent violations of </w:t>
      </w:r>
      <w:r w:rsidR="000228D0" w:rsidRPr="00FE50A6">
        <w:rPr>
          <w:rFonts w:cs="Arial"/>
          <w:szCs w:val="20"/>
          <w:lang w:val="en-US"/>
        </w:rPr>
        <w:t>the American Convention</w:t>
      </w:r>
      <w:r w:rsidR="00D81AA1" w:rsidRPr="00FE50A6">
        <w:rPr>
          <w:rFonts w:cs="Arial"/>
          <w:szCs w:val="20"/>
          <w:lang w:val="en-US"/>
        </w:rPr>
        <w:t>.</w:t>
      </w:r>
    </w:p>
    <w:p w14:paraId="643129CA" w14:textId="77777777" w:rsidR="00D81AA1" w:rsidRPr="00FE50A6" w:rsidRDefault="00D81AA1" w:rsidP="00D81AA1">
      <w:pPr>
        <w:jc w:val="both"/>
        <w:rPr>
          <w:rFonts w:cs="Arial"/>
          <w:noProof/>
          <w:szCs w:val="20"/>
          <w:lang w:val="en-US"/>
        </w:rPr>
      </w:pPr>
    </w:p>
    <w:p w14:paraId="4D1D19E0" w14:textId="77777777" w:rsidR="00D81AA1" w:rsidRPr="00FE50A6" w:rsidRDefault="000702CF" w:rsidP="008B0BCC">
      <w:pPr>
        <w:pStyle w:val="Ttulo2"/>
        <w:numPr>
          <w:ilvl w:val="0"/>
          <w:numId w:val="20"/>
        </w:numPr>
        <w:rPr>
          <w:rFonts w:eastAsiaTheme="minorHAnsi" w:cs="Arial"/>
        </w:rPr>
      </w:pPr>
      <w:bookmarkStart w:id="346" w:name="_Toc464813975"/>
      <w:r w:rsidRPr="00FE50A6">
        <w:rPr>
          <w:rFonts w:eastAsiaTheme="minorHAnsi"/>
        </w:rPr>
        <w:t>Considerations</w:t>
      </w:r>
      <w:r w:rsidR="000228D0" w:rsidRPr="00FE50A6">
        <w:rPr>
          <w:rFonts w:eastAsiaTheme="minorHAnsi"/>
        </w:rPr>
        <w:t xml:space="preserve"> of the Court</w:t>
      </w:r>
      <w:bookmarkEnd w:id="346"/>
    </w:p>
    <w:p w14:paraId="70768B00" w14:textId="77777777" w:rsidR="00D81AA1" w:rsidRPr="00FE50A6" w:rsidRDefault="00D81AA1" w:rsidP="00D81AA1">
      <w:pPr>
        <w:jc w:val="both"/>
        <w:rPr>
          <w:szCs w:val="20"/>
          <w:lang w:val="en-US"/>
        </w:rPr>
      </w:pPr>
    </w:p>
    <w:p w14:paraId="0EBF7D08" w14:textId="77777777" w:rsidR="00D81AA1" w:rsidRPr="00FE50A6" w:rsidRDefault="00F17B3F" w:rsidP="00D81AA1">
      <w:pPr>
        <w:numPr>
          <w:ilvl w:val="0"/>
          <w:numId w:val="1"/>
        </w:numPr>
        <w:tabs>
          <w:tab w:val="clear" w:pos="4419"/>
          <w:tab w:val="clear" w:pos="8838"/>
        </w:tabs>
        <w:contextualSpacing/>
        <w:jc w:val="both"/>
        <w:rPr>
          <w:b/>
          <w:szCs w:val="20"/>
          <w:lang w:val="en-US"/>
        </w:rPr>
      </w:pPr>
      <w:r w:rsidRPr="00FE50A6">
        <w:rPr>
          <w:rFonts w:cs="Arial"/>
          <w:iCs/>
          <w:szCs w:val="20"/>
          <w:lang w:val="en-US"/>
        </w:rPr>
        <w:t xml:space="preserve">Before beginning to analyze the arguments, </w:t>
      </w:r>
      <w:r w:rsidR="000228D0" w:rsidRPr="00FE50A6">
        <w:rPr>
          <w:rFonts w:cs="Arial"/>
          <w:iCs/>
          <w:szCs w:val="20"/>
          <w:lang w:val="en-US"/>
        </w:rPr>
        <w:t>the Court</w:t>
      </w:r>
      <w:r w:rsidR="00D81AA1" w:rsidRPr="00FE50A6">
        <w:rPr>
          <w:rFonts w:cs="Arial"/>
          <w:iCs/>
          <w:szCs w:val="20"/>
          <w:lang w:val="en-US"/>
        </w:rPr>
        <w:t xml:space="preserve"> rec</w:t>
      </w:r>
      <w:r w:rsidRPr="00FE50A6">
        <w:rPr>
          <w:rFonts w:cs="Arial"/>
          <w:iCs/>
          <w:szCs w:val="20"/>
          <w:lang w:val="en-US"/>
        </w:rPr>
        <w:t>alls that</w:t>
      </w:r>
      <w:r w:rsidR="00D14D34" w:rsidRPr="00FE50A6">
        <w:rPr>
          <w:rFonts w:cs="Arial"/>
          <w:iCs/>
          <w:szCs w:val="20"/>
          <w:lang w:val="en-US"/>
        </w:rPr>
        <w:t>, in this case,</w:t>
      </w:r>
      <w:r w:rsidRPr="00FE50A6">
        <w:rPr>
          <w:rFonts w:cs="Arial"/>
          <w:iCs/>
          <w:szCs w:val="20"/>
          <w:lang w:val="en-US"/>
        </w:rPr>
        <w:t xml:space="preserve"> i</w:t>
      </w:r>
      <w:r w:rsidR="00D14D34" w:rsidRPr="00FE50A6">
        <w:rPr>
          <w:rFonts w:cs="Arial"/>
          <w:iCs/>
          <w:szCs w:val="20"/>
          <w:lang w:val="en-US"/>
        </w:rPr>
        <w:t>t</w:t>
      </w:r>
      <w:r w:rsidRPr="00FE50A6">
        <w:rPr>
          <w:rFonts w:cs="Arial"/>
          <w:iCs/>
          <w:szCs w:val="20"/>
          <w:lang w:val="en-US"/>
        </w:rPr>
        <w:t xml:space="preserve">s contentious jurisdiction is limited to the judicial actions that began or have continued since the State’s acceptance of this jurisdiction on </w:t>
      </w:r>
      <w:r w:rsidR="00700B79" w:rsidRPr="00FE50A6">
        <w:rPr>
          <w:noProof/>
          <w:szCs w:val="20"/>
          <w:lang w:val="en-US" w:eastAsia="es-ES"/>
        </w:rPr>
        <w:t>December 10,</w:t>
      </w:r>
      <w:r w:rsidR="00D81AA1" w:rsidRPr="00FE50A6">
        <w:rPr>
          <w:noProof/>
          <w:szCs w:val="20"/>
          <w:lang w:val="en-US" w:eastAsia="es-ES"/>
        </w:rPr>
        <w:t xml:space="preserve"> 1998. </w:t>
      </w:r>
      <w:r w:rsidRPr="00FE50A6">
        <w:rPr>
          <w:noProof/>
          <w:szCs w:val="20"/>
          <w:lang w:val="en-US" w:eastAsia="es-ES"/>
        </w:rPr>
        <w:t xml:space="preserve">The Court will not examine the proceedings that took place in </w:t>
      </w:r>
      <w:r w:rsidR="00D81AA1" w:rsidRPr="00FE50A6">
        <w:rPr>
          <w:noProof/>
          <w:szCs w:val="20"/>
          <w:lang w:val="en-US" w:eastAsia="es-ES"/>
        </w:rPr>
        <w:t>1989, 1992, 1993</w:t>
      </w:r>
      <w:r w:rsidR="00030C17" w:rsidRPr="00FE50A6">
        <w:rPr>
          <w:noProof/>
          <w:szCs w:val="20"/>
          <w:lang w:val="en-US" w:eastAsia="es-ES"/>
        </w:rPr>
        <w:t xml:space="preserve"> and </w:t>
      </w:r>
      <w:r w:rsidR="00D81AA1" w:rsidRPr="00FE50A6">
        <w:rPr>
          <w:noProof/>
          <w:szCs w:val="20"/>
          <w:lang w:val="en-US" w:eastAsia="es-ES"/>
        </w:rPr>
        <w:t xml:space="preserve">1996 </w:t>
      </w:r>
      <w:r w:rsidRPr="00FE50A6">
        <w:rPr>
          <w:noProof/>
          <w:szCs w:val="20"/>
          <w:lang w:val="en-US" w:eastAsia="es-ES"/>
        </w:rPr>
        <w:t xml:space="preserve">because they had concluded before the State accepted the Court’s jurisdiction; nevertheless, it may take them into account as context. Accordingly, in this chapter, the Court will analyze the actions taken after </w:t>
      </w:r>
      <w:r w:rsidR="00700B79" w:rsidRPr="00FE50A6">
        <w:rPr>
          <w:noProof/>
          <w:szCs w:val="20"/>
          <w:lang w:val="en-US" w:eastAsia="es-ES"/>
        </w:rPr>
        <w:t>December 10,</w:t>
      </w:r>
      <w:r w:rsidR="0099000B" w:rsidRPr="00FE50A6">
        <w:rPr>
          <w:noProof/>
          <w:szCs w:val="20"/>
          <w:lang w:val="en-US" w:eastAsia="es-ES"/>
        </w:rPr>
        <w:t xml:space="preserve"> 1998: </w:t>
      </w:r>
      <w:r w:rsidRPr="00FE50A6">
        <w:rPr>
          <w:noProof/>
          <w:szCs w:val="20"/>
          <w:lang w:val="en-US" w:eastAsia="es-ES"/>
        </w:rPr>
        <w:t>(</w:t>
      </w:r>
      <w:r w:rsidR="0099000B" w:rsidRPr="00FE50A6">
        <w:rPr>
          <w:noProof/>
          <w:szCs w:val="20"/>
          <w:lang w:val="en-US" w:eastAsia="es-ES"/>
        </w:rPr>
        <w:t xml:space="preserve">i) </w:t>
      </w:r>
      <w:r w:rsidRPr="00FE50A6">
        <w:rPr>
          <w:noProof/>
          <w:szCs w:val="20"/>
          <w:lang w:val="en-US" w:eastAsia="es-ES"/>
        </w:rPr>
        <w:t>in criminal proceeding</w:t>
      </w:r>
      <w:r w:rsidR="0099000B" w:rsidRPr="00FE50A6">
        <w:rPr>
          <w:noProof/>
          <w:szCs w:val="20"/>
          <w:lang w:val="en-US" w:eastAsia="es-ES"/>
        </w:rPr>
        <w:t xml:space="preserve"> </w:t>
      </w:r>
      <w:r w:rsidR="004233E4" w:rsidRPr="00FE50A6">
        <w:rPr>
          <w:noProof/>
          <w:szCs w:val="20"/>
          <w:lang w:val="en-US" w:eastAsia="es-ES"/>
        </w:rPr>
        <w:t xml:space="preserve">No. </w:t>
      </w:r>
      <w:r w:rsidR="00176C77" w:rsidRPr="00FE50A6">
        <w:rPr>
          <w:noProof/>
          <w:szCs w:val="20"/>
          <w:lang w:val="en-US" w:eastAsia="es-ES"/>
        </w:rPr>
        <w:t>1997.39</w:t>
      </w:r>
      <w:r w:rsidR="00F81532" w:rsidRPr="00FE50A6">
        <w:rPr>
          <w:noProof/>
          <w:szCs w:val="20"/>
          <w:lang w:val="en-US" w:eastAsia="es-ES"/>
        </w:rPr>
        <w:t>.01.831-3</w:t>
      </w:r>
      <w:r w:rsidR="00030C17" w:rsidRPr="00FE50A6">
        <w:rPr>
          <w:noProof/>
          <w:szCs w:val="20"/>
          <w:lang w:val="en-US" w:eastAsia="es-ES"/>
        </w:rPr>
        <w:t xml:space="preserve"> and </w:t>
      </w:r>
      <w:r w:rsidRPr="00FE50A6">
        <w:rPr>
          <w:noProof/>
          <w:szCs w:val="20"/>
          <w:lang w:val="en-US" w:eastAsia="es-ES"/>
        </w:rPr>
        <w:t xml:space="preserve">the public civil action, both initiated in 1997, in relation to the inspection of March 10, </w:t>
      </w:r>
      <w:r w:rsidR="0099000B" w:rsidRPr="00FE50A6">
        <w:rPr>
          <w:noProof/>
          <w:szCs w:val="20"/>
          <w:lang w:val="en-US" w:eastAsia="es-ES"/>
        </w:rPr>
        <w:t>1997</w:t>
      </w:r>
      <w:r w:rsidRPr="00FE50A6">
        <w:rPr>
          <w:noProof/>
          <w:szCs w:val="20"/>
          <w:lang w:val="en-US" w:eastAsia="es-ES"/>
        </w:rPr>
        <w:t>, and</w:t>
      </w:r>
      <w:r w:rsidR="0099000B" w:rsidRPr="00FE50A6">
        <w:rPr>
          <w:noProof/>
          <w:szCs w:val="20"/>
          <w:lang w:val="en-US" w:eastAsia="es-ES"/>
        </w:rPr>
        <w:t xml:space="preserve"> </w:t>
      </w:r>
      <w:r w:rsidRPr="00FE50A6">
        <w:rPr>
          <w:noProof/>
          <w:szCs w:val="20"/>
          <w:lang w:val="en-US" w:eastAsia="es-ES"/>
        </w:rPr>
        <w:t>(</w:t>
      </w:r>
      <w:r w:rsidR="0099000B" w:rsidRPr="00FE50A6">
        <w:rPr>
          <w:noProof/>
          <w:szCs w:val="20"/>
          <w:lang w:val="en-US" w:eastAsia="es-ES"/>
        </w:rPr>
        <w:t xml:space="preserve">ii) </w:t>
      </w:r>
      <w:r w:rsidRPr="00FE50A6">
        <w:rPr>
          <w:noProof/>
          <w:szCs w:val="20"/>
          <w:lang w:val="en-US" w:eastAsia="es-ES"/>
        </w:rPr>
        <w:t>the proceedings initiated by virtue of the inspection of</w:t>
      </w:r>
      <w:r w:rsidR="004233E4" w:rsidRPr="00FE50A6">
        <w:rPr>
          <w:noProof/>
          <w:szCs w:val="20"/>
          <w:lang w:val="en-US" w:eastAsia="es-ES"/>
        </w:rPr>
        <w:t xml:space="preserve"> </w:t>
      </w:r>
      <w:r w:rsidR="00A67F6B" w:rsidRPr="00FE50A6">
        <w:rPr>
          <w:noProof/>
          <w:szCs w:val="20"/>
          <w:lang w:val="en-US" w:eastAsia="es-ES"/>
        </w:rPr>
        <w:t>March 15,</w:t>
      </w:r>
      <w:r w:rsidR="004233E4" w:rsidRPr="00FE50A6">
        <w:rPr>
          <w:noProof/>
          <w:szCs w:val="20"/>
          <w:lang w:val="en-US" w:eastAsia="es-ES"/>
        </w:rPr>
        <w:t xml:space="preserve"> 2000.</w:t>
      </w:r>
      <w:r w:rsidR="0099000B" w:rsidRPr="00FE50A6">
        <w:rPr>
          <w:b/>
          <w:noProof/>
          <w:szCs w:val="20"/>
          <w:lang w:val="en-US" w:eastAsia="es-ES"/>
        </w:rPr>
        <w:t xml:space="preserve"> </w:t>
      </w:r>
    </w:p>
    <w:p w14:paraId="632C6376" w14:textId="77777777" w:rsidR="00D81AA1" w:rsidRPr="00FE50A6" w:rsidRDefault="00D81AA1" w:rsidP="00D81AA1">
      <w:pPr>
        <w:tabs>
          <w:tab w:val="clear" w:pos="4419"/>
          <w:tab w:val="clear" w:pos="8838"/>
        </w:tabs>
        <w:contextualSpacing/>
        <w:jc w:val="both"/>
        <w:rPr>
          <w:noProof/>
          <w:szCs w:val="20"/>
          <w:lang w:val="en-US" w:eastAsia="es-ES"/>
        </w:rPr>
      </w:pPr>
    </w:p>
    <w:p w14:paraId="38F0919D" w14:textId="77777777" w:rsidR="00D81AA1" w:rsidRPr="00FE50A6" w:rsidRDefault="00D81AA1" w:rsidP="00A47A97">
      <w:pPr>
        <w:pStyle w:val="Ttulo3"/>
        <w:rPr>
          <w:lang w:val="en-US"/>
        </w:rPr>
      </w:pPr>
      <w:bookmarkStart w:id="347" w:name="_Toc464813976"/>
      <w:r w:rsidRPr="00FE50A6">
        <w:rPr>
          <w:noProof/>
          <w:lang w:val="en-US" w:eastAsia="es-ES"/>
        </w:rPr>
        <w:t>B.1</w:t>
      </w:r>
      <w:r w:rsidR="00DC2886" w:rsidRPr="00FE50A6">
        <w:rPr>
          <w:noProof/>
          <w:lang w:val="en-US" w:eastAsia="es-ES"/>
        </w:rPr>
        <w:t>.</w:t>
      </w:r>
      <w:r w:rsidRPr="00FE50A6">
        <w:rPr>
          <w:noProof/>
          <w:lang w:val="en-US" w:eastAsia="es-ES"/>
        </w:rPr>
        <w:t xml:space="preserve"> </w:t>
      </w:r>
      <w:r w:rsidR="00576F80" w:rsidRPr="00FE50A6">
        <w:rPr>
          <w:noProof/>
          <w:lang w:val="en-US" w:eastAsia="es-ES"/>
        </w:rPr>
        <w:t>Due diligence</w:t>
      </w:r>
      <w:bookmarkEnd w:id="347"/>
    </w:p>
    <w:p w14:paraId="000F1585" w14:textId="77777777" w:rsidR="00D81AA1" w:rsidRPr="00FE50A6" w:rsidRDefault="00D81AA1" w:rsidP="00D81AA1">
      <w:pPr>
        <w:pStyle w:val="Prrafodelista"/>
        <w:tabs>
          <w:tab w:val="left" w:pos="720"/>
        </w:tabs>
        <w:ind w:left="0"/>
        <w:outlineLvl w:val="2"/>
        <w:rPr>
          <w:rFonts w:cs="Arial"/>
          <w:noProof/>
          <w:szCs w:val="20"/>
          <w:lang w:val="en-US"/>
        </w:rPr>
      </w:pPr>
    </w:p>
    <w:p w14:paraId="5DB94EDB" w14:textId="77777777" w:rsidR="00D81AA1" w:rsidRPr="00FE50A6" w:rsidRDefault="000228D0" w:rsidP="00D81AA1">
      <w:pPr>
        <w:numPr>
          <w:ilvl w:val="0"/>
          <w:numId w:val="1"/>
        </w:numPr>
        <w:tabs>
          <w:tab w:val="clear" w:pos="4419"/>
          <w:tab w:val="clear" w:pos="8838"/>
        </w:tabs>
        <w:contextualSpacing/>
        <w:jc w:val="both"/>
        <w:rPr>
          <w:szCs w:val="20"/>
          <w:lang w:val="en-US"/>
        </w:rPr>
      </w:pPr>
      <w:r w:rsidRPr="00FE50A6">
        <w:rPr>
          <w:spacing w:val="-3"/>
          <w:szCs w:val="20"/>
          <w:lang w:val="en-US"/>
        </w:rPr>
        <w:t>The Court</w:t>
      </w:r>
      <w:r w:rsidR="00D81AA1" w:rsidRPr="00FE50A6">
        <w:rPr>
          <w:spacing w:val="-3"/>
          <w:szCs w:val="20"/>
          <w:lang w:val="en-US"/>
        </w:rPr>
        <w:t xml:space="preserve"> rec</w:t>
      </w:r>
      <w:r w:rsidR="00F17B3F" w:rsidRPr="00FE50A6">
        <w:rPr>
          <w:spacing w:val="-3"/>
          <w:szCs w:val="20"/>
          <w:lang w:val="en-US"/>
        </w:rPr>
        <w:t xml:space="preserve">alls that, since protection against </w:t>
      </w:r>
      <w:r w:rsidR="00D11A9F" w:rsidRPr="00FE50A6">
        <w:rPr>
          <w:spacing w:val="-3"/>
          <w:szCs w:val="20"/>
          <w:lang w:val="en-US"/>
        </w:rPr>
        <w:t>slavery</w:t>
      </w:r>
      <w:r w:rsidR="00030C17" w:rsidRPr="00FE50A6">
        <w:rPr>
          <w:spacing w:val="-3"/>
          <w:szCs w:val="20"/>
          <w:lang w:val="en-US"/>
        </w:rPr>
        <w:t xml:space="preserve"> and</w:t>
      </w:r>
      <w:r w:rsidR="00F17B3F" w:rsidRPr="00FE50A6">
        <w:rPr>
          <w:spacing w:val="-3"/>
          <w:szCs w:val="20"/>
          <w:lang w:val="en-US"/>
        </w:rPr>
        <w:t xml:space="preserve"> conditions similar to slavery is an international obligation </w:t>
      </w:r>
      <w:r w:rsidR="00D81AA1" w:rsidRPr="00FE50A6">
        <w:rPr>
          <w:i/>
          <w:iCs/>
          <w:spacing w:val="-3"/>
          <w:szCs w:val="20"/>
          <w:lang w:val="en-US"/>
        </w:rPr>
        <w:t>erga omnes</w:t>
      </w:r>
      <w:r w:rsidR="000B19C0" w:rsidRPr="00FE50A6">
        <w:rPr>
          <w:i/>
          <w:iCs/>
          <w:spacing w:val="-3"/>
          <w:szCs w:val="20"/>
          <w:lang w:val="en-US"/>
        </w:rPr>
        <w:t xml:space="preserve"> </w:t>
      </w:r>
      <w:r w:rsidR="000B19C0" w:rsidRPr="00FE50A6">
        <w:rPr>
          <w:spacing w:val="-3"/>
          <w:szCs w:val="20"/>
          <w:lang w:val="en-US"/>
        </w:rPr>
        <w:t>(</w:t>
      </w:r>
      <w:r w:rsidR="000B19C0" w:rsidRPr="00FE50A6">
        <w:rPr>
          <w:i/>
          <w:spacing w:val="-3"/>
          <w:szCs w:val="20"/>
          <w:lang w:val="en-US"/>
        </w:rPr>
        <w:t xml:space="preserve">supra </w:t>
      </w:r>
      <w:r w:rsidR="000B19C0" w:rsidRPr="00FE50A6">
        <w:rPr>
          <w:spacing w:val="-3"/>
          <w:szCs w:val="20"/>
          <w:lang w:val="en-US"/>
        </w:rPr>
        <w:t>para. 249)</w:t>
      </w:r>
      <w:r w:rsidR="00D81AA1" w:rsidRPr="00FE50A6">
        <w:rPr>
          <w:i/>
          <w:iCs/>
          <w:spacing w:val="-3"/>
          <w:szCs w:val="20"/>
          <w:lang w:val="en-US"/>
        </w:rPr>
        <w:t xml:space="preserve">, </w:t>
      </w:r>
      <w:r w:rsidR="00D81AA1" w:rsidRPr="00FE50A6">
        <w:rPr>
          <w:spacing w:val="-3"/>
          <w:szCs w:val="20"/>
          <w:lang w:val="en-US"/>
        </w:rPr>
        <w:t>deriv</w:t>
      </w:r>
      <w:r w:rsidR="00F17B3F" w:rsidRPr="00FE50A6">
        <w:rPr>
          <w:spacing w:val="-3"/>
          <w:szCs w:val="20"/>
          <w:lang w:val="en-US"/>
        </w:rPr>
        <w:t>ed from the principles and rules concerning the basic rights of the human being</w:t>
      </w:r>
      <w:r w:rsidR="000B19C0" w:rsidRPr="00FE50A6">
        <w:rPr>
          <w:spacing w:val="-3"/>
          <w:szCs w:val="20"/>
          <w:lang w:val="en-US"/>
        </w:rPr>
        <w:t xml:space="preserve">, </w:t>
      </w:r>
      <w:r w:rsidR="00F17B3F" w:rsidRPr="00FE50A6">
        <w:rPr>
          <w:spacing w:val="-3"/>
          <w:szCs w:val="20"/>
          <w:lang w:val="en-US"/>
        </w:rPr>
        <w:t xml:space="preserve">when States are aware of an act that constitutes </w:t>
      </w:r>
      <w:r w:rsidR="00D11A9F" w:rsidRPr="00FE50A6">
        <w:rPr>
          <w:spacing w:val="-3"/>
          <w:szCs w:val="20"/>
          <w:lang w:val="en-US"/>
        </w:rPr>
        <w:t>slavery</w:t>
      </w:r>
      <w:r w:rsidR="00D81AA1" w:rsidRPr="00FE50A6">
        <w:rPr>
          <w:spacing w:val="-3"/>
          <w:szCs w:val="20"/>
          <w:lang w:val="en-US"/>
        </w:rPr>
        <w:t xml:space="preserve">, </w:t>
      </w:r>
      <w:r w:rsidR="00F17B3F" w:rsidRPr="00FE50A6">
        <w:rPr>
          <w:spacing w:val="-3"/>
          <w:szCs w:val="20"/>
          <w:lang w:val="en-US"/>
        </w:rPr>
        <w:t>servitude</w:t>
      </w:r>
      <w:r w:rsidR="00D81AA1" w:rsidRPr="00FE50A6">
        <w:rPr>
          <w:spacing w:val="-3"/>
          <w:szCs w:val="20"/>
          <w:lang w:val="en-US"/>
        </w:rPr>
        <w:t xml:space="preserve"> o</w:t>
      </w:r>
      <w:r w:rsidR="00F17B3F" w:rsidRPr="00FE50A6">
        <w:rPr>
          <w:spacing w:val="-3"/>
          <w:szCs w:val="20"/>
          <w:lang w:val="en-US"/>
        </w:rPr>
        <w:t>r</w:t>
      </w:r>
      <w:r w:rsidR="00D81AA1" w:rsidRPr="00FE50A6">
        <w:rPr>
          <w:spacing w:val="-3"/>
          <w:szCs w:val="20"/>
          <w:lang w:val="en-US"/>
        </w:rPr>
        <w:t xml:space="preserve"> </w:t>
      </w:r>
      <w:r w:rsidR="000C2A19" w:rsidRPr="00FE50A6">
        <w:rPr>
          <w:spacing w:val="-3"/>
          <w:szCs w:val="20"/>
          <w:lang w:val="en-US"/>
        </w:rPr>
        <w:t>trafficking</w:t>
      </w:r>
      <w:r w:rsidR="00D81AA1" w:rsidRPr="00FE50A6">
        <w:rPr>
          <w:spacing w:val="-3"/>
          <w:szCs w:val="20"/>
          <w:lang w:val="en-US"/>
        </w:rPr>
        <w:t xml:space="preserve">, </w:t>
      </w:r>
      <w:r w:rsidR="00351E20" w:rsidRPr="00FE50A6">
        <w:rPr>
          <w:spacing w:val="-3"/>
          <w:szCs w:val="20"/>
          <w:lang w:val="en-US"/>
        </w:rPr>
        <w:t>in the terms of</w:t>
      </w:r>
      <w:r w:rsidR="00D81AA1" w:rsidRPr="00FE50A6">
        <w:rPr>
          <w:spacing w:val="-3"/>
          <w:szCs w:val="20"/>
          <w:lang w:val="en-US"/>
        </w:rPr>
        <w:t xml:space="preserve"> </w:t>
      </w:r>
      <w:r w:rsidRPr="00FE50A6">
        <w:rPr>
          <w:spacing w:val="-3"/>
          <w:szCs w:val="20"/>
          <w:lang w:val="en-US"/>
        </w:rPr>
        <w:t>Article</w:t>
      </w:r>
      <w:r w:rsidR="00D81AA1" w:rsidRPr="00FE50A6">
        <w:rPr>
          <w:spacing w:val="-3"/>
          <w:szCs w:val="20"/>
          <w:lang w:val="en-US"/>
        </w:rPr>
        <w:t xml:space="preserve"> 6</w:t>
      </w:r>
      <w:r w:rsidRPr="00FE50A6">
        <w:rPr>
          <w:spacing w:val="-3"/>
          <w:szCs w:val="20"/>
          <w:lang w:val="en-US"/>
        </w:rPr>
        <w:t xml:space="preserve"> of the American Convention</w:t>
      </w:r>
      <w:r w:rsidR="00D81AA1" w:rsidRPr="00FE50A6">
        <w:rPr>
          <w:spacing w:val="-3"/>
          <w:szCs w:val="20"/>
          <w:lang w:val="en-US"/>
        </w:rPr>
        <w:t xml:space="preserve">, </w:t>
      </w:r>
      <w:r w:rsidR="00F17B3F" w:rsidRPr="00FE50A6">
        <w:rPr>
          <w:spacing w:val="-3"/>
          <w:szCs w:val="20"/>
          <w:lang w:val="en-US"/>
        </w:rPr>
        <w:t>they should open</w:t>
      </w:r>
      <w:r w:rsidR="00D81AA1" w:rsidRPr="00FE50A6">
        <w:rPr>
          <w:spacing w:val="-3"/>
          <w:szCs w:val="20"/>
          <w:lang w:val="en-US"/>
        </w:rPr>
        <w:t xml:space="preserve"> </w:t>
      </w:r>
      <w:r w:rsidR="00D81AA1" w:rsidRPr="00FE50A6">
        <w:rPr>
          <w:i/>
          <w:spacing w:val="-3"/>
          <w:szCs w:val="20"/>
          <w:lang w:val="en-US"/>
        </w:rPr>
        <w:t>ex officio</w:t>
      </w:r>
      <w:r w:rsidR="00D81AA1" w:rsidRPr="00FE50A6">
        <w:rPr>
          <w:spacing w:val="-3"/>
          <w:szCs w:val="20"/>
          <w:lang w:val="en-US"/>
        </w:rPr>
        <w:t xml:space="preserve"> </w:t>
      </w:r>
      <w:r w:rsidR="00F17B3F" w:rsidRPr="00FE50A6">
        <w:rPr>
          <w:spacing w:val="-3"/>
          <w:szCs w:val="20"/>
          <w:lang w:val="en-US"/>
        </w:rPr>
        <w:t>the pertinent investigation in order to establish the corresponding individual responsibilities.</w:t>
      </w:r>
      <w:r w:rsidR="00D81AA1" w:rsidRPr="00FE50A6">
        <w:rPr>
          <w:rStyle w:val="Refdenotaalpie"/>
          <w:spacing w:val="-3"/>
          <w:lang w:val="en-US"/>
        </w:rPr>
        <w:footnoteReference w:id="479"/>
      </w:r>
    </w:p>
    <w:p w14:paraId="29130299" w14:textId="77777777" w:rsidR="00D81AA1" w:rsidRPr="00FE50A6" w:rsidRDefault="00D81AA1" w:rsidP="00D81AA1">
      <w:pPr>
        <w:pStyle w:val="Prrafodelista"/>
        <w:rPr>
          <w:spacing w:val="-3"/>
          <w:szCs w:val="20"/>
          <w:lang w:val="en-US"/>
        </w:rPr>
      </w:pPr>
    </w:p>
    <w:p w14:paraId="5957834B" w14:textId="77777777" w:rsidR="00D81AA1" w:rsidRPr="00FE50A6" w:rsidRDefault="00F17B3F" w:rsidP="00D81AA1">
      <w:pPr>
        <w:numPr>
          <w:ilvl w:val="0"/>
          <w:numId w:val="1"/>
        </w:numPr>
        <w:tabs>
          <w:tab w:val="clear" w:pos="4419"/>
          <w:tab w:val="clear" w:pos="8838"/>
        </w:tabs>
        <w:contextualSpacing/>
        <w:jc w:val="both"/>
        <w:rPr>
          <w:szCs w:val="20"/>
          <w:lang w:val="en-US"/>
        </w:rPr>
      </w:pPr>
      <w:r w:rsidRPr="00FE50A6">
        <w:rPr>
          <w:spacing w:val="-3"/>
          <w:szCs w:val="20"/>
          <w:lang w:val="en-US"/>
        </w:rPr>
        <w:t xml:space="preserve">In this case, </w:t>
      </w:r>
      <w:r w:rsidR="000228D0" w:rsidRPr="00FE50A6">
        <w:rPr>
          <w:spacing w:val="-3"/>
          <w:szCs w:val="20"/>
          <w:lang w:val="en-US"/>
        </w:rPr>
        <w:t>the State</w:t>
      </w:r>
      <w:r w:rsidR="00D81AA1" w:rsidRPr="00FE50A6">
        <w:rPr>
          <w:spacing w:val="-3"/>
          <w:szCs w:val="20"/>
          <w:lang w:val="en-US"/>
        </w:rPr>
        <w:t xml:space="preserve"> </w:t>
      </w:r>
      <w:r w:rsidRPr="00FE50A6">
        <w:rPr>
          <w:spacing w:val="-3"/>
          <w:szCs w:val="20"/>
          <w:lang w:val="en-US"/>
        </w:rPr>
        <w:t xml:space="preserve">had an obligation to act with </w:t>
      </w:r>
      <w:r w:rsidR="00576F80" w:rsidRPr="00FE50A6">
        <w:rPr>
          <w:spacing w:val="-3"/>
          <w:szCs w:val="20"/>
          <w:lang w:val="en-US"/>
        </w:rPr>
        <w:t>due diligence</w:t>
      </w:r>
      <w:r w:rsidR="00D81AA1" w:rsidRPr="00FE50A6">
        <w:rPr>
          <w:spacing w:val="-3"/>
          <w:szCs w:val="20"/>
          <w:lang w:val="en-US"/>
        </w:rPr>
        <w:t xml:space="preserve"> </w:t>
      </w:r>
      <w:r w:rsidR="00A76F43" w:rsidRPr="00FE50A6">
        <w:rPr>
          <w:spacing w:val="-3"/>
          <w:szCs w:val="20"/>
          <w:lang w:val="en-US"/>
        </w:rPr>
        <w:t>and this</w:t>
      </w:r>
      <w:r w:rsidRPr="00FE50A6">
        <w:rPr>
          <w:spacing w:val="-3"/>
          <w:szCs w:val="20"/>
          <w:lang w:val="en-US"/>
        </w:rPr>
        <w:t xml:space="preserve"> was increased owing to the gravity of the facts that had been reported and the nature of the obligation. The State should have acted diligently to prevent the facts remaining unpunished, as occurred in this case. </w:t>
      </w:r>
    </w:p>
    <w:p w14:paraId="0D54BAAD" w14:textId="77777777" w:rsidR="00D81AA1" w:rsidRPr="00FE50A6" w:rsidRDefault="00D81AA1" w:rsidP="00D81AA1">
      <w:pPr>
        <w:tabs>
          <w:tab w:val="clear" w:pos="4419"/>
          <w:tab w:val="clear" w:pos="8838"/>
        </w:tabs>
        <w:contextualSpacing/>
        <w:jc w:val="both"/>
        <w:rPr>
          <w:szCs w:val="20"/>
          <w:lang w:val="en-US"/>
        </w:rPr>
      </w:pPr>
    </w:p>
    <w:p w14:paraId="068A3DF1" w14:textId="77777777" w:rsidR="00CA246A" w:rsidRPr="00FE50A6" w:rsidRDefault="000228D0" w:rsidP="007B7BE5">
      <w:pPr>
        <w:numPr>
          <w:ilvl w:val="0"/>
          <w:numId w:val="1"/>
        </w:numPr>
        <w:tabs>
          <w:tab w:val="clear" w:pos="4419"/>
          <w:tab w:val="clear" w:pos="8838"/>
        </w:tabs>
        <w:contextualSpacing/>
        <w:jc w:val="both"/>
        <w:rPr>
          <w:szCs w:val="20"/>
          <w:lang w:val="en-US"/>
        </w:rPr>
      </w:pPr>
      <w:r w:rsidRPr="00FE50A6">
        <w:rPr>
          <w:szCs w:val="20"/>
          <w:lang w:val="en-US"/>
        </w:rPr>
        <w:t>The Court</w:t>
      </w:r>
      <w:r w:rsidR="00D81AA1" w:rsidRPr="00FE50A6">
        <w:rPr>
          <w:szCs w:val="20"/>
          <w:lang w:val="en-US"/>
        </w:rPr>
        <w:t xml:space="preserve"> reitera</w:t>
      </w:r>
      <w:r w:rsidR="00F17B3F" w:rsidRPr="00FE50A6">
        <w:rPr>
          <w:szCs w:val="20"/>
          <w:lang w:val="en-US"/>
        </w:rPr>
        <w:t xml:space="preserve">tes that exceptional due diligence was required in this case, </w:t>
      </w:r>
      <w:r w:rsidR="00A76F43" w:rsidRPr="00FE50A6">
        <w:rPr>
          <w:szCs w:val="20"/>
          <w:lang w:val="en-US"/>
        </w:rPr>
        <w:t>due to</w:t>
      </w:r>
      <w:r w:rsidR="00F17B3F" w:rsidRPr="00FE50A6">
        <w:rPr>
          <w:szCs w:val="20"/>
          <w:lang w:val="en-US"/>
        </w:rPr>
        <w:t xml:space="preserve"> the particular situation of vulnerability of the</w:t>
      </w:r>
      <w:r w:rsidR="00D81AA1" w:rsidRPr="00FE50A6">
        <w:rPr>
          <w:szCs w:val="20"/>
          <w:lang w:val="en-US"/>
        </w:rPr>
        <w:t xml:space="preserve">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00F17B3F" w:rsidRPr="00FE50A6">
        <w:rPr>
          <w:szCs w:val="20"/>
          <w:lang w:val="en-US"/>
        </w:rPr>
        <w:t>w</w:t>
      </w:r>
      <w:r w:rsidR="00030C17" w:rsidRPr="00FE50A6">
        <w:rPr>
          <w:szCs w:val="20"/>
          <w:lang w:val="en-US"/>
        </w:rPr>
        <w:t xml:space="preserve">orkers and </w:t>
      </w:r>
      <w:r w:rsidR="00F17B3F" w:rsidRPr="00FE50A6">
        <w:rPr>
          <w:szCs w:val="20"/>
          <w:lang w:val="en-US"/>
        </w:rPr>
        <w:t xml:space="preserve">the extreme </w:t>
      </w:r>
      <w:r w:rsidR="00A76F43" w:rsidRPr="00FE50A6">
        <w:rPr>
          <w:szCs w:val="20"/>
          <w:lang w:val="en-US"/>
        </w:rPr>
        <w:t>gravity</w:t>
      </w:r>
      <w:r w:rsidR="00F17B3F" w:rsidRPr="00FE50A6">
        <w:rPr>
          <w:szCs w:val="20"/>
          <w:lang w:val="en-US"/>
        </w:rPr>
        <w:t xml:space="preserve"> of the situation reported to the State. Consequently, it was essential to take the pertinent measures in order to avoid delays in processing the proceedings to ensure </w:t>
      </w:r>
      <w:r w:rsidR="00A76F43" w:rsidRPr="00FE50A6">
        <w:rPr>
          <w:szCs w:val="20"/>
          <w:lang w:val="en-US"/>
        </w:rPr>
        <w:t>a prompt decision</w:t>
      </w:r>
      <w:r w:rsidR="00F17B3F" w:rsidRPr="00FE50A6">
        <w:rPr>
          <w:szCs w:val="20"/>
          <w:lang w:val="en-US"/>
        </w:rPr>
        <w:t xml:space="preserve"> and </w:t>
      </w:r>
      <w:r w:rsidR="00A76F43" w:rsidRPr="00FE50A6">
        <w:rPr>
          <w:szCs w:val="20"/>
          <w:lang w:val="en-US"/>
        </w:rPr>
        <w:t xml:space="preserve">its </w:t>
      </w:r>
      <w:r w:rsidR="00F17B3F" w:rsidRPr="00FE50A6">
        <w:rPr>
          <w:szCs w:val="20"/>
          <w:lang w:val="en-US"/>
        </w:rPr>
        <w:t>execution.</w:t>
      </w:r>
      <w:r w:rsidR="00D81AA1" w:rsidRPr="00FE50A6">
        <w:rPr>
          <w:rStyle w:val="Refdenotaalpie"/>
          <w:lang w:val="en-US"/>
        </w:rPr>
        <w:footnoteReference w:id="480"/>
      </w:r>
      <w:r w:rsidR="00D81AA1" w:rsidRPr="00FE50A6">
        <w:rPr>
          <w:szCs w:val="20"/>
          <w:lang w:val="en-US"/>
        </w:rPr>
        <w:t xml:space="preserve"> </w:t>
      </w:r>
      <w:r w:rsidR="00F17B3F" w:rsidRPr="00FE50A6">
        <w:rPr>
          <w:szCs w:val="20"/>
          <w:lang w:val="en-US"/>
        </w:rPr>
        <w:t>In this regard,</w:t>
      </w:r>
      <w:r w:rsidR="008C14EB" w:rsidRPr="00FE50A6">
        <w:rPr>
          <w:szCs w:val="20"/>
          <w:lang w:val="en-US"/>
        </w:rPr>
        <w:t xml:space="preserve"> </w:t>
      </w:r>
      <w:r w:rsidR="002071B1" w:rsidRPr="00FE50A6">
        <w:rPr>
          <w:szCs w:val="20"/>
          <w:lang w:val="en-US"/>
        </w:rPr>
        <w:t xml:space="preserve">the </w:t>
      </w:r>
      <w:r w:rsidR="00B44229" w:rsidRPr="00FE50A6">
        <w:rPr>
          <w:szCs w:val="20"/>
          <w:lang w:val="en-US"/>
        </w:rPr>
        <w:t>European Court</w:t>
      </w:r>
      <w:r w:rsidR="00176C77" w:rsidRPr="00FE50A6">
        <w:rPr>
          <w:szCs w:val="20"/>
          <w:lang w:val="en-US"/>
        </w:rPr>
        <w:t xml:space="preserve"> </w:t>
      </w:r>
      <w:r w:rsidR="00F17B3F" w:rsidRPr="00FE50A6">
        <w:rPr>
          <w:szCs w:val="20"/>
          <w:lang w:val="en-US"/>
        </w:rPr>
        <w:t>has also</w:t>
      </w:r>
      <w:r w:rsidR="007B7BE5" w:rsidRPr="00FE50A6">
        <w:rPr>
          <w:szCs w:val="20"/>
          <w:lang w:val="en-US"/>
        </w:rPr>
        <w:t xml:space="preserve"> </w:t>
      </w:r>
      <w:r w:rsidR="00F17B3F" w:rsidRPr="00FE50A6">
        <w:rPr>
          <w:szCs w:val="20"/>
          <w:lang w:val="en-US"/>
        </w:rPr>
        <w:t xml:space="preserve">indicated that special diligence </w:t>
      </w:r>
      <w:r w:rsidR="00A76F43" w:rsidRPr="00FE50A6">
        <w:rPr>
          <w:szCs w:val="20"/>
          <w:lang w:val="en-US"/>
        </w:rPr>
        <w:t>i</w:t>
      </w:r>
      <w:r w:rsidR="007B7BE5" w:rsidRPr="00FE50A6">
        <w:rPr>
          <w:szCs w:val="20"/>
          <w:lang w:val="en-US"/>
        </w:rPr>
        <w:t>s</w:t>
      </w:r>
      <w:r w:rsidR="00F17B3F" w:rsidRPr="00FE50A6">
        <w:rPr>
          <w:szCs w:val="20"/>
          <w:lang w:val="en-US"/>
        </w:rPr>
        <w:t xml:space="preserve"> required</w:t>
      </w:r>
      <w:r w:rsidR="007B7BE5" w:rsidRPr="00FE50A6">
        <w:rPr>
          <w:szCs w:val="20"/>
          <w:lang w:val="en-US"/>
        </w:rPr>
        <w:t xml:space="preserve"> in cases in which the integrity of an individual is at stake, and that States have a positive obligation “requiring the penalization and effective prosecution of any act aimed at maintaining </w:t>
      </w:r>
      <w:r w:rsidR="00A76F43" w:rsidRPr="00FE50A6">
        <w:rPr>
          <w:szCs w:val="20"/>
          <w:lang w:val="en-US"/>
        </w:rPr>
        <w:t>a</w:t>
      </w:r>
      <w:r w:rsidR="007B7BE5" w:rsidRPr="00FE50A6">
        <w:rPr>
          <w:szCs w:val="20"/>
          <w:lang w:val="en-US"/>
        </w:rPr>
        <w:t xml:space="preserve"> person in [a] situation” of </w:t>
      </w:r>
      <w:r w:rsidR="00D11A9F" w:rsidRPr="00FE50A6">
        <w:rPr>
          <w:szCs w:val="20"/>
          <w:lang w:val="en-US"/>
        </w:rPr>
        <w:t>slavery</w:t>
      </w:r>
      <w:r w:rsidR="00D81AA1" w:rsidRPr="00FE50A6">
        <w:rPr>
          <w:szCs w:val="20"/>
          <w:lang w:val="en-US"/>
        </w:rPr>
        <w:t xml:space="preserve">, </w:t>
      </w:r>
      <w:r w:rsidR="007B7BE5" w:rsidRPr="00FE50A6">
        <w:rPr>
          <w:szCs w:val="20"/>
          <w:lang w:val="en-US"/>
        </w:rPr>
        <w:t>servitude</w:t>
      </w:r>
      <w:r w:rsidR="00D81AA1" w:rsidRPr="00FE50A6">
        <w:rPr>
          <w:szCs w:val="20"/>
          <w:lang w:val="en-US"/>
        </w:rPr>
        <w:t xml:space="preserve"> o</w:t>
      </w:r>
      <w:r w:rsidR="007B7BE5" w:rsidRPr="00FE50A6">
        <w:rPr>
          <w:szCs w:val="20"/>
          <w:lang w:val="en-US"/>
        </w:rPr>
        <w:t>r</w:t>
      </w:r>
      <w:r w:rsidR="00D81AA1" w:rsidRPr="00FE50A6">
        <w:rPr>
          <w:szCs w:val="20"/>
          <w:lang w:val="en-US"/>
        </w:rPr>
        <w:t xml:space="preserve"> </w:t>
      </w:r>
      <w:r w:rsidR="005F1946" w:rsidRPr="00FE50A6">
        <w:rPr>
          <w:szCs w:val="20"/>
          <w:lang w:val="en-US"/>
        </w:rPr>
        <w:t xml:space="preserve">forced </w:t>
      </w:r>
      <w:r w:rsidR="007B7BE5" w:rsidRPr="00FE50A6">
        <w:rPr>
          <w:szCs w:val="20"/>
          <w:lang w:val="en-US"/>
        </w:rPr>
        <w:t xml:space="preserve">or compulsory </w:t>
      </w:r>
      <w:r w:rsidR="005F1946" w:rsidRPr="00FE50A6">
        <w:rPr>
          <w:szCs w:val="20"/>
          <w:lang w:val="en-US"/>
        </w:rPr>
        <w:t>labor</w:t>
      </w:r>
      <w:r w:rsidR="00D81AA1" w:rsidRPr="00FE50A6">
        <w:rPr>
          <w:rStyle w:val="Refdenotaalpie"/>
          <w:lang w:val="en-US"/>
        </w:rPr>
        <w:footnoteReference w:id="481"/>
      </w:r>
      <w:r w:rsidR="00D81AA1" w:rsidRPr="00FE50A6">
        <w:rPr>
          <w:szCs w:val="20"/>
          <w:lang w:val="en-US"/>
        </w:rPr>
        <w:t xml:space="preserve">. </w:t>
      </w:r>
      <w:r w:rsidR="007B7BE5" w:rsidRPr="00FE50A6">
        <w:rPr>
          <w:szCs w:val="20"/>
          <w:lang w:val="en-US"/>
        </w:rPr>
        <w:t xml:space="preserve">That </w:t>
      </w:r>
      <w:r w:rsidR="00A76F43" w:rsidRPr="00FE50A6">
        <w:rPr>
          <w:szCs w:val="20"/>
          <w:lang w:val="en-US"/>
        </w:rPr>
        <w:t>c</w:t>
      </w:r>
      <w:r w:rsidR="007B7BE5" w:rsidRPr="00FE50A6">
        <w:rPr>
          <w:szCs w:val="20"/>
          <w:lang w:val="en-US"/>
        </w:rPr>
        <w:t>ourt has also established that the requirement to investigate</w:t>
      </w:r>
      <w:r w:rsidR="00615E39" w:rsidRPr="00FE50A6">
        <w:rPr>
          <w:szCs w:val="20"/>
          <w:lang w:val="en-US"/>
        </w:rPr>
        <w:t xml:space="preserve"> </w:t>
      </w:r>
      <w:r w:rsidR="000C2A19" w:rsidRPr="00FE50A6">
        <w:rPr>
          <w:szCs w:val="20"/>
          <w:lang w:val="en-US"/>
        </w:rPr>
        <w:t>trafficking in persons</w:t>
      </w:r>
      <w:r w:rsidR="00615E39" w:rsidRPr="00FE50A6">
        <w:rPr>
          <w:szCs w:val="20"/>
          <w:lang w:val="en-US"/>
        </w:rPr>
        <w:t xml:space="preserve"> </w:t>
      </w:r>
      <w:r w:rsidR="007B7BE5" w:rsidRPr="00FE50A6">
        <w:rPr>
          <w:szCs w:val="20"/>
          <w:lang w:val="en-US"/>
        </w:rPr>
        <w:t xml:space="preserve">“does not depend on a complaint; rather, once the matter has come to the attention of the authorities they must act of their own motion.” Lastly, it has indicated that the requirement of due diligence </w:t>
      </w:r>
      <w:r w:rsidR="00A76F43" w:rsidRPr="00FE50A6">
        <w:rPr>
          <w:szCs w:val="20"/>
          <w:lang w:val="en-US"/>
        </w:rPr>
        <w:t>i</w:t>
      </w:r>
      <w:r w:rsidR="007B7BE5" w:rsidRPr="00FE50A6">
        <w:rPr>
          <w:szCs w:val="20"/>
          <w:lang w:val="en-US"/>
        </w:rPr>
        <w:t>s “implicit in all cases, but where the possibility of removing the individual from the harmful situation is available, the investigation must be undertaken as a matter of urgency.”</w:t>
      </w:r>
      <w:r w:rsidR="00D81AA1" w:rsidRPr="00FE50A6">
        <w:rPr>
          <w:rStyle w:val="Refdenotaalpie"/>
          <w:lang w:val="en-US"/>
        </w:rPr>
        <w:footnoteReference w:id="482"/>
      </w:r>
      <w:r w:rsidR="00D81AA1" w:rsidRPr="00FE50A6">
        <w:rPr>
          <w:szCs w:val="20"/>
          <w:lang w:val="en-US"/>
        </w:rPr>
        <w:t xml:space="preserve"> </w:t>
      </w:r>
    </w:p>
    <w:p w14:paraId="0076F7C8" w14:textId="77777777" w:rsidR="00A77667" w:rsidRPr="00FE50A6" w:rsidRDefault="00A77667" w:rsidP="00A77667">
      <w:pPr>
        <w:tabs>
          <w:tab w:val="clear" w:pos="4419"/>
          <w:tab w:val="clear" w:pos="8838"/>
        </w:tabs>
        <w:contextualSpacing/>
        <w:jc w:val="both"/>
        <w:rPr>
          <w:szCs w:val="20"/>
          <w:lang w:val="en-US"/>
        </w:rPr>
      </w:pPr>
    </w:p>
    <w:p w14:paraId="6F0C7418" w14:textId="77777777" w:rsidR="00CA246A" w:rsidRPr="00FE50A6" w:rsidRDefault="007B7BE5" w:rsidP="00A77667">
      <w:pPr>
        <w:numPr>
          <w:ilvl w:val="0"/>
          <w:numId w:val="1"/>
        </w:numPr>
        <w:tabs>
          <w:tab w:val="clear" w:pos="4419"/>
          <w:tab w:val="clear" w:pos="8838"/>
        </w:tabs>
        <w:contextualSpacing/>
        <w:jc w:val="both"/>
        <w:rPr>
          <w:szCs w:val="20"/>
          <w:lang w:val="en-US"/>
        </w:rPr>
      </w:pPr>
      <w:r w:rsidRPr="00FE50A6">
        <w:rPr>
          <w:szCs w:val="20"/>
          <w:lang w:val="en-US"/>
        </w:rPr>
        <w:t>In order to examine</w:t>
      </w:r>
      <w:r w:rsidR="00A77667" w:rsidRPr="00FE50A6">
        <w:rPr>
          <w:szCs w:val="20"/>
          <w:lang w:val="en-US"/>
        </w:rPr>
        <w:t xml:space="preserve"> </w:t>
      </w:r>
      <w:r w:rsidR="00576F80" w:rsidRPr="00FE50A6">
        <w:rPr>
          <w:szCs w:val="20"/>
          <w:lang w:val="en-US"/>
        </w:rPr>
        <w:t>due diligence</w:t>
      </w:r>
      <w:r w:rsidR="00A77667" w:rsidRPr="00FE50A6">
        <w:rPr>
          <w:szCs w:val="20"/>
          <w:lang w:val="en-US"/>
        </w:rPr>
        <w:t xml:space="preserve">, </w:t>
      </w:r>
      <w:r w:rsidR="000228D0" w:rsidRPr="00FE50A6">
        <w:rPr>
          <w:szCs w:val="20"/>
          <w:lang w:val="en-US"/>
        </w:rPr>
        <w:t>the Court</w:t>
      </w:r>
      <w:r w:rsidR="00A77667" w:rsidRPr="00FE50A6">
        <w:rPr>
          <w:szCs w:val="20"/>
          <w:lang w:val="en-US"/>
        </w:rPr>
        <w:t xml:space="preserve"> </w:t>
      </w:r>
      <w:r w:rsidR="00AC5810" w:rsidRPr="00FE50A6">
        <w:rPr>
          <w:szCs w:val="20"/>
          <w:lang w:val="en-US"/>
        </w:rPr>
        <w:t>will now make a brief summary of the actions in the criminal proceedings</w:t>
      </w:r>
      <w:r w:rsidR="00A77667" w:rsidRPr="00FE50A6">
        <w:rPr>
          <w:szCs w:val="20"/>
          <w:lang w:val="en-US"/>
        </w:rPr>
        <w:t xml:space="preserve">: </w:t>
      </w:r>
      <w:r w:rsidR="00AC5810" w:rsidRPr="00FE50A6">
        <w:rPr>
          <w:rFonts w:cs="Arial"/>
          <w:szCs w:val="20"/>
          <w:lang w:val="en-US"/>
        </w:rPr>
        <w:t>on March 10,</w:t>
      </w:r>
      <w:r w:rsidR="00CA246A" w:rsidRPr="00FE50A6">
        <w:rPr>
          <w:rFonts w:cs="Arial"/>
          <w:szCs w:val="20"/>
          <w:lang w:val="en-US"/>
        </w:rPr>
        <w:t xml:space="preserve"> 1997</w:t>
      </w:r>
      <w:r w:rsidR="00AC5810" w:rsidRPr="00FE50A6">
        <w:rPr>
          <w:rFonts w:cs="Arial"/>
          <w:szCs w:val="20"/>
          <w:lang w:val="en-US"/>
        </w:rPr>
        <w:t>,</w:t>
      </w:r>
      <w:r w:rsidR="00CA246A" w:rsidRPr="00FE50A6">
        <w:rPr>
          <w:rFonts w:cs="Arial"/>
          <w:szCs w:val="20"/>
          <w:lang w:val="en-US"/>
        </w:rPr>
        <w:t xml:space="preserve"> José da Costa Oliveira</w:t>
      </w:r>
      <w:r w:rsidR="00030C17" w:rsidRPr="00FE50A6">
        <w:rPr>
          <w:rFonts w:cs="Arial"/>
          <w:szCs w:val="20"/>
          <w:lang w:val="en-US"/>
        </w:rPr>
        <w:t xml:space="preserve"> and </w:t>
      </w:r>
      <w:r w:rsidR="00CA246A" w:rsidRPr="00FE50A6">
        <w:rPr>
          <w:rFonts w:cs="Arial"/>
          <w:szCs w:val="20"/>
          <w:lang w:val="en-US"/>
        </w:rPr>
        <w:t xml:space="preserve">José Ferreira dos Santos </w:t>
      </w:r>
      <w:r w:rsidR="00AC5810" w:rsidRPr="00FE50A6">
        <w:rPr>
          <w:rFonts w:cs="Arial"/>
          <w:szCs w:val="20"/>
          <w:lang w:val="en-US"/>
        </w:rPr>
        <w:t xml:space="preserve">made a statement before the Pará </w:t>
      </w:r>
      <w:r w:rsidR="00164F75" w:rsidRPr="00FE50A6">
        <w:rPr>
          <w:rFonts w:cs="Arial"/>
          <w:szCs w:val="20"/>
          <w:lang w:val="en-US"/>
        </w:rPr>
        <w:t>Federal Police Department</w:t>
      </w:r>
      <w:r w:rsidR="00CA246A" w:rsidRPr="00FE50A6">
        <w:rPr>
          <w:rFonts w:cs="Arial"/>
          <w:szCs w:val="20"/>
          <w:lang w:val="en-US"/>
        </w:rPr>
        <w:t>, Marabá</w:t>
      </w:r>
      <w:r w:rsidR="00AC5810" w:rsidRPr="00FE50A6">
        <w:rPr>
          <w:rFonts w:cs="Arial"/>
          <w:szCs w:val="20"/>
          <w:lang w:val="en-US"/>
        </w:rPr>
        <w:t xml:space="preserve"> Delegation, in which they </w:t>
      </w:r>
      <w:r w:rsidR="00A76F43" w:rsidRPr="00FE50A6">
        <w:rPr>
          <w:rFonts w:cs="Arial"/>
          <w:szCs w:val="20"/>
          <w:lang w:val="en-US"/>
        </w:rPr>
        <w:t>declared</w:t>
      </w:r>
      <w:r w:rsidR="00AC5810" w:rsidRPr="00FE50A6">
        <w:rPr>
          <w:rFonts w:cs="Arial"/>
          <w:szCs w:val="20"/>
          <w:lang w:val="en-US"/>
        </w:rPr>
        <w:t xml:space="preserve"> that they had worked in and escaped from </w:t>
      </w:r>
      <w:r w:rsidR="00CA246A" w:rsidRPr="00FE50A6">
        <w:rPr>
          <w:rFonts w:cs="Arial"/>
          <w:iCs/>
          <w:szCs w:val="20"/>
          <w:lang w:val="en-US"/>
        </w:rPr>
        <w:t xml:space="preserve">Hacienda </w:t>
      </w:r>
      <w:r w:rsidR="00322241" w:rsidRPr="00FE50A6">
        <w:rPr>
          <w:rFonts w:cs="Arial"/>
          <w:iCs/>
          <w:szCs w:val="20"/>
          <w:lang w:val="en-US"/>
        </w:rPr>
        <w:t>Brasil Verde</w:t>
      </w:r>
      <w:r w:rsidR="00CA246A" w:rsidRPr="00FE50A6">
        <w:rPr>
          <w:rFonts w:cs="Arial"/>
          <w:i/>
          <w:iCs/>
          <w:szCs w:val="20"/>
          <w:lang w:val="en-US"/>
        </w:rPr>
        <w:t xml:space="preserve"> </w:t>
      </w:r>
      <w:r w:rsidR="00CA246A" w:rsidRPr="00FE50A6">
        <w:rPr>
          <w:rFonts w:cs="Arial"/>
          <w:szCs w:val="20"/>
          <w:lang w:val="en-US"/>
        </w:rPr>
        <w:t>(</w:t>
      </w:r>
      <w:r w:rsidR="00CA246A" w:rsidRPr="00FE50A6">
        <w:rPr>
          <w:rFonts w:cs="Arial"/>
          <w:i/>
          <w:szCs w:val="20"/>
          <w:lang w:val="en-US"/>
        </w:rPr>
        <w:t>supra</w:t>
      </w:r>
      <w:r w:rsidR="00CA246A" w:rsidRPr="00FE50A6">
        <w:rPr>
          <w:rFonts w:cs="Arial"/>
          <w:szCs w:val="20"/>
          <w:lang w:val="en-US"/>
        </w:rPr>
        <w:t xml:space="preserve"> </w:t>
      </w:r>
      <w:r w:rsidR="00700B79" w:rsidRPr="00FE50A6">
        <w:rPr>
          <w:rFonts w:cs="Arial"/>
          <w:szCs w:val="20"/>
          <w:lang w:val="en-US"/>
        </w:rPr>
        <w:t>para.</w:t>
      </w:r>
      <w:r w:rsidR="00CA246A" w:rsidRPr="00FE50A6">
        <w:rPr>
          <w:rFonts w:cs="Arial"/>
          <w:szCs w:val="20"/>
          <w:lang w:val="en-US"/>
        </w:rPr>
        <w:t xml:space="preserve"> </w:t>
      </w:r>
      <w:r w:rsidR="000B7430" w:rsidRPr="00FE50A6">
        <w:rPr>
          <w:rFonts w:cs="Arial"/>
          <w:szCs w:val="20"/>
          <w:lang w:val="en-US"/>
        </w:rPr>
        <w:t>143</w:t>
      </w:r>
      <w:r w:rsidR="00CA246A" w:rsidRPr="00FE50A6">
        <w:rPr>
          <w:rFonts w:cs="Arial"/>
          <w:szCs w:val="20"/>
          <w:lang w:val="en-US"/>
        </w:rPr>
        <w:t xml:space="preserve">). </w:t>
      </w:r>
      <w:r w:rsidR="00AC5810" w:rsidRPr="00FE50A6">
        <w:rPr>
          <w:rFonts w:cs="Arial"/>
          <w:szCs w:val="20"/>
          <w:lang w:val="en-US"/>
        </w:rPr>
        <w:t xml:space="preserve">As a result of the </w:t>
      </w:r>
      <w:r w:rsidR="00833DD0" w:rsidRPr="00FE50A6">
        <w:rPr>
          <w:rFonts w:cs="Arial"/>
          <w:szCs w:val="20"/>
          <w:lang w:val="en-US"/>
        </w:rPr>
        <w:t>Ministry</w:t>
      </w:r>
      <w:r w:rsidR="0081756E" w:rsidRPr="00FE50A6">
        <w:rPr>
          <w:rFonts w:cs="Arial"/>
          <w:szCs w:val="20"/>
          <w:lang w:val="en-US"/>
        </w:rPr>
        <w:t xml:space="preserve"> of Labor</w:t>
      </w:r>
      <w:r w:rsidR="00AC5810" w:rsidRPr="00FE50A6">
        <w:rPr>
          <w:rFonts w:cs="Arial"/>
          <w:szCs w:val="20"/>
          <w:lang w:val="en-US"/>
        </w:rPr>
        <w:t xml:space="preserve">’s report, on June 30, </w:t>
      </w:r>
      <w:r w:rsidR="00CA246A" w:rsidRPr="00FE50A6">
        <w:rPr>
          <w:rFonts w:cs="Arial"/>
          <w:szCs w:val="20"/>
          <w:lang w:val="en-US"/>
        </w:rPr>
        <w:t>1997</w:t>
      </w:r>
      <w:r w:rsidR="00AC5810" w:rsidRPr="00FE50A6">
        <w:rPr>
          <w:rFonts w:cs="Arial"/>
          <w:szCs w:val="20"/>
          <w:lang w:val="en-US"/>
        </w:rPr>
        <w:t>, the</w:t>
      </w:r>
      <w:r w:rsidR="00CA246A" w:rsidRPr="00FE50A6">
        <w:rPr>
          <w:rFonts w:cs="Arial"/>
          <w:szCs w:val="20"/>
          <w:lang w:val="en-US"/>
        </w:rPr>
        <w:t xml:space="preserve"> </w:t>
      </w:r>
      <w:r w:rsidR="00DC398B" w:rsidRPr="00FE50A6">
        <w:rPr>
          <w:rFonts w:cs="Arial"/>
          <w:szCs w:val="20"/>
          <w:lang w:val="en-US"/>
        </w:rPr>
        <w:t>Federal Public Prosecution Service</w:t>
      </w:r>
      <w:r w:rsidR="00CA246A" w:rsidRPr="00FE50A6">
        <w:rPr>
          <w:rFonts w:cs="Arial"/>
          <w:szCs w:val="20"/>
          <w:lang w:val="en-US"/>
        </w:rPr>
        <w:t xml:space="preserve"> </w:t>
      </w:r>
      <w:r w:rsidR="00AC5810" w:rsidRPr="00FE50A6">
        <w:rPr>
          <w:rFonts w:cs="Arial"/>
          <w:szCs w:val="20"/>
          <w:lang w:val="en-US"/>
        </w:rPr>
        <w:t xml:space="preserve">filed criminal charges against </w:t>
      </w:r>
      <w:r w:rsidR="00CA246A" w:rsidRPr="00FE50A6">
        <w:rPr>
          <w:rFonts w:cs="Arial"/>
          <w:szCs w:val="20"/>
          <w:lang w:val="en-US"/>
        </w:rPr>
        <w:t>Raimundo Alves de Rocha</w:t>
      </w:r>
      <w:r w:rsidR="0036131F" w:rsidRPr="00FE50A6">
        <w:rPr>
          <w:rFonts w:cs="Arial"/>
          <w:szCs w:val="20"/>
          <w:lang w:val="en-US"/>
        </w:rPr>
        <w:t>,</w:t>
      </w:r>
      <w:r w:rsidR="00CA246A" w:rsidRPr="00FE50A6">
        <w:rPr>
          <w:rFonts w:cs="Times New Roman"/>
          <w:szCs w:val="20"/>
          <w:lang w:val="en-US"/>
        </w:rPr>
        <w:t xml:space="preserve"> </w:t>
      </w:r>
      <w:r w:rsidR="00D60654" w:rsidRPr="00FE50A6">
        <w:rPr>
          <w:rFonts w:cs="Arial"/>
          <w:szCs w:val="20"/>
          <w:lang w:val="en-US"/>
        </w:rPr>
        <w:t xml:space="preserve">Antônio </w:t>
      </w:r>
      <w:r w:rsidR="00CA246A" w:rsidRPr="00FE50A6">
        <w:rPr>
          <w:rFonts w:cs="Arial"/>
          <w:szCs w:val="20"/>
          <w:lang w:val="en-US"/>
        </w:rPr>
        <w:t>Alves Vieira</w:t>
      </w:r>
      <w:r w:rsidR="00030C17" w:rsidRPr="00FE50A6">
        <w:rPr>
          <w:rFonts w:cs="Arial"/>
          <w:szCs w:val="20"/>
          <w:lang w:val="en-US"/>
        </w:rPr>
        <w:t xml:space="preserve"> and </w:t>
      </w:r>
      <w:r w:rsidR="00CA246A" w:rsidRPr="00FE50A6">
        <w:rPr>
          <w:rFonts w:cs="Arial"/>
          <w:szCs w:val="20"/>
          <w:lang w:val="en-US"/>
        </w:rPr>
        <w:t>João Luiz Quagliato Neto (</w:t>
      </w:r>
      <w:r w:rsidR="00CA246A" w:rsidRPr="00FE50A6">
        <w:rPr>
          <w:rFonts w:cs="Arial"/>
          <w:i/>
          <w:szCs w:val="20"/>
          <w:lang w:val="en-US"/>
        </w:rPr>
        <w:t>supra</w:t>
      </w:r>
      <w:r w:rsidR="00CA246A" w:rsidRPr="00FE50A6">
        <w:rPr>
          <w:rFonts w:cs="Arial"/>
          <w:szCs w:val="20"/>
          <w:lang w:val="en-US"/>
        </w:rPr>
        <w:t xml:space="preserve"> </w:t>
      </w:r>
      <w:r w:rsidR="00700B79" w:rsidRPr="00FE50A6">
        <w:rPr>
          <w:rFonts w:cs="Arial"/>
          <w:szCs w:val="20"/>
          <w:lang w:val="en-US"/>
        </w:rPr>
        <w:t>para.</w:t>
      </w:r>
      <w:r w:rsidR="00CA246A" w:rsidRPr="00FE50A6">
        <w:rPr>
          <w:rFonts w:cs="Arial"/>
          <w:szCs w:val="20"/>
          <w:lang w:val="en-US"/>
        </w:rPr>
        <w:t xml:space="preserve"> </w:t>
      </w:r>
      <w:r w:rsidR="000B7430" w:rsidRPr="00FE50A6">
        <w:rPr>
          <w:rFonts w:cs="Arial"/>
          <w:szCs w:val="20"/>
          <w:lang w:val="en-US"/>
        </w:rPr>
        <w:t>145</w:t>
      </w:r>
      <w:r w:rsidR="00CA246A" w:rsidRPr="00FE50A6">
        <w:rPr>
          <w:rFonts w:cs="Arial"/>
          <w:szCs w:val="20"/>
          <w:lang w:val="en-US"/>
        </w:rPr>
        <w:t>).</w:t>
      </w:r>
      <w:r w:rsidR="00CA246A" w:rsidRPr="00FE50A6">
        <w:rPr>
          <w:rFonts w:cs="Arial"/>
          <w:b/>
          <w:szCs w:val="20"/>
          <w:lang w:val="en-US"/>
        </w:rPr>
        <w:t xml:space="preserve"> </w:t>
      </w:r>
      <w:r w:rsidR="00AC5810" w:rsidRPr="00FE50A6">
        <w:rPr>
          <w:rFonts w:cs="Arial"/>
          <w:szCs w:val="20"/>
          <w:lang w:val="en-US"/>
        </w:rPr>
        <w:t>On September 23,</w:t>
      </w:r>
      <w:r w:rsidR="00CA246A" w:rsidRPr="00FE50A6">
        <w:rPr>
          <w:rFonts w:cs="Arial"/>
          <w:szCs w:val="20"/>
          <w:lang w:val="en-US"/>
        </w:rPr>
        <w:t xml:space="preserve"> 1999, a</w:t>
      </w:r>
      <w:r w:rsidR="00AC5810" w:rsidRPr="00FE50A6">
        <w:rPr>
          <w:rFonts w:cs="Arial"/>
          <w:szCs w:val="20"/>
          <w:lang w:val="en-US"/>
        </w:rPr>
        <w:t xml:space="preserve">t the request </w:t>
      </w:r>
      <w:r w:rsidR="00A67F6B" w:rsidRPr="00FE50A6">
        <w:rPr>
          <w:rFonts w:cs="Arial"/>
          <w:szCs w:val="20"/>
          <w:lang w:val="en-US"/>
        </w:rPr>
        <w:t xml:space="preserve">of the </w:t>
      </w:r>
      <w:r w:rsidR="00F8114C" w:rsidRPr="00FE50A6">
        <w:rPr>
          <w:rFonts w:cs="Arial"/>
          <w:szCs w:val="20"/>
          <w:lang w:val="en-US"/>
        </w:rPr>
        <w:t>Public</w:t>
      </w:r>
      <w:r w:rsidR="006B2842" w:rsidRPr="00FE50A6">
        <w:rPr>
          <w:rFonts w:cs="Arial"/>
          <w:szCs w:val="20"/>
          <w:lang w:val="en-US"/>
        </w:rPr>
        <w:t xml:space="preserve"> Prosecution Service</w:t>
      </w:r>
      <w:r w:rsidR="00CA246A" w:rsidRPr="00FE50A6">
        <w:rPr>
          <w:rFonts w:cs="Arial"/>
          <w:szCs w:val="20"/>
          <w:lang w:val="en-US"/>
        </w:rPr>
        <w:t xml:space="preserve">, </w:t>
      </w:r>
      <w:r w:rsidR="009C48A4" w:rsidRPr="00FE50A6">
        <w:rPr>
          <w:rFonts w:cs="Arial"/>
          <w:szCs w:val="20"/>
          <w:lang w:val="en-US"/>
        </w:rPr>
        <w:t>the federal judge</w:t>
      </w:r>
      <w:r w:rsidR="00CA246A" w:rsidRPr="00FE50A6">
        <w:rPr>
          <w:rFonts w:cs="Arial"/>
          <w:szCs w:val="20"/>
          <w:lang w:val="en-US"/>
        </w:rPr>
        <w:t xml:space="preserve"> aut</w:t>
      </w:r>
      <w:r w:rsidR="00AC5810" w:rsidRPr="00FE50A6">
        <w:rPr>
          <w:rFonts w:cs="Arial"/>
          <w:szCs w:val="20"/>
          <w:lang w:val="en-US"/>
        </w:rPr>
        <w:t xml:space="preserve">horized a two-year conditional suspension of the proceedings filed against </w:t>
      </w:r>
      <w:r w:rsidR="00CA246A" w:rsidRPr="00FE50A6">
        <w:rPr>
          <w:rFonts w:cs="Arial"/>
          <w:szCs w:val="20"/>
          <w:lang w:val="en-US"/>
        </w:rPr>
        <w:t>João Luiz Quagliato Neto (</w:t>
      </w:r>
      <w:r w:rsidR="00CA246A" w:rsidRPr="00FE50A6">
        <w:rPr>
          <w:rFonts w:cs="Arial"/>
          <w:i/>
          <w:szCs w:val="20"/>
          <w:lang w:val="en-US"/>
        </w:rPr>
        <w:t>supra</w:t>
      </w:r>
      <w:r w:rsidR="00CA246A" w:rsidRPr="00FE50A6">
        <w:rPr>
          <w:rFonts w:cs="Arial"/>
          <w:szCs w:val="20"/>
          <w:lang w:val="en-US"/>
        </w:rPr>
        <w:t xml:space="preserve"> </w:t>
      </w:r>
      <w:r w:rsidR="00700B79" w:rsidRPr="00FE50A6">
        <w:rPr>
          <w:rFonts w:cs="Arial"/>
          <w:szCs w:val="20"/>
          <w:lang w:val="en-US"/>
        </w:rPr>
        <w:t>para.</w:t>
      </w:r>
      <w:r w:rsidR="00CA246A" w:rsidRPr="00FE50A6">
        <w:rPr>
          <w:rFonts w:cs="Arial"/>
          <w:szCs w:val="20"/>
          <w:lang w:val="en-US"/>
        </w:rPr>
        <w:t xml:space="preserve"> </w:t>
      </w:r>
      <w:r w:rsidR="000B7430" w:rsidRPr="00FE50A6">
        <w:rPr>
          <w:rFonts w:cs="Arial"/>
          <w:szCs w:val="20"/>
          <w:lang w:val="en-US"/>
        </w:rPr>
        <w:t>149</w:t>
      </w:r>
      <w:r w:rsidR="00CA246A" w:rsidRPr="00FE50A6">
        <w:rPr>
          <w:rFonts w:cs="Arial"/>
          <w:szCs w:val="20"/>
          <w:lang w:val="en-US"/>
        </w:rPr>
        <w:t>).</w:t>
      </w:r>
      <w:r w:rsidR="00CA246A" w:rsidRPr="00FE50A6">
        <w:rPr>
          <w:rFonts w:cs="Times New Roman"/>
          <w:szCs w:val="20"/>
          <w:lang w:val="en-US"/>
        </w:rPr>
        <w:t xml:space="preserve"> </w:t>
      </w:r>
      <w:r w:rsidR="00AC5810" w:rsidRPr="00FE50A6">
        <w:rPr>
          <w:rFonts w:cs="Arial"/>
          <w:szCs w:val="20"/>
          <w:lang w:val="en-US"/>
        </w:rPr>
        <w:t>On March 16,</w:t>
      </w:r>
      <w:r w:rsidR="00CA246A" w:rsidRPr="00FE50A6">
        <w:rPr>
          <w:rFonts w:cs="Arial"/>
          <w:szCs w:val="20"/>
          <w:lang w:val="en-US"/>
        </w:rPr>
        <w:t xml:space="preserve"> 2001</w:t>
      </w:r>
      <w:r w:rsidR="00AC5810" w:rsidRPr="00FE50A6">
        <w:rPr>
          <w:rFonts w:cs="Arial"/>
          <w:szCs w:val="20"/>
          <w:lang w:val="en-US"/>
        </w:rPr>
        <w:t>,</w:t>
      </w:r>
      <w:r w:rsidR="00CA246A" w:rsidRPr="00FE50A6">
        <w:rPr>
          <w:rFonts w:cs="Arial"/>
          <w:szCs w:val="20"/>
          <w:lang w:val="en-US"/>
        </w:rPr>
        <w:t xml:space="preserve"> </w:t>
      </w:r>
      <w:r w:rsidR="009C48A4" w:rsidRPr="00FE50A6">
        <w:rPr>
          <w:rFonts w:cs="Arial"/>
          <w:szCs w:val="20"/>
          <w:lang w:val="en-US"/>
        </w:rPr>
        <w:t xml:space="preserve">the </w:t>
      </w:r>
      <w:r w:rsidR="00AC5810" w:rsidRPr="00FE50A6">
        <w:rPr>
          <w:rFonts w:cs="Arial"/>
          <w:szCs w:val="20"/>
          <w:lang w:val="en-US"/>
        </w:rPr>
        <w:t xml:space="preserve">substitute </w:t>
      </w:r>
      <w:r w:rsidR="009C48A4" w:rsidRPr="00FE50A6">
        <w:rPr>
          <w:rFonts w:cs="Arial"/>
          <w:szCs w:val="20"/>
          <w:lang w:val="en-US"/>
        </w:rPr>
        <w:t>federal judge</w:t>
      </w:r>
      <w:r w:rsidR="00CA246A" w:rsidRPr="00FE50A6">
        <w:rPr>
          <w:rFonts w:cs="Arial"/>
          <w:szCs w:val="20"/>
          <w:lang w:val="en-US"/>
        </w:rPr>
        <w:t xml:space="preserve"> </w:t>
      </w:r>
      <w:r w:rsidR="00AC5810" w:rsidRPr="00FE50A6">
        <w:rPr>
          <w:rFonts w:cs="Arial"/>
          <w:szCs w:val="20"/>
          <w:lang w:val="en-US"/>
        </w:rPr>
        <w:t>in charge of the case declared the absolute l</w:t>
      </w:r>
      <w:r w:rsidR="00822837" w:rsidRPr="00FE50A6">
        <w:rPr>
          <w:rFonts w:cs="Arial"/>
          <w:szCs w:val="20"/>
          <w:lang w:val="en-US"/>
        </w:rPr>
        <w:t>ack of jurisdiction</w:t>
      </w:r>
      <w:r w:rsidR="00CA246A" w:rsidRPr="00FE50A6">
        <w:rPr>
          <w:rFonts w:cs="Arial"/>
          <w:szCs w:val="20"/>
          <w:lang w:val="en-US"/>
        </w:rPr>
        <w:t xml:space="preserve"> </w:t>
      </w:r>
      <w:r w:rsidR="00AC5810" w:rsidRPr="00FE50A6">
        <w:rPr>
          <w:rFonts w:cs="Arial"/>
          <w:szCs w:val="20"/>
          <w:lang w:val="en-US"/>
        </w:rPr>
        <w:t xml:space="preserve">of the federal system of justice to </w:t>
      </w:r>
      <w:r w:rsidR="00A76F43" w:rsidRPr="00FE50A6">
        <w:rPr>
          <w:rFonts w:cs="Arial"/>
          <w:szCs w:val="20"/>
          <w:lang w:val="en-US"/>
        </w:rPr>
        <w:t>hear</w:t>
      </w:r>
      <w:r w:rsidR="00AC5810" w:rsidRPr="00FE50A6">
        <w:rPr>
          <w:rFonts w:cs="Arial"/>
          <w:szCs w:val="20"/>
          <w:lang w:val="en-US"/>
        </w:rPr>
        <w:t xml:space="preserve"> the proceedings </w:t>
      </w:r>
      <w:r w:rsidR="00CA246A" w:rsidRPr="00FE50A6">
        <w:rPr>
          <w:rFonts w:cs="Arial"/>
          <w:szCs w:val="20"/>
          <w:lang w:val="en-US"/>
        </w:rPr>
        <w:t>(</w:t>
      </w:r>
      <w:r w:rsidR="00CA246A" w:rsidRPr="00FE50A6">
        <w:rPr>
          <w:rFonts w:cs="Arial"/>
          <w:i/>
          <w:szCs w:val="20"/>
          <w:lang w:val="en-US"/>
        </w:rPr>
        <w:t>supra</w:t>
      </w:r>
      <w:r w:rsidR="00CA246A" w:rsidRPr="00FE50A6">
        <w:rPr>
          <w:rFonts w:cs="Arial"/>
          <w:szCs w:val="20"/>
          <w:lang w:val="en-US"/>
        </w:rPr>
        <w:t xml:space="preserve"> </w:t>
      </w:r>
      <w:r w:rsidR="00700B79" w:rsidRPr="00FE50A6">
        <w:rPr>
          <w:rFonts w:cs="Arial"/>
          <w:szCs w:val="20"/>
          <w:lang w:val="en-US"/>
        </w:rPr>
        <w:t>para.</w:t>
      </w:r>
      <w:r w:rsidR="00CA246A" w:rsidRPr="00FE50A6">
        <w:rPr>
          <w:rFonts w:cs="Arial"/>
          <w:szCs w:val="20"/>
          <w:lang w:val="en-US"/>
        </w:rPr>
        <w:t xml:space="preserve"> </w:t>
      </w:r>
      <w:r w:rsidR="000B7430" w:rsidRPr="00FE50A6">
        <w:rPr>
          <w:rFonts w:cs="Arial"/>
          <w:szCs w:val="20"/>
          <w:lang w:val="en-US"/>
        </w:rPr>
        <w:t>151</w:t>
      </w:r>
      <w:r w:rsidR="00CA246A" w:rsidRPr="00FE50A6">
        <w:rPr>
          <w:rFonts w:cs="Arial"/>
          <w:szCs w:val="20"/>
          <w:lang w:val="en-US"/>
        </w:rPr>
        <w:t xml:space="preserve">). </w:t>
      </w:r>
      <w:r w:rsidR="00AC5810" w:rsidRPr="00FE50A6">
        <w:rPr>
          <w:rFonts w:cs="Arial"/>
          <w:szCs w:val="20"/>
          <w:lang w:val="en-US"/>
        </w:rPr>
        <w:t xml:space="preserve">On August 8, </w:t>
      </w:r>
      <w:r w:rsidR="00CA246A" w:rsidRPr="00FE50A6">
        <w:rPr>
          <w:rFonts w:cs="Arial"/>
          <w:szCs w:val="20"/>
          <w:lang w:val="en-US"/>
        </w:rPr>
        <w:t>2001</w:t>
      </w:r>
      <w:r w:rsidR="00AC5810" w:rsidRPr="00FE50A6">
        <w:rPr>
          <w:rFonts w:cs="Arial"/>
          <w:szCs w:val="20"/>
          <w:lang w:val="en-US"/>
        </w:rPr>
        <w:t>,</w:t>
      </w:r>
      <w:r w:rsidR="00CA246A" w:rsidRPr="00FE50A6">
        <w:rPr>
          <w:rFonts w:cs="Arial"/>
          <w:szCs w:val="20"/>
          <w:lang w:val="en-US"/>
        </w:rPr>
        <w:t xml:space="preserve"> </w:t>
      </w:r>
      <w:r w:rsidR="00AC5810" w:rsidRPr="00FE50A6">
        <w:rPr>
          <w:rFonts w:cs="Arial"/>
          <w:szCs w:val="20"/>
          <w:lang w:val="en-US"/>
        </w:rPr>
        <w:t xml:space="preserve">the proceedings were re-opened by the state system of justice of </w:t>
      </w:r>
      <w:r w:rsidR="00CA246A" w:rsidRPr="00FE50A6">
        <w:rPr>
          <w:rFonts w:cs="Arial"/>
          <w:szCs w:val="20"/>
          <w:lang w:val="en-US"/>
        </w:rPr>
        <w:t>Xinguara,</w:t>
      </w:r>
      <w:r w:rsidR="00030C17" w:rsidRPr="00FE50A6">
        <w:rPr>
          <w:rFonts w:cs="Arial"/>
          <w:szCs w:val="20"/>
          <w:lang w:val="en-US"/>
        </w:rPr>
        <w:t xml:space="preserve"> and </w:t>
      </w:r>
      <w:r w:rsidR="00AC5810" w:rsidRPr="00FE50A6">
        <w:rPr>
          <w:rFonts w:cs="Arial"/>
          <w:szCs w:val="20"/>
          <w:lang w:val="en-US"/>
        </w:rPr>
        <w:t xml:space="preserve">on October 25, </w:t>
      </w:r>
      <w:r w:rsidR="00CA246A" w:rsidRPr="00FE50A6">
        <w:rPr>
          <w:rFonts w:cs="Arial"/>
          <w:szCs w:val="20"/>
          <w:lang w:val="en-US"/>
        </w:rPr>
        <w:t>2001</w:t>
      </w:r>
      <w:r w:rsidR="00AC5810" w:rsidRPr="00FE50A6">
        <w:rPr>
          <w:rFonts w:cs="Arial"/>
          <w:szCs w:val="20"/>
          <w:lang w:val="en-US"/>
        </w:rPr>
        <w:t>, the Prosecution ratified the complaint. Subsequently, on May 23,</w:t>
      </w:r>
      <w:r w:rsidR="00CA246A" w:rsidRPr="00FE50A6">
        <w:rPr>
          <w:rFonts w:cs="Arial"/>
          <w:szCs w:val="20"/>
          <w:lang w:val="en-US"/>
        </w:rPr>
        <w:t xml:space="preserve"> 2002</w:t>
      </w:r>
      <w:r w:rsidR="00AC5810" w:rsidRPr="00FE50A6">
        <w:rPr>
          <w:rFonts w:cs="Arial"/>
          <w:szCs w:val="20"/>
          <w:lang w:val="en-US"/>
        </w:rPr>
        <w:t xml:space="preserve">, the judge admitted the complaint. On November 8, </w:t>
      </w:r>
      <w:r w:rsidR="00CA246A" w:rsidRPr="00FE50A6">
        <w:rPr>
          <w:rFonts w:cs="Arial"/>
          <w:szCs w:val="20"/>
          <w:lang w:val="en-US"/>
        </w:rPr>
        <w:t xml:space="preserve">2004, </w:t>
      </w:r>
      <w:r w:rsidR="00AC5810" w:rsidRPr="00FE50A6">
        <w:rPr>
          <w:rFonts w:cs="Arial"/>
          <w:szCs w:val="20"/>
          <w:lang w:val="en-US"/>
        </w:rPr>
        <w:t>the state system of justice declared itself incompetent to hear the criminal proceedings, and this gave rise to a conflict of competences. On September 26,</w:t>
      </w:r>
      <w:r w:rsidR="00CA246A" w:rsidRPr="00FE50A6">
        <w:rPr>
          <w:rFonts w:cs="Arial"/>
          <w:szCs w:val="20"/>
          <w:lang w:val="en-US"/>
        </w:rPr>
        <w:t xml:space="preserve"> 2007</w:t>
      </w:r>
      <w:r w:rsidR="00AC5810" w:rsidRPr="00FE50A6">
        <w:rPr>
          <w:rFonts w:cs="Arial"/>
          <w:szCs w:val="20"/>
          <w:lang w:val="en-US"/>
        </w:rPr>
        <w:t>,</w:t>
      </w:r>
      <w:r w:rsidR="00CA246A" w:rsidRPr="00FE50A6">
        <w:rPr>
          <w:rFonts w:cs="Arial"/>
          <w:szCs w:val="20"/>
          <w:lang w:val="en-US"/>
        </w:rPr>
        <w:t xml:space="preserve"> </w:t>
      </w:r>
      <w:r w:rsidR="00015022" w:rsidRPr="00FE50A6">
        <w:rPr>
          <w:rFonts w:cs="Arial"/>
          <w:szCs w:val="20"/>
          <w:lang w:val="en-US"/>
        </w:rPr>
        <w:t>the Superior Court of Justice</w:t>
      </w:r>
      <w:r w:rsidR="00CA246A" w:rsidRPr="00FE50A6">
        <w:rPr>
          <w:rFonts w:cs="Arial"/>
          <w:szCs w:val="20"/>
          <w:lang w:val="en-US"/>
        </w:rPr>
        <w:t xml:space="preserve"> </w:t>
      </w:r>
      <w:r w:rsidR="00AC5810" w:rsidRPr="00FE50A6">
        <w:rPr>
          <w:rFonts w:cs="Arial"/>
          <w:szCs w:val="20"/>
          <w:lang w:val="en-US"/>
        </w:rPr>
        <w:t>advised that it was the federal jurisdiction that had competence. On December 11,</w:t>
      </w:r>
      <w:r w:rsidR="00CA246A" w:rsidRPr="00FE50A6">
        <w:rPr>
          <w:rFonts w:cs="Arial"/>
          <w:szCs w:val="20"/>
          <w:lang w:val="en-US"/>
        </w:rPr>
        <w:t xml:space="preserve"> 2007</w:t>
      </w:r>
      <w:r w:rsidR="00AC5810" w:rsidRPr="00FE50A6">
        <w:rPr>
          <w:rFonts w:cs="Arial"/>
          <w:szCs w:val="20"/>
          <w:lang w:val="en-US"/>
        </w:rPr>
        <w:t>, the case file was forwarded to the federal jurisdiction of</w:t>
      </w:r>
      <w:r w:rsidR="00CA246A" w:rsidRPr="00FE50A6">
        <w:rPr>
          <w:rFonts w:cs="Arial"/>
          <w:szCs w:val="20"/>
          <w:lang w:val="en-US"/>
        </w:rPr>
        <w:t xml:space="preserve"> Marabá, Pará (</w:t>
      </w:r>
      <w:r w:rsidR="00CA246A" w:rsidRPr="00FE50A6">
        <w:rPr>
          <w:rFonts w:cs="Arial"/>
          <w:i/>
          <w:szCs w:val="20"/>
          <w:lang w:val="en-US"/>
        </w:rPr>
        <w:t>supra</w:t>
      </w:r>
      <w:r w:rsidR="000B7430" w:rsidRPr="00FE50A6">
        <w:rPr>
          <w:rFonts w:cs="Arial"/>
          <w:szCs w:val="20"/>
          <w:lang w:val="en-US"/>
        </w:rPr>
        <w:t xml:space="preserve"> </w:t>
      </w:r>
      <w:r w:rsidR="00700B79" w:rsidRPr="00FE50A6">
        <w:rPr>
          <w:rFonts w:cs="Arial"/>
          <w:szCs w:val="20"/>
          <w:lang w:val="en-US"/>
        </w:rPr>
        <w:t>para.</w:t>
      </w:r>
      <w:r w:rsidR="00CA246A" w:rsidRPr="00FE50A6">
        <w:rPr>
          <w:rFonts w:cs="Arial"/>
          <w:szCs w:val="20"/>
          <w:lang w:val="en-US"/>
        </w:rPr>
        <w:t xml:space="preserve"> </w:t>
      </w:r>
      <w:r w:rsidR="000B7430" w:rsidRPr="00FE50A6">
        <w:rPr>
          <w:rFonts w:cs="Arial"/>
          <w:szCs w:val="20"/>
          <w:lang w:val="en-US"/>
        </w:rPr>
        <w:t>155</w:t>
      </w:r>
      <w:r w:rsidR="00CA246A" w:rsidRPr="00FE50A6">
        <w:rPr>
          <w:rFonts w:cs="Arial"/>
          <w:szCs w:val="20"/>
          <w:lang w:val="en-US"/>
        </w:rPr>
        <w:t>).</w:t>
      </w:r>
    </w:p>
    <w:p w14:paraId="4BCE9EA7" w14:textId="77777777" w:rsidR="00CA246A" w:rsidRPr="00FE50A6" w:rsidRDefault="00CA246A" w:rsidP="00CA246A">
      <w:pPr>
        <w:pStyle w:val="Prrafodelista"/>
        <w:autoSpaceDE w:val="0"/>
        <w:autoSpaceDN w:val="0"/>
        <w:adjustRightInd w:val="0"/>
        <w:ind w:left="0"/>
        <w:rPr>
          <w:rFonts w:cs="Arial"/>
          <w:szCs w:val="20"/>
          <w:lang w:val="en-US"/>
        </w:rPr>
      </w:pPr>
    </w:p>
    <w:p w14:paraId="50A93B44" w14:textId="77777777" w:rsidR="00D81AA1" w:rsidRPr="00FE50A6" w:rsidRDefault="00CA246A" w:rsidP="00F02CF6">
      <w:pPr>
        <w:pStyle w:val="Prrafodelista"/>
        <w:numPr>
          <w:ilvl w:val="0"/>
          <w:numId w:val="1"/>
        </w:numPr>
        <w:contextualSpacing w:val="0"/>
        <w:rPr>
          <w:rFonts w:cs="Arial"/>
          <w:noProof/>
          <w:szCs w:val="20"/>
          <w:lang w:val="en-US"/>
        </w:rPr>
      </w:pPr>
      <w:r w:rsidRPr="00FE50A6">
        <w:rPr>
          <w:rFonts w:cs="Arial"/>
          <w:szCs w:val="20"/>
          <w:lang w:val="en-US"/>
        </w:rPr>
        <w:t xml:space="preserve"> </w:t>
      </w:r>
      <w:r w:rsidR="00F02CF6" w:rsidRPr="00FE50A6">
        <w:rPr>
          <w:rFonts w:cs="Arial"/>
          <w:szCs w:val="20"/>
          <w:lang w:val="en-US"/>
        </w:rPr>
        <w:t>On</w:t>
      </w:r>
      <w:r w:rsidRPr="00FE50A6">
        <w:rPr>
          <w:rFonts w:cs="Arial"/>
          <w:szCs w:val="20"/>
          <w:lang w:val="en-US"/>
        </w:rPr>
        <w:t xml:space="preserve"> </w:t>
      </w:r>
      <w:r w:rsidR="00F8114C" w:rsidRPr="00FE50A6">
        <w:rPr>
          <w:rFonts w:cs="Arial"/>
          <w:szCs w:val="20"/>
          <w:lang w:val="en-US"/>
        </w:rPr>
        <w:t>July 10,</w:t>
      </w:r>
      <w:r w:rsidRPr="00FE50A6">
        <w:rPr>
          <w:rFonts w:cs="Arial"/>
          <w:szCs w:val="20"/>
          <w:lang w:val="en-US"/>
        </w:rPr>
        <w:t xml:space="preserve"> 2008</w:t>
      </w:r>
      <w:r w:rsidR="00712042" w:rsidRPr="00FE50A6">
        <w:rPr>
          <w:rFonts w:cs="Arial"/>
          <w:szCs w:val="20"/>
          <w:lang w:val="en-US"/>
        </w:rPr>
        <w:t>,</w:t>
      </w:r>
      <w:r w:rsidR="00FF686C" w:rsidRPr="00FE50A6">
        <w:rPr>
          <w:rFonts w:cs="Arial"/>
          <w:szCs w:val="20"/>
          <w:lang w:val="en-US"/>
        </w:rPr>
        <w:t xml:space="preserve"> </w:t>
      </w:r>
      <w:r w:rsidR="00F02CF6" w:rsidRPr="00FE50A6">
        <w:rPr>
          <w:rFonts w:cs="Arial"/>
          <w:szCs w:val="20"/>
          <w:lang w:val="en-US"/>
        </w:rPr>
        <w:t xml:space="preserve">a </w:t>
      </w:r>
      <w:r w:rsidR="00A76F43" w:rsidRPr="00FE50A6">
        <w:rPr>
          <w:rFonts w:cs="Arial"/>
          <w:szCs w:val="20"/>
          <w:lang w:val="en-US"/>
        </w:rPr>
        <w:t xml:space="preserve">Pará </w:t>
      </w:r>
      <w:r w:rsidR="00F02CF6" w:rsidRPr="00FE50A6">
        <w:rPr>
          <w:rFonts w:cs="Arial"/>
          <w:szCs w:val="20"/>
          <w:lang w:val="en-US"/>
        </w:rPr>
        <w:t xml:space="preserve">federal judge handed down his ruling and declared that, </w:t>
      </w:r>
      <w:r w:rsidRPr="00FE50A6">
        <w:rPr>
          <w:rFonts w:cs="Arial"/>
          <w:szCs w:val="20"/>
          <w:lang w:val="en-US"/>
        </w:rPr>
        <w:t xml:space="preserve"> </w:t>
      </w:r>
      <w:r w:rsidR="00F02CF6" w:rsidRPr="00FE50A6">
        <w:rPr>
          <w:rFonts w:cs="Arial"/>
          <w:szCs w:val="20"/>
          <w:lang w:val="en-US"/>
        </w:rPr>
        <w:t xml:space="preserve">taking into account that more than 10 years had passed since the complaint had been filed, that the maximum penalty that could be applied was eight years, and that the statute of limitations for the penalty was 12 years, </w:t>
      </w:r>
      <w:r w:rsidR="00A76F43" w:rsidRPr="00FE50A6">
        <w:rPr>
          <w:rFonts w:cs="Arial"/>
          <w:szCs w:val="20"/>
          <w:lang w:val="en-US"/>
        </w:rPr>
        <w:t>prescription</w:t>
      </w:r>
      <w:r w:rsidR="00F02CF6" w:rsidRPr="00FE50A6">
        <w:rPr>
          <w:rFonts w:cs="Arial"/>
          <w:szCs w:val="20"/>
          <w:lang w:val="en-US"/>
        </w:rPr>
        <w:t xml:space="preserve"> would not apply only if the</w:t>
      </w:r>
      <w:r w:rsidR="00341C02" w:rsidRPr="00FE50A6">
        <w:rPr>
          <w:rFonts w:cs="Arial"/>
          <w:szCs w:val="20"/>
          <w:lang w:val="en-US"/>
        </w:rPr>
        <w:t xml:space="preserve"> accused were sentenced to the</w:t>
      </w:r>
      <w:r w:rsidR="00F02CF6" w:rsidRPr="00FE50A6">
        <w:rPr>
          <w:rFonts w:cs="Arial"/>
          <w:szCs w:val="20"/>
          <w:lang w:val="en-US"/>
        </w:rPr>
        <w:t xml:space="preserve"> maximum penalty. In this regard the judge asserted that it was fairly improbable that the accused would be sentenced to this penalty, so that prescription was inevitable. On this basis, as well as owing to the State’s lack of action, the principles of procedural economy</w:t>
      </w:r>
      <w:r w:rsidR="00A76F43" w:rsidRPr="00FE50A6">
        <w:rPr>
          <w:rFonts w:cs="Arial"/>
          <w:szCs w:val="20"/>
          <w:lang w:val="en-US"/>
        </w:rPr>
        <w:t xml:space="preserve"> an criminal policy</w:t>
      </w:r>
      <w:r w:rsidR="00F02CF6" w:rsidRPr="00FE50A6">
        <w:rPr>
          <w:rFonts w:cs="Arial"/>
          <w:szCs w:val="20"/>
          <w:lang w:val="en-US"/>
        </w:rPr>
        <w:t xml:space="preserve">, the judge decided to declare the criminal action against Raimundo Alves da </w:t>
      </w:r>
      <w:r w:rsidR="00F02CF6" w:rsidRPr="00FE50A6">
        <w:rPr>
          <w:rFonts w:cs="Arial"/>
          <w:bCs/>
          <w:szCs w:val="20"/>
          <w:lang w:val="en-US"/>
        </w:rPr>
        <w:t>Rocha and Antônio Alves Vieira extinct</w:t>
      </w:r>
      <w:r w:rsidRPr="00FE50A6">
        <w:rPr>
          <w:rFonts w:cs="Arial"/>
          <w:bCs/>
          <w:szCs w:val="20"/>
          <w:lang w:val="en-US"/>
        </w:rPr>
        <w:t xml:space="preserve"> </w:t>
      </w:r>
      <w:r w:rsidRPr="00FE50A6">
        <w:rPr>
          <w:rFonts w:cs="Arial"/>
          <w:szCs w:val="20"/>
          <w:lang w:val="en-US"/>
        </w:rPr>
        <w:t>(</w:t>
      </w:r>
      <w:r w:rsidRPr="00FE50A6">
        <w:rPr>
          <w:rFonts w:cs="Arial"/>
          <w:i/>
          <w:szCs w:val="20"/>
          <w:lang w:val="en-US"/>
        </w:rPr>
        <w:t>supra</w:t>
      </w:r>
      <w:r w:rsidRPr="00FE50A6">
        <w:rPr>
          <w:rFonts w:cs="Arial"/>
          <w:szCs w:val="20"/>
          <w:lang w:val="en-US"/>
        </w:rPr>
        <w:t xml:space="preserve"> </w:t>
      </w:r>
      <w:r w:rsidR="00700B79" w:rsidRPr="00FE50A6">
        <w:rPr>
          <w:rFonts w:cs="Arial"/>
          <w:szCs w:val="20"/>
          <w:lang w:val="en-US"/>
        </w:rPr>
        <w:t>para.</w:t>
      </w:r>
      <w:r w:rsidRPr="00FE50A6">
        <w:rPr>
          <w:rFonts w:cs="Arial"/>
          <w:szCs w:val="20"/>
          <w:lang w:val="en-US"/>
        </w:rPr>
        <w:t xml:space="preserve"> </w:t>
      </w:r>
      <w:r w:rsidR="006D753C" w:rsidRPr="00FE50A6">
        <w:rPr>
          <w:rFonts w:cs="Arial"/>
          <w:szCs w:val="20"/>
          <w:lang w:val="en-US"/>
        </w:rPr>
        <w:t>157</w:t>
      </w:r>
      <w:r w:rsidRPr="00FE50A6">
        <w:rPr>
          <w:rFonts w:cs="Arial"/>
          <w:szCs w:val="20"/>
          <w:lang w:val="en-US"/>
        </w:rPr>
        <w:t>)</w:t>
      </w:r>
      <w:r w:rsidRPr="00FE50A6">
        <w:rPr>
          <w:rFonts w:cs="Arial"/>
          <w:bCs/>
          <w:szCs w:val="20"/>
          <w:lang w:val="en-US"/>
        </w:rPr>
        <w:t>.</w:t>
      </w:r>
    </w:p>
    <w:p w14:paraId="07538E4D" w14:textId="77777777" w:rsidR="00EB4A55" w:rsidRPr="00FE50A6" w:rsidRDefault="00EB4A55" w:rsidP="00EB4A55">
      <w:pPr>
        <w:pStyle w:val="Prrafodelista"/>
        <w:rPr>
          <w:rFonts w:cs="Arial"/>
          <w:noProof/>
          <w:szCs w:val="20"/>
          <w:lang w:val="en-US"/>
        </w:rPr>
      </w:pPr>
    </w:p>
    <w:p w14:paraId="2B86D759" w14:textId="77777777" w:rsidR="00F02CF6" w:rsidRPr="00FE50A6" w:rsidRDefault="000228D0" w:rsidP="004C2D81">
      <w:pPr>
        <w:pStyle w:val="Prrafodelista"/>
        <w:numPr>
          <w:ilvl w:val="0"/>
          <w:numId w:val="1"/>
        </w:numPr>
        <w:contextualSpacing w:val="0"/>
        <w:rPr>
          <w:rFonts w:cs="Arial"/>
          <w:noProof/>
          <w:szCs w:val="20"/>
          <w:lang w:val="en-US"/>
        </w:rPr>
      </w:pPr>
      <w:r w:rsidRPr="00FE50A6">
        <w:rPr>
          <w:szCs w:val="20"/>
          <w:lang w:val="en-US"/>
        </w:rPr>
        <w:t>The Court</w:t>
      </w:r>
      <w:r w:rsidR="00EB4A55" w:rsidRPr="00FE50A6">
        <w:rPr>
          <w:szCs w:val="20"/>
          <w:lang w:val="en-US"/>
        </w:rPr>
        <w:t xml:space="preserve"> </w:t>
      </w:r>
      <w:r w:rsidR="00F02CF6" w:rsidRPr="00FE50A6">
        <w:rPr>
          <w:szCs w:val="20"/>
          <w:lang w:val="en-US"/>
        </w:rPr>
        <w:t xml:space="preserve">finds that there was a delay in the implementation of the proceedings, and that the conflicts of competence and the failure of the judicial authorities to act diligently resulted in delays in the criminal proceedings. The Court considers that the State has not </w:t>
      </w:r>
      <w:r w:rsidR="00A76F43" w:rsidRPr="00FE50A6">
        <w:rPr>
          <w:szCs w:val="20"/>
          <w:lang w:val="en-US"/>
        </w:rPr>
        <w:t>proved</w:t>
      </w:r>
      <w:r w:rsidR="00F02CF6" w:rsidRPr="00FE50A6">
        <w:rPr>
          <w:szCs w:val="20"/>
          <w:lang w:val="en-US"/>
        </w:rPr>
        <w:t xml:space="preserve"> that there was any justification for the inaction of the judicial authorities, the long periods of time during which nothing was done, the prolonged delay in the criminal proceedings</w:t>
      </w:r>
      <w:r w:rsidR="008677A8" w:rsidRPr="00FE50A6">
        <w:rPr>
          <w:szCs w:val="20"/>
          <w:lang w:val="en-US"/>
        </w:rPr>
        <w:t>,</w:t>
      </w:r>
      <w:r w:rsidR="00F02CF6" w:rsidRPr="00FE50A6">
        <w:rPr>
          <w:szCs w:val="20"/>
          <w:lang w:val="en-US"/>
        </w:rPr>
        <w:t xml:space="preserve"> and the delay arising from the conflicts of competence. Consequently, the Court considers that the judicial authorities did not </w:t>
      </w:r>
      <w:r w:rsidR="00F37838" w:rsidRPr="00FE50A6">
        <w:rPr>
          <w:szCs w:val="20"/>
          <w:lang w:val="en-US"/>
        </w:rPr>
        <w:t xml:space="preserve">employ due diligence to </w:t>
      </w:r>
      <w:r w:rsidR="008677A8" w:rsidRPr="00FE50A6">
        <w:rPr>
          <w:szCs w:val="20"/>
          <w:lang w:val="en-US"/>
        </w:rPr>
        <w:t>reach</w:t>
      </w:r>
      <w:r w:rsidR="00F37838" w:rsidRPr="00FE50A6">
        <w:rPr>
          <w:szCs w:val="20"/>
          <w:lang w:val="en-US"/>
        </w:rPr>
        <w:t xml:space="preserve"> a decision in the criminal proceedings.</w:t>
      </w:r>
    </w:p>
    <w:p w14:paraId="6F002DB9" w14:textId="77777777" w:rsidR="004C2D81" w:rsidRPr="00FE50A6" w:rsidRDefault="004C2D81" w:rsidP="004C2D81">
      <w:pPr>
        <w:pStyle w:val="Prrafodelista"/>
        <w:ind w:left="0"/>
        <w:contextualSpacing w:val="0"/>
        <w:rPr>
          <w:rFonts w:cs="Arial"/>
          <w:noProof/>
          <w:szCs w:val="20"/>
          <w:lang w:val="en-US"/>
        </w:rPr>
      </w:pPr>
    </w:p>
    <w:p w14:paraId="74E6FB7A" w14:textId="77777777" w:rsidR="0039404C" w:rsidRPr="00FE50A6" w:rsidRDefault="00F37838" w:rsidP="00F37838">
      <w:pPr>
        <w:numPr>
          <w:ilvl w:val="0"/>
          <w:numId w:val="1"/>
        </w:numPr>
        <w:tabs>
          <w:tab w:val="clear" w:pos="4419"/>
          <w:tab w:val="clear" w:pos="8838"/>
        </w:tabs>
        <w:contextualSpacing/>
        <w:jc w:val="both"/>
        <w:rPr>
          <w:szCs w:val="20"/>
          <w:lang w:val="en-US"/>
        </w:rPr>
      </w:pPr>
      <w:r w:rsidRPr="00FE50A6">
        <w:rPr>
          <w:szCs w:val="20"/>
          <w:lang w:val="en-US"/>
        </w:rPr>
        <w:t>Taking into account</w:t>
      </w:r>
      <w:r w:rsidR="00D81AA1" w:rsidRPr="00FE50A6">
        <w:rPr>
          <w:szCs w:val="20"/>
          <w:lang w:val="en-US"/>
        </w:rPr>
        <w:t xml:space="preserve">: </w:t>
      </w:r>
      <w:r w:rsidRPr="00FE50A6">
        <w:rPr>
          <w:szCs w:val="20"/>
          <w:lang w:val="en-US"/>
        </w:rPr>
        <w:t>(</w:t>
      </w:r>
      <w:r w:rsidR="00D81AA1" w:rsidRPr="00FE50A6">
        <w:rPr>
          <w:szCs w:val="20"/>
          <w:lang w:val="en-US"/>
        </w:rPr>
        <w:t xml:space="preserve">i) </w:t>
      </w:r>
      <w:r w:rsidRPr="00FE50A6">
        <w:rPr>
          <w:szCs w:val="20"/>
          <w:lang w:val="en-US"/>
        </w:rPr>
        <w:t xml:space="preserve">that in this case the integrity of the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orkers</w:t>
      </w:r>
      <w:r w:rsidR="00D81AA1" w:rsidRPr="00FE50A6">
        <w:rPr>
          <w:szCs w:val="20"/>
          <w:lang w:val="en-US"/>
        </w:rPr>
        <w:t xml:space="preserve"> </w:t>
      </w:r>
      <w:r w:rsidRPr="00FE50A6">
        <w:rPr>
          <w:szCs w:val="20"/>
          <w:lang w:val="en-US"/>
        </w:rPr>
        <w:t>was in danger</w:t>
      </w:r>
      <w:r w:rsidR="00D81AA1" w:rsidRPr="00FE50A6">
        <w:rPr>
          <w:szCs w:val="20"/>
          <w:lang w:val="en-US"/>
        </w:rPr>
        <w:t xml:space="preserve">; </w:t>
      </w:r>
      <w:r w:rsidRPr="00FE50A6">
        <w:rPr>
          <w:szCs w:val="20"/>
          <w:lang w:val="en-US"/>
        </w:rPr>
        <w:t>(</w:t>
      </w:r>
      <w:r w:rsidR="00D81AA1" w:rsidRPr="00FE50A6">
        <w:rPr>
          <w:szCs w:val="20"/>
          <w:lang w:val="en-US"/>
        </w:rPr>
        <w:t xml:space="preserve">ii) </w:t>
      </w:r>
      <w:r w:rsidRPr="00FE50A6">
        <w:rPr>
          <w:szCs w:val="20"/>
          <w:lang w:val="en-US"/>
        </w:rPr>
        <w:t>the consequent urgency as a result of their situation of working in conditions similar to</w:t>
      </w:r>
      <w:r w:rsidR="00D81AA1" w:rsidRPr="00FE50A6">
        <w:rPr>
          <w:szCs w:val="20"/>
          <w:lang w:val="en-US"/>
        </w:rPr>
        <w:t xml:space="preserve"> </w:t>
      </w:r>
      <w:r w:rsidR="00D11A9F" w:rsidRPr="00FE50A6">
        <w:rPr>
          <w:szCs w:val="20"/>
          <w:lang w:val="en-US"/>
        </w:rPr>
        <w:t>slavery</w:t>
      </w:r>
      <w:r w:rsidR="00D81AA1" w:rsidRPr="00FE50A6">
        <w:rPr>
          <w:szCs w:val="20"/>
          <w:lang w:val="en-US"/>
        </w:rPr>
        <w:t>,</w:t>
      </w:r>
      <w:r w:rsidR="00030C17" w:rsidRPr="00FE50A6">
        <w:rPr>
          <w:szCs w:val="20"/>
          <w:lang w:val="en-US"/>
        </w:rPr>
        <w:t xml:space="preserve"> and </w:t>
      </w:r>
      <w:r w:rsidRPr="00FE50A6">
        <w:rPr>
          <w:szCs w:val="20"/>
          <w:lang w:val="en-US"/>
        </w:rPr>
        <w:t>(</w:t>
      </w:r>
      <w:r w:rsidR="00D81AA1" w:rsidRPr="00FE50A6">
        <w:rPr>
          <w:szCs w:val="20"/>
          <w:lang w:val="en-US"/>
        </w:rPr>
        <w:t xml:space="preserve">iii) </w:t>
      </w:r>
      <w:r w:rsidRPr="00FE50A6">
        <w:rPr>
          <w:szCs w:val="20"/>
          <w:lang w:val="en-US"/>
        </w:rPr>
        <w:t>the importance of deciding the proceedings in order to make reparation to the workers, as well as to halt the situation of slavery that existed in the haciendas, the Court considers that the State ha</w:t>
      </w:r>
      <w:r w:rsidR="008677A8" w:rsidRPr="00FE50A6">
        <w:rPr>
          <w:szCs w:val="20"/>
          <w:lang w:val="en-US"/>
        </w:rPr>
        <w:t>d</w:t>
      </w:r>
      <w:r w:rsidRPr="00FE50A6">
        <w:rPr>
          <w:szCs w:val="20"/>
          <w:lang w:val="en-US"/>
        </w:rPr>
        <w:t xml:space="preserve"> a special obligation to act with due diligence and that it failed to comply with this obligation. Consequently, the Court concludes that the State violated the judicial guarantee of </w:t>
      </w:r>
      <w:r w:rsidR="00576F80" w:rsidRPr="00FE50A6">
        <w:rPr>
          <w:szCs w:val="20"/>
          <w:lang w:val="en-US"/>
        </w:rPr>
        <w:t>due diligence</w:t>
      </w:r>
      <w:r w:rsidR="00D81AA1" w:rsidRPr="00FE50A6">
        <w:rPr>
          <w:szCs w:val="20"/>
          <w:lang w:val="en-US"/>
        </w:rPr>
        <w:t xml:space="preserve"> </w:t>
      </w:r>
      <w:r w:rsidRPr="00FE50A6">
        <w:rPr>
          <w:szCs w:val="20"/>
          <w:lang w:val="en-US"/>
        </w:rPr>
        <w:t>established in</w:t>
      </w:r>
      <w:r w:rsidR="00D81AA1" w:rsidRPr="00FE50A6">
        <w:rPr>
          <w:szCs w:val="20"/>
          <w:lang w:val="en-US"/>
        </w:rPr>
        <w:t xml:space="preserve"> </w:t>
      </w:r>
      <w:r w:rsidR="000228D0" w:rsidRPr="00FE50A6">
        <w:rPr>
          <w:szCs w:val="20"/>
          <w:lang w:val="en-US"/>
        </w:rPr>
        <w:t>Article</w:t>
      </w:r>
      <w:r w:rsidR="00D81AA1" w:rsidRPr="00FE50A6">
        <w:rPr>
          <w:szCs w:val="20"/>
          <w:lang w:val="en-US"/>
        </w:rPr>
        <w:t xml:space="preserve"> </w:t>
      </w:r>
      <w:r w:rsidR="00703850" w:rsidRPr="00FE50A6">
        <w:rPr>
          <w:szCs w:val="20"/>
          <w:lang w:val="en-US"/>
        </w:rPr>
        <w:t>8(1)</w:t>
      </w:r>
      <w:r w:rsidR="000228D0" w:rsidRPr="00FE50A6">
        <w:rPr>
          <w:szCs w:val="20"/>
          <w:lang w:val="en-US"/>
        </w:rPr>
        <w:t xml:space="preserve"> of the American Convention on Human Rights</w:t>
      </w:r>
      <w:r w:rsidR="00144A58" w:rsidRPr="00FE50A6">
        <w:rPr>
          <w:szCs w:val="20"/>
          <w:lang w:val="en-US"/>
        </w:rPr>
        <w:t xml:space="preserve">, </w:t>
      </w:r>
      <w:r w:rsidR="000B587F" w:rsidRPr="00FE50A6">
        <w:rPr>
          <w:szCs w:val="20"/>
          <w:lang w:val="en-US"/>
        </w:rPr>
        <w:t>in relation to Article 1(1)</w:t>
      </w:r>
      <w:r w:rsidR="00D81AA1" w:rsidRPr="00FE50A6">
        <w:rPr>
          <w:szCs w:val="20"/>
          <w:lang w:val="en-US"/>
        </w:rPr>
        <w:t xml:space="preserve"> </w:t>
      </w:r>
      <w:r w:rsidR="00D11A9F" w:rsidRPr="00FE50A6">
        <w:rPr>
          <w:szCs w:val="20"/>
          <w:lang w:val="en-US"/>
        </w:rPr>
        <w:t>of this instrument</w:t>
      </w:r>
      <w:r w:rsidR="00144A58" w:rsidRPr="00FE50A6">
        <w:rPr>
          <w:szCs w:val="20"/>
          <w:lang w:val="en-US"/>
        </w:rPr>
        <w:t>,</w:t>
      </w:r>
      <w:r w:rsidR="00D81AA1" w:rsidRPr="00FE50A6">
        <w:rPr>
          <w:szCs w:val="20"/>
          <w:lang w:val="en-US"/>
        </w:rPr>
        <w:t xml:space="preserve"> </w:t>
      </w:r>
      <w:r w:rsidR="00703850" w:rsidRPr="00FE50A6">
        <w:rPr>
          <w:szCs w:val="20"/>
          <w:lang w:val="en-US"/>
        </w:rPr>
        <w:t>to the detriment of the</w:t>
      </w:r>
      <w:r w:rsidR="00D81AA1" w:rsidRPr="00FE50A6">
        <w:rPr>
          <w:szCs w:val="20"/>
          <w:lang w:val="en-US"/>
        </w:rPr>
        <w:t xml:space="preserve"> 43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orkers</w:t>
      </w:r>
      <w:r w:rsidR="00D81AA1" w:rsidRPr="00FE50A6">
        <w:rPr>
          <w:szCs w:val="20"/>
          <w:lang w:val="en-US"/>
        </w:rPr>
        <w:t xml:space="preserve"> </w:t>
      </w:r>
      <w:r w:rsidRPr="00FE50A6">
        <w:rPr>
          <w:szCs w:val="20"/>
          <w:lang w:val="en-US"/>
        </w:rPr>
        <w:t xml:space="preserve">who were found during the inspection </w:t>
      </w:r>
      <w:r w:rsidR="00351E20" w:rsidRPr="00FE50A6">
        <w:rPr>
          <w:szCs w:val="20"/>
          <w:lang w:val="en-US"/>
        </w:rPr>
        <w:t>of April 23,</w:t>
      </w:r>
      <w:r w:rsidR="00D81AA1" w:rsidRPr="00FE50A6">
        <w:rPr>
          <w:szCs w:val="20"/>
          <w:lang w:val="en-US"/>
        </w:rPr>
        <w:t xml:space="preserve"> 1997</w:t>
      </w:r>
      <w:r w:rsidRPr="00FE50A6">
        <w:rPr>
          <w:szCs w:val="20"/>
          <w:lang w:val="en-US"/>
        </w:rPr>
        <w:t>,</w:t>
      </w:r>
      <w:r w:rsidR="00030C17" w:rsidRPr="00FE50A6">
        <w:rPr>
          <w:szCs w:val="20"/>
          <w:lang w:val="en-US"/>
        </w:rPr>
        <w:t xml:space="preserve"> and </w:t>
      </w:r>
      <w:r w:rsidRPr="00FE50A6">
        <w:rPr>
          <w:szCs w:val="20"/>
          <w:lang w:val="en-US"/>
        </w:rPr>
        <w:t xml:space="preserve">who </w:t>
      </w:r>
      <w:r w:rsidR="008677A8" w:rsidRPr="00FE50A6">
        <w:rPr>
          <w:szCs w:val="20"/>
          <w:lang w:val="en-US"/>
        </w:rPr>
        <w:t>have been</w:t>
      </w:r>
      <w:r w:rsidRPr="00FE50A6">
        <w:rPr>
          <w:szCs w:val="20"/>
          <w:lang w:val="en-US"/>
        </w:rPr>
        <w:t xml:space="preserve"> identified by the Court in th</w:t>
      </w:r>
      <w:r w:rsidR="008677A8" w:rsidRPr="00FE50A6">
        <w:rPr>
          <w:szCs w:val="20"/>
          <w:lang w:val="en-US"/>
        </w:rPr>
        <w:t xml:space="preserve">is judgment </w:t>
      </w:r>
      <w:r w:rsidR="00D81AA1" w:rsidRPr="00FE50A6">
        <w:rPr>
          <w:szCs w:val="20"/>
          <w:lang w:val="en-US"/>
        </w:rPr>
        <w:t>(</w:t>
      </w:r>
      <w:r w:rsidR="00D81AA1" w:rsidRPr="00FE50A6">
        <w:rPr>
          <w:i/>
          <w:szCs w:val="20"/>
          <w:lang w:val="en-US"/>
        </w:rPr>
        <w:t>supra</w:t>
      </w:r>
      <w:r w:rsidR="00D81AA1" w:rsidRPr="00FE50A6">
        <w:rPr>
          <w:szCs w:val="20"/>
          <w:lang w:val="en-US"/>
        </w:rPr>
        <w:t xml:space="preserve"> </w:t>
      </w:r>
      <w:r w:rsidR="00700B79" w:rsidRPr="00FE50A6">
        <w:rPr>
          <w:szCs w:val="20"/>
          <w:lang w:val="en-US"/>
        </w:rPr>
        <w:t>para.</w:t>
      </w:r>
      <w:r w:rsidR="00D81AA1" w:rsidRPr="00FE50A6">
        <w:rPr>
          <w:szCs w:val="20"/>
          <w:lang w:val="en-US"/>
        </w:rPr>
        <w:t xml:space="preserve"> </w:t>
      </w:r>
      <w:r w:rsidR="00144A58" w:rsidRPr="00FE50A6">
        <w:rPr>
          <w:szCs w:val="20"/>
          <w:lang w:val="en-US"/>
        </w:rPr>
        <w:t>199</w:t>
      </w:r>
      <w:r w:rsidR="00D81AA1" w:rsidRPr="00FE50A6">
        <w:rPr>
          <w:szCs w:val="20"/>
          <w:lang w:val="en-US"/>
        </w:rPr>
        <w:t>).</w:t>
      </w:r>
      <w:r w:rsidR="0039404C" w:rsidRPr="00FE50A6">
        <w:rPr>
          <w:szCs w:val="20"/>
          <w:lang w:val="en-US"/>
        </w:rPr>
        <w:t xml:space="preserve"> </w:t>
      </w:r>
    </w:p>
    <w:p w14:paraId="5C4A7F77" w14:textId="77777777" w:rsidR="0039404C" w:rsidRPr="00FE50A6" w:rsidRDefault="0039404C" w:rsidP="0039404C">
      <w:pPr>
        <w:tabs>
          <w:tab w:val="clear" w:pos="4419"/>
          <w:tab w:val="clear" w:pos="8838"/>
        </w:tabs>
        <w:contextualSpacing/>
        <w:jc w:val="both"/>
        <w:rPr>
          <w:szCs w:val="20"/>
          <w:lang w:val="en-US"/>
        </w:rPr>
      </w:pPr>
    </w:p>
    <w:p w14:paraId="3108D3B8" w14:textId="77777777" w:rsidR="0039404C" w:rsidRPr="00FE50A6" w:rsidRDefault="0039404C" w:rsidP="00A47A97">
      <w:pPr>
        <w:pStyle w:val="Ttulo3"/>
        <w:rPr>
          <w:lang w:val="en-US"/>
        </w:rPr>
      </w:pPr>
      <w:bookmarkStart w:id="348" w:name="_Toc464813977"/>
      <w:r w:rsidRPr="00FE50A6">
        <w:rPr>
          <w:lang w:val="en-US"/>
        </w:rPr>
        <w:t>B.2</w:t>
      </w:r>
      <w:r w:rsidR="00DC2886" w:rsidRPr="00FE50A6">
        <w:rPr>
          <w:lang w:val="en-US"/>
        </w:rPr>
        <w:t>.</w:t>
      </w:r>
      <w:r w:rsidRPr="00FE50A6">
        <w:rPr>
          <w:lang w:val="en-US"/>
        </w:rPr>
        <w:t xml:space="preserve"> </w:t>
      </w:r>
      <w:r w:rsidR="00F37838" w:rsidRPr="00FE50A6">
        <w:rPr>
          <w:lang w:val="en-US"/>
        </w:rPr>
        <w:t>Reasonable time</w:t>
      </w:r>
      <w:bookmarkEnd w:id="348"/>
    </w:p>
    <w:p w14:paraId="3AAF0B5E" w14:textId="77777777" w:rsidR="0039404C" w:rsidRPr="00FE50A6" w:rsidRDefault="0039404C" w:rsidP="0039404C">
      <w:pPr>
        <w:rPr>
          <w:szCs w:val="20"/>
          <w:lang w:val="en-US"/>
        </w:rPr>
      </w:pPr>
    </w:p>
    <w:p w14:paraId="6853E099" w14:textId="77777777" w:rsidR="0039404C" w:rsidRPr="00FE50A6" w:rsidRDefault="00F37838" w:rsidP="0039404C">
      <w:pPr>
        <w:numPr>
          <w:ilvl w:val="0"/>
          <w:numId w:val="1"/>
        </w:numPr>
        <w:tabs>
          <w:tab w:val="clear" w:pos="4419"/>
          <w:tab w:val="clear" w:pos="8838"/>
        </w:tabs>
        <w:contextualSpacing/>
        <w:jc w:val="both"/>
        <w:rPr>
          <w:szCs w:val="20"/>
          <w:lang w:val="en-US"/>
        </w:rPr>
      </w:pPr>
      <w:r w:rsidRPr="00FE50A6">
        <w:rPr>
          <w:szCs w:val="20"/>
          <w:lang w:val="en-US"/>
        </w:rPr>
        <w:t xml:space="preserve">With regard to the promptness of the proceedings, the Court has indicated that the </w:t>
      </w:r>
      <w:r w:rsidR="009C48A4" w:rsidRPr="00FE50A6">
        <w:rPr>
          <w:szCs w:val="20"/>
          <w:lang w:val="en-US"/>
        </w:rPr>
        <w:t>“</w:t>
      </w:r>
      <w:r w:rsidRPr="00FE50A6">
        <w:rPr>
          <w:szCs w:val="20"/>
          <w:lang w:val="en-US"/>
        </w:rPr>
        <w:t>reasonable time</w:t>
      </w:r>
      <w:r w:rsidR="009C48A4" w:rsidRPr="00FE50A6">
        <w:rPr>
          <w:szCs w:val="20"/>
          <w:lang w:val="en-US"/>
        </w:rPr>
        <w:t>”</w:t>
      </w:r>
      <w:r w:rsidR="00D81AA1" w:rsidRPr="00FE50A6">
        <w:rPr>
          <w:szCs w:val="20"/>
          <w:lang w:val="en-US"/>
        </w:rPr>
        <w:t xml:space="preserve"> </w:t>
      </w:r>
      <w:r w:rsidRPr="00FE50A6">
        <w:rPr>
          <w:szCs w:val="20"/>
          <w:lang w:val="en-US"/>
        </w:rPr>
        <w:t>referred to in</w:t>
      </w:r>
      <w:r w:rsidR="00D81AA1" w:rsidRPr="00FE50A6">
        <w:rPr>
          <w:szCs w:val="20"/>
          <w:lang w:val="en-US"/>
        </w:rPr>
        <w:t xml:space="preserve"> </w:t>
      </w:r>
      <w:r w:rsidR="000228D0" w:rsidRPr="00FE50A6">
        <w:rPr>
          <w:szCs w:val="20"/>
          <w:lang w:val="en-US"/>
        </w:rPr>
        <w:t>Article</w:t>
      </w:r>
      <w:r w:rsidR="00D81AA1" w:rsidRPr="00FE50A6">
        <w:rPr>
          <w:szCs w:val="20"/>
          <w:lang w:val="en-US"/>
        </w:rPr>
        <w:t xml:space="preserve"> </w:t>
      </w:r>
      <w:r w:rsidR="00703850" w:rsidRPr="00FE50A6">
        <w:rPr>
          <w:szCs w:val="20"/>
          <w:lang w:val="en-US"/>
        </w:rPr>
        <w:t>8(1)</w:t>
      </w:r>
      <w:r w:rsidR="000228D0" w:rsidRPr="00FE50A6">
        <w:rPr>
          <w:szCs w:val="20"/>
          <w:lang w:val="en-US"/>
        </w:rPr>
        <w:t xml:space="preserve"> of the Convention</w:t>
      </w:r>
      <w:r w:rsidR="00D81AA1" w:rsidRPr="00FE50A6">
        <w:rPr>
          <w:szCs w:val="20"/>
          <w:lang w:val="en-US"/>
        </w:rPr>
        <w:t xml:space="preserve"> </w:t>
      </w:r>
      <w:r w:rsidRPr="00FE50A6">
        <w:rPr>
          <w:szCs w:val="20"/>
          <w:lang w:val="en-US"/>
        </w:rPr>
        <w:t>must be assessed in relation to the total duration of the proceedings until a final judgment is handed down.</w:t>
      </w:r>
      <w:r w:rsidR="00D81AA1" w:rsidRPr="00FE50A6">
        <w:rPr>
          <w:rStyle w:val="Refdenotaalpie"/>
          <w:lang w:val="en-US"/>
        </w:rPr>
        <w:footnoteReference w:id="483"/>
      </w:r>
      <w:r w:rsidRPr="00FE50A6">
        <w:rPr>
          <w:szCs w:val="20"/>
          <w:lang w:val="en-US"/>
        </w:rPr>
        <w:t xml:space="preserve"> The right of access to justice implies that </w:t>
      </w:r>
      <w:r w:rsidR="008677A8" w:rsidRPr="00FE50A6">
        <w:rPr>
          <w:szCs w:val="20"/>
          <w:lang w:val="en-US"/>
        </w:rPr>
        <w:t>a</w:t>
      </w:r>
      <w:r w:rsidR="00D81AA1" w:rsidRPr="00FE50A6">
        <w:rPr>
          <w:szCs w:val="20"/>
          <w:lang w:val="en-US"/>
        </w:rPr>
        <w:t xml:space="preserve"> </w:t>
      </w:r>
      <w:r w:rsidRPr="00FE50A6">
        <w:rPr>
          <w:szCs w:val="20"/>
          <w:lang w:val="en-US"/>
        </w:rPr>
        <w:t>dispute must be decided within a reasonable time,</w:t>
      </w:r>
      <w:r w:rsidR="00D81AA1" w:rsidRPr="00FE50A6">
        <w:rPr>
          <w:rStyle w:val="Refdenotaalpie"/>
          <w:lang w:val="en-US"/>
        </w:rPr>
        <w:footnoteReference w:id="484"/>
      </w:r>
      <w:r w:rsidRPr="00FE50A6">
        <w:rPr>
          <w:szCs w:val="20"/>
          <w:lang w:val="en-US"/>
        </w:rPr>
        <w:t xml:space="preserve"> because a prolonged delay may, </w:t>
      </w:r>
      <w:r w:rsidR="008677A8" w:rsidRPr="00FE50A6">
        <w:rPr>
          <w:szCs w:val="20"/>
          <w:lang w:val="en-US"/>
        </w:rPr>
        <w:t>of</w:t>
      </w:r>
      <w:r w:rsidRPr="00FE50A6">
        <w:rPr>
          <w:szCs w:val="20"/>
          <w:lang w:val="en-US"/>
        </w:rPr>
        <w:t xml:space="preserve"> itself, constitute a violation of the </w:t>
      </w:r>
      <w:r w:rsidR="00D11A9F" w:rsidRPr="00FE50A6">
        <w:rPr>
          <w:szCs w:val="20"/>
          <w:lang w:val="en-US"/>
        </w:rPr>
        <w:t>judicial guarantees</w:t>
      </w:r>
      <w:r w:rsidRPr="00FE50A6">
        <w:rPr>
          <w:szCs w:val="20"/>
          <w:lang w:val="en-US"/>
        </w:rPr>
        <w:t>.</w:t>
      </w:r>
      <w:r w:rsidR="00D81AA1" w:rsidRPr="00FE50A6">
        <w:rPr>
          <w:rStyle w:val="Refdenotaalpie"/>
          <w:lang w:val="en-US"/>
        </w:rPr>
        <w:footnoteReference w:id="485"/>
      </w:r>
      <w:r w:rsidR="00D81AA1" w:rsidRPr="00FE50A6">
        <w:rPr>
          <w:szCs w:val="20"/>
          <w:lang w:val="en-US"/>
        </w:rPr>
        <w:t xml:space="preserve"> </w:t>
      </w:r>
    </w:p>
    <w:p w14:paraId="74DC4A69" w14:textId="77777777" w:rsidR="0039404C" w:rsidRPr="00FE50A6" w:rsidRDefault="0039404C" w:rsidP="0039404C">
      <w:pPr>
        <w:tabs>
          <w:tab w:val="clear" w:pos="4419"/>
          <w:tab w:val="clear" w:pos="8838"/>
        </w:tabs>
        <w:contextualSpacing/>
        <w:jc w:val="both"/>
        <w:rPr>
          <w:szCs w:val="20"/>
          <w:lang w:val="en-US"/>
        </w:rPr>
      </w:pPr>
    </w:p>
    <w:p w14:paraId="421F8F83" w14:textId="77777777" w:rsidR="0039404C" w:rsidRPr="00FE50A6" w:rsidRDefault="00D81AA1" w:rsidP="00F37838">
      <w:pPr>
        <w:numPr>
          <w:ilvl w:val="0"/>
          <w:numId w:val="1"/>
        </w:numPr>
        <w:tabs>
          <w:tab w:val="clear" w:pos="4419"/>
          <w:tab w:val="clear" w:pos="8838"/>
        </w:tabs>
        <w:contextualSpacing/>
        <w:jc w:val="both"/>
        <w:rPr>
          <w:szCs w:val="20"/>
          <w:lang w:val="en-US"/>
        </w:rPr>
      </w:pPr>
      <w:r w:rsidRPr="00FE50A6">
        <w:rPr>
          <w:rFonts w:cs="Arial"/>
          <w:szCs w:val="20"/>
          <w:lang w:val="en-US"/>
        </w:rPr>
        <w:t>Re</w:t>
      </w:r>
      <w:r w:rsidR="00F37838" w:rsidRPr="00FE50A6">
        <w:rPr>
          <w:rFonts w:cs="Arial"/>
          <w:szCs w:val="20"/>
          <w:lang w:val="en-US"/>
        </w:rPr>
        <w:t>garding the presumed failure to comply with the judicial guarantee of</w:t>
      </w:r>
      <w:r w:rsidRPr="00FE50A6">
        <w:rPr>
          <w:rFonts w:cs="Arial"/>
          <w:szCs w:val="20"/>
          <w:lang w:val="en-US"/>
        </w:rPr>
        <w:t xml:space="preserve"> </w:t>
      </w:r>
      <w:r w:rsidR="00F37838" w:rsidRPr="00FE50A6">
        <w:rPr>
          <w:rFonts w:cs="Arial"/>
          <w:szCs w:val="20"/>
          <w:lang w:val="en-US"/>
        </w:rPr>
        <w:t>reasonable time</w:t>
      </w:r>
      <w:r w:rsidRPr="00FE50A6">
        <w:rPr>
          <w:rFonts w:cs="Arial"/>
          <w:szCs w:val="20"/>
          <w:lang w:val="en-US"/>
        </w:rPr>
        <w:t xml:space="preserve"> </w:t>
      </w:r>
      <w:r w:rsidR="00F37838" w:rsidRPr="00FE50A6">
        <w:rPr>
          <w:rFonts w:cs="Arial"/>
          <w:szCs w:val="20"/>
          <w:lang w:val="en-US"/>
        </w:rPr>
        <w:t>in the criminal proceedings</w:t>
      </w:r>
      <w:r w:rsidRPr="00FE50A6">
        <w:rPr>
          <w:rFonts w:cs="Arial"/>
          <w:szCs w:val="20"/>
          <w:lang w:val="en-US"/>
        </w:rPr>
        <w:t xml:space="preserve">, </w:t>
      </w:r>
      <w:r w:rsidR="000228D0" w:rsidRPr="00FE50A6">
        <w:rPr>
          <w:rFonts w:cs="Arial"/>
          <w:szCs w:val="20"/>
          <w:lang w:val="en-US"/>
        </w:rPr>
        <w:t>the Court</w:t>
      </w:r>
      <w:r w:rsidRPr="00FE50A6">
        <w:rPr>
          <w:rFonts w:cs="Arial"/>
          <w:szCs w:val="20"/>
          <w:lang w:val="en-US"/>
        </w:rPr>
        <w:t xml:space="preserve"> </w:t>
      </w:r>
      <w:r w:rsidR="00F37838" w:rsidRPr="00FE50A6">
        <w:rPr>
          <w:rFonts w:cs="Arial"/>
          <w:szCs w:val="20"/>
          <w:lang w:val="en-US"/>
        </w:rPr>
        <w:t>will examine the four criteria it has established in its case law in this regard: (i) the complexity of the matter; (ii) the procedural activity of the interested party; (iii) the conduct of the judicial authorities, and (iv) the effects generated on the legal situation of the person involved in the proceedings.</w:t>
      </w:r>
      <w:r w:rsidRPr="00FE50A6">
        <w:rPr>
          <w:rStyle w:val="Refdenotaalpie"/>
          <w:rFonts w:cs="Arial"/>
          <w:lang w:val="en-US"/>
        </w:rPr>
        <w:footnoteReference w:id="486"/>
      </w:r>
      <w:r w:rsidRPr="00FE50A6">
        <w:rPr>
          <w:rFonts w:cs="Arial"/>
          <w:szCs w:val="20"/>
          <w:lang w:val="en-US"/>
        </w:rPr>
        <w:t xml:space="preserve"> </w:t>
      </w:r>
      <w:r w:rsidR="000228D0" w:rsidRPr="00FE50A6">
        <w:rPr>
          <w:rFonts w:cs="Arial"/>
          <w:szCs w:val="20"/>
          <w:lang w:val="en-US"/>
        </w:rPr>
        <w:t>The Court</w:t>
      </w:r>
      <w:r w:rsidRPr="00FE50A6">
        <w:rPr>
          <w:rFonts w:cs="Arial"/>
          <w:szCs w:val="20"/>
          <w:lang w:val="en-US"/>
        </w:rPr>
        <w:t xml:space="preserve"> rec</w:t>
      </w:r>
      <w:r w:rsidR="00F37838" w:rsidRPr="00FE50A6">
        <w:rPr>
          <w:rFonts w:cs="Arial"/>
          <w:szCs w:val="20"/>
          <w:lang w:val="en-US"/>
        </w:rPr>
        <w:t xml:space="preserve">alls that it corresponds to the State to justify, based on these criteria, why it has required the time that has elapsed in order to </w:t>
      </w:r>
      <w:r w:rsidR="008677A8" w:rsidRPr="00FE50A6">
        <w:rPr>
          <w:rFonts w:cs="Arial"/>
          <w:szCs w:val="20"/>
          <w:lang w:val="en-US"/>
        </w:rPr>
        <w:t>hear</w:t>
      </w:r>
      <w:r w:rsidR="00F37838" w:rsidRPr="00FE50A6">
        <w:rPr>
          <w:rFonts w:cs="Arial"/>
          <w:szCs w:val="20"/>
          <w:lang w:val="en-US"/>
        </w:rPr>
        <w:t xml:space="preserve"> the case and, if it fails to do so, the Court has broad powers to reach its own conclusions in this regard.</w:t>
      </w:r>
      <w:r w:rsidRPr="00FE50A6">
        <w:rPr>
          <w:rStyle w:val="Refdenotaalpie"/>
          <w:rFonts w:cs="Arial"/>
          <w:lang w:val="en-US"/>
        </w:rPr>
        <w:footnoteReference w:id="487"/>
      </w:r>
      <w:r w:rsidR="0039404C" w:rsidRPr="00FE50A6">
        <w:rPr>
          <w:rFonts w:cs="Arial"/>
          <w:szCs w:val="20"/>
          <w:lang w:val="en-US"/>
        </w:rPr>
        <w:t xml:space="preserve"> </w:t>
      </w:r>
    </w:p>
    <w:p w14:paraId="4FD167AF" w14:textId="77777777" w:rsidR="0039404C" w:rsidRPr="00FE50A6" w:rsidRDefault="0039404C" w:rsidP="0039404C">
      <w:pPr>
        <w:pStyle w:val="Prrafodelista"/>
        <w:rPr>
          <w:rFonts w:cs="Arial"/>
          <w:szCs w:val="20"/>
          <w:lang w:val="en-US"/>
        </w:rPr>
      </w:pPr>
    </w:p>
    <w:p w14:paraId="2F838F46" w14:textId="77777777" w:rsidR="001450BB" w:rsidRPr="00FE50A6" w:rsidRDefault="00F37838" w:rsidP="001450BB">
      <w:pPr>
        <w:numPr>
          <w:ilvl w:val="0"/>
          <w:numId w:val="1"/>
        </w:numPr>
        <w:tabs>
          <w:tab w:val="clear" w:pos="4419"/>
          <w:tab w:val="clear" w:pos="8838"/>
        </w:tabs>
        <w:contextualSpacing/>
        <w:jc w:val="both"/>
        <w:rPr>
          <w:szCs w:val="20"/>
          <w:lang w:val="en-US"/>
        </w:rPr>
      </w:pPr>
      <w:r w:rsidRPr="00FE50A6">
        <w:rPr>
          <w:rFonts w:cs="Arial"/>
          <w:szCs w:val="20"/>
          <w:lang w:val="en-US"/>
        </w:rPr>
        <w:t>In this case, the criminal proceedings</w:t>
      </w:r>
      <w:r w:rsidR="00D81AA1" w:rsidRPr="00FE50A6">
        <w:rPr>
          <w:rFonts w:cs="Arial"/>
          <w:szCs w:val="20"/>
          <w:lang w:val="en-US"/>
        </w:rPr>
        <w:t xml:space="preserve"> </w:t>
      </w:r>
      <w:r w:rsidRPr="00FE50A6">
        <w:rPr>
          <w:rFonts w:cs="Arial"/>
          <w:szCs w:val="20"/>
          <w:lang w:val="en-US"/>
        </w:rPr>
        <w:t xml:space="preserve">relating to the April 1997 inspection began with the complaint filed by the </w:t>
      </w:r>
      <w:r w:rsidR="00DC398B" w:rsidRPr="00FE50A6">
        <w:rPr>
          <w:rFonts w:cs="Arial"/>
          <w:szCs w:val="20"/>
          <w:lang w:val="en-US"/>
        </w:rPr>
        <w:t>Federal Public Prosecution Service</w:t>
      </w:r>
      <w:r w:rsidR="00D81AA1" w:rsidRPr="00FE50A6">
        <w:rPr>
          <w:rFonts w:cs="Arial"/>
          <w:szCs w:val="20"/>
          <w:lang w:val="en-US"/>
        </w:rPr>
        <w:t xml:space="preserve"> </w:t>
      </w:r>
      <w:r w:rsidRPr="00FE50A6">
        <w:rPr>
          <w:rFonts w:cs="Arial"/>
          <w:szCs w:val="20"/>
          <w:lang w:val="en-US"/>
        </w:rPr>
        <w:t xml:space="preserve">in June that year and concluded with the declaration of </w:t>
      </w:r>
      <w:r w:rsidR="008677A8" w:rsidRPr="00FE50A6">
        <w:rPr>
          <w:rFonts w:cs="Arial"/>
          <w:szCs w:val="20"/>
          <w:lang w:val="en-US"/>
        </w:rPr>
        <w:t>prescription</w:t>
      </w:r>
      <w:r w:rsidRPr="00FE50A6">
        <w:rPr>
          <w:rFonts w:cs="Arial"/>
          <w:szCs w:val="20"/>
          <w:lang w:val="en-US"/>
        </w:rPr>
        <w:t xml:space="preserve"> in </w:t>
      </w:r>
      <w:r w:rsidR="00D81AA1" w:rsidRPr="00FE50A6">
        <w:rPr>
          <w:rFonts w:cs="Arial"/>
          <w:szCs w:val="20"/>
          <w:lang w:val="en-US"/>
        </w:rPr>
        <w:t>2008 (</w:t>
      </w:r>
      <w:r w:rsidR="00D81AA1" w:rsidRPr="00FE50A6">
        <w:rPr>
          <w:rFonts w:cs="Arial"/>
          <w:i/>
          <w:szCs w:val="20"/>
          <w:lang w:val="en-US"/>
        </w:rPr>
        <w:t xml:space="preserve">supra </w:t>
      </w:r>
      <w:r w:rsidR="00700B79" w:rsidRPr="00FE50A6">
        <w:rPr>
          <w:rFonts w:cs="Arial"/>
          <w:szCs w:val="20"/>
          <w:lang w:val="en-US"/>
        </w:rPr>
        <w:t>para.</w:t>
      </w:r>
      <w:r w:rsidR="00D81AA1" w:rsidRPr="00FE50A6">
        <w:rPr>
          <w:rFonts w:cs="Arial"/>
          <w:szCs w:val="20"/>
          <w:lang w:val="en-US"/>
        </w:rPr>
        <w:t xml:space="preserve"> </w:t>
      </w:r>
      <w:r w:rsidR="002F0B17" w:rsidRPr="00FE50A6">
        <w:rPr>
          <w:rFonts w:cs="Arial"/>
          <w:szCs w:val="20"/>
          <w:lang w:val="en-US"/>
        </w:rPr>
        <w:t>157</w:t>
      </w:r>
      <w:r w:rsidR="00D81AA1" w:rsidRPr="00FE50A6">
        <w:rPr>
          <w:rFonts w:cs="Arial"/>
          <w:szCs w:val="20"/>
          <w:lang w:val="en-US"/>
        </w:rPr>
        <w:t>)</w:t>
      </w:r>
      <w:r w:rsidRPr="00FE50A6">
        <w:rPr>
          <w:rFonts w:cs="Arial"/>
          <w:szCs w:val="20"/>
          <w:lang w:val="en-US"/>
        </w:rPr>
        <w:t xml:space="preserve">; thus, the proceedings lasted approximately 11 years. Consequently, the Court will now determine whether the time that passed was reasonable </w:t>
      </w:r>
      <w:r w:rsidR="008677A8" w:rsidRPr="00FE50A6">
        <w:rPr>
          <w:rFonts w:cs="Arial"/>
          <w:szCs w:val="20"/>
          <w:lang w:val="en-US"/>
        </w:rPr>
        <w:t>based on</w:t>
      </w:r>
      <w:r w:rsidRPr="00FE50A6">
        <w:rPr>
          <w:rFonts w:cs="Arial"/>
          <w:szCs w:val="20"/>
          <w:lang w:val="en-US"/>
        </w:rPr>
        <w:t xml:space="preserve"> the criteria established in its case law. </w:t>
      </w:r>
    </w:p>
    <w:p w14:paraId="651C3D14" w14:textId="77777777" w:rsidR="001450BB" w:rsidRPr="00FE50A6" w:rsidRDefault="001450BB" w:rsidP="001450BB">
      <w:pPr>
        <w:pStyle w:val="Prrafodelista"/>
        <w:rPr>
          <w:szCs w:val="20"/>
          <w:lang w:val="en-US"/>
        </w:rPr>
      </w:pPr>
    </w:p>
    <w:p w14:paraId="07602181" w14:textId="77777777" w:rsidR="00D81AA1" w:rsidRPr="00FE50A6" w:rsidRDefault="00D81AA1" w:rsidP="00896163">
      <w:pPr>
        <w:pStyle w:val="Prrafodelista"/>
        <w:numPr>
          <w:ilvl w:val="0"/>
          <w:numId w:val="23"/>
        </w:numPr>
        <w:rPr>
          <w:szCs w:val="20"/>
          <w:lang w:val="en-US"/>
        </w:rPr>
      </w:pPr>
      <w:r w:rsidRPr="00FE50A6">
        <w:rPr>
          <w:i/>
          <w:szCs w:val="20"/>
          <w:lang w:val="en-US"/>
        </w:rPr>
        <w:t>Comple</w:t>
      </w:r>
      <w:r w:rsidR="00F37838" w:rsidRPr="00FE50A6">
        <w:rPr>
          <w:i/>
          <w:szCs w:val="20"/>
          <w:lang w:val="en-US"/>
        </w:rPr>
        <w:t>xity of the matter</w:t>
      </w:r>
    </w:p>
    <w:p w14:paraId="0DF2014C" w14:textId="77777777" w:rsidR="00F37838" w:rsidRPr="00FE50A6" w:rsidRDefault="00F37838" w:rsidP="00F37838">
      <w:pPr>
        <w:pStyle w:val="Prrafodelista"/>
        <w:ind w:left="1080"/>
        <w:rPr>
          <w:szCs w:val="20"/>
          <w:lang w:val="en-US"/>
        </w:rPr>
      </w:pPr>
    </w:p>
    <w:p w14:paraId="18287343" w14:textId="77777777" w:rsidR="00D81AA1" w:rsidRPr="00FE50A6" w:rsidRDefault="00F37838" w:rsidP="00D81AA1">
      <w:pPr>
        <w:pStyle w:val="Prrafodelista"/>
        <w:numPr>
          <w:ilvl w:val="0"/>
          <w:numId w:val="1"/>
        </w:numPr>
        <w:rPr>
          <w:szCs w:val="20"/>
          <w:lang w:val="en-US"/>
        </w:rPr>
      </w:pPr>
      <w:r w:rsidRPr="00FE50A6">
        <w:rPr>
          <w:rFonts w:cs="Helvetica"/>
          <w:szCs w:val="20"/>
          <w:lang w:val="en-US"/>
        </w:rPr>
        <w:t xml:space="preserve">This Court has taken into account different criteria to determine the complexity of a proceeding. These include the complexity of the evidence, the </w:t>
      </w:r>
      <w:r w:rsidR="00706615" w:rsidRPr="00FE50A6">
        <w:rPr>
          <w:rFonts w:cs="Helvetica"/>
          <w:szCs w:val="20"/>
          <w:lang w:val="en-US"/>
        </w:rPr>
        <w:t>plurality of the procedural subjects or the number of victims, the time that has passed since</w:t>
      </w:r>
      <w:r w:rsidR="00D81AA1" w:rsidRPr="00FE50A6">
        <w:rPr>
          <w:rFonts w:cs="Helvetica"/>
          <w:szCs w:val="20"/>
          <w:lang w:val="en-US"/>
        </w:rPr>
        <w:t xml:space="preserve"> </w:t>
      </w:r>
      <w:r w:rsidR="00700B79" w:rsidRPr="00FE50A6">
        <w:rPr>
          <w:rFonts w:cs="Helvetica"/>
          <w:szCs w:val="20"/>
          <w:lang w:val="en-US"/>
        </w:rPr>
        <w:t>the violation</w:t>
      </w:r>
      <w:r w:rsidR="00C34197" w:rsidRPr="00FE50A6">
        <w:rPr>
          <w:rFonts w:cs="Helvetica"/>
          <w:szCs w:val="20"/>
          <w:lang w:val="en-US"/>
        </w:rPr>
        <w:t>,</w:t>
      </w:r>
      <w:r w:rsidR="00D81AA1" w:rsidRPr="00FE50A6">
        <w:rPr>
          <w:rFonts w:cs="Helvetica"/>
          <w:szCs w:val="20"/>
          <w:lang w:val="en-US"/>
        </w:rPr>
        <w:t xml:space="preserve"> </w:t>
      </w:r>
      <w:r w:rsidR="00706615" w:rsidRPr="00FE50A6">
        <w:rPr>
          <w:rFonts w:cs="Helvetica"/>
          <w:szCs w:val="20"/>
          <w:lang w:val="en-US"/>
        </w:rPr>
        <w:t>the</w:t>
      </w:r>
      <w:r w:rsidR="00D81AA1" w:rsidRPr="00FE50A6">
        <w:rPr>
          <w:rFonts w:cs="Helvetica"/>
          <w:szCs w:val="20"/>
          <w:lang w:val="en-US"/>
        </w:rPr>
        <w:t xml:space="preserve"> </w:t>
      </w:r>
      <w:r w:rsidR="0086091E" w:rsidRPr="00FE50A6">
        <w:rPr>
          <w:rFonts w:cs="Helvetica"/>
          <w:szCs w:val="20"/>
          <w:lang w:val="en-US"/>
        </w:rPr>
        <w:t>characteristics of</w:t>
      </w:r>
      <w:r w:rsidR="00706615" w:rsidRPr="00FE50A6">
        <w:rPr>
          <w:rFonts w:cs="Helvetica"/>
          <w:szCs w:val="20"/>
          <w:lang w:val="en-US"/>
        </w:rPr>
        <w:t xml:space="preserve"> the remedy established in domestic law, and the context in which the violation occurred.</w:t>
      </w:r>
      <w:r w:rsidR="00D81AA1" w:rsidRPr="00FE50A6">
        <w:rPr>
          <w:rStyle w:val="Refdenotaalpie"/>
          <w:lang w:val="en-US"/>
        </w:rPr>
        <w:footnoteReference w:id="488"/>
      </w:r>
    </w:p>
    <w:p w14:paraId="62DAA316" w14:textId="77777777" w:rsidR="00D81AA1" w:rsidRPr="00FE50A6" w:rsidRDefault="00D81AA1" w:rsidP="00D81AA1">
      <w:pPr>
        <w:pStyle w:val="Prrafodelista"/>
        <w:ind w:left="0"/>
        <w:rPr>
          <w:szCs w:val="20"/>
          <w:lang w:val="en-US"/>
        </w:rPr>
      </w:pPr>
    </w:p>
    <w:p w14:paraId="78AF6359" w14:textId="77777777" w:rsidR="00D81AA1" w:rsidRPr="00FE50A6" w:rsidRDefault="000228D0" w:rsidP="00D81AA1">
      <w:pPr>
        <w:pStyle w:val="Prrafodelista"/>
        <w:numPr>
          <w:ilvl w:val="0"/>
          <w:numId w:val="1"/>
        </w:numPr>
        <w:rPr>
          <w:szCs w:val="20"/>
          <w:lang w:val="en-US"/>
        </w:rPr>
      </w:pPr>
      <w:r w:rsidRPr="00FE50A6">
        <w:rPr>
          <w:rFonts w:cs="BookAntiqua"/>
          <w:szCs w:val="20"/>
          <w:lang w:val="en-US"/>
        </w:rPr>
        <w:t>The Court</w:t>
      </w:r>
      <w:r w:rsidR="00D81AA1" w:rsidRPr="00FE50A6">
        <w:rPr>
          <w:rFonts w:cs="BookAntiqua"/>
          <w:szCs w:val="20"/>
          <w:lang w:val="en-US"/>
        </w:rPr>
        <w:t xml:space="preserve"> observ</w:t>
      </w:r>
      <w:r w:rsidR="00706615" w:rsidRPr="00FE50A6">
        <w:rPr>
          <w:rFonts w:cs="BookAntiqua"/>
          <w:szCs w:val="20"/>
          <w:lang w:val="en-US"/>
        </w:rPr>
        <w:t xml:space="preserve">es that, in this case, the </w:t>
      </w:r>
      <w:r w:rsidR="0086091E" w:rsidRPr="00FE50A6">
        <w:rPr>
          <w:rFonts w:cs="BookAntiqua"/>
          <w:szCs w:val="20"/>
          <w:lang w:val="en-US"/>
        </w:rPr>
        <w:t>characteristics of</w:t>
      </w:r>
      <w:r w:rsidR="00706615" w:rsidRPr="00FE50A6">
        <w:rPr>
          <w:rFonts w:cs="BookAntiqua"/>
          <w:szCs w:val="20"/>
          <w:lang w:val="en-US"/>
        </w:rPr>
        <w:t xml:space="preserve"> the proceedings </w:t>
      </w:r>
      <w:r w:rsidR="008677A8" w:rsidRPr="00FE50A6">
        <w:rPr>
          <w:rFonts w:cs="BookAntiqua"/>
          <w:szCs w:val="20"/>
          <w:lang w:val="en-US"/>
        </w:rPr>
        <w:t xml:space="preserve">were not particularly complex. </w:t>
      </w:r>
      <w:r w:rsidR="007615A0" w:rsidRPr="00FE50A6">
        <w:rPr>
          <w:rFonts w:cs="BookAntiqua"/>
          <w:szCs w:val="20"/>
          <w:lang w:val="en-US"/>
        </w:rPr>
        <w:t xml:space="preserve">The complaints filed against </w:t>
      </w:r>
      <w:r w:rsidR="007615A0" w:rsidRPr="00FE50A6">
        <w:rPr>
          <w:rFonts w:cs="Arial"/>
          <w:szCs w:val="20"/>
          <w:lang w:val="en-US"/>
        </w:rPr>
        <w:t xml:space="preserve">Raimundo Alves de Rocha, Antônio Alves Vieira and João Luiz Quagliato Neto were based on the April 1997 inspection at Hacienda Brasil Verde, and the Federal Public Prosecution Service had sufficient information to file the complaints. Also, the plurality of procedural subjects did not represent a problem as they were a specific, closed group. </w:t>
      </w:r>
      <w:r w:rsidRPr="00FE50A6">
        <w:rPr>
          <w:rFonts w:cs="Arial"/>
          <w:szCs w:val="20"/>
          <w:lang w:val="en-US"/>
        </w:rPr>
        <w:t>The Court</w:t>
      </w:r>
      <w:r w:rsidR="00D81AA1" w:rsidRPr="00FE50A6">
        <w:rPr>
          <w:rFonts w:cs="Arial"/>
          <w:szCs w:val="20"/>
          <w:lang w:val="en-US"/>
        </w:rPr>
        <w:t xml:space="preserve"> </w:t>
      </w:r>
      <w:r w:rsidR="007615A0" w:rsidRPr="00FE50A6">
        <w:rPr>
          <w:rFonts w:cs="Arial"/>
          <w:szCs w:val="20"/>
          <w:lang w:val="en-US"/>
        </w:rPr>
        <w:t xml:space="preserve">does not find any particular reasons that could substantiate a special complexity of the case that would justify the proceedings </w:t>
      </w:r>
      <w:r w:rsidR="008677A8" w:rsidRPr="00FE50A6">
        <w:rPr>
          <w:rFonts w:cs="Arial"/>
          <w:szCs w:val="20"/>
          <w:lang w:val="en-US"/>
        </w:rPr>
        <w:t>lasting</w:t>
      </w:r>
      <w:r w:rsidR="007615A0" w:rsidRPr="00FE50A6">
        <w:rPr>
          <w:rFonts w:cs="Arial"/>
          <w:szCs w:val="20"/>
          <w:lang w:val="en-US"/>
        </w:rPr>
        <w:t xml:space="preserve"> more than 10 years</w:t>
      </w:r>
      <w:r w:rsidR="00D81AA1" w:rsidRPr="00FE50A6">
        <w:rPr>
          <w:rFonts w:cs="Arial"/>
          <w:szCs w:val="20"/>
          <w:lang w:val="en-US"/>
        </w:rPr>
        <w:t xml:space="preserve">. </w:t>
      </w:r>
    </w:p>
    <w:p w14:paraId="7B833DCC" w14:textId="77777777" w:rsidR="00D81AA1" w:rsidRPr="00FE50A6" w:rsidRDefault="00D81AA1" w:rsidP="00D81AA1">
      <w:pPr>
        <w:jc w:val="both"/>
        <w:rPr>
          <w:szCs w:val="20"/>
          <w:lang w:val="en-US"/>
        </w:rPr>
      </w:pPr>
    </w:p>
    <w:p w14:paraId="74E6ADAC" w14:textId="77777777" w:rsidR="00D81AA1" w:rsidRPr="00FE50A6" w:rsidRDefault="007615A0" w:rsidP="00896163">
      <w:pPr>
        <w:pStyle w:val="Ttulo6"/>
        <w:numPr>
          <w:ilvl w:val="0"/>
          <w:numId w:val="23"/>
        </w:numPr>
        <w:jc w:val="both"/>
        <w:rPr>
          <w:i/>
          <w:lang w:val="en-US"/>
        </w:rPr>
      </w:pPr>
      <w:r w:rsidRPr="00FE50A6">
        <w:rPr>
          <w:i/>
          <w:lang w:val="en-US"/>
        </w:rPr>
        <w:t xml:space="preserve">Procedural activity of the interested party </w:t>
      </w:r>
    </w:p>
    <w:p w14:paraId="50A19559" w14:textId="77777777" w:rsidR="007615A0" w:rsidRPr="00FE50A6" w:rsidRDefault="007615A0" w:rsidP="007615A0">
      <w:pPr>
        <w:rPr>
          <w:lang w:val="en-US" w:eastAsia="es-CR"/>
        </w:rPr>
      </w:pPr>
    </w:p>
    <w:p w14:paraId="61EB4688" w14:textId="77777777" w:rsidR="00D81AA1" w:rsidRPr="00FE50A6" w:rsidRDefault="007615A0" w:rsidP="00D81AA1">
      <w:pPr>
        <w:numPr>
          <w:ilvl w:val="0"/>
          <w:numId w:val="1"/>
        </w:numPr>
        <w:tabs>
          <w:tab w:val="clear" w:pos="4419"/>
          <w:tab w:val="clear" w:pos="8838"/>
        </w:tabs>
        <w:contextualSpacing/>
        <w:jc w:val="both"/>
        <w:rPr>
          <w:szCs w:val="20"/>
          <w:lang w:val="en-US"/>
        </w:rPr>
      </w:pPr>
      <w:r w:rsidRPr="00FE50A6">
        <w:rPr>
          <w:szCs w:val="20"/>
          <w:lang w:val="en-US"/>
        </w:rPr>
        <w:t>In this case,</w:t>
      </w:r>
      <w:r w:rsidR="00D81AA1" w:rsidRPr="00FE50A6">
        <w:rPr>
          <w:szCs w:val="20"/>
          <w:lang w:val="en-US"/>
        </w:rPr>
        <w:t xml:space="preserve"> </w:t>
      </w:r>
      <w:r w:rsidR="000228D0" w:rsidRPr="00FE50A6">
        <w:rPr>
          <w:szCs w:val="20"/>
          <w:lang w:val="en-US"/>
        </w:rPr>
        <w:t>the Court</w:t>
      </w:r>
      <w:r w:rsidR="00D81AA1" w:rsidRPr="00FE50A6">
        <w:rPr>
          <w:szCs w:val="20"/>
          <w:lang w:val="en-US"/>
        </w:rPr>
        <w:t xml:space="preserve"> </w:t>
      </w:r>
      <w:r w:rsidRPr="00FE50A6">
        <w:rPr>
          <w:szCs w:val="20"/>
          <w:lang w:val="en-US"/>
        </w:rPr>
        <w:t>finds no e</w:t>
      </w:r>
      <w:r w:rsidR="008677A8" w:rsidRPr="00FE50A6">
        <w:rPr>
          <w:szCs w:val="20"/>
          <w:lang w:val="en-US"/>
        </w:rPr>
        <w:t>vidence</w:t>
      </w:r>
      <w:r w:rsidRPr="00FE50A6">
        <w:rPr>
          <w:szCs w:val="20"/>
          <w:lang w:val="en-US"/>
        </w:rPr>
        <w:t xml:space="preserve"> that </w:t>
      </w:r>
      <w:r w:rsidR="008677A8" w:rsidRPr="00FE50A6">
        <w:rPr>
          <w:szCs w:val="20"/>
          <w:lang w:val="en-US"/>
        </w:rPr>
        <w:t xml:space="preserve">would </w:t>
      </w:r>
      <w:r w:rsidRPr="00FE50A6">
        <w:rPr>
          <w:szCs w:val="20"/>
          <w:lang w:val="en-US"/>
        </w:rPr>
        <w:t xml:space="preserve">allow it to infer that there </w:t>
      </w:r>
      <w:r w:rsidR="008677A8" w:rsidRPr="00FE50A6">
        <w:rPr>
          <w:szCs w:val="20"/>
          <w:lang w:val="en-US"/>
        </w:rPr>
        <w:t>had been</w:t>
      </w:r>
      <w:r w:rsidRPr="00FE50A6">
        <w:rPr>
          <w:szCs w:val="20"/>
          <w:lang w:val="en-US"/>
        </w:rPr>
        <w:t xml:space="preserve"> any type of </w:t>
      </w:r>
      <w:r w:rsidR="008677A8" w:rsidRPr="00FE50A6">
        <w:rPr>
          <w:szCs w:val="20"/>
          <w:lang w:val="en-US"/>
        </w:rPr>
        <w:t xml:space="preserve">conduct or action </w:t>
      </w:r>
      <w:r w:rsidR="006A6EC3" w:rsidRPr="00FE50A6">
        <w:rPr>
          <w:szCs w:val="20"/>
          <w:lang w:val="en-US"/>
        </w:rPr>
        <w:t xml:space="preserve">by the interested parties that would have retarded the proceedings. To the contrary, the Court notes that the workers found during the 1997 inspection, which originated the criminal complaint of June 1997, were unable to take part in the proceedings held for the facts verified in </w:t>
      </w:r>
      <w:r w:rsidR="00D81AA1" w:rsidRPr="00FE50A6">
        <w:rPr>
          <w:rFonts w:cs="Arial"/>
          <w:szCs w:val="20"/>
          <w:lang w:val="en-US"/>
        </w:rPr>
        <w:t xml:space="preserve">Hacienda </w:t>
      </w:r>
      <w:r w:rsidR="00322241" w:rsidRPr="00FE50A6">
        <w:rPr>
          <w:rFonts w:cs="Arial"/>
          <w:szCs w:val="20"/>
          <w:lang w:val="en-US"/>
        </w:rPr>
        <w:t>Brasil Verde</w:t>
      </w:r>
      <w:r w:rsidR="00D81AA1" w:rsidRPr="00FE50A6">
        <w:rPr>
          <w:rFonts w:cs="Arial"/>
          <w:szCs w:val="20"/>
          <w:lang w:val="en-US"/>
        </w:rPr>
        <w:t>.</w:t>
      </w:r>
    </w:p>
    <w:p w14:paraId="19FDA906" w14:textId="77777777" w:rsidR="00D81AA1" w:rsidRPr="00FE50A6" w:rsidRDefault="00D81AA1" w:rsidP="00D81AA1">
      <w:pPr>
        <w:contextualSpacing/>
        <w:jc w:val="both"/>
        <w:rPr>
          <w:szCs w:val="20"/>
          <w:lang w:val="en-US"/>
        </w:rPr>
      </w:pPr>
    </w:p>
    <w:p w14:paraId="334A07F3" w14:textId="77777777" w:rsidR="00D81AA1" w:rsidRPr="00FE50A6" w:rsidRDefault="00896163" w:rsidP="00896163">
      <w:pPr>
        <w:numPr>
          <w:ilvl w:val="0"/>
          <w:numId w:val="1"/>
        </w:numPr>
        <w:tabs>
          <w:tab w:val="clear" w:pos="4419"/>
          <w:tab w:val="clear" w:pos="8838"/>
        </w:tabs>
        <w:contextualSpacing/>
        <w:jc w:val="both"/>
        <w:rPr>
          <w:szCs w:val="20"/>
          <w:lang w:val="en-US"/>
        </w:rPr>
      </w:pPr>
      <w:r w:rsidRPr="00FE50A6">
        <w:rPr>
          <w:szCs w:val="20"/>
          <w:lang w:val="en-US"/>
        </w:rPr>
        <w:t>In this regard, the Court recalls that, in relation to the exercise of the right to</w:t>
      </w:r>
      <w:r w:rsidR="00D81AA1" w:rsidRPr="00FE50A6">
        <w:rPr>
          <w:szCs w:val="20"/>
          <w:lang w:val="en-US"/>
        </w:rPr>
        <w:t xml:space="preserve"> </w:t>
      </w:r>
      <w:r w:rsidR="00D11A9F" w:rsidRPr="00FE50A6">
        <w:rPr>
          <w:szCs w:val="20"/>
          <w:lang w:val="en-US"/>
        </w:rPr>
        <w:t>judicial guarantees</w:t>
      </w:r>
      <w:r w:rsidR="00D81AA1" w:rsidRPr="00FE50A6">
        <w:rPr>
          <w:szCs w:val="20"/>
          <w:lang w:val="en-US"/>
        </w:rPr>
        <w:t xml:space="preserve"> </w:t>
      </w:r>
      <w:r w:rsidRPr="00FE50A6">
        <w:rPr>
          <w:szCs w:val="20"/>
          <w:lang w:val="en-US"/>
        </w:rPr>
        <w:t>recognized in</w:t>
      </w:r>
      <w:r w:rsidR="00D81AA1" w:rsidRPr="00FE50A6">
        <w:rPr>
          <w:szCs w:val="20"/>
          <w:lang w:val="en-US"/>
        </w:rPr>
        <w:t xml:space="preserve"> </w:t>
      </w:r>
      <w:r w:rsidR="000228D0" w:rsidRPr="00FE50A6">
        <w:rPr>
          <w:szCs w:val="20"/>
          <w:lang w:val="en-US"/>
        </w:rPr>
        <w:t>Article</w:t>
      </w:r>
      <w:r w:rsidR="00D81AA1" w:rsidRPr="00FE50A6">
        <w:rPr>
          <w:szCs w:val="20"/>
          <w:lang w:val="en-US"/>
        </w:rPr>
        <w:t xml:space="preserve"> 8</w:t>
      </w:r>
      <w:r w:rsidR="000228D0" w:rsidRPr="00FE50A6">
        <w:rPr>
          <w:szCs w:val="20"/>
          <w:lang w:val="en-US"/>
        </w:rPr>
        <w:t xml:space="preserve"> of the American Convention</w:t>
      </w:r>
      <w:r w:rsidR="00D81AA1" w:rsidRPr="00FE50A6">
        <w:rPr>
          <w:szCs w:val="20"/>
          <w:lang w:val="en-US"/>
        </w:rPr>
        <w:t xml:space="preserve">, </w:t>
      </w:r>
      <w:r w:rsidR="000228D0" w:rsidRPr="00FE50A6">
        <w:rPr>
          <w:szCs w:val="20"/>
          <w:lang w:val="en-US"/>
        </w:rPr>
        <w:t>the Court</w:t>
      </w:r>
      <w:r w:rsidR="00D81AA1" w:rsidRPr="00FE50A6">
        <w:rPr>
          <w:szCs w:val="20"/>
          <w:lang w:val="en-US"/>
        </w:rPr>
        <w:t xml:space="preserve"> ha</w:t>
      </w:r>
      <w:r w:rsidRPr="00FE50A6">
        <w:rPr>
          <w:szCs w:val="20"/>
          <w:lang w:val="en-US"/>
        </w:rPr>
        <w:t>s established</w:t>
      </w:r>
      <w:r w:rsidR="00D81AA1" w:rsidRPr="00FE50A6">
        <w:rPr>
          <w:szCs w:val="20"/>
          <w:lang w:val="en-US"/>
        </w:rPr>
        <w:t xml:space="preserve">, </w:t>
      </w:r>
      <w:r w:rsidR="00D81AA1" w:rsidRPr="00FE50A6">
        <w:rPr>
          <w:i/>
          <w:szCs w:val="20"/>
          <w:lang w:val="en-US"/>
        </w:rPr>
        <w:t>inter alia</w:t>
      </w:r>
      <w:r w:rsidR="00D81AA1" w:rsidRPr="00FE50A6">
        <w:rPr>
          <w:szCs w:val="20"/>
          <w:lang w:val="en-US"/>
        </w:rPr>
        <w:t xml:space="preserve">, </w:t>
      </w:r>
      <w:r w:rsidRPr="00FE50A6">
        <w:rPr>
          <w:szCs w:val="20"/>
          <w:lang w:val="en-US"/>
        </w:rPr>
        <w:t>that</w:t>
      </w:r>
      <w:r w:rsidR="00D81AA1" w:rsidRPr="00FE50A6">
        <w:rPr>
          <w:szCs w:val="20"/>
          <w:lang w:val="en-US"/>
        </w:rPr>
        <w:t xml:space="preserve"> </w:t>
      </w:r>
      <w:r w:rsidR="009C48A4" w:rsidRPr="00FE50A6">
        <w:rPr>
          <w:szCs w:val="20"/>
          <w:lang w:val="en-US"/>
        </w:rPr>
        <w:t>“</w:t>
      </w:r>
      <w:r w:rsidRPr="00FE50A6">
        <w:rPr>
          <w:szCs w:val="20"/>
          <w:lang w:val="en-US"/>
        </w:rPr>
        <w:t xml:space="preserve">it is necessary to </w:t>
      </w:r>
      <w:r w:rsidR="00E90772" w:rsidRPr="00FE50A6">
        <w:rPr>
          <w:szCs w:val="20"/>
          <w:lang w:val="en-US"/>
        </w:rPr>
        <w:t>comply with</w:t>
      </w:r>
      <w:r w:rsidRPr="00FE50A6">
        <w:rPr>
          <w:szCs w:val="20"/>
          <w:lang w:val="en-US"/>
        </w:rPr>
        <w:t xml:space="preserve"> all the requirements that protect, ensure or assert the ownership or exercise of a right; that is, the conditions that must be met to ensure the adequate representation or </w:t>
      </w:r>
      <w:r w:rsidR="00416700" w:rsidRPr="00FE50A6">
        <w:rPr>
          <w:szCs w:val="20"/>
          <w:lang w:val="en-US"/>
        </w:rPr>
        <w:t>control</w:t>
      </w:r>
      <w:r w:rsidRPr="00FE50A6">
        <w:rPr>
          <w:szCs w:val="20"/>
          <w:lang w:val="en-US"/>
        </w:rPr>
        <w:t xml:space="preserve"> of the interests or the claims of those whose rights or obligations are </w:t>
      </w:r>
      <w:r w:rsidR="00E90772" w:rsidRPr="00FE50A6">
        <w:rPr>
          <w:szCs w:val="20"/>
          <w:lang w:val="en-US"/>
        </w:rPr>
        <w:t>subject to</w:t>
      </w:r>
      <w:r w:rsidRPr="00FE50A6">
        <w:rPr>
          <w:szCs w:val="20"/>
          <w:lang w:val="en-US"/>
        </w:rPr>
        <w:t xml:space="preserve"> judicial consideration.</w:t>
      </w:r>
      <w:r w:rsidR="009C48A4" w:rsidRPr="00FE50A6">
        <w:rPr>
          <w:szCs w:val="20"/>
          <w:lang w:val="en-US"/>
        </w:rPr>
        <w:t>”</w:t>
      </w:r>
      <w:r w:rsidR="00D81AA1" w:rsidRPr="00FE50A6">
        <w:rPr>
          <w:rStyle w:val="Refdenotaalpie"/>
          <w:lang w:val="en-US"/>
        </w:rPr>
        <w:footnoteReference w:id="489"/>
      </w:r>
      <w:r w:rsidR="00D81AA1" w:rsidRPr="00FE50A6">
        <w:rPr>
          <w:szCs w:val="20"/>
          <w:lang w:val="en-US"/>
        </w:rPr>
        <w:t xml:space="preserve"> </w:t>
      </w:r>
    </w:p>
    <w:p w14:paraId="3A1FB4AB" w14:textId="77777777" w:rsidR="00D81AA1" w:rsidRPr="00FE50A6" w:rsidRDefault="00D81AA1" w:rsidP="00D81AA1">
      <w:pPr>
        <w:pStyle w:val="Prrafodelista"/>
        <w:rPr>
          <w:szCs w:val="20"/>
          <w:lang w:val="en-US"/>
        </w:rPr>
      </w:pPr>
    </w:p>
    <w:p w14:paraId="6D62D138" w14:textId="77777777" w:rsidR="00D81AA1" w:rsidRPr="00FE50A6" w:rsidRDefault="002071B1" w:rsidP="00896163">
      <w:pPr>
        <w:numPr>
          <w:ilvl w:val="0"/>
          <w:numId w:val="1"/>
        </w:numPr>
        <w:tabs>
          <w:tab w:val="clear" w:pos="4419"/>
          <w:tab w:val="clear" w:pos="8838"/>
        </w:tabs>
        <w:contextualSpacing/>
        <w:jc w:val="both"/>
        <w:rPr>
          <w:szCs w:val="20"/>
          <w:lang w:val="en-US"/>
        </w:rPr>
      </w:pPr>
      <w:r w:rsidRPr="00FE50A6">
        <w:rPr>
          <w:rFonts w:eastAsia="Calibri" w:cs="Verdana"/>
          <w:szCs w:val="20"/>
          <w:lang w:val="en-US"/>
        </w:rPr>
        <w:t>The Court</w:t>
      </w:r>
      <w:r w:rsidR="00D81AA1" w:rsidRPr="00FE50A6">
        <w:rPr>
          <w:rFonts w:eastAsia="Calibri" w:cs="Verdana"/>
          <w:szCs w:val="20"/>
          <w:lang w:val="en-US"/>
        </w:rPr>
        <w:t xml:space="preserve"> </w:t>
      </w:r>
      <w:r w:rsidR="00896163" w:rsidRPr="00FE50A6">
        <w:rPr>
          <w:rFonts w:eastAsia="Calibri" w:cs="Verdana"/>
          <w:szCs w:val="20"/>
          <w:lang w:val="en-US"/>
        </w:rPr>
        <w:t xml:space="preserve">also recalls that, according to the right recognized in </w:t>
      </w:r>
      <w:r w:rsidR="000228D0" w:rsidRPr="00FE50A6">
        <w:rPr>
          <w:rFonts w:eastAsia="Calibri" w:cs="Verdana"/>
          <w:szCs w:val="20"/>
          <w:lang w:val="en-US"/>
        </w:rPr>
        <w:t>Article</w:t>
      </w:r>
      <w:r w:rsidR="00D81AA1" w:rsidRPr="00FE50A6">
        <w:rPr>
          <w:rFonts w:eastAsia="Calibri" w:cs="Verdana"/>
          <w:szCs w:val="20"/>
          <w:lang w:val="en-US"/>
        </w:rPr>
        <w:t xml:space="preserve"> </w:t>
      </w:r>
      <w:r w:rsidR="00703850" w:rsidRPr="00FE50A6">
        <w:rPr>
          <w:rFonts w:eastAsia="Calibri" w:cs="Verdana"/>
          <w:szCs w:val="20"/>
          <w:lang w:val="en-US"/>
        </w:rPr>
        <w:t>8(1)</w:t>
      </w:r>
      <w:r w:rsidR="000228D0" w:rsidRPr="00FE50A6">
        <w:rPr>
          <w:rFonts w:eastAsia="Calibri" w:cs="Verdana"/>
          <w:szCs w:val="20"/>
          <w:lang w:val="en-US"/>
        </w:rPr>
        <w:t xml:space="preserve"> of the American Convention</w:t>
      </w:r>
      <w:r w:rsidR="00D81AA1" w:rsidRPr="00FE50A6">
        <w:rPr>
          <w:rFonts w:eastAsia="Calibri" w:cs="Verdana"/>
          <w:szCs w:val="20"/>
          <w:lang w:val="en-US"/>
        </w:rPr>
        <w:t xml:space="preserve">, </w:t>
      </w:r>
      <w:r w:rsidR="000B587F" w:rsidRPr="00FE50A6">
        <w:rPr>
          <w:rFonts w:eastAsia="Calibri" w:cs="Verdana"/>
          <w:szCs w:val="20"/>
          <w:lang w:val="en-US"/>
        </w:rPr>
        <w:t>in relation to Article 1(1)</w:t>
      </w:r>
      <w:r w:rsidR="00D81AA1" w:rsidRPr="00FE50A6">
        <w:rPr>
          <w:rFonts w:eastAsia="Calibri" w:cs="Verdana"/>
          <w:szCs w:val="20"/>
          <w:lang w:val="en-US"/>
        </w:rPr>
        <w:t xml:space="preserve"> </w:t>
      </w:r>
      <w:r w:rsidR="00703850" w:rsidRPr="00FE50A6">
        <w:rPr>
          <w:rFonts w:eastAsia="Calibri" w:cs="Verdana"/>
          <w:szCs w:val="20"/>
          <w:lang w:val="en-US"/>
        </w:rPr>
        <w:t>of this instrument</w:t>
      </w:r>
      <w:r w:rsidR="00D81AA1" w:rsidRPr="00FE50A6">
        <w:rPr>
          <w:rFonts w:eastAsia="Calibri" w:cs="Verdana"/>
          <w:szCs w:val="20"/>
          <w:lang w:val="en-US"/>
        </w:rPr>
        <w:t xml:space="preserve">, </w:t>
      </w:r>
      <w:r w:rsidR="00896163" w:rsidRPr="00FE50A6">
        <w:rPr>
          <w:rFonts w:eastAsia="Calibri" w:cs="Verdana"/>
          <w:szCs w:val="20"/>
          <w:lang w:val="en-US"/>
        </w:rPr>
        <w:t>States have the obligation to ensure the right of the victims or their next of kin to participate in all stages of proceedings</w:t>
      </w:r>
      <w:r w:rsidR="00E90772" w:rsidRPr="00FE50A6">
        <w:rPr>
          <w:rFonts w:eastAsia="Calibri" w:cs="Verdana"/>
          <w:szCs w:val="20"/>
          <w:lang w:val="en-US"/>
        </w:rPr>
        <w:t xml:space="preserve"> that concern them</w:t>
      </w:r>
      <w:r w:rsidR="00896163" w:rsidRPr="00FE50A6">
        <w:rPr>
          <w:rFonts w:eastAsia="Calibri" w:cs="Verdana"/>
          <w:szCs w:val="20"/>
          <w:lang w:val="en-US"/>
        </w:rPr>
        <w:t xml:space="preserve"> so that they may make proposals, receive information, provide evidence, submit arguments and, in sum, assert their rights.</w:t>
      </w:r>
      <w:r w:rsidR="00D81AA1" w:rsidRPr="00FE50A6">
        <w:rPr>
          <w:rStyle w:val="Refdenotaalpie"/>
          <w:rFonts w:eastAsia="Calibri"/>
          <w:lang w:val="en-US"/>
        </w:rPr>
        <w:footnoteReference w:id="490"/>
      </w:r>
      <w:r w:rsidR="00896163" w:rsidRPr="00FE50A6">
        <w:rPr>
          <w:rFonts w:eastAsia="Calibri" w:cs="Verdana"/>
          <w:szCs w:val="20"/>
          <w:lang w:val="en-US"/>
        </w:rPr>
        <w:t xml:space="preserve"> The purpose of this participation should be access to justice, to know the truth about what occurred, and to obtain fair re</w:t>
      </w:r>
      <w:r w:rsidR="00E90772" w:rsidRPr="00FE50A6">
        <w:rPr>
          <w:rFonts w:eastAsia="Calibri" w:cs="Verdana"/>
          <w:szCs w:val="20"/>
          <w:lang w:val="en-US"/>
        </w:rPr>
        <w:t>paration</w:t>
      </w:r>
      <w:r w:rsidR="00896163" w:rsidRPr="00FE50A6">
        <w:rPr>
          <w:rFonts w:eastAsia="Calibri" w:cs="Verdana"/>
          <w:szCs w:val="20"/>
          <w:lang w:val="en-US"/>
        </w:rPr>
        <w:t>.</w:t>
      </w:r>
      <w:r w:rsidR="00D81AA1" w:rsidRPr="00FE50A6">
        <w:rPr>
          <w:rStyle w:val="Refdenotaalpie"/>
          <w:rFonts w:eastAsia="Calibri"/>
          <w:lang w:val="en-US"/>
        </w:rPr>
        <w:footnoteReference w:id="491"/>
      </w:r>
      <w:r w:rsidR="00896163" w:rsidRPr="00FE50A6">
        <w:rPr>
          <w:rFonts w:eastAsia="Calibri" w:cs="Verdana"/>
          <w:szCs w:val="20"/>
          <w:lang w:val="en-US"/>
        </w:rPr>
        <w:t xml:space="preserve"> However, the effective search for the truth corresponds to the State and does not depend on the procedural initiative of the victim or the next of kin, or on the contribution of probative elements</w:t>
      </w:r>
      <w:r w:rsidR="00E90772" w:rsidRPr="00FE50A6">
        <w:rPr>
          <w:rFonts w:eastAsia="Calibri" w:cs="Verdana"/>
          <w:szCs w:val="20"/>
          <w:lang w:val="en-US"/>
        </w:rPr>
        <w:t xml:space="preserve"> by private individuals</w:t>
      </w:r>
      <w:r w:rsidR="00896163" w:rsidRPr="00FE50A6">
        <w:rPr>
          <w:rFonts w:eastAsia="Calibri" w:cs="Verdana"/>
          <w:szCs w:val="20"/>
          <w:lang w:val="en-US"/>
        </w:rPr>
        <w:t>.</w:t>
      </w:r>
      <w:r w:rsidR="00D81AA1" w:rsidRPr="00FE50A6">
        <w:rPr>
          <w:rStyle w:val="Refdenotaalpie"/>
          <w:rFonts w:cs="Verdana"/>
          <w:lang w:val="en-US"/>
        </w:rPr>
        <w:footnoteReference w:id="492"/>
      </w:r>
      <w:r w:rsidR="00D81AA1" w:rsidRPr="00FE50A6">
        <w:rPr>
          <w:rFonts w:cs="Verdana"/>
          <w:szCs w:val="20"/>
          <w:lang w:val="en-US"/>
        </w:rPr>
        <w:t xml:space="preserve"> </w:t>
      </w:r>
      <w:r w:rsidR="00896163" w:rsidRPr="00FE50A6">
        <w:rPr>
          <w:rFonts w:cs="Verdana"/>
          <w:szCs w:val="20"/>
          <w:lang w:val="en-US"/>
        </w:rPr>
        <w:t xml:space="preserve">In this case, the </w:t>
      </w:r>
      <w:r w:rsidR="00DC398B" w:rsidRPr="00FE50A6">
        <w:rPr>
          <w:rFonts w:cs="Verdana"/>
          <w:szCs w:val="20"/>
          <w:lang w:val="en-US"/>
        </w:rPr>
        <w:t>Federal Public Prosecution Servic</w:t>
      </w:r>
      <w:r w:rsidR="00E90772" w:rsidRPr="00FE50A6">
        <w:rPr>
          <w:rFonts w:cs="Verdana"/>
          <w:szCs w:val="20"/>
          <w:lang w:val="en-US"/>
        </w:rPr>
        <w:t>e was in charge of the criminal action, because</w:t>
      </w:r>
      <w:r w:rsidR="00896163" w:rsidRPr="00FE50A6">
        <w:rPr>
          <w:rFonts w:cs="Verdana"/>
          <w:szCs w:val="20"/>
          <w:lang w:val="en-US"/>
        </w:rPr>
        <w:t xml:space="preserve"> </w:t>
      </w:r>
      <w:r w:rsidR="00E90772" w:rsidRPr="00FE50A6">
        <w:rPr>
          <w:rFonts w:cs="Verdana"/>
          <w:szCs w:val="20"/>
          <w:lang w:val="en-US"/>
        </w:rPr>
        <w:t>the</w:t>
      </w:r>
      <w:r w:rsidR="00896163" w:rsidRPr="00FE50A6">
        <w:rPr>
          <w:rFonts w:cs="Verdana"/>
          <w:szCs w:val="20"/>
          <w:lang w:val="en-US"/>
        </w:rPr>
        <w:t xml:space="preserve"> crime</w:t>
      </w:r>
      <w:r w:rsidR="00E90772" w:rsidRPr="00FE50A6">
        <w:rPr>
          <w:rFonts w:cs="Verdana"/>
          <w:szCs w:val="20"/>
          <w:lang w:val="en-US"/>
        </w:rPr>
        <w:t xml:space="preserve"> was subject exclusively to a</w:t>
      </w:r>
      <w:r w:rsidR="00896163" w:rsidRPr="00FE50A6">
        <w:rPr>
          <w:rFonts w:cs="Verdana"/>
          <w:szCs w:val="20"/>
          <w:lang w:val="en-US"/>
        </w:rPr>
        <w:t xml:space="preserve"> </w:t>
      </w:r>
      <w:r w:rsidR="00BA1DCE" w:rsidRPr="00FE50A6">
        <w:rPr>
          <w:rFonts w:cs="Verdana"/>
          <w:szCs w:val="20"/>
          <w:lang w:val="en-US"/>
        </w:rPr>
        <w:t>“public criminal action.”</w:t>
      </w:r>
    </w:p>
    <w:p w14:paraId="03014E07" w14:textId="77777777" w:rsidR="00D81AA1" w:rsidRPr="00FE50A6" w:rsidRDefault="00D81AA1" w:rsidP="00D81AA1">
      <w:pPr>
        <w:jc w:val="both"/>
        <w:rPr>
          <w:szCs w:val="20"/>
          <w:lang w:val="en-US"/>
        </w:rPr>
      </w:pPr>
    </w:p>
    <w:p w14:paraId="641B1F9C" w14:textId="77777777" w:rsidR="00D81AA1" w:rsidRPr="00FE50A6" w:rsidRDefault="00D81AA1" w:rsidP="008B0BCC">
      <w:pPr>
        <w:pStyle w:val="Prrafodelista"/>
        <w:numPr>
          <w:ilvl w:val="0"/>
          <w:numId w:val="23"/>
        </w:numPr>
        <w:tabs>
          <w:tab w:val="right" w:pos="0"/>
        </w:tabs>
        <w:rPr>
          <w:i/>
          <w:szCs w:val="20"/>
          <w:lang w:val="en-US"/>
        </w:rPr>
      </w:pPr>
      <w:r w:rsidRPr="00FE50A6">
        <w:rPr>
          <w:i/>
          <w:szCs w:val="20"/>
          <w:lang w:val="en-US"/>
        </w:rPr>
        <w:t>Conduct</w:t>
      </w:r>
      <w:r w:rsidR="00BA1DCE" w:rsidRPr="00FE50A6">
        <w:rPr>
          <w:i/>
          <w:szCs w:val="20"/>
          <w:lang w:val="en-US"/>
        </w:rPr>
        <w:t xml:space="preserve"> of the judicial authorities</w:t>
      </w:r>
    </w:p>
    <w:p w14:paraId="7F987EEF" w14:textId="77777777" w:rsidR="00D81AA1" w:rsidRPr="00FE50A6" w:rsidRDefault="00D81AA1" w:rsidP="00D81AA1">
      <w:pPr>
        <w:jc w:val="both"/>
        <w:rPr>
          <w:szCs w:val="20"/>
          <w:lang w:val="en-US"/>
        </w:rPr>
      </w:pPr>
    </w:p>
    <w:p w14:paraId="184A90CF" w14:textId="77777777" w:rsidR="00D81AA1" w:rsidRPr="00FE50A6" w:rsidRDefault="000228D0" w:rsidP="00BA1DCE">
      <w:pPr>
        <w:numPr>
          <w:ilvl w:val="0"/>
          <w:numId w:val="1"/>
        </w:numPr>
        <w:tabs>
          <w:tab w:val="clear" w:pos="4419"/>
          <w:tab w:val="clear" w:pos="8838"/>
        </w:tabs>
        <w:contextualSpacing/>
        <w:jc w:val="both"/>
        <w:rPr>
          <w:szCs w:val="20"/>
          <w:lang w:val="en-US"/>
        </w:rPr>
      </w:pPr>
      <w:r w:rsidRPr="00FE50A6">
        <w:rPr>
          <w:rFonts w:cs="Arial"/>
          <w:szCs w:val="20"/>
          <w:lang w:val="en-US"/>
        </w:rPr>
        <w:t>The Court</w:t>
      </w:r>
      <w:r w:rsidR="00D81AA1" w:rsidRPr="00FE50A6">
        <w:rPr>
          <w:rFonts w:cs="Arial"/>
          <w:szCs w:val="20"/>
          <w:lang w:val="en-US"/>
        </w:rPr>
        <w:t xml:space="preserve"> rec</w:t>
      </w:r>
      <w:r w:rsidR="00BA1DCE" w:rsidRPr="00FE50A6">
        <w:rPr>
          <w:rFonts w:cs="Arial"/>
          <w:szCs w:val="20"/>
          <w:lang w:val="en-US"/>
        </w:rPr>
        <w:t>alls that, in this case, the criminal complaint was filed on June 30,</w:t>
      </w:r>
      <w:r w:rsidR="00D81AA1" w:rsidRPr="00FE50A6">
        <w:rPr>
          <w:rFonts w:cs="Arial"/>
          <w:szCs w:val="20"/>
          <w:lang w:val="en-US"/>
        </w:rPr>
        <w:t xml:space="preserve"> 1997</w:t>
      </w:r>
      <w:r w:rsidR="00BA1DCE" w:rsidRPr="00FE50A6">
        <w:rPr>
          <w:rFonts w:cs="Arial"/>
          <w:szCs w:val="20"/>
          <w:lang w:val="en-US"/>
        </w:rPr>
        <w:t>, and it was not until</w:t>
      </w:r>
      <w:r w:rsidR="00030C17" w:rsidRPr="00FE50A6">
        <w:rPr>
          <w:rFonts w:cs="Arial"/>
          <w:szCs w:val="20"/>
          <w:lang w:val="en-US"/>
        </w:rPr>
        <w:t xml:space="preserve"> </w:t>
      </w:r>
      <w:r w:rsidR="00BA1DCE" w:rsidRPr="00FE50A6">
        <w:rPr>
          <w:rFonts w:cs="Arial"/>
          <w:szCs w:val="20"/>
          <w:lang w:val="en-US"/>
        </w:rPr>
        <w:t>September 13,</w:t>
      </w:r>
      <w:r w:rsidR="00D81AA1" w:rsidRPr="00FE50A6">
        <w:rPr>
          <w:rFonts w:cs="Arial"/>
          <w:szCs w:val="20"/>
          <w:lang w:val="en-US"/>
        </w:rPr>
        <w:t xml:space="preserve"> 1999</w:t>
      </w:r>
      <w:r w:rsidR="00BA1DCE" w:rsidRPr="00FE50A6">
        <w:rPr>
          <w:rFonts w:cs="Arial"/>
          <w:szCs w:val="20"/>
          <w:lang w:val="en-US"/>
        </w:rPr>
        <w:t xml:space="preserve">, that the preliminary hearing of the accused, </w:t>
      </w:r>
      <w:r w:rsidR="00D4212F" w:rsidRPr="00FE50A6">
        <w:rPr>
          <w:rFonts w:cs="Arial"/>
          <w:szCs w:val="20"/>
          <w:lang w:val="en-US"/>
        </w:rPr>
        <w:t>Quagliato Neto</w:t>
      </w:r>
      <w:r w:rsidR="00BA1DCE" w:rsidRPr="00FE50A6">
        <w:rPr>
          <w:rFonts w:cs="Arial"/>
          <w:szCs w:val="20"/>
          <w:lang w:val="en-US"/>
        </w:rPr>
        <w:t>, was held</w:t>
      </w:r>
      <w:r w:rsidR="00D81AA1" w:rsidRPr="00FE50A6">
        <w:rPr>
          <w:rFonts w:cs="Arial"/>
          <w:szCs w:val="20"/>
          <w:lang w:val="en-US"/>
        </w:rPr>
        <w:t xml:space="preserve"> (</w:t>
      </w:r>
      <w:r w:rsidR="00D81AA1" w:rsidRPr="00FE50A6">
        <w:rPr>
          <w:rFonts w:cs="Arial"/>
          <w:i/>
          <w:szCs w:val="20"/>
          <w:lang w:val="en-US"/>
        </w:rPr>
        <w:t>supra</w:t>
      </w:r>
      <w:r w:rsidR="00D81AA1" w:rsidRPr="00FE50A6">
        <w:rPr>
          <w:rFonts w:cs="Arial"/>
          <w:szCs w:val="20"/>
          <w:lang w:val="en-US"/>
        </w:rPr>
        <w:t xml:space="preserve"> </w:t>
      </w:r>
      <w:r w:rsidR="00700B79" w:rsidRPr="00FE50A6">
        <w:rPr>
          <w:rFonts w:cs="Arial"/>
          <w:szCs w:val="20"/>
          <w:lang w:val="en-US"/>
        </w:rPr>
        <w:t>para.</w:t>
      </w:r>
      <w:r w:rsidR="00D81AA1" w:rsidRPr="00FE50A6">
        <w:rPr>
          <w:rFonts w:cs="Arial"/>
          <w:szCs w:val="20"/>
          <w:lang w:val="en-US"/>
        </w:rPr>
        <w:t xml:space="preserve"> </w:t>
      </w:r>
      <w:r w:rsidR="00D4212F" w:rsidRPr="00FE50A6">
        <w:rPr>
          <w:rFonts w:cs="Arial"/>
          <w:szCs w:val="20"/>
          <w:lang w:val="en-US"/>
        </w:rPr>
        <w:t>149</w:t>
      </w:r>
      <w:r w:rsidR="00D81AA1" w:rsidRPr="00FE50A6">
        <w:rPr>
          <w:rFonts w:cs="Arial"/>
          <w:szCs w:val="20"/>
          <w:lang w:val="en-US"/>
        </w:rPr>
        <w:t xml:space="preserve">). </w:t>
      </w:r>
      <w:r w:rsidR="00BA1DCE" w:rsidRPr="00FE50A6">
        <w:rPr>
          <w:rFonts w:cs="Arial"/>
          <w:szCs w:val="20"/>
          <w:lang w:val="en-US"/>
        </w:rPr>
        <w:t>Subsequently, on</w:t>
      </w:r>
      <w:r w:rsidR="00D81AA1" w:rsidRPr="00FE50A6">
        <w:rPr>
          <w:rFonts w:cs="Arial"/>
          <w:szCs w:val="20"/>
          <w:lang w:val="en-US"/>
        </w:rPr>
        <w:t xml:space="preserve"> </w:t>
      </w:r>
      <w:r w:rsidR="00BA1DCE" w:rsidRPr="00FE50A6">
        <w:rPr>
          <w:rFonts w:cs="Arial"/>
          <w:szCs w:val="20"/>
          <w:lang w:val="en-US"/>
        </w:rPr>
        <w:t>March 16,</w:t>
      </w:r>
      <w:r w:rsidR="00D81AA1" w:rsidRPr="00FE50A6">
        <w:rPr>
          <w:rFonts w:cs="Arial"/>
          <w:szCs w:val="20"/>
          <w:lang w:val="en-US"/>
        </w:rPr>
        <w:t xml:space="preserve"> 2001</w:t>
      </w:r>
      <w:r w:rsidR="00BA1DCE" w:rsidRPr="00FE50A6">
        <w:rPr>
          <w:rFonts w:cs="Arial"/>
          <w:szCs w:val="20"/>
          <w:lang w:val="en-US"/>
        </w:rPr>
        <w:t>,</w:t>
      </w:r>
      <w:r w:rsidR="00D81AA1" w:rsidRPr="00FE50A6">
        <w:rPr>
          <w:rFonts w:cs="Arial"/>
          <w:szCs w:val="20"/>
          <w:lang w:val="en-US"/>
        </w:rPr>
        <w:t xml:space="preserve"> </w:t>
      </w:r>
      <w:r w:rsidR="009C48A4" w:rsidRPr="00FE50A6">
        <w:rPr>
          <w:rFonts w:cs="Arial"/>
          <w:szCs w:val="20"/>
          <w:lang w:val="en-US"/>
        </w:rPr>
        <w:t>the federal judge</w:t>
      </w:r>
      <w:r w:rsidR="00D81AA1" w:rsidRPr="00FE50A6">
        <w:rPr>
          <w:rFonts w:cs="Arial"/>
          <w:szCs w:val="20"/>
          <w:lang w:val="en-US"/>
        </w:rPr>
        <w:t xml:space="preserve"> declar</w:t>
      </w:r>
      <w:r w:rsidR="00BA1DCE" w:rsidRPr="00FE50A6">
        <w:rPr>
          <w:rFonts w:cs="Arial"/>
          <w:szCs w:val="20"/>
          <w:lang w:val="en-US"/>
        </w:rPr>
        <w:t>ed his</w:t>
      </w:r>
      <w:r w:rsidR="00D81AA1" w:rsidRPr="00FE50A6">
        <w:rPr>
          <w:rFonts w:cs="Arial"/>
          <w:szCs w:val="20"/>
          <w:lang w:val="en-US"/>
        </w:rPr>
        <w:t xml:space="preserve"> </w:t>
      </w:r>
      <w:r w:rsidR="00BA1DCE" w:rsidRPr="00FE50A6">
        <w:rPr>
          <w:rFonts w:cs="Arial"/>
          <w:szCs w:val="20"/>
          <w:lang w:val="en-US"/>
        </w:rPr>
        <w:t>l</w:t>
      </w:r>
      <w:r w:rsidR="00822837" w:rsidRPr="00FE50A6">
        <w:rPr>
          <w:rFonts w:cs="Arial"/>
          <w:szCs w:val="20"/>
          <w:lang w:val="en-US"/>
        </w:rPr>
        <w:t xml:space="preserve">ack of </w:t>
      </w:r>
      <w:r w:rsidR="00BA1DCE" w:rsidRPr="00FE50A6">
        <w:rPr>
          <w:rFonts w:cs="Arial"/>
          <w:szCs w:val="20"/>
          <w:lang w:val="en-US"/>
        </w:rPr>
        <w:t>competence to hear the case and sent the case file to the Pará state jurisdiction. On</w:t>
      </w:r>
      <w:r w:rsidR="00D81AA1" w:rsidRPr="00FE50A6">
        <w:rPr>
          <w:rFonts w:cs="Arial"/>
          <w:szCs w:val="20"/>
          <w:lang w:val="en-US"/>
        </w:rPr>
        <w:t xml:space="preserve"> </w:t>
      </w:r>
      <w:r w:rsidR="00BA1DCE" w:rsidRPr="00FE50A6">
        <w:rPr>
          <w:rFonts w:cs="Arial"/>
          <w:szCs w:val="20"/>
          <w:lang w:val="en-US"/>
        </w:rPr>
        <w:t>May 28,</w:t>
      </w:r>
      <w:r w:rsidR="00D81AA1" w:rsidRPr="00FE50A6">
        <w:rPr>
          <w:rFonts w:cs="Arial"/>
          <w:szCs w:val="20"/>
          <w:lang w:val="en-US"/>
        </w:rPr>
        <w:t xml:space="preserve"> 2002</w:t>
      </w:r>
      <w:r w:rsidR="00BA1DCE" w:rsidRPr="00FE50A6">
        <w:rPr>
          <w:rFonts w:cs="Arial"/>
          <w:szCs w:val="20"/>
          <w:lang w:val="en-US"/>
        </w:rPr>
        <w:t>, the criminal action against</w:t>
      </w:r>
      <w:r w:rsidR="00D81AA1" w:rsidRPr="00FE50A6">
        <w:rPr>
          <w:rFonts w:cs="Arial"/>
          <w:szCs w:val="20"/>
          <w:lang w:val="en-US"/>
        </w:rPr>
        <w:t xml:space="preserve"> João Luiz Quagliato Neto</w:t>
      </w:r>
      <w:r w:rsidR="00BA1DCE" w:rsidRPr="00FE50A6">
        <w:rPr>
          <w:rFonts w:cs="Arial"/>
          <w:szCs w:val="20"/>
          <w:lang w:val="en-US"/>
        </w:rPr>
        <w:t xml:space="preserve"> was declared extinct</w:t>
      </w:r>
      <w:r w:rsidR="00D81AA1" w:rsidRPr="00FE50A6">
        <w:rPr>
          <w:rFonts w:cs="Arial"/>
          <w:szCs w:val="20"/>
          <w:lang w:val="en-US"/>
        </w:rPr>
        <w:t>,</w:t>
      </w:r>
      <w:r w:rsidR="00030C17" w:rsidRPr="00FE50A6">
        <w:rPr>
          <w:rFonts w:cs="Arial"/>
          <w:szCs w:val="20"/>
          <w:lang w:val="en-US"/>
        </w:rPr>
        <w:t xml:space="preserve"> and </w:t>
      </w:r>
      <w:r w:rsidR="00BA1DCE" w:rsidRPr="00FE50A6">
        <w:rPr>
          <w:rFonts w:cs="Arial"/>
          <w:szCs w:val="20"/>
          <w:lang w:val="en-US"/>
        </w:rPr>
        <w:t>on</w:t>
      </w:r>
      <w:r w:rsidR="00D81AA1" w:rsidRPr="00FE50A6">
        <w:rPr>
          <w:rFonts w:cs="Arial"/>
          <w:szCs w:val="20"/>
          <w:lang w:val="en-US"/>
        </w:rPr>
        <w:t xml:space="preserve"> </w:t>
      </w:r>
      <w:r w:rsidR="00BA1DCE" w:rsidRPr="00FE50A6">
        <w:rPr>
          <w:rFonts w:cs="Arial"/>
          <w:szCs w:val="20"/>
          <w:lang w:val="en-US"/>
        </w:rPr>
        <w:t>November 8,</w:t>
      </w:r>
      <w:r w:rsidR="00D81AA1" w:rsidRPr="00FE50A6">
        <w:rPr>
          <w:rFonts w:cs="Arial"/>
          <w:szCs w:val="20"/>
          <w:lang w:val="en-US"/>
        </w:rPr>
        <w:t xml:space="preserve"> 2004</w:t>
      </w:r>
      <w:r w:rsidR="00BA1DCE" w:rsidRPr="00FE50A6">
        <w:rPr>
          <w:rFonts w:cs="Arial"/>
          <w:szCs w:val="20"/>
          <w:lang w:val="en-US"/>
        </w:rPr>
        <w:t>, the state judge declared his lack</w:t>
      </w:r>
      <w:r w:rsidR="00D81AA1" w:rsidRPr="00FE50A6">
        <w:rPr>
          <w:rFonts w:cs="Arial"/>
          <w:szCs w:val="20"/>
          <w:lang w:val="en-US"/>
        </w:rPr>
        <w:t xml:space="preserve"> </w:t>
      </w:r>
      <w:r w:rsidR="00822837" w:rsidRPr="00FE50A6">
        <w:rPr>
          <w:rFonts w:cs="Arial"/>
          <w:szCs w:val="20"/>
          <w:lang w:val="en-US"/>
        </w:rPr>
        <w:t>of jurisdiction</w:t>
      </w:r>
      <w:r w:rsidR="00D81AA1" w:rsidRPr="00FE50A6">
        <w:rPr>
          <w:rFonts w:cs="Arial"/>
          <w:szCs w:val="20"/>
          <w:lang w:val="en-US"/>
        </w:rPr>
        <w:t xml:space="preserve"> </w:t>
      </w:r>
      <w:r w:rsidR="00BA1DCE" w:rsidRPr="00FE50A6">
        <w:rPr>
          <w:rFonts w:cs="Arial"/>
          <w:szCs w:val="20"/>
          <w:lang w:val="en-US"/>
        </w:rPr>
        <w:t>to hear the case and returned the case file to the federal jurisdiction. During the long periods between these actions no procedures of any procedural relevance were conducted.</w:t>
      </w:r>
      <w:r w:rsidR="00BA1DCE" w:rsidRPr="00FE50A6">
        <w:rPr>
          <w:szCs w:val="20"/>
          <w:lang w:val="en-US"/>
        </w:rPr>
        <w:t xml:space="preserve"> On </w:t>
      </w:r>
      <w:r w:rsidR="00BA1DCE" w:rsidRPr="00FE50A6">
        <w:rPr>
          <w:rFonts w:cs="Arial"/>
          <w:szCs w:val="20"/>
          <w:lang w:val="en-US"/>
        </w:rPr>
        <w:t>September 26,</w:t>
      </w:r>
      <w:r w:rsidR="00D81AA1" w:rsidRPr="00FE50A6">
        <w:rPr>
          <w:rFonts w:cs="Arial"/>
          <w:szCs w:val="20"/>
          <w:lang w:val="en-US"/>
        </w:rPr>
        <w:t xml:space="preserve"> 2006</w:t>
      </w:r>
      <w:r w:rsidR="00BA1DCE" w:rsidRPr="00FE50A6">
        <w:rPr>
          <w:rFonts w:cs="Arial"/>
          <w:szCs w:val="20"/>
          <w:lang w:val="en-US"/>
        </w:rPr>
        <w:t>,</w:t>
      </w:r>
      <w:r w:rsidR="00D81AA1" w:rsidRPr="00FE50A6">
        <w:rPr>
          <w:rFonts w:cs="Arial"/>
          <w:szCs w:val="20"/>
          <w:lang w:val="en-US"/>
        </w:rPr>
        <w:t xml:space="preserve"> </w:t>
      </w:r>
      <w:r w:rsidR="00015022" w:rsidRPr="00FE50A6">
        <w:rPr>
          <w:rFonts w:cs="Arial"/>
          <w:szCs w:val="20"/>
          <w:lang w:val="en-US"/>
        </w:rPr>
        <w:t>the Superior Court of Justice</w:t>
      </w:r>
      <w:r w:rsidR="00D81AA1" w:rsidRPr="00FE50A6">
        <w:rPr>
          <w:rFonts w:cs="Arial"/>
          <w:szCs w:val="20"/>
          <w:lang w:val="en-US"/>
        </w:rPr>
        <w:t xml:space="preserve"> determin</w:t>
      </w:r>
      <w:r w:rsidR="00BA1DCE" w:rsidRPr="00FE50A6">
        <w:rPr>
          <w:rFonts w:cs="Arial"/>
          <w:szCs w:val="20"/>
          <w:lang w:val="en-US"/>
        </w:rPr>
        <w:t xml:space="preserve">ed that the </w:t>
      </w:r>
      <w:r w:rsidR="00E90772" w:rsidRPr="00FE50A6">
        <w:rPr>
          <w:rFonts w:cs="Arial"/>
          <w:szCs w:val="20"/>
          <w:lang w:val="en-US"/>
        </w:rPr>
        <w:t>federal</w:t>
      </w:r>
      <w:r w:rsidR="00BA1DCE" w:rsidRPr="00FE50A6">
        <w:rPr>
          <w:rFonts w:cs="Arial"/>
          <w:szCs w:val="20"/>
          <w:lang w:val="en-US"/>
        </w:rPr>
        <w:t xml:space="preserve"> jurisdiction had competence in the case and the case file was forwarded to the Marabá Federal Trial Court</w:t>
      </w:r>
      <w:r w:rsidR="00D81AA1" w:rsidRPr="00FE50A6">
        <w:rPr>
          <w:rFonts w:cs="Arial"/>
          <w:szCs w:val="20"/>
          <w:lang w:val="en-US"/>
        </w:rPr>
        <w:t>. Final</w:t>
      </w:r>
      <w:r w:rsidR="00BA1DCE" w:rsidRPr="00FE50A6">
        <w:rPr>
          <w:rFonts w:cs="Arial"/>
          <w:szCs w:val="20"/>
          <w:lang w:val="en-US"/>
        </w:rPr>
        <w:t>ly</w:t>
      </w:r>
      <w:r w:rsidR="00D81AA1" w:rsidRPr="00FE50A6">
        <w:rPr>
          <w:rFonts w:cs="Arial"/>
          <w:szCs w:val="20"/>
          <w:lang w:val="en-US"/>
        </w:rPr>
        <w:t xml:space="preserve">, </w:t>
      </w:r>
      <w:r w:rsidR="00BA1DCE" w:rsidRPr="00FE50A6">
        <w:rPr>
          <w:rFonts w:cs="Arial"/>
          <w:szCs w:val="20"/>
          <w:lang w:val="en-US"/>
        </w:rPr>
        <w:t>on</w:t>
      </w:r>
      <w:r w:rsidR="00D81AA1" w:rsidRPr="00FE50A6">
        <w:rPr>
          <w:rFonts w:cs="Arial"/>
          <w:szCs w:val="20"/>
          <w:lang w:val="en-US"/>
        </w:rPr>
        <w:t xml:space="preserve"> </w:t>
      </w:r>
      <w:r w:rsidR="00F8114C" w:rsidRPr="00FE50A6">
        <w:rPr>
          <w:rFonts w:cs="Arial"/>
          <w:szCs w:val="20"/>
          <w:lang w:val="en-US"/>
        </w:rPr>
        <w:t>July 10,</w:t>
      </w:r>
      <w:r w:rsidR="00D81AA1" w:rsidRPr="00FE50A6">
        <w:rPr>
          <w:rFonts w:cs="Arial"/>
          <w:szCs w:val="20"/>
          <w:lang w:val="en-US"/>
        </w:rPr>
        <w:t xml:space="preserve"> 2008</w:t>
      </w:r>
      <w:r w:rsidR="00BA1DCE" w:rsidRPr="00FE50A6">
        <w:rPr>
          <w:rFonts w:cs="Arial"/>
          <w:szCs w:val="20"/>
          <w:lang w:val="en-US"/>
        </w:rPr>
        <w:t>, the Federal Public Prosecution Service submitted its final arguments and requested the extinction of the criminal action against</w:t>
      </w:r>
      <w:r w:rsidR="00D81AA1" w:rsidRPr="00FE50A6">
        <w:rPr>
          <w:rFonts w:cs="Arial"/>
          <w:szCs w:val="20"/>
          <w:lang w:val="en-US"/>
        </w:rPr>
        <w:t xml:space="preserve"> Raimundo Alves de Rocha</w:t>
      </w:r>
      <w:r w:rsidR="00030C17" w:rsidRPr="00FE50A6">
        <w:rPr>
          <w:rFonts w:cs="Arial"/>
          <w:szCs w:val="20"/>
          <w:lang w:val="en-US"/>
        </w:rPr>
        <w:t xml:space="preserve"> and </w:t>
      </w:r>
      <w:r w:rsidR="00D60654" w:rsidRPr="00FE50A6">
        <w:rPr>
          <w:rFonts w:cs="Arial"/>
          <w:szCs w:val="20"/>
          <w:lang w:val="en-US"/>
        </w:rPr>
        <w:t xml:space="preserve">Antônio </w:t>
      </w:r>
      <w:r w:rsidR="00D81AA1" w:rsidRPr="00FE50A6">
        <w:rPr>
          <w:rFonts w:cs="Arial"/>
          <w:szCs w:val="20"/>
          <w:lang w:val="en-US"/>
        </w:rPr>
        <w:t xml:space="preserve">Alves Vieira. </w:t>
      </w:r>
      <w:r w:rsidR="00BA1DCE" w:rsidRPr="00FE50A6">
        <w:rPr>
          <w:rFonts w:cs="Arial"/>
          <w:szCs w:val="20"/>
          <w:lang w:val="en-US"/>
        </w:rPr>
        <w:t>On the same day,</w:t>
      </w:r>
      <w:r w:rsidR="00D81AA1" w:rsidRPr="00FE50A6">
        <w:rPr>
          <w:rFonts w:cs="Arial"/>
          <w:szCs w:val="20"/>
          <w:lang w:val="en-US"/>
        </w:rPr>
        <w:t xml:space="preserve"> </w:t>
      </w:r>
      <w:r w:rsidR="009C48A4" w:rsidRPr="00FE50A6">
        <w:rPr>
          <w:rFonts w:cs="Arial"/>
          <w:szCs w:val="20"/>
          <w:lang w:val="en-US"/>
        </w:rPr>
        <w:t>the federal judge</w:t>
      </w:r>
      <w:r w:rsidR="00D81AA1" w:rsidRPr="00FE50A6">
        <w:rPr>
          <w:rFonts w:cs="Arial"/>
          <w:szCs w:val="20"/>
          <w:lang w:val="en-US"/>
        </w:rPr>
        <w:t xml:space="preserve"> declar</w:t>
      </w:r>
      <w:r w:rsidR="00BA1DCE" w:rsidRPr="00FE50A6">
        <w:rPr>
          <w:rFonts w:cs="Arial"/>
          <w:szCs w:val="20"/>
          <w:lang w:val="en-US"/>
        </w:rPr>
        <w:t xml:space="preserve">ed that the criminal action against them had extinguished in application of a particular </w:t>
      </w:r>
      <w:r w:rsidR="00341C02" w:rsidRPr="00FE50A6">
        <w:rPr>
          <w:rFonts w:cs="Arial"/>
          <w:szCs w:val="20"/>
          <w:lang w:val="en-US"/>
        </w:rPr>
        <w:t>usage</w:t>
      </w:r>
      <w:r w:rsidR="00BA1DCE" w:rsidRPr="00FE50A6">
        <w:rPr>
          <w:rFonts w:cs="Arial"/>
          <w:szCs w:val="20"/>
          <w:lang w:val="en-US"/>
        </w:rPr>
        <w:t xml:space="preserve"> of the statute of limitations </w:t>
      </w:r>
      <w:r w:rsidR="00D81AA1" w:rsidRPr="00FE50A6">
        <w:rPr>
          <w:rFonts w:cs="Arial"/>
          <w:szCs w:val="20"/>
          <w:lang w:val="en-US"/>
        </w:rPr>
        <w:t>(</w:t>
      </w:r>
      <w:r w:rsidR="00D81AA1" w:rsidRPr="00FE50A6">
        <w:rPr>
          <w:rFonts w:cs="Arial"/>
          <w:i/>
          <w:szCs w:val="20"/>
          <w:lang w:val="en-US"/>
        </w:rPr>
        <w:t>supra</w:t>
      </w:r>
      <w:r w:rsidR="00D81AA1" w:rsidRPr="00FE50A6">
        <w:rPr>
          <w:rFonts w:cs="Arial"/>
          <w:szCs w:val="20"/>
          <w:lang w:val="en-US"/>
        </w:rPr>
        <w:t xml:space="preserve"> </w:t>
      </w:r>
      <w:r w:rsidR="00700B79" w:rsidRPr="00FE50A6">
        <w:rPr>
          <w:rFonts w:cs="Arial"/>
          <w:szCs w:val="20"/>
          <w:lang w:val="en-US"/>
        </w:rPr>
        <w:t>paras.</w:t>
      </w:r>
      <w:r w:rsidR="00D81AA1" w:rsidRPr="00FE50A6">
        <w:rPr>
          <w:rFonts w:cs="Arial"/>
          <w:szCs w:val="20"/>
          <w:lang w:val="en-US"/>
        </w:rPr>
        <w:t xml:space="preserve"> </w:t>
      </w:r>
      <w:r w:rsidR="000B7430" w:rsidRPr="00FE50A6">
        <w:rPr>
          <w:rFonts w:cs="Arial"/>
          <w:szCs w:val="20"/>
          <w:lang w:val="en-US"/>
        </w:rPr>
        <w:t>156</w:t>
      </w:r>
      <w:r w:rsidR="00030C17" w:rsidRPr="00FE50A6">
        <w:rPr>
          <w:rFonts w:cs="Arial"/>
          <w:szCs w:val="20"/>
          <w:lang w:val="en-US"/>
        </w:rPr>
        <w:t xml:space="preserve"> and </w:t>
      </w:r>
      <w:r w:rsidR="000B7430" w:rsidRPr="00FE50A6">
        <w:rPr>
          <w:rFonts w:cs="Arial"/>
          <w:szCs w:val="20"/>
          <w:lang w:val="en-US"/>
        </w:rPr>
        <w:t>157</w:t>
      </w:r>
      <w:r w:rsidR="00D81AA1" w:rsidRPr="00FE50A6">
        <w:rPr>
          <w:rFonts w:cs="Arial"/>
          <w:szCs w:val="20"/>
          <w:lang w:val="en-US"/>
        </w:rPr>
        <w:t>).</w:t>
      </w:r>
    </w:p>
    <w:p w14:paraId="7FA223F2" w14:textId="77777777" w:rsidR="00D81AA1" w:rsidRPr="00FE50A6" w:rsidRDefault="00D81AA1" w:rsidP="00D81AA1">
      <w:pPr>
        <w:contextualSpacing/>
        <w:jc w:val="both"/>
        <w:rPr>
          <w:szCs w:val="20"/>
          <w:lang w:val="en-US"/>
        </w:rPr>
      </w:pPr>
    </w:p>
    <w:p w14:paraId="0A49F773" w14:textId="77777777" w:rsidR="00176C77" w:rsidRPr="00FE50A6" w:rsidRDefault="00BA1DCE" w:rsidP="00C66702">
      <w:pPr>
        <w:numPr>
          <w:ilvl w:val="0"/>
          <w:numId w:val="1"/>
        </w:numPr>
        <w:tabs>
          <w:tab w:val="clear" w:pos="4419"/>
          <w:tab w:val="clear" w:pos="8838"/>
        </w:tabs>
        <w:contextualSpacing/>
        <w:jc w:val="both"/>
        <w:rPr>
          <w:szCs w:val="20"/>
          <w:lang w:val="en-US"/>
        </w:rPr>
      </w:pPr>
      <w:r w:rsidRPr="00FE50A6">
        <w:rPr>
          <w:szCs w:val="20"/>
          <w:lang w:val="en-US"/>
        </w:rPr>
        <w:t xml:space="preserve">Based on the above, this Court finds that there were delays in </w:t>
      </w:r>
      <w:r w:rsidR="00F37838" w:rsidRPr="00FE50A6">
        <w:rPr>
          <w:szCs w:val="20"/>
          <w:lang w:val="en-US"/>
        </w:rPr>
        <w:t>the criminal proceedings</w:t>
      </w:r>
      <w:r w:rsidR="00773BBB" w:rsidRPr="00FE50A6">
        <w:rPr>
          <w:szCs w:val="20"/>
          <w:lang w:val="en-US"/>
        </w:rPr>
        <w:t xml:space="preserve"> </w:t>
      </w:r>
      <w:r w:rsidRPr="00FE50A6">
        <w:rPr>
          <w:szCs w:val="20"/>
          <w:lang w:val="en-US"/>
        </w:rPr>
        <w:t xml:space="preserve">resulting from the conflicts of competence and the failure of the judicial authorities to act diligently. </w:t>
      </w:r>
      <w:r w:rsidR="000228D0" w:rsidRPr="00FE50A6">
        <w:rPr>
          <w:szCs w:val="20"/>
          <w:lang w:val="en-US"/>
        </w:rPr>
        <w:t>The Court</w:t>
      </w:r>
      <w:r w:rsidR="00D81AA1" w:rsidRPr="00FE50A6">
        <w:rPr>
          <w:szCs w:val="20"/>
          <w:lang w:val="en-US"/>
        </w:rPr>
        <w:t xml:space="preserve"> consider</w:t>
      </w:r>
      <w:r w:rsidRPr="00FE50A6">
        <w:rPr>
          <w:szCs w:val="20"/>
          <w:lang w:val="en-US"/>
        </w:rPr>
        <w:t>s that no reasons have been presented to explain the inaction of the judicial authorities or the delay resulting from the conflicts of competence. Accordingly, the Court considers that the judicial authorities did not ensure, with due diligence, that a</w:t>
      </w:r>
      <w:r w:rsidR="00D81AA1" w:rsidRPr="00FE50A6">
        <w:rPr>
          <w:szCs w:val="20"/>
          <w:lang w:val="en-US"/>
        </w:rPr>
        <w:t xml:space="preserve"> </w:t>
      </w:r>
      <w:r w:rsidR="00F37838" w:rsidRPr="00FE50A6">
        <w:rPr>
          <w:rFonts w:cs="Arial"/>
          <w:szCs w:val="20"/>
          <w:lang w:val="en-US"/>
        </w:rPr>
        <w:t>reasonable time</w:t>
      </w:r>
      <w:r w:rsidR="00D81AA1" w:rsidRPr="00FE50A6">
        <w:rPr>
          <w:rFonts w:cs="Arial"/>
          <w:szCs w:val="20"/>
          <w:lang w:val="en-US"/>
        </w:rPr>
        <w:t xml:space="preserve"> </w:t>
      </w:r>
      <w:r w:rsidRPr="00FE50A6">
        <w:rPr>
          <w:rFonts w:cs="Arial"/>
          <w:szCs w:val="20"/>
          <w:lang w:val="en-US"/>
        </w:rPr>
        <w:t>was respected in</w:t>
      </w:r>
      <w:r w:rsidR="00D81AA1" w:rsidRPr="00FE50A6">
        <w:rPr>
          <w:rFonts w:cs="Arial"/>
          <w:szCs w:val="20"/>
          <w:lang w:val="en-US"/>
        </w:rPr>
        <w:t xml:space="preserve"> </w:t>
      </w:r>
      <w:r w:rsidR="00F37838" w:rsidRPr="00FE50A6">
        <w:rPr>
          <w:rFonts w:cs="Arial"/>
          <w:szCs w:val="20"/>
          <w:lang w:val="en-US"/>
        </w:rPr>
        <w:t>the criminal proceedings</w:t>
      </w:r>
      <w:r w:rsidR="00D81AA1" w:rsidRPr="00FE50A6">
        <w:rPr>
          <w:rFonts w:cs="Arial"/>
          <w:szCs w:val="20"/>
          <w:lang w:val="en-US"/>
        </w:rPr>
        <w:t>.</w:t>
      </w:r>
    </w:p>
    <w:p w14:paraId="52A6A60E" w14:textId="77777777" w:rsidR="00C66702" w:rsidRPr="00FE50A6" w:rsidRDefault="00C66702" w:rsidP="00C66702">
      <w:pPr>
        <w:tabs>
          <w:tab w:val="clear" w:pos="4419"/>
          <w:tab w:val="clear" w:pos="8838"/>
        </w:tabs>
        <w:contextualSpacing/>
        <w:jc w:val="both"/>
        <w:rPr>
          <w:szCs w:val="20"/>
          <w:lang w:val="en-US"/>
        </w:rPr>
      </w:pPr>
    </w:p>
    <w:p w14:paraId="5E3D5887" w14:textId="77777777" w:rsidR="00D81AA1" w:rsidRPr="00FE50A6" w:rsidRDefault="00BA1DCE" w:rsidP="002C480E">
      <w:pPr>
        <w:numPr>
          <w:ilvl w:val="0"/>
          <w:numId w:val="1"/>
        </w:numPr>
        <w:tabs>
          <w:tab w:val="clear" w:pos="4419"/>
          <w:tab w:val="clear" w:pos="8838"/>
        </w:tabs>
        <w:contextualSpacing/>
        <w:jc w:val="both"/>
        <w:rPr>
          <w:szCs w:val="20"/>
          <w:lang w:val="en-US"/>
        </w:rPr>
      </w:pPr>
      <w:r w:rsidRPr="00FE50A6">
        <w:rPr>
          <w:rFonts w:cs="Arial"/>
          <w:szCs w:val="20"/>
          <w:lang w:val="en-US"/>
        </w:rPr>
        <w:t>Regarding the prescription of the criminal action, the Court observes that th</w:t>
      </w:r>
      <w:r w:rsidR="00341C02" w:rsidRPr="00FE50A6">
        <w:rPr>
          <w:rFonts w:cs="Arial"/>
          <w:szCs w:val="20"/>
          <w:lang w:val="en-US"/>
        </w:rPr>
        <w:t>e statute of limitations</w:t>
      </w:r>
      <w:r w:rsidRPr="00FE50A6">
        <w:rPr>
          <w:rFonts w:cs="Arial"/>
          <w:szCs w:val="20"/>
          <w:lang w:val="en-US"/>
        </w:rPr>
        <w:t xml:space="preserve"> was applied pursuant to the interpretation of the laws of Brazil in force at the time of the facts. Nevertheless</w:t>
      </w:r>
      <w:r w:rsidR="00D81AA1" w:rsidRPr="00FE50A6">
        <w:rPr>
          <w:rFonts w:cs="Arial"/>
          <w:szCs w:val="20"/>
          <w:lang w:val="en-US"/>
        </w:rPr>
        <w:t xml:space="preserve">, </w:t>
      </w:r>
      <w:r w:rsidR="000228D0" w:rsidRPr="00FE50A6">
        <w:rPr>
          <w:rFonts w:cs="Arial"/>
          <w:szCs w:val="20"/>
          <w:lang w:val="en-US"/>
        </w:rPr>
        <w:t>the Court</w:t>
      </w:r>
      <w:r w:rsidR="00D81AA1" w:rsidRPr="00FE50A6">
        <w:rPr>
          <w:rFonts w:cs="Arial"/>
          <w:szCs w:val="20"/>
          <w:lang w:val="en-US"/>
        </w:rPr>
        <w:t xml:space="preserve"> not</w:t>
      </w:r>
      <w:r w:rsidR="002C480E" w:rsidRPr="00FE50A6">
        <w:rPr>
          <w:rFonts w:cs="Arial"/>
          <w:szCs w:val="20"/>
          <w:lang w:val="en-US"/>
        </w:rPr>
        <w:t xml:space="preserve">es that </w:t>
      </w:r>
      <w:r w:rsidR="00341C02" w:rsidRPr="00FE50A6">
        <w:rPr>
          <w:rFonts w:cs="Arial"/>
          <w:szCs w:val="20"/>
          <w:lang w:val="en-US"/>
        </w:rPr>
        <w:t>this</w:t>
      </w:r>
      <w:r w:rsidR="002C480E" w:rsidRPr="00FE50A6">
        <w:rPr>
          <w:rFonts w:cs="Arial"/>
          <w:szCs w:val="20"/>
          <w:lang w:val="en-US"/>
        </w:rPr>
        <w:t xml:space="preserve"> was decided because “more t</w:t>
      </w:r>
      <w:r w:rsidR="005F2B32" w:rsidRPr="00FE50A6">
        <w:rPr>
          <w:rFonts w:cs="Arial"/>
          <w:szCs w:val="20"/>
          <w:lang w:val="en-US"/>
        </w:rPr>
        <w:t>h</w:t>
      </w:r>
      <w:r w:rsidR="002C480E" w:rsidRPr="00FE50A6">
        <w:rPr>
          <w:rFonts w:cs="Arial"/>
          <w:szCs w:val="20"/>
          <w:lang w:val="en-US"/>
        </w:rPr>
        <w:t>an 10 years had passed since the complaint had been filed, that the m</w:t>
      </w:r>
      <w:r w:rsidR="005F2B32" w:rsidRPr="00FE50A6">
        <w:rPr>
          <w:rFonts w:cs="Arial"/>
          <w:szCs w:val="20"/>
          <w:lang w:val="en-US"/>
        </w:rPr>
        <w:t>a</w:t>
      </w:r>
      <w:r w:rsidR="002C480E" w:rsidRPr="00FE50A6">
        <w:rPr>
          <w:rFonts w:cs="Arial"/>
          <w:szCs w:val="20"/>
          <w:lang w:val="en-US"/>
        </w:rPr>
        <w:t>ximum</w:t>
      </w:r>
      <w:r w:rsidR="005F2B32" w:rsidRPr="00FE50A6">
        <w:rPr>
          <w:szCs w:val="20"/>
          <w:lang w:val="en-US"/>
        </w:rPr>
        <w:t xml:space="preserve"> </w:t>
      </w:r>
      <w:r w:rsidR="005F2B32" w:rsidRPr="00FE50A6">
        <w:rPr>
          <w:rFonts w:cs="Arial"/>
          <w:szCs w:val="20"/>
          <w:lang w:val="en-US"/>
        </w:rPr>
        <w:t xml:space="preserve">penalty that could be applied was eight years, and that the statute of limitations for the penalty was 12 years, [so that] </w:t>
      </w:r>
      <w:r w:rsidR="00341C02" w:rsidRPr="00FE50A6">
        <w:rPr>
          <w:rFonts w:cs="Arial"/>
          <w:szCs w:val="20"/>
          <w:lang w:val="en-US"/>
        </w:rPr>
        <w:t>prescription</w:t>
      </w:r>
      <w:r w:rsidR="005F2B32" w:rsidRPr="00FE50A6">
        <w:rPr>
          <w:rFonts w:cs="Arial"/>
          <w:szCs w:val="20"/>
          <w:lang w:val="en-US"/>
        </w:rPr>
        <w:t xml:space="preserve"> would not apply </w:t>
      </w:r>
      <w:r w:rsidR="00341C02" w:rsidRPr="00FE50A6">
        <w:rPr>
          <w:rFonts w:cs="Arial"/>
          <w:szCs w:val="20"/>
          <w:lang w:val="en-US"/>
        </w:rPr>
        <w:t>only if the accused were sentenced to the maximum penalty</w:t>
      </w:r>
      <w:r w:rsidR="005F2B32" w:rsidRPr="00FE50A6">
        <w:rPr>
          <w:rFonts w:cs="Arial"/>
          <w:szCs w:val="20"/>
          <w:lang w:val="en-US"/>
        </w:rPr>
        <w:t>.” The passage of time that eventually led to the application of the statute of limitations was the result of the lack of diligence of the Brazilian judicial authorities who were responsible for taking the necessary measures to investigate, prosecute and punish, as appropriate, those responsible;</w:t>
      </w:r>
      <w:r w:rsidR="00D81AA1" w:rsidRPr="00FE50A6">
        <w:rPr>
          <w:rStyle w:val="Refdenotaalpie"/>
          <w:lang w:val="en-US"/>
        </w:rPr>
        <w:footnoteReference w:id="493"/>
      </w:r>
      <w:r w:rsidR="005F2B32" w:rsidRPr="00FE50A6">
        <w:rPr>
          <w:szCs w:val="20"/>
          <w:lang w:val="en-US"/>
        </w:rPr>
        <w:t xml:space="preserve"> thus, it is a matter that can be attributed to the State. Consequently, the Court considers that the authorities</w:t>
      </w:r>
      <w:r w:rsidR="006B2FBA" w:rsidRPr="00FE50A6">
        <w:rPr>
          <w:szCs w:val="20"/>
          <w:lang w:val="en-US"/>
        </w:rPr>
        <w:t xml:space="preserve"> did not exercise due diligence </w:t>
      </w:r>
      <w:r w:rsidR="005F2B32" w:rsidRPr="00FE50A6">
        <w:rPr>
          <w:szCs w:val="20"/>
          <w:lang w:val="en-US"/>
        </w:rPr>
        <w:t xml:space="preserve">to ensure the advance of the proceedings, and this culminated in the prescription of the criminal action. </w:t>
      </w:r>
      <w:r w:rsidR="00D81AA1" w:rsidRPr="00FE50A6">
        <w:rPr>
          <w:szCs w:val="20"/>
          <w:lang w:val="en-US"/>
        </w:rPr>
        <w:t xml:space="preserve"> </w:t>
      </w:r>
    </w:p>
    <w:p w14:paraId="727A0D07" w14:textId="77777777" w:rsidR="001450BB" w:rsidRPr="00FE50A6" w:rsidRDefault="001450BB" w:rsidP="001450BB">
      <w:pPr>
        <w:pStyle w:val="Ttulo6"/>
        <w:tabs>
          <w:tab w:val="clear" w:pos="3600"/>
        </w:tabs>
        <w:ind w:left="0" w:firstLine="0"/>
        <w:jc w:val="both"/>
        <w:rPr>
          <w:rFonts w:eastAsiaTheme="minorHAnsi" w:cstheme="minorBidi"/>
          <w:spacing w:val="0"/>
          <w:szCs w:val="22"/>
          <w:lang w:val="en-US" w:eastAsia="en-US"/>
        </w:rPr>
      </w:pPr>
    </w:p>
    <w:p w14:paraId="4F52CB84" w14:textId="77777777" w:rsidR="00D81AA1" w:rsidRPr="00FE50A6" w:rsidRDefault="005F2B32" w:rsidP="008B0BCC">
      <w:pPr>
        <w:pStyle w:val="Ttulo6"/>
        <w:numPr>
          <w:ilvl w:val="0"/>
          <w:numId w:val="23"/>
        </w:numPr>
        <w:jc w:val="both"/>
        <w:rPr>
          <w:lang w:val="en-US"/>
        </w:rPr>
      </w:pPr>
      <w:r w:rsidRPr="00FE50A6">
        <w:rPr>
          <w:i/>
          <w:lang w:val="en-US"/>
        </w:rPr>
        <w:t>Effects generated on the legal situation of the person involved in the proceedings, and impact on his or her rights</w:t>
      </w:r>
    </w:p>
    <w:p w14:paraId="3656581A" w14:textId="77777777" w:rsidR="00D81AA1" w:rsidRPr="00FE50A6" w:rsidRDefault="00D81AA1" w:rsidP="00D81AA1">
      <w:pPr>
        <w:jc w:val="both"/>
        <w:rPr>
          <w:szCs w:val="20"/>
          <w:lang w:val="en-US"/>
        </w:rPr>
      </w:pPr>
    </w:p>
    <w:p w14:paraId="297EAC6C" w14:textId="77777777" w:rsidR="00D81AA1" w:rsidRPr="00FE50A6" w:rsidRDefault="000228D0" w:rsidP="005F2B32">
      <w:pPr>
        <w:numPr>
          <w:ilvl w:val="0"/>
          <w:numId w:val="1"/>
        </w:numPr>
        <w:tabs>
          <w:tab w:val="clear" w:pos="4419"/>
          <w:tab w:val="clear" w:pos="8838"/>
        </w:tabs>
        <w:contextualSpacing/>
        <w:jc w:val="both"/>
        <w:rPr>
          <w:szCs w:val="20"/>
          <w:lang w:val="en-US"/>
        </w:rPr>
      </w:pPr>
      <w:r w:rsidRPr="00FE50A6">
        <w:rPr>
          <w:szCs w:val="20"/>
          <w:lang w:val="en-US"/>
        </w:rPr>
        <w:t>The Court</w:t>
      </w:r>
      <w:r w:rsidR="00D81AA1" w:rsidRPr="00FE50A6">
        <w:rPr>
          <w:szCs w:val="20"/>
          <w:lang w:val="en-US"/>
        </w:rPr>
        <w:t xml:space="preserve"> rec</w:t>
      </w:r>
      <w:r w:rsidR="005F2B32" w:rsidRPr="00FE50A6">
        <w:rPr>
          <w:szCs w:val="20"/>
          <w:lang w:val="en-US"/>
        </w:rPr>
        <w:t xml:space="preserve">alls that, to determine whether the duration of the proceedings </w:t>
      </w:r>
      <w:r w:rsidR="006B2FBA" w:rsidRPr="00FE50A6">
        <w:rPr>
          <w:szCs w:val="20"/>
          <w:lang w:val="en-US"/>
        </w:rPr>
        <w:t>is</w:t>
      </w:r>
      <w:r w:rsidR="005F2B32" w:rsidRPr="00FE50A6">
        <w:rPr>
          <w:szCs w:val="20"/>
          <w:lang w:val="en-US"/>
        </w:rPr>
        <w:t xml:space="preserve"> reasonable, the effects</w:t>
      </w:r>
      <w:r w:rsidR="006B2FBA" w:rsidRPr="00FE50A6">
        <w:rPr>
          <w:szCs w:val="20"/>
          <w:lang w:val="en-US"/>
        </w:rPr>
        <w:t xml:space="preserve"> of this duration</w:t>
      </w:r>
      <w:r w:rsidR="005F2B32" w:rsidRPr="00FE50A6">
        <w:rPr>
          <w:szCs w:val="20"/>
          <w:lang w:val="en-US"/>
        </w:rPr>
        <w:t xml:space="preserve"> on the legal situation of the person </w:t>
      </w:r>
      <w:r w:rsidR="006B2FBA" w:rsidRPr="00FE50A6">
        <w:rPr>
          <w:szCs w:val="20"/>
          <w:lang w:val="en-US"/>
        </w:rPr>
        <w:t>concerned</w:t>
      </w:r>
      <w:r w:rsidR="005F2B32" w:rsidRPr="00FE50A6">
        <w:rPr>
          <w:szCs w:val="20"/>
          <w:lang w:val="en-US"/>
        </w:rPr>
        <w:t xml:space="preserve"> must be taken into account</w:t>
      </w:r>
      <w:r w:rsidR="00AE55E2" w:rsidRPr="00FE50A6">
        <w:rPr>
          <w:szCs w:val="20"/>
          <w:lang w:val="en-US"/>
        </w:rPr>
        <w:t xml:space="preserve">, considering, among other elements, the purpose of the dispute. The Court has established that, if the passage of time has a relevant impact on </w:t>
      </w:r>
      <w:r w:rsidR="006B2FBA" w:rsidRPr="00FE50A6">
        <w:rPr>
          <w:szCs w:val="20"/>
          <w:lang w:val="en-US"/>
        </w:rPr>
        <w:t>a person’s</w:t>
      </w:r>
      <w:r w:rsidR="00AE55E2" w:rsidRPr="00FE50A6">
        <w:rPr>
          <w:szCs w:val="20"/>
          <w:lang w:val="en-US"/>
        </w:rPr>
        <w:t xml:space="preserve"> legal situation</w:t>
      </w:r>
      <w:r w:rsidR="006B2FBA" w:rsidRPr="00FE50A6">
        <w:rPr>
          <w:szCs w:val="20"/>
          <w:lang w:val="en-US"/>
        </w:rPr>
        <w:t>,</w:t>
      </w:r>
      <w:r w:rsidR="00AE55E2" w:rsidRPr="00FE50A6">
        <w:rPr>
          <w:szCs w:val="20"/>
          <w:lang w:val="en-US"/>
        </w:rPr>
        <w:t xml:space="preserve"> the proceedings </w:t>
      </w:r>
      <w:r w:rsidR="006B2FBA" w:rsidRPr="00FE50A6">
        <w:rPr>
          <w:szCs w:val="20"/>
          <w:lang w:val="en-US"/>
        </w:rPr>
        <w:t>must advance</w:t>
      </w:r>
      <w:r w:rsidR="00AE55E2" w:rsidRPr="00FE50A6">
        <w:rPr>
          <w:szCs w:val="20"/>
          <w:lang w:val="en-US"/>
        </w:rPr>
        <w:t xml:space="preserve"> with greater diligence so that the case is decided promptly.</w:t>
      </w:r>
      <w:r w:rsidR="00D81AA1" w:rsidRPr="00FE50A6">
        <w:rPr>
          <w:rStyle w:val="Refdenotaalpie"/>
          <w:lang w:val="en-US"/>
        </w:rPr>
        <w:footnoteReference w:id="494"/>
      </w:r>
      <w:r w:rsidR="00D81AA1" w:rsidRPr="00FE50A6">
        <w:rPr>
          <w:szCs w:val="20"/>
          <w:lang w:val="en-US"/>
        </w:rPr>
        <w:t xml:space="preserve"> </w:t>
      </w:r>
    </w:p>
    <w:p w14:paraId="7BA96FF1" w14:textId="77777777" w:rsidR="00D81AA1" w:rsidRPr="00FE50A6" w:rsidRDefault="00D81AA1" w:rsidP="00D81AA1">
      <w:pPr>
        <w:tabs>
          <w:tab w:val="clear" w:pos="4419"/>
          <w:tab w:val="clear" w:pos="8838"/>
        </w:tabs>
        <w:contextualSpacing/>
        <w:jc w:val="both"/>
        <w:rPr>
          <w:szCs w:val="20"/>
          <w:lang w:val="en-US"/>
        </w:rPr>
      </w:pPr>
    </w:p>
    <w:p w14:paraId="2E38600C" w14:textId="77777777" w:rsidR="00D81AA1" w:rsidRPr="00FE50A6" w:rsidRDefault="00AE55E2" w:rsidP="00D81AA1">
      <w:pPr>
        <w:numPr>
          <w:ilvl w:val="0"/>
          <w:numId w:val="1"/>
        </w:numPr>
        <w:tabs>
          <w:tab w:val="clear" w:pos="4419"/>
          <w:tab w:val="clear" w:pos="8838"/>
        </w:tabs>
        <w:contextualSpacing/>
        <w:jc w:val="both"/>
        <w:rPr>
          <w:szCs w:val="20"/>
          <w:lang w:val="en-US"/>
        </w:rPr>
      </w:pPr>
      <w:r w:rsidRPr="00FE50A6">
        <w:rPr>
          <w:szCs w:val="20"/>
          <w:lang w:val="en-US"/>
        </w:rPr>
        <w:t xml:space="preserve">In this case, the Court notes that a ruling in </w:t>
      </w:r>
      <w:r w:rsidR="00F37838" w:rsidRPr="00FE50A6">
        <w:rPr>
          <w:szCs w:val="20"/>
          <w:lang w:val="en-US"/>
        </w:rPr>
        <w:t>the criminal proceedings</w:t>
      </w:r>
      <w:r w:rsidRPr="00FE50A6">
        <w:rPr>
          <w:szCs w:val="20"/>
          <w:lang w:val="en-US"/>
        </w:rPr>
        <w:t xml:space="preserve"> </w:t>
      </w:r>
      <w:proofErr w:type="gramStart"/>
      <w:r w:rsidRPr="00FE50A6">
        <w:rPr>
          <w:szCs w:val="20"/>
          <w:lang w:val="en-US"/>
        </w:rPr>
        <w:t xml:space="preserve">against </w:t>
      </w:r>
      <w:r w:rsidR="00D81AA1" w:rsidRPr="00FE50A6">
        <w:rPr>
          <w:szCs w:val="20"/>
          <w:lang w:val="en-US"/>
        </w:rPr>
        <w:t xml:space="preserve"> </w:t>
      </w:r>
      <w:r w:rsidR="00D81AA1" w:rsidRPr="00FE50A6">
        <w:rPr>
          <w:rFonts w:cs="Arial"/>
          <w:szCs w:val="20"/>
          <w:lang w:val="en-US"/>
        </w:rPr>
        <w:t>Raimundo</w:t>
      </w:r>
      <w:proofErr w:type="gramEnd"/>
      <w:r w:rsidR="00D81AA1" w:rsidRPr="00FE50A6">
        <w:rPr>
          <w:rFonts w:cs="Arial"/>
          <w:szCs w:val="20"/>
          <w:lang w:val="en-US"/>
        </w:rPr>
        <w:t xml:space="preserve"> Alves de Rocha,</w:t>
      </w:r>
      <w:r w:rsidR="00D81AA1" w:rsidRPr="00FE50A6">
        <w:rPr>
          <w:rFonts w:cs="Times New Roman"/>
          <w:szCs w:val="20"/>
          <w:lang w:val="en-US"/>
        </w:rPr>
        <w:t xml:space="preserve"> </w:t>
      </w:r>
      <w:r w:rsidR="00D60654" w:rsidRPr="00FE50A6">
        <w:rPr>
          <w:rFonts w:cs="Arial"/>
          <w:szCs w:val="20"/>
          <w:lang w:val="en-US"/>
        </w:rPr>
        <w:t xml:space="preserve">Antônio </w:t>
      </w:r>
      <w:r w:rsidR="00D81AA1" w:rsidRPr="00FE50A6">
        <w:rPr>
          <w:rFonts w:cs="Arial"/>
          <w:szCs w:val="20"/>
          <w:lang w:val="en-US"/>
        </w:rPr>
        <w:t>Alves Vieira</w:t>
      </w:r>
      <w:r w:rsidR="00030C17" w:rsidRPr="00FE50A6">
        <w:rPr>
          <w:rFonts w:cs="Arial"/>
          <w:szCs w:val="20"/>
          <w:lang w:val="en-US"/>
        </w:rPr>
        <w:t xml:space="preserve"> and </w:t>
      </w:r>
      <w:r w:rsidR="00D81AA1" w:rsidRPr="00FE50A6">
        <w:rPr>
          <w:rFonts w:cs="Arial"/>
          <w:szCs w:val="20"/>
          <w:lang w:val="en-US"/>
        </w:rPr>
        <w:t xml:space="preserve">João Luiz Quagliato Neto, </w:t>
      </w:r>
      <w:r w:rsidRPr="00FE50A6">
        <w:rPr>
          <w:rFonts w:cs="Arial"/>
          <w:szCs w:val="20"/>
          <w:lang w:val="en-US"/>
        </w:rPr>
        <w:t xml:space="preserve">would have had an impact on the </w:t>
      </w:r>
      <w:r w:rsidR="006B2FBA" w:rsidRPr="00FE50A6">
        <w:rPr>
          <w:rFonts w:cs="Arial"/>
          <w:szCs w:val="20"/>
          <w:lang w:val="en-US"/>
        </w:rPr>
        <w:t>award of reparations</w:t>
      </w:r>
      <w:r w:rsidRPr="00FE50A6">
        <w:rPr>
          <w:rFonts w:cs="Arial"/>
          <w:szCs w:val="20"/>
          <w:lang w:val="en-US"/>
        </w:rPr>
        <w:t xml:space="preserve"> to the workers subjected to conditions of slavery in </w:t>
      </w:r>
      <w:r w:rsidR="00D81AA1" w:rsidRPr="00FE50A6">
        <w:rPr>
          <w:rFonts w:cs="Arial"/>
          <w:szCs w:val="20"/>
          <w:lang w:val="en-US"/>
        </w:rPr>
        <w:t xml:space="preserve">Hacienda </w:t>
      </w:r>
      <w:r w:rsidR="00322241" w:rsidRPr="00FE50A6">
        <w:rPr>
          <w:rFonts w:cs="Arial"/>
          <w:szCs w:val="20"/>
          <w:lang w:val="en-US"/>
        </w:rPr>
        <w:t>Brasil Verde</w:t>
      </w:r>
      <w:r w:rsidR="00D81AA1" w:rsidRPr="00FE50A6">
        <w:rPr>
          <w:rFonts w:cs="Arial"/>
          <w:szCs w:val="20"/>
          <w:lang w:val="en-US"/>
        </w:rPr>
        <w:t xml:space="preserve">. </w:t>
      </w:r>
      <w:r w:rsidR="006B2FBA" w:rsidRPr="00FE50A6">
        <w:rPr>
          <w:rFonts w:cs="Arial"/>
          <w:szCs w:val="20"/>
          <w:lang w:val="en-US"/>
        </w:rPr>
        <w:t>Owing to</w:t>
      </w:r>
      <w:r w:rsidRPr="00FE50A6">
        <w:rPr>
          <w:rFonts w:cs="Arial"/>
          <w:szCs w:val="20"/>
          <w:lang w:val="en-US"/>
        </w:rPr>
        <w:t xml:space="preserve"> the absence of a ruling in these proceedings, no reparations were granted, </w:t>
      </w:r>
      <w:r w:rsidR="006B2FBA" w:rsidRPr="00FE50A6">
        <w:rPr>
          <w:rFonts w:cs="Arial"/>
          <w:szCs w:val="20"/>
          <w:lang w:val="en-US"/>
        </w:rPr>
        <w:t>and this</w:t>
      </w:r>
      <w:r w:rsidRPr="00FE50A6">
        <w:rPr>
          <w:rFonts w:cs="Arial"/>
          <w:szCs w:val="20"/>
          <w:lang w:val="en-US"/>
        </w:rPr>
        <w:t xml:space="preserve"> had an impact on the said workers who receive</w:t>
      </w:r>
      <w:r w:rsidR="006B2FBA" w:rsidRPr="00FE50A6">
        <w:rPr>
          <w:rFonts w:cs="Arial"/>
          <w:szCs w:val="20"/>
          <w:lang w:val="en-US"/>
        </w:rPr>
        <w:t>d no compensation of</w:t>
      </w:r>
      <w:r w:rsidRPr="00FE50A6">
        <w:rPr>
          <w:rFonts w:cs="Arial"/>
          <w:szCs w:val="20"/>
          <w:lang w:val="en-US"/>
        </w:rPr>
        <w:t xml:space="preserve"> any type for the conditions in which they had been kept in </w:t>
      </w:r>
      <w:r w:rsidR="00D81AA1" w:rsidRPr="00FE50A6">
        <w:rPr>
          <w:rFonts w:cs="Arial"/>
          <w:szCs w:val="20"/>
          <w:lang w:val="en-US"/>
        </w:rPr>
        <w:t xml:space="preserve">Hacienda </w:t>
      </w:r>
      <w:r w:rsidR="00322241" w:rsidRPr="00FE50A6">
        <w:rPr>
          <w:rFonts w:cs="Arial"/>
          <w:szCs w:val="20"/>
          <w:lang w:val="en-US"/>
        </w:rPr>
        <w:t>Brasil Verde</w:t>
      </w:r>
      <w:r w:rsidR="00D81AA1" w:rsidRPr="00FE50A6">
        <w:rPr>
          <w:rFonts w:cs="Arial"/>
          <w:szCs w:val="20"/>
          <w:lang w:val="en-US"/>
        </w:rPr>
        <w:t>.</w:t>
      </w:r>
    </w:p>
    <w:p w14:paraId="43C96AA0" w14:textId="77777777" w:rsidR="00D81AA1" w:rsidRPr="00FE50A6" w:rsidRDefault="00D81AA1" w:rsidP="00D81AA1">
      <w:pPr>
        <w:jc w:val="both"/>
        <w:rPr>
          <w:szCs w:val="20"/>
          <w:lang w:val="en-US"/>
        </w:rPr>
      </w:pPr>
    </w:p>
    <w:p w14:paraId="210C53CB" w14:textId="77777777" w:rsidR="007E75EB" w:rsidRPr="00FE50A6" w:rsidRDefault="00AE55E2" w:rsidP="00D81AA1">
      <w:pPr>
        <w:numPr>
          <w:ilvl w:val="0"/>
          <w:numId w:val="1"/>
        </w:numPr>
        <w:tabs>
          <w:tab w:val="clear" w:pos="4419"/>
          <w:tab w:val="clear" w:pos="8838"/>
        </w:tabs>
        <w:contextualSpacing/>
        <w:jc w:val="both"/>
        <w:rPr>
          <w:szCs w:val="20"/>
          <w:lang w:val="en-US"/>
        </w:rPr>
      </w:pPr>
      <w:r w:rsidRPr="00FE50A6">
        <w:rPr>
          <w:szCs w:val="20"/>
          <w:lang w:val="en-US"/>
        </w:rPr>
        <w:t xml:space="preserve">Having analyzed the four elements to determine the reasonableness of the </w:t>
      </w:r>
      <w:r w:rsidR="006B2FBA" w:rsidRPr="00FE50A6">
        <w:rPr>
          <w:szCs w:val="20"/>
          <w:lang w:val="en-US"/>
        </w:rPr>
        <w:t>duration</w:t>
      </w:r>
      <w:r w:rsidRPr="00FE50A6">
        <w:rPr>
          <w:szCs w:val="20"/>
          <w:lang w:val="en-US"/>
        </w:rPr>
        <w:t xml:space="preserve"> of the </w:t>
      </w:r>
      <w:r w:rsidR="00F37838" w:rsidRPr="00FE50A6">
        <w:rPr>
          <w:szCs w:val="20"/>
          <w:lang w:val="en-US"/>
        </w:rPr>
        <w:t>criminal proceedings</w:t>
      </w:r>
      <w:r w:rsidR="00D81AA1" w:rsidRPr="00FE50A6">
        <w:rPr>
          <w:szCs w:val="20"/>
          <w:lang w:val="en-US"/>
        </w:rPr>
        <w:t>,</w:t>
      </w:r>
      <w:r w:rsidR="00030C17" w:rsidRPr="00FE50A6">
        <w:rPr>
          <w:szCs w:val="20"/>
          <w:lang w:val="en-US"/>
        </w:rPr>
        <w:t xml:space="preserve"> and </w:t>
      </w:r>
      <w:r w:rsidRPr="00FE50A6">
        <w:rPr>
          <w:szCs w:val="20"/>
          <w:lang w:val="en-US"/>
        </w:rPr>
        <w:t xml:space="preserve">bearing in mind that there was an obligation to act with particular </w:t>
      </w:r>
      <w:r w:rsidR="00576F80" w:rsidRPr="00FE50A6">
        <w:rPr>
          <w:szCs w:val="20"/>
          <w:lang w:val="en-US"/>
        </w:rPr>
        <w:t>due diligence</w:t>
      </w:r>
      <w:r w:rsidR="00D81AA1" w:rsidRPr="00FE50A6">
        <w:rPr>
          <w:szCs w:val="20"/>
          <w:lang w:val="en-US"/>
        </w:rPr>
        <w:t xml:space="preserve"> </w:t>
      </w:r>
      <w:r w:rsidRPr="00FE50A6">
        <w:rPr>
          <w:szCs w:val="20"/>
          <w:lang w:val="en-US"/>
        </w:rPr>
        <w:t>considering the situation of the</w:t>
      </w:r>
      <w:r w:rsidR="00D81AA1" w:rsidRPr="00FE50A6">
        <w:rPr>
          <w:szCs w:val="20"/>
          <w:lang w:val="en-US"/>
        </w:rPr>
        <w:t xml:space="preserve">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 xml:space="preserve">orkers and </w:t>
      </w:r>
      <w:r w:rsidRPr="00FE50A6">
        <w:rPr>
          <w:szCs w:val="20"/>
          <w:lang w:val="en-US"/>
        </w:rPr>
        <w:t>the extreme seriousness of the facts denounced, the Court concludes that the State violated the judicial guarantee</w:t>
      </w:r>
      <w:r w:rsidR="006B2FBA" w:rsidRPr="00FE50A6">
        <w:rPr>
          <w:szCs w:val="20"/>
          <w:lang w:val="en-US"/>
        </w:rPr>
        <w:t xml:space="preserve"> of</w:t>
      </w:r>
      <w:r w:rsidRPr="00FE50A6">
        <w:rPr>
          <w:szCs w:val="20"/>
          <w:lang w:val="en-US"/>
        </w:rPr>
        <w:t xml:space="preserve"> a </w:t>
      </w:r>
      <w:r w:rsidR="00F37838" w:rsidRPr="00FE50A6">
        <w:rPr>
          <w:szCs w:val="20"/>
          <w:lang w:val="en-US"/>
        </w:rPr>
        <w:t>reasonable time</w:t>
      </w:r>
      <w:r w:rsidR="00D81AA1" w:rsidRPr="00FE50A6">
        <w:rPr>
          <w:szCs w:val="20"/>
          <w:lang w:val="en-US"/>
        </w:rPr>
        <w:t xml:space="preserve"> </w:t>
      </w:r>
      <w:r w:rsidRPr="00FE50A6">
        <w:rPr>
          <w:szCs w:val="20"/>
          <w:lang w:val="en-US"/>
        </w:rPr>
        <w:t>established in</w:t>
      </w:r>
      <w:r w:rsidR="00D81AA1" w:rsidRPr="00FE50A6">
        <w:rPr>
          <w:szCs w:val="20"/>
          <w:lang w:val="en-US"/>
        </w:rPr>
        <w:t xml:space="preserve"> </w:t>
      </w:r>
      <w:r w:rsidR="000228D0" w:rsidRPr="00FE50A6">
        <w:rPr>
          <w:szCs w:val="20"/>
          <w:lang w:val="en-US"/>
        </w:rPr>
        <w:t>Article</w:t>
      </w:r>
      <w:r w:rsidR="00D81AA1" w:rsidRPr="00FE50A6">
        <w:rPr>
          <w:szCs w:val="20"/>
          <w:lang w:val="en-US"/>
        </w:rPr>
        <w:t xml:space="preserve"> </w:t>
      </w:r>
      <w:r w:rsidR="00703850" w:rsidRPr="00FE50A6">
        <w:rPr>
          <w:szCs w:val="20"/>
          <w:lang w:val="en-US"/>
        </w:rPr>
        <w:t>8(1)</w:t>
      </w:r>
      <w:r w:rsidR="000228D0" w:rsidRPr="00FE50A6">
        <w:rPr>
          <w:szCs w:val="20"/>
          <w:lang w:val="en-US"/>
        </w:rPr>
        <w:t xml:space="preserve"> of the American Convention on Human Rights</w:t>
      </w:r>
      <w:r w:rsidR="00752D4A" w:rsidRPr="00FE50A6">
        <w:rPr>
          <w:szCs w:val="20"/>
          <w:lang w:val="en-US"/>
        </w:rPr>
        <w:t>,</w:t>
      </w:r>
      <w:r w:rsidR="00D81AA1" w:rsidRPr="00FE50A6">
        <w:rPr>
          <w:szCs w:val="20"/>
          <w:lang w:val="en-US"/>
        </w:rPr>
        <w:t xml:space="preserve"> </w:t>
      </w:r>
      <w:r w:rsidR="000B587F" w:rsidRPr="00FE50A6">
        <w:rPr>
          <w:szCs w:val="20"/>
          <w:lang w:val="en-US"/>
        </w:rPr>
        <w:t>in relation to Article 1(1)</w:t>
      </w:r>
      <w:r w:rsidR="00367264" w:rsidRPr="00FE50A6">
        <w:rPr>
          <w:szCs w:val="20"/>
          <w:lang w:val="en-US"/>
        </w:rPr>
        <w:t xml:space="preserve"> </w:t>
      </w:r>
      <w:r w:rsidR="00D11A9F" w:rsidRPr="00FE50A6">
        <w:rPr>
          <w:szCs w:val="20"/>
          <w:lang w:val="en-US"/>
        </w:rPr>
        <w:t>of this instrument</w:t>
      </w:r>
      <w:r w:rsidR="00752D4A" w:rsidRPr="00FE50A6">
        <w:rPr>
          <w:szCs w:val="20"/>
          <w:lang w:val="en-US"/>
        </w:rPr>
        <w:t>,</w:t>
      </w:r>
      <w:r w:rsidR="00D81AA1" w:rsidRPr="00FE50A6">
        <w:rPr>
          <w:szCs w:val="20"/>
          <w:lang w:val="en-US"/>
        </w:rPr>
        <w:t xml:space="preserve"> </w:t>
      </w:r>
      <w:r w:rsidR="00703850" w:rsidRPr="00FE50A6">
        <w:rPr>
          <w:szCs w:val="20"/>
          <w:lang w:val="en-US"/>
        </w:rPr>
        <w:t>to the detriment of the</w:t>
      </w:r>
      <w:r w:rsidR="00D81AA1" w:rsidRPr="00FE50A6">
        <w:rPr>
          <w:szCs w:val="20"/>
          <w:lang w:val="en-US"/>
        </w:rPr>
        <w:t xml:space="preserve"> 43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orkers</w:t>
      </w:r>
      <w:r w:rsidRPr="00FE50A6">
        <w:rPr>
          <w:szCs w:val="20"/>
          <w:lang w:val="en-US"/>
        </w:rPr>
        <w:t xml:space="preserve"> who were</w:t>
      </w:r>
      <w:r w:rsidR="00D81AA1" w:rsidRPr="00FE50A6">
        <w:rPr>
          <w:szCs w:val="20"/>
          <w:lang w:val="en-US"/>
        </w:rPr>
        <w:t xml:space="preserve"> </w:t>
      </w:r>
      <w:r w:rsidRPr="00FE50A6">
        <w:rPr>
          <w:szCs w:val="20"/>
          <w:lang w:val="en-US"/>
        </w:rPr>
        <w:t xml:space="preserve">found during the </w:t>
      </w:r>
      <w:r w:rsidR="00351E20" w:rsidRPr="00FE50A6">
        <w:rPr>
          <w:szCs w:val="20"/>
          <w:lang w:val="en-US"/>
        </w:rPr>
        <w:t>April 23,</w:t>
      </w:r>
      <w:r w:rsidR="00D81AA1" w:rsidRPr="00FE50A6">
        <w:rPr>
          <w:szCs w:val="20"/>
          <w:lang w:val="en-US"/>
        </w:rPr>
        <w:t xml:space="preserve"> 1997</w:t>
      </w:r>
      <w:r w:rsidRPr="00FE50A6">
        <w:rPr>
          <w:szCs w:val="20"/>
          <w:lang w:val="en-US"/>
        </w:rPr>
        <w:t>, inspection</w:t>
      </w:r>
      <w:r w:rsidR="00030C17" w:rsidRPr="00FE50A6">
        <w:rPr>
          <w:szCs w:val="20"/>
          <w:lang w:val="en-US"/>
        </w:rPr>
        <w:t xml:space="preserve"> and </w:t>
      </w:r>
      <w:r w:rsidRPr="00FE50A6">
        <w:rPr>
          <w:szCs w:val="20"/>
          <w:lang w:val="en-US"/>
        </w:rPr>
        <w:t xml:space="preserve">who have been identified by the Court in this </w:t>
      </w:r>
      <w:r w:rsidR="006B2FBA" w:rsidRPr="00FE50A6">
        <w:rPr>
          <w:szCs w:val="20"/>
          <w:lang w:val="en-US"/>
        </w:rPr>
        <w:t>judgment</w:t>
      </w:r>
      <w:r w:rsidRPr="00FE50A6">
        <w:rPr>
          <w:szCs w:val="20"/>
          <w:lang w:val="en-US"/>
        </w:rPr>
        <w:t xml:space="preserve"> </w:t>
      </w:r>
      <w:r w:rsidR="00D81AA1" w:rsidRPr="00FE50A6">
        <w:rPr>
          <w:szCs w:val="20"/>
          <w:lang w:val="en-US"/>
        </w:rPr>
        <w:t>(</w:t>
      </w:r>
      <w:r w:rsidR="00D81AA1" w:rsidRPr="00FE50A6">
        <w:rPr>
          <w:i/>
          <w:szCs w:val="20"/>
          <w:lang w:val="en-US"/>
        </w:rPr>
        <w:t>supra</w:t>
      </w:r>
      <w:r w:rsidR="00D81AA1" w:rsidRPr="00FE50A6">
        <w:rPr>
          <w:szCs w:val="20"/>
          <w:lang w:val="en-US"/>
        </w:rPr>
        <w:t xml:space="preserve"> </w:t>
      </w:r>
      <w:r w:rsidR="00700B79" w:rsidRPr="00FE50A6">
        <w:rPr>
          <w:szCs w:val="20"/>
          <w:lang w:val="en-US"/>
        </w:rPr>
        <w:t>para.</w:t>
      </w:r>
      <w:r w:rsidR="00D81AA1" w:rsidRPr="00FE50A6">
        <w:rPr>
          <w:szCs w:val="20"/>
          <w:lang w:val="en-US"/>
        </w:rPr>
        <w:t xml:space="preserve"> </w:t>
      </w:r>
      <w:r w:rsidR="00AC28C1" w:rsidRPr="00FE50A6">
        <w:rPr>
          <w:szCs w:val="20"/>
          <w:lang w:val="en-US"/>
        </w:rPr>
        <w:t>199</w:t>
      </w:r>
      <w:r w:rsidR="00D81AA1" w:rsidRPr="00FE50A6">
        <w:rPr>
          <w:szCs w:val="20"/>
          <w:lang w:val="en-US"/>
        </w:rPr>
        <w:t>).</w:t>
      </w:r>
    </w:p>
    <w:p w14:paraId="70F75A26" w14:textId="77777777" w:rsidR="00F74CCF" w:rsidRPr="00FE50A6" w:rsidRDefault="00F74CCF" w:rsidP="00ED3AD0">
      <w:pPr>
        <w:tabs>
          <w:tab w:val="clear" w:pos="4419"/>
          <w:tab w:val="clear" w:pos="8838"/>
        </w:tabs>
        <w:contextualSpacing/>
        <w:jc w:val="both"/>
        <w:rPr>
          <w:szCs w:val="20"/>
          <w:lang w:val="en-US"/>
        </w:rPr>
      </w:pPr>
    </w:p>
    <w:p w14:paraId="5C4A67FA" w14:textId="77777777" w:rsidR="00D81AA1" w:rsidRPr="00FE50A6" w:rsidRDefault="00D81AA1" w:rsidP="00A47A97">
      <w:pPr>
        <w:pStyle w:val="Ttulo3"/>
        <w:rPr>
          <w:lang w:val="en-US"/>
        </w:rPr>
      </w:pPr>
      <w:bookmarkStart w:id="349" w:name="_Toc464813978"/>
      <w:bookmarkEnd w:id="344"/>
      <w:r w:rsidRPr="00FE50A6">
        <w:rPr>
          <w:lang w:val="en-US"/>
        </w:rPr>
        <w:t>B.3</w:t>
      </w:r>
      <w:r w:rsidR="00DC2886" w:rsidRPr="00FE50A6">
        <w:rPr>
          <w:lang w:val="en-US"/>
        </w:rPr>
        <w:t>.</w:t>
      </w:r>
      <w:r w:rsidRPr="00FE50A6">
        <w:rPr>
          <w:lang w:val="en-US"/>
        </w:rPr>
        <w:t xml:space="preserve"> </w:t>
      </w:r>
      <w:r w:rsidR="00AE55E2" w:rsidRPr="00FE50A6">
        <w:rPr>
          <w:lang w:val="en-US"/>
        </w:rPr>
        <w:t>Absence of effective judicial protection</w:t>
      </w:r>
      <w:bookmarkEnd w:id="349"/>
    </w:p>
    <w:p w14:paraId="2D83CB8C" w14:textId="77777777" w:rsidR="00D81AA1" w:rsidRPr="00FE50A6" w:rsidRDefault="00D81AA1" w:rsidP="00D81AA1">
      <w:pPr>
        <w:autoSpaceDE w:val="0"/>
        <w:autoSpaceDN w:val="0"/>
        <w:adjustRightInd w:val="0"/>
        <w:jc w:val="both"/>
        <w:rPr>
          <w:rFonts w:cs="Arial"/>
          <w:i/>
          <w:noProof/>
          <w:szCs w:val="20"/>
          <w:lang w:val="en-US"/>
        </w:rPr>
      </w:pPr>
    </w:p>
    <w:p w14:paraId="342478A6" w14:textId="77777777" w:rsidR="00D81AA1" w:rsidRPr="00FE50A6" w:rsidRDefault="00AE55E2" w:rsidP="00D81AA1">
      <w:pPr>
        <w:pStyle w:val="Prrafodelista"/>
        <w:numPr>
          <w:ilvl w:val="0"/>
          <w:numId w:val="1"/>
        </w:numPr>
        <w:contextualSpacing w:val="0"/>
        <w:rPr>
          <w:rFonts w:cs="Arial"/>
          <w:noProof/>
          <w:szCs w:val="20"/>
          <w:lang w:val="en-US"/>
        </w:rPr>
      </w:pPr>
      <w:r w:rsidRPr="00FE50A6">
        <w:rPr>
          <w:rFonts w:cs="Arial"/>
          <w:noProof/>
          <w:szCs w:val="20"/>
          <w:lang w:val="en-US"/>
        </w:rPr>
        <w:t>The Court will no</w:t>
      </w:r>
      <w:r w:rsidR="00702029" w:rsidRPr="00FE50A6">
        <w:rPr>
          <w:rFonts w:cs="Arial"/>
          <w:noProof/>
          <w:szCs w:val="20"/>
          <w:lang w:val="en-US"/>
        </w:rPr>
        <w:t>w</w:t>
      </w:r>
      <w:r w:rsidRPr="00FE50A6">
        <w:rPr>
          <w:rFonts w:cs="Arial"/>
          <w:noProof/>
          <w:szCs w:val="20"/>
          <w:lang w:val="en-US"/>
        </w:rPr>
        <w:t xml:space="preserve"> analyze </w:t>
      </w:r>
      <w:r w:rsidR="00576F80" w:rsidRPr="00FE50A6">
        <w:rPr>
          <w:rFonts w:cs="Arial"/>
          <w:noProof/>
          <w:szCs w:val="20"/>
          <w:lang w:val="en-US"/>
        </w:rPr>
        <w:t>the alleged</w:t>
      </w:r>
      <w:r w:rsidR="00D81AA1" w:rsidRPr="00FE50A6">
        <w:rPr>
          <w:rFonts w:cs="Arial"/>
          <w:noProof/>
          <w:szCs w:val="20"/>
          <w:lang w:val="en-US"/>
        </w:rPr>
        <w:t xml:space="preserve"> violación </w:t>
      </w:r>
      <w:r w:rsidRPr="00FE50A6">
        <w:rPr>
          <w:rFonts w:cs="Arial"/>
          <w:noProof/>
          <w:szCs w:val="20"/>
          <w:lang w:val="en-US"/>
        </w:rPr>
        <w:t>of the right to</w:t>
      </w:r>
      <w:r w:rsidR="00D81AA1" w:rsidRPr="00FE50A6">
        <w:rPr>
          <w:rFonts w:cs="Arial"/>
          <w:noProof/>
          <w:szCs w:val="20"/>
          <w:lang w:val="en-US"/>
        </w:rPr>
        <w:t xml:space="preserve"> </w:t>
      </w:r>
      <w:r w:rsidR="00D11A9F" w:rsidRPr="00FE50A6">
        <w:rPr>
          <w:rFonts w:cs="Arial"/>
          <w:noProof/>
          <w:szCs w:val="20"/>
          <w:lang w:val="en-US"/>
        </w:rPr>
        <w:t>judicial protection</w:t>
      </w:r>
      <w:r w:rsidR="00752D4A" w:rsidRPr="00FE50A6">
        <w:rPr>
          <w:rFonts w:cs="Arial"/>
          <w:noProof/>
          <w:szCs w:val="20"/>
          <w:lang w:val="en-US"/>
        </w:rPr>
        <w:t xml:space="preserve">. </w:t>
      </w:r>
      <w:r w:rsidRPr="00FE50A6">
        <w:rPr>
          <w:rFonts w:cs="Arial"/>
          <w:noProof/>
          <w:szCs w:val="20"/>
          <w:lang w:val="en-US"/>
        </w:rPr>
        <w:t>To this end, the Court will evaluate: (i) whether the proceedings opened in</w:t>
      </w:r>
      <w:r w:rsidR="00D81AA1" w:rsidRPr="00FE50A6">
        <w:rPr>
          <w:rFonts w:cs="Arial"/>
          <w:noProof/>
          <w:szCs w:val="20"/>
          <w:lang w:val="en-US"/>
        </w:rPr>
        <w:t xml:space="preserve"> 1997, 2000</w:t>
      </w:r>
      <w:r w:rsidR="00030C17" w:rsidRPr="00FE50A6">
        <w:rPr>
          <w:rFonts w:cs="Arial"/>
          <w:noProof/>
          <w:szCs w:val="20"/>
          <w:lang w:val="en-US"/>
        </w:rPr>
        <w:t xml:space="preserve"> and </w:t>
      </w:r>
      <w:r w:rsidR="00D81AA1" w:rsidRPr="00FE50A6">
        <w:rPr>
          <w:rFonts w:cs="Arial"/>
          <w:noProof/>
          <w:szCs w:val="20"/>
          <w:lang w:val="en-US"/>
        </w:rPr>
        <w:t xml:space="preserve">2001 </w:t>
      </w:r>
      <w:r w:rsidRPr="00FE50A6">
        <w:rPr>
          <w:rFonts w:cs="Arial"/>
          <w:noProof/>
          <w:szCs w:val="20"/>
          <w:lang w:val="en-US"/>
        </w:rPr>
        <w:t xml:space="preserve">were effective remedies to investigate and punish those responsible for the facts verified in </w:t>
      </w:r>
      <w:r w:rsidR="00D81AA1" w:rsidRPr="00FE50A6">
        <w:rPr>
          <w:rFonts w:cs="Arial"/>
          <w:noProof/>
          <w:szCs w:val="20"/>
          <w:lang w:val="en-US"/>
        </w:rPr>
        <w:t xml:space="preserve">Hacienda </w:t>
      </w:r>
      <w:r w:rsidR="00322241" w:rsidRPr="00FE50A6">
        <w:rPr>
          <w:rFonts w:cs="Arial"/>
          <w:noProof/>
          <w:szCs w:val="20"/>
          <w:lang w:val="en-US"/>
        </w:rPr>
        <w:t>Brasil Verde</w:t>
      </w:r>
      <w:r w:rsidR="00C34197" w:rsidRPr="00FE50A6">
        <w:rPr>
          <w:rFonts w:cs="Arial"/>
          <w:noProof/>
          <w:szCs w:val="20"/>
          <w:lang w:val="en-US"/>
        </w:rPr>
        <w:t>,</w:t>
      </w:r>
      <w:r w:rsidR="00030C17" w:rsidRPr="00FE50A6">
        <w:rPr>
          <w:rFonts w:cs="Arial"/>
          <w:noProof/>
          <w:szCs w:val="20"/>
          <w:lang w:val="en-US"/>
        </w:rPr>
        <w:t xml:space="preserve"> and</w:t>
      </w:r>
      <w:r w:rsidRPr="00FE50A6">
        <w:rPr>
          <w:rFonts w:cs="Arial"/>
          <w:noProof/>
          <w:szCs w:val="20"/>
          <w:lang w:val="en-US"/>
        </w:rPr>
        <w:t xml:space="preserve"> whether an effective remedy existed to make reparation to </w:t>
      </w:r>
      <w:r w:rsidR="00703850" w:rsidRPr="00FE50A6">
        <w:rPr>
          <w:rFonts w:cs="Arial"/>
          <w:noProof/>
          <w:szCs w:val="20"/>
          <w:lang w:val="en-US"/>
        </w:rPr>
        <w:t xml:space="preserve">the </w:t>
      </w:r>
      <w:r w:rsidR="0017587B" w:rsidRPr="00FE50A6">
        <w:rPr>
          <w:rFonts w:cs="Arial"/>
          <w:noProof/>
          <w:szCs w:val="20"/>
          <w:lang w:val="en-US"/>
        </w:rPr>
        <w:t>presumed victims</w:t>
      </w:r>
      <w:r w:rsidR="00D81AA1" w:rsidRPr="00FE50A6">
        <w:rPr>
          <w:rFonts w:cs="Arial"/>
          <w:noProof/>
          <w:szCs w:val="20"/>
          <w:lang w:val="en-US"/>
        </w:rPr>
        <w:t xml:space="preserve">; </w:t>
      </w:r>
      <w:r w:rsidRPr="00FE50A6">
        <w:rPr>
          <w:rFonts w:cs="Arial"/>
          <w:noProof/>
          <w:szCs w:val="20"/>
          <w:lang w:val="en-US"/>
        </w:rPr>
        <w:t>(</w:t>
      </w:r>
      <w:r w:rsidR="00D81AA1" w:rsidRPr="00FE50A6">
        <w:rPr>
          <w:rFonts w:cs="Arial"/>
          <w:noProof/>
          <w:szCs w:val="20"/>
          <w:lang w:val="en-US"/>
        </w:rPr>
        <w:t xml:space="preserve">ii) </w:t>
      </w:r>
      <w:r w:rsidRPr="00FE50A6">
        <w:rPr>
          <w:rFonts w:cs="Arial"/>
          <w:noProof/>
          <w:szCs w:val="20"/>
          <w:lang w:val="en-US"/>
        </w:rPr>
        <w:t xml:space="preserve">the prescription of the proceedings and </w:t>
      </w:r>
      <w:r w:rsidR="00702029" w:rsidRPr="00FE50A6">
        <w:rPr>
          <w:rFonts w:cs="Arial"/>
          <w:noProof/>
          <w:szCs w:val="20"/>
          <w:lang w:val="en-US"/>
        </w:rPr>
        <w:t>its</w:t>
      </w:r>
      <w:r w:rsidRPr="00FE50A6">
        <w:rPr>
          <w:rFonts w:cs="Arial"/>
          <w:noProof/>
          <w:szCs w:val="20"/>
          <w:lang w:val="en-US"/>
        </w:rPr>
        <w:t xml:space="preserve"> compatibility with the obligations derived from</w:t>
      </w:r>
      <w:r w:rsidR="002A125A" w:rsidRPr="00FE50A6">
        <w:rPr>
          <w:rFonts w:cs="Arial"/>
          <w:noProof/>
          <w:szCs w:val="20"/>
          <w:lang w:val="en-US"/>
        </w:rPr>
        <w:t xml:space="preserve"> international</w:t>
      </w:r>
      <w:r w:rsidR="00931A2D" w:rsidRPr="00FE50A6">
        <w:rPr>
          <w:rFonts w:cs="Arial"/>
          <w:noProof/>
          <w:szCs w:val="20"/>
          <w:lang w:val="en-US"/>
        </w:rPr>
        <w:t xml:space="preserve"> law</w:t>
      </w:r>
      <w:r w:rsidR="00D81AA1" w:rsidRPr="00FE50A6">
        <w:rPr>
          <w:rFonts w:cs="Arial"/>
          <w:noProof/>
          <w:szCs w:val="20"/>
          <w:lang w:val="en-US"/>
        </w:rPr>
        <w:t>,</w:t>
      </w:r>
      <w:r w:rsidR="00030C17" w:rsidRPr="00FE50A6">
        <w:rPr>
          <w:rFonts w:cs="Arial"/>
          <w:noProof/>
          <w:szCs w:val="20"/>
          <w:lang w:val="en-US"/>
        </w:rPr>
        <w:t xml:space="preserve"> and </w:t>
      </w:r>
      <w:r w:rsidRPr="00FE50A6">
        <w:rPr>
          <w:rFonts w:cs="Arial"/>
          <w:noProof/>
          <w:szCs w:val="20"/>
          <w:lang w:val="en-US"/>
        </w:rPr>
        <w:t>(</w:t>
      </w:r>
      <w:r w:rsidR="00D81AA1" w:rsidRPr="00FE50A6">
        <w:rPr>
          <w:rFonts w:cs="Arial"/>
          <w:noProof/>
          <w:szCs w:val="20"/>
          <w:lang w:val="en-US"/>
        </w:rPr>
        <w:t>i</w:t>
      </w:r>
      <w:r w:rsidR="00C34197" w:rsidRPr="00FE50A6">
        <w:rPr>
          <w:rFonts w:cs="Arial"/>
          <w:noProof/>
          <w:szCs w:val="20"/>
          <w:lang w:val="en-US"/>
        </w:rPr>
        <w:t>ii</w:t>
      </w:r>
      <w:r w:rsidR="00D81AA1" w:rsidRPr="00FE50A6">
        <w:rPr>
          <w:rFonts w:cs="Arial"/>
          <w:noProof/>
          <w:szCs w:val="20"/>
          <w:lang w:val="en-US"/>
        </w:rPr>
        <w:t xml:space="preserve">) </w:t>
      </w:r>
      <w:r w:rsidR="00576F80" w:rsidRPr="00FE50A6">
        <w:rPr>
          <w:rFonts w:cs="Arial"/>
          <w:noProof/>
          <w:szCs w:val="20"/>
          <w:lang w:val="en-US"/>
        </w:rPr>
        <w:t>the alleged</w:t>
      </w:r>
      <w:r w:rsidR="00D81AA1" w:rsidRPr="00FE50A6">
        <w:rPr>
          <w:rFonts w:cs="Arial"/>
          <w:noProof/>
          <w:szCs w:val="20"/>
          <w:lang w:val="en-US"/>
        </w:rPr>
        <w:t xml:space="preserve"> discrimina</w:t>
      </w:r>
      <w:r w:rsidRPr="00FE50A6">
        <w:rPr>
          <w:rFonts w:cs="Arial"/>
          <w:noProof/>
          <w:szCs w:val="20"/>
          <w:lang w:val="en-US"/>
        </w:rPr>
        <w:t xml:space="preserve">tion in relation to the presumed victims’ access to </w:t>
      </w:r>
      <w:r w:rsidR="00D11A9F" w:rsidRPr="00FE50A6">
        <w:rPr>
          <w:rFonts w:cs="Arial"/>
          <w:noProof/>
          <w:szCs w:val="20"/>
          <w:lang w:val="en-US"/>
        </w:rPr>
        <w:t>judicial protection</w:t>
      </w:r>
      <w:r w:rsidR="00D81AA1" w:rsidRPr="00FE50A6">
        <w:rPr>
          <w:rFonts w:cs="Arial"/>
          <w:noProof/>
          <w:szCs w:val="20"/>
          <w:lang w:val="en-US"/>
        </w:rPr>
        <w:t xml:space="preserve">. </w:t>
      </w:r>
    </w:p>
    <w:p w14:paraId="76355A62" w14:textId="77777777" w:rsidR="00D81AA1" w:rsidRPr="00FE50A6" w:rsidRDefault="00D81AA1" w:rsidP="00D81AA1">
      <w:pPr>
        <w:pStyle w:val="Prrafodelista"/>
        <w:ind w:left="0"/>
        <w:rPr>
          <w:rFonts w:cs="Arial"/>
          <w:noProof/>
          <w:szCs w:val="20"/>
          <w:lang w:val="en-US"/>
        </w:rPr>
      </w:pPr>
    </w:p>
    <w:p w14:paraId="77D958E2" w14:textId="77777777" w:rsidR="00D81AA1" w:rsidRPr="00FE50A6" w:rsidRDefault="0088467F" w:rsidP="00D81AA1">
      <w:pPr>
        <w:pStyle w:val="Prrafodelista"/>
        <w:numPr>
          <w:ilvl w:val="0"/>
          <w:numId w:val="1"/>
        </w:numPr>
        <w:contextualSpacing w:val="0"/>
        <w:rPr>
          <w:rFonts w:cs="Arial"/>
          <w:noProof/>
          <w:szCs w:val="20"/>
          <w:lang w:val="en-US"/>
        </w:rPr>
      </w:pPr>
      <w:r w:rsidRPr="00FE50A6">
        <w:rPr>
          <w:rFonts w:cs="Arial"/>
          <w:iCs/>
          <w:szCs w:val="20"/>
          <w:lang w:val="en-US"/>
        </w:rPr>
        <w:t>In this case</w:t>
      </w:r>
      <w:r w:rsidR="00D81AA1" w:rsidRPr="00FE50A6">
        <w:rPr>
          <w:rFonts w:cs="Arial"/>
          <w:iCs/>
          <w:szCs w:val="20"/>
          <w:lang w:val="en-US"/>
        </w:rPr>
        <w:t xml:space="preserve">, </w:t>
      </w:r>
      <w:r w:rsidR="000228D0" w:rsidRPr="00FE50A6">
        <w:rPr>
          <w:rFonts w:cs="Arial"/>
          <w:iCs/>
          <w:szCs w:val="20"/>
          <w:lang w:val="en-US"/>
        </w:rPr>
        <w:t>the Court</w:t>
      </w:r>
      <w:r w:rsidR="00D81AA1" w:rsidRPr="00FE50A6">
        <w:rPr>
          <w:rFonts w:cs="Arial"/>
          <w:iCs/>
          <w:szCs w:val="20"/>
          <w:lang w:val="en-US"/>
        </w:rPr>
        <w:t xml:space="preserve"> </w:t>
      </w:r>
      <w:r w:rsidRPr="00FE50A6">
        <w:rPr>
          <w:rFonts w:cs="Arial"/>
          <w:iCs/>
          <w:szCs w:val="20"/>
          <w:lang w:val="en-US"/>
        </w:rPr>
        <w:t>notes that in</w:t>
      </w:r>
      <w:r w:rsidR="00D81AA1" w:rsidRPr="00FE50A6">
        <w:rPr>
          <w:rFonts w:cs="Arial"/>
          <w:iCs/>
          <w:szCs w:val="20"/>
          <w:lang w:val="en-US"/>
        </w:rPr>
        <w:t xml:space="preserve"> 1997, 2000</w:t>
      </w:r>
      <w:r w:rsidR="00030C17" w:rsidRPr="00FE50A6">
        <w:rPr>
          <w:rFonts w:cs="Arial"/>
          <w:iCs/>
          <w:szCs w:val="20"/>
          <w:lang w:val="en-US"/>
        </w:rPr>
        <w:t xml:space="preserve"> and </w:t>
      </w:r>
      <w:r w:rsidR="00D81AA1" w:rsidRPr="00FE50A6">
        <w:rPr>
          <w:rFonts w:cs="Arial"/>
          <w:iCs/>
          <w:szCs w:val="20"/>
          <w:lang w:val="en-US"/>
        </w:rPr>
        <w:t>2001</w:t>
      </w:r>
      <w:r w:rsidRPr="00FE50A6">
        <w:rPr>
          <w:rFonts w:cs="Arial"/>
          <w:iCs/>
          <w:szCs w:val="20"/>
          <w:lang w:val="en-US"/>
        </w:rPr>
        <w:t>, two</w:t>
      </w:r>
      <w:r w:rsidR="00D81AA1" w:rsidRPr="00FE50A6">
        <w:rPr>
          <w:rFonts w:cs="Arial"/>
          <w:iCs/>
          <w:szCs w:val="20"/>
          <w:lang w:val="en-US"/>
        </w:rPr>
        <w:t xml:space="preserve"> </w:t>
      </w:r>
      <w:r w:rsidRPr="00FE50A6">
        <w:rPr>
          <w:rFonts w:cs="Arial"/>
          <w:iCs/>
          <w:szCs w:val="20"/>
          <w:lang w:val="en-US"/>
        </w:rPr>
        <w:t>criminal actions, one civil action and one labor proceeding were in</w:t>
      </w:r>
      <w:r w:rsidR="00F224DE" w:rsidRPr="00FE50A6">
        <w:rPr>
          <w:rFonts w:cs="Arial"/>
          <w:iCs/>
          <w:szCs w:val="20"/>
          <w:lang w:val="en-US"/>
        </w:rPr>
        <w:t>stituted</w:t>
      </w:r>
      <w:r w:rsidRPr="00FE50A6">
        <w:rPr>
          <w:rFonts w:cs="Arial"/>
          <w:iCs/>
          <w:szCs w:val="20"/>
          <w:lang w:val="en-US"/>
        </w:rPr>
        <w:t xml:space="preserve"> in relation to the situation of the </w:t>
      </w:r>
      <w:r w:rsidR="00030C17" w:rsidRPr="00FE50A6">
        <w:rPr>
          <w:rFonts w:cs="Arial"/>
          <w:iCs/>
          <w:szCs w:val="20"/>
          <w:lang w:val="en-US"/>
        </w:rPr>
        <w:t xml:space="preserve">Hacienda </w:t>
      </w:r>
      <w:r w:rsidR="00322241" w:rsidRPr="00FE50A6">
        <w:rPr>
          <w:rFonts w:cs="Arial"/>
          <w:iCs/>
          <w:szCs w:val="20"/>
          <w:lang w:val="en-US"/>
        </w:rPr>
        <w:t>Brasil Verde</w:t>
      </w:r>
      <w:r w:rsidR="00030C17" w:rsidRPr="00FE50A6">
        <w:rPr>
          <w:rFonts w:cs="Arial"/>
          <w:iCs/>
          <w:szCs w:val="20"/>
          <w:lang w:val="en-US"/>
        </w:rPr>
        <w:t xml:space="preserve"> </w:t>
      </w:r>
      <w:r w:rsidRPr="00FE50A6">
        <w:rPr>
          <w:rFonts w:cs="Arial"/>
          <w:iCs/>
          <w:szCs w:val="20"/>
          <w:lang w:val="en-US"/>
        </w:rPr>
        <w:t>w</w:t>
      </w:r>
      <w:r w:rsidR="00030C17" w:rsidRPr="00FE50A6">
        <w:rPr>
          <w:rFonts w:cs="Arial"/>
          <w:iCs/>
          <w:szCs w:val="20"/>
          <w:lang w:val="en-US"/>
        </w:rPr>
        <w:t>orkers</w:t>
      </w:r>
      <w:r w:rsidR="00D81AA1" w:rsidRPr="00FE50A6">
        <w:rPr>
          <w:rFonts w:cs="Arial"/>
          <w:iCs/>
          <w:szCs w:val="20"/>
          <w:lang w:val="en-US"/>
        </w:rPr>
        <w:t xml:space="preserve">. </w:t>
      </w:r>
      <w:r w:rsidRPr="00FE50A6">
        <w:rPr>
          <w:rFonts w:cs="Arial"/>
          <w:iCs/>
          <w:szCs w:val="20"/>
          <w:lang w:val="en-US"/>
        </w:rPr>
        <w:t>The</w:t>
      </w:r>
      <w:r w:rsidR="002071B1" w:rsidRPr="00FE50A6">
        <w:rPr>
          <w:rFonts w:cs="Arial"/>
          <w:iCs/>
          <w:szCs w:val="20"/>
          <w:lang w:val="en-US"/>
        </w:rPr>
        <w:t xml:space="preserve"> Court</w:t>
      </w:r>
      <w:r w:rsidRPr="00FE50A6">
        <w:rPr>
          <w:rFonts w:cs="Arial"/>
          <w:iCs/>
          <w:szCs w:val="20"/>
          <w:lang w:val="en-US"/>
        </w:rPr>
        <w:t xml:space="preserve"> will now examine these proceedings to determine whether the State guaranteed the victims the</w:t>
      </w:r>
      <w:r w:rsidR="00D81AA1" w:rsidRPr="00FE50A6">
        <w:rPr>
          <w:rFonts w:cs="Arial"/>
          <w:iCs/>
          <w:szCs w:val="20"/>
          <w:lang w:val="en-US"/>
        </w:rPr>
        <w:t xml:space="preserve"> </w:t>
      </w:r>
      <w:r w:rsidR="00D11A9F" w:rsidRPr="00FE50A6">
        <w:rPr>
          <w:rFonts w:cs="Arial"/>
          <w:iCs/>
          <w:szCs w:val="20"/>
          <w:lang w:val="en-US"/>
        </w:rPr>
        <w:t>judicial protection</w:t>
      </w:r>
      <w:r w:rsidR="00D81AA1" w:rsidRPr="00FE50A6">
        <w:rPr>
          <w:rFonts w:cs="Arial"/>
          <w:iCs/>
          <w:szCs w:val="20"/>
          <w:lang w:val="en-US"/>
        </w:rPr>
        <w:t xml:space="preserve"> </w:t>
      </w:r>
      <w:r w:rsidRPr="00FE50A6">
        <w:rPr>
          <w:rFonts w:cs="Arial"/>
          <w:iCs/>
          <w:szCs w:val="20"/>
          <w:lang w:val="en-US"/>
        </w:rPr>
        <w:t>established in</w:t>
      </w:r>
      <w:r w:rsidR="00D81AA1" w:rsidRPr="00FE50A6">
        <w:rPr>
          <w:rFonts w:cs="Arial"/>
          <w:iCs/>
          <w:szCs w:val="20"/>
          <w:lang w:val="en-US"/>
        </w:rPr>
        <w:t xml:space="preserve"> </w:t>
      </w:r>
      <w:r w:rsidR="000228D0" w:rsidRPr="00FE50A6">
        <w:rPr>
          <w:rFonts w:cs="Arial"/>
          <w:iCs/>
          <w:szCs w:val="20"/>
          <w:lang w:val="en-US"/>
        </w:rPr>
        <w:t>Article</w:t>
      </w:r>
      <w:r w:rsidR="00D81AA1" w:rsidRPr="00FE50A6">
        <w:rPr>
          <w:rFonts w:cs="Arial"/>
          <w:iCs/>
          <w:szCs w:val="20"/>
          <w:lang w:val="en-US"/>
        </w:rPr>
        <w:t xml:space="preserve"> </w:t>
      </w:r>
      <w:r w:rsidR="00703850" w:rsidRPr="00FE50A6">
        <w:rPr>
          <w:rFonts w:cs="Arial"/>
          <w:iCs/>
          <w:szCs w:val="20"/>
          <w:lang w:val="en-US"/>
        </w:rPr>
        <w:t>25(1)</w:t>
      </w:r>
      <w:r w:rsidR="000228D0" w:rsidRPr="00FE50A6">
        <w:rPr>
          <w:rFonts w:cs="Arial"/>
          <w:iCs/>
          <w:szCs w:val="20"/>
          <w:lang w:val="en-US"/>
        </w:rPr>
        <w:t xml:space="preserve"> of the Convention</w:t>
      </w:r>
      <w:r w:rsidR="00D81AA1" w:rsidRPr="00FE50A6">
        <w:rPr>
          <w:rFonts w:cs="Arial"/>
          <w:iCs/>
          <w:szCs w:val="20"/>
          <w:lang w:val="en-US"/>
        </w:rPr>
        <w:t xml:space="preserve">. </w:t>
      </w:r>
      <w:r w:rsidRPr="00FE50A6">
        <w:rPr>
          <w:rFonts w:cs="Arial"/>
          <w:iCs/>
          <w:szCs w:val="20"/>
          <w:lang w:val="en-US"/>
        </w:rPr>
        <w:t>To this end, it will summarize the actions verified in each proceeding</w:t>
      </w:r>
      <w:r w:rsidR="00D81AA1" w:rsidRPr="00FE50A6">
        <w:rPr>
          <w:rFonts w:cs="Arial"/>
          <w:iCs/>
          <w:szCs w:val="20"/>
          <w:lang w:val="en-US"/>
        </w:rPr>
        <w:t>.</w:t>
      </w:r>
    </w:p>
    <w:p w14:paraId="6833DCE5" w14:textId="77777777" w:rsidR="00D81AA1" w:rsidRPr="00FE50A6" w:rsidRDefault="00D81AA1" w:rsidP="00D81AA1">
      <w:pPr>
        <w:pStyle w:val="Prrafodelista"/>
        <w:ind w:left="0"/>
        <w:rPr>
          <w:rFonts w:cs="Arial"/>
          <w:iCs/>
          <w:szCs w:val="20"/>
          <w:lang w:val="en-US"/>
        </w:rPr>
      </w:pPr>
    </w:p>
    <w:p w14:paraId="28AE34B4" w14:textId="77777777" w:rsidR="00D81AA1" w:rsidRPr="00FE50A6" w:rsidRDefault="00D81AA1" w:rsidP="00292379">
      <w:pPr>
        <w:pStyle w:val="Prrafodelista"/>
        <w:numPr>
          <w:ilvl w:val="0"/>
          <w:numId w:val="1"/>
        </w:numPr>
        <w:autoSpaceDE w:val="0"/>
        <w:autoSpaceDN w:val="0"/>
        <w:adjustRightInd w:val="0"/>
        <w:rPr>
          <w:rFonts w:cs="Arial"/>
          <w:szCs w:val="20"/>
          <w:lang w:val="en-US"/>
        </w:rPr>
      </w:pPr>
      <w:r w:rsidRPr="00FE50A6">
        <w:rPr>
          <w:rFonts w:cs="Arial"/>
          <w:iCs/>
          <w:szCs w:val="20"/>
          <w:lang w:val="en-US"/>
        </w:rPr>
        <w:t xml:space="preserve"> </w:t>
      </w:r>
      <w:r w:rsidR="000228D0" w:rsidRPr="00FE50A6">
        <w:rPr>
          <w:rFonts w:cs="Arial"/>
          <w:szCs w:val="20"/>
          <w:lang w:val="en-US"/>
        </w:rPr>
        <w:t xml:space="preserve">The </w:t>
      </w:r>
      <w:r w:rsidR="0088467F" w:rsidRPr="00FE50A6">
        <w:rPr>
          <w:rFonts w:cs="Arial"/>
          <w:szCs w:val="20"/>
          <w:lang w:val="en-US"/>
        </w:rPr>
        <w:t>Court recalls</w:t>
      </w:r>
      <w:r w:rsidRPr="00FE50A6">
        <w:rPr>
          <w:rFonts w:cs="Arial"/>
          <w:szCs w:val="20"/>
          <w:lang w:val="en-US"/>
        </w:rPr>
        <w:t xml:space="preserve"> </w:t>
      </w:r>
      <w:r w:rsidR="0088467F" w:rsidRPr="00FE50A6">
        <w:rPr>
          <w:rFonts w:cs="Arial"/>
          <w:szCs w:val="20"/>
          <w:lang w:val="en-US"/>
        </w:rPr>
        <w:t xml:space="preserve">that, as a result of the </w:t>
      </w:r>
      <w:r w:rsidR="00833DD0" w:rsidRPr="00FE50A6">
        <w:rPr>
          <w:rFonts w:cs="Arial"/>
          <w:szCs w:val="20"/>
          <w:lang w:val="en-US"/>
        </w:rPr>
        <w:t>Ministry</w:t>
      </w:r>
      <w:r w:rsidR="0081756E" w:rsidRPr="00FE50A6">
        <w:rPr>
          <w:rFonts w:cs="Arial"/>
          <w:szCs w:val="20"/>
          <w:lang w:val="en-US"/>
        </w:rPr>
        <w:t xml:space="preserve"> of Labor</w:t>
      </w:r>
      <w:r w:rsidR="0088467F" w:rsidRPr="00FE50A6">
        <w:rPr>
          <w:rFonts w:cs="Arial"/>
          <w:szCs w:val="20"/>
          <w:lang w:val="en-US"/>
        </w:rPr>
        <w:t>’s report</w:t>
      </w:r>
      <w:r w:rsidRPr="00FE50A6">
        <w:rPr>
          <w:rFonts w:cs="Arial"/>
          <w:szCs w:val="20"/>
          <w:lang w:val="en-US"/>
        </w:rPr>
        <w:t xml:space="preserve">, </w:t>
      </w:r>
      <w:r w:rsidR="0088467F" w:rsidRPr="00FE50A6">
        <w:rPr>
          <w:rFonts w:cs="Arial"/>
          <w:szCs w:val="20"/>
          <w:lang w:val="en-US"/>
        </w:rPr>
        <w:t>on</w:t>
      </w:r>
      <w:r w:rsidRPr="00FE50A6">
        <w:rPr>
          <w:rFonts w:cs="Arial"/>
          <w:szCs w:val="20"/>
          <w:lang w:val="en-US"/>
        </w:rPr>
        <w:t xml:space="preserve"> </w:t>
      </w:r>
      <w:r w:rsidR="00BA1DCE" w:rsidRPr="00FE50A6">
        <w:rPr>
          <w:rFonts w:cs="Arial"/>
          <w:szCs w:val="20"/>
          <w:lang w:val="en-US"/>
        </w:rPr>
        <w:t>June 30,</w:t>
      </w:r>
      <w:r w:rsidRPr="00FE50A6">
        <w:rPr>
          <w:rFonts w:cs="Arial"/>
          <w:szCs w:val="20"/>
          <w:lang w:val="en-US"/>
        </w:rPr>
        <w:t xml:space="preserve"> 1997</w:t>
      </w:r>
      <w:r w:rsidR="0088467F" w:rsidRPr="00FE50A6">
        <w:rPr>
          <w:rFonts w:cs="Arial"/>
          <w:szCs w:val="20"/>
          <w:lang w:val="en-US"/>
        </w:rPr>
        <w:t>, the</w:t>
      </w:r>
      <w:r w:rsidRPr="00FE50A6">
        <w:rPr>
          <w:rFonts w:cs="Arial"/>
          <w:szCs w:val="20"/>
          <w:lang w:val="en-US"/>
        </w:rPr>
        <w:t xml:space="preserve"> </w:t>
      </w:r>
      <w:r w:rsidR="00DC398B" w:rsidRPr="00FE50A6">
        <w:rPr>
          <w:rFonts w:cs="Arial"/>
          <w:szCs w:val="20"/>
          <w:lang w:val="en-US"/>
        </w:rPr>
        <w:t>Federal Public Prosecution Service</w:t>
      </w:r>
      <w:r w:rsidRPr="00FE50A6">
        <w:rPr>
          <w:rFonts w:cs="Arial"/>
          <w:szCs w:val="20"/>
          <w:lang w:val="en-US"/>
        </w:rPr>
        <w:t xml:space="preserve"> </w:t>
      </w:r>
      <w:r w:rsidR="0088467F" w:rsidRPr="00FE50A6">
        <w:rPr>
          <w:rFonts w:cs="Arial"/>
          <w:szCs w:val="20"/>
          <w:lang w:val="en-US"/>
        </w:rPr>
        <w:t>filed</w:t>
      </w:r>
      <w:r w:rsidRPr="00FE50A6">
        <w:rPr>
          <w:rFonts w:cs="Arial"/>
          <w:szCs w:val="20"/>
          <w:lang w:val="en-US"/>
        </w:rPr>
        <w:t xml:space="preserve"> </w:t>
      </w:r>
      <w:r w:rsidR="0088467F" w:rsidRPr="00FE50A6">
        <w:rPr>
          <w:rFonts w:cs="Arial"/>
          <w:szCs w:val="20"/>
          <w:lang w:val="en-US"/>
        </w:rPr>
        <w:t>a criminal complaint</w:t>
      </w:r>
      <w:r w:rsidRPr="00FE50A6">
        <w:rPr>
          <w:rFonts w:cs="Arial"/>
          <w:szCs w:val="20"/>
          <w:lang w:val="en-US"/>
        </w:rPr>
        <w:t xml:space="preserve"> </w:t>
      </w:r>
      <w:r w:rsidR="0088467F" w:rsidRPr="00FE50A6">
        <w:rPr>
          <w:rFonts w:cs="Arial"/>
          <w:szCs w:val="20"/>
          <w:lang w:val="en-US"/>
        </w:rPr>
        <w:t>against</w:t>
      </w:r>
      <w:r w:rsidRPr="00FE50A6">
        <w:rPr>
          <w:rFonts w:cs="Arial"/>
          <w:szCs w:val="20"/>
          <w:lang w:val="en-US"/>
        </w:rPr>
        <w:t xml:space="preserve"> Raimundo Alves de Rocha</w:t>
      </w:r>
      <w:r w:rsidR="00F224DE" w:rsidRPr="00FE50A6">
        <w:rPr>
          <w:rFonts w:cs="Times New Roman"/>
          <w:szCs w:val="20"/>
          <w:lang w:val="en-US"/>
        </w:rPr>
        <w:t>,</w:t>
      </w:r>
      <w:r w:rsidRPr="00FE50A6">
        <w:rPr>
          <w:rFonts w:cs="Times New Roman"/>
          <w:szCs w:val="20"/>
          <w:lang w:val="en-US"/>
        </w:rPr>
        <w:t xml:space="preserve"> </w:t>
      </w:r>
      <w:r w:rsidR="00D60654" w:rsidRPr="00FE50A6">
        <w:rPr>
          <w:rFonts w:cs="Arial"/>
          <w:szCs w:val="20"/>
          <w:lang w:val="en-US"/>
        </w:rPr>
        <w:t xml:space="preserve">Antônio </w:t>
      </w:r>
      <w:r w:rsidRPr="00FE50A6">
        <w:rPr>
          <w:rFonts w:cs="Arial"/>
          <w:szCs w:val="20"/>
          <w:lang w:val="en-US"/>
        </w:rPr>
        <w:t>Alves Vieira</w:t>
      </w:r>
      <w:r w:rsidR="00030C17" w:rsidRPr="00FE50A6">
        <w:rPr>
          <w:rFonts w:cs="Arial"/>
          <w:szCs w:val="20"/>
          <w:lang w:val="en-US"/>
        </w:rPr>
        <w:t xml:space="preserve"> and </w:t>
      </w:r>
      <w:r w:rsidRPr="00FE50A6">
        <w:rPr>
          <w:rFonts w:cs="Arial"/>
          <w:szCs w:val="20"/>
          <w:lang w:val="en-US"/>
        </w:rPr>
        <w:t>João Luiz Quagliato Neto.</w:t>
      </w:r>
      <w:r w:rsidRPr="00FE50A6">
        <w:rPr>
          <w:rFonts w:cs="Arial"/>
          <w:b/>
          <w:szCs w:val="20"/>
          <w:lang w:val="en-US"/>
        </w:rPr>
        <w:t xml:space="preserve"> </w:t>
      </w:r>
      <w:r w:rsidR="0088467F" w:rsidRPr="00FE50A6">
        <w:rPr>
          <w:rFonts w:cs="Arial"/>
          <w:szCs w:val="20"/>
          <w:lang w:val="en-US"/>
        </w:rPr>
        <w:t>On</w:t>
      </w:r>
      <w:r w:rsidRPr="00FE50A6">
        <w:rPr>
          <w:rFonts w:cs="Arial"/>
          <w:szCs w:val="20"/>
          <w:lang w:val="en-US"/>
        </w:rPr>
        <w:t xml:space="preserve"> </w:t>
      </w:r>
      <w:r w:rsidR="00F8114C" w:rsidRPr="00FE50A6">
        <w:rPr>
          <w:rFonts w:cs="Arial"/>
          <w:szCs w:val="20"/>
          <w:lang w:val="en-US"/>
        </w:rPr>
        <w:t>July 10,</w:t>
      </w:r>
      <w:r w:rsidRPr="00FE50A6">
        <w:rPr>
          <w:rFonts w:cs="Arial"/>
          <w:szCs w:val="20"/>
          <w:lang w:val="en-US"/>
        </w:rPr>
        <w:t xml:space="preserve"> 2008</w:t>
      </w:r>
      <w:r w:rsidR="0088467F" w:rsidRPr="00FE50A6">
        <w:rPr>
          <w:rFonts w:cs="Arial"/>
          <w:szCs w:val="20"/>
          <w:lang w:val="en-US"/>
        </w:rPr>
        <w:t>,</w:t>
      </w:r>
      <w:r w:rsidRPr="00FE50A6">
        <w:rPr>
          <w:rFonts w:cs="Arial"/>
          <w:szCs w:val="20"/>
          <w:lang w:val="en-US"/>
        </w:rPr>
        <w:t xml:space="preserve"> </w:t>
      </w:r>
      <w:r w:rsidR="009C48A4" w:rsidRPr="00FE50A6">
        <w:rPr>
          <w:rFonts w:cs="Arial"/>
          <w:szCs w:val="20"/>
          <w:lang w:val="en-US"/>
        </w:rPr>
        <w:t xml:space="preserve">the </w:t>
      </w:r>
      <w:r w:rsidR="00F224DE" w:rsidRPr="00FE50A6">
        <w:rPr>
          <w:rFonts w:cs="Arial"/>
          <w:szCs w:val="20"/>
          <w:lang w:val="en-US"/>
        </w:rPr>
        <w:t xml:space="preserve">Pará </w:t>
      </w:r>
      <w:r w:rsidR="009C48A4" w:rsidRPr="00FE50A6">
        <w:rPr>
          <w:rFonts w:cs="Arial"/>
          <w:szCs w:val="20"/>
          <w:lang w:val="en-US"/>
        </w:rPr>
        <w:t>federal judge</w:t>
      </w:r>
      <w:r w:rsidRPr="00FE50A6">
        <w:rPr>
          <w:rFonts w:cs="Arial"/>
          <w:szCs w:val="20"/>
          <w:lang w:val="en-US"/>
        </w:rPr>
        <w:t xml:space="preserve"> </w:t>
      </w:r>
      <w:r w:rsidR="0088467F" w:rsidRPr="00FE50A6">
        <w:rPr>
          <w:rFonts w:cs="Arial"/>
          <w:szCs w:val="20"/>
          <w:lang w:val="en-US"/>
        </w:rPr>
        <w:t>declared that the statute of limitations would not apply only if they were sentenced to the maximum penalty and</w:t>
      </w:r>
      <w:r w:rsidR="00F224DE" w:rsidRPr="00FE50A6">
        <w:rPr>
          <w:rFonts w:cs="Arial"/>
          <w:szCs w:val="20"/>
          <w:lang w:val="en-US"/>
        </w:rPr>
        <w:t>,</w:t>
      </w:r>
      <w:r w:rsidR="0088467F" w:rsidRPr="00FE50A6">
        <w:rPr>
          <w:rFonts w:cs="Arial"/>
          <w:szCs w:val="20"/>
          <w:lang w:val="en-US"/>
        </w:rPr>
        <w:t xml:space="preserve"> </w:t>
      </w:r>
      <w:r w:rsidR="00F224DE" w:rsidRPr="00FE50A6">
        <w:rPr>
          <w:rFonts w:cs="Arial"/>
          <w:szCs w:val="20"/>
          <w:lang w:val="en-US"/>
        </w:rPr>
        <w:t xml:space="preserve">therefore, </w:t>
      </w:r>
      <w:r w:rsidR="0088467F" w:rsidRPr="00FE50A6">
        <w:rPr>
          <w:rFonts w:cs="Arial"/>
          <w:szCs w:val="20"/>
          <w:lang w:val="en-US"/>
        </w:rPr>
        <w:t xml:space="preserve">that the prescription of the action was inevitable. On this basis, as well as on the State’s lack of action, the judge decided to declare that the criminal action had extinguished </w:t>
      </w:r>
      <w:r w:rsidRPr="00FE50A6">
        <w:rPr>
          <w:rFonts w:cs="Arial"/>
          <w:szCs w:val="20"/>
          <w:lang w:val="en-US"/>
        </w:rPr>
        <w:t>(</w:t>
      </w:r>
      <w:r w:rsidRPr="00FE50A6">
        <w:rPr>
          <w:rFonts w:cs="Arial"/>
          <w:i/>
          <w:szCs w:val="20"/>
          <w:lang w:val="en-US"/>
        </w:rPr>
        <w:t>supra</w:t>
      </w:r>
      <w:r w:rsidRPr="00FE50A6">
        <w:rPr>
          <w:rFonts w:cs="Arial"/>
          <w:szCs w:val="20"/>
          <w:lang w:val="en-US"/>
        </w:rPr>
        <w:t xml:space="preserve"> </w:t>
      </w:r>
      <w:r w:rsidR="00700B79" w:rsidRPr="00FE50A6">
        <w:rPr>
          <w:rFonts w:cs="Arial"/>
          <w:szCs w:val="20"/>
          <w:lang w:val="en-US"/>
        </w:rPr>
        <w:t>para.</w:t>
      </w:r>
      <w:r w:rsidRPr="00FE50A6">
        <w:rPr>
          <w:rFonts w:cs="Arial"/>
          <w:szCs w:val="20"/>
          <w:lang w:val="en-US"/>
        </w:rPr>
        <w:t xml:space="preserve"> </w:t>
      </w:r>
      <w:r w:rsidR="000D2F3A" w:rsidRPr="00FE50A6">
        <w:rPr>
          <w:rFonts w:cs="Arial"/>
          <w:szCs w:val="20"/>
          <w:lang w:val="en-US"/>
        </w:rPr>
        <w:t>157</w:t>
      </w:r>
      <w:r w:rsidRPr="00FE50A6">
        <w:rPr>
          <w:rFonts w:cs="Arial"/>
          <w:szCs w:val="20"/>
          <w:lang w:val="en-US"/>
        </w:rPr>
        <w:t>)</w:t>
      </w:r>
      <w:r w:rsidRPr="00FE50A6">
        <w:rPr>
          <w:rFonts w:cs="Arial"/>
          <w:bCs/>
          <w:szCs w:val="20"/>
          <w:lang w:val="en-US"/>
        </w:rPr>
        <w:t>.</w:t>
      </w:r>
    </w:p>
    <w:p w14:paraId="3E28AC5E" w14:textId="77777777" w:rsidR="00D81AA1" w:rsidRPr="00FE50A6" w:rsidRDefault="00D81AA1" w:rsidP="00D81AA1">
      <w:pPr>
        <w:pStyle w:val="Prrafodelista"/>
        <w:ind w:left="0"/>
        <w:rPr>
          <w:rFonts w:cs="Arial"/>
          <w:noProof/>
          <w:szCs w:val="20"/>
          <w:lang w:val="en-US"/>
        </w:rPr>
      </w:pPr>
    </w:p>
    <w:p w14:paraId="396956DC" w14:textId="77777777" w:rsidR="00D81AA1" w:rsidRPr="00FE50A6" w:rsidRDefault="0088467F" w:rsidP="00CA2C6C">
      <w:pPr>
        <w:pStyle w:val="Prrafodelista"/>
        <w:numPr>
          <w:ilvl w:val="0"/>
          <w:numId w:val="1"/>
        </w:numPr>
        <w:contextualSpacing w:val="0"/>
        <w:rPr>
          <w:rFonts w:cs="Arial"/>
          <w:noProof/>
          <w:szCs w:val="20"/>
          <w:lang w:val="en-US"/>
        </w:rPr>
      </w:pPr>
      <w:r w:rsidRPr="00FE50A6">
        <w:rPr>
          <w:rFonts w:cs="Arial"/>
          <w:noProof/>
          <w:szCs w:val="20"/>
          <w:lang w:val="en-US"/>
        </w:rPr>
        <w:t xml:space="preserve">Regarding the labor proceeding, </w:t>
      </w:r>
      <w:r w:rsidR="000228D0" w:rsidRPr="00FE50A6">
        <w:rPr>
          <w:rFonts w:cs="Arial"/>
          <w:noProof/>
          <w:szCs w:val="20"/>
          <w:lang w:val="en-US"/>
        </w:rPr>
        <w:t xml:space="preserve">the </w:t>
      </w:r>
      <w:r w:rsidRPr="00FE50A6">
        <w:rPr>
          <w:rFonts w:cs="Arial"/>
          <w:noProof/>
          <w:szCs w:val="20"/>
          <w:lang w:val="en-US"/>
        </w:rPr>
        <w:t>Court recalls</w:t>
      </w:r>
      <w:r w:rsidR="00D81AA1" w:rsidRPr="00FE50A6">
        <w:rPr>
          <w:rFonts w:cs="Arial"/>
          <w:noProof/>
          <w:szCs w:val="20"/>
          <w:lang w:val="en-US"/>
        </w:rPr>
        <w:t xml:space="preserve"> </w:t>
      </w:r>
      <w:r w:rsidRPr="00FE50A6">
        <w:rPr>
          <w:rFonts w:cs="Arial"/>
          <w:noProof/>
          <w:szCs w:val="20"/>
          <w:lang w:val="en-US"/>
        </w:rPr>
        <w:t>that on</w:t>
      </w:r>
      <w:r w:rsidR="00D81AA1" w:rsidRPr="00FE50A6">
        <w:rPr>
          <w:rFonts w:cs="Arial"/>
          <w:szCs w:val="20"/>
          <w:lang w:val="en-US"/>
        </w:rPr>
        <w:t xml:space="preserve"> </w:t>
      </w:r>
      <w:r w:rsidRPr="00FE50A6">
        <w:rPr>
          <w:rFonts w:cs="Arial"/>
          <w:szCs w:val="20"/>
          <w:lang w:val="en-US"/>
        </w:rPr>
        <w:t>August 12,</w:t>
      </w:r>
      <w:r w:rsidR="00D81AA1" w:rsidRPr="00FE50A6">
        <w:rPr>
          <w:rFonts w:cs="Arial"/>
          <w:szCs w:val="20"/>
          <w:lang w:val="en-US"/>
        </w:rPr>
        <w:t xml:space="preserve"> 1997</w:t>
      </w:r>
      <w:r w:rsidRPr="00FE50A6">
        <w:rPr>
          <w:rFonts w:cs="Arial"/>
          <w:szCs w:val="20"/>
          <w:lang w:val="en-US"/>
        </w:rPr>
        <w:t xml:space="preserve">, an administrative proceeding was opened by </w:t>
      </w:r>
      <w:r w:rsidR="00C81E52" w:rsidRPr="00FE50A6">
        <w:rPr>
          <w:rFonts w:cs="Arial"/>
          <w:szCs w:val="20"/>
          <w:lang w:val="en-US"/>
        </w:rPr>
        <w:t>the</w:t>
      </w:r>
      <w:r w:rsidRPr="00FE50A6">
        <w:rPr>
          <w:rFonts w:cs="Arial"/>
          <w:szCs w:val="20"/>
          <w:lang w:val="en-US"/>
        </w:rPr>
        <w:t xml:space="preserve"> Eighth Region’s</w:t>
      </w:r>
      <w:r w:rsidR="00C81E52" w:rsidRPr="00FE50A6">
        <w:rPr>
          <w:rFonts w:cs="Arial"/>
          <w:szCs w:val="20"/>
          <w:lang w:val="en-US"/>
        </w:rPr>
        <w:t xml:space="preserve"> Regional Labor </w:t>
      </w:r>
      <w:r w:rsidR="00F224DE" w:rsidRPr="00FE50A6">
        <w:rPr>
          <w:rFonts w:cs="Arial"/>
          <w:szCs w:val="20"/>
          <w:lang w:val="en-US"/>
        </w:rPr>
        <w:t xml:space="preserve">Public </w:t>
      </w:r>
      <w:r w:rsidR="00C81E52" w:rsidRPr="00FE50A6">
        <w:rPr>
          <w:rFonts w:cs="Arial"/>
          <w:szCs w:val="20"/>
          <w:lang w:val="en-US"/>
        </w:rPr>
        <w:t>Prosecutor</w:t>
      </w:r>
      <w:r w:rsidR="00D81AA1" w:rsidRPr="00FE50A6">
        <w:rPr>
          <w:rFonts w:cs="Arial"/>
          <w:szCs w:val="20"/>
          <w:lang w:val="en-US"/>
        </w:rPr>
        <w:t xml:space="preserve"> (PRT)</w:t>
      </w:r>
      <w:r w:rsidR="00D81AA1" w:rsidRPr="00FE50A6">
        <w:rPr>
          <w:rFonts w:cs="Arial"/>
          <w:bCs/>
          <w:szCs w:val="20"/>
          <w:lang w:val="en-US"/>
        </w:rPr>
        <w:t xml:space="preserve">. </w:t>
      </w:r>
      <w:r w:rsidRPr="00FE50A6">
        <w:rPr>
          <w:rFonts w:cs="Arial"/>
          <w:szCs w:val="20"/>
          <w:lang w:val="en-US"/>
        </w:rPr>
        <w:t>On</w:t>
      </w:r>
      <w:r w:rsidR="00D81AA1" w:rsidRPr="00FE50A6">
        <w:rPr>
          <w:rFonts w:cs="Arial"/>
          <w:szCs w:val="20"/>
          <w:lang w:val="en-US"/>
        </w:rPr>
        <w:t xml:space="preserve"> </w:t>
      </w:r>
      <w:r w:rsidRPr="00FE50A6">
        <w:rPr>
          <w:rFonts w:cs="Arial"/>
          <w:szCs w:val="20"/>
          <w:lang w:val="en-US"/>
        </w:rPr>
        <w:t>November 14,</w:t>
      </w:r>
      <w:r w:rsidR="00D81AA1" w:rsidRPr="00FE50A6">
        <w:rPr>
          <w:rFonts w:cs="Arial"/>
          <w:szCs w:val="20"/>
          <w:lang w:val="en-US"/>
        </w:rPr>
        <w:t xml:space="preserve"> 1997</w:t>
      </w:r>
      <w:r w:rsidRPr="00FE50A6">
        <w:rPr>
          <w:rFonts w:cs="Arial"/>
          <w:szCs w:val="20"/>
          <w:lang w:val="en-US"/>
        </w:rPr>
        <w:t>, with regard to Hacienda Brasil Verde,</w:t>
      </w:r>
      <w:r w:rsidR="00D81AA1" w:rsidRPr="00FE50A6">
        <w:rPr>
          <w:rFonts w:cs="Arial"/>
          <w:szCs w:val="20"/>
          <w:lang w:val="en-US"/>
        </w:rPr>
        <w:t xml:space="preserve"> </w:t>
      </w:r>
      <w:r w:rsidR="002E76F4" w:rsidRPr="00FE50A6">
        <w:rPr>
          <w:rFonts w:cs="Arial"/>
          <w:szCs w:val="20"/>
          <w:lang w:val="en-US"/>
        </w:rPr>
        <w:t xml:space="preserve">the </w:t>
      </w:r>
      <w:r w:rsidRPr="00FE50A6">
        <w:rPr>
          <w:rFonts w:cs="Arial"/>
          <w:szCs w:val="20"/>
          <w:lang w:val="en-US"/>
        </w:rPr>
        <w:t xml:space="preserve">Pará </w:t>
      </w:r>
      <w:r w:rsidR="002E76F4" w:rsidRPr="00FE50A6">
        <w:rPr>
          <w:rFonts w:cs="Arial"/>
          <w:szCs w:val="20"/>
          <w:lang w:val="en-US"/>
        </w:rPr>
        <w:t>Regional Labor Delegation</w:t>
      </w:r>
      <w:r w:rsidR="00D81AA1" w:rsidRPr="00FE50A6">
        <w:rPr>
          <w:rFonts w:cs="Arial"/>
          <w:szCs w:val="20"/>
          <w:lang w:val="en-US"/>
        </w:rPr>
        <w:t xml:space="preserve"> </w:t>
      </w:r>
      <w:r w:rsidRPr="00FE50A6">
        <w:rPr>
          <w:rFonts w:cs="Arial"/>
          <w:szCs w:val="20"/>
          <w:lang w:val="en-US"/>
        </w:rPr>
        <w:t xml:space="preserve">advised that even though some deficiencies existed, </w:t>
      </w:r>
      <w:r w:rsidR="00F224DE" w:rsidRPr="00FE50A6">
        <w:rPr>
          <w:rFonts w:cs="Arial"/>
          <w:szCs w:val="20"/>
          <w:lang w:val="en-US"/>
        </w:rPr>
        <w:t xml:space="preserve">it </w:t>
      </w:r>
      <w:r w:rsidRPr="00FE50A6">
        <w:rPr>
          <w:rFonts w:cs="Arial"/>
          <w:szCs w:val="20"/>
          <w:lang w:val="en-US"/>
        </w:rPr>
        <w:t xml:space="preserve">had “prefer[red] not to act, but rather to </w:t>
      </w:r>
      <w:r w:rsidR="00F224DE" w:rsidRPr="00FE50A6">
        <w:rPr>
          <w:rFonts w:cs="Arial"/>
          <w:szCs w:val="20"/>
          <w:lang w:val="en-US"/>
        </w:rPr>
        <w:t>provide advice</w:t>
      </w:r>
      <w:r w:rsidRPr="00FE50A6">
        <w:rPr>
          <w:rFonts w:cs="Arial"/>
          <w:szCs w:val="20"/>
          <w:lang w:val="en-US"/>
        </w:rPr>
        <w:t xml:space="preserve"> […]” </w:t>
      </w:r>
      <w:r w:rsidR="00D81AA1" w:rsidRPr="00FE50A6">
        <w:rPr>
          <w:rFonts w:cs="Arial"/>
          <w:szCs w:val="20"/>
          <w:lang w:val="en-US"/>
        </w:rPr>
        <w:t>(</w:t>
      </w:r>
      <w:r w:rsidR="00D81AA1" w:rsidRPr="00FE50A6">
        <w:rPr>
          <w:rFonts w:cs="Arial"/>
          <w:i/>
          <w:szCs w:val="20"/>
          <w:lang w:val="en-US"/>
        </w:rPr>
        <w:t>supra</w:t>
      </w:r>
      <w:r w:rsidR="000D2F3A" w:rsidRPr="00FE50A6">
        <w:rPr>
          <w:rFonts w:cs="Arial"/>
          <w:szCs w:val="20"/>
          <w:lang w:val="en-US"/>
        </w:rPr>
        <w:t xml:space="preserve"> </w:t>
      </w:r>
      <w:r w:rsidR="00700B79" w:rsidRPr="00FE50A6">
        <w:rPr>
          <w:rFonts w:cs="Arial"/>
          <w:szCs w:val="20"/>
          <w:lang w:val="en-US"/>
        </w:rPr>
        <w:t>para.</w:t>
      </w:r>
      <w:r w:rsidR="000D2F3A" w:rsidRPr="00FE50A6">
        <w:rPr>
          <w:rFonts w:cs="Arial"/>
          <w:szCs w:val="20"/>
          <w:lang w:val="en-US"/>
        </w:rPr>
        <w:t xml:space="preserve"> 159</w:t>
      </w:r>
      <w:r w:rsidR="00D81AA1" w:rsidRPr="00FE50A6">
        <w:rPr>
          <w:rFonts w:cs="Arial"/>
          <w:szCs w:val="20"/>
          <w:lang w:val="en-US"/>
        </w:rPr>
        <w:t>)</w:t>
      </w:r>
      <w:r w:rsidR="00D81AA1" w:rsidRPr="00FE50A6">
        <w:rPr>
          <w:rFonts w:cs="Times New Roman"/>
          <w:bCs/>
          <w:szCs w:val="20"/>
          <w:lang w:val="en-US"/>
        </w:rPr>
        <w:t>.</w:t>
      </w:r>
      <w:r w:rsidR="00CA2C6C" w:rsidRPr="00FE50A6">
        <w:rPr>
          <w:rFonts w:cs="Arial"/>
          <w:noProof/>
          <w:szCs w:val="20"/>
          <w:lang w:val="en-US"/>
        </w:rPr>
        <w:t xml:space="preserve"> </w:t>
      </w:r>
      <w:r w:rsidRPr="00FE50A6">
        <w:rPr>
          <w:rFonts w:cs="Arial"/>
          <w:szCs w:val="20"/>
          <w:lang w:val="en-US"/>
        </w:rPr>
        <w:t>On</w:t>
      </w:r>
      <w:r w:rsidR="00D81AA1" w:rsidRPr="00FE50A6">
        <w:rPr>
          <w:rFonts w:cs="Arial"/>
          <w:szCs w:val="20"/>
          <w:lang w:val="en-US"/>
        </w:rPr>
        <w:t xml:space="preserve"> </w:t>
      </w:r>
      <w:r w:rsidRPr="00FE50A6">
        <w:rPr>
          <w:rFonts w:cs="Arial"/>
          <w:szCs w:val="20"/>
          <w:lang w:val="en-US"/>
        </w:rPr>
        <w:t>October 13,</w:t>
      </w:r>
      <w:r w:rsidR="00D81AA1" w:rsidRPr="00FE50A6">
        <w:rPr>
          <w:rFonts w:cs="Arial"/>
          <w:szCs w:val="20"/>
          <w:lang w:val="en-US"/>
        </w:rPr>
        <w:t xml:space="preserve"> 1998</w:t>
      </w:r>
      <w:r w:rsidRPr="00FE50A6">
        <w:rPr>
          <w:rFonts w:cs="Arial"/>
          <w:szCs w:val="20"/>
          <w:lang w:val="en-US"/>
        </w:rPr>
        <w:t>,</w:t>
      </w:r>
      <w:r w:rsidR="00D81AA1" w:rsidRPr="00FE50A6">
        <w:rPr>
          <w:rFonts w:cs="Arial"/>
          <w:szCs w:val="20"/>
          <w:lang w:val="en-US"/>
        </w:rPr>
        <w:t xml:space="preserve"> </w:t>
      </w:r>
      <w:r w:rsidR="00F8114C" w:rsidRPr="00FE50A6">
        <w:rPr>
          <w:rFonts w:cs="Arial"/>
          <w:szCs w:val="20"/>
          <w:lang w:val="en-US"/>
        </w:rPr>
        <w:t xml:space="preserve">the </w:t>
      </w:r>
      <w:r w:rsidR="00452450" w:rsidRPr="00FE50A6">
        <w:rPr>
          <w:rFonts w:cs="Arial"/>
          <w:szCs w:val="20"/>
          <w:lang w:val="en-US"/>
        </w:rPr>
        <w:t>Labor Public Prosecutor</w:t>
      </w:r>
      <w:r w:rsidR="00D81AA1" w:rsidRPr="00FE50A6">
        <w:rPr>
          <w:rFonts w:cs="Arial"/>
          <w:szCs w:val="20"/>
          <w:lang w:val="en-US"/>
        </w:rPr>
        <w:t xml:space="preserve"> </w:t>
      </w:r>
      <w:r w:rsidRPr="00FE50A6">
        <w:rPr>
          <w:rFonts w:cs="Arial"/>
          <w:szCs w:val="20"/>
          <w:lang w:val="en-US"/>
        </w:rPr>
        <w:t>asked</w:t>
      </w:r>
      <w:r w:rsidR="00D81AA1" w:rsidRPr="00FE50A6">
        <w:rPr>
          <w:rFonts w:cs="Arial"/>
          <w:szCs w:val="20"/>
          <w:lang w:val="en-US"/>
        </w:rPr>
        <w:t xml:space="preserve"> </w:t>
      </w:r>
      <w:r w:rsidR="002E76F4" w:rsidRPr="00FE50A6">
        <w:rPr>
          <w:rFonts w:cs="Arial"/>
          <w:szCs w:val="20"/>
          <w:lang w:val="en-US"/>
        </w:rPr>
        <w:t xml:space="preserve">the </w:t>
      </w:r>
      <w:r w:rsidRPr="00FE50A6">
        <w:rPr>
          <w:rFonts w:cs="Arial"/>
          <w:szCs w:val="20"/>
          <w:lang w:val="en-US"/>
        </w:rPr>
        <w:t xml:space="preserve">Pará </w:t>
      </w:r>
      <w:r w:rsidR="002E76F4" w:rsidRPr="00FE50A6">
        <w:rPr>
          <w:rFonts w:cs="Arial"/>
          <w:szCs w:val="20"/>
          <w:lang w:val="en-US"/>
        </w:rPr>
        <w:t>Regional Labor Delegation</w:t>
      </w:r>
      <w:r w:rsidR="00D81AA1" w:rsidRPr="00FE50A6">
        <w:rPr>
          <w:rFonts w:cs="Arial"/>
          <w:szCs w:val="20"/>
          <w:lang w:val="en-US"/>
        </w:rPr>
        <w:t xml:space="preserve"> </w:t>
      </w:r>
      <w:r w:rsidRPr="00FE50A6">
        <w:rPr>
          <w:rFonts w:cs="Arial"/>
          <w:szCs w:val="20"/>
          <w:lang w:val="en-US"/>
        </w:rPr>
        <w:t>to conduct another inspection of the hacienda, owing to the time that had elapsed since the last one. On February 8,</w:t>
      </w:r>
      <w:r w:rsidR="00D81AA1" w:rsidRPr="00FE50A6">
        <w:rPr>
          <w:rFonts w:cs="Arial"/>
          <w:szCs w:val="20"/>
          <w:lang w:val="en-US"/>
        </w:rPr>
        <w:t xml:space="preserve"> 1999</w:t>
      </w:r>
      <w:r w:rsidRPr="00FE50A6">
        <w:rPr>
          <w:rFonts w:cs="Arial"/>
          <w:szCs w:val="20"/>
          <w:lang w:val="en-US"/>
        </w:rPr>
        <w:t>, the Pará</w:t>
      </w:r>
      <w:r w:rsidR="00D81AA1" w:rsidRPr="00FE50A6">
        <w:rPr>
          <w:rFonts w:cs="Arial"/>
          <w:szCs w:val="20"/>
          <w:lang w:val="en-US"/>
        </w:rPr>
        <w:t xml:space="preserve"> </w:t>
      </w:r>
      <w:r w:rsidR="00F224DE" w:rsidRPr="00FE50A6">
        <w:rPr>
          <w:rFonts w:cs="Arial"/>
          <w:szCs w:val="20"/>
          <w:lang w:val="en-US"/>
        </w:rPr>
        <w:t>Regional Labor Delegation</w:t>
      </w:r>
      <w:r w:rsidR="00D81AA1" w:rsidRPr="00FE50A6">
        <w:rPr>
          <w:rFonts w:cs="Arial"/>
          <w:szCs w:val="20"/>
          <w:lang w:val="en-US"/>
        </w:rPr>
        <w:t xml:space="preserve"> </w:t>
      </w:r>
      <w:r w:rsidRPr="00FE50A6">
        <w:rPr>
          <w:rFonts w:cs="Arial"/>
          <w:szCs w:val="20"/>
          <w:lang w:val="en-US"/>
        </w:rPr>
        <w:t>advised that it had not conducted the inspection owing to lack of financial resources. On June 15,</w:t>
      </w:r>
      <w:r w:rsidR="00D81AA1" w:rsidRPr="00FE50A6">
        <w:rPr>
          <w:rFonts w:cs="Arial"/>
          <w:szCs w:val="20"/>
          <w:lang w:val="en-US"/>
        </w:rPr>
        <w:t xml:space="preserve"> 1999</w:t>
      </w:r>
      <w:r w:rsidRPr="00FE50A6">
        <w:rPr>
          <w:rFonts w:cs="Arial"/>
          <w:szCs w:val="20"/>
          <w:lang w:val="en-US"/>
        </w:rPr>
        <w:t>,</w:t>
      </w:r>
      <w:r w:rsidR="00D81AA1" w:rsidRPr="00FE50A6">
        <w:rPr>
          <w:rFonts w:cs="Arial"/>
          <w:szCs w:val="20"/>
          <w:lang w:val="en-US"/>
        </w:rPr>
        <w:t xml:space="preserve"> </w:t>
      </w:r>
      <w:r w:rsidR="00F8114C" w:rsidRPr="00FE50A6">
        <w:rPr>
          <w:rFonts w:cs="Arial"/>
          <w:szCs w:val="20"/>
          <w:lang w:val="en-US"/>
        </w:rPr>
        <w:t xml:space="preserve">the </w:t>
      </w:r>
      <w:r w:rsidR="00452450" w:rsidRPr="00FE50A6">
        <w:rPr>
          <w:rFonts w:cs="Arial"/>
          <w:szCs w:val="20"/>
          <w:lang w:val="en-US"/>
        </w:rPr>
        <w:t>Labor Public Prosecutor</w:t>
      </w:r>
      <w:r w:rsidR="00D81AA1" w:rsidRPr="00FE50A6">
        <w:rPr>
          <w:rFonts w:cs="Arial"/>
          <w:szCs w:val="20"/>
          <w:lang w:val="en-US"/>
        </w:rPr>
        <w:t xml:space="preserve"> </w:t>
      </w:r>
      <w:r w:rsidRPr="00FE50A6">
        <w:rPr>
          <w:rFonts w:cs="Arial"/>
          <w:szCs w:val="20"/>
          <w:lang w:val="en-US"/>
        </w:rPr>
        <w:t>repeated his request.</w:t>
      </w:r>
    </w:p>
    <w:p w14:paraId="1935FF0E" w14:textId="77777777" w:rsidR="00D81AA1" w:rsidRPr="00FE50A6" w:rsidRDefault="00D81AA1" w:rsidP="00D81AA1">
      <w:pPr>
        <w:pStyle w:val="Prrafodelista"/>
        <w:rPr>
          <w:rFonts w:cs="Arial"/>
          <w:noProof/>
          <w:szCs w:val="20"/>
          <w:lang w:val="en-US"/>
        </w:rPr>
      </w:pPr>
    </w:p>
    <w:p w14:paraId="47867A5A" w14:textId="77777777" w:rsidR="00D81AA1" w:rsidRPr="00FE50A6" w:rsidRDefault="0088467F" w:rsidP="00614D09">
      <w:pPr>
        <w:pStyle w:val="Prrafodelista"/>
        <w:numPr>
          <w:ilvl w:val="0"/>
          <w:numId w:val="1"/>
        </w:numPr>
        <w:contextualSpacing w:val="0"/>
        <w:rPr>
          <w:rFonts w:cs="Arial"/>
          <w:noProof/>
          <w:szCs w:val="20"/>
          <w:lang w:val="en-US"/>
        </w:rPr>
      </w:pPr>
      <w:r w:rsidRPr="00FE50A6">
        <w:rPr>
          <w:rFonts w:cs="Arial"/>
          <w:noProof/>
          <w:szCs w:val="20"/>
          <w:lang w:val="en-US"/>
        </w:rPr>
        <w:t>In the case of the public civil action file</w:t>
      </w:r>
      <w:r w:rsidR="00F224DE" w:rsidRPr="00FE50A6">
        <w:rPr>
          <w:rFonts w:cs="Arial"/>
          <w:noProof/>
          <w:szCs w:val="20"/>
          <w:lang w:val="en-US"/>
        </w:rPr>
        <w:t>d</w:t>
      </w:r>
      <w:r w:rsidRPr="00FE50A6">
        <w:rPr>
          <w:rFonts w:cs="Arial"/>
          <w:noProof/>
          <w:szCs w:val="20"/>
          <w:lang w:val="en-US"/>
        </w:rPr>
        <w:t xml:space="preserve"> in 2000,</w:t>
      </w:r>
      <w:r w:rsidR="00D81AA1" w:rsidRPr="00FE50A6">
        <w:rPr>
          <w:rFonts w:cs="Arial"/>
          <w:noProof/>
          <w:szCs w:val="20"/>
          <w:lang w:val="en-US"/>
        </w:rPr>
        <w:t xml:space="preserve"> </w:t>
      </w:r>
      <w:r w:rsidR="000228D0" w:rsidRPr="00FE50A6">
        <w:rPr>
          <w:rFonts w:cs="Arial"/>
          <w:noProof/>
          <w:szCs w:val="20"/>
          <w:lang w:val="en-US"/>
        </w:rPr>
        <w:t xml:space="preserve">the </w:t>
      </w:r>
      <w:r w:rsidRPr="00FE50A6">
        <w:rPr>
          <w:rFonts w:cs="Arial"/>
          <w:noProof/>
          <w:szCs w:val="20"/>
          <w:lang w:val="en-US"/>
        </w:rPr>
        <w:t>Court recalls</w:t>
      </w:r>
      <w:r w:rsidR="00D81AA1" w:rsidRPr="00FE50A6">
        <w:rPr>
          <w:rFonts w:cs="Arial"/>
          <w:noProof/>
          <w:szCs w:val="20"/>
          <w:lang w:val="en-US"/>
        </w:rPr>
        <w:t xml:space="preserve"> </w:t>
      </w:r>
      <w:r w:rsidRPr="00FE50A6">
        <w:rPr>
          <w:rFonts w:cs="Arial"/>
          <w:noProof/>
          <w:szCs w:val="20"/>
          <w:lang w:val="en-US"/>
        </w:rPr>
        <w:t xml:space="preserve">that, in March </w:t>
      </w:r>
      <w:r w:rsidR="00D81AA1" w:rsidRPr="00FE50A6">
        <w:rPr>
          <w:rFonts w:cs="Arial"/>
          <w:szCs w:val="20"/>
          <w:lang w:val="en-US"/>
        </w:rPr>
        <w:t>2000</w:t>
      </w:r>
      <w:r w:rsidRPr="00FE50A6">
        <w:rPr>
          <w:rFonts w:cs="Arial"/>
          <w:szCs w:val="20"/>
          <w:lang w:val="en-US"/>
        </w:rPr>
        <w:t>,</w:t>
      </w:r>
      <w:r w:rsidR="00D81AA1" w:rsidRPr="00FE50A6">
        <w:rPr>
          <w:rFonts w:cs="Arial"/>
          <w:szCs w:val="20"/>
          <w:lang w:val="en-US"/>
        </w:rPr>
        <w:t xml:space="preserve"> </w:t>
      </w:r>
      <w:r w:rsidR="00D60654" w:rsidRPr="00FE50A6">
        <w:rPr>
          <w:rFonts w:cs="Arial"/>
          <w:szCs w:val="20"/>
          <w:lang w:val="en-US"/>
        </w:rPr>
        <w:t xml:space="preserve">Antônio </w:t>
      </w:r>
      <w:r w:rsidR="00D81AA1" w:rsidRPr="00FE50A6">
        <w:rPr>
          <w:rFonts w:cs="Arial"/>
          <w:szCs w:val="20"/>
          <w:lang w:val="en-US"/>
        </w:rPr>
        <w:t>Francisco da Silva</w:t>
      </w:r>
      <w:r w:rsidR="00030C17" w:rsidRPr="00FE50A6">
        <w:rPr>
          <w:rFonts w:cs="Arial"/>
          <w:szCs w:val="20"/>
          <w:lang w:val="en-US"/>
        </w:rPr>
        <w:t xml:space="preserve"> and </w:t>
      </w:r>
      <w:r w:rsidR="00D81AA1" w:rsidRPr="00FE50A6">
        <w:rPr>
          <w:rFonts w:cs="Arial"/>
          <w:szCs w:val="20"/>
          <w:lang w:val="en-US"/>
        </w:rPr>
        <w:t xml:space="preserve">Gonçalo Luiz Furtado </w:t>
      </w:r>
      <w:r w:rsidRPr="00FE50A6">
        <w:rPr>
          <w:rFonts w:cs="Arial"/>
          <w:szCs w:val="20"/>
          <w:lang w:val="en-US"/>
        </w:rPr>
        <w:t>escaped from</w:t>
      </w:r>
      <w:r w:rsidR="00D81AA1" w:rsidRPr="00FE50A6">
        <w:rPr>
          <w:rFonts w:cs="Arial"/>
          <w:szCs w:val="20"/>
          <w:lang w:val="en-US"/>
        </w:rPr>
        <w:t xml:space="preserve"> </w:t>
      </w:r>
      <w:r w:rsidR="00D81AA1" w:rsidRPr="00FE50A6">
        <w:rPr>
          <w:rFonts w:cs="Arial"/>
          <w:iCs/>
          <w:szCs w:val="20"/>
          <w:lang w:val="en-US"/>
        </w:rPr>
        <w:t xml:space="preserve">Hacienda </w:t>
      </w:r>
      <w:r w:rsidR="00322241" w:rsidRPr="00FE50A6">
        <w:rPr>
          <w:rFonts w:cs="Arial"/>
          <w:iCs/>
          <w:szCs w:val="20"/>
          <w:lang w:val="en-US"/>
        </w:rPr>
        <w:t>Brasil Verde</w:t>
      </w:r>
      <w:r w:rsidR="00030C17" w:rsidRPr="00FE50A6">
        <w:rPr>
          <w:rFonts w:cs="Arial"/>
          <w:i/>
          <w:iCs/>
          <w:szCs w:val="20"/>
          <w:lang w:val="en-US"/>
        </w:rPr>
        <w:t xml:space="preserve"> </w:t>
      </w:r>
      <w:r w:rsidR="00030C17" w:rsidRPr="00FE50A6">
        <w:rPr>
          <w:rFonts w:cs="Arial"/>
          <w:iCs/>
          <w:szCs w:val="20"/>
          <w:lang w:val="en-US"/>
        </w:rPr>
        <w:t>and</w:t>
      </w:r>
      <w:r w:rsidR="00030C17" w:rsidRPr="00FE50A6">
        <w:rPr>
          <w:rFonts w:cs="Arial"/>
          <w:i/>
          <w:iCs/>
          <w:szCs w:val="20"/>
          <w:lang w:val="en-US"/>
        </w:rPr>
        <w:t xml:space="preserve"> </w:t>
      </w:r>
      <w:r w:rsidRPr="00FE50A6">
        <w:rPr>
          <w:rFonts w:cs="Arial"/>
          <w:szCs w:val="20"/>
          <w:lang w:val="en-US"/>
        </w:rPr>
        <w:t>went to</w:t>
      </w:r>
      <w:r w:rsidR="00D81AA1" w:rsidRPr="00FE50A6">
        <w:rPr>
          <w:rFonts w:cs="Arial"/>
          <w:szCs w:val="20"/>
          <w:lang w:val="en-US"/>
        </w:rPr>
        <w:t xml:space="preserve"> </w:t>
      </w:r>
      <w:r w:rsidR="00445155" w:rsidRPr="00FE50A6">
        <w:rPr>
          <w:rFonts w:cs="Arial"/>
          <w:szCs w:val="20"/>
          <w:lang w:val="en-US"/>
        </w:rPr>
        <w:t>the Federal</w:t>
      </w:r>
      <w:r w:rsidR="008B0077" w:rsidRPr="00FE50A6">
        <w:rPr>
          <w:rFonts w:cs="Arial"/>
          <w:szCs w:val="20"/>
          <w:lang w:val="en-US"/>
        </w:rPr>
        <w:t xml:space="preserve"> Police</w:t>
      </w:r>
      <w:r w:rsidR="00D81AA1" w:rsidRPr="00FE50A6">
        <w:rPr>
          <w:rFonts w:cs="Arial"/>
          <w:szCs w:val="20"/>
          <w:lang w:val="en-US"/>
        </w:rPr>
        <w:t xml:space="preserve"> </w:t>
      </w:r>
      <w:r w:rsidRPr="00FE50A6">
        <w:rPr>
          <w:rFonts w:cs="Arial"/>
          <w:szCs w:val="20"/>
          <w:lang w:val="en-US"/>
        </w:rPr>
        <w:t>i</w:t>
      </w:r>
      <w:r w:rsidR="00D81AA1" w:rsidRPr="00FE50A6">
        <w:rPr>
          <w:rFonts w:cs="Arial"/>
          <w:szCs w:val="20"/>
          <w:lang w:val="en-US"/>
        </w:rPr>
        <w:t>n Marabá (</w:t>
      </w:r>
      <w:r w:rsidR="00D81AA1" w:rsidRPr="00FE50A6">
        <w:rPr>
          <w:rFonts w:cs="Arial"/>
          <w:i/>
          <w:szCs w:val="20"/>
          <w:lang w:val="en-US"/>
        </w:rPr>
        <w:t xml:space="preserve">supra </w:t>
      </w:r>
      <w:r w:rsidR="00700B79" w:rsidRPr="00FE50A6">
        <w:rPr>
          <w:rFonts w:cs="Arial"/>
          <w:szCs w:val="20"/>
          <w:lang w:val="en-US"/>
        </w:rPr>
        <w:t>paras.</w:t>
      </w:r>
      <w:r w:rsidR="00D81AA1" w:rsidRPr="00FE50A6">
        <w:rPr>
          <w:rFonts w:cs="Arial"/>
          <w:szCs w:val="20"/>
          <w:lang w:val="en-US"/>
        </w:rPr>
        <w:t xml:space="preserve"> </w:t>
      </w:r>
      <w:r w:rsidR="000D2F3A" w:rsidRPr="00FE50A6">
        <w:rPr>
          <w:rFonts w:cs="Arial"/>
          <w:szCs w:val="20"/>
          <w:lang w:val="en-US"/>
        </w:rPr>
        <w:t>174</w:t>
      </w:r>
      <w:r w:rsidR="00030C17" w:rsidRPr="00FE50A6">
        <w:rPr>
          <w:rFonts w:cs="Arial"/>
          <w:szCs w:val="20"/>
          <w:lang w:val="en-US"/>
        </w:rPr>
        <w:t xml:space="preserve"> and </w:t>
      </w:r>
      <w:r w:rsidR="000D2F3A" w:rsidRPr="00FE50A6">
        <w:rPr>
          <w:rFonts w:cs="Arial"/>
          <w:szCs w:val="20"/>
          <w:lang w:val="en-US"/>
        </w:rPr>
        <w:t>175</w:t>
      </w:r>
      <w:r w:rsidR="00D81AA1" w:rsidRPr="00FE50A6">
        <w:rPr>
          <w:rFonts w:cs="Arial"/>
          <w:szCs w:val="20"/>
          <w:lang w:val="en-US"/>
        </w:rPr>
        <w:t xml:space="preserve">). </w:t>
      </w:r>
      <w:r w:rsidR="00A67F6B" w:rsidRPr="00FE50A6">
        <w:rPr>
          <w:rFonts w:cs="Arial"/>
          <w:szCs w:val="20"/>
          <w:lang w:val="en-US"/>
        </w:rPr>
        <w:t>On March 15,</w:t>
      </w:r>
      <w:r w:rsidR="00D81AA1" w:rsidRPr="00FE50A6">
        <w:rPr>
          <w:rFonts w:cs="Arial"/>
          <w:szCs w:val="20"/>
          <w:lang w:val="en-US"/>
        </w:rPr>
        <w:t xml:space="preserve"> 2000</w:t>
      </w:r>
      <w:r w:rsidRPr="00FE50A6">
        <w:rPr>
          <w:rFonts w:cs="Arial"/>
          <w:szCs w:val="20"/>
          <w:lang w:val="en-US"/>
        </w:rPr>
        <w:t>,</w:t>
      </w:r>
      <w:r w:rsidR="00D81AA1" w:rsidRPr="00FE50A6">
        <w:rPr>
          <w:rFonts w:cs="Arial"/>
          <w:szCs w:val="20"/>
          <w:lang w:val="en-US"/>
        </w:rPr>
        <w:t xml:space="preserve"> </w:t>
      </w:r>
      <w:r w:rsidR="002E76F4" w:rsidRPr="00FE50A6">
        <w:rPr>
          <w:rFonts w:cs="Arial"/>
          <w:szCs w:val="20"/>
          <w:lang w:val="en-US"/>
        </w:rPr>
        <w:t xml:space="preserve">the </w:t>
      </w:r>
      <w:r w:rsidRPr="00FE50A6">
        <w:rPr>
          <w:rFonts w:cs="Arial"/>
          <w:szCs w:val="20"/>
          <w:lang w:val="en-US"/>
        </w:rPr>
        <w:t xml:space="preserve">Pará </w:t>
      </w:r>
      <w:r w:rsidR="002E76F4" w:rsidRPr="00FE50A6">
        <w:rPr>
          <w:rFonts w:cs="Arial"/>
          <w:szCs w:val="20"/>
          <w:lang w:val="en-US"/>
        </w:rPr>
        <w:t>Regional Labor Delegation</w:t>
      </w:r>
      <w:r w:rsidR="00D81AA1" w:rsidRPr="00FE50A6">
        <w:rPr>
          <w:rFonts w:cs="Arial"/>
          <w:szCs w:val="20"/>
          <w:lang w:val="en-US"/>
        </w:rPr>
        <w:t xml:space="preserve"> </w:t>
      </w:r>
      <w:r w:rsidRPr="00FE50A6">
        <w:rPr>
          <w:rFonts w:cs="Arial"/>
          <w:szCs w:val="20"/>
          <w:lang w:val="en-US"/>
        </w:rPr>
        <w:t xml:space="preserve">carried out a new inspection at </w:t>
      </w:r>
      <w:r w:rsidR="00D81AA1" w:rsidRPr="00FE50A6">
        <w:rPr>
          <w:rFonts w:cs="Arial"/>
          <w:szCs w:val="20"/>
          <w:lang w:val="en-US"/>
        </w:rPr>
        <w:t xml:space="preserve">Hacienda </w:t>
      </w:r>
      <w:r w:rsidR="00322241" w:rsidRPr="00FE50A6">
        <w:rPr>
          <w:rFonts w:cs="Arial"/>
          <w:szCs w:val="20"/>
          <w:lang w:val="en-US"/>
        </w:rPr>
        <w:t>Brasil Verde</w:t>
      </w:r>
      <w:r w:rsidR="00D81AA1" w:rsidRPr="00FE50A6">
        <w:rPr>
          <w:rFonts w:cs="Arial"/>
          <w:szCs w:val="20"/>
          <w:lang w:val="en-US"/>
        </w:rPr>
        <w:t xml:space="preserve"> </w:t>
      </w:r>
      <w:r w:rsidRPr="00FE50A6">
        <w:rPr>
          <w:rFonts w:cs="Arial"/>
          <w:szCs w:val="20"/>
          <w:lang w:val="en-US"/>
        </w:rPr>
        <w:t xml:space="preserve">with the presence </w:t>
      </w:r>
      <w:r w:rsidR="00511962" w:rsidRPr="00FE50A6">
        <w:rPr>
          <w:rFonts w:cs="Arial"/>
          <w:szCs w:val="20"/>
          <w:lang w:val="en-US"/>
        </w:rPr>
        <w:t xml:space="preserve">of the </w:t>
      </w:r>
      <w:r w:rsidR="00445155" w:rsidRPr="00FE50A6">
        <w:rPr>
          <w:rFonts w:cs="Arial"/>
          <w:szCs w:val="20"/>
          <w:lang w:val="en-US"/>
        </w:rPr>
        <w:t>Federal</w:t>
      </w:r>
      <w:r w:rsidR="008B0077" w:rsidRPr="00FE50A6">
        <w:rPr>
          <w:rFonts w:cs="Arial"/>
          <w:szCs w:val="20"/>
          <w:lang w:val="en-US"/>
        </w:rPr>
        <w:t xml:space="preserve"> Police</w:t>
      </w:r>
      <w:r w:rsidR="00D81AA1" w:rsidRPr="00FE50A6">
        <w:rPr>
          <w:rFonts w:cs="Arial"/>
          <w:szCs w:val="20"/>
          <w:lang w:val="en-US"/>
        </w:rPr>
        <w:t xml:space="preserve"> (</w:t>
      </w:r>
      <w:r w:rsidR="00D81AA1" w:rsidRPr="00FE50A6">
        <w:rPr>
          <w:rFonts w:cs="Arial"/>
          <w:i/>
          <w:szCs w:val="20"/>
          <w:lang w:val="en-US"/>
        </w:rPr>
        <w:t>supra</w:t>
      </w:r>
      <w:r w:rsidR="00B01D7D" w:rsidRPr="00FE50A6">
        <w:rPr>
          <w:rFonts w:cs="Arial"/>
          <w:szCs w:val="20"/>
          <w:lang w:val="en-US"/>
        </w:rPr>
        <w:t xml:space="preserve"> </w:t>
      </w:r>
      <w:r w:rsidR="00700B79" w:rsidRPr="00FE50A6">
        <w:rPr>
          <w:rFonts w:cs="Arial"/>
          <w:szCs w:val="20"/>
          <w:lang w:val="en-US"/>
        </w:rPr>
        <w:t>para.</w:t>
      </w:r>
      <w:r w:rsidR="000D2F3A" w:rsidRPr="00FE50A6">
        <w:rPr>
          <w:rFonts w:cs="Arial"/>
          <w:szCs w:val="20"/>
          <w:lang w:val="en-US"/>
        </w:rPr>
        <w:t xml:space="preserve"> 177</w:t>
      </w:r>
      <w:r w:rsidR="00D81AA1" w:rsidRPr="00FE50A6">
        <w:rPr>
          <w:rFonts w:cs="Arial"/>
          <w:szCs w:val="20"/>
          <w:lang w:val="en-US"/>
        </w:rPr>
        <w:t>).</w:t>
      </w:r>
      <w:r w:rsidR="00614D09" w:rsidRPr="00FE50A6">
        <w:rPr>
          <w:rFonts w:cs="Arial"/>
          <w:noProof/>
          <w:szCs w:val="20"/>
          <w:lang w:val="en-US"/>
        </w:rPr>
        <w:t xml:space="preserve"> </w:t>
      </w:r>
      <w:r w:rsidRPr="00FE50A6">
        <w:rPr>
          <w:rFonts w:cs="Arial"/>
          <w:szCs w:val="20"/>
          <w:lang w:val="en-US"/>
        </w:rPr>
        <w:t>On May 30,</w:t>
      </w:r>
      <w:r w:rsidR="00D81AA1" w:rsidRPr="00FE50A6">
        <w:rPr>
          <w:rFonts w:cs="Arial"/>
          <w:szCs w:val="20"/>
          <w:lang w:val="en-US"/>
        </w:rPr>
        <w:t xml:space="preserve"> 2000, </w:t>
      </w:r>
      <w:r w:rsidRPr="00FE50A6">
        <w:rPr>
          <w:rFonts w:cs="Arial"/>
          <w:szCs w:val="20"/>
          <w:lang w:val="en-US"/>
        </w:rPr>
        <w:t xml:space="preserve">based on </w:t>
      </w:r>
      <w:r w:rsidR="00C23CE5" w:rsidRPr="00FE50A6">
        <w:rPr>
          <w:rFonts w:cs="Arial"/>
          <w:szCs w:val="20"/>
          <w:lang w:val="en-US"/>
        </w:rPr>
        <w:t>the inspection report</w:t>
      </w:r>
      <w:r w:rsidR="00D81AA1" w:rsidRPr="00FE50A6">
        <w:rPr>
          <w:rFonts w:cs="Arial"/>
          <w:szCs w:val="20"/>
          <w:lang w:val="en-US"/>
        </w:rPr>
        <w:t xml:space="preserve"> </w:t>
      </w:r>
      <w:r w:rsidRPr="00FE50A6">
        <w:rPr>
          <w:rFonts w:cs="Arial"/>
          <w:szCs w:val="20"/>
          <w:lang w:val="en-US"/>
        </w:rPr>
        <w:t>dated</w:t>
      </w:r>
      <w:r w:rsidR="00D81AA1" w:rsidRPr="00FE50A6">
        <w:rPr>
          <w:rFonts w:cs="Arial"/>
          <w:szCs w:val="20"/>
          <w:lang w:val="en-US"/>
        </w:rPr>
        <w:t xml:space="preserve"> </w:t>
      </w:r>
      <w:r w:rsidR="00A67F6B" w:rsidRPr="00FE50A6">
        <w:rPr>
          <w:rFonts w:cs="Arial"/>
          <w:szCs w:val="20"/>
          <w:lang w:val="en-US"/>
        </w:rPr>
        <w:t>March 15,</w:t>
      </w:r>
      <w:r w:rsidR="00D81AA1" w:rsidRPr="00FE50A6">
        <w:rPr>
          <w:rFonts w:cs="Arial"/>
          <w:szCs w:val="20"/>
          <w:lang w:val="en-US"/>
        </w:rPr>
        <w:t xml:space="preserve"> 2000, </w:t>
      </w:r>
      <w:r w:rsidR="00F8114C" w:rsidRPr="00FE50A6">
        <w:rPr>
          <w:rFonts w:cs="Arial"/>
          <w:szCs w:val="20"/>
          <w:lang w:val="en-US"/>
        </w:rPr>
        <w:t xml:space="preserve">the </w:t>
      </w:r>
      <w:r w:rsidR="00452450" w:rsidRPr="00FE50A6">
        <w:rPr>
          <w:rFonts w:cs="Arial"/>
          <w:szCs w:val="20"/>
          <w:lang w:val="en-US"/>
        </w:rPr>
        <w:t>Labor Public Prosecutor</w:t>
      </w:r>
      <w:r w:rsidR="00D81AA1" w:rsidRPr="00FE50A6">
        <w:rPr>
          <w:rFonts w:cs="Arial"/>
          <w:szCs w:val="20"/>
          <w:lang w:val="en-US"/>
        </w:rPr>
        <w:t xml:space="preserve"> </w:t>
      </w:r>
      <w:r w:rsidRPr="00FE50A6">
        <w:rPr>
          <w:rFonts w:cs="Arial"/>
          <w:szCs w:val="20"/>
          <w:lang w:val="en-US"/>
        </w:rPr>
        <w:t>file</w:t>
      </w:r>
      <w:r w:rsidR="00F224DE" w:rsidRPr="00FE50A6">
        <w:rPr>
          <w:rFonts w:cs="Arial"/>
          <w:szCs w:val="20"/>
          <w:lang w:val="en-US"/>
        </w:rPr>
        <w:t>d</w:t>
      </w:r>
      <w:r w:rsidRPr="00FE50A6">
        <w:rPr>
          <w:rFonts w:cs="Arial"/>
          <w:szCs w:val="20"/>
          <w:lang w:val="en-US"/>
        </w:rPr>
        <w:t xml:space="preserve"> a public civil action </w:t>
      </w:r>
      <w:r w:rsidR="00F224DE" w:rsidRPr="00FE50A6">
        <w:rPr>
          <w:rFonts w:cs="Arial"/>
          <w:szCs w:val="20"/>
          <w:lang w:val="en-US"/>
        </w:rPr>
        <w:t>against João Luiz Quagliato</w:t>
      </w:r>
      <w:r w:rsidR="00F224DE" w:rsidRPr="00FE50A6">
        <w:rPr>
          <w:rFonts w:cs="Times New Roman"/>
          <w:szCs w:val="20"/>
          <w:lang w:val="en-US"/>
        </w:rPr>
        <w:t xml:space="preserve"> </w:t>
      </w:r>
      <w:r w:rsidRPr="00FE50A6">
        <w:rPr>
          <w:rFonts w:cs="Arial"/>
          <w:szCs w:val="20"/>
          <w:lang w:val="en-US"/>
        </w:rPr>
        <w:t xml:space="preserve">before the </w:t>
      </w:r>
      <w:r w:rsidR="00D81AA1" w:rsidRPr="00FE50A6">
        <w:rPr>
          <w:rFonts w:cs="Arial"/>
          <w:szCs w:val="20"/>
          <w:lang w:val="en-US"/>
        </w:rPr>
        <w:t>Araguaia</w:t>
      </w:r>
      <w:r w:rsidRPr="00FE50A6">
        <w:rPr>
          <w:rFonts w:cs="Arial"/>
          <w:szCs w:val="20"/>
          <w:lang w:val="en-US"/>
        </w:rPr>
        <w:t xml:space="preserve"> </w:t>
      </w:r>
      <w:r w:rsidR="00F224DE" w:rsidRPr="00FE50A6">
        <w:rPr>
          <w:rFonts w:cs="Arial"/>
          <w:szCs w:val="20"/>
          <w:lang w:val="en-US"/>
        </w:rPr>
        <w:t>L</w:t>
      </w:r>
      <w:r w:rsidRPr="00FE50A6">
        <w:rPr>
          <w:rFonts w:cs="Arial"/>
          <w:szCs w:val="20"/>
          <w:lang w:val="en-US"/>
        </w:rPr>
        <w:t xml:space="preserve">abor </w:t>
      </w:r>
      <w:r w:rsidR="00F224DE" w:rsidRPr="00FE50A6">
        <w:rPr>
          <w:rFonts w:cs="Arial"/>
          <w:szCs w:val="20"/>
          <w:lang w:val="en-US"/>
        </w:rPr>
        <w:t>J</w:t>
      </w:r>
      <w:r w:rsidRPr="00FE50A6">
        <w:rPr>
          <w:rFonts w:cs="Arial"/>
          <w:szCs w:val="20"/>
          <w:lang w:val="en-US"/>
        </w:rPr>
        <w:t xml:space="preserve">udge </w:t>
      </w:r>
      <w:r w:rsidR="00D81AA1" w:rsidRPr="00FE50A6">
        <w:rPr>
          <w:rFonts w:cs="Arial"/>
          <w:szCs w:val="20"/>
          <w:lang w:val="en-US"/>
        </w:rPr>
        <w:t>(</w:t>
      </w:r>
      <w:r w:rsidR="00D81AA1" w:rsidRPr="00FE50A6">
        <w:rPr>
          <w:rFonts w:cs="Arial"/>
          <w:i/>
          <w:szCs w:val="20"/>
          <w:lang w:val="en-US"/>
        </w:rPr>
        <w:t>supra</w:t>
      </w:r>
      <w:r w:rsidR="00D81AA1" w:rsidRPr="00FE50A6">
        <w:rPr>
          <w:rFonts w:cs="Arial"/>
          <w:szCs w:val="20"/>
          <w:lang w:val="en-US"/>
        </w:rPr>
        <w:t xml:space="preserve"> </w:t>
      </w:r>
      <w:r w:rsidR="00700B79" w:rsidRPr="00FE50A6">
        <w:rPr>
          <w:rFonts w:cs="Arial"/>
          <w:szCs w:val="20"/>
          <w:lang w:val="en-US"/>
        </w:rPr>
        <w:t>para.</w:t>
      </w:r>
      <w:r w:rsidR="00D81AA1" w:rsidRPr="00FE50A6">
        <w:rPr>
          <w:rFonts w:cs="Arial"/>
          <w:szCs w:val="20"/>
          <w:lang w:val="en-US"/>
        </w:rPr>
        <w:t xml:space="preserve"> </w:t>
      </w:r>
      <w:r w:rsidR="00B01D7D" w:rsidRPr="00FE50A6">
        <w:rPr>
          <w:rFonts w:cs="Arial"/>
          <w:szCs w:val="20"/>
          <w:lang w:val="en-US"/>
        </w:rPr>
        <w:t>179</w:t>
      </w:r>
      <w:r w:rsidR="00D81AA1" w:rsidRPr="00FE50A6">
        <w:rPr>
          <w:rFonts w:cs="Arial"/>
          <w:szCs w:val="20"/>
          <w:lang w:val="en-US"/>
        </w:rPr>
        <w:t xml:space="preserve">). </w:t>
      </w:r>
    </w:p>
    <w:p w14:paraId="0D10A65D" w14:textId="77777777" w:rsidR="00D81AA1" w:rsidRPr="00FE50A6" w:rsidRDefault="00D81AA1" w:rsidP="00D81AA1">
      <w:pPr>
        <w:pStyle w:val="Prrafodelista"/>
        <w:rPr>
          <w:rFonts w:cs="Arial"/>
          <w:noProof/>
          <w:szCs w:val="20"/>
          <w:lang w:val="en-US"/>
        </w:rPr>
      </w:pPr>
    </w:p>
    <w:p w14:paraId="52CB0531" w14:textId="77777777" w:rsidR="00D81AA1" w:rsidRPr="00FE50A6" w:rsidRDefault="0088467F" w:rsidP="00D81AA1">
      <w:pPr>
        <w:pStyle w:val="Prrafodelista"/>
        <w:numPr>
          <w:ilvl w:val="0"/>
          <w:numId w:val="1"/>
        </w:numPr>
        <w:contextualSpacing w:val="0"/>
        <w:rPr>
          <w:rFonts w:cs="Arial"/>
          <w:szCs w:val="20"/>
          <w:lang w:val="en-US"/>
        </w:rPr>
      </w:pPr>
      <w:r w:rsidRPr="00FE50A6">
        <w:rPr>
          <w:rFonts w:cs="Arial"/>
          <w:szCs w:val="20"/>
          <w:lang w:val="en-US"/>
        </w:rPr>
        <w:t>On July</w:t>
      </w:r>
      <w:r w:rsidR="00F224DE" w:rsidRPr="00FE50A6">
        <w:rPr>
          <w:rFonts w:cs="Arial"/>
          <w:szCs w:val="20"/>
          <w:lang w:val="en-US"/>
        </w:rPr>
        <w:t xml:space="preserve"> </w:t>
      </w:r>
      <w:r w:rsidRPr="00FE50A6">
        <w:rPr>
          <w:rFonts w:cs="Arial"/>
          <w:szCs w:val="20"/>
          <w:lang w:val="en-US"/>
        </w:rPr>
        <w:t>20,</w:t>
      </w:r>
      <w:r w:rsidR="00D81AA1" w:rsidRPr="00FE50A6">
        <w:rPr>
          <w:rFonts w:cs="Arial"/>
          <w:szCs w:val="20"/>
          <w:lang w:val="en-US"/>
        </w:rPr>
        <w:t xml:space="preserve"> 2000</w:t>
      </w:r>
      <w:r w:rsidRPr="00FE50A6">
        <w:rPr>
          <w:rFonts w:cs="Arial"/>
          <w:szCs w:val="20"/>
          <w:lang w:val="en-US"/>
        </w:rPr>
        <w:t>, a hearing was held on the charges filed by the Public Prosecution Service before</w:t>
      </w:r>
      <w:r w:rsidR="00D81AA1" w:rsidRPr="00FE50A6">
        <w:rPr>
          <w:rFonts w:cs="Arial"/>
          <w:szCs w:val="20"/>
          <w:lang w:val="en-US"/>
        </w:rPr>
        <w:t xml:space="preserve"> </w:t>
      </w:r>
      <w:r w:rsidR="00452450" w:rsidRPr="00FE50A6">
        <w:rPr>
          <w:rFonts w:cs="Arial"/>
          <w:szCs w:val="20"/>
          <w:lang w:val="en-US"/>
        </w:rPr>
        <w:t>the Conciliation and Prosecution Board</w:t>
      </w:r>
      <w:r w:rsidR="00D81AA1" w:rsidRPr="00FE50A6">
        <w:rPr>
          <w:rFonts w:cs="Arial"/>
          <w:szCs w:val="20"/>
          <w:lang w:val="en-US"/>
        </w:rPr>
        <w:t xml:space="preserve"> </w:t>
      </w:r>
      <w:r w:rsidRPr="00FE50A6">
        <w:rPr>
          <w:rFonts w:cs="Arial"/>
          <w:szCs w:val="20"/>
          <w:lang w:val="en-US"/>
        </w:rPr>
        <w:t>of</w:t>
      </w:r>
      <w:r w:rsidR="00D81AA1" w:rsidRPr="00FE50A6">
        <w:rPr>
          <w:rFonts w:cs="Arial"/>
          <w:szCs w:val="20"/>
          <w:lang w:val="en-US"/>
        </w:rPr>
        <w:t xml:space="preserve"> Araguaia.</w:t>
      </w:r>
      <w:r w:rsidR="00752D4A" w:rsidRPr="00FE50A6">
        <w:rPr>
          <w:rFonts w:cs="Arial"/>
          <w:szCs w:val="20"/>
          <w:lang w:val="en-US"/>
        </w:rPr>
        <w:t xml:space="preserve"> </w:t>
      </w:r>
      <w:r w:rsidRPr="00FE50A6">
        <w:rPr>
          <w:rFonts w:cs="Arial"/>
          <w:szCs w:val="20"/>
          <w:lang w:val="en-US"/>
        </w:rPr>
        <w:t>In May</w:t>
      </w:r>
      <w:r w:rsidR="00D81AA1" w:rsidRPr="00FE50A6">
        <w:rPr>
          <w:rFonts w:cs="Arial"/>
          <w:szCs w:val="20"/>
          <w:lang w:val="en-US"/>
        </w:rPr>
        <w:t xml:space="preserve"> 2002</w:t>
      </w:r>
      <w:r w:rsidRPr="00FE50A6">
        <w:rPr>
          <w:rFonts w:cs="Arial"/>
          <w:szCs w:val="20"/>
          <w:lang w:val="en-US"/>
        </w:rPr>
        <w:t>,</w:t>
      </w:r>
      <w:r w:rsidR="00D81AA1" w:rsidRPr="00FE50A6">
        <w:rPr>
          <w:rFonts w:cs="Arial"/>
          <w:szCs w:val="20"/>
          <w:lang w:val="en-US"/>
        </w:rPr>
        <w:t xml:space="preserve"> </w:t>
      </w:r>
      <w:r w:rsidR="00833DD0" w:rsidRPr="00FE50A6">
        <w:rPr>
          <w:rFonts w:cs="Arial"/>
          <w:szCs w:val="20"/>
          <w:lang w:val="en-US"/>
        </w:rPr>
        <w:t>the Ministry</w:t>
      </w:r>
      <w:r w:rsidR="0081756E" w:rsidRPr="00FE50A6">
        <w:rPr>
          <w:rFonts w:cs="Arial"/>
          <w:szCs w:val="20"/>
          <w:lang w:val="en-US"/>
        </w:rPr>
        <w:t xml:space="preserve"> of Labor</w:t>
      </w:r>
      <w:r w:rsidR="00D81AA1" w:rsidRPr="00FE50A6">
        <w:rPr>
          <w:rFonts w:cs="Arial"/>
          <w:szCs w:val="20"/>
          <w:lang w:val="en-US"/>
        </w:rPr>
        <w:t xml:space="preserve"> </w:t>
      </w:r>
      <w:r w:rsidRPr="00FE50A6">
        <w:rPr>
          <w:rFonts w:cs="Arial"/>
          <w:szCs w:val="20"/>
          <w:lang w:val="en-US"/>
        </w:rPr>
        <w:t xml:space="preserve">conducted a further inspection to verify compliance with the commitments agreed between </w:t>
      </w:r>
      <w:r w:rsidR="00F8114C" w:rsidRPr="00FE50A6">
        <w:rPr>
          <w:rFonts w:cs="Arial"/>
          <w:szCs w:val="20"/>
          <w:lang w:val="en-US"/>
        </w:rPr>
        <w:t xml:space="preserve">the </w:t>
      </w:r>
      <w:r w:rsidR="00452450" w:rsidRPr="00FE50A6">
        <w:rPr>
          <w:rFonts w:cs="Arial"/>
          <w:szCs w:val="20"/>
          <w:lang w:val="en-US"/>
        </w:rPr>
        <w:t>Labor Public Prosecutor</w:t>
      </w:r>
      <w:r w:rsidR="000D2280" w:rsidRPr="00FE50A6">
        <w:rPr>
          <w:rFonts w:cs="Arial"/>
          <w:szCs w:val="20"/>
          <w:lang w:val="en-US"/>
        </w:rPr>
        <w:t xml:space="preserve"> </w:t>
      </w:r>
      <w:r w:rsidR="00030C17" w:rsidRPr="00FE50A6">
        <w:rPr>
          <w:rFonts w:cs="Arial"/>
          <w:szCs w:val="20"/>
          <w:lang w:val="en-US"/>
        </w:rPr>
        <w:t xml:space="preserve">and </w:t>
      </w:r>
      <w:r w:rsidRPr="00FE50A6">
        <w:rPr>
          <w:rFonts w:cs="Arial"/>
          <w:szCs w:val="20"/>
          <w:lang w:val="en-US"/>
        </w:rPr>
        <w:t xml:space="preserve">several rural employers and, in the course of this inspection, a visit was made to </w:t>
      </w:r>
      <w:r w:rsidR="00D81AA1" w:rsidRPr="00FE50A6">
        <w:rPr>
          <w:rFonts w:cs="Arial"/>
          <w:iCs/>
          <w:szCs w:val="20"/>
          <w:lang w:val="en-US"/>
        </w:rPr>
        <w:t xml:space="preserve">Hacienda </w:t>
      </w:r>
      <w:r w:rsidR="00322241" w:rsidRPr="00FE50A6">
        <w:rPr>
          <w:rFonts w:cs="Arial"/>
          <w:iCs/>
          <w:szCs w:val="20"/>
          <w:lang w:val="en-US"/>
        </w:rPr>
        <w:t>Brasil Verde</w:t>
      </w:r>
      <w:r w:rsidR="00D81AA1" w:rsidRPr="00FE50A6">
        <w:rPr>
          <w:rFonts w:cs="Arial"/>
          <w:iCs/>
          <w:szCs w:val="20"/>
          <w:lang w:val="en-US"/>
        </w:rPr>
        <w:t xml:space="preserve">. </w:t>
      </w:r>
      <w:r w:rsidRPr="00FE50A6">
        <w:rPr>
          <w:rFonts w:cs="Arial"/>
          <w:iCs/>
          <w:szCs w:val="20"/>
          <w:lang w:val="en-US"/>
        </w:rPr>
        <w:t xml:space="preserve">Following the inspection, the </w:t>
      </w:r>
      <w:r w:rsidRPr="00FE50A6">
        <w:rPr>
          <w:rFonts w:cs="Arial"/>
          <w:szCs w:val="20"/>
          <w:lang w:val="en-US"/>
        </w:rPr>
        <w:t>Labor Public Prosecutor</w:t>
      </w:r>
      <w:r w:rsidR="00D81AA1" w:rsidRPr="00FE50A6">
        <w:rPr>
          <w:rFonts w:cs="Arial"/>
          <w:iCs/>
          <w:szCs w:val="20"/>
          <w:lang w:val="en-US"/>
        </w:rPr>
        <w:t xml:space="preserve"> </w:t>
      </w:r>
      <w:r w:rsidR="00D81AA1" w:rsidRPr="00FE50A6">
        <w:rPr>
          <w:rFonts w:cs="Arial"/>
          <w:szCs w:val="20"/>
          <w:lang w:val="en-US"/>
        </w:rPr>
        <w:t>conclu</w:t>
      </w:r>
      <w:r w:rsidRPr="00FE50A6">
        <w:rPr>
          <w:rFonts w:cs="Arial"/>
          <w:szCs w:val="20"/>
          <w:lang w:val="en-US"/>
        </w:rPr>
        <w:t>ded that the employers were complying with their commitments and that, consequently, direct administration of the employees by the employer had eliminated the workers’ financial and physical dependence o</w:t>
      </w:r>
      <w:r w:rsidR="00F224DE" w:rsidRPr="00FE50A6">
        <w:rPr>
          <w:rFonts w:cs="Arial"/>
          <w:szCs w:val="20"/>
          <w:lang w:val="en-US"/>
        </w:rPr>
        <w:t>n</w:t>
      </w:r>
      <w:r w:rsidRPr="00FE50A6">
        <w:rPr>
          <w:rFonts w:cs="Arial"/>
          <w:szCs w:val="20"/>
          <w:lang w:val="en-US"/>
        </w:rPr>
        <w:t xml:space="preserve"> the</w:t>
      </w:r>
      <w:r w:rsidR="00D81AA1" w:rsidRPr="00FE50A6">
        <w:rPr>
          <w:rFonts w:cs="Arial"/>
          <w:szCs w:val="20"/>
          <w:lang w:val="en-US"/>
        </w:rPr>
        <w:t xml:space="preserve"> </w:t>
      </w:r>
      <w:r w:rsidR="00D81AA1" w:rsidRPr="00FE50A6">
        <w:rPr>
          <w:rFonts w:cs="Arial"/>
          <w:i/>
          <w:szCs w:val="20"/>
          <w:lang w:val="en-US"/>
        </w:rPr>
        <w:t>gatos</w:t>
      </w:r>
      <w:r w:rsidR="00D81AA1" w:rsidRPr="00FE50A6">
        <w:rPr>
          <w:rFonts w:cs="Arial"/>
          <w:szCs w:val="20"/>
          <w:lang w:val="en-US"/>
        </w:rPr>
        <w:t xml:space="preserve">, </w:t>
      </w:r>
      <w:r w:rsidRPr="00FE50A6">
        <w:rPr>
          <w:rFonts w:cs="Arial"/>
          <w:szCs w:val="20"/>
          <w:lang w:val="en-US"/>
        </w:rPr>
        <w:t>which had been the cause of the exploitation of forced labor and conditions similar to those of slavery</w:t>
      </w:r>
      <w:r w:rsidR="00D81AA1" w:rsidRPr="00FE50A6">
        <w:rPr>
          <w:rFonts w:cs="Arial"/>
          <w:szCs w:val="20"/>
          <w:lang w:val="en-US"/>
        </w:rPr>
        <w:t xml:space="preserve"> (</w:t>
      </w:r>
      <w:r w:rsidR="00D81AA1" w:rsidRPr="00FE50A6">
        <w:rPr>
          <w:rFonts w:cs="Arial"/>
          <w:i/>
          <w:szCs w:val="20"/>
          <w:lang w:val="en-US"/>
        </w:rPr>
        <w:t>supra</w:t>
      </w:r>
      <w:r w:rsidR="00D81AA1" w:rsidRPr="00FE50A6">
        <w:rPr>
          <w:rFonts w:cs="Arial"/>
          <w:szCs w:val="20"/>
          <w:lang w:val="en-US"/>
        </w:rPr>
        <w:t xml:space="preserve"> </w:t>
      </w:r>
      <w:r w:rsidR="00700B79" w:rsidRPr="00FE50A6">
        <w:rPr>
          <w:rFonts w:cs="Arial"/>
          <w:szCs w:val="20"/>
          <w:lang w:val="en-US"/>
        </w:rPr>
        <w:t>paras.</w:t>
      </w:r>
      <w:r w:rsidR="00D81AA1" w:rsidRPr="00FE50A6">
        <w:rPr>
          <w:rFonts w:cs="Arial"/>
          <w:szCs w:val="20"/>
          <w:lang w:val="en-US"/>
        </w:rPr>
        <w:t xml:space="preserve"> </w:t>
      </w:r>
      <w:r w:rsidR="00977EB4" w:rsidRPr="00FE50A6">
        <w:rPr>
          <w:rFonts w:cs="Arial"/>
          <w:szCs w:val="20"/>
          <w:lang w:val="en-US"/>
        </w:rPr>
        <w:t>181</w:t>
      </w:r>
      <w:r w:rsidR="00030C17" w:rsidRPr="00FE50A6">
        <w:rPr>
          <w:rFonts w:cs="Arial"/>
          <w:szCs w:val="20"/>
          <w:lang w:val="en-US"/>
        </w:rPr>
        <w:t xml:space="preserve"> and </w:t>
      </w:r>
      <w:r w:rsidR="00977EB4" w:rsidRPr="00FE50A6">
        <w:rPr>
          <w:rFonts w:cs="Arial"/>
          <w:szCs w:val="20"/>
          <w:lang w:val="en-US"/>
        </w:rPr>
        <w:t>184</w:t>
      </w:r>
      <w:r w:rsidR="00D81AA1" w:rsidRPr="00FE50A6">
        <w:rPr>
          <w:rFonts w:cs="Arial"/>
          <w:szCs w:val="20"/>
          <w:lang w:val="en-US"/>
        </w:rPr>
        <w:t>).</w:t>
      </w:r>
    </w:p>
    <w:p w14:paraId="5193069C" w14:textId="77777777" w:rsidR="00D81AA1" w:rsidRPr="00FE50A6" w:rsidRDefault="00D81AA1" w:rsidP="00D81AA1">
      <w:pPr>
        <w:pStyle w:val="Prrafodelista"/>
        <w:autoSpaceDE w:val="0"/>
        <w:autoSpaceDN w:val="0"/>
        <w:adjustRightInd w:val="0"/>
        <w:ind w:left="0"/>
        <w:rPr>
          <w:rFonts w:cs="Arial"/>
          <w:szCs w:val="20"/>
          <w:lang w:val="en-US"/>
        </w:rPr>
      </w:pPr>
    </w:p>
    <w:p w14:paraId="10717866" w14:textId="77777777" w:rsidR="00D81AA1" w:rsidRPr="00FE50A6" w:rsidRDefault="00D81AA1" w:rsidP="00D81AA1">
      <w:pPr>
        <w:pStyle w:val="Prrafodelista"/>
        <w:numPr>
          <w:ilvl w:val="0"/>
          <w:numId w:val="1"/>
        </w:numPr>
        <w:autoSpaceDE w:val="0"/>
        <w:autoSpaceDN w:val="0"/>
        <w:adjustRightInd w:val="0"/>
        <w:rPr>
          <w:rFonts w:cs="Arial"/>
          <w:szCs w:val="20"/>
          <w:lang w:val="en-US"/>
        </w:rPr>
      </w:pPr>
      <w:r w:rsidRPr="00FE50A6">
        <w:rPr>
          <w:rFonts w:cs="Arial"/>
          <w:szCs w:val="20"/>
          <w:lang w:val="en-US"/>
        </w:rPr>
        <w:t>Final</w:t>
      </w:r>
      <w:r w:rsidR="0088467F" w:rsidRPr="00FE50A6">
        <w:rPr>
          <w:rFonts w:cs="Arial"/>
          <w:szCs w:val="20"/>
          <w:lang w:val="en-US"/>
        </w:rPr>
        <w:t xml:space="preserve">ly, with regard to the criminal proceedings resulting from the </w:t>
      </w:r>
      <w:r w:rsidR="00A35E19" w:rsidRPr="00FE50A6">
        <w:rPr>
          <w:rFonts w:cs="Arial"/>
          <w:szCs w:val="20"/>
          <w:lang w:val="en-US"/>
        </w:rPr>
        <w:t>March 2000 inspection</w:t>
      </w:r>
      <w:r w:rsidRPr="00FE50A6">
        <w:rPr>
          <w:rFonts w:cs="Arial"/>
          <w:szCs w:val="20"/>
          <w:lang w:val="en-US"/>
        </w:rPr>
        <w:t xml:space="preserve">, </w:t>
      </w:r>
      <w:r w:rsidR="000228D0" w:rsidRPr="00FE50A6">
        <w:rPr>
          <w:rFonts w:cs="Arial"/>
          <w:szCs w:val="20"/>
          <w:lang w:val="en-US"/>
        </w:rPr>
        <w:t>the Court</w:t>
      </w:r>
      <w:r w:rsidRPr="00FE50A6">
        <w:rPr>
          <w:rFonts w:cs="Arial"/>
          <w:szCs w:val="20"/>
          <w:lang w:val="en-US"/>
        </w:rPr>
        <w:t xml:space="preserve"> not</w:t>
      </w:r>
      <w:r w:rsidR="0088467F" w:rsidRPr="00FE50A6">
        <w:rPr>
          <w:rFonts w:cs="Arial"/>
          <w:szCs w:val="20"/>
          <w:lang w:val="en-US"/>
        </w:rPr>
        <w:t>es that, during the</w:t>
      </w:r>
      <w:r w:rsidRPr="00FE50A6">
        <w:rPr>
          <w:rFonts w:cs="Arial"/>
          <w:szCs w:val="20"/>
          <w:lang w:val="en-US"/>
        </w:rPr>
        <w:t xml:space="preserve"> </w:t>
      </w:r>
      <w:r w:rsidR="002071B1" w:rsidRPr="00FE50A6">
        <w:rPr>
          <w:rFonts w:cs="Arial"/>
          <w:bCs/>
          <w:iCs/>
          <w:szCs w:val="20"/>
          <w:lang w:val="en-US"/>
        </w:rPr>
        <w:t>public hearing</w:t>
      </w:r>
      <w:r w:rsidR="0088467F" w:rsidRPr="00FE50A6">
        <w:rPr>
          <w:rFonts w:cs="Arial"/>
          <w:bCs/>
          <w:iCs/>
          <w:szCs w:val="20"/>
          <w:lang w:val="en-US"/>
        </w:rPr>
        <w:t xml:space="preserve">, one of the expert </w:t>
      </w:r>
      <w:proofErr w:type="gramStart"/>
      <w:r w:rsidR="0088467F" w:rsidRPr="00FE50A6">
        <w:rPr>
          <w:rFonts w:cs="Arial"/>
          <w:bCs/>
          <w:iCs/>
          <w:szCs w:val="20"/>
          <w:lang w:val="en-US"/>
        </w:rPr>
        <w:t xml:space="preserve">witnesses </w:t>
      </w:r>
      <w:r w:rsidRPr="00FE50A6">
        <w:rPr>
          <w:rFonts w:cs="Arial"/>
          <w:bCs/>
          <w:iCs/>
          <w:szCs w:val="20"/>
          <w:lang w:val="en-US"/>
        </w:rPr>
        <w:t xml:space="preserve"> </w:t>
      </w:r>
      <w:r w:rsidR="00030C17" w:rsidRPr="00FE50A6">
        <w:rPr>
          <w:rFonts w:cs="Arial"/>
          <w:bCs/>
          <w:iCs/>
          <w:szCs w:val="20"/>
          <w:lang w:val="en-US"/>
        </w:rPr>
        <w:t>and</w:t>
      </w:r>
      <w:proofErr w:type="gramEnd"/>
      <w:r w:rsidR="001818E3" w:rsidRPr="00FE50A6">
        <w:rPr>
          <w:rFonts w:cs="Arial"/>
          <w:bCs/>
          <w:iCs/>
          <w:szCs w:val="20"/>
          <w:lang w:val="en-US"/>
        </w:rPr>
        <w:t xml:space="preserve"> also</w:t>
      </w:r>
      <w:r w:rsidR="00030C17" w:rsidRPr="00FE50A6">
        <w:rPr>
          <w:rFonts w:cs="Arial"/>
          <w:bCs/>
          <w:iCs/>
          <w:szCs w:val="20"/>
          <w:lang w:val="en-US"/>
        </w:rPr>
        <w:t xml:space="preserve"> </w:t>
      </w:r>
      <w:r w:rsidR="00700B79" w:rsidRPr="00FE50A6">
        <w:rPr>
          <w:rFonts w:cs="Arial"/>
          <w:bCs/>
          <w:iCs/>
          <w:szCs w:val="20"/>
          <w:lang w:val="en-US"/>
        </w:rPr>
        <w:t>the representatives</w:t>
      </w:r>
      <w:r w:rsidRPr="00FE50A6">
        <w:rPr>
          <w:rFonts w:cs="Arial"/>
          <w:bCs/>
          <w:iCs/>
          <w:szCs w:val="20"/>
          <w:lang w:val="en-US"/>
        </w:rPr>
        <w:t xml:space="preserve"> </w:t>
      </w:r>
      <w:r w:rsidR="0088467F" w:rsidRPr="00FE50A6">
        <w:rPr>
          <w:rFonts w:cs="Arial"/>
          <w:bCs/>
          <w:iCs/>
          <w:szCs w:val="20"/>
          <w:lang w:val="en-US"/>
        </w:rPr>
        <w:t xml:space="preserve">referred to criminal proceedings opened into the facts documented </w:t>
      </w:r>
      <w:r w:rsidR="00A67F6B" w:rsidRPr="00FE50A6">
        <w:rPr>
          <w:rFonts w:cs="Arial"/>
          <w:bCs/>
          <w:iCs/>
          <w:szCs w:val="20"/>
          <w:lang w:val="en-US"/>
        </w:rPr>
        <w:t>on March 15,</w:t>
      </w:r>
      <w:r w:rsidRPr="00FE50A6">
        <w:rPr>
          <w:rFonts w:cs="Arial"/>
          <w:bCs/>
          <w:iCs/>
          <w:szCs w:val="20"/>
          <w:lang w:val="en-US"/>
        </w:rPr>
        <w:t xml:space="preserve"> 2000</w:t>
      </w:r>
      <w:r w:rsidR="0088467F" w:rsidRPr="00FE50A6">
        <w:rPr>
          <w:rFonts w:cs="Arial"/>
          <w:bCs/>
          <w:iCs/>
          <w:szCs w:val="20"/>
          <w:lang w:val="en-US"/>
        </w:rPr>
        <w:t>, in</w:t>
      </w:r>
      <w:r w:rsidRPr="00FE50A6">
        <w:rPr>
          <w:rFonts w:cs="Arial"/>
          <w:bCs/>
          <w:iCs/>
          <w:szCs w:val="20"/>
          <w:lang w:val="en-US"/>
        </w:rPr>
        <w:t xml:space="preserve"> Hacienda </w:t>
      </w:r>
      <w:r w:rsidR="00322241" w:rsidRPr="00FE50A6">
        <w:rPr>
          <w:rFonts w:cs="Arial"/>
          <w:bCs/>
          <w:iCs/>
          <w:szCs w:val="20"/>
          <w:lang w:val="en-US"/>
        </w:rPr>
        <w:t>Brasil Verde</w:t>
      </w:r>
      <w:r w:rsidRPr="00FE50A6">
        <w:rPr>
          <w:rFonts w:cs="Arial"/>
          <w:bCs/>
          <w:iCs/>
          <w:szCs w:val="20"/>
          <w:lang w:val="en-US"/>
        </w:rPr>
        <w:t xml:space="preserve">. </w:t>
      </w:r>
      <w:r w:rsidR="0088467F" w:rsidRPr="00FE50A6">
        <w:rPr>
          <w:rFonts w:cs="Arial"/>
          <w:bCs/>
          <w:iCs/>
          <w:szCs w:val="20"/>
          <w:lang w:val="en-US"/>
        </w:rPr>
        <w:t xml:space="preserve">However, the State had made no mention of these proceedings, and </w:t>
      </w:r>
      <w:r w:rsidR="003A2B1C" w:rsidRPr="00FE50A6">
        <w:rPr>
          <w:rFonts w:cs="Arial"/>
          <w:bCs/>
          <w:iCs/>
          <w:szCs w:val="20"/>
          <w:lang w:val="en-US"/>
        </w:rPr>
        <w:t xml:space="preserve">the Court had no information </w:t>
      </w:r>
      <w:r w:rsidR="001818E3" w:rsidRPr="00FE50A6">
        <w:rPr>
          <w:rFonts w:cs="Arial"/>
          <w:bCs/>
          <w:iCs/>
          <w:szCs w:val="20"/>
          <w:lang w:val="en-US"/>
        </w:rPr>
        <w:t>about</w:t>
      </w:r>
      <w:r w:rsidR="003A2B1C" w:rsidRPr="00FE50A6">
        <w:rPr>
          <w:rFonts w:cs="Arial"/>
          <w:bCs/>
          <w:iCs/>
          <w:szCs w:val="20"/>
          <w:lang w:val="en-US"/>
        </w:rPr>
        <w:t xml:space="preserve"> them up until that </w:t>
      </w:r>
      <w:r w:rsidR="001818E3" w:rsidRPr="00FE50A6">
        <w:rPr>
          <w:rFonts w:cs="Arial"/>
          <w:bCs/>
          <w:iCs/>
          <w:szCs w:val="20"/>
          <w:lang w:val="en-US"/>
        </w:rPr>
        <w:t>moment</w:t>
      </w:r>
      <w:r w:rsidR="003A2B1C" w:rsidRPr="00FE50A6">
        <w:rPr>
          <w:rFonts w:cs="Arial"/>
          <w:bCs/>
          <w:iCs/>
          <w:szCs w:val="20"/>
          <w:lang w:val="en-US"/>
        </w:rPr>
        <w:t xml:space="preserve">. </w:t>
      </w:r>
      <w:r w:rsidR="000228D0" w:rsidRPr="00FE50A6">
        <w:rPr>
          <w:rFonts w:cs="Arial"/>
          <w:bCs/>
          <w:iCs/>
          <w:szCs w:val="20"/>
          <w:lang w:val="en-US"/>
        </w:rPr>
        <w:t>The Court</w:t>
      </w:r>
      <w:r w:rsidRPr="00FE50A6">
        <w:rPr>
          <w:rFonts w:cs="Arial"/>
          <w:bCs/>
          <w:iCs/>
          <w:szCs w:val="20"/>
          <w:lang w:val="en-US"/>
        </w:rPr>
        <w:t xml:space="preserve"> </w:t>
      </w:r>
      <w:r w:rsidR="003A2B1C" w:rsidRPr="00FE50A6">
        <w:rPr>
          <w:rFonts w:cs="Arial"/>
          <w:bCs/>
          <w:iCs/>
          <w:szCs w:val="20"/>
          <w:lang w:val="en-US"/>
        </w:rPr>
        <w:t>asked</w:t>
      </w:r>
      <w:r w:rsidR="00030C17" w:rsidRPr="00FE50A6">
        <w:rPr>
          <w:rFonts w:cs="Arial"/>
          <w:bCs/>
          <w:iCs/>
          <w:szCs w:val="20"/>
          <w:lang w:val="en-US"/>
        </w:rPr>
        <w:t xml:space="preserve"> the State</w:t>
      </w:r>
      <w:r w:rsidRPr="00FE50A6">
        <w:rPr>
          <w:rFonts w:cs="Arial"/>
          <w:bCs/>
          <w:iCs/>
          <w:szCs w:val="20"/>
          <w:lang w:val="en-US"/>
        </w:rPr>
        <w:t xml:space="preserve"> </w:t>
      </w:r>
      <w:r w:rsidR="003A2B1C" w:rsidRPr="00FE50A6">
        <w:rPr>
          <w:rFonts w:cs="Arial"/>
          <w:bCs/>
          <w:iCs/>
          <w:szCs w:val="20"/>
          <w:lang w:val="en-US"/>
        </w:rPr>
        <w:t>to present a complete copy of the said proceedings so that it would have all the available information in order to deliver judgment. In this regard, the State advised that, despite the actions taken, it had been unable to obtain a copy of proceedin</w:t>
      </w:r>
      <w:r w:rsidR="001818E3" w:rsidRPr="00FE50A6">
        <w:rPr>
          <w:rFonts w:cs="Arial"/>
          <w:bCs/>
          <w:iCs/>
          <w:szCs w:val="20"/>
          <w:lang w:val="en-US"/>
        </w:rPr>
        <w:t>g</w:t>
      </w:r>
      <w:r w:rsidR="003A2B1C" w:rsidRPr="00FE50A6">
        <w:rPr>
          <w:rFonts w:cs="Arial"/>
          <w:bCs/>
          <w:iCs/>
          <w:szCs w:val="20"/>
          <w:lang w:val="en-US"/>
        </w:rPr>
        <w:t xml:space="preserve">s No. </w:t>
      </w:r>
      <w:r w:rsidRPr="00FE50A6">
        <w:rPr>
          <w:rFonts w:cs="Arial"/>
          <w:bCs/>
          <w:iCs/>
          <w:szCs w:val="20"/>
          <w:lang w:val="en-US"/>
        </w:rPr>
        <w:t xml:space="preserve">2001.39.01.000270-0, </w:t>
      </w:r>
      <w:r w:rsidR="003A2B1C" w:rsidRPr="00FE50A6">
        <w:rPr>
          <w:rFonts w:cs="Arial"/>
          <w:bCs/>
          <w:iCs/>
          <w:szCs w:val="20"/>
          <w:lang w:val="en-US"/>
        </w:rPr>
        <w:t>opened in</w:t>
      </w:r>
      <w:r w:rsidRPr="00FE50A6">
        <w:rPr>
          <w:rFonts w:cs="Arial"/>
          <w:bCs/>
          <w:iCs/>
          <w:szCs w:val="20"/>
          <w:lang w:val="en-US"/>
        </w:rPr>
        <w:t xml:space="preserve"> 2001, </w:t>
      </w:r>
      <w:r w:rsidR="003A2B1C" w:rsidRPr="00FE50A6">
        <w:rPr>
          <w:rFonts w:cs="Arial"/>
          <w:bCs/>
          <w:iCs/>
          <w:szCs w:val="20"/>
          <w:lang w:val="en-US"/>
        </w:rPr>
        <w:t>before the Second</w:t>
      </w:r>
      <w:r w:rsidR="009B2C1E" w:rsidRPr="00FE50A6">
        <w:rPr>
          <w:rFonts w:cs="Arial"/>
          <w:bCs/>
          <w:iCs/>
          <w:szCs w:val="20"/>
          <w:lang w:val="en-US"/>
        </w:rPr>
        <w:t xml:space="preserve"> Jurisdiction</w:t>
      </w:r>
      <w:r w:rsidRPr="00FE50A6">
        <w:rPr>
          <w:rFonts w:cs="Arial"/>
          <w:bCs/>
          <w:iCs/>
          <w:szCs w:val="20"/>
          <w:lang w:val="en-US"/>
        </w:rPr>
        <w:t xml:space="preserve"> </w:t>
      </w:r>
      <w:r w:rsidR="003A2B1C" w:rsidRPr="00FE50A6">
        <w:rPr>
          <w:rFonts w:cs="Arial"/>
          <w:bCs/>
          <w:iCs/>
          <w:szCs w:val="20"/>
          <w:lang w:val="en-US"/>
        </w:rPr>
        <w:t xml:space="preserve">of </w:t>
      </w:r>
      <w:r w:rsidR="007D52C7" w:rsidRPr="00FE50A6">
        <w:rPr>
          <w:rFonts w:cs="Arial"/>
          <w:bCs/>
          <w:iCs/>
          <w:szCs w:val="20"/>
          <w:lang w:val="en-US"/>
        </w:rPr>
        <w:t xml:space="preserve">the Marabá </w:t>
      </w:r>
      <w:r w:rsidR="003A2B1C" w:rsidRPr="00FE50A6">
        <w:rPr>
          <w:rFonts w:cs="Arial"/>
          <w:bCs/>
          <w:iCs/>
          <w:szCs w:val="20"/>
          <w:lang w:val="en-US"/>
        </w:rPr>
        <w:t xml:space="preserve">Federal Justice </w:t>
      </w:r>
      <w:r w:rsidR="007D52C7" w:rsidRPr="00FE50A6">
        <w:rPr>
          <w:rFonts w:cs="Arial"/>
          <w:bCs/>
          <w:iCs/>
          <w:szCs w:val="20"/>
          <w:lang w:val="en-US"/>
        </w:rPr>
        <w:t>Department</w:t>
      </w:r>
      <w:r w:rsidRPr="00FE50A6">
        <w:rPr>
          <w:rFonts w:cs="Arial"/>
          <w:bCs/>
          <w:iCs/>
          <w:szCs w:val="20"/>
          <w:lang w:val="en-US"/>
        </w:rPr>
        <w:t xml:space="preserve">, </w:t>
      </w:r>
      <w:r w:rsidR="003A2B1C" w:rsidRPr="00FE50A6">
        <w:rPr>
          <w:rFonts w:cs="Arial"/>
          <w:bCs/>
          <w:iCs/>
          <w:szCs w:val="20"/>
          <w:lang w:val="en-US"/>
        </w:rPr>
        <w:t>state of</w:t>
      </w:r>
      <w:r w:rsidRPr="00FE50A6">
        <w:rPr>
          <w:rFonts w:cs="Arial"/>
          <w:bCs/>
          <w:iCs/>
          <w:szCs w:val="20"/>
          <w:lang w:val="en-US"/>
        </w:rPr>
        <w:t xml:space="preserve"> Pará. </w:t>
      </w:r>
    </w:p>
    <w:p w14:paraId="6C249FD8" w14:textId="77777777" w:rsidR="003A2B1C" w:rsidRPr="00FE50A6" w:rsidRDefault="003A2B1C" w:rsidP="003A2B1C">
      <w:pPr>
        <w:pStyle w:val="Prrafodelista"/>
        <w:autoSpaceDE w:val="0"/>
        <w:autoSpaceDN w:val="0"/>
        <w:adjustRightInd w:val="0"/>
        <w:ind w:left="0"/>
        <w:rPr>
          <w:rFonts w:cs="Arial"/>
          <w:szCs w:val="20"/>
          <w:lang w:val="en-US"/>
        </w:rPr>
      </w:pPr>
    </w:p>
    <w:p w14:paraId="5415038D" w14:textId="77777777" w:rsidR="00D81AA1" w:rsidRPr="00FE50A6" w:rsidRDefault="001818E3"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Nevertheless</w:t>
      </w:r>
      <w:r w:rsidR="003A2B1C" w:rsidRPr="00FE50A6">
        <w:rPr>
          <w:rFonts w:cs="Arial"/>
          <w:bCs/>
          <w:iCs/>
          <w:szCs w:val="20"/>
          <w:lang w:val="en-US"/>
        </w:rPr>
        <w:t xml:space="preserve">, public information available on the official website of the Federal Justice </w:t>
      </w:r>
      <w:r w:rsidR="007D52C7" w:rsidRPr="00FE50A6">
        <w:rPr>
          <w:rFonts w:cs="Arial"/>
          <w:bCs/>
          <w:iCs/>
          <w:szCs w:val="20"/>
          <w:lang w:val="en-US"/>
        </w:rPr>
        <w:t>Department</w:t>
      </w:r>
      <w:r w:rsidR="003A2B1C" w:rsidRPr="00FE50A6">
        <w:rPr>
          <w:rFonts w:cs="Arial"/>
          <w:bCs/>
          <w:iCs/>
          <w:szCs w:val="20"/>
          <w:lang w:val="en-US"/>
        </w:rPr>
        <w:t xml:space="preserve"> in </w:t>
      </w:r>
      <w:r w:rsidR="008B65CD" w:rsidRPr="00FE50A6">
        <w:rPr>
          <w:rFonts w:cs="Arial"/>
          <w:bCs/>
          <w:iCs/>
          <w:szCs w:val="20"/>
          <w:lang w:val="en-US"/>
        </w:rPr>
        <w:t>the state of Pará</w:t>
      </w:r>
      <w:r w:rsidR="00D81AA1" w:rsidRPr="00FE50A6">
        <w:rPr>
          <w:rFonts w:cs="Arial"/>
          <w:bCs/>
          <w:iCs/>
          <w:szCs w:val="20"/>
          <w:lang w:val="en-US"/>
        </w:rPr>
        <w:t xml:space="preserve"> </w:t>
      </w:r>
      <w:r w:rsidR="003A2B1C" w:rsidRPr="00FE50A6">
        <w:rPr>
          <w:rFonts w:cs="Arial"/>
          <w:bCs/>
          <w:iCs/>
          <w:szCs w:val="20"/>
          <w:lang w:val="en-US"/>
        </w:rPr>
        <w:t xml:space="preserve">reveals that these criminal proceedings were filed before the </w:t>
      </w:r>
      <w:r w:rsidR="00833DD0" w:rsidRPr="00FE50A6">
        <w:rPr>
          <w:rFonts w:cs="Arial"/>
          <w:bCs/>
          <w:iCs/>
          <w:szCs w:val="20"/>
          <w:lang w:val="en-US"/>
        </w:rPr>
        <w:t>Marabá Federal Court</w:t>
      </w:r>
      <w:r w:rsidR="00B654E8" w:rsidRPr="00FE50A6">
        <w:rPr>
          <w:rFonts w:cs="Arial"/>
          <w:bCs/>
          <w:iCs/>
          <w:szCs w:val="20"/>
          <w:lang w:val="en-US"/>
        </w:rPr>
        <w:t xml:space="preserve"> </w:t>
      </w:r>
      <w:r w:rsidR="003A2B1C" w:rsidRPr="00FE50A6">
        <w:rPr>
          <w:rFonts w:cs="Arial"/>
          <w:bCs/>
          <w:iCs/>
          <w:szCs w:val="20"/>
          <w:lang w:val="en-US"/>
        </w:rPr>
        <w:t>on</w:t>
      </w:r>
      <w:r w:rsidR="00B654E8" w:rsidRPr="00FE50A6">
        <w:rPr>
          <w:rFonts w:cs="Arial"/>
          <w:bCs/>
          <w:iCs/>
          <w:szCs w:val="20"/>
          <w:lang w:val="en-US"/>
        </w:rPr>
        <w:t xml:space="preserve"> </w:t>
      </w:r>
      <w:r w:rsidR="0088467F" w:rsidRPr="00FE50A6">
        <w:rPr>
          <w:rFonts w:cs="Arial"/>
          <w:bCs/>
          <w:iCs/>
          <w:szCs w:val="20"/>
          <w:lang w:val="en-US"/>
        </w:rPr>
        <w:t xml:space="preserve">February </w:t>
      </w:r>
      <w:r w:rsidR="003A2B1C" w:rsidRPr="00FE50A6">
        <w:rPr>
          <w:rFonts w:cs="Arial"/>
          <w:bCs/>
          <w:iCs/>
          <w:szCs w:val="20"/>
          <w:lang w:val="en-US"/>
        </w:rPr>
        <w:t>2</w:t>
      </w:r>
      <w:r w:rsidR="0088467F" w:rsidRPr="00FE50A6">
        <w:rPr>
          <w:rFonts w:cs="Arial"/>
          <w:bCs/>
          <w:iCs/>
          <w:szCs w:val="20"/>
          <w:lang w:val="en-US"/>
        </w:rPr>
        <w:t>8,</w:t>
      </w:r>
      <w:r w:rsidR="00B654E8" w:rsidRPr="00FE50A6">
        <w:rPr>
          <w:rFonts w:cs="Arial"/>
          <w:bCs/>
          <w:iCs/>
          <w:szCs w:val="20"/>
          <w:lang w:val="en-US"/>
        </w:rPr>
        <w:t xml:space="preserve"> 2001,</w:t>
      </w:r>
      <w:r w:rsidR="00030C17" w:rsidRPr="00FE50A6">
        <w:rPr>
          <w:rFonts w:cs="Arial"/>
          <w:bCs/>
          <w:iCs/>
          <w:szCs w:val="20"/>
          <w:lang w:val="en-US"/>
        </w:rPr>
        <w:t xml:space="preserve"> and </w:t>
      </w:r>
      <w:r w:rsidR="003A2B1C" w:rsidRPr="00FE50A6">
        <w:rPr>
          <w:rFonts w:cs="Arial"/>
          <w:bCs/>
          <w:iCs/>
          <w:szCs w:val="20"/>
          <w:lang w:val="en-US"/>
        </w:rPr>
        <w:t xml:space="preserve">subsequently transferred to the </w:t>
      </w:r>
      <w:r w:rsidR="00B654E8" w:rsidRPr="00FE50A6">
        <w:rPr>
          <w:rFonts w:cs="Arial"/>
          <w:bCs/>
          <w:iCs/>
          <w:szCs w:val="20"/>
          <w:lang w:val="en-US"/>
        </w:rPr>
        <w:t>Xinguara</w:t>
      </w:r>
      <w:r w:rsidR="003A2B1C" w:rsidRPr="00FE50A6">
        <w:rPr>
          <w:rFonts w:cs="Arial"/>
          <w:bCs/>
          <w:iCs/>
          <w:szCs w:val="20"/>
          <w:lang w:val="en-US"/>
        </w:rPr>
        <w:t xml:space="preserve"> State Court</w:t>
      </w:r>
      <w:r w:rsidR="00B654E8" w:rsidRPr="00FE50A6">
        <w:rPr>
          <w:rFonts w:cs="Arial"/>
          <w:bCs/>
          <w:iCs/>
          <w:szCs w:val="20"/>
          <w:lang w:val="en-US"/>
        </w:rPr>
        <w:t xml:space="preserve">, </w:t>
      </w:r>
      <w:r w:rsidR="003A2B1C" w:rsidRPr="00FE50A6">
        <w:rPr>
          <w:rFonts w:cs="Arial"/>
          <w:bCs/>
          <w:iCs/>
          <w:szCs w:val="20"/>
          <w:lang w:val="en-US"/>
        </w:rPr>
        <w:t>state of</w:t>
      </w:r>
      <w:r w:rsidR="00B654E8" w:rsidRPr="00FE50A6">
        <w:rPr>
          <w:rFonts w:cs="Arial"/>
          <w:bCs/>
          <w:iCs/>
          <w:szCs w:val="20"/>
          <w:lang w:val="en-US"/>
        </w:rPr>
        <w:t xml:space="preserve"> Pará, </w:t>
      </w:r>
      <w:r w:rsidR="003A2B1C" w:rsidRPr="00FE50A6">
        <w:rPr>
          <w:rFonts w:cs="Arial"/>
          <w:bCs/>
          <w:iCs/>
          <w:szCs w:val="20"/>
          <w:lang w:val="en-US"/>
        </w:rPr>
        <w:t>on August 3,</w:t>
      </w:r>
      <w:r w:rsidR="00B654E8" w:rsidRPr="00FE50A6">
        <w:rPr>
          <w:rFonts w:cs="Arial"/>
          <w:bCs/>
          <w:iCs/>
          <w:szCs w:val="20"/>
          <w:lang w:val="en-US"/>
        </w:rPr>
        <w:t xml:space="preserve"> 20</w:t>
      </w:r>
      <w:r w:rsidR="00671170" w:rsidRPr="00FE50A6">
        <w:rPr>
          <w:rFonts w:cs="Arial"/>
          <w:bCs/>
          <w:iCs/>
          <w:szCs w:val="20"/>
          <w:lang w:val="en-US"/>
        </w:rPr>
        <w:t>0</w:t>
      </w:r>
      <w:r w:rsidR="00B654E8" w:rsidRPr="00FE50A6">
        <w:rPr>
          <w:rFonts w:cs="Arial"/>
          <w:bCs/>
          <w:iCs/>
          <w:szCs w:val="20"/>
          <w:lang w:val="en-US"/>
        </w:rPr>
        <w:t xml:space="preserve">1. </w:t>
      </w:r>
      <w:r w:rsidR="003A2B1C" w:rsidRPr="00FE50A6">
        <w:rPr>
          <w:rFonts w:cs="Arial"/>
          <w:bCs/>
          <w:iCs/>
          <w:szCs w:val="20"/>
          <w:lang w:val="en-US"/>
        </w:rPr>
        <w:t>Nothing happened in these proceedings for 10 years, at least up until June 2, 2011, and there is no other information in this regard.</w:t>
      </w:r>
      <w:r w:rsidR="00947ED0" w:rsidRPr="00FE50A6">
        <w:rPr>
          <w:rStyle w:val="Refdenotaalpie"/>
          <w:bCs/>
          <w:iCs/>
          <w:lang w:val="en-US"/>
        </w:rPr>
        <w:footnoteReference w:id="495"/>
      </w:r>
    </w:p>
    <w:p w14:paraId="45360938" w14:textId="77777777" w:rsidR="00D81AA1" w:rsidRPr="00FE50A6" w:rsidRDefault="00D81AA1" w:rsidP="00D81AA1">
      <w:pPr>
        <w:pStyle w:val="Prrafodelista"/>
        <w:rPr>
          <w:rFonts w:cs="Arial"/>
          <w:noProof/>
          <w:szCs w:val="20"/>
          <w:lang w:val="en-US"/>
        </w:rPr>
      </w:pPr>
    </w:p>
    <w:p w14:paraId="450C90BF" w14:textId="77777777" w:rsidR="00D81AA1" w:rsidRPr="00FE50A6" w:rsidRDefault="003A2B1C" w:rsidP="008B0BCC">
      <w:pPr>
        <w:pStyle w:val="Prrafodelista"/>
        <w:numPr>
          <w:ilvl w:val="0"/>
          <w:numId w:val="24"/>
        </w:numPr>
        <w:tabs>
          <w:tab w:val="right" w:pos="0"/>
        </w:tabs>
        <w:rPr>
          <w:rFonts w:cs="Arial"/>
          <w:i/>
          <w:noProof/>
          <w:szCs w:val="20"/>
          <w:lang w:val="en-US"/>
        </w:rPr>
      </w:pPr>
      <w:r w:rsidRPr="00FE50A6">
        <w:rPr>
          <w:rFonts w:cs="Arial"/>
          <w:i/>
          <w:noProof/>
          <w:szCs w:val="20"/>
          <w:lang w:val="en-US"/>
        </w:rPr>
        <w:t>The effectiveness of the proceedings and the existence of an effective remedy</w:t>
      </w:r>
    </w:p>
    <w:p w14:paraId="0E19BC57" w14:textId="77777777" w:rsidR="00D81AA1" w:rsidRPr="00FE50A6" w:rsidRDefault="00D81AA1" w:rsidP="00D81AA1">
      <w:pPr>
        <w:pStyle w:val="Prrafodelista"/>
        <w:ind w:left="0"/>
        <w:rPr>
          <w:rFonts w:cs="Arial"/>
          <w:noProof/>
          <w:szCs w:val="20"/>
          <w:lang w:val="en-US"/>
        </w:rPr>
      </w:pPr>
    </w:p>
    <w:p w14:paraId="0C5B1DFD" w14:textId="77777777" w:rsidR="00D81AA1" w:rsidRPr="00FE50A6" w:rsidRDefault="000228D0" w:rsidP="00D81AA1">
      <w:pPr>
        <w:pStyle w:val="Prrafodelista"/>
        <w:numPr>
          <w:ilvl w:val="0"/>
          <w:numId w:val="1"/>
        </w:numPr>
        <w:contextualSpacing w:val="0"/>
        <w:rPr>
          <w:rFonts w:cs="Arial"/>
          <w:noProof/>
          <w:szCs w:val="20"/>
          <w:lang w:val="en-US"/>
        </w:rPr>
      </w:pPr>
      <w:r w:rsidRPr="00FE50A6">
        <w:rPr>
          <w:rFonts w:cs="Arial"/>
          <w:noProof/>
          <w:szCs w:val="20"/>
          <w:lang w:val="en-US"/>
        </w:rPr>
        <w:t>The Court</w:t>
      </w:r>
      <w:r w:rsidR="00D81AA1" w:rsidRPr="00FE50A6">
        <w:rPr>
          <w:rFonts w:cs="Arial"/>
          <w:noProof/>
          <w:szCs w:val="20"/>
          <w:lang w:val="en-US"/>
        </w:rPr>
        <w:t xml:space="preserve"> ha</w:t>
      </w:r>
      <w:r w:rsidR="003A2B1C" w:rsidRPr="00FE50A6">
        <w:rPr>
          <w:rFonts w:cs="Arial"/>
          <w:noProof/>
          <w:szCs w:val="20"/>
          <w:lang w:val="en-US"/>
        </w:rPr>
        <w:t>s</w:t>
      </w:r>
      <w:r w:rsidR="00D81AA1" w:rsidRPr="00FE50A6">
        <w:rPr>
          <w:rFonts w:cs="Arial"/>
          <w:noProof/>
          <w:szCs w:val="20"/>
          <w:lang w:val="en-US"/>
        </w:rPr>
        <w:t xml:space="preserve"> indica</w:t>
      </w:r>
      <w:r w:rsidR="003A2B1C" w:rsidRPr="00FE50A6">
        <w:rPr>
          <w:rFonts w:cs="Arial"/>
          <w:noProof/>
          <w:szCs w:val="20"/>
          <w:lang w:val="en-US"/>
        </w:rPr>
        <w:t>ted that</w:t>
      </w:r>
      <w:r w:rsidR="00D81AA1" w:rsidRPr="00FE50A6">
        <w:rPr>
          <w:rFonts w:cs="Arial"/>
          <w:noProof/>
          <w:szCs w:val="20"/>
          <w:lang w:val="en-US"/>
        </w:rPr>
        <w:t xml:space="preserve"> </w:t>
      </w:r>
      <w:r w:rsidRPr="00FE50A6">
        <w:rPr>
          <w:rFonts w:cs="Arial"/>
          <w:noProof/>
          <w:szCs w:val="20"/>
          <w:lang w:val="en-US"/>
        </w:rPr>
        <w:t>Article</w:t>
      </w:r>
      <w:r w:rsidR="00D81AA1" w:rsidRPr="00FE50A6">
        <w:rPr>
          <w:rFonts w:cs="Arial"/>
          <w:noProof/>
          <w:szCs w:val="20"/>
          <w:lang w:val="en-US"/>
        </w:rPr>
        <w:t xml:space="preserve"> </w:t>
      </w:r>
      <w:r w:rsidR="00703850" w:rsidRPr="00FE50A6">
        <w:rPr>
          <w:rFonts w:cs="Arial"/>
          <w:noProof/>
          <w:szCs w:val="20"/>
          <w:lang w:val="en-US"/>
        </w:rPr>
        <w:t>25(1)</w:t>
      </w:r>
      <w:r w:rsidRPr="00FE50A6">
        <w:rPr>
          <w:rFonts w:cs="Arial"/>
          <w:noProof/>
          <w:szCs w:val="20"/>
          <w:lang w:val="en-US"/>
        </w:rPr>
        <w:t xml:space="preserve"> of the Convention</w:t>
      </w:r>
      <w:r w:rsidR="00D81AA1" w:rsidRPr="00FE50A6">
        <w:rPr>
          <w:rFonts w:cs="Arial"/>
          <w:noProof/>
          <w:szCs w:val="20"/>
          <w:lang w:val="en-US"/>
        </w:rPr>
        <w:t xml:space="preserve"> establ</w:t>
      </w:r>
      <w:r w:rsidR="003A2B1C" w:rsidRPr="00FE50A6">
        <w:rPr>
          <w:rFonts w:cs="Arial"/>
          <w:noProof/>
          <w:szCs w:val="20"/>
          <w:lang w:val="en-US"/>
        </w:rPr>
        <w:t>ishes, in broad terms, the obligation</w:t>
      </w:r>
      <w:r w:rsidR="001818E3" w:rsidRPr="00FE50A6">
        <w:rPr>
          <w:rFonts w:cs="Arial"/>
          <w:noProof/>
          <w:szCs w:val="20"/>
          <w:lang w:val="en-US"/>
        </w:rPr>
        <w:t xml:space="preserve"> of States</w:t>
      </w:r>
      <w:r w:rsidR="003A2B1C" w:rsidRPr="00FE50A6">
        <w:rPr>
          <w:rFonts w:cs="Arial"/>
          <w:noProof/>
          <w:szCs w:val="20"/>
          <w:lang w:val="en-US"/>
        </w:rPr>
        <w:t xml:space="preserve"> to provide everyone subject to their jurisdiction with an effective judicial remedy against acts that violate their fundamental rights.</w:t>
      </w:r>
      <w:r w:rsidR="00D81AA1" w:rsidRPr="00FE50A6">
        <w:rPr>
          <w:noProof/>
          <w:szCs w:val="20"/>
          <w:vertAlign w:val="superscript"/>
          <w:lang w:val="en-US"/>
        </w:rPr>
        <w:footnoteReference w:id="496"/>
      </w:r>
      <w:r w:rsidR="00D81AA1" w:rsidRPr="00FE50A6">
        <w:rPr>
          <w:rFonts w:cs="Arial"/>
          <w:noProof/>
          <w:szCs w:val="20"/>
          <w:lang w:val="en-US"/>
        </w:rPr>
        <w:t xml:space="preserve"> </w:t>
      </w:r>
    </w:p>
    <w:p w14:paraId="1E9A3839" w14:textId="77777777" w:rsidR="00D81AA1" w:rsidRPr="00FE50A6" w:rsidRDefault="00D81AA1" w:rsidP="00D81AA1">
      <w:pPr>
        <w:pStyle w:val="Prrafodelista"/>
        <w:ind w:left="0"/>
        <w:rPr>
          <w:rFonts w:cs="Arial"/>
          <w:noProof/>
          <w:szCs w:val="20"/>
          <w:lang w:val="en-US"/>
        </w:rPr>
      </w:pPr>
      <w:r w:rsidRPr="00FE50A6">
        <w:rPr>
          <w:rFonts w:cs="Arial"/>
          <w:noProof/>
          <w:szCs w:val="20"/>
          <w:lang w:val="en-US"/>
        </w:rPr>
        <w:t xml:space="preserve"> </w:t>
      </w:r>
    </w:p>
    <w:p w14:paraId="1D6B96DC" w14:textId="77777777" w:rsidR="00D81AA1" w:rsidRPr="00FE50A6" w:rsidRDefault="003A2B1C" w:rsidP="00472F1E">
      <w:pPr>
        <w:pStyle w:val="Prrafodelista"/>
        <w:numPr>
          <w:ilvl w:val="0"/>
          <w:numId w:val="1"/>
        </w:numPr>
        <w:contextualSpacing w:val="0"/>
        <w:rPr>
          <w:rFonts w:cs="Arial"/>
          <w:noProof/>
          <w:szCs w:val="20"/>
          <w:lang w:val="en-US"/>
        </w:rPr>
      </w:pPr>
      <w:r w:rsidRPr="00FE50A6">
        <w:rPr>
          <w:rFonts w:cs="Arial"/>
          <w:noProof/>
          <w:szCs w:val="20"/>
          <w:lang w:val="en-US"/>
        </w:rPr>
        <w:t>In addition</w:t>
      </w:r>
      <w:r w:rsidR="00D81AA1" w:rsidRPr="00FE50A6">
        <w:rPr>
          <w:rFonts w:cs="Arial"/>
          <w:noProof/>
          <w:szCs w:val="20"/>
          <w:lang w:val="en-US"/>
        </w:rPr>
        <w:t xml:space="preserve">, </w:t>
      </w:r>
      <w:r w:rsidR="000228D0" w:rsidRPr="00FE50A6">
        <w:rPr>
          <w:rFonts w:cs="Arial"/>
          <w:noProof/>
          <w:szCs w:val="20"/>
          <w:lang w:val="en-US"/>
        </w:rPr>
        <w:t>the Court</w:t>
      </w:r>
      <w:r w:rsidR="00D81AA1" w:rsidRPr="00FE50A6">
        <w:rPr>
          <w:rFonts w:cs="Arial"/>
          <w:noProof/>
          <w:szCs w:val="20"/>
          <w:lang w:val="en-US"/>
        </w:rPr>
        <w:t xml:space="preserve"> ha</w:t>
      </w:r>
      <w:r w:rsidRPr="00FE50A6">
        <w:rPr>
          <w:rFonts w:cs="Arial"/>
          <w:noProof/>
          <w:szCs w:val="20"/>
          <w:lang w:val="en-US"/>
        </w:rPr>
        <w:t>s</w:t>
      </w:r>
      <w:r w:rsidR="00D81AA1" w:rsidRPr="00FE50A6">
        <w:rPr>
          <w:rFonts w:cs="Arial"/>
          <w:noProof/>
          <w:szCs w:val="20"/>
          <w:lang w:val="en-US"/>
        </w:rPr>
        <w:t xml:space="preserve"> establ</w:t>
      </w:r>
      <w:r w:rsidRPr="00FE50A6">
        <w:rPr>
          <w:rFonts w:cs="Arial"/>
          <w:noProof/>
          <w:szCs w:val="20"/>
          <w:lang w:val="en-US"/>
        </w:rPr>
        <w:t xml:space="preserve">ished that, for the State to comply with the provisions of </w:t>
      </w:r>
      <w:r w:rsidR="000228D0" w:rsidRPr="00FE50A6">
        <w:rPr>
          <w:rFonts w:cs="Arial"/>
          <w:noProof/>
          <w:szCs w:val="20"/>
          <w:lang w:val="en-US"/>
        </w:rPr>
        <w:t>Article</w:t>
      </w:r>
      <w:r w:rsidR="00D81AA1" w:rsidRPr="00FE50A6">
        <w:rPr>
          <w:rFonts w:cs="Arial"/>
          <w:noProof/>
          <w:szCs w:val="20"/>
          <w:lang w:val="en-US"/>
        </w:rPr>
        <w:t xml:space="preserve"> 25</w:t>
      </w:r>
      <w:r w:rsidR="000228D0" w:rsidRPr="00FE50A6">
        <w:rPr>
          <w:rFonts w:cs="Arial"/>
          <w:noProof/>
          <w:szCs w:val="20"/>
          <w:lang w:val="en-US"/>
        </w:rPr>
        <w:t xml:space="preserve"> of the Convention</w:t>
      </w:r>
      <w:r w:rsidR="00D81AA1" w:rsidRPr="00FE50A6">
        <w:rPr>
          <w:rFonts w:cs="Arial"/>
          <w:noProof/>
          <w:szCs w:val="20"/>
          <w:lang w:val="en-US"/>
        </w:rPr>
        <w:t>,</w:t>
      </w:r>
      <w:r w:rsidRPr="00FE50A6">
        <w:rPr>
          <w:rFonts w:cs="Arial"/>
          <w:noProof/>
          <w:szCs w:val="20"/>
          <w:lang w:val="en-US"/>
        </w:rPr>
        <w:t xml:space="preserve"> the formal existence of the remedies is not sufficient</w:t>
      </w:r>
      <w:r w:rsidR="00472F1E" w:rsidRPr="00FE50A6">
        <w:rPr>
          <w:rFonts w:cs="Arial"/>
          <w:noProof/>
          <w:szCs w:val="20"/>
          <w:lang w:val="en-US"/>
        </w:rPr>
        <w:t>,</w:t>
      </w:r>
      <w:r w:rsidRPr="00FE50A6">
        <w:rPr>
          <w:rFonts w:cs="Arial"/>
          <w:noProof/>
          <w:szCs w:val="20"/>
          <w:lang w:val="en-US"/>
        </w:rPr>
        <w:t xml:space="preserve"> rather </w:t>
      </w:r>
      <w:r w:rsidR="00472F1E" w:rsidRPr="00FE50A6">
        <w:rPr>
          <w:rFonts w:cs="Arial"/>
          <w:noProof/>
          <w:szCs w:val="20"/>
          <w:lang w:val="en-US"/>
        </w:rPr>
        <w:t>they must be</w:t>
      </w:r>
      <w:r w:rsidRPr="00FE50A6">
        <w:rPr>
          <w:rFonts w:cs="Arial"/>
          <w:noProof/>
          <w:szCs w:val="20"/>
          <w:lang w:val="en-US"/>
        </w:rPr>
        <w:t xml:space="preserve"> effective</w:t>
      </w:r>
      <w:r w:rsidR="00472F1E" w:rsidRPr="00FE50A6">
        <w:rPr>
          <w:rFonts w:cs="Arial"/>
          <w:noProof/>
          <w:szCs w:val="20"/>
          <w:lang w:val="en-US"/>
        </w:rPr>
        <w:t xml:space="preserve">; in other words, they must lead to results or </w:t>
      </w:r>
      <w:r w:rsidR="001818E3" w:rsidRPr="00FE50A6">
        <w:rPr>
          <w:rFonts w:cs="Arial"/>
          <w:noProof/>
          <w:szCs w:val="20"/>
          <w:lang w:val="en-US"/>
        </w:rPr>
        <w:t>solutions</w:t>
      </w:r>
      <w:r w:rsidR="00472F1E" w:rsidRPr="00FE50A6">
        <w:rPr>
          <w:rFonts w:cs="Arial"/>
          <w:noProof/>
          <w:szCs w:val="20"/>
          <w:lang w:val="en-US"/>
        </w:rPr>
        <w:t xml:space="preserve"> to the violations of rights recognized in either </w:t>
      </w:r>
      <w:r w:rsidR="000228D0" w:rsidRPr="00FE50A6">
        <w:rPr>
          <w:rFonts w:cs="Arial"/>
          <w:noProof/>
          <w:szCs w:val="20"/>
          <w:lang w:val="en-US"/>
        </w:rPr>
        <w:t>the Convention</w:t>
      </w:r>
      <w:r w:rsidR="00D81AA1" w:rsidRPr="00FE50A6">
        <w:rPr>
          <w:rFonts w:cs="Arial"/>
          <w:noProof/>
          <w:szCs w:val="20"/>
          <w:lang w:val="en-US"/>
        </w:rPr>
        <w:t xml:space="preserve">, </w:t>
      </w:r>
      <w:r w:rsidR="00472F1E" w:rsidRPr="00FE50A6">
        <w:rPr>
          <w:rFonts w:cs="Arial"/>
          <w:noProof/>
          <w:szCs w:val="20"/>
          <w:lang w:val="en-US"/>
        </w:rPr>
        <w:t>the</w:t>
      </w:r>
      <w:r w:rsidR="00D81AA1" w:rsidRPr="00FE50A6">
        <w:rPr>
          <w:rFonts w:cs="Arial"/>
          <w:noProof/>
          <w:szCs w:val="20"/>
          <w:lang w:val="en-US"/>
        </w:rPr>
        <w:t xml:space="preserve"> Constitu</w:t>
      </w:r>
      <w:r w:rsidR="001818E3" w:rsidRPr="00FE50A6">
        <w:rPr>
          <w:rFonts w:cs="Arial"/>
          <w:noProof/>
          <w:szCs w:val="20"/>
          <w:lang w:val="en-US"/>
        </w:rPr>
        <w:t>tio</w:t>
      </w:r>
      <w:r w:rsidR="00D81AA1" w:rsidRPr="00FE50A6">
        <w:rPr>
          <w:rFonts w:cs="Arial"/>
          <w:noProof/>
          <w:szCs w:val="20"/>
          <w:lang w:val="en-US"/>
        </w:rPr>
        <w:t>n o</w:t>
      </w:r>
      <w:r w:rsidR="00472F1E" w:rsidRPr="00FE50A6">
        <w:rPr>
          <w:rFonts w:cs="Arial"/>
          <w:noProof/>
          <w:szCs w:val="20"/>
          <w:lang w:val="en-US"/>
        </w:rPr>
        <w:t>r the law. This means that the remedy must be appropriate to co</w:t>
      </w:r>
      <w:r w:rsidR="001818E3" w:rsidRPr="00FE50A6">
        <w:rPr>
          <w:rFonts w:cs="Arial"/>
          <w:noProof/>
          <w:szCs w:val="20"/>
          <w:lang w:val="en-US"/>
        </w:rPr>
        <w:t>unteract</w:t>
      </w:r>
      <w:r w:rsidR="00472F1E" w:rsidRPr="00FE50A6">
        <w:rPr>
          <w:rFonts w:cs="Arial"/>
          <w:noProof/>
          <w:szCs w:val="20"/>
          <w:lang w:val="en-US"/>
        </w:rPr>
        <w:t xml:space="preserve"> the violation and that its implementtion by the competent authority must be effective. Likewise, an effective remedy signifies that the analysis of a judicial remedy by the competent authority cannot be reduced to a mere formality; rather, that authority must examine the reasons cited by the plaintiff and issue an express opinion on them.</w:t>
      </w:r>
      <w:r w:rsidR="00D81AA1" w:rsidRPr="00FE50A6">
        <w:rPr>
          <w:noProof/>
          <w:szCs w:val="20"/>
          <w:vertAlign w:val="superscript"/>
          <w:lang w:val="en-US"/>
        </w:rPr>
        <w:footnoteReference w:id="497"/>
      </w:r>
      <w:r w:rsidR="00472F1E" w:rsidRPr="00FE50A6">
        <w:rPr>
          <w:rFonts w:cs="Arial"/>
          <w:noProof/>
          <w:szCs w:val="20"/>
          <w:lang w:val="en-US"/>
        </w:rPr>
        <w:t xml:space="preserve"> Those remedies that are illusory, owing to the general situation of the country or even the particular circumstances of a specific case, cannot be considered effective.</w:t>
      </w:r>
      <w:r w:rsidR="00D81AA1" w:rsidRPr="00FE50A6">
        <w:rPr>
          <w:noProof/>
          <w:szCs w:val="20"/>
          <w:vertAlign w:val="superscript"/>
          <w:lang w:val="en-US"/>
        </w:rPr>
        <w:footnoteReference w:id="498"/>
      </w:r>
      <w:r w:rsidR="00472F1E" w:rsidRPr="00FE50A6">
        <w:rPr>
          <w:rFonts w:cs="Arial"/>
          <w:noProof/>
          <w:szCs w:val="20"/>
          <w:lang w:val="en-US"/>
        </w:rPr>
        <w:t xml:space="preserve"> This may occur, for example, when their </w:t>
      </w:r>
      <w:r w:rsidR="001818E3" w:rsidRPr="00FE50A6">
        <w:rPr>
          <w:rFonts w:cs="Arial"/>
          <w:noProof/>
          <w:szCs w:val="20"/>
          <w:lang w:val="en-US"/>
        </w:rPr>
        <w:t>ineffectiveness</w:t>
      </w:r>
      <w:r w:rsidR="00472F1E" w:rsidRPr="00FE50A6">
        <w:rPr>
          <w:rFonts w:cs="Arial"/>
          <w:noProof/>
          <w:szCs w:val="20"/>
          <w:lang w:val="en-US"/>
        </w:rPr>
        <w:t xml:space="preserve"> has been revealed by the practice, because the means to execute the</w:t>
      </w:r>
      <w:r w:rsidR="001818E3" w:rsidRPr="00FE50A6">
        <w:rPr>
          <w:rFonts w:cs="Arial"/>
          <w:noProof/>
          <w:szCs w:val="20"/>
          <w:lang w:val="en-US"/>
        </w:rPr>
        <w:t xml:space="preserve"> respective</w:t>
      </w:r>
      <w:r w:rsidR="00472F1E" w:rsidRPr="00FE50A6">
        <w:rPr>
          <w:rFonts w:cs="Arial"/>
          <w:noProof/>
          <w:szCs w:val="20"/>
          <w:lang w:val="en-US"/>
        </w:rPr>
        <w:t xml:space="preserve"> decisions are lacking, or due to any other situation that constitutes a context of denial of justice.</w:t>
      </w:r>
      <w:r w:rsidR="00D81AA1" w:rsidRPr="00FE50A6">
        <w:rPr>
          <w:noProof/>
          <w:szCs w:val="20"/>
          <w:vertAlign w:val="superscript"/>
          <w:lang w:val="en-US"/>
        </w:rPr>
        <w:footnoteReference w:id="499"/>
      </w:r>
      <w:r w:rsidR="00472F1E" w:rsidRPr="00FE50A6">
        <w:rPr>
          <w:rFonts w:cs="Arial"/>
          <w:noProof/>
          <w:szCs w:val="20"/>
          <w:lang w:val="en-US"/>
        </w:rPr>
        <w:t xml:space="preserve"> Thus, the</w:t>
      </w:r>
      <w:r w:rsidR="001818E3" w:rsidRPr="00FE50A6">
        <w:rPr>
          <w:rFonts w:cs="Arial"/>
          <w:noProof/>
          <w:szCs w:val="20"/>
          <w:lang w:val="en-US"/>
        </w:rPr>
        <w:t xml:space="preserve"> purpose of the</w:t>
      </w:r>
      <w:r w:rsidR="00472F1E" w:rsidRPr="00FE50A6">
        <w:rPr>
          <w:rFonts w:cs="Arial"/>
          <w:noProof/>
          <w:szCs w:val="20"/>
          <w:lang w:val="en-US"/>
        </w:rPr>
        <w:t xml:space="preserve"> proceedings should</w:t>
      </w:r>
      <w:r w:rsidR="001818E3" w:rsidRPr="00FE50A6">
        <w:rPr>
          <w:rFonts w:cs="Arial"/>
          <w:noProof/>
          <w:szCs w:val="20"/>
          <w:lang w:val="en-US"/>
        </w:rPr>
        <w:t xml:space="preserve"> be</w:t>
      </w:r>
      <w:r w:rsidR="00472F1E" w:rsidRPr="00FE50A6">
        <w:rPr>
          <w:rFonts w:cs="Arial"/>
          <w:noProof/>
          <w:szCs w:val="20"/>
          <w:lang w:val="en-US"/>
        </w:rPr>
        <w:t xml:space="preserve"> to implement the protection of the right recognized in the legal ruling by the appropriate execution of this ruling.</w:t>
      </w:r>
      <w:r w:rsidR="00D81AA1" w:rsidRPr="00FE50A6">
        <w:rPr>
          <w:noProof/>
          <w:szCs w:val="20"/>
          <w:vertAlign w:val="superscript"/>
          <w:lang w:val="en-US"/>
        </w:rPr>
        <w:footnoteReference w:id="500"/>
      </w:r>
      <w:r w:rsidR="006109E5" w:rsidRPr="00FE50A6">
        <w:rPr>
          <w:rFonts w:cs="Arial"/>
          <w:noProof/>
          <w:szCs w:val="20"/>
          <w:lang w:val="en-US"/>
        </w:rPr>
        <w:t xml:space="preserve"> </w:t>
      </w:r>
    </w:p>
    <w:p w14:paraId="43873995" w14:textId="77777777" w:rsidR="00D81AA1" w:rsidRPr="00FE50A6" w:rsidRDefault="00D81AA1" w:rsidP="00D81AA1">
      <w:pPr>
        <w:pStyle w:val="Prrafodelista"/>
        <w:ind w:left="0"/>
        <w:rPr>
          <w:rFonts w:cs="Arial"/>
          <w:noProof/>
          <w:szCs w:val="20"/>
          <w:lang w:val="en-US"/>
        </w:rPr>
      </w:pPr>
    </w:p>
    <w:p w14:paraId="35B8E3CB" w14:textId="77777777" w:rsidR="00D81AA1" w:rsidRPr="00FE50A6" w:rsidRDefault="000228D0" w:rsidP="00D81AA1">
      <w:pPr>
        <w:pStyle w:val="Prrafodelista"/>
        <w:numPr>
          <w:ilvl w:val="0"/>
          <w:numId w:val="1"/>
        </w:numPr>
        <w:contextualSpacing w:val="0"/>
        <w:rPr>
          <w:rFonts w:cs="Arial"/>
          <w:noProof/>
          <w:szCs w:val="20"/>
          <w:lang w:val="en-US"/>
        </w:rPr>
      </w:pPr>
      <w:r w:rsidRPr="00FE50A6">
        <w:rPr>
          <w:rFonts w:cs="Arial"/>
          <w:noProof/>
          <w:szCs w:val="20"/>
          <w:lang w:val="en-US"/>
        </w:rPr>
        <w:t>The Court</w:t>
      </w:r>
      <w:r w:rsidR="00D81AA1" w:rsidRPr="00FE50A6">
        <w:rPr>
          <w:rFonts w:cs="Arial"/>
          <w:noProof/>
          <w:szCs w:val="20"/>
          <w:lang w:val="en-US"/>
        </w:rPr>
        <w:t xml:space="preserve"> ha</w:t>
      </w:r>
      <w:r w:rsidR="00472F1E" w:rsidRPr="00FE50A6">
        <w:rPr>
          <w:rFonts w:cs="Arial"/>
          <w:noProof/>
          <w:szCs w:val="20"/>
          <w:lang w:val="en-US"/>
        </w:rPr>
        <w:t>s indicated that</w:t>
      </w:r>
      <w:r w:rsidR="000D1639" w:rsidRPr="00FE50A6">
        <w:rPr>
          <w:rFonts w:cs="Arial"/>
          <w:noProof/>
          <w:szCs w:val="20"/>
          <w:lang w:val="en-US"/>
        </w:rPr>
        <w:t xml:space="preserve"> two specific State obligations</w:t>
      </w:r>
      <w:r w:rsidR="00A93C97" w:rsidRPr="00FE50A6">
        <w:rPr>
          <w:rFonts w:cs="Arial"/>
          <w:noProof/>
          <w:szCs w:val="20"/>
          <w:lang w:val="en-US"/>
        </w:rPr>
        <w:t xml:space="preserve"> can be identified</w:t>
      </w:r>
      <w:r w:rsidR="000D1639" w:rsidRPr="00FE50A6">
        <w:rPr>
          <w:rFonts w:cs="Arial"/>
          <w:noProof/>
          <w:szCs w:val="20"/>
          <w:lang w:val="en-US"/>
        </w:rPr>
        <w:t xml:space="preserve"> under </w:t>
      </w:r>
      <w:r w:rsidR="00703850" w:rsidRPr="00FE50A6">
        <w:rPr>
          <w:rFonts w:cs="Arial"/>
          <w:noProof/>
          <w:szCs w:val="20"/>
          <w:lang w:val="en-US"/>
        </w:rPr>
        <w:t>Article</w:t>
      </w:r>
      <w:r w:rsidR="00D81AA1" w:rsidRPr="00FE50A6">
        <w:rPr>
          <w:rFonts w:cs="Arial"/>
          <w:noProof/>
          <w:szCs w:val="20"/>
          <w:lang w:val="en-US"/>
        </w:rPr>
        <w:t xml:space="preserve"> 25</w:t>
      </w:r>
      <w:r w:rsidRPr="00FE50A6">
        <w:rPr>
          <w:rFonts w:cs="Arial"/>
          <w:noProof/>
          <w:szCs w:val="20"/>
          <w:lang w:val="en-US"/>
        </w:rPr>
        <w:t xml:space="preserve"> of the Convention</w:t>
      </w:r>
      <w:r w:rsidR="000D1639" w:rsidRPr="00FE50A6">
        <w:rPr>
          <w:rFonts w:cs="Arial"/>
          <w:noProof/>
          <w:szCs w:val="20"/>
          <w:lang w:val="en-US"/>
        </w:rPr>
        <w:t xml:space="preserve">. The first is that the State must establish by law effective remedies that protect everyone subject to their jurisdiction </w:t>
      </w:r>
      <w:r w:rsidR="00A93C97" w:rsidRPr="00FE50A6">
        <w:rPr>
          <w:rFonts w:cs="Arial"/>
          <w:noProof/>
          <w:szCs w:val="20"/>
          <w:lang w:val="en-US"/>
        </w:rPr>
        <w:t>from</w:t>
      </w:r>
      <w:r w:rsidR="000D1639" w:rsidRPr="00FE50A6">
        <w:rPr>
          <w:rFonts w:cs="Arial"/>
          <w:noProof/>
          <w:szCs w:val="20"/>
          <w:lang w:val="en-US"/>
        </w:rPr>
        <w:t xml:space="preserve"> acts that violate their fundamental rights</w:t>
      </w:r>
      <w:r w:rsidR="00A93C97" w:rsidRPr="00FE50A6">
        <w:rPr>
          <w:rFonts w:cs="Arial"/>
          <w:noProof/>
          <w:szCs w:val="20"/>
          <w:lang w:val="en-US"/>
        </w:rPr>
        <w:t>,</w:t>
      </w:r>
      <w:r w:rsidR="000D1639" w:rsidRPr="00FE50A6">
        <w:rPr>
          <w:rFonts w:cs="Arial"/>
          <w:noProof/>
          <w:szCs w:val="20"/>
          <w:lang w:val="en-US"/>
        </w:rPr>
        <w:t xml:space="preserve"> or that </w:t>
      </w:r>
      <w:r w:rsidR="00A93C97" w:rsidRPr="00FE50A6">
        <w:rPr>
          <w:rFonts w:cs="Arial"/>
          <w:noProof/>
          <w:szCs w:val="20"/>
          <w:lang w:val="en-US"/>
        </w:rPr>
        <w:t>determine</w:t>
      </w:r>
      <w:r w:rsidR="000D1639" w:rsidRPr="00FE50A6">
        <w:rPr>
          <w:rFonts w:cs="Arial"/>
          <w:noProof/>
          <w:szCs w:val="20"/>
          <w:lang w:val="en-US"/>
        </w:rPr>
        <w:t xml:space="preserve"> their rights and obligations</w:t>
      </w:r>
      <w:r w:rsidR="00A93C97" w:rsidRPr="00FE50A6">
        <w:rPr>
          <w:rFonts w:cs="Arial"/>
          <w:noProof/>
          <w:szCs w:val="20"/>
          <w:lang w:val="en-US"/>
        </w:rPr>
        <w:t xml:space="preserve">, and ensure due implementation of such remedies by the competent authorities. </w:t>
      </w:r>
      <w:r w:rsidR="000D1639" w:rsidRPr="00FE50A6">
        <w:rPr>
          <w:rFonts w:cs="Arial"/>
          <w:noProof/>
          <w:szCs w:val="20"/>
          <w:lang w:val="en-US"/>
        </w:rPr>
        <w:t xml:space="preserve">The second is that the State must guarantee the means to execute the respective decisions and final judgments </w:t>
      </w:r>
      <w:r w:rsidR="00A93C97" w:rsidRPr="00FE50A6">
        <w:rPr>
          <w:rFonts w:cs="Arial"/>
          <w:noProof/>
          <w:szCs w:val="20"/>
          <w:lang w:val="en-US"/>
        </w:rPr>
        <w:t>of</w:t>
      </w:r>
      <w:r w:rsidR="000D1639" w:rsidRPr="00FE50A6">
        <w:rPr>
          <w:rFonts w:cs="Arial"/>
          <w:noProof/>
          <w:szCs w:val="20"/>
          <w:lang w:val="en-US"/>
        </w:rPr>
        <w:t xml:space="preserve"> these competent authorities, so that they provide effective protection for the rights that have been declared or recognized.</w:t>
      </w:r>
      <w:r w:rsidR="003014DB" w:rsidRPr="00FE50A6">
        <w:rPr>
          <w:noProof/>
          <w:szCs w:val="20"/>
          <w:vertAlign w:val="superscript"/>
          <w:lang w:val="en-US"/>
        </w:rPr>
        <w:footnoteReference w:id="501"/>
      </w:r>
      <w:r w:rsidR="00D81AA1" w:rsidRPr="00FE50A6">
        <w:rPr>
          <w:rFonts w:cs="Arial"/>
          <w:noProof/>
          <w:szCs w:val="20"/>
          <w:lang w:val="en-US"/>
        </w:rPr>
        <w:t xml:space="preserve"> </w:t>
      </w:r>
      <w:r w:rsidR="000D1639" w:rsidRPr="00FE50A6">
        <w:rPr>
          <w:rFonts w:cs="Arial"/>
          <w:noProof/>
          <w:szCs w:val="20"/>
          <w:lang w:val="en-US"/>
        </w:rPr>
        <w:t>The right established in</w:t>
      </w:r>
      <w:r w:rsidR="00D81AA1" w:rsidRPr="00FE50A6">
        <w:rPr>
          <w:rFonts w:cs="Arial"/>
          <w:noProof/>
          <w:szCs w:val="20"/>
          <w:lang w:val="en-US"/>
        </w:rPr>
        <w:t xml:space="preserve"> </w:t>
      </w:r>
      <w:r w:rsidRPr="00FE50A6">
        <w:rPr>
          <w:rFonts w:cs="Arial"/>
          <w:noProof/>
          <w:szCs w:val="20"/>
          <w:lang w:val="en-US"/>
        </w:rPr>
        <w:t>Article</w:t>
      </w:r>
      <w:r w:rsidR="00D81AA1" w:rsidRPr="00FE50A6">
        <w:rPr>
          <w:rFonts w:cs="Arial"/>
          <w:noProof/>
          <w:szCs w:val="20"/>
          <w:lang w:val="en-US"/>
        </w:rPr>
        <w:t xml:space="preserve"> 25 </w:t>
      </w:r>
      <w:r w:rsidR="000D1639" w:rsidRPr="00FE50A6">
        <w:rPr>
          <w:rFonts w:cs="Arial"/>
          <w:noProof/>
          <w:szCs w:val="20"/>
          <w:lang w:val="en-US"/>
        </w:rPr>
        <w:t xml:space="preserve">is closely related to the general obligation under </w:t>
      </w:r>
      <w:r w:rsidR="00703850" w:rsidRPr="00FE50A6">
        <w:rPr>
          <w:rFonts w:cs="Arial"/>
          <w:noProof/>
          <w:szCs w:val="20"/>
          <w:lang w:val="en-US"/>
        </w:rPr>
        <w:t>Article</w:t>
      </w:r>
      <w:r w:rsidR="000B587F" w:rsidRPr="00FE50A6">
        <w:rPr>
          <w:rFonts w:cs="Arial"/>
          <w:noProof/>
          <w:szCs w:val="20"/>
          <w:lang w:val="en-US"/>
        </w:rPr>
        <w:t xml:space="preserve"> 1(1)</w:t>
      </w:r>
      <w:r w:rsidRPr="00FE50A6">
        <w:rPr>
          <w:rFonts w:cs="Arial"/>
          <w:noProof/>
          <w:szCs w:val="20"/>
          <w:lang w:val="en-US"/>
        </w:rPr>
        <w:t xml:space="preserve"> of the Convention</w:t>
      </w:r>
      <w:r w:rsidR="00D81AA1" w:rsidRPr="00FE50A6">
        <w:rPr>
          <w:rFonts w:cs="Arial"/>
          <w:noProof/>
          <w:szCs w:val="20"/>
          <w:lang w:val="en-US"/>
        </w:rPr>
        <w:t xml:space="preserve">, </w:t>
      </w:r>
      <w:r w:rsidR="000D1639" w:rsidRPr="00FE50A6">
        <w:rPr>
          <w:rFonts w:cs="Arial"/>
          <w:noProof/>
          <w:szCs w:val="20"/>
          <w:lang w:val="en-US"/>
        </w:rPr>
        <w:t>by attributing functions of protection to the domestic law of the States Parties.</w:t>
      </w:r>
      <w:r w:rsidR="00D81AA1" w:rsidRPr="00FE50A6">
        <w:rPr>
          <w:noProof/>
          <w:szCs w:val="20"/>
          <w:vertAlign w:val="superscript"/>
          <w:lang w:val="en-US"/>
        </w:rPr>
        <w:footnoteReference w:id="502"/>
      </w:r>
      <w:r w:rsidR="000D1639" w:rsidRPr="00FE50A6">
        <w:rPr>
          <w:rFonts w:cs="Arial"/>
          <w:noProof/>
          <w:szCs w:val="20"/>
          <w:lang w:val="en-US"/>
        </w:rPr>
        <w:t xml:space="preserve"> Consequently, the State is responsible not only for </w:t>
      </w:r>
      <w:r w:rsidR="00A93C97" w:rsidRPr="00FE50A6">
        <w:rPr>
          <w:rFonts w:cs="Arial"/>
          <w:noProof/>
          <w:szCs w:val="20"/>
          <w:lang w:val="en-US"/>
        </w:rPr>
        <w:t>creating</w:t>
      </w:r>
      <w:r w:rsidR="000D1639" w:rsidRPr="00FE50A6">
        <w:rPr>
          <w:rFonts w:cs="Arial"/>
          <w:noProof/>
          <w:szCs w:val="20"/>
          <w:lang w:val="en-US"/>
        </w:rPr>
        <w:t xml:space="preserve"> an effective remedy and establishing it by law, but must also ensure the due implementation of this remedy by its judicial authorities.</w:t>
      </w:r>
      <w:r w:rsidR="00D81AA1" w:rsidRPr="00FE50A6">
        <w:rPr>
          <w:noProof/>
          <w:szCs w:val="20"/>
          <w:vertAlign w:val="superscript"/>
          <w:lang w:val="en-US"/>
        </w:rPr>
        <w:footnoteReference w:id="503"/>
      </w:r>
      <w:r w:rsidR="006109E5" w:rsidRPr="00FE50A6">
        <w:rPr>
          <w:rFonts w:cs="Arial"/>
          <w:noProof/>
          <w:szCs w:val="20"/>
          <w:lang w:val="en-US"/>
        </w:rPr>
        <w:t xml:space="preserve"> </w:t>
      </w:r>
    </w:p>
    <w:p w14:paraId="1107B459" w14:textId="77777777" w:rsidR="00D81AA1" w:rsidRPr="00FE50A6" w:rsidRDefault="00D81AA1" w:rsidP="00D81AA1">
      <w:pPr>
        <w:pStyle w:val="Prrafodelista"/>
        <w:autoSpaceDE w:val="0"/>
        <w:autoSpaceDN w:val="0"/>
        <w:adjustRightInd w:val="0"/>
        <w:ind w:left="0"/>
        <w:rPr>
          <w:rFonts w:cs="Arial"/>
          <w:bCs/>
          <w:iCs/>
          <w:szCs w:val="20"/>
          <w:lang w:val="en-US"/>
        </w:rPr>
      </w:pPr>
    </w:p>
    <w:p w14:paraId="6F9E6663" w14:textId="77777777" w:rsidR="00D81AA1" w:rsidRPr="00FE50A6" w:rsidRDefault="0088467F"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In this case</w:t>
      </w:r>
      <w:r w:rsidR="00D81AA1" w:rsidRPr="00FE50A6">
        <w:rPr>
          <w:rFonts w:cs="Arial"/>
          <w:bCs/>
          <w:iCs/>
          <w:szCs w:val="20"/>
          <w:lang w:val="en-US"/>
        </w:rPr>
        <w:t xml:space="preserve">, </w:t>
      </w:r>
      <w:r w:rsidR="000228D0" w:rsidRPr="00FE50A6">
        <w:rPr>
          <w:rFonts w:cs="Arial"/>
          <w:bCs/>
          <w:iCs/>
          <w:szCs w:val="20"/>
          <w:lang w:val="en-US"/>
        </w:rPr>
        <w:t>the Court</w:t>
      </w:r>
      <w:r w:rsidR="00D81AA1" w:rsidRPr="00FE50A6">
        <w:rPr>
          <w:rFonts w:cs="Arial"/>
          <w:bCs/>
          <w:iCs/>
          <w:szCs w:val="20"/>
          <w:lang w:val="en-US"/>
        </w:rPr>
        <w:t xml:space="preserve"> consider</w:t>
      </w:r>
      <w:r w:rsidR="00F377DD" w:rsidRPr="00FE50A6">
        <w:rPr>
          <w:rFonts w:cs="Arial"/>
          <w:bCs/>
          <w:iCs/>
          <w:szCs w:val="20"/>
          <w:lang w:val="en-US"/>
        </w:rPr>
        <w:t>s, first, that</w:t>
      </w:r>
      <w:r w:rsidR="00D81AA1" w:rsidRPr="00FE50A6">
        <w:rPr>
          <w:rFonts w:cs="Arial"/>
          <w:bCs/>
          <w:iCs/>
          <w:szCs w:val="20"/>
          <w:lang w:val="en-US"/>
        </w:rPr>
        <w:t xml:space="preserve"> </w:t>
      </w:r>
      <w:r w:rsidR="000228D0" w:rsidRPr="00FE50A6">
        <w:rPr>
          <w:rFonts w:cs="Arial"/>
          <w:bCs/>
          <w:iCs/>
          <w:szCs w:val="20"/>
          <w:lang w:val="en-US"/>
        </w:rPr>
        <w:t xml:space="preserve">the </w:t>
      </w:r>
      <w:r w:rsidR="005D0370" w:rsidRPr="00FE50A6">
        <w:rPr>
          <w:rFonts w:cs="Arial"/>
          <w:bCs/>
          <w:iCs/>
          <w:szCs w:val="20"/>
          <w:lang w:val="en-US"/>
        </w:rPr>
        <w:t>Brazilian State</w:t>
      </w:r>
      <w:r w:rsidR="00D81AA1" w:rsidRPr="00FE50A6">
        <w:rPr>
          <w:rFonts w:cs="Arial"/>
          <w:bCs/>
          <w:iCs/>
          <w:szCs w:val="20"/>
          <w:lang w:val="en-US"/>
        </w:rPr>
        <w:t xml:space="preserve"> </w:t>
      </w:r>
      <w:r w:rsidR="00F377DD" w:rsidRPr="00FE50A6">
        <w:rPr>
          <w:rFonts w:cs="Arial"/>
          <w:bCs/>
          <w:iCs/>
          <w:szCs w:val="20"/>
          <w:lang w:val="en-US"/>
        </w:rPr>
        <w:t xml:space="preserve">has a legal framework that, in principle, allows it to ensure that everyone has </w:t>
      </w:r>
      <w:r w:rsidR="00D11A9F" w:rsidRPr="00FE50A6">
        <w:rPr>
          <w:rFonts w:cs="Arial"/>
          <w:bCs/>
          <w:iCs/>
          <w:szCs w:val="20"/>
          <w:lang w:val="en-US"/>
        </w:rPr>
        <w:t>judicial protection</w:t>
      </w:r>
      <w:r w:rsidR="00F377DD" w:rsidRPr="00FE50A6">
        <w:rPr>
          <w:rFonts w:cs="Arial"/>
          <w:bCs/>
          <w:iCs/>
          <w:szCs w:val="20"/>
          <w:lang w:val="en-US"/>
        </w:rPr>
        <w:t xml:space="preserve"> </w:t>
      </w:r>
      <w:r w:rsidR="00A93C97" w:rsidRPr="00FE50A6">
        <w:rPr>
          <w:rFonts w:cs="Arial"/>
          <w:bCs/>
          <w:iCs/>
          <w:szCs w:val="20"/>
          <w:lang w:val="en-US"/>
        </w:rPr>
        <w:t xml:space="preserve">by </w:t>
      </w:r>
      <w:r w:rsidR="00F377DD" w:rsidRPr="00FE50A6">
        <w:rPr>
          <w:rFonts w:cs="Arial"/>
          <w:bCs/>
          <w:iCs/>
          <w:szCs w:val="20"/>
          <w:lang w:val="en-US"/>
        </w:rPr>
        <w:t>punishing the perpetration of wrongful acts and establishing reparation for harm cause to the victims when there is a possible violation of a</w:t>
      </w:r>
      <w:r w:rsidR="00703850" w:rsidRPr="00FE50A6">
        <w:rPr>
          <w:rFonts w:cs="Arial"/>
          <w:bCs/>
          <w:iCs/>
          <w:szCs w:val="20"/>
          <w:lang w:val="en-US"/>
        </w:rPr>
        <w:t>rticle</w:t>
      </w:r>
      <w:r w:rsidR="00D81AA1" w:rsidRPr="00FE50A6">
        <w:rPr>
          <w:rFonts w:cs="Arial"/>
          <w:bCs/>
          <w:iCs/>
          <w:szCs w:val="20"/>
          <w:lang w:val="en-US"/>
        </w:rPr>
        <w:t xml:space="preserve"> 149 </w:t>
      </w:r>
      <w:r w:rsidR="0032018A" w:rsidRPr="00FE50A6">
        <w:rPr>
          <w:rFonts w:cs="Arial"/>
          <w:bCs/>
          <w:iCs/>
          <w:szCs w:val="20"/>
          <w:lang w:val="en-US"/>
        </w:rPr>
        <w:t xml:space="preserve">of the </w:t>
      </w:r>
      <w:r w:rsidR="00AC769B" w:rsidRPr="00FE50A6">
        <w:rPr>
          <w:rFonts w:cs="Arial"/>
          <w:bCs/>
          <w:iCs/>
          <w:szCs w:val="20"/>
          <w:lang w:val="en-US"/>
        </w:rPr>
        <w:t>Brazilian Penal Code</w:t>
      </w:r>
      <w:r w:rsidR="00D81AA1" w:rsidRPr="00FE50A6">
        <w:rPr>
          <w:rFonts w:cs="Arial"/>
          <w:bCs/>
          <w:iCs/>
          <w:szCs w:val="20"/>
          <w:lang w:val="en-US"/>
        </w:rPr>
        <w:t xml:space="preserve">, </w:t>
      </w:r>
      <w:r w:rsidR="00F377DD" w:rsidRPr="00FE50A6">
        <w:rPr>
          <w:rFonts w:cs="Arial"/>
          <w:bCs/>
          <w:iCs/>
          <w:szCs w:val="20"/>
          <w:lang w:val="en-US"/>
        </w:rPr>
        <w:t>which establishes reduction to a condition similar to that of a slave as a crime</w:t>
      </w:r>
      <w:r w:rsidR="00D81AA1" w:rsidRPr="00FE50A6">
        <w:rPr>
          <w:rFonts w:cs="Arial"/>
          <w:szCs w:val="20"/>
          <w:lang w:val="en-US"/>
        </w:rPr>
        <w:t>.</w:t>
      </w:r>
      <w:r w:rsidR="00D81AA1" w:rsidRPr="00FE50A6">
        <w:rPr>
          <w:rFonts w:cs="Arial"/>
          <w:bCs/>
          <w:iCs/>
          <w:szCs w:val="20"/>
          <w:lang w:val="en-US"/>
        </w:rPr>
        <w:t xml:space="preserve"> </w:t>
      </w:r>
    </w:p>
    <w:p w14:paraId="2ACADCAD" w14:textId="77777777" w:rsidR="00D81AA1" w:rsidRPr="00FE50A6" w:rsidRDefault="00D81AA1" w:rsidP="00D81AA1">
      <w:pPr>
        <w:pStyle w:val="Prrafodelista"/>
        <w:rPr>
          <w:rFonts w:cs="Arial"/>
          <w:bCs/>
          <w:iCs/>
          <w:szCs w:val="20"/>
          <w:lang w:val="en-US"/>
        </w:rPr>
      </w:pPr>
    </w:p>
    <w:p w14:paraId="4380A44D" w14:textId="77777777" w:rsidR="00F377DD" w:rsidRPr="00FE50A6" w:rsidRDefault="00F377DD"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However</w:t>
      </w:r>
      <w:r w:rsidR="00D81AA1" w:rsidRPr="00FE50A6">
        <w:rPr>
          <w:rFonts w:cs="Arial"/>
          <w:bCs/>
          <w:iCs/>
          <w:szCs w:val="20"/>
          <w:lang w:val="en-US"/>
        </w:rPr>
        <w:t xml:space="preserve">, </w:t>
      </w:r>
      <w:r w:rsidR="000228D0" w:rsidRPr="00FE50A6">
        <w:rPr>
          <w:rFonts w:cs="Arial"/>
          <w:bCs/>
          <w:iCs/>
          <w:szCs w:val="20"/>
          <w:lang w:val="en-US"/>
        </w:rPr>
        <w:t xml:space="preserve">the </w:t>
      </w:r>
      <w:r w:rsidR="0088467F" w:rsidRPr="00FE50A6">
        <w:rPr>
          <w:rFonts w:cs="Arial"/>
          <w:bCs/>
          <w:iCs/>
          <w:szCs w:val="20"/>
          <w:lang w:val="en-US"/>
        </w:rPr>
        <w:t>Court recalls</w:t>
      </w:r>
      <w:r w:rsidR="00D81AA1" w:rsidRPr="00FE50A6">
        <w:rPr>
          <w:rFonts w:cs="Arial"/>
          <w:bCs/>
          <w:iCs/>
          <w:szCs w:val="20"/>
          <w:lang w:val="en-US"/>
        </w:rPr>
        <w:t xml:space="preserve"> </w:t>
      </w:r>
      <w:r w:rsidRPr="00FE50A6">
        <w:rPr>
          <w:rFonts w:cs="Arial"/>
          <w:bCs/>
          <w:iCs/>
          <w:szCs w:val="20"/>
          <w:lang w:val="en-US"/>
        </w:rPr>
        <w:t xml:space="preserve">its case law that the mere existence of judicial remedies does not </w:t>
      </w:r>
      <w:r w:rsidR="00A93C97" w:rsidRPr="00FE50A6">
        <w:rPr>
          <w:rFonts w:cs="Arial"/>
          <w:bCs/>
          <w:iCs/>
          <w:szCs w:val="20"/>
          <w:lang w:val="en-US"/>
        </w:rPr>
        <w:t>meet</w:t>
      </w:r>
      <w:r w:rsidRPr="00FE50A6">
        <w:rPr>
          <w:rFonts w:cs="Arial"/>
          <w:bCs/>
          <w:iCs/>
          <w:szCs w:val="20"/>
          <w:lang w:val="en-US"/>
        </w:rPr>
        <w:t xml:space="preserve"> the State’s obligation under the Convention; rather, the facts </w:t>
      </w:r>
      <w:r w:rsidR="00A93C97" w:rsidRPr="00FE50A6">
        <w:rPr>
          <w:rFonts w:cs="Arial"/>
          <w:bCs/>
          <w:iCs/>
          <w:szCs w:val="20"/>
          <w:lang w:val="en-US"/>
        </w:rPr>
        <w:t>must</w:t>
      </w:r>
      <w:r w:rsidRPr="00FE50A6">
        <w:rPr>
          <w:rFonts w:cs="Arial"/>
          <w:bCs/>
          <w:iCs/>
          <w:szCs w:val="20"/>
          <w:lang w:val="en-US"/>
        </w:rPr>
        <w:t xml:space="preserve"> demonstrate that the</w:t>
      </w:r>
      <w:r w:rsidR="00A93C97" w:rsidRPr="00FE50A6">
        <w:rPr>
          <w:rFonts w:cs="Arial"/>
          <w:bCs/>
          <w:iCs/>
          <w:szCs w:val="20"/>
          <w:lang w:val="en-US"/>
        </w:rPr>
        <w:t>se remedies</w:t>
      </w:r>
      <w:r w:rsidRPr="00FE50A6">
        <w:rPr>
          <w:rFonts w:cs="Arial"/>
          <w:bCs/>
          <w:iCs/>
          <w:szCs w:val="20"/>
          <w:lang w:val="en-US"/>
        </w:rPr>
        <w:t xml:space="preserve"> are appropriate and effective and that they provide a prompt and exhaustive response in keeping with their purpose, which is to determine responsibilities and to make reparation to the victims when appropriate. The Court will now analyze whether the proceedings undertaken in this case were </w:t>
      </w:r>
      <w:r w:rsidR="00A93C97" w:rsidRPr="00FE50A6">
        <w:rPr>
          <w:rFonts w:cs="Arial"/>
          <w:bCs/>
          <w:iCs/>
          <w:szCs w:val="20"/>
          <w:lang w:val="en-US"/>
        </w:rPr>
        <w:t>truly</w:t>
      </w:r>
      <w:r w:rsidRPr="00FE50A6">
        <w:rPr>
          <w:rFonts w:cs="Arial"/>
          <w:bCs/>
          <w:iCs/>
          <w:szCs w:val="20"/>
          <w:lang w:val="en-US"/>
        </w:rPr>
        <w:t xml:space="preserve"> appropriate and effective mechanisms.</w:t>
      </w:r>
    </w:p>
    <w:p w14:paraId="392BF471" w14:textId="77777777" w:rsidR="00D81AA1" w:rsidRPr="00FE50A6" w:rsidRDefault="00D81AA1" w:rsidP="00D81AA1">
      <w:pPr>
        <w:pStyle w:val="Prrafodelista"/>
        <w:rPr>
          <w:rFonts w:cs="Arial"/>
          <w:bCs/>
          <w:iCs/>
          <w:szCs w:val="20"/>
          <w:lang w:val="en-US"/>
        </w:rPr>
      </w:pPr>
    </w:p>
    <w:p w14:paraId="664D5E0D" w14:textId="77777777" w:rsidR="00D81AA1" w:rsidRPr="00FE50A6" w:rsidRDefault="00F377DD"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Regarding the 1997 criminal proceedings, the Court underlines that the charges were filed against the</w:t>
      </w:r>
      <w:r w:rsidR="00DB1C1D" w:rsidRPr="00FE50A6">
        <w:rPr>
          <w:rFonts w:cs="Arial"/>
          <w:i/>
          <w:szCs w:val="20"/>
          <w:lang w:val="en-US"/>
        </w:rPr>
        <w:t xml:space="preserve"> gato </w:t>
      </w:r>
      <w:r w:rsidR="00D81AA1" w:rsidRPr="00FE50A6">
        <w:rPr>
          <w:rFonts w:cs="Arial"/>
          <w:szCs w:val="20"/>
          <w:lang w:val="en-US"/>
        </w:rPr>
        <w:t>Raimundo Alves d</w:t>
      </w:r>
      <w:r w:rsidR="00752D4A" w:rsidRPr="00FE50A6">
        <w:rPr>
          <w:rFonts w:cs="Arial"/>
          <w:szCs w:val="20"/>
          <w:lang w:val="en-US"/>
        </w:rPr>
        <w:t>a</w:t>
      </w:r>
      <w:r w:rsidR="00D81AA1" w:rsidRPr="00FE50A6">
        <w:rPr>
          <w:rFonts w:cs="Arial"/>
          <w:szCs w:val="20"/>
          <w:lang w:val="en-US"/>
        </w:rPr>
        <w:t xml:space="preserve"> Rocha</w:t>
      </w:r>
      <w:r w:rsidRPr="00FE50A6">
        <w:rPr>
          <w:rFonts w:cs="Arial"/>
          <w:szCs w:val="20"/>
          <w:lang w:val="en-US"/>
        </w:rPr>
        <w:t>, the manager of Hacienda Brasil Verde</w:t>
      </w:r>
      <w:r w:rsidR="00A93C97" w:rsidRPr="00FE50A6">
        <w:rPr>
          <w:rFonts w:cs="Arial"/>
          <w:szCs w:val="20"/>
          <w:lang w:val="en-US"/>
        </w:rPr>
        <w:t>,</w:t>
      </w:r>
      <w:r w:rsidR="00D81AA1" w:rsidRPr="00FE50A6">
        <w:rPr>
          <w:rFonts w:cs="Arial"/>
          <w:szCs w:val="20"/>
          <w:lang w:val="en-US"/>
        </w:rPr>
        <w:t xml:space="preserve"> </w:t>
      </w:r>
      <w:r w:rsidR="00D60654" w:rsidRPr="00FE50A6">
        <w:rPr>
          <w:rFonts w:cs="Arial"/>
          <w:szCs w:val="20"/>
          <w:lang w:val="en-US"/>
        </w:rPr>
        <w:t xml:space="preserve">Antônio </w:t>
      </w:r>
      <w:r w:rsidR="00D81AA1" w:rsidRPr="00FE50A6">
        <w:rPr>
          <w:rFonts w:cs="Arial"/>
          <w:szCs w:val="20"/>
          <w:lang w:val="en-US"/>
        </w:rPr>
        <w:t xml:space="preserve">Alves Vieira, </w:t>
      </w:r>
      <w:r w:rsidR="00030C17" w:rsidRPr="00FE50A6">
        <w:rPr>
          <w:rFonts w:cs="Arial"/>
          <w:szCs w:val="20"/>
          <w:lang w:val="en-US"/>
        </w:rPr>
        <w:t xml:space="preserve">and </w:t>
      </w:r>
      <w:r w:rsidRPr="00FE50A6">
        <w:rPr>
          <w:rFonts w:cs="Arial"/>
          <w:szCs w:val="20"/>
          <w:lang w:val="en-US"/>
        </w:rPr>
        <w:t xml:space="preserve">the owner of the hacienda, </w:t>
      </w:r>
      <w:r w:rsidR="00D81AA1" w:rsidRPr="00FE50A6">
        <w:rPr>
          <w:rFonts w:cs="Arial"/>
          <w:szCs w:val="20"/>
          <w:lang w:val="en-US"/>
        </w:rPr>
        <w:t>João Luiz Quagliato Neto</w:t>
      </w:r>
      <w:r w:rsidRPr="00FE50A6">
        <w:rPr>
          <w:rFonts w:cs="Arial"/>
          <w:szCs w:val="20"/>
          <w:lang w:val="en-US"/>
        </w:rPr>
        <w:t xml:space="preserve">. However, only </w:t>
      </w:r>
      <w:r w:rsidR="00D81AA1" w:rsidRPr="00FE50A6">
        <w:rPr>
          <w:rFonts w:cs="Arial"/>
          <w:szCs w:val="20"/>
          <w:lang w:val="en-US"/>
        </w:rPr>
        <w:t>Raimundo Alves</w:t>
      </w:r>
      <w:r w:rsidR="00030C17" w:rsidRPr="00FE50A6">
        <w:rPr>
          <w:rFonts w:cs="Arial"/>
          <w:szCs w:val="20"/>
          <w:lang w:val="en-US"/>
        </w:rPr>
        <w:t xml:space="preserve"> and </w:t>
      </w:r>
      <w:r w:rsidR="00D60654" w:rsidRPr="00FE50A6">
        <w:rPr>
          <w:rFonts w:cs="Arial"/>
          <w:szCs w:val="20"/>
          <w:lang w:val="en-US"/>
        </w:rPr>
        <w:t xml:space="preserve">Antônio </w:t>
      </w:r>
      <w:r w:rsidR="00D81AA1" w:rsidRPr="00FE50A6">
        <w:rPr>
          <w:rFonts w:cs="Arial"/>
          <w:szCs w:val="20"/>
          <w:lang w:val="en-US"/>
        </w:rPr>
        <w:t xml:space="preserve">Alves </w:t>
      </w:r>
      <w:r w:rsidRPr="00FE50A6">
        <w:rPr>
          <w:rFonts w:cs="Arial"/>
          <w:szCs w:val="20"/>
          <w:lang w:val="en-US"/>
        </w:rPr>
        <w:t xml:space="preserve">was charged with committing the crime of reduction to a condition similar to that of a slave, while </w:t>
      </w:r>
      <w:r w:rsidR="00D81AA1" w:rsidRPr="00FE50A6">
        <w:rPr>
          <w:rFonts w:cs="Arial"/>
          <w:szCs w:val="20"/>
          <w:lang w:val="en-US"/>
        </w:rPr>
        <w:t xml:space="preserve">João Luiz Quagliato Neto </w:t>
      </w:r>
      <w:r w:rsidRPr="00FE50A6">
        <w:rPr>
          <w:rFonts w:cs="Arial"/>
          <w:szCs w:val="20"/>
          <w:lang w:val="en-US"/>
        </w:rPr>
        <w:t>was charged with committing a less serious offense.</w:t>
      </w:r>
    </w:p>
    <w:p w14:paraId="411E121B" w14:textId="77777777" w:rsidR="00D81AA1" w:rsidRPr="00FE50A6" w:rsidRDefault="00D81AA1" w:rsidP="00D81AA1">
      <w:pPr>
        <w:pStyle w:val="Prrafodelista"/>
        <w:rPr>
          <w:rFonts w:cs="Arial"/>
          <w:bCs/>
          <w:iCs/>
          <w:szCs w:val="20"/>
          <w:lang w:val="en-US"/>
        </w:rPr>
      </w:pPr>
    </w:p>
    <w:p w14:paraId="39A9798A" w14:textId="77777777" w:rsidR="00D81AA1" w:rsidRPr="00FE50A6" w:rsidRDefault="00A93C97"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Both</w:t>
      </w:r>
      <w:r w:rsidR="00FF2C34" w:rsidRPr="00FE50A6">
        <w:rPr>
          <w:rFonts w:cs="Arial"/>
          <w:bCs/>
          <w:iCs/>
          <w:szCs w:val="20"/>
          <w:lang w:val="en-US"/>
        </w:rPr>
        <w:t xml:space="preserve"> the delay resulting from the lack of procedural action</w:t>
      </w:r>
      <w:r w:rsidRPr="00FE50A6">
        <w:rPr>
          <w:rFonts w:cs="Arial"/>
          <w:bCs/>
          <w:iCs/>
          <w:szCs w:val="20"/>
          <w:lang w:val="en-US"/>
        </w:rPr>
        <w:t xml:space="preserve"> and</w:t>
      </w:r>
      <w:r w:rsidR="00FF2C34" w:rsidRPr="00FE50A6">
        <w:rPr>
          <w:rFonts w:cs="Arial"/>
          <w:bCs/>
          <w:iCs/>
          <w:szCs w:val="20"/>
          <w:lang w:val="en-US"/>
        </w:rPr>
        <w:t xml:space="preserve"> the delay arising from the conflict of competences contravened </w:t>
      </w:r>
      <w:r w:rsidR="00576F80" w:rsidRPr="00FE50A6">
        <w:rPr>
          <w:rFonts w:cs="Arial"/>
          <w:bCs/>
          <w:iCs/>
          <w:szCs w:val="20"/>
          <w:lang w:val="en-US"/>
        </w:rPr>
        <w:t>due diligence</w:t>
      </w:r>
      <w:r w:rsidR="00D81AA1" w:rsidRPr="00FE50A6">
        <w:rPr>
          <w:rFonts w:cs="Arial"/>
          <w:bCs/>
          <w:iCs/>
          <w:szCs w:val="20"/>
          <w:lang w:val="en-US"/>
        </w:rPr>
        <w:t xml:space="preserve"> </w:t>
      </w:r>
      <w:r w:rsidR="00FF2C34" w:rsidRPr="00FE50A6">
        <w:rPr>
          <w:rFonts w:cs="Arial"/>
          <w:bCs/>
          <w:iCs/>
          <w:szCs w:val="20"/>
          <w:lang w:val="en-US"/>
        </w:rPr>
        <w:t>i</w:t>
      </w:r>
      <w:r w:rsidR="00D81AA1" w:rsidRPr="00FE50A6">
        <w:rPr>
          <w:rFonts w:cs="Arial"/>
          <w:bCs/>
          <w:iCs/>
          <w:szCs w:val="20"/>
          <w:lang w:val="en-US"/>
        </w:rPr>
        <w:t xml:space="preserve">n </w:t>
      </w:r>
      <w:r w:rsidR="00F37838" w:rsidRPr="00FE50A6">
        <w:rPr>
          <w:rFonts w:cs="Arial"/>
          <w:bCs/>
          <w:iCs/>
          <w:szCs w:val="20"/>
          <w:lang w:val="en-US"/>
        </w:rPr>
        <w:t>the criminal proceedings</w:t>
      </w:r>
      <w:r w:rsidR="00D81AA1" w:rsidRPr="00FE50A6">
        <w:rPr>
          <w:rFonts w:cs="Arial"/>
          <w:bCs/>
          <w:iCs/>
          <w:szCs w:val="20"/>
          <w:lang w:val="en-US"/>
        </w:rPr>
        <w:t xml:space="preserve"> (</w:t>
      </w:r>
      <w:r w:rsidR="00D81AA1" w:rsidRPr="00FE50A6">
        <w:rPr>
          <w:rFonts w:cs="Arial"/>
          <w:bCs/>
          <w:i/>
          <w:iCs/>
          <w:szCs w:val="20"/>
          <w:lang w:val="en-US"/>
        </w:rPr>
        <w:t>supra</w:t>
      </w:r>
      <w:r w:rsidR="00D81AA1" w:rsidRPr="00FE50A6">
        <w:rPr>
          <w:rFonts w:cs="Arial"/>
          <w:bCs/>
          <w:iCs/>
          <w:szCs w:val="20"/>
          <w:lang w:val="en-US"/>
        </w:rPr>
        <w:t xml:space="preserve"> </w:t>
      </w:r>
      <w:r w:rsidR="00700B79" w:rsidRPr="00FE50A6">
        <w:rPr>
          <w:rFonts w:cs="Arial"/>
          <w:bCs/>
          <w:iCs/>
          <w:szCs w:val="20"/>
          <w:lang w:val="en-US"/>
        </w:rPr>
        <w:t>para.</w:t>
      </w:r>
      <w:r w:rsidR="00D81AA1" w:rsidRPr="00FE50A6">
        <w:rPr>
          <w:rFonts w:cs="Arial"/>
          <w:bCs/>
          <w:iCs/>
          <w:szCs w:val="20"/>
          <w:lang w:val="en-US"/>
        </w:rPr>
        <w:t xml:space="preserve"> </w:t>
      </w:r>
      <w:r w:rsidR="00146AEA" w:rsidRPr="00FE50A6">
        <w:rPr>
          <w:rFonts w:cs="Arial"/>
          <w:bCs/>
          <w:iCs/>
          <w:szCs w:val="20"/>
          <w:lang w:val="en-US"/>
        </w:rPr>
        <w:t>367</w:t>
      </w:r>
      <w:r w:rsidR="008E18B4" w:rsidRPr="00FE50A6">
        <w:rPr>
          <w:rFonts w:cs="Arial"/>
          <w:bCs/>
          <w:iCs/>
          <w:szCs w:val="20"/>
          <w:lang w:val="en-US"/>
        </w:rPr>
        <w:t>)</w:t>
      </w:r>
      <w:r w:rsidR="00FF2C34" w:rsidRPr="00FE50A6">
        <w:rPr>
          <w:rFonts w:cs="Arial"/>
          <w:bCs/>
          <w:iCs/>
          <w:szCs w:val="20"/>
          <w:lang w:val="en-US"/>
        </w:rPr>
        <w:t>.</w:t>
      </w:r>
      <w:r w:rsidR="008E18B4" w:rsidRPr="00FE50A6">
        <w:rPr>
          <w:rFonts w:cs="Arial"/>
          <w:bCs/>
          <w:iCs/>
          <w:szCs w:val="20"/>
          <w:lang w:val="en-US"/>
        </w:rPr>
        <w:t xml:space="preserve"> </w:t>
      </w:r>
      <w:r w:rsidR="00FF2C34" w:rsidRPr="00FE50A6">
        <w:rPr>
          <w:rFonts w:cs="Arial"/>
          <w:bCs/>
          <w:iCs/>
          <w:szCs w:val="20"/>
          <w:lang w:val="en-US"/>
        </w:rPr>
        <w:t>T</w:t>
      </w:r>
      <w:r w:rsidR="000228D0" w:rsidRPr="00FE50A6">
        <w:rPr>
          <w:rFonts w:cs="Arial"/>
          <w:bCs/>
          <w:iCs/>
          <w:szCs w:val="20"/>
          <w:lang w:val="en-US"/>
        </w:rPr>
        <w:t>he Court</w:t>
      </w:r>
      <w:r w:rsidR="00D81AA1" w:rsidRPr="00FE50A6">
        <w:rPr>
          <w:rFonts w:cs="Arial"/>
          <w:bCs/>
          <w:iCs/>
          <w:szCs w:val="20"/>
          <w:lang w:val="en-US"/>
        </w:rPr>
        <w:t xml:space="preserve"> not</w:t>
      </w:r>
      <w:r w:rsidR="00FF2C34" w:rsidRPr="00FE50A6">
        <w:rPr>
          <w:rFonts w:cs="Arial"/>
          <w:bCs/>
          <w:iCs/>
          <w:szCs w:val="20"/>
          <w:lang w:val="en-US"/>
        </w:rPr>
        <w:t xml:space="preserve">es that, following various actions </w:t>
      </w:r>
      <w:r w:rsidRPr="00FE50A6">
        <w:rPr>
          <w:rFonts w:cs="Arial"/>
          <w:bCs/>
          <w:iCs/>
          <w:szCs w:val="20"/>
          <w:lang w:val="en-US"/>
        </w:rPr>
        <w:t>with</w:t>
      </w:r>
      <w:r w:rsidR="00FF2C34" w:rsidRPr="00FE50A6">
        <w:rPr>
          <w:rFonts w:cs="Arial"/>
          <w:bCs/>
          <w:iCs/>
          <w:szCs w:val="20"/>
          <w:lang w:val="en-US"/>
        </w:rPr>
        <w:t xml:space="preserve"> no procedural relevance, on </w:t>
      </w:r>
      <w:r w:rsidR="00BA1DCE" w:rsidRPr="00FE50A6">
        <w:rPr>
          <w:rFonts w:cs="Arial"/>
          <w:szCs w:val="20"/>
          <w:lang w:val="en-US"/>
        </w:rPr>
        <w:t>May 28,</w:t>
      </w:r>
      <w:r w:rsidR="00D81AA1" w:rsidRPr="00FE50A6">
        <w:rPr>
          <w:rFonts w:cs="Arial"/>
          <w:szCs w:val="20"/>
          <w:lang w:val="en-US"/>
        </w:rPr>
        <w:t xml:space="preserve"> 2002</w:t>
      </w:r>
      <w:r w:rsidR="00FF2C34" w:rsidRPr="00FE50A6">
        <w:rPr>
          <w:rFonts w:cs="Arial"/>
          <w:szCs w:val="20"/>
          <w:lang w:val="en-US"/>
        </w:rPr>
        <w:t xml:space="preserve">, it was declared that the criminal action filed against </w:t>
      </w:r>
      <w:r w:rsidR="00D81AA1" w:rsidRPr="00FE50A6">
        <w:rPr>
          <w:rFonts w:cs="Arial"/>
          <w:szCs w:val="20"/>
          <w:lang w:val="en-US"/>
        </w:rPr>
        <w:t>João Luiz Quagliato Neto</w:t>
      </w:r>
      <w:r w:rsidR="00030C17" w:rsidRPr="00FE50A6">
        <w:rPr>
          <w:rFonts w:cs="Arial"/>
          <w:szCs w:val="20"/>
          <w:lang w:val="en-US"/>
        </w:rPr>
        <w:t xml:space="preserve"> </w:t>
      </w:r>
      <w:r w:rsidR="00FF2C34" w:rsidRPr="00FE50A6">
        <w:rPr>
          <w:rFonts w:cs="Arial"/>
          <w:szCs w:val="20"/>
          <w:lang w:val="en-US"/>
        </w:rPr>
        <w:t xml:space="preserve">had extinguished </w:t>
      </w:r>
      <w:r w:rsidR="00030C17" w:rsidRPr="00FE50A6">
        <w:rPr>
          <w:rFonts w:cs="Arial"/>
          <w:szCs w:val="20"/>
          <w:lang w:val="en-US"/>
        </w:rPr>
        <w:t>and</w:t>
      </w:r>
      <w:r w:rsidR="00FF2C34" w:rsidRPr="00FE50A6">
        <w:rPr>
          <w:rFonts w:cs="Arial"/>
          <w:szCs w:val="20"/>
          <w:lang w:val="en-US"/>
        </w:rPr>
        <w:t>,</w:t>
      </w:r>
      <w:r w:rsidR="00030C17" w:rsidRPr="00FE50A6">
        <w:rPr>
          <w:rFonts w:cs="Arial"/>
          <w:szCs w:val="20"/>
          <w:lang w:val="en-US"/>
        </w:rPr>
        <w:t xml:space="preserve"> </w:t>
      </w:r>
      <w:r w:rsidR="00FF2C34" w:rsidRPr="00FE50A6">
        <w:rPr>
          <w:rFonts w:cs="Arial"/>
          <w:szCs w:val="20"/>
          <w:lang w:val="en-US"/>
        </w:rPr>
        <w:t>on</w:t>
      </w:r>
      <w:r w:rsidR="00D81AA1" w:rsidRPr="00FE50A6">
        <w:rPr>
          <w:rFonts w:cs="Arial"/>
          <w:szCs w:val="20"/>
          <w:lang w:val="en-US"/>
        </w:rPr>
        <w:t xml:space="preserve"> </w:t>
      </w:r>
      <w:r w:rsidR="00F8114C" w:rsidRPr="00FE50A6">
        <w:rPr>
          <w:rFonts w:cs="Arial"/>
          <w:szCs w:val="20"/>
          <w:lang w:val="en-US"/>
        </w:rPr>
        <w:t>July 10,</w:t>
      </w:r>
      <w:r w:rsidR="00D81AA1" w:rsidRPr="00FE50A6">
        <w:rPr>
          <w:rFonts w:cs="Arial"/>
          <w:szCs w:val="20"/>
          <w:lang w:val="en-US"/>
        </w:rPr>
        <w:t xml:space="preserve"> 2008</w:t>
      </w:r>
      <w:r w:rsidR="00FF2C34" w:rsidRPr="00FE50A6">
        <w:rPr>
          <w:rFonts w:cs="Arial"/>
          <w:szCs w:val="20"/>
          <w:lang w:val="en-US"/>
        </w:rPr>
        <w:t xml:space="preserve">, it was declared that the penalty had prescribed with regard to the wrongful acts attributed to </w:t>
      </w:r>
      <w:r w:rsidR="00D81AA1" w:rsidRPr="00FE50A6">
        <w:rPr>
          <w:rFonts w:cs="Arial"/>
          <w:szCs w:val="20"/>
          <w:lang w:val="en-US"/>
        </w:rPr>
        <w:t>Raimundo Alves de Rocha</w:t>
      </w:r>
      <w:r w:rsidR="00030C17" w:rsidRPr="00FE50A6">
        <w:rPr>
          <w:rFonts w:cs="Arial"/>
          <w:szCs w:val="20"/>
          <w:lang w:val="en-US"/>
        </w:rPr>
        <w:t xml:space="preserve"> and </w:t>
      </w:r>
      <w:r w:rsidR="00D60654" w:rsidRPr="00FE50A6">
        <w:rPr>
          <w:rFonts w:cs="Arial"/>
          <w:szCs w:val="20"/>
          <w:lang w:val="en-US"/>
        </w:rPr>
        <w:t xml:space="preserve">Antônio </w:t>
      </w:r>
      <w:r w:rsidR="00D81AA1" w:rsidRPr="00FE50A6">
        <w:rPr>
          <w:rFonts w:cs="Arial"/>
          <w:szCs w:val="20"/>
          <w:lang w:val="en-US"/>
        </w:rPr>
        <w:t xml:space="preserve">Alves Vieira, </w:t>
      </w:r>
      <w:r w:rsidR="00FF2C34" w:rsidRPr="00FE50A6">
        <w:rPr>
          <w:rFonts w:cs="Arial"/>
          <w:szCs w:val="20"/>
          <w:lang w:val="en-US"/>
        </w:rPr>
        <w:t>following a 10-year delay in processing the case</w:t>
      </w:r>
      <w:r w:rsidR="00D81AA1" w:rsidRPr="00FE50A6">
        <w:rPr>
          <w:rFonts w:cs="Arial"/>
          <w:szCs w:val="20"/>
          <w:lang w:val="en-US"/>
        </w:rPr>
        <w:t xml:space="preserve">. </w:t>
      </w:r>
    </w:p>
    <w:p w14:paraId="35A873E8" w14:textId="77777777" w:rsidR="00D81AA1" w:rsidRPr="00FE50A6" w:rsidRDefault="00D81AA1" w:rsidP="00D81AA1">
      <w:pPr>
        <w:pStyle w:val="Prrafodelista"/>
        <w:rPr>
          <w:rFonts w:cs="Arial"/>
          <w:bCs/>
          <w:iCs/>
          <w:szCs w:val="20"/>
          <w:lang w:val="en-US"/>
        </w:rPr>
      </w:pPr>
    </w:p>
    <w:p w14:paraId="1A735DC8" w14:textId="77777777" w:rsidR="00D81AA1" w:rsidRPr="00FE50A6" w:rsidRDefault="000228D0" w:rsidP="00FF2C34">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The Court</w:t>
      </w:r>
      <w:r w:rsidR="00D81AA1" w:rsidRPr="00FE50A6">
        <w:rPr>
          <w:rFonts w:cs="Arial"/>
          <w:bCs/>
          <w:iCs/>
          <w:szCs w:val="20"/>
          <w:lang w:val="en-US"/>
        </w:rPr>
        <w:t xml:space="preserve"> consider</w:t>
      </w:r>
      <w:r w:rsidR="00FF2C34" w:rsidRPr="00FE50A6">
        <w:rPr>
          <w:rFonts w:cs="Arial"/>
          <w:bCs/>
          <w:iCs/>
          <w:szCs w:val="20"/>
          <w:lang w:val="en-US"/>
        </w:rPr>
        <w:t xml:space="preserve">s that the 1997 criminal action should have responded to the facts denounced with special diligence. To the contrary, the fact that it lasted so long </w:t>
      </w:r>
      <w:r w:rsidR="00A93C97" w:rsidRPr="00FE50A6">
        <w:rPr>
          <w:rFonts w:cs="Arial"/>
          <w:bCs/>
          <w:iCs/>
          <w:szCs w:val="20"/>
          <w:lang w:val="en-US"/>
        </w:rPr>
        <w:t>based on</w:t>
      </w:r>
      <w:r w:rsidR="00FF2C34" w:rsidRPr="00FE50A6">
        <w:rPr>
          <w:rFonts w:cs="Arial"/>
          <w:bCs/>
          <w:iCs/>
          <w:szCs w:val="20"/>
          <w:lang w:val="en-US"/>
        </w:rPr>
        <w:t xml:space="preserve"> factors that can be attributed to the judicial authorities, made it impossible to examine the case. The Court emphasizes that, in its declaration of prescription, </w:t>
      </w:r>
      <w:r w:rsidR="00F8114C" w:rsidRPr="00FE50A6">
        <w:rPr>
          <w:rFonts w:cs="Arial"/>
          <w:szCs w:val="20"/>
          <w:lang w:val="en-US"/>
        </w:rPr>
        <w:t>the Public</w:t>
      </w:r>
      <w:r w:rsidR="006B2842" w:rsidRPr="00FE50A6">
        <w:rPr>
          <w:rFonts w:cs="Arial"/>
          <w:szCs w:val="20"/>
          <w:lang w:val="en-US"/>
        </w:rPr>
        <w:t xml:space="preserve"> Prosecution Service</w:t>
      </w:r>
      <w:r w:rsidR="00FF2C34" w:rsidRPr="00FE50A6">
        <w:rPr>
          <w:rFonts w:cs="Arial"/>
          <w:szCs w:val="20"/>
          <w:lang w:val="en-US"/>
        </w:rPr>
        <w:t xml:space="preserve"> indicated that “there [was] sufficient evidence o</w:t>
      </w:r>
      <w:r w:rsidR="00A93C97" w:rsidRPr="00FE50A6">
        <w:rPr>
          <w:rFonts w:cs="Arial"/>
          <w:szCs w:val="20"/>
          <w:lang w:val="en-US"/>
        </w:rPr>
        <w:t>f</w:t>
      </w:r>
      <w:r w:rsidR="00FF2C34" w:rsidRPr="00FE50A6">
        <w:rPr>
          <w:rFonts w:cs="Arial"/>
          <w:szCs w:val="20"/>
          <w:lang w:val="en-US"/>
        </w:rPr>
        <w:t xml:space="preserve"> the authorship and practice of the crimes of reduction to a condition similar to that of a slave […], </w:t>
      </w:r>
      <w:r w:rsidR="00F84DE9" w:rsidRPr="00FE50A6">
        <w:rPr>
          <w:rFonts w:cs="Arial"/>
          <w:szCs w:val="20"/>
          <w:lang w:val="en-US"/>
        </w:rPr>
        <w:t xml:space="preserve">violation of freedom of work […], and illegal recruitment of workers from one part of national territory </w:t>
      </w:r>
      <w:r w:rsidR="00A93C97" w:rsidRPr="00FE50A6">
        <w:rPr>
          <w:rFonts w:cs="Arial"/>
          <w:szCs w:val="20"/>
          <w:lang w:val="en-US"/>
        </w:rPr>
        <w:t>to</w:t>
      </w:r>
      <w:r w:rsidR="00F84DE9" w:rsidRPr="00FE50A6">
        <w:rPr>
          <w:rFonts w:cs="Arial"/>
          <w:szCs w:val="20"/>
          <w:lang w:val="en-US"/>
        </w:rPr>
        <w:t xml:space="preserve"> another […], by debt bondage.” However, despite being aware of these factors, the judicial authorities failed to </w:t>
      </w:r>
      <w:r w:rsidR="00565C32" w:rsidRPr="00FE50A6">
        <w:rPr>
          <w:rFonts w:cs="Arial"/>
          <w:szCs w:val="20"/>
          <w:lang w:val="en-US"/>
        </w:rPr>
        <w:t>ensure</w:t>
      </w:r>
      <w:r w:rsidR="00F84DE9" w:rsidRPr="00FE50A6">
        <w:rPr>
          <w:rFonts w:cs="Arial"/>
          <w:szCs w:val="20"/>
          <w:lang w:val="en-US"/>
        </w:rPr>
        <w:t xml:space="preserve"> the necessary procedural</w:t>
      </w:r>
      <w:r w:rsidR="00565C32" w:rsidRPr="00FE50A6">
        <w:rPr>
          <w:rFonts w:cs="Arial"/>
          <w:szCs w:val="20"/>
          <w:lang w:val="en-US"/>
        </w:rPr>
        <w:t xml:space="preserve"> impetus</w:t>
      </w:r>
      <w:r w:rsidR="00F84DE9" w:rsidRPr="00FE50A6">
        <w:rPr>
          <w:rFonts w:cs="Arial"/>
          <w:szCs w:val="20"/>
          <w:lang w:val="en-US"/>
        </w:rPr>
        <w:t xml:space="preserve"> to determine the responsibilities in the case promptly and expeditiously, </w:t>
      </w:r>
      <w:r w:rsidR="00565C32" w:rsidRPr="00FE50A6">
        <w:rPr>
          <w:rFonts w:cs="Arial"/>
          <w:szCs w:val="20"/>
          <w:lang w:val="en-US"/>
        </w:rPr>
        <w:t>together with</w:t>
      </w:r>
      <w:r w:rsidR="00F84DE9" w:rsidRPr="00FE50A6">
        <w:rPr>
          <w:rFonts w:cs="Arial"/>
          <w:szCs w:val="20"/>
          <w:lang w:val="en-US"/>
        </w:rPr>
        <w:t xml:space="preserve"> the measures to protect the victims and provide them with redress</w:t>
      </w:r>
      <w:r w:rsidR="00D81AA1" w:rsidRPr="00FE50A6">
        <w:rPr>
          <w:rFonts w:cs="Arial"/>
          <w:szCs w:val="20"/>
          <w:lang w:val="en-US"/>
        </w:rPr>
        <w:t xml:space="preserve">. </w:t>
      </w:r>
    </w:p>
    <w:p w14:paraId="56E1749B" w14:textId="77777777" w:rsidR="00D81AA1" w:rsidRPr="00FE50A6" w:rsidRDefault="00D81AA1" w:rsidP="00D81AA1">
      <w:pPr>
        <w:pStyle w:val="Prrafodelista"/>
        <w:rPr>
          <w:rFonts w:cs="Arial"/>
          <w:szCs w:val="20"/>
          <w:lang w:val="en-US"/>
        </w:rPr>
      </w:pPr>
    </w:p>
    <w:p w14:paraId="22434BEE" w14:textId="77777777" w:rsidR="00D81AA1" w:rsidRPr="00FE50A6" w:rsidRDefault="00565C32"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Rather</w:t>
      </w:r>
      <w:r w:rsidR="00F84DE9" w:rsidRPr="00FE50A6">
        <w:rPr>
          <w:rFonts w:cs="Arial"/>
          <w:szCs w:val="20"/>
          <w:lang w:val="en-US"/>
        </w:rPr>
        <w:t>, the judicial authorit</w:t>
      </w:r>
      <w:r w:rsidRPr="00FE50A6">
        <w:rPr>
          <w:rFonts w:cs="Arial"/>
          <w:szCs w:val="20"/>
          <w:lang w:val="en-US"/>
        </w:rPr>
        <w:t>ies</w:t>
      </w:r>
      <w:r w:rsidR="00F84DE9" w:rsidRPr="00FE50A6">
        <w:rPr>
          <w:rFonts w:cs="Arial"/>
          <w:szCs w:val="20"/>
          <w:lang w:val="en-US"/>
        </w:rPr>
        <w:t xml:space="preserve"> considered that the proceedings had “been condemned to failure from the outset,” </w:t>
      </w:r>
      <w:r w:rsidRPr="00FE50A6">
        <w:rPr>
          <w:rFonts w:cs="Arial"/>
          <w:szCs w:val="20"/>
          <w:lang w:val="en-US"/>
        </w:rPr>
        <w:t>and</w:t>
      </w:r>
      <w:r w:rsidR="00F84DE9" w:rsidRPr="00FE50A6">
        <w:rPr>
          <w:rFonts w:cs="Arial"/>
          <w:szCs w:val="20"/>
          <w:lang w:val="en-US"/>
        </w:rPr>
        <w:t xml:space="preserve"> that, based on the probative elements provided to the criminal proceedings, it had been useless to continue </w:t>
      </w:r>
      <w:r w:rsidRPr="00FE50A6">
        <w:rPr>
          <w:rFonts w:cs="Arial"/>
          <w:szCs w:val="20"/>
          <w:lang w:val="en-US"/>
        </w:rPr>
        <w:t>such proceedings</w:t>
      </w:r>
      <w:r w:rsidR="00F84DE9" w:rsidRPr="00FE50A6">
        <w:rPr>
          <w:rFonts w:cs="Arial"/>
          <w:szCs w:val="20"/>
          <w:lang w:val="en-US"/>
        </w:rPr>
        <w:t>, taking into account also “the lack of action by the State, procedural economy</w:t>
      </w:r>
      <w:r w:rsidRPr="00FE50A6">
        <w:rPr>
          <w:rFonts w:cs="Arial"/>
          <w:szCs w:val="20"/>
          <w:lang w:val="en-US"/>
        </w:rPr>
        <w:t xml:space="preserve"> and criminal policy</w:t>
      </w:r>
      <w:r w:rsidR="00F84DE9" w:rsidRPr="00FE50A6">
        <w:rPr>
          <w:rFonts w:cs="Arial"/>
          <w:szCs w:val="20"/>
          <w:lang w:val="en-US"/>
        </w:rPr>
        <w:t>.</w:t>
      </w:r>
      <w:r w:rsidR="009C48A4" w:rsidRPr="00FE50A6">
        <w:rPr>
          <w:rFonts w:cs="Arial"/>
          <w:szCs w:val="20"/>
          <w:lang w:val="en-US"/>
        </w:rPr>
        <w:t>”</w:t>
      </w:r>
      <w:r w:rsidR="002A2B23" w:rsidRPr="00FE50A6">
        <w:rPr>
          <w:rStyle w:val="Refdenotaalpie"/>
          <w:lang w:val="en-US"/>
        </w:rPr>
        <w:footnoteReference w:id="504"/>
      </w:r>
    </w:p>
    <w:p w14:paraId="0AC4B957" w14:textId="77777777" w:rsidR="00D81AA1" w:rsidRPr="00FE50A6" w:rsidRDefault="00D81AA1" w:rsidP="00D81AA1">
      <w:pPr>
        <w:pStyle w:val="Prrafodelista"/>
        <w:rPr>
          <w:rFonts w:cs="Arial"/>
          <w:szCs w:val="20"/>
          <w:lang w:val="en-US"/>
        </w:rPr>
      </w:pPr>
    </w:p>
    <w:p w14:paraId="3806E3D8" w14:textId="77777777" w:rsidR="00D81AA1" w:rsidRPr="00FE50A6" w:rsidRDefault="00F37838" w:rsidP="004316C1">
      <w:pPr>
        <w:pStyle w:val="Prrafodelista"/>
        <w:numPr>
          <w:ilvl w:val="0"/>
          <w:numId w:val="1"/>
        </w:numPr>
        <w:autoSpaceDE w:val="0"/>
        <w:autoSpaceDN w:val="0"/>
        <w:adjustRightInd w:val="0"/>
        <w:contextualSpacing w:val="0"/>
        <w:rPr>
          <w:rFonts w:cs="Arial"/>
          <w:szCs w:val="20"/>
          <w:lang w:val="en-US"/>
        </w:rPr>
      </w:pPr>
      <w:r w:rsidRPr="00FE50A6">
        <w:rPr>
          <w:rFonts w:cs="Arial"/>
          <w:bCs/>
          <w:iCs/>
          <w:szCs w:val="20"/>
          <w:lang w:val="en-US"/>
        </w:rPr>
        <w:t xml:space="preserve">The </w:t>
      </w:r>
      <w:r w:rsidR="004316C1" w:rsidRPr="00FE50A6">
        <w:rPr>
          <w:rFonts w:cs="Arial"/>
          <w:bCs/>
          <w:iCs/>
          <w:szCs w:val="20"/>
          <w:lang w:val="en-US"/>
        </w:rPr>
        <w:t xml:space="preserve">1997 </w:t>
      </w:r>
      <w:r w:rsidRPr="00FE50A6">
        <w:rPr>
          <w:rFonts w:cs="Arial"/>
          <w:bCs/>
          <w:iCs/>
          <w:szCs w:val="20"/>
          <w:lang w:val="en-US"/>
        </w:rPr>
        <w:t>criminal proceedings</w:t>
      </w:r>
      <w:r w:rsidR="00D81AA1" w:rsidRPr="00FE50A6">
        <w:rPr>
          <w:rFonts w:cs="Arial"/>
          <w:bCs/>
          <w:iCs/>
          <w:szCs w:val="20"/>
          <w:lang w:val="en-US"/>
        </w:rPr>
        <w:t xml:space="preserve"> </w:t>
      </w:r>
      <w:r w:rsidR="004316C1" w:rsidRPr="00FE50A6">
        <w:rPr>
          <w:rFonts w:cs="Arial"/>
          <w:bCs/>
          <w:iCs/>
          <w:szCs w:val="20"/>
          <w:lang w:val="en-US"/>
        </w:rPr>
        <w:t>were initiated and en</w:t>
      </w:r>
      <w:r w:rsidR="00D81AA1" w:rsidRPr="00FE50A6">
        <w:rPr>
          <w:rFonts w:cs="Arial"/>
          <w:bCs/>
          <w:iCs/>
          <w:szCs w:val="20"/>
          <w:lang w:val="en-US"/>
        </w:rPr>
        <w:t>d</w:t>
      </w:r>
      <w:r w:rsidR="004316C1" w:rsidRPr="00FE50A6">
        <w:rPr>
          <w:rFonts w:cs="Arial"/>
          <w:bCs/>
          <w:iCs/>
          <w:szCs w:val="20"/>
          <w:lang w:val="en-US"/>
        </w:rPr>
        <w:t xml:space="preserve">ed without the merits of the matter having been examined, despite the extreme seriousness of the acts with which the accused were charged. In addition to the conflict of competences and other procedures, the proceedings did not analyze the facts of the case, and did not represent an effective mechanism to examine the perpetration of the crime of reduction to a condition similar to that of a slave established in </w:t>
      </w:r>
      <w:r w:rsidR="004316C1" w:rsidRPr="00FE50A6">
        <w:rPr>
          <w:rFonts w:cs="Arial"/>
          <w:szCs w:val="20"/>
          <w:lang w:val="en-US"/>
        </w:rPr>
        <w:t>a</w:t>
      </w:r>
      <w:r w:rsidR="000228D0" w:rsidRPr="00FE50A6">
        <w:rPr>
          <w:rFonts w:cs="Arial"/>
          <w:szCs w:val="20"/>
          <w:lang w:val="en-US"/>
        </w:rPr>
        <w:t>rticle</w:t>
      </w:r>
      <w:r w:rsidR="00D81AA1" w:rsidRPr="00FE50A6">
        <w:rPr>
          <w:rFonts w:cs="Arial"/>
          <w:szCs w:val="20"/>
          <w:lang w:val="en-US"/>
        </w:rPr>
        <w:t xml:space="preserve"> 149 </w:t>
      </w:r>
      <w:r w:rsidR="0032018A" w:rsidRPr="00FE50A6">
        <w:rPr>
          <w:rFonts w:cs="Arial"/>
          <w:szCs w:val="20"/>
          <w:lang w:val="en-US"/>
        </w:rPr>
        <w:t xml:space="preserve">of the </w:t>
      </w:r>
      <w:r w:rsidR="00AC769B" w:rsidRPr="00FE50A6">
        <w:rPr>
          <w:rFonts w:cs="Arial"/>
          <w:szCs w:val="20"/>
          <w:lang w:val="en-US"/>
        </w:rPr>
        <w:t>Brazilian Penal Code</w:t>
      </w:r>
      <w:r w:rsidR="004316C1" w:rsidRPr="00FE50A6">
        <w:rPr>
          <w:rFonts w:cs="Arial"/>
          <w:szCs w:val="20"/>
          <w:lang w:val="en-US"/>
        </w:rPr>
        <w:t xml:space="preserve"> at that time</w:t>
      </w:r>
      <w:r w:rsidR="00D81AA1" w:rsidRPr="00FE50A6">
        <w:rPr>
          <w:rFonts w:cs="Arial"/>
          <w:szCs w:val="20"/>
          <w:lang w:val="en-US"/>
        </w:rPr>
        <w:t xml:space="preserve">, </w:t>
      </w:r>
      <w:r w:rsidR="004316C1" w:rsidRPr="00FE50A6">
        <w:rPr>
          <w:rFonts w:cs="Arial"/>
          <w:szCs w:val="20"/>
          <w:lang w:val="en-US"/>
        </w:rPr>
        <w:t xml:space="preserve">or the responsibility of the accused, and reparation for the victims. The only measure that could be considered a reparation was that agreed with </w:t>
      </w:r>
      <w:r w:rsidR="009C48A4" w:rsidRPr="00FE50A6">
        <w:rPr>
          <w:rFonts w:cs="Arial"/>
          <w:bCs/>
          <w:iCs/>
          <w:szCs w:val="20"/>
          <w:lang w:val="en-US"/>
        </w:rPr>
        <w:t>Mr. Quagliato</w:t>
      </w:r>
      <w:r w:rsidR="00D81AA1" w:rsidRPr="00FE50A6">
        <w:rPr>
          <w:rFonts w:cs="Arial"/>
          <w:bCs/>
          <w:iCs/>
          <w:szCs w:val="20"/>
          <w:lang w:val="en-US"/>
        </w:rPr>
        <w:t xml:space="preserve"> Neto</w:t>
      </w:r>
      <w:r w:rsidR="00030C17" w:rsidRPr="00FE50A6">
        <w:rPr>
          <w:rFonts w:cs="Arial"/>
          <w:bCs/>
          <w:iCs/>
          <w:szCs w:val="20"/>
          <w:lang w:val="en-US"/>
        </w:rPr>
        <w:t xml:space="preserve"> and </w:t>
      </w:r>
      <w:r w:rsidR="00D81AA1" w:rsidRPr="00FE50A6">
        <w:rPr>
          <w:rFonts w:cs="Arial"/>
          <w:bCs/>
          <w:iCs/>
          <w:szCs w:val="20"/>
          <w:lang w:val="en-US"/>
        </w:rPr>
        <w:t>consist</w:t>
      </w:r>
      <w:r w:rsidR="004316C1" w:rsidRPr="00FE50A6">
        <w:rPr>
          <w:rFonts w:cs="Arial"/>
          <w:bCs/>
          <w:iCs/>
          <w:szCs w:val="20"/>
          <w:lang w:val="en-US"/>
        </w:rPr>
        <w:t>ed in the delivery of six baskets of basic commodities to a charity in</w:t>
      </w:r>
      <w:r w:rsidR="00D81AA1" w:rsidRPr="00FE50A6">
        <w:rPr>
          <w:rFonts w:cs="Arial"/>
          <w:bCs/>
          <w:iCs/>
          <w:szCs w:val="20"/>
          <w:lang w:val="en-US"/>
        </w:rPr>
        <w:t xml:space="preserve"> São Paulo, </w:t>
      </w:r>
      <w:r w:rsidR="004316C1" w:rsidRPr="00FE50A6">
        <w:rPr>
          <w:rFonts w:cs="Arial"/>
          <w:bCs/>
          <w:iCs/>
          <w:szCs w:val="20"/>
          <w:lang w:val="en-US"/>
        </w:rPr>
        <w:t>in exchange for the suspension of the proceedings against him.</w:t>
      </w:r>
    </w:p>
    <w:p w14:paraId="7B5FB9DF" w14:textId="77777777" w:rsidR="00D81AA1" w:rsidRPr="00FE50A6" w:rsidRDefault="00D81AA1" w:rsidP="00D81AA1">
      <w:pPr>
        <w:pStyle w:val="Prrafodelista"/>
        <w:rPr>
          <w:rFonts w:cs="Arial"/>
          <w:bCs/>
          <w:iCs/>
          <w:szCs w:val="20"/>
          <w:lang w:val="en-US"/>
        </w:rPr>
      </w:pPr>
    </w:p>
    <w:p w14:paraId="226A8923" w14:textId="77777777" w:rsidR="00D81AA1" w:rsidRPr="00FE50A6" w:rsidRDefault="004316C1"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szCs w:val="20"/>
          <w:lang w:val="en-US"/>
        </w:rPr>
        <w:t xml:space="preserve">In addition, regarding the proceedings opened before the Labor Justice System, the Court notes that, on January 15, </w:t>
      </w:r>
      <w:r w:rsidR="00D81AA1" w:rsidRPr="00FE50A6">
        <w:rPr>
          <w:rFonts w:cs="Arial"/>
          <w:szCs w:val="20"/>
          <w:lang w:val="en-US"/>
        </w:rPr>
        <w:t>1999</w:t>
      </w:r>
      <w:r w:rsidRPr="00FE50A6">
        <w:rPr>
          <w:rFonts w:cs="Arial"/>
          <w:szCs w:val="20"/>
          <w:lang w:val="en-US"/>
        </w:rPr>
        <w:t>,</w:t>
      </w:r>
      <w:r w:rsidR="00D81AA1" w:rsidRPr="00FE50A6">
        <w:rPr>
          <w:rFonts w:cs="Arial"/>
          <w:szCs w:val="20"/>
          <w:lang w:val="en-US"/>
        </w:rPr>
        <w:t xml:space="preserve"> </w:t>
      </w:r>
      <w:r w:rsidRPr="00FE50A6">
        <w:rPr>
          <w:rFonts w:cs="Arial"/>
          <w:szCs w:val="20"/>
          <w:lang w:val="en-US"/>
        </w:rPr>
        <w:t xml:space="preserve">the court issued a recommendation to </w:t>
      </w:r>
      <w:r w:rsidR="00D81AA1" w:rsidRPr="00FE50A6">
        <w:rPr>
          <w:rFonts w:cs="Arial"/>
          <w:szCs w:val="20"/>
          <w:lang w:val="en-US"/>
        </w:rPr>
        <w:t xml:space="preserve">João Luiz Quagliato Neto, </w:t>
      </w:r>
      <w:r w:rsidRPr="00FE50A6">
        <w:rPr>
          <w:rFonts w:cs="Arial"/>
          <w:szCs w:val="20"/>
          <w:lang w:val="en-US"/>
        </w:rPr>
        <w:t>owner of</w:t>
      </w:r>
      <w:r w:rsidR="00D81AA1" w:rsidRPr="00FE50A6">
        <w:rPr>
          <w:rFonts w:cs="Arial"/>
          <w:szCs w:val="20"/>
          <w:lang w:val="en-US"/>
        </w:rPr>
        <w:t xml:space="preserve"> Hacienda </w:t>
      </w:r>
      <w:r w:rsidR="00322241" w:rsidRPr="00FE50A6">
        <w:rPr>
          <w:rFonts w:cs="Arial"/>
          <w:szCs w:val="20"/>
          <w:lang w:val="en-US"/>
        </w:rPr>
        <w:t>Brasil Verde</w:t>
      </w:r>
      <w:r w:rsidR="00D81AA1" w:rsidRPr="00FE50A6">
        <w:rPr>
          <w:rFonts w:cs="Arial"/>
          <w:szCs w:val="20"/>
          <w:lang w:val="en-US"/>
        </w:rPr>
        <w:t xml:space="preserve">, </w:t>
      </w:r>
      <w:r w:rsidRPr="00FE50A6">
        <w:rPr>
          <w:rFonts w:cs="Arial"/>
          <w:szCs w:val="20"/>
          <w:lang w:val="en-US"/>
        </w:rPr>
        <w:t xml:space="preserve">that he abstain from the practice of charging workers for their footwear, noting that, to the contrary, judicial action would be taken against him, and ordering that the case file be archived. Despite the egregious nature of the situations referred to in the 1997 inspection report, </w:t>
      </w:r>
      <w:r w:rsidR="002E76F4" w:rsidRPr="00FE50A6">
        <w:rPr>
          <w:rFonts w:cs="Arial"/>
          <w:szCs w:val="20"/>
          <w:lang w:val="en-US"/>
        </w:rPr>
        <w:t>the</w:t>
      </w:r>
      <w:r w:rsidRPr="00FE50A6">
        <w:rPr>
          <w:rFonts w:cs="Arial"/>
          <w:szCs w:val="20"/>
          <w:lang w:val="en-US"/>
        </w:rPr>
        <w:t xml:space="preserve"> Pará</w:t>
      </w:r>
      <w:r w:rsidR="002E76F4" w:rsidRPr="00FE50A6">
        <w:rPr>
          <w:rFonts w:cs="Arial"/>
          <w:szCs w:val="20"/>
          <w:lang w:val="en-US"/>
        </w:rPr>
        <w:t xml:space="preserve"> Regional Labor Delegation</w:t>
      </w:r>
      <w:r w:rsidR="00D81AA1" w:rsidRPr="00FE50A6">
        <w:rPr>
          <w:rFonts w:cs="Arial"/>
          <w:szCs w:val="20"/>
          <w:lang w:val="en-US"/>
        </w:rPr>
        <w:t xml:space="preserve"> </w:t>
      </w:r>
      <w:r w:rsidRPr="00FE50A6">
        <w:rPr>
          <w:rFonts w:cs="Arial"/>
          <w:szCs w:val="20"/>
          <w:lang w:val="en-US"/>
        </w:rPr>
        <w:t xml:space="preserve">preferred “not to act, but rather to </w:t>
      </w:r>
      <w:r w:rsidR="00565C32" w:rsidRPr="00FE50A6">
        <w:rPr>
          <w:rFonts w:cs="Arial"/>
          <w:szCs w:val="20"/>
          <w:lang w:val="en-US"/>
        </w:rPr>
        <w:t xml:space="preserve">provide advice </w:t>
      </w:r>
      <w:r w:rsidRPr="00FE50A6">
        <w:rPr>
          <w:rFonts w:cs="Arial"/>
          <w:szCs w:val="20"/>
          <w:lang w:val="en-US"/>
        </w:rPr>
        <w:t xml:space="preserve">that the rulings [be] </w:t>
      </w:r>
      <w:r w:rsidR="00565C32" w:rsidRPr="00FE50A6">
        <w:rPr>
          <w:rFonts w:cs="Arial"/>
          <w:szCs w:val="20"/>
          <w:lang w:val="en-US"/>
        </w:rPr>
        <w:t>rectifie</w:t>
      </w:r>
      <w:r w:rsidRPr="00FE50A6">
        <w:rPr>
          <w:rFonts w:cs="Arial"/>
          <w:szCs w:val="20"/>
          <w:lang w:val="en-US"/>
        </w:rPr>
        <w:t>d.”</w:t>
      </w:r>
    </w:p>
    <w:p w14:paraId="6C1BD78F" w14:textId="77777777" w:rsidR="00D81AA1" w:rsidRPr="00FE50A6" w:rsidRDefault="00D81AA1" w:rsidP="00D81AA1">
      <w:pPr>
        <w:pStyle w:val="Prrafodelista"/>
        <w:rPr>
          <w:rFonts w:cs="Arial"/>
          <w:bCs/>
          <w:iCs/>
          <w:szCs w:val="20"/>
          <w:lang w:val="en-US"/>
        </w:rPr>
      </w:pPr>
    </w:p>
    <w:p w14:paraId="03296C9C" w14:textId="77777777" w:rsidR="004316C1" w:rsidRPr="00FE50A6" w:rsidRDefault="004316C1"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szCs w:val="20"/>
          <w:lang w:val="en-US"/>
        </w:rPr>
        <w:t xml:space="preserve">With regard to the public civil action filed against </w:t>
      </w:r>
      <w:r w:rsidR="00D81AA1" w:rsidRPr="00FE50A6">
        <w:rPr>
          <w:rFonts w:cs="Arial"/>
          <w:szCs w:val="20"/>
          <w:lang w:val="en-US"/>
        </w:rPr>
        <w:t>João Luiz Quagliato Neto</w:t>
      </w:r>
      <w:r w:rsidRPr="00FE50A6">
        <w:rPr>
          <w:rFonts w:cs="Arial"/>
          <w:szCs w:val="20"/>
          <w:lang w:val="en-US"/>
        </w:rPr>
        <w:t xml:space="preserve"> in 2000</w:t>
      </w:r>
      <w:r w:rsidR="00D81AA1" w:rsidRPr="00FE50A6">
        <w:rPr>
          <w:rFonts w:cs="Arial"/>
          <w:szCs w:val="20"/>
          <w:lang w:val="en-US"/>
        </w:rPr>
        <w:t xml:space="preserve">, </w:t>
      </w:r>
      <w:r w:rsidR="000228D0" w:rsidRPr="00FE50A6">
        <w:rPr>
          <w:rFonts w:cs="Arial"/>
          <w:szCs w:val="20"/>
          <w:lang w:val="en-US"/>
        </w:rPr>
        <w:t>the Court</w:t>
      </w:r>
      <w:r w:rsidR="00D81AA1" w:rsidRPr="00FE50A6">
        <w:rPr>
          <w:rFonts w:cs="Arial"/>
          <w:szCs w:val="20"/>
          <w:lang w:val="en-US"/>
        </w:rPr>
        <w:t xml:space="preserve"> </w:t>
      </w:r>
      <w:r w:rsidRPr="00FE50A6">
        <w:rPr>
          <w:rFonts w:cs="Arial"/>
          <w:szCs w:val="20"/>
          <w:lang w:val="en-US"/>
        </w:rPr>
        <w:t>underscores that this concluded with a conciliation under which</w:t>
      </w:r>
      <w:r w:rsidR="00D81AA1" w:rsidRPr="00FE50A6">
        <w:rPr>
          <w:rFonts w:cs="Arial"/>
          <w:szCs w:val="20"/>
          <w:lang w:val="en-US"/>
        </w:rPr>
        <w:t xml:space="preserve"> </w:t>
      </w:r>
      <w:r w:rsidR="009C48A4" w:rsidRPr="00FE50A6">
        <w:rPr>
          <w:rFonts w:cs="Arial"/>
          <w:szCs w:val="20"/>
          <w:lang w:val="en-US"/>
        </w:rPr>
        <w:t>Mr. Quagliato</w:t>
      </w:r>
      <w:r w:rsidR="00D81AA1" w:rsidRPr="00FE50A6">
        <w:rPr>
          <w:rFonts w:cs="Arial"/>
          <w:szCs w:val="20"/>
          <w:lang w:val="en-US"/>
        </w:rPr>
        <w:t xml:space="preserve"> Neto </w:t>
      </w:r>
      <w:r w:rsidRPr="00FE50A6">
        <w:rPr>
          <w:rFonts w:cs="Arial"/>
          <w:szCs w:val="20"/>
          <w:lang w:val="en-US"/>
        </w:rPr>
        <w:t xml:space="preserve">undertook not to </w:t>
      </w:r>
      <w:r w:rsidR="00565C32" w:rsidRPr="00FE50A6">
        <w:rPr>
          <w:rFonts w:cs="Arial"/>
          <w:szCs w:val="20"/>
          <w:lang w:val="en-US"/>
        </w:rPr>
        <w:t>undertake</w:t>
      </w:r>
      <w:r w:rsidRPr="00FE50A6">
        <w:rPr>
          <w:rFonts w:cs="Arial"/>
          <w:szCs w:val="20"/>
          <w:lang w:val="en-US"/>
        </w:rPr>
        <w:t xml:space="preserve"> or permit work under a “slavery regime” and to provide decent working conditions</w:t>
      </w:r>
      <w:r w:rsidR="007D52C7" w:rsidRPr="00FE50A6">
        <w:rPr>
          <w:rFonts w:cs="Arial"/>
          <w:szCs w:val="20"/>
          <w:lang w:val="en-US"/>
        </w:rPr>
        <w:t>, and was warned that, to the contrary, he would be sanctioned with fines. Even though the justice system had significant information regarding the facts verified in the hacienda, it merely reached an agreement without considering in detail the gravity of the facts or the need to make reparation to the hacienda’s workers.</w:t>
      </w:r>
    </w:p>
    <w:p w14:paraId="67384043" w14:textId="77777777" w:rsidR="00D81AA1" w:rsidRPr="00FE50A6" w:rsidRDefault="00D81AA1" w:rsidP="00D81AA1">
      <w:pPr>
        <w:pStyle w:val="Prrafodelista"/>
        <w:rPr>
          <w:rFonts w:cs="Arial"/>
          <w:bCs/>
          <w:iCs/>
          <w:szCs w:val="20"/>
          <w:lang w:val="en-US"/>
        </w:rPr>
      </w:pPr>
    </w:p>
    <w:p w14:paraId="74062EE5" w14:textId="77777777" w:rsidR="00D81AA1" w:rsidRPr="00FE50A6" w:rsidRDefault="007D52C7"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szCs w:val="20"/>
          <w:lang w:val="en-US"/>
        </w:rPr>
        <w:t>Lastly, regarding the criminal proceedings opened in 2001 before the Second</w:t>
      </w:r>
      <w:r w:rsidR="00D81AA1" w:rsidRPr="00FE50A6">
        <w:rPr>
          <w:rFonts w:cs="Arial"/>
          <w:szCs w:val="20"/>
          <w:lang w:val="en-US"/>
        </w:rPr>
        <w:t xml:space="preserve"> </w:t>
      </w:r>
      <w:r w:rsidR="009B2C1E" w:rsidRPr="00FE50A6">
        <w:rPr>
          <w:rFonts w:cs="Arial"/>
          <w:bCs/>
          <w:iCs/>
          <w:szCs w:val="20"/>
          <w:lang w:val="en-US"/>
        </w:rPr>
        <w:t>Jurisdiction</w:t>
      </w:r>
      <w:r w:rsidR="009B2C1E" w:rsidRPr="00FE50A6">
        <w:rPr>
          <w:rFonts w:cs="Arial"/>
          <w:szCs w:val="20"/>
          <w:lang w:val="en-US"/>
        </w:rPr>
        <w:t xml:space="preserve"> </w:t>
      </w:r>
      <w:r w:rsidRPr="00FE50A6">
        <w:rPr>
          <w:rFonts w:cs="Arial"/>
          <w:szCs w:val="20"/>
          <w:lang w:val="en-US"/>
        </w:rPr>
        <w:t>of the Marabá Federal Justice Department,</w:t>
      </w:r>
      <w:r w:rsidR="00565C32" w:rsidRPr="00FE50A6">
        <w:rPr>
          <w:rFonts w:cs="Arial"/>
          <w:szCs w:val="20"/>
          <w:lang w:val="en-US"/>
        </w:rPr>
        <w:t xml:space="preserve"> in the state of</w:t>
      </w:r>
      <w:r w:rsidRPr="00FE50A6">
        <w:rPr>
          <w:rFonts w:cs="Arial"/>
          <w:szCs w:val="20"/>
          <w:lang w:val="en-US"/>
        </w:rPr>
        <w:t xml:space="preserve"> </w:t>
      </w:r>
      <w:r w:rsidR="00D81AA1" w:rsidRPr="00FE50A6">
        <w:rPr>
          <w:rFonts w:cs="Arial"/>
          <w:szCs w:val="20"/>
          <w:lang w:val="en-US"/>
        </w:rPr>
        <w:t xml:space="preserve">Pará, </w:t>
      </w:r>
      <w:r w:rsidR="000228D0" w:rsidRPr="00FE50A6">
        <w:rPr>
          <w:rFonts w:cs="Arial"/>
          <w:szCs w:val="20"/>
          <w:lang w:val="en-US"/>
        </w:rPr>
        <w:t>the Court</w:t>
      </w:r>
      <w:r w:rsidR="00D81AA1" w:rsidRPr="00FE50A6">
        <w:rPr>
          <w:rFonts w:cs="Arial"/>
          <w:szCs w:val="20"/>
          <w:lang w:val="en-US"/>
        </w:rPr>
        <w:t xml:space="preserve"> </w:t>
      </w:r>
      <w:r w:rsidRPr="00FE50A6">
        <w:rPr>
          <w:rFonts w:cs="Arial"/>
          <w:szCs w:val="20"/>
          <w:lang w:val="en-US"/>
        </w:rPr>
        <w:t>underlines that the State was unable to provide copies of the case file, so that it has no e</w:t>
      </w:r>
      <w:r w:rsidR="000447BA" w:rsidRPr="00FE50A6">
        <w:rPr>
          <w:rFonts w:cs="Arial"/>
          <w:szCs w:val="20"/>
          <w:lang w:val="en-US"/>
        </w:rPr>
        <w:t>vidence</w:t>
      </w:r>
      <w:r w:rsidRPr="00FE50A6">
        <w:rPr>
          <w:rFonts w:cs="Arial"/>
          <w:szCs w:val="20"/>
          <w:lang w:val="en-US"/>
        </w:rPr>
        <w:t xml:space="preserve"> to determine whether these criminal proceedings constituted an effective remedy to examine the responsibilities for the facts of the case, and determine a punishment and reparation.</w:t>
      </w:r>
    </w:p>
    <w:p w14:paraId="2C41EEE5" w14:textId="77777777" w:rsidR="00D81AA1" w:rsidRPr="00FE50A6" w:rsidRDefault="00D81AA1" w:rsidP="00D81AA1">
      <w:pPr>
        <w:pStyle w:val="Prrafodelista"/>
        <w:rPr>
          <w:rFonts w:cs="Arial"/>
          <w:bCs/>
          <w:iCs/>
          <w:szCs w:val="20"/>
          <w:lang w:val="en-US"/>
        </w:rPr>
      </w:pPr>
    </w:p>
    <w:p w14:paraId="787689A6" w14:textId="77777777" w:rsidR="00D12043" w:rsidRPr="00FE50A6" w:rsidRDefault="00D12043"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Based on all the above, the Court notes that none of the proceedings on which it received information determined any type of responsibility for the conducts denounced, and nor were they a means of obtaining reparation for the harm done to the victims, because none of the proceedings examined the merits of each issue.</w:t>
      </w:r>
    </w:p>
    <w:p w14:paraId="768BA9ED" w14:textId="77777777" w:rsidR="00D81AA1" w:rsidRPr="00FE50A6" w:rsidRDefault="00D12043" w:rsidP="00D81AA1">
      <w:pPr>
        <w:jc w:val="both"/>
        <w:rPr>
          <w:rFonts w:cs="Arial"/>
          <w:bCs/>
          <w:iCs/>
          <w:szCs w:val="20"/>
          <w:lang w:val="en-US"/>
        </w:rPr>
      </w:pPr>
      <w:r w:rsidRPr="00FE50A6">
        <w:rPr>
          <w:rFonts w:cs="Arial"/>
          <w:bCs/>
          <w:iCs/>
          <w:szCs w:val="20"/>
          <w:lang w:val="en-US"/>
        </w:rPr>
        <w:t xml:space="preserve"> </w:t>
      </w:r>
    </w:p>
    <w:p w14:paraId="6702D66A" w14:textId="77777777" w:rsidR="00D12043" w:rsidRPr="00FE50A6" w:rsidRDefault="00D12043"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szCs w:val="20"/>
          <w:lang w:val="en-US"/>
        </w:rPr>
        <w:t>Th</w:t>
      </w:r>
      <w:r w:rsidR="009B2C1E" w:rsidRPr="00FE50A6">
        <w:rPr>
          <w:rFonts w:cs="Arial"/>
          <w:szCs w:val="20"/>
          <w:lang w:val="en-US"/>
        </w:rPr>
        <w:t>e foregoing</w:t>
      </w:r>
      <w:r w:rsidRPr="00FE50A6">
        <w:rPr>
          <w:rFonts w:cs="Arial"/>
          <w:szCs w:val="20"/>
          <w:lang w:val="en-US"/>
        </w:rPr>
        <w:t xml:space="preserve"> resulted in a denial of justice </w:t>
      </w:r>
      <w:r w:rsidR="00703850" w:rsidRPr="00FE50A6">
        <w:rPr>
          <w:rFonts w:cs="Arial"/>
          <w:szCs w:val="20"/>
          <w:lang w:val="en-US"/>
        </w:rPr>
        <w:t>to the detriment of</w:t>
      </w:r>
      <w:r w:rsidR="00D81AA1" w:rsidRPr="00FE50A6">
        <w:rPr>
          <w:rFonts w:cs="Arial"/>
          <w:szCs w:val="20"/>
          <w:lang w:val="en-US"/>
        </w:rPr>
        <w:t xml:space="preserve"> </w:t>
      </w:r>
      <w:r w:rsidRPr="00FE50A6">
        <w:rPr>
          <w:rFonts w:cs="Arial"/>
          <w:szCs w:val="20"/>
          <w:lang w:val="en-US"/>
        </w:rPr>
        <w:t xml:space="preserve">the victims, because it was not possible to ensure them judicial protection in this case, either substantively or legally. The State failed to </w:t>
      </w:r>
      <w:r w:rsidR="009B2C1E" w:rsidRPr="00FE50A6">
        <w:rPr>
          <w:rFonts w:cs="Arial"/>
          <w:szCs w:val="20"/>
          <w:lang w:val="en-US"/>
        </w:rPr>
        <w:t>guarantee</w:t>
      </w:r>
      <w:r w:rsidRPr="00FE50A6">
        <w:rPr>
          <w:rFonts w:cs="Arial"/>
          <w:szCs w:val="20"/>
          <w:lang w:val="en-US"/>
        </w:rPr>
        <w:t xml:space="preserve"> the victim</w:t>
      </w:r>
      <w:r w:rsidR="009B2C1E" w:rsidRPr="00FE50A6">
        <w:rPr>
          <w:rFonts w:cs="Arial"/>
          <w:szCs w:val="20"/>
          <w:lang w:val="en-US"/>
        </w:rPr>
        <w:t xml:space="preserve">s </w:t>
      </w:r>
      <w:r w:rsidRPr="00FE50A6">
        <w:rPr>
          <w:rFonts w:cs="Arial"/>
          <w:szCs w:val="20"/>
          <w:lang w:val="en-US"/>
        </w:rPr>
        <w:t xml:space="preserve">an effective remedy </w:t>
      </w:r>
      <w:r w:rsidR="009B2C1E" w:rsidRPr="00FE50A6">
        <w:rPr>
          <w:rFonts w:cs="Arial"/>
          <w:szCs w:val="20"/>
          <w:lang w:val="en-US"/>
        </w:rPr>
        <w:t>provided by</w:t>
      </w:r>
      <w:r w:rsidRPr="00FE50A6">
        <w:rPr>
          <w:rFonts w:cs="Arial"/>
          <w:szCs w:val="20"/>
          <w:lang w:val="en-US"/>
        </w:rPr>
        <w:t xml:space="preserve"> the competent authorities that would protect their human rights against the acts that violated </w:t>
      </w:r>
      <w:r w:rsidR="009B2C1E" w:rsidRPr="00FE50A6">
        <w:rPr>
          <w:rFonts w:cs="Arial"/>
          <w:szCs w:val="20"/>
          <w:lang w:val="en-US"/>
        </w:rPr>
        <w:t>such rights</w:t>
      </w:r>
      <w:r w:rsidRPr="00FE50A6">
        <w:rPr>
          <w:rFonts w:cs="Arial"/>
          <w:szCs w:val="20"/>
          <w:lang w:val="en-US"/>
        </w:rPr>
        <w:t>.</w:t>
      </w:r>
    </w:p>
    <w:p w14:paraId="72E8A14F" w14:textId="77777777" w:rsidR="00D81AA1" w:rsidRPr="00FE50A6" w:rsidRDefault="00D81AA1" w:rsidP="00D12043">
      <w:pPr>
        <w:rPr>
          <w:rFonts w:cs="Arial"/>
          <w:bCs/>
          <w:iCs/>
          <w:szCs w:val="20"/>
          <w:lang w:val="en-US"/>
        </w:rPr>
      </w:pPr>
    </w:p>
    <w:p w14:paraId="618136C1" w14:textId="77777777" w:rsidR="00D12043" w:rsidRPr="00FE50A6" w:rsidRDefault="00D12043"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I</w:t>
      </w:r>
      <w:r w:rsidR="00D81AA1" w:rsidRPr="00FE50A6">
        <w:rPr>
          <w:rFonts w:cs="Arial"/>
          <w:bCs/>
          <w:iCs/>
          <w:szCs w:val="20"/>
          <w:lang w:val="en-US"/>
        </w:rPr>
        <w:t xml:space="preserve">n </w:t>
      </w:r>
      <w:r w:rsidR="00AF42D1" w:rsidRPr="00FE50A6">
        <w:rPr>
          <w:rFonts w:cs="Arial"/>
          <w:bCs/>
          <w:iCs/>
          <w:szCs w:val="20"/>
          <w:lang w:val="en-US"/>
        </w:rPr>
        <w:t>conclusion</w:t>
      </w:r>
      <w:r w:rsidR="00D81AA1" w:rsidRPr="00FE50A6">
        <w:rPr>
          <w:rFonts w:cs="Arial"/>
          <w:bCs/>
          <w:iCs/>
          <w:szCs w:val="20"/>
          <w:lang w:val="en-US"/>
        </w:rPr>
        <w:t xml:space="preserve">, </w:t>
      </w:r>
      <w:r w:rsidRPr="00FE50A6">
        <w:rPr>
          <w:rFonts w:cs="Arial"/>
          <w:bCs/>
          <w:iCs/>
          <w:szCs w:val="20"/>
          <w:lang w:val="en-US"/>
        </w:rPr>
        <w:t>despite the extreme gravity of the facts denounced, the proceedings that were conducted: (i) did not analyze the merits of the matter submitted; (ii) did not determine any responsibilities or adequately punish those responsible for the fa</w:t>
      </w:r>
      <w:r w:rsidR="009B2C1E" w:rsidRPr="00FE50A6">
        <w:rPr>
          <w:rFonts w:cs="Arial"/>
          <w:bCs/>
          <w:iCs/>
          <w:szCs w:val="20"/>
          <w:lang w:val="en-US"/>
        </w:rPr>
        <w:t>c</w:t>
      </w:r>
      <w:r w:rsidRPr="00FE50A6">
        <w:rPr>
          <w:rFonts w:cs="Arial"/>
          <w:bCs/>
          <w:iCs/>
          <w:szCs w:val="20"/>
          <w:lang w:val="en-US"/>
        </w:rPr>
        <w:t>ts; (iii) did not provide a mechanism of reparation for the victims, and (iv) did not have the effect of preventing a continuation of the violation of the victims’ rights.</w:t>
      </w:r>
    </w:p>
    <w:p w14:paraId="351E690C" w14:textId="77777777" w:rsidR="00D81AA1" w:rsidRPr="00FE50A6" w:rsidRDefault="00D81AA1" w:rsidP="00D81AA1">
      <w:pPr>
        <w:pStyle w:val="Prrafodelista"/>
        <w:rPr>
          <w:rFonts w:cs="Arial"/>
          <w:bCs/>
          <w:iCs/>
          <w:szCs w:val="20"/>
          <w:lang w:val="en-US"/>
        </w:rPr>
      </w:pPr>
    </w:p>
    <w:p w14:paraId="6AB0D084" w14:textId="77777777" w:rsidR="00D81AA1" w:rsidRPr="00FE50A6" w:rsidRDefault="00D12043"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In this regard, the Court points out that, given the presence of victims who were minors and the State’s awareness of this situation, its responsibility to provide a simple and effective remedy to protect their rights was even greater. The Court has already indicated that</w:t>
      </w:r>
      <w:r w:rsidR="00797EEE" w:rsidRPr="00FE50A6">
        <w:rPr>
          <w:rFonts w:cs="Arial"/>
          <w:bCs/>
          <w:iCs/>
          <w:szCs w:val="20"/>
          <w:lang w:val="en-US"/>
        </w:rPr>
        <w:t xml:space="preserve"> cases in which the victims of human rights violations are children are particularly serious, because </w:t>
      </w:r>
      <w:r w:rsidR="009B2C1E" w:rsidRPr="00FE50A6">
        <w:rPr>
          <w:rFonts w:cs="Arial"/>
          <w:bCs/>
          <w:iCs/>
          <w:szCs w:val="20"/>
          <w:lang w:val="en-US"/>
        </w:rPr>
        <w:t>children</w:t>
      </w:r>
      <w:r w:rsidR="00797EEE" w:rsidRPr="00FE50A6">
        <w:rPr>
          <w:rFonts w:cs="Arial"/>
          <w:bCs/>
          <w:iCs/>
          <w:szCs w:val="20"/>
          <w:lang w:val="en-US"/>
        </w:rPr>
        <w:t xml:space="preserve"> are holders of the rights </w:t>
      </w:r>
      <w:r w:rsidR="00BC6362" w:rsidRPr="00FE50A6">
        <w:rPr>
          <w:rFonts w:eastAsia="Times New Roman" w:cs="Arial"/>
          <w:szCs w:val="20"/>
          <w:lang w:val="en-US"/>
        </w:rPr>
        <w:t>established in</w:t>
      </w:r>
      <w:r w:rsidR="00D81AA1" w:rsidRPr="00FE50A6">
        <w:rPr>
          <w:rFonts w:eastAsia="Times New Roman" w:cs="Arial"/>
          <w:szCs w:val="20"/>
          <w:lang w:val="en-US"/>
        </w:rPr>
        <w:t xml:space="preserve"> </w:t>
      </w:r>
      <w:r w:rsidR="000228D0" w:rsidRPr="00FE50A6">
        <w:rPr>
          <w:rFonts w:eastAsia="Times New Roman" w:cs="Arial"/>
          <w:szCs w:val="20"/>
          <w:lang w:val="en-US"/>
        </w:rPr>
        <w:t>the American Convention</w:t>
      </w:r>
      <w:r w:rsidR="00D81AA1" w:rsidRPr="00FE50A6">
        <w:rPr>
          <w:rFonts w:eastAsia="Times New Roman" w:cs="Arial"/>
          <w:szCs w:val="20"/>
          <w:lang w:val="en-US"/>
        </w:rPr>
        <w:t>,</w:t>
      </w:r>
      <w:r w:rsidR="00797EEE" w:rsidRPr="00FE50A6">
        <w:rPr>
          <w:rFonts w:eastAsia="Times New Roman" w:cs="Arial"/>
          <w:szCs w:val="20"/>
          <w:lang w:val="en-US"/>
        </w:rPr>
        <w:t xml:space="preserve"> and are also ensured the special measures of protection established in its</w:t>
      </w:r>
      <w:r w:rsidR="00D81AA1" w:rsidRPr="00FE50A6">
        <w:rPr>
          <w:rFonts w:eastAsia="Times New Roman" w:cs="Arial"/>
          <w:szCs w:val="20"/>
          <w:lang w:val="en-US"/>
        </w:rPr>
        <w:t xml:space="preserve"> </w:t>
      </w:r>
      <w:r w:rsidR="00D2546E" w:rsidRPr="00FE50A6">
        <w:rPr>
          <w:rFonts w:eastAsia="Times New Roman" w:cs="Arial"/>
          <w:bCs/>
          <w:iCs/>
          <w:szCs w:val="20"/>
          <w:lang w:val="en-US"/>
        </w:rPr>
        <w:t>Article</w:t>
      </w:r>
      <w:r w:rsidR="00D81AA1" w:rsidRPr="00FE50A6">
        <w:rPr>
          <w:rFonts w:eastAsia="Times New Roman" w:cs="Arial"/>
          <w:szCs w:val="20"/>
          <w:lang w:val="en-US"/>
        </w:rPr>
        <w:t xml:space="preserve"> 19 </w:t>
      </w:r>
      <w:r w:rsidR="00797EEE" w:rsidRPr="00FE50A6">
        <w:rPr>
          <w:rFonts w:eastAsia="Times New Roman" w:cs="Arial"/>
          <w:szCs w:val="20"/>
          <w:lang w:val="en-US"/>
        </w:rPr>
        <w:t>which must be de</w:t>
      </w:r>
      <w:r w:rsidR="009B2C1E" w:rsidRPr="00FE50A6">
        <w:rPr>
          <w:rFonts w:eastAsia="Times New Roman" w:cs="Arial"/>
          <w:szCs w:val="20"/>
          <w:lang w:val="en-US"/>
        </w:rPr>
        <w:t>termin</w:t>
      </w:r>
      <w:r w:rsidR="00797EEE" w:rsidRPr="00FE50A6">
        <w:rPr>
          <w:rFonts w:eastAsia="Times New Roman" w:cs="Arial"/>
          <w:szCs w:val="20"/>
          <w:lang w:val="en-US"/>
        </w:rPr>
        <w:t>ed in keeping with the particular circumstances of each specific case.</w:t>
      </w:r>
      <w:r w:rsidR="00D81AA1" w:rsidRPr="00FE50A6">
        <w:rPr>
          <w:rStyle w:val="Refdenotaalpie"/>
          <w:rFonts w:eastAsia="Times New Roman"/>
          <w:lang w:val="en-US"/>
        </w:rPr>
        <w:footnoteReference w:id="505"/>
      </w:r>
    </w:p>
    <w:p w14:paraId="1C3C4C05" w14:textId="77777777" w:rsidR="00D81AA1" w:rsidRPr="00FE50A6" w:rsidRDefault="00D81AA1" w:rsidP="00D81AA1">
      <w:pPr>
        <w:jc w:val="both"/>
        <w:rPr>
          <w:rFonts w:cs="Arial"/>
          <w:bCs/>
          <w:iCs/>
          <w:szCs w:val="20"/>
          <w:lang w:val="en-US"/>
        </w:rPr>
      </w:pPr>
    </w:p>
    <w:p w14:paraId="503D1D27" w14:textId="77777777" w:rsidR="00D81AA1" w:rsidRPr="00FE50A6" w:rsidRDefault="00797EEE" w:rsidP="008B0BCC">
      <w:pPr>
        <w:pStyle w:val="Prrafodelista"/>
        <w:numPr>
          <w:ilvl w:val="0"/>
          <w:numId w:val="24"/>
        </w:numPr>
        <w:autoSpaceDE w:val="0"/>
        <w:autoSpaceDN w:val="0"/>
        <w:adjustRightInd w:val="0"/>
        <w:rPr>
          <w:rFonts w:cs="Arial"/>
          <w:i/>
          <w:noProof/>
          <w:szCs w:val="20"/>
          <w:lang w:val="en-US"/>
        </w:rPr>
      </w:pPr>
      <w:r w:rsidRPr="00FE50A6">
        <w:rPr>
          <w:rFonts w:cs="Arial"/>
          <w:i/>
          <w:noProof/>
          <w:szCs w:val="20"/>
          <w:lang w:val="en-US"/>
        </w:rPr>
        <w:t xml:space="preserve">The </w:t>
      </w:r>
      <w:r w:rsidR="00D81AA1" w:rsidRPr="00FE50A6">
        <w:rPr>
          <w:rFonts w:cs="Arial"/>
          <w:i/>
          <w:noProof/>
          <w:szCs w:val="20"/>
          <w:lang w:val="en-US"/>
        </w:rPr>
        <w:t>prescrip</w:t>
      </w:r>
      <w:r w:rsidRPr="00FE50A6">
        <w:rPr>
          <w:rFonts w:cs="Arial"/>
          <w:i/>
          <w:noProof/>
          <w:szCs w:val="20"/>
          <w:lang w:val="en-US"/>
        </w:rPr>
        <w:t xml:space="preserve">tion of the proceedings and </w:t>
      </w:r>
      <w:r w:rsidR="009B2C1E" w:rsidRPr="00FE50A6">
        <w:rPr>
          <w:rFonts w:cs="Arial"/>
          <w:i/>
          <w:noProof/>
          <w:szCs w:val="20"/>
          <w:lang w:val="en-US"/>
        </w:rPr>
        <w:t>its</w:t>
      </w:r>
      <w:r w:rsidRPr="00FE50A6">
        <w:rPr>
          <w:rFonts w:cs="Arial"/>
          <w:i/>
          <w:noProof/>
          <w:szCs w:val="20"/>
          <w:lang w:val="en-US"/>
        </w:rPr>
        <w:t xml:space="preserve"> compatibility with the obligations derived from</w:t>
      </w:r>
      <w:r w:rsidR="002A125A" w:rsidRPr="00FE50A6">
        <w:rPr>
          <w:rFonts w:cs="Arial"/>
          <w:i/>
          <w:noProof/>
          <w:szCs w:val="20"/>
          <w:lang w:val="en-US"/>
        </w:rPr>
        <w:t xml:space="preserve"> international</w:t>
      </w:r>
      <w:r w:rsidR="00931A2D" w:rsidRPr="00FE50A6">
        <w:rPr>
          <w:rFonts w:cs="Arial"/>
          <w:i/>
          <w:noProof/>
          <w:szCs w:val="20"/>
          <w:lang w:val="en-US"/>
        </w:rPr>
        <w:t xml:space="preserve"> law</w:t>
      </w:r>
    </w:p>
    <w:p w14:paraId="539449FE" w14:textId="77777777" w:rsidR="00D81AA1" w:rsidRPr="00FE50A6" w:rsidRDefault="00D81AA1" w:rsidP="00D81AA1">
      <w:pPr>
        <w:pStyle w:val="Prrafodelista"/>
        <w:ind w:left="0"/>
        <w:rPr>
          <w:rFonts w:cs="Arial"/>
          <w:noProof/>
          <w:szCs w:val="20"/>
          <w:lang w:val="en-US"/>
        </w:rPr>
      </w:pPr>
    </w:p>
    <w:p w14:paraId="7AE77388" w14:textId="77777777" w:rsidR="00D81AA1" w:rsidRPr="00FE50A6" w:rsidRDefault="00797EEE" w:rsidP="00D81AA1">
      <w:pPr>
        <w:pStyle w:val="Prrafodelista"/>
        <w:numPr>
          <w:ilvl w:val="0"/>
          <w:numId w:val="1"/>
        </w:numPr>
        <w:contextualSpacing w:val="0"/>
        <w:rPr>
          <w:rFonts w:cs="Arial"/>
          <w:noProof/>
          <w:szCs w:val="20"/>
          <w:lang w:val="en-US"/>
        </w:rPr>
      </w:pPr>
      <w:r w:rsidRPr="00FE50A6">
        <w:rPr>
          <w:szCs w:val="20"/>
          <w:lang w:val="en-US"/>
        </w:rPr>
        <w:t>First</w:t>
      </w:r>
      <w:r w:rsidR="00D81AA1" w:rsidRPr="00FE50A6">
        <w:rPr>
          <w:szCs w:val="20"/>
          <w:lang w:val="en-US"/>
        </w:rPr>
        <w:t xml:space="preserve">, </w:t>
      </w:r>
      <w:r w:rsidR="000228D0" w:rsidRPr="00FE50A6">
        <w:rPr>
          <w:szCs w:val="20"/>
          <w:lang w:val="en-US"/>
        </w:rPr>
        <w:t xml:space="preserve">the </w:t>
      </w:r>
      <w:r w:rsidR="0088467F" w:rsidRPr="00FE50A6">
        <w:rPr>
          <w:szCs w:val="20"/>
          <w:lang w:val="en-US"/>
        </w:rPr>
        <w:t>Court recalls</w:t>
      </w:r>
      <w:r w:rsidR="00D81AA1" w:rsidRPr="00FE50A6">
        <w:rPr>
          <w:szCs w:val="20"/>
          <w:lang w:val="en-US"/>
        </w:rPr>
        <w:t xml:space="preserve"> </w:t>
      </w:r>
      <w:r w:rsidR="009B389E" w:rsidRPr="00FE50A6">
        <w:rPr>
          <w:szCs w:val="20"/>
          <w:lang w:val="en-US"/>
        </w:rPr>
        <w:t xml:space="preserve">that it has determined that States have an obligation that is binding for all </w:t>
      </w:r>
      <w:r w:rsidR="009B2C1E" w:rsidRPr="00FE50A6">
        <w:rPr>
          <w:szCs w:val="20"/>
          <w:lang w:val="en-US"/>
        </w:rPr>
        <w:t>the</w:t>
      </w:r>
      <w:r w:rsidR="009E7C1F" w:rsidRPr="00FE50A6">
        <w:rPr>
          <w:szCs w:val="20"/>
          <w:lang w:val="en-US"/>
        </w:rPr>
        <w:t>ir</w:t>
      </w:r>
      <w:r w:rsidR="009B2C1E" w:rsidRPr="00FE50A6">
        <w:rPr>
          <w:szCs w:val="20"/>
          <w:lang w:val="en-US"/>
        </w:rPr>
        <w:t xml:space="preserve"> </w:t>
      </w:r>
      <w:r w:rsidR="009B389E" w:rsidRPr="00FE50A6">
        <w:rPr>
          <w:szCs w:val="20"/>
          <w:lang w:val="en-US"/>
        </w:rPr>
        <w:t>powers and organs</w:t>
      </w:r>
      <w:r w:rsidR="009E7C1F" w:rsidRPr="00FE50A6">
        <w:rPr>
          <w:szCs w:val="20"/>
          <w:lang w:val="en-US"/>
        </w:rPr>
        <w:t>,</w:t>
      </w:r>
      <w:r w:rsidR="009B389E" w:rsidRPr="00FE50A6">
        <w:rPr>
          <w:szCs w:val="20"/>
          <w:lang w:val="en-US"/>
        </w:rPr>
        <w:t xml:space="preserve"> wh</w:t>
      </w:r>
      <w:r w:rsidR="009E7C1F" w:rsidRPr="00FE50A6">
        <w:rPr>
          <w:szCs w:val="20"/>
          <w:lang w:val="en-US"/>
        </w:rPr>
        <w:t>ereby the latter</w:t>
      </w:r>
      <w:r w:rsidR="009B389E" w:rsidRPr="00FE50A6">
        <w:rPr>
          <w:szCs w:val="20"/>
          <w:lang w:val="en-US"/>
        </w:rPr>
        <w:t xml:space="preserve"> are obliged </w:t>
      </w:r>
      <w:r w:rsidR="009E7C1F" w:rsidRPr="00FE50A6">
        <w:rPr>
          <w:szCs w:val="20"/>
          <w:lang w:val="en-US"/>
        </w:rPr>
        <w:t>to ensure</w:t>
      </w:r>
      <w:r w:rsidR="009B389E" w:rsidRPr="00FE50A6">
        <w:rPr>
          <w:szCs w:val="20"/>
          <w:lang w:val="en-US"/>
        </w:rPr>
        <w:t xml:space="preserve"> </w:t>
      </w:r>
      <w:r w:rsidR="009E7C1F" w:rsidRPr="00FE50A6">
        <w:rPr>
          <w:i/>
          <w:szCs w:val="20"/>
          <w:lang w:val="en-US"/>
        </w:rPr>
        <w:t xml:space="preserve">ex officio </w:t>
      </w:r>
      <w:r w:rsidR="009E7C1F" w:rsidRPr="00FE50A6">
        <w:rPr>
          <w:szCs w:val="20"/>
          <w:lang w:val="en-US"/>
        </w:rPr>
        <w:t xml:space="preserve">that </w:t>
      </w:r>
      <w:r w:rsidR="009B389E" w:rsidRPr="00FE50A6">
        <w:rPr>
          <w:szCs w:val="20"/>
          <w:lang w:val="en-US"/>
        </w:rPr>
        <w:t xml:space="preserve">domestic laws </w:t>
      </w:r>
      <w:r w:rsidR="00030C17" w:rsidRPr="00FE50A6">
        <w:rPr>
          <w:szCs w:val="20"/>
          <w:lang w:val="en-US"/>
        </w:rPr>
        <w:t>a</w:t>
      </w:r>
      <w:r w:rsidR="009E7C1F" w:rsidRPr="00FE50A6">
        <w:rPr>
          <w:szCs w:val="20"/>
          <w:lang w:val="en-US"/>
        </w:rPr>
        <w:t>re in accordance with</w:t>
      </w:r>
      <w:r w:rsidR="00030C17" w:rsidRPr="00FE50A6">
        <w:rPr>
          <w:szCs w:val="20"/>
          <w:lang w:val="en-US"/>
        </w:rPr>
        <w:t xml:space="preserve"> </w:t>
      </w:r>
      <w:r w:rsidR="000228D0" w:rsidRPr="00FE50A6">
        <w:rPr>
          <w:szCs w:val="20"/>
          <w:lang w:val="en-US"/>
        </w:rPr>
        <w:t>the American Convention</w:t>
      </w:r>
      <w:r w:rsidR="00D81AA1" w:rsidRPr="00FE50A6">
        <w:rPr>
          <w:szCs w:val="20"/>
          <w:lang w:val="en-US"/>
        </w:rPr>
        <w:t xml:space="preserve"> </w:t>
      </w:r>
      <w:r w:rsidR="009B389E" w:rsidRPr="00FE50A6">
        <w:rPr>
          <w:szCs w:val="20"/>
          <w:lang w:val="en-US"/>
        </w:rPr>
        <w:t>within their respective terms of reference and the corresponding procedural regulations.</w:t>
      </w:r>
      <w:r w:rsidR="00D81AA1" w:rsidRPr="00FE50A6">
        <w:rPr>
          <w:szCs w:val="20"/>
          <w:vertAlign w:val="superscript"/>
          <w:lang w:val="en-US"/>
        </w:rPr>
        <w:footnoteReference w:id="506"/>
      </w:r>
    </w:p>
    <w:p w14:paraId="1C481594" w14:textId="77777777" w:rsidR="009B389E" w:rsidRPr="00FE50A6" w:rsidRDefault="009B389E" w:rsidP="009B389E">
      <w:pPr>
        <w:pStyle w:val="Prrafodelista"/>
        <w:ind w:left="0"/>
        <w:contextualSpacing w:val="0"/>
        <w:rPr>
          <w:rFonts w:cs="Arial"/>
          <w:noProof/>
          <w:szCs w:val="20"/>
          <w:lang w:val="en-US"/>
        </w:rPr>
      </w:pPr>
    </w:p>
    <w:p w14:paraId="14709B45" w14:textId="77777777" w:rsidR="00D81AA1" w:rsidRPr="00FE50A6" w:rsidRDefault="009B389E" w:rsidP="009B389E">
      <w:pPr>
        <w:pStyle w:val="Prrafodelista"/>
        <w:numPr>
          <w:ilvl w:val="0"/>
          <w:numId w:val="1"/>
        </w:numPr>
        <w:rPr>
          <w:rFonts w:cs="Arial"/>
          <w:noProof/>
          <w:szCs w:val="20"/>
          <w:lang w:val="en-US"/>
        </w:rPr>
      </w:pPr>
      <w:r w:rsidRPr="00FE50A6">
        <w:rPr>
          <w:rFonts w:cs="Arial"/>
          <w:noProof/>
          <w:szCs w:val="20"/>
          <w:lang w:val="en-US"/>
        </w:rPr>
        <w:t xml:space="preserve">The Court has also determined that a State that has ratified an international treaty must incorporate into its domestic laws the </w:t>
      </w:r>
      <w:r w:rsidR="009E7C1F" w:rsidRPr="00FE50A6">
        <w:rPr>
          <w:rFonts w:cs="Arial"/>
          <w:noProof/>
          <w:szCs w:val="20"/>
          <w:lang w:val="en-US"/>
        </w:rPr>
        <w:t>changes</w:t>
      </w:r>
      <w:r w:rsidRPr="00FE50A6">
        <w:rPr>
          <w:rFonts w:cs="Arial"/>
          <w:noProof/>
          <w:szCs w:val="20"/>
          <w:lang w:val="en-US"/>
        </w:rPr>
        <w:t xml:space="preserve"> required to ensure the </w:t>
      </w:r>
      <w:r w:rsidR="009E7C1F" w:rsidRPr="00FE50A6">
        <w:rPr>
          <w:rFonts w:cs="Arial"/>
          <w:noProof/>
          <w:szCs w:val="20"/>
          <w:lang w:val="en-US"/>
        </w:rPr>
        <w:t>implementation</w:t>
      </w:r>
      <w:r w:rsidRPr="00FE50A6">
        <w:rPr>
          <w:rFonts w:cs="Arial"/>
          <w:noProof/>
          <w:szCs w:val="20"/>
          <w:lang w:val="en-US"/>
        </w:rPr>
        <w:t xml:space="preserve"> of the obligations it has assumed,</w:t>
      </w:r>
      <w:r w:rsidR="00D81AA1" w:rsidRPr="00FE50A6">
        <w:rPr>
          <w:noProof/>
          <w:szCs w:val="20"/>
          <w:vertAlign w:val="superscript"/>
          <w:lang w:val="en-US"/>
        </w:rPr>
        <w:footnoteReference w:id="507"/>
      </w:r>
      <w:r w:rsidR="00030C17" w:rsidRPr="00FE50A6">
        <w:rPr>
          <w:rFonts w:cs="Arial"/>
          <w:noProof/>
          <w:szCs w:val="20"/>
          <w:lang w:val="en-US"/>
        </w:rPr>
        <w:t xml:space="preserve"> and </w:t>
      </w:r>
      <w:r w:rsidRPr="00FE50A6">
        <w:rPr>
          <w:rFonts w:cs="Arial"/>
          <w:noProof/>
          <w:szCs w:val="20"/>
          <w:lang w:val="en-US"/>
        </w:rPr>
        <w:t xml:space="preserve">that this principle, which is reflected in </w:t>
      </w:r>
      <w:r w:rsidR="000228D0" w:rsidRPr="00FE50A6">
        <w:rPr>
          <w:rFonts w:cs="Arial"/>
          <w:noProof/>
          <w:szCs w:val="20"/>
          <w:lang w:val="en-US"/>
        </w:rPr>
        <w:t>Article</w:t>
      </w:r>
      <w:r w:rsidR="00D81AA1" w:rsidRPr="00FE50A6">
        <w:rPr>
          <w:rFonts w:cs="Arial"/>
          <w:noProof/>
          <w:szCs w:val="20"/>
          <w:lang w:val="en-US"/>
        </w:rPr>
        <w:t xml:space="preserve"> 2</w:t>
      </w:r>
      <w:r w:rsidR="000228D0" w:rsidRPr="00FE50A6">
        <w:rPr>
          <w:rFonts w:cs="Arial"/>
          <w:noProof/>
          <w:szCs w:val="20"/>
          <w:lang w:val="en-US"/>
        </w:rPr>
        <w:t xml:space="preserve"> of the American Convention</w:t>
      </w:r>
      <w:r w:rsidRPr="00FE50A6">
        <w:rPr>
          <w:rFonts w:cs="Arial"/>
          <w:noProof/>
          <w:szCs w:val="20"/>
          <w:lang w:val="en-US"/>
        </w:rPr>
        <w:t>,</w:t>
      </w:r>
      <w:r w:rsidR="00D81AA1" w:rsidRPr="00FE50A6">
        <w:rPr>
          <w:rFonts w:cs="Arial"/>
          <w:noProof/>
          <w:szCs w:val="20"/>
          <w:lang w:val="en-US"/>
        </w:rPr>
        <w:t xml:space="preserve"> establ</w:t>
      </w:r>
      <w:r w:rsidRPr="00FE50A6">
        <w:rPr>
          <w:rFonts w:cs="Arial"/>
          <w:noProof/>
          <w:szCs w:val="20"/>
          <w:lang w:val="en-US"/>
        </w:rPr>
        <w:t xml:space="preserve">ishes the general obligation of States Parties to adapt their domestic laws to the provisions of </w:t>
      </w:r>
      <w:r w:rsidR="009E7C1F" w:rsidRPr="00FE50A6">
        <w:rPr>
          <w:rFonts w:cs="Arial"/>
          <w:noProof/>
          <w:szCs w:val="20"/>
          <w:lang w:val="en-US"/>
        </w:rPr>
        <w:t>this</w:t>
      </w:r>
      <w:r w:rsidRPr="00FE50A6">
        <w:rPr>
          <w:rFonts w:cs="Arial"/>
          <w:noProof/>
          <w:szCs w:val="20"/>
          <w:lang w:val="en-US"/>
        </w:rPr>
        <w:t xml:space="preserve"> instrument in order to guarantee the rights it contains,</w:t>
      </w:r>
      <w:r w:rsidR="00D81AA1" w:rsidRPr="00FE50A6">
        <w:rPr>
          <w:noProof/>
          <w:szCs w:val="20"/>
          <w:vertAlign w:val="superscript"/>
          <w:lang w:val="en-US"/>
        </w:rPr>
        <w:footnoteReference w:id="508"/>
      </w:r>
      <w:r w:rsidRPr="00FE50A6">
        <w:rPr>
          <w:rFonts w:cs="Arial"/>
          <w:noProof/>
          <w:szCs w:val="20"/>
          <w:lang w:val="en-US"/>
        </w:rPr>
        <w:t xml:space="preserve"> which </w:t>
      </w:r>
      <w:r w:rsidR="009E7C1F" w:rsidRPr="00FE50A6">
        <w:rPr>
          <w:rFonts w:cs="Arial"/>
          <w:noProof/>
          <w:szCs w:val="20"/>
          <w:lang w:val="en-US"/>
        </w:rPr>
        <w:t>means</w:t>
      </w:r>
      <w:r w:rsidRPr="00FE50A6">
        <w:rPr>
          <w:rFonts w:cs="Arial"/>
          <w:noProof/>
          <w:szCs w:val="20"/>
          <w:lang w:val="en-US"/>
        </w:rPr>
        <w:t xml:space="preserve"> that measures </w:t>
      </w:r>
      <w:r w:rsidR="009E7C1F" w:rsidRPr="00FE50A6">
        <w:rPr>
          <w:rFonts w:cs="Arial"/>
          <w:noProof/>
          <w:szCs w:val="20"/>
          <w:lang w:val="en-US"/>
        </w:rPr>
        <w:t>under</w:t>
      </w:r>
      <w:r w:rsidRPr="00FE50A6">
        <w:rPr>
          <w:rFonts w:cs="Arial"/>
          <w:noProof/>
          <w:szCs w:val="20"/>
          <w:lang w:val="en-US"/>
        </w:rPr>
        <w:t xml:space="preserve"> domestic law must be effective</w:t>
      </w:r>
      <w:r w:rsidR="00D81AA1" w:rsidRPr="00FE50A6">
        <w:rPr>
          <w:rFonts w:cs="Arial"/>
          <w:noProof/>
          <w:szCs w:val="20"/>
          <w:lang w:val="en-US"/>
        </w:rPr>
        <w:t xml:space="preserve"> (</w:t>
      </w:r>
      <w:r w:rsidR="00D81AA1" w:rsidRPr="00FE50A6">
        <w:rPr>
          <w:rFonts w:cs="Arial"/>
          <w:i/>
          <w:noProof/>
          <w:szCs w:val="20"/>
          <w:lang w:val="en-US"/>
        </w:rPr>
        <w:t>effet utile)</w:t>
      </w:r>
      <w:r w:rsidRPr="00FE50A6">
        <w:rPr>
          <w:rFonts w:cs="Arial"/>
          <w:i/>
          <w:noProof/>
          <w:szCs w:val="20"/>
          <w:lang w:val="en-US"/>
        </w:rPr>
        <w:t>.</w:t>
      </w:r>
      <w:r w:rsidR="00D81AA1" w:rsidRPr="00FE50A6">
        <w:rPr>
          <w:noProof/>
          <w:szCs w:val="20"/>
          <w:vertAlign w:val="superscript"/>
          <w:lang w:val="en-US"/>
        </w:rPr>
        <w:footnoteReference w:id="509"/>
      </w:r>
      <w:r w:rsidR="00D81AA1" w:rsidRPr="00FE50A6">
        <w:rPr>
          <w:rFonts w:eastAsia="Calibri" w:cs="Arial"/>
          <w:noProof/>
          <w:szCs w:val="20"/>
          <w:lang w:val="en-US" w:eastAsia="es-CR"/>
        </w:rPr>
        <w:t xml:space="preserve"> </w:t>
      </w:r>
    </w:p>
    <w:p w14:paraId="3F016B00" w14:textId="77777777" w:rsidR="00D81AA1" w:rsidRPr="00FE50A6" w:rsidRDefault="00D81AA1" w:rsidP="00D81AA1">
      <w:pPr>
        <w:pStyle w:val="Prrafodelista"/>
        <w:rPr>
          <w:rFonts w:cs="Arial"/>
          <w:noProof/>
          <w:szCs w:val="20"/>
          <w:lang w:val="en-US"/>
        </w:rPr>
      </w:pPr>
    </w:p>
    <w:p w14:paraId="3472BD09" w14:textId="77777777" w:rsidR="00D81AA1" w:rsidRPr="00FE50A6" w:rsidRDefault="009B389E" w:rsidP="00D81AA1">
      <w:pPr>
        <w:pStyle w:val="Prrafodelista"/>
        <w:numPr>
          <w:ilvl w:val="0"/>
          <w:numId w:val="1"/>
        </w:numPr>
        <w:contextualSpacing w:val="0"/>
        <w:rPr>
          <w:rFonts w:cs="Arial"/>
          <w:noProof/>
          <w:szCs w:val="20"/>
          <w:lang w:val="en-US"/>
        </w:rPr>
      </w:pPr>
      <w:r w:rsidRPr="00FE50A6">
        <w:rPr>
          <w:rFonts w:cs="Arial"/>
          <w:noProof/>
          <w:szCs w:val="20"/>
          <w:lang w:val="en-US"/>
        </w:rPr>
        <w:t>Similarly, this Court has understood that this adaptation involves the adoption of measures of two types</w:t>
      </w:r>
      <w:r w:rsidR="00D81AA1" w:rsidRPr="00FE50A6">
        <w:rPr>
          <w:rFonts w:cs="Arial"/>
          <w:noProof/>
          <w:szCs w:val="20"/>
          <w:lang w:val="en-US"/>
        </w:rPr>
        <w:t xml:space="preserve">: </w:t>
      </w:r>
      <w:r w:rsidRPr="00FE50A6">
        <w:rPr>
          <w:rFonts w:cs="Arial"/>
          <w:noProof/>
          <w:szCs w:val="20"/>
          <w:lang w:val="en-US"/>
        </w:rPr>
        <w:t>(</w:t>
      </w:r>
      <w:r w:rsidR="00D81AA1" w:rsidRPr="00FE50A6">
        <w:rPr>
          <w:rFonts w:cs="Arial"/>
          <w:noProof/>
          <w:szCs w:val="20"/>
          <w:lang w:val="en-US"/>
        </w:rPr>
        <w:t xml:space="preserve">i) </w:t>
      </w:r>
      <w:r w:rsidRPr="00FE50A6">
        <w:rPr>
          <w:rFonts w:cs="Arial"/>
          <w:noProof/>
          <w:szCs w:val="20"/>
          <w:lang w:val="en-US"/>
        </w:rPr>
        <w:t>to elimin</w:t>
      </w:r>
      <w:r w:rsidR="001B558B" w:rsidRPr="00FE50A6">
        <w:rPr>
          <w:rFonts w:cs="Arial"/>
          <w:noProof/>
          <w:szCs w:val="20"/>
          <w:lang w:val="en-US"/>
        </w:rPr>
        <w:t>a</w:t>
      </w:r>
      <w:r w:rsidRPr="00FE50A6">
        <w:rPr>
          <w:rFonts w:cs="Arial"/>
          <w:noProof/>
          <w:szCs w:val="20"/>
          <w:lang w:val="en-US"/>
        </w:rPr>
        <w:t>te norms and practices of any nature that entail a violation of the guarantees established in</w:t>
      </w:r>
      <w:r w:rsidR="00D81AA1" w:rsidRPr="00FE50A6">
        <w:rPr>
          <w:rFonts w:cs="Arial"/>
          <w:noProof/>
          <w:szCs w:val="20"/>
          <w:lang w:val="en-US"/>
        </w:rPr>
        <w:t xml:space="preserve"> </w:t>
      </w:r>
      <w:r w:rsidR="000228D0" w:rsidRPr="00FE50A6">
        <w:rPr>
          <w:rFonts w:cs="Arial"/>
          <w:noProof/>
          <w:szCs w:val="20"/>
          <w:lang w:val="en-US"/>
        </w:rPr>
        <w:t>the Convention</w:t>
      </w:r>
      <w:r w:rsidR="00D81AA1" w:rsidRPr="00FE50A6">
        <w:rPr>
          <w:rFonts w:cs="Arial"/>
          <w:noProof/>
          <w:szCs w:val="20"/>
          <w:lang w:val="en-US"/>
        </w:rPr>
        <w:t xml:space="preserve"> o</w:t>
      </w:r>
      <w:r w:rsidRPr="00FE50A6">
        <w:rPr>
          <w:rFonts w:cs="Arial"/>
          <w:noProof/>
          <w:szCs w:val="20"/>
          <w:lang w:val="en-US"/>
        </w:rPr>
        <w:t>r that do not recognize the rights established th</w:t>
      </w:r>
      <w:r w:rsidR="001B558B" w:rsidRPr="00FE50A6">
        <w:rPr>
          <w:rFonts w:cs="Arial"/>
          <w:noProof/>
          <w:szCs w:val="20"/>
          <w:lang w:val="en-US"/>
        </w:rPr>
        <w:t>e</w:t>
      </w:r>
      <w:r w:rsidRPr="00FE50A6">
        <w:rPr>
          <w:rFonts w:cs="Arial"/>
          <w:noProof/>
          <w:szCs w:val="20"/>
          <w:lang w:val="en-US"/>
        </w:rPr>
        <w:t>rein or</w:t>
      </w:r>
      <w:r w:rsidR="001B558B" w:rsidRPr="00FE50A6">
        <w:rPr>
          <w:rFonts w:cs="Arial"/>
          <w:noProof/>
          <w:szCs w:val="20"/>
          <w:lang w:val="en-US"/>
        </w:rPr>
        <w:t xml:space="preserve"> that</w:t>
      </w:r>
      <w:r w:rsidRPr="00FE50A6">
        <w:rPr>
          <w:rFonts w:cs="Arial"/>
          <w:noProof/>
          <w:szCs w:val="20"/>
          <w:lang w:val="en-US"/>
        </w:rPr>
        <w:t xml:space="preserve"> impede their exercise, which means that the norm or practice that </w:t>
      </w:r>
      <w:r w:rsidR="001B558B" w:rsidRPr="00FE50A6">
        <w:rPr>
          <w:rFonts w:cs="Arial"/>
          <w:noProof/>
          <w:szCs w:val="20"/>
          <w:lang w:val="en-US"/>
        </w:rPr>
        <w:t>v</w:t>
      </w:r>
      <w:r w:rsidRPr="00FE50A6">
        <w:rPr>
          <w:rFonts w:cs="Arial"/>
          <w:noProof/>
          <w:szCs w:val="20"/>
          <w:lang w:val="en-US"/>
        </w:rPr>
        <w:t>iolates the Convention must be modified, derogated or annulled</w:t>
      </w:r>
      <w:r w:rsidR="001B558B" w:rsidRPr="00FE50A6">
        <w:rPr>
          <w:rFonts w:cs="Arial"/>
          <w:noProof/>
          <w:szCs w:val="20"/>
          <w:lang w:val="en-US"/>
        </w:rPr>
        <w:t xml:space="preserve">, </w:t>
      </w:r>
      <w:r w:rsidRPr="00FE50A6">
        <w:rPr>
          <w:rFonts w:cs="Arial"/>
          <w:noProof/>
          <w:szCs w:val="20"/>
          <w:lang w:val="en-US"/>
        </w:rPr>
        <w:t>or amended</w:t>
      </w:r>
      <w:r w:rsidR="001B558B" w:rsidRPr="00FE50A6">
        <w:rPr>
          <w:rFonts w:cs="Arial"/>
          <w:noProof/>
          <w:szCs w:val="20"/>
          <w:lang w:val="en-US"/>
        </w:rPr>
        <w:t>, as appropriate,</w:t>
      </w:r>
      <w:r w:rsidR="00D81AA1" w:rsidRPr="00FE50A6">
        <w:rPr>
          <w:noProof/>
          <w:szCs w:val="20"/>
          <w:vertAlign w:val="superscript"/>
          <w:lang w:val="en-US"/>
        </w:rPr>
        <w:footnoteReference w:id="510"/>
      </w:r>
      <w:r w:rsidR="00030C17" w:rsidRPr="00FE50A6">
        <w:rPr>
          <w:rFonts w:cs="Arial"/>
          <w:noProof/>
          <w:szCs w:val="20"/>
          <w:lang w:val="en-US"/>
        </w:rPr>
        <w:t xml:space="preserve"> and </w:t>
      </w:r>
      <w:r w:rsidR="001B558B" w:rsidRPr="00FE50A6">
        <w:rPr>
          <w:rFonts w:cs="Arial"/>
          <w:noProof/>
          <w:szCs w:val="20"/>
          <w:lang w:val="en-US"/>
        </w:rPr>
        <w:t>(</w:t>
      </w:r>
      <w:r w:rsidR="00D81AA1" w:rsidRPr="00FE50A6">
        <w:rPr>
          <w:rFonts w:cs="Arial"/>
          <w:noProof/>
          <w:szCs w:val="20"/>
          <w:lang w:val="en-US"/>
        </w:rPr>
        <w:t xml:space="preserve">ii) </w:t>
      </w:r>
      <w:r w:rsidR="001B558B" w:rsidRPr="00FE50A6">
        <w:rPr>
          <w:rFonts w:cs="Arial"/>
          <w:noProof/>
          <w:szCs w:val="20"/>
          <w:lang w:val="en-US"/>
        </w:rPr>
        <w:t>to enact laws and implement practices leading to the effective observance of the said guarantees.</w:t>
      </w:r>
      <w:r w:rsidR="00D81AA1" w:rsidRPr="00FE50A6">
        <w:rPr>
          <w:noProof/>
          <w:szCs w:val="20"/>
          <w:vertAlign w:val="superscript"/>
          <w:lang w:val="en-US"/>
        </w:rPr>
        <w:footnoteReference w:id="511"/>
      </w:r>
    </w:p>
    <w:p w14:paraId="30CADA89" w14:textId="77777777" w:rsidR="00D81AA1" w:rsidRPr="00FE50A6" w:rsidRDefault="00D81AA1" w:rsidP="00D81AA1">
      <w:pPr>
        <w:pStyle w:val="Prrafodelista"/>
        <w:ind w:left="0"/>
        <w:rPr>
          <w:rFonts w:cs="Arial"/>
          <w:noProof/>
          <w:szCs w:val="20"/>
          <w:lang w:val="en-US"/>
        </w:rPr>
      </w:pPr>
    </w:p>
    <w:p w14:paraId="712E928F" w14:textId="77777777" w:rsidR="00D81AA1" w:rsidRPr="00FE50A6" w:rsidRDefault="0088467F" w:rsidP="00D81AA1">
      <w:pPr>
        <w:pStyle w:val="Prrafodelista"/>
        <w:numPr>
          <w:ilvl w:val="0"/>
          <w:numId w:val="1"/>
        </w:numPr>
        <w:autoSpaceDE w:val="0"/>
        <w:autoSpaceDN w:val="0"/>
        <w:adjustRightInd w:val="0"/>
        <w:contextualSpacing w:val="0"/>
        <w:rPr>
          <w:rFonts w:cs="Arial"/>
          <w:bCs/>
          <w:iCs/>
          <w:szCs w:val="20"/>
          <w:lang w:val="en-US"/>
        </w:rPr>
      </w:pPr>
      <w:r w:rsidRPr="00FE50A6">
        <w:rPr>
          <w:rFonts w:cs="Arial"/>
          <w:bCs/>
          <w:iCs/>
          <w:szCs w:val="20"/>
          <w:lang w:val="en-US"/>
        </w:rPr>
        <w:t>In this case</w:t>
      </w:r>
      <w:r w:rsidR="001B558B" w:rsidRPr="00FE50A6">
        <w:rPr>
          <w:rFonts w:cs="Arial"/>
          <w:bCs/>
          <w:iCs/>
          <w:szCs w:val="20"/>
          <w:lang w:val="en-US"/>
        </w:rPr>
        <w:t>,</w:t>
      </w:r>
      <w:r w:rsidR="00D81AA1" w:rsidRPr="00FE50A6">
        <w:rPr>
          <w:rFonts w:cs="Arial"/>
          <w:bCs/>
          <w:iCs/>
          <w:szCs w:val="20"/>
          <w:lang w:val="en-US"/>
        </w:rPr>
        <w:t xml:space="preserve"> </w:t>
      </w:r>
      <w:r w:rsidR="000228D0" w:rsidRPr="00FE50A6">
        <w:rPr>
          <w:rFonts w:cs="Arial"/>
          <w:bCs/>
          <w:iCs/>
          <w:szCs w:val="20"/>
          <w:lang w:val="en-US"/>
        </w:rPr>
        <w:t>the Court</w:t>
      </w:r>
      <w:r w:rsidR="00D81AA1" w:rsidRPr="00FE50A6">
        <w:rPr>
          <w:rFonts w:cs="Arial"/>
          <w:bCs/>
          <w:iCs/>
          <w:szCs w:val="20"/>
          <w:lang w:val="en-US"/>
        </w:rPr>
        <w:t xml:space="preserve"> </w:t>
      </w:r>
      <w:r w:rsidR="001B558B" w:rsidRPr="00FE50A6">
        <w:rPr>
          <w:rFonts w:cs="Arial"/>
          <w:bCs/>
          <w:iCs/>
          <w:szCs w:val="20"/>
          <w:lang w:val="en-US"/>
        </w:rPr>
        <w:t xml:space="preserve">underscores that the 1997 action against </w:t>
      </w:r>
      <w:r w:rsidR="00D81AA1" w:rsidRPr="00FE50A6">
        <w:rPr>
          <w:rFonts w:cs="Arial"/>
          <w:szCs w:val="20"/>
          <w:lang w:val="en-US"/>
        </w:rPr>
        <w:t>Raimundo Alves de Rocha</w:t>
      </w:r>
      <w:r w:rsidR="00030C17" w:rsidRPr="00FE50A6">
        <w:rPr>
          <w:rFonts w:cs="Arial"/>
          <w:szCs w:val="20"/>
          <w:lang w:val="en-US"/>
        </w:rPr>
        <w:t xml:space="preserve"> and </w:t>
      </w:r>
      <w:r w:rsidR="00D60654" w:rsidRPr="00FE50A6">
        <w:rPr>
          <w:rFonts w:cs="Arial"/>
          <w:szCs w:val="20"/>
          <w:lang w:val="en-US"/>
        </w:rPr>
        <w:t xml:space="preserve">Antônio </w:t>
      </w:r>
      <w:r w:rsidR="00D81AA1" w:rsidRPr="00FE50A6">
        <w:rPr>
          <w:rFonts w:cs="Arial"/>
          <w:szCs w:val="20"/>
          <w:lang w:val="en-US"/>
        </w:rPr>
        <w:t>Alves Vieira</w:t>
      </w:r>
      <w:r w:rsidR="001B558B" w:rsidRPr="00FE50A6">
        <w:rPr>
          <w:rFonts w:cs="Arial"/>
          <w:szCs w:val="20"/>
          <w:lang w:val="en-US"/>
        </w:rPr>
        <w:t xml:space="preserve"> concluded with the prescription of the punishment </w:t>
      </w:r>
      <w:r w:rsidR="009E7C1F" w:rsidRPr="00FE50A6">
        <w:rPr>
          <w:rFonts w:cs="Arial"/>
          <w:szCs w:val="20"/>
          <w:lang w:val="en-US"/>
        </w:rPr>
        <w:t>for</w:t>
      </w:r>
      <w:r w:rsidR="001B558B" w:rsidRPr="00FE50A6">
        <w:rPr>
          <w:rFonts w:cs="Arial"/>
          <w:szCs w:val="20"/>
          <w:lang w:val="en-US"/>
        </w:rPr>
        <w:t xml:space="preserve"> the wrongful acts they were charged with: reduction to a condition similar to that of a slave </w:t>
      </w:r>
      <w:r w:rsidR="00D81AA1" w:rsidRPr="00FE50A6">
        <w:rPr>
          <w:rFonts w:cs="Arial"/>
          <w:szCs w:val="20"/>
          <w:lang w:val="en-US"/>
        </w:rPr>
        <w:t xml:space="preserve">(art. 149), </w:t>
      </w:r>
      <w:r w:rsidR="001B558B" w:rsidRPr="00FE50A6">
        <w:rPr>
          <w:rFonts w:cs="Arial"/>
          <w:szCs w:val="20"/>
          <w:lang w:val="en-US"/>
        </w:rPr>
        <w:t xml:space="preserve">violation of freedom of work </w:t>
      </w:r>
      <w:r w:rsidR="00D81AA1" w:rsidRPr="00FE50A6">
        <w:rPr>
          <w:rFonts w:cs="Arial"/>
          <w:szCs w:val="20"/>
          <w:lang w:val="en-US"/>
        </w:rPr>
        <w:t>(art. 197.1)</w:t>
      </w:r>
      <w:r w:rsidR="00030C17" w:rsidRPr="00FE50A6">
        <w:rPr>
          <w:rFonts w:cs="Arial"/>
          <w:szCs w:val="20"/>
          <w:lang w:val="en-US"/>
        </w:rPr>
        <w:t xml:space="preserve"> and </w:t>
      </w:r>
      <w:r w:rsidR="001B558B" w:rsidRPr="00FE50A6">
        <w:rPr>
          <w:rFonts w:cs="Arial"/>
          <w:szCs w:val="20"/>
          <w:lang w:val="en-US"/>
        </w:rPr>
        <w:t xml:space="preserve">illegal recruitment of workers from one part of national territory </w:t>
      </w:r>
      <w:r w:rsidR="00A239A2" w:rsidRPr="00FE50A6">
        <w:rPr>
          <w:rFonts w:cs="Arial"/>
          <w:szCs w:val="20"/>
          <w:lang w:val="en-US"/>
        </w:rPr>
        <w:t>to</w:t>
      </w:r>
      <w:r w:rsidR="001B558B" w:rsidRPr="00FE50A6">
        <w:rPr>
          <w:rFonts w:cs="Arial"/>
          <w:szCs w:val="20"/>
          <w:lang w:val="en-US"/>
        </w:rPr>
        <w:t xml:space="preserve"> another</w:t>
      </w:r>
      <w:r w:rsidR="00D81AA1" w:rsidRPr="00FE50A6">
        <w:rPr>
          <w:rFonts w:cs="Arial"/>
          <w:szCs w:val="20"/>
          <w:lang w:val="en-US"/>
        </w:rPr>
        <w:t xml:space="preserve"> (art. 207).</w:t>
      </w:r>
    </w:p>
    <w:p w14:paraId="22B95B28" w14:textId="77777777" w:rsidR="00D81AA1" w:rsidRPr="00FE50A6" w:rsidRDefault="00D81AA1" w:rsidP="00D81AA1">
      <w:pPr>
        <w:pStyle w:val="Prrafodelista"/>
        <w:rPr>
          <w:rFonts w:cs="Arial"/>
          <w:szCs w:val="20"/>
          <w:lang w:val="en-US"/>
        </w:rPr>
      </w:pPr>
    </w:p>
    <w:p w14:paraId="3BEAD3E4" w14:textId="77777777" w:rsidR="00D81AA1" w:rsidRPr="00FE50A6" w:rsidRDefault="000228D0" w:rsidP="00D81AA1">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Court</w:t>
      </w:r>
      <w:r w:rsidR="00D81AA1" w:rsidRPr="00FE50A6">
        <w:rPr>
          <w:rFonts w:cs="Arial"/>
          <w:szCs w:val="20"/>
          <w:lang w:val="en-US"/>
        </w:rPr>
        <w:t xml:space="preserve"> </w:t>
      </w:r>
      <w:r w:rsidR="001B558B" w:rsidRPr="00FE50A6">
        <w:rPr>
          <w:rFonts w:cs="Arial"/>
          <w:szCs w:val="20"/>
          <w:lang w:val="en-US"/>
        </w:rPr>
        <w:t xml:space="preserve">has already indicated that, in criminal matters, prescription determines the extinguishment of the punishment owing to the passage of time and, </w:t>
      </w:r>
      <w:r w:rsidR="00A239A2" w:rsidRPr="00FE50A6">
        <w:rPr>
          <w:rFonts w:cs="Arial"/>
          <w:szCs w:val="20"/>
          <w:lang w:val="en-US"/>
        </w:rPr>
        <w:t xml:space="preserve">in </w:t>
      </w:r>
      <w:r w:rsidR="001B558B" w:rsidRPr="00FE50A6">
        <w:rPr>
          <w:rFonts w:cs="Arial"/>
          <w:szCs w:val="20"/>
          <w:lang w:val="en-US"/>
        </w:rPr>
        <w:t xml:space="preserve">general, limits the State’s punitive power to prosecute the wrongful act and </w:t>
      </w:r>
      <w:r w:rsidR="00A239A2" w:rsidRPr="00FE50A6">
        <w:rPr>
          <w:rFonts w:cs="Arial"/>
          <w:szCs w:val="20"/>
          <w:lang w:val="en-US"/>
        </w:rPr>
        <w:t xml:space="preserve">to </w:t>
      </w:r>
      <w:r w:rsidR="001B558B" w:rsidRPr="00FE50A6">
        <w:rPr>
          <w:rFonts w:cs="Arial"/>
          <w:szCs w:val="20"/>
          <w:lang w:val="en-US"/>
        </w:rPr>
        <w:t xml:space="preserve">punish its authors. This is a guarantee that should be duly observed by the judge in the case of anyone accused of a crime. </w:t>
      </w:r>
      <w:r w:rsidR="00A239A2" w:rsidRPr="00FE50A6">
        <w:rPr>
          <w:rFonts w:cs="Arial"/>
          <w:szCs w:val="20"/>
          <w:lang w:val="en-US"/>
        </w:rPr>
        <w:t>However</w:t>
      </w:r>
      <w:r w:rsidR="001B558B" w:rsidRPr="00FE50A6">
        <w:rPr>
          <w:rFonts w:cs="Arial"/>
          <w:szCs w:val="20"/>
          <w:lang w:val="en-US"/>
        </w:rPr>
        <w:t>, prescription of the criminal proceedings is inadmissible when international law stipulates this. In this case,</w:t>
      </w:r>
      <w:r w:rsidR="00F81532" w:rsidRPr="00FE50A6">
        <w:rPr>
          <w:rFonts w:cs="Arial"/>
          <w:szCs w:val="20"/>
          <w:lang w:val="en-US"/>
        </w:rPr>
        <w:t xml:space="preserve"> </w:t>
      </w:r>
      <w:r w:rsidR="00D11A9F" w:rsidRPr="00FE50A6">
        <w:rPr>
          <w:rFonts w:cs="Arial"/>
          <w:szCs w:val="20"/>
          <w:lang w:val="en-US"/>
        </w:rPr>
        <w:t>slavery</w:t>
      </w:r>
      <w:r w:rsidR="00FD547B" w:rsidRPr="00FE50A6">
        <w:rPr>
          <w:rFonts w:cs="Arial"/>
          <w:szCs w:val="20"/>
          <w:lang w:val="en-US"/>
        </w:rPr>
        <w:t xml:space="preserve"> is considered a crime under international law and its prohibition is of a</w:t>
      </w:r>
      <w:r w:rsidR="00F81532" w:rsidRPr="00FE50A6">
        <w:rPr>
          <w:rFonts w:cs="Arial"/>
          <w:szCs w:val="20"/>
          <w:lang w:val="en-US"/>
        </w:rPr>
        <w:t xml:space="preserve"> </w:t>
      </w:r>
      <w:r w:rsidR="00F81532" w:rsidRPr="00FE50A6">
        <w:rPr>
          <w:rFonts w:cs="Arial"/>
          <w:i/>
          <w:szCs w:val="20"/>
          <w:lang w:val="en-US"/>
        </w:rPr>
        <w:t>jus cogens</w:t>
      </w:r>
      <w:r w:rsidR="00F81532" w:rsidRPr="00FE50A6">
        <w:rPr>
          <w:rFonts w:cs="Arial"/>
          <w:szCs w:val="20"/>
          <w:lang w:val="en-US"/>
        </w:rPr>
        <w:t xml:space="preserve"> </w:t>
      </w:r>
      <w:r w:rsidR="00FD547B" w:rsidRPr="00FE50A6">
        <w:rPr>
          <w:rFonts w:cs="Arial"/>
          <w:szCs w:val="20"/>
          <w:lang w:val="en-US"/>
        </w:rPr>
        <w:t xml:space="preserve">nature </w:t>
      </w:r>
      <w:r w:rsidR="00F81532" w:rsidRPr="00FE50A6">
        <w:rPr>
          <w:rFonts w:cs="Arial"/>
          <w:szCs w:val="20"/>
          <w:lang w:val="en-US"/>
        </w:rPr>
        <w:t>(</w:t>
      </w:r>
      <w:r w:rsidR="00F81532" w:rsidRPr="00FE50A6">
        <w:rPr>
          <w:rFonts w:cs="Arial"/>
          <w:i/>
          <w:szCs w:val="20"/>
          <w:lang w:val="en-US"/>
        </w:rPr>
        <w:t xml:space="preserve">supra </w:t>
      </w:r>
      <w:r w:rsidR="00700B79" w:rsidRPr="00FE50A6">
        <w:rPr>
          <w:rFonts w:cs="Arial"/>
          <w:szCs w:val="20"/>
          <w:lang w:val="en-US"/>
        </w:rPr>
        <w:t>para.</w:t>
      </w:r>
      <w:r w:rsidR="00F81532" w:rsidRPr="00FE50A6">
        <w:rPr>
          <w:rFonts w:cs="Arial"/>
          <w:szCs w:val="20"/>
          <w:lang w:val="en-US"/>
        </w:rPr>
        <w:t xml:space="preserve"> </w:t>
      </w:r>
      <w:r w:rsidR="00977EB4" w:rsidRPr="00FE50A6">
        <w:rPr>
          <w:rFonts w:cs="Arial"/>
          <w:szCs w:val="20"/>
          <w:lang w:val="en-US"/>
        </w:rPr>
        <w:t>249</w:t>
      </w:r>
      <w:r w:rsidR="00F81532" w:rsidRPr="00FE50A6">
        <w:rPr>
          <w:rFonts w:cs="Arial"/>
          <w:szCs w:val="20"/>
          <w:lang w:val="en-US"/>
        </w:rPr>
        <w:t>)</w:t>
      </w:r>
      <w:r w:rsidR="00D81AA1" w:rsidRPr="00FE50A6">
        <w:rPr>
          <w:rFonts w:cs="Arial"/>
          <w:szCs w:val="20"/>
          <w:lang w:val="en-US"/>
        </w:rPr>
        <w:t xml:space="preserve">. </w:t>
      </w:r>
      <w:r w:rsidR="00FD547B" w:rsidRPr="00FE50A6">
        <w:rPr>
          <w:rFonts w:cs="Arial"/>
          <w:szCs w:val="20"/>
          <w:lang w:val="en-US"/>
        </w:rPr>
        <w:t>The Court has also indicated that it is not admissible to cite procedural mechanisms such as prescription</w:t>
      </w:r>
      <w:r w:rsidR="00A239A2" w:rsidRPr="00FE50A6">
        <w:rPr>
          <w:rFonts w:cs="Arial"/>
          <w:szCs w:val="20"/>
          <w:lang w:val="en-US"/>
        </w:rPr>
        <w:t xml:space="preserve"> or the statute of limitations</w:t>
      </w:r>
      <w:r w:rsidR="00FD547B" w:rsidRPr="00FE50A6">
        <w:rPr>
          <w:rFonts w:cs="Arial"/>
          <w:szCs w:val="20"/>
          <w:lang w:val="en-US"/>
        </w:rPr>
        <w:t xml:space="preserve"> to avoid the obligation to investigation and punish such crimes.</w:t>
      </w:r>
      <w:r w:rsidR="00D81AA1" w:rsidRPr="00FE50A6">
        <w:rPr>
          <w:rStyle w:val="Refdenotaalpie"/>
          <w:lang w:val="en-US"/>
        </w:rPr>
        <w:footnoteReference w:id="512"/>
      </w:r>
      <w:r w:rsidR="00FD547B" w:rsidRPr="00FE50A6">
        <w:rPr>
          <w:rFonts w:cs="Arial"/>
          <w:szCs w:val="20"/>
          <w:lang w:val="en-US"/>
        </w:rPr>
        <w:t xml:space="preserve"> For the State to satisfy the obligation to adequately </w:t>
      </w:r>
      <w:r w:rsidR="00A239A2" w:rsidRPr="00FE50A6">
        <w:rPr>
          <w:rFonts w:cs="Arial"/>
          <w:szCs w:val="20"/>
          <w:lang w:val="en-US"/>
        </w:rPr>
        <w:t xml:space="preserve">ensure </w:t>
      </w:r>
      <w:r w:rsidR="00FD547B" w:rsidRPr="00FE50A6">
        <w:rPr>
          <w:rFonts w:cs="Arial"/>
          <w:szCs w:val="20"/>
          <w:lang w:val="en-US"/>
        </w:rPr>
        <w:t xml:space="preserve">different rights protected by </w:t>
      </w:r>
      <w:r w:rsidRPr="00FE50A6">
        <w:rPr>
          <w:lang w:val="en-US"/>
        </w:rPr>
        <w:t>the Convention</w:t>
      </w:r>
      <w:r w:rsidR="00D81AA1" w:rsidRPr="00FE50A6">
        <w:rPr>
          <w:lang w:val="en-US"/>
        </w:rPr>
        <w:t xml:space="preserve">, </w:t>
      </w:r>
      <w:r w:rsidR="00FD547B" w:rsidRPr="00FE50A6">
        <w:rPr>
          <w:lang w:val="en-US"/>
        </w:rPr>
        <w:t xml:space="preserve">including the right of access to justice, it must comply with its duty to investigate, prosecute, punish, as appropriate, and make reparation for the facts. To achieve this objective, the State must observe due process and guarantee, among other matters, the principle of a </w:t>
      </w:r>
      <w:r w:rsidR="00F37838" w:rsidRPr="00FE50A6">
        <w:rPr>
          <w:lang w:val="en-US"/>
        </w:rPr>
        <w:t>reasonable time</w:t>
      </w:r>
      <w:r w:rsidR="00D81AA1" w:rsidRPr="00FE50A6">
        <w:rPr>
          <w:lang w:val="en-US"/>
        </w:rPr>
        <w:t xml:space="preserve">, </w:t>
      </w:r>
      <w:r w:rsidR="00FD547B" w:rsidRPr="00FE50A6">
        <w:rPr>
          <w:lang w:val="en-US"/>
        </w:rPr>
        <w:t>effective remedies, and execution of the sentence.</w:t>
      </w:r>
      <w:r w:rsidR="00D81AA1" w:rsidRPr="00FE50A6">
        <w:rPr>
          <w:rStyle w:val="Refdenotaalpie"/>
          <w:lang w:val="en-US"/>
        </w:rPr>
        <w:footnoteReference w:id="513"/>
      </w:r>
    </w:p>
    <w:p w14:paraId="3ACF9ACF" w14:textId="77777777" w:rsidR="00D81AA1" w:rsidRPr="00FE50A6" w:rsidRDefault="00D81AA1" w:rsidP="00D81AA1">
      <w:pPr>
        <w:pStyle w:val="Prrafodelista"/>
        <w:rPr>
          <w:rFonts w:cs="Arial"/>
          <w:szCs w:val="20"/>
          <w:lang w:val="en-US"/>
        </w:rPr>
      </w:pPr>
    </w:p>
    <w:p w14:paraId="4972CDE4" w14:textId="77777777" w:rsidR="00D81AA1" w:rsidRPr="00FE50A6" w:rsidRDefault="000228D0" w:rsidP="008B5C42">
      <w:pPr>
        <w:pStyle w:val="Prrafodelista"/>
        <w:numPr>
          <w:ilvl w:val="0"/>
          <w:numId w:val="1"/>
        </w:numPr>
        <w:autoSpaceDE w:val="0"/>
        <w:autoSpaceDN w:val="0"/>
        <w:adjustRightInd w:val="0"/>
        <w:contextualSpacing w:val="0"/>
        <w:rPr>
          <w:rFonts w:cs="Arial"/>
          <w:szCs w:val="20"/>
          <w:lang w:val="en-US"/>
        </w:rPr>
      </w:pPr>
      <w:r w:rsidRPr="00FE50A6">
        <w:rPr>
          <w:rFonts w:cs="Arial"/>
          <w:szCs w:val="20"/>
          <w:lang w:val="en-US"/>
        </w:rPr>
        <w:t>The Court</w:t>
      </w:r>
      <w:r w:rsidR="00D81AA1" w:rsidRPr="00FE50A6">
        <w:rPr>
          <w:rFonts w:cs="Arial"/>
          <w:szCs w:val="20"/>
          <w:lang w:val="en-US"/>
        </w:rPr>
        <w:t xml:space="preserve"> </w:t>
      </w:r>
      <w:r w:rsidR="00FD547B" w:rsidRPr="00FE50A6">
        <w:rPr>
          <w:rFonts w:cs="Arial"/>
          <w:szCs w:val="20"/>
          <w:lang w:val="en-US"/>
        </w:rPr>
        <w:t>has already established that</w:t>
      </w:r>
      <w:r w:rsidR="00D81AA1" w:rsidRPr="00FE50A6">
        <w:rPr>
          <w:rFonts w:cs="Arial"/>
          <w:szCs w:val="20"/>
          <w:lang w:val="en-US"/>
        </w:rPr>
        <w:t xml:space="preserve">: </w:t>
      </w:r>
      <w:r w:rsidR="00FD547B" w:rsidRPr="00FE50A6">
        <w:rPr>
          <w:rFonts w:cs="Arial"/>
          <w:szCs w:val="20"/>
          <w:lang w:val="en-US"/>
        </w:rPr>
        <w:t>(</w:t>
      </w:r>
      <w:r w:rsidR="00D81AA1" w:rsidRPr="00FE50A6">
        <w:rPr>
          <w:rFonts w:cs="Arial"/>
          <w:szCs w:val="20"/>
          <w:lang w:val="en-US"/>
        </w:rPr>
        <w:t xml:space="preserve">i) </w:t>
      </w:r>
      <w:r w:rsidR="00D11A9F" w:rsidRPr="00FE50A6">
        <w:rPr>
          <w:rFonts w:cs="Arial"/>
          <w:szCs w:val="20"/>
          <w:lang w:val="en-US"/>
        </w:rPr>
        <w:t>slavery</w:t>
      </w:r>
      <w:r w:rsidR="00030C17" w:rsidRPr="00FE50A6">
        <w:rPr>
          <w:rFonts w:cs="Arial"/>
          <w:szCs w:val="20"/>
          <w:lang w:val="en-US"/>
        </w:rPr>
        <w:t xml:space="preserve"> and </w:t>
      </w:r>
      <w:r w:rsidR="00FD547B" w:rsidRPr="00FE50A6">
        <w:rPr>
          <w:rFonts w:cs="Arial"/>
          <w:szCs w:val="20"/>
          <w:lang w:val="en-US"/>
        </w:rPr>
        <w:t>similar conditions constitute a crime under international law,</w:t>
      </w:r>
      <w:r w:rsidR="00A239A2" w:rsidRPr="00FE50A6">
        <w:rPr>
          <w:rFonts w:cs="Arial"/>
          <w:szCs w:val="20"/>
          <w:lang w:val="en-US"/>
        </w:rPr>
        <w:t xml:space="preserve"> and</w:t>
      </w:r>
      <w:r w:rsidR="00FD547B" w:rsidRPr="00FE50A6">
        <w:rPr>
          <w:rFonts w:cs="Arial"/>
          <w:szCs w:val="20"/>
          <w:lang w:val="en-US"/>
        </w:rPr>
        <w:t xml:space="preserve"> (ii) </w:t>
      </w:r>
      <w:r w:rsidR="00A239A2" w:rsidRPr="00FE50A6">
        <w:rPr>
          <w:rFonts w:cs="Arial"/>
          <w:szCs w:val="20"/>
          <w:lang w:val="en-US"/>
        </w:rPr>
        <w:t>its</w:t>
      </w:r>
      <w:r w:rsidR="00FD547B" w:rsidRPr="00FE50A6">
        <w:rPr>
          <w:rFonts w:cs="Arial"/>
          <w:szCs w:val="20"/>
          <w:lang w:val="en-US"/>
        </w:rPr>
        <w:t xml:space="preserve"> prohibition</w:t>
      </w:r>
      <w:r w:rsidR="00A239A2" w:rsidRPr="00FE50A6">
        <w:rPr>
          <w:rFonts w:cs="Arial"/>
          <w:szCs w:val="20"/>
          <w:lang w:val="en-US"/>
        </w:rPr>
        <w:t xml:space="preserve"> </w:t>
      </w:r>
      <w:r w:rsidR="00FD547B" w:rsidRPr="00FE50A6">
        <w:rPr>
          <w:rFonts w:cs="Arial"/>
          <w:szCs w:val="20"/>
          <w:lang w:val="en-US"/>
        </w:rPr>
        <w:t xml:space="preserve">by </w:t>
      </w:r>
      <w:r w:rsidR="00931A2D" w:rsidRPr="00FE50A6">
        <w:rPr>
          <w:rFonts w:cs="Arial"/>
          <w:szCs w:val="20"/>
          <w:lang w:val="en-US"/>
        </w:rPr>
        <w:t>international law</w:t>
      </w:r>
      <w:r w:rsidR="00D81AA1" w:rsidRPr="00FE50A6">
        <w:rPr>
          <w:rFonts w:cs="Arial"/>
          <w:szCs w:val="20"/>
          <w:lang w:val="en-US"/>
        </w:rPr>
        <w:t xml:space="preserve"> </w:t>
      </w:r>
      <w:r w:rsidR="00FD547B" w:rsidRPr="00FE50A6">
        <w:rPr>
          <w:rFonts w:cs="Arial"/>
          <w:szCs w:val="20"/>
          <w:lang w:val="en-US"/>
        </w:rPr>
        <w:t>is a norm of</w:t>
      </w:r>
      <w:r w:rsidR="00D81AA1" w:rsidRPr="00FE50A6">
        <w:rPr>
          <w:rFonts w:cs="Arial"/>
          <w:szCs w:val="20"/>
          <w:lang w:val="en-US"/>
        </w:rPr>
        <w:t xml:space="preserve"> </w:t>
      </w:r>
      <w:r w:rsidR="00D81AA1" w:rsidRPr="00FE50A6">
        <w:rPr>
          <w:rFonts w:cs="Arial"/>
          <w:i/>
          <w:szCs w:val="20"/>
          <w:lang w:val="en-US"/>
        </w:rPr>
        <w:t>jus cogens</w:t>
      </w:r>
      <w:r w:rsidR="00D81AA1" w:rsidRPr="00FE50A6">
        <w:rPr>
          <w:rFonts w:cs="Arial"/>
          <w:szCs w:val="20"/>
          <w:lang w:val="en-US"/>
        </w:rPr>
        <w:t xml:space="preserve"> (</w:t>
      </w:r>
      <w:r w:rsidR="00D81AA1" w:rsidRPr="00FE50A6">
        <w:rPr>
          <w:rFonts w:cs="Arial"/>
          <w:i/>
          <w:szCs w:val="20"/>
          <w:lang w:val="en-US"/>
        </w:rPr>
        <w:t>supra</w:t>
      </w:r>
      <w:r w:rsidR="00D81AA1" w:rsidRPr="00FE50A6">
        <w:rPr>
          <w:rFonts w:cs="Arial"/>
          <w:szCs w:val="20"/>
          <w:lang w:val="en-US"/>
        </w:rPr>
        <w:t xml:space="preserve"> </w:t>
      </w:r>
      <w:r w:rsidR="00700B79" w:rsidRPr="00FE50A6">
        <w:rPr>
          <w:rFonts w:cs="Arial"/>
          <w:szCs w:val="20"/>
          <w:lang w:val="en-US"/>
        </w:rPr>
        <w:t>para.</w:t>
      </w:r>
      <w:r w:rsidR="00D81AA1" w:rsidRPr="00FE50A6">
        <w:rPr>
          <w:rFonts w:cs="Arial"/>
          <w:szCs w:val="20"/>
          <w:lang w:val="en-US"/>
        </w:rPr>
        <w:t xml:space="preserve"> </w:t>
      </w:r>
      <w:r w:rsidR="00977EB4" w:rsidRPr="00FE50A6">
        <w:rPr>
          <w:rFonts w:cs="Arial"/>
          <w:szCs w:val="20"/>
          <w:lang w:val="en-US"/>
        </w:rPr>
        <w:t>249</w:t>
      </w:r>
      <w:r w:rsidR="00D81AA1" w:rsidRPr="00FE50A6">
        <w:rPr>
          <w:rFonts w:cs="Arial"/>
          <w:szCs w:val="20"/>
          <w:lang w:val="en-US"/>
        </w:rPr>
        <w:t xml:space="preserve">). </w:t>
      </w:r>
      <w:r w:rsidR="00FD547B" w:rsidRPr="00FE50A6">
        <w:rPr>
          <w:rFonts w:cs="Arial"/>
          <w:szCs w:val="20"/>
          <w:lang w:val="en-US"/>
        </w:rPr>
        <w:t xml:space="preserve">Therefore, the Court considers that the </w:t>
      </w:r>
      <w:r w:rsidR="00A239A2" w:rsidRPr="00FE50A6">
        <w:rPr>
          <w:rFonts w:cs="Arial"/>
          <w:szCs w:val="20"/>
          <w:lang w:val="en-US"/>
        </w:rPr>
        <w:t>application of the statute of limitations to</w:t>
      </w:r>
      <w:r w:rsidR="00FD547B" w:rsidRPr="00FE50A6">
        <w:rPr>
          <w:rFonts w:cs="Arial"/>
          <w:szCs w:val="20"/>
          <w:lang w:val="en-US"/>
        </w:rPr>
        <w:t xml:space="preserve"> the crimes of subjection to slave</w:t>
      </w:r>
      <w:r w:rsidR="00A239A2" w:rsidRPr="00FE50A6">
        <w:rPr>
          <w:rFonts w:cs="Arial"/>
          <w:szCs w:val="20"/>
          <w:lang w:val="en-US"/>
        </w:rPr>
        <w:t>ry</w:t>
      </w:r>
      <w:r w:rsidR="00FD547B" w:rsidRPr="00FE50A6">
        <w:rPr>
          <w:rFonts w:cs="Arial"/>
          <w:szCs w:val="20"/>
          <w:lang w:val="en-US"/>
        </w:rPr>
        <w:t xml:space="preserve"> and similar conditions is incompatible with the </w:t>
      </w:r>
      <w:r w:rsidR="005D0370" w:rsidRPr="00FE50A6">
        <w:rPr>
          <w:rFonts w:cs="Arial"/>
          <w:szCs w:val="20"/>
          <w:lang w:val="en-US"/>
        </w:rPr>
        <w:t>Brazilian State</w:t>
      </w:r>
      <w:r w:rsidR="00FD547B" w:rsidRPr="00FE50A6">
        <w:rPr>
          <w:rFonts w:cs="Arial"/>
          <w:szCs w:val="20"/>
          <w:lang w:val="en-US"/>
        </w:rPr>
        <w:t xml:space="preserve">’s obligation to adapt its domestic law to international standards. In this case, </w:t>
      </w:r>
      <w:r w:rsidR="00A239A2" w:rsidRPr="00FE50A6">
        <w:rPr>
          <w:rFonts w:cs="Arial"/>
          <w:szCs w:val="20"/>
          <w:lang w:val="en-US"/>
        </w:rPr>
        <w:t xml:space="preserve">the prescription </w:t>
      </w:r>
      <w:r w:rsidR="00FD547B" w:rsidRPr="00FE50A6">
        <w:rPr>
          <w:rFonts w:cs="Arial"/>
          <w:szCs w:val="20"/>
          <w:lang w:val="en-US"/>
        </w:rPr>
        <w:t>constituted an obstacle to the investigation of the facts, the determination and punishment of those responsible and reparation to the victims, despite the nature of the facts denounced</w:t>
      </w:r>
      <w:r w:rsidR="00A239A2" w:rsidRPr="00FE50A6">
        <w:rPr>
          <w:rFonts w:cs="Arial"/>
          <w:szCs w:val="20"/>
          <w:lang w:val="en-US"/>
        </w:rPr>
        <w:t xml:space="preserve"> as a crime under international law</w:t>
      </w:r>
      <w:r w:rsidR="00FD547B" w:rsidRPr="00FE50A6">
        <w:rPr>
          <w:rFonts w:cs="Arial"/>
          <w:szCs w:val="20"/>
          <w:lang w:val="en-US"/>
        </w:rPr>
        <w:t>.</w:t>
      </w:r>
    </w:p>
    <w:p w14:paraId="545183BC" w14:textId="77777777" w:rsidR="00D81AA1" w:rsidRPr="00FE50A6" w:rsidRDefault="00D81AA1" w:rsidP="00D81AA1">
      <w:pPr>
        <w:jc w:val="both"/>
        <w:rPr>
          <w:rFonts w:cs="Arial"/>
          <w:noProof/>
          <w:szCs w:val="20"/>
          <w:lang w:val="en-US"/>
        </w:rPr>
      </w:pPr>
    </w:p>
    <w:p w14:paraId="5637B051" w14:textId="77777777" w:rsidR="00D81AA1" w:rsidRPr="00FE50A6" w:rsidRDefault="00D81AA1" w:rsidP="008B0BCC">
      <w:pPr>
        <w:pStyle w:val="Prrafodelista"/>
        <w:numPr>
          <w:ilvl w:val="0"/>
          <w:numId w:val="24"/>
        </w:numPr>
        <w:autoSpaceDE w:val="0"/>
        <w:autoSpaceDN w:val="0"/>
        <w:adjustRightInd w:val="0"/>
        <w:rPr>
          <w:rFonts w:cs="Arial"/>
          <w:i/>
          <w:noProof/>
          <w:szCs w:val="20"/>
          <w:lang w:val="en-US"/>
        </w:rPr>
      </w:pPr>
      <w:r w:rsidRPr="00FE50A6">
        <w:rPr>
          <w:rFonts w:cs="Arial"/>
          <w:i/>
          <w:noProof/>
          <w:szCs w:val="20"/>
          <w:lang w:val="en-US"/>
        </w:rPr>
        <w:t>Al</w:t>
      </w:r>
      <w:r w:rsidR="00FD547B" w:rsidRPr="00FE50A6">
        <w:rPr>
          <w:rFonts w:cs="Arial"/>
          <w:i/>
          <w:noProof/>
          <w:szCs w:val="20"/>
          <w:lang w:val="en-US"/>
        </w:rPr>
        <w:t xml:space="preserve">leged discrimination in access to </w:t>
      </w:r>
      <w:r w:rsidRPr="00FE50A6">
        <w:rPr>
          <w:rFonts w:cs="Arial"/>
          <w:i/>
          <w:noProof/>
          <w:szCs w:val="20"/>
          <w:lang w:val="en-US"/>
        </w:rPr>
        <w:t>justic</w:t>
      </w:r>
      <w:r w:rsidR="00FD547B" w:rsidRPr="00FE50A6">
        <w:rPr>
          <w:rFonts w:cs="Arial"/>
          <w:i/>
          <w:noProof/>
          <w:szCs w:val="20"/>
          <w:lang w:val="en-US"/>
        </w:rPr>
        <w:t>e</w:t>
      </w:r>
    </w:p>
    <w:p w14:paraId="3173F848" w14:textId="77777777" w:rsidR="00D81AA1" w:rsidRPr="00FE50A6" w:rsidRDefault="00D81AA1" w:rsidP="00D81AA1">
      <w:pPr>
        <w:pStyle w:val="Prrafodelista"/>
        <w:rPr>
          <w:rFonts w:cs="Arial"/>
          <w:noProof/>
          <w:szCs w:val="20"/>
          <w:lang w:val="en-US"/>
        </w:rPr>
      </w:pPr>
    </w:p>
    <w:p w14:paraId="4908A85D" w14:textId="77777777" w:rsidR="00D81AA1" w:rsidRPr="00FE50A6" w:rsidRDefault="000228D0" w:rsidP="004506C2">
      <w:pPr>
        <w:pStyle w:val="Prrafodelista"/>
        <w:numPr>
          <w:ilvl w:val="0"/>
          <w:numId w:val="1"/>
        </w:numPr>
        <w:contextualSpacing w:val="0"/>
        <w:rPr>
          <w:rFonts w:cs="Arial"/>
          <w:noProof/>
          <w:szCs w:val="20"/>
          <w:lang w:val="en-US"/>
        </w:rPr>
      </w:pPr>
      <w:r w:rsidRPr="00FE50A6">
        <w:rPr>
          <w:rFonts w:cs="Arial"/>
          <w:noProof/>
          <w:szCs w:val="20"/>
          <w:lang w:val="en-US"/>
        </w:rPr>
        <w:t xml:space="preserve">The </w:t>
      </w:r>
      <w:r w:rsidR="0088467F" w:rsidRPr="00FE50A6">
        <w:rPr>
          <w:rFonts w:cs="Arial"/>
          <w:noProof/>
          <w:szCs w:val="20"/>
          <w:lang w:val="en-US"/>
        </w:rPr>
        <w:t>Court recalls</w:t>
      </w:r>
      <w:r w:rsidR="00D81AA1" w:rsidRPr="00FE50A6">
        <w:rPr>
          <w:rFonts w:cs="Arial"/>
          <w:noProof/>
          <w:szCs w:val="20"/>
          <w:lang w:val="en-US"/>
        </w:rPr>
        <w:t xml:space="preserve"> </w:t>
      </w:r>
      <w:r w:rsidR="004506C2" w:rsidRPr="00FE50A6">
        <w:rPr>
          <w:rFonts w:cs="Arial"/>
          <w:noProof/>
          <w:szCs w:val="20"/>
          <w:lang w:val="en-US"/>
        </w:rPr>
        <w:t>that</w:t>
      </w:r>
      <w:r w:rsidR="00D81AA1" w:rsidRPr="00FE50A6">
        <w:rPr>
          <w:rFonts w:cs="Arial"/>
          <w:noProof/>
          <w:szCs w:val="20"/>
          <w:lang w:val="en-US"/>
        </w:rPr>
        <w:t xml:space="preserve"> </w:t>
      </w:r>
      <w:r w:rsidRPr="00FE50A6">
        <w:rPr>
          <w:rFonts w:cs="Arial"/>
          <w:noProof/>
          <w:szCs w:val="20"/>
          <w:lang w:val="en-US"/>
        </w:rPr>
        <w:t>the Commission</w:t>
      </w:r>
      <w:r w:rsidR="00D81AA1" w:rsidRPr="00FE50A6">
        <w:rPr>
          <w:rFonts w:cs="Arial"/>
          <w:noProof/>
          <w:szCs w:val="20"/>
          <w:lang w:val="en-US"/>
        </w:rPr>
        <w:t xml:space="preserve"> </w:t>
      </w:r>
      <w:r w:rsidR="00984A55" w:rsidRPr="00FE50A6">
        <w:rPr>
          <w:rFonts w:cs="Arial"/>
          <w:noProof/>
          <w:szCs w:val="20"/>
          <w:lang w:val="en-US"/>
        </w:rPr>
        <w:t>indicated</w:t>
      </w:r>
      <w:r w:rsidR="00D81AA1" w:rsidRPr="00FE50A6">
        <w:rPr>
          <w:rFonts w:cs="Arial"/>
          <w:noProof/>
          <w:szCs w:val="20"/>
          <w:lang w:val="en-US"/>
        </w:rPr>
        <w:t xml:space="preserve"> </w:t>
      </w:r>
      <w:r w:rsidR="004506C2" w:rsidRPr="00FE50A6">
        <w:rPr>
          <w:rFonts w:cs="Arial"/>
          <w:noProof/>
          <w:szCs w:val="20"/>
          <w:lang w:val="en-US"/>
        </w:rPr>
        <w:t>that</w:t>
      </w:r>
      <w:r w:rsidR="00850698" w:rsidRPr="00FE50A6">
        <w:rPr>
          <w:rFonts w:cs="Arial"/>
          <w:noProof/>
          <w:szCs w:val="20"/>
          <w:lang w:val="en-US"/>
        </w:rPr>
        <w:t>, with regard to access to justice,</w:t>
      </w:r>
      <w:r w:rsidR="004506C2" w:rsidRPr="00FE50A6">
        <w:rPr>
          <w:rFonts w:cs="Arial"/>
          <w:noProof/>
          <w:szCs w:val="20"/>
          <w:lang w:val="en-US"/>
        </w:rPr>
        <w:t xml:space="preserve"> this case provides examples of specific actions that </w:t>
      </w:r>
      <w:r w:rsidR="00850698" w:rsidRPr="00FE50A6">
        <w:rPr>
          <w:rFonts w:cs="Arial"/>
          <w:noProof/>
          <w:szCs w:val="20"/>
          <w:lang w:val="en-US"/>
        </w:rPr>
        <w:t>point to</w:t>
      </w:r>
      <w:r w:rsidR="004506C2" w:rsidRPr="00FE50A6">
        <w:rPr>
          <w:rFonts w:cs="Arial"/>
          <w:noProof/>
          <w:szCs w:val="20"/>
          <w:lang w:val="en-US"/>
        </w:rPr>
        <w:t xml:space="preserve"> a situation of structural discrimination, because not only were no criminal proceedings opened when workplace irregularities were found during the </w:t>
      </w:r>
      <w:r w:rsidR="004506C2" w:rsidRPr="00FE50A6">
        <w:rPr>
          <w:rFonts w:cs="Arial"/>
          <w:szCs w:val="20"/>
          <w:lang w:val="en-US"/>
        </w:rPr>
        <w:t>Hacienda Brasil Verde</w:t>
      </w:r>
      <w:r w:rsidR="004506C2" w:rsidRPr="00FE50A6">
        <w:rPr>
          <w:rFonts w:cs="Arial"/>
          <w:noProof/>
          <w:szCs w:val="20"/>
          <w:lang w:val="en-US"/>
        </w:rPr>
        <w:t xml:space="preserve"> inspections, but also, when the labor proceedings were opened, a conciliation agreement was reached with the hacienda’s owner without taking the victims into </w:t>
      </w:r>
      <w:r w:rsidR="00850698" w:rsidRPr="00FE50A6">
        <w:rPr>
          <w:rFonts w:cs="Arial"/>
          <w:noProof/>
          <w:szCs w:val="20"/>
          <w:lang w:val="en-US"/>
        </w:rPr>
        <w:t>account</w:t>
      </w:r>
      <w:r w:rsidR="004506C2" w:rsidRPr="00FE50A6">
        <w:rPr>
          <w:rFonts w:cs="Arial"/>
          <w:noProof/>
          <w:szCs w:val="20"/>
          <w:lang w:val="en-US"/>
        </w:rPr>
        <w:t xml:space="preserve">. </w:t>
      </w:r>
      <w:r w:rsidR="00850698" w:rsidRPr="00FE50A6">
        <w:rPr>
          <w:rFonts w:cs="Arial"/>
          <w:szCs w:val="20"/>
          <w:lang w:val="en-US"/>
        </w:rPr>
        <w:t>Moreover</w:t>
      </w:r>
      <w:r w:rsidR="00D81AA1" w:rsidRPr="00FE50A6">
        <w:rPr>
          <w:rFonts w:cs="Arial"/>
          <w:szCs w:val="20"/>
          <w:lang w:val="en-US"/>
        </w:rPr>
        <w:t xml:space="preserve">, </w:t>
      </w:r>
      <w:r w:rsidR="00700B79" w:rsidRPr="00FE50A6">
        <w:rPr>
          <w:rFonts w:cs="Arial"/>
          <w:szCs w:val="20"/>
          <w:lang w:val="en-US"/>
        </w:rPr>
        <w:t>the representatives</w:t>
      </w:r>
      <w:r w:rsidR="00D81AA1" w:rsidRPr="00FE50A6">
        <w:rPr>
          <w:rFonts w:cs="Arial"/>
          <w:szCs w:val="20"/>
          <w:lang w:val="en-US"/>
        </w:rPr>
        <w:t xml:space="preserve"> indica</w:t>
      </w:r>
      <w:r w:rsidR="004506C2" w:rsidRPr="00FE50A6">
        <w:rPr>
          <w:rFonts w:cs="Arial"/>
          <w:szCs w:val="20"/>
          <w:lang w:val="en-US"/>
        </w:rPr>
        <w:t>ted that the lack of effective actions by the authorities in response to the complaints</w:t>
      </w:r>
      <w:r w:rsidR="00850698" w:rsidRPr="00FE50A6">
        <w:rPr>
          <w:rFonts w:cs="Arial"/>
          <w:szCs w:val="20"/>
          <w:lang w:val="en-US"/>
        </w:rPr>
        <w:t>,</w:t>
      </w:r>
      <w:r w:rsidR="004506C2" w:rsidRPr="00FE50A6">
        <w:rPr>
          <w:rFonts w:cs="Arial"/>
          <w:szCs w:val="20"/>
          <w:lang w:val="en-US"/>
        </w:rPr>
        <w:t xml:space="preserve"> and</w:t>
      </w:r>
      <w:r w:rsidR="00850698" w:rsidRPr="00FE50A6">
        <w:rPr>
          <w:rFonts w:cs="Arial"/>
          <w:szCs w:val="20"/>
          <w:lang w:val="en-US"/>
        </w:rPr>
        <w:t xml:space="preserve"> also</w:t>
      </w:r>
      <w:r w:rsidR="004506C2" w:rsidRPr="00FE50A6">
        <w:rPr>
          <w:rFonts w:cs="Arial"/>
          <w:szCs w:val="20"/>
          <w:lang w:val="en-US"/>
        </w:rPr>
        <w:t xml:space="preserve"> the recurrence of the facts denounced reveal a situation of structural discrimination by the State that permitted the perpetuation of a situation involving the exploitation of a specific group of individuals.</w:t>
      </w:r>
    </w:p>
    <w:p w14:paraId="6C2FD931" w14:textId="77777777" w:rsidR="00D81AA1" w:rsidRPr="00FE50A6" w:rsidRDefault="00D81AA1" w:rsidP="00D81AA1">
      <w:pPr>
        <w:pStyle w:val="Prrafodelista"/>
        <w:ind w:left="0"/>
        <w:rPr>
          <w:rFonts w:cs="Arial"/>
          <w:noProof/>
          <w:szCs w:val="20"/>
          <w:lang w:val="en-US"/>
        </w:rPr>
      </w:pPr>
    </w:p>
    <w:p w14:paraId="02AC0BBD" w14:textId="77777777" w:rsidR="00D81AA1" w:rsidRPr="00FE50A6" w:rsidRDefault="004506C2" w:rsidP="004506C2">
      <w:pPr>
        <w:pStyle w:val="Prrafodelista"/>
        <w:numPr>
          <w:ilvl w:val="0"/>
          <w:numId w:val="1"/>
        </w:numPr>
        <w:contextualSpacing w:val="0"/>
        <w:rPr>
          <w:rFonts w:cs="Arial"/>
          <w:noProof/>
          <w:szCs w:val="20"/>
          <w:lang w:val="en-US"/>
        </w:rPr>
      </w:pPr>
      <w:r w:rsidRPr="00FE50A6">
        <w:rPr>
          <w:rFonts w:cs="Arial"/>
          <w:szCs w:val="20"/>
          <w:lang w:val="en-US"/>
        </w:rPr>
        <w:t>In this regard</w:t>
      </w:r>
      <w:r w:rsidR="00D81AA1" w:rsidRPr="00FE50A6">
        <w:rPr>
          <w:rFonts w:cs="Arial"/>
          <w:szCs w:val="20"/>
          <w:lang w:val="en-US"/>
        </w:rPr>
        <w:t xml:space="preserve">, </w:t>
      </w:r>
      <w:r w:rsidR="000228D0" w:rsidRPr="00FE50A6">
        <w:rPr>
          <w:rFonts w:cs="Arial"/>
          <w:szCs w:val="20"/>
          <w:lang w:val="en-US"/>
        </w:rPr>
        <w:t>the Court</w:t>
      </w:r>
      <w:r w:rsidR="00D81AA1" w:rsidRPr="00FE50A6">
        <w:rPr>
          <w:rFonts w:cs="Arial"/>
          <w:szCs w:val="20"/>
          <w:lang w:val="en-US"/>
        </w:rPr>
        <w:t xml:space="preserve"> ha</w:t>
      </w:r>
      <w:r w:rsidRPr="00FE50A6">
        <w:rPr>
          <w:rFonts w:cs="Arial"/>
          <w:szCs w:val="20"/>
          <w:lang w:val="en-US"/>
        </w:rPr>
        <w:t>s</w:t>
      </w:r>
      <w:r w:rsidR="00D81AA1" w:rsidRPr="00FE50A6">
        <w:rPr>
          <w:rFonts w:cs="Arial"/>
          <w:szCs w:val="20"/>
          <w:lang w:val="en-US"/>
        </w:rPr>
        <w:t xml:space="preserve"> establ</w:t>
      </w:r>
      <w:r w:rsidRPr="00FE50A6">
        <w:rPr>
          <w:rFonts w:cs="Arial"/>
          <w:szCs w:val="20"/>
          <w:lang w:val="en-US"/>
        </w:rPr>
        <w:t xml:space="preserve">ished in its case law that </w:t>
      </w:r>
      <w:r w:rsidR="000B587F" w:rsidRPr="00FE50A6">
        <w:rPr>
          <w:szCs w:val="20"/>
          <w:lang w:val="en-US"/>
        </w:rPr>
        <w:t>Article 1(1)</w:t>
      </w:r>
      <w:r w:rsidR="000228D0" w:rsidRPr="00FE50A6">
        <w:rPr>
          <w:szCs w:val="20"/>
          <w:lang w:val="en-US"/>
        </w:rPr>
        <w:t xml:space="preserve"> of the Convention</w:t>
      </w:r>
      <w:r w:rsidR="00D81AA1" w:rsidRPr="00FE50A6">
        <w:rPr>
          <w:szCs w:val="20"/>
          <w:lang w:val="en-US"/>
        </w:rPr>
        <w:t xml:space="preserve"> </w:t>
      </w:r>
      <w:r w:rsidRPr="00FE50A6">
        <w:rPr>
          <w:szCs w:val="20"/>
          <w:lang w:val="en-US"/>
        </w:rPr>
        <w:t xml:space="preserve">is a norm of a general nature, and its content extends to all the provisions of the treaty, because it establishes the obligation of the States Parties to respect and </w:t>
      </w:r>
      <w:r w:rsidR="00850698" w:rsidRPr="00FE50A6">
        <w:rPr>
          <w:szCs w:val="20"/>
          <w:lang w:val="en-US"/>
        </w:rPr>
        <w:t xml:space="preserve">to </w:t>
      </w:r>
      <w:r w:rsidRPr="00FE50A6">
        <w:rPr>
          <w:szCs w:val="20"/>
          <w:lang w:val="en-US"/>
        </w:rPr>
        <w:t xml:space="preserve">ensure the free and full enjoyment of the rights and freedoms recognized therein “without any discrimination.” In other words, whatsoever its origin or form any treatment that may be considered discriminatory in relation to the exercise of any of the rights </w:t>
      </w:r>
      <w:r w:rsidR="00850698" w:rsidRPr="00FE50A6">
        <w:rPr>
          <w:szCs w:val="20"/>
          <w:lang w:val="en-US"/>
        </w:rPr>
        <w:t>recognized</w:t>
      </w:r>
      <w:r w:rsidRPr="00FE50A6">
        <w:rPr>
          <w:szCs w:val="20"/>
          <w:lang w:val="en-US"/>
        </w:rPr>
        <w:t xml:space="preserve"> in the Convention is </w:t>
      </w:r>
      <w:r w:rsidRPr="00FE50A6">
        <w:rPr>
          <w:i/>
          <w:szCs w:val="20"/>
          <w:lang w:val="en-US"/>
        </w:rPr>
        <w:t xml:space="preserve">per se </w:t>
      </w:r>
      <w:r w:rsidRPr="00FE50A6">
        <w:rPr>
          <w:szCs w:val="20"/>
          <w:lang w:val="en-US"/>
        </w:rPr>
        <w:t>incompatible with this instrument. The State’s failure to comply with the general obligation to respect and to ensure human rights, by any discriminatory treatment, gives rise to its international responsibility. Thus, an indissoluble connect</w:t>
      </w:r>
      <w:r w:rsidR="00850698" w:rsidRPr="00FE50A6">
        <w:rPr>
          <w:szCs w:val="20"/>
          <w:lang w:val="en-US"/>
        </w:rPr>
        <w:t>ion</w:t>
      </w:r>
      <w:r w:rsidRPr="00FE50A6">
        <w:rPr>
          <w:szCs w:val="20"/>
          <w:lang w:val="en-US"/>
        </w:rPr>
        <w:t xml:space="preserve"> exists between the obligation to respect and to ensure human rights and the principle of equality and non-discrimination.</w:t>
      </w:r>
      <w:r w:rsidR="00D81AA1" w:rsidRPr="00FE50A6">
        <w:rPr>
          <w:rStyle w:val="Refdenotaalpie"/>
          <w:lang w:val="en-US"/>
        </w:rPr>
        <w:footnoteReference w:id="514"/>
      </w:r>
    </w:p>
    <w:p w14:paraId="1D4B0A88" w14:textId="77777777" w:rsidR="00D81AA1" w:rsidRPr="00FE50A6" w:rsidRDefault="00D81AA1" w:rsidP="00D81AA1">
      <w:pPr>
        <w:pStyle w:val="Prrafodelista"/>
        <w:rPr>
          <w:rFonts w:cs="Arial"/>
          <w:noProof/>
          <w:szCs w:val="20"/>
          <w:lang w:val="en-US"/>
        </w:rPr>
      </w:pPr>
    </w:p>
    <w:p w14:paraId="62DFD813" w14:textId="77777777" w:rsidR="00D81AA1" w:rsidRPr="00FE50A6" w:rsidRDefault="004506C2" w:rsidP="00D81AA1">
      <w:pPr>
        <w:pStyle w:val="Prrafodelista"/>
        <w:numPr>
          <w:ilvl w:val="0"/>
          <w:numId w:val="1"/>
        </w:numPr>
        <w:contextualSpacing w:val="0"/>
        <w:rPr>
          <w:rFonts w:cs="Arial"/>
          <w:noProof/>
          <w:szCs w:val="20"/>
          <w:lang w:val="en-US"/>
        </w:rPr>
      </w:pPr>
      <w:r w:rsidRPr="00FE50A6">
        <w:rPr>
          <w:rFonts w:cs="Arial"/>
          <w:noProof/>
          <w:szCs w:val="20"/>
          <w:lang w:val="en-US"/>
        </w:rPr>
        <w:t xml:space="preserve">The Court has also indicated that the principle of the equal and effective protection of the law and non-discrimination </w:t>
      </w:r>
      <w:r w:rsidR="00192153" w:rsidRPr="00FE50A6">
        <w:rPr>
          <w:rFonts w:cs="Arial"/>
          <w:noProof/>
          <w:szCs w:val="20"/>
          <w:lang w:val="en-US"/>
        </w:rPr>
        <w:t>is a</w:t>
      </w:r>
      <w:r w:rsidR="00C10AA6" w:rsidRPr="00FE50A6">
        <w:rPr>
          <w:rFonts w:cs="Arial"/>
          <w:noProof/>
          <w:szCs w:val="20"/>
          <w:lang w:val="en-US"/>
        </w:rPr>
        <w:t xml:space="preserve"> </w:t>
      </w:r>
      <w:r w:rsidR="00850698" w:rsidRPr="00FE50A6">
        <w:rPr>
          <w:rFonts w:cs="Arial"/>
          <w:noProof/>
          <w:szCs w:val="20"/>
          <w:lang w:val="en-US"/>
        </w:rPr>
        <w:t>prominent</w:t>
      </w:r>
      <w:r w:rsidR="00C10AA6" w:rsidRPr="00FE50A6">
        <w:rPr>
          <w:rFonts w:cs="Arial"/>
          <w:noProof/>
          <w:szCs w:val="20"/>
          <w:lang w:val="en-US"/>
        </w:rPr>
        <w:t xml:space="preserve"> </w:t>
      </w:r>
      <w:r w:rsidR="00850698" w:rsidRPr="00FE50A6">
        <w:rPr>
          <w:rFonts w:cs="Arial"/>
          <w:noProof/>
          <w:szCs w:val="20"/>
          <w:lang w:val="en-US"/>
        </w:rPr>
        <w:t>element of</w:t>
      </w:r>
      <w:r w:rsidR="00C10AA6" w:rsidRPr="00FE50A6">
        <w:rPr>
          <w:rFonts w:cs="Arial"/>
          <w:noProof/>
          <w:szCs w:val="20"/>
          <w:lang w:val="en-US"/>
        </w:rPr>
        <w:t xml:space="preserve"> the human rights protection system that is established in numerous international instrument and </w:t>
      </w:r>
      <w:r w:rsidR="00192153" w:rsidRPr="00FE50A6">
        <w:rPr>
          <w:rFonts w:cs="Arial"/>
          <w:noProof/>
          <w:szCs w:val="20"/>
          <w:lang w:val="en-US"/>
        </w:rPr>
        <w:t xml:space="preserve">has been </w:t>
      </w:r>
      <w:r w:rsidR="00C10AA6" w:rsidRPr="00FE50A6">
        <w:rPr>
          <w:rFonts w:cs="Arial"/>
          <w:noProof/>
          <w:szCs w:val="20"/>
          <w:lang w:val="en-US"/>
        </w:rPr>
        <w:t xml:space="preserve">developed by </w:t>
      </w:r>
      <w:r w:rsidR="00192153" w:rsidRPr="00FE50A6">
        <w:rPr>
          <w:rFonts w:cs="Arial"/>
          <w:noProof/>
          <w:szCs w:val="20"/>
          <w:lang w:val="en-US"/>
        </w:rPr>
        <w:t xml:space="preserve">legal </w:t>
      </w:r>
      <w:r w:rsidR="00C10AA6" w:rsidRPr="00FE50A6">
        <w:rPr>
          <w:rFonts w:cs="Arial"/>
          <w:noProof/>
          <w:szCs w:val="20"/>
          <w:lang w:val="en-US"/>
        </w:rPr>
        <w:t xml:space="preserve">doctrine and jurisprudence. At the current stage of evolution </w:t>
      </w:r>
      <w:r w:rsidR="002A125A" w:rsidRPr="00FE50A6">
        <w:rPr>
          <w:rFonts w:cs="Arial"/>
          <w:szCs w:val="20"/>
          <w:lang w:val="en-US"/>
        </w:rPr>
        <w:t>of international</w:t>
      </w:r>
      <w:r w:rsidR="00931A2D" w:rsidRPr="00FE50A6">
        <w:rPr>
          <w:rFonts w:cs="Arial"/>
          <w:szCs w:val="20"/>
          <w:lang w:val="en-US"/>
        </w:rPr>
        <w:t xml:space="preserve"> law</w:t>
      </w:r>
      <w:r w:rsidR="00D81AA1" w:rsidRPr="00FE50A6">
        <w:rPr>
          <w:rFonts w:cs="Arial"/>
          <w:szCs w:val="20"/>
          <w:lang w:val="en-US"/>
        </w:rPr>
        <w:t xml:space="preserve">, </w:t>
      </w:r>
      <w:r w:rsidR="00C10AA6" w:rsidRPr="00FE50A6">
        <w:rPr>
          <w:rFonts w:cs="Arial"/>
          <w:szCs w:val="20"/>
          <w:lang w:val="en-US"/>
        </w:rPr>
        <w:t>the fundamental principle of equality and non-discrimination has entered the domain of</w:t>
      </w:r>
      <w:r w:rsidR="00D81AA1" w:rsidRPr="00FE50A6">
        <w:rPr>
          <w:rFonts w:cs="Arial"/>
          <w:szCs w:val="20"/>
          <w:lang w:val="en-US"/>
        </w:rPr>
        <w:t xml:space="preserve"> </w:t>
      </w:r>
      <w:r w:rsidR="00D81AA1" w:rsidRPr="00FE50A6">
        <w:rPr>
          <w:rFonts w:cs="Arial"/>
          <w:i/>
          <w:iCs/>
          <w:szCs w:val="20"/>
          <w:lang w:val="en-US"/>
        </w:rPr>
        <w:t xml:space="preserve">jus cogens. </w:t>
      </w:r>
      <w:r w:rsidR="00C10AA6" w:rsidRPr="00FE50A6">
        <w:rPr>
          <w:rFonts w:cs="Arial"/>
          <w:szCs w:val="20"/>
          <w:lang w:val="en-US"/>
        </w:rPr>
        <w:t>It underlies the legal framework of national and international public order and permeates the whole legal system.</w:t>
      </w:r>
      <w:r w:rsidR="00D81AA1" w:rsidRPr="00FE50A6">
        <w:rPr>
          <w:rStyle w:val="Refdenotaalpie"/>
          <w:lang w:val="en-US"/>
        </w:rPr>
        <w:footnoteReference w:id="515"/>
      </w:r>
    </w:p>
    <w:p w14:paraId="40714B7C" w14:textId="77777777" w:rsidR="00D81AA1" w:rsidRPr="00FE50A6" w:rsidRDefault="00D81AA1" w:rsidP="00D81AA1">
      <w:pPr>
        <w:pStyle w:val="Prrafodelista"/>
        <w:rPr>
          <w:rFonts w:cs="Arial"/>
          <w:noProof/>
          <w:szCs w:val="20"/>
          <w:lang w:val="en-US"/>
        </w:rPr>
      </w:pPr>
    </w:p>
    <w:p w14:paraId="5569B42E" w14:textId="77777777" w:rsidR="00D81AA1" w:rsidRPr="00FE50A6" w:rsidRDefault="0088467F" w:rsidP="00D81AA1">
      <w:pPr>
        <w:pStyle w:val="Prrafodelista"/>
        <w:numPr>
          <w:ilvl w:val="0"/>
          <w:numId w:val="1"/>
        </w:numPr>
        <w:contextualSpacing w:val="0"/>
        <w:rPr>
          <w:rFonts w:cs="Arial"/>
          <w:noProof/>
          <w:szCs w:val="20"/>
          <w:lang w:val="en-US"/>
        </w:rPr>
      </w:pPr>
      <w:r w:rsidRPr="00FE50A6">
        <w:rPr>
          <w:rFonts w:cs="Arial"/>
          <w:noProof/>
          <w:szCs w:val="20"/>
          <w:lang w:val="en-US"/>
        </w:rPr>
        <w:t>In this case</w:t>
      </w:r>
      <w:r w:rsidR="00C10AA6" w:rsidRPr="00FE50A6">
        <w:rPr>
          <w:rFonts w:cs="Arial"/>
          <w:noProof/>
          <w:szCs w:val="20"/>
          <w:lang w:val="en-US"/>
        </w:rPr>
        <w:t>,</w:t>
      </w:r>
      <w:r w:rsidR="00D81AA1" w:rsidRPr="00FE50A6">
        <w:rPr>
          <w:rFonts w:cs="Arial"/>
          <w:noProof/>
          <w:szCs w:val="20"/>
          <w:lang w:val="en-US"/>
        </w:rPr>
        <w:t xml:space="preserve"> </w:t>
      </w:r>
      <w:r w:rsidR="000228D0" w:rsidRPr="00FE50A6">
        <w:rPr>
          <w:rFonts w:cs="Arial"/>
          <w:noProof/>
          <w:szCs w:val="20"/>
          <w:lang w:val="en-US"/>
        </w:rPr>
        <w:t>the Court</w:t>
      </w:r>
      <w:r w:rsidR="00D81AA1" w:rsidRPr="00FE50A6">
        <w:rPr>
          <w:rFonts w:cs="Arial"/>
          <w:noProof/>
          <w:szCs w:val="20"/>
          <w:lang w:val="en-US"/>
        </w:rPr>
        <w:t xml:space="preserve"> not</w:t>
      </w:r>
      <w:r w:rsidR="00C10AA6" w:rsidRPr="00FE50A6">
        <w:rPr>
          <w:rFonts w:cs="Arial"/>
          <w:noProof/>
          <w:szCs w:val="20"/>
          <w:lang w:val="en-US"/>
        </w:rPr>
        <w:t xml:space="preserve">es that there was a disproportionate impact on one </w:t>
      </w:r>
      <w:r w:rsidR="00192153" w:rsidRPr="00FE50A6">
        <w:rPr>
          <w:rFonts w:cs="Arial"/>
          <w:noProof/>
          <w:szCs w:val="20"/>
          <w:lang w:val="en-US"/>
        </w:rPr>
        <w:t xml:space="preserve">segment </w:t>
      </w:r>
      <w:r w:rsidR="00C10AA6" w:rsidRPr="00FE50A6">
        <w:rPr>
          <w:rFonts w:cs="Arial"/>
          <w:noProof/>
          <w:szCs w:val="20"/>
          <w:lang w:val="en-US"/>
        </w:rPr>
        <w:t xml:space="preserve">of the population that shared characteristics relating to their condition of exclusion, poverty and lack of schooling. It was verified that the victims found in the 2000 inspection shared these characteristics </w:t>
      </w:r>
      <w:r w:rsidR="00192153" w:rsidRPr="00FE50A6">
        <w:rPr>
          <w:rFonts w:cs="Arial"/>
          <w:noProof/>
          <w:szCs w:val="20"/>
          <w:lang w:val="en-US"/>
        </w:rPr>
        <w:t>and this</w:t>
      </w:r>
      <w:r w:rsidR="00C10AA6" w:rsidRPr="00FE50A6">
        <w:rPr>
          <w:rFonts w:cs="Arial"/>
          <w:noProof/>
          <w:szCs w:val="20"/>
          <w:lang w:val="en-US"/>
        </w:rPr>
        <w:t xml:space="preserve"> placed them in a special situation of vulnerability</w:t>
      </w:r>
      <w:r w:rsidR="00D81AA1" w:rsidRPr="00FE50A6">
        <w:rPr>
          <w:rFonts w:cs="Arial"/>
          <w:noProof/>
          <w:szCs w:val="20"/>
          <w:lang w:val="en-US"/>
        </w:rPr>
        <w:t xml:space="preserve"> (</w:t>
      </w:r>
      <w:r w:rsidR="00D81AA1" w:rsidRPr="00FE50A6">
        <w:rPr>
          <w:rFonts w:cs="Arial"/>
          <w:i/>
          <w:noProof/>
          <w:szCs w:val="20"/>
          <w:lang w:val="en-US"/>
        </w:rPr>
        <w:t>supra</w:t>
      </w:r>
      <w:r w:rsidR="00D81AA1" w:rsidRPr="00FE50A6">
        <w:rPr>
          <w:rFonts w:cs="Arial"/>
          <w:noProof/>
          <w:szCs w:val="20"/>
          <w:lang w:val="en-US"/>
        </w:rPr>
        <w:t xml:space="preserve"> </w:t>
      </w:r>
      <w:r w:rsidR="00700B79" w:rsidRPr="00FE50A6">
        <w:rPr>
          <w:rFonts w:cs="Arial"/>
          <w:noProof/>
          <w:szCs w:val="20"/>
          <w:lang w:val="en-US"/>
        </w:rPr>
        <w:t>para.</w:t>
      </w:r>
      <w:r w:rsidR="00D81AA1" w:rsidRPr="00FE50A6">
        <w:rPr>
          <w:rFonts w:cs="Arial"/>
          <w:noProof/>
          <w:szCs w:val="20"/>
          <w:lang w:val="en-US"/>
        </w:rPr>
        <w:t xml:space="preserve"> </w:t>
      </w:r>
      <w:r w:rsidR="00441674" w:rsidRPr="00FE50A6">
        <w:rPr>
          <w:rFonts w:cs="Arial"/>
          <w:noProof/>
          <w:szCs w:val="20"/>
          <w:lang w:val="en-US"/>
        </w:rPr>
        <w:t>41</w:t>
      </w:r>
      <w:r w:rsidR="00D81AA1" w:rsidRPr="00FE50A6">
        <w:rPr>
          <w:rFonts w:cs="Arial"/>
          <w:noProof/>
          <w:szCs w:val="20"/>
          <w:lang w:val="en-US"/>
        </w:rPr>
        <w:t>).</w:t>
      </w:r>
    </w:p>
    <w:p w14:paraId="53322446" w14:textId="77777777" w:rsidR="00D81AA1" w:rsidRPr="00FE50A6" w:rsidRDefault="00D81AA1" w:rsidP="00D81AA1">
      <w:pPr>
        <w:pStyle w:val="Prrafodelista"/>
        <w:rPr>
          <w:rFonts w:cs="Arial"/>
          <w:noProof/>
          <w:szCs w:val="20"/>
          <w:lang w:val="en-US"/>
        </w:rPr>
      </w:pPr>
    </w:p>
    <w:p w14:paraId="45A669EC" w14:textId="77777777" w:rsidR="00E07A4C" w:rsidRPr="00FE50A6" w:rsidRDefault="000228D0" w:rsidP="00C10AA6">
      <w:pPr>
        <w:pStyle w:val="Prrafodelista"/>
        <w:numPr>
          <w:ilvl w:val="0"/>
          <w:numId w:val="1"/>
        </w:numPr>
        <w:contextualSpacing w:val="0"/>
        <w:rPr>
          <w:rFonts w:cs="Arial"/>
          <w:noProof/>
          <w:szCs w:val="20"/>
          <w:lang w:val="en-US"/>
        </w:rPr>
      </w:pPr>
      <w:r w:rsidRPr="00FE50A6">
        <w:rPr>
          <w:rFonts w:cs="Arial"/>
          <w:noProof/>
          <w:szCs w:val="20"/>
          <w:lang w:val="en-US"/>
        </w:rPr>
        <w:t>The Court</w:t>
      </w:r>
      <w:r w:rsidR="00D81AA1" w:rsidRPr="00FE50A6">
        <w:rPr>
          <w:rFonts w:cs="Arial"/>
          <w:noProof/>
          <w:szCs w:val="20"/>
          <w:lang w:val="en-US"/>
        </w:rPr>
        <w:t xml:space="preserve"> not</w:t>
      </w:r>
      <w:r w:rsidR="00C10AA6" w:rsidRPr="00FE50A6">
        <w:rPr>
          <w:rFonts w:cs="Arial"/>
          <w:noProof/>
          <w:szCs w:val="20"/>
          <w:lang w:val="en-US"/>
        </w:rPr>
        <w:t xml:space="preserve">es that the analysis of the proceedings filed </w:t>
      </w:r>
      <w:r w:rsidR="00192153" w:rsidRPr="00FE50A6">
        <w:rPr>
          <w:rFonts w:cs="Arial"/>
          <w:noProof/>
          <w:szCs w:val="20"/>
          <w:lang w:val="en-US"/>
        </w:rPr>
        <w:t>in relation</w:t>
      </w:r>
      <w:r w:rsidR="00C10AA6" w:rsidRPr="00FE50A6">
        <w:rPr>
          <w:rFonts w:cs="Arial"/>
          <w:noProof/>
          <w:szCs w:val="20"/>
          <w:lang w:val="en-US"/>
        </w:rPr>
        <w:t xml:space="preserve"> to the facts that occurred in</w:t>
      </w:r>
      <w:r w:rsidR="00D81AA1" w:rsidRPr="00FE50A6">
        <w:rPr>
          <w:rFonts w:cs="Arial"/>
          <w:noProof/>
          <w:szCs w:val="20"/>
          <w:lang w:val="en-US"/>
        </w:rPr>
        <w:t xml:space="preserve"> Hacienda </w:t>
      </w:r>
      <w:r w:rsidR="00322241" w:rsidRPr="00FE50A6">
        <w:rPr>
          <w:rFonts w:cs="Arial"/>
          <w:noProof/>
          <w:szCs w:val="20"/>
          <w:lang w:val="en-US"/>
        </w:rPr>
        <w:t>Brasil Verde</w:t>
      </w:r>
      <w:r w:rsidR="00D81AA1" w:rsidRPr="00FE50A6">
        <w:rPr>
          <w:rFonts w:cs="Arial"/>
          <w:noProof/>
          <w:szCs w:val="20"/>
          <w:lang w:val="en-US"/>
        </w:rPr>
        <w:t xml:space="preserve"> </w:t>
      </w:r>
      <w:r w:rsidR="00C10AA6" w:rsidRPr="00FE50A6">
        <w:rPr>
          <w:rFonts w:cs="Arial"/>
          <w:noProof/>
          <w:szCs w:val="20"/>
          <w:lang w:val="en-US"/>
        </w:rPr>
        <w:t>reveal</w:t>
      </w:r>
      <w:r w:rsidR="00192153" w:rsidRPr="00FE50A6">
        <w:rPr>
          <w:rFonts w:cs="Arial"/>
          <w:noProof/>
          <w:szCs w:val="20"/>
          <w:lang w:val="en-US"/>
        </w:rPr>
        <w:t>s</w:t>
      </w:r>
      <w:r w:rsidR="00C10AA6" w:rsidRPr="00FE50A6">
        <w:rPr>
          <w:rFonts w:cs="Arial"/>
          <w:noProof/>
          <w:szCs w:val="20"/>
          <w:lang w:val="en-US"/>
        </w:rPr>
        <w:t xml:space="preserve"> that the authorities did not accord the facts</w:t>
      </w:r>
      <w:r w:rsidR="00192153" w:rsidRPr="00FE50A6">
        <w:rPr>
          <w:rFonts w:cs="Arial"/>
          <w:noProof/>
          <w:szCs w:val="20"/>
          <w:lang w:val="en-US"/>
        </w:rPr>
        <w:t xml:space="preserve"> that were</w:t>
      </w:r>
      <w:r w:rsidR="00C10AA6" w:rsidRPr="00FE50A6">
        <w:rPr>
          <w:rFonts w:cs="Arial"/>
          <w:noProof/>
          <w:szCs w:val="20"/>
          <w:lang w:val="en-US"/>
        </w:rPr>
        <w:t xml:space="preserve"> denounced the extreme seriousness the</w:t>
      </w:r>
      <w:r w:rsidR="00192153" w:rsidRPr="00FE50A6">
        <w:rPr>
          <w:rFonts w:cs="Arial"/>
          <w:noProof/>
          <w:szCs w:val="20"/>
          <w:lang w:val="en-US"/>
        </w:rPr>
        <w:t>se facts</w:t>
      </w:r>
      <w:r w:rsidR="00C10AA6" w:rsidRPr="00FE50A6">
        <w:rPr>
          <w:rFonts w:cs="Arial"/>
          <w:noProof/>
          <w:szCs w:val="20"/>
          <w:lang w:val="en-US"/>
        </w:rPr>
        <w:t xml:space="preserve"> </w:t>
      </w:r>
      <w:r w:rsidR="00192153" w:rsidRPr="00FE50A6">
        <w:rPr>
          <w:rFonts w:cs="Arial"/>
          <w:noProof/>
          <w:szCs w:val="20"/>
          <w:lang w:val="en-US"/>
        </w:rPr>
        <w:t>signified</w:t>
      </w:r>
      <w:r w:rsidR="00C10AA6" w:rsidRPr="00FE50A6">
        <w:rPr>
          <w:rFonts w:cs="Arial"/>
          <w:noProof/>
          <w:szCs w:val="20"/>
          <w:lang w:val="en-US"/>
        </w:rPr>
        <w:t xml:space="preserve"> and, as a result, the</w:t>
      </w:r>
      <w:r w:rsidR="00192153" w:rsidRPr="00FE50A6">
        <w:rPr>
          <w:rFonts w:cs="Arial"/>
          <w:noProof/>
          <w:szCs w:val="20"/>
          <w:lang w:val="en-US"/>
        </w:rPr>
        <w:t>y</w:t>
      </w:r>
      <w:r w:rsidR="00C10AA6" w:rsidRPr="00FE50A6">
        <w:rPr>
          <w:rFonts w:cs="Arial"/>
          <w:noProof/>
          <w:szCs w:val="20"/>
          <w:lang w:val="en-US"/>
        </w:rPr>
        <w:t xml:space="preserve"> failed to act with the due diligence required to guarantee the</w:t>
      </w:r>
      <w:r w:rsidR="00192153" w:rsidRPr="00FE50A6">
        <w:rPr>
          <w:rFonts w:cs="Arial"/>
          <w:noProof/>
          <w:szCs w:val="20"/>
          <w:lang w:val="en-US"/>
        </w:rPr>
        <w:t xml:space="preserve"> victims’</w:t>
      </w:r>
      <w:r w:rsidR="00C10AA6" w:rsidRPr="00FE50A6">
        <w:rPr>
          <w:rFonts w:cs="Arial"/>
          <w:noProof/>
          <w:szCs w:val="20"/>
          <w:lang w:val="en-US"/>
        </w:rPr>
        <w:t xml:space="preserve"> rights. The lack of action, as well as the leniency of the agreements and recommendations </w:t>
      </w:r>
      <w:r w:rsidR="00192153" w:rsidRPr="00FE50A6">
        <w:rPr>
          <w:rFonts w:cs="Arial"/>
          <w:noProof/>
          <w:szCs w:val="20"/>
          <w:lang w:val="en-US"/>
        </w:rPr>
        <w:t xml:space="preserve">that were </w:t>
      </w:r>
      <w:r w:rsidR="00C10AA6" w:rsidRPr="00FE50A6">
        <w:rPr>
          <w:rFonts w:cs="Arial"/>
          <w:noProof/>
          <w:szCs w:val="20"/>
          <w:lang w:val="en-US"/>
        </w:rPr>
        <w:t>made</w:t>
      </w:r>
      <w:r w:rsidR="00192153" w:rsidRPr="00FE50A6">
        <w:rPr>
          <w:rFonts w:cs="Arial"/>
          <w:noProof/>
          <w:szCs w:val="20"/>
          <w:lang w:val="en-US"/>
        </w:rPr>
        <w:t>,</w:t>
      </w:r>
      <w:r w:rsidR="00C10AA6" w:rsidRPr="00FE50A6">
        <w:rPr>
          <w:rFonts w:cs="Arial"/>
          <w:noProof/>
          <w:szCs w:val="20"/>
          <w:lang w:val="en-US"/>
        </w:rPr>
        <w:t xml:space="preserve"> reflected a failure to condemn the facts that occurred in </w:t>
      </w:r>
      <w:r w:rsidR="00D81AA1" w:rsidRPr="00FE50A6">
        <w:rPr>
          <w:rFonts w:cs="Arial"/>
          <w:noProof/>
          <w:szCs w:val="20"/>
          <w:lang w:val="en-US"/>
        </w:rPr>
        <w:t xml:space="preserve">Hacienda </w:t>
      </w:r>
      <w:r w:rsidR="00322241" w:rsidRPr="00FE50A6">
        <w:rPr>
          <w:rFonts w:cs="Arial"/>
          <w:noProof/>
          <w:szCs w:val="20"/>
          <w:lang w:val="en-US"/>
        </w:rPr>
        <w:t>Brasil Verde</w:t>
      </w:r>
      <w:r w:rsidR="00D81AA1" w:rsidRPr="00FE50A6">
        <w:rPr>
          <w:rFonts w:cs="Arial"/>
          <w:noProof/>
          <w:szCs w:val="20"/>
          <w:lang w:val="en-US"/>
        </w:rPr>
        <w:t xml:space="preserve">. </w:t>
      </w:r>
      <w:r w:rsidRPr="00FE50A6">
        <w:rPr>
          <w:rFonts w:cs="Arial"/>
          <w:noProof/>
          <w:szCs w:val="20"/>
          <w:lang w:val="en-US"/>
        </w:rPr>
        <w:t>The Court</w:t>
      </w:r>
      <w:r w:rsidR="00D81AA1" w:rsidRPr="00FE50A6">
        <w:rPr>
          <w:rFonts w:cs="Arial"/>
          <w:noProof/>
          <w:szCs w:val="20"/>
          <w:lang w:val="en-US"/>
        </w:rPr>
        <w:t xml:space="preserve"> consider</w:t>
      </w:r>
      <w:r w:rsidR="00C10AA6" w:rsidRPr="00FE50A6">
        <w:rPr>
          <w:rFonts w:cs="Arial"/>
          <w:noProof/>
          <w:szCs w:val="20"/>
          <w:lang w:val="en-US"/>
        </w:rPr>
        <w:t>s that the</w:t>
      </w:r>
      <w:r w:rsidR="00E07A4C" w:rsidRPr="00FE50A6">
        <w:rPr>
          <w:rFonts w:cs="Arial"/>
          <w:noProof/>
          <w:szCs w:val="20"/>
          <w:lang w:val="en-US"/>
        </w:rPr>
        <w:t xml:space="preserve"> failure to act and to punish these facts may be explained by a normalization of the conditions to which individuals with certain characteristics from Brazil’s poorest states were continually subjected </w:t>
      </w:r>
    </w:p>
    <w:p w14:paraId="1C3A4A12" w14:textId="77777777" w:rsidR="00D81AA1" w:rsidRPr="00FE50A6" w:rsidRDefault="00D81AA1" w:rsidP="00E07A4C">
      <w:pPr>
        <w:rPr>
          <w:rFonts w:cs="Arial"/>
          <w:noProof/>
          <w:szCs w:val="20"/>
          <w:lang w:val="en-US"/>
        </w:rPr>
      </w:pPr>
    </w:p>
    <w:p w14:paraId="03384506" w14:textId="77777777" w:rsidR="00E07A4C" w:rsidRPr="00FE50A6" w:rsidRDefault="00E07A4C" w:rsidP="00D81AA1">
      <w:pPr>
        <w:pStyle w:val="Prrafodelista"/>
        <w:numPr>
          <w:ilvl w:val="0"/>
          <w:numId w:val="1"/>
        </w:numPr>
        <w:contextualSpacing w:val="0"/>
        <w:rPr>
          <w:rFonts w:cs="Arial"/>
          <w:noProof/>
          <w:szCs w:val="20"/>
          <w:lang w:val="en-US"/>
        </w:rPr>
      </w:pPr>
      <w:r w:rsidRPr="00FE50A6">
        <w:rPr>
          <w:rFonts w:cs="Arial"/>
          <w:noProof/>
          <w:szCs w:val="20"/>
          <w:lang w:val="en-US"/>
        </w:rPr>
        <w:t>Thus, it is reasonable to conclude that the</w:t>
      </w:r>
      <w:r w:rsidR="00D81AA1" w:rsidRPr="00FE50A6">
        <w:rPr>
          <w:rFonts w:cs="Arial"/>
          <w:noProof/>
          <w:szCs w:val="20"/>
          <w:lang w:val="en-US"/>
        </w:rPr>
        <w:t xml:space="preserve"> </w:t>
      </w:r>
      <w:r w:rsidR="00576F80" w:rsidRPr="00FE50A6">
        <w:rPr>
          <w:rFonts w:cs="Arial"/>
          <w:noProof/>
          <w:szCs w:val="20"/>
          <w:lang w:val="en-US"/>
        </w:rPr>
        <w:t>lack of due diligence</w:t>
      </w:r>
      <w:r w:rsidR="00030C17" w:rsidRPr="00FE50A6">
        <w:rPr>
          <w:rFonts w:cs="Arial"/>
          <w:noProof/>
          <w:szCs w:val="20"/>
          <w:lang w:val="en-US"/>
        </w:rPr>
        <w:t xml:space="preserve"> and </w:t>
      </w:r>
      <w:r w:rsidRPr="00FE50A6">
        <w:rPr>
          <w:rFonts w:cs="Arial"/>
          <w:noProof/>
          <w:szCs w:val="20"/>
          <w:lang w:val="en-US"/>
        </w:rPr>
        <w:t xml:space="preserve">punishment for the act of subjecting someone to a condition similar to </w:t>
      </w:r>
      <w:r w:rsidR="00192153" w:rsidRPr="00FE50A6">
        <w:rPr>
          <w:rFonts w:cs="Arial"/>
          <w:noProof/>
          <w:szCs w:val="20"/>
          <w:lang w:val="en-US"/>
        </w:rPr>
        <w:t>slavery</w:t>
      </w:r>
      <w:r w:rsidRPr="00FE50A6">
        <w:rPr>
          <w:rFonts w:cs="Arial"/>
          <w:noProof/>
          <w:szCs w:val="20"/>
          <w:lang w:val="en-US"/>
        </w:rPr>
        <w:t xml:space="preserve"> was related to a preconception of the conditions to which it was normal that workers of the haciendas of the north and northeast of Brazil were subjected. This preconception was discriminatory in relation to the victims in the case and influenced the actions of the authorities, preventing proceedings to be conducted that would have punished those responsible.</w:t>
      </w:r>
    </w:p>
    <w:p w14:paraId="20BC984D" w14:textId="77777777" w:rsidR="00D81AA1" w:rsidRPr="00FE50A6" w:rsidRDefault="00D81AA1" w:rsidP="00D81AA1">
      <w:pPr>
        <w:pStyle w:val="Prrafodelista"/>
        <w:rPr>
          <w:rFonts w:cs="Arial"/>
          <w:bCs/>
          <w:iCs/>
          <w:szCs w:val="20"/>
          <w:lang w:val="en-US"/>
        </w:rPr>
      </w:pPr>
    </w:p>
    <w:p w14:paraId="7E2B8063" w14:textId="77777777" w:rsidR="00D81AA1" w:rsidRPr="00FE50A6" w:rsidRDefault="00AF42D1" w:rsidP="008B0BCC">
      <w:pPr>
        <w:pStyle w:val="Prrafodelista"/>
        <w:numPr>
          <w:ilvl w:val="0"/>
          <w:numId w:val="24"/>
        </w:numPr>
        <w:autoSpaceDE w:val="0"/>
        <w:autoSpaceDN w:val="0"/>
        <w:adjustRightInd w:val="0"/>
        <w:rPr>
          <w:rFonts w:cs="Arial"/>
          <w:bCs/>
          <w:iCs/>
          <w:szCs w:val="20"/>
          <w:lang w:val="en-US"/>
        </w:rPr>
      </w:pPr>
      <w:r w:rsidRPr="00FE50A6">
        <w:rPr>
          <w:rFonts w:cs="Arial"/>
          <w:i/>
          <w:noProof/>
          <w:szCs w:val="20"/>
          <w:lang w:val="en-US"/>
        </w:rPr>
        <w:t>Conclusion</w:t>
      </w:r>
    </w:p>
    <w:p w14:paraId="65E95292" w14:textId="77777777" w:rsidR="00D81AA1" w:rsidRPr="00FE50A6" w:rsidRDefault="00D81AA1" w:rsidP="00D81AA1">
      <w:pPr>
        <w:pStyle w:val="Prrafodelista"/>
        <w:rPr>
          <w:rFonts w:cs="Arial"/>
          <w:bCs/>
          <w:iCs/>
          <w:szCs w:val="20"/>
          <w:lang w:val="en-US"/>
        </w:rPr>
      </w:pPr>
    </w:p>
    <w:p w14:paraId="43118793" w14:textId="77777777" w:rsidR="00D81AA1" w:rsidRPr="00FE50A6" w:rsidRDefault="00871B48" w:rsidP="00D81AA1">
      <w:pPr>
        <w:pStyle w:val="Prrafodelista"/>
        <w:numPr>
          <w:ilvl w:val="0"/>
          <w:numId w:val="1"/>
        </w:numPr>
        <w:autoSpaceDE w:val="0"/>
        <w:autoSpaceDN w:val="0"/>
        <w:adjustRightInd w:val="0"/>
        <w:contextualSpacing w:val="0"/>
        <w:rPr>
          <w:rFonts w:cs="Arial"/>
          <w:bCs/>
          <w:iCs/>
          <w:szCs w:val="20"/>
          <w:lang w:val="en-US"/>
        </w:rPr>
      </w:pPr>
      <w:r w:rsidRPr="00FE50A6">
        <w:rPr>
          <w:szCs w:val="20"/>
          <w:lang w:val="en-US"/>
        </w:rPr>
        <w:t>Based on the above, the C</w:t>
      </w:r>
      <w:r w:rsidR="00192153" w:rsidRPr="00FE50A6">
        <w:rPr>
          <w:szCs w:val="20"/>
          <w:lang w:val="en-US"/>
        </w:rPr>
        <w:t>o</w:t>
      </w:r>
      <w:r w:rsidRPr="00FE50A6">
        <w:rPr>
          <w:szCs w:val="20"/>
          <w:lang w:val="en-US"/>
        </w:rPr>
        <w:t xml:space="preserve">urt concludes that the State violated the right to </w:t>
      </w:r>
      <w:r w:rsidR="00D11A9F" w:rsidRPr="00FE50A6">
        <w:rPr>
          <w:szCs w:val="20"/>
          <w:lang w:val="en-US"/>
        </w:rPr>
        <w:t>judicial protection</w:t>
      </w:r>
      <w:r w:rsidR="00D81AA1" w:rsidRPr="00FE50A6">
        <w:rPr>
          <w:szCs w:val="20"/>
          <w:lang w:val="en-US"/>
        </w:rPr>
        <w:t xml:space="preserve"> </w:t>
      </w:r>
      <w:r w:rsidR="00351E20" w:rsidRPr="00FE50A6">
        <w:rPr>
          <w:szCs w:val="20"/>
          <w:lang w:val="en-US"/>
        </w:rPr>
        <w:t>established in Article</w:t>
      </w:r>
      <w:r w:rsidR="00D81AA1" w:rsidRPr="00FE50A6">
        <w:rPr>
          <w:szCs w:val="20"/>
          <w:lang w:val="en-US"/>
        </w:rPr>
        <w:t xml:space="preserve"> 25</w:t>
      </w:r>
      <w:r w:rsidR="000228D0" w:rsidRPr="00FE50A6">
        <w:rPr>
          <w:szCs w:val="20"/>
          <w:lang w:val="en-US"/>
        </w:rPr>
        <w:t xml:space="preserve"> of the American Convention on Human Rights</w:t>
      </w:r>
      <w:r w:rsidR="00D81AA1" w:rsidRPr="00FE50A6">
        <w:rPr>
          <w:szCs w:val="20"/>
          <w:lang w:val="en-US"/>
        </w:rPr>
        <w:t xml:space="preserve">, </w:t>
      </w:r>
      <w:r w:rsidR="000B587F" w:rsidRPr="00FE50A6">
        <w:rPr>
          <w:szCs w:val="20"/>
          <w:lang w:val="en-US"/>
        </w:rPr>
        <w:t>in relation to Articles 1(1)</w:t>
      </w:r>
      <w:r w:rsidR="00030C17" w:rsidRPr="00FE50A6">
        <w:rPr>
          <w:szCs w:val="20"/>
          <w:lang w:val="en-US"/>
        </w:rPr>
        <w:t xml:space="preserve"> and </w:t>
      </w:r>
      <w:r w:rsidR="00D81AA1" w:rsidRPr="00FE50A6">
        <w:rPr>
          <w:szCs w:val="20"/>
          <w:lang w:val="en-US"/>
        </w:rPr>
        <w:t xml:space="preserve">2 </w:t>
      </w:r>
      <w:r w:rsidR="00D11A9F" w:rsidRPr="00FE50A6">
        <w:rPr>
          <w:szCs w:val="20"/>
          <w:lang w:val="en-US"/>
        </w:rPr>
        <w:t>of this instrument</w:t>
      </w:r>
      <w:r w:rsidR="007C67C6" w:rsidRPr="00FE50A6">
        <w:rPr>
          <w:szCs w:val="20"/>
          <w:lang w:val="en-US"/>
        </w:rPr>
        <w:t>,</w:t>
      </w:r>
      <w:r w:rsidR="00D81AA1" w:rsidRPr="00FE50A6">
        <w:rPr>
          <w:szCs w:val="20"/>
          <w:lang w:val="en-US"/>
        </w:rPr>
        <w:t xml:space="preserve"> </w:t>
      </w:r>
      <w:r w:rsidR="00703850" w:rsidRPr="00FE50A6">
        <w:rPr>
          <w:szCs w:val="20"/>
          <w:lang w:val="en-US"/>
        </w:rPr>
        <w:t>to the detriment of</w:t>
      </w:r>
      <w:r w:rsidR="00D81AA1" w:rsidRPr="00FE50A6">
        <w:rPr>
          <w:szCs w:val="20"/>
          <w:lang w:val="en-US"/>
        </w:rPr>
        <w:t xml:space="preserve">: </w:t>
      </w:r>
      <w:r w:rsidRPr="00FE50A6">
        <w:rPr>
          <w:szCs w:val="20"/>
          <w:lang w:val="en-US"/>
        </w:rPr>
        <w:t>(</w:t>
      </w:r>
      <w:r w:rsidR="00D81AA1" w:rsidRPr="00FE50A6">
        <w:rPr>
          <w:szCs w:val="20"/>
          <w:lang w:val="en-US"/>
        </w:rPr>
        <w:t xml:space="preserve">a) </w:t>
      </w:r>
      <w:r w:rsidRPr="00FE50A6">
        <w:rPr>
          <w:szCs w:val="20"/>
          <w:lang w:val="en-US"/>
        </w:rPr>
        <w:t>the</w:t>
      </w:r>
      <w:r w:rsidR="00D81AA1" w:rsidRPr="00FE50A6">
        <w:rPr>
          <w:szCs w:val="20"/>
          <w:lang w:val="en-US"/>
        </w:rPr>
        <w:t xml:space="preserve"> 43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orkers</w:t>
      </w:r>
      <w:r w:rsidR="00D81AA1" w:rsidRPr="00FE50A6">
        <w:rPr>
          <w:szCs w:val="20"/>
          <w:lang w:val="en-US"/>
        </w:rPr>
        <w:t xml:space="preserve"> </w:t>
      </w:r>
      <w:r w:rsidR="009731DC" w:rsidRPr="00FE50A6">
        <w:rPr>
          <w:szCs w:val="20"/>
          <w:lang w:val="en-US"/>
        </w:rPr>
        <w:t>resc</w:t>
      </w:r>
      <w:r w:rsidRPr="00FE50A6">
        <w:rPr>
          <w:szCs w:val="20"/>
          <w:lang w:val="en-US"/>
        </w:rPr>
        <w:t xml:space="preserve">ued during the </w:t>
      </w:r>
      <w:r w:rsidR="00351E20" w:rsidRPr="00FE50A6">
        <w:rPr>
          <w:szCs w:val="20"/>
          <w:lang w:val="en-US"/>
        </w:rPr>
        <w:t>April 23,</w:t>
      </w:r>
      <w:r w:rsidR="00D81AA1" w:rsidRPr="00FE50A6">
        <w:rPr>
          <w:szCs w:val="20"/>
          <w:lang w:val="en-US"/>
        </w:rPr>
        <w:t xml:space="preserve"> 1997</w:t>
      </w:r>
      <w:r w:rsidRPr="00FE50A6">
        <w:rPr>
          <w:szCs w:val="20"/>
          <w:lang w:val="en-US"/>
        </w:rPr>
        <w:t xml:space="preserve">, inspection and who have been identified by the Court in this </w:t>
      </w:r>
      <w:r w:rsidR="00192153" w:rsidRPr="00FE50A6">
        <w:rPr>
          <w:szCs w:val="20"/>
          <w:lang w:val="en-US"/>
        </w:rPr>
        <w:t>judgment</w:t>
      </w:r>
      <w:r w:rsidRPr="00FE50A6">
        <w:rPr>
          <w:szCs w:val="20"/>
          <w:lang w:val="en-US"/>
        </w:rPr>
        <w:t xml:space="preserve"> </w:t>
      </w:r>
      <w:r w:rsidR="00D81AA1" w:rsidRPr="00FE50A6">
        <w:rPr>
          <w:szCs w:val="20"/>
          <w:lang w:val="en-US"/>
        </w:rPr>
        <w:t>(</w:t>
      </w:r>
      <w:r w:rsidR="00D81AA1" w:rsidRPr="00FE50A6">
        <w:rPr>
          <w:i/>
          <w:szCs w:val="20"/>
          <w:lang w:val="en-US"/>
        </w:rPr>
        <w:t>supra</w:t>
      </w:r>
      <w:r w:rsidR="00D81AA1" w:rsidRPr="00FE50A6">
        <w:rPr>
          <w:szCs w:val="20"/>
          <w:lang w:val="en-US"/>
        </w:rPr>
        <w:t xml:space="preserve"> </w:t>
      </w:r>
      <w:r w:rsidR="00700B79" w:rsidRPr="00FE50A6">
        <w:rPr>
          <w:szCs w:val="20"/>
          <w:lang w:val="en-US"/>
        </w:rPr>
        <w:t>para.</w:t>
      </w:r>
      <w:r w:rsidR="00D81AA1" w:rsidRPr="00FE50A6">
        <w:rPr>
          <w:szCs w:val="20"/>
          <w:lang w:val="en-US"/>
        </w:rPr>
        <w:t xml:space="preserve"> </w:t>
      </w:r>
      <w:r w:rsidR="007C67C6" w:rsidRPr="00FE50A6">
        <w:rPr>
          <w:szCs w:val="20"/>
          <w:lang w:val="en-US"/>
        </w:rPr>
        <w:t>199</w:t>
      </w:r>
      <w:r w:rsidR="00D81AA1" w:rsidRPr="00FE50A6">
        <w:rPr>
          <w:szCs w:val="20"/>
          <w:lang w:val="en-US"/>
        </w:rPr>
        <w:t>),</w:t>
      </w:r>
      <w:r w:rsidR="00030C17" w:rsidRPr="00FE50A6">
        <w:rPr>
          <w:szCs w:val="20"/>
          <w:lang w:val="en-US"/>
        </w:rPr>
        <w:t xml:space="preserve"> and </w:t>
      </w:r>
      <w:r w:rsidRPr="00FE50A6">
        <w:rPr>
          <w:szCs w:val="20"/>
          <w:lang w:val="en-US"/>
        </w:rPr>
        <w:t>(</w:t>
      </w:r>
      <w:r w:rsidR="00D81AA1" w:rsidRPr="00FE50A6">
        <w:rPr>
          <w:szCs w:val="20"/>
          <w:lang w:val="en-US"/>
        </w:rPr>
        <w:t xml:space="preserve">b) </w:t>
      </w:r>
      <w:r w:rsidR="00192153" w:rsidRPr="00FE50A6">
        <w:rPr>
          <w:szCs w:val="20"/>
          <w:lang w:val="en-US"/>
        </w:rPr>
        <w:t>the</w:t>
      </w:r>
      <w:r w:rsidR="00D81AA1" w:rsidRPr="00FE50A6">
        <w:rPr>
          <w:szCs w:val="20"/>
          <w:lang w:val="en-US"/>
        </w:rPr>
        <w:t xml:space="preserve"> 85 </w:t>
      </w:r>
      <w:r w:rsidR="00030C17" w:rsidRPr="00FE50A6">
        <w:rPr>
          <w:szCs w:val="20"/>
          <w:lang w:val="en-US"/>
        </w:rPr>
        <w:t xml:space="preserve">Hacienda </w:t>
      </w:r>
      <w:r w:rsidR="00322241" w:rsidRPr="00FE50A6">
        <w:rPr>
          <w:szCs w:val="20"/>
          <w:lang w:val="en-US"/>
        </w:rPr>
        <w:t>Brasil Verde</w:t>
      </w:r>
      <w:r w:rsidR="00030C17" w:rsidRPr="00FE50A6">
        <w:rPr>
          <w:szCs w:val="20"/>
          <w:lang w:val="en-US"/>
        </w:rPr>
        <w:t xml:space="preserve"> </w:t>
      </w:r>
      <w:r w:rsidRPr="00FE50A6">
        <w:rPr>
          <w:szCs w:val="20"/>
          <w:lang w:val="en-US"/>
        </w:rPr>
        <w:t>w</w:t>
      </w:r>
      <w:r w:rsidR="00030C17" w:rsidRPr="00FE50A6">
        <w:rPr>
          <w:szCs w:val="20"/>
          <w:lang w:val="en-US"/>
        </w:rPr>
        <w:t>orkers</w:t>
      </w:r>
      <w:r w:rsidR="00D81AA1" w:rsidRPr="00FE50A6">
        <w:rPr>
          <w:szCs w:val="20"/>
          <w:lang w:val="en-US"/>
        </w:rPr>
        <w:t xml:space="preserve"> </w:t>
      </w:r>
      <w:r w:rsidRPr="00FE50A6">
        <w:rPr>
          <w:szCs w:val="20"/>
          <w:lang w:val="en-US"/>
        </w:rPr>
        <w:t xml:space="preserve">rescued during the </w:t>
      </w:r>
      <w:r w:rsidR="00A67F6B" w:rsidRPr="00FE50A6">
        <w:rPr>
          <w:szCs w:val="20"/>
          <w:lang w:val="en-US"/>
        </w:rPr>
        <w:t>March 15,</w:t>
      </w:r>
      <w:r w:rsidR="00D81AA1" w:rsidRPr="00FE50A6">
        <w:rPr>
          <w:szCs w:val="20"/>
          <w:lang w:val="en-US"/>
        </w:rPr>
        <w:t xml:space="preserve"> 2000</w:t>
      </w:r>
      <w:r w:rsidRPr="00FE50A6">
        <w:rPr>
          <w:szCs w:val="20"/>
          <w:lang w:val="en-US"/>
        </w:rPr>
        <w:t xml:space="preserve">, inspection </w:t>
      </w:r>
      <w:r w:rsidR="00030C17" w:rsidRPr="00FE50A6">
        <w:rPr>
          <w:szCs w:val="20"/>
          <w:lang w:val="en-US"/>
        </w:rPr>
        <w:t xml:space="preserve"> and</w:t>
      </w:r>
      <w:r w:rsidRPr="00FE50A6">
        <w:rPr>
          <w:szCs w:val="20"/>
          <w:lang w:val="en-US"/>
        </w:rPr>
        <w:t xml:space="preserve"> who have been identified by the Court in this </w:t>
      </w:r>
      <w:r w:rsidR="00192153" w:rsidRPr="00FE50A6">
        <w:rPr>
          <w:szCs w:val="20"/>
          <w:lang w:val="en-US"/>
        </w:rPr>
        <w:t>judgment</w:t>
      </w:r>
      <w:r w:rsidRPr="00FE50A6">
        <w:rPr>
          <w:szCs w:val="20"/>
          <w:lang w:val="en-US"/>
        </w:rPr>
        <w:t xml:space="preserve"> </w:t>
      </w:r>
      <w:r w:rsidR="00D81AA1" w:rsidRPr="00FE50A6">
        <w:rPr>
          <w:szCs w:val="20"/>
          <w:lang w:val="en-US"/>
        </w:rPr>
        <w:t>(</w:t>
      </w:r>
      <w:r w:rsidR="00D81AA1" w:rsidRPr="00FE50A6">
        <w:rPr>
          <w:i/>
          <w:szCs w:val="20"/>
          <w:lang w:val="en-US"/>
        </w:rPr>
        <w:t>supra</w:t>
      </w:r>
      <w:r w:rsidR="00D81AA1" w:rsidRPr="00FE50A6">
        <w:rPr>
          <w:szCs w:val="20"/>
          <w:lang w:val="en-US"/>
        </w:rPr>
        <w:t xml:space="preserve"> </w:t>
      </w:r>
      <w:r w:rsidR="00700B79" w:rsidRPr="00FE50A6">
        <w:rPr>
          <w:szCs w:val="20"/>
          <w:lang w:val="en-US"/>
        </w:rPr>
        <w:t>para.</w:t>
      </w:r>
      <w:r w:rsidR="00D81AA1" w:rsidRPr="00FE50A6">
        <w:rPr>
          <w:szCs w:val="20"/>
          <w:lang w:val="en-US"/>
        </w:rPr>
        <w:t xml:space="preserve"> </w:t>
      </w:r>
      <w:r w:rsidR="00CE3AD4" w:rsidRPr="00FE50A6">
        <w:rPr>
          <w:szCs w:val="20"/>
          <w:lang w:val="en-US"/>
        </w:rPr>
        <w:t>206</w:t>
      </w:r>
      <w:r w:rsidR="00D81AA1" w:rsidRPr="00FE50A6">
        <w:rPr>
          <w:szCs w:val="20"/>
          <w:lang w:val="en-US"/>
        </w:rPr>
        <w:t xml:space="preserve">). </w:t>
      </w:r>
      <w:r w:rsidRPr="00FE50A6">
        <w:rPr>
          <w:szCs w:val="20"/>
          <w:lang w:val="en-US"/>
        </w:rPr>
        <w:t>In addition, the Court concludes that, with regard to</w:t>
      </w:r>
      <w:r w:rsidR="00C9493B" w:rsidRPr="00FE50A6">
        <w:rPr>
          <w:szCs w:val="20"/>
          <w:lang w:val="en-US"/>
        </w:rPr>
        <w:t xml:space="preserve"> </w:t>
      </w:r>
      <w:r w:rsidR="00D60654" w:rsidRPr="00FE50A6">
        <w:rPr>
          <w:rFonts w:cs="Arial"/>
          <w:szCs w:val="20"/>
          <w:lang w:val="en-US"/>
        </w:rPr>
        <w:t xml:space="preserve">Antônio </w:t>
      </w:r>
      <w:r w:rsidR="00C9493B" w:rsidRPr="00FE50A6">
        <w:rPr>
          <w:rFonts w:cs="Arial"/>
          <w:szCs w:val="20"/>
          <w:lang w:val="en-US"/>
        </w:rPr>
        <w:t xml:space="preserve">Francisco da Silva, </w:t>
      </w:r>
      <w:r w:rsidRPr="00FE50A6">
        <w:rPr>
          <w:rFonts w:cs="Arial"/>
          <w:szCs w:val="20"/>
          <w:lang w:val="en-US"/>
        </w:rPr>
        <w:t xml:space="preserve">who was a minor during some of the facts of the case, </w:t>
      </w:r>
      <w:r w:rsidR="00700B79" w:rsidRPr="00FE50A6">
        <w:rPr>
          <w:szCs w:val="20"/>
          <w:lang w:val="en-US"/>
        </w:rPr>
        <w:t>the violation</w:t>
      </w:r>
      <w:r w:rsidR="00C9493B" w:rsidRPr="00FE50A6">
        <w:rPr>
          <w:szCs w:val="20"/>
          <w:lang w:val="en-US"/>
        </w:rPr>
        <w:t xml:space="preserve"> </w:t>
      </w:r>
      <w:r w:rsidR="00703850" w:rsidRPr="00FE50A6">
        <w:rPr>
          <w:szCs w:val="20"/>
          <w:lang w:val="en-US"/>
        </w:rPr>
        <w:t>of Article</w:t>
      </w:r>
      <w:r w:rsidR="00C9493B" w:rsidRPr="00FE50A6">
        <w:rPr>
          <w:szCs w:val="20"/>
          <w:lang w:val="en-US"/>
        </w:rPr>
        <w:t xml:space="preserve"> 25</w:t>
      </w:r>
      <w:r w:rsidR="000228D0" w:rsidRPr="00FE50A6">
        <w:rPr>
          <w:szCs w:val="20"/>
          <w:lang w:val="en-US"/>
        </w:rPr>
        <w:t xml:space="preserve"> of the American Convention</w:t>
      </w:r>
      <w:r w:rsidR="00C9493B" w:rsidRPr="00FE50A6">
        <w:rPr>
          <w:szCs w:val="20"/>
          <w:lang w:val="en-US"/>
        </w:rPr>
        <w:t xml:space="preserve"> </w:t>
      </w:r>
      <w:r w:rsidRPr="00FE50A6">
        <w:rPr>
          <w:szCs w:val="20"/>
          <w:lang w:val="en-US"/>
        </w:rPr>
        <w:t xml:space="preserve">declared above is also related to </w:t>
      </w:r>
      <w:r w:rsidR="00D2546E" w:rsidRPr="00FE50A6">
        <w:rPr>
          <w:szCs w:val="20"/>
          <w:lang w:val="en-US"/>
        </w:rPr>
        <w:t>Article</w:t>
      </w:r>
      <w:r w:rsidR="00D81AA1" w:rsidRPr="00FE50A6">
        <w:rPr>
          <w:szCs w:val="20"/>
          <w:lang w:val="en-US"/>
        </w:rPr>
        <w:t xml:space="preserve"> 19 </w:t>
      </w:r>
      <w:r w:rsidR="00D11A9F" w:rsidRPr="00FE50A6">
        <w:rPr>
          <w:szCs w:val="20"/>
          <w:lang w:val="en-US"/>
        </w:rPr>
        <w:t>of this instrument</w:t>
      </w:r>
      <w:r w:rsidR="00D81AA1" w:rsidRPr="00FE50A6">
        <w:rPr>
          <w:szCs w:val="20"/>
          <w:lang w:val="en-US"/>
        </w:rPr>
        <w:t>.</w:t>
      </w:r>
    </w:p>
    <w:p w14:paraId="128AF8C2" w14:textId="77777777" w:rsidR="00D81AA1" w:rsidRPr="00FE50A6" w:rsidRDefault="00D81AA1" w:rsidP="00D81AA1">
      <w:pPr>
        <w:pStyle w:val="Prrafodelista"/>
        <w:autoSpaceDE w:val="0"/>
        <w:autoSpaceDN w:val="0"/>
        <w:adjustRightInd w:val="0"/>
        <w:ind w:left="0"/>
        <w:jc w:val="center"/>
        <w:rPr>
          <w:rFonts w:cs="Arial"/>
          <w:b/>
          <w:iCs/>
          <w:szCs w:val="20"/>
          <w:lang w:val="en-US"/>
        </w:rPr>
      </w:pPr>
    </w:p>
    <w:p w14:paraId="7875E298" w14:textId="77777777" w:rsidR="00D81AA1" w:rsidRPr="00FE50A6" w:rsidRDefault="00A47A97" w:rsidP="00A47A97">
      <w:pPr>
        <w:pStyle w:val="Ttulo3"/>
        <w:rPr>
          <w:iCs/>
          <w:lang w:val="en-US"/>
        </w:rPr>
      </w:pPr>
      <w:bookmarkStart w:id="350" w:name="_Toc464813979"/>
      <w:r w:rsidRPr="00FE50A6">
        <w:rPr>
          <w:noProof/>
          <w:lang w:val="en-US"/>
        </w:rPr>
        <w:t>B.4</w:t>
      </w:r>
      <w:r w:rsidR="00DC2886" w:rsidRPr="00FE50A6">
        <w:rPr>
          <w:noProof/>
          <w:lang w:val="en-US"/>
        </w:rPr>
        <w:t>.</w:t>
      </w:r>
      <w:r w:rsidRPr="00FE50A6">
        <w:rPr>
          <w:noProof/>
          <w:lang w:val="en-US"/>
        </w:rPr>
        <w:t xml:space="preserve"> </w:t>
      </w:r>
      <w:r w:rsidR="00871B48" w:rsidRPr="00FE50A6">
        <w:rPr>
          <w:noProof/>
          <w:lang w:val="en-US"/>
        </w:rPr>
        <w:t xml:space="preserve">The investigations </w:t>
      </w:r>
      <w:r w:rsidR="00CD0E29" w:rsidRPr="00FE50A6">
        <w:rPr>
          <w:noProof/>
          <w:lang w:val="en-US"/>
        </w:rPr>
        <w:t>in</w:t>
      </w:r>
      <w:r w:rsidR="00871B48" w:rsidRPr="00FE50A6">
        <w:rPr>
          <w:noProof/>
          <w:lang w:val="en-US"/>
        </w:rPr>
        <w:t>to the alleged disappearance of</w:t>
      </w:r>
      <w:r w:rsidR="00D81AA1" w:rsidRPr="00FE50A6">
        <w:rPr>
          <w:noProof/>
          <w:lang w:val="en-US"/>
        </w:rPr>
        <w:t xml:space="preserve"> </w:t>
      </w:r>
      <w:r w:rsidR="008B075C" w:rsidRPr="00FE50A6">
        <w:rPr>
          <w:noProof/>
          <w:lang w:val="en-US"/>
        </w:rPr>
        <w:t xml:space="preserve">Iron Canuto </w:t>
      </w:r>
      <w:r w:rsidR="00D81AA1" w:rsidRPr="00FE50A6">
        <w:rPr>
          <w:noProof/>
          <w:lang w:val="en-US"/>
        </w:rPr>
        <w:t>da Silva</w:t>
      </w:r>
      <w:r w:rsidR="00030C17" w:rsidRPr="00FE50A6">
        <w:rPr>
          <w:noProof/>
          <w:lang w:val="en-US"/>
        </w:rPr>
        <w:t xml:space="preserve"> and </w:t>
      </w:r>
      <w:r w:rsidR="004F6F03" w:rsidRPr="00FE50A6">
        <w:rPr>
          <w:noProof/>
          <w:lang w:val="en-US"/>
        </w:rPr>
        <w:t xml:space="preserve">Luis Ferreira </w:t>
      </w:r>
      <w:r w:rsidR="00D81AA1" w:rsidRPr="00FE50A6">
        <w:rPr>
          <w:noProof/>
          <w:lang w:val="en-US"/>
        </w:rPr>
        <w:t>da Cruz</w:t>
      </w:r>
      <w:bookmarkEnd w:id="350"/>
    </w:p>
    <w:p w14:paraId="5D82E34B" w14:textId="77777777" w:rsidR="00D81AA1" w:rsidRPr="00FE50A6" w:rsidRDefault="00D81AA1" w:rsidP="00D81AA1">
      <w:pPr>
        <w:pStyle w:val="Prrafodelista"/>
        <w:autoSpaceDE w:val="0"/>
        <w:autoSpaceDN w:val="0"/>
        <w:adjustRightInd w:val="0"/>
        <w:rPr>
          <w:rFonts w:cs="Arial"/>
          <w:bCs/>
          <w:i/>
          <w:iCs/>
          <w:szCs w:val="20"/>
          <w:lang w:val="en-US"/>
        </w:rPr>
      </w:pPr>
    </w:p>
    <w:p w14:paraId="01569AAD" w14:textId="77777777" w:rsidR="00D81AA1" w:rsidRPr="00FE50A6" w:rsidRDefault="000228D0" w:rsidP="00D81AA1">
      <w:pPr>
        <w:pStyle w:val="Prrafodelista"/>
        <w:numPr>
          <w:ilvl w:val="0"/>
          <w:numId w:val="1"/>
        </w:numPr>
        <w:tabs>
          <w:tab w:val="right" w:pos="0"/>
        </w:tabs>
        <w:contextualSpacing w:val="0"/>
        <w:rPr>
          <w:rFonts w:cs="Arial"/>
          <w:iCs/>
          <w:szCs w:val="20"/>
          <w:lang w:val="en-US"/>
        </w:rPr>
      </w:pPr>
      <w:r w:rsidRPr="00FE50A6">
        <w:rPr>
          <w:rFonts w:cs="Arial"/>
          <w:iCs/>
          <w:szCs w:val="20"/>
          <w:lang w:val="en-US"/>
        </w:rPr>
        <w:t>The Court</w:t>
      </w:r>
      <w:r w:rsidR="00D81AA1" w:rsidRPr="00FE50A6">
        <w:rPr>
          <w:rFonts w:cs="Arial"/>
          <w:iCs/>
          <w:szCs w:val="20"/>
          <w:lang w:val="en-US"/>
        </w:rPr>
        <w:t xml:space="preserve"> </w:t>
      </w:r>
      <w:r w:rsidR="00871B48" w:rsidRPr="00FE50A6">
        <w:rPr>
          <w:rFonts w:cs="Arial"/>
          <w:iCs/>
          <w:szCs w:val="20"/>
          <w:lang w:val="en-US"/>
        </w:rPr>
        <w:t xml:space="preserve">notes that, in this case, it has not been alleged that the State violated its obligation to respect the rights to </w:t>
      </w:r>
      <w:r w:rsidR="00BC6362" w:rsidRPr="00FE50A6">
        <w:rPr>
          <w:rFonts w:cs="Arial"/>
          <w:iCs/>
          <w:szCs w:val="20"/>
          <w:lang w:val="en-US"/>
        </w:rPr>
        <w:t>personal liberty</w:t>
      </w:r>
      <w:r w:rsidR="00D81AA1" w:rsidRPr="00FE50A6">
        <w:rPr>
          <w:rFonts w:cs="Arial"/>
          <w:iCs/>
          <w:szCs w:val="20"/>
          <w:lang w:val="en-US"/>
        </w:rPr>
        <w:t xml:space="preserve">, </w:t>
      </w:r>
      <w:r w:rsidR="00D11A9F" w:rsidRPr="00FE50A6">
        <w:rPr>
          <w:rFonts w:cs="Arial"/>
          <w:iCs/>
          <w:szCs w:val="20"/>
          <w:lang w:val="en-US"/>
        </w:rPr>
        <w:t>personal integrity</w:t>
      </w:r>
      <w:r w:rsidR="00D81AA1" w:rsidRPr="00FE50A6">
        <w:rPr>
          <w:rFonts w:cs="Arial"/>
          <w:iCs/>
          <w:szCs w:val="20"/>
          <w:lang w:val="en-US"/>
        </w:rPr>
        <w:t xml:space="preserve">, </w:t>
      </w:r>
      <w:r w:rsidR="00871B48" w:rsidRPr="00FE50A6">
        <w:rPr>
          <w:rFonts w:cs="Arial"/>
          <w:iCs/>
          <w:szCs w:val="20"/>
          <w:lang w:val="en-US"/>
        </w:rPr>
        <w:t>life</w:t>
      </w:r>
      <w:r w:rsidR="00D81AA1" w:rsidRPr="00FE50A6">
        <w:rPr>
          <w:rFonts w:cs="Arial"/>
          <w:iCs/>
          <w:szCs w:val="20"/>
          <w:lang w:val="en-US"/>
        </w:rPr>
        <w:t>, reco</w:t>
      </w:r>
      <w:r w:rsidR="00871B48" w:rsidRPr="00FE50A6">
        <w:rPr>
          <w:rFonts w:cs="Arial"/>
          <w:iCs/>
          <w:szCs w:val="20"/>
          <w:lang w:val="en-US"/>
        </w:rPr>
        <w:t xml:space="preserve">gnition of </w:t>
      </w:r>
      <w:r w:rsidR="00D11A9F" w:rsidRPr="00FE50A6">
        <w:rPr>
          <w:rFonts w:cs="Arial"/>
          <w:iCs/>
          <w:szCs w:val="20"/>
          <w:lang w:val="en-US"/>
        </w:rPr>
        <w:t>juridical personality</w:t>
      </w:r>
      <w:r w:rsidR="00030C17" w:rsidRPr="00FE50A6">
        <w:rPr>
          <w:rFonts w:cs="Arial"/>
          <w:iCs/>
          <w:szCs w:val="20"/>
          <w:lang w:val="en-US"/>
        </w:rPr>
        <w:t xml:space="preserve"> and </w:t>
      </w:r>
      <w:r w:rsidR="00AE2C60" w:rsidRPr="00FE50A6">
        <w:rPr>
          <w:rFonts w:cs="Arial"/>
          <w:iCs/>
          <w:szCs w:val="20"/>
          <w:lang w:val="en-US"/>
        </w:rPr>
        <w:t>the rights of the child</w:t>
      </w:r>
      <w:r w:rsidR="00D81AA1" w:rsidRPr="00FE50A6">
        <w:rPr>
          <w:rFonts w:cs="Arial"/>
          <w:iCs/>
          <w:szCs w:val="20"/>
          <w:lang w:val="en-US"/>
        </w:rPr>
        <w:t xml:space="preserve"> </w:t>
      </w:r>
      <w:r w:rsidR="00871B48" w:rsidRPr="00FE50A6">
        <w:rPr>
          <w:rFonts w:cs="Arial"/>
          <w:iCs/>
          <w:szCs w:val="20"/>
          <w:lang w:val="en-US"/>
        </w:rPr>
        <w:t>of</w:t>
      </w:r>
      <w:r w:rsidR="00D81AA1" w:rsidRPr="00FE50A6">
        <w:rPr>
          <w:rFonts w:cs="Arial"/>
          <w:iCs/>
          <w:szCs w:val="20"/>
          <w:lang w:val="en-US"/>
        </w:rPr>
        <w:t xml:space="preserve"> Iron Canuto da Silva</w:t>
      </w:r>
      <w:r w:rsidR="00030C17" w:rsidRPr="00FE50A6">
        <w:rPr>
          <w:rFonts w:cs="Arial"/>
          <w:iCs/>
          <w:szCs w:val="20"/>
          <w:lang w:val="en-US"/>
        </w:rPr>
        <w:t xml:space="preserve"> and </w:t>
      </w:r>
      <w:r w:rsidR="00D81AA1" w:rsidRPr="00FE50A6">
        <w:rPr>
          <w:rFonts w:cs="Arial"/>
          <w:iCs/>
          <w:szCs w:val="20"/>
          <w:lang w:val="en-US"/>
        </w:rPr>
        <w:t xml:space="preserve">Luis Ferreira da Cruz. </w:t>
      </w:r>
      <w:r w:rsidR="00871B48" w:rsidRPr="00FE50A6">
        <w:rPr>
          <w:rFonts w:cs="Arial"/>
          <w:iCs/>
          <w:szCs w:val="20"/>
          <w:lang w:val="en-US"/>
        </w:rPr>
        <w:t>The dispute has been submitted only with regard to the alleged failure of the State to comply with its obligation to ensure these rights by an investigation. Therefore, the Court will now analyze the effectiveness of the investigations</w:t>
      </w:r>
      <w:r w:rsidR="00D81AA1" w:rsidRPr="00FE50A6">
        <w:rPr>
          <w:rFonts w:cs="Arial"/>
          <w:iCs/>
          <w:szCs w:val="20"/>
          <w:lang w:val="en-US"/>
        </w:rPr>
        <w:t>.</w:t>
      </w:r>
    </w:p>
    <w:p w14:paraId="72789DEF" w14:textId="77777777" w:rsidR="00D81AA1" w:rsidRPr="00FE50A6" w:rsidRDefault="00D81AA1" w:rsidP="00D81AA1">
      <w:pPr>
        <w:pStyle w:val="Prrafodelista"/>
        <w:tabs>
          <w:tab w:val="left" w:pos="360"/>
        </w:tabs>
        <w:autoSpaceDE w:val="0"/>
        <w:autoSpaceDN w:val="0"/>
        <w:adjustRightInd w:val="0"/>
        <w:ind w:left="360"/>
        <w:rPr>
          <w:rFonts w:cs="Arial"/>
          <w:bCs/>
          <w:iCs/>
          <w:szCs w:val="20"/>
          <w:lang w:val="en-US"/>
        </w:rPr>
      </w:pPr>
    </w:p>
    <w:p w14:paraId="184FD7C8" w14:textId="77777777" w:rsidR="00D81AA1" w:rsidRPr="00FE50A6" w:rsidRDefault="00A47A97" w:rsidP="00A47A97">
      <w:pPr>
        <w:pStyle w:val="Ttulo4"/>
        <w:rPr>
          <w:b/>
          <w:lang w:val="en-US"/>
        </w:rPr>
      </w:pPr>
      <w:bookmarkStart w:id="351" w:name="_Toc460433055"/>
      <w:bookmarkStart w:id="352" w:name="_Toc460441986"/>
      <w:bookmarkStart w:id="353" w:name="_Toc462751128"/>
      <w:bookmarkStart w:id="354" w:name="_Toc464813980"/>
      <w:r w:rsidRPr="00FE50A6">
        <w:rPr>
          <w:lang w:val="en-US"/>
        </w:rPr>
        <w:t xml:space="preserve">B.4.1 </w:t>
      </w:r>
      <w:r w:rsidR="009C27BB" w:rsidRPr="00FE50A6">
        <w:rPr>
          <w:lang w:val="en-US"/>
        </w:rPr>
        <w:t>Arguments of the parties</w:t>
      </w:r>
      <w:bookmarkEnd w:id="351"/>
      <w:bookmarkEnd w:id="352"/>
      <w:bookmarkEnd w:id="353"/>
      <w:bookmarkEnd w:id="354"/>
      <w:r w:rsidR="00030C17" w:rsidRPr="00FE50A6">
        <w:rPr>
          <w:lang w:val="en-US"/>
        </w:rPr>
        <w:t xml:space="preserve"> and </w:t>
      </w:r>
      <w:r w:rsidR="000228D0" w:rsidRPr="00FE50A6">
        <w:rPr>
          <w:lang w:val="en-US"/>
        </w:rPr>
        <w:t>of the Commission</w:t>
      </w:r>
    </w:p>
    <w:p w14:paraId="4A15DFB5" w14:textId="77777777" w:rsidR="00D81AA1" w:rsidRPr="00FE50A6" w:rsidRDefault="00D81AA1" w:rsidP="00C9493B">
      <w:pPr>
        <w:pStyle w:val="Prrafodelista"/>
        <w:rPr>
          <w:rFonts w:cs="Arial"/>
          <w:iCs/>
          <w:szCs w:val="20"/>
          <w:lang w:val="en-US"/>
        </w:rPr>
      </w:pPr>
    </w:p>
    <w:p w14:paraId="44340A9B" w14:textId="77777777" w:rsidR="00D81AA1" w:rsidRPr="00FE50A6" w:rsidRDefault="000228D0" w:rsidP="007A61B7">
      <w:pPr>
        <w:pStyle w:val="Prrafodelista"/>
        <w:numPr>
          <w:ilvl w:val="0"/>
          <w:numId w:val="1"/>
        </w:numPr>
        <w:tabs>
          <w:tab w:val="right" w:pos="0"/>
        </w:tabs>
        <w:contextualSpacing w:val="0"/>
        <w:rPr>
          <w:rFonts w:cs="Arial"/>
          <w:i/>
          <w:iCs/>
          <w:szCs w:val="20"/>
          <w:lang w:val="en-US"/>
        </w:rPr>
      </w:pPr>
      <w:r w:rsidRPr="00FE50A6">
        <w:rPr>
          <w:rFonts w:cs="Arial"/>
          <w:iCs/>
          <w:szCs w:val="20"/>
          <w:lang w:val="en-US"/>
        </w:rPr>
        <w:t xml:space="preserve">The </w:t>
      </w:r>
      <w:r w:rsidRPr="00FE50A6">
        <w:rPr>
          <w:rFonts w:cs="Arial"/>
          <w:b/>
          <w:i/>
          <w:iCs/>
          <w:szCs w:val="20"/>
          <w:lang w:val="en-US"/>
        </w:rPr>
        <w:t>Commission</w:t>
      </w:r>
      <w:r w:rsidR="00D81AA1" w:rsidRPr="00FE50A6">
        <w:rPr>
          <w:rFonts w:cs="Arial"/>
          <w:iCs/>
          <w:szCs w:val="20"/>
          <w:lang w:val="en-US"/>
        </w:rPr>
        <w:t xml:space="preserve"> argu</w:t>
      </w:r>
      <w:r w:rsidR="007A61B7" w:rsidRPr="00FE50A6">
        <w:rPr>
          <w:rFonts w:cs="Arial"/>
          <w:iCs/>
          <w:szCs w:val="20"/>
          <w:lang w:val="en-US"/>
        </w:rPr>
        <w:t xml:space="preserve">ed that, in 1988, when </w:t>
      </w:r>
      <w:r w:rsidR="009911F2" w:rsidRPr="00FE50A6">
        <w:rPr>
          <w:rFonts w:cs="Arial"/>
          <w:iCs/>
          <w:szCs w:val="20"/>
          <w:lang w:val="en-US"/>
        </w:rPr>
        <w:t>the State authorities</w:t>
      </w:r>
      <w:r w:rsidR="007A61B7" w:rsidRPr="00FE50A6">
        <w:rPr>
          <w:rFonts w:cs="Arial"/>
          <w:iCs/>
          <w:szCs w:val="20"/>
          <w:lang w:val="en-US"/>
        </w:rPr>
        <w:t xml:space="preserve"> received the report of the disappearance of the adolescents, </w:t>
      </w:r>
      <w:r w:rsidR="00D81AA1" w:rsidRPr="00FE50A6">
        <w:rPr>
          <w:rFonts w:cs="Arial"/>
          <w:iCs/>
          <w:szCs w:val="20"/>
          <w:lang w:val="en-US"/>
        </w:rPr>
        <w:t xml:space="preserve">Iron Canuto da Silva, </w:t>
      </w:r>
      <w:r w:rsidR="007A61B7" w:rsidRPr="00FE50A6">
        <w:rPr>
          <w:rFonts w:cs="Arial"/>
          <w:iCs/>
          <w:szCs w:val="20"/>
          <w:lang w:val="en-US"/>
        </w:rPr>
        <w:t>aged</w:t>
      </w:r>
      <w:r w:rsidR="00D81AA1" w:rsidRPr="00FE50A6">
        <w:rPr>
          <w:rFonts w:cs="Arial"/>
          <w:iCs/>
          <w:szCs w:val="20"/>
          <w:lang w:val="en-US"/>
        </w:rPr>
        <w:t xml:space="preserve"> 17,</w:t>
      </w:r>
      <w:r w:rsidR="00030C17" w:rsidRPr="00FE50A6">
        <w:rPr>
          <w:rFonts w:cs="Arial"/>
          <w:iCs/>
          <w:szCs w:val="20"/>
          <w:lang w:val="en-US"/>
        </w:rPr>
        <w:t xml:space="preserve"> and </w:t>
      </w:r>
      <w:r w:rsidR="00D81AA1" w:rsidRPr="00FE50A6">
        <w:rPr>
          <w:rFonts w:cs="Arial"/>
          <w:iCs/>
          <w:szCs w:val="20"/>
          <w:lang w:val="en-US"/>
        </w:rPr>
        <w:t xml:space="preserve">Luis Ferreira da Cruz, </w:t>
      </w:r>
      <w:r w:rsidR="007A61B7" w:rsidRPr="00FE50A6">
        <w:rPr>
          <w:rFonts w:cs="Arial"/>
          <w:iCs/>
          <w:szCs w:val="20"/>
          <w:lang w:val="en-US"/>
        </w:rPr>
        <w:t>aged 16, the</w:t>
      </w:r>
      <w:r w:rsidR="009911F2" w:rsidRPr="00FE50A6">
        <w:rPr>
          <w:rFonts w:cs="Arial"/>
          <w:iCs/>
          <w:szCs w:val="20"/>
          <w:lang w:val="en-US"/>
        </w:rPr>
        <w:t xml:space="preserve">y </w:t>
      </w:r>
      <w:r w:rsidR="007A61B7" w:rsidRPr="00FE50A6">
        <w:rPr>
          <w:rFonts w:cs="Arial"/>
          <w:iCs/>
          <w:szCs w:val="20"/>
          <w:lang w:val="en-US"/>
        </w:rPr>
        <w:t>took two months before they visited</w:t>
      </w:r>
      <w:r w:rsidR="00D81AA1" w:rsidRPr="00FE50A6">
        <w:rPr>
          <w:rFonts w:cs="Arial"/>
          <w:iCs/>
          <w:szCs w:val="20"/>
          <w:lang w:val="en-US"/>
        </w:rPr>
        <w:t xml:space="preserve"> Hacienda </w:t>
      </w:r>
      <w:r w:rsidR="00322241" w:rsidRPr="00FE50A6">
        <w:rPr>
          <w:rFonts w:cs="Arial"/>
          <w:iCs/>
          <w:szCs w:val="20"/>
          <w:lang w:val="en-US"/>
        </w:rPr>
        <w:t>Brasil Verde</w:t>
      </w:r>
      <w:r w:rsidR="00D81AA1" w:rsidRPr="00FE50A6">
        <w:rPr>
          <w:rFonts w:cs="Arial"/>
          <w:iCs/>
          <w:szCs w:val="20"/>
          <w:lang w:val="en-US"/>
        </w:rPr>
        <w:t xml:space="preserve">, </w:t>
      </w:r>
      <w:r w:rsidR="007A61B7" w:rsidRPr="00FE50A6">
        <w:rPr>
          <w:rFonts w:cs="Arial"/>
          <w:iCs/>
          <w:szCs w:val="20"/>
          <w:lang w:val="en-US"/>
        </w:rPr>
        <w:t xml:space="preserve">where they were informed that the adolescents had fled to another hacienda in the area. The authorities did not take any step to confirm this situation or </w:t>
      </w:r>
      <w:r w:rsidR="009911F2" w:rsidRPr="00FE50A6">
        <w:rPr>
          <w:rFonts w:cs="Arial"/>
          <w:iCs/>
          <w:szCs w:val="20"/>
          <w:lang w:val="en-US"/>
        </w:rPr>
        <w:t xml:space="preserve">to </w:t>
      </w:r>
      <w:r w:rsidR="007A61B7" w:rsidRPr="00FE50A6">
        <w:rPr>
          <w:rFonts w:cs="Arial"/>
          <w:iCs/>
          <w:szCs w:val="20"/>
          <w:lang w:val="en-US"/>
        </w:rPr>
        <w:t xml:space="preserve">open an investigation in this regard. The Commission considered that the disappearance of the adolescents and their situation of vulnerability resulted in their exclusion from the State’s institutional and legal system, prevented them from filing any type of legal action </w:t>
      </w:r>
      <w:r w:rsidR="009911F2" w:rsidRPr="00FE50A6">
        <w:rPr>
          <w:rFonts w:cs="Arial"/>
          <w:iCs/>
          <w:szCs w:val="20"/>
          <w:lang w:val="en-US"/>
        </w:rPr>
        <w:t>regarding</w:t>
      </w:r>
      <w:r w:rsidR="007A61B7" w:rsidRPr="00FE50A6">
        <w:rPr>
          <w:rFonts w:cs="Arial"/>
          <w:iCs/>
          <w:szCs w:val="20"/>
          <w:lang w:val="en-US"/>
        </w:rPr>
        <w:t xml:space="preserve"> the exercise of their rights, and has maintained them outside the real world and the legal sphere. The Commission also indicated that the disappearance of</w:t>
      </w:r>
      <w:r w:rsidR="007A61B7" w:rsidRPr="00FE50A6">
        <w:rPr>
          <w:rFonts w:cs="Arial"/>
          <w:i/>
          <w:iCs/>
          <w:szCs w:val="20"/>
          <w:lang w:val="en-US"/>
        </w:rPr>
        <w:t xml:space="preserve"> </w:t>
      </w:r>
      <w:r w:rsidR="008B075C" w:rsidRPr="00FE50A6">
        <w:rPr>
          <w:rFonts w:cs="Arial"/>
          <w:iCs/>
          <w:szCs w:val="20"/>
          <w:lang w:val="en-US"/>
        </w:rPr>
        <w:t>Iron Canuto da Silva</w:t>
      </w:r>
      <w:r w:rsidR="00030C17" w:rsidRPr="00FE50A6">
        <w:rPr>
          <w:rFonts w:cs="Arial"/>
          <w:iCs/>
          <w:szCs w:val="20"/>
          <w:lang w:val="en-US"/>
        </w:rPr>
        <w:t xml:space="preserve"> and </w:t>
      </w:r>
      <w:r w:rsidR="00200C04" w:rsidRPr="00FE50A6">
        <w:rPr>
          <w:rFonts w:cs="Arial"/>
          <w:iCs/>
          <w:szCs w:val="20"/>
          <w:lang w:val="en-US"/>
        </w:rPr>
        <w:t>Luis Ferreira da Cruz</w:t>
      </w:r>
      <w:r w:rsidR="00D81AA1" w:rsidRPr="00FE50A6">
        <w:rPr>
          <w:rFonts w:cs="Arial"/>
          <w:iCs/>
          <w:szCs w:val="20"/>
          <w:lang w:val="en-US"/>
        </w:rPr>
        <w:t xml:space="preserve"> </w:t>
      </w:r>
      <w:r w:rsidR="007A61B7" w:rsidRPr="00FE50A6">
        <w:rPr>
          <w:rFonts w:cs="Arial"/>
          <w:iCs/>
          <w:szCs w:val="20"/>
          <w:lang w:val="en-US"/>
        </w:rPr>
        <w:t>was a clear example of structural discrimination because, despite the time that has passed since their disappearance, the State has failed to take any serious measure to investigate the facts and locate the young men</w:t>
      </w:r>
      <w:r w:rsidR="00D81AA1" w:rsidRPr="00FE50A6">
        <w:rPr>
          <w:rFonts w:cs="Arial"/>
          <w:iCs/>
          <w:szCs w:val="20"/>
          <w:lang w:val="en-US"/>
        </w:rPr>
        <w:t xml:space="preserve">. </w:t>
      </w:r>
      <w:r w:rsidR="007A61B7" w:rsidRPr="00FE50A6">
        <w:rPr>
          <w:rFonts w:cs="Arial"/>
          <w:iCs/>
          <w:szCs w:val="20"/>
          <w:lang w:val="en-US"/>
        </w:rPr>
        <w:t>Consequently,</w:t>
      </w:r>
      <w:r w:rsidR="00D81AA1" w:rsidRPr="00FE50A6">
        <w:rPr>
          <w:rFonts w:cs="Arial"/>
          <w:iCs/>
          <w:szCs w:val="20"/>
          <w:lang w:val="en-US"/>
        </w:rPr>
        <w:t xml:space="preserve"> </w:t>
      </w:r>
      <w:r w:rsidRPr="00FE50A6">
        <w:rPr>
          <w:rFonts w:cs="Arial"/>
          <w:iCs/>
          <w:szCs w:val="20"/>
          <w:lang w:val="en-US"/>
        </w:rPr>
        <w:t>the Commission</w:t>
      </w:r>
      <w:r w:rsidR="00D81AA1" w:rsidRPr="00FE50A6">
        <w:rPr>
          <w:rFonts w:cs="Arial"/>
          <w:iCs/>
          <w:szCs w:val="20"/>
          <w:lang w:val="en-US"/>
        </w:rPr>
        <w:t xml:space="preserve"> concl</w:t>
      </w:r>
      <w:r w:rsidR="007A61B7" w:rsidRPr="00FE50A6">
        <w:rPr>
          <w:rFonts w:cs="Arial"/>
          <w:iCs/>
          <w:szCs w:val="20"/>
          <w:lang w:val="en-US"/>
        </w:rPr>
        <w:t>uded</w:t>
      </w:r>
      <w:r w:rsidR="00D81AA1" w:rsidRPr="00FE50A6">
        <w:rPr>
          <w:rFonts w:cs="Arial"/>
          <w:iCs/>
          <w:szCs w:val="20"/>
          <w:lang w:val="en-US"/>
        </w:rPr>
        <w:t xml:space="preserve"> </w:t>
      </w:r>
      <w:r w:rsidR="007A61B7" w:rsidRPr="00FE50A6">
        <w:rPr>
          <w:rFonts w:cs="Arial"/>
          <w:iCs/>
          <w:szCs w:val="20"/>
          <w:lang w:val="en-US"/>
        </w:rPr>
        <w:t>that</w:t>
      </w:r>
      <w:r w:rsidR="00D81AA1" w:rsidRPr="00FE50A6">
        <w:rPr>
          <w:rFonts w:cs="Arial"/>
          <w:iCs/>
          <w:szCs w:val="20"/>
          <w:lang w:val="en-US"/>
        </w:rPr>
        <w:t xml:space="preserve"> </w:t>
      </w:r>
      <w:r w:rsidR="008B075C" w:rsidRPr="00FE50A6">
        <w:rPr>
          <w:rFonts w:cs="Arial"/>
          <w:iCs/>
          <w:szCs w:val="20"/>
          <w:lang w:val="en-US"/>
        </w:rPr>
        <w:t>Iron Canuto da Silva</w:t>
      </w:r>
      <w:r w:rsidR="00030C17" w:rsidRPr="00FE50A6">
        <w:rPr>
          <w:rFonts w:cs="Arial"/>
          <w:iCs/>
          <w:szCs w:val="20"/>
          <w:lang w:val="en-US"/>
        </w:rPr>
        <w:t xml:space="preserve"> and </w:t>
      </w:r>
      <w:r w:rsidR="00200C04" w:rsidRPr="00FE50A6">
        <w:rPr>
          <w:rFonts w:cs="Arial"/>
          <w:iCs/>
          <w:szCs w:val="20"/>
          <w:lang w:val="en-US"/>
        </w:rPr>
        <w:t>Luis Ferreira da Cruz</w:t>
      </w:r>
      <w:r w:rsidR="00D81AA1" w:rsidRPr="00FE50A6">
        <w:rPr>
          <w:rFonts w:cs="Arial"/>
          <w:iCs/>
          <w:szCs w:val="20"/>
          <w:lang w:val="en-US"/>
        </w:rPr>
        <w:t xml:space="preserve"> </w:t>
      </w:r>
      <w:r w:rsidR="007A61B7" w:rsidRPr="00FE50A6">
        <w:rPr>
          <w:rFonts w:cs="Arial"/>
          <w:iCs/>
          <w:szCs w:val="20"/>
          <w:lang w:val="en-US"/>
        </w:rPr>
        <w:t>were victims</w:t>
      </w:r>
      <w:r w:rsidR="00703850" w:rsidRPr="00FE50A6">
        <w:rPr>
          <w:rFonts w:cs="Arial"/>
          <w:iCs/>
          <w:szCs w:val="20"/>
          <w:lang w:val="en-US"/>
        </w:rPr>
        <w:t xml:space="preserve"> of the violation</w:t>
      </w:r>
      <w:r w:rsidR="00030C17" w:rsidRPr="00FE50A6">
        <w:rPr>
          <w:rFonts w:cs="Arial"/>
          <w:iCs/>
          <w:szCs w:val="20"/>
          <w:lang w:val="en-US"/>
        </w:rPr>
        <w:t xml:space="preserve"> of</w:t>
      </w:r>
      <w:r w:rsidR="00D81AA1" w:rsidRPr="00FE50A6">
        <w:rPr>
          <w:rFonts w:cs="Arial"/>
          <w:iCs/>
          <w:szCs w:val="20"/>
          <w:lang w:val="en-US"/>
        </w:rPr>
        <w:t xml:space="preserve"> </w:t>
      </w:r>
      <w:r w:rsidRPr="00FE50A6">
        <w:rPr>
          <w:rFonts w:cs="Arial"/>
          <w:iCs/>
          <w:szCs w:val="20"/>
          <w:lang w:val="en-US"/>
        </w:rPr>
        <w:t>Articles</w:t>
      </w:r>
      <w:r w:rsidR="00D81AA1" w:rsidRPr="00FE50A6">
        <w:rPr>
          <w:rFonts w:cs="Arial"/>
          <w:iCs/>
          <w:szCs w:val="20"/>
          <w:lang w:val="en-US"/>
        </w:rPr>
        <w:t xml:space="preserve"> 7, 5, 4, 3</w:t>
      </w:r>
      <w:r w:rsidR="00030C17" w:rsidRPr="00FE50A6">
        <w:rPr>
          <w:rFonts w:cs="Arial"/>
          <w:iCs/>
          <w:szCs w:val="20"/>
          <w:lang w:val="en-US"/>
        </w:rPr>
        <w:t xml:space="preserve"> and </w:t>
      </w:r>
      <w:r w:rsidR="00D81AA1" w:rsidRPr="00FE50A6">
        <w:rPr>
          <w:rFonts w:cs="Arial"/>
          <w:iCs/>
          <w:szCs w:val="20"/>
          <w:lang w:val="en-US"/>
        </w:rPr>
        <w:t>19</w:t>
      </w:r>
      <w:r w:rsidRPr="00FE50A6">
        <w:rPr>
          <w:rFonts w:cs="Arial"/>
          <w:iCs/>
          <w:szCs w:val="20"/>
          <w:lang w:val="en-US"/>
        </w:rPr>
        <w:t xml:space="preserve"> of the American Convention</w:t>
      </w:r>
      <w:r w:rsidR="00D81AA1" w:rsidRPr="00FE50A6">
        <w:rPr>
          <w:rFonts w:cs="Arial"/>
          <w:iCs/>
          <w:szCs w:val="20"/>
          <w:lang w:val="en-US"/>
        </w:rPr>
        <w:t xml:space="preserve">, </w:t>
      </w:r>
      <w:r w:rsidR="007A61B7" w:rsidRPr="00FE50A6">
        <w:rPr>
          <w:rFonts w:cs="Arial"/>
          <w:iCs/>
          <w:szCs w:val="20"/>
          <w:lang w:val="en-US"/>
        </w:rPr>
        <w:t>in relation to</w:t>
      </w:r>
      <w:r w:rsidR="00D81AA1" w:rsidRPr="00FE50A6">
        <w:rPr>
          <w:rFonts w:cs="Arial"/>
          <w:iCs/>
          <w:szCs w:val="20"/>
          <w:lang w:val="en-US"/>
        </w:rPr>
        <w:t xml:space="preserve"> </w:t>
      </w:r>
      <w:r w:rsidRPr="00FE50A6">
        <w:rPr>
          <w:rFonts w:cs="Arial"/>
          <w:iCs/>
          <w:szCs w:val="20"/>
          <w:lang w:val="en-US"/>
        </w:rPr>
        <w:t>Articles</w:t>
      </w:r>
      <w:r w:rsidR="00D81AA1" w:rsidRPr="00FE50A6">
        <w:rPr>
          <w:rFonts w:cs="Arial"/>
          <w:iCs/>
          <w:szCs w:val="20"/>
          <w:lang w:val="en-US"/>
        </w:rPr>
        <w:t xml:space="preserve"> 8, 25</w:t>
      </w:r>
      <w:r w:rsidR="00030C17" w:rsidRPr="00FE50A6">
        <w:rPr>
          <w:rFonts w:cs="Arial"/>
          <w:iCs/>
          <w:szCs w:val="20"/>
          <w:lang w:val="en-US"/>
        </w:rPr>
        <w:t xml:space="preserve"> and </w:t>
      </w:r>
      <w:r w:rsidR="00D81AA1" w:rsidRPr="00FE50A6">
        <w:rPr>
          <w:rFonts w:cs="Arial"/>
          <w:iCs/>
          <w:szCs w:val="20"/>
          <w:lang w:val="en-US"/>
        </w:rPr>
        <w:t>1</w:t>
      </w:r>
      <w:r w:rsidR="007A61B7" w:rsidRPr="00FE50A6">
        <w:rPr>
          <w:rFonts w:cs="Arial"/>
          <w:iCs/>
          <w:szCs w:val="20"/>
          <w:lang w:val="en-US"/>
        </w:rPr>
        <w:t>(1)</w:t>
      </w:r>
      <w:r w:rsidR="00D81AA1" w:rsidRPr="00FE50A6">
        <w:rPr>
          <w:rFonts w:cs="Arial"/>
          <w:iCs/>
          <w:szCs w:val="20"/>
          <w:lang w:val="en-US"/>
        </w:rPr>
        <w:t xml:space="preserve"> </w:t>
      </w:r>
      <w:r w:rsidR="00D11A9F" w:rsidRPr="00FE50A6">
        <w:rPr>
          <w:rFonts w:cs="Arial"/>
          <w:iCs/>
          <w:szCs w:val="20"/>
          <w:lang w:val="en-US"/>
        </w:rPr>
        <w:t>of this instrument</w:t>
      </w:r>
      <w:r w:rsidR="00D81AA1" w:rsidRPr="00FE50A6">
        <w:rPr>
          <w:rFonts w:cs="Arial"/>
          <w:iCs/>
          <w:szCs w:val="20"/>
          <w:lang w:val="en-US"/>
        </w:rPr>
        <w:t>.</w:t>
      </w:r>
    </w:p>
    <w:p w14:paraId="1B87ACB6" w14:textId="77777777" w:rsidR="00D81AA1" w:rsidRPr="00FE50A6" w:rsidRDefault="00D81AA1" w:rsidP="00D81AA1">
      <w:pPr>
        <w:pStyle w:val="Prrafodelista"/>
        <w:tabs>
          <w:tab w:val="right" w:pos="0"/>
        </w:tabs>
        <w:ind w:left="0"/>
        <w:contextualSpacing w:val="0"/>
        <w:rPr>
          <w:rFonts w:cs="Arial"/>
          <w:i/>
          <w:iCs/>
          <w:szCs w:val="20"/>
          <w:lang w:val="en-US"/>
        </w:rPr>
      </w:pPr>
      <w:r w:rsidRPr="00FE50A6">
        <w:rPr>
          <w:rFonts w:cs="Arial"/>
          <w:iCs/>
          <w:szCs w:val="20"/>
          <w:lang w:val="en-US"/>
        </w:rPr>
        <w:t xml:space="preserve"> </w:t>
      </w:r>
    </w:p>
    <w:p w14:paraId="3EF971C6" w14:textId="77777777" w:rsidR="00D81AA1" w:rsidRPr="00FE50A6" w:rsidRDefault="00700B79" w:rsidP="002E2F09">
      <w:pPr>
        <w:pStyle w:val="Prrafodelista"/>
        <w:numPr>
          <w:ilvl w:val="0"/>
          <w:numId w:val="1"/>
        </w:numPr>
        <w:tabs>
          <w:tab w:val="right" w:pos="0"/>
        </w:tabs>
        <w:contextualSpacing w:val="0"/>
        <w:rPr>
          <w:rFonts w:cs="Arial"/>
          <w:iCs/>
          <w:szCs w:val="20"/>
          <w:lang w:val="en-US"/>
        </w:rPr>
      </w:pPr>
      <w:r w:rsidRPr="00FE50A6">
        <w:rPr>
          <w:rFonts w:cs="Arial"/>
          <w:iCs/>
          <w:szCs w:val="20"/>
          <w:lang w:val="en-US"/>
        </w:rPr>
        <w:t xml:space="preserve">The </w:t>
      </w:r>
      <w:proofErr w:type="gramStart"/>
      <w:r w:rsidRPr="00FE50A6">
        <w:rPr>
          <w:rFonts w:cs="Arial"/>
          <w:b/>
          <w:i/>
          <w:iCs/>
          <w:szCs w:val="20"/>
          <w:lang w:val="en-US"/>
        </w:rPr>
        <w:t>representatives</w:t>
      </w:r>
      <w:r w:rsidR="00D81AA1" w:rsidRPr="00FE50A6">
        <w:rPr>
          <w:rFonts w:cs="Arial"/>
          <w:iCs/>
          <w:szCs w:val="20"/>
          <w:lang w:val="en-US"/>
        </w:rPr>
        <w:t xml:space="preserve">  argu</w:t>
      </w:r>
      <w:r w:rsidR="007A61B7" w:rsidRPr="00FE50A6">
        <w:rPr>
          <w:rFonts w:cs="Arial"/>
          <w:iCs/>
          <w:szCs w:val="20"/>
          <w:lang w:val="en-US"/>
        </w:rPr>
        <w:t>ed</w:t>
      </w:r>
      <w:proofErr w:type="gramEnd"/>
      <w:r w:rsidR="007A61B7" w:rsidRPr="00FE50A6">
        <w:rPr>
          <w:rFonts w:cs="Arial"/>
          <w:iCs/>
          <w:szCs w:val="20"/>
          <w:lang w:val="en-US"/>
        </w:rPr>
        <w:t xml:space="preserve"> that, </w:t>
      </w:r>
      <w:r w:rsidR="002E2F09" w:rsidRPr="00FE50A6">
        <w:rPr>
          <w:rFonts w:cs="Arial"/>
          <w:iCs/>
          <w:szCs w:val="20"/>
          <w:lang w:val="en-US"/>
        </w:rPr>
        <w:t xml:space="preserve">owing to the complaint filed by the next of kin of </w:t>
      </w:r>
      <w:r w:rsidR="00D81AA1" w:rsidRPr="00FE50A6">
        <w:rPr>
          <w:rFonts w:cs="Arial"/>
          <w:iCs/>
          <w:szCs w:val="20"/>
          <w:lang w:val="en-US"/>
        </w:rPr>
        <w:t>Luis Ferreira da Cruz</w:t>
      </w:r>
      <w:r w:rsidR="009C27BB" w:rsidRPr="00FE50A6">
        <w:rPr>
          <w:rFonts w:cs="Arial"/>
          <w:iCs/>
          <w:szCs w:val="20"/>
          <w:lang w:val="en-US"/>
        </w:rPr>
        <w:t xml:space="preserve"> and Iron</w:t>
      </w:r>
      <w:r w:rsidR="00D81AA1" w:rsidRPr="00FE50A6">
        <w:rPr>
          <w:rFonts w:cs="Arial"/>
          <w:iCs/>
          <w:szCs w:val="20"/>
          <w:lang w:val="en-US"/>
        </w:rPr>
        <w:t xml:space="preserve"> Canuto da Silva</w:t>
      </w:r>
      <w:r w:rsidR="002E2F09" w:rsidRPr="00FE50A6">
        <w:rPr>
          <w:rFonts w:cs="Arial"/>
          <w:iCs/>
          <w:szCs w:val="20"/>
          <w:lang w:val="en-US"/>
        </w:rPr>
        <w:t>,</w:t>
      </w:r>
      <w:r w:rsidR="00D81AA1" w:rsidRPr="00FE50A6">
        <w:rPr>
          <w:rFonts w:cs="Arial"/>
          <w:iCs/>
          <w:szCs w:val="20"/>
          <w:lang w:val="en-US"/>
        </w:rPr>
        <w:t xml:space="preserve"> </w:t>
      </w:r>
      <w:r w:rsidR="000228D0" w:rsidRPr="00FE50A6">
        <w:rPr>
          <w:rFonts w:cs="Arial"/>
          <w:iCs/>
          <w:szCs w:val="20"/>
          <w:lang w:val="en-US"/>
        </w:rPr>
        <w:t>the State</w:t>
      </w:r>
      <w:r w:rsidR="00D81AA1" w:rsidRPr="00FE50A6">
        <w:rPr>
          <w:rFonts w:cs="Arial"/>
          <w:iCs/>
          <w:szCs w:val="20"/>
          <w:lang w:val="en-US"/>
        </w:rPr>
        <w:t xml:space="preserve"> </w:t>
      </w:r>
      <w:r w:rsidR="002E2F09" w:rsidRPr="00FE50A6">
        <w:rPr>
          <w:rFonts w:cs="Arial"/>
          <w:iCs/>
          <w:szCs w:val="20"/>
          <w:lang w:val="en-US"/>
        </w:rPr>
        <w:t>was directly and promptly aware of the</w:t>
      </w:r>
      <w:r w:rsidR="009911F2" w:rsidRPr="00FE50A6">
        <w:rPr>
          <w:rFonts w:cs="Arial"/>
          <w:iCs/>
          <w:szCs w:val="20"/>
          <w:lang w:val="en-US"/>
        </w:rPr>
        <w:t>ir</w:t>
      </w:r>
      <w:r w:rsidR="002E2F09" w:rsidRPr="00FE50A6">
        <w:rPr>
          <w:rFonts w:cs="Arial"/>
          <w:iCs/>
          <w:szCs w:val="20"/>
          <w:lang w:val="en-US"/>
        </w:rPr>
        <w:t xml:space="preserve"> disappe</w:t>
      </w:r>
      <w:r w:rsidR="009911F2" w:rsidRPr="00FE50A6">
        <w:rPr>
          <w:rFonts w:cs="Arial"/>
          <w:iCs/>
          <w:szCs w:val="20"/>
          <w:lang w:val="en-US"/>
        </w:rPr>
        <w:t>a</w:t>
      </w:r>
      <w:r w:rsidR="002E2F09" w:rsidRPr="00FE50A6">
        <w:rPr>
          <w:rFonts w:cs="Arial"/>
          <w:iCs/>
          <w:szCs w:val="20"/>
          <w:lang w:val="en-US"/>
        </w:rPr>
        <w:t xml:space="preserve">rance. However, </w:t>
      </w:r>
      <w:r w:rsidR="009911F2" w:rsidRPr="00FE50A6">
        <w:rPr>
          <w:rFonts w:cs="Arial"/>
          <w:iCs/>
          <w:szCs w:val="20"/>
          <w:lang w:val="en-US"/>
        </w:rPr>
        <w:t>igno</w:t>
      </w:r>
      <w:r w:rsidR="002E2F09" w:rsidRPr="00FE50A6">
        <w:rPr>
          <w:rFonts w:cs="Arial"/>
          <w:iCs/>
          <w:szCs w:val="20"/>
          <w:lang w:val="en-US"/>
        </w:rPr>
        <w:t xml:space="preserve">ring the special measures of protection that should be observed with regard to minors, the State authorities did not act immediately; rather, it was only two months after the complaint that the Federal Police visited the site of the facts and proceeded to interview some people, who indicated that </w:t>
      </w:r>
      <w:r w:rsidR="00200C04" w:rsidRPr="00FE50A6">
        <w:rPr>
          <w:rFonts w:cs="Arial"/>
          <w:iCs/>
          <w:szCs w:val="20"/>
          <w:lang w:val="en-US"/>
        </w:rPr>
        <w:t>Luis Ferreira da Cruz</w:t>
      </w:r>
      <w:r w:rsidR="009C27BB" w:rsidRPr="00FE50A6">
        <w:rPr>
          <w:rFonts w:cs="Arial"/>
          <w:iCs/>
          <w:szCs w:val="20"/>
          <w:lang w:val="en-US"/>
        </w:rPr>
        <w:t xml:space="preserve"> and Iron</w:t>
      </w:r>
      <w:r w:rsidR="008B075C" w:rsidRPr="00FE50A6">
        <w:rPr>
          <w:rFonts w:cs="Arial"/>
          <w:iCs/>
          <w:szCs w:val="20"/>
          <w:lang w:val="en-US"/>
        </w:rPr>
        <w:t xml:space="preserve"> Canuto da Silva</w:t>
      </w:r>
      <w:r w:rsidR="00D81AA1" w:rsidRPr="00FE50A6">
        <w:rPr>
          <w:rFonts w:cs="Arial"/>
          <w:iCs/>
          <w:szCs w:val="20"/>
          <w:lang w:val="en-US"/>
        </w:rPr>
        <w:t xml:space="preserve"> ha</w:t>
      </w:r>
      <w:r w:rsidR="002E2F09" w:rsidRPr="00FE50A6">
        <w:rPr>
          <w:rFonts w:cs="Arial"/>
          <w:iCs/>
          <w:szCs w:val="20"/>
          <w:lang w:val="en-US"/>
        </w:rPr>
        <w:t xml:space="preserve">d fled to another </w:t>
      </w:r>
      <w:r w:rsidR="00D81AA1" w:rsidRPr="00FE50A6">
        <w:rPr>
          <w:rFonts w:cs="Arial"/>
          <w:iCs/>
          <w:szCs w:val="20"/>
          <w:lang w:val="en-US"/>
        </w:rPr>
        <w:t xml:space="preserve">hacienda. </w:t>
      </w:r>
      <w:r w:rsidR="00445155" w:rsidRPr="00FE50A6">
        <w:rPr>
          <w:rFonts w:cs="Arial"/>
          <w:iCs/>
          <w:szCs w:val="20"/>
          <w:lang w:val="en-US"/>
        </w:rPr>
        <w:t>The Federal</w:t>
      </w:r>
      <w:r w:rsidR="008B0077" w:rsidRPr="00FE50A6">
        <w:rPr>
          <w:rFonts w:cs="Arial"/>
          <w:iCs/>
          <w:szCs w:val="20"/>
          <w:lang w:val="en-US"/>
        </w:rPr>
        <w:t xml:space="preserve"> Police</w:t>
      </w:r>
      <w:r w:rsidR="00D81AA1" w:rsidRPr="00FE50A6">
        <w:rPr>
          <w:rFonts w:cs="Arial"/>
          <w:iCs/>
          <w:szCs w:val="20"/>
          <w:lang w:val="en-US"/>
        </w:rPr>
        <w:t xml:space="preserve"> </w:t>
      </w:r>
      <w:r w:rsidR="002E2F09" w:rsidRPr="00FE50A6">
        <w:rPr>
          <w:rFonts w:cs="Arial"/>
          <w:iCs/>
          <w:szCs w:val="20"/>
          <w:lang w:val="en-US"/>
        </w:rPr>
        <w:t xml:space="preserve">did not verify this fact or open an investigation of any kind. The representatives also asserted that, although the State obtained information on the whereabouts and decease of </w:t>
      </w:r>
      <w:r w:rsidR="008B075C" w:rsidRPr="00FE50A6">
        <w:rPr>
          <w:rFonts w:cs="Arial"/>
          <w:iCs/>
          <w:szCs w:val="20"/>
          <w:lang w:val="en-US"/>
        </w:rPr>
        <w:t>Iron Canuto da Silva</w:t>
      </w:r>
      <w:r w:rsidR="00D81AA1" w:rsidRPr="00FE50A6">
        <w:rPr>
          <w:rFonts w:cs="Arial"/>
          <w:iCs/>
          <w:szCs w:val="20"/>
          <w:lang w:val="en-US"/>
        </w:rPr>
        <w:t xml:space="preserve"> </w:t>
      </w:r>
      <w:r w:rsidR="002E2F09" w:rsidRPr="00FE50A6">
        <w:rPr>
          <w:rFonts w:cs="Arial"/>
          <w:iCs/>
          <w:szCs w:val="20"/>
          <w:lang w:val="en-US"/>
        </w:rPr>
        <w:t>i</w:t>
      </w:r>
      <w:r w:rsidR="00D81AA1" w:rsidRPr="00FE50A6">
        <w:rPr>
          <w:rFonts w:cs="Arial"/>
          <w:iCs/>
          <w:szCs w:val="20"/>
          <w:lang w:val="en-US"/>
        </w:rPr>
        <w:t xml:space="preserve">n 2007, </w:t>
      </w:r>
      <w:r w:rsidR="002E2F09" w:rsidRPr="00FE50A6">
        <w:rPr>
          <w:rFonts w:cs="Arial"/>
          <w:iCs/>
          <w:szCs w:val="20"/>
          <w:lang w:val="en-US"/>
        </w:rPr>
        <w:t xml:space="preserve">this was not the case of </w:t>
      </w:r>
      <w:r w:rsidR="00200C04" w:rsidRPr="00FE50A6">
        <w:rPr>
          <w:rFonts w:cs="Arial"/>
          <w:iCs/>
          <w:szCs w:val="20"/>
          <w:lang w:val="en-US"/>
        </w:rPr>
        <w:t>Luis Ferreira da Cruz</w:t>
      </w:r>
      <w:r w:rsidR="00D81AA1" w:rsidRPr="00FE50A6">
        <w:rPr>
          <w:rFonts w:cs="Arial"/>
          <w:iCs/>
          <w:szCs w:val="20"/>
          <w:lang w:val="en-US"/>
        </w:rPr>
        <w:t xml:space="preserve">, </w:t>
      </w:r>
      <w:r w:rsidR="002E2F09" w:rsidRPr="00FE50A6">
        <w:rPr>
          <w:rFonts w:cs="Arial"/>
          <w:iCs/>
          <w:szCs w:val="20"/>
          <w:lang w:val="en-US"/>
        </w:rPr>
        <w:t>who remain</w:t>
      </w:r>
      <w:r w:rsidR="009911F2" w:rsidRPr="00FE50A6">
        <w:rPr>
          <w:rFonts w:cs="Arial"/>
          <w:iCs/>
          <w:szCs w:val="20"/>
          <w:lang w:val="en-US"/>
        </w:rPr>
        <w:t>ed</w:t>
      </w:r>
      <w:r w:rsidR="002E2F09" w:rsidRPr="00FE50A6">
        <w:rPr>
          <w:rFonts w:cs="Arial"/>
          <w:iCs/>
          <w:szCs w:val="20"/>
          <w:lang w:val="en-US"/>
        </w:rPr>
        <w:t xml:space="preserve"> disappeared to this day. Therefore, </w:t>
      </w:r>
      <w:r w:rsidRPr="00FE50A6">
        <w:rPr>
          <w:rFonts w:cs="Arial"/>
          <w:iCs/>
          <w:szCs w:val="20"/>
          <w:lang w:val="en-US"/>
        </w:rPr>
        <w:t>the representatives</w:t>
      </w:r>
      <w:r w:rsidR="00D81AA1" w:rsidRPr="00FE50A6">
        <w:rPr>
          <w:rFonts w:cs="Arial"/>
          <w:iCs/>
          <w:szCs w:val="20"/>
          <w:lang w:val="en-US"/>
        </w:rPr>
        <w:t xml:space="preserve"> conclu</w:t>
      </w:r>
      <w:r w:rsidR="002E2F09" w:rsidRPr="00FE50A6">
        <w:rPr>
          <w:rFonts w:cs="Arial"/>
          <w:iCs/>
          <w:szCs w:val="20"/>
          <w:lang w:val="en-US"/>
        </w:rPr>
        <w:t xml:space="preserve">ded that 28 years after the report of the disappearance of the adolescent </w:t>
      </w:r>
      <w:r w:rsidR="00200C04" w:rsidRPr="00FE50A6">
        <w:rPr>
          <w:rFonts w:cs="Arial"/>
          <w:iCs/>
          <w:szCs w:val="20"/>
          <w:lang w:val="en-US"/>
        </w:rPr>
        <w:t>Luis Ferreira da Cruz</w:t>
      </w:r>
      <w:r w:rsidR="00D81AA1" w:rsidRPr="00FE50A6">
        <w:rPr>
          <w:rFonts w:cs="Arial"/>
          <w:iCs/>
          <w:szCs w:val="20"/>
          <w:lang w:val="en-US"/>
        </w:rPr>
        <w:t xml:space="preserve">, </w:t>
      </w:r>
      <w:r w:rsidR="000228D0" w:rsidRPr="00FE50A6">
        <w:rPr>
          <w:rFonts w:cs="Arial"/>
          <w:iCs/>
          <w:szCs w:val="20"/>
          <w:lang w:val="en-US"/>
        </w:rPr>
        <w:t>the State</w:t>
      </w:r>
      <w:r w:rsidR="00D81AA1" w:rsidRPr="00FE50A6">
        <w:rPr>
          <w:rFonts w:cs="Arial"/>
          <w:iCs/>
          <w:szCs w:val="20"/>
          <w:lang w:val="en-US"/>
        </w:rPr>
        <w:t xml:space="preserve"> </w:t>
      </w:r>
      <w:r w:rsidR="002E2F09" w:rsidRPr="00FE50A6">
        <w:rPr>
          <w:rFonts w:cs="Arial"/>
          <w:iCs/>
          <w:szCs w:val="20"/>
          <w:lang w:val="en-US"/>
        </w:rPr>
        <w:t xml:space="preserve">was internationally responsible for violating its obligation to ensure his rights to </w:t>
      </w:r>
      <w:r w:rsidR="00D11A9F" w:rsidRPr="00FE50A6">
        <w:rPr>
          <w:rFonts w:cs="Arial"/>
          <w:iCs/>
          <w:szCs w:val="20"/>
          <w:lang w:val="en-US"/>
        </w:rPr>
        <w:t>juridical personality</w:t>
      </w:r>
      <w:r w:rsidR="00D81AA1" w:rsidRPr="00FE50A6">
        <w:rPr>
          <w:rFonts w:cs="Arial"/>
          <w:iCs/>
          <w:szCs w:val="20"/>
          <w:lang w:val="en-US"/>
        </w:rPr>
        <w:t xml:space="preserve">, </w:t>
      </w:r>
      <w:r w:rsidR="002E2F09" w:rsidRPr="00FE50A6">
        <w:rPr>
          <w:rFonts w:cs="Arial"/>
          <w:iCs/>
          <w:szCs w:val="20"/>
          <w:lang w:val="en-US"/>
        </w:rPr>
        <w:t>life</w:t>
      </w:r>
      <w:r w:rsidR="00D81AA1" w:rsidRPr="00FE50A6">
        <w:rPr>
          <w:rFonts w:cs="Arial"/>
          <w:iCs/>
          <w:szCs w:val="20"/>
          <w:lang w:val="en-US"/>
        </w:rPr>
        <w:t xml:space="preserve">, </w:t>
      </w:r>
      <w:r w:rsidR="002E2F09" w:rsidRPr="00FE50A6">
        <w:rPr>
          <w:rFonts w:cs="Arial"/>
          <w:iCs/>
          <w:szCs w:val="20"/>
          <w:lang w:val="en-US"/>
        </w:rPr>
        <w:t xml:space="preserve">and </w:t>
      </w:r>
      <w:r w:rsidR="00BC6362" w:rsidRPr="00FE50A6">
        <w:rPr>
          <w:rFonts w:cs="Arial"/>
          <w:iCs/>
          <w:szCs w:val="20"/>
          <w:lang w:val="en-US"/>
        </w:rPr>
        <w:t>personal</w:t>
      </w:r>
      <w:r w:rsidR="002E2F09" w:rsidRPr="00FE50A6">
        <w:rPr>
          <w:rFonts w:cs="Arial"/>
          <w:iCs/>
          <w:szCs w:val="20"/>
          <w:lang w:val="en-US"/>
        </w:rPr>
        <w:t xml:space="preserve"> integrity and</w:t>
      </w:r>
      <w:r w:rsidR="00BC6362" w:rsidRPr="00FE50A6">
        <w:rPr>
          <w:rFonts w:cs="Arial"/>
          <w:iCs/>
          <w:szCs w:val="20"/>
          <w:lang w:val="en-US"/>
        </w:rPr>
        <w:t xml:space="preserve"> liberty</w:t>
      </w:r>
      <w:r w:rsidR="00D81AA1" w:rsidRPr="00FE50A6">
        <w:rPr>
          <w:rFonts w:cs="Arial"/>
          <w:iCs/>
          <w:szCs w:val="20"/>
          <w:lang w:val="en-US"/>
        </w:rPr>
        <w:t xml:space="preserve"> </w:t>
      </w:r>
      <w:r w:rsidR="002E2F09" w:rsidRPr="00FE50A6">
        <w:rPr>
          <w:rFonts w:cs="Arial"/>
          <w:iCs/>
          <w:szCs w:val="20"/>
          <w:lang w:val="en-US"/>
        </w:rPr>
        <w:t>owing to the failure to investigate the facts surrounding his disappearance. In addition</w:t>
      </w:r>
      <w:r w:rsidR="00D81AA1" w:rsidRPr="00FE50A6">
        <w:rPr>
          <w:rFonts w:cs="Arial"/>
          <w:iCs/>
          <w:szCs w:val="20"/>
          <w:lang w:val="en-US"/>
        </w:rPr>
        <w:t xml:space="preserve">, </w:t>
      </w:r>
      <w:r w:rsidRPr="00FE50A6">
        <w:rPr>
          <w:rFonts w:cs="Arial"/>
          <w:iCs/>
          <w:szCs w:val="20"/>
          <w:lang w:val="en-US"/>
        </w:rPr>
        <w:t>the representatives</w:t>
      </w:r>
      <w:r w:rsidR="00D81AA1" w:rsidRPr="00FE50A6">
        <w:rPr>
          <w:rFonts w:cs="Arial"/>
          <w:iCs/>
          <w:szCs w:val="20"/>
          <w:lang w:val="en-US"/>
        </w:rPr>
        <w:t xml:space="preserve"> argu</w:t>
      </w:r>
      <w:r w:rsidR="002E2F09" w:rsidRPr="00FE50A6">
        <w:rPr>
          <w:rFonts w:cs="Arial"/>
          <w:iCs/>
          <w:szCs w:val="20"/>
          <w:lang w:val="en-US"/>
        </w:rPr>
        <w:t>ed that the State’s failure to carry out a seri</w:t>
      </w:r>
      <w:r w:rsidR="009911F2" w:rsidRPr="00FE50A6">
        <w:rPr>
          <w:rFonts w:cs="Arial"/>
          <w:iCs/>
          <w:szCs w:val="20"/>
          <w:lang w:val="en-US"/>
        </w:rPr>
        <w:t>o</w:t>
      </w:r>
      <w:r w:rsidR="002E2F09" w:rsidRPr="00FE50A6">
        <w:rPr>
          <w:rFonts w:cs="Arial"/>
          <w:iCs/>
          <w:szCs w:val="20"/>
          <w:lang w:val="en-US"/>
        </w:rPr>
        <w:t xml:space="preserve">us and diligent search for </w:t>
      </w:r>
      <w:r w:rsidR="00200C04" w:rsidRPr="00FE50A6">
        <w:rPr>
          <w:rFonts w:cs="Arial"/>
          <w:iCs/>
          <w:szCs w:val="20"/>
          <w:lang w:val="en-US"/>
        </w:rPr>
        <w:t>Luis Ferreira da Cruz</w:t>
      </w:r>
      <w:r w:rsidR="00D81AA1" w:rsidRPr="00FE50A6">
        <w:rPr>
          <w:rFonts w:cs="Arial"/>
          <w:iCs/>
          <w:szCs w:val="20"/>
          <w:lang w:val="en-US"/>
        </w:rPr>
        <w:t xml:space="preserve">, </w:t>
      </w:r>
      <w:r w:rsidR="002E2F09" w:rsidRPr="00FE50A6">
        <w:rPr>
          <w:rFonts w:cs="Arial"/>
          <w:iCs/>
          <w:szCs w:val="20"/>
          <w:lang w:val="en-US"/>
        </w:rPr>
        <w:t xml:space="preserve">the re-victimization by the State in the proceedings before </w:t>
      </w:r>
      <w:r w:rsidR="000228D0" w:rsidRPr="00FE50A6">
        <w:rPr>
          <w:rFonts w:cs="Arial"/>
          <w:iCs/>
          <w:szCs w:val="20"/>
          <w:lang w:val="en-US"/>
        </w:rPr>
        <w:t>the Inter-American Commission</w:t>
      </w:r>
      <w:r w:rsidR="00D81AA1" w:rsidRPr="00FE50A6">
        <w:rPr>
          <w:rFonts w:cs="Arial"/>
          <w:iCs/>
          <w:szCs w:val="20"/>
          <w:lang w:val="en-US"/>
        </w:rPr>
        <w:t xml:space="preserve">, </w:t>
      </w:r>
      <w:r w:rsidR="002E2F09" w:rsidRPr="00FE50A6">
        <w:rPr>
          <w:rFonts w:cs="Arial"/>
          <w:iCs/>
          <w:szCs w:val="20"/>
          <w:lang w:val="en-US"/>
        </w:rPr>
        <w:t xml:space="preserve">the suffering and anguish caused </w:t>
      </w:r>
      <w:r w:rsidR="009911F2" w:rsidRPr="00FE50A6">
        <w:rPr>
          <w:rFonts w:cs="Arial"/>
          <w:iCs/>
          <w:szCs w:val="20"/>
          <w:lang w:val="en-US"/>
        </w:rPr>
        <w:t>by</w:t>
      </w:r>
      <w:r w:rsidR="002E2F09" w:rsidRPr="00FE50A6">
        <w:rPr>
          <w:rFonts w:cs="Arial"/>
          <w:iCs/>
          <w:szCs w:val="20"/>
          <w:lang w:val="en-US"/>
        </w:rPr>
        <w:t xml:space="preserve"> knowing the circumstances of </w:t>
      </w:r>
      <w:r w:rsidR="009911F2" w:rsidRPr="00FE50A6">
        <w:rPr>
          <w:rFonts w:cs="Arial"/>
          <w:iCs/>
          <w:szCs w:val="20"/>
          <w:lang w:val="en-US"/>
        </w:rPr>
        <w:t>his</w:t>
      </w:r>
      <w:r w:rsidR="002E2F09" w:rsidRPr="00FE50A6">
        <w:rPr>
          <w:rFonts w:cs="Arial"/>
          <w:iCs/>
          <w:szCs w:val="20"/>
          <w:lang w:val="en-US"/>
        </w:rPr>
        <w:t xml:space="preserve"> disappearance, as well as the fact that he was subjected to </w:t>
      </w:r>
      <w:r w:rsidR="00D81AA1" w:rsidRPr="00FE50A6">
        <w:rPr>
          <w:rFonts w:cs="Arial"/>
          <w:iCs/>
          <w:szCs w:val="20"/>
          <w:lang w:val="en-US"/>
        </w:rPr>
        <w:t xml:space="preserve">a </w:t>
      </w:r>
      <w:r w:rsidR="00EE52F3" w:rsidRPr="00FE50A6">
        <w:rPr>
          <w:rFonts w:cs="Arial"/>
          <w:iCs/>
          <w:szCs w:val="20"/>
          <w:lang w:val="en-US"/>
        </w:rPr>
        <w:t>contemporary form of</w:t>
      </w:r>
      <w:r w:rsidR="00D81AA1" w:rsidRPr="00FE50A6">
        <w:rPr>
          <w:rFonts w:cs="Arial"/>
          <w:iCs/>
          <w:szCs w:val="20"/>
          <w:lang w:val="en-US"/>
        </w:rPr>
        <w:t xml:space="preserve"> </w:t>
      </w:r>
      <w:r w:rsidR="00D11A9F" w:rsidRPr="00FE50A6">
        <w:rPr>
          <w:rFonts w:cs="Arial"/>
          <w:iCs/>
          <w:szCs w:val="20"/>
          <w:lang w:val="en-US"/>
        </w:rPr>
        <w:t>slavery</w:t>
      </w:r>
      <w:r w:rsidR="00D81AA1" w:rsidRPr="00FE50A6">
        <w:rPr>
          <w:rFonts w:cs="Arial"/>
          <w:iCs/>
          <w:szCs w:val="20"/>
          <w:lang w:val="en-US"/>
        </w:rPr>
        <w:t xml:space="preserve">, </w:t>
      </w:r>
      <w:r w:rsidR="002E2F09" w:rsidRPr="00FE50A6">
        <w:rPr>
          <w:rFonts w:cs="Arial"/>
          <w:iCs/>
          <w:szCs w:val="20"/>
          <w:lang w:val="en-US"/>
        </w:rPr>
        <w:t>also resulted in</w:t>
      </w:r>
      <w:r w:rsidR="00D81AA1" w:rsidRPr="00FE50A6">
        <w:rPr>
          <w:rFonts w:cs="Arial"/>
          <w:iCs/>
          <w:szCs w:val="20"/>
          <w:lang w:val="en-US"/>
        </w:rPr>
        <w:t xml:space="preserve"> </w:t>
      </w:r>
      <w:r w:rsidRPr="00FE50A6">
        <w:rPr>
          <w:rFonts w:cs="Arial"/>
          <w:iCs/>
          <w:szCs w:val="20"/>
          <w:lang w:val="en-US"/>
        </w:rPr>
        <w:t>the violation</w:t>
      </w:r>
      <w:r w:rsidR="00D81AA1" w:rsidRPr="00FE50A6">
        <w:rPr>
          <w:rFonts w:cs="Arial"/>
          <w:iCs/>
          <w:szCs w:val="20"/>
          <w:lang w:val="en-US"/>
        </w:rPr>
        <w:t xml:space="preserve"> </w:t>
      </w:r>
      <w:r w:rsidR="002E2F09" w:rsidRPr="00FE50A6">
        <w:rPr>
          <w:rFonts w:cs="Arial"/>
          <w:iCs/>
          <w:szCs w:val="20"/>
          <w:lang w:val="en-US"/>
        </w:rPr>
        <w:t>of the right to</w:t>
      </w:r>
      <w:r w:rsidR="00D81AA1" w:rsidRPr="00FE50A6">
        <w:rPr>
          <w:rFonts w:cs="Arial"/>
          <w:iCs/>
          <w:szCs w:val="20"/>
          <w:lang w:val="en-US"/>
        </w:rPr>
        <w:t xml:space="preserve"> </w:t>
      </w:r>
      <w:r w:rsidR="00D11A9F" w:rsidRPr="00FE50A6">
        <w:rPr>
          <w:rFonts w:cs="Arial"/>
          <w:iCs/>
          <w:szCs w:val="20"/>
          <w:lang w:val="en-US"/>
        </w:rPr>
        <w:t>personal integrity</w:t>
      </w:r>
      <w:r w:rsidR="00D81AA1" w:rsidRPr="00FE50A6">
        <w:rPr>
          <w:rFonts w:cs="Arial"/>
          <w:iCs/>
          <w:szCs w:val="20"/>
          <w:lang w:val="en-US"/>
        </w:rPr>
        <w:t xml:space="preserve"> </w:t>
      </w:r>
      <w:r w:rsidR="002E2F09" w:rsidRPr="00FE50A6">
        <w:rPr>
          <w:rFonts w:cs="Arial"/>
          <w:iCs/>
          <w:szCs w:val="20"/>
          <w:lang w:val="en-US"/>
        </w:rPr>
        <w:t>of his family members</w:t>
      </w:r>
      <w:r w:rsidR="00D81AA1" w:rsidRPr="00FE50A6">
        <w:rPr>
          <w:rFonts w:cs="Arial"/>
          <w:iCs/>
          <w:szCs w:val="20"/>
          <w:lang w:val="en-US"/>
        </w:rPr>
        <w:t xml:space="preserve">. </w:t>
      </w:r>
    </w:p>
    <w:p w14:paraId="028E807E" w14:textId="77777777" w:rsidR="00D81AA1" w:rsidRPr="00FE50A6" w:rsidRDefault="00D81AA1" w:rsidP="00D81AA1">
      <w:pPr>
        <w:pStyle w:val="Prrafodelista"/>
        <w:tabs>
          <w:tab w:val="right" w:pos="0"/>
        </w:tabs>
        <w:autoSpaceDE w:val="0"/>
        <w:autoSpaceDN w:val="0"/>
        <w:adjustRightInd w:val="0"/>
        <w:ind w:left="0"/>
        <w:contextualSpacing w:val="0"/>
        <w:rPr>
          <w:rFonts w:cs="Arial"/>
          <w:iCs/>
          <w:szCs w:val="20"/>
          <w:lang w:val="en-US"/>
        </w:rPr>
      </w:pPr>
    </w:p>
    <w:p w14:paraId="2FE400CC" w14:textId="77777777" w:rsidR="00D81AA1" w:rsidRPr="00FE50A6" w:rsidRDefault="000228D0" w:rsidP="00D81AA1">
      <w:pPr>
        <w:pStyle w:val="Prrafodelista"/>
        <w:numPr>
          <w:ilvl w:val="0"/>
          <w:numId w:val="1"/>
        </w:numPr>
        <w:tabs>
          <w:tab w:val="right" w:pos="0"/>
        </w:tabs>
        <w:contextualSpacing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D81AA1" w:rsidRPr="00FE50A6">
        <w:rPr>
          <w:rFonts w:cs="Arial"/>
          <w:iCs/>
          <w:szCs w:val="20"/>
          <w:lang w:val="en-US"/>
        </w:rPr>
        <w:t xml:space="preserve"> argu</w:t>
      </w:r>
      <w:r w:rsidR="006174BF" w:rsidRPr="00FE50A6">
        <w:rPr>
          <w:rFonts w:cs="Arial"/>
          <w:iCs/>
          <w:szCs w:val="20"/>
          <w:lang w:val="en-US"/>
        </w:rPr>
        <w:t xml:space="preserve">ed that </w:t>
      </w:r>
      <w:r w:rsidR="00D81AA1" w:rsidRPr="00FE50A6">
        <w:rPr>
          <w:rFonts w:cs="Arial"/>
          <w:iCs/>
          <w:szCs w:val="20"/>
          <w:lang w:val="en-US"/>
        </w:rPr>
        <w:t>Luis Ferreira da Cruz</w:t>
      </w:r>
      <w:r w:rsidR="009C27BB" w:rsidRPr="00FE50A6">
        <w:rPr>
          <w:rFonts w:cs="Arial"/>
          <w:iCs/>
          <w:szCs w:val="20"/>
          <w:lang w:val="en-US"/>
        </w:rPr>
        <w:t xml:space="preserve"> and Iron</w:t>
      </w:r>
      <w:r w:rsidR="00D81AA1" w:rsidRPr="00FE50A6">
        <w:rPr>
          <w:rFonts w:cs="Arial"/>
          <w:iCs/>
          <w:szCs w:val="20"/>
          <w:lang w:val="en-US"/>
        </w:rPr>
        <w:t xml:space="preserve"> Canuto da Silva </w:t>
      </w:r>
      <w:r w:rsidR="006174BF" w:rsidRPr="00FE50A6">
        <w:rPr>
          <w:rFonts w:cs="Arial"/>
          <w:iCs/>
          <w:szCs w:val="20"/>
          <w:lang w:val="en-US"/>
        </w:rPr>
        <w:t xml:space="preserve">were not victims of forced disappearance or any other human rights violation at the time of their flight from </w:t>
      </w:r>
      <w:r w:rsidR="00D81AA1" w:rsidRPr="00FE50A6">
        <w:rPr>
          <w:rFonts w:cs="Arial"/>
          <w:iCs/>
          <w:szCs w:val="20"/>
          <w:lang w:val="en-US"/>
        </w:rPr>
        <w:t xml:space="preserve">Hacienda </w:t>
      </w:r>
      <w:r w:rsidR="00322241" w:rsidRPr="00FE50A6">
        <w:rPr>
          <w:rFonts w:cs="Arial"/>
          <w:iCs/>
          <w:szCs w:val="20"/>
          <w:lang w:val="en-US"/>
        </w:rPr>
        <w:t>Brasil Verde</w:t>
      </w:r>
      <w:r w:rsidR="00D81AA1" w:rsidRPr="00FE50A6">
        <w:rPr>
          <w:rFonts w:cs="Arial"/>
          <w:iCs/>
          <w:szCs w:val="20"/>
          <w:lang w:val="en-US"/>
        </w:rPr>
        <w:t xml:space="preserve">. </w:t>
      </w:r>
      <w:r w:rsidR="006174BF" w:rsidRPr="00FE50A6">
        <w:rPr>
          <w:rFonts w:cs="Arial"/>
          <w:iCs/>
          <w:szCs w:val="20"/>
          <w:lang w:val="en-US"/>
        </w:rPr>
        <w:t>In this regard</w:t>
      </w:r>
      <w:r w:rsidR="00D81AA1" w:rsidRPr="00FE50A6">
        <w:rPr>
          <w:rFonts w:cs="Arial"/>
          <w:iCs/>
          <w:szCs w:val="20"/>
          <w:lang w:val="en-US"/>
        </w:rPr>
        <w:t xml:space="preserve">, </w:t>
      </w:r>
      <w:r w:rsidRPr="00FE50A6">
        <w:rPr>
          <w:rFonts w:cs="Arial"/>
          <w:iCs/>
          <w:szCs w:val="20"/>
          <w:lang w:val="en-US"/>
        </w:rPr>
        <w:t>the State</w:t>
      </w:r>
      <w:r w:rsidR="00D81AA1" w:rsidRPr="00FE50A6">
        <w:rPr>
          <w:rFonts w:cs="Arial"/>
          <w:iCs/>
          <w:szCs w:val="20"/>
          <w:lang w:val="en-US"/>
        </w:rPr>
        <w:t xml:space="preserve"> </w:t>
      </w:r>
      <w:r w:rsidR="006174BF" w:rsidRPr="00FE50A6">
        <w:rPr>
          <w:rFonts w:cs="Arial"/>
          <w:iCs/>
          <w:szCs w:val="20"/>
          <w:lang w:val="en-US"/>
        </w:rPr>
        <w:t xml:space="preserve">provided as evidence the death certificate of </w:t>
      </w:r>
      <w:r w:rsidR="008B075C" w:rsidRPr="00FE50A6">
        <w:rPr>
          <w:rFonts w:cs="Arial"/>
          <w:iCs/>
          <w:szCs w:val="20"/>
          <w:lang w:val="en-US"/>
        </w:rPr>
        <w:t>Iron Canuto da Silva</w:t>
      </w:r>
      <w:r w:rsidR="00D81AA1" w:rsidRPr="00FE50A6">
        <w:rPr>
          <w:rFonts w:cs="Arial"/>
          <w:iCs/>
          <w:szCs w:val="20"/>
          <w:lang w:val="en-US"/>
        </w:rPr>
        <w:t xml:space="preserve"> </w:t>
      </w:r>
      <w:r w:rsidR="006174BF" w:rsidRPr="00FE50A6">
        <w:rPr>
          <w:rFonts w:cs="Arial"/>
          <w:iCs/>
          <w:szCs w:val="20"/>
          <w:lang w:val="en-US"/>
        </w:rPr>
        <w:t>which showed that he died on July</w:t>
      </w:r>
      <w:r w:rsidR="009911F2" w:rsidRPr="00FE50A6">
        <w:rPr>
          <w:rFonts w:cs="Arial"/>
          <w:iCs/>
          <w:szCs w:val="20"/>
          <w:lang w:val="en-US"/>
        </w:rPr>
        <w:t xml:space="preserve"> </w:t>
      </w:r>
      <w:r w:rsidR="006174BF" w:rsidRPr="00FE50A6">
        <w:rPr>
          <w:rFonts w:cs="Arial"/>
          <w:iCs/>
          <w:szCs w:val="20"/>
          <w:lang w:val="en-US"/>
        </w:rPr>
        <w:t>22, 2007. The State also advised that, on August 4, 2015,</w:t>
      </w:r>
      <w:r w:rsidR="00D81AA1" w:rsidRPr="00FE50A6">
        <w:rPr>
          <w:rFonts w:cs="Arial"/>
          <w:iCs/>
          <w:szCs w:val="20"/>
          <w:lang w:val="en-US"/>
        </w:rPr>
        <w:t xml:space="preserve"> Maria </w:t>
      </w:r>
      <w:r w:rsidR="00C1157B" w:rsidRPr="00FE50A6">
        <w:rPr>
          <w:rFonts w:cs="Arial"/>
          <w:iCs/>
          <w:szCs w:val="20"/>
          <w:lang w:val="en-US"/>
        </w:rPr>
        <w:t xml:space="preserve">do </w:t>
      </w:r>
      <w:r w:rsidR="00D81AA1" w:rsidRPr="00FE50A6">
        <w:rPr>
          <w:rFonts w:cs="Arial"/>
          <w:iCs/>
          <w:szCs w:val="20"/>
          <w:lang w:val="en-US"/>
        </w:rPr>
        <w:t>Socorro Canuto</w:t>
      </w:r>
      <w:r w:rsidR="00030C17" w:rsidRPr="00FE50A6">
        <w:rPr>
          <w:rFonts w:cs="Arial"/>
          <w:iCs/>
          <w:szCs w:val="20"/>
          <w:lang w:val="en-US"/>
        </w:rPr>
        <w:t xml:space="preserve"> and </w:t>
      </w:r>
      <w:r w:rsidR="00D81AA1" w:rsidRPr="00FE50A6">
        <w:rPr>
          <w:rFonts w:cs="Arial"/>
          <w:iCs/>
          <w:szCs w:val="20"/>
          <w:lang w:val="en-US"/>
        </w:rPr>
        <w:t xml:space="preserve">María Gorete, </w:t>
      </w:r>
      <w:r w:rsidR="006174BF" w:rsidRPr="00FE50A6">
        <w:rPr>
          <w:rFonts w:cs="Arial"/>
          <w:iCs/>
          <w:szCs w:val="20"/>
          <w:lang w:val="en-US"/>
        </w:rPr>
        <w:t xml:space="preserve">foster mother and sister of </w:t>
      </w:r>
      <w:r w:rsidR="00200C04" w:rsidRPr="00FE50A6">
        <w:rPr>
          <w:rFonts w:cs="Arial"/>
          <w:iCs/>
          <w:szCs w:val="20"/>
          <w:lang w:val="en-US"/>
        </w:rPr>
        <w:t>Luis Ferreira da Cruz</w:t>
      </w:r>
      <w:r w:rsidR="00D81AA1" w:rsidRPr="00FE50A6">
        <w:rPr>
          <w:rFonts w:cs="Arial"/>
          <w:iCs/>
          <w:szCs w:val="20"/>
          <w:lang w:val="en-US"/>
        </w:rPr>
        <w:t>, respectiv</w:t>
      </w:r>
      <w:r w:rsidR="006174BF" w:rsidRPr="00FE50A6">
        <w:rPr>
          <w:rFonts w:cs="Arial"/>
          <w:iCs/>
          <w:szCs w:val="20"/>
          <w:lang w:val="en-US"/>
        </w:rPr>
        <w:t>ely</w:t>
      </w:r>
      <w:r w:rsidR="00D81AA1" w:rsidRPr="00FE50A6">
        <w:rPr>
          <w:rFonts w:cs="Arial"/>
          <w:iCs/>
          <w:szCs w:val="20"/>
          <w:lang w:val="en-US"/>
        </w:rPr>
        <w:t xml:space="preserve">, </w:t>
      </w:r>
      <w:r w:rsidR="006174BF" w:rsidRPr="00FE50A6">
        <w:rPr>
          <w:rFonts w:cs="Arial"/>
          <w:iCs/>
          <w:szCs w:val="20"/>
          <w:lang w:val="en-US"/>
        </w:rPr>
        <w:t xml:space="preserve">had </w:t>
      </w:r>
      <w:r w:rsidR="009911F2" w:rsidRPr="00FE50A6">
        <w:rPr>
          <w:rFonts w:cs="Arial"/>
          <w:iCs/>
          <w:szCs w:val="20"/>
          <w:lang w:val="en-US"/>
        </w:rPr>
        <w:t>informed</w:t>
      </w:r>
      <w:r w:rsidR="006174BF" w:rsidRPr="00FE50A6">
        <w:rPr>
          <w:rFonts w:cs="Arial"/>
          <w:iCs/>
          <w:szCs w:val="20"/>
          <w:lang w:val="en-US"/>
        </w:rPr>
        <w:t xml:space="preserve"> </w:t>
      </w:r>
      <w:r w:rsidR="00445155" w:rsidRPr="00FE50A6">
        <w:rPr>
          <w:rFonts w:cs="Arial"/>
          <w:iCs/>
          <w:szCs w:val="20"/>
          <w:lang w:val="en-US"/>
        </w:rPr>
        <w:t>the Federal</w:t>
      </w:r>
      <w:r w:rsidR="008B0077" w:rsidRPr="00FE50A6">
        <w:rPr>
          <w:rFonts w:cs="Arial"/>
          <w:iCs/>
          <w:szCs w:val="20"/>
          <w:lang w:val="en-US"/>
        </w:rPr>
        <w:t xml:space="preserve"> Police</w:t>
      </w:r>
      <w:r w:rsidR="00D81AA1" w:rsidRPr="00FE50A6">
        <w:rPr>
          <w:rFonts w:cs="Arial"/>
          <w:iCs/>
          <w:szCs w:val="20"/>
          <w:lang w:val="en-US"/>
        </w:rPr>
        <w:t xml:space="preserve"> </w:t>
      </w:r>
      <w:r w:rsidR="009911F2" w:rsidRPr="00FE50A6">
        <w:rPr>
          <w:rFonts w:cs="Arial"/>
          <w:iCs/>
          <w:szCs w:val="20"/>
          <w:lang w:val="en-US"/>
        </w:rPr>
        <w:t>by</w:t>
      </w:r>
      <w:r w:rsidR="006174BF" w:rsidRPr="00FE50A6">
        <w:rPr>
          <w:rFonts w:cs="Arial"/>
          <w:iCs/>
          <w:szCs w:val="20"/>
          <w:lang w:val="en-US"/>
        </w:rPr>
        <w:t xml:space="preserve"> telephone, that </w:t>
      </w:r>
      <w:r w:rsidR="00D81AA1" w:rsidRPr="00FE50A6">
        <w:rPr>
          <w:rFonts w:cs="Arial"/>
          <w:iCs/>
          <w:szCs w:val="20"/>
          <w:lang w:val="en-US"/>
        </w:rPr>
        <w:t>Luis</w:t>
      </w:r>
      <w:r w:rsidR="00D47846" w:rsidRPr="00FE50A6">
        <w:rPr>
          <w:rFonts w:cs="Arial"/>
          <w:iCs/>
          <w:szCs w:val="20"/>
          <w:lang w:val="en-US"/>
        </w:rPr>
        <w:t xml:space="preserve"> Ferreira da Cruz</w:t>
      </w:r>
      <w:r w:rsidR="00D81AA1" w:rsidRPr="00FE50A6">
        <w:rPr>
          <w:rFonts w:cs="Arial"/>
          <w:iCs/>
          <w:szCs w:val="20"/>
          <w:lang w:val="en-US"/>
        </w:rPr>
        <w:t xml:space="preserve"> </w:t>
      </w:r>
      <w:r w:rsidR="006174BF" w:rsidRPr="00FE50A6">
        <w:rPr>
          <w:rFonts w:cs="Arial"/>
          <w:iCs/>
          <w:szCs w:val="20"/>
          <w:lang w:val="en-US"/>
        </w:rPr>
        <w:t xml:space="preserve">had died in a confrontation with the Military Police in the </w:t>
      </w:r>
      <w:r w:rsidR="003E28A5" w:rsidRPr="00FE50A6">
        <w:rPr>
          <w:rFonts w:cs="Arial"/>
          <w:iCs/>
          <w:szCs w:val="20"/>
          <w:lang w:val="en-US"/>
        </w:rPr>
        <w:t>town of Xinguara</w:t>
      </w:r>
      <w:r w:rsidR="00D81AA1" w:rsidRPr="00FE50A6">
        <w:rPr>
          <w:rFonts w:cs="Arial"/>
          <w:iCs/>
          <w:szCs w:val="20"/>
          <w:lang w:val="en-US"/>
        </w:rPr>
        <w:t xml:space="preserve"> </w:t>
      </w:r>
      <w:r w:rsidR="006174BF" w:rsidRPr="00FE50A6">
        <w:rPr>
          <w:rFonts w:cs="Arial"/>
          <w:iCs/>
          <w:szCs w:val="20"/>
          <w:lang w:val="en-US"/>
        </w:rPr>
        <w:t>approximately 10 years previously.</w:t>
      </w:r>
      <w:r w:rsidR="00D81AA1" w:rsidRPr="00FE50A6">
        <w:rPr>
          <w:rFonts w:cs="Arial"/>
          <w:iCs/>
          <w:szCs w:val="20"/>
          <w:lang w:val="en-US"/>
        </w:rPr>
        <w:t xml:space="preserve"> </w:t>
      </w:r>
    </w:p>
    <w:p w14:paraId="58FF4D3B" w14:textId="77777777" w:rsidR="00D81AA1" w:rsidRPr="00FE50A6" w:rsidRDefault="00D81AA1" w:rsidP="00D81AA1">
      <w:pPr>
        <w:pStyle w:val="Prrafodelista"/>
        <w:tabs>
          <w:tab w:val="right" w:pos="0"/>
        </w:tabs>
        <w:autoSpaceDE w:val="0"/>
        <w:autoSpaceDN w:val="0"/>
        <w:adjustRightInd w:val="0"/>
        <w:ind w:left="0"/>
        <w:contextualSpacing w:val="0"/>
        <w:rPr>
          <w:rFonts w:cs="Arial"/>
          <w:iCs/>
          <w:szCs w:val="20"/>
          <w:lang w:val="en-US"/>
        </w:rPr>
      </w:pPr>
    </w:p>
    <w:p w14:paraId="5542A6FA" w14:textId="77777777" w:rsidR="00D81AA1" w:rsidRPr="00FE50A6" w:rsidRDefault="006174BF" w:rsidP="00A47A97">
      <w:pPr>
        <w:pStyle w:val="Prrafodelista"/>
        <w:numPr>
          <w:ilvl w:val="0"/>
          <w:numId w:val="1"/>
        </w:numPr>
        <w:tabs>
          <w:tab w:val="right" w:pos="0"/>
        </w:tabs>
        <w:contextualSpacing w:val="0"/>
        <w:rPr>
          <w:rFonts w:cs="Arial"/>
          <w:iCs/>
          <w:szCs w:val="20"/>
          <w:lang w:val="en-US"/>
        </w:rPr>
      </w:pPr>
      <w:r w:rsidRPr="00FE50A6">
        <w:rPr>
          <w:rFonts w:cs="Arial"/>
          <w:iCs/>
          <w:szCs w:val="20"/>
          <w:lang w:val="en-US"/>
        </w:rPr>
        <w:t>The</w:t>
      </w:r>
      <w:r w:rsidR="000228D0" w:rsidRPr="00FE50A6">
        <w:rPr>
          <w:rFonts w:cs="Arial"/>
          <w:iCs/>
          <w:szCs w:val="20"/>
          <w:lang w:val="en-US"/>
        </w:rPr>
        <w:t xml:space="preserve"> State</w:t>
      </w:r>
      <w:r w:rsidRPr="00FE50A6">
        <w:rPr>
          <w:rFonts w:cs="Arial"/>
          <w:iCs/>
          <w:szCs w:val="20"/>
          <w:lang w:val="en-US"/>
        </w:rPr>
        <w:t xml:space="preserve"> also</w:t>
      </w:r>
      <w:r w:rsidR="00D81AA1" w:rsidRPr="00FE50A6">
        <w:rPr>
          <w:rFonts w:cs="Arial"/>
          <w:iCs/>
          <w:szCs w:val="20"/>
          <w:lang w:val="en-US"/>
        </w:rPr>
        <w:t xml:space="preserve"> indic</w:t>
      </w:r>
      <w:r w:rsidRPr="00FE50A6">
        <w:rPr>
          <w:rFonts w:cs="Arial"/>
          <w:iCs/>
          <w:szCs w:val="20"/>
          <w:lang w:val="en-US"/>
        </w:rPr>
        <w:t xml:space="preserve">ated that, since he was not carrying identity documents at the time of his death, </w:t>
      </w:r>
      <w:r w:rsidR="00200C04" w:rsidRPr="00FE50A6">
        <w:rPr>
          <w:rFonts w:cs="Arial"/>
          <w:iCs/>
          <w:szCs w:val="20"/>
          <w:lang w:val="en-US"/>
        </w:rPr>
        <w:t>Luis Ferreira da Cruz</w:t>
      </w:r>
      <w:r w:rsidR="00D81AA1" w:rsidRPr="00FE50A6">
        <w:rPr>
          <w:rFonts w:cs="Arial"/>
          <w:iCs/>
          <w:szCs w:val="20"/>
          <w:lang w:val="en-US"/>
        </w:rPr>
        <w:t xml:space="preserve"> </w:t>
      </w:r>
      <w:r w:rsidRPr="00FE50A6">
        <w:rPr>
          <w:rFonts w:cs="Arial"/>
          <w:iCs/>
          <w:szCs w:val="20"/>
          <w:lang w:val="en-US"/>
        </w:rPr>
        <w:t>had been</w:t>
      </w:r>
      <w:r w:rsidR="00C96422" w:rsidRPr="00FE50A6">
        <w:rPr>
          <w:rFonts w:cs="Arial"/>
          <w:iCs/>
          <w:szCs w:val="20"/>
          <w:lang w:val="en-US"/>
        </w:rPr>
        <w:t xml:space="preserve"> given an indigent burial</w:t>
      </w:r>
      <w:r w:rsidRPr="00FE50A6">
        <w:rPr>
          <w:rFonts w:cs="Arial"/>
          <w:iCs/>
          <w:szCs w:val="20"/>
          <w:lang w:val="en-US"/>
        </w:rPr>
        <w:t xml:space="preserve"> and, consequently, his name </w:t>
      </w:r>
      <w:r w:rsidR="00531E80" w:rsidRPr="00FE50A6">
        <w:rPr>
          <w:rFonts w:cs="Arial"/>
          <w:iCs/>
          <w:szCs w:val="20"/>
          <w:lang w:val="en-US"/>
        </w:rPr>
        <w:t>had not been</w:t>
      </w:r>
      <w:r w:rsidRPr="00FE50A6">
        <w:rPr>
          <w:rFonts w:cs="Arial"/>
          <w:iCs/>
          <w:szCs w:val="20"/>
          <w:lang w:val="en-US"/>
        </w:rPr>
        <w:t xml:space="preserve"> recor</w:t>
      </w:r>
      <w:r w:rsidR="00531E80" w:rsidRPr="00FE50A6">
        <w:rPr>
          <w:rFonts w:cs="Arial"/>
          <w:iCs/>
          <w:szCs w:val="20"/>
          <w:lang w:val="en-US"/>
        </w:rPr>
        <w:t>d</w:t>
      </w:r>
      <w:r w:rsidRPr="00FE50A6">
        <w:rPr>
          <w:rFonts w:cs="Arial"/>
          <w:iCs/>
          <w:szCs w:val="20"/>
          <w:lang w:val="en-US"/>
        </w:rPr>
        <w:t xml:space="preserve">ed in the database of the </w:t>
      </w:r>
      <w:r w:rsidR="00531E80" w:rsidRPr="00FE50A6">
        <w:rPr>
          <w:rFonts w:cs="Arial"/>
          <w:iCs/>
          <w:szCs w:val="20"/>
          <w:lang w:val="en-US"/>
        </w:rPr>
        <w:t xml:space="preserve">Xinguara </w:t>
      </w:r>
      <w:r w:rsidRPr="00FE50A6">
        <w:rPr>
          <w:rFonts w:cs="Arial"/>
          <w:iCs/>
          <w:szCs w:val="20"/>
          <w:lang w:val="en-US"/>
        </w:rPr>
        <w:t>Civil Registry</w:t>
      </w:r>
      <w:r w:rsidR="00D81AA1" w:rsidRPr="00FE50A6">
        <w:rPr>
          <w:rFonts w:cs="Arial"/>
          <w:iCs/>
          <w:szCs w:val="20"/>
          <w:lang w:val="en-US"/>
        </w:rPr>
        <w:t xml:space="preserve">. </w:t>
      </w:r>
      <w:r w:rsidRPr="00FE50A6">
        <w:rPr>
          <w:rFonts w:cs="Arial"/>
          <w:iCs/>
          <w:szCs w:val="20"/>
          <w:lang w:val="en-US"/>
        </w:rPr>
        <w:t xml:space="preserve">Accordingly, the State argued that, following his flight from </w:t>
      </w:r>
      <w:r w:rsidR="00D81AA1" w:rsidRPr="00FE50A6">
        <w:rPr>
          <w:rFonts w:cs="Arial"/>
          <w:iCs/>
          <w:szCs w:val="20"/>
          <w:lang w:val="en-US"/>
        </w:rPr>
        <w:t xml:space="preserve">Hacienda </w:t>
      </w:r>
      <w:r w:rsidR="00322241" w:rsidRPr="00FE50A6">
        <w:rPr>
          <w:rFonts w:cs="Arial"/>
          <w:iCs/>
          <w:szCs w:val="20"/>
          <w:lang w:val="en-US"/>
        </w:rPr>
        <w:t>Brasil Verde</w:t>
      </w:r>
      <w:r w:rsidRPr="00FE50A6">
        <w:rPr>
          <w:rFonts w:cs="Arial"/>
          <w:iCs/>
          <w:szCs w:val="20"/>
          <w:lang w:val="en-US"/>
        </w:rPr>
        <w:t>,</w:t>
      </w:r>
      <w:r w:rsidR="00D81AA1" w:rsidRPr="00FE50A6">
        <w:rPr>
          <w:rFonts w:cs="Arial"/>
          <w:iCs/>
          <w:szCs w:val="20"/>
          <w:lang w:val="en-US"/>
        </w:rPr>
        <w:t xml:space="preserve"> </w:t>
      </w:r>
      <w:r w:rsidR="00200C04" w:rsidRPr="00FE50A6">
        <w:rPr>
          <w:rFonts w:cs="Arial"/>
          <w:iCs/>
          <w:szCs w:val="20"/>
          <w:lang w:val="en-US"/>
        </w:rPr>
        <w:t>Luis Ferreira da Cruz</w:t>
      </w:r>
      <w:r w:rsidR="00D81AA1" w:rsidRPr="00FE50A6">
        <w:rPr>
          <w:rFonts w:cs="Arial"/>
          <w:iCs/>
          <w:szCs w:val="20"/>
          <w:lang w:val="en-US"/>
        </w:rPr>
        <w:t xml:space="preserve"> </w:t>
      </w:r>
      <w:r w:rsidR="00531E80" w:rsidRPr="00FE50A6">
        <w:rPr>
          <w:rFonts w:cs="Arial"/>
          <w:iCs/>
          <w:szCs w:val="20"/>
          <w:lang w:val="en-US"/>
        </w:rPr>
        <w:t>remain</w:t>
      </w:r>
      <w:r w:rsidRPr="00FE50A6">
        <w:rPr>
          <w:rFonts w:cs="Arial"/>
          <w:iCs/>
          <w:szCs w:val="20"/>
          <w:lang w:val="en-US"/>
        </w:rPr>
        <w:t xml:space="preserve">ed alive for more than 15 years without any indication or evidence that, during that time, he had been subjected to forced disappearance. In addition, the State indicated that the report of the presumed disappearance was made four months after the fact had supposedly occurred, which </w:t>
      </w:r>
      <w:r w:rsidR="00C758AD" w:rsidRPr="00FE50A6">
        <w:rPr>
          <w:rFonts w:cs="Arial"/>
          <w:iCs/>
          <w:szCs w:val="20"/>
          <w:lang w:val="en-US"/>
        </w:rPr>
        <w:t>meant that the</w:t>
      </w:r>
      <w:r w:rsidRPr="00FE50A6">
        <w:rPr>
          <w:rFonts w:cs="Arial"/>
          <w:iCs/>
          <w:szCs w:val="20"/>
          <w:lang w:val="en-US"/>
        </w:rPr>
        <w:t xml:space="preserve"> State </w:t>
      </w:r>
      <w:r w:rsidR="00C758AD" w:rsidRPr="00FE50A6">
        <w:rPr>
          <w:rFonts w:cs="Arial"/>
          <w:iCs/>
          <w:szCs w:val="20"/>
          <w:lang w:val="en-US"/>
        </w:rPr>
        <w:t>could not have prevented</w:t>
      </w:r>
      <w:r w:rsidR="009C5D54" w:rsidRPr="00FE50A6">
        <w:rPr>
          <w:rFonts w:cs="Arial"/>
          <w:iCs/>
          <w:szCs w:val="20"/>
          <w:lang w:val="en-US"/>
        </w:rPr>
        <w:t xml:space="preserve"> </w:t>
      </w:r>
      <w:r w:rsidRPr="00FE50A6">
        <w:rPr>
          <w:rFonts w:cs="Arial"/>
          <w:iCs/>
          <w:szCs w:val="20"/>
          <w:lang w:val="en-US"/>
        </w:rPr>
        <w:t xml:space="preserve"> the occurrence of the supposed incident. Consequently, the State concluded that it could not be found responsible for </w:t>
      </w:r>
      <w:r w:rsidR="00576F80" w:rsidRPr="00FE50A6">
        <w:rPr>
          <w:rFonts w:cs="Arial"/>
          <w:iCs/>
          <w:szCs w:val="20"/>
          <w:lang w:val="en-US"/>
        </w:rPr>
        <w:t>the alleged</w:t>
      </w:r>
      <w:r w:rsidR="00D81AA1" w:rsidRPr="00FE50A6">
        <w:rPr>
          <w:rFonts w:cs="Arial"/>
          <w:iCs/>
          <w:szCs w:val="20"/>
          <w:lang w:val="en-US"/>
        </w:rPr>
        <w:t xml:space="preserve"> viola</w:t>
      </w:r>
      <w:r w:rsidRPr="00FE50A6">
        <w:rPr>
          <w:rFonts w:cs="Arial"/>
          <w:iCs/>
          <w:szCs w:val="20"/>
          <w:lang w:val="en-US"/>
        </w:rPr>
        <w:t xml:space="preserve">tion of the human rights established in </w:t>
      </w:r>
      <w:r w:rsidR="000228D0" w:rsidRPr="00FE50A6">
        <w:rPr>
          <w:rFonts w:cs="Arial"/>
          <w:iCs/>
          <w:szCs w:val="20"/>
          <w:lang w:val="en-US"/>
        </w:rPr>
        <w:t>Articles</w:t>
      </w:r>
      <w:r w:rsidR="00D81AA1" w:rsidRPr="00FE50A6">
        <w:rPr>
          <w:rFonts w:cs="Arial"/>
          <w:iCs/>
          <w:szCs w:val="20"/>
          <w:lang w:val="en-US"/>
        </w:rPr>
        <w:t xml:space="preserve"> 3, 4, 5,</w:t>
      </w:r>
      <w:r w:rsidR="00030C17" w:rsidRPr="00FE50A6">
        <w:rPr>
          <w:rFonts w:cs="Arial"/>
          <w:iCs/>
          <w:szCs w:val="20"/>
          <w:lang w:val="en-US"/>
        </w:rPr>
        <w:t xml:space="preserve"> and </w:t>
      </w:r>
      <w:r w:rsidR="00D81AA1" w:rsidRPr="00FE50A6">
        <w:rPr>
          <w:rFonts w:cs="Arial"/>
          <w:iCs/>
          <w:szCs w:val="20"/>
          <w:lang w:val="en-US"/>
        </w:rPr>
        <w:t>7</w:t>
      </w:r>
      <w:r w:rsidR="000228D0" w:rsidRPr="00FE50A6">
        <w:rPr>
          <w:rFonts w:cs="Arial"/>
          <w:iCs/>
          <w:szCs w:val="20"/>
          <w:lang w:val="en-US"/>
        </w:rPr>
        <w:t xml:space="preserve"> of the American Convention</w:t>
      </w:r>
      <w:r w:rsidR="00D81AA1" w:rsidRPr="00FE50A6">
        <w:rPr>
          <w:rFonts w:cs="Arial"/>
          <w:iCs/>
          <w:szCs w:val="20"/>
          <w:lang w:val="en-US"/>
        </w:rPr>
        <w:t xml:space="preserve">, </w:t>
      </w:r>
      <w:r w:rsidR="00703850" w:rsidRPr="00FE50A6">
        <w:rPr>
          <w:rFonts w:cs="Arial"/>
          <w:iCs/>
          <w:szCs w:val="20"/>
          <w:lang w:val="en-US"/>
        </w:rPr>
        <w:t>to the detriment of</w:t>
      </w:r>
      <w:r w:rsidR="00D81AA1" w:rsidRPr="00FE50A6">
        <w:rPr>
          <w:rFonts w:cs="Arial"/>
          <w:iCs/>
          <w:szCs w:val="20"/>
          <w:lang w:val="en-US"/>
        </w:rPr>
        <w:t xml:space="preserve"> Luis Ferreira da Cruz, </w:t>
      </w:r>
      <w:r w:rsidRPr="00FE50A6">
        <w:rPr>
          <w:rFonts w:cs="Arial"/>
          <w:iCs/>
          <w:szCs w:val="20"/>
          <w:lang w:val="en-US"/>
        </w:rPr>
        <w:t>or of the presumed violation of</w:t>
      </w:r>
      <w:r w:rsidR="00D81AA1" w:rsidRPr="00FE50A6">
        <w:rPr>
          <w:rFonts w:cs="Arial"/>
          <w:iCs/>
          <w:szCs w:val="20"/>
          <w:lang w:val="en-US"/>
        </w:rPr>
        <w:t xml:space="preserve"> </w:t>
      </w:r>
      <w:r w:rsidR="000228D0" w:rsidRPr="00FE50A6">
        <w:rPr>
          <w:rFonts w:cs="Arial"/>
          <w:iCs/>
          <w:szCs w:val="20"/>
          <w:lang w:val="en-US"/>
        </w:rPr>
        <w:t>Articles</w:t>
      </w:r>
      <w:r w:rsidR="00D81AA1" w:rsidRPr="00FE50A6">
        <w:rPr>
          <w:rFonts w:cs="Arial"/>
          <w:iCs/>
          <w:szCs w:val="20"/>
          <w:lang w:val="en-US"/>
        </w:rPr>
        <w:t xml:space="preserve"> 8</w:t>
      </w:r>
      <w:r w:rsidR="00030C17" w:rsidRPr="00FE50A6">
        <w:rPr>
          <w:rFonts w:cs="Arial"/>
          <w:iCs/>
          <w:szCs w:val="20"/>
          <w:lang w:val="en-US"/>
        </w:rPr>
        <w:t xml:space="preserve"> and </w:t>
      </w:r>
      <w:r w:rsidR="00D81AA1" w:rsidRPr="00FE50A6">
        <w:rPr>
          <w:rFonts w:cs="Arial"/>
          <w:iCs/>
          <w:szCs w:val="20"/>
          <w:lang w:val="en-US"/>
        </w:rPr>
        <w:t xml:space="preserve">25 </w:t>
      </w:r>
      <w:r w:rsidR="00D11A9F" w:rsidRPr="00FE50A6">
        <w:rPr>
          <w:rFonts w:cs="Arial"/>
          <w:iCs/>
          <w:szCs w:val="20"/>
          <w:lang w:val="en-US"/>
        </w:rPr>
        <w:t>of this instrument</w:t>
      </w:r>
      <w:r w:rsidR="00D81AA1" w:rsidRPr="00FE50A6">
        <w:rPr>
          <w:rFonts w:cs="Arial"/>
          <w:iCs/>
          <w:szCs w:val="20"/>
          <w:lang w:val="en-US"/>
        </w:rPr>
        <w:t xml:space="preserve"> </w:t>
      </w:r>
      <w:r w:rsidR="00703850" w:rsidRPr="00FE50A6">
        <w:rPr>
          <w:rFonts w:cs="Arial"/>
          <w:iCs/>
          <w:szCs w:val="20"/>
          <w:lang w:val="en-US"/>
        </w:rPr>
        <w:t>to the detriment of</w:t>
      </w:r>
      <w:r w:rsidR="00D81AA1" w:rsidRPr="00FE50A6">
        <w:rPr>
          <w:rFonts w:cs="Arial"/>
          <w:iCs/>
          <w:szCs w:val="20"/>
          <w:lang w:val="en-US"/>
        </w:rPr>
        <w:t xml:space="preserve"> </w:t>
      </w:r>
      <w:r w:rsidRPr="00FE50A6">
        <w:rPr>
          <w:rFonts w:cs="Arial"/>
          <w:iCs/>
          <w:szCs w:val="20"/>
          <w:lang w:val="en-US"/>
        </w:rPr>
        <w:t>his family members.</w:t>
      </w:r>
    </w:p>
    <w:p w14:paraId="790C96CA" w14:textId="77777777" w:rsidR="000C04E5" w:rsidRPr="00FE50A6" w:rsidRDefault="000C04E5" w:rsidP="00A47A97">
      <w:pPr>
        <w:tabs>
          <w:tab w:val="right" w:pos="0"/>
        </w:tabs>
        <w:autoSpaceDE w:val="0"/>
        <w:autoSpaceDN w:val="0"/>
        <w:adjustRightInd w:val="0"/>
        <w:rPr>
          <w:rFonts w:cs="Arial"/>
          <w:iCs/>
          <w:szCs w:val="20"/>
          <w:lang w:val="en-US"/>
        </w:rPr>
      </w:pPr>
    </w:p>
    <w:p w14:paraId="7301B8A5" w14:textId="77777777" w:rsidR="00D81AA1" w:rsidRPr="00FE50A6" w:rsidRDefault="00A47A97" w:rsidP="00C30FB8">
      <w:pPr>
        <w:pStyle w:val="Ttulo4"/>
        <w:spacing w:before="0" w:after="0"/>
        <w:rPr>
          <w:lang w:val="en-US"/>
        </w:rPr>
      </w:pPr>
      <w:bookmarkStart w:id="355" w:name="_Toc460433056"/>
      <w:bookmarkStart w:id="356" w:name="_Toc460441987"/>
      <w:bookmarkStart w:id="357" w:name="_Toc462751129"/>
      <w:bookmarkStart w:id="358" w:name="_Toc464813981"/>
      <w:r w:rsidRPr="00FE50A6">
        <w:rPr>
          <w:lang w:val="en-US"/>
        </w:rPr>
        <w:t xml:space="preserve">B.4.2 </w:t>
      </w:r>
      <w:r w:rsidR="000702CF" w:rsidRPr="00FE50A6">
        <w:rPr>
          <w:lang w:val="en-US"/>
        </w:rPr>
        <w:t>Considerations</w:t>
      </w:r>
      <w:r w:rsidR="000228D0" w:rsidRPr="00FE50A6">
        <w:rPr>
          <w:lang w:val="en-US"/>
        </w:rPr>
        <w:t xml:space="preserve"> of the Court</w:t>
      </w:r>
      <w:bookmarkEnd w:id="355"/>
      <w:bookmarkEnd w:id="356"/>
      <w:bookmarkEnd w:id="357"/>
      <w:bookmarkEnd w:id="358"/>
      <w:r w:rsidR="00C30FB8" w:rsidRPr="00FE50A6">
        <w:rPr>
          <w:lang w:val="en-US"/>
        </w:rPr>
        <w:t xml:space="preserve"> </w:t>
      </w:r>
    </w:p>
    <w:p w14:paraId="2415761F" w14:textId="77777777" w:rsidR="00C30FB8" w:rsidRPr="00FE50A6" w:rsidRDefault="00C30FB8" w:rsidP="00C30FB8">
      <w:pPr>
        <w:pStyle w:val="Prrafodelista"/>
        <w:tabs>
          <w:tab w:val="right" w:pos="0"/>
        </w:tabs>
        <w:ind w:left="0"/>
        <w:contextualSpacing w:val="0"/>
        <w:rPr>
          <w:lang w:val="en-US"/>
        </w:rPr>
      </w:pPr>
    </w:p>
    <w:p w14:paraId="6661578E" w14:textId="77777777" w:rsidR="00D81AA1" w:rsidRPr="00FE50A6" w:rsidRDefault="000228D0" w:rsidP="0039497E">
      <w:pPr>
        <w:pStyle w:val="Prrafodelista"/>
        <w:numPr>
          <w:ilvl w:val="0"/>
          <w:numId w:val="1"/>
        </w:numPr>
        <w:tabs>
          <w:tab w:val="right" w:pos="0"/>
        </w:tabs>
        <w:contextualSpacing w:val="0"/>
        <w:rPr>
          <w:rFonts w:cs="Arial"/>
          <w:iCs/>
          <w:szCs w:val="20"/>
          <w:lang w:val="en-US"/>
        </w:rPr>
      </w:pPr>
      <w:r w:rsidRPr="00FE50A6">
        <w:rPr>
          <w:rFonts w:cs="Arial"/>
          <w:iCs/>
          <w:szCs w:val="20"/>
          <w:lang w:val="en-US"/>
        </w:rPr>
        <w:t>The Court</w:t>
      </w:r>
      <w:r w:rsidR="00D81AA1" w:rsidRPr="00FE50A6">
        <w:rPr>
          <w:rFonts w:cs="Arial"/>
          <w:iCs/>
          <w:szCs w:val="20"/>
          <w:lang w:val="en-US"/>
        </w:rPr>
        <w:t xml:space="preserve"> ha</w:t>
      </w:r>
      <w:r w:rsidR="0039497E" w:rsidRPr="00FE50A6">
        <w:rPr>
          <w:rFonts w:cs="Arial"/>
          <w:iCs/>
          <w:szCs w:val="20"/>
          <w:lang w:val="en-US"/>
        </w:rPr>
        <w:t>s established that</w:t>
      </w:r>
      <w:r w:rsidR="00531E80" w:rsidRPr="00FE50A6">
        <w:rPr>
          <w:rFonts w:cs="Arial"/>
          <w:iCs/>
          <w:szCs w:val="20"/>
          <w:lang w:val="en-US"/>
        </w:rPr>
        <w:t>,</w:t>
      </w:r>
      <w:r w:rsidR="0039497E" w:rsidRPr="00FE50A6">
        <w:rPr>
          <w:rFonts w:cs="Arial"/>
          <w:iCs/>
          <w:szCs w:val="20"/>
          <w:lang w:val="en-US"/>
        </w:rPr>
        <w:t xml:space="preserve"> while a forced disappearance subsists, States have the correlative duty to investigate it and, eventually, punish those responsible, pursuant to the obligations derived from </w:t>
      </w:r>
      <w:r w:rsidRPr="00FE50A6">
        <w:rPr>
          <w:rFonts w:cs="Arial"/>
          <w:iCs/>
          <w:szCs w:val="20"/>
          <w:lang w:val="en-US"/>
        </w:rPr>
        <w:t>the American Convention</w:t>
      </w:r>
      <w:r w:rsidR="00D81AA1" w:rsidRPr="00FE50A6">
        <w:rPr>
          <w:rFonts w:cs="Arial"/>
          <w:iCs/>
          <w:szCs w:val="20"/>
          <w:lang w:val="en-US"/>
        </w:rPr>
        <w:t xml:space="preserve"> </w:t>
      </w:r>
      <w:r w:rsidR="0039497E" w:rsidRPr="00FE50A6">
        <w:rPr>
          <w:rFonts w:cs="Arial"/>
          <w:iCs/>
          <w:szCs w:val="20"/>
          <w:lang w:val="en-US"/>
        </w:rPr>
        <w:t>and</w:t>
      </w:r>
      <w:r w:rsidR="00D81AA1" w:rsidRPr="00FE50A6">
        <w:rPr>
          <w:rFonts w:cs="Arial"/>
          <w:iCs/>
          <w:szCs w:val="20"/>
          <w:lang w:val="en-US"/>
        </w:rPr>
        <w:t xml:space="preserve">, </w:t>
      </w:r>
      <w:r w:rsidR="0039497E" w:rsidRPr="00FE50A6">
        <w:rPr>
          <w:rFonts w:cs="Arial"/>
          <w:iCs/>
          <w:szCs w:val="20"/>
          <w:lang w:val="en-US"/>
        </w:rPr>
        <w:t>i</w:t>
      </w:r>
      <w:r w:rsidR="00D81AA1" w:rsidRPr="00FE50A6">
        <w:rPr>
          <w:rFonts w:cs="Arial"/>
          <w:iCs/>
          <w:szCs w:val="20"/>
          <w:lang w:val="en-US"/>
        </w:rPr>
        <w:t>n particular,</w:t>
      </w:r>
      <w:r w:rsidRPr="00FE50A6">
        <w:rPr>
          <w:rFonts w:cs="Arial"/>
          <w:iCs/>
          <w:szCs w:val="20"/>
          <w:lang w:val="en-US"/>
        </w:rPr>
        <w:t xml:space="preserve"> the </w:t>
      </w:r>
      <w:r w:rsidR="0039497E" w:rsidRPr="00FE50A6">
        <w:rPr>
          <w:rFonts w:cs="Arial"/>
          <w:iCs/>
          <w:szCs w:val="20"/>
          <w:lang w:val="en-US"/>
        </w:rPr>
        <w:t>Inter-American Convention on Forced Disappearance of Persons.</w:t>
      </w:r>
      <w:r w:rsidR="00D81AA1" w:rsidRPr="00FE50A6">
        <w:rPr>
          <w:rFonts w:cs="Arial"/>
          <w:iCs/>
          <w:szCs w:val="20"/>
          <w:vertAlign w:val="superscript"/>
          <w:lang w:val="en-US"/>
        </w:rPr>
        <w:footnoteReference w:id="516"/>
      </w:r>
      <w:r w:rsidR="0039497E" w:rsidRPr="00FE50A6">
        <w:rPr>
          <w:rFonts w:cs="Arial"/>
          <w:iCs/>
          <w:szCs w:val="20"/>
          <w:lang w:val="en-US"/>
        </w:rPr>
        <w:t xml:space="preserve"> According to the arguments </w:t>
      </w:r>
      <w:r w:rsidR="00531E80" w:rsidRPr="00FE50A6">
        <w:rPr>
          <w:rFonts w:cs="Arial"/>
          <w:iCs/>
          <w:szCs w:val="20"/>
          <w:lang w:val="en-US"/>
        </w:rPr>
        <w:t>of</w:t>
      </w:r>
      <w:r w:rsidR="0039497E" w:rsidRPr="00FE50A6">
        <w:rPr>
          <w:rFonts w:cs="Arial"/>
          <w:iCs/>
          <w:szCs w:val="20"/>
          <w:lang w:val="en-US"/>
        </w:rPr>
        <w:t xml:space="preserve"> the parties, this is the obligation that the State has presumably failed to comply with </w:t>
      </w:r>
      <w:r w:rsidR="0088467F" w:rsidRPr="00FE50A6">
        <w:rPr>
          <w:rFonts w:cs="Arial"/>
          <w:iCs/>
          <w:szCs w:val="20"/>
          <w:lang w:val="en-US"/>
        </w:rPr>
        <w:t>in this case</w:t>
      </w:r>
      <w:r w:rsidR="00D81AA1" w:rsidRPr="00FE50A6">
        <w:rPr>
          <w:rFonts w:cs="Arial"/>
          <w:iCs/>
          <w:szCs w:val="20"/>
          <w:lang w:val="en-US"/>
        </w:rPr>
        <w:t xml:space="preserve">. </w:t>
      </w:r>
    </w:p>
    <w:p w14:paraId="3F68C9B0" w14:textId="77777777" w:rsidR="00D81AA1" w:rsidRPr="00FE50A6" w:rsidRDefault="00D81AA1" w:rsidP="00D81AA1">
      <w:pPr>
        <w:pStyle w:val="Prrafodelista"/>
        <w:tabs>
          <w:tab w:val="right" w:pos="0"/>
        </w:tabs>
        <w:autoSpaceDE w:val="0"/>
        <w:autoSpaceDN w:val="0"/>
        <w:adjustRightInd w:val="0"/>
        <w:ind w:left="0"/>
        <w:contextualSpacing w:val="0"/>
        <w:rPr>
          <w:rFonts w:cs="Arial"/>
          <w:iCs/>
          <w:szCs w:val="20"/>
          <w:lang w:val="en-US"/>
        </w:rPr>
      </w:pPr>
    </w:p>
    <w:p w14:paraId="320E3C61" w14:textId="77777777" w:rsidR="00D81AA1" w:rsidRPr="00FE50A6" w:rsidRDefault="0039497E" w:rsidP="0039497E">
      <w:pPr>
        <w:pStyle w:val="Prrafodelista"/>
        <w:numPr>
          <w:ilvl w:val="0"/>
          <w:numId w:val="1"/>
        </w:numPr>
        <w:tabs>
          <w:tab w:val="right" w:pos="0"/>
        </w:tabs>
        <w:contextualSpacing w:val="0"/>
        <w:rPr>
          <w:rFonts w:cs="Arial"/>
          <w:iCs/>
          <w:szCs w:val="20"/>
          <w:lang w:val="en-US"/>
        </w:rPr>
      </w:pPr>
      <w:r w:rsidRPr="00FE50A6">
        <w:rPr>
          <w:rFonts w:cs="Arial"/>
          <w:iCs/>
          <w:szCs w:val="20"/>
          <w:lang w:val="en-US"/>
        </w:rPr>
        <w:t xml:space="preserve">Regarding the obligation of </w:t>
      </w:r>
      <w:r w:rsidR="00576F80" w:rsidRPr="00FE50A6">
        <w:rPr>
          <w:rFonts w:cs="Arial"/>
          <w:iCs/>
          <w:szCs w:val="20"/>
          <w:lang w:val="en-US"/>
        </w:rPr>
        <w:t>due diligence</w:t>
      </w:r>
      <w:r w:rsidRPr="00FE50A6">
        <w:rPr>
          <w:rFonts w:cs="Arial"/>
          <w:iCs/>
          <w:szCs w:val="20"/>
          <w:lang w:val="en-US"/>
        </w:rPr>
        <w:t xml:space="preserve"> when a disappearance is reported, the Court has established that this obligation of means requires the State to take exhaustive measures to find the person concerned. In particular, the prompt and immediate actions of the police, prosecution and judicial authorities is essential, ordering </w:t>
      </w:r>
      <w:r w:rsidR="00531E80" w:rsidRPr="00FE50A6">
        <w:rPr>
          <w:rFonts w:cs="Arial"/>
          <w:iCs/>
          <w:szCs w:val="20"/>
          <w:lang w:val="en-US"/>
        </w:rPr>
        <w:t>the prompt</w:t>
      </w:r>
      <w:r w:rsidRPr="00FE50A6">
        <w:rPr>
          <w:rFonts w:cs="Arial"/>
          <w:iCs/>
          <w:szCs w:val="20"/>
          <w:lang w:val="en-US"/>
        </w:rPr>
        <w:t xml:space="preserve"> and necessary measures aimed at determining the presumed victim</w:t>
      </w:r>
      <w:r w:rsidR="00531E80" w:rsidRPr="00FE50A6">
        <w:rPr>
          <w:rFonts w:cs="Arial"/>
          <w:iCs/>
          <w:szCs w:val="20"/>
          <w:lang w:val="en-US"/>
        </w:rPr>
        <w:t>’s whereabouts</w:t>
      </w:r>
      <w:r w:rsidRPr="00FE50A6">
        <w:rPr>
          <w:rFonts w:cs="Arial"/>
          <w:iCs/>
          <w:szCs w:val="20"/>
          <w:lang w:val="en-US"/>
        </w:rPr>
        <w:t xml:space="preserve">. In addition, appropriate procedures should exist </w:t>
      </w:r>
      <w:r w:rsidR="00531E80" w:rsidRPr="00FE50A6">
        <w:rPr>
          <w:rFonts w:cs="Arial"/>
          <w:iCs/>
          <w:szCs w:val="20"/>
          <w:lang w:val="en-US"/>
        </w:rPr>
        <w:t>for</w:t>
      </w:r>
      <w:r w:rsidRPr="00FE50A6">
        <w:rPr>
          <w:rFonts w:cs="Arial"/>
          <w:iCs/>
          <w:szCs w:val="20"/>
          <w:lang w:val="en-US"/>
        </w:rPr>
        <w:t xml:space="preserve"> fil</w:t>
      </w:r>
      <w:r w:rsidR="00531E80" w:rsidRPr="00FE50A6">
        <w:rPr>
          <w:rFonts w:cs="Arial"/>
          <w:iCs/>
          <w:szCs w:val="20"/>
          <w:lang w:val="en-US"/>
        </w:rPr>
        <w:t>ing</w:t>
      </w:r>
      <w:r w:rsidRPr="00FE50A6">
        <w:rPr>
          <w:rFonts w:cs="Arial"/>
          <w:iCs/>
          <w:szCs w:val="20"/>
          <w:lang w:val="en-US"/>
        </w:rPr>
        <w:t xml:space="preserve"> reports and these should result in an effective investigation being conducted </w:t>
      </w:r>
      <w:r w:rsidR="00B41626" w:rsidRPr="00FE50A6">
        <w:rPr>
          <w:rFonts w:cs="Arial"/>
          <w:iCs/>
          <w:szCs w:val="20"/>
          <w:lang w:val="en-US"/>
        </w:rPr>
        <w:t>immediately. The Court has also established that the authorities should presume that the disappeared person remains alive until</w:t>
      </w:r>
      <w:r w:rsidR="00531E80" w:rsidRPr="00FE50A6">
        <w:rPr>
          <w:rFonts w:cs="Arial"/>
          <w:iCs/>
          <w:szCs w:val="20"/>
          <w:lang w:val="en-US"/>
        </w:rPr>
        <w:t xml:space="preserve"> </w:t>
      </w:r>
      <w:r w:rsidR="00B41626" w:rsidRPr="00FE50A6">
        <w:rPr>
          <w:rFonts w:cs="Arial"/>
          <w:iCs/>
          <w:szCs w:val="20"/>
          <w:lang w:val="en-US"/>
        </w:rPr>
        <w:t>the uncertainty of his fate</w:t>
      </w:r>
      <w:r w:rsidR="00531E80" w:rsidRPr="00FE50A6">
        <w:rPr>
          <w:rFonts w:cs="Arial"/>
          <w:iCs/>
          <w:szCs w:val="20"/>
          <w:lang w:val="en-US"/>
        </w:rPr>
        <w:t xml:space="preserve"> is brought to an end</w:t>
      </w:r>
      <w:r w:rsidR="00B41626" w:rsidRPr="00FE50A6">
        <w:rPr>
          <w:rFonts w:cs="Arial"/>
          <w:iCs/>
          <w:szCs w:val="20"/>
          <w:lang w:val="en-US"/>
        </w:rPr>
        <w:t>.</w:t>
      </w:r>
      <w:r w:rsidR="00D81AA1" w:rsidRPr="00FE50A6">
        <w:rPr>
          <w:rFonts w:cs="Arial"/>
          <w:iCs/>
          <w:szCs w:val="20"/>
          <w:vertAlign w:val="superscript"/>
          <w:lang w:val="en-US"/>
        </w:rPr>
        <w:footnoteReference w:id="517"/>
      </w:r>
    </w:p>
    <w:p w14:paraId="672F2E1A" w14:textId="77777777" w:rsidR="00D81AA1" w:rsidRPr="00FE50A6" w:rsidRDefault="00D81AA1" w:rsidP="00D81AA1">
      <w:pPr>
        <w:pStyle w:val="Prrafodelista"/>
        <w:tabs>
          <w:tab w:val="right" w:pos="0"/>
        </w:tabs>
        <w:ind w:left="0"/>
        <w:rPr>
          <w:rFonts w:cs="Arial"/>
          <w:iCs/>
          <w:szCs w:val="20"/>
          <w:lang w:val="en-US"/>
        </w:rPr>
      </w:pPr>
    </w:p>
    <w:p w14:paraId="1808859F" w14:textId="77777777" w:rsidR="00D81AA1" w:rsidRPr="00FE50A6" w:rsidRDefault="0088467F" w:rsidP="00B41626">
      <w:pPr>
        <w:pStyle w:val="Prrafodelista"/>
        <w:numPr>
          <w:ilvl w:val="0"/>
          <w:numId w:val="1"/>
        </w:numPr>
        <w:tabs>
          <w:tab w:val="right" w:pos="0"/>
        </w:tabs>
        <w:contextualSpacing w:val="0"/>
        <w:rPr>
          <w:rFonts w:cs="Arial"/>
          <w:iCs/>
          <w:szCs w:val="20"/>
          <w:lang w:val="en-US"/>
        </w:rPr>
      </w:pPr>
      <w:r w:rsidRPr="00FE50A6">
        <w:rPr>
          <w:rFonts w:cs="Arial"/>
          <w:iCs/>
          <w:szCs w:val="20"/>
          <w:lang w:val="en-US"/>
        </w:rPr>
        <w:t>In this case</w:t>
      </w:r>
      <w:r w:rsidR="00D81AA1" w:rsidRPr="00FE50A6">
        <w:rPr>
          <w:rFonts w:cs="Arial"/>
          <w:iCs/>
          <w:szCs w:val="20"/>
          <w:lang w:val="en-US"/>
        </w:rPr>
        <w:t xml:space="preserve">, </w:t>
      </w:r>
      <w:r w:rsidR="00531E80" w:rsidRPr="00FE50A6">
        <w:rPr>
          <w:rFonts w:cs="Arial"/>
          <w:iCs/>
          <w:szCs w:val="20"/>
          <w:lang w:val="en-US"/>
        </w:rPr>
        <w:t xml:space="preserve">as background information, </w:t>
      </w:r>
      <w:r w:rsidR="000228D0" w:rsidRPr="00FE50A6">
        <w:rPr>
          <w:rFonts w:cs="Arial"/>
          <w:iCs/>
          <w:szCs w:val="20"/>
          <w:lang w:val="en-US"/>
        </w:rPr>
        <w:t>the Court</w:t>
      </w:r>
      <w:r w:rsidR="00D81AA1" w:rsidRPr="00FE50A6">
        <w:rPr>
          <w:rFonts w:cs="Arial"/>
          <w:iCs/>
          <w:szCs w:val="20"/>
          <w:lang w:val="en-US"/>
        </w:rPr>
        <w:t xml:space="preserve"> </w:t>
      </w:r>
      <w:r w:rsidR="00B41626" w:rsidRPr="00FE50A6">
        <w:rPr>
          <w:rFonts w:cs="Arial"/>
          <w:iCs/>
          <w:szCs w:val="20"/>
          <w:lang w:val="en-US"/>
        </w:rPr>
        <w:t xml:space="preserve">noted that on </w:t>
      </w:r>
      <w:r w:rsidR="0084006F" w:rsidRPr="00FE50A6">
        <w:rPr>
          <w:rFonts w:cs="Arial"/>
          <w:iCs/>
          <w:szCs w:val="20"/>
          <w:lang w:val="en-US"/>
        </w:rPr>
        <w:t>December 21,</w:t>
      </w:r>
      <w:r w:rsidR="00D81AA1" w:rsidRPr="00FE50A6">
        <w:rPr>
          <w:rFonts w:cs="Arial"/>
          <w:iCs/>
          <w:szCs w:val="20"/>
          <w:lang w:val="en-US"/>
        </w:rPr>
        <w:t xml:space="preserve"> 1988</w:t>
      </w:r>
      <w:r w:rsidR="00B41626" w:rsidRPr="00FE50A6">
        <w:rPr>
          <w:rFonts w:cs="Arial"/>
          <w:iCs/>
          <w:szCs w:val="20"/>
          <w:lang w:val="en-US"/>
        </w:rPr>
        <w:t>,</w:t>
      </w:r>
      <w:r w:rsidR="00D81AA1" w:rsidRPr="00FE50A6">
        <w:rPr>
          <w:rFonts w:cs="Arial"/>
          <w:iCs/>
          <w:szCs w:val="20"/>
          <w:lang w:val="en-US"/>
        </w:rPr>
        <w:t xml:space="preserve"> </w:t>
      </w:r>
      <w:r w:rsidR="000228D0" w:rsidRPr="00FE50A6">
        <w:rPr>
          <w:rFonts w:cs="Arial"/>
          <w:iCs/>
          <w:szCs w:val="20"/>
          <w:lang w:val="en-US"/>
        </w:rPr>
        <w:t xml:space="preserve">the </w:t>
      </w:r>
      <w:r w:rsidR="00C61525" w:rsidRPr="00FE50A6">
        <w:rPr>
          <w:rFonts w:cs="Arial"/>
          <w:i/>
          <w:iCs/>
          <w:szCs w:val="20"/>
          <w:lang w:val="en-US"/>
        </w:rPr>
        <w:t xml:space="preserve">Comissão Pastoral da Terra </w:t>
      </w:r>
      <w:r w:rsidR="00030C17" w:rsidRPr="00FE50A6">
        <w:rPr>
          <w:rFonts w:cs="Arial"/>
          <w:iCs/>
          <w:szCs w:val="20"/>
          <w:lang w:val="en-US"/>
        </w:rPr>
        <w:t xml:space="preserve"> and </w:t>
      </w:r>
      <w:r w:rsidR="00B41626" w:rsidRPr="00FE50A6">
        <w:rPr>
          <w:rFonts w:cs="Arial"/>
          <w:iCs/>
          <w:szCs w:val="20"/>
          <w:lang w:val="en-US"/>
        </w:rPr>
        <w:t>the</w:t>
      </w:r>
      <w:r w:rsidR="00D81AA1" w:rsidRPr="00FE50A6">
        <w:rPr>
          <w:rFonts w:cs="Arial"/>
          <w:iCs/>
          <w:szCs w:val="20"/>
          <w:lang w:val="en-US"/>
        </w:rPr>
        <w:t xml:space="preserve"> Di</w:t>
      </w:r>
      <w:r w:rsidR="00B41626" w:rsidRPr="00FE50A6">
        <w:rPr>
          <w:rFonts w:cs="Arial"/>
          <w:iCs/>
          <w:szCs w:val="20"/>
          <w:lang w:val="en-US"/>
        </w:rPr>
        <w:t>o</w:t>
      </w:r>
      <w:r w:rsidR="00D81AA1" w:rsidRPr="00FE50A6">
        <w:rPr>
          <w:rFonts w:cs="Arial"/>
          <w:iCs/>
          <w:szCs w:val="20"/>
          <w:lang w:val="en-US"/>
        </w:rPr>
        <w:t>ces</w:t>
      </w:r>
      <w:r w:rsidR="00B41626" w:rsidRPr="00FE50A6">
        <w:rPr>
          <w:rFonts w:cs="Arial"/>
          <w:iCs/>
          <w:szCs w:val="20"/>
          <w:lang w:val="en-US"/>
        </w:rPr>
        <w:t>e of</w:t>
      </w:r>
      <w:r w:rsidR="00D81AA1" w:rsidRPr="00FE50A6">
        <w:rPr>
          <w:rFonts w:cs="Arial"/>
          <w:iCs/>
          <w:szCs w:val="20"/>
          <w:lang w:val="en-US"/>
        </w:rPr>
        <w:t xml:space="preserve"> Araguaia, </w:t>
      </w:r>
      <w:r w:rsidR="00B41626" w:rsidRPr="00FE50A6">
        <w:rPr>
          <w:rFonts w:cs="Arial"/>
          <w:iCs/>
          <w:szCs w:val="20"/>
          <w:lang w:val="en-US"/>
        </w:rPr>
        <w:t>together with</w:t>
      </w:r>
      <w:r w:rsidR="00D81AA1" w:rsidRPr="00FE50A6">
        <w:rPr>
          <w:rFonts w:cs="Arial"/>
          <w:iCs/>
          <w:szCs w:val="20"/>
          <w:lang w:val="en-US"/>
        </w:rPr>
        <w:t xml:space="preserve"> José Teodoro da Silva, </w:t>
      </w:r>
      <w:r w:rsidR="00B41626" w:rsidRPr="00FE50A6">
        <w:rPr>
          <w:rFonts w:cs="Arial"/>
          <w:iCs/>
          <w:szCs w:val="20"/>
          <w:lang w:val="en-US"/>
        </w:rPr>
        <w:t>father of</w:t>
      </w:r>
      <w:r w:rsidR="00D81AA1" w:rsidRPr="00FE50A6">
        <w:rPr>
          <w:rFonts w:cs="Arial"/>
          <w:iCs/>
          <w:szCs w:val="20"/>
          <w:lang w:val="en-US"/>
        </w:rPr>
        <w:t xml:space="preserve"> lron Canuto da Silva</w:t>
      </w:r>
      <w:r w:rsidR="00B41626" w:rsidRPr="00FE50A6">
        <w:rPr>
          <w:rFonts w:cs="Arial"/>
          <w:iCs/>
          <w:szCs w:val="20"/>
          <w:lang w:val="en-US"/>
        </w:rPr>
        <w:t xml:space="preserve">, aged 17, </w:t>
      </w:r>
      <w:r w:rsidR="00030C17" w:rsidRPr="00FE50A6">
        <w:rPr>
          <w:rFonts w:cs="Arial"/>
          <w:iCs/>
          <w:szCs w:val="20"/>
          <w:lang w:val="en-US"/>
        </w:rPr>
        <w:t xml:space="preserve">and </w:t>
      </w:r>
      <w:r w:rsidR="00D81AA1" w:rsidRPr="00FE50A6">
        <w:rPr>
          <w:rFonts w:cs="Arial"/>
          <w:iCs/>
          <w:szCs w:val="20"/>
          <w:lang w:val="en-US"/>
        </w:rPr>
        <w:t xml:space="preserve">Miguel Ferreira da Cruz, </w:t>
      </w:r>
      <w:r w:rsidR="00B41626" w:rsidRPr="00FE50A6">
        <w:rPr>
          <w:rFonts w:cs="Arial"/>
          <w:iCs/>
          <w:szCs w:val="20"/>
          <w:lang w:val="en-US"/>
        </w:rPr>
        <w:t>brother of</w:t>
      </w:r>
      <w:r w:rsidR="00D81AA1" w:rsidRPr="00FE50A6">
        <w:rPr>
          <w:rFonts w:cs="Arial"/>
          <w:iCs/>
          <w:szCs w:val="20"/>
          <w:lang w:val="en-US"/>
        </w:rPr>
        <w:t xml:space="preserve"> Luis Ferreira da Cruz</w:t>
      </w:r>
      <w:r w:rsidR="00B41626" w:rsidRPr="00FE50A6">
        <w:rPr>
          <w:rFonts w:cs="Arial"/>
          <w:iCs/>
          <w:szCs w:val="20"/>
          <w:lang w:val="en-US"/>
        </w:rPr>
        <w:t xml:space="preserve">, aged 16, filed a report before </w:t>
      </w:r>
      <w:r w:rsidR="00445155" w:rsidRPr="00FE50A6">
        <w:rPr>
          <w:rFonts w:cs="Arial"/>
          <w:iCs/>
          <w:szCs w:val="20"/>
          <w:lang w:val="en-US"/>
        </w:rPr>
        <w:t>the Federal</w:t>
      </w:r>
      <w:r w:rsidR="008B0077" w:rsidRPr="00FE50A6">
        <w:rPr>
          <w:rFonts w:cs="Arial"/>
          <w:iCs/>
          <w:szCs w:val="20"/>
          <w:lang w:val="en-US"/>
        </w:rPr>
        <w:t xml:space="preserve"> Police</w:t>
      </w:r>
      <w:r w:rsidR="00D81AA1" w:rsidRPr="00FE50A6">
        <w:rPr>
          <w:rFonts w:cs="Arial"/>
          <w:iCs/>
          <w:szCs w:val="20"/>
          <w:lang w:val="en-US"/>
        </w:rPr>
        <w:t xml:space="preserve"> </w:t>
      </w:r>
      <w:r w:rsidR="00531E80" w:rsidRPr="00FE50A6">
        <w:rPr>
          <w:rFonts w:cs="Arial"/>
          <w:iCs/>
          <w:szCs w:val="20"/>
          <w:lang w:val="en-US"/>
        </w:rPr>
        <w:t>based on</w:t>
      </w:r>
      <w:r w:rsidR="00B41626" w:rsidRPr="00FE50A6">
        <w:rPr>
          <w:rFonts w:cs="Arial"/>
          <w:iCs/>
          <w:szCs w:val="20"/>
          <w:lang w:val="en-US"/>
        </w:rPr>
        <w:t xml:space="preserve"> the practice of </w:t>
      </w:r>
      <w:r w:rsidR="005F1946" w:rsidRPr="00FE50A6">
        <w:rPr>
          <w:rFonts w:cs="Arial"/>
          <w:iCs/>
          <w:szCs w:val="20"/>
          <w:lang w:val="en-US"/>
        </w:rPr>
        <w:t>slave labor</w:t>
      </w:r>
      <w:r w:rsidR="00D81AA1" w:rsidRPr="00FE50A6">
        <w:rPr>
          <w:rFonts w:cs="Arial"/>
          <w:iCs/>
          <w:szCs w:val="20"/>
          <w:lang w:val="en-US"/>
        </w:rPr>
        <w:t xml:space="preserve"> </w:t>
      </w:r>
      <w:r w:rsidR="00B41626" w:rsidRPr="00FE50A6">
        <w:rPr>
          <w:rFonts w:cs="Arial"/>
          <w:iCs/>
          <w:szCs w:val="20"/>
          <w:lang w:val="en-US"/>
        </w:rPr>
        <w:t>in</w:t>
      </w:r>
      <w:r w:rsidR="00D81AA1" w:rsidRPr="00FE50A6">
        <w:rPr>
          <w:rFonts w:cs="Arial"/>
          <w:iCs/>
          <w:szCs w:val="20"/>
          <w:lang w:val="en-US"/>
        </w:rPr>
        <w:t xml:space="preserve"> Hacienda </w:t>
      </w:r>
      <w:r w:rsidR="00322241" w:rsidRPr="00FE50A6">
        <w:rPr>
          <w:rFonts w:cs="Arial"/>
          <w:iCs/>
          <w:szCs w:val="20"/>
          <w:lang w:val="en-US"/>
        </w:rPr>
        <w:t>Brasil Verde</w:t>
      </w:r>
      <w:r w:rsidR="00D81AA1" w:rsidRPr="00FE50A6">
        <w:rPr>
          <w:rFonts w:cs="Arial"/>
          <w:iCs/>
          <w:szCs w:val="20"/>
          <w:lang w:val="en-US"/>
        </w:rPr>
        <w:t xml:space="preserve">, </w:t>
      </w:r>
      <w:r w:rsidR="00B41626" w:rsidRPr="00FE50A6">
        <w:rPr>
          <w:rFonts w:cs="Arial"/>
          <w:iCs/>
          <w:szCs w:val="20"/>
          <w:lang w:val="en-US"/>
        </w:rPr>
        <w:t xml:space="preserve">and also the disappearance of the two </w:t>
      </w:r>
      <w:r w:rsidR="00531E80" w:rsidRPr="00FE50A6">
        <w:rPr>
          <w:rFonts w:cs="Arial"/>
          <w:iCs/>
          <w:szCs w:val="20"/>
          <w:lang w:val="en-US"/>
        </w:rPr>
        <w:t>adolescents</w:t>
      </w:r>
      <w:r w:rsidR="00B41626" w:rsidRPr="00FE50A6">
        <w:rPr>
          <w:rFonts w:cs="Arial"/>
          <w:iCs/>
          <w:szCs w:val="20"/>
          <w:lang w:val="en-US"/>
        </w:rPr>
        <w:t xml:space="preserve">. In this report, they alleged that, in August 1988, </w:t>
      </w:r>
      <w:r w:rsidR="00D81AA1" w:rsidRPr="00FE50A6">
        <w:rPr>
          <w:rFonts w:cs="Arial"/>
          <w:iCs/>
          <w:szCs w:val="20"/>
          <w:lang w:val="en-US"/>
        </w:rPr>
        <w:t>lron Canuto</w:t>
      </w:r>
      <w:r w:rsidR="0050553E" w:rsidRPr="00FE50A6">
        <w:rPr>
          <w:rFonts w:cs="Arial"/>
          <w:iCs/>
          <w:szCs w:val="20"/>
          <w:lang w:val="en-US"/>
        </w:rPr>
        <w:t xml:space="preserve"> da Silva</w:t>
      </w:r>
      <w:r w:rsidR="00030C17" w:rsidRPr="00FE50A6">
        <w:rPr>
          <w:rFonts w:cs="Arial"/>
          <w:iCs/>
          <w:szCs w:val="20"/>
          <w:lang w:val="en-US"/>
        </w:rPr>
        <w:t xml:space="preserve"> and </w:t>
      </w:r>
      <w:r w:rsidR="00200C04" w:rsidRPr="00FE50A6">
        <w:rPr>
          <w:rFonts w:cs="Arial"/>
          <w:iCs/>
          <w:szCs w:val="20"/>
          <w:lang w:val="en-US"/>
        </w:rPr>
        <w:t>Luis Ferreira da Cruz</w:t>
      </w:r>
      <w:r w:rsidR="00D81AA1" w:rsidRPr="00FE50A6">
        <w:rPr>
          <w:rFonts w:cs="Arial"/>
          <w:iCs/>
          <w:szCs w:val="20"/>
          <w:lang w:val="en-US"/>
        </w:rPr>
        <w:t xml:space="preserve"> ha</w:t>
      </w:r>
      <w:r w:rsidR="00B41626" w:rsidRPr="00FE50A6">
        <w:rPr>
          <w:rFonts w:cs="Arial"/>
          <w:iCs/>
          <w:szCs w:val="20"/>
          <w:lang w:val="en-US"/>
        </w:rPr>
        <w:t xml:space="preserve">d been taken by </w:t>
      </w:r>
      <w:r w:rsidR="00D81AA1" w:rsidRPr="00FE50A6">
        <w:rPr>
          <w:rFonts w:cs="Arial"/>
          <w:iCs/>
          <w:szCs w:val="20"/>
          <w:lang w:val="en-US"/>
        </w:rPr>
        <w:t xml:space="preserve">Manoel Pinto Ferreira, </w:t>
      </w:r>
      <w:r w:rsidR="00B41626" w:rsidRPr="00FE50A6">
        <w:rPr>
          <w:rFonts w:cs="Arial"/>
          <w:iCs/>
          <w:szCs w:val="20"/>
          <w:lang w:val="en-US"/>
        </w:rPr>
        <w:t>who was</w:t>
      </w:r>
      <w:r w:rsidR="00531E80" w:rsidRPr="00FE50A6">
        <w:rPr>
          <w:rFonts w:cs="Arial"/>
          <w:iCs/>
          <w:szCs w:val="20"/>
          <w:lang w:val="en-US"/>
        </w:rPr>
        <w:t xml:space="preserve"> a</w:t>
      </w:r>
      <w:r w:rsidR="00B41626" w:rsidRPr="00FE50A6">
        <w:rPr>
          <w:rFonts w:cs="Arial"/>
          <w:iCs/>
          <w:szCs w:val="20"/>
          <w:lang w:val="en-US"/>
        </w:rPr>
        <w:t xml:space="preserve"> </w:t>
      </w:r>
      <w:r w:rsidR="00DB1C1D" w:rsidRPr="00FE50A6">
        <w:rPr>
          <w:rFonts w:cs="Arial"/>
          <w:i/>
          <w:iCs/>
          <w:szCs w:val="20"/>
          <w:lang w:val="en-US"/>
        </w:rPr>
        <w:t xml:space="preserve">gato </w:t>
      </w:r>
      <w:r w:rsidR="00B41626" w:rsidRPr="00FE50A6">
        <w:rPr>
          <w:rFonts w:cs="Arial"/>
          <w:iCs/>
          <w:szCs w:val="20"/>
          <w:lang w:val="en-US"/>
        </w:rPr>
        <w:t xml:space="preserve">known as </w:t>
      </w:r>
      <w:r w:rsidR="009C48A4" w:rsidRPr="00FE50A6">
        <w:rPr>
          <w:rFonts w:cs="Arial"/>
          <w:iCs/>
          <w:szCs w:val="20"/>
          <w:lang w:val="en-US"/>
        </w:rPr>
        <w:t>“</w:t>
      </w:r>
      <w:r w:rsidR="00D81AA1" w:rsidRPr="00FE50A6">
        <w:rPr>
          <w:rFonts w:cs="Arial"/>
          <w:iCs/>
          <w:szCs w:val="20"/>
          <w:lang w:val="en-US"/>
        </w:rPr>
        <w:t>Mano</w:t>
      </w:r>
      <w:r w:rsidR="00531E80" w:rsidRPr="00FE50A6">
        <w:rPr>
          <w:rFonts w:cs="Arial"/>
          <w:iCs/>
          <w:szCs w:val="20"/>
          <w:lang w:val="en-US"/>
        </w:rPr>
        <w:t>,</w:t>
      </w:r>
      <w:r w:rsidR="009C48A4" w:rsidRPr="00FE50A6">
        <w:rPr>
          <w:rFonts w:cs="Arial"/>
          <w:iCs/>
          <w:szCs w:val="20"/>
          <w:lang w:val="en-US"/>
        </w:rPr>
        <w:t>”</w:t>
      </w:r>
      <w:r w:rsidR="00D81AA1" w:rsidRPr="00FE50A6">
        <w:rPr>
          <w:rFonts w:cs="Arial"/>
          <w:iCs/>
          <w:szCs w:val="20"/>
          <w:lang w:val="en-US"/>
        </w:rPr>
        <w:t xml:space="preserve"> </w:t>
      </w:r>
      <w:r w:rsidR="00B41626" w:rsidRPr="00FE50A6">
        <w:rPr>
          <w:rFonts w:cs="Arial"/>
          <w:iCs/>
          <w:szCs w:val="20"/>
          <w:lang w:val="en-US"/>
        </w:rPr>
        <w:t xml:space="preserve">to work in </w:t>
      </w:r>
      <w:r w:rsidR="00D81AA1" w:rsidRPr="00FE50A6">
        <w:rPr>
          <w:rFonts w:cs="Arial"/>
          <w:iCs/>
          <w:szCs w:val="20"/>
          <w:lang w:val="en-US"/>
        </w:rPr>
        <w:t xml:space="preserve">Hacienda </w:t>
      </w:r>
      <w:r w:rsidR="00322241" w:rsidRPr="00FE50A6">
        <w:rPr>
          <w:rFonts w:cs="Arial"/>
          <w:iCs/>
          <w:szCs w:val="20"/>
          <w:lang w:val="en-US"/>
        </w:rPr>
        <w:t>Brasil Verde</w:t>
      </w:r>
      <w:r w:rsidR="00531E80" w:rsidRPr="00FE50A6">
        <w:rPr>
          <w:rFonts w:cs="Arial"/>
          <w:iCs/>
          <w:szCs w:val="20"/>
          <w:lang w:val="en-US"/>
        </w:rPr>
        <w:t xml:space="preserve"> for 60 days</w:t>
      </w:r>
      <w:r w:rsidR="00D81AA1" w:rsidRPr="00FE50A6">
        <w:rPr>
          <w:rFonts w:cs="Arial"/>
          <w:iCs/>
          <w:szCs w:val="20"/>
          <w:lang w:val="en-US"/>
        </w:rPr>
        <w:t xml:space="preserve">. </w:t>
      </w:r>
      <w:r w:rsidR="00B41626" w:rsidRPr="00FE50A6">
        <w:rPr>
          <w:rFonts w:cs="Arial"/>
          <w:iCs/>
          <w:szCs w:val="20"/>
          <w:lang w:val="en-US"/>
        </w:rPr>
        <w:t xml:space="preserve">They also indicated that, according to information they received from the </w:t>
      </w:r>
      <w:r w:rsidR="00B41626" w:rsidRPr="00FE50A6">
        <w:rPr>
          <w:rFonts w:cs="Arial"/>
          <w:i/>
          <w:iCs/>
          <w:szCs w:val="20"/>
          <w:lang w:val="en-US"/>
        </w:rPr>
        <w:t xml:space="preserve">gato </w:t>
      </w:r>
      <w:r w:rsidR="00B41626" w:rsidRPr="00FE50A6">
        <w:rPr>
          <w:rFonts w:cs="Arial"/>
          <w:iCs/>
          <w:szCs w:val="20"/>
          <w:lang w:val="en-US"/>
        </w:rPr>
        <w:t>“Mano,” in around September of that year, the you</w:t>
      </w:r>
      <w:r w:rsidR="00531E80" w:rsidRPr="00FE50A6">
        <w:rPr>
          <w:rFonts w:cs="Arial"/>
          <w:iCs/>
          <w:szCs w:val="20"/>
          <w:lang w:val="en-US"/>
        </w:rPr>
        <w:t>ng men</w:t>
      </w:r>
      <w:r w:rsidR="00B41626" w:rsidRPr="00FE50A6">
        <w:rPr>
          <w:rFonts w:cs="Arial"/>
          <w:iCs/>
          <w:szCs w:val="20"/>
          <w:lang w:val="en-US"/>
        </w:rPr>
        <w:t xml:space="preserve"> had tried to escape from the hacienda but had been found by the </w:t>
      </w:r>
      <w:r w:rsidR="00B41626" w:rsidRPr="00FE50A6">
        <w:rPr>
          <w:rFonts w:cs="Arial"/>
          <w:i/>
          <w:iCs/>
          <w:szCs w:val="20"/>
          <w:lang w:val="en-US"/>
        </w:rPr>
        <w:t>gato</w:t>
      </w:r>
      <w:r w:rsidR="00B41626" w:rsidRPr="00FE50A6">
        <w:rPr>
          <w:rFonts w:cs="Arial"/>
          <w:iCs/>
          <w:szCs w:val="20"/>
          <w:lang w:val="en-US"/>
        </w:rPr>
        <w:t xml:space="preserve"> and forcibly returned. The </w:t>
      </w:r>
      <w:r w:rsidR="00B41626" w:rsidRPr="00FE50A6">
        <w:rPr>
          <w:rFonts w:cs="Arial"/>
          <w:i/>
          <w:iCs/>
          <w:szCs w:val="20"/>
          <w:lang w:val="en-US"/>
        </w:rPr>
        <w:t>gato</w:t>
      </w:r>
      <w:r w:rsidR="00B41626" w:rsidRPr="00FE50A6">
        <w:rPr>
          <w:rFonts w:cs="Arial"/>
          <w:iCs/>
          <w:szCs w:val="20"/>
          <w:lang w:val="en-US"/>
        </w:rPr>
        <w:t xml:space="preserve"> had threatened to kill the </w:t>
      </w:r>
      <w:r w:rsidR="00531E80" w:rsidRPr="00FE50A6">
        <w:rPr>
          <w:rFonts w:cs="Arial"/>
          <w:iCs/>
          <w:szCs w:val="20"/>
          <w:lang w:val="en-US"/>
        </w:rPr>
        <w:t>adolescents</w:t>
      </w:r>
      <w:r w:rsidR="00B41626" w:rsidRPr="00FE50A6">
        <w:rPr>
          <w:rFonts w:cs="Arial"/>
          <w:iCs/>
          <w:szCs w:val="20"/>
          <w:lang w:val="en-US"/>
        </w:rPr>
        <w:t xml:space="preserve"> and even fired some shots with </w:t>
      </w:r>
      <w:r w:rsidR="00531E80" w:rsidRPr="00FE50A6">
        <w:rPr>
          <w:rFonts w:cs="Arial"/>
          <w:iCs/>
          <w:szCs w:val="20"/>
          <w:lang w:val="en-US"/>
        </w:rPr>
        <w:t>his gun</w:t>
      </w:r>
      <w:r w:rsidR="00B41626" w:rsidRPr="00FE50A6">
        <w:rPr>
          <w:rFonts w:cs="Arial"/>
          <w:iCs/>
          <w:szCs w:val="20"/>
          <w:lang w:val="en-US"/>
        </w:rPr>
        <w:t>. Lastly, the complainants indicated that they were unaware of the whereabouts of the you</w:t>
      </w:r>
      <w:r w:rsidR="00531E80" w:rsidRPr="00FE50A6">
        <w:rPr>
          <w:rFonts w:cs="Arial"/>
          <w:iCs/>
          <w:szCs w:val="20"/>
          <w:lang w:val="en-US"/>
        </w:rPr>
        <w:t>ng men</w:t>
      </w:r>
      <w:r w:rsidR="00B41626" w:rsidRPr="00FE50A6">
        <w:rPr>
          <w:rFonts w:cs="Arial"/>
          <w:iCs/>
          <w:szCs w:val="20"/>
          <w:lang w:val="en-US"/>
        </w:rPr>
        <w:t xml:space="preserve"> and that this situation had caused their families great concern</w:t>
      </w:r>
      <w:r w:rsidR="00D81AA1" w:rsidRPr="00FE50A6">
        <w:rPr>
          <w:rFonts w:cs="Arial"/>
          <w:iCs/>
          <w:szCs w:val="20"/>
          <w:lang w:val="en-US"/>
        </w:rPr>
        <w:t xml:space="preserve"> (</w:t>
      </w:r>
      <w:r w:rsidR="00D81AA1" w:rsidRPr="00FE50A6">
        <w:rPr>
          <w:rFonts w:cs="Arial"/>
          <w:i/>
          <w:iCs/>
          <w:szCs w:val="20"/>
          <w:lang w:val="en-US"/>
        </w:rPr>
        <w:t>supra</w:t>
      </w:r>
      <w:r w:rsidR="00B30674" w:rsidRPr="00FE50A6">
        <w:rPr>
          <w:rFonts w:cs="Arial"/>
          <w:iCs/>
          <w:szCs w:val="20"/>
          <w:lang w:val="en-US"/>
        </w:rPr>
        <w:t xml:space="preserve"> </w:t>
      </w:r>
      <w:r w:rsidR="00700B79" w:rsidRPr="00FE50A6">
        <w:rPr>
          <w:rFonts w:cs="Arial"/>
          <w:iCs/>
          <w:szCs w:val="20"/>
          <w:lang w:val="en-US"/>
        </w:rPr>
        <w:t>para.</w:t>
      </w:r>
      <w:r w:rsidR="00D81AA1" w:rsidRPr="00FE50A6">
        <w:rPr>
          <w:rFonts w:cs="Arial"/>
          <w:iCs/>
          <w:szCs w:val="20"/>
          <w:lang w:val="en-US"/>
        </w:rPr>
        <w:t xml:space="preserve"> </w:t>
      </w:r>
      <w:r w:rsidR="00B30674" w:rsidRPr="00FE50A6">
        <w:rPr>
          <w:rFonts w:cs="Arial"/>
          <w:iCs/>
          <w:szCs w:val="20"/>
          <w:lang w:val="en-US"/>
        </w:rPr>
        <w:t>130</w:t>
      </w:r>
      <w:r w:rsidR="00D81AA1" w:rsidRPr="00FE50A6">
        <w:rPr>
          <w:rFonts w:cs="Arial"/>
          <w:iCs/>
          <w:szCs w:val="20"/>
          <w:lang w:val="en-US"/>
        </w:rPr>
        <w:t>).</w:t>
      </w:r>
    </w:p>
    <w:p w14:paraId="19FAE700" w14:textId="77777777" w:rsidR="00D81AA1" w:rsidRPr="00FE50A6" w:rsidRDefault="00D81AA1" w:rsidP="00D81AA1">
      <w:pPr>
        <w:pStyle w:val="Prrafodelista"/>
        <w:tabs>
          <w:tab w:val="right" w:pos="0"/>
        </w:tabs>
        <w:autoSpaceDE w:val="0"/>
        <w:autoSpaceDN w:val="0"/>
        <w:adjustRightInd w:val="0"/>
        <w:ind w:left="0"/>
        <w:rPr>
          <w:rFonts w:cs="Arial"/>
          <w:iCs/>
          <w:szCs w:val="20"/>
          <w:lang w:val="en-US"/>
        </w:rPr>
      </w:pPr>
    </w:p>
    <w:p w14:paraId="497CB45B" w14:textId="77777777" w:rsidR="00D81AA1" w:rsidRPr="00FE50A6" w:rsidRDefault="0092589F" w:rsidP="00D81AA1">
      <w:pPr>
        <w:pStyle w:val="Prrafodelista"/>
        <w:numPr>
          <w:ilvl w:val="0"/>
          <w:numId w:val="1"/>
        </w:numPr>
        <w:tabs>
          <w:tab w:val="right" w:pos="0"/>
        </w:tabs>
        <w:contextualSpacing w:val="0"/>
        <w:rPr>
          <w:rFonts w:cs="Arial"/>
          <w:iCs/>
          <w:szCs w:val="20"/>
          <w:lang w:val="en-US"/>
        </w:rPr>
      </w:pPr>
      <w:r w:rsidRPr="00FE50A6">
        <w:rPr>
          <w:rFonts w:cs="Arial"/>
          <w:iCs/>
          <w:szCs w:val="20"/>
          <w:lang w:val="en-US"/>
        </w:rPr>
        <w:t xml:space="preserve">The Court has also verified that, on </w:t>
      </w:r>
      <w:r w:rsidR="002225B4" w:rsidRPr="00FE50A6">
        <w:rPr>
          <w:rFonts w:cs="Arial"/>
          <w:iCs/>
          <w:szCs w:val="20"/>
          <w:lang w:val="en-US"/>
        </w:rPr>
        <w:t>February 20,</w:t>
      </w:r>
      <w:r w:rsidR="00D81AA1" w:rsidRPr="00FE50A6">
        <w:rPr>
          <w:rFonts w:cs="Arial"/>
          <w:iCs/>
          <w:szCs w:val="20"/>
          <w:lang w:val="en-US"/>
        </w:rPr>
        <w:t xml:space="preserve"> 1989</w:t>
      </w:r>
      <w:r w:rsidRPr="00FE50A6">
        <w:rPr>
          <w:rFonts w:cs="Arial"/>
          <w:iCs/>
          <w:szCs w:val="20"/>
          <w:lang w:val="en-US"/>
        </w:rPr>
        <w:t>,</w:t>
      </w:r>
      <w:r w:rsidR="00D81AA1" w:rsidRPr="00FE50A6">
        <w:rPr>
          <w:rFonts w:cs="Arial"/>
          <w:iCs/>
          <w:szCs w:val="20"/>
          <w:lang w:val="en-US"/>
        </w:rPr>
        <w:t xml:space="preserve"> </w:t>
      </w:r>
      <w:r w:rsidR="00445155" w:rsidRPr="00FE50A6">
        <w:rPr>
          <w:rFonts w:cs="Arial"/>
          <w:iCs/>
          <w:szCs w:val="20"/>
          <w:lang w:val="en-US"/>
        </w:rPr>
        <w:t>the Federal</w:t>
      </w:r>
      <w:r w:rsidR="008B0077" w:rsidRPr="00FE50A6">
        <w:rPr>
          <w:rFonts w:cs="Arial"/>
          <w:iCs/>
          <w:szCs w:val="20"/>
          <w:lang w:val="en-US"/>
        </w:rPr>
        <w:t xml:space="preserve"> Police</w:t>
      </w:r>
      <w:r w:rsidR="00D81AA1" w:rsidRPr="00FE50A6">
        <w:rPr>
          <w:rFonts w:cs="Arial"/>
          <w:iCs/>
          <w:szCs w:val="20"/>
          <w:lang w:val="en-US"/>
        </w:rPr>
        <w:t xml:space="preserve"> </w:t>
      </w:r>
      <w:r w:rsidRPr="00FE50A6">
        <w:rPr>
          <w:rFonts w:cs="Arial"/>
          <w:iCs/>
          <w:szCs w:val="20"/>
          <w:lang w:val="en-US"/>
        </w:rPr>
        <w:t xml:space="preserve">made a visit to </w:t>
      </w:r>
      <w:r w:rsidR="00D81AA1" w:rsidRPr="00FE50A6">
        <w:rPr>
          <w:rFonts w:cs="Arial"/>
          <w:iCs/>
          <w:szCs w:val="20"/>
          <w:lang w:val="en-US"/>
        </w:rPr>
        <w:t xml:space="preserve">Hacienda </w:t>
      </w:r>
      <w:r w:rsidR="00322241" w:rsidRPr="00FE50A6">
        <w:rPr>
          <w:rFonts w:cs="Arial"/>
          <w:iCs/>
          <w:szCs w:val="20"/>
          <w:lang w:val="en-US"/>
        </w:rPr>
        <w:t>Brasil Verde</w:t>
      </w:r>
      <w:r w:rsidR="00D81AA1" w:rsidRPr="00FE50A6">
        <w:rPr>
          <w:rFonts w:cs="Arial"/>
          <w:iCs/>
          <w:szCs w:val="20"/>
          <w:lang w:val="en-US"/>
        </w:rPr>
        <w:t xml:space="preserve">. </w:t>
      </w:r>
      <w:r w:rsidRPr="00FE50A6">
        <w:rPr>
          <w:rFonts w:cs="Arial"/>
          <w:iCs/>
          <w:szCs w:val="20"/>
          <w:lang w:val="en-US"/>
        </w:rPr>
        <w:t xml:space="preserve">During this visit the workers present identified the </w:t>
      </w:r>
      <w:r w:rsidR="00DB1C1D" w:rsidRPr="00FE50A6">
        <w:rPr>
          <w:rFonts w:cs="Arial"/>
          <w:i/>
          <w:iCs/>
          <w:szCs w:val="20"/>
          <w:lang w:val="en-US"/>
        </w:rPr>
        <w:t xml:space="preserve">gato </w:t>
      </w:r>
      <w:r w:rsidRPr="00FE50A6">
        <w:rPr>
          <w:rFonts w:cs="Arial"/>
          <w:iCs/>
          <w:szCs w:val="20"/>
          <w:lang w:val="en-US"/>
        </w:rPr>
        <w:t>known as</w:t>
      </w:r>
      <w:r w:rsidR="00D81AA1" w:rsidRPr="00FE50A6">
        <w:rPr>
          <w:rFonts w:cs="Arial"/>
          <w:iCs/>
          <w:szCs w:val="20"/>
          <w:lang w:val="en-US"/>
        </w:rPr>
        <w:t xml:space="preserve"> </w:t>
      </w:r>
      <w:r w:rsidR="009C48A4" w:rsidRPr="00FE50A6">
        <w:rPr>
          <w:rFonts w:cs="Arial"/>
          <w:iCs/>
          <w:szCs w:val="20"/>
          <w:lang w:val="en-US"/>
        </w:rPr>
        <w:t>“</w:t>
      </w:r>
      <w:r w:rsidR="00D81AA1" w:rsidRPr="00FE50A6">
        <w:rPr>
          <w:rFonts w:cs="Arial"/>
          <w:iCs/>
          <w:szCs w:val="20"/>
          <w:lang w:val="en-US"/>
        </w:rPr>
        <w:t>Mano</w:t>
      </w:r>
      <w:r w:rsidR="009C48A4" w:rsidRPr="00FE50A6">
        <w:rPr>
          <w:rFonts w:cs="Arial"/>
          <w:iCs/>
          <w:szCs w:val="20"/>
          <w:lang w:val="en-US"/>
        </w:rPr>
        <w:t>”</w:t>
      </w:r>
      <w:r w:rsidR="00D81AA1" w:rsidRPr="00FE50A6">
        <w:rPr>
          <w:rFonts w:cs="Arial"/>
          <w:iCs/>
          <w:szCs w:val="20"/>
          <w:lang w:val="en-US"/>
        </w:rPr>
        <w:t xml:space="preserve"> </w:t>
      </w:r>
      <w:r w:rsidRPr="00FE50A6">
        <w:rPr>
          <w:rFonts w:cs="Arial"/>
          <w:iCs/>
          <w:szCs w:val="20"/>
          <w:lang w:val="en-US"/>
        </w:rPr>
        <w:t>and</w:t>
      </w:r>
      <w:r w:rsidR="001F3447" w:rsidRPr="00FE50A6">
        <w:rPr>
          <w:rFonts w:cs="Arial"/>
          <w:iCs/>
          <w:szCs w:val="20"/>
          <w:lang w:val="en-US"/>
        </w:rPr>
        <w:t xml:space="preserve"> informed</w:t>
      </w:r>
      <w:r w:rsidR="00D81AA1" w:rsidRPr="00FE50A6">
        <w:rPr>
          <w:rFonts w:cs="Arial"/>
          <w:i/>
          <w:iCs/>
          <w:szCs w:val="20"/>
          <w:lang w:val="en-US"/>
        </w:rPr>
        <w:t xml:space="preserve"> </w:t>
      </w:r>
      <w:r w:rsidR="00445155" w:rsidRPr="00FE50A6">
        <w:rPr>
          <w:rFonts w:cs="Arial"/>
          <w:iCs/>
          <w:szCs w:val="20"/>
          <w:lang w:val="en-US"/>
        </w:rPr>
        <w:t>the Federal</w:t>
      </w:r>
      <w:r w:rsidR="008B0077" w:rsidRPr="00FE50A6">
        <w:rPr>
          <w:rFonts w:cs="Arial"/>
          <w:iCs/>
          <w:szCs w:val="20"/>
          <w:lang w:val="en-US"/>
        </w:rPr>
        <w:t xml:space="preserve"> Police</w:t>
      </w:r>
      <w:r w:rsidR="00A825EA" w:rsidRPr="00FE50A6">
        <w:rPr>
          <w:rFonts w:cs="Arial"/>
          <w:iCs/>
          <w:szCs w:val="20"/>
          <w:lang w:val="en-US"/>
        </w:rPr>
        <w:t xml:space="preserve"> </w:t>
      </w:r>
      <w:r w:rsidR="001F3447" w:rsidRPr="00FE50A6">
        <w:rPr>
          <w:rFonts w:cs="Arial"/>
          <w:iCs/>
          <w:szCs w:val="20"/>
          <w:lang w:val="en-US"/>
        </w:rPr>
        <w:t>that</w:t>
      </w:r>
      <w:r w:rsidR="00D81AA1" w:rsidRPr="00FE50A6">
        <w:rPr>
          <w:rFonts w:cs="Arial"/>
          <w:iCs/>
          <w:szCs w:val="20"/>
          <w:lang w:val="en-US"/>
        </w:rPr>
        <w:t xml:space="preserve"> lron Canuto</w:t>
      </w:r>
      <w:r w:rsidR="00AE1405" w:rsidRPr="00FE50A6">
        <w:rPr>
          <w:rFonts w:cs="Arial"/>
          <w:iCs/>
          <w:szCs w:val="20"/>
          <w:lang w:val="en-US"/>
        </w:rPr>
        <w:t xml:space="preserve"> da Silva</w:t>
      </w:r>
      <w:r w:rsidR="00030C17" w:rsidRPr="00FE50A6">
        <w:rPr>
          <w:rFonts w:cs="Arial"/>
          <w:iCs/>
          <w:szCs w:val="20"/>
          <w:lang w:val="en-US"/>
        </w:rPr>
        <w:t xml:space="preserve"> and </w:t>
      </w:r>
      <w:r w:rsidR="00200C04" w:rsidRPr="00FE50A6">
        <w:rPr>
          <w:rFonts w:cs="Arial"/>
          <w:iCs/>
          <w:szCs w:val="20"/>
          <w:lang w:val="en-US"/>
        </w:rPr>
        <w:t>Luis Ferreira da Cruz</w:t>
      </w:r>
      <w:r w:rsidR="00D81AA1" w:rsidRPr="00FE50A6">
        <w:rPr>
          <w:rFonts w:cs="Arial"/>
          <w:iCs/>
          <w:szCs w:val="20"/>
          <w:lang w:val="en-US"/>
        </w:rPr>
        <w:t xml:space="preserve"> ha</w:t>
      </w:r>
      <w:r w:rsidR="001F3447" w:rsidRPr="00FE50A6">
        <w:rPr>
          <w:rFonts w:cs="Arial"/>
          <w:iCs/>
          <w:szCs w:val="20"/>
          <w:lang w:val="en-US"/>
        </w:rPr>
        <w:t>d fled</w:t>
      </w:r>
      <w:r w:rsidR="00A825EA" w:rsidRPr="00FE50A6">
        <w:rPr>
          <w:rFonts w:cs="Arial"/>
          <w:iCs/>
          <w:szCs w:val="20"/>
          <w:lang w:val="en-US"/>
        </w:rPr>
        <w:t xml:space="preserve"> from</w:t>
      </w:r>
      <w:r w:rsidR="001F3447" w:rsidRPr="00FE50A6">
        <w:rPr>
          <w:rFonts w:cs="Arial"/>
          <w:iCs/>
          <w:szCs w:val="20"/>
          <w:lang w:val="en-US"/>
        </w:rPr>
        <w:t xml:space="preserve"> </w:t>
      </w:r>
      <w:r w:rsidR="00D81AA1" w:rsidRPr="00FE50A6">
        <w:rPr>
          <w:rFonts w:cs="Arial"/>
          <w:iCs/>
          <w:szCs w:val="20"/>
          <w:lang w:val="en-US"/>
        </w:rPr>
        <w:t xml:space="preserve">Hacienda </w:t>
      </w:r>
      <w:r w:rsidR="00322241" w:rsidRPr="00FE50A6">
        <w:rPr>
          <w:rFonts w:cs="Arial"/>
          <w:iCs/>
          <w:szCs w:val="20"/>
          <w:lang w:val="en-US"/>
        </w:rPr>
        <w:t>Brasil Verde</w:t>
      </w:r>
      <w:r w:rsidR="00A825EA" w:rsidRPr="00FE50A6">
        <w:rPr>
          <w:rFonts w:cs="Arial"/>
          <w:iCs/>
          <w:szCs w:val="20"/>
          <w:lang w:val="en-US"/>
        </w:rPr>
        <w:t xml:space="preserve"> </w:t>
      </w:r>
      <w:r w:rsidR="001F3447" w:rsidRPr="00FE50A6">
        <w:rPr>
          <w:rFonts w:cs="Arial"/>
          <w:iCs/>
          <w:szCs w:val="20"/>
          <w:lang w:val="en-US"/>
        </w:rPr>
        <w:t xml:space="preserve">in the direction of </w:t>
      </w:r>
      <w:r w:rsidR="00D81AA1" w:rsidRPr="00FE50A6">
        <w:rPr>
          <w:rFonts w:cs="Arial"/>
          <w:iCs/>
          <w:szCs w:val="20"/>
          <w:lang w:val="en-US"/>
        </w:rPr>
        <w:t>Hacienda Belém (</w:t>
      </w:r>
      <w:r w:rsidR="00D81AA1" w:rsidRPr="00FE50A6">
        <w:rPr>
          <w:rFonts w:cs="Arial"/>
          <w:i/>
          <w:iCs/>
          <w:szCs w:val="20"/>
          <w:lang w:val="en-US"/>
        </w:rPr>
        <w:t>supra</w:t>
      </w:r>
      <w:r w:rsidR="00D81AA1" w:rsidRPr="00FE50A6">
        <w:rPr>
          <w:rFonts w:cs="Arial"/>
          <w:iCs/>
          <w:szCs w:val="20"/>
          <w:lang w:val="en-US"/>
        </w:rPr>
        <w:t xml:space="preserve"> </w:t>
      </w:r>
      <w:r w:rsidR="00700B79" w:rsidRPr="00FE50A6">
        <w:rPr>
          <w:rFonts w:cs="Arial"/>
          <w:iCs/>
          <w:szCs w:val="20"/>
          <w:lang w:val="en-US"/>
        </w:rPr>
        <w:t>paras.</w:t>
      </w:r>
      <w:r w:rsidR="00D81AA1" w:rsidRPr="00FE50A6">
        <w:rPr>
          <w:rFonts w:cs="Arial"/>
          <w:iCs/>
          <w:szCs w:val="20"/>
          <w:lang w:val="en-US"/>
        </w:rPr>
        <w:t xml:space="preserve"> </w:t>
      </w:r>
      <w:r w:rsidR="00B30674" w:rsidRPr="00FE50A6">
        <w:rPr>
          <w:rFonts w:cs="Arial"/>
          <w:iCs/>
          <w:szCs w:val="20"/>
          <w:lang w:val="en-US"/>
        </w:rPr>
        <w:t>134</w:t>
      </w:r>
      <w:r w:rsidR="00030C17" w:rsidRPr="00FE50A6">
        <w:rPr>
          <w:rFonts w:cs="Arial"/>
          <w:iCs/>
          <w:szCs w:val="20"/>
          <w:lang w:val="en-US"/>
        </w:rPr>
        <w:t xml:space="preserve"> and </w:t>
      </w:r>
      <w:r w:rsidR="00B30674" w:rsidRPr="00FE50A6">
        <w:rPr>
          <w:rFonts w:cs="Arial"/>
          <w:iCs/>
          <w:szCs w:val="20"/>
          <w:lang w:val="en-US"/>
        </w:rPr>
        <w:t>135</w:t>
      </w:r>
      <w:r w:rsidR="00D81AA1" w:rsidRPr="00FE50A6">
        <w:rPr>
          <w:rFonts w:cs="Arial"/>
          <w:iCs/>
          <w:szCs w:val="20"/>
          <w:lang w:val="en-US"/>
        </w:rPr>
        <w:t xml:space="preserve">). </w:t>
      </w:r>
      <w:r w:rsidR="001F3447" w:rsidRPr="00FE50A6">
        <w:rPr>
          <w:rFonts w:cs="Arial"/>
          <w:iCs/>
          <w:szCs w:val="20"/>
          <w:lang w:val="en-US"/>
        </w:rPr>
        <w:t xml:space="preserve">Based on this information, the police did not continue the investigation into the disappearance of </w:t>
      </w:r>
      <w:r w:rsidR="008B075C" w:rsidRPr="00FE50A6">
        <w:rPr>
          <w:rFonts w:cs="Arial"/>
          <w:iCs/>
          <w:szCs w:val="20"/>
          <w:lang w:val="en-US"/>
        </w:rPr>
        <w:t>Iron Canuto da Silva</w:t>
      </w:r>
      <w:r w:rsidR="00030C17" w:rsidRPr="00FE50A6">
        <w:rPr>
          <w:rFonts w:cs="Arial"/>
          <w:iCs/>
          <w:szCs w:val="20"/>
          <w:lang w:val="en-US"/>
        </w:rPr>
        <w:t xml:space="preserve"> and </w:t>
      </w:r>
      <w:r w:rsidR="00200C04" w:rsidRPr="00FE50A6">
        <w:rPr>
          <w:rFonts w:cs="Arial"/>
          <w:iCs/>
          <w:szCs w:val="20"/>
          <w:lang w:val="en-US"/>
        </w:rPr>
        <w:t>Luis Ferreira da Cruz</w:t>
      </w:r>
      <w:r w:rsidR="00D81AA1" w:rsidRPr="00FE50A6">
        <w:rPr>
          <w:rFonts w:cs="Arial"/>
          <w:iCs/>
          <w:szCs w:val="20"/>
          <w:lang w:val="en-US"/>
        </w:rPr>
        <w:t xml:space="preserve"> </w:t>
      </w:r>
      <w:r w:rsidR="001F3447" w:rsidRPr="00FE50A6">
        <w:rPr>
          <w:rFonts w:cs="Arial"/>
          <w:iCs/>
          <w:szCs w:val="20"/>
          <w:lang w:val="en-US"/>
        </w:rPr>
        <w:t xml:space="preserve">because they considered that they were not disappeared. In this regard, the Court lacks competence to declare a violation of </w:t>
      </w:r>
      <w:r w:rsidR="000228D0" w:rsidRPr="00FE50A6">
        <w:rPr>
          <w:rFonts w:cs="Arial"/>
          <w:iCs/>
          <w:szCs w:val="20"/>
          <w:lang w:val="en-US"/>
        </w:rPr>
        <w:t>the American Convention</w:t>
      </w:r>
      <w:r w:rsidR="00D81AA1" w:rsidRPr="00FE50A6">
        <w:rPr>
          <w:rFonts w:cs="Arial"/>
          <w:iCs/>
          <w:szCs w:val="20"/>
          <w:lang w:val="en-US"/>
        </w:rPr>
        <w:t xml:space="preserve"> </w:t>
      </w:r>
      <w:r w:rsidR="001F3447" w:rsidRPr="00FE50A6">
        <w:rPr>
          <w:rFonts w:cs="Arial"/>
          <w:iCs/>
          <w:szCs w:val="20"/>
          <w:lang w:val="en-US"/>
        </w:rPr>
        <w:t>because the facts occurred prior to the State’s acceptance of its jurisdiction. Consequently, the Court is unable to rule on possible deficiencies in that investigation</w:t>
      </w:r>
      <w:r w:rsidR="00D81AA1" w:rsidRPr="00FE50A6">
        <w:rPr>
          <w:rFonts w:cs="Arial"/>
          <w:iCs/>
          <w:szCs w:val="20"/>
          <w:lang w:val="en-US"/>
        </w:rPr>
        <w:t>.</w:t>
      </w:r>
    </w:p>
    <w:p w14:paraId="501FDA3A" w14:textId="77777777" w:rsidR="00D81AA1" w:rsidRPr="00FE50A6" w:rsidRDefault="00D81AA1" w:rsidP="00D81AA1">
      <w:pPr>
        <w:pStyle w:val="Prrafodelista"/>
        <w:tabs>
          <w:tab w:val="right" w:pos="0"/>
        </w:tabs>
        <w:autoSpaceDE w:val="0"/>
        <w:autoSpaceDN w:val="0"/>
        <w:adjustRightInd w:val="0"/>
        <w:ind w:left="0"/>
        <w:contextualSpacing w:val="0"/>
        <w:rPr>
          <w:rFonts w:cs="Arial"/>
          <w:iCs/>
          <w:szCs w:val="20"/>
          <w:lang w:val="en-US"/>
        </w:rPr>
      </w:pPr>
    </w:p>
    <w:p w14:paraId="7103D4BC" w14:textId="77777777" w:rsidR="00D81AA1" w:rsidRPr="00FE50A6" w:rsidRDefault="00D81AA1" w:rsidP="00D81AA1">
      <w:pPr>
        <w:pStyle w:val="Prrafodelista"/>
        <w:numPr>
          <w:ilvl w:val="0"/>
          <w:numId w:val="1"/>
        </w:numPr>
        <w:tabs>
          <w:tab w:val="right" w:pos="0"/>
        </w:tabs>
        <w:contextualSpacing w:val="0"/>
        <w:rPr>
          <w:rFonts w:cs="Arial"/>
          <w:iCs/>
          <w:szCs w:val="20"/>
          <w:lang w:val="en-US"/>
        </w:rPr>
      </w:pPr>
      <w:r w:rsidRPr="00FE50A6">
        <w:rPr>
          <w:rFonts w:cs="Arial"/>
          <w:iCs/>
          <w:szCs w:val="20"/>
          <w:lang w:val="en-US"/>
        </w:rPr>
        <w:t>A</w:t>
      </w:r>
      <w:r w:rsidR="00295FFE" w:rsidRPr="00FE50A6">
        <w:rPr>
          <w:rFonts w:cs="Arial"/>
          <w:iCs/>
          <w:szCs w:val="20"/>
          <w:lang w:val="en-US"/>
        </w:rPr>
        <w:t>lso</w:t>
      </w:r>
      <w:r w:rsidRPr="00FE50A6">
        <w:rPr>
          <w:rFonts w:cs="Arial"/>
          <w:iCs/>
          <w:szCs w:val="20"/>
          <w:lang w:val="en-US"/>
        </w:rPr>
        <w:t xml:space="preserve">, </w:t>
      </w:r>
      <w:r w:rsidR="00295FFE" w:rsidRPr="00FE50A6">
        <w:rPr>
          <w:rFonts w:cs="Arial"/>
          <w:iCs/>
          <w:szCs w:val="20"/>
          <w:lang w:val="en-US"/>
        </w:rPr>
        <w:t>in</w:t>
      </w:r>
      <w:r w:rsidRPr="00FE50A6">
        <w:rPr>
          <w:rFonts w:cs="Arial"/>
          <w:iCs/>
          <w:szCs w:val="20"/>
          <w:lang w:val="en-US"/>
        </w:rPr>
        <w:t xml:space="preserve"> 2007, dur</w:t>
      </w:r>
      <w:r w:rsidR="00295FFE" w:rsidRPr="00FE50A6">
        <w:rPr>
          <w:rFonts w:cs="Arial"/>
          <w:iCs/>
          <w:szCs w:val="20"/>
          <w:lang w:val="en-US"/>
        </w:rPr>
        <w:t xml:space="preserve">ing the processing of the case before </w:t>
      </w:r>
      <w:r w:rsidR="000228D0" w:rsidRPr="00FE50A6">
        <w:rPr>
          <w:rFonts w:cs="Arial"/>
          <w:iCs/>
          <w:szCs w:val="20"/>
          <w:lang w:val="en-US"/>
        </w:rPr>
        <w:t>the Inter-American Commission</w:t>
      </w:r>
      <w:r w:rsidRPr="00FE50A6">
        <w:rPr>
          <w:rFonts w:cs="Arial"/>
          <w:iCs/>
          <w:szCs w:val="20"/>
          <w:lang w:val="en-US"/>
        </w:rPr>
        <w:t xml:space="preserve">, </w:t>
      </w:r>
      <w:r w:rsidR="000228D0" w:rsidRPr="00FE50A6">
        <w:rPr>
          <w:rFonts w:cs="Arial"/>
          <w:iCs/>
          <w:szCs w:val="20"/>
          <w:lang w:val="en-US"/>
        </w:rPr>
        <w:t>the State</w:t>
      </w:r>
      <w:r w:rsidRPr="00FE50A6">
        <w:rPr>
          <w:rFonts w:cs="Arial"/>
          <w:iCs/>
          <w:szCs w:val="20"/>
          <w:lang w:val="en-US"/>
        </w:rPr>
        <w:t xml:space="preserve"> re</w:t>
      </w:r>
      <w:r w:rsidR="00295FFE" w:rsidRPr="00FE50A6">
        <w:rPr>
          <w:rFonts w:cs="Arial"/>
          <w:iCs/>
          <w:szCs w:val="20"/>
          <w:lang w:val="en-US"/>
        </w:rPr>
        <w:t xml:space="preserve">-opened the investigation and </w:t>
      </w:r>
      <w:r w:rsidR="00A825EA" w:rsidRPr="00FE50A6">
        <w:rPr>
          <w:rFonts w:cs="Arial"/>
          <w:iCs/>
          <w:szCs w:val="20"/>
          <w:lang w:val="en-US"/>
        </w:rPr>
        <w:t>discovered</w:t>
      </w:r>
      <w:r w:rsidR="00295FFE" w:rsidRPr="00FE50A6">
        <w:rPr>
          <w:rFonts w:cs="Arial"/>
          <w:iCs/>
          <w:szCs w:val="20"/>
          <w:lang w:val="en-US"/>
        </w:rPr>
        <w:t xml:space="preserve"> that </w:t>
      </w:r>
      <w:r w:rsidR="00656DDC" w:rsidRPr="00FE50A6">
        <w:rPr>
          <w:rFonts w:cs="Arial"/>
          <w:iCs/>
          <w:szCs w:val="20"/>
          <w:lang w:val="en-US"/>
        </w:rPr>
        <w:t xml:space="preserve">Iron </w:t>
      </w:r>
      <w:r w:rsidRPr="00FE50A6">
        <w:rPr>
          <w:rFonts w:cs="Arial"/>
          <w:iCs/>
          <w:szCs w:val="20"/>
          <w:lang w:val="en-US"/>
        </w:rPr>
        <w:t>Canuto</w:t>
      </w:r>
      <w:r w:rsidR="00656DDC" w:rsidRPr="00FE50A6">
        <w:rPr>
          <w:rFonts w:cs="Arial"/>
          <w:iCs/>
          <w:szCs w:val="20"/>
          <w:lang w:val="en-US"/>
        </w:rPr>
        <w:t xml:space="preserve"> da Silva</w:t>
      </w:r>
      <w:r w:rsidRPr="00FE50A6">
        <w:rPr>
          <w:rFonts w:cs="Arial"/>
          <w:iCs/>
          <w:szCs w:val="20"/>
          <w:lang w:val="en-US"/>
        </w:rPr>
        <w:t xml:space="preserve"> </w:t>
      </w:r>
      <w:r w:rsidR="00295FFE" w:rsidRPr="00FE50A6">
        <w:rPr>
          <w:rFonts w:cs="Arial"/>
          <w:iCs/>
          <w:szCs w:val="20"/>
          <w:lang w:val="en-US"/>
        </w:rPr>
        <w:t xml:space="preserve">had been </w:t>
      </w:r>
      <w:r w:rsidR="00A825EA" w:rsidRPr="00FE50A6">
        <w:rPr>
          <w:rFonts w:cs="Arial"/>
          <w:iCs/>
          <w:szCs w:val="20"/>
          <w:lang w:val="en-US"/>
        </w:rPr>
        <w:t>assassinated</w:t>
      </w:r>
      <w:r w:rsidR="00295FFE" w:rsidRPr="00FE50A6">
        <w:rPr>
          <w:rFonts w:cs="Arial"/>
          <w:iCs/>
          <w:szCs w:val="20"/>
          <w:lang w:val="en-US"/>
        </w:rPr>
        <w:t xml:space="preserve"> by an unknown person</w:t>
      </w:r>
      <w:r w:rsidR="00A825EA" w:rsidRPr="00FE50A6">
        <w:rPr>
          <w:rFonts w:cs="Arial"/>
          <w:iCs/>
          <w:szCs w:val="20"/>
          <w:lang w:val="en-US"/>
        </w:rPr>
        <w:t xml:space="preserve"> on July 22, 2007,</w:t>
      </w:r>
      <w:r w:rsidR="00295FFE" w:rsidRPr="00FE50A6">
        <w:rPr>
          <w:rFonts w:cs="Arial"/>
          <w:iCs/>
          <w:szCs w:val="20"/>
          <w:lang w:val="en-US"/>
        </w:rPr>
        <w:t xml:space="preserve"> in circumstances that were unrelated to the facts of this case. In this regard, </w:t>
      </w:r>
      <w:r w:rsidRPr="00FE50A6">
        <w:rPr>
          <w:rFonts w:cs="Arial"/>
          <w:iCs/>
          <w:szCs w:val="20"/>
          <w:lang w:val="en-US"/>
        </w:rPr>
        <w:t xml:space="preserve">Raimunda Márcia Azevedo da Silva </w:t>
      </w:r>
      <w:r w:rsidR="00295FFE" w:rsidRPr="00FE50A6">
        <w:rPr>
          <w:rFonts w:cs="Arial"/>
          <w:iCs/>
          <w:szCs w:val="20"/>
          <w:lang w:val="en-US"/>
        </w:rPr>
        <w:t xml:space="preserve">stated before the Police Delegation of </w:t>
      </w:r>
      <w:r w:rsidRPr="00FE50A6">
        <w:rPr>
          <w:rFonts w:cs="Arial"/>
          <w:iCs/>
          <w:szCs w:val="20"/>
          <w:lang w:val="en-US"/>
        </w:rPr>
        <w:t xml:space="preserve">Floresta do Araguaia, Pará, </w:t>
      </w:r>
      <w:r w:rsidR="00295FFE" w:rsidRPr="00FE50A6">
        <w:rPr>
          <w:rFonts w:cs="Arial"/>
          <w:iCs/>
          <w:szCs w:val="20"/>
          <w:lang w:val="en-US"/>
        </w:rPr>
        <w:t xml:space="preserve">that she had been living in marital union with </w:t>
      </w:r>
      <w:r w:rsidR="008B075C" w:rsidRPr="00FE50A6">
        <w:rPr>
          <w:rFonts w:cs="Arial"/>
          <w:iCs/>
          <w:szCs w:val="20"/>
          <w:lang w:val="en-US"/>
        </w:rPr>
        <w:t>Iron Canuto da Silva</w:t>
      </w:r>
      <w:r w:rsidRPr="00FE50A6">
        <w:rPr>
          <w:rFonts w:cs="Arial"/>
          <w:iCs/>
          <w:szCs w:val="20"/>
          <w:lang w:val="en-US"/>
        </w:rPr>
        <w:t xml:space="preserve"> </w:t>
      </w:r>
      <w:r w:rsidR="00295FFE" w:rsidRPr="00FE50A6">
        <w:rPr>
          <w:rFonts w:cs="Arial"/>
          <w:iCs/>
          <w:szCs w:val="20"/>
          <w:lang w:val="en-US"/>
        </w:rPr>
        <w:t xml:space="preserve">since </w:t>
      </w:r>
      <w:r w:rsidRPr="00FE50A6">
        <w:rPr>
          <w:rFonts w:cs="Arial"/>
          <w:iCs/>
          <w:szCs w:val="20"/>
          <w:lang w:val="en-US"/>
        </w:rPr>
        <w:t>1994</w:t>
      </w:r>
      <w:r w:rsidR="00030C17" w:rsidRPr="00FE50A6">
        <w:rPr>
          <w:rFonts w:cs="Arial"/>
          <w:iCs/>
          <w:szCs w:val="20"/>
          <w:lang w:val="en-US"/>
        </w:rPr>
        <w:t xml:space="preserve"> and </w:t>
      </w:r>
      <w:r w:rsidR="00295FFE" w:rsidRPr="00FE50A6">
        <w:rPr>
          <w:rFonts w:cs="Arial"/>
          <w:iCs/>
          <w:szCs w:val="20"/>
          <w:lang w:val="en-US"/>
        </w:rPr>
        <w:t>that they had four children who were minors</w:t>
      </w:r>
      <w:r w:rsidRPr="00FE50A6">
        <w:rPr>
          <w:rFonts w:cs="Arial"/>
          <w:iCs/>
          <w:szCs w:val="20"/>
          <w:lang w:val="en-US"/>
        </w:rPr>
        <w:t xml:space="preserve"> (</w:t>
      </w:r>
      <w:r w:rsidRPr="00FE50A6">
        <w:rPr>
          <w:rFonts w:cs="Arial"/>
          <w:i/>
          <w:iCs/>
          <w:szCs w:val="20"/>
          <w:lang w:val="en-US"/>
        </w:rPr>
        <w:t>supra</w:t>
      </w:r>
      <w:r w:rsidRPr="00FE50A6">
        <w:rPr>
          <w:rFonts w:cs="Arial"/>
          <w:iCs/>
          <w:szCs w:val="20"/>
          <w:lang w:val="en-US"/>
        </w:rPr>
        <w:t xml:space="preserve"> </w:t>
      </w:r>
      <w:r w:rsidR="00700B79" w:rsidRPr="00FE50A6">
        <w:rPr>
          <w:rFonts w:cs="Arial"/>
          <w:iCs/>
          <w:szCs w:val="20"/>
          <w:lang w:val="en-US"/>
        </w:rPr>
        <w:t>para.</w:t>
      </w:r>
      <w:r w:rsidRPr="00FE50A6">
        <w:rPr>
          <w:rFonts w:cs="Arial"/>
          <w:iCs/>
          <w:szCs w:val="20"/>
          <w:lang w:val="en-US"/>
        </w:rPr>
        <w:t xml:space="preserve"> </w:t>
      </w:r>
      <w:r w:rsidR="00B57789" w:rsidRPr="00FE50A6">
        <w:rPr>
          <w:rFonts w:cs="Arial"/>
          <w:iCs/>
          <w:szCs w:val="20"/>
          <w:lang w:val="en-US"/>
        </w:rPr>
        <w:t>187</w:t>
      </w:r>
      <w:r w:rsidRPr="00FE50A6">
        <w:rPr>
          <w:rFonts w:cs="Arial"/>
          <w:iCs/>
          <w:szCs w:val="20"/>
          <w:lang w:val="en-US"/>
        </w:rPr>
        <w:t xml:space="preserve">). </w:t>
      </w:r>
      <w:r w:rsidR="00295FFE" w:rsidRPr="00FE50A6">
        <w:rPr>
          <w:rFonts w:cs="Arial"/>
          <w:iCs/>
          <w:szCs w:val="20"/>
          <w:lang w:val="en-US"/>
        </w:rPr>
        <w:t>In addition, his autopsy report was provided to th</w:t>
      </w:r>
      <w:r w:rsidR="00A825EA" w:rsidRPr="00FE50A6">
        <w:rPr>
          <w:rFonts w:cs="Arial"/>
          <w:iCs/>
          <w:szCs w:val="20"/>
          <w:lang w:val="en-US"/>
        </w:rPr>
        <w:t>e</w:t>
      </w:r>
      <w:r w:rsidR="00295FFE" w:rsidRPr="00FE50A6">
        <w:rPr>
          <w:rFonts w:cs="Arial"/>
          <w:iCs/>
          <w:szCs w:val="20"/>
          <w:lang w:val="en-US"/>
        </w:rPr>
        <w:t>se proceedings as evidence; the report indicate</w:t>
      </w:r>
      <w:r w:rsidR="00A825EA" w:rsidRPr="00FE50A6">
        <w:rPr>
          <w:rFonts w:cs="Arial"/>
          <w:iCs/>
          <w:szCs w:val="20"/>
          <w:lang w:val="en-US"/>
        </w:rPr>
        <w:t>d</w:t>
      </w:r>
      <w:r w:rsidR="00295FFE" w:rsidRPr="00FE50A6">
        <w:rPr>
          <w:rFonts w:cs="Arial"/>
          <w:iCs/>
          <w:szCs w:val="20"/>
          <w:lang w:val="en-US"/>
        </w:rPr>
        <w:t xml:space="preserve"> that </w:t>
      </w:r>
      <w:r w:rsidR="00656DDC" w:rsidRPr="00FE50A6">
        <w:rPr>
          <w:rFonts w:cs="Arial"/>
          <w:iCs/>
          <w:szCs w:val="20"/>
          <w:lang w:val="en-US"/>
        </w:rPr>
        <w:t xml:space="preserve">Iron </w:t>
      </w:r>
      <w:r w:rsidRPr="00FE50A6">
        <w:rPr>
          <w:rFonts w:cs="Arial"/>
          <w:iCs/>
          <w:szCs w:val="20"/>
          <w:lang w:val="en-US"/>
        </w:rPr>
        <w:t>Canuto</w:t>
      </w:r>
      <w:r w:rsidR="00656DDC" w:rsidRPr="00FE50A6">
        <w:rPr>
          <w:rFonts w:cs="Arial"/>
          <w:iCs/>
          <w:szCs w:val="20"/>
          <w:lang w:val="en-US"/>
        </w:rPr>
        <w:t xml:space="preserve"> da Silva</w:t>
      </w:r>
      <w:r w:rsidRPr="00FE50A6">
        <w:rPr>
          <w:rFonts w:cs="Arial"/>
          <w:iCs/>
          <w:szCs w:val="20"/>
          <w:lang w:val="en-US"/>
        </w:rPr>
        <w:t xml:space="preserve"> </w:t>
      </w:r>
      <w:r w:rsidR="00295FFE" w:rsidRPr="00FE50A6">
        <w:rPr>
          <w:rFonts w:cs="Arial"/>
          <w:iCs/>
          <w:szCs w:val="20"/>
          <w:lang w:val="en-US"/>
        </w:rPr>
        <w:t xml:space="preserve">died as the result of injuries caused by </w:t>
      </w:r>
      <w:r w:rsidR="00A825EA" w:rsidRPr="00FE50A6">
        <w:rPr>
          <w:rFonts w:cs="Arial"/>
          <w:iCs/>
          <w:szCs w:val="20"/>
          <w:lang w:val="en-US"/>
        </w:rPr>
        <w:t>gun</w:t>
      </w:r>
      <w:r w:rsidR="00295FFE" w:rsidRPr="00FE50A6">
        <w:rPr>
          <w:rFonts w:cs="Arial"/>
          <w:iCs/>
          <w:szCs w:val="20"/>
          <w:lang w:val="en-US"/>
        </w:rPr>
        <w:t xml:space="preserve">shots </w:t>
      </w:r>
      <w:r w:rsidRPr="00FE50A6">
        <w:rPr>
          <w:rFonts w:cs="Arial"/>
          <w:iCs/>
          <w:szCs w:val="20"/>
          <w:lang w:val="en-US"/>
        </w:rPr>
        <w:t>(</w:t>
      </w:r>
      <w:r w:rsidRPr="00FE50A6">
        <w:rPr>
          <w:rFonts w:cs="Arial"/>
          <w:i/>
          <w:iCs/>
          <w:szCs w:val="20"/>
          <w:lang w:val="en-US"/>
        </w:rPr>
        <w:t>supra</w:t>
      </w:r>
      <w:r w:rsidRPr="00FE50A6">
        <w:rPr>
          <w:rFonts w:cs="Arial"/>
          <w:iCs/>
          <w:szCs w:val="20"/>
          <w:lang w:val="en-US"/>
        </w:rPr>
        <w:t xml:space="preserve"> </w:t>
      </w:r>
      <w:r w:rsidR="00700B79" w:rsidRPr="00FE50A6">
        <w:rPr>
          <w:rFonts w:cs="Arial"/>
          <w:iCs/>
          <w:szCs w:val="20"/>
          <w:lang w:val="en-US"/>
        </w:rPr>
        <w:t>para.</w:t>
      </w:r>
      <w:r w:rsidRPr="00FE50A6">
        <w:rPr>
          <w:rFonts w:cs="Arial"/>
          <w:iCs/>
          <w:szCs w:val="20"/>
          <w:lang w:val="en-US"/>
        </w:rPr>
        <w:t xml:space="preserve"> </w:t>
      </w:r>
      <w:r w:rsidR="00B57789" w:rsidRPr="00FE50A6">
        <w:rPr>
          <w:rFonts w:cs="Arial"/>
          <w:iCs/>
          <w:szCs w:val="20"/>
          <w:lang w:val="en-US"/>
        </w:rPr>
        <w:t>187</w:t>
      </w:r>
      <w:r w:rsidRPr="00FE50A6">
        <w:rPr>
          <w:rFonts w:cs="Arial"/>
          <w:iCs/>
          <w:szCs w:val="20"/>
          <w:lang w:val="en-US"/>
        </w:rPr>
        <w:t xml:space="preserve">). </w:t>
      </w:r>
      <w:r w:rsidR="00295FFE" w:rsidRPr="00FE50A6">
        <w:rPr>
          <w:rFonts w:cs="Arial"/>
          <w:iCs/>
          <w:szCs w:val="20"/>
          <w:lang w:val="en-US"/>
        </w:rPr>
        <w:t>Accordingly, the Court considers that the Stat</w:t>
      </w:r>
      <w:r w:rsidR="00A825EA" w:rsidRPr="00FE50A6">
        <w:rPr>
          <w:rFonts w:cs="Arial"/>
          <w:iCs/>
          <w:szCs w:val="20"/>
          <w:lang w:val="en-US"/>
        </w:rPr>
        <w:t>e</w:t>
      </w:r>
      <w:r w:rsidR="00295FFE" w:rsidRPr="00FE50A6">
        <w:rPr>
          <w:rFonts w:cs="Arial"/>
          <w:iCs/>
          <w:szCs w:val="20"/>
          <w:lang w:val="en-US"/>
        </w:rPr>
        <w:t xml:space="preserve"> re-opened the investigation into the disappearance of </w:t>
      </w:r>
      <w:r w:rsidR="00656DDC" w:rsidRPr="00FE50A6">
        <w:rPr>
          <w:rFonts w:cs="Arial"/>
          <w:iCs/>
          <w:szCs w:val="20"/>
          <w:lang w:val="en-US"/>
        </w:rPr>
        <w:t xml:space="preserve">Iron </w:t>
      </w:r>
      <w:r w:rsidRPr="00FE50A6">
        <w:rPr>
          <w:rFonts w:cs="Arial"/>
          <w:iCs/>
          <w:szCs w:val="20"/>
          <w:lang w:val="en-US"/>
        </w:rPr>
        <w:t>Canuto</w:t>
      </w:r>
      <w:r w:rsidR="00656DDC" w:rsidRPr="00FE50A6">
        <w:rPr>
          <w:rFonts w:cs="Arial"/>
          <w:iCs/>
          <w:szCs w:val="20"/>
          <w:lang w:val="en-US"/>
        </w:rPr>
        <w:t xml:space="preserve"> da Silva</w:t>
      </w:r>
      <w:r w:rsidRPr="00FE50A6">
        <w:rPr>
          <w:rFonts w:cs="Arial"/>
          <w:iCs/>
          <w:szCs w:val="20"/>
          <w:lang w:val="en-US"/>
        </w:rPr>
        <w:t xml:space="preserve"> </w:t>
      </w:r>
      <w:r w:rsidR="00295FFE" w:rsidRPr="00FE50A6">
        <w:rPr>
          <w:rFonts w:cs="Arial"/>
          <w:iCs/>
          <w:szCs w:val="20"/>
          <w:lang w:val="en-US"/>
        </w:rPr>
        <w:t>i</w:t>
      </w:r>
      <w:r w:rsidRPr="00FE50A6">
        <w:rPr>
          <w:rFonts w:cs="Arial"/>
          <w:iCs/>
          <w:szCs w:val="20"/>
          <w:lang w:val="en-US"/>
        </w:rPr>
        <w:t>n 2007</w:t>
      </w:r>
      <w:r w:rsidR="00030C17" w:rsidRPr="00FE50A6">
        <w:rPr>
          <w:rFonts w:cs="Arial"/>
          <w:iCs/>
          <w:szCs w:val="20"/>
          <w:lang w:val="en-US"/>
        </w:rPr>
        <w:t xml:space="preserve"> and </w:t>
      </w:r>
      <w:r w:rsidR="00295FFE" w:rsidRPr="00FE50A6">
        <w:rPr>
          <w:rFonts w:cs="Arial"/>
          <w:iCs/>
          <w:szCs w:val="20"/>
          <w:lang w:val="en-US"/>
        </w:rPr>
        <w:t>verified that he had not been a victim of forced disappearance.</w:t>
      </w:r>
    </w:p>
    <w:p w14:paraId="3B051F31" w14:textId="77777777" w:rsidR="00D81AA1" w:rsidRPr="00FE50A6" w:rsidRDefault="00D81AA1" w:rsidP="00D81AA1">
      <w:pPr>
        <w:pStyle w:val="Prrafodelista"/>
        <w:tabs>
          <w:tab w:val="right" w:pos="0"/>
        </w:tabs>
        <w:autoSpaceDE w:val="0"/>
        <w:autoSpaceDN w:val="0"/>
        <w:adjustRightInd w:val="0"/>
        <w:ind w:left="0"/>
        <w:contextualSpacing w:val="0"/>
        <w:rPr>
          <w:rFonts w:cs="Arial"/>
          <w:iCs/>
          <w:szCs w:val="20"/>
          <w:lang w:val="en-US"/>
        </w:rPr>
      </w:pPr>
      <w:r w:rsidRPr="00FE50A6">
        <w:rPr>
          <w:rFonts w:cs="Arial"/>
          <w:iCs/>
          <w:szCs w:val="20"/>
          <w:lang w:val="en-US"/>
        </w:rPr>
        <w:tab/>
      </w:r>
    </w:p>
    <w:p w14:paraId="4E8A6E0C" w14:textId="77777777" w:rsidR="00D81AA1" w:rsidRPr="00FE50A6" w:rsidRDefault="003E28A5" w:rsidP="003E28A5">
      <w:pPr>
        <w:pStyle w:val="Prrafodelista"/>
        <w:numPr>
          <w:ilvl w:val="0"/>
          <w:numId w:val="1"/>
        </w:numPr>
        <w:tabs>
          <w:tab w:val="right" w:pos="0"/>
        </w:tabs>
        <w:contextualSpacing w:val="0"/>
        <w:rPr>
          <w:rFonts w:cs="Arial"/>
          <w:iCs/>
          <w:szCs w:val="20"/>
          <w:lang w:val="en-US"/>
        </w:rPr>
      </w:pPr>
      <w:r w:rsidRPr="00FE50A6">
        <w:rPr>
          <w:rFonts w:cs="Arial"/>
          <w:iCs/>
          <w:szCs w:val="20"/>
          <w:lang w:val="en-US"/>
        </w:rPr>
        <w:t>Meanwhile, with regard to</w:t>
      </w:r>
      <w:r w:rsidR="00D81AA1" w:rsidRPr="00FE50A6">
        <w:rPr>
          <w:rFonts w:cs="Arial"/>
          <w:iCs/>
          <w:szCs w:val="20"/>
          <w:lang w:val="en-US"/>
        </w:rPr>
        <w:t xml:space="preserve"> Luis Ferreira da Cruz, </w:t>
      </w:r>
      <w:r w:rsidR="000228D0" w:rsidRPr="00FE50A6">
        <w:rPr>
          <w:rFonts w:cs="Arial"/>
          <w:iCs/>
          <w:szCs w:val="20"/>
          <w:lang w:val="en-US"/>
        </w:rPr>
        <w:t>the Court</w:t>
      </w:r>
      <w:r w:rsidR="00D81AA1" w:rsidRPr="00FE50A6">
        <w:rPr>
          <w:rFonts w:cs="Arial"/>
          <w:iCs/>
          <w:szCs w:val="20"/>
          <w:lang w:val="en-US"/>
        </w:rPr>
        <w:t xml:space="preserve"> not</w:t>
      </w:r>
      <w:r w:rsidRPr="00FE50A6">
        <w:rPr>
          <w:rFonts w:cs="Arial"/>
          <w:iCs/>
          <w:szCs w:val="20"/>
          <w:lang w:val="en-US"/>
        </w:rPr>
        <w:t>es that, as a result of the re-opening of the investigation in 2007, it was verified that, on</w:t>
      </w:r>
      <w:r w:rsidR="00D81AA1" w:rsidRPr="00FE50A6">
        <w:rPr>
          <w:rFonts w:cs="Arial"/>
          <w:iCs/>
          <w:szCs w:val="20"/>
          <w:lang w:val="en-US"/>
        </w:rPr>
        <w:t xml:space="preserve"> </w:t>
      </w:r>
      <w:r w:rsidR="009C27BB" w:rsidRPr="00FE50A6">
        <w:rPr>
          <w:rFonts w:cs="Arial"/>
          <w:iCs/>
          <w:szCs w:val="20"/>
          <w:lang w:val="en-US"/>
        </w:rPr>
        <w:t>February 17,</w:t>
      </w:r>
      <w:r w:rsidR="00D81AA1" w:rsidRPr="00FE50A6">
        <w:rPr>
          <w:rFonts w:cs="Arial"/>
          <w:iCs/>
          <w:szCs w:val="20"/>
          <w:lang w:val="en-US"/>
        </w:rPr>
        <w:t xml:space="preserve"> 2009</w:t>
      </w:r>
      <w:r w:rsidRPr="00FE50A6">
        <w:rPr>
          <w:rFonts w:cs="Arial"/>
          <w:iCs/>
          <w:szCs w:val="20"/>
          <w:lang w:val="en-US"/>
        </w:rPr>
        <w:t>,</w:t>
      </w:r>
      <w:r w:rsidR="00D81AA1" w:rsidRPr="00FE50A6">
        <w:rPr>
          <w:rFonts w:cs="Arial"/>
          <w:iCs/>
          <w:szCs w:val="20"/>
          <w:lang w:val="en-US"/>
        </w:rPr>
        <w:t xml:space="preserve"> Maria do Socorro Canuto, </w:t>
      </w:r>
      <w:r w:rsidRPr="00FE50A6">
        <w:rPr>
          <w:rFonts w:cs="Arial"/>
          <w:iCs/>
          <w:szCs w:val="20"/>
          <w:lang w:val="en-US"/>
        </w:rPr>
        <w:t xml:space="preserve">foster mother of </w:t>
      </w:r>
      <w:r w:rsidR="00200C04" w:rsidRPr="00FE50A6">
        <w:rPr>
          <w:rFonts w:cs="Arial"/>
          <w:iCs/>
          <w:szCs w:val="20"/>
          <w:lang w:val="en-US"/>
        </w:rPr>
        <w:t>Luis Ferreira da Cruz</w:t>
      </w:r>
      <w:r w:rsidR="00D81AA1" w:rsidRPr="00FE50A6">
        <w:rPr>
          <w:rFonts w:cs="Arial"/>
          <w:iCs/>
          <w:szCs w:val="20"/>
          <w:lang w:val="en-US"/>
        </w:rPr>
        <w:t>, declar</w:t>
      </w:r>
      <w:r w:rsidRPr="00FE50A6">
        <w:rPr>
          <w:rFonts w:cs="Arial"/>
          <w:iCs/>
          <w:szCs w:val="20"/>
          <w:lang w:val="en-US"/>
        </w:rPr>
        <w:t>ed before the</w:t>
      </w:r>
      <w:r w:rsidR="00D81AA1" w:rsidRPr="00FE50A6">
        <w:rPr>
          <w:rFonts w:cs="Arial"/>
          <w:iCs/>
          <w:szCs w:val="20"/>
          <w:lang w:val="en-US"/>
        </w:rPr>
        <w:t xml:space="preserve"> </w:t>
      </w:r>
      <w:r w:rsidR="009C27BB" w:rsidRPr="00FE50A6">
        <w:rPr>
          <w:rFonts w:cs="Arial"/>
          <w:iCs/>
          <w:szCs w:val="20"/>
          <w:lang w:val="en-US"/>
        </w:rPr>
        <w:t>Secretariat for Justice and Human Rights</w:t>
      </w:r>
      <w:r w:rsidR="00703850" w:rsidRPr="00FE50A6">
        <w:rPr>
          <w:rFonts w:cs="Arial"/>
          <w:iCs/>
          <w:szCs w:val="20"/>
          <w:lang w:val="en-US"/>
        </w:rPr>
        <w:t xml:space="preserve"> of the </w:t>
      </w:r>
      <w:r w:rsidR="008B65CD" w:rsidRPr="00FE50A6">
        <w:rPr>
          <w:rFonts w:cs="Arial"/>
          <w:iCs/>
          <w:szCs w:val="20"/>
          <w:lang w:val="en-US"/>
        </w:rPr>
        <w:t>state of Pará</w:t>
      </w:r>
      <w:r w:rsidR="00D81AA1" w:rsidRPr="00FE50A6">
        <w:rPr>
          <w:rFonts w:cs="Arial"/>
          <w:iCs/>
          <w:szCs w:val="20"/>
          <w:lang w:val="en-US"/>
        </w:rPr>
        <w:t xml:space="preserve"> </w:t>
      </w:r>
      <w:r w:rsidRPr="00FE50A6">
        <w:rPr>
          <w:rFonts w:cs="Arial"/>
          <w:iCs/>
          <w:szCs w:val="20"/>
          <w:lang w:val="en-US"/>
        </w:rPr>
        <w:t xml:space="preserve">that there had been no information on his whereabouts following his flight from </w:t>
      </w:r>
      <w:r w:rsidR="00D81AA1" w:rsidRPr="00FE50A6">
        <w:rPr>
          <w:rFonts w:cs="Arial"/>
          <w:iCs/>
          <w:szCs w:val="20"/>
          <w:lang w:val="en-US"/>
        </w:rPr>
        <w:t xml:space="preserve">Hacienda </w:t>
      </w:r>
      <w:r w:rsidR="00322241" w:rsidRPr="00FE50A6">
        <w:rPr>
          <w:rFonts w:cs="Arial"/>
          <w:iCs/>
          <w:szCs w:val="20"/>
          <w:lang w:val="en-US"/>
        </w:rPr>
        <w:t>Brasil Verde</w:t>
      </w:r>
      <w:r w:rsidR="00D81AA1" w:rsidRPr="00FE50A6">
        <w:rPr>
          <w:rFonts w:cs="Arial"/>
          <w:iCs/>
          <w:szCs w:val="20"/>
          <w:lang w:val="en-US"/>
        </w:rPr>
        <w:t xml:space="preserve"> (</w:t>
      </w:r>
      <w:r w:rsidR="00D81AA1" w:rsidRPr="00FE50A6">
        <w:rPr>
          <w:rFonts w:cs="Arial"/>
          <w:i/>
          <w:iCs/>
          <w:szCs w:val="20"/>
          <w:lang w:val="en-US"/>
        </w:rPr>
        <w:t>supra</w:t>
      </w:r>
      <w:r w:rsidR="00D81AA1" w:rsidRPr="00FE50A6">
        <w:rPr>
          <w:rFonts w:cs="Arial"/>
          <w:iCs/>
          <w:szCs w:val="20"/>
          <w:lang w:val="en-US"/>
        </w:rPr>
        <w:t xml:space="preserve"> </w:t>
      </w:r>
      <w:r w:rsidR="00700B79" w:rsidRPr="00FE50A6">
        <w:rPr>
          <w:rFonts w:cs="Arial"/>
          <w:iCs/>
          <w:szCs w:val="20"/>
          <w:lang w:val="en-US"/>
        </w:rPr>
        <w:t>para.</w:t>
      </w:r>
      <w:r w:rsidR="00D81AA1" w:rsidRPr="00FE50A6">
        <w:rPr>
          <w:rFonts w:cs="Arial"/>
          <w:iCs/>
          <w:szCs w:val="20"/>
          <w:lang w:val="en-US"/>
        </w:rPr>
        <w:t xml:space="preserve"> </w:t>
      </w:r>
      <w:r w:rsidR="00B57789" w:rsidRPr="00FE50A6">
        <w:rPr>
          <w:rFonts w:cs="Arial"/>
          <w:iCs/>
          <w:szCs w:val="20"/>
          <w:lang w:val="en-US"/>
        </w:rPr>
        <w:t>188</w:t>
      </w:r>
      <w:r w:rsidR="00D81AA1" w:rsidRPr="00FE50A6">
        <w:rPr>
          <w:rFonts w:cs="Arial"/>
          <w:iCs/>
          <w:szCs w:val="20"/>
          <w:lang w:val="en-US"/>
        </w:rPr>
        <w:t xml:space="preserve">). </w:t>
      </w:r>
      <w:r w:rsidRPr="00FE50A6">
        <w:rPr>
          <w:rFonts w:cs="Arial"/>
          <w:iCs/>
          <w:szCs w:val="20"/>
          <w:lang w:val="en-US"/>
        </w:rPr>
        <w:t xml:space="preserve">However, on August 4, </w:t>
      </w:r>
      <w:r w:rsidR="00D81AA1" w:rsidRPr="00FE50A6">
        <w:rPr>
          <w:rFonts w:cs="Arial"/>
          <w:iCs/>
          <w:szCs w:val="20"/>
          <w:lang w:val="en-US"/>
        </w:rPr>
        <w:t>2015</w:t>
      </w:r>
      <w:r w:rsidRPr="00FE50A6">
        <w:rPr>
          <w:rFonts w:cs="Arial"/>
          <w:iCs/>
          <w:szCs w:val="20"/>
          <w:lang w:val="en-US"/>
        </w:rPr>
        <w:t xml:space="preserve">, Mrs. </w:t>
      </w:r>
      <w:r w:rsidR="00D81AA1" w:rsidRPr="00FE50A6">
        <w:rPr>
          <w:rFonts w:cs="Arial"/>
          <w:iCs/>
          <w:szCs w:val="20"/>
          <w:lang w:val="en-US"/>
        </w:rPr>
        <w:t>Canuto</w:t>
      </w:r>
      <w:r w:rsidR="00030C17" w:rsidRPr="00FE50A6">
        <w:rPr>
          <w:rFonts w:cs="Arial"/>
          <w:iCs/>
          <w:szCs w:val="20"/>
          <w:lang w:val="en-US"/>
        </w:rPr>
        <w:t xml:space="preserve"> and</w:t>
      </w:r>
      <w:r w:rsidR="00D81AA1" w:rsidRPr="00FE50A6">
        <w:rPr>
          <w:rFonts w:cs="Arial"/>
          <w:iCs/>
          <w:szCs w:val="20"/>
          <w:lang w:val="en-US"/>
        </w:rPr>
        <w:t xml:space="preserve"> María Gorete, </w:t>
      </w:r>
      <w:r w:rsidRPr="00FE50A6">
        <w:rPr>
          <w:rFonts w:cs="Arial"/>
          <w:iCs/>
          <w:szCs w:val="20"/>
          <w:lang w:val="en-US"/>
        </w:rPr>
        <w:t>foster sister of</w:t>
      </w:r>
      <w:r w:rsidR="00D81AA1" w:rsidRPr="00FE50A6">
        <w:rPr>
          <w:rFonts w:cs="Arial"/>
          <w:iCs/>
          <w:szCs w:val="20"/>
          <w:lang w:val="en-US"/>
        </w:rPr>
        <w:t xml:space="preserve"> Luis</w:t>
      </w:r>
      <w:r w:rsidR="0013378D" w:rsidRPr="00FE50A6">
        <w:rPr>
          <w:rFonts w:cs="Arial"/>
          <w:iCs/>
          <w:szCs w:val="20"/>
          <w:lang w:val="en-US"/>
        </w:rPr>
        <w:t xml:space="preserve"> Ferreira da Cruz</w:t>
      </w:r>
      <w:r w:rsidR="00D81AA1" w:rsidRPr="00FE50A6">
        <w:rPr>
          <w:rFonts w:cs="Arial"/>
          <w:iCs/>
          <w:szCs w:val="20"/>
          <w:lang w:val="en-US"/>
        </w:rPr>
        <w:t xml:space="preserve">, </w:t>
      </w:r>
      <w:r w:rsidR="00A825EA" w:rsidRPr="00FE50A6">
        <w:rPr>
          <w:rFonts w:cs="Arial"/>
          <w:iCs/>
          <w:szCs w:val="20"/>
          <w:lang w:val="en-US"/>
        </w:rPr>
        <w:t>informed</w:t>
      </w:r>
      <w:r w:rsidRPr="00FE50A6">
        <w:rPr>
          <w:rFonts w:cs="Arial"/>
          <w:iCs/>
          <w:szCs w:val="20"/>
          <w:lang w:val="en-US"/>
        </w:rPr>
        <w:t xml:space="preserve"> </w:t>
      </w:r>
      <w:r w:rsidR="00445155" w:rsidRPr="00FE50A6">
        <w:rPr>
          <w:rFonts w:cs="Arial"/>
          <w:iCs/>
          <w:szCs w:val="20"/>
          <w:lang w:val="en-US"/>
        </w:rPr>
        <w:t>the Federal</w:t>
      </w:r>
      <w:r w:rsidR="008B0077" w:rsidRPr="00FE50A6">
        <w:rPr>
          <w:rFonts w:cs="Arial"/>
          <w:iCs/>
          <w:szCs w:val="20"/>
          <w:lang w:val="en-US"/>
        </w:rPr>
        <w:t xml:space="preserve"> Police</w:t>
      </w:r>
      <w:r w:rsidR="00A825EA" w:rsidRPr="00FE50A6">
        <w:rPr>
          <w:rFonts w:cs="Arial"/>
          <w:iCs/>
          <w:szCs w:val="20"/>
          <w:lang w:val="en-US"/>
        </w:rPr>
        <w:t xml:space="preserve"> by telephone</w:t>
      </w:r>
      <w:r w:rsidRPr="00FE50A6">
        <w:rPr>
          <w:rFonts w:cs="Arial"/>
          <w:iCs/>
          <w:szCs w:val="20"/>
          <w:lang w:val="en-US"/>
        </w:rPr>
        <w:t xml:space="preserve"> that</w:t>
      </w:r>
      <w:r w:rsidR="00D81AA1" w:rsidRPr="00FE50A6">
        <w:rPr>
          <w:rFonts w:cs="Arial"/>
          <w:iCs/>
          <w:szCs w:val="20"/>
          <w:lang w:val="en-US"/>
        </w:rPr>
        <w:t xml:space="preserve"> Luis</w:t>
      </w:r>
      <w:r w:rsidR="00910615" w:rsidRPr="00FE50A6">
        <w:rPr>
          <w:rFonts w:cs="Arial"/>
          <w:iCs/>
          <w:szCs w:val="20"/>
          <w:lang w:val="en-US"/>
        </w:rPr>
        <w:t xml:space="preserve"> Ferreira da Cruz</w:t>
      </w:r>
      <w:r w:rsidR="00D81AA1" w:rsidRPr="00FE50A6">
        <w:rPr>
          <w:rFonts w:cs="Arial"/>
          <w:iCs/>
          <w:szCs w:val="20"/>
          <w:lang w:val="en-US"/>
        </w:rPr>
        <w:t xml:space="preserve"> ha</w:t>
      </w:r>
      <w:r w:rsidRPr="00FE50A6">
        <w:rPr>
          <w:rFonts w:cs="Arial"/>
          <w:iCs/>
          <w:szCs w:val="20"/>
          <w:lang w:val="en-US"/>
        </w:rPr>
        <w:t xml:space="preserve">d died approximately 10 years </w:t>
      </w:r>
      <w:r w:rsidR="00D81AA1" w:rsidRPr="00FE50A6">
        <w:rPr>
          <w:rFonts w:cs="Arial"/>
          <w:iCs/>
          <w:szCs w:val="20"/>
          <w:lang w:val="en-US"/>
        </w:rPr>
        <w:t>b</w:t>
      </w:r>
      <w:r w:rsidRPr="00FE50A6">
        <w:rPr>
          <w:rFonts w:cs="Arial"/>
          <w:iCs/>
          <w:szCs w:val="20"/>
          <w:lang w:val="en-US"/>
        </w:rPr>
        <w:t>efore in a confrontation with the Military Police in the town of Xinguara</w:t>
      </w:r>
      <w:r w:rsidR="00D81AA1" w:rsidRPr="00FE50A6">
        <w:rPr>
          <w:rFonts w:cs="Arial"/>
          <w:iCs/>
          <w:szCs w:val="20"/>
          <w:lang w:val="en-US"/>
        </w:rPr>
        <w:t>. Ad</w:t>
      </w:r>
      <w:r w:rsidRPr="00FE50A6">
        <w:rPr>
          <w:rFonts w:cs="Arial"/>
          <w:iCs/>
          <w:szCs w:val="20"/>
          <w:lang w:val="en-US"/>
        </w:rPr>
        <w:t xml:space="preserve">ditionally, </w:t>
      </w:r>
      <w:r w:rsidR="00D81AA1" w:rsidRPr="00FE50A6">
        <w:rPr>
          <w:rFonts w:cs="Arial"/>
          <w:iCs/>
          <w:szCs w:val="20"/>
          <w:lang w:val="en-US"/>
        </w:rPr>
        <w:t>María Gorete declar</w:t>
      </w:r>
      <w:r w:rsidRPr="00FE50A6">
        <w:rPr>
          <w:rFonts w:cs="Arial"/>
          <w:iCs/>
          <w:szCs w:val="20"/>
          <w:lang w:val="en-US"/>
        </w:rPr>
        <w:t xml:space="preserve">ed that, when they were informed of the death of </w:t>
      </w:r>
      <w:r w:rsidR="00D81AA1" w:rsidRPr="00FE50A6">
        <w:rPr>
          <w:rFonts w:cs="Arial"/>
          <w:iCs/>
          <w:szCs w:val="20"/>
          <w:lang w:val="en-US"/>
        </w:rPr>
        <w:t>Luis</w:t>
      </w:r>
      <w:r w:rsidR="00FB2CDE" w:rsidRPr="00FE50A6">
        <w:rPr>
          <w:rFonts w:cs="Arial"/>
          <w:iCs/>
          <w:szCs w:val="20"/>
          <w:lang w:val="en-US"/>
        </w:rPr>
        <w:t xml:space="preserve"> Ferreira da Cruz</w:t>
      </w:r>
      <w:r w:rsidRPr="00FE50A6">
        <w:rPr>
          <w:rFonts w:cs="Arial"/>
          <w:iCs/>
          <w:szCs w:val="20"/>
          <w:lang w:val="en-US"/>
        </w:rPr>
        <w:t xml:space="preserve">, he had already been </w:t>
      </w:r>
      <w:r w:rsidR="00C96422" w:rsidRPr="00FE50A6">
        <w:rPr>
          <w:rFonts w:cs="Arial"/>
          <w:iCs/>
          <w:szCs w:val="20"/>
          <w:lang w:val="en-US"/>
        </w:rPr>
        <w:t>given an indigent burial</w:t>
      </w:r>
      <w:r w:rsidRPr="00FE50A6">
        <w:rPr>
          <w:rFonts w:cs="Arial"/>
          <w:iCs/>
          <w:szCs w:val="20"/>
          <w:lang w:val="en-US"/>
        </w:rPr>
        <w:t xml:space="preserve"> because he was not carrying any personal </w:t>
      </w:r>
      <w:r w:rsidR="00A825EA" w:rsidRPr="00FE50A6">
        <w:rPr>
          <w:rFonts w:cs="Arial"/>
          <w:iCs/>
          <w:szCs w:val="20"/>
          <w:lang w:val="en-US"/>
        </w:rPr>
        <w:t>papers</w:t>
      </w:r>
      <w:r w:rsidRPr="00FE50A6">
        <w:rPr>
          <w:rFonts w:cs="Arial"/>
          <w:iCs/>
          <w:szCs w:val="20"/>
          <w:lang w:val="en-US"/>
        </w:rPr>
        <w:t xml:space="preserve"> at the time of his death. In this regard, </w:t>
      </w:r>
      <w:r w:rsidR="00445155" w:rsidRPr="00FE50A6">
        <w:rPr>
          <w:rFonts w:cs="Arial"/>
          <w:iCs/>
          <w:szCs w:val="20"/>
          <w:lang w:val="en-US"/>
        </w:rPr>
        <w:t>the Federal</w:t>
      </w:r>
      <w:r w:rsidR="008B0077" w:rsidRPr="00FE50A6">
        <w:rPr>
          <w:rFonts w:cs="Arial"/>
          <w:iCs/>
          <w:szCs w:val="20"/>
          <w:lang w:val="en-US"/>
        </w:rPr>
        <w:t xml:space="preserve"> Police</w:t>
      </w:r>
      <w:r w:rsidR="00D81AA1" w:rsidRPr="00FE50A6">
        <w:rPr>
          <w:rFonts w:cs="Arial"/>
          <w:iCs/>
          <w:szCs w:val="20"/>
          <w:lang w:val="en-US"/>
        </w:rPr>
        <w:t xml:space="preserve"> consul</w:t>
      </w:r>
      <w:r w:rsidRPr="00FE50A6">
        <w:rPr>
          <w:rFonts w:cs="Arial"/>
          <w:iCs/>
          <w:szCs w:val="20"/>
          <w:lang w:val="en-US"/>
        </w:rPr>
        <w:t xml:space="preserve">ted the Xinguara Civil Register concerning the death certificate of </w:t>
      </w:r>
      <w:r w:rsidR="00200C04" w:rsidRPr="00FE50A6">
        <w:rPr>
          <w:rFonts w:cs="Arial"/>
          <w:iCs/>
          <w:szCs w:val="20"/>
          <w:lang w:val="en-US"/>
        </w:rPr>
        <w:t>Luis Ferreira da Cruz</w:t>
      </w:r>
      <w:r w:rsidRPr="00FE50A6">
        <w:rPr>
          <w:rFonts w:cs="Arial"/>
          <w:iCs/>
          <w:szCs w:val="20"/>
          <w:lang w:val="en-US"/>
        </w:rPr>
        <w:t xml:space="preserve">; however, they were advised that there was no record of his death so that it was probable that, if he had died, he had been </w:t>
      </w:r>
      <w:r w:rsidR="00C96422" w:rsidRPr="00FE50A6">
        <w:rPr>
          <w:rFonts w:cs="Arial"/>
          <w:iCs/>
          <w:szCs w:val="20"/>
          <w:lang w:val="en-US"/>
        </w:rPr>
        <w:t>given an indigent burial</w:t>
      </w:r>
      <w:r w:rsidRPr="00FE50A6">
        <w:rPr>
          <w:rFonts w:cs="Arial"/>
          <w:iCs/>
          <w:szCs w:val="20"/>
          <w:lang w:val="en-US"/>
        </w:rPr>
        <w:t xml:space="preserve">. In addition, in a statement made before the </w:t>
      </w:r>
      <w:r w:rsidR="00445155" w:rsidRPr="00FE50A6">
        <w:rPr>
          <w:rFonts w:cs="Arial"/>
          <w:iCs/>
          <w:szCs w:val="20"/>
          <w:lang w:val="en-US"/>
        </w:rPr>
        <w:t>Federal</w:t>
      </w:r>
      <w:r w:rsidR="008B0077" w:rsidRPr="00FE50A6">
        <w:rPr>
          <w:rFonts w:cs="Arial"/>
          <w:iCs/>
          <w:szCs w:val="20"/>
          <w:lang w:val="en-US"/>
        </w:rPr>
        <w:t xml:space="preserve"> Police</w:t>
      </w:r>
      <w:r w:rsidR="00000E63" w:rsidRPr="00FE50A6">
        <w:rPr>
          <w:rFonts w:cs="Arial"/>
          <w:iCs/>
          <w:szCs w:val="20"/>
          <w:lang w:val="en-US"/>
        </w:rPr>
        <w:t xml:space="preserve"> on January 28, 2016</w:t>
      </w:r>
      <w:r w:rsidR="00D81AA1" w:rsidRPr="00FE50A6">
        <w:rPr>
          <w:rFonts w:cs="Arial"/>
          <w:iCs/>
          <w:szCs w:val="20"/>
          <w:lang w:val="en-US"/>
        </w:rPr>
        <w:t xml:space="preserve">, Maria do Socorro Canuto </w:t>
      </w:r>
      <w:r w:rsidRPr="00FE50A6">
        <w:rPr>
          <w:rFonts w:cs="Arial"/>
          <w:iCs/>
          <w:szCs w:val="20"/>
          <w:lang w:val="en-US"/>
        </w:rPr>
        <w:t xml:space="preserve">indicated that she had found out about the death of </w:t>
      </w:r>
      <w:r w:rsidR="00D81AA1" w:rsidRPr="00FE50A6">
        <w:rPr>
          <w:rFonts w:cs="Arial"/>
          <w:iCs/>
          <w:szCs w:val="20"/>
          <w:lang w:val="en-US"/>
        </w:rPr>
        <w:t xml:space="preserve">Luis </w:t>
      </w:r>
      <w:r w:rsidR="00C033FE" w:rsidRPr="00FE50A6">
        <w:rPr>
          <w:rFonts w:cs="Arial"/>
          <w:iCs/>
          <w:szCs w:val="20"/>
          <w:lang w:val="en-US"/>
        </w:rPr>
        <w:t xml:space="preserve">Ferreira da Cruz </w:t>
      </w:r>
      <w:r w:rsidRPr="00FE50A6">
        <w:rPr>
          <w:rFonts w:cs="Arial"/>
          <w:iCs/>
          <w:szCs w:val="20"/>
          <w:lang w:val="en-US"/>
        </w:rPr>
        <w:t xml:space="preserve">through his mother, </w:t>
      </w:r>
      <w:r w:rsidR="00000E63" w:rsidRPr="00FE50A6">
        <w:rPr>
          <w:rFonts w:cs="Arial"/>
          <w:iCs/>
          <w:szCs w:val="20"/>
          <w:lang w:val="en-US"/>
        </w:rPr>
        <w:t>who</w:t>
      </w:r>
      <w:r w:rsidRPr="00FE50A6">
        <w:rPr>
          <w:rFonts w:cs="Arial"/>
          <w:iCs/>
          <w:szCs w:val="20"/>
          <w:lang w:val="en-US"/>
        </w:rPr>
        <w:t xml:space="preserve"> had received the news from an unknown person</w:t>
      </w:r>
      <w:r w:rsidR="00D81AA1" w:rsidRPr="00FE50A6">
        <w:rPr>
          <w:rFonts w:cs="Arial"/>
          <w:iCs/>
          <w:szCs w:val="20"/>
          <w:lang w:val="en-US"/>
        </w:rPr>
        <w:t xml:space="preserve">. </w:t>
      </w:r>
    </w:p>
    <w:p w14:paraId="2FAC94A2" w14:textId="77777777" w:rsidR="00D81AA1" w:rsidRPr="00FE50A6" w:rsidRDefault="00D81AA1" w:rsidP="00D81AA1">
      <w:pPr>
        <w:pStyle w:val="Prrafodelista"/>
        <w:tabs>
          <w:tab w:val="right" w:pos="0"/>
        </w:tabs>
        <w:ind w:left="0"/>
        <w:contextualSpacing w:val="0"/>
        <w:rPr>
          <w:rFonts w:cs="Arial"/>
          <w:iCs/>
          <w:szCs w:val="20"/>
          <w:lang w:val="en-US"/>
        </w:rPr>
      </w:pPr>
    </w:p>
    <w:p w14:paraId="0ACECF44" w14:textId="77777777" w:rsidR="00D81AA1" w:rsidRPr="00FE50A6" w:rsidRDefault="003E28A5" w:rsidP="003E28A5">
      <w:pPr>
        <w:pStyle w:val="Prrafodelista"/>
        <w:numPr>
          <w:ilvl w:val="0"/>
          <w:numId w:val="1"/>
        </w:numPr>
        <w:tabs>
          <w:tab w:val="right" w:pos="0"/>
        </w:tabs>
        <w:contextualSpacing w:val="0"/>
        <w:rPr>
          <w:rFonts w:cs="Arial"/>
          <w:iCs/>
          <w:szCs w:val="20"/>
          <w:lang w:val="en-US"/>
        </w:rPr>
      </w:pPr>
      <w:r w:rsidRPr="00FE50A6">
        <w:rPr>
          <w:rFonts w:cs="Arial"/>
          <w:iCs/>
          <w:szCs w:val="20"/>
          <w:lang w:val="en-US"/>
        </w:rPr>
        <w:t xml:space="preserve">That said, the Court observes that, with regard to the presumed death of </w:t>
      </w:r>
      <w:r w:rsidR="00D81AA1" w:rsidRPr="00FE50A6">
        <w:rPr>
          <w:rFonts w:cs="Arial"/>
          <w:iCs/>
          <w:szCs w:val="20"/>
          <w:lang w:val="en-US"/>
        </w:rPr>
        <w:t xml:space="preserve">Luis Ferreira da Cruz, </w:t>
      </w:r>
      <w:r w:rsidRPr="00FE50A6">
        <w:rPr>
          <w:rFonts w:cs="Arial"/>
          <w:iCs/>
          <w:szCs w:val="20"/>
          <w:lang w:val="en-US"/>
        </w:rPr>
        <w:t xml:space="preserve">the evidence provided by </w:t>
      </w:r>
      <w:r w:rsidR="000228D0" w:rsidRPr="00FE50A6">
        <w:rPr>
          <w:rFonts w:cs="Arial"/>
          <w:iCs/>
          <w:szCs w:val="20"/>
          <w:lang w:val="en-US"/>
        </w:rPr>
        <w:t>the Commission</w:t>
      </w:r>
      <w:r w:rsidR="00030C17" w:rsidRPr="00FE50A6">
        <w:rPr>
          <w:rFonts w:cs="Arial"/>
          <w:iCs/>
          <w:szCs w:val="20"/>
          <w:lang w:val="en-US"/>
        </w:rPr>
        <w:t xml:space="preserve"> and </w:t>
      </w:r>
      <w:r w:rsidRPr="00FE50A6">
        <w:rPr>
          <w:rFonts w:cs="Arial"/>
          <w:iCs/>
          <w:szCs w:val="20"/>
          <w:lang w:val="en-US"/>
        </w:rPr>
        <w:t xml:space="preserve">the parties is contradictory and very inconclusive. In 2009, the version of the foster family of </w:t>
      </w:r>
      <w:r w:rsidR="00D81AA1" w:rsidRPr="00FE50A6">
        <w:rPr>
          <w:rFonts w:cs="Arial"/>
          <w:iCs/>
          <w:szCs w:val="20"/>
          <w:lang w:val="en-US"/>
        </w:rPr>
        <w:t>Luis</w:t>
      </w:r>
      <w:r w:rsidR="0066368D" w:rsidRPr="00FE50A6">
        <w:rPr>
          <w:rFonts w:cs="Arial"/>
          <w:iCs/>
          <w:szCs w:val="20"/>
          <w:lang w:val="en-US"/>
        </w:rPr>
        <w:t xml:space="preserve"> Ferreira da Cruz</w:t>
      </w:r>
      <w:r w:rsidR="00D81AA1" w:rsidRPr="00FE50A6">
        <w:rPr>
          <w:rFonts w:cs="Arial"/>
          <w:iCs/>
          <w:szCs w:val="20"/>
          <w:lang w:val="en-US"/>
        </w:rPr>
        <w:t xml:space="preserve"> establ</w:t>
      </w:r>
      <w:r w:rsidRPr="00FE50A6">
        <w:rPr>
          <w:rFonts w:cs="Arial"/>
          <w:iCs/>
          <w:szCs w:val="20"/>
          <w:lang w:val="en-US"/>
        </w:rPr>
        <w:t xml:space="preserve">ished that he was disappeared since his flight from </w:t>
      </w:r>
      <w:r w:rsidR="00D81AA1" w:rsidRPr="00FE50A6">
        <w:rPr>
          <w:rFonts w:cs="Arial"/>
          <w:iCs/>
          <w:szCs w:val="20"/>
          <w:lang w:val="en-US"/>
        </w:rPr>
        <w:t xml:space="preserve">Hacienda </w:t>
      </w:r>
      <w:r w:rsidR="00322241" w:rsidRPr="00FE50A6">
        <w:rPr>
          <w:rFonts w:cs="Arial"/>
          <w:iCs/>
          <w:szCs w:val="20"/>
          <w:lang w:val="en-US"/>
        </w:rPr>
        <w:t>Brasil Verde</w:t>
      </w:r>
      <w:r w:rsidR="00D81AA1" w:rsidRPr="00FE50A6">
        <w:rPr>
          <w:rFonts w:cs="Arial"/>
          <w:iCs/>
          <w:szCs w:val="20"/>
          <w:lang w:val="en-US"/>
        </w:rPr>
        <w:t xml:space="preserve"> </w:t>
      </w:r>
      <w:r w:rsidRPr="00FE50A6">
        <w:rPr>
          <w:rFonts w:cs="Arial"/>
          <w:iCs/>
          <w:szCs w:val="20"/>
          <w:lang w:val="en-US"/>
        </w:rPr>
        <w:t>i</w:t>
      </w:r>
      <w:r w:rsidR="00D81AA1" w:rsidRPr="00FE50A6">
        <w:rPr>
          <w:rFonts w:cs="Arial"/>
          <w:iCs/>
          <w:szCs w:val="20"/>
          <w:lang w:val="en-US"/>
        </w:rPr>
        <w:t xml:space="preserve">n 1988. </w:t>
      </w:r>
      <w:r w:rsidRPr="00FE50A6">
        <w:rPr>
          <w:rFonts w:cs="Arial"/>
          <w:iCs/>
          <w:szCs w:val="20"/>
          <w:lang w:val="en-US"/>
        </w:rPr>
        <w:t>However</w:t>
      </w:r>
      <w:r w:rsidR="00D81AA1" w:rsidRPr="00FE50A6">
        <w:rPr>
          <w:rFonts w:cs="Arial"/>
          <w:iCs/>
          <w:szCs w:val="20"/>
          <w:lang w:val="en-US"/>
        </w:rPr>
        <w:t xml:space="preserve">, </w:t>
      </w:r>
      <w:r w:rsidRPr="00FE50A6">
        <w:rPr>
          <w:rFonts w:cs="Arial"/>
          <w:iCs/>
          <w:szCs w:val="20"/>
          <w:lang w:val="en-US"/>
        </w:rPr>
        <w:t>i</w:t>
      </w:r>
      <w:r w:rsidR="00D81AA1" w:rsidRPr="00FE50A6">
        <w:rPr>
          <w:rFonts w:cs="Arial"/>
          <w:iCs/>
          <w:szCs w:val="20"/>
          <w:lang w:val="en-US"/>
        </w:rPr>
        <w:t>n 2015</w:t>
      </w:r>
      <w:r w:rsidRPr="00FE50A6">
        <w:rPr>
          <w:rFonts w:cs="Arial"/>
          <w:iCs/>
          <w:szCs w:val="20"/>
          <w:lang w:val="en-US"/>
        </w:rPr>
        <w:t xml:space="preserve">, </w:t>
      </w:r>
      <w:r w:rsidR="00D81AA1" w:rsidRPr="00FE50A6">
        <w:rPr>
          <w:rFonts w:cs="Arial"/>
          <w:iCs/>
          <w:szCs w:val="20"/>
          <w:lang w:val="en-US"/>
        </w:rPr>
        <w:t>Maria do Socorro Canuto</w:t>
      </w:r>
      <w:r w:rsidR="00030C17" w:rsidRPr="00FE50A6">
        <w:rPr>
          <w:rFonts w:cs="Arial"/>
          <w:iCs/>
          <w:szCs w:val="20"/>
          <w:lang w:val="en-US"/>
        </w:rPr>
        <w:t xml:space="preserve"> and </w:t>
      </w:r>
      <w:r w:rsidR="00D81AA1" w:rsidRPr="00FE50A6">
        <w:rPr>
          <w:rFonts w:cs="Arial"/>
          <w:iCs/>
          <w:szCs w:val="20"/>
          <w:lang w:val="en-US"/>
        </w:rPr>
        <w:t xml:space="preserve">María Gorete </w:t>
      </w:r>
      <w:r w:rsidRPr="00FE50A6">
        <w:rPr>
          <w:rFonts w:cs="Arial"/>
          <w:iCs/>
          <w:szCs w:val="20"/>
          <w:lang w:val="en-US"/>
        </w:rPr>
        <w:t>stated that</w:t>
      </w:r>
      <w:r w:rsidR="00D81AA1" w:rsidRPr="00FE50A6">
        <w:rPr>
          <w:rFonts w:cs="Arial"/>
          <w:iCs/>
          <w:szCs w:val="20"/>
          <w:lang w:val="en-US"/>
        </w:rPr>
        <w:t xml:space="preserve"> </w:t>
      </w:r>
      <w:r w:rsidR="00200C04" w:rsidRPr="00FE50A6">
        <w:rPr>
          <w:rFonts w:cs="Arial"/>
          <w:iCs/>
          <w:szCs w:val="20"/>
          <w:lang w:val="en-US"/>
        </w:rPr>
        <w:t>Luis Ferreira da Cruz</w:t>
      </w:r>
      <w:r w:rsidR="00D81AA1" w:rsidRPr="00FE50A6">
        <w:rPr>
          <w:rFonts w:cs="Arial"/>
          <w:iCs/>
          <w:szCs w:val="20"/>
          <w:lang w:val="en-US"/>
        </w:rPr>
        <w:t xml:space="preserve"> ha</w:t>
      </w:r>
      <w:r w:rsidRPr="00FE50A6">
        <w:rPr>
          <w:rFonts w:cs="Arial"/>
          <w:iCs/>
          <w:szCs w:val="20"/>
          <w:lang w:val="en-US"/>
        </w:rPr>
        <w:t xml:space="preserve">d died 10 years previously – in other words, in around 2005. In addition, in a statement made in 2016, </w:t>
      </w:r>
      <w:r w:rsidR="00D81AA1" w:rsidRPr="00FE50A6">
        <w:rPr>
          <w:rFonts w:cs="Arial"/>
          <w:iCs/>
          <w:szCs w:val="20"/>
          <w:lang w:val="en-US"/>
        </w:rPr>
        <w:t>Maria do Socorro indic</w:t>
      </w:r>
      <w:r w:rsidRPr="00FE50A6">
        <w:rPr>
          <w:rFonts w:cs="Arial"/>
          <w:iCs/>
          <w:szCs w:val="20"/>
          <w:lang w:val="en-US"/>
        </w:rPr>
        <w:t xml:space="preserve">ated that it was an unknown person who had provided this information. None of the statements made by </w:t>
      </w:r>
      <w:r w:rsidR="00D81AA1" w:rsidRPr="00FE50A6">
        <w:rPr>
          <w:rFonts w:cs="Arial"/>
          <w:iCs/>
          <w:szCs w:val="20"/>
          <w:lang w:val="en-US"/>
        </w:rPr>
        <w:t xml:space="preserve">Maria do Socorro Canuto </w:t>
      </w:r>
      <w:r w:rsidRPr="00FE50A6">
        <w:rPr>
          <w:rFonts w:cs="Arial"/>
          <w:iCs/>
          <w:szCs w:val="20"/>
          <w:lang w:val="en-US"/>
        </w:rPr>
        <w:t xml:space="preserve">indicate the approximate date on which news of the death of </w:t>
      </w:r>
      <w:r w:rsidR="00200C04" w:rsidRPr="00FE50A6">
        <w:rPr>
          <w:rFonts w:cs="Arial"/>
          <w:iCs/>
          <w:szCs w:val="20"/>
          <w:lang w:val="en-US"/>
        </w:rPr>
        <w:t>Luis Ferreira da Cruz</w:t>
      </w:r>
      <w:r w:rsidRPr="00FE50A6">
        <w:rPr>
          <w:rFonts w:cs="Arial"/>
          <w:iCs/>
          <w:szCs w:val="20"/>
          <w:lang w:val="en-US"/>
        </w:rPr>
        <w:t xml:space="preserve"> was received. Even if this information were true and</w:t>
      </w:r>
      <w:r w:rsidR="00D81AA1" w:rsidRPr="00FE50A6">
        <w:rPr>
          <w:rFonts w:cs="Arial"/>
          <w:iCs/>
          <w:szCs w:val="20"/>
          <w:lang w:val="en-US"/>
        </w:rPr>
        <w:t xml:space="preserve"> </w:t>
      </w:r>
      <w:r w:rsidR="00200C04" w:rsidRPr="00FE50A6">
        <w:rPr>
          <w:rFonts w:cs="Arial"/>
          <w:iCs/>
          <w:szCs w:val="20"/>
          <w:lang w:val="en-US"/>
        </w:rPr>
        <w:t>Luis Ferreira da Cruz</w:t>
      </w:r>
      <w:r w:rsidR="00D81AA1" w:rsidRPr="00FE50A6">
        <w:rPr>
          <w:rFonts w:cs="Arial"/>
          <w:iCs/>
          <w:szCs w:val="20"/>
          <w:lang w:val="en-US"/>
        </w:rPr>
        <w:t xml:space="preserve"> </w:t>
      </w:r>
      <w:r w:rsidRPr="00FE50A6">
        <w:rPr>
          <w:rFonts w:cs="Arial"/>
          <w:iCs/>
          <w:szCs w:val="20"/>
          <w:lang w:val="en-US"/>
        </w:rPr>
        <w:t>is deceased,</w:t>
      </w:r>
      <w:r w:rsidR="005F20C4" w:rsidRPr="00FE50A6">
        <w:rPr>
          <w:rFonts w:cs="Arial"/>
          <w:iCs/>
          <w:szCs w:val="20"/>
          <w:lang w:val="en-US"/>
        </w:rPr>
        <w:t xml:space="preserve"> since he</w:t>
      </w:r>
      <w:r w:rsidRPr="00FE50A6">
        <w:rPr>
          <w:rFonts w:cs="Arial"/>
          <w:iCs/>
          <w:szCs w:val="20"/>
          <w:lang w:val="en-US"/>
        </w:rPr>
        <w:t xml:space="preserve"> died without identi</w:t>
      </w:r>
      <w:r w:rsidR="00370ACF" w:rsidRPr="00FE50A6">
        <w:rPr>
          <w:rFonts w:cs="Arial"/>
          <w:iCs/>
          <w:szCs w:val="20"/>
          <w:lang w:val="en-US"/>
        </w:rPr>
        <w:t>fication</w:t>
      </w:r>
      <w:r w:rsidRPr="00FE50A6">
        <w:rPr>
          <w:rFonts w:cs="Arial"/>
          <w:iCs/>
          <w:szCs w:val="20"/>
          <w:lang w:val="en-US"/>
        </w:rPr>
        <w:t xml:space="preserve"> </w:t>
      </w:r>
      <w:r w:rsidR="00370ACF" w:rsidRPr="00FE50A6">
        <w:rPr>
          <w:rFonts w:cs="Arial"/>
          <w:iCs/>
          <w:szCs w:val="20"/>
          <w:lang w:val="en-US"/>
        </w:rPr>
        <w:t>papers</w:t>
      </w:r>
      <w:r w:rsidRPr="00FE50A6">
        <w:rPr>
          <w:rFonts w:cs="Arial"/>
          <w:iCs/>
          <w:szCs w:val="20"/>
          <w:lang w:val="en-US"/>
        </w:rPr>
        <w:t xml:space="preserve">, it is probable that </w:t>
      </w:r>
      <w:r w:rsidR="005F20C4" w:rsidRPr="00FE50A6">
        <w:rPr>
          <w:rFonts w:cs="Arial"/>
          <w:iCs/>
          <w:szCs w:val="20"/>
          <w:lang w:val="en-US"/>
        </w:rPr>
        <w:t>he</w:t>
      </w:r>
      <w:r w:rsidRPr="00FE50A6">
        <w:rPr>
          <w:rFonts w:cs="Arial"/>
          <w:iCs/>
          <w:szCs w:val="20"/>
          <w:lang w:val="en-US"/>
        </w:rPr>
        <w:t xml:space="preserve"> was </w:t>
      </w:r>
      <w:r w:rsidR="00C96422" w:rsidRPr="00FE50A6">
        <w:rPr>
          <w:rFonts w:cs="Arial"/>
          <w:iCs/>
          <w:szCs w:val="20"/>
          <w:lang w:val="en-US"/>
        </w:rPr>
        <w:t>given an indigent burial</w:t>
      </w:r>
      <w:r w:rsidRPr="00FE50A6">
        <w:rPr>
          <w:rFonts w:cs="Arial"/>
          <w:iCs/>
          <w:szCs w:val="20"/>
          <w:lang w:val="en-US"/>
        </w:rPr>
        <w:t>, and it is an undisputed fact that his name does not appear in the records of those who are deceased</w:t>
      </w:r>
      <w:r w:rsidR="00D81AA1" w:rsidRPr="00FE50A6">
        <w:rPr>
          <w:rFonts w:cs="Arial"/>
          <w:iCs/>
          <w:szCs w:val="20"/>
          <w:lang w:val="en-US"/>
        </w:rPr>
        <w:t>.</w:t>
      </w:r>
    </w:p>
    <w:p w14:paraId="3AF210F6" w14:textId="77777777" w:rsidR="00D81AA1" w:rsidRPr="00FE50A6" w:rsidRDefault="00D81AA1" w:rsidP="00D81AA1">
      <w:pPr>
        <w:pStyle w:val="Prrafodelista"/>
        <w:tabs>
          <w:tab w:val="right" w:pos="0"/>
        </w:tabs>
        <w:ind w:left="0"/>
        <w:contextualSpacing w:val="0"/>
        <w:rPr>
          <w:rFonts w:cs="Arial"/>
          <w:iCs/>
          <w:szCs w:val="20"/>
          <w:lang w:val="en-US"/>
        </w:rPr>
      </w:pPr>
    </w:p>
    <w:p w14:paraId="73817C1D" w14:textId="77777777" w:rsidR="00D1019C" w:rsidRPr="00FE50A6" w:rsidRDefault="005F20C4" w:rsidP="00D1019C">
      <w:pPr>
        <w:pStyle w:val="Prrafodelista"/>
        <w:numPr>
          <w:ilvl w:val="0"/>
          <w:numId w:val="1"/>
        </w:numPr>
        <w:tabs>
          <w:tab w:val="right" w:pos="0"/>
        </w:tabs>
        <w:contextualSpacing w:val="0"/>
        <w:rPr>
          <w:rFonts w:cs="Arial"/>
          <w:iCs/>
          <w:szCs w:val="20"/>
          <w:lang w:val="en-US"/>
        </w:rPr>
      </w:pPr>
      <w:r w:rsidRPr="00FE50A6">
        <w:rPr>
          <w:rFonts w:cs="Arial"/>
          <w:iCs/>
          <w:szCs w:val="20"/>
          <w:lang w:val="en-US"/>
        </w:rPr>
        <w:t>Based on the above</w:t>
      </w:r>
      <w:r w:rsidR="00370ACF" w:rsidRPr="00FE50A6">
        <w:rPr>
          <w:rFonts w:cs="Arial"/>
          <w:iCs/>
          <w:szCs w:val="20"/>
          <w:lang w:val="en-US"/>
        </w:rPr>
        <w:t>, which relates to</w:t>
      </w:r>
      <w:r w:rsidRPr="00FE50A6">
        <w:rPr>
          <w:rFonts w:cs="Arial"/>
          <w:iCs/>
          <w:szCs w:val="20"/>
          <w:lang w:val="en-US"/>
        </w:rPr>
        <w:t xml:space="preserve"> facts </w:t>
      </w:r>
      <w:r w:rsidR="00370ACF" w:rsidRPr="00FE50A6">
        <w:rPr>
          <w:rFonts w:cs="Arial"/>
          <w:iCs/>
          <w:szCs w:val="20"/>
          <w:lang w:val="en-US"/>
        </w:rPr>
        <w:t>regarding</w:t>
      </w:r>
      <w:r w:rsidRPr="00FE50A6">
        <w:rPr>
          <w:rFonts w:cs="Arial"/>
          <w:iCs/>
          <w:szCs w:val="20"/>
          <w:lang w:val="en-US"/>
        </w:rPr>
        <w:t xml:space="preserve"> which it does not have competence, the Court notes that the State re-opened the investigation into </w:t>
      </w:r>
      <w:r w:rsidR="00576F80" w:rsidRPr="00FE50A6">
        <w:rPr>
          <w:rFonts w:cs="Arial"/>
          <w:iCs/>
          <w:szCs w:val="20"/>
          <w:lang w:val="en-US"/>
        </w:rPr>
        <w:t>the alleged</w:t>
      </w:r>
      <w:r w:rsidR="00D81AA1" w:rsidRPr="00FE50A6">
        <w:rPr>
          <w:rFonts w:cs="Arial"/>
          <w:iCs/>
          <w:szCs w:val="20"/>
          <w:lang w:val="en-US"/>
        </w:rPr>
        <w:t xml:space="preserve"> d</w:t>
      </w:r>
      <w:r w:rsidRPr="00FE50A6">
        <w:rPr>
          <w:rFonts w:cs="Arial"/>
          <w:iCs/>
          <w:szCs w:val="20"/>
          <w:lang w:val="en-US"/>
        </w:rPr>
        <w:t xml:space="preserve">isappearance of </w:t>
      </w:r>
      <w:r w:rsidR="00C53635" w:rsidRPr="00FE50A6">
        <w:rPr>
          <w:rFonts w:cs="Arial"/>
          <w:iCs/>
          <w:szCs w:val="20"/>
          <w:lang w:val="en-US"/>
        </w:rPr>
        <w:t xml:space="preserve">Luis </w:t>
      </w:r>
      <w:r w:rsidR="00D81AA1" w:rsidRPr="00FE50A6">
        <w:rPr>
          <w:rFonts w:cs="Arial"/>
          <w:iCs/>
          <w:szCs w:val="20"/>
          <w:lang w:val="en-US"/>
        </w:rPr>
        <w:t>Ferreira</w:t>
      </w:r>
      <w:r w:rsidR="00C53635" w:rsidRPr="00FE50A6">
        <w:rPr>
          <w:rFonts w:cs="Arial"/>
          <w:iCs/>
          <w:szCs w:val="20"/>
          <w:lang w:val="en-US"/>
        </w:rPr>
        <w:t xml:space="preserve"> da Cruz</w:t>
      </w:r>
      <w:r w:rsidR="00D81AA1" w:rsidRPr="00FE50A6">
        <w:rPr>
          <w:rFonts w:cs="Arial"/>
          <w:iCs/>
          <w:szCs w:val="20"/>
          <w:lang w:val="en-US"/>
        </w:rPr>
        <w:t xml:space="preserve"> </w:t>
      </w:r>
      <w:r w:rsidRPr="00FE50A6">
        <w:rPr>
          <w:rFonts w:cs="Arial"/>
          <w:iCs/>
          <w:szCs w:val="20"/>
          <w:lang w:val="en-US"/>
        </w:rPr>
        <w:t>i</w:t>
      </w:r>
      <w:r w:rsidR="00D81AA1" w:rsidRPr="00FE50A6">
        <w:rPr>
          <w:rFonts w:cs="Arial"/>
          <w:iCs/>
          <w:szCs w:val="20"/>
          <w:lang w:val="en-US"/>
        </w:rPr>
        <w:t>n 2007</w:t>
      </w:r>
      <w:r w:rsidRPr="00FE50A6">
        <w:rPr>
          <w:rFonts w:cs="Arial"/>
          <w:iCs/>
          <w:szCs w:val="20"/>
          <w:lang w:val="en-US"/>
        </w:rPr>
        <w:t xml:space="preserve">; nevertheless, it failed to determine his whereabouts. Subsequently, in 2015, the State discovered, through the statements of his next of kin, that </w:t>
      </w:r>
      <w:r w:rsidR="00C53635" w:rsidRPr="00FE50A6">
        <w:rPr>
          <w:rFonts w:cs="Arial"/>
          <w:iCs/>
          <w:szCs w:val="20"/>
          <w:lang w:val="en-US"/>
        </w:rPr>
        <w:t xml:space="preserve">Luis </w:t>
      </w:r>
      <w:r w:rsidR="00D81AA1" w:rsidRPr="00FE50A6">
        <w:rPr>
          <w:rFonts w:cs="Arial"/>
          <w:iCs/>
          <w:szCs w:val="20"/>
          <w:lang w:val="en-US"/>
        </w:rPr>
        <w:t>Ferreira</w:t>
      </w:r>
      <w:r w:rsidR="00C53635" w:rsidRPr="00FE50A6">
        <w:rPr>
          <w:rFonts w:cs="Arial"/>
          <w:iCs/>
          <w:szCs w:val="20"/>
          <w:lang w:val="en-US"/>
        </w:rPr>
        <w:t xml:space="preserve"> da Cruz</w:t>
      </w:r>
      <w:r w:rsidR="00D81AA1" w:rsidRPr="00FE50A6">
        <w:rPr>
          <w:rFonts w:cs="Arial"/>
          <w:iCs/>
          <w:szCs w:val="20"/>
          <w:lang w:val="en-US"/>
        </w:rPr>
        <w:t xml:space="preserve"> ha</w:t>
      </w:r>
      <w:r w:rsidRPr="00FE50A6">
        <w:rPr>
          <w:rFonts w:cs="Arial"/>
          <w:iCs/>
          <w:szCs w:val="20"/>
          <w:lang w:val="en-US"/>
        </w:rPr>
        <w:t xml:space="preserve">d died in around 2005. Accordingly, from the evidence provided by </w:t>
      </w:r>
      <w:r w:rsidR="000228D0" w:rsidRPr="00FE50A6">
        <w:rPr>
          <w:rFonts w:cs="Arial"/>
          <w:iCs/>
          <w:szCs w:val="20"/>
          <w:lang w:val="en-US"/>
        </w:rPr>
        <w:t>the Commission</w:t>
      </w:r>
      <w:r w:rsidR="00030C17" w:rsidRPr="00FE50A6">
        <w:rPr>
          <w:rFonts w:cs="Arial"/>
          <w:iCs/>
          <w:szCs w:val="20"/>
          <w:lang w:val="en-US"/>
        </w:rPr>
        <w:t xml:space="preserve"> and </w:t>
      </w:r>
      <w:r w:rsidRPr="00FE50A6">
        <w:rPr>
          <w:rFonts w:cs="Arial"/>
          <w:iCs/>
          <w:szCs w:val="20"/>
          <w:lang w:val="en-US"/>
        </w:rPr>
        <w:t>the parties, at the time this judgment is handed down</w:t>
      </w:r>
      <w:r w:rsidR="006E3A4D" w:rsidRPr="00FE50A6">
        <w:rPr>
          <w:rFonts w:cs="Arial"/>
          <w:iCs/>
          <w:szCs w:val="20"/>
          <w:lang w:val="en-US"/>
        </w:rPr>
        <w:t>,</w:t>
      </w:r>
      <w:r w:rsidR="00D81AA1" w:rsidRPr="00FE50A6">
        <w:rPr>
          <w:rFonts w:cs="Arial"/>
          <w:iCs/>
          <w:szCs w:val="20"/>
          <w:lang w:val="en-US"/>
        </w:rPr>
        <w:t xml:space="preserve"> </w:t>
      </w:r>
      <w:r w:rsidR="000228D0" w:rsidRPr="00FE50A6">
        <w:rPr>
          <w:rFonts w:cs="Arial"/>
          <w:iCs/>
          <w:szCs w:val="20"/>
          <w:lang w:val="en-US"/>
        </w:rPr>
        <w:t>the Inter-American Court</w:t>
      </w:r>
      <w:r w:rsidR="00D81AA1" w:rsidRPr="00FE50A6">
        <w:rPr>
          <w:rFonts w:cs="Arial"/>
          <w:iCs/>
          <w:szCs w:val="20"/>
          <w:lang w:val="en-US"/>
        </w:rPr>
        <w:t xml:space="preserve"> </w:t>
      </w:r>
      <w:r w:rsidRPr="00FE50A6">
        <w:rPr>
          <w:rFonts w:cs="Arial"/>
          <w:iCs/>
          <w:szCs w:val="20"/>
          <w:lang w:val="en-US"/>
        </w:rPr>
        <w:t xml:space="preserve">is unable to conclude that </w:t>
      </w:r>
      <w:r w:rsidR="00200C04" w:rsidRPr="00FE50A6">
        <w:rPr>
          <w:rFonts w:cs="Arial"/>
          <w:iCs/>
          <w:szCs w:val="20"/>
          <w:lang w:val="en-US"/>
        </w:rPr>
        <w:t xml:space="preserve">Luis Ferreira </w:t>
      </w:r>
      <w:r w:rsidR="00701BB2" w:rsidRPr="00FE50A6">
        <w:rPr>
          <w:rFonts w:cs="Arial"/>
          <w:iCs/>
          <w:szCs w:val="20"/>
          <w:lang w:val="en-US"/>
        </w:rPr>
        <w:t xml:space="preserve">da Cruz </w:t>
      </w:r>
      <w:r w:rsidRPr="00FE50A6">
        <w:rPr>
          <w:rFonts w:cs="Arial"/>
          <w:iCs/>
          <w:szCs w:val="20"/>
          <w:lang w:val="en-US"/>
        </w:rPr>
        <w:t>was a victim of disappearance</w:t>
      </w:r>
      <w:r w:rsidR="00370ACF" w:rsidRPr="00FE50A6">
        <w:rPr>
          <w:rFonts w:cs="Arial"/>
          <w:iCs/>
          <w:szCs w:val="20"/>
          <w:lang w:val="en-US"/>
        </w:rPr>
        <w:t>.</w:t>
      </w:r>
      <w:r w:rsidRPr="00FE50A6">
        <w:rPr>
          <w:rFonts w:cs="Arial"/>
          <w:iCs/>
          <w:szCs w:val="20"/>
          <w:lang w:val="en-US"/>
        </w:rPr>
        <w:t xml:space="preserve"> </w:t>
      </w:r>
      <w:r w:rsidR="00370ACF" w:rsidRPr="00FE50A6">
        <w:rPr>
          <w:rFonts w:cs="Arial"/>
          <w:iCs/>
          <w:szCs w:val="20"/>
          <w:lang w:val="en-US"/>
        </w:rPr>
        <w:t>C</w:t>
      </w:r>
      <w:r w:rsidRPr="00FE50A6">
        <w:rPr>
          <w:rFonts w:cs="Arial"/>
          <w:iCs/>
          <w:szCs w:val="20"/>
          <w:lang w:val="en-US"/>
        </w:rPr>
        <w:t xml:space="preserve">onsequently, the State cannot be attributed with responsibility for the </w:t>
      </w:r>
      <w:r w:rsidR="00370ACF" w:rsidRPr="00FE50A6">
        <w:rPr>
          <w:rFonts w:cs="Arial"/>
          <w:iCs/>
          <w:szCs w:val="20"/>
          <w:lang w:val="en-US"/>
        </w:rPr>
        <w:t>failure to</w:t>
      </w:r>
      <w:r w:rsidRPr="00FE50A6">
        <w:rPr>
          <w:rFonts w:cs="Arial"/>
          <w:iCs/>
          <w:szCs w:val="20"/>
          <w:lang w:val="en-US"/>
        </w:rPr>
        <w:t xml:space="preserve"> investigat</w:t>
      </w:r>
      <w:r w:rsidR="00370ACF" w:rsidRPr="00FE50A6">
        <w:rPr>
          <w:rFonts w:cs="Arial"/>
          <w:iCs/>
          <w:szCs w:val="20"/>
          <w:lang w:val="en-US"/>
        </w:rPr>
        <w:t>e</w:t>
      </w:r>
      <w:r w:rsidRPr="00FE50A6">
        <w:rPr>
          <w:rFonts w:cs="Arial"/>
          <w:iCs/>
          <w:szCs w:val="20"/>
          <w:lang w:val="en-US"/>
        </w:rPr>
        <w:t xml:space="preserve"> and eventual</w:t>
      </w:r>
      <w:r w:rsidR="00370ACF" w:rsidRPr="00FE50A6">
        <w:rPr>
          <w:rFonts w:cs="Arial"/>
          <w:iCs/>
          <w:szCs w:val="20"/>
          <w:lang w:val="en-US"/>
        </w:rPr>
        <w:t>ly</w:t>
      </w:r>
      <w:r w:rsidRPr="00FE50A6">
        <w:rPr>
          <w:rFonts w:cs="Arial"/>
          <w:iCs/>
          <w:szCs w:val="20"/>
          <w:lang w:val="en-US"/>
        </w:rPr>
        <w:t xml:space="preserve"> punish those allegedly responsible</w:t>
      </w:r>
      <w:r w:rsidR="00D81AA1" w:rsidRPr="00FE50A6">
        <w:rPr>
          <w:rFonts w:cs="Arial"/>
          <w:iCs/>
          <w:szCs w:val="20"/>
          <w:lang w:val="en-US"/>
        </w:rPr>
        <w:t>.</w:t>
      </w:r>
    </w:p>
    <w:p w14:paraId="49836111" w14:textId="77777777" w:rsidR="00D1019C" w:rsidRPr="00FE50A6" w:rsidRDefault="00D1019C" w:rsidP="00D1019C">
      <w:pPr>
        <w:pStyle w:val="Prrafodelista"/>
        <w:rPr>
          <w:rFonts w:cs="Arial"/>
          <w:iCs/>
          <w:szCs w:val="20"/>
          <w:lang w:val="en-US"/>
        </w:rPr>
      </w:pPr>
    </w:p>
    <w:p w14:paraId="502F9ED1" w14:textId="77777777" w:rsidR="004D4500" w:rsidRPr="00FE50A6" w:rsidRDefault="00370ACF" w:rsidP="00D1019C">
      <w:pPr>
        <w:pStyle w:val="Prrafodelista"/>
        <w:numPr>
          <w:ilvl w:val="0"/>
          <w:numId w:val="1"/>
        </w:numPr>
        <w:tabs>
          <w:tab w:val="right" w:pos="0"/>
        </w:tabs>
        <w:contextualSpacing w:val="0"/>
        <w:rPr>
          <w:rFonts w:cs="Arial"/>
          <w:iCs/>
          <w:szCs w:val="20"/>
          <w:lang w:val="en-US"/>
        </w:rPr>
      </w:pPr>
      <w:r w:rsidRPr="00FE50A6">
        <w:rPr>
          <w:rFonts w:cs="Arial"/>
          <w:iCs/>
          <w:szCs w:val="20"/>
          <w:lang w:val="en-US"/>
        </w:rPr>
        <w:t>On this basis</w:t>
      </w:r>
      <w:r w:rsidR="005F20C4" w:rsidRPr="00FE50A6">
        <w:rPr>
          <w:rFonts w:cs="Arial"/>
          <w:iCs/>
          <w:szCs w:val="20"/>
          <w:lang w:val="en-US"/>
        </w:rPr>
        <w:t xml:space="preserve">, the Court concludes that the State is not </w:t>
      </w:r>
      <w:r w:rsidR="00351E20" w:rsidRPr="00FE50A6">
        <w:rPr>
          <w:rFonts w:cs="Arial"/>
          <w:iCs/>
          <w:szCs w:val="20"/>
          <w:lang w:val="en-US"/>
        </w:rPr>
        <w:t>responsible for</w:t>
      </w:r>
      <w:r w:rsidR="00D81AA1" w:rsidRPr="00FE50A6">
        <w:rPr>
          <w:rFonts w:cs="Arial"/>
          <w:iCs/>
          <w:szCs w:val="20"/>
          <w:lang w:val="en-US"/>
        </w:rPr>
        <w:t xml:space="preserve"> </w:t>
      </w:r>
      <w:r w:rsidR="005F20C4" w:rsidRPr="00FE50A6">
        <w:rPr>
          <w:rFonts w:cs="Arial"/>
          <w:iCs/>
          <w:szCs w:val="20"/>
          <w:lang w:val="en-US"/>
        </w:rPr>
        <w:t xml:space="preserve">the alleged violations of the rights to </w:t>
      </w:r>
      <w:r w:rsidR="00D11A9F" w:rsidRPr="00FE50A6">
        <w:rPr>
          <w:rFonts w:cs="Arial"/>
          <w:iCs/>
          <w:szCs w:val="20"/>
          <w:lang w:val="en-US"/>
        </w:rPr>
        <w:t>juridical personality</w:t>
      </w:r>
      <w:r w:rsidR="00D81AA1" w:rsidRPr="00FE50A6">
        <w:rPr>
          <w:rFonts w:cs="Arial"/>
          <w:iCs/>
          <w:szCs w:val="20"/>
          <w:lang w:val="en-US"/>
        </w:rPr>
        <w:t xml:space="preserve">, </w:t>
      </w:r>
      <w:r w:rsidR="005F20C4" w:rsidRPr="00FE50A6">
        <w:rPr>
          <w:rFonts w:cs="Arial"/>
          <w:iCs/>
          <w:szCs w:val="20"/>
          <w:lang w:val="en-US"/>
        </w:rPr>
        <w:t>life</w:t>
      </w:r>
      <w:r w:rsidR="00D81AA1" w:rsidRPr="00FE50A6">
        <w:rPr>
          <w:rFonts w:cs="Arial"/>
          <w:iCs/>
          <w:szCs w:val="20"/>
          <w:lang w:val="en-US"/>
        </w:rPr>
        <w:t xml:space="preserve">, </w:t>
      </w:r>
      <w:r w:rsidR="005F20C4" w:rsidRPr="00FE50A6">
        <w:rPr>
          <w:rFonts w:cs="Arial"/>
          <w:iCs/>
          <w:szCs w:val="20"/>
          <w:lang w:val="en-US"/>
        </w:rPr>
        <w:t xml:space="preserve">and </w:t>
      </w:r>
      <w:r w:rsidR="00BC6362" w:rsidRPr="00FE50A6">
        <w:rPr>
          <w:rFonts w:cs="Arial"/>
          <w:iCs/>
          <w:szCs w:val="20"/>
          <w:lang w:val="en-US"/>
        </w:rPr>
        <w:t xml:space="preserve">personal </w:t>
      </w:r>
      <w:r w:rsidR="005F20C4" w:rsidRPr="00FE50A6">
        <w:rPr>
          <w:rFonts w:cs="Arial"/>
          <w:iCs/>
          <w:szCs w:val="20"/>
          <w:lang w:val="en-US"/>
        </w:rPr>
        <w:t xml:space="preserve">integrity and </w:t>
      </w:r>
      <w:r w:rsidR="00BC6362" w:rsidRPr="00FE50A6">
        <w:rPr>
          <w:rFonts w:cs="Arial"/>
          <w:iCs/>
          <w:szCs w:val="20"/>
          <w:lang w:val="en-US"/>
        </w:rPr>
        <w:t>liberty</w:t>
      </w:r>
      <w:r w:rsidR="00D81AA1" w:rsidRPr="00FE50A6">
        <w:rPr>
          <w:rFonts w:cs="Arial"/>
          <w:iCs/>
          <w:szCs w:val="20"/>
          <w:lang w:val="en-US"/>
        </w:rPr>
        <w:t xml:space="preserve"> </w:t>
      </w:r>
      <w:r w:rsidR="005F20C4" w:rsidRPr="00FE50A6">
        <w:rPr>
          <w:rFonts w:cs="Arial"/>
          <w:iCs/>
          <w:szCs w:val="20"/>
          <w:lang w:val="en-US"/>
        </w:rPr>
        <w:t>recognized in</w:t>
      </w:r>
      <w:r w:rsidR="00D81AA1" w:rsidRPr="00FE50A6">
        <w:rPr>
          <w:rFonts w:cs="Arial"/>
          <w:iCs/>
          <w:szCs w:val="20"/>
          <w:lang w:val="en-US"/>
        </w:rPr>
        <w:t xml:space="preserve"> </w:t>
      </w:r>
      <w:r w:rsidR="000228D0" w:rsidRPr="00FE50A6">
        <w:rPr>
          <w:rFonts w:cs="Arial"/>
          <w:iCs/>
          <w:szCs w:val="20"/>
          <w:lang w:val="en-US"/>
        </w:rPr>
        <w:t>Articles</w:t>
      </w:r>
      <w:r w:rsidR="00D81AA1" w:rsidRPr="00FE50A6">
        <w:rPr>
          <w:rFonts w:cs="Arial"/>
          <w:iCs/>
          <w:szCs w:val="20"/>
          <w:lang w:val="en-US"/>
        </w:rPr>
        <w:t xml:space="preserve"> 3, 4, 5</w:t>
      </w:r>
      <w:r w:rsidR="00030C17" w:rsidRPr="00FE50A6">
        <w:rPr>
          <w:rFonts w:cs="Arial"/>
          <w:iCs/>
          <w:szCs w:val="20"/>
          <w:lang w:val="en-US"/>
        </w:rPr>
        <w:t xml:space="preserve"> and </w:t>
      </w:r>
      <w:r w:rsidR="00D81AA1" w:rsidRPr="00FE50A6">
        <w:rPr>
          <w:rFonts w:cs="Arial"/>
          <w:iCs/>
          <w:szCs w:val="20"/>
          <w:lang w:val="en-US"/>
        </w:rPr>
        <w:t>7</w:t>
      </w:r>
      <w:r w:rsidR="000228D0" w:rsidRPr="00FE50A6">
        <w:rPr>
          <w:rFonts w:cs="Arial"/>
          <w:iCs/>
          <w:szCs w:val="20"/>
          <w:lang w:val="en-US"/>
        </w:rPr>
        <w:t xml:space="preserve"> of the American Convention on Human Rights</w:t>
      </w:r>
      <w:r w:rsidR="00D81AA1" w:rsidRPr="00FE50A6">
        <w:rPr>
          <w:rFonts w:cs="Arial"/>
          <w:iCs/>
          <w:szCs w:val="20"/>
          <w:lang w:val="en-US"/>
        </w:rPr>
        <w:t xml:space="preserve">, </w:t>
      </w:r>
      <w:r w:rsidR="005F20C4" w:rsidRPr="00FE50A6">
        <w:rPr>
          <w:rFonts w:cs="Arial"/>
          <w:iCs/>
          <w:szCs w:val="20"/>
          <w:lang w:val="en-US"/>
        </w:rPr>
        <w:t>in relation to</w:t>
      </w:r>
      <w:r w:rsidR="00D81AA1" w:rsidRPr="00FE50A6">
        <w:rPr>
          <w:rFonts w:cs="Arial"/>
          <w:iCs/>
          <w:szCs w:val="20"/>
          <w:lang w:val="en-US"/>
        </w:rPr>
        <w:t xml:space="preserve"> </w:t>
      </w:r>
      <w:r w:rsidR="00D11A9F" w:rsidRPr="00FE50A6">
        <w:rPr>
          <w:rFonts w:cs="Arial"/>
          <w:iCs/>
          <w:szCs w:val="20"/>
          <w:lang w:val="en-US"/>
        </w:rPr>
        <w:t>the rights of the child</w:t>
      </w:r>
      <w:r w:rsidR="00A97675" w:rsidRPr="00FE50A6">
        <w:rPr>
          <w:rFonts w:cs="Arial"/>
          <w:iCs/>
          <w:szCs w:val="20"/>
          <w:lang w:val="en-US"/>
        </w:rPr>
        <w:t>,</w:t>
      </w:r>
      <w:r w:rsidR="00D81AA1" w:rsidRPr="00FE50A6">
        <w:rPr>
          <w:rFonts w:cs="Arial"/>
          <w:iCs/>
          <w:szCs w:val="20"/>
          <w:lang w:val="en-US"/>
        </w:rPr>
        <w:t xml:space="preserve"> </w:t>
      </w:r>
      <w:r w:rsidR="00BC6362" w:rsidRPr="00FE50A6">
        <w:rPr>
          <w:rFonts w:cs="Arial"/>
          <w:iCs/>
          <w:szCs w:val="20"/>
          <w:lang w:val="en-US"/>
        </w:rPr>
        <w:t>established in</w:t>
      </w:r>
      <w:r w:rsidR="00D81AA1" w:rsidRPr="00FE50A6">
        <w:rPr>
          <w:rFonts w:cs="Arial"/>
          <w:iCs/>
          <w:szCs w:val="20"/>
          <w:lang w:val="en-US"/>
        </w:rPr>
        <w:t xml:space="preserve"> </w:t>
      </w:r>
      <w:r w:rsidR="000228D0" w:rsidRPr="00FE50A6">
        <w:rPr>
          <w:rFonts w:cs="Arial"/>
          <w:iCs/>
          <w:szCs w:val="20"/>
          <w:lang w:val="en-US"/>
        </w:rPr>
        <w:t>Article</w:t>
      </w:r>
      <w:r w:rsidR="00D81AA1" w:rsidRPr="00FE50A6">
        <w:rPr>
          <w:rFonts w:cs="Arial"/>
          <w:iCs/>
          <w:szCs w:val="20"/>
          <w:lang w:val="en-US"/>
        </w:rPr>
        <w:t xml:space="preserve"> 19 </w:t>
      </w:r>
      <w:r w:rsidR="00D11A9F" w:rsidRPr="00FE50A6">
        <w:rPr>
          <w:rFonts w:cs="Arial"/>
          <w:iCs/>
          <w:szCs w:val="20"/>
          <w:lang w:val="en-US"/>
        </w:rPr>
        <w:t>of this instrument</w:t>
      </w:r>
      <w:r w:rsidR="00D81AA1" w:rsidRPr="00FE50A6">
        <w:rPr>
          <w:rFonts w:cs="Arial"/>
          <w:iCs/>
          <w:szCs w:val="20"/>
          <w:lang w:val="en-US"/>
        </w:rPr>
        <w:t xml:space="preserve">, </w:t>
      </w:r>
      <w:r w:rsidR="00703850" w:rsidRPr="00FE50A6">
        <w:rPr>
          <w:rFonts w:cs="Arial"/>
          <w:iCs/>
          <w:szCs w:val="20"/>
          <w:lang w:val="en-US"/>
        </w:rPr>
        <w:t>to the detriment of</w:t>
      </w:r>
      <w:r w:rsidR="00D81AA1" w:rsidRPr="00FE50A6">
        <w:rPr>
          <w:rFonts w:cs="Arial"/>
          <w:iCs/>
          <w:szCs w:val="20"/>
          <w:lang w:val="en-US"/>
        </w:rPr>
        <w:t xml:space="preserve"> </w:t>
      </w:r>
      <w:r w:rsidR="00C9493B" w:rsidRPr="00FE50A6">
        <w:rPr>
          <w:rFonts w:cs="Arial"/>
          <w:iCs/>
          <w:szCs w:val="20"/>
          <w:lang w:val="en-US"/>
        </w:rPr>
        <w:t>Iron Canuto da Silva</w:t>
      </w:r>
      <w:r w:rsidR="00030C17" w:rsidRPr="00FE50A6">
        <w:rPr>
          <w:rFonts w:cs="Arial"/>
          <w:iCs/>
          <w:szCs w:val="20"/>
          <w:lang w:val="en-US"/>
        </w:rPr>
        <w:t xml:space="preserve"> and </w:t>
      </w:r>
      <w:r w:rsidR="00D81AA1" w:rsidRPr="00FE50A6">
        <w:rPr>
          <w:rFonts w:cs="Arial"/>
          <w:iCs/>
          <w:szCs w:val="20"/>
          <w:lang w:val="en-US"/>
        </w:rPr>
        <w:t xml:space="preserve">Luis Ferreira da Cruz, </w:t>
      </w:r>
      <w:r w:rsidR="005F20C4" w:rsidRPr="00FE50A6">
        <w:rPr>
          <w:rFonts w:cs="Arial"/>
          <w:iCs/>
          <w:szCs w:val="20"/>
          <w:lang w:val="en-US"/>
        </w:rPr>
        <w:t>or</w:t>
      </w:r>
      <w:r w:rsidR="00703850" w:rsidRPr="00FE50A6">
        <w:rPr>
          <w:rFonts w:cs="Arial"/>
          <w:iCs/>
          <w:szCs w:val="20"/>
          <w:lang w:val="en-US"/>
        </w:rPr>
        <w:t xml:space="preserve"> </w:t>
      </w:r>
      <w:r w:rsidRPr="00FE50A6">
        <w:rPr>
          <w:rFonts w:cs="Arial"/>
          <w:iCs/>
          <w:szCs w:val="20"/>
          <w:lang w:val="en-US"/>
        </w:rPr>
        <w:t>for</w:t>
      </w:r>
      <w:r w:rsidR="00703850" w:rsidRPr="00FE50A6">
        <w:rPr>
          <w:rFonts w:cs="Arial"/>
          <w:iCs/>
          <w:szCs w:val="20"/>
          <w:lang w:val="en-US"/>
        </w:rPr>
        <w:t xml:space="preserve"> the violation</w:t>
      </w:r>
      <w:r w:rsidR="00030C17" w:rsidRPr="00FE50A6">
        <w:rPr>
          <w:rFonts w:cs="Arial"/>
          <w:iCs/>
          <w:szCs w:val="20"/>
          <w:lang w:val="en-US"/>
        </w:rPr>
        <w:t xml:space="preserve"> of</w:t>
      </w:r>
      <w:r w:rsidR="00D81AA1" w:rsidRPr="00FE50A6">
        <w:rPr>
          <w:rFonts w:cs="Arial"/>
          <w:iCs/>
          <w:szCs w:val="20"/>
          <w:lang w:val="en-US"/>
        </w:rPr>
        <w:t xml:space="preserve"> </w:t>
      </w:r>
      <w:r w:rsidR="000228D0" w:rsidRPr="00FE50A6">
        <w:rPr>
          <w:rFonts w:cs="Arial"/>
          <w:iCs/>
          <w:szCs w:val="20"/>
          <w:lang w:val="en-US"/>
        </w:rPr>
        <w:t>Articles</w:t>
      </w:r>
      <w:r w:rsidR="00D81AA1" w:rsidRPr="00FE50A6">
        <w:rPr>
          <w:rFonts w:cs="Arial"/>
          <w:iCs/>
          <w:szCs w:val="20"/>
          <w:lang w:val="en-US"/>
        </w:rPr>
        <w:t xml:space="preserve"> 8</w:t>
      </w:r>
      <w:r w:rsidR="00030C17" w:rsidRPr="00FE50A6">
        <w:rPr>
          <w:rFonts w:cs="Arial"/>
          <w:iCs/>
          <w:szCs w:val="20"/>
          <w:lang w:val="en-US"/>
        </w:rPr>
        <w:t xml:space="preserve"> and </w:t>
      </w:r>
      <w:r w:rsidR="00D81AA1" w:rsidRPr="00FE50A6">
        <w:rPr>
          <w:rFonts w:cs="Arial"/>
          <w:iCs/>
          <w:szCs w:val="20"/>
          <w:lang w:val="en-US"/>
        </w:rPr>
        <w:t xml:space="preserve">25 </w:t>
      </w:r>
      <w:r w:rsidR="00D11A9F" w:rsidRPr="00FE50A6">
        <w:rPr>
          <w:rFonts w:cs="Arial"/>
          <w:iCs/>
          <w:szCs w:val="20"/>
          <w:lang w:val="en-US"/>
        </w:rPr>
        <w:t>of this instrument</w:t>
      </w:r>
      <w:r w:rsidR="00D81AA1" w:rsidRPr="00FE50A6">
        <w:rPr>
          <w:rFonts w:cs="Arial"/>
          <w:iCs/>
          <w:szCs w:val="20"/>
          <w:lang w:val="en-US"/>
        </w:rPr>
        <w:t xml:space="preserve"> </w:t>
      </w:r>
      <w:r w:rsidR="00703850" w:rsidRPr="00FE50A6">
        <w:rPr>
          <w:rFonts w:cs="Arial"/>
          <w:iCs/>
          <w:szCs w:val="20"/>
          <w:lang w:val="en-US"/>
        </w:rPr>
        <w:t>to the detriment of</w:t>
      </w:r>
      <w:r w:rsidR="00D81AA1" w:rsidRPr="00FE50A6">
        <w:rPr>
          <w:rFonts w:cs="Arial"/>
          <w:iCs/>
          <w:szCs w:val="20"/>
          <w:lang w:val="en-US"/>
        </w:rPr>
        <w:t xml:space="preserve"> </w:t>
      </w:r>
      <w:r w:rsidR="005F20C4" w:rsidRPr="00FE50A6">
        <w:rPr>
          <w:rFonts w:cs="Arial"/>
          <w:iCs/>
          <w:szCs w:val="20"/>
          <w:lang w:val="en-US"/>
        </w:rPr>
        <w:t>their next of kin.</w:t>
      </w:r>
    </w:p>
    <w:p w14:paraId="4DECA95E" w14:textId="77777777" w:rsidR="00D1019C" w:rsidRPr="00FE50A6" w:rsidRDefault="00D1019C" w:rsidP="00D81AA1">
      <w:pPr>
        <w:pStyle w:val="Prrafodelista"/>
        <w:autoSpaceDE w:val="0"/>
        <w:autoSpaceDN w:val="0"/>
        <w:adjustRightInd w:val="0"/>
        <w:ind w:left="0"/>
        <w:contextualSpacing w:val="0"/>
        <w:rPr>
          <w:rFonts w:cs="Arial"/>
          <w:b/>
          <w:iCs/>
          <w:szCs w:val="20"/>
          <w:lang w:val="en-US"/>
        </w:rPr>
      </w:pPr>
    </w:p>
    <w:p w14:paraId="0B2A5524" w14:textId="77777777" w:rsidR="004D4500" w:rsidRPr="00FE50A6" w:rsidRDefault="00D609BD"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359" w:name="_Toc460432528"/>
      <w:bookmarkStart w:id="360" w:name="_Toc464813982"/>
      <w:r w:rsidRPr="00FE50A6">
        <w:rPr>
          <w:rFonts w:eastAsia="Times New Roman" w:cs="Verdana"/>
          <w:b/>
          <w:bCs/>
          <w:caps/>
          <w:noProof/>
          <w:snapToGrid w:val="0"/>
          <w:szCs w:val="20"/>
          <w:lang w:val="en-US" w:eastAsia="es-ES"/>
        </w:rPr>
        <w:t>IX</w:t>
      </w:r>
      <w:bookmarkEnd w:id="359"/>
      <w:bookmarkEnd w:id="360"/>
    </w:p>
    <w:p w14:paraId="7210FF52" w14:textId="77777777" w:rsidR="00D609BD" w:rsidRPr="00FE50A6" w:rsidRDefault="00A47E50" w:rsidP="0039404C">
      <w:pPr>
        <w:keepNext/>
        <w:keepLines/>
        <w:tabs>
          <w:tab w:val="clear" w:pos="4419"/>
          <w:tab w:val="clear" w:pos="8838"/>
        </w:tabs>
        <w:jc w:val="center"/>
        <w:outlineLvl w:val="0"/>
        <w:rPr>
          <w:rFonts w:eastAsia="Times New Roman" w:cs="Verdana"/>
          <w:b/>
          <w:bCs/>
          <w:caps/>
          <w:noProof/>
          <w:snapToGrid w:val="0"/>
          <w:szCs w:val="20"/>
          <w:lang w:val="en-US" w:eastAsia="es-ES"/>
        </w:rPr>
      </w:pPr>
      <w:r w:rsidRPr="00FE50A6">
        <w:rPr>
          <w:rFonts w:eastAsia="Times New Roman" w:cs="Verdana"/>
          <w:b/>
          <w:bCs/>
          <w:caps/>
          <w:noProof/>
          <w:snapToGrid w:val="0"/>
          <w:szCs w:val="20"/>
          <w:lang w:val="en-US" w:eastAsia="es-ES"/>
        </w:rPr>
        <w:t>REPARATIONS</w:t>
      </w:r>
    </w:p>
    <w:p w14:paraId="111FE44E" w14:textId="77777777" w:rsidR="00D609BD" w:rsidRPr="00FE50A6" w:rsidRDefault="00D609BD" w:rsidP="0039404C">
      <w:pPr>
        <w:keepNext/>
        <w:keepLines/>
        <w:tabs>
          <w:tab w:val="clear" w:pos="4419"/>
          <w:tab w:val="clear" w:pos="8838"/>
        </w:tabs>
        <w:jc w:val="center"/>
        <w:outlineLvl w:val="0"/>
        <w:rPr>
          <w:rFonts w:eastAsia="Times New Roman" w:cs="Verdana"/>
          <w:b/>
          <w:bCs/>
          <w:caps/>
          <w:noProof/>
          <w:snapToGrid w:val="0"/>
          <w:szCs w:val="20"/>
          <w:lang w:val="en-US" w:eastAsia="es-ES"/>
        </w:rPr>
      </w:pPr>
      <w:bookmarkStart w:id="361" w:name="_Toc460432530"/>
      <w:bookmarkStart w:id="362" w:name="_Toc460433059"/>
      <w:bookmarkStart w:id="363" w:name="_Toc460441990"/>
      <w:bookmarkStart w:id="364" w:name="_Toc462751132"/>
      <w:bookmarkStart w:id="365" w:name="_Toc464813984"/>
      <w:r w:rsidRPr="00FE50A6">
        <w:rPr>
          <w:rFonts w:eastAsia="Times New Roman" w:cs="Verdana"/>
          <w:b/>
          <w:bCs/>
          <w:caps/>
          <w:noProof/>
          <w:snapToGrid w:val="0"/>
          <w:szCs w:val="20"/>
          <w:lang w:val="en-US" w:eastAsia="es-ES"/>
        </w:rPr>
        <w:t>(</w:t>
      </w:r>
      <w:r w:rsidR="00A47E50" w:rsidRPr="00FE50A6">
        <w:rPr>
          <w:rFonts w:eastAsia="Times New Roman" w:cs="Verdana"/>
          <w:b/>
          <w:bCs/>
          <w:caps/>
          <w:noProof/>
          <w:snapToGrid w:val="0"/>
          <w:szCs w:val="20"/>
          <w:lang w:val="en-US" w:eastAsia="es-ES"/>
        </w:rPr>
        <w:t>APPLICATION OF</w:t>
      </w:r>
      <w:r w:rsidRPr="00FE50A6">
        <w:rPr>
          <w:rFonts w:eastAsia="Times New Roman" w:cs="Verdana"/>
          <w:b/>
          <w:bCs/>
          <w:caps/>
          <w:noProof/>
          <w:snapToGrid w:val="0"/>
          <w:szCs w:val="20"/>
          <w:lang w:val="en-US" w:eastAsia="es-ES"/>
        </w:rPr>
        <w:t xml:space="preserve"> </w:t>
      </w:r>
      <w:r w:rsidR="00D2546E" w:rsidRPr="00FE50A6">
        <w:rPr>
          <w:rFonts w:eastAsia="Times New Roman" w:cs="Verdana"/>
          <w:b/>
          <w:bCs/>
          <w:caps/>
          <w:noProof/>
          <w:snapToGrid w:val="0"/>
          <w:szCs w:val="20"/>
          <w:lang w:val="en-US" w:eastAsia="es-ES"/>
        </w:rPr>
        <w:t>Article</w:t>
      </w:r>
      <w:r w:rsidRPr="00FE50A6">
        <w:rPr>
          <w:rFonts w:eastAsia="Times New Roman" w:cs="Verdana"/>
          <w:b/>
          <w:bCs/>
          <w:caps/>
          <w:noProof/>
          <w:snapToGrid w:val="0"/>
          <w:szCs w:val="20"/>
          <w:lang w:val="en-US" w:eastAsia="es-ES"/>
        </w:rPr>
        <w:t xml:space="preserve"> </w:t>
      </w:r>
      <w:r w:rsidR="000228D0" w:rsidRPr="00FE50A6">
        <w:rPr>
          <w:rFonts w:eastAsia="Times New Roman" w:cs="Verdana"/>
          <w:b/>
          <w:bCs/>
          <w:caps/>
          <w:noProof/>
          <w:snapToGrid w:val="0"/>
          <w:szCs w:val="20"/>
          <w:lang w:val="en-US" w:eastAsia="es-ES"/>
        </w:rPr>
        <w:t>63(1) of the American Convention</w:t>
      </w:r>
      <w:r w:rsidRPr="00FE50A6">
        <w:rPr>
          <w:rFonts w:eastAsia="Times New Roman" w:cs="Verdana"/>
          <w:b/>
          <w:bCs/>
          <w:caps/>
          <w:noProof/>
          <w:snapToGrid w:val="0"/>
          <w:szCs w:val="20"/>
          <w:lang w:val="en-US" w:eastAsia="es-ES"/>
        </w:rPr>
        <w:t>)</w:t>
      </w:r>
      <w:bookmarkEnd w:id="361"/>
      <w:bookmarkEnd w:id="362"/>
      <w:bookmarkEnd w:id="363"/>
      <w:bookmarkEnd w:id="364"/>
      <w:bookmarkEnd w:id="365"/>
    </w:p>
    <w:p w14:paraId="0F862D06" w14:textId="77777777" w:rsidR="008F611E" w:rsidRPr="00FE50A6" w:rsidRDefault="008F611E" w:rsidP="00D609BD">
      <w:pPr>
        <w:pStyle w:val="Prrafodelista"/>
        <w:autoSpaceDE w:val="0"/>
        <w:autoSpaceDN w:val="0"/>
        <w:adjustRightInd w:val="0"/>
        <w:ind w:left="0"/>
        <w:contextualSpacing w:val="0"/>
        <w:rPr>
          <w:rFonts w:cs="Arial"/>
          <w:iCs/>
          <w:szCs w:val="20"/>
          <w:lang w:val="en-US"/>
        </w:rPr>
      </w:pPr>
    </w:p>
    <w:p w14:paraId="297A0ADC" w14:textId="77777777" w:rsidR="00D609BD" w:rsidRPr="00FE50A6" w:rsidRDefault="00A47E50" w:rsidP="00D609BD">
      <w:pPr>
        <w:pStyle w:val="Prrafodelista"/>
        <w:numPr>
          <w:ilvl w:val="0"/>
          <w:numId w:val="1"/>
        </w:numPr>
        <w:autoSpaceDE w:val="0"/>
        <w:autoSpaceDN w:val="0"/>
        <w:adjustRightInd w:val="0"/>
        <w:rPr>
          <w:rFonts w:cs="Arial"/>
          <w:iCs/>
          <w:szCs w:val="20"/>
          <w:lang w:val="en-US"/>
        </w:rPr>
      </w:pPr>
      <w:r w:rsidRPr="00FE50A6">
        <w:rPr>
          <w:rFonts w:cs="Arial"/>
          <w:iCs/>
          <w:szCs w:val="20"/>
          <w:lang w:val="en-US"/>
        </w:rPr>
        <w:t>Based on the provisions of</w:t>
      </w:r>
      <w:r w:rsidR="00D609BD" w:rsidRPr="00FE50A6">
        <w:rPr>
          <w:rFonts w:cs="Arial"/>
          <w:iCs/>
          <w:szCs w:val="20"/>
          <w:lang w:val="en-US"/>
        </w:rPr>
        <w:t xml:space="preserve"> </w:t>
      </w:r>
      <w:r w:rsidR="000228D0" w:rsidRPr="00FE50A6">
        <w:rPr>
          <w:rFonts w:cs="Arial"/>
          <w:iCs/>
          <w:szCs w:val="20"/>
          <w:lang w:val="en-US"/>
        </w:rPr>
        <w:t>Article</w:t>
      </w:r>
      <w:r w:rsidR="00D609BD" w:rsidRPr="00FE50A6">
        <w:rPr>
          <w:rFonts w:cs="Arial"/>
          <w:iCs/>
          <w:szCs w:val="20"/>
          <w:lang w:val="en-US"/>
        </w:rPr>
        <w:t xml:space="preserve"> </w:t>
      </w:r>
      <w:r w:rsidR="000228D0" w:rsidRPr="00FE50A6">
        <w:rPr>
          <w:rFonts w:cs="Arial"/>
          <w:iCs/>
          <w:szCs w:val="20"/>
          <w:lang w:val="en-US"/>
        </w:rPr>
        <w:t>63(1) of the American Convention</w:t>
      </w:r>
      <w:r w:rsidRPr="00FE50A6">
        <w:rPr>
          <w:rFonts w:cs="Arial"/>
          <w:iCs/>
          <w:szCs w:val="20"/>
          <w:lang w:val="en-US"/>
        </w:rPr>
        <w:t>,</w:t>
      </w:r>
      <w:r w:rsidR="00D609BD" w:rsidRPr="00FE50A6">
        <w:rPr>
          <w:rFonts w:cs="Arial"/>
          <w:iCs/>
          <w:szCs w:val="20"/>
          <w:vertAlign w:val="superscript"/>
          <w:lang w:val="en-US"/>
        </w:rPr>
        <w:footnoteReference w:id="518"/>
      </w:r>
      <w:r w:rsidR="00D609BD" w:rsidRPr="00FE50A6">
        <w:rPr>
          <w:rFonts w:cs="Arial"/>
          <w:iCs/>
          <w:szCs w:val="20"/>
          <w:lang w:val="en-US"/>
        </w:rPr>
        <w:t xml:space="preserve"> </w:t>
      </w:r>
      <w:r w:rsidR="000228D0" w:rsidRPr="00FE50A6">
        <w:rPr>
          <w:rFonts w:cs="Arial"/>
          <w:iCs/>
          <w:szCs w:val="20"/>
          <w:lang w:val="en-US"/>
        </w:rPr>
        <w:t>the Court</w:t>
      </w:r>
      <w:r w:rsidR="00D609BD" w:rsidRPr="00FE50A6">
        <w:rPr>
          <w:rFonts w:cs="Arial"/>
          <w:iCs/>
          <w:szCs w:val="20"/>
          <w:lang w:val="en-US"/>
        </w:rPr>
        <w:t xml:space="preserve"> ha</w:t>
      </w:r>
      <w:r w:rsidRPr="00FE50A6">
        <w:rPr>
          <w:rFonts w:cs="Arial"/>
          <w:iCs/>
          <w:szCs w:val="20"/>
          <w:lang w:val="en-US"/>
        </w:rPr>
        <w:t>s indicated that any violation of an international obligation that has produced a harm entails the duty to make adequate reparation,</w:t>
      </w:r>
      <w:r w:rsidR="00D609BD" w:rsidRPr="00FE50A6">
        <w:rPr>
          <w:rFonts w:cs="Arial"/>
          <w:iCs/>
          <w:szCs w:val="20"/>
          <w:vertAlign w:val="superscript"/>
          <w:lang w:val="en-US"/>
        </w:rPr>
        <w:footnoteReference w:id="519"/>
      </w:r>
      <w:r w:rsidR="00030C17" w:rsidRPr="00FE50A6">
        <w:rPr>
          <w:rFonts w:cs="Arial"/>
          <w:iCs/>
          <w:szCs w:val="20"/>
          <w:lang w:val="en-US"/>
        </w:rPr>
        <w:t xml:space="preserve"> and </w:t>
      </w:r>
      <w:r w:rsidRPr="00FE50A6">
        <w:rPr>
          <w:rFonts w:cs="Arial"/>
          <w:iCs/>
          <w:szCs w:val="20"/>
          <w:lang w:val="en-US"/>
        </w:rPr>
        <w:t xml:space="preserve">that this provision reflects a customary rule that constitutes one of the fundamental principles of contemporary </w:t>
      </w:r>
      <w:r w:rsidR="002A125A" w:rsidRPr="00FE50A6">
        <w:rPr>
          <w:rFonts w:cs="Arial"/>
          <w:iCs/>
          <w:szCs w:val="20"/>
          <w:lang w:val="en-US"/>
        </w:rPr>
        <w:t>international</w:t>
      </w:r>
      <w:r w:rsidR="00931A2D" w:rsidRPr="00FE50A6">
        <w:rPr>
          <w:rFonts w:cs="Arial"/>
          <w:iCs/>
          <w:szCs w:val="20"/>
          <w:lang w:val="en-US"/>
        </w:rPr>
        <w:t xml:space="preserve"> law</w:t>
      </w:r>
      <w:r w:rsidR="00D609BD" w:rsidRPr="00FE50A6">
        <w:rPr>
          <w:rFonts w:cs="Arial"/>
          <w:iCs/>
          <w:szCs w:val="20"/>
          <w:lang w:val="en-US"/>
        </w:rPr>
        <w:t xml:space="preserve"> </w:t>
      </w:r>
      <w:r w:rsidRPr="00FE50A6">
        <w:rPr>
          <w:rFonts w:cs="Arial"/>
          <w:iCs/>
          <w:szCs w:val="20"/>
          <w:lang w:val="en-US"/>
        </w:rPr>
        <w:t>on State responsibility.</w:t>
      </w:r>
      <w:r w:rsidR="00D609BD" w:rsidRPr="00FE50A6">
        <w:rPr>
          <w:rFonts w:cs="Arial"/>
          <w:iCs/>
          <w:szCs w:val="20"/>
          <w:vertAlign w:val="superscript"/>
          <w:lang w:val="en-US"/>
        </w:rPr>
        <w:footnoteReference w:id="520"/>
      </w:r>
    </w:p>
    <w:p w14:paraId="49FF5EEE" w14:textId="77777777" w:rsidR="00D609BD" w:rsidRPr="00FE50A6" w:rsidRDefault="00D609BD" w:rsidP="00D609BD">
      <w:pPr>
        <w:pStyle w:val="Prrafodelista"/>
        <w:autoSpaceDE w:val="0"/>
        <w:autoSpaceDN w:val="0"/>
        <w:adjustRightInd w:val="0"/>
        <w:ind w:left="0"/>
        <w:rPr>
          <w:rFonts w:cs="Arial"/>
          <w:iCs/>
          <w:szCs w:val="20"/>
          <w:lang w:val="en-US"/>
        </w:rPr>
      </w:pPr>
    </w:p>
    <w:p w14:paraId="64E9B576" w14:textId="77777777" w:rsidR="00D609BD" w:rsidRPr="00FE50A6" w:rsidRDefault="00A47E50" w:rsidP="00D609BD">
      <w:pPr>
        <w:pStyle w:val="Prrafodelista"/>
        <w:numPr>
          <w:ilvl w:val="0"/>
          <w:numId w:val="1"/>
        </w:numPr>
        <w:autoSpaceDE w:val="0"/>
        <w:autoSpaceDN w:val="0"/>
        <w:adjustRightInd w:val="0"/>
        <w:rPr>
          <w:rFonts w:cs="Arial"/>
          <w:iCs/>
          <w:szCs w:val="20"/>
          <w:lang w:val="en-US"/>
        </w:rPr>
      </w:pPr>
      <w:r w:rsidRPr="00FE50A6">
        <w:rPr>
          <w:rFonts w:cs="Arial"/>
          <w:bCs/>
          <w:iCs/>
          <w:szCs w:val="20"/>
          <w:lang w:val="en-US"/>
        </w:rPr>
        <w:t>Reparation of the harm caused by the violation of an international obligation requires, whenever po</w:t>
      </w:r>
      <w:r w:rsidR="006F1CC9" w:rsidRPr="00FE50A6">
        <w:rPr>
          <w:rFonts w:cs="Arial"/>
          <w:bCs/>
          <w:iCs/>
          <w:szCs w:val="20"/>
          <w:lang w:val="en-US"/>
        </w:rPr>
        <w:t>s</w:t>
      </w:r>
      <w:r w:rsidRPr="00FE50A6">
        <w:rPr>
          <w:rFonts w:cs="Arial"/>
          <w:bCs/>
          <w:iCs/>
          <w:szCs w:val="20"/>
          <w:lang w:val="en-US"/>
        </w:rPr>
        <w:t>sible, full restitution</w:t>
      </w:r>
      <w:r w:rsidR="00D609BD" w:rsidRPr="00FE50A6">
        <w:rPr>
          <w:rFonts w:cs="Arial"/>
          <w:bCs/>
          <w:iCs/>
          <w:szCs w:val="20"/>
          <w:lang w:val="en-US"/>
        </w:rPr>
        <w:t xml:space="preserve"> (</w:t>
      </w:r>
      <w:r w:rsidR="00D609BD" w:rsidRPr="00FE50A6">
        <w:rPr>
          <w:rFonts w:cs="Arial"/>
          <w:bCs/>
          <w:i/>
          <w:iCs/>
          <w:szCs w:val="20"/>
          <w:lang w:val="en-US"/>
        </w:rPr>
        <w:t>restitutio in integrum</w:t>
      </w:r>
      <w:r w:rsidR="00D609BD" w:rsidRPr="00FE50A6">
        <w:rPr>
          <w:rFonts w:cs="Arial"/>
          <w:bCs/>
          <w:iCs/>
          <w:szCs w:val="20"/>
          <w:lang w:val="en-US"/>
        </w:rPr>
        <w:t xml:space="preserve">), </w:t>
      </w:r>
      <w:r w:rsidRPr="00FE50A6">
        <w:rPr>
          <w:rFonts w:cs="Arial"/>
          <w:bCs/>
          <w:iCs/>
          <w:szCs w:val="20"/>
          <w:lang w:val="en-US"/>
        </w:rPr>
        <w:t>which consists in the re-establishme</w:t>
      </w:r>
      <w:r w:rsidR="006F1CC9" w:rsidRPr="00FE50A6">
        <w:rPr>
          <w:rFonts w:cs="Arial"/>
          <w:bCs/>
          <w:iCs/>
          <w:szCs w:val="20"/>
          <w:lang w:val="en-US"/>
        </w:rPr>
        <w:t>n</w:t>
      </w:r>
      <w:r w:rsidRPr="00FE50A6">
        <w:rPr>
          <w:rFonts w:cs="Arial"/>
          <w:bCs/>
          <w:iCs/>
          <w:szCs w:val="20"/>
          <w:lang w:val="en-US"/>
        </w:rPr>
        <w:t>t of the previous situation. If this is not feasible, as in most cases of human rights violations, the Court will determine measures to ensure the violated rights and to redress the consequences of the violations.</w:t>
      </w:r>
      <w:r w:rsidR="00D609BD" w:rsidRPr="00FE50A6">
        <w:rPr>
          <w:rFonts w:cs="Arial"/>
          <w:iCs/>
          <w:szCs w:val="20"/>
          <w:vertAlign w:val="superscript"/>
          <w:lang w:val="en-US"/>
        </w:rPr>
        <w:footnoteReference w:id="521"/>
      </w:r>
    </w:p>
    <w:p w14:paraId="74E36A5F" w14:textId="77777777" w:rsidR="00D609BD" w:rsidRPr="00FE50A6" w:rsidRDefault="00D609BD" w:rsidP="00D609BD">
      <w:pPr>
        <w:pStyle w:val="Prrafodelista"/>
        <w:autoSpaceDE w:val="0"/>
        <w:autoSpaceDN w:val="0"/>
        <w:adjustRightInd w:val="0"/>
        <w:ind w:left="0"/>
        <w:rPr>
          <w:rFonts w:cs="Arial"/>
          <w:iCs/>
          <w:szCs w:val="20"/>
          <w:lang w:val="en-US"/>
        </w:rPr>
      </w:pPr>
    </w:p>
    <w:p w14:paraId="5374BE0A" w14:textId="77777777" w:rsidR="00D609BD" w:rsidRPr="00FE50A6" w:rsidRDefault="00A47E50" w:rsidP="00D609BD">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This Court has established that reparations must have a causal </w:t>
      </w:r>
      <w:r w:rsidR="00370ACF" w:rsidRPr="00FE50A6">
        <w:rPr>
          <w:rFonts w:cs="Arial"/>
          <w:iCs/>
          <w:szCs w:val="20"/>
          <w:lang w:val="en-US"/>
        </w:rPr>
        <w:t>n</w:t>
      </w:r>
      <w:r w:rsidRPr="00FE50A6">
        <w:rPr>
          <w:rFonts w:cs="Arial"/>
          <w:iCs/>
          <w:szCs w:val="20"/>
          <w:lang w:val="en-US"/>
        </w:rPr>
        <w:t xml:space="preserve">exus with the facts of the case, </w:t>
      </w:r>
      <w:r w:rsidR="00351E20" w:rsidRPr="00FE50A6">
        <w:rPr>
          <w:rFonts w:cs="Arial"/>
          <w:iCs/>
          <w:szCs w:val="20"/>
          <w:lang w:val="en-US"/>
        </w:rPr>
        <w:t>the violations</w:t>
      </w:r>
      <w:r w:rsidR="00D609BD" w:rsidRPr="00FE50A6">
        <w:rPr>
          <w:rFonts w:cs="Arial"/>
          <w:iCs/>
          <w:szCs w:val="20"/>
          <w:lang w:val="en-US"/>
        </w:rPr>
        <w:t xml:space="preserve"> </w:t>
      </w:r>
      <w:r w:rsidRPr="00FE50A6">
        <w:rPr>
          <w:rFonts w:cs="Arial"/>
          <w:iCs/>
          <w:szCs w:val="20"/>
          <w:lang w:val="en-US"/>
        </w:rPr>
        <w:t>that have been declared, the harm proved, and the measures requested to re</w:t>
      </w:r>
      <w:r w:rsidR="00370ACF" w:rsidRPr="00FE50A6">
        <w:rPr>
          <w:rFonts w:cs="Arial"/>
          <w:iCs/>
          <w:szCs w:val="20"/>
          <w:lang w:val="en-US"/>
        </w:rPr>
        <w:t>pair</w:t>
      </w:r>
      <w:r w:rsidRPr="00FE50A6">
        <w:rPr>
          <w:rFonts w:cs="Arial"/>
          <w:iCs/>
          <w:szCs w:val="20"/>
          <w:lang w:val="en-US"/>
        </w:rPr>
        <w:t xml:space="preserve"> the respective harm. Consequently, the Court must observe the concurrence of these factors to rule appropriately and in accordance with the law.</w:t>
      </w:r>
      <w:r w:rsidR="00D609BD" w:rsidRPr="00FE50A6">
        <w:rPr>
          <w:rFonts w:cs="Arial"/>
          <w:iCs/>
          <w:szCs w:val="20"/>
          <w:vertAlign w:val="superscript"/>
          <w:lang w:val="en-US"/>
        </w:rPr>
        <w:footnoteReference w:id="522"/>
      </w:r>
    </w:p>
    <w:p w14:paraId="40AB6577" w14:textId="77777777" w:rsidR="00D609BD" w:rsidRPr="00FE50A6" w:rsidRDefault="00D609BD" w:rsidP="00D609BD">
      <w:pPr>
        <w:pStyle w:val="Prrafodelista"/>
        <w:autoSpaceDE w:val="0"/>
        <w:autoSpaceDN w:val="0"/>
        <w:adjustRightInd w:val="0"/>
        <w:ind w:left="0"/>
        <w:rPr>
          <w:rFonts w:cs="Arial"/>
          <w:iCs/>
          <w:szCs w:val="20"/>
          <w:lang w:val="en-US"/>
        </w:rPr>
      </w:pPr>
    </w:p>
    <w:p w14:paraId="0A606C49" w14:textId="77777777" w:rsidR="004B0842" w:rsidRPr="00FE50A6" w:rsidRDefault="00A47E5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Based on </w:t>
      </w:r>
      <w:r w:rsidR="00351E20" w:rsidRPr="00FE50A6">
        <w:rPr>
          <w:rFonts w:cs="Arial"/>
          <w:iCs/>
          <w:szCs w:val="20"/>
          <w:lang w:val="en-US"/>
        </w:rPr>
        <w:t>the violations</w:t>
      </w:r>
      <w:r w:rsidR="00D609BD" w:rsidRPr="00FE50A6">
        <w:rPr>
          <w:rFonts w:cs="Arial"/>
          <w:iCs/>
          <w:szCs w:val="20"/>
          <w:lang w:val="en-US"/>
        </w:rPr>
        <w:t xml:space="preserve"> declar</w:t>
      </w:r>
      <w:r w:rsidRPr="00FE50A6">
        <w:rPr>
          <w:rFonts w:cs="Arial"/>
          <w:iCs/>
          <w:szCs w:val="20"/>
          <w:lang w:val="en-US"/>
        </w:rPr>
        <w:t xml:space="preserve">ed in the preceding chapter, the Court will proceed to analyze the claims submitted by </w:t>
      </w:r>
      <w:r w:rsidR="00700B79" w:rsidRPr="00FE50A6">
        <w:rPr>
          <w:rFonts w:cs="Arial"/>
          <w:iCs/>
          <w:szCs w:val="20"/>
          <w:lang w:val="en-US"/>
        </w:rPr>
        <w:t>the</w:t>
      </w:r>
      <w:r w:rsidRPr="00FE50A6">
        <w:rPr>
          <w:rFonts w:cs="Arial"/>
          <w:iCs/>
          <w:szCs w:val="20"/>
          <w:lang w:val="en-US"/>
        </w:rPr>
        <w:t xml:space="preserve"> victims’</w:t>
      </w:r>
      <w:r w:rsidR="00700B79" w:rsidRPr="00FE50A6">
        <w:rPr>
          <w:rFonts w:cs="Arial"/>
          <w:iCs/>
          <w:szCs w:val="20"/>
          <w:lang w:val="en-US"/>
        </w:rPr>
        <w:t xml:space="preserve"> representatives</w:t>
      </w:r>
      <w:r w:rsidRPr="00FE50A6">
        <w:rPr>
          <w:rFonts w:cs="Arial"/>
          <w:iCs/>
          <w:szCs w:val="20"/>
          <w:lang w:val="en-US"/>
        </w:rPr>
        <w:t xml:space="preserve">, </w:t>
      </w:r>
      <w:r w:rsidR="00370ACF" w:rsidRPr="00FE50A6">
        <w:rPr>
          <w:rFonts w:cs="Arial"/>
          <w:iCs/>
          <w:szCs w:val="20"/>
          <w:lang w:val="en-US"/>
        </w:rPr>
        <w:t>together with</w:t>
      </w:r>
      <w:r w:rsidRPr="00FE50A6">
        <w:rPr>
          <w:rFonts w:cs="Arial"/>
          <w:iCs/>
          <w:szCs w:val="20"/>
          <w:lang w:val="en-US"/>
        </w:rPr>
        <w:t xml:space="preserve"> the State’s arguments, in light of the criteria established in the Court’s case law regarding the nature and scope of the obligation to make reparation,</w:t>
      </w:r>
      <w:r w:rsidR="00D609BD" w:rsidRPr="00FE50A6">
        <w:rPr>
          <w:rFonts w:cs="Arial"/>
          <w:iCs/>
          <w:szCs w:val="20"/>
          <w:vertAlign w:val="superscript"/>
          <w:lang w:val="en-US"/>
        </w:rPr>
        <w:footnoteReference w:id="523"/>
      </w:r>
      <w:r w:rsidRPr="00FE50A6">
        <w:rPr>
          <w:rFonts w:cs="Arial"/>
          <w:iCs/>
          <w:szCs w:val="20"/>
          <w:lang w:val="en-US"/>
        </w:rPr>
        <w:t xml:space="preserve"> in order to establish measures aimed at repairing the harm caused to the victims</w:t>
      </w:r>
      <w:r w:rsidR="00D609BD" w:rsidRPr="00FE50A6">
        <w:rPr>
          <w:rFonts w:cs="Arial"/>
          <w:iCs/>
          <w:szCs w:val="20"/>
          <w:lang w:val="en-US"/>
        </w:rPr>
        <w:t>.</w:t>
      </w:r>
    </w:p>
    <w:p w14:paraId="3026EF22" w14:textId="77777777" w:rsidR="004B0842" w:rsidRPr="00FE50A6" w:rsidRDefault="004B0842" w:rsidP="004B0842">
      <w:pPr>
        <w:pStyle w:val="Prrafodelista"/>
        <w:ind w:left="0"/>
        <w:rPr>
          <w:rFonts w:cs="Arial"/>
          <w:iCs/>
          <w:szCs w:val="20"/>
          <w:lang w:val="en-US"/>
        </w:rPr>
      </w:pPr>
    </w:p>
    <w:p w14:paraId="60B0B12F" w14:textId="77777777" w:rsidR="004B0842" w:rsidRPr="00FE50A6" w:rsidRDefault="00A47E50" w:rsidP="008B0BCC">
      <w:pPr>
        <w:pStyle w:val="Ttulo2"/>
        <w:numPr>
          <w:ilvl w:val="0"/>
          <w:numId w:val="21"/>
        </w:numPr>
      </w:pPr>
      <w:r w:rsidRPr="00FE50A6">
        <w:t>Injured party</w:t>
      </w:r>
    </w:p>
    <w:p w14:paraId="758A3D00" w14:textId="77777777" w:rsidR="004B0842" w:rsidRPr="00FE50A6" w:rsidRDefault="004B0842" w:rsidP="004B0842">
      <w:pPr>
        <w:pStyle w:val="Prrafodelista"/>
        <w:ind w:left="0"/>
        <w:rPr>
          <w:rFonts w:cs="Arial"/>
          <w:iCs/>
          <w:szCs w:val="20"/>
          <w:lang w:val="en-US"/>
        </w:rPr>
      </w:pPr>
    </w:p>
    <w:p w14:paraId="53531C8A" w14:textId="77777777" w:rsidR="004B0842" w:rsidRPr="00FE50A6" w:rsidRDefault="00A47E50" w:rsidP="00D92C1E">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This Court reiterates that, pursuant to </w:t>
      </w:r>
      <w:r w:rsidR="00703850" w:rsidRPr="00FE50A6">
        <w:rPr>
          <w:rFonts w:cs="Arial"/>
          <w:iCs/>
          <w:szCs w:val="20"/>
          <w:lang w:val="en-US"/>
        </w:rPr>
        <w:t>Article</w:t>
      </w:r>
      <w:r w:rsidR="004B0842" w:rsidRPr="00FE50A6">
        <w:rPr>
          <w:rFonts w:cs="Arial"/>
          <w:iCs/>
          <w:szCs w:val="20"/>
          <w:lang w:val="en-US"/>
        </w:rPr>
        <w:t xml:space="preserve"> </w:t>
      </w:r>
      <w:r w:rsidR="000228D0" w:rsidRPr="00FE50A6">
        <w:rPr>
          <w:rFonts w:cs="Arial"/>
          <w:iCs/>
          <w:szCs w:val="20"/>
          <w:lang w:val="en-US"/>
        </w:rPr>
        <w:t>63(1) of the Convention</w:t>
      </w:r>
      <w:r w:rsidR="004B0842" w:rsidRPr="00FE50A6">
        <w:rPr>
          <w:rFonts w:cs="Arial"/>
          <w:iCs/>
          <w:szCs w:val="20"/>
          <w:lang w:val="en-US"/>
        </w:rPr>
        <w:t xml:space="preserve">, </w:t>
      </w:r>
      <w:r w:rsidRPr="00FE50A6">
        <w:rPr>
          <w:rFonts w:cs="Arial"/>
          <w:iCs/>
          <w:szCs w:val="20"/>
          <w:lang w:val="en-US"/>
        </w:rPr>
        <w:t xml:space="preserve">the injured parties are considered to be those who have been declared victims </w:t>
      </w:r>
      <w:r w:rsidR="00703850" w:rsidRPr="00FE50A6">
        <w:rPr>
          <w:rFonts w:cs="Arial"/>
          <w:iCs/>
          <w:szCs w:val="20"/>
          <w:lang w:val="en-US"/>
        </w:rPr>
        <w:t>of the violation</w:t>
      </w:r>
      <w:r w:rsidR="00030C17" w:rsidRPr="00FE50A6">
        <w:rPr>
          <w:rFonts w:cs="Arial"/>
          <w:iCs/>
          <w:szCs w:val="20"/>
          <w:lang w:val="en-US"/>
        </w:rPr>
        <w:t xml:space="preserve"> of</w:t>
      </w:r>
      <w:r w:rsidR="004B0842" w:rsidRPr="00FE50A6">
        <w:rPr>
          <w:rFonts w:cs="Arial"/>
          <w:iCs/>
          <w:szCs w:val="20"/>
          <w:lang w:val="en-US"/>
        </w:rPr>
        <w:t xml:space="preserve"> a</w:t>
      </w:r>
      <w:r w:rsidRPr="00FE50A6">
        <w:rPr>
          <w:rFonts w:cs="Arial"/>
          <w:iCs/>
          <w:szCs w:val="20"/>
          <w:lang w:val="en-US"/>
        </w:rPr>
        <w:t>ny right recognized therein.</w:t>
      </w:r>
      <w:r w:rsidR="004B0842" w:rsidRPr="00FE50A6">
        <w:rPr>
          <w:rFonts w:cs="Arial"/>
          <w:iCs/>
          <w:szCs w:val="20"/>
          <w:vertAlign w:val="superscript"/>
          <w:lang w:val="en-US"/>
        </w:rPr>
        <w:footnoteReference w:id="524"/>
      </w:r>
      <w:r w:rsidRPr="00FE50A6">
        <w:rPr>
          <w:rFonts w:cs="Arial"/>
          <w:iCs/>
          <w:szCs w:val="20"/>
          <w:lang w:val="en-US"/>
        </w:rPr>
        <w:t xml:space="preserve"> Therefore, the Court will consider the following as “injured parties”:</w:t>
      </w:r>
      <w:r w:rsidR="004B0842" w:rsidRPr="00FE50A6">
        <w:rPr>
          <w:rFonts w:cs="Arial"/>
          <w:iCs/>
          <w:szCs w:val="20"/>
          <w:lang w:val="en-US"/>
        </w:rPr>
        <w:t xml:space="preserve"> </w:t>
      </w:r>
      <w:r w:rsidR="00D92C1E" w:rsidRPr="00FE50A6">
        <w:rPr>
          <w:szCs w:val="20"/>
          <w:lang w:val="en-US"/>
        </w:rPr>
        <w:t xml:space="preserve">1. </w:t>
      </w:r>
      <w:r w:rsidR="00D92C1E" w:rsidRPr="00FE50A6">
        <w:rPr>
          <w:szCs w:val="20"/>
        </w:rPr>
        <w:t>Alcione</w:t>
      </w:r>
      <w:r w:rsidR="003C73E3" w:rsidRPr="00FE50A6">
        <w:rPr>
          <w:szCs w:val="20"/>
        </w:rPr>
        <w:t xml:space="preserve"> Freitas </w:t>
      </w:r>
      <w:r w:rsidR="00D92C1E" w:rsidRPr="00FE50A6">
        <w:rPr>
          <w:szCs w:val="20"/>
        </w:rPr>
        <w:t xml:space="preserve">Sousa; 2. Alfredo Rodrigues; 3. Antônio Almir Lima da Silva; 4. </w:t>
      </w:r>
      <w:r w:rsidR="00D60654" w:rsidRPr="00FE50A6">
        <w:rPr>
          <w:szCs w:val="20"/>
        </w:rPr>
        <w:t xml:space="preserve">Antônio </w:t>
      </w:r>
      <w:r w:rsidR="00D92C1E" w:rsidRPr="00FE50A6">
        <w:rPr>
          <w:szCs w:val="20"/>
        </w:rPr>
        <w:t xml:space="preserve">Aroldo Rodrigues Santos; 5. </w:t>
      </w:r>
      <w:r w:rsidR="00D60654" w:rsidRPr="00FE50A6">
        <w:rPr>
          <w:szCs w:val="20"/>
        </w:rPr>
        <w:t xml:space="preserve">Antônio </w:t>
      </w:r>
      <w:r w:rsidR="00D92C1E" w:rsidRPr="00FE50A6">
        <w:rPr>
          <w:szCs w:val="20"/>
        </w:rPr>
        <w:t xml:space="preserve">Bento da Silva; 6. </w:t>
      </w:r>
      <w:r w:rsidR="00D60654" w:rsidRPr="00FE50A6">
        <w:rPr>
          <w:szCs w:val="20"/>
        </w:rPr>
        <w:t xml:space="preserve">Antônio </w:t>
      </w:r>
      <w:r w:rsidR="00D92C1E" w:rsidRPr="00FE50A6">
        <w:rPr>
          <w:szCs w:val="20"/>
        </w:rPr>
        <w:t xml:space="preserve">da Silva Martins; 7. </w:t>
      </w:r>
      <w:r w:rsidR="00D60654" w:rsidRPr="00FE50A6">
        <w:rPr>
          <w:szCs w:val="20"/>
        </w:rPr>
        <w:t xml:space="preserve">Antônio </w:t>
      </w:r>
      <w:r w:rsidR="00D92C1E" w:rsidRPr="00FE50A6">
        <w:rPr>
          <w:szCs w:val="20"/>
        </w:rPr>
        <w:t xml:space="preserve">Damas Filho; </w:t>
      </w:r>
      <w:r w:rsidR="00D92C1E" w:rsidRPr="00FE50A6">
        <w:rPr>
          <w:rFonts w:cs="Times New Roman"/>
          <w:szCs w:val="20"/>
        </w:rPr>
        <w:t xml:space="preserve">8. </w:t>
      </w:r>
      <w:r w:rsidR="00D60654" w:rsidRPr="00FE50A6">
        <w:rPr>
          <w:rFonts w:cs="Times New Roman"/>
          <w:szCs w:val="20"/>
        </w:rPr>
        <w:t xml:space="preserve">Antônio </w:t>
      </w:r>
      <w:r w:rsidR="00D92C1E" w:rsidRPr="00FE50A6">
        <w:rPr>
          <w:rFonts w:cs="Times New Roman"/>
          <w:szCs w:val="20"/>
        </w:rPr>
        <w:t>de Paula Rodrigues de Sousa</w:t>
      </w:r>
      <w:r w:rsidR="00D92C1E" w:rsidRPr="00FE50A6">
        <w:rPr>
          <w:szCs w:val="20"/>
        </w:rPr>
        <w:t xml:space="preserve">; </w:t>
      </w:r>
      <w:r w:rsidR="00D92C1E" w:rsidRPr="00FE50A6">
        <w:rPr>
          <w:rFonts w:cs="Times New Roman"/>
          <w:szCs w:val="20"/>
        </w:rPr>
        <w:t xml:space="preserve">9. </w:t>
      </w:r>
      <w:r w:rsidR="00D60654" w:rsidRPr="00FE50A6">
        <w:rPr>
          <w:rFonts w:cs="Times New Roman"/>
          <w:szCs w:val="20"/>
        </w:rPr>
        <w:t xml:space="preserve">Antônio </w:t>
      </w:r>
      <w:r w:rsidR="00D92C1E" w:rsidRPr="00FE50A6">
        <w:rPr>
          <w:rFonts w:cs="Times New Roman"/>
          <w:szCs w:val="20"/>
        </w:rPr>
        <w:t>Edvaldo da Silva</w:t>
      </w:r>
      <w:r w:rsidR="00D92C1E" w:rsidRPr="00FE50A6">
        <w:rPr>
          <w:szCs w:val="20"/>
        </w:rPr>
        <w:t xml:space="preserve">; </w:t>
      </w:r>
      <w:r w:rsidR="00D92C1E" w:rsidRPr="00FE50A6">
        <w:rPr>
          <w:rFonts w:cs="Times New Roman"/>
          <w:szCs w:val="20"/>
        </w:rPr>
        <w:t xml:space="preserve">10. </w:t>
      </w:r>
      <w:r w:rsidR="00D60654" w:rsidRPr="00FE50A6">
        <w:rPr>
          <w:rFonts w:cs="Times New Roman"/>
          <w:szCs w:val="20"/>
        </w:rPr>
        <w:t xml:space="preserve">Antônio </w:t>
      </w:r>
      <w:r w:rsidR="00D92C1E" w:rsidRPr="00FE50A6">
        <w:rPr>
          <w:rFonts w:cs="Times New Roman"/>
          <w:szCs w:val="20"/>
        </w:rPr>
        <w:t>Fernandes Costa</w:t>
      </w:r>
      <w:r w:rsidR="00D92C1E" w:rsidRPr="00FE50A6">
        <w:rPr>
          <w:szCs w:val="20"/>
        </w:rPr>
        <w:t xml:space="preserve">; </w:t>
      </w:r>
      <w:r w:rsidR="00D92C1E" w:rsidRPr="00FE50A6">
        <w:rPr>
          <w:rFonts w:cs="Times New Roman"/>
          <w:szCs w:val="20"/>
        </w:rPr>
        <w:t xml:space="preserve">11. </w:t>
      </w:r>
      <w:r w:rsidR="00D60654" w:rsidRPr="00FE50A6">
        <w:rPr>
          <w:rFonts w:cs="Times New Roman"/>
          <w:szCs w:val="20"/>
        </w:rPr>
        <w:t xml:space="preserve">Antônio </w:t>
      </w:r>
      <w:r w:rsidR="00D92C1E" w:rsidRPr="00FE50A6">
        <w:rPr>
          <w:rFonts w:cs="Times New Roman"/>
          <w:szCs w:val="20"/>
        </w:rPr>
        <w:t>Francisco da Silva</w:t>
      </w:r>
      <w:r w:rsidR="00D92C1E" w:rsidRPr="00FE50A6">
        <w:rPr>
          <w:szCs w:val="20"/>
        </w:rPr>
        <w:t xml:space="preserve">; </w:t>
      </w:r>
      <w:r w:rsidR="00D92C1E" w:rsidRPr="00FE50A6">
        <w:rPr>
          <w:rFonts w:cs="Times New Roman"/>
          <w:szCs w:val="20"/>
        </w:rPr>
        <w:t xml:space="preserve">12. </w:t>
      </w:r>
      <w:r w:rsidR="00D60654" w:rsidRPr="00FE50A6">
        <w:rPr>
          <w:rFonts w:cs="Times New Roman"/>
          <w:szCs w:val="20"/>
        </w:rPr>
        <w:t xml:space="preserve">Antônio </w:t>
      </w:r>
      <w:r w:rsidR="00D92C1E" w:rsidRPr="00FE50A6">
        <w:rPr>
          <w:rFonts w:cs="Times New Roman"/>
          <w:szCs w:val="20"/>
        </w:rPr>
        <w:t>Francisco da Silva Fernandes</w:t>
      </w:r>
      <w:r w:rsidR="00D92C1E" w:rsidRPr="00FE50A6">
        <w:rPr>
          <w:szCs w:val="20"/>
        </w:rPr>
        <w:t xml:space="preserve">; </w:t>
      </w:r>
      <w:r w:rsidR="00D92C1E" w:rsidRPr="00FE50A6">
        <w:rPr>
          <w:rFonts w:cs="Times New Roman"/>
          <w:szCs w:val="20"/>
        </w:rPr>
        <w:t xml:space="preserve">13. </w:t>
      </w:r>
      <w:r w:rsidR="00D60654" w:rsidRPr="00FE50A6">
        <w:rPr>
          <w:rFonts w:cs="Times New Roman"/>
          <w:szCs w:val="20"/>
        </w:rPr>
        <w:t xml:space="preserve">Antônio </w:t>
      </w:r>
      <w:r w:rsidR="00D92C1E" w:rsidRPr="00FE50A6">
        <w:rPr>
          <w:rFonts w:cs="Times New Roman"/>
          <w:szCs w:val="20"/>
        </w:rPr>
        <w:t>Ivaldo Rodrigues da Silva</w:t>
      </w:r>
      <w:r w:rsidR="00D92C1E" w:rsidRPr="00FE50A6">
        <w:rPr>
          <w:szCs w:val="20"/>
        </w:rPr>
        <w:t xml:space="preserve">; </w:t>
      </w:r>
      <w:r w:rsidR="00D92C1E" w:rsidRPr="00FE50A6">
        <w:rPr>
          <w:rFonts w:cs="Times New Roman"/>
          <w:szCs w:val="20"/>
        </w:rPr>
        <w:t xml:space="preserve">14. </w:t>
      </w:r>
      <w:r w:rsidR="00D60654" w:rsidRPr="00FE50A6">
        <w:rPr>
          <w:rFonts w:cs="Times New Roman"/>
          <w:szCs w:val="20"/>
        </w:rPr>
        <w:t xml:space="preserve">Antônio </w:t>
      </w:r>
      <w:r w:rsidR="00D92C1E" w:rsidRPr="00FE50A6">
        <w:rPr>
          <w:rFonts w:cs="Times New Roman"/>
          <w:szCs w:val="20"/>
        </w:rPr>
        <w:t>Paulo da Silva</w:t>
      </w:r>
      <w:r w:rsidR="00D92C1E" w:rsidRPr="00FE50A6">
        <w:rPr>
          <w:szCs w:val="20"/>
        </w:rPr>
        <w:t xml:space="preserve">; </w:t>
      </w:r>
      <w:r w:rsidR="00D92C1E" w:rsidRPr="00FE50A6">
        <w:rPr>
          <w:rFonts w:cs="Times New Roman"/>
          <w:szCs w:val="20"/>
        </w:rPr>
        <w:t xml:space="preserve">15. </w:t>
      </w:r>
      <w:r w:rsidR="00D60654" w:rsidRPr="00FE50A6">
        <w:rPr>
          <w:rFonts w:cs="Times New Roman"/>
          <w:szCs w:val="20"/>
        </w:rPr>
        <w:t xml:space="preserve">Antônio </w:t>
      </w:r>
      <w:r w:rsidR="00D92C1E" w:rsidRPr="00FE50A6">
        <w:rPr>
          <w:rFonts w:cs="Times New Roman"/>
          <w:szCs w:val="20"/>
        </w:rPr>
        <w:t>Pereira da Silva</w:t>
      </w:r>
      <w:r w:rsidR="00D92C1E" w:rsidRPr="00FE50A6">
        <w:rPr>
          <w:szCs w:val="20"/>
        </w:rPr>
        <w:t xml:space="preserve">; 16. </w:t>
      </w:r>
      <w:r w:rsidR="00D60654" w:rsidRPr="00FE50A6">
        <w:rPr>
          <w:rFonts w:cs="Times New Roman"/>
          <w:szCs w:val="20"/>
        </w:rPr>
        <w:t xml:space="preserve">Antônio </w:t>
      </w:r>
      <w:r w:rsidR="00D92C1E" w:rsidRPr="00FE50A6">
        <w:rPr>
          <w:rFonts w:cs="Times New Roman"/>
          <w:szCs w:val="20"/>
        </w:rPr>
        <w:t>Pereira dos Santos; 17. Carlito Bastos Gonçalves</w:t>
      </w:r>
      <w:r w:rsidR="00D92C1E" w:rsidRPr="00FE50A6">
        <w:rPr>
          <w:szCs w:val="20"/>
        </w:rPr>
        <w:t xml:space="preserve">; </w:t>
      </w:r>
      <w:r w:rsidR="00D92C1E" w:rsidRPr="00FE50A6">
        <w:rPr>
          <w:rFonts w:cs="Times New Roman"/>
          <w:szCs w:val="20"/>
        </w:rPr>
        <w:t xml:space="preserve">18. Carlos Alberto Silva Alves; 19. Carlos André da Conceição Pereira; 20. Carlos Augusto Cunha; 21. Carlos Ferreira Lopes; 22. Edirceu Lima de Brito; 23. Erimar Lima da Silva; 24. Firmino da Silva; 25. Francisco </w:t>
      </w:r>
      <w:r w:rsidR="00D60654" w:rsidRPr="00FE50A6">
        <w:rPr>
          <w:rFonts w:cs="Times New Roman"/>
          <w:szCs w:val="20"/>
        </w:rPr>
        <w:t xml:space="preserve">Antônio </w:t>
      </w:r>
      <w:r w:rsidR="00D92C1E" w:rsidRPr="00FE50A6">
        <w:rPr>
          <w:rFonts w:cs="Times New Roman"/>
          <w:szCs w:val="20"/>
        </w:rPr>
        <w:t xml:space="preserve">Oliveira Barbosa; 26. Francisco da Silva; 27. Francisco das Chagas Araujo Carvalho; </w:t>
      </w:r>
      <w:r w:rsidR="00D92C1E" w:rsidRPr="00FE50A6">
        <w:rPr>
          <w:szCs w:val="20"/>
        </w:rPr>
        <w:t xml:space="preserve">28. Francisco das Chagas Bastos Souza; </w:t>
      </w:r>
      <w:r w:rsidR="00D92C1E" w:rsidRPr="00FE50A6">
        <w:rPr>
          <w:rFonts w:cs="Times New Roman"/>
          <w:szCs w:val="20"/>
        </w:rPr>
        <w:t>29. Francisco das Chagas Cardoso Carvalho; 30. Francisco das Chagas Costa Rabelo; 31. Francisco das Chagas da Silva Lira; 32. Francisco Mariano da Silva; 33. Francisco das Chagas Diogo; 34. Francisco das Chagas Moreira Alves; 35. Francisco das Chagas Rodrigues de Sousa; 36. Francisco das Chagas Sousa Cardoso; 37. Francisco de Assis Felix; 38. Francisco de Assis Pereira da Silva; 39. Francisco de Souza Brígido; 40. Francisco Ernesto de Melo; 41. Francisco Fabiano Leandro; 42. Francisco Ferreira da Silva</w:t>
      </w:r>
      <w:r w:rsidR="00D92C1E" w:rsidRPr="00FE50A6">
        <w:rPr>
          <w:szCs w:val="20"/>
        </w:rPr>
        <w:t xml:space="preserve">; </w:t>
      </w:r>
      <w:r w:rsidR="00D92C1E" w:rsidRPr="00FE50A6">
        <w:rPr>
          <w:rFonts w:cs="Times New Roman"/>
          <w:szCs w:val="20"/>
        </w:rPr>
        <w:t xml:space="preserve">43. Francisco Ferreira da Silva Filho; 44. Francisco José Furtado; 45. Francisco Junior da Silva; 46. Francisco Mirele Ribeiro da Silva; </w:t>
      </w:r>
      <w:r w:rsidR="00D92C1E" w:rsidRPr="00FE50A6">
        <w:rPr>
          <w:szCs w:val="20"/>
        </w:rPr>
        <w:t xml:space="preserve">47. Francisco Pereira da Silva; </w:t>
      </w:r>
      <w:r w:rsidR="00D92C1E" w:rsidRPr="00FE50A6">
        <w:rPr>
          <w:rFonts w:cs="Times New Roman"/>
          <w:szCs w:val="20"/>
        </w:rPr>
        <w:t>48. Francisco Soares da Silva; 49. Francisco Teodoro Diogo; 50. Geraldo Ferreira da Silva; 51. Gonçalo Constâncio da Silva; 52. Gonçalo Firmino de Sousa; 53. Gonçalo José Gomes;</w:t>
      </w:r>
      <w:r w:rsidR="00653E8C" w:rsidRPr="00FE50A6">
        <w:rPr>
          <w:rFonts w:cs="Times New Roman"/>
          <w:szCs w:val="20"/>
        </w:rPr>
        <w:t xml:space="preserve"> 54. Gonçalo Luiz Furtado; 55. J</w:t>
      </w:r>
      <w:r w:rsidR="00D92C1E" w:rsidRPr="00FE50A6">
        <w:rPr>
          <w:rFonts w:cs="Times New Roman"/>
          <w:szCs w:val="20"/>
        </w:rPr>
        <w:t xml:space="preserve">enival Lopes; 56. João Diogo Pereira Filho; 57. José Cordeiro Ramos; 58. </w:t>
      </w:r>
      <w:r w:rsidR="00D92C1E" w:rsidRPr="00FE50A6">
        <w:rPr>
          <w:rFonts w:cs="Times New Roman"/>
          <w:szCs w:val="20"/>
          <w:lang w:val="fr-FR"/>
        </w:rPr>
        <w:t xml:space="preserve">José de Deus de Jesus Sousa; 59. José de Ribamar Souza; 60. </w:t>
      </w:r>
      <w:r w:rsidR="00D92C1E" w:rsidRPr="00FE50A6">
        <w:rPr>
          <w:rFonts w:cs="Times New Roman"/>
          <w:szCs w:val="20"/>
        </w:rPr>
        <w:t xml:space="preserve">José do Egito Santos; 61. José Gomes; 62. José Leandro da Silva; </w:t>
      </w:r>
      <w:r w:rsidR="00D92C1E" w:rsidRPr="00FE50A6">
        <w:rPr>
          <w:szCs w:val="20"/>
        </w:rPr>
        <w:t xml:space="preserve">63. José Renato do Nascimento Costa; </w:t>
      </w:r>
      <w:r w:rsidR="00D92C1E" w:rsidRPr="00FE50A6">
        <w:rPr>
          <w:rFonts w:cs="Times New Roman"/>
          <w:szCs w:val="20"/>
        </w:rPr>
        <w:t xml:space="preserve">64. Juni Carlos da Silva; 65. Lourival da Silva Santos; </w:t>
      </w:r>
      <w:r w:rsidR="00D92C1E" w:rsidRPr="00FE50A6">
        <w:rPr>
          <w:szCs w:val="20"/>
        </w:rPr>
        <w:t xml:space="preserve">66. Luis Carlos da Silva Santos; </w:t>
      </w:r>
      <w:r w:rsidR="00D92C1E" w:rsidRPr="00FE50A6">
        <w:rPr>
          <w:rFonts w:cs="Times New Roman"/>
          <w:szCs w:val="20"/>
        </w:rPr>
        <w:t xml:space="preserve">67. Luiz Gonzaga Silva Pires; 68. Luiz Sicinato de Menezes; </w:t>
      </w:r>
      <w:r w:rsidR="00D92C1E" w:rsidRPr="00FE50A6">
        <w:rPr>
          <w:szCs w:val="20"/>
        </w:rPr>
        <w:t>69. Manoel do Nascimento; 70</w:t>
      </w:r>
      <w:r w:rsidR="00D92C1E" w:rsidRPr="00FE50A6">
        <w:rPr>
          <w:rFonts w:cs="Times New Roman"/>
          <w:szCs w:val="20"/>
        </w:rPr>
        <w:t xml:space="preserve">. Manoel do Nascimento da Silva; 71. Manoel Pinheiro Brito; </w:t>
      </w:r>
      <w:r w:rsidR="00D92C1E" w:rsidRPr="00FE50A6">
        <w:rPr>
          <w:szCs w:val="20"/>
        </w:rPr>
        <w:t>72. Marcio F</w:t>
      </w:r>
      <w:r w:rsidR="00665D3A" w:rsidRPr="00FE50A6">
        <w:rPr>
          <w:szCs w:val="20"/>
        </w:rPr>
        <w:t>ran</w:t>
      </w:r>
      <w:r w:rsidR="00D92C1E" w:rsidRPr="00FE50A6">
        <w:rPr>
          <w:szCs w:val="20"/>
        </w:rPr>
        <w:t xml:space="preserve">ça da Costa Silva; </w:t>
      </w:r>
      <w:r w:rsidR="002A2605" w:rsidRPr="00FE50A6">
        <w:rPr>
          <w:rFonts w:cs="Times New Roman"/>
          <w:szCs w:val="20"/>
        </w:rPr>
        <w:t xml:space="preserve">73. Marcos </w:t>
      </w:r>
      <w:r w:rsidR="00D60654" w:rsidRPr="00FE50A6">
        <w:rPr>
          <w:rFonts w:cs="Times New Roman"/>
          <w:szCs w:val="20"/>
        </w:rPr>
        <w:t xml:space="preserve">Antônio </w:t>
      </w:r>
      <w:r w:rsidR="00D92C1E" w:rsidRPr="00FE50A6">
        <w:rPr>
          <w:rFonts w:cs="Times New Roman"/>
          <w:szCs w:val="20"/>
        </w:rPr>
        <w:t xml:space="preserve">Lima; 74. Paulo Pereira dos Santos; </w:t>
      </w:r>
      <w:r w:rsidR="00D92C1E" w:rsidRPr="00FE50A6">
        <w:rPr>
          <w:szCs w:val="20"/>
        </w:rPr>
        <w:t xml:space="preserve">75. Pedro Fernandes da Silva; </w:t>
      </w:r>
      <w:r w:rsidR="00D92C1E" w:rsidRPr="00FE50A6">
        <w:rPr>
          <w:rFonts w:cs="Times New Roman"/>
          <w:szCs w:val="20"/>
        </w:rPr>
        <w:t xml:space="preserve">76. Raimundo Cardoso Macêdo; 77. Raimundo de Andrade; </w:t>
      </w:r>
      <w:r w:rsidR="00D92C1E" w:rsidRPr="00FE50A6">
        <w:rPr>
          <w:szCs w:val="20"/>
        </w:rPr>
        <w:t xml:space="preserve">78. Raimundo de Sousa Leandro; </w:t>
      </w:r>
      <w:r w:rsidR="00D92C1E" w:rsidRPr="00FE50A6">
        <w:rPr>
          <w:rFonts w:cs="Times New Roman"/>
          <w:szCs w:val="20"/>
        </w:rPr>
        <w:t xml:space="preserve">79. Raimundo Nonato da Silva; 80. Roberto Alves Nascimento; </w:t>
      </w:r>
      <w:r w:rsidR="00D92C1E" w:rsidRPr="00FE50A6">
        <w:rPr>
          <w:szCs w:val="20"/>
        </w:rPr>
        <w:t xml:space="preserve">81. Rogerio Felix Silva; </w:t>
      </w:r>
      <w:r w:rsidR="00D92C1E" w:rsidRPr="00FE50A6">
        <w:rPr>
          <w:rFonts w:cs="Times New Roman"/>
          <w:szCs w:val="20"/>
        </w:rPr>
        <w:t xml:space="preserve">82. Sebastião Pereira de Sousa Neto; 83. Silvestre Moreira de Castro Filho; </w:t>
      </w:r>
      <w:r w:rsidR="00D92C1E" w:rsidRPr="00FE50A6">
        <w:rPr>
          <w:szCs w:val="20"/>
        </w:rPr>
        <w:t xml:space="preserve">84. Valdir Gonçalves da Silva; 85. Vicentina Maria da Conceição; 86. </w:t>
      </w:r>
      <w:r w:rsidR="00D60654" w:rsidRPr="00FE50A6">
        <w:rPr>
          <w:rFonts w:cs="Helvetica"/>
          <w:szCs w:val="20"/>
        </w:rPr>
        <w:t xml:space="preserve">Antônio </w:t>
      </w:r>
      <w:r w:rsidR="00D92C1E" w:rsidRPr="00FE50A6">
        <w:rPr>
          <w:rFonts w:cs="Helvetica"/>
          <w:szCs w:val="20"/>
        </w:rPr>
        <w:t>Alves de Souza;</w:t>
      </w:r>
      <w:r w:rsidR="00D92C1E" w:rsidRPr="00FE50A6">
        <w:rPr>
          <w:szCs w:val="20"/>
        </w:rPr>
        <w:t xml:space="preserve"> </w:t>
      </w:r>
      <w:r w:rsidR="0060726B" w:rsidRPr="00FE50A6">
        <w:rPr>
          <w:szCs w:val="20"/>
        </w:rPr>
        <w:t>87</w:t>
      </w:r>
      <w:r w:rsidR="00D92C1E" w:rsidRPr="00FE50A6">
        <w:rPr>
          <w:rFonts w:cs="Helvetica"/>
          <w:szCs w:val="20"/>
        </w:rPr>
        <w:t xml:space="preserve">. </w:t>
      </w:r>
      <w:r w:rsidR="00D60654" w:rsidRPr="00FE50A6">
        <w:rPr>
          <w:rFonts w:cs="Helvetica"/>
          <w:szCs w:val="20"/>
        </w:rPr>
        <w:t xml:space="preserve">Antônio </w:t>
      </w:r>
      <w:r w:rsidR="00D92C1E" w:rsidRPr="00FE50A6">
        <w:rPr>
          <w:rFonts w:cs="Helvetica"/>
          <w:szCs w:val="20"/>
        </w:rPr>
        <w:t>Bispo dos Santos;</w:t>
      </w:r>
      <w:r w:rsidR="00D92C1E" w:rsidRPr="00FE50A6">
        <w:rPr>
          <w:szCs w:val="20"/>
        </w:rPr>
        <w:t xml:space="preserve"> </w:t>
      </w:r>
      <w:r w:rsidR="0060726B" w:rsidRPr="00FE50A6">
        <w:rPr>
          <w:szCs w:val="20"/>
        </w:rPr>
        <w:t>88</w:t>
      </w:r>
      <w:r w:rsidR="00D92C1E" w:rsidRPr="00FE50A6">
        <w:rPr>
          <w:rFonts w:cs="Helvetica"/>
          <w:szCs w:val="20"/>
        </w:rPr>
        <w:t xml:space="preserve">. </w:t>
      </w:r>
      <w:r w:rsidR="00D60654" w:rsidRPr="00FE50A6">
        <w:rPr>
          <w:rFonts w:cs="Helvetica"/>
          <w:szCs w:val="20"/>
        </w:rPr>
        <w:t xml:space="preserve">Antônio </w:t>
      </w:r>
      <w:r w:rsidR="00D92C1E" w:rsidRPr="00FE50A6">
        <w:rPr>
          <w:rFonts w:cs="Helvetica"/>
          <w:szCs w:val="20"/>
        </w:rPr>
        <w:t>da Silva Nascimento;</w:t>
      </w:r>
      <w:r w:rsidR="00D92C1E" w:rsidRPr="00FE50A6">
        <w:rPr>
          <w:szCs w:val="20"/>
        </w:rPr>
        <w:t xml:space="preserve"> </w:t>
      </w:r>
      <w:r w:rsidR="0060726B" w:rsidRPr="00FE50A6">
        <w:rPr>
          <w:szCs w:val="20"/>
        </w:rPr>
        <w:t>89</w:t>
      </w:r>
      <w:r w:rsidR="00D92C1E" w:rsidRPr="00FE50A6">
        <w:rPr>
          <w:rFonts w:cs="Helvetica"/>
          <w:szCs w:val="20"/>
        </w:rPr>
        <w:t xml:space="preserve">. </w:t>
      </w:r>
      <w:r w:rsidR="00D60654" w:rsidRPr="00FE50A6">
        <w:rPr>
          <w:rFonts w:cs="Helvetica"/>
          <w:szCs w:val="20"/>
        </w:rPr>
        <w:t xml:space="preserve">Antônio </w:t>
      </w:r>
      <w:r w:rsidR="00D92C1E" w:rsidRPr="00FE50A6">
        <w:rPr>
          <w:rFonts w:cs="Helvetica"/>
          <w:szCs w:val="20"/>
        </w:rPr>
        <w:t>Pereira da Silva;</w:t>
      </w:r>
      <w:r w:rsidR="00D92C1E" w:rsidRPr="00FE50A6">
        <w:rPr>
          <w:szCs w:val="20"/>
        </w:rPr>
        <w:t xml:space="preserve"> </w:t>
      </w:r>
      <w:r w:rsidR="0060726B" w:rsidRPr="00FE50A6">
        <w:rPr>
          <w:szCs w:val="20"/>
        </w:rPr>
        <w:t>90</w:t>
      </w:r>
      <w:r w:rsidR="00D92C1E" w:rsidRPr="00FE50A6">
        <w:rPr>
          <w:rFonts w:cs="Helvetica"/>
          <w:szCs w:val="20"/>
        </w:rPr>
        <w:t xml:space="preserve">. </w:t>
      </w:r>
      <w:r w:rsidR="00D60654" w:rsidRPr="00FE50A6">
        <w:rPr>
          <w:rFonts w:cs="Helvetica"/>
          <w:szCs w:val="20"/>
        </w:rPr>
        <w:t xml:space="preserve">Antônio </w:t>
      </w:r>
      <w:r w:rsidR="00D92C1E" w:rsidRPr="00FE50A6">
        <w:rPr>
          <w:rFonts w:cs="Helvetica"/>
          <w:szCs w:val="20"/>
        </w:rPr>
        <w:t>Renato Barros;</w:t>
      </w:r>
      <w:r w:rsidR="00D92C1E" w:rsidRPr="00FE50A6">
        <w:rPr>
          <w:szCs w:val="20"/>
        </w:rPr>
        <w:t xml:space="preserve"> </w:t>
      </w:r>
      <w:r w:rsidR="0060726B" w:rsidRPr="00FE50A6">
        <w:rPr>
          <w:szCs w:val="20"/>
        </w:rPr>
        <w:t>91</w:t>
      </w:r>
      <w:r w:rsidR="00D92C1E" w:rsidRPr="00FE50A6">
        <w:rPr>
          <w:rFonts w:cs="Helvetica"/>
          <w:szCs w:val="20"/>
        </w:rPr>
        <w:t>. Benigno Rodrigues da Silva;</w:t>
      </w:r>
      <w:r w:rsidR="00D92C1E" w:rsidRPr="00FE50A6">
        <w:rPr>
          <w:szCs w:val="20"/>
        </w:rPr>
        <w:t xml:space="preserve"> </w:t>
      </w:r>
      <w:r w:rsidR="0060726B" w:rsidRPr="00FE50A6">
        <w:rPr>
          <w:szCs w:val="20"/>
        </w:rPr>
        <w:t>92</w:t>
      </w:r>
      <w:r w:rsidR="00D92C1E" w:rsidRPr="00FE50A6">
        <w:rPr>
          <w:rFonts w:cs="Helvetica"/>
          <w:szCs w:val="20"/>
        </w:rPr>
        <w:t>. Carlos Alberto Albino da Conceição;</w:t>
      </w:r>
      <w:r w:rsidR="00D92C1E" w:rsidRPr="00FE50A6">
        <w:rPr>
          <w:szCs w:val="20"/>
        </w:rPr>
        <w:t xml:space="preserve"> </w:t>
      </w:r>
      <w:r w:rsidR="0060726B" w:rsidRPr="00FE50A6">
        <w:rPr>
          <w:szCs w:val="20"/>
        </w:rPr>
        <w:t>93</w:t>
      </w:r>
      <w:r w:rsidR="00D92C1E" w:rsidRPr="00FE50A6">
        <w:rPr>
          <w:rFonts w:cs="Helvetica"/>
          <w:szCs w:val="20"/>
        </w:rPr>
        <w:t>. Cassimiro Neto Souza Maia;</w:t>
      </w:r>
      <w:r w:rsidR="00D92C1E" w:rsidRPr="00FE50A6">
        <w:rPr>
          <w:szCs w:val="20"/>
        </w:rPr>
        <w:t xml:space="preserve"> </w:t>
      </w:r>
      <w:r w:rsidR="00D92C1E" w:rsidRPr="00FE50A6">
        <w:rPr>
          <w:rFonts w:cs="Helvetica"/>
          <w:szCs w:val="20"/>
        </w:rPr>
        <w:t>9</w:t>
      </w:r>
      <w:r w:rsidR="0060726B" w:rsidRPr="00FE50A6">
        <w:rPr>
          <w:rFonts w:cs="Helvetica"/>
          <w:szCs w:val="20"/>
        </w:rPr>
        <w:t>4</w:t>
      </w:r>
      <w:r w:rsidR="00D92C1E" w:rsidRPr="00FE50A6">
        <w:rPr>
          <w:rFonts w:cs="Helvetica"/>
          <w:szCs w:val="20"/>
        </w:rPr>
        <w:t>. Dijalma Santos Batista;</w:t>
      </w:r>
      <w:r w:rsidR="00D92C1E" w:rsidRPr="00FE50A6">
        <w:rPr>
          <w:szCs w:val="20"/>
        </w:rPr>
        <w:t xml:space="preserve"> </w:t>
      </w:r>
      <w:r w:rsidR="0060726B" w:rsidRPr="00FE50A6">
        <w:rPr>
          <w:szCs w:val="20"/>
        </w:rPr>
        <w:t>95</w:t>
      </w:r>
      <w:r w:rsidR="00D92C1E" w:rsidRPr="00FE50A6">
        <w:rPr>
          <w:rFonts w:cs="Helvetica"/>
          <w:szCs w:val="20"/>
        </w:rPr>
        <w:t>. Edi Souza de Silva;</w:t>
      </w:r>
      <w:r w:rsidR="00D92C1E" w:rsidRPr="00FE50A6">
        <w:rPr>
          <w:szCs w:val="20"/>
        </w:rPr>
        <w:t xml:space="preserve"> </w:t>
      </w:r>
      <w:r w:rsidR="0060726B" w:rsidRPr="00FE50A6">
        <w:rPr>
          <w:szCs w:val="20"/>
        </w:rPr>
        <w:t>96</w:t>
      </w:r>
      <w:r w:rsidR="00D92C1E" w:rsidRPr="00FE50A6">
        <w:rPr>
          <w:rFonts w:cs="Helvetica"/>
          <w:szCs w:val="20"/>
        </w:rPr>
        <w:t>. Edmilson Fernandes dos Santos;</w:t>
      </w:r>
      <w:r w:rsidR="00D92C1E" w:rsidRPr="00FE50A6">
        <w:rPr>
          <w:szCs w:val="20"/>
        </w:rPr>
        <w:t xml:space="preserve"> </w:t>
      </w:r>
      <w:r w:rsidR="0060726B" w:rsidRPr="00FE50A6">
        <w:rPr>
          <w:szCs w:val="20"/>
        </w:rPr>
        <w:t>97</w:t>
      </w:r>
      <w:r w:rsidR="00D92C1E" w:rsidRPr="00FE50A6">
        <w:rPr>
          <w:rFonts w:cs="Helvetica"/>
          <w:szCs w:val="20"/>
        </w:rPr>
        <w:t>. Edson Pocidônio da Silva;</w:t>
      </w:r>
      <w:r w:rsidR="00D92C1E" w:rsidRPr="00FE50A6">
        <w:rPr>
          <w:szCs w:val="20"/>
        </w:rPr>
        <w:t xml:space="preserve"> </w:t>
      </w:r>
      <w:r w:rsidR="0060726B" w:rsidRPr="00FE50A6">
        <w:rPr>
          <w:szCs w:val="20"/>
        </w:rPr>
        <w:t>98</w:t>
      </w:r>
      <w:r w:rsidR="00D92C1E" w:rsidRPr="00FE50A6">
        <w:rPr>
          <w:rFonts w:cs="Helvetica"/>
          <w:szCs w:val="20"/>
        </w:rPr>
        <w:t xml:space="preserve">. Irineu </w:t>
      </w:r>
      <w:r w:rsidR="00B73594" w:rsidRPr="00FE50A6">
        <w:rPr>
          <w:rFonts w:cs="Helvetica"/>
          <w:szCs w:val="20"/>
        </w:rPr>
        <w:t xml:space="preserve">Inácio </w:t>
      </w:r>
      <w:r w:rsidR="00D92C1E" w:rsidRPr="00FE50A6">
        <w:rPr>
          <w:rFonts w:cs="Helvetica"/>
          <w:szCs w:val="20"/>
        </w:rPr>
        <w:t>da Silva;</w:t>
      </w:r>
      <w:r w:rsidR="00D92C1E" w:rsidRPr="00FE50A6">
        <w:rPr>
          <w:szCs w:val="20"/>
        </w:rPr>
        <w:t xml:space="preserve"> </w:t>
      </w:r>
      <w:r w:rsidR="0060726B" w:rsidRPr="00FE50A6">
        <w:rPr>
          <w:szCs w:val="20"/>
        </w:rPr>
        <w:t>99</w:t>
      </w:r>
      <w:r w:rsidR="00D92C1E" w:rsidRPr="00FE50A6">
        <w:rPr>
          <w:rFonts w:cs="Helvetica"/>
          <w:szCs w:val="20"/>
        </w:rPr>
        <w:t>. Geraldo Hilário de Almeida;</w:t>
      </w:r>
      <w:r w:rsidR="00D92C1E" w:rsidRPr="00FE50A6">
        <w:rPr>
          <w:szCs w:val="20"/>
        </w:rPr>
        <w:t xml:space="preserve"> </w:t>
      </w:r>
      <w:r w:rsidR="0060726B" w:rsidRPr="00FE50A6">
        <w:rPr>
          <w:szCs w:val="20"/>
        </w:rPr>
        <w:t>100</w:t>
      </w:r>
      <w:r w:rsidR="00D92C1E" w:rsidRPr="00FE50A6">
        <w:rPr>
          <w:rFonts w:cs="Helvetica"/>
          <w:szCs w:val="20"/>
        </w:rPr>
        <w:t>. João de Deus dos Reis Salvino;</w:t>
      </w:r>
      <w:r w:rsidR="00D92C1E" w:rsidRPr="00FE50A6">
        <w:rPr>
          <w:szCs w:val="20"/>
        </w:rPr>
        <w:t xml:space="preserve"> </w:t>
      </w:r>
      <w:r w:rsidR="00D92C1E" w:rsidRPr="00FE50A6">
        <w:rPr>
          <w:rFonts w:cs="Helvetica"/>
          <w:szCs w:val="20"/>
        </w:rPr>
        <w:t>1</w:t>
      </w:r>
      <w:r w:rsidR="0060726B" w:rsidRPr="00FE50A6">
        <w:rPr>
          <w:rFonts w:cs="Helvetica"/>
          <w:szCs w:val="20"/>
        </w:rPr>
        <w:t>01</w:t>
      </w:r>
      <w:r w:rsidR="00D92C1E" w:rsidRPr="00FE50A6">
        <w:rPr>
          <w:rFonts w:cs="Helvetica"/>
          <w:szCs w:val="20"/>
        </w:rPr>
        <w:t>. João Germano da Silva;</w:t>
      </w:r>
      <w:r w:rsidR="00D92C1E" w:rsidRPr="00FE50A6">
        <w:rPr>
          <w:szCs w:val="20"/>
        </w:rPr>
        <w:t xml:space="preserve"> </w:t>
      </w:r>
      <w:r w:rsidR="00D92C1E" w:rsidRPr="00FE50A6">
        <w:rPr>
          <w:rFonts w:cs="Helvetica"/>
          <w:szCs w:val="20"/>
        </w:rPr>
        <w:t>1</w:t>
      </w:r>
      <w:r w:rsidR="0060726B" w:rsidRPr="00FE50A6">
        <w:rPr>
          <w:rFonts w:cs="Helvetica"/>
          <w:szCs w:val="20"/>
        </w:rPr>
        <w:t>02</w:t>
      </w:r>
      <w:r w:rsidR="00D92C1E" w:rsidRPr="00FE50A6">
        <w:rPr>
          <w:rFonts w:cs="Helvetica"/>
          <w:szCs w:val="20"/>
        </w:rPr>
        <w:t>. João Pereira Marinho; 1</w:t>
      </w:r>
      <w:r w:rsidR="0060726B" w:rsidRPr="00FE50A6">
        <w:rPr>
          <w:rFonts w:cs="Helvetica"/>
          <w:szCs w:val="20"/>
        </w:rPr>
        <w:t>03</w:t>
      </w:r>
      <w:r w:rsidR="00D92C1E" w:rsidRPr="00FE50A6">
        <w:rPr>
          <w:rFonts w:cs="Helvetica"/>
          <w:szCs w:val="20"/>
        </w:rPr>
        <w:t>. Joaquim Francisco Xavier; 1</w:t>
      </w:r>
      <w:r w:rsidR="0060726B" w:rsidRPr="00FE50A6">
        <w:rPr>
          <w:rFonts w:cs="Helvetica"/>
          <w:szCs w:val="20"/>
        </w:rPr>
        <w:t>04</w:t>
      </w:r>
      <w:r w:rsidR="00D92C1E" w:rsidRPr="00FE50A6">
        <w:rPr>
          <w:rFonts w:cs="Helvetica"/>
          <w:szCs w:val="20"/>
        </w:rPr>
        <w:t xml:space="preserve">. José Astrogildo Damascena; </w:t>
      </w:r>
      <w:r w:rsidR="0060726B" w:rsidRPr="00FE50A6">
        <w:rPr>
          <w:rFonts w:cs="Helvetica"/>
          <w:szCs w:val="20"/>
        </w:rPr>
        <w:t>105</w:t>
      </w:r>
      <w:r w:rsidR="00D92C1E" w:rsidRPr="00FE50A6">
        <w:rPr>
          <w:rFonts w:cs="Helvetica"/>
          <w:szCs w:val="20"/>
        </w:rPr>
        <w:t xml:space="preserve">. José Carlos Alves dos Santos; </w:t>
      </w:r>
      <w:r w:rsidR="0060726B" w:rsidRPr="00FE50A6">
        <w:rPr>
          <w:rFonts w:cs="Helvetica"/>
          <w:szCs w:val="20"/>
        </w:rPr>
        <w:t>106</w:t>
      </w:r>
      <w:r w:rsidR="00D92C1E" w:rsidRPr="00FE50A6">
        <w:rPr>
          <w:rFonts w:cs="Times New Roman"/>
          <w:szCs w:val="20"/>
        </w:rPr>
        <w:t xml:space="preserve">. José Fernando da Silva Filho; </w:t>
      </w:r>
      <w:r w:rsidR="0060726B" w:rsidRPr="00FE50A6">
        <w:rPr>
          <w:rFonts w:cs="Times New Roman"/>
          <w:szCs w:val="20"/>
        </w:rPr>
        <w:t>107</w:t>
      </w:r>
      <w:r w:rsidR="00D92C1E" w:rsidRPr="00FE50A6">
        <w:rPr>
          <w:rFonts w:cs="Helvetica"/>
          <w:szCs w:val="20"/>
        </w:rPr>
        <w:t xml:space="preserve">. José Francisco de Lima; </w:t>
      </w:r>
      <w:r w:rsidR="0060726B" w:rsidRPr="00FE50A6">
        <w:rPr>
          <w:rFonts w:cs="Helvetica"/>
          <w:szCs w:val="20"/>
        </w:rPr>
        <w:t>108</w:t>
      </w:r>
      <w:r w:rsidR="00D92C1E" w:rsidRPr="00FE50A6">
        <w:rPr>
          <w:rFonts w:cs="Helvetica"/>
          <w:szCs w:val="20"/>
        </w:rPr>
        <w:t xml:space="preserve">. José Pereira da Silva; </w:t>
      </w:r>
      <w:r w:rsidR="0060726B" w:rsidRPr="00FE50A6">
        <w:rPr>
          <w:rFonts w:cs="Helvetica"/>
          <w:szCs w:val="20"/>
        </w:rPr>
        <w:t>109</w:t>
      </w:r>
      <w:r w:rsidR="00D92C1E" w:rsidRPr="00FE50A6">
        <w:rPr>
          <w:rFonts w:cs="Helvetica"/>
          <w:szCs w:val="20"/>
        </w:rPr>
        <w:t xml:space="preserve">. José Pereira Marinho; </w:t>
      </w:r>
      <w:r w:rsidR="0060726B" w:rsidRPr="00FE50A6">
        <w:rPr>
          <w:rFonts w:cs="Helvetica"/>
          <w:szCs w:val="20"/>
        </w:rPr>
        <w:t>110</w:t>
      </w:r>
      <w:r w:rsidR="00D92C1E" w:rsidRPr="00FE50A6">
        <w:rPr>
          <w:rFonts w:cs="Helvetica"/>
          <w:szCs w:val="20"/>
        </w:rPr>
        <w:t xml:space="preserve">. José Raimundo dos Santos; </w:t>
      </w:r>
      <w:r w:rsidR="0060726B" w:rsidRPr="00FE50A6">
        <w:rPr>
          <w:rFonts w:cs="Helvetica"/>
          <w:szCs w:val="20"/>
        </w:rPr>
        <w:t>111</w:t>
      </w:r>
      <w:r w:rsidR="00D92C1E" w:rsidRPr="00FE50A6">
        <w:rPr>
          <w:rFonts w:cs="Helvetica"/>
          <w:szCs w:val="20"/>
        </w:rPr>
        <w:t xml:space="preserve">. José Vital Nascimento; </w:t>
      </w:r>
      <w:r w:rsidR="0060726B" w:rsidRPr="00FE50A6">
        <w:rPr>
          <w:rFonts w:cs="Helvetica"/>
          <w:szCs w:val="20"/>
        </w:rPr>
        <w:t>112</w:t>
      </w:r>
      <w:r w:rsidR="00D92C1E" w:rsidRPr="00FE50A6">
        <w:rPr>
          <w:rFonts w:cs="Helvetica"/>
          <w:szCs w:val="20"/>
        </w:rPr>
        <w:t xml:space="preserve">. Luiz Leal dos Santos; </w:t>
      </w:r>
      <w:r w:rsidR="0060726B" w:rsidRPr="00FE50A6">
        <w:rPr>
          <w:rFonts w:cs="Helvetica"/>
          <w:szCs w:val="20"/>
        </w:rPr>
        <w:t>113</w:t>
      </w:r>
      <w:r w:rsidR="00D92C1E" w:rsidRPr="00FE50A6">
        <w:rPr>
          <w:rFonts w:cs="Helvetica"/>
          <w:szCs w:val="20"/>
        </w:rPr>
        <w:t xml:space="preserve">. Manoel Alves de Oliveira; </w:t>
      </w:r>
      <w:r w:rsidR="0060726B" w:rsidRPr="00FE50A6">
        <w:rPr>
          <w:rFonts w:cs="Helvetica"/>
          <w:szCs w:val="20"/>
        </w:rPr>
        <w:t>114</w:t>
      </w:r>
      <w:r w:rsidR="00D92C1E" w:rsidRPr="00FE50A6">
        <w:rPr>
          <w:rFonts w:cs="Helvetica"/>
          <w:szCs w:val="20"/>
        </w:rPr>
        <w:t xml:space="preserve">. Manoel Fernandes dos Santos; </w:t>
      </w:r>
      <w:r w:rsidR="0060726B" w:rsidRPr="00FE50A6">
        <w:rPr>
          <w:rFonts w:cs="Helvetica"/>
          <w:szCs w:val="20"/>
        </w:rPr>
        <w:t>115</w:t>
      </w:r>
      <w:r w:rsidR="00D92C1E" w:rsidRPr="00FE50A6">
        <w:rPr>
          <w:rFonts w:cs="Helvetica"/>
          <w:szCs w:val="20"/>
        </w:rPr>
        <w:t xml:space="preserve">. Marcionilo Pinto de Morais; </w:t>
      </w:r>
      <w:r w:rsidR="0060726B" w:rsidRPr="00FE50A6">
        <w:rPr>
          <w:rFonts w:cs="Helvetica"/>
          <w:szCs w:val="20"/>
        </w:rPr>
        <w:t>116</w:t>
      </w:r>
      <w:r w:rsidR="00D92C1E" w:rsidRPr="00FE50A6">
        <w:rPr>
          <w:rFonts w:cs="Helvetica"/>
          <w:szCs w:val="20"/>
        </w:rPr>
        <w:t xml:space="preserve">. Pedro Pereira de Andrade; </w:t>
      </w:r>
      <w:r w:rsidR="0060726B" w:rsidRPr="00FE50A6">
        <w:rPr>
          <w:rFonts w:cs="Helvetica"/>
          <w:szCs w:val="20"/>
        </w:rPr>
        <w:t>117</w:t>
      </w:r>
      <w:r w:rsidR="00D92C1E" w:rsidRPr="00FE50A6">
        <w:rPr>
          <w:rFonts w:cs="Helvetica"/>
          <w:szCs w:val="20"/>
        </w:rPr>
        <w:t xml:space="preserve">. Raimundo Costa Neves; </w:t>
      </w:r>
      <w:r w:rsidR="0060726B" w:rsidRPr="00FE50A6">
        <w:rPr>
          <w:rFonts w:cs="Helvetica"/>
          <w:szCs w:val="20"/>
        </w:rPr>
        <w:t>118</w:t>
      </w:r>
      <w:r w:rsidR="00D92C1E" w:rsidRPr="00FE50A6">
        <w:rPr>
          <w:rFonts w:cs="Helvetica"/>
          <w:szCs w:val="20"/>
        </w:rPr>
        <w:t xml:space="preserve">. Raimundo Nonato Amaro Ferreira; </w:t>
      </w:r>
      <w:r w:rsidR="0060726B" w:rsidRPr="00FE50A6">
        <w:rPr>
          <w:rFonts w:cs="Helvetica"/>
          <w:szCs w:val="20"/>
        </w:rPr>
        <w:t>119</w:t>
      </w:r>
      <w:r w:rsidR="00D92C1E" w:rsidRPr="00FE50A6">
        <w:rPr>
          <w:rFonts w:cs="Helvetica"/>
          <w:szCs w:val="20"/>
        </w:rPr>
        <w:t xml:space="preserve">. Raimundo Gonçalves Lima; </w:t>
      </w:r>
      <w:r w:rsidR="0060726B" w:rsidRPr="00FE50A6">
        <w:rPr>
          <w:rFonts w:cs="Helvetica"/>
          <w:szCs w:val="20"/>
        </w:rPr>
        <w:t>120</w:t>
      </w:r>
      <w:r w:rsidR="00D92C1E" w:rsidRPr="00FE50A6">
        <w:rPr>
          <w:rFonts w:cs="Helvetica"/>
          <w:szCs w:val="20"/>
        </w:rPr>
        <w:t xml:space="preserve">. Raimundo Nonato da Silva; </w:t>
      </w:r>
      <w:r w:rsidR="0060726B" w:rsidRPr="00FE50A6">
        <w:rPr>
          <w:rFonts w:cs="Helvetica"/>
          <w:szCs w:val="20"/>
        </w:rPr>
        <w:t>121</w:t>
      </w:r>
      <w:r w:rsidR="00D92C1E" w:rsidRPr="00FE50A6">
        <w:rPr>
          <w:rFonts w:cs="Helvetica"/>
          <w:szCs w:val="20"/>
        </w:rPr>
        <w:t xml:space="preserve">. Roberto Aires; </w:t>
      </w:r>
      <w:r w:rsidR="0060726B" w:rsidRPr="00FE50A6">
        <w:rPr>
          <w:rFonts w:cs="Helvetica"/>
          <w:szCs w:val="20"/>
        </w:rPr>
        <w:t>122</w:t>
      </w:r>
      <w:r w:rsidR="00D92C1E" w:rsidRPr="00FE50A6">
        <w:rPr>
          <w:rFonts w:cs="Helvetica"/>
          <w:szCs w:val="20"/>
        </w:rPr>
        <w:t xml:space="preserve">. Ronaldo Alves Ribeiro; </w:t>
      </w:r>
      <w:r w:rsidR="0060726B" w:rsidRPr="00FE50A6">
        <w:rPr>
          <w:rFonts w:cs="Helvetica"/>
          <w:szCs w:val="20"/>
        </w:rPr>
        <w:t>123</w:t>
      </w:r>
      <w:r w:rsidR="00D92C1E" w:rsidRPr="00FE50A6">
        <w:rPr>
          <w:rFonts w:cs="Helvetica"/>
          <w:szCs w:val="20"/>
        </w:rPr>
        <w:t xml:space="preserve">. Sebastião Carro Pereira dos Santos; </w:t>
      </w:r>
      <w:r w:rsidR="0060726B" w:rsidRPr="00FE50A6">
        <w:rPr>
          <w:rFonts w:cs="Helvetica"/>
          <w:szCs w:val="20"/>
        </w:rPr>
        <w:t>124</w:t>
      </w:r>
      <w:r w:rsidR="00D92C1E" w:rsidRPr="00FE50A6">
        <w:rPr>
          <w:rFonts w:cs="Helvetica"/>
          <w:szCs w:val="20"/>
        </w:rPr>
        <w:t xml:space="preserve">. Sebastião Rodrigues da Silva; </w:t>
      </w:r>
      <w:r w:rsidR="0060726B" w:rsidRPr="00FE50A6">
        <w:rPr>
          <w:rFonts w:cs="Helvetica"/>
          <w:szCs w:val="20"/>
        </w:rPr>
        <w:t>125</w:t>
      </w:r>
      <w:r w:rsidR="00D92C1E" w:rsidRPr="00FE50A6">
        <w:rPr>
          <w:rFonts w:cs="Helvetica"/>
          <w:szCs w:val="20"/>
        </w:rPr>
        <w:t xml:space="preserve">. Sinoca da Silva; </w:t>
      </w:r>
      <w:r w:rsidR="0060726B" w:rsidRPr="00FE50A6">
        <w:rPr>
          <w:rFonts w:cs="Helvetica"/>
          <w:szCs w:val="20"/>
        </w:rPr>
        <w:t>126</w:t>
      </w:r>
      <w:r w:rsidR="00D92C1E" w:rsidRPr="00FE50A6">
        <w:rPr>
          <w:rFonts w:cs="Helvetica"/>
          <w:szCs w:val="20"/>
        </w:rPr>
        <w:t xml:space="preserve">. Valdemar de Souza; </w:t>
      </w:r>
      <w:r w:rsidR="0060726B" w:rsidRPr="00FE50A6">
        <w:rPr>
          <w:rFonts w:cs="Helvetica"/>
          <w:szCs w:val="20"/>
        </w:rPr>
        <w:t>127</w:t>
      </w:r>
      <w:r w:rsidR="00D92C1E" w:rsidRPr="00FE50A6">
        <w:rPr>
          <w:rFonts w:cs="Helvetica"/>
          <w:szCs w:val="20"/>
        </w:rPr>
        <w:t>. Valdinar Veloso Silva,</w:t>
      </w:r>
      <w:r w:rsidR="00030C17" w:rsidRPr="00FE50A6">
        <w:rPr>
          <w:rFonts w:cs="Helvetica"/>
          <w:szCs w:val="20"/>
        </w:rPr>
        <w:t xml:space="preserve"> and </w:t>
      </w:r>
      <w:r w:rsidR="0060726B" w:rsidRPr="00FE50A6">
        <w:rPr>
          <w:rFonts w:cs="Helvetica"/>
          <w:szCs w:val="20"/>
        </w:rPr>
        <w:t>128</w:t>
      </w:r>
      <w:r w:rsidR="00D92C1E" w:rsidRPr="00FE50A6">
        <w:rPr>
          <w:rFonts w:cs="Helvetica"/>
          <w:szCs w:val="20"/>
        </w:rPr>
        <w:t>. Zeno Gomes Feitosa</w:t>
      </w:r>
      <w:r w:rsidRPr="00FE50A6">
        <w:rPr>
          <w:rFonts w:cs="Arial"/>
          <w:iCs/>
          <w:szCs w:val="20"/>
        </w:rPr>
        <w:t xml:space="preserve">. </w:t>
      </w:r>
      <w:r w:rsidRPr="00FE50A6">
        <w:rPr>
          <w:rFonts w:cs="Arial"/>
          <w:iCs/>
          <w:szCs w:val="20"/>
          <w:lang w:val="en-US"/>
        </w:rPr>
        <w:t>In their capacity as victims of the violations declared in Chapter VIII of this judgment, they will be considered beneficiaries of the</w:t>
      </w:r>
      <w:r w:rsidR="0092522C" w:rsidRPr="00FE50A6">
        <w:rPr>
          <w:rFonts w:cs="Arial"/>
          <w:iCs/>
          <w:szCs w:val="20"/>
          <w:lang w:val="en-US"/>
        </w:rPr>
        <w:t xml:space="preserve"> following</w:t>
      </w:r>
      <w:r w:rsidRPr="00FE50A6">
        <w:rPr>
          <w:rFonts w:cs="Arial"/>
          <w:iCs/>
          <w:szCs w:val="20"/>
          <w:lang w:val="en-US"/>
        </w:rPr>
        <w:t xml:space="preserve"> reparations </w:t>
      </w:r>
      <w:r w:rsidR="0092522C" w:rsidRPr="00FE50A6">
        <w:rPr>
          <w:rFonts w:cs="Arial"/>
          <w:iCs/>
          <w:szCs w:val="20"/>
          <w:lang w:val="en-US"/>
        </w:rPr>
        <w:t>ordered by</w:t>
      </w:r>
      <w:r w:rsidRPr="00FE50A6">
        <w:rPr>
          <w:rFonts w:cs="Arial"/>
          <w:iCs/>
          <w:szCs w:val="20"/>
          <w:lang w:val="en-US"/>
        </w:rPr>
        <w:t xml:space="preserve"> the Court</w:t>
      </w:r>
      <w:r w:rsidR="004B0842" w:rsidRPr="00FE50A6">
        <w:rPr>
          <w:rFonts w:cs="Arial"/>
          <w:iCs/>
          <w:szCs w:val="20"/>
          <w:lang w:val="en-US"/>
        </w:rPr>
        <w:t>.</w:t>
      </w:r>
    </w:p>
    <w:p w14:paraId="367AB792" w14:textId="77777777" w:rsidR="004B0842" w:rsidRPr="00FE50A6" w:rsidRDefault="004B0842" w:rsidP="004B0842">
      <w:pPr>
        <w:pStyle w:val="Prrafodelista"/>
        <w:autoSpaceDE w:val="0"/>
        <w:autoSpaceDN w:val="0"/>
        <w:adjustRightInd w:val="0"/>
        <w:rPr>
          <w:rFonts w:cs="Arial"/>
          <w:iCs/>
          <w:szCs w:val="20"/>
          <w:lang w:val="en-US"/>
        </w:rPr>
      </w:pPr>
    </w:p>
    <w:p w14:paraId="1CE122EC" w14:textId="77777777" w:rsidR="004B0842" w:rsidRPr="00FE50A6" w:rsidRDefault="00A67683" w:rsidP="008B0BCC">
      <w:pPr>
        <w:pStyle w:val="Ttulo2"/>
        <w:numPr>
          <w:ilvl w:val="0"/>
          <w:numId w:val="21"/>
        </w:numPr>
      </w:pPr>
      <w:r w:rsidRPr="00FE50A6">
        <w:t>Investigative measures</w:t>
      </w:r>
    </w:p>
    <w:p w14:paraId="04058B22" w14:textId="77777777" w:rsidR="004B0842" w:rsidRPr="00FE50A6" w:rsidRDefault="004B0842" w:rsidP="004B0842">
      <w:pPr>
        <w:pStyle w:val="Prrafodelista"/>
        <w:autoSpaceDE w:val="0"/>
        <w:autoSpaceDN w:val="0"/>
        <w:adjustRightInd w:val="0"/>
        <w:rPr>
          <w:rFonts w:cs="Arial"/>
          <w:iCs/>
          <w:szCs w:val="20"/>
          <w:lang w:val="en-US"/>
        </w:rPr>
      </w:pPr>
    </w:p>
    <w:p w14:paraId="63B75132"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Commission</w:t>
      </w:r>
      <w:r w:rsidR="004B0842" w:rsidRPr="00FE50A6">
        <w:rPr>
          <w:rFonts w:cs="Arial"/>
          <w:iCs/>
          <w:szCs w:val="20"/>
          <w:lang w:val="en-US"/>
        </w:rPr>
        <w:t xml:space="preserve"> </w:t>
      </w:r>
      <w:r w:rsidR="00A67683" w:rsidRPr="00FE50A6">
        <w:rPr>
          <w:rFonts w:cs="Arial"/>
          <w:iCs/>
          <w:szCs w:val="20"/>
          <w:lang w:val="en-US"/>
        </w:rPr>
        <w:t>asked that an investigation be conducted into the facts concerning</w:t>
      </w:r>
      <w:r w:rsidR="004B0842" w:rsidRPr="00FE50A6">
        <w:rPr>
          <w:rFonts w:cs="Arial"/>
          <w:iCs/>
          <w:szCs w:val="20"/>
          <w:lang w:val="en-US"/>
        </w:rPr>
        <w:t xml:space="preserve"> </w:t>
      </w:r>
      <w:r w:rsidR="00EB5CB3" w:rsidRPr="00FE50A6">
        <w:rPr>
          <w:rFonts w:cs="Arial"/>
          <w:iCs/>
          <w:szCs w:val="20"/>
          <w:lang w:val="en-US"/>
        </w:rPr>
        <w:t>the human rights violations</w:t>
      </w:r>
      <w:r w:rsidR="004B0842" w:rsidRPr="00FE50A6">
        <w:rPr>
          <w:rFonts w:cs="Arial"/>
          <w:iCs/>
          <w:szCs w:val="20"/>
          <w:lang w:val="en-US"/>
        </w:rPr>
        <w:t xml:space="preserve"> </w:t>
      </w:r>
      <w:r w:rsidR="00A67683" w:rsidRPr="00FE50A6">
        <w:rPr>
          <w:rFonts w:cs="Arial"/>
          <w:iCs/>
          <w:szCs w:val="20"/>
          <w:lang w:val="en-US"/>
        </w:rPr>
        <w:t>relating to</w:t>
      </w:r>
      <w:r w:rsidR="004B0842" w:rsidRPr="00FE50A6">
        <w:rPr>
          <w:rFonts w:cs="Arial"/>
          <w:iCs/>
          <w:szCs w:val="20"/>
          <w:lang w:val="en-US"/>
        </w:rPr>
        <w:t xml:space="preserve"> </w:t>
      </w:r>
      <w:r w:rsidR="005F1946" w:rsidRPr="00FE50A6">
        <w:rPr>
          <w:rFonts w:cs="Arial"/>
          <w:iCs/>
          <w:szCs w:val="20"/>
          <w:lang w:val="en-US"/>
        </w:rPr>
        <w:t>slave labor</w:t>
      </w:r>
      <w:r w:rsidR="00030C17" w:rsidRPr="00FE50A6">
        <w:rPr>
          <w:rFonts w:cs="Arial"/>
          <w:iCs/>
          <w:szCs w:val="20"/>
          <w:lang w:val="en-US"/>
        </w:rPr>
        <w:t xml:space="preserve"> and</w:t>
      </w:r>
      <w:r w:rsidR="00A67683" w:rsidRPr="00FE50A6">
        <w:rPr>
          <w:rFonts w:cs="Arial"/>
          <w:iCs/>
          <w:szCs w:val="20"/>
          <w:lang w:val="en-US"/>
        </w:rPr>
        <w:t xml:space="preserve"> that the investigation be conducted impartial</w:t>
      </w:r>
      <w:r w:rsidR="00F45885" w:rsidRPr="00FE50A6">
        <w:rPr>
          <w:rFonts w:cs="Arial"/>
          <w:iCs/>
          <w:szCs w:val="20"/>
          <w:lang w:val="en-US"/>
        </w:rPr>
        <w:t>ly</w:t>
      </w:r>
      <w:r w:rsidR="00A67683" w:rsidRPr="00FE50A6">
        <w:rPr>
          <w:rFonts w:cs="Arial"/>
          <w:iCs/>
          <w:szCs w:val="20"/>
          <w:lang w:val="en-US"/>
        </w:rPr>
        <w:t xml:space="preserve"> and effective</w:t>
      </w:r>
      <w:r w:rsidR="00F45885" w:rsidRPr="00FE50A6">
        <w:rPr>
          <w:rFonts w:cs="Arial"/>
          <w:iCs/>
          <w:szCs w:val="20"/>
          <w:lang w:val="en-US"/>
        </w:rPr>
        <w:t xml:space="preserve">ly </w:t>
      </w:r>
      <w:r w:rsidR="00A67683" w:rsidRPr="00FE50A6">
        <w:rPr>
          <w:rFonts w:cs="Arial"/>
          <w:iCs/>
          <w:szCs w:val="20"/>
          <w:lang w:val="en-US"/>
        </w:rPr>
        <w:t>and within a</w:t>
      </w:r>
      <w:r w:rsidR="004B0842" w:rsidRPr="00FE50A6">
        <w:rPr>
          <w:rFonts w:cs="Arial"/>
          <w:iCs/>
          <w:szCs w:val="20"/>
          <w:lang w:val="en-US"/>
        </w:rPr>
        <w:t xml:space="preserve"> </w:t>
      </w:r>
      <w:r w:rsidR="00F37838" w:rsidRPr="00FE50A6">
        <w:rPr>
          <w:rFonts w:cs="Arial"/>
          <w:iCs/>
          <w:szCs w:val="20"/>
          <w:lang w:val="en-US"/>
        </w:rPr>
        <w:t>reasonable time</w:t>
      </w:r>
      <w:r w:rsidR="004B0842" w:rsidRPr="00FE50A6">
        <w:rPr>
          <w:rFonts w:cs="Arial"/>
          <w:iCs/>
          <w:szCs w:val="20"/>
          <w:lang w:val="en-US"/>
        </w:rPr>
        <w:t xml:space="preserve"> </w:t>
      </w:r>
      <w:r w:rsidR="00A67683" w:rsidRPr="00FE50A6">
        <w:rPr>
          <w:rFonts w:cs="Arial"/>
          <w:iCs/>
          <w:szCs w:val="20"/>
          <w:lang w:val="en-US"/>
        </w:rPr>
        <w:t xml:space="preserve">in order to clarify the facts fully, identify those responsible and impose the corresponding sanctions. </w:t>
      </w:r>
    </w:p>
    <w:p w14:paraId="0AB2CDB3" w14:textId="77777777" w:rsidR="004B0842" w:rsidRPr="00FE50A6" w:rsidRDefault="004B0842" w:rsidP="004B0842">
      <w:pPr>
        <w:pStyle w:val="Prrafodelista"/>
        <w:autoSpaceDE w:val="0"/>
        <w:autoSpaceDN w:val="0"/>
        <w:adjustRightInd w:val="0"/>
        <w:ind w:left="0"/>
        <w:rPr>
          <w:rFonts w:cs="Arial"/>
          <w:iCs/>
          <w:szCs w:val="20"/>
          <w:lang w:val="en-US"/>
        </w:rPr>
      </w:pPr>
    </w:p>
    <w:p w14:paraId="0889FA09" w14:textId="77777777" w:rsidR="00A67683" w:rsidRPr="00FE50A6" w:rsidRDefault="004B0842"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Ad</w:t>
      </w:r>
      <w:r w:rsidR="00A67683" w:rsidRPr="00FE50A6">
        <w:rPr>
          <w:rFonts w:cs="Arial"/>
          <w:iCs/>
          <w:szCs w:val="20"/>
          <w:lang w:val="en-US"/>
        </w:rPr>
        <w:t>ditionally</w:t>
      </w:r>
      <w:r w:rsidRPr="00FE50A6">
        <w:rPr>
          <w:rFonts w:cs="Arial"/>
          <w:iCs/>
          <w:szCs w:val="20"/>
          <w:lang w:val="en-US"/>
        </w:rPr>
        <w:t xml:space="preserve">, </w:t>
      </w:r>
      <w:r w:rsidR="000228D0" w:rsidRPr="00FE50A6">
        <w:rPr>
          <w:rFonts w:cs="Arial"/>
          <w:iCs/>
          <w:szCs w:val="20"/>
          <w:lang w:val="en-US"/>
        </w:rPr>
        <w:t>the Commission</w:t>
      </w:r>
      <w:r w:rsidRPr="00FE50A6">
        <w:rPr>
          <w:rFonts w:cs="Arial"/>
          <w:iCs/>
          <w:szCs w:val="20"/>
          <w:lang w:val="en-US"/>
        </w:rPr>
        <w:t xml:space="preserve"> </w:t>
      </w:r>
      <w:r w:rsidR="00F45885" w:rsidRPr="00FE50A6">
        <w:rPr>
          <w:rFonts w:cs="Arial"/>
          <w:iCs/>
          <w:szCs w:val="20"/>
          <w:lang w:val="en-US"/>
        </w:rPr>
        <w:t>asked that</w:t>
      </w:r>
      <w:r w:rsidR="00A67683" w:rsidRPr="00FE50A6">
        <w:rPr>
          <w:rFonts w:cs="Arial"/>
          <w:iCs/>
          <w:szCs w:val="20"/>
          <w:lang w:val="en-US"/>
        </w:rPr>
        <w:t xml:space="preserve"> the corresponding administrative, disciplinary and criminal measures be ordered with regard to the acts or omissions of the State officials </w:t>
      </w:r>
      <w:r w:rsidR="00F45885" w:rsidRPr="00FE50A6">
        <w:rPr>
          <w:rFonts w:cs="Arial"/>
          <w:iCs/>
          <w:szCs w:val="20"/>
          <w:lang w:val="en-US"/>
        </w:rPr>
        <w:t>which</w:t>
      </w:r>
      <w:r w:rsidR="00A67683" w:rsidRPr="00FE50A6">
        <w:rPr>
          <w:rFonts w:cs="Arial"/>
          <w:iCs/>
          <w:szCs w:val="20"/>
          <w:lang w:val="en-US"/>
        </w:rPr>
        <w:t xml:space="preserve"> contributed to the denial of justice </w:t>
      </w:r>
      <w:proofErr w:type="gramStart"/>
      <w:r w:rsidR="00A67683" w:rsidRPr="00FE50A6">
        <w:rPr>
          <w:rFonts w:cs="Arial"/>
          <w:iCs/>
          <w:szCs w:val="20"/>
          <w:lang w:val="en-US"/>
        </w:rPr>
        <w:t xml:space="preserve">and </w:t>
      </w:r>
      <w:r w:rsidR="00F45885" w:rsidRPr="00FE50A6">
        <w:rPr>
          <w:rFonts w:cs="Arial"/>
          <w:iCs/>
          <w:szCs w:val="20"/>
          <w:lang w:val="en-US"/>
        </w:rPr>
        <w:t xml:space="preserve"> the</w:t>
      </w:r>
      <w:proofErr w:type="gramEnd"/>
      <w:r w:rsidR="00F45885" w:rsidRPr="00FE50A6">
        <w:rPr>
          <w:rFonts w:cs="Arial"/>
          <w:iCs/>
          <w:szCs w:val="20"/>
          <w:lang w:val="en-US"/>
        </w:rPr>
        <w:t xml:space="preserve"> </w:t>
      </w:r>
      <w:r w:rsidR="00A67683" w:rsidRPr="00FE50A6">
        <w:rPr>
          <w:rFonts w:cs="Arial"/>
          <w:iCs/>
          <w:szCs w:val="20"/>
          <w:lang w:val="en-US"/>
        </w:rPr>
        <w:t>impunity of the facts of this case. It asked that special emphasis be placed on the following circumstances: (i) that administrative rather than criminal proce</w:t>
      </w:r>
      <w:r w:rsidR="00F45885" w:rsidRPr="00FE50A6">
        <w:rPr>
          <w:rFonts w:cs="Arial"/>
          <w:iCs/>
          <w:szCs w:val="20"/>
          <w:lang w:val="en-US"/>
        </w:rPr>
        <w:t>edings</w:t>
      </w:r>
      <w:r w:rsidR="00A67683" w:rsidRPr="00FE50A6">
        <w:rPr>
          <w:rFonts w:cs="Arial"/>
          <w:iCs/>
          <w:szCs w:val="20"/>
          <w:lang w:val="en-US"/>
        </w:rPr>
        <w:t xml:space="preserve"> were opened to investigate the disappearances; (ii) that administrative and labor proce</w:t>
      </w:r>
      <w:r w:rsidR="00F45885" w:rsidRPr="00FE50A6">
        <w:rPr>
          <w:rFonts w:cs="Arial"/>
          <w:iCs/>
          <w:szCs w:val="20"/>
          <w:lang w:val="en-US"/>
        </w:rPr>
        <w:t>eding</w:t>
      </w:r>
      <w:r w:rsidR="00A67683" w:rsidRPr="00FE50A6">
        <w:rPr>
          <w:rFonts w:cs="Arial"/>
          <w:iCs/>
          <w:szCs w:val="20"/>
          <w:lang w:val="en-US"/>
        </w:rPr>
        <w:t>s were opened to investigate slave labor, and (iii) that the only criminal investigation opened in relation to this offense had prescribed.</w:t>
      </w:r>
    </w:p>
    <w:p w14:paraId="3049F2FA" w14:textId="77777777" w:rsidR="004B0842" w:rsidRPr="00FE50A6" w:rsidRDefault="004B0842" w:rsidP="004B0842">
      <w:pPr>
        <w:pStyle w:val="Prrafodelista"/>
        <w:autoSpaceDE w:val="0"/>
        <w:autoSpaceDN w:val="0"/>
        <w:adjustRightInd w:val="0"/>
        <w:ind w:left="0"/>
        <w:rPr>
          <w:rFonts w:cs="Arial"/>
          <w:iCs/>
          <w:szCs w:val="20"/>
          <w:lang w:val="en-US"/>
        </w:rPr>
      </w:pPr>
    </w:p>
    <w:p w14:paraId="1FFB3425"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A67683" w:rsidRPr="00FE50A6">
        <w:rPr>
          <w:rFonts w:cs="Arial"/>
          <w:iCs/>
          <w:szCs w:val="20"/>
          <w:lang w:val="en-US"/>
        </w:rPr>
        <w:t xml:space="preserve">asked the Court to require </w:t>
      </w:r>
      <w:r w:rsidR="000228D0" w:rsidRPr="00FE50A6">
        <w:rPr>
          <w:rFonts w:cs="Arial"/>
          <w:iCs/>
          <w:szCs w:val="20"/>
          <w:lang w:val="en-US"/>
        </w:rPr>
        <w:t>the State</w:t>
      </w:r>
      <w:r w:rsidR="004B0842" w:rsidRPr="00FE50A6">
        <w:rPr>
          <w:rFonts w:cs="Arial"/>
          <w:iCs/>
          <w:szCs w:val="20"/>
          <w:lang w:val="en-US"/>
        </w:rPr>
        <w:t xml:space="preserve"> </w:t>
      </w:r>
      <w:r w:rsidR="00A67683" w:rsidRPr="00FE50A6">
        <w:rPr>
          <w:rFonts w:cs="Arial"/>
          <w:iCs/>
          <w:szCs w:val="20"/>
          <w:lang w:val="en-US"/>
        </w:rPr>
        <w:t xml:space="preserve">to ensure that the facts are investigated by impartial, independent and competent </w:t>
      </w:r>
      <w:r w:rsidR="00F45885" w:rsidRPr="00FE50A6">
        <w:rPr>
          <w:rFonts w:cs="Arial"/>
          <w:iCs/>
          <w:szCs w:val="20"/>
          <w:lang w:val="en-US"/>
        </w:rPr>
        <w:t>bodies</w:t>
      </w:r>
      <w:r w:rsidR="00A67683" w:rsidRPr="00FE50A6">
        <w:rPr>
          <w:rFonts w:cs="Arial"/>
          <w:iCs/>
          <w:szCs w:val="20"/>
          <w:lang w:val="en-US"/>
        </w:rPr>
        <w:t xml:space="preserve"> within a</w:t>
      </w:r>
      <w:r w:rsidR="004B0842" w:rsidRPr="00FE50A6">
        <w:rPr>
          <w:rFonts w:cs="Arial"/>
          <w:iCs/>
          <w:szCs w:val="20"/>
          <w:lang w:val="en-US"/>
        </w:rPr>
        <w:t xml:space="preserve"> </w:t>
      </w:r>
      <w:r w:rsidR="00F37838" w:rsidRPr="00FE50A6">
        <w:rPr>
          <w:rFonts w:cs="Arial"/>
          <w:iCs/>
          <w:szCs w:val="20"/>
          <w:lang w:val="en-US"/>
        </w:rPr>
        <w:t>reasonable time</w:t>
      </w:r>
      <w:r w:rsidR="004B0842" w:rsidRPr="00FE50A6">
        <w:rPr>
          <w:rFonts w:cs="Arial"/>
          <w:iCs/>
          <w:szCs w:val="20"/>
          <w:lang w:val="en-US"/>
        </w:rPr>
        <w:t xml:space="preserve">. </w:t>
      </w:r>
      <w:r w:rsidR="00A67683" w:rsidRPr="00FE50A6">
        <w:rPr>
          <w:rFonts w:cs="Arial"/>
          <w:iCs/>
          <w:szCs w:val="20"/>
          <w:lang w:val="en-US"/>
        </w:rPr>
        <w:t>They argued that</w:t>
      </w:r>
      <w:r w:rsidR="004B0842" w:rsidRPr="00FE50A6">
        <w:rPr>
          <w:rFonts w:cs="Arial"/>
          <w:iCs/>
          <w:szCs w:val="20"/>
          <w:lang w:val="en-US"/>
        </w:rPr>
        <w:t xml:space="preserve"> </w:t>
      </w:r>
      <w:r w:rsidR="000228D0" w:rsidRPr="00FE50A6">
        <w:rPr>
          <w:rFonts w:cs="Arial"/>
          <w:iCs/>
          <w:szCs w:val="20"/>
          <w:lang w:val="en-US"/>
        </w:rPr>
        <w:t>the State</w:t>
      </w:r>
      <w:r w:rsidR="004B0842" w:rsidRPr="00FE50A6">
        <w:rPr>
          <w:rFonts w:cs="Arial"/>
          <w:iCs/>
          <w:szCs w:val="20"/>
          <w:lang w:val="en-US"/>
        </w:rPr>
        <w:t xml:space="preserve"> </w:t>
      </w:r>
      <w:r w:rsidR="00A67683" w:rsidRPr="00FE50A6">
        <w:rPr>
          <w:rFonts w:cs="Arial"/>
          <w:iCs/>
          <w:szCs w:val="20"/>
          <w:lang w:val="en-US"/>
        </w:rPr>
        <w:t>was obliged to remove all the obstacles that prevented the investigation of the facts and the prosecution and eventual conviction of those responsible for the grave human rights violations in this case.</w:t>
      </w:r>
    </w:p>
    <w:p w14:paraId="030C2252" w14:textId="77777777" w:rsidR="004B0842" w:rsidRPr="00FE50A6" w:rsidRDefault="004B0842" w:rsidP="004B0842">
      <w:pPr>
        <w:pStyle w:val="Prrafodelista"/>
        <w:autoSpaceDE w:val="0"/>
        <w:autoSpaceDN w:val="0"/>
        <w:adjustRightInd w:val="0"/>
        <w:ind w:left="0"/>
        <w:rPr>
          <w:rFonts w:cs="Arial"/>
          <w:iCs/>
          <w:szCs w:val="20"/>
          <w:lang w:val="en-US"/>
        </w:rPr>
      </w:pPr>
    </w:p>
    <w:p w14:paraId="038D6415"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w:t>
      </w:r>
      <w:r w:rsidR="00A67683" w:rsidRPr="00FE50A6">
        <w:rPr>
          <w:rFonts w:cs="Arial"/>
          <w:iCs/>
          <w:szCs w:val="20"/>
          <w:lang w:val="en-US"/>
        </w:rPr>
        <w:t>made no comment on this point</w:t>
      </w:r>
      <w:r w:rsidR="004B0842" w:rsidRPr="00FE50A6">
        <w:rPr>
          <w:rFonts w:cs="Arial"/>
          <w:iCs/>
          <w:szCs w:val="20"/>
          <w:lang w:val="en-US"/>
        </w:rPr>
        <w:t>.</w:t>
      </w:r>
    </w:p>
    <w:p w14:paraId="62452743" w14:textId="77777777" w:rsidR="004B0842" w:rsidRPr="00FE50A6" w:rsidRDefault="004B0842" w:rsidP="004B0842">
      <w:pPr>
        <w:pStyle w:val="Prrafodelista"/>
        <w:autoSpaceDE w:val="0"/>
        <w:autoSpaceDN w:val="0"/>
        <w:adjustRightInd w:val="0"/>
        <w:ind w:left="0"/>
        <w:rPr>
          <w:rFonts w:cs="Arial"/>
          <w:iCs/>
          <w:szCs w:val="20"/>
          <w:lang w:val="en-US"/>
        </w:rPr>
      </w:pPr>
    </w:p>
    <w:p w14:paraId="12001791"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0088467F" w:rsidRPr="00FE50A6">
        <w:rPr>
          <w:rFonts w:cs="Arial"/>
          <w:iCs/>
          <w:szCs w:val="20"/>
          <w:lang w:val="en-US"/>
        </w:rPr>
        <w:t>Court recalls</w:t>
      </w:r>
      <w:r w:rsidR="004B0842" w:rsidRPr="00FE50A6">
        <w:rPr>
          <w:rFonts w:cs="Arial"/>
          <w:iCs/>
          <w:szCs w:val="20"/>
          <w:lang w:val="en-US"/>
        </w:rPr>
        <w:t xml:space="preserve"> </w:t>
      </w:r>
      <w:r w:rsidR="00A67683" w:rsidRPr="00FE50A6">
        <w:rPr>
          <w:rFonts w:cs="Arial"/>
          <w:iCs/>
          <w:szCs w:val="20"/>
          <w:lang w:val="en-US"/>
        </w:rPr>
        <w:t>that, in Chapter</w:t>
      </w:r>
      <w:r w:rsidR="004B0842" w:rsidRPr="00FE50A6">
        <w:rPr>
          <w:rFonts w:cs="Arial"/>
          <w:iCs/>
          <w:szCs w:val="20"/>
          <w:lang w:val="en-US"/>
        </w:rPr>
        <w:t xml:space="preserve"> </w:t>
      </w:r>
      <w:r w:rsidR="00DD038D" w:rsidRPr="00FE50A6">
        <w:rPr>
          <w:rFonts w:cs="Arial"/>
          <w:iCs/>
          <w:szCs w:val="20"/>
          <w:lang w:val="en-US"/>
        </w:rPr>
        <w:t>VII-1</w:t>
      </w:r>
      <w:r w:rsidR="00A67683" w:rsidRPr="00FE50A6">
        <w:rPr>
          <w:rFonts w:cs="Arial"/>
          <w:iCs/>
          <w:szCs w:val="20"/>
          <w:lang w:val="en-US"/>
        </w:rPr>
        <w:t xml:space="preserve">, it declared that the different investigations conducted by the State concerning the facts of this case </w:t>
      </w:r>
      <w:r w:rsidR="00F45885" w:rsidRPr="00FE50A6">
        <w:rPr>
          <w:rFonts w:cs="Arial"/>
          <w:iCs/>
          <w:szCs w:val="20"/>
          <w:lang w:val="en-US"/>
        </w:rPr>
        <w:t>had been</w:t>
      </w:r>
      <w:r w:rsidR="00A67683" w:rsidRPr="00FE50A6">
        <w:rPr>
          <w:rFonts w:cs="Arial"/>
          <w:iCs/>
          <w:szCs w:val="20"/>
          <w:lang w:val="en-US"/>
        </w:rPr>
        <w:t xml:space="preserve"> inadequate and violated the victims’ rights to</w:t>
      </w:r>
      <w:r w:rsidR="004B0842" w:rsidRPr="00FE50A6">
        <w:rPr>
          <w:rFonts w:cs="Arial"/>
          <w:iCs/>
          <w:szCs w:val="20"/>
          <w:lang w:val="en-US"/>
        </w:rPr>
        <w:t xml:space="preserve"> </w:t>
      </w:r>
      <w:r w:rsidR="00D11A9F" w:rsidRPr="00FE50A6">
        <w:rPr>
          <w:rFonts w:cs="Arial"/>
          <w:iCs/>
          <w:szCs w:val="20"/>
          <w:lang w:val="en-US"/>
        </w:rPr>
        <w:t>judicial guarantees</w:t>
      </w:r>
      <w:r w:rsidR="00030C17" w:rsidRPr="00FE50A6">
        <w:rPr>
          <w:rFonts w:cs="Arial"/>
          <w:iCs/>
          <w:szCs w:val="20"/>
          <w:lang w:val="en-US"/>
        </w:rPr>
        <w:t xml:space="preserve"> </w:t>
      </w:r>
      <w:r w:rsidR="00A67683" w:rsidRPr="00FE50A6">
        <w:rPr>
          <w:rFonts w:cs="Arial"/>
          <w:iCs/>
          <w:szCs w:val="20"/>
          <w:lang w:val="en-US"/>
        </w:rPr>
        <w:t xml:space="preserve">and judicial </w:t>
      </w:r>
      <w:r w:rsidR="00D11A9F" w:rsidRPr="00FE50A6">
        <w:rPr>
          <w:rFonts w:cs="Arial"/>
          <w:iCs/>
          <w:szCs w:val="20"/>
          <w:lang w:val="en-US"/>
        </w:rPr>
        <w:t>protection</w:t>
      </w:r>
      <w:r w:rsidR="004B0842" w:rsidRPr="00FE50A6">
        <w:rPr>
          <w:rFonts w:cs="Arial"/>
          <w:iCs/>
          <w:szCs w:val="20"/>
          <w:lang w:val="en-US"/>
        </w:rPr>
        <w:t xml:space="preserve">. </w:t>
      </w:r>
    </w:p>
    <w:p w14:paraId="2894BEE3" w14:textId="77777777" w:rsidR="004B0842" w:rsidRPr="00FE50A6" w:rsidRDefault="004B0842" w:rsidP="004B0842">
      <w:pPr>
        <w:pStyle w:val="Prrafodelista"/>
        <w:autoSpaceDE w:val="0"/>
        <w:autoSpaceDN w:val="0"/>
        <w:adjustRightInd w:val="0"/>
        <w:ind w:left="0"/>
        <w:rPr>
          <w:rFonts w:cs="Arial"/>
          <w:iCs/>
          <w:szCs w:val="20"/>
          <w:lang w:val="en-US"/>
        </w:rPr>
      </w:pPr>
    </w:p>
    <w:p w14:paraId="6D6BE08E" w14:textId="77777777" w:rsidR="004B0842" w:rsidRPr="00FE50A6" w:rsidRDefault="00A67683" w:rsidP="00CD1BED">
      <w:pPr>
        <w:pStyle w:val="Prrafodelista"/>
        <w:numPr>
          <w:ilvl w:val="0"/>
          <w:numId w:val="1"/>
        </w:numPr>
        <w:autoSpaceDE w:val="0"/>
        <w:autoSpaceDN w:val="0"/>
        <w:adjustRightInd w:val="0"/>
        <w:rPr>
          <w:rFonts w:cs="Arial"/>
          <w:iCs/>
          <w:szCs w:val="20"/>
          <w:lang w:val="en-US"/>
        </w:rPr>
      </w:pPr>
      <w:r w:rsidRPr="00FE50A6">
        <w:rPr>
          <w:rFonts w:cs="Arial"/>
          <w:iCs/>
          <w:szCs w:val="20"/>
          <w:lang w:val="en-US"/>
        </w:rPr>
        <w:t>Consequently, the Court, as i</w:t>
      </w:r>
      <w:r w:rsidR="00F45885" w:rsidRPr="00FE50A6">
        <w:rPr>
          <w:rFonts w:cs="Arial"/>
          <w:iCs/>
          <w:szCs w:val="20"/>
          <w:lang w:val="en-US"/>
        </w:rPr>
        <w:t xml:space="preserve">n </w:t>
      </w:r>
      <w:r w:rsidRPr="00FE50A6">
        <w:rPr>
          <w:rFonts w:cs="Arial"/>
          <w:iCs/>
          <w:szCs w:val="20"/>
          <w:lang w:val="en-US"/>
        </w:rPr>
        <w:t xml:space="preserve">cases it has </w:t>
      </w:r>
      <w:r w:rsidR="00F45885" w:rsidRPr="00FE50A6">
        <w:rPr>
          <w:rFonts w:cs="Arial"/>
          <w:iCs/>
          <w:szCs w:val="20"/>
          <w:lang w:val="en-US"/>
        </w:rPr>
        <w:t>heard</w:t>
      </w:r>
      <w:r w:rsidRPr="00FE50A6">
        <w:rPr>
          <w:rFonts w:cs="Arial"/>
          <w:iCs/>
          <w:szCs w:val="20"/>
          <w:lang w:val="en-US"/>
        </w:rPr>
        <w:t xml:space="preserve"> previously</w:t>
      </w:r>
      <w:r w:rsidR="004B0842" w:rsidRPr="00FE50A6">
        <w:rPr>
          <w:rFonts w:cs="Arial"/>
          <w:iCs/>
          <w:szCs w:val="20"/>
          <w:vertAlign w:val="superscript"/>
          <w:lang w:val="en-US"/>
        </w:rPr>
        <w:footnoteReference w:id="525"/>
      </w:r>
      <w:r w:rsidR="00030C17" w:rsidRPr="00FE50A6">
        <w:rPr>
          <w:rFonts w:cs="Arial"/>
          <w:iCs/>
          <w:szCs w:val="20"/>
          <w:lang w:val="en-US"/>
        </w:rPr>
        <w:t xml:space="preserve"> and </w:t>
      </w:r>
      <w:r w:rsidRPr="00FE50A6">
        <w:rPr>
          <w:rFonts w:cs="Arial"/>
          <w:iCs/>
          <w:szCs w:val="20"/>
          <w:lang w:val="en-US"/>
        </w:rPr>
        <w:t xml:space="preserve">based on </w:t>
      </w:r>
      <w:r w:rsidR="00CD1BED" w:rsidRPr="00FE50A6">
        <w:rPr>
          <w:rFonts w:cs="Arial"/>
          <w:iCs/>
          <w:szCs w:val="20"/>
          <w:lang w:val="en-US"/>
        </w:rPr>
        <w:t>the nature of slavery as a crime under international law</w:t>
      </w:r>
      <w:r w:rsidR="00F45885" w:rsidRPr="00FE50A6">
        <w:rPr>
          <w:rFonts w:cs="Arial"/>
          <w:iCs/>
          <w:szCs w:val="20"/>
          <w:lang w:val="en-US"/>
        </w:rPr>
        <w:t>,</w:t>
      </w:r>
      <w:r w:rsidR="00CD1BED" w:rsidRPr="00FE50A6">
        <w:rPr>
          <w:rFonts w:cs="Arial"/>
          <w:iCs/>
          <w:szCs w:val="20"/>
          <w:lang w:val="en-US"/>
        </w:rPr>
        <w:t xml:space="preserve"> and that the statute of limitations cannot be applied to the subjection of a person to a condition similar to slavery, establishes that the State should re-open, with due diligence, the required investigations and/or criminal proceedings for the facts verified in March 2000 in this case in order</w:t>
      </w:r>
      <w:r w:rsidR="00F45885" w:rsidRPr="00FE50A6">
        <w:rPr>
          <w:rFonts w:cs="Arial"/>
          <w:iCs/>
          <w:szCs w:val="20"/>
          <w:lang w:val="en-US"/>
        </w:rPr>
        <w:t>,</w:t>
      </w:r>
      <w:r w:rsidR="00CD1BED" w:rsidRPr="00FE50A6">
        <w:rPr>
          <w:rFonts w:cs="Arial"/>
          <w:iCs/>
          <w:szCs w:val="20"/>
          <w:lang w:val="en-US"/>
        </w:rPr>
        <w:t xml:space="preserve"> within a reasonable time, to identify, prosecute and punish, as appropriate, those responsible. In particular, the State must: (a) ensure that the victims and their next of kin have full access and capacity to act at all stages of these investigations, pursuant to domestic law and the provisions </w:t>
      </w:r>
      <w:r w:rsidR="000228D0" w:rsidRPr="00FE50A6">
        <w:rPr>
          <w:rFonts w:cs="Arial"/>
          <w:iCs/>
          <w:szCs w:val="20"/>
          <w:lang w:val="en-US"/>
        </w:rPr>
        <w:t>of the American Convention</w:t>
      </w:r>
      <w:r w:rsidR="004B0842" w:rsidRPr="00FE50A6">
        <w:rPr>
          <w:rFonts w:cs="Arial"/>
          <w:iCs/>
          <w:szCs w:val="20"/>
          <w:lang w:val="en-US"/>
        </w:rPr>
        <w:t xml:space="preserve">; </w:t>
      </w:r>
      <w:r w:rsidR="00CD1BED" w:rsidRPr="00FE50A6">
        <w:rPr>
          <w:rFonts w:cs="Arial"/>
          <w:iCs/>
          <w:szCs w:val="20"/>
          <w:lang w:val="en-US"/>
        </w:rPr>
        <w:t>(</w:t>
      </w:r>
      <w:r w:rsidR="004B0842" w:rsidRPr="00FE50A6">
        <w:rPr>
          <w:rFonts w:cs="Arial"/>
          <w:iCs/>
          <w:szCs w:val="20"/>
          <w:lang w:val="en-US"/>
        </w:rPr>
        <w:t xml:space="preserve">b) </w:t>
      </w:r>
      <w:r w:rsidR="00CD1BED" w:rsidRPr="00FE50A6">
        <w:rPr>
          <w:rFonts w:cs="Arial"/>
          <w:iCs/>
          <w:szCs w:val="20"/>
          <w:lang w:val="en-US"/>
        </w:rPr>
        <w:t>given that</w:t>
      </w:r>
      <w:r w:rsidR="00DB654E" w:rsidRPr="00FE50A6">
        <w:rPr>
          <w:rFonts w:cs="Arial"/>
          <w:iCs/>
          <w:szCs w:val="20"/>
          <w:lang w:val="en-US"/>
        </w:rPr>
        <w:t xml:space="preserve"> </w:t>
      </w:r>
      <w:r w:rsidR="00D11A9F" w:rsidRPr="00FE50A6">
        <w:rPr>
          <w:rFonts w:cs="Arial"/>
          <w:iCs/>
          <w:szCs w:val="20"/>
          <w:lang w:val="en-US"/>
        </w:rPr>
        <w:t>slavery</w:t>
      </w:r>
      <w:r w:rsidR="00DB654E" w:rsidRPr="00FE50A6">
        <w:rPr>
          <w:rFonts w:cs="Arial"/>
          <w:iCs/>
          <w:szCs w:val="20"/>
          <w:lang w:val="en-US"/>
        </w:rPr>
        <w:t xml:space="preserve"> </w:t>
      </w:r>
      <w:r w:rsidR="00CD1BED" w:rsidRPr="00FE50A6">
        <w:rPr>
          <w:rFonts w:cs="Arial"/>
          <w:iCs/>
          <w:szCs w:val="20"/>
          <w:lang w:val="en-US"/>
        </w:rPr>
        <w:t xml:space="preserve">is a crime under international law and taking into consideration the characteristics of the facts and the context in which they occurred, the State </w:t>
      </w:r>
      <w:r w:rsidR="00F45885" w:rsidRPr="00FE50A6">
        <w:rPr>
          <w:rFonts w:cs="Arial"/>
          <w:iCs/>
          <w:szCs w:val="20"/>
          <w:lang w:val="en-US"/>
        </w:rPr>
        <w:t>must</w:t>
      </w:r>
      <w:r w:rsidR="00CD1BED" w:rsidRPr="00FE50A6">
        <w:rPr>
          <w:rFonts w:cs="Arial"/>
          <w:iCs/>
          <w:szCs w:val="20"/>
          <w:lang w:val="en-US"/>
        </w:rPr>
        <w:t xml:space="preserve"> abstain from using mechanisms</w:t>
      </w:r>
      <w:r w:rsidR="00F45885" w:rsidRPr="00FE50A6">
        <w:rPr>
          <w:rFonts w:cs="Arial"/>
          <w:iCs/>
          <w:szCs w:val="20"/>
          <w:lang w:val="en-US"/>
        </w:rPr>
        <w:t>,</w:t>
      </w:r>
      <w:r w:rsidR="00CD1BED" w:rsidRPr="00FE50A6">
        <w:rPr>
          <w:rFonts w:cs="Arial"/>
          <w:iCs/>
          <w:szCs w:val="20"/>
          <w:lang w:val="en-US"/>
        </w:rPr>
        <w:t xml:space="preserve"> such as amnesty </w:t>
      </w:r>
      <w:r w:rsidR="00F45885" w:rsidRPr="00FE50A6">
        <w:rPr>
          <w:rFonts w:cs="Arial"/>
          <w:iCs/>
          <w:szCs w:val="20"/>
          <w:lang w:val="en-US"/>
        </w:rPr>
        <w:t>or</w:t>
      </w:r>
      <w:r w:rsidR="00CD1BED" w:rsidRPr="00FE50A6">
        <w:rPr>
          <w:rFonts w:cs="Arial"/>
          <w:iCs/>
          <w:szCs w:val="20"/>
          <w:lang w:val="en-US"/>
        </w:rPr>
        <w:t xml:space="preserve"> any other procedural obstacle</w:t>
      </w:r>
      <w:r w:rsidR="00F45885" w:rsidRPr="00FE50A6">
        <w:rPr>
          <w:rFonts w:cs="Arial"/>
          <w:iCs/>
          <w:szCs w:val="20"/>
          <w:lang w:val="en-US"/>
        </w:rPr>
        <w:t>,</w:t>
      </w:r>
      <w:r w:rsidR="00CD1BED" w:rsidRPr="00FE50A6">
        <w:rPr>
          <w:rFonts w:cs="Arial"/>
          <w:iCs/>
          <w:szCs w:val="20"/>
          <w:lang w:val="en-US"/>
        </w:rPr>
        <w:t xml:space="preserve"> to exempt itself from this obligation; (c) guarantee that the investigations and proceedings </w:t>
      </w:r>
      <w:r w:rsidR="00F45885" w:rsidRPr="00FE50A6">
        <w:rPr>
          <w:rFonts w:cs="Arial"/>
          <w:iCs/>
          <w:szCs w:val="20"/>
          <w:lang w:val="en-US"/>
        </w:rPr>
        <w:t>with regard to</w:t>
      </w:r>
      <w:r w:rsidR="00CD1BED" w:rsidRPr="00FE50A6">
        <w:rPr>
          <w:rFonts w:cs="Arial"/>
          <w:iCs/>
          <w:szCs w:val="20"/>
          <w:lang w:val="en-US"/>
        </w:rPr>
        <w:t xml:space="preserve"> the facts of this case are conducted, at all times, by the federal jurisdiction, and (d) publish the results of the proceedings </w:t>
      </w:r>
      <w:r w:rsidR="00F45885" w:rsidRPr="00FE50A6">
        <w:rPr>
          <w:rFonts w:cs="Arial"/>
          <w:iCs/>
          <w:szCs w:val="20"/>
          <w:lang w:val="en-US"/>
        </w:rPr>
        <w:t>s</w:t>
      </w:r>
      <w:r w:rsidR="00CD1BED" w:rsidRPr="00FE50A6">
        <w:rPr>
          <w:rFonts w:cs="Arial"/>
          <w:iCs/>
          <w:szCs w:val="20"/>
          <w:lang w:val="en-US"/>
        </w:rPr>
        <w:t>o that Brazilian society may know the judicial determination of the facts that are the purpose of this case.</w:t>
      </w:r>
      <w:r w:rsidR="004B0842" w:rsidRPr="00FE50A6">
        <w:rPr>
          <w:rFonts w:cs="Arial"/>
          <w:iCs/>
          <w:szCs w:val="20"/>
          <w:vertAlign w:val="superscript"/>
          <w:lang w:val="en-US"/>
        </w:rPr>
        <w:footnoteReference w:id="526"/>
      </w:r>
      <w:r w:rsidR="00CD1BED" w:rsidRPr="00FE50A6">
        <w:rPr>
          <w:rFonts w:cs="Arial"/>
          <w:iCs/>
          <w:szCs w:val="20"/>
          <w:lang w:val="en-US"/>
        </w:rPr>
        <w:t xml:space="preserve"> In particular, the State should investigate and, if appropriate, re-establish (or reconstruct) </w:t>
      </w:r>
      <w:r w:rsidR="00F37838" w:rsidRPr="00FE50A6">
        <w:rPr>
          <w:rFonts w:cs="Arial"/>
          <w:iCs/>
          <w:szCs w:val="20"/>
          <w:lang w:val="en-US"/>
        </w:rPr>
        <w:t>criminal proceeding</w:t>
      </w:r>
      <w:r w:rsidR="00694537" w:rsidRPr="00FE50A6">
        <w:rPr>
          <w:rFonts w:cs="Arial"/>
          <w:iCs/>
          <w:szCs w:val="20"/>
          <w:lang w:val="en-US"/>
        </w:rPr>
        <w:t xml:space="preserve"> </w:t>
      </w:r>
      <w:r w:rsidR="00694537" w:rsidRPr="00FE50A6">
        <w:rPr>
          <w:rFonts w:cs="Arial"/>
          <w:bCs/>
          <w:iCs/>
          <w:szCs w:val="20"/>
          <w:lang w:val="en-US"/>
        </w:rPr>
        <w:t xml:space="preserve">2001.39.01.000270-0, </w:t>
      </w:r>
      <w:r w:rsidR="00CD1BED" w:rsidRPr="00FE50A6">
        <w:rPr>
          <w:rFonts w:cs="Arial"/>
          <w:bCs/>
          <w:iCs/>
          <w:szCs w:val="20"/>
          <w:lang w:val="en-US"/>
        </w:rPr>
        <w:t>initiated in</w:t>
      </w:r>
      <w:r w:rsidR="00694537" w:rsidRPr="00FE50A6">
        <w:rPr>
          <w:rFonts w:cs="Arial"/>
          <w:bCs/>
          <w:iCs/>
          <w:szCs w:val="20"/>
          <w:lang w:val="en-US"/>
        </w:rPr>
        <w:t xml:space="preserve"> 2001, </w:t>
      </w:r>
      <w:r w:rsidR="00CD1BED" w:rsidRPr="00FE50A6">
        <w:rPr>
          <w:rFonts w:cs="Arial"/>
          <w:bCs/>
          <w:iCs/>
          <w:szCs w:val="20"/>
          <w:lang w:val="en-US"/>
        </w:rPr>
        <w:t>before the Second</w:t>
      </w:r>
      <w:r w:rsidR="00694537" w:rsidRPr="00FE50A6">
        <w:rPr>
          <w:rFonts w:cs="Arial"/>
          <w:bCs/>
          <w:iCs/>
          <w:szCs w:val="20"/>
          <w:lang w:val="en-US"/>
        </w:rPr>
        <w:t xml:space="preserve"> </w:t>
      </w:r>
      <w:r w:rsidR="009B2C1E" w:rsidRPr="00FE50A6">
        <w:rPr>
          <w:rFonts w:cs="Arial"/>
          <w:bCs/>
          <w:iCs/>
          <w:szCs w:val="20"/>
          <w:lang w:val="en-US"/>
        </w:rPr>
        <w:t xml:space="preserve">Jurisdiction </w:t>
      </w:r>
      <w:r w:rsidR="00CD1BED" w:rsidRPr="00FE50A6">
        <w:rPr>
          <w:rFonts w:cs="Arial"/>
          <w:bCs/>
          <w:iCs/>
          <w:szCs w:val="20"/>
          <w:lang w:val="en-US"/>
        </w:rPr>
        <w:t>of the Marabá Federal Justice Department, state of</w:t>
      </w:r>
      <w:r w:rsidR="00694537" w:rsidRPr="00FE50A6">
        <w:rPr>
          <w:rFonts w:cs="Arial"/>
          <w:bCs/>
          <w:iCs/>
          <w:szCs w:val="20"/>
          <w:lang w:val="en-US"/>
        </w:rPr>
        <w:t xml:space="preserve"> Pará.</w:t>
      </w:r>
    </w:p>
    <w:p w14:paraId="5E929C79" w14:textId="77777777" w:rsidR="004B0842" w:rsidRPr="00FE50A6" w:rsidRDefault="004B0842" w:rsidP="004B0842">
      <w:pPr>
        <w:pStyle w:val="Prrafodelista"/>
        <w:autoSpaceDE w:val="0"/>
        <w:autoSpaceDN w:val="0"/>
        <w:adjustRightInd w:val="0"/>
        <w:ind w:left="0"/>
        <w:rPr>
          <w:rFonts w:cs="Arial"/>
          <w:iCs/>
          <w:szCs w:val="20"/>
          <w:lang w:val="en-US"/>
        </w:rPr>
      </w:pPr>
    </w:p>
    <w:p w14:paraId="3989B595" w14:textId="77777777" w:rsidR="004B0842" w:rsidRPr="00FE50A6" w:rsidRDefault="004B0842"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A</w:t>
      </w:r>
      <w:r w:rsidR="00CD1BED" w:rsidRPr="00FE50A6">
        <w:rPr>
          <w:rFonts w:cs="Arial"/>
          <w:iCs/>
          <w:szCs w:val="20"/>
          <w:lang w:val="en-US"/>
        </w:rPr>
        <w:t>lso, as it has on other occasions,</w:t>
      </w:r>
      <w:r w:rsidRPr="00FE50A6">
        <w:rPr>
          <w:rFonts w:cs="Arial"/>
          <w:iCs/>
          <w:szCs w:val="20"/>
          <w:vertAlign w:val="superscript"/>
          <w:lang w:val="en-US"/>
        </w:rPr>
        <w:footnoteReference w:id="527"/>
      </w:r>
      <w:r w:rsidRPr="00FE50A6">
        <w:rPr>
          <w:rFonts w:cs="Arial"/>
          <w:iCs/>
          <w:szCs w:val="20"/>
          <w:lang w:val="en-US"/>
        </w:rPr>
        <w:t xml:space="preserve"> </w:t>
      </w:r>
      <w:r w:rsidR="000228D0" w:rsidRPr="00FE50A6">
        <w:rPr>
          <w:rFonts w:cs="Arial"/>
          <w:iCs/>
          <w:szCs w:val="20"/>
          <w:lang w:val="en-US"/>
        </w:rPr>
        <w:t>the Court</w:t>
      </w:r>
      <w:r w:rsidRPr="00FE50A6">
        <w:rPr>
          <w:rFonts w:cs="Arial"/>
          <w:iCs/>
          <w:szCs w:val="20"/>
          <w:lang w:val="en-US"/>
        </w:rPr>
        <w:t xml:space="preserve"> </w:t>
      </w:r>
      <w:r w:rsidR="00CD1BED" w:rsidRPr="00FE50A6">
        <w:rPr>
          <w:rFonts w:cs="Arial"/>
          <w:iCs/>
          <w:szCs w:val="20"/>
          <w:lang w:val="en-US"/>
        </w:rPr>
        <w:t xml:space="preserve">establishes that, pursuant to the pertinent disciplinary rules, </w:t>
      </w:r>
      <w:r w:rsidR="000228D0" w:rsidRPr="00FE50A6">
        <w:rPr>
          <w:rFonts w:cs="Arial"/>
          <w:iCs/>
          <w:szCs w:val="20"/>
          <w:lang w:val="en-US"/>
        </w:rPr>
        <w:t>the State</w:t>
      </w:r>
      <w:r w:rsidRPr="00FE50A6">
        <w:rPr>
          <w:rFonts w:cs="Arial"/>
          <w:iCs/>
          <w:szCs w:val="20"/>
          <w:lang w:val="en-US"/>
        </w:rPr>
        <w:t xml:space="preserve"> </w:t>
      </w:r>
      <w:r w:rsidR="00CD1BED" w:rsidRPr="00FE50A6">
        <w:rPr>
          <w:rFonts w:cs="Arial"/>
          <w:iCs/>
          <w:szCs w:val="20"/>
          <w:lang w:val="en-US"/>
        </w:rPr>
        <w:t>should examine the possible investigative and procedural irregularities related to this case and, if appropriate</w:t>
      </w:r>
      <w:r w:rsidR="00F45885" w:rsidRPr="00FE50A6">
        <w:rPr>
          <w:rFonts w:cs="Arial"/>
          <w:iCs/>
          <w:szCs w:val="20"/>
          <w:lang w:val="en-US"/>
        </w:rPr>
        <w:t>,</w:t>
      </w:r>
      <w:r w:rsidR="00CD1BED" w:rsidRPr="00FE50A6">
        <w:rPr>
          <w:rFonts w:cs="Arial"/>
          <w:iCs/>
          <w:szCs w:val="20"/>
          <w:lang w:val="en-US"/>
        </w:rPr>
        <w:t xml:space="preserve"> </w:t>
      </w:r>
      <w:r w:rsidR="00F45885" w:rsidRPr="00FE50A6">
        <w:rPr>
          <w:rFonts w:cs="Arial"/>
          <w:iCs/>
          <w:szCs w:val="20"/>
          <w:lang w:val="en-US"/>
        </w:rPr>
        <w:t>sanction</w:t>
      </w:r>
      <w:r w:rsidR="004E3501" w:rsidRPr="00FE50A6">
        <w:rPr>
          <w:rFonts w:cs="Arial"/>
          <w:iCs/>
          <w:szCs w:val="20"/>
          <w:lang w:val="en-US"/>
        </w:rPr>
        <w:t xml:space="preserve"> the conduct of the public servants concerned, without the need for the victims in this case to file the pertinent complaints</w:t>
      </w:r>
      <w:r w:rsidRPr="00FE50A6">
        <w:rPr>
          <w:rFonts w:cs="Arial"/>
          <w:iCs/>
          <w:szCs w:val="20"/>
          <w:lang w:val="en-US"/>
        </w:rPr>
        <w:t>.</w:t>
      </w:r>
    </w:p>
    <w:p w14:paraId="7307F6FC" w14:textId="77777777" w:rsidR="004B0842" w:rsidRPr="00FE50A6" w:rsidRDefault="004B0842" w:rsidP="004B0842">
      <w:pPr>
        <w:pStyle w:val="Prrafodelista"/>
        <w:autoSpaceDE w:val="0"/>
        <w:autoSpaceDN w:val="0"/>
        <w:adjustRightInd w:val="0"/>
        <w:rPr>
          <w:rFonts w:cs="Arial"/>
          <w:iCs/>
          <w:szCs w:val="20"/>
          <w:lang w:val="en-US"/>
        </w:rPr>
      </w:pPr>
    </w:p>
    <w:p w14:paraId="139B03EE" w14:textId="77777777" w:rsidR="004B0842" w:rsidRPr="00FE50A6" w:rsidRDefault="007A61B7" w:rsidP="008B0BCC">
      <w:pPr>
        <w:pStyle w:val="Ttulo2"/>
        <w:numPr>
          <w:ilvl w:val="0"/>
          <w:numId w:val="21"/>
        </w:numPr>
      </w:pPr>
      <w:r w:rsidRPr="00FE50A6">
        <w:t>Measures of satisfaction and guarantees of non-repetition</w:t>
      </w:r>
    </w:p>
    <w:p w14:paraId="3CF287F8" w14:textId="77777777" w:rsidR="004B0842" w:rsidRPr="00FE50A6" w:rsidRDefault="004B0842" w:rsidP="004B0842">
      <w:pPr>
        <w:pStyle w:val="Prrafodelista"/>
        <w:autoSpaceDE w:val="0"/>
        <w:autoSpaceDN w:val="0"/>
        <w:adjustRightInd w:val="0"/>
        <w:rPr>
          <w:rFonts w:cs="Arial"/>
          <w:iCs/>
          <w:szCs w:val="20"/>
          <w:lang w:val="en-US"/>
        </w:rPr>
      </w:pPr>
    </w:p>
    <w:p w14:paraId="3F570C03" w14:textId="77777777" w:rsidR="004B0842" w:rsidRPr="00FE50A6" w:rsidRDefault="002071B1"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w:t>
      </w:r>
      <w:r w:rsidR="004E3501" w:rsidRPr="00FE50A6">
        <w:rPr>
          <w:rFonts w:cs="Arial"/>
          <w:iCs/>
          <w:szCs w:val="20"/>
          <w:lang w:val="en-US"/>
        </w:rPr>
        <w:t>will determine measures that seek to repair non-pecuniary damage, as well as measures of a public scope or repercussion.</w:t>
      </w:r>
      <w:r w:rsidR="004B0842" w:rsidRPr="00FE50A6">
        <w:rPr>
          <w:rFonts w:cs="Arial"/>
          <w:iCs/>
          <w:szCs w:val="20"/>
          <w:vertAlign w:val="superscript"/>
          <w:lang w:val="en-US"/>
        </w:rPr>
        <w:footnoteReference w:id="528"/>
      </w:r>
      <w:r w:rsidR="004E3501" w:rsidRPr="00FE50A6">
        <w:rPr>
          <w:rFonts w:cs="Arial"/>
          <w:iCs/>
          <w:szCs w:val="20"/>
          <w:lang w:val="en-US"/>
        </w:rPr>
        <w:t xml:space="preserve"> International case law and, in particular, that of this Court, has repeatedly established that the judgment constitutes</w:t>
      </w:r>
      <w:r w:rsidR="004B0842" w:rsidRPr="00FE50A6">
        <w:rPr>
          <w:rFonts w:cs="Arial"/>
          <w:iCs/>
          <w:szCs w:val="20"/>
          <w:lang w:val="en-US"/>
        </w:rPr>
        <w:t xml:space="preserve"> </w:t>
      </w:r>
      <w:r w:rsidR="004B0842" w:rsidRPr="00FE50A6">
        <w:rPr>
          <w:rFonts w:cs="Arial"/>
          <w:i/>
          <w:iCs/>
          <w:szCs w:val="20"/>
          <w:lang w:val="en-US"/>
        </w:rPr>
        <w:t>per se</w:t>
      </w:r>
      <w:r w:rsidR="004B0842" w:rsidRPr="00FE50A6">
        <w:rPr>
          <w:rFonts w:cs="Arial"/>
          <w:iCs/>
          <w:szCs w:val="20"/>
          <w:lang w:val="en-US"/>
        </w:rPr>
        <w:t xml:space="preserve"> a form</w:t>
      </w:r>
      <w:r w:rsidR="004E3501" w:rsidRPr="00FE50A6">
        <w:rPr>
          <w:rFonts w:cs="Arial"/>
          <w:iCs/>
          <w:szCs w:val="20"/>
          <w:lang w:val="en-US"/>
        </w:rPr>
        <w:t xml:space="preserve"> of reparation.</w:t>
      </w:r>
      <w:r w:rsidR="004B0842" w:rsidRPr="00FE50A6">
        <w:rPr>
          <w:rFonts w:cs="Arial"/>
          <w:iCs/>
          <w:szCs w:val="20"/>
          <w:vertAlign w:val="superscript"/>
          <w:lang w:val="en-US"/>
        </w:rPr>
        <w:footnoteReference w:id="529"/>
      </w:r>
    </w:p>
    <w:p w14:paraId="09749D8B" w14:textId="77777777" w:rsidR="004B0842" w:rsidRPr="00FE50A6" w:rsidRDefault="004B0842" w:rsidP="004B0842">
      <w:pPr>
        <w:pStyle w:val="Prrafodelista"/>
        <w:autoSpaceDE w:val="0"/>
        <w:autoSpaceDN w:val="0"/>
        <w:adjustRightInd w:val="0"/>
        <w:ind w:left="0"/>
        <w:rPr>
          <w:rFonts w:cs="Arial"/>
          <w:iCs/>
          <w:szCs w:val="20"/>
          <w:lang w:val="en-US"/>
        </w:rPr>
      </w:pPr>
    </w:p>
    <w:p w14:paraId="59CC97CA" w14:textId="77777777" w:rsidR="004B0842" w:rsidRPr="00FE50A6" w:rsidRDefault="004B0842" w:rsidP="00863BF9">
      <w:pPr>
        <w:pStyle w:val="Ttulo3"/>
        <w:rPr>
          <w:lang w:val="en-US"/>
        </w:rPr>
      </w:pPr>
      <w:bookmarkStart w:id="367" w:name="_Toc460433063"/>
      <w:bookmarkStart w:id="368" w:name="_Toc460441994"/>
      <w:bookmarkStart w:id="369" w:name="_Toc462751136"/>
      <w:bookmarkStart w:id="370" w:name="_Toc464813988"/>
      <w:r w:rsidRPr="00FE50A6">
        <w:rPr>
          <w:lang w:val="en-US"/>
        </w:rPr>
        <w:t>C.1.    Me</w:t>
      </w:r>
      <w:r w:rsidR="004E3501" w:rsidRPr="00FE50A6">
        <w:rPr>
          <w:lang w:val="en-US"/>
        </w:rPr>
        <w:t>asures of satisfaction: publication of the judgment</w:t>
      </w:r>
      <w:bookmarkEnd w:id="367"/>
      <w:bookmarkEnd w:id="368"/>
      <w:bookmarkEnd w:id="369"/>
      <w:bookmarkEnd w:id="370"/>
    </w:p>
    <w:p w14:paraId="18E8065D" w14:textId="77777777" w:rsidR="004B0842" w:rsidRPr="00FE50A6" w:rsidRDefault="004B0842" w:rsidP="004B0842">
      <w:pPr>
        <w:pStyle w:val="Prrafodelista"/>
        <w:autoSpaceDE w:val="0"/>
        <w:autoSpaceDN w:val="0"/>
        <w:adjustRightInd w:val="0"/>
        <w:rPr>
          <w:rFonts w:cs="Arial"/>
          <w:iCs/>
          <w:szCs w:val="20"/>
          <w:lang w:val="en-US"/>
        </w:rPr>
      </w:pPr>
    </w:p>
    <w:p w14:paraId="1848D96E"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4E3501" w:rsidRPr="00FE50A6">
        <w:rPr>
          <w:rFonts w:cs="Arial"/>
          <w:iCs/>
          <w:szCs w:val="20"/>
          <w:lang w:val="en-US"/>
        </w:rPr>
        <w:t>asked that</w:t>
      </w:r>
      <w:r w:rsidR="004B0842" w:rsidRPr="00FE50A6">
        <w:rPr>
          <w:rFonts w:cs="Arial"/>
          <w:iCs/>
          <w:szCs w:val="20"/>
          <w:lang w:val="en-US"/>
        </w:rPr>
        <w:t xml:space="preserve"> </w:t>
      </w:r>
      <w:r w:rsidR="000228D0" w:rsidRPr="00FE50A6">
        <w:rPr>
          <w:rFonts w:cs="Arial"/>
          <w:iCs/>
          <w:szCs w:val="20"/>
          <w:lang w:val="en-US"/>
        </w:rPr>
        <w:t>the State</w:t>
      </w:r>
      <w:r w:rsidR="004B0842" w:rsidRPr="00FE50A6">
        <w:rPr>
          <w:rFonts w:cs="Arial"/>
          <w:iCs/>
          <w:szCs w:val="20"/>
          <w:lang w:val="en-US"/>
        </w:rPr>
        <w:t xml:space="preserve"> </w:t>
      </w:r>
      <w:r w:rsidR="004E3501" w:rsidRPr="00FE50A6">
        <w:rPr>
          <w:rFonts w:cs="Arial"/>
          <w:iCs/>
          <w:szCs w:val="20"/>
          <w:lang w:val="en-US"/>
        </w:rPr>
        <w:t xml:space="preserve">publish the sections of the judgment that refer to the proven facts, the analysis of </w:t>
      </w:r>
      <w:r w:rsidR="00351E20" w:rsidRPr="00FE50A6">
        <w:rPr>
          <w:rFonts w:cs="Arial"/>
          <w:iCs/>
          <w:szCs w:val="20"/>
          <w:lang w:val="en-US"/>
        </w:rPr>
        <w:t>the violations</w:t>
      </w:r>
      <w:r w:rsidR="004E3501" w:rsidRPr="00FE50A6">
        <w:rPr>
          <w:rFonts w:cs="Arial"/>
          <w:iCs/>
          <w:szCs w:val="20"/>
          <w:lang w:val="en-US"/>
        </w:rPr>
        <w:t xml:space="preserve"> of</w:t>
      </w:r>
      <w:r w:rsidR="004B0842" w:rsidRPr="00FE50A6">
        <w:rPr>
          <w:rFonts w:cs="Arial"/>
          <w:iCs/>
          <w:szCs w:val="20"/>
          <w:lang w:val="en-US"/>
        </w:rPr>
        <w:t xml:space="preserve"> </w:t>
      </w:r>
      <w:r w:rsidR="000228D0" w:rsidRPr="00FE50A6">
        <w:rPr>
          <w:rFonts w:cs="Arial"/>
          <w:iCs/>
          <w:szCs w:val="20"/>
          <w:lang w:val="en-US"/>
        </w:rPr>
        <w:t>the American Convention</w:t>
      </w:r>
      <w:r w:rsidR="00F45885" w:rsidRPr="00FE50A6">
        <w:rPr>
          <w:rFonts w:cs="Arial"/>
          <w:iCs/>
          <w:szCs w:val="20"/>
          <w:lang w:val="en-US"/>
        </w:rPr>
        <w:t>,</w:t>
      </w:r>
      <w:r w:rsidR="00030C17" w:rsidRPr="00FE50A6">
        <w:rPr>
          <w:rFonts w:cs="Arial"/>
          <w:iCs/>
          <w:szCs w:val="20"/>
          <w:lang w:val="en-US"/>
        </w:rPr>
        <w:t xml:space="preserve"> and </w:t>
      </w:r>
      <w:r w:rsidR="004E3501" w:rsidRPr="00FE50A6">
        <w:rPr>
          <w:rFonts w:cs="Arial"/>
          <w:iCs/>
          <w:szCs w:val="20"/>
          <w:lang w:val="en-US"/>
        </w:rPr>
        <w:t xml:space="preserve">the operative paragraphs. To this end, they indicated that the publications should be made in national newspapers as well as in the regional newspapers of </w:t>
      </w:r>
      <w:r w:rsidR="004B0842" w:rsidRPr="00FE50A6">
        <w:rPr>
          <w:rFonts w:cs="Arial"/>
          <w:iCs/>
          <w:szCs w:val="20"/>
          <w:lang w:val="en-US"/>
        </w:rPr>
        <w:t>Maranhão, Piauí, Mato Grosso</w:t>
      </w:r>
      <w:r w:rsidR="00030C17" w:rsidRPr="00FE50A6">
        <w:rPr>
          <w:rFonts w:cs="Arial"/>
          <w:iCs/>
          <w:szCs w:val="20"/>
          <w:lang w:val="en-US"/>
        </w:rPr>
        <w:t xml:space="preserve"> and </w:t>
      </w:r>
      <w:r w:rsidR="004B0842" w:rsidRPr="00FE50A6">
        <w:rPr>
          <w:rFonts w:cs="Arial"/>
          <w:iCs/>
          <w:szCs w:val="20"/>
          <w:lang w:val="en-US"/>
        </w:rPr>
        <w:t xml:space="preserve">Tocantins, </w:t>
      </w:r>
      <w:r w:rsidR="004E3501" w:rsidRPr="00FE50A6">
        <w:rPr>
          <w:rFonts w:cs="Arial"/>
          <w:iCs/>
          <w:szCs w:val="20"/>
          <w:lang w:val="en-US"/>
        </w:rPr>
        <w:t xml:space="preserve">the states most affected by </w:t>
      </w:r>
      <w:r w:rsidR="005F1946" w:rsidRPr="00FE50A6">
        <w:rPr>
          <w:rFonts w:cs="Arial"/>
          <w:iCs/>
          <w:szCs w:val="20"/>
          <w:lang w:val="en-US"/>
        </w:rPr>
        <w:t>slave labor</w:t>
      </w:r>
      <w:r w:rsidR="004B0842" w:rsidRPr="00FE50A6">
        <w:rPr>
          <w:rFonts w:cs="Arial"/>
          <w:iCs/>
          <w:szCs w:val="20"/>
          <w:lang w:val="en-US"/>
        </w:rPr>
        <w:t>.</w:t>
      </w:r>
    </w:p>
    <w:p w14:paraId="3DCA1AEA" w14:textId="77777777" w:rsidR="004B0842" w:rsidRPr="00FE50A6" w:rsidRDefault="004B0842" w:rsidP="004B0842">
      <w:pPr>
        <w:pStyle w:val="Prrafodelista"/>
        <w:autoSpaceDE w:val="0"/>
        <w:autoSpaceDN w:val="0"/>
        <w:adjustRightInd w:val="0"/>
        <w:rPr>
          <w:rFonts w:cs="Arial"/>
          <w:iCs/>
          <w:szCs w:val="20"/>
          <w:lang w:val="en-US"/>
        </w:rPr>
      </w:pPr>
    </w:p>
    <w:p w14:paraId="0D776791"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w:t>
      </w:r>
      <w:r w:rsidR="004E3501" w:rsidRPr="00FE50A6">
        <w:rPr>
          <w:rFonts w:cs="Arial"/>
          <w:iCs/>
          <w:szCs w:val="20"/>
          <w:lang w:val="en-US"/>
        </w:rPr>
        <w:t>did not comment on this measure of reparation.</w:t>
      </w:r>
    </w:p>
    <w:p w14:paraId="38CCD003" w14:textId="77777777" w:rsidR="007E763F" w:rsidRPr="00FE50A6" w:rsidRDefault="007E763F" w:rsidP="004B0842">
      <w:pPr>
        <w:pStyle w:val="Prrafodelista"/>
        <w:autoSpaceDE w:val="0"/>
        <w:autoSpaceDN w:val="0"/>
        <w:adjustRightInd w:val="0"/>
        <w:ind w:left="0"/>
        <w:contextualSpacing w:val="0"/>
        <w:rPr>
          <w:rFonts w:cs="Arial"/>
          <w:iCs/>
          <w:szCs w:val="20"/>
          <w:lang w:val="en-US"/>
        </w:rPr>
      </w:pPr>
    </w:p>
    <w:p w14:paraId="2454CE9F"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w:t>
      </w:r>
      <w:r w:rsidR="004E3501" w:rsidRPr="00FE50A6">
        <w:rPr>
          <w:rFonts w:cs="Arial"/>
          <w:iCs/>
          <w:szCs w:val="20"/>
          <w:lang w:val="en-US"/>
        </w:rPr>
        <w:t>finds, as it has in other cases,</w:t>
      </w:r>
      <w:r w:rsidR="004B0842" w:rsidRPr="00FE50A6">
        <w:rPr>
          <w:rFonts w:cs="Arial"/>
          <w:iCs/>
          <w:szCs w:val="20"/>
          <w:vertAlign w:val="superscript"/>
          <w:lang w:val="en-US"/>
        </w:rPr>
        <w:footnoteReference w:id="530"/>
      </w:r>
      <w:r w:rsidR="004B0842" w:rsidRPr="00FE50A6">
        <w:rPr>
          <w:rFonts w:cs="Arial"/>
          <w:iCs/>
          <w:szCs w:val="20"/>
          <w:lang w:val="en-US"/>
        </w:rPr>
        <w:t xml:space="preserve"> </w:t>
      </w:r>
      <w:r w:rsidR="004E3501" w:rsidRPr="00FE50A6">
        <w:rPr>
          <w:rFonts w:cs="Arial"/>
          <w:iCs/>
          <w:szCs w:val="20"/>
          <w:lang w:val="en-US"/>
        </w:rPr>
        <w:t>that</w:t>
      </w:r>
      <w:r w:rsidR="004B0842" w:rsidRPr="00FE50A6">
        <w:rPr>
          <w:rFonts w:cs="Arial"/>
          <w:iCs/>
          <w:szCs w:val="20"/>
          <w:lang w:val="en-US"/>
        </w:rPr>
        <w:t xml:space="preserve"> </w:t>
      </w:r>
      <w:r w:rsidRPr="00FE50A6">
        <w:rPr>
          <w:rFonts w:cs="Arial"/>
          <w:iCs/>
          <w:szCs w:val="20"/>
          <w:lang w:val="en-US"/>
        </w:rPr>
        <w:t>the State</w:t>
      </w:r>
      <w:r w:rsidR="004B0842" w:rsidRPr="00FE50A6">
        <w:rPr>
          <w:rFonts w:cs="Arial"/>
          <w:iCs/>
          <w:szCs w:val="20"/>
          <w:lang w:val="en-US"/>
        </w:rPr>
        <w:t xml:space="preserve"> </w:t>
      </w:r>
      <w:r w:rsidR="00F45885" w:rsidRPr="00FE50A6">
        <w:rPr>
          <w:rFonts w:cs="Arial"/>
          <w:iCs/>
          <w:szCs w:val="20"/>
          <w:lang w:val="en-US"/>
        </w:rPr>
        <w:t>must</w:t>
      </w:r>
      <w:r w:rsidR="004E3501" w:rsidRPr="00FE50A6">
        <w:rPr>
          <w:rFonts w:cs="Arial"/>
          <w:iCs/>
          <w:szCs w:val="20"/>
          <w:lang w:val="en-US"/>
        </w:rPr>
        <w:t xml:space="preserve"> publish, within six months of notification</w:t>
      </w:r>
      <w:r w:rsidR="004B0842" w:rsidRPr="00FE50A6">
        <w:rPr>
          <w:rFonts w:cs="Arial"/>
          <w:iCs/>
          <w:szCs w:val="20"/>
          <w:lang w:val="en-US"/>
        </w:rPr>
        <w:t xml:space="preserve"> </w:t>
      </w:r>
      <w:r w:rsidR="00AF42D1" w:rsidRPr="00FE50A6">
        <w:rPr>
          <w:rFonts w:cs="Arial"/>
          <w:iCs/>
          <w:szCs w:val="20"/>
          <w:lang w:val="en-US"/>
        </w:rPr>
        <w:t>of this judgment</w:t>
      </w:r>
      <w:r w:rsidR="004B0842" w:rsidRPr="00FE50A6">
        <w:rPr>
          <w:rFonts w:cs="Arial"/>
          <w:iCs/>
          <w:szCs w:val="20"/>
          <w:lang w:val="en-US"/>
        </w:rPr>
        <w:t xml:space="preserve">: </w:t>
      </w:r>
      <w:r w:rsidR="004E3501" w:rsidRPr="00FE50A6">
        <w:rPr>
          <w:rFonts w:cs="Arial"/>
          <w:iCs/>
          <w:szCs w:val="20"/>
          <w:lang w:val="en-US"/>
        </w:rPr>
        <w:t>(</w:t>
      </w:r>
      <w:r w:rsidR="004B0842" w:rsidRPr="00FE50A6">
        <w:rPr>
          <w:rFonts w:cs="Arial"/>
          <w:iCs/>
          <w:szCs w:val="20"/>
          <w:lang w:val="en-US"/>
        </w:rPr>
        <w:t xml:space="preserve">a) </w:t>
      </w:r>
      <w:r w:rsidR="004E3501" w:rsidRPr="00FE50A6">
        <w:rPr>
          <w:rFonts w:cs="Arial"/>
          <w:iCs/>
          <w:szCs w:val="20"/>
          <w:lang w:val="en-US"/>
        </w:rPr>
        <w:t>the official summary</w:t>
      </w:r>
      <w:r w:rsidR="004B0842" w:rsidRPr="00FE50A6">
        <w:rPr>
          <w:rFonts w:cs="Arial"/>
          <w:iCs/>
          <w:szCs w:val="20"/>
          <w:lang w:val="en-US"/>
        </w:rPr>
        <w:t xml:space="preserve"> </w:t>
      </w:r>
      <w:r w:rsidR="00AF42D1" w:rsidRPr="00FE50A6">
        <w:rPr>
          <w:rFonts w:cs="Arial"/>
          <w:iCs/>
          <w:szCs w:val="20"/>
          <w:lang w:val="en-US"/>
        </w:rPr>
        <w:t>of this judgment</w:t>
      </w:r>
      <w:r w:rsidR="004B0842" w:rsidRPr="00FE50A6">
        <w:rPr>
          <w:rFonts w:cs="Arial"/>
          <w:iCs/>
          <w:szCs w:val="20"/>
          <w:lang w:val="en-US"/>
        </w:rPr>
        <w:t xml:space="preserve"> </w:t>
      </w:r>
      <w:r w:rsidR="004E3501" w:rsidRPr="00FE50A6">
        <w:rPr>
          <w:rFonts w:cs="Arial"/>
          <w:iCs/>
          <w:szCs w:val="20"/>
          <w:lang w:val="en-US"/>
        </w:rPr>
        <w:t>prepared by</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4E3501" w:rsidRPr="00FE50A6">
        <w:rPr>
          <w:rFonts w:cs="Arial"/>
          <w:iCs/>
          <w:szCs w:val="20"/>
          <w:lang w:val="en-US"/>
        </w:rPr>
        <w:t>once, in the Official Gazette; (</w:t>
      </w:r>
      <w:r w:rsidR="004B0842" w:rsidRPr="00FE50A6">
        <w:rPr>
          <w:rFonts w:cs="Arial"/>
          <w:iCs/>
          <w:szCs w:val="20"/>
          <w:lang w:val="en-US"/>
        </w:rPr>
        <w:t xml:space="preserve">b) </w:t>
      </w:r>
      <w:r w:rsidR="004E3501" w:rsidRPr="00FE50A6">
        <w:rPr>
          <w:rFonts w:cs="Arial"/>
          <w:iCs/>
          <w:szCs w:val="20"/>
          <w:lang w:val="en-US"/>
        </w:rPr>
        <w:t>the official summary</w:t>
      </w:r>
      <w:r w:rsidR="004B0842" w:rsidRPr="00FE50A6">
        <w:rPr>
          <w:rFonts w:cs="Arial"/>
          <w:iCs/>
          <w:szCs w:val="20"/>
          <w:lang w:val="en-US"/>
        </w:rPr>
        <w:t xml:space="preserve"> </w:t>
      </w:r>
      <w:r w:rsidR="00AF42D1" w:rsidRPr="00FE50A6">
        <w:rPr>
          <w:rFonts w:cs="Arial"/>
          <w:iCs/>
          <w:szCs w:val="20"/>
          <w:lang w:val="en-US"/>
        </w:rPr>
        <w:t>of this judgment</w:t>
      </w:r>
      <w:r w:rsidR="004B0842" w:rsidRPr="00FE50A6">
        <w:rPr>
          <w:rFonts w:cs="Arial"/>
          <w:iCs/>
          <w:szCs w:val="20"/>
          <w:lang w:val="en-US"/>
        </w:rPr>
        <w:t xml:space="preserve"> </w:t>
      </w:r>
      <w:r w:rsidR="004E3501" w:rsidRPr="00FE50A6">
        <w:rPr>
          <w:rFonts w:cs="Arial"/>
          <w:iCs/>
          <w:szCs w:val="20"/>
          <w:lang w:val="en-US"/>
        </w:rPr>
        <w:t>prepared by</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4E3501" w:rsidRPr="00FE50A6">
        <w:rPr>
          <w:rFonts w:cs="Arial"/>
          <w:iCs/>
          <w:szCs w:val="20"/>
          <w:lang w:val="en-US"/>
        </w:rPr>
        <w:t>once</w:t>
      </w:r>
      <w:r w:rsidR="004B0842" w:rsidRPr="00FE50A6">
        <w:rPr>
          <w:rFonts w:cs="Arial"/>
          <w:iCs/>
          <w:szCs w:val="20"/>
          <w:lang w:val="en-US"/>
        </w:rPr>
        <w:t xml:space="preserve">, </w:t>
      </w:r>
      <w:r w:rsidR="004E3501" w:rsidRPr="00FE50A6">
        <w:rPr>
          <w:rFonts w:cs="Arial"/>
          <w:iCs/>
          <w:szCs w:val="20"/>
          <w:lang w:val="en-US"/>
        </w:rPr>
        <w:t>in a national newspaper with widespread circulation, and (c) this judgment in its entirety, available for one year on an official website</w:t>
      </w:r>
      <w:r w:rsidR="004B0842" w:rsidRPr="00FE50A6">
        <w:rPr>
          <w:rFonts w:cs="Arial"/>
          <w:iCs/>
          <w:szCs w:val="20"/>
          <w:lang w:val="en-US"/>
        </w:rPr>
        <w:t>.</w:t>
      </w:r>
    </w:p>
    <w:p w14:paraId="648760D5" w14:textId="77777777" w:rsidR="007E763F" w:rsidRPr="00FE50A6" w:rsidRDefault="007E763F" w:rsidP="004B0842">
      <w:pPr>
        <w:pStyle w:val="Prrafodelista"/>
        <w:autoSpaceDE w:val="0"/>
        <w:autoSpaceDN w:val="0"/>
        <w:adjustRightInd w:val="0"/>
        <w:ind w:left="0"/>
        <w:contextualSpacing w:val="0"/>
        <w:rPr>
          <w:rFonts w:cs="Arial"/>
          <w:iCs/>
          <w:szCs w:val="20"/>
          <w:lang w:val="en-US"/>
        </w:rPr>
      </w:pPr>
    </w:p>
    <w:p w14:paraId="389AB8A0" w14:textId="77777777" w:rsidR="004B0842" w:rsidRPr="00FE50A6" w:rsidRDefault="000228D0" w:rsidP="00E35960">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State</w:t>
      </w:r>
      <w:r w:rsidR="004B0842" w:rsidRPr="00FE50A6">
        <w:rPr>
          <w:rFonts w:cs="Arial"/>
          <w:iCs/>
          <w:szCs w:val="20"/>
          <w:lang w:val="en-US"/>
        </w:rPr>
        <w:t xml:space="preserve"> </w:t>
      </w:r>
      <w:r w:rsidR="004E3501" w:rsidRPr="00FE50A6">
        <w:rPr>
          <w:rFonts w:cs="Arial"/>
          <w:iCs/>
          <w:szCs w:val="20"/>
          <w:lang w:val="en-US"/>
        </w:rPr>
        <w:t xml:space="preserve">must immediately inform the Court when it has made each of these publications, regardless of the one-year time frame </w:t>
      </w:r>
      <w:r w:rsidR="003204D0" w:rsidRPr="00FE50A6">
        <w:rPr>
          <w:rFonts w:cs="Arial"/>
          <w:iCs/>
          <w:szCs w:val="20"/>
          <w:lang w:val="en-US"/>
        </w:rPr>
        <w:t>for</w:t>
      </w:r>
      <w:r w:rsidR="004E3501" w:rsidRPr="00FE50A6">
        <w:rPr>
          <w:rFonts w:cs="Arial"/>
          <w:iCs/>
          <w:szCs w:val="20"/>
          <w:lang w:val="en-US"/>
        </w:rPr>
        <w:t xml:space="preserve"> present</w:t>
      </w:r>
      <w:r w:rsidR="003204D0" w:rsidRPr="00FE50A6">
        <w:rPr>
          <w:rFonts w:cs="Arial"/>
          <w:iCs/>
          <w:szCs w:val="20"/>
          <w:lang w:val="en-US"/>
        </w:rPr>
        <w:t>ing</w:t>
      </w:r>
      <w:r w:rsidR="004E3501" w:rsidRPr="00FE50A6">
        <w:rPr>
          <w:rFonts w:cs="Arial"/>
          <w:iCs/>
          <w:szCs w:val="20"/>
          <w:lang w:val="en-US"/>
        </w:rPr>
        <w:t xml:space="preserve"> its first report established in the tenth operative paragraph of the judgment</w:t>
      </w:r>
      <w:r w:rsidR="004B0842" w:rsidRPr="00FE50A6">
        <w:rPr>
          <w:rFonts w:cs="Arial"/>
          <w:iCs/>
          <w:szCs w:val="20"/>
          <w:lang w:val="en-US"/>
        </w:rPr>
        <w:t xml:space="preserve">. </w:t>
      </w:r>
    </w:p>
    <w:p w14:paraId="22A9A586" w14:textId="77777777" w:rsidR="004B0842" w:rsidRPr="00FE50A6" w:rsidRDefault="004B0842" w:rsidP="004B0842">
      <w:pPr>
        <w:pStyle w:val="Prrafodelista"/>
        <w:autoSpaceDE w:val="0"/>
        <w:autoSpaceDN w:val="0"/>
        <w:adjustRightInd w:val="0"/>
        <w:ind w:left="0"/>
        <w:rPr>
          <w:rFonts w:cs="Arial"/>
          <w:i/>
          <w:iCs/>
          <w:szCs w:val="20"/>
          <w:lang w:val="en-US"/>
        </w:rPr>
      </w:pPr>
    </w:p>
    <w:p w14:paraId="613FBF86" w14:textId="77777777" w:rsidR="004B0842" w:rsidRPr="00FE50A6" w:rsidRDefault="00E35960" w:rsidP="00863BF9">
      <w:pPr>
        <w:pStyle w:val="Ttulo3"/>
        <w:rPr>
          <w:lang w:val="en-US"/>
        </w:rPr>
      </w:pPr>
      <w:bookmarkStart w:id="371" w:name="_Toc460433064"/>
      <w:bookmarkStart w:id="372" w:name="_Toc460441995"/>
      <w:bookmarkStart w:id="373" w:name="_Toc462751137"/>
      <w:bookmarkStart w:id="374" w:name="_Toc464813989"/>
      <w:r w:rsidRPr="00FE50A6">
        <w:rPr>
          <w:lang w:val="en-US"/>
        </w:rPr>
        <w:t>C.2</w:t>
      </w:r>
      <w:r w:rsidR="004B0842" w:rsidRPr="00FE50A6">
        <w:rPr>
          <w:lang w:val="en-US"/>
        </w:rPr>
        <w:t>.</w:t>
      </w:r>
      <w:r w:rsidR="004B0842" w:rsidRPr="00FE50A6">
        <w:rPr>
          <w:lang w:val="en-US"/>
        </w:rPr>
        <w:tab/>
        <w:t>G</w:t>
      </w:r>
      <w:r w:rsidR="004E3501" w:rsidRPr="00FE50A6">
        <w:rPr>
          <w:lang w:val="en-US"/>
        </w:rPr>
        <w:t>uarantee of non-repetition</w:t>
      </w:r>
      <w:r w:rsidR="004B0842" w:rsidRPr="00FE50A6">
        <w:rPr>
          <w:lang w:val="en-US"/>
        </w:rPr>
        <w:t xml:space="preserve">: </w:t>
      </w:r>
      <w:r w:rsidR="004E3501" w:rsidRPr="00FE50A6">
        <w:rPr>
          <w:bCs/>
          <w:lang w:val="en-US"/>
        </w:rPr>
        <w:t xml:space="preserve">imprescriptibility </w:t>
      </w:r>
      <w:r w:rsidR="004E3501" w:rsidRPr="00FE50A6">
        <w:rPr>
          <w:lang w:val="en-US"/>
        </w:rPr>
        <w:t>of the crime of</w:t>
      </w:r>
      <w:r w:rsidR="004B0842" w:rsidRPr="00FE50A6">
        <w:rPr>
          <w:lang w:val="en-US"/>
        </w:rPr>
        <w:t xml:space="preserve"> </w:t>
      </w:r>
      <w:r w:rsidR="005F1946" w:rsidRPr="00FE50A6">
        <w:rPr>
          <w:lang w:val="en-US"/>
        </w:rPr>
        <w:t>slave labor</w:t>
      </w:r>
      <w:bookmarkEnd w:id="371"/>
      <w:bookmarkEnd w:id="372"/>
      <w:bookmarkEnd w:id="373"/>
      <w:bookmarkEnd w:id="374"/>
    </w:p>
    <w:p w14:paraId="65A35A35" w14:textId="77777777" w:rsidR="004B0842" w:rsidRPr="00FE50A6" w:rsidRDefault="004B0842" w:rsidP="004B0842">
      <w:pPr>
        <w:pStyle w:val="Prrafodelista"/>
        <w:autoSpaceDE w:val="0"/>
        <w:autoSpaceDN w:val="0"/>
        <w:adjustRightInd w:val="0"/>
        <w:rPr>
          <w:rFonts w:cs="Arial"/>
          <w:iCs/>
          <w:szCs w:val="20"/>
          <w:lang w:val="en-US"/>
        </w:rPr>
      </w:pPr>
    </w:p>
    <w:p w14:paraId="46C89DFD"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4E3501" w:rsidRPr="00FE50A6">
        <w:rPr>
          <w:rFonts w:cs="Arial"/>
          <w:iCs/>
          <w:szCs w:val="20"/>
          <w:lang w:val="en-US"/>
        </w:rPr>
        <w:t>indicated that, since the case relate</w:t>
      </w:r>
      <w:r w:rsidR="003204D0" w:rsidRPr="00FE50A6">
        <w:rPr>
          <w:rFonts w:cs="Arial"/>
          <w:iCs/>
          <w:szCs w:val="20"/>
          <w:lang w:val="en-US"/>
        </w:rPr>
        <w:t>d</w:t>
      </w:r>
      <w:r w:rsidR="004E3501" w:rsidRPr="00FE50A6">
        <w:rPr>
          <w:rFonts w:cs="Arial"/>
          <w:iCs/>
          <w:szCs w:val="20"/>
          <w:lang w:val="en-US"/>
        </w:rPr>
        <w:t xml:space="preserve"> to grave human rights violations, the prescription of the crime of </w:t>
      </w:r>
      <w:r w:rsidR="005F1946" w:rsidRPr="00FE50A6">
        <w:rPr>
          <w:rFonts w:cs="Arial"/>
          <w:iCs/>
          <w:szCs w:val="20"/>
          <w:lang w:val="en-US"/>
        </w:rPr>
        <w:t>slave labor</w:t>
      </w:r>
      <w:r w:rsidR="004B0842" w:rsidRPr="00FE50A6">
        <w:rPr>
          <w:rFonts w:cs="Arial"/>
          <w:iCs/>
          <w:szCs w:val="20"/>
          <w:lang w:val="en-US"/>
        </w:rPr>
        <w:t xml:space="preserve"> </w:t>
      </w:r>
      <w:r w:rsidR="004E3501" w:rsidRPr="00FE50A6">
        <w:rPr>
          <w:rFonts w:cs="Arial"/>
          <w:iCs/>
          <w:szCs w:val="20"/>
          <w:lang w:val="en-US"/>
        </w:rPr>
        <w:t>was</w:t>
      </w:r>
      <w:r w:rsidR="004B0842" w:rsidRPr="00FE50A6">
        <w:rPr>
          <w:rFonts w:cs="Arial"/>
          <w:iCs/>
          <w:szCs w:val="20"/>
          <w:lang w:val="en-US"/>
        </w:rPr>
        <w:t xml:space="preserve"> incompatible </w:t>
      </w:r>
      <w:r w:rsidR="004E3501" w:rsidRPr="00FE50A6">
        <w:rPr>
          <w:rFonts w:cs="Arial"/>
          <w:iCs/>
          <w:szCs w:val="20"/>
          <w:lang w:val="en-US"/>
        </w:rPr>
        <w:t>with</w:t>
      </w:r>
      <w:r w:rsidR="004B0842" w:rsidRPr="00FE50A6">
        <w:rPr>
          <w:rFonts w:cs="Arial"/>
          <w:iCs/>
          <w:szCs w:val="20"/>
          <w:lang w:val="en-US"/>
        </w:rPr>
        <w:t xml:space="preserve"> </w:t>
      </w:r>
      <w:r w:rsidR="000228D0" w:rsidRPr="00FE50A6">
        <w:rPr>
          <w:rFonts w:cs="Arial"/>
          <w:iCs/>
          <w:szCs w:val="20"/>
          <w:lang w:val="en-US"/>
        </w:rPr>
        <w:t>the American Convention</w:t>
      </w:r>
      <w:r w:rsidR="004B0842" w:rsidRPr="00FE50A6">
        <w:rPr>
          <w:rFonts w:cs="Arial"/>
          <w:iCs/>
          <w:szCs w:val="20"/>
          <w:lang w:val="en-US"/>
        </w:rPr>
        <w:t xml:space="preserve">. </w:t>
      </w:r>
      <w:r w:rsidR="004E3501" w:rsidRPr="00FE50A6">
        <w:rPr>
          <w:rFonts w:cs="Arial"/>
          <w:iCs/>
          <w:szCs w:val="20"/>
          <w:lang w:val="en-US"/>
        </w:rPr>
        <w:t xml:space="preserve">Consequently, they asked that the State establish the imprescriptibility of this crime and, also, that it </w:t>
      </w:r>
      <w:proofErr w:type="gramStart"/>
      <w:r w:rsidR="004E3501" w:rsidRPr="00FE50A6">
        <w:rPr>
          <w:rFonts w:cs="Arial"/>
          <w:iCs/>
          <w:szCs w:val="20"/>
          <w:lang w:val="en-US"/>
        </w:rPr>
        <w:t>adopt</w:t>
      </w:r>
      <w:proofErr w:type="gramEnd"/>
      <w:r w:rsidR="004E3501" w:rsidRPr="00FE50A6">
        <w:rPr>
          <w:rFonts w:cs="Arial"/>
          <w:iCs/>
          <w:szCs w:val="20"/>
          <w:lang w:val="en-US"/>
        </w:rPr>
        <w:t xml:space="preserve"> all necessary measures to ensure that prescription is not an obstacle to the investigation and eventual punishment of those responsible for the facts of this case.</w:t>
      </w:r>
    </w:p>
    <w:p w14:paraId="1961BA9F" w14:textId="77777777" w:rsidR="004B0842" w:rsidRPr="00FE50A6" w:rsidRDefault="004B0842" w:rsidP="004B0842">
      <w:pPr>
        <w:pStyle w:val="Prrafodelista"/>
        <w:autoSpaceDE w:val="0"/>
        <w:autoSpaceDN w:val="0"/>
        <w:adjustRightInd w:val="0"/>
        <w:rPr>
          <w:rFonts w:cs="Arial"/>
          <w:iCs/>
          <w:szCs w:val="20"/>
          <w:lang w:val="en-US"/>
        </w:rPr>
      </w:pPr>
    </w:p>
    <w:p w14:paraId="554112B8"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consider</w:t>
      </w:r>
      <w:r w:rsidR="004E3501" w:rsidRPr="00FE50A6">
        <w:rPr>
          <w:rFonts w:cs="Arial"/>
          <w:iCs/>
          <w:szCs w:val="20"/>
          <w:lang w:val="en-US"/>
        </w:rPr>
        <w:t>ed the request to declare the imprescriptibility of the crime of slave labor inadmissible for several reasons. First, it considered that the imprescriptibility of crimes against humanity referred only to the exercise of the international criminal jurisdiction and it was not the obligation of the States to establish this at the domestic level. Second, it argued that, in this specific case, it was not possible to speak of a crime against humanity because it did not relate to “a generalized and systematic attack on the civilian population” or to “a practice applied or tolerated by</w:t>
      </w:r>
      <w:r w:rsidR="004B0842" w:rsidRPr="00FE50A6">
        <w:rPr>
          <w:rFonts w:cs="Arial"/>
          <w:iCs/>
          <w:szCs w:val="20"/>
          <w:lang w:val="en-US"/>
        </w:rPr>
        <w:t xml:space="preserve"> </w:t>
      </w:r>
      <w:r w:rsidRPr="00FE50A6">
        <w:rPr>
          <w:rFonts w:cs="Arial"/>
          <w:iCs/>
          <w:szCs w:val="20"/>
          <w:lang w:val="en-US"/>
        </w:rPr>
        <w:t xml:space="preserve">the </w:t>
      </w:r>
      <w:r w:rsidR="005D0370" w:rsidRPr="00FE50A6">
        <w:rPr>
          <w:rFonts w:cs="Arial"/>
          <w:iCs/>
          <w:szCs w:val="20"/>
          <w:lang w:val="en-US"/>
        </w:rPr>
        <w:t>Brazilian State</w:t>
      </w:r>
      <w:r w:rsidR="004E3501" w:rsidRPr="00FE50A6">
        <w:rPr>
          <w:rFonts w:cs="Arial"/>
          <w:iCs/>
          <w:szCs w:val="20"/>
          <w:lang w:val="en-US"/>
        </w:rPr>
        <w:t>.</w:t>
      </w:r>
      <w:r w:rsidR="009C48A4" w:rsidRPr="00FE50A6">
        <w:rPr>
          <w:rFonts w:cs="Arial"/>
          <w:iCs/>
          <w:szCs w:val="20"/>
          <w:lang w:val="en-US"/>
        </w:rPr>
        <w:t>”</w:t>
      </w:r>
      <w:r w:rsidR="004B0842" w:rsidRPr="00FE50A6">
        <w:rPr>
          <w:rFonts w:cs="Arial"/>
          <w:iCs/>
          <w:szCs w:val="20"/>
          <w:lang w:val="en-US"/>
        </w:rPr>
        <w:t xml:space="preserve"> </w:t>
      </w:r>
      <w:r w:rsidR="004E3501" w:rsidRPr="00FE50A6">
        <w:rPr>
          <w:rFonts w:cs="Arial"/>
          <w:iCs/>
          <w:szCs w:val="20"/>
          <w:lang w:val="en-US"/>
        </w:rPr>
        <w:t xml:space="preserve">Lastly, the </w:t>
      </w:r>
      <w:r w:rsidRPr="00FE50A6">
        <w:rPr>
          <w:rFonts w:cs="Arial"/>
          <w:iCs/>
          <w:szCs w:val="20"/>
          <w:lang w:val="en-US"/>
        </w:rPr>
        <w:t>State</w:t>
      </w:r>
      <w:r w:rsidR="004B0842" w:rsidRPr="00FE50A6">
        <w:rPr>
          <w:rFonts w:cs="Arial"/>
          <w:iCs/>
          <w:szCs w:val="20"/>
          <w:lang w:val="en-US"/>
        </w:rPr>
        <w:t xml:space="preserve"> </w:t>
      </w:r>
      <w:r w:rsidR="00984A55" w:rsidRPr="00FE50A6">
        <w:rPr>
          <w:rFonts w:cs="Arial"/>
          <w:iCs/>
          <w:szCs w:val="20"/>
          <w:lang w:val="en-US"/>
        </w:rPr>
        <w:t>indicated</w:t>
      </w:r>
      <w:r w:rsidR="004B0842" w:rsidRPr="00FE50A6">
        <w:rPr>
          <w:rFonts w:cs="Arial"/>
          <w:iCs/>
          <w:szCs w:val="20"/>
          <w:lang w:val="en-US"/>
        </w:rPr>
        <w:t xml:space="preserve"> </w:t>
      </w:r>
      <w:r w:rsidR="003204D0" w:rsidRPr="00FE50A6">
        <w:rPr>
          <w:rFonts w:cs="Arial"/>
          <w:iCs/>
          <w:szCs w:val="20"/>
          <w:lang w:val="en-US"/>
        </w:rPr>
        <w:t>that</w:t>
      </w:r>
      <w:r w:rsidR="004B0842" w:rsidRPr="00FE50A6">
        <w:rPr>
          <w:rFonts w:cs="Arial"/>
          <w:iCs/>
          <w:szCs w:val="20"/>
          <w:lang w:val="en-US"/>
        </w:rPr>
        <w:t xml:space="preserve"> </w:t>
      </w:r>
      <w:r w:rsidR="004E3501" w:rsidRPr="00FE50A6">
        <w:rPr>
          <w:rFonts w:cs="Arial"/>
          <w:iCs/>
          <w:szCs w:val="20"/>
          <w:lang w:val="en-US"/>
        </w:rPr>
        <w:t>a</w:t>
      </w:r>
      <w:r w:rsidRPr="00FE50A6">
        <w:rPr>
          <w:rFonts w:cs="Arial"/>
          <w:iCs/>
          <w:szCs w:val="20"/>
          <w:lang w:val="en-US"/>
        </w:rPr>
        <w:t>rticle</w:t>
      </w:r>
      <w:r w:rsidR="004B0842" w:rsidRPr="00FE50A6">
        <w:rPr>
          <w:rFonts w:cs="Arial"/>
          <w:iCs/>
          <w:szCs w:val="20"/>
          <w:lang w:val="en-US"/>
        </w:rPr>
        <w:t xml:space="preserve"> 149 </w:t>
      </w:r>
      <w:r w:rsidR="0032018A" w:rsidRPr="00FE50A6">
        <w:rPr>
          <w:rFonts w:cs="Arial"/>
          <w:iCs/>
          <w:szCs w:val="20"/>
          <w:lang w:val="en-US"/>
        </w:rPr>
        <w:t xml:space="preserve">of the </w:t>
      </w:r>
      <w:r w:rsidR="00AC769B" w:rsidRPr="00FE50A6">
        <w:rPr>
          <w:rFonts w:cs="Arial"/>
          <w:iCs/>
          <w:szCs w:val="20"/>
          <w:lang w:val="en-US"/>
        </w:rPr>
        <w:t>Brazilian Penal Code</w:t>
      </w:r>
      <w:r w:rsidR="004B0842" w:rsidRPr="00FE50A6">
        <w:rPr>
          <w:rFonts w:cs="Arial"/>
          <w:iCs/>
          <w:szCs w:val="20"/>
          <w:lang w:val="en-US"/>
        </w:rPr>
        <w:t xml:space="preserve"> </w:t>
      </w:r>
      <w:r w:rsidR="004E3501" w:rsidRPr="00FE50A6">
        <w:rPr>
          <w:rFonts w:cs="Arial"/>
          <w:iCs/>
          <w:szCs w:val="20"/>
          <w:lang w:val="en-US"/>
        </w:rPr>
        <w:t>was particularly broad and defined a series of conducts of different degrees of severity that could not be classified as crimes against humanity.</w:t>
      </w:r>
    </w:p>
    <w:p w14:paraId="3C77F615" w14:textId="77777777" w:rsidR="004B0842" w:rsidRPr="00FE50A6" w:rsidRDefault="004B0842" w:rsidP="004B0842">
      <w:pPr>
        <w:pStyle w:val="Prrafodelista"/>
        <w:autoSpaceDE w:val="0"/>
        <w:autoSpaceDN w:val="0"/>
        <w:adjustRightInd w:val="0"/>
        <w:rPr>
          <w:rFonts w:cs="Arial"/>
          <w:iCs/>
          <w:szCs w:val="20"/>
          <w:lang w:val="en-US"/>
        </w:rPr>
      </w:pPr>
    </w:p>
    <w:p w14:paraId="61286A47" w14:textId="77777777" w:rsidR="004B0842" w:rsidRPr="00FE50A6" w:rsidRDefault="004E3501"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Regarding the</w:t>
      </w:r>
      <w:r w:rsidR="004B0842" w:rsidRPr="00FE50A6">
        <w:rPr>
          <w:rFonts w:cs="Arial"/>
          <w:iCs/>
          <w:szCs w:val="20"/>
          <w:lang w:val="en-US"/>
        </w:rPr>
        <w:t xml:space="preserve"> </w:t>
      </w:r>
      <w:r w:rsidRPr="00FE50A6">
        <w:rPr>
          <w:rFonts w:cs="Arial"/>
          <w:iCs/>
          <w:szCs w:val="20"/>
          <w:lang w:val="en-US"/>
        </w:rPr>
        <w:t>imprescriptibility of the crime</w:t>
      </w:r>
      <w:r w:rsidR="004B0842" w:rsidRPr="00FE50A6">
        <w:rPr>
          <w:rFonts w:cs="Arial"/>
          <w:iCs/>
          <w:szCs w:val="20"/>
          <w:lang w:val="en-US"/>
        </w:rPr>
        <w:t xml:space="preserve"> </w:t>
      </w:r>
      <w:r w:rsidRPr="00FE50A6">
        <w:rPr>
          <w:rFonts w:cs="Arial"/>
          <w:iCs/>
          <w:szCs w:val="20"/>
          <w:lang w:val="en-US"/>
        </w:rPr>
        <w:t>of</w:t>
      </w:r>
      <w:r w:rsidR="004713F4" w:rsidRPr="00FE50A6">
        <w:rPr>
          <w:rFonts w:cs="Arial"/>
          <w:iCs/>
          <w:szCs w:val="20"/>
          <w:lang w:val="en-US"/>
        </w:rPr>
        <w:t xml:space="preserve"> </w:t>
      </w:r>
      <w:r w:rsidR="00D11A9F" w:rsidRPr="00FE50A6">
        <w:rPr>
          <w:rFonts w:cs="Arial"/>
          <w:iCs/>
          <w:szCs w:val="20"/>
          <w:lang w:val="en-US"/>
        </w:rPr>
        <w:t>slavery</w:t>
      </w:r>
      <w:r w:rsidR="004B0842" w:rsidRPr="00FE50A6">
        <w:rPr>
          <w:rFonts w:cs="Arial"/>
          <w:iCs/>
          <w:szCs w:val="20"/>
          <w:lang w:val="en-US"/>
        </w:rPr>
        <w:t xml:space="preserve">, </w:t>
      </w:r>
      <w:r w:rsidRPr="00FE50A6">
        <w:rPr>
          <w:rFonts w:cs="Arial"/>
          <w:iCs/>
          <w:szCs w:val="20"/>
          <w:lang w:val="en-US"/>
        </w:rPr>
        <w:t xml:space="preserve">in Chapter VIII-1, </w:t>
      </w:r>
      <w:r w:rsidR="000228D0" w:rsidRPr="00FE50A6">
        <w:rPr>
          <w:rFonts w:cs="Arial"/>
          <w:iCs/>
          <w:szCs w:val="20"/>
          <w:lang w:val="en-US"/>
        </w:rPr>
        <w:t>the Court</w:t>
      </w:r>
      <w:r w:rsidR="004B0842" w:rsidRPr="00FE50A6">
        <w:rPr>
          <w:rFonts w:cs="Arial"/>
          <w:iCs/>
          <w:szCs w:val="20"/>
          <w:lang w:val="en-US"/>
        </w:rPr>
        <w:t xml:space="preserve"> conclu</w:t>
      </w:r>
      <w:r w:rsidRPr="00FE50A6">
        <w:rPr>
          <w:rFonts w:cs="Arial"/>
          <w:iCs/>
          <w:szCs w:val="20"/>
          <w:lang w:val="en-US"/>
        </w:rPr>
        <w:t xml:space="preserve">ded that the application of the </w:t>
      </w:r>
      <w:r w:rsidR="00EC5C35" w:rsidRPr="00FE50A6">
        <w:rPr>
          <w:rFonts w:cs="Arial"/>
          <w:iCs/>
          <w:szCs w:val="20"/>
          <w:lang w:val="en-US"/>
        </w:rPr>
        <w:t>statute of limitations</w:t>
      </w:r>
      <w:r w:rsidRPr="00FE50A6">
        <w:rPr>
          <w:rFonts w:cs="Arial"/>
          <w:iCs/>
          <w:szCs w:val="20"/>
          <w:lang w:val="en-US"/>
        </w:rPr>
        <w:t xml:space="preserve"> in this case represented a violation of </w:t>
      </w:r>
      <w:r w:rsidR="00D2546E" w:rsidRPr="00FE50A6">
        <w:rPr>
          <w:rFonts w:cs="Arial"/>
          <w:iCs/>
          <w:szCs w:val="20"/>
          <w:lang w:val="en-US"/>
        </w:rPr>
        <w:t>Article</w:t>
      </w:r>
      <w:r w:rsidR="004B0842" w:rsidRPr="00FE50A6">
        <w:rPr>
          <w:rFonts w:cs="Arial"/>
          <w:iCs/>
          <w:szCs w:val="20"/>
          <w:lang w:val="en-US"/>
        </w:rPr>
        <w:t xml:space="preserve"> 2</w:t>
      </w:r>
      <w:r w:rsidR="000228D0" w:rsidRPr="00FE50A6">
        <w:rPr>
          <w:rFonts w:cs="Arial"/>
          <w:iCs/>
          <w:szCs w:val="20"/>
          <w:lang w:val="en-US"/>
        </w:rPr>
        <w:t xml:space="preserve"> of the American Convention</w:t>
      </w:r>
      <w:r w:rsidR="004B0842" w:rsidRPr="00FE50A6">
        <w:rPr>
          <w:rFonts w:cs="Arial"/>
          <w:iCs/>
          <w:szCs w:val="20"/>
          <w:lang w:val="en-US"/>
        </w:rPr>
        <w:t xml:space="preserve">, </w:t>
      </w:r>
      <w:r w:rsidRPr="00FE50A6">
        <w:rPr>
          <w:rFonts w:cs="Arial"/>
          <w:iCs/>
          <w:szCs w:val="20"/>
          <w:lang w:val="en-US"/>
        </w:rPr>
        <w:t xml:space="preserve">because it was a decisive element to maintain the impunity of the facts verified in </w:t>
      </w:r>
      <w:r w:rsidR="004B0842" w:rsidRPr="00FE50A6">
        <w:rPr>
          <w:rFonts w:cs="Arial"/>
          <w:iCs/>
          <w:szCs w:val="20"/>
          <w:lang w:val="en-US"/>
        </w:rPr>
        <w:t xml:space="preserve">1997. </w:t>
      </w:r>
      <w:r w:rsidRPr="00FE50A6">
        <w:rPr>
          <w:rFonts w:cs="Arial"/>
          <w:iCs/>
          <w:szCs w:val="20"/>
          <w:lang w:val="en-US"/>
        </w:rPr>
        <w:t>In addition, the Court has verified the imprescriptible nature of the crim</w:t>
      </w:r>
      <w:r w:rsidR="00767151" w:rsidRPr="00FE50A6">
        <w:rPr>
          <w:rFonts w:cs="Arial"/>
          <w:iCs/>
          <w:szCs w:val="20"/>
          <w:lang w:val="en-US"/>
        </w:rPr>
        <w:t>e</w:t>
      </w:r>
      <w:r w:rsidRPr="00FE50A6">
        <w:rPr>
          <w:rFonts w:cs="Arial"/>
          <w:iCs/>
          <w:szCs w:val="20"/>
          <w:lang w:val="en-US"/>
        </w:rPr>
        <w:t xml:space="preserve"> of slavery and similar conditions </w:t>
      </w:r>
      <w:r w:rsidR="00767151" w:rsidRPr="00FE50A6">
        <w:rPr>
          <w:rFonts w:cs="Arial"/>
          <w:iCs/>
          <w:szCs w:val="20"/>
          <w:lang w:val="en-US"/>
        </w:rPr>
        <w:t>in</w:t>
      </w:r>
      <w:r w:rsidRPr="00FE50A6">
        <w:rPr>
          <w:rFonts w:cs="Arial"/>
          <w:iCs/>
          <w:szCs w:val="20"/>
          <w:lang w:val="en-US"/>
        </w:rPr>
        <w:t xml:space="preserve"> </w:t>
      </w:r>
      <w:r w:rsidR="00931A2D" w:rsidRPr="00FE50A6">
        <w:rPr>
          <w:rFonts w:cs="Arial"/>
          <w:iCs/>
          <w:szCs w:val="20"/>
          <w:lang w:val="en-US"/>
        </w:rPr>
        <w:t>international law</w:t>
      </w:r>
      <w:r w:rsidR="004B0842" w:rsidRPr="00FE50A6">
        <w:rPr>
          <w:rFonts w:cs="Arial"/>
          <w:iCs/>
          <w:szCs w:val="20"/>
          <w:lang w:val="en-US"/>
        </w:rPr>
        <w:t xml:space="preserve">, </w:t>
      </w:r>
      <w:r w:rsidRPr="00FE50A6">
        <w:rPr>
          <w:rFonts w:cs="Arial"/>
          <w:iCs/>
          <w:szCs w:val="20"/>
          <w:lang w:val="en-US"/>
        </w:rPr>
        <w:t xml:space="preserve">as a result of their nature as crimes under international law, whose prohibition has the status of </w:t>
      </w:r>
      <w:r w:rsidR="004B0842" w:rsidRPr="00FE50A6">
        <w:rPr>
          <w:rFonts w:cs="Arial"/>
          <w:i/>
          <w:iCs/>
          <w:szCs w:val="20"/>
          <w:lang w:val="en-US"/>
        </w:rPr>
        <w:t>jus cogens</w:t>
      </w:r>
      <w:r w:rsidR="004713F4" w:rsidRPr="00FE50A6">
        <w:rPr>
          <w:rFonts w:cs="Arial"/>
          <w:iCs/>
          <w:szCs w:val="20"/>
          <w:lang w:val="en-US"/>
        </w:rPr>
        <w:t xml:space="preserve"> (</w:t>
      </w:r>
      <w:r w:rsidR="004713F4" w:rsidRPr="00FE50A6">
        <w:rPr>
          <w:rFonts w:cs="Arial"/>
          <w:i/>
          <w:iCs/>
          <w:szCs w:val="20"/>
          <w:lang w:val="en-US"/>
        </w:rPr>
        <w:t xml:space="preserve">supra </w:t>
      </w:r>
      <w:r w:rsidR="00700B79" w:rsidRPr="00FE50A6">
        <w:rPr>
          <w:rFonts w:cs="Arial"/>
          <w:iCs/>
          <w:szCs w:val="20"/>
          <w:lang w:val="en-US"/>
        </w:rPr>
        <w:t>para.</w:t>
      </w:r>
      <w:r w:rsidR="004713F4" w:rsidRPr="00FE50A6">
        <w:rPr>
          <w:rFonts w:cs="Arial"/>
          <w:iCs/>
          <w:szCs w:val="20"/>
          <w:lang w:val="en-US"/>
        </w:rPr>
        <w:t xml:space="preserve"> </w:t>
      </w:r>
      <w:r w:rsidR="00D4212F" w:rsidRPr="00FE50A6">
        <w:rPr>
          <w:rFonts w:cs="Arial"/>
          <w:iCs/>
          <w:szCs w:val="20"/>
          <w:lang w:val="en-US"/>
        </w:rPr>
        <w:t>249).</w:t>
      </w:r>
      <w:r w:rsidR="004B0842" w:rsidRPr="00FE50A6">
        <w:rPr>
          <w:rFonts w:cs="Arial"/>
          <w:iCs/>
          <w:szCs w:val="20"/>
          <w:lang w:val="en-US"/>
        </w:rPr>
        <w:t xml:space="preserve"> </w:t>
      </w:r>
      <w:r w:rsidRPr="00FE50A6">
        <w:rPr>
          <w:rFonts w:cs="Arial"/>
          <w:iCs/>
          <w:szCs w:val="20"/>
          <w:lang w:val="en-US"/>
        </w:rPr>
        <w:t xml:space="preserve">In addition, </w:t>
      </w:r>
      <w:r w:rsidR="000228D0" w:rsidRPr="00FE50A6">
        <w:rPr>
          <w:rFonts w:cs="Arial"/>
          <w:iCs/>
          <w:szCs w:val="20"/>
          <w:lang w:val="en-US"/>
        </w:rPr>
        <w:t xml:space="preserve">the </w:t>
      </w:r>
      <w:r w:rsidR="0088467F" w:rsidRPr="00FE50A6">
        <w:rPr>
          <w:rFonts w:cs="Arial"/>
          <w:iCs/>
          <w:szCs w:val="20"/>
          <w:lang w:val="en-US"/>
        </w:rPr>
        <w:t>Court recalls</w:t>
      </w:r>
      <w:r w:rsidR="004B0842" w:rsidRPr="00FE50A6">
        <w:rPr>
          <w:rFonts w:cs="Arial"/>
          <w:iCs/>
          <w:szCs w:val="20"/>
          <w:lang w:val="en-US"/>
        </w:rPr>
        <w:t xml:space="preserve"> </w:t>
      </w:r>
      <w:r w:rsidRPr="00FE50A6">
        <w:rPr>
          <w:rFonts w:cs="Arial"/>
          <w:iCs/>
          <w:szCs w:val="20"/>
          <w:lang w:val="en-US"/>
        </w:rPr>
        <w:t xml:space="preserve">that, according </w:t>
      </w:r>
      <w:proofErr w:type="gramStart"/>
      <w:r w:rsidRPr="00FE50A6">
        <w:rPr>
          <w:rFonts w:cs="Arial"/>
          <w:iCs/>
          <w:szCs w:val="20"/>
          <w:lang w:val="en-US"/>
        </w:rPr>
        <w:t>to  its</w:t>
      </w:r>
      <w:proofErr w:type="gramEnd"/>
      <w:r w:rsidRPr="00FE50A6">
        <w:rPr>
          <w:rFonts w:cs="Arial"/>
          <w:iCs/>
          <w:szCs w:val="20"/>
          <w:lang w:val="en-US"/>
        </w:rPr>
        <w:t xml:space="preserve"> consistent case law,</w:t>
      </w:r>
      <w:r w:rsidR="004B0842" w:rsidRPr="00FE50A6">
        <w:rPr>
          <w:rFonts w:cs="Arial"/>
          <w:iCs/>
          <w:szCs w:val="20"/>
          <w:vertAlign w:val="superscript"/>
          <w:lang w:val="en-US"/>
        </w:rPr>
        <w:footnoteReference w:id="531"/>
      </w:r>
      <w:r w:rsidRPr="00FE50A6">
        <w:rPr>
          <w:rFonts w:cs="Arial"/>
          <w:iCs/>
          <w:szCs w:val="20"/>
          <w:lang w:val="en-US"/>
        </w:rPr>
        <w:t xml:space="preserve"> crimes that involve egregious human rights violations cannot be subject to </w:t>
      </w:r>
      <w:r w:rsidR="00767151" w:rsidRPr="00FE50A6">
        <w:rPr>
          <w:rFonts w:cs="Arial"/>
          <w:iCs/>
          <w:szCs w:val="20"/>
          <w:lang w:val="en-US"/>
        </w:rPr>
        <w:t>prescription.</w:t>
      </w:r>
      <w:r w:rsidRPr="00FE50A6">
        <w:rPr>
          <w:rFonts w:cs="Arial"/>
          <w:iCs/>
          <w:szCs w:val="20"/>
          <w:lang w:val="en-US"/>
        </w:rPr>
        <w:t xml:space="preserve"> Consequently, Brazil cannot apply </w:t>
      </w:r>
      <w:r w:rsidR="00767151" w:rsidRPr="00FE50A6">
        <w:rPr>
          <w:rFonts w:cs="Arial"/>
          <w:iCs/>
          <w:szCs w:val="20"/>
          <w:lang w:val="en-US"/>
        </w:rPr>
        <w:t>a statute of limitations</w:t>
      </w:r>
      <w:r w:rsidRPr="00FE50A6">
        <w:rPr>
          <w:rFonts w:cs="Arial"/>
          <w:iCs/>
          <w:szCs w:val="20"/>
          <w:lang w:val="en-US"/>
        </w:rPr>
        <w:t xml:space="preserve"> to this and other similar cases.</w:t>
      </w:r>
    </w:p>
    <w:p w14:paraId="66822026" w14:textId="77777777" w:rsidR="004B0842" w:rsidRPr="00FE50A6" w:rsidRDefault="004B0842" w:rsidP="004B0842">
      <w:pPr>
        <w:pStyle w:val="Prrafodelista"/>
        <w:autoSpaceDE w:val="0"/>
        <w:autoSpaceDN w:val="0"/>
        <w:adjustRightInd w:val="0"/>
        <w:rPr>
          <w:rFonts w:cs="Arial"/>
          <w:iCs/>
          <w:szCs w:val="20"/>
          <w:lang w:val="en-US"/>
        </w:rPr>
      </w:pPr>
    </w:p>
    <w:p w14:paraId="29184366"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consider</w:t>
      </w:r>
      <w:r w:rsidR="004E3501" w:rsidRPr="00FE50A6">
        <w:rPr>
          <w:rFonts w:cs="Arial"/>
          <w:iCs/>
          <w:szCs w:val="20"/>
          <w:lang w:val="en-US"/>
        </w:rPr>
        <w:t>s that</w:t>
      </w:r>
      <w:r w:rsidR="004B0842" w:rsidRPr="00FE50A6">
        <w:rPr>
          <w:rFonts w:cs="Arial"/>
          <w:iCs/>
          <w:szCs w:val="20"/>
          <w:lang w:val="en-US"/>
        </w:rPr>
        <w:t xml:space="preserve"> </w:t>
      </w:r>
      <w:r w:rsidR="00576F80" w:rsidRPr="00FE50A6">
        <w:rPr>
          <w:rFonts w:cs="Arial"/>
          <w:iCs/>
          <w:szCs w:val="20"/>
          <w:lang w:val="en-US"/>
        </w:rPr>
        <w:t>the alleged</w:t>
      </w:r>
      <w:r w:rsidR="004B0842" w:rsidRPr="00FE50A6">
        <w:rPr>
          <w:rFonts w:cs="Arial"/>
          <w:iCs/>
          <w:szCs w:val="20"/>
          <w:lang w:val="en-US"/>
        </w:rPr>
        <w:t xml:space="preserve"> </w:t>
      </w:r>
      <w:r w:rsidR="004E3501" w:rsidRPr="00FE50A6">
        <w:rPr>
          <w:rFonts w:cs="Arial"/>
          <w:iCs/>
          <w:szCs w:val="20"/>
          <w:lang w:val="en-US"/>
        </w:rPr>
        <w:t xml:space="preserve">breadth of the definition of the crime </w:t>
      </w:r>
      <w:r w:rsidR="00351E20" w:rsidRPr="00FE50A6">
        <w:rPr>
          <w:rFonts w:cs="Arial"/>
          <w:iCs/>
          <w:szCs w:val="20"/>
          <w:lang w:val="en-US"/>
        </w:rPr>
        <w:t xml:space="preserve">established in </w:t>
      </w:r>
      <w:r w:rsidR="004E3501" w:rsidRPr="00FE50A6">
        <w:rPr>
          <w:rFonts w:cs="Arial"/>
          <w:iCs/>
          <w:szCs w:val="20"/>
          <w:lang w:val="en-US"/>
        </w:rPr>
        <w:t>a</w:t>
      </w:r>
      <w:r w:rsidR="00351E20" w:rsidRPr="00FE50A6">
        <w:rPr>
          <w:rFonts w:cs="Arial"/>
          <w:iCs/>
          <w:szCs w:val="20"/>
          <w:lang w:val="en-US"/>
        </w:rPr>
        <w:t>rticle</w:t>
      </w:r>
      <w:r w:rsidR="004B0842" w:rsidRPr="00FE50A6">
        <w:rPr>
          <w:rFonts w:cs="Arial"/>
          <w:iCs/>
          <w:szCs w:val="20"/>
          <w:lang w:val="en-US"/>
        </w:rPr>
        <w:t xml:space="preserve"> 149 </w:t>
      </w:r>
      <w:r w:rsidR="0032018A" w:rsidRPr="00FE50A6">
        <w:rPr>
          <w:rFonts w:cs="Arial"/>
          <w:iCs/>
          <w:szCs w:val="20"/>
          <w:lang w:val="en-US"/>
        </w:rPr>
        <w:t xml:space="preserve">of the </w:t>
      </w:r>
      <w:r w:rsidR="00AC769B" w:rsidRPr="00FE50A6">
        <w:rPr>
          <w:rFonts w:cs="Arial"/>
          <w:iCs/>
          <w:szCs w:val="20"/>
          <w:lang w:val="en-US"/>
        </w:rPr>
        <w:t>Brazilian Penal Code</w:t>
      </w:r>
      <w:r w:rsidR="004B0842" w:rsidRPr="00FE50A6">
        <w:rPr>
          <w:rFonts w:cs="Arial"/>
          <w:iCs/>
          <w:szCs w:val="20"/>
          <w:lang w:val="en-US"/>
        </w:rPr>
        <w:t xml:space="preserve"> </w:t>
      </w:r>
      <w:r w:rsidR="004E3501" w:rsidRPr="00FE50A6">
        <w:rPr>
          <w:rFonts w:cs="Arial"/>
          <w:iCs/>
          <w:szCs w:val="20"/>
          <w:lang w:val="en-US"/>
        </w:rPr>
        <w:t xml:space="preserve">does not change the preceding conclusion as claimed by the State </w:t>
      </w:r>
      <w:r w:rsidR="004B0842" w:rsidRPr="00FE50A6">
        <w:rPr>
          <w:rFonts w:cs="Arial"/>
          <w:iCs/>
          <w:szCs w:val="20"/>
          <w:lang w:val="en-US"/>
        </w:rPr>
        <w:t>(</w:t>
      </w:r>
      <w:r w:rsidR="004B0842" w:rsidRPr="00FE50A6">
        <w:rPr>
          <w:rFonts w:cs="Arial"/>
          <w:i/>
          <w:iCs/>
          <w:szCs w:val="20"/>
          <w:lang w:val="en-US"/>
        </w:rPr>
        <w:t xml:space="preserve">supra </w:t>
      </w:r>
      <w:r w:rsidR="00700B79" w:rsidRPr="00FE50A6">
        <w:rPr>
          <w:rFonts w:cs="Arial"/>
          <w:iCs/>
          <w:szCs w:val="20"/>
          <w:lang w:val="en-US"/>
        </w:rPr>
        <w:t>paras.</w:t>
      </w:r>
      <w:r w:rsidR="004B0842" w:rsidRPr="00FE50A6">
        <w:rPr>
          <w:rFonts w:cs="Arial"/>
          <w:iCs/>
          <w:szCs w:val="20"/>
          <w:lang w:val="en-US"/>
        </w:rPr>
        <w:t xml:space="preserve"> </w:t>
      </w:r>
      <w:r w:rsidR="00627AAF" w:rsidRPr="00FE50A6">
        <w:rPr>
          <w:rFonts w:cs="Arial"/>
          <w:iCs/>
          <w:szCs w:val="20"/>
          <w:lang w:val="en-US"/>
        </w:rPr>
        <w:t>307</w:t>
      </w:r>
      <w:r w:rsidR="004B0842" w:rsidRPr="00FE50A6">
        <w:rPr>
          <w:rFonts w:cs="Arial"/>
          <w:iCs/>
          <w:szCs w:val="20"/>
          <w:lang w:val="en-US"/>
        </w:rPr>
        <w:t xml:space="preserve"> </w:t>
      </w:r>
      <w:r w:rsidR="004E3501" w:rsidRPr="00FE50A6">
        <w:rPr>
          <w:rFonts w:cs="Arial"/>
          <w:iCs/>
          <w:szCs w:val="20"/>
          <w:lang w:val="en-US"/>
        </w:rPr>
        <w:t>to</w:t>
      </w:r>
      <w:r w:rsidR="004B0842" w:rsidRPr="00FE50A6">
        <w:rPr>
          <w:rFonts w:cs="Arial"/>
          <w:iCs/>
          <w:szCs w:val="20"/>
          <w:lang w:val="en-US"/>
        </w:rPr>
        <w:t xml:space="preserve"> </w:t>
      </w:r>
      <w:r w:rsidR="00627AAF" w:rsidRPr="00FE50A6">
        <w:rPr>
          <w:rFonts w:cs="Arial"/>
          <w:iCs/>
          <w:szCs w:val="20"/>
          <w:lang w:val="en-US"/>
        </w:rPr>
        <w:t>314</w:t>
      </w:r>
      <w:r w:rsidR="004B0842" w:rsidRPr="00FE50A6">
        <w:rPr>
          <w:rFonts w:cs="Arial"/>
          <w:iCs/>
          <w:szCs w:val="20"/>
          <w:lang w:val="en-US"/>
        </w:rPr>
        <w:t xml:space="preserve">). </w:t>
      </w:r>
      <w:r w:rsidR="004E3501" w:rsidRPr="00FE50A6">
        <w:rPr>
          <w:rFonts w:cs="Arial"/>
          <w:iCs/>
          <w:szCs w:val="20"/>
          <w:lang w:val="en-US"/>
        </w:rPr>
        <w:t>In this case</w:t>
      </w:r>
      <w:r w:rsidR="00ED1731" w:rsidRPr="00FE50A6">
        <w:rPr>
          <w:rFonts w:cs="Arial"/>
          <w:iCs/>
          <w:szCs w:val="20"/>
          <w:lang w:val="en-US"/>
        </w:rPr>
        <w:t>,</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4E3501" w:rsidRPr="00FE50A6">
        <w:rPr>
          <w:rFonts w:cs="Arial"/>
          <w:iCs/>
          <w:szCs w:val="20"/>
          <w:lang w:val="en-US"/>
        </w:rPr>
        <w:t>is not declaring, in general, that a crime established in Brazilian law is</w:t>
      </w:r>
      <w:r w:rsidR="004B0842" w:rsidRPr="00FE50A6">
        <w:rPr>
          <w:rFonts w:cs="Arial"/>
          <w:iCs/>
          <w:szCs w:val="20"/>
          <w:lang w:val="en-US"/>
        </w:rPr>
        <w:t xml:space="preserve"> imprescriptible</w:t>
      </w:r>
      <w:r w:rsidR="004E3501" w:rsidRPr="00FE50A6">
        <w:rPr>
          <w:rFonts w:cs="Arial"/>
          <w:iCs/>
          <w:szCs w:val="20"/>
          <w:lang w:val="en-US"/>
        </w:rPr>
        <w:t xml:space="preserve"> </w:t>
      </w:r>
      <w:r w:rsidR="004B0842" w:rsidRPr="00FE50A6">
        <w:rPr>
          <w:rFonts w:cs="Arial"/>
          <w:iCs/>
          <w:szCs w:val="20"/>
          <w:lang w:val="en-US"/>
        </w:rPr>
        <w:t>(</w:t>
      </w:r>
      <w:r w:rsidR="004E3501" w:rsidRPr="00FE50A6">
        <w:rPr>
          <w:rFonts w:cs="Arial"/>
          <w:iCs/>
          <w:szCs w:val="20"/>
          <w:lang w:val="en-US"/>
        </w:rPr>
        <w:t>the said</w:t>
      </w:r>
      <w:r w:rsidR="004B0842" w:rsidRPr="00FE50A6">
        <w:rPr>
          <w:rFonts w:cs="Arial"/>
          <w:iCs/>
          <w:szCs w:val="20"/>
          <w:lang w:val="en-US"/>
        </w:rPr>
        <w:t xml:space="preserve"> </w:t>
      </w:r>
      <w:r w:rsidR="004E3501" w:rsidRPr="00FE50A6">
        <w:rPr>
          <w:rFonts w:cs="Arial"/>
          <w:iCs/>
          <w:szCs w:val="20"/>
          <w:lang w:val="en-US"/>
        </w:rPr>
        <w:t>a</w:t>
      </w:r>
      <w:r w:rsidR="00D2546E" w:rsidRPr="00FE50A6">
        <w:rPr>
          <w:rFonts w:cs="Arial"/>
          <w:iCs/>
          <w:szCs w:val="20"/>
          <w:lang w:val="en-US"/>
        </w:rPr>
        <w:t>rticle</w:t>
      </w:r>
      <w:r w:rsidR="004B0842" w:rsidRPr="00FE50A6">
        <w:rPr>
          <w:rFonts w:cs="Arial"/>
          <w:iCs/>
          <w:szCs w:val="20"/>
          <w:lang w:val="en-US"/>
        </w:rPr>
        <w:t xml:space="preserve"> 149)</w:t>
      </w:r>
      <w:r w:rsidR="004E3501" w:rsidRPr="00FE50A6">
        <w:rPr>
          <w:rFonts w:cs="Arial"/>
          <w:iCs/>
          <w:szCs w:val="20"/>
          <w:lang w:val="en-US"/>
        </w:rPr>
        <w:t>,</w:t>
      </w:r>
      <w:r w:rsidR="00694537" w:rsidRPr="00FE50A6">
        <w:rPr>
          <w:rStyle w:val="Refdenotaalpie"/>
          <w:iCs/>
          <w:lang w:val="en-US"/>
        </w:rPr>
        <w:footnoteReference w:id="532"/>
      </w:r>
      <w:r w:rsidR="004E3501" w:rsidRPr="00FE50A6">
        <w:rPr>
          <w:rFonts w:cs="Arial"/>
          <w:iCs/>
          <w:szCs w:val="20"/>
          <w:lang w:val="en-US"/>
        </w:rPr>
        <w:t xml:space="preserve"> </w:t>
      </w:r>
      <w:r w:rsidR="00767151" w:rsidRPr="00FE50A6">
        <w:rPr>
          <w:rFonts w:cs="Arial"/>
          <w:iCs/>
          <w:szCs w:val="20"/>
          <w:lang w:val="en-US"/>
        </w:rPr>
        <w:t xml:space="preserve">but </w:t>
      </w:r>
      <w:r w:rsidR="004E3501" w:rsidRPr="00FE50A6">
        <w:rPr>
          <w:rFonts w:cs="Arial"/>
          <w:iCs/>
          <w:szCs w:val="20"/>
          <w:lang w:val="en-US"/>
        </w:rPr>
        <w:t xml:space="preserve">merely </w:t>
      </w:r>
      <w:r w:rsidR="00767151" w:rsidRPr="00FE50A6">
        <w:rPr>
          <w:rFonts w:cs="Arial"/>
          <w:iCs/>
          <w:szCs w:val="20"/>
          <w:lang w:val="en-US"/>
        </w:rPr>
        <w:t xml:space="preserve">the </w:t>
      </w:r>
      <w:r w:rsidR="004E3501" w:rsidRPr="00FE50A6">
        <w:rPr>
          <w:rFonts w:cs="Arial"/>
          <w:iCs/>
          <w:szCs w:val="20"/>
          <w:lang w:val="en-US"/>
        </w:rPr>
        <w:t xml:space="preserve">conducts that constitute slavery or </w:t>
      </w:r>
      <w:r w:rsidR="00767151" w:rsidRPr="00FE50A6">
        <w:rPr>
          <w:rFonts w:cs="Arial"/>
          <w:iCs/>
          <w:szCs w:val="20"/>
          <w:lang w:val="en-US"/>
        </w:rPr>
        <w:t>a condition</w:t>
      </w:r>
      <w:r w:rsidR="004E3501" w:rsidRPr="00FE50A6">
        <w:rPr>
          <w:rFonts w:cs="Arial"/>
          <w:iCs/>
          <w:szCs w:val="20"/>
          <w:lang w:val="en-US"/>
        </w:rPr>
        <w:t xml:space="preserve"> similar </w:t>
      </w:r>
      <w:r w:rsidR="00767151" w:rsidRPr="00FE50A6">
        <w:rPr>
          <w:rFonts w:cs="Arial"/>
          <w:iCs/>
          <w:szCs w:val="20"/>
          <w:lang w:val="en-US"/>
        </w:rPr>
        <w:t>to slavery</w:t>
      </w:r>
      <w:r w:rsidR="004E3501" w:rsidRPr="00FE50A6">
        <w:rPr>
          <w:rFonts w:cs="Arial"/>
          <w:iCs/>
          <w:szCs w:val="20"/>
          <w:lang w:val="en-US"/>
        </w:rPr>
        <w:t xml:space="preserve">, as established in this judgment. Evidently, the Court’s decision has the effect of declaring that slavery and similar conditions are </w:t>
      </w:r>
      <w:r w:rsidR="004B0842" w:rsidRPr="00FE50A6">
        <w:rPr>
          <w:rFonts w:cs="Arial"/>
          <w:iCs/>
          <w:szCs w:val="20"/>
          <w:lang w:val="en-US"/>
        </w:rPr>
        <w:t xml:space="preserve">imprescriptible, </w:t>
      </w:r>
      <w:r w:rsidR="004E3501" w:rsidRPr="00FE50A6">
        <w:rPr>
          <w:rFonts w:cs="Arial"/>
          <w:iCs/>
          <w:szCs w:val="20"/>
          <w:lang w:val="en-US"/>
        </w:rPr>
        <w:t>irrespective of whether they correspond to one or more crimes under Brazil’s domestic laws. Consequently, the Court order</w:t>
      </w:r>
      <w:r w:rsidR="00767151" w:rsidRPr="00FE50A6">
        <w:rPr>
          <w:rFonts w:cs="Arial"/>
          <w:iCs/>
          <w:szCs w:val="20"/>
          <w:lang w:val="en-US"/>
        </w:rPr>
        <w:t>s</w:t>
      </w:r>
      <w:r w:rsidR="004E3501" w:rsidRPr="00FE50A6">
        <w:rPr>
          <w:rFonts w:cs="Arial"/>
          <w:iCs/>
          <w:szCs w:val="20"/>
          <w:lang w:val="en-US"/>
        </w:rPr>
        <w:t xml:space="preserve"> the State, with</w:t>
      </w:r>
      <w:r w:rsidR="00767151" w:rsidRPr="00FE50A6">
        <w:rPr>
          <w:rFonts w:cs="Arial"/>
          <w:iCs/>
          <w:szCs w:val="20"/>
          <w:lang w:val="en-US"/>
        </w:rPr>
        <w:t>in</w:t>
      </w:r>
      <w:r w:rsidR="004E3501" w:rsidRPr="00FE50A6">
        <w:rPr>
          <w:rFonts w:cs="Arial"/>
          <w:iCs/>
          <w:szCs w:val="20"/>
          <w:lang w:val="en-US"/>
        </w:rPr>
        <w:t xml:space="preserve"> a </w:t>
      </w:r>
      <w:r w:rsidR="00F37838" w:rsidRPr="00FE50A6">
        <w:rPr>
          <w:rFonts w:cs="Arial"/>
          <w:iCs/>
          <w:szCs w:val="20"/>
          <w:lang w:val="en-US"/>
        </w:rPr>
        <w:t>reasonable time</w:t>
      </w:r>
      <w:r w:rsidR="004B0842" w:rsidRPr="00FE50A6">
        <w:rPr>
          <w:rFonts w:cs="Arial"/>
          <w:iCs/>
          <w:szCs w:val="20"/>
          <w:lang w:val="en-US"/>
        </w:rPr>
        <w:t xml:space="preserve"> </w:t>
      </w:r>
      <w:r w:rsidR="004E3501" w:rsidRPr="00FE50A6">
        <w:rPr>
          <w:rFonts w:cs="Arial"/>
          <w:iCs/>
          <w:szCs w:val="20"/>
          <w:lang w:val="en-US"/>
        </w:rPr>
        <w:t>from</w:t>
      </w:r>
      <w:r w:rsidR="004B0842" w:rsidRPr="00FE50A6">
        <w:rPr>
          <w:rFonts w:cs="Arial"/>
          <w:iCs/>
          <w:szCs w:val="20"/>
          <w:lang w:val="en-US"/>
        </w:rPr>
        <w:t xml:space="preserve"> </w:t>
      </w:r>
      <w:r w:rsidR="004E3501" w:rsidRPr="00FE50A6">
        <w:rPr>
          <w:rFonts w:cs="Arial"/>
          <w:iCs/>
          <w:szCs w:val="20"/>
          <w:lang w:val="en-US"/>
        </w:rPr>
        <w:t>notification</w:t>
      </w:r>
      <w:r w:rsidR="004B0842" w:rsidRPr="00FE50A6">
        <w:rPr>
          <w:rFonts w:cs="Arial"/>
          <w:iCs/>
          <w:szCs w:val="20"/>
          <w:lang w:val="en-US"/>
        </w:rPr>
        <w:t xml:space="preserve"> </w:t>
      </w:r>
      <w:r w:rsidR="00AF42D1" w:rsidRPr="00FE50A6">
        <w:rPr>
          <w:rFonts w:cs="Arial"/>
          <w:iCs/>
          <w:szCs w:val="20"/>
          <w:lang w:val="en-US"/>
        </w:rPr>
        <w:t>of this judgment</w:t>
      </w:r>
      <w:r w:rsidR="004E3501" w:rsidRPr="00FE50A6">
        <w:rPr>
          <w:rFonts w:cs="Arial"/>
          <w:iCs/>
          <w:szCs w:val="20"/>
          <w:lang w:val="en-US"/>
        </w:rPr>
        <w:t xml:space="preserve">, to adopt the necessary legislative measures to ensure that </w:t>
      </w:r>
      <w:r w:rsidR="00767151" w:rsidRPr="00FE50A6">
        <w:rPr>
          <w:rFonts w:cs="Arial"/>
          <w:iCs/>
          <w:szCs w:val="20"/>
          <w:lang w:val="en-US"/>
        </w:rPr>
        <w:t>the statute of limitations</w:t>
      </w:r>
      <w:r w:rsidR="004E3501" w:rsidRPr="00FE50A6">
        <w:rPr>
          <w:rFonts w:cs="Arial"/>
          <w:iCs/>
          <w:szCs w:val="20"/>
          <w:lang w:val="en-US"/>
        </w:rPr>
        <w:t xml:space="preserve"> is not applied to the reduction of a person to slavery and similar conditions, as established in </w:t>
      </w:r>
      <w:r w:rsidR="00351E20" w:rsidRPr="00FE50A6">
        <w:rPr>
          <w:rFonts w:cs="Arial"/>
          <w:iCs/>
          <w:szCs w:val="20"/>
          <w:lang w:val="en-US"/>
        </w:rPr>
        <w:t>paragraphs</w:t>
      </w:r>
      <w:r w:rsidR="004B0842" w:rsidRPr="00FE50A6">
        <w:rPr>
          <w:rFonts w:cs="Arial"/>
          <w:iCs/>
          <w:szCs w:val="20"/>
          <w:lang w:val="en-US"/>
        </w:rPr>
        <w:t xml:space="preserve"> </w:t>
      </w:r>
      <w:r w:rsidR="008036A6" w:rsidRPr="00FE50A6">
        <w:rPr>
          <w:rFonts w:cs="Arial"/>
          <w:iCs/>
          <w:szCs w:val="20"/>
          <w:lang w:val="en-US"/>
        </w:rPr>
        <w:t>269</w:t>
      </w:r>
      <w:r w:rsidR="004B0842" w:rsidRPr="00FE50A6">
        <w:rPr>
          <w:rFonts w:cs="Arial"/>
          <w:iCs/>
          <w:szCs w:val="20"/>
          <w:lang w:val="en-US"/>
        </w:rPr>
        <w:t xml:space="preserve"> </w:t>
      </w:r>
      <w:r w:rsidR="004E3501" w:rsidRPr="00FE50A6">
        <w:rPr>
          <w:rFonts w:cs="Arial"/>
          <w:iCs/>
          <w:szCs w:val="20"/>
          <w:lang w:val="en-US"/>
        </w:rPr>
        <w:t>to</w:t>
      </w:r>
      <w:r w:rsidR="004B0842" w:rsidRPr="00FE50A6">
        <w:rPr>
          <w:rFonts w:cs="Arial"/>
          <w:iCs/>
          <w:szCs w:val="20"/>
          <w:lang w:val="en-US"/>
        </w:rPr>
        <w:t xml:space="preserve"> </w:t>
      </w:r>
      <w:r w:rsidR="00627AAF" w:rsidRPr="00FE50A6">
        <w:rPr>
          <w:rFonts w:cs="Arial"/>
          <w:iCs/>
          <w:szCs w:val="20"/>
          <w:lang w:val="en-US"/>
        </w:rPr>
        <w:t>314</w:t>
      </w:r>
      <w:r w:rsidR="004B0842" w:rsidRPr="00FE50A6">
        <w:rPr>
          <w:rFonts w:cs="Arial"/>
          <w:iCs/>
          <w:szCs w:val="20"/>
          <w:lang w:val="en-US"/>
        </w:rPr>
        <w:t xml:space="preserve"> </w:t>
      </w:r>
      <w:r w:rsidR="00AF42D1" w:rsidRPr="00FE50A6">
        <w:rPr>
          <w:rFonts w:cs="Arial"/>
          <w:iCs/>
          <w:szCs w:val="20"/>
          <w:lang w:val="en-US"/>
        </w:rPr>
        <w:t>of this judgment</w:t>
      </w:r>
      <w:r w:rsidR="004B0842" w:rsidRPr="00FE50A6">
        <w:rPr>
          <w:rFonts w:cs="Arial"/>
          <w:iCs/>
          <w:szCs w:val="20"/>
          <w:lang w:val="en-US"/>
        </w:rPr>
        <w:t>.</w:t>
      </w:r>
    </w:p>
    <w:p w14:paraId="22DE619E" w14:textId="77777777" w:rsidR="004B0842" w:rsidRPr="00FE50A6" w:rsidRDefault="004B0842" w:rsidP="004B0842">
      <w:pPr>
        <w:pStyle w:val="Prrafodelista"/>
        <w:autoSpaceDE w:val="0"/>
        <w:autoSpaceDN w:val="0"/>
        <w:adjustRightInd w:val="0"/>
        <w:ind w:left="0"/>
        <w:rPr>
          <w:rFonts w:cs="Arial"/>
          <w:i/>
          <w:iCs/>
          <w:szCs w:val="20"/>
          <w:lang w:val="en-US"/>
        </w:rPr>
      </w:pPr>
    </w:p>
    <w:p w14:paraId="4853C1C4" w14:textId="77777777" w:rsidR="004B0842" w:rsidRPr="00FE50A6" w:rsidRDefault="00E35960" w:rsidP="00863BF9">
      <w:pPr>
        <w:pStyle w:val="Ttulo3"/>
        <w:rPr>
          <w:lang w:val="en-US"/>
        </w:rPr>
      </w:pPr>
      <w:bookmarkStart w:id="375" w:name="_Toc460433065"/>
      <w:bookmarkStart w:id="376" w:name="_Toc460441996"/>
      <w:bookmarkStart w:id="377" w:name="_Toc462751138"/>
      <w:bookmarkStart w:id="378" w:name="_Toc464813990"/>
      <w:r w:rsidRPr="00FE50A6">
        <w:rPr>
          <w:lang w:val="en-US"/>
        </w:rPr>
        <w:t>C.3</w:t>
      </w:r>
      <w:r w:rsidR="004B0842" w:rsidRPr="00FE50A6">
        <w:rPr>
          <w:lang w:val="en-US"/>
        </w:rPr>
        <w:t>.</w:t>
      </w:r>
      <w:r w:rsidR="004B0842" w:rsidRPr="00FE50A6">
        <w:rPr>
          <w:lang w:val="en-US"/>
        </w:rPr>
        <w:tab/>
      </w:r>
      <w:r w:rsidR="004E3501" w:rsidRPr="00FE50A6">
        <w:rPr>
          <w:lang w:val="en-US"/>
        </w:rPr>
        <w:t>Guarantee of non-repetition</w:t>
      </w:r>
      <w:r w:rsidR="004B0842" w:rsidRPr="00FE50A6">
        <w:rPr>
          <w:lang w:val="en-US"/>
        </w:rPr>
        <w:t>: defini</w:t>
      </w:r>
      <w:r w:rsidR="004E3501" w:rsidRPr="00FE50A6">
        <w:rPr>
          <w:lang w:val="en-US"/>
        </w:rPr>
        <w:t>tion of</w:t>
      </w:r>
      <w:r w:rsidR="00615E39" w:rsidRPr="00FE50A6">
        <w:rPr>
          <w:lang w:val="en-US"/>
        </w:rPr>
        <w:t xml:space="preserve"> </w:t>
      </w:r>
      <w:r w:rsidR="000C2A19" w:rsidRPr="00FE50A6">
        <w:rPr>
          <w:lang w:val="en-US"/>
        </w:rPr>
        <w:t>trafficking in persons</w:t>
      </w:r>
      <w:r w:rsidR="00615E39" w:rsidRPr="00FE50A6">
        <w:rPr>
          <w:lang w:val="en-US"/>
        </w:rPr>
        <w:t xml:space="preserve"> </w:t>
      </w:r>
      <w:bookmarkEnd w:id="375"/>
      <w:bookmarkEnd w:id="376"/>
      <w:bookmarkEnd w:id="377"/>
      <w:bookmarkEnd w:id="378"/>
    </w:p>
    <w:p w14:paraId="503D4E19" w14:textId="77777777" w:rsidR="004B0842" w:rsidRPr="00FE50A6" w:rsidRDefault="004B0842" w:rsidP="004B0842">
      <w:pPr>
        <w:pStyle w:val="Prrafodelista"/>
        <w:autoSpaceDE w:val="0"/>
        <w:autoSpaceDN w:val="0"/>
        <w:adjustRightInd w:val="0"/>
        <w:rPr>
          <w:rFonts w:cs="Arial"/>
          <w:iCs/>
          <w:szCs w:val="20"/>
          <w:lang w:val="en-US"/>
        </w:rPr>
      </w:pPr>
    </w:p>
    <w:p w14:paraId="5AEA0360"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4E3501" w:rsidRPr="00FE50A6">
        <w:rPr>
          <w:rFonts w:cs="Arial"/>
          <w:iCs/>
          <w:szCs w:val="20"/>
          <w:lang w:val="en-US"/>
        </w:rPr>
        <w:t>indicated that,</w:t>
      </w:r>
      <w:r w:rsidR="00E368FD" w:rsidRPr="00FE50A6">
        <w:rPr>
          <w:rFonts w:cs="Arial"/>
          <w:iCs/>
          <w:szCs w:val="20"/>
          <w:lang w:val="en-US"/>
        </w:rPr>
        <w:t xml:space="preserve"> in Brazil</w:t>
      </w:r>
      <w:r w:rsidR="004E3501" w:rsidRPr="00FE50A6">
        <w:rPr>
          <w:rFonts w:cs="Arial"/>
          <w:iCs/>
          <w:szCs w:val="20"/>
          <w:lang w:val="en-US"/>
        </w:rPr>
        <w:t>,</w:t>
      </w:r>
      <w:r w:rsidR="004B0842" w:rsidRPr="00FE50A6">
        <w:rPr>
          <w:rFonts w:cs="Arial"/>
          <w:iCs/>
          <w:szCs w:val="20"/>
          <w:lang w:val="en-US"/>
        </w:rPr>
        <w:t xml:space="preserve"> </w:t>
      </w:r>
      <w:r w:rsidR="000C2A19" w:rsidRPr="00FE50A6">
        <w:rPr>
          <w:rFonts w:cs="Arial"/>
          <w:iCs/>
          <w:szCs w:val="20"/>
          <w:lang w:val="en-US"/>
        </w:rPr>
        <w:t>trafficking in persons</w:t>
      </w:r>
      <w:r w:rsidR="00615E39" w:rsidRPr="00FE50A6">
        <w:rPr>
          <w:rFonts w:cs="Arial"/>
          <w:iCs/>
          <w:szCs w:val="20"/>
          <w:lang w:val="en-US"/>
        </w:rPr>
        <w:t xml:space="preserve"> </w:t>
      </w:r>
      <w:r w:rsidR="004E3501" w:rsidRPr="00FE50A6">
        <w:rPr>
          <w:rFonts w:cs="Arial"/>
          <w:iCs/>
          <w:szCs w:val="20"/>
          <w:lang w:val="en-US"/>
        </w:rPr>
        <w:t>has only been defined as a crime if it is for the purposes of sexual exploitation.</w:t>
      </w:r>
      <w:r w:rsidR="004B0842" w:rsidRPr="00FE50A6">
        <w:rPr>
          <w:rFonts w:cs="Arial"/>
          <w:iCs/>
          <w:szCs w:val="20"/>
          <w:lang w:val="en-US"/>
        </w:rPr>
        <w:t xml:space="preserve"> </w:t>
      </w:r>
      <w:r w:rsidR="004E3501" w:rsidRPr="00FE50A6">
        <w:rPr>
          <w:rFonts w:cs="Arial"/>
          <w:iCs/>
          <w:szCs w:val="20"/>
          <w:lang w:val="en-US"/>
        </w:rPr>
        <w:t xml:space="preserve">According to </w:t>
      </w:r>
      <w:r w:rsidR="00F15589" w:rsidRPr="00FE50A6">
        <w:rPr>
          <w:rFonts w:cs="Arial"/>
          <w:iCs/>
          <w:szCs w:val="20"/>
          <w:lang w:val="en-US"/>
        </w:rPr>
        <w:t>the Protocol of</w:t>
      </w:r>
      <w:r w:rsidR="004B0842" w:rsidRPr="00FE50A6">
        <w:rPr>
          <w:rFonts w:cs="Arial"/>
          <w:iCs/>
          <w:szCs w:val="20"/>
          <w:lang w:val="en-US"/>
        </w:rPr>
        <w:t xml:space="preserve"> Palermo, </w:t>
      </w:r>
      <w:r w:rsidR="000228D0" w:rsidRPr="00FE50A6">
        <w:rPr>
          <w:rFonts w:cs="Arial"/>
          <w:iCs/>
          <w:szCs w:val="20"/>
          <w:lang w:val="en-US"/>
        </w:rPr>
        <w:t>the State</w:t>
      </w:r>
      <w:r w:rsidR="004B0842" w:rsidRPr="00FE50A6">
        <w:rPr>
          <w:rFonts w:cs="Arial"/>
          <w:iCs/>
          <w:szCs w:val="20"/>
          <w:lang w:val="en-US"/>
        </w:rPr>
        <w:t xml:space="preserve"> </w:t>
      </w:r>
      <w:r w:rsidR="004E3501" w:rsidRPr="00FE50A6">
        <w:rPr>
          <w:rFonts w:cs="Arial"/>
          <w:iCs/>
          <w:szCs w:val="20"/>
          <w:lang w:val="en-US"/>
        </w:rPr>
        <w:t xml:space="preserve">should define the crime of </w:t>
      </w:r>
      <w:r w:rsidR="000C2A19" w:rsidRPr="00FE50A6">
        <w:rPr>
          <w:rFonts w:cs="Arial"/>
          <w:iCs/>
          <w:szCs w:val="20"/>
          <w:lang w:val="en-US"/>
        </w:rPr>
        <w:t>trafficking in persons</w:t>
      </w:r>
      <w:r w:rsidR="004B0842" w:rsidRPr="00FE50A6">
        <w:rPr>
          <w:rFonts w:cs="Arial"/>
          <w:iCs/>
          <w:szCs w:val="20"/>
          <w:lang w:val="en-US"/>
        </w:rPr>
        <w:t xml:space="preserve"> </w:t>
      </w:r>
      <w:r w:rsidR="000C2A19" w:rsidRPr="00FE50A6">
        <w:rPr>
          <w:rFonts w:cs="Arial"/>
          <w:iCs/>
          <w:szCs w:val="20"/>
          <w:lang w:val="en-US"/>
        </w:rPr>
        <w:t>in accordance with international standards to include any type of trafficking for the purpose of economic exploitation</w:t>
      </w:r>
      <w:r w:rsidR="004B0842" w:rsidRPr="00FE50A6">
        <w:rPr>
          <w:rFonts w:cs="Arial"/>
          <w:iCs/>
          <w:szCs w:val="20"/>
          <w:lang w:val="en-US"/>
        </w:rPr>
        <w:t>.</w:t>
      </w:r>
    </w:p>
    <w:p w14:paraId="5E906219" w14:textId="77777777" w:rsidR="004B0842" w:rsidRPr="00FE50A6" w:rsidRDefault="004B0842" w:rsidP="004B0842">
      <w:pPr>
        <w:pStyle w:val="Prrafodelista"/>
        <w:autoSpaceDE w:val="0"/>
        <w:autoSpaceDN w:val="0"/>
        <w:adjustRightInd w:val="0"/>
        <w:rPr>
          <w:rFonts w:cs="Arial"/>
          <w:iCs/>
          <w:szCs w:val="20"/>
          <w:lang w:val="en-US"/>
        </w:rPr>
      </w:pPr>
    </w:p>
    <w:p w14:paraId="64104C52"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a</w:t>
      </w:r>
      <w:r w:rsidR="000C2A19" w:rsidRPr="00FE50A6">
        <w:rPr>
          <w:rFonts w:cs="Arial"/>
          <w:iCs/>
          <w:szCs w:val="20"/>
          <w:lang w:val="en-US"/>
        </w:rPr>
        <w:t xml:space="preserve">rgued that this request fell outside the jurisdiction </w:t>
      </w:r>
      <w:r w:rsidRPr="00FE50A6">
        <w:rPr>
          <w:rFonts w:cs="Arial"/>
          <w:iCs/>
          <w:szCs w:val="20"/>
          <w:lang w:val="en-US"/>
        </w:rPr>
        <w:t>of the Court</w:t>
      </w:r>
      <w:r w:rsidR="004B0842" w:rsidRPr="00FE50A6">
        <w:rPr>
          <w:rFonts w:cs="Arial"/>
          <w:iCs/>
          <w:szCs w:val="20"/>
          <w:lang w:val="en-US"/>
        </w:rPr>
        <w:t xml:space="preserve"> </w:t>
      </w:r>
      <w:r w:rsidR="004B0842" w:rsidRPr="00FE50A6">
        <w:rPr>
          <w:rFonts w:cs="Arial"/>
          <w:i/>
          <w:iCs/>
          <w:szCs w:val="20"/>
          <w:lang w:val="en-US"/>
        </w:rPr>
        <w:t>ratione materiae</w:t>
      </w:r>
      <w:r w:rsidR="004B0842" w:rsidRPr="00FE50A6">
        <w:rPr>
          <w:rFonts w:cs="Arial"/>
          <w:iCs/>
          <w:szCs w:val="20"/>
          <w:lang w:val="en-US"/>
        </w:rPr>
        <w:t xml:space="preserve">. </w:t>
      </w:r>
      <w:r w:rsidR="00984A55" w:rsidRPr="00FE50A6">
        <w:rPr>
          <w:rFonts w:cs="Arial"/>
          <w:iCs/>
          <w:szCs w:val="20"/>
          <w:lang w:val="en-US"/>
        </w:rPr>
        <w:t>I</w:t>
      </w:r>
      <w:r w:rsidR="000C2A19" w:rsidRPr="00FE50A6">
        <w:rPr>
          <w:rFonts w:cs="Arial"/>
          <w:iCs/>
          <w:szCs w:val="20"/>
          <w:lang w:val="en-US"/>
        </w:rPr>
        <w:t>t i</w:t>
      </w:r>
      <w:r w:rsidR="00984A55" w:rsidRPr="00FE50A6">
        <w:rPr>
          <w:rFonts w:cs="Arial"/>
          <w:iCs/>
          <w:szCs w:val="20"/>
          <w:lang w:val="en-US"/>
        </w:rPr>
        <w:t>ndicated</w:t>
      </w:r>
      <w:r w:rsidR="004B0842" w:rsidRPr="00FE50A6">
        <w:rPr>
          <w:rFonts w:cs="Arial"/>
          <w:iCs/>
          <w:szCs w:val="20"/>
          <w:lang w:val="en-US"/>
        </w:rPr>
        <w:t xml:space="preserve"> </w:t>
      </w:r>
      <w:r w:rsidR="000C2A19" w:rsidRPr="00FE50A6">
        <w:rPr>
          <w:rFonts w:cs="Arial"/>
          <w:iCs/>
          <w:szCs w:val="20"/>
          <w:lang w:val="en-US"/>
        </w:rPr>
        <w:t>that</w:t>
      </w:r>
      <w:r w:rsidR="004B0842" w:rsidRPr="00FE50A6">
        <w:rPr>
          <w:rFonts w:cs="Arial"/>
          <w:iCs/>
          <w:szCs w:val="20"/>
          <w:lang w:val="en-US"/>
        </w:rPr>
        <w:t xml:space="preserve"> </w:t>
      </w:r>
      <w:r w:rsidR="00700B79" w:rsidRPr="00FE50A6">
        <w:rPr>
          <w:rFonts w:cs="Arial"/>
          <w:iCs/>
          <w:szCs w:val="20"/>
          <w:lang w:val="en-US"/>
        </w:rPr>
        <w:t>the representatives</w:t>
      </w:r>
      <w:r w:rsidR="004B0842" w:rsidRPr="00FE50A6">
        <w:rPr>
          <w:rFonts w:cs="Arial"/>
          <w:iCs/>
          <w:szCs w:val="20"/>
          <w:lang w:val="en-US"/>
        </w:rPr>
        <w:t xml:space="preserve"> </w:t>
      </w:r>
      <w:r w:rsidR="000C2A19" w:rsidRPr="00FE50A6">
        <w:rPr>
          <w:rFonts w:cs="Arial"/>
          <w:iCs/>
          <w:szCs w:val="20"/>
          <w:lang w:val="en-US"/>
        </w:rPr>
        <w:t>could not ask</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0C2A19" w:rsidRPr="00FE50A6">
        <w:rPr>
          <w:rFonts w:cs="Arial"/>
          <w:iCs/>
          <w:szCs w:val="20"/>
          <w:lang w:val="en-US"/>
        </w:rPr>
        <w:t>to declare possible failures by Brazil to comply with its obligation to criminalize trafficking in persons</w:t>
      </w:r>
      <w:r w:rsidR="004B0842" w:rsidRPr="00FE50A6">
        <w:rPr>
          <w:rFonts w:cs="Arial"/>
          <w:iCs/>
          <w:szCs w:val="20"/>
          <w:lang w:val="en-US"/>
        </w:rPr>
        <w:t>.</w:t>
      </w:r>
      <w:r w:rsidR="000C2A19" w:rsidRPr="00FE50A6">
        <w:rPr>
          <w:rFonts w:cs="Arial"/>
          <w:iCs/>
          <w:szCs w:val="20"/>
          <w:lang w:val="en-US"/>
        </w:rPr>
        <w:t xml:space="preserve"> It also asserted that</w:t>
      </w:r>
      <w:r w:rsidR="004B0842" w:rsidRPr="00FE50A6">
        <w:rPr>
          <w:rFonts w:cs="Arial"/>
          <w:iCs/>
          <w:szCs w:val="20"/>
          <w:lang w:val="en-US"/>
        </w:rPr>
        <w:t xml:space="preserve"> </w:t>
      </w:r>
      <w:r w:rsidR="005F1946" w:rsidRPr="00FE50A6">
        <w:rPr>
          <w:rFonts w:cs="Arial"/>
          <w:iCs/>
          <w:szCs w:val="20"/>
          <w:lang w:val="en-US"/>
        </w:rPr>
        <w:t>slave labor</w:t>
      </w:r>
      <w:r w:rsidR="00030C17" w:rsidRPr="00FE50A6">
        <w:rPr>
          <w:rFonts w:cs="Arial"/>
          <w:iCs/>
          <w:szCs w:val="20"/>
          <w:lang w:val="en-US"/>
        </w:rPr>
        <w:t xml:space="preserve"> and</w:t>
      </w:r>
      <w:r w:rsidR="00615E39" w:rsidRPr="00FE50A6">
        <w:rPr>
          <w:rFonts w:cs="Arial"/>
          <w:iCs/>
          <w:szCs w:val="20"/>
          <w:lang w:val="en-US"/>
        </w:rPr>
        <w:t xml:space="preserve"> </w:t>
      </w:r>
      <w:r w:rsidR="000C2A19" w:rsidRPr="00FE50A6">
        <w:rPr>
          <w:rFonts w:cs="Arial"/>
          <w:iCs/>
          <w:szCs w:val="20"/>
          <w:lang w:val="en-US"/>
        </w:rPr>
        <w:t>trafficking in persons</w:t>
      </w:r>
      <w:r w:rsidR="00615E39" w:rsidRPr="00FE50A6">
        <w:rPr>
          <w:rFonts w:cs="Arial"/>
          <w:iCs/>
          <w:szCs w:val="20"/>
          <w:lang w:val="en-US"/>
        </w:rPr>
        <w:t xml:space="preserve"> </w:t>
      </w:r>
      <w:r w:rsidR="000C2A19" w:rsidRPr="00FE50A6">
        <w:rPr>
          <w:rFonts w:cs="Arial"/>
          <w:iCs/>
          <w:szCs w:val="20"/>
          <w:lang w:val="en-US"/>
        </w:rPr>
        <w:t>were different concepts and this case refers only to the former.</w:t>
      </w:r>
    </w:p>
    <w:p w14:paraId="604CCD90" w14:textId="77777777" w:rsidR="004B0842" w:rsidRPr="00FE50A6" w:rsidRDefault="004B0842" w:rsidP="004B0842">
      <w:pPr>
        <w:pStyle w:val="Prrafodelista"/>
        <w:autoSpaceDE w:val="0"/>
        <w:autoSpaceDN w:val="0"/>
        <w:adjustRightInd w:val="0"/>
        <w:rPr>
          <w:rFonts w:cs="Arial"/>
          <w:iCs/>
          <w:szCs w:val="20"/>
          <w:lang w:val="en-US"/>
        </w:rPr>
      </w:pPr>
    </w:p>
    <w:p w14:paraId="7D76FD1A" w14:textId="77777777" w:rsidR="004B0842" w:rsidRPr="00FE50A6" w:rsidRDefault="000228D0" w:rsidP="0082643A">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consider</w:t>
      </w:r>
      <w:r w:rsidR="000C2A19" w:rsidRPr="00FE50A6">
        <w:rPr>
          <w:rFonts w:cs="Arial"/>
          <w:iCs/>
          <w:szCs w:val="20"/>
          <w:lang w:val="en-US"/>
        </w:rPr>
        <w:t xml:space="preserve">s that the fact that trafficking is only defined as a crime for the purpose of sexual exploitation did not have an impact in this case. In the Court’s opinion, the elements of trafficking in persons that occurred in the case are covered by article 207 </w:t>
      </w:r>
      <w:r w:rsidR="00615E39" w:rsidRPr="00FE50A6">
        <w:rPr>
          <w:rFonts w:cs="Arial"/>
          <w:iCs/>
          <w:szCs w:val="20"/>
          <w:lang w:val="en-US"/>
        </w:rPr>
        <w:t xml:space="preserve"> </w:t>
      </w:r>
      <w:r w:rsidR="004B0842" w:rsidRPr="00FE50A6">
        <w:rPr>
          <w:rFonts w:cs="Arial"/>
          <w:iCs/>
          <w:szCs w:val="20"/>
          <w:lang w:val="en-US"/>
        </w:rPr>
        <w:t xml:space="preserve"> </w:t>
      </w:r>
      <w:r w:rsidR="0032018A" w:rsidRPr="00FE50A6">
        <w:rPr>
          <w:rFonts w:cs="Arial"/>
          <w:iCs/>
          <w:szCs w:val="20"/>
          <w:lang w:val="en-US"/>
        </w:rPr>
        <w:t>of the Penal Code</w:t>
      </w:r>
      <w:r w:rsidR="004B0842" w:rsidRPr="00FE50A6">
        <w:rPr>
          <w:rFonts w:cs="Arial"/>
          <w:iCs/>
          <w:szCs w:val="20"/>
          <w:lang w:val="en-US"/>
        </w:rPr>
        <w:t xml:space="preserve"> </w:t>
      </w:r>
      <w:r w:rsidR="000C2A19" w:rsidRPr="00FE50A6">
        <w:rPr>
          <w:rFonts w:cs="Arial"/>
          <w:iCs/>
          <w:szCs w:val="20"/>
          <w:lang w:val="en-US"/>
        </w:rPr>
        <w:t xml:space="preserve">which establishes: </w:t>
      </w:r>
      <w:r w:rsidR="009C48A4" w:rsidRPr="00FE50A6">
        <w:rPr>
          <w:rFonts w:cs="Arial"/>
          <w:iCs/>
          <w:szCs w:val="20"/>
          <w:lang w:val="en-US"/>
        </w:rPr>
        <w:t>“</w:t>
      </w:r>
      <w:r w:rsidR="0082643A" w:rsidRPr="00FE50A6">
        <w:rPr>
          <w:rFonts w:cs="Arial"/>
          <w:iCs/>
          <w:szCs w:val="20"/>
          <w:lang w:val="en-US"/>
        </w:rPr>
        <w:t xml:space="preserve">[To] </w:t>
      </w:r>
      <w:r w:rsidR="0082643A" w:rsidRPr="00FE50A6">
        <w:rPr>
          <w:lang w:val="en-US"/>
        </w:rPr>
        <w:t xml:space="preserve">recruit workers in order to take them to another part of national territory, by fraud […]: Penalty – one to three years’ imprisonment and a fine.” This article was applied in the investigation opened following the 1997 inspection and was the </w:t>
      </w:r>
      <w:r w:rsidR="00963C63" w:rsidRPr="00FE50A6">
        <w:rPr>
          <w:lang w:val="en-US"/>
        </w:rPr>
        <w:t xml:space="preserve">purpose of the criminal proceedings instituted on that occasion. Thus, the possible defects in the definition of the crime of </w:t>
      </w:r>
      <w:r w:rsidR="00963C63" w:rsidRPr="00FE50A6">
        <w:rPr>
          <w:rFonts w:cs="Arial"/>
          <w:iCs/>
          <w:szCs w:val="20"/>
          <w:lang w:val="en-US"/>
        </w:rPr>
        <w:t xml:space="preserve">trafficking in persons had no consequences for the impunity </w:t>
      </w:r>
      <w:r w:rsidR="007571DF" w:rsidRPr="00FE50A6">
        <w:rPr>
          <w:rFonts w:cs="Arial"/>
          <w:iCs/>
          <w:szCs w:val="20"/>
          <w:lang w:val="en-US"/>
        </w:rPr>
        <w:t xml:space="preserve">of the </w:t>
      </w:r>
      <w:r w:rsidR="00EB5CB3" w:rsidRPr="00FE50A6">
        <w:rPr>
          <w:rFonts w:cs="Arial"/>
          <w:iCs/>
          <w:szCs w:val="20"/>
          <w:lang w:val="en-US"/>
        </w:rPr>
        <w:t>human rights violations</w:t>
      </w:r>
      <w:r w:rsidR="004B0842" w:rsidRPr="00FE50A6">
        <w:rPr>
          <w:rFonts w:cs="Arial"/>
          <w:iCs/>
          <w:szCs w:val="20"/>
          <w:lang w:val="en-US"/>
        </w:rPr>
        <w:t xml:space="preserve"> </w:t>
      </w:r>
      <w:r w:rsidR="00963C63" w:rsidRPr="00FE50A6">
        <w:rPr>
          <w:rFonts w:cs="Arial"/>
          <w:iCs/>
          <w:szCs w:val="20"/>
          <w:lang w:val="en-US"/>
        </w:rPr>
        <w:t>identified in Chapter</w:t>
      </w:r>
      <w:r w:rsidR="004B0842" w:rsidRPr="00FE50A6">
        <w:rPr>
          <w:rFonts w:cs="Arial"/>
          <w:iCs/>
          <w:szCs w:val="20"/>
          <w:lang w:val="en-US"/>
        </w:rPr>
        <w:t xml:space="preserve"> </w:t>
      </w:r>
      <w:r w:rsidR="00126C03" w:rsidRPr="00FE50A6">
        <w:rPr>
          <w:rFonts w:cs="Arial"/>
          <w:iCs/>
          <w:szCs w:val="20"/>
          <w:lang w:val="en-US"/>
        </w:rPr>
        <w:t>VIII</w:t>
      </w:r>
      <w:r w:rsidR="004B0842" w:rsidRPr="00FE50A6">
        <w:rPr>
          <w:rFonts w:cs="Arial"/>
          <w:iCs/>
          <w:szCs w:val="20"/>
          <w:lang w:val="en-US"/>
        </w:rPr>
        <w:t xml:space="preserve">. </w:t>
      </w:r>
      <w:r w:rsidR="00963C63" w:rsidRPr="00FE50A6">
        <w:rPr>
          <w:rFonts w:cs="Arial"/>
          <w:iCs/>
          <w:szCs w:val="20"/>
          <w:lang w:val="en-US"/>
        </w:rPr>
        <w:t xml:space="preserve">Consequently, the Court finds that it is unable to grant the </w:t>
      </w:r>
      <w:r w:rsidR="00700B79" w:rsidRPr="00FE50A6">
        <w:rPr>
          <w:rFonts w:cs="Arial"/>
          <w:iCs/>
          <w:szCs w:val="20"/>
          <w:lang w:val="en-US"/>
        </w:rPr>
        <w:t>representatives</w:t>
      </w:r>
      <w:r w:rsidR="00963C63" w:rsidRPr="00FE50A6">
        <w:rPr>
          <w:rFonts w:cs="Arial"/>
          <w:iCs/>
          <w:szCs w:val="20"/>
          <w:lang w:val="en-US"/>
        </w:rPr>
        <w:t>’ request that Brazil amend the definition of the crime of</w:t>
      </w:r>
      <w:r w:rsidR="00615E39" w:rsidRPr="00FE50A6">
        <w:rPr>
          <w:rFonts w:cs="Arial"/>
          <w:iCs/>
          <w:szCs w:val="20"/>
          <w:lang w:val="en-US"/>
        </w:rPr>
        <w:t xml:space="preserve"> </w:t>
      </w:r>
      <w:r w:rsidR="000C2A19" w:rsidRPr="00FE50A6">
        <w:rPr>
          <w:rFonts w:cs="Arial"/>
          <w:iCs/>
          <w:szCs w:val="20"/>
          <w:lang w:val="en-US"/>
        </w:rPr>
        <w:t>trafficking in persons</w:t>
      </w:r>
      <w:r w:rsidR="00615E39" w:rsidRPr="00FE50A6">
        <w:rPr>
          <w:rFonts w:cs="Arial"/>
          <w:iCs/>
          <w:szCs w:val="20"/>
          <w:lang w:val="en-US"/>
        </w:rPr>
        <w:t xml:space="preserve"> </w:t>
      </w:r>
      <w:r w:rsidR="00963C63" w:rsidRPr="00FE50A6">
        <w:rPr>
          <w:rFonts w:cs="Arial"/>
          <w:iCs/>
          <w:szCs w:val="20"/>
          <w:lang w:val="en-US"/>
        </w:rPr>
        <w:t>in its domestic law.</w:t>
      </w:r>
    </w:p>
    <w:p w14:paraId="58D8CEF2" w14:textId="77777777" w:rsidR="004B0842" w:rsidRPr="00FE50A6" w:rsidRDefault="004B0842" w:rsidP="004B0842">
      <w:pPr>
        <w:pStyle w:val="Prrafodelista"/>
        <w:autoSpaceDE w:val="0"/>
        <w:autoSpaceDN w:val="0"/>
        <w:adjustRightInd w:val="0"/>
        <w:ind w:left="0"/>
        <w:rPr>
          <w:rFonts w:cs="Arial"/>
          <w:i/>
          <w:iCs/>
          <w:szCs w:val="20"/>
          <w:lang w:val="en-US"/>
        </w:rPr>
      </w:pPr>
    </w:p>
    <w:p w14:paraId="1088078A" w14:textId="77777777" w:rsidR="004B0842" w:rsidRPr="00FE50A6" w:rsidRDefault="00E35960" w:rsidP="00863BF9">
      <w:pPr>
        <w:pStyle w:val="Ttulo3"/>
        <w:rPr>
          <w:lang w:val="en-US"/>
        </w:rPr>
      </w:pPr>
      <w:bookmarkStart w:id="379" w:name="_Toc460433066"/>
      <w:bookmarkStart w:id="380" w:name="_Toc460441997"/>
      <w:bookmarkStart w:id="381" w:name="_Toc462751139"/>
      <w:bookmarkStart w:id="382" w:name="_Toc464813991"/>
      <w:r w:rsidRPr="00FE50A6">
        <w:rPr>
          <w:lang w:val="en-US"/>
        </w:rPr>
        <w:t>C.4</w:t>
      </w:r>
      <w:r w:rsidR="004B0842" w:rsidRPr="00FE50A6">
        <w:rPr>
          <w:lang w:val="en-US"/>
        </w:rPr>
        <w:t>.</w:t>
      </w:r>
      <w:r w:rsidR="004B0842" w:rsidRPr="00FE50A6">
        <w:rPr>
          <w:lang w:val="en-US"/>
        </w:rPr>
        <w:tab/>
      </w:r>
      <w:r w:rsidR="004E3501" w:rsidRPr="00FE50A6">
        <w:rPr>
          <w:lang w:val="en-US"/>
        </w:rPr>
        <w:t>Guarantee of non-repetition</w:t>
      </w:r>
      <w:r w:rsidR="004B0842" w:rsidRPr="00FE50A6">
        <w:rPr>
          <w:lang w:val="en-US"/>
        </w:rPr>
        <w:t>: p</w:t>
      </w:r>
      <w:r w:rsidR="00963C63" w:rsidRPr="00FE50A6">
        <w:rPr>
          <w:lang w:val="en-US"/>
        </w:rPr>
        <w:t>ending draft laws and proportionality of the punishment</w:t>
      </w:r>
      <w:bookmarkEnd w:id="379"/>
      <w:bookmarkEnd w:id="380"/>
      <w:bookmarkEnd w:id="381"/>
      <w:bookmarkEnd w:id="382"/>
    </w:p>
    <w:p w14:paraId="4D95E2A5" w14:textId="77777777" w:rsidR="004B0842" w:rsidRPr="00FE50A6" w:rsidRDefault="004B0842" w:rsidP="004B0842">
      <w:pPr>
        <w:pStyle w:val="Prrafodelista"/>
        <w:autoSpaceDE w:val="0"/>
        <w:autoSpaceDN w:val="0"/>
        <w:adjustRightInd w:val="0"/>
        <w:rPr>
          <w:rFonts w:cs="Arial"/>
          <w:iCs/>
          <w:szCs w:val="20"/>
          <w:lang w:val="en-US"/>
        </w:rPr>
      </w:pPr>
    </w:p>
    <w:p w14:paraId="0A249F8C" w14:textId="77777777" w:rsidR="00963C63"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963C63" w:rsidRPr="00FE50A6">
        <w:rPr>
          <w:rFonts w:cs="Arial"/>
          <w:iCs/>
          <w:szCs w:val="20"/>
          <w:lang w:val="en-US"/>
        </w:rPr>
        <w:t>indicated that a draft law was being processed that intended to reduce the scope of the crime of slave labor by eliminating the mention of the “ex</w:t>
      </w:r>
      <w:r w:rsidR="00A30556" w:rsidRPr="00FE50A6">
        <w:rPr>
          <w:rFonts w:cs="Arial"/>
          <w:iCs/>
          <w:szCs w:val="20"/>
          <w:lang w:val="en-US"/>
        </w:rPr>
        <w:t xml:space="preserve">tenuating </w:t>
      </w:r>
      <w:r w:rsidR="00963C63" w:rsidRPr="00FE50A6">
        <w:rPr>
          <w:rFonts w:cs="Arial"/>
          <w:iCs/>
          <w:szCs w:val="20"/>
          <w:lang w:val="en-US"/>
        </w:rPr>
        <w:t>working day” and “degrading working conditions.” Based on the principle of the irreversibility of the fundamental rights, the representatives requested that Brazil refrain from enacting legislative measures that signified a step backwards in the combat against slave labor. In addition, they indicated that the penalties established for the crime of slave labor (two to eight</w:t>
      </w:r>
      <w:r w:rsidR="00A30556" w:rsidRPr="00FE50A6">
        <w:rPr>
          <w:rFonts w:cs="Arial"/>
          <w:iCs/>
          <w:szCs w:val="20"/>
          <w:lang w:val="en-US"/>
        </w:rPr>
        <w:t xml:space="preserve"> </w:t>
      </w:r>
      <w:r w:rsidR="00963C63" w:rsidRPr="00FE50A6">
        <w:rPr>
          <w:rFonts w:cs="Arial"/>
          <w:iCs/>
          <w:szCs w:val="20"/>
          <w:lang w:val="en-US"/>
        </w:rPr>
        <w:t xml:space="preserve">years’ imprisonment) were too low and asked that the State establish new penalties that were more effective and more proportionate to the gravity of the </w:t>
      </w:r>
      <w:r w:rsidR="00A30556" w:rsidRPr="00FE50A6">
        <w:rPr>
          <w:rFonts w:cs="Arial"/>
          <w:iCs/>
          <w:szCs w:val="20"/>
          <w:lang w:val="en-US"/>
        </w:rPr>
        <w:t>conducts</w:t>
      </w:r>
      <w:r w:rsidR="00963C63" w:rsidRPr="00FE50A6">
        <w:rPr>
          <w:rFonts w:cs="Arial"/>
          <w:iCs/>
          <w:szCs w:val="20"/>
          <w:lang w:val="en-US"/>
        </w:rPr>
        <w:t>.</w:t>
      </w:r>
    </w:p>
    <w:p w14:paraId="3A097BE7" w14:textId="77777777" w:rsidR="004B0842" w:rsidRPr="00FE50A6" w:rsidRDefault="004B0842" w:rsidP="004B0842">
      <w:pPr>
        <w:pStyle w:val="Prrafodelista"/>
        <w:autoSpaceDE w:val="0"/>
        <w:autoSpaceDN w:val="0"/>
        <w:adjustRightInd w:val="0"/>
        <w:rPr>
          <w:rFonts w:cs="Arial"/>
          <w:iCs/>
          <w:szCs w:val="20"/>
          <w:lang w:val="en-US"/>
        </w:rPr>
      </w:pPr>
    </w:p>
    <w:p w14:paraId="18E30FAF" w14:textId="77777777" w:rsidR="00963C63"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a</w:t>
      </w:r>
      <w:r w:rsidR="00963C63" w:rsidRPr="00FE50A6">
        <w:rPr>
          <w:rFonts w:cs="Arial"/>
          <w:iCs/>
          <w:szCs w:val="20"/>
          <w:lang w:val="en-US"/>
        </w:rPr>
        <w:t>rgue</w:t>
      </w:r>
      <w:r w:rsidR="00A30556" w:rsidRPr="00FE50A6">
        <w:rPr>
          <w:rFonts w:cs="Arial"/>
          <w:iCs/>
          <w:szCs w:val="20"/>
          <w:lang w:val="en-US"/>
        </w:rPr>
        <w:t>d</w:t>
      </w:r>
      <w:r w:rsidR="00963C63" w:rsidRPr="00FE50A6">
        <w:rPr>
          <w:rFonts w:cs="Arial"/>
          <w:iCs/>
          <w:szCs w:val="20"/>
          <w:lang w:val="en-US"/>
        </w:rPr>
        <w:t xml:space="preserve"> that</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963C63" w:rsidRPr="00FE50A6">
        <w:rPr>
          <w:rFonts w:cs="Arial"/>
          <w:iCs/>
          <w:szCs w:val="20"/>
          <w:lang w:val="en-US"/>
        </w:rPr>
        <w:t>was unable to rule on the proportionality of the penalty assigned to the crime of slave labor in</w:t>
      </w:r>
      <w:r w:rsidR="003F36F0" w:rsidRPr="00FE50A6">
        <w:rPr>
          <w:rFonts w:cs="Arial"/>
          <w:iCs/>
          <w:szCs w:val="20"/>
          <w:lang w:val="en-US"/>
        </w:rPr>
        <w:t xml:space="preserve"> the</w:t>
      </w:r>
      <w:r w:rsidR="00963C63" w:rsidRPr="00FE50A6">
        <w:rPr>
          <w:rFonts w:cs="Arial"/>
          <w:iCs/>
          <w:szCs w:val="20"/>
          <w:lang w:val="en-US"/>
        </w:rPr>
        <w:t xml:space="preserve"> abstract, and that the representatives had not indicated </w:t>
      </w:r>
      <w:r w:rsidR="00A30556" w:rsidRPr="00FE50A6">
        <w:rPr>
          <w:rFonts w:cs="Arial"/>
          <w:iCs/>
          <w:szCs w:val="20"/>
          <w:lang w:val="en-US"/>
        </w:rPr>
        <w:t>which</w:t>
      </w:r>
      <w:r w:rsidR="00963C63" w:rsidRPr="00FE50A6">
        <w:rPr>
          <w:rFonts w:cs="Arial"/>
          <w:iCs/>
          <w:szCs w:val="20"/>
          <w:lang w:val="en-US"/>
        </w:rPr>
        <w:t xml:space="preserve"> inter-American parameters</w:t>
      </w:r>
      <w:r w:rsidR="00A30556" w:rsidRPr="00FE50A6">
        <w:rPr>
          <w:rFonts w:cs="Arial"/>
          <w:iCs/>
          <w:szCs w:val="20"/>
          <w:lang w:val="en-US"/>
        </w:rPr>
        <w:t xml:space="preserve"> Brazil had</w:t>
      </w:r>
      <w:r w:rsidR="00963C63" w:rsidRPr="00FE50A6">
        <w:rPr>
          <w:rFonts w:cs="Arial"/>
          <w:iCs/>
          <w:szCs w:val="20"/>
          <w:lang w:val="en-US"/>
        </w:rPr>
        <w:t xml:space="preserve"> violated. It also </w:t>
      </w:r>
      <w:r w:rsidR="00B123D3" w:rsidRPr="00FE50A6">
        <w:rPr>
          <w:rFonts w:cs="Arial"/>
          <w:iCs/>
          <w:szCs w:val="20"/>
          <w:lang w:val="en-US"/>
        </w:rPr>
        <w:t>assert</w:t>
      </w:r>
      <w:r w:rsidR="00963C63" w:rsidRPr="00FE50A6">
        <w:rPr>
          <w:rFonts w:cs="Arial"/>
          <w:iCs/>
          <w:szCs w:val="20"/>
          <w:lang w:val="en-US"/>
        </w:rPr>
        <w:t xml:space="preserve">ed that the proportionality of the penalty can only be considered in relation to a specific case and that the range of two to eight years established by Brazil’s law </w:t>
      </w:r>
      <w:r w:rsidR="00E927F3" w:rsidRPr="00FE50A6">
        <w:rPr>
          <w:rFonts w:cs="Arial"/>
          <w:iCs/>
          <w:szCs w:val="20"/>
          <w:lang w:val="en-US"/>
        </w:rPr>
        <w:t>allows the different degrees of gravity of the conducts typified by the crime of slave labor to be dealt with differentially.</w:t>
      </w:r>
    </w:p>
    <w:p w14:paraId="59DD59FB" w14:textId="77777777" w:rsidR="004B0842" w:rsidRPr="00FE50A6" w:rsidRDefault="004B0842" w:rsidP="004B0842">
      <w:pPr>
        <w:pStyle w:val="Prrafodelista"/>
        <w:autoSpaceDE w:val="0"/>
        <w:autoSpaceDN w:val="0"/>
        <w:adjustRightInd w:val="0"/>
        <w:rPr>
          <w:rFonts w:cs="Arial"/>
          <w:iCs/>
          <w:szCs w:val="20"/>
          <w:lang w:val="en-US"/>
        </w:rPr>
      </w:pPr>
    </w:p>
    <w:p w14:paraId="1BD1CEDF" w14:textId="77777777" w:rsidR="008E5198" w:rsidRPr="00FE50A6" w:rsidRDefault="000228D0" w:rsidP="00C30FB8">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126C03" w:rsidRPr="00FE50A6">
        <w:rPr>
          <w:rFonts w:cs="Arial"/>
          <w:iCs/>
          <w:szCs w:val="20"/>
          <w:lang w:val="en-US"/>
        </w:rPr>
        <w:t xml:space="preserve"> not</w:t>
      </w:r>
      <w:r w:rsidR="00E927F3" w:rsidRPr="00FE50A6">
        <w:rPr>
          <w:rFonts w:cs="Arial"/>
          <w:iCs/>
          <w:szCs w:val="20"/>
          <w:lang w:val="en-US"/>
        </w:rPr>
        <w:t xml:space="preserve">es that, in general, it does not have the powers to intervene in the domestic legislative affairs of the States. In addition, a ruling on a draft law, whatever its content, would be an action in abstract </w:t>
      </w:r>
      <w:r w:rsidR="003F36F0" w:rsidRPr="00FE50A6">
        <w:rPr>
          <w:rFonts w:cs="Arial"/>
          <w:iCs/>
          <w:szCs w:val="20"/>
          <w:lang w:val="en-US"/>
        </w:rPr>
        <w:t xml:space="preserve">terms </w:t>
      </w:r>
      <w:r w:rsidR="00E927F3" w:rsidRPr="00FE50A6">
        <w:rPr>
          <w:rFonts w:cs="Arial"/>
          <w:iCs/>
          <w:szCs w:val="20"/>
          <w:lang w:val="en-US"/>
        </w:rPr>
        <w:t>that ha</w:t>
      </w:r>
      <w:r w:rsidR="003F36F0" w:rsidRPr="00FE50A6">
        <w:rPr>
          <w:rFonts w:cs="Arial"/>
          <w:iCs/>
          <w:szCs w:val="20"/>
          <w:lang w:val="en-US"/>
        </w:rPr>
        <w:t>d</w:t>
      </w:r>
      <w:r w:rsidR="00E927F3" w:rsidRPr="00FE50A6">
        <w:rPr>
          <w:rFonts w:cs="Arial"/>
          <w:iCs/>
          <w:szCs w:val="20"/>
          <w:lang w:val="en-US"/>
        </w:rPr>
        <w:t xml:space="preserve"> no relation to the specific violation of the rights guaranteed by </w:t>
      </w:r>
      <w:r w:rsidRPr="00FE50A6">
        <w:rPr>
          <w:rFonts w:cs="Arial"/>
          <w:iCs/>
          <w:szCs w:val="20"/>
          <w:lang w:val="en-US"/>
        </w:rPr>
        <w:t>the American Convention</w:t>
      </w:r>
      <w:r w:rsidR="004B0842" w:rsidRPr="00FE50A6">
        <w:rPr>
          <w:rFonts w:cs="Arial"/>
          <w:iCs/>
          <w:szCs w:val="20"/>
          <w:lang w:val="en-US"/>
        </w:rPr>
        <w:t xml:space="preserve">. </w:t>
      </w:r>
      <w:r w:rsidR="00E927F3" w:rsidRPr="00FE50A6">
        <w:rPr>
          <w:rFonts w:cs="Arial"/>
          <w:iCs/>
          <w:szCs w:val="20"/>
          <w:lang w:val="en-US"/>
        </w:rPr>
        <w:t xml:space="preserve">Thus, the Court considers that it is unable to accept </w:t>
      </w:r>
      <w:r w:rsidR="007571DF" w:rsidRPr="00FE50A6">
        <w:rPr>
          <w:rFonts w:cs="Arial"/>
          <w:iCs/>
          <w:szCs w:val="20"/>
          <w:lang w:val="en-US"/>
        </w:rPr>
        <w:t xml:space="preserve">the </w:t>
      </w:r>
      <w:r w:rsidR="00700B79" w:rsidRPr="00FE50A6">
        <w:rPr>
          <w:rFonts w:cs="Arial"/>
          <w:iCs/>
          <w:szCs w:val="20"/>
          <w:lang w:val="en-US"/>
        </w:rPr>
        <w:t>representatives</w:t>
      </w:r>
      <w:r w:rsidR="00E927F3" w:rsidRPr="00FE50A6">
        <w:rPr>
          <w:rFonts w:cs="Arial"/>
          <w:iCs/>
          <w:szCs w:val="20"/>
          <w:lang w:val="en-US"/>
        </w:rPr>
        <w:t>’ request concerning the above-mentioned draft law.</w:t>
      </w:r>
    </w:p>
    <w:p w14:paraId="5AFA0EF0" w14:textId="77777777" w:rsidR="0012698E" w:rsidRPr="00FE50A6" w:rsidRDefault="0012698E" w:rsidP="00ED3AD0">
      <w:pPr>
        <w:pStyle w:val="Prrafodelista"/>
        <w:autoSpaceDE w:val="0"/>
        <w:autoSpaceDN w:val="0"/>
        <w:adjustRightInd w:val="0"/>
        <w:ind w:left="0"/>
        <w:rPr>
          <w:rFonts w:cs="Arial"/>
          <w:i/>
          <w:iCs/>
          <w:szCs w:val="20"/>
          <w:lang w:val="en-US"/>
        </w:rPr>
      </w:pPr>
    </w:p>
    <w:p w14:paraId="461BE36E" w14:textId="77777777" w:rsidR="00E927F3" w:rsidRPr="00FE50A6" w:rsidRDefault="00E927F3" w:rsidP="004B0842">
      <w:pPr>
        <w:pStyle w:val="Prrafodelista"/>
        <w:numPr>
          <w:ilvl w:val="0"/>
          <w:numId w:val="1"/>
        </w:numPr>
        <w:autoSpaceDE w:val="0"/>
        <w:autoSpaceDN w:val="0"/>
        <w:adjustRightInd w:val="0"/>
        <w:rPr>
          <w:rFonts w:cs="Arial"/>
          <w:i/>
          <w:iCs/>
          <w:szCs w:val="20"/>
          <w:lang w:val="en-US"/>
        </w:rPr>
      </w:pPr>
      <w:r w:rsidRPr="00FE50A6">
        <w:rPr>
          <w:rFonts w:cs="Arial"/>
          <w:iCs/>
          <w:szCs w:val="20"/>
          <w:lang w:val="en-US"/>
        </w:rPr>
        <w:t xml:space="preserve">Regarding the proportionality of the penalty for the crime of reducing someone to a </w:t>
      </w:r>
      <w:r w:rsidR="00B123D3" w:rsidRPr="00FE50A6">
        <w:rPr>
          <w:rFonts w:cs="Arial"/>
          <w:iCs/>
          <w:szCs w:val="20"/>
          <w:lang w:val="en-US"/>
        </w:rPr>
        <w:t>condition</w:t>
      </w:r>
      <w:r w:rsidRPr="00FE50A6">
        <w:rPr>
          <w:rFonts w:cs="Arial"/>
          <w:iCs/>
          <w:szCs w:val="20"/>
          <w:lang w:val="en-US"/>
        </w:rPr>
        <w:t xml:space="preserve"> similar to </w:t>
      </w:r>
      <w:r w:rsidR="00B123D3" w:rsidRPr="00FE50A6">
        <w:rPr>
          <w:rFonts w:cs="Arial"/>
          <w:iCs/>
          <w:szCs w:val="20"/>
          <w:lang w:val="en-US"/>
        </w:rPr>
        <w:t>slavery</w:t>
      </w:r>
      <w:r w:rsidRPr="00FE50A6">
        <w:rPr>
          <w:rFonts w:cs="Arial"/>
          <w:iCs/>
          <w:szCs w:val="20"/>
          <w:lang w:val="en-US"/>
        </w:rPr>
        <w:t xml:space="preserve">, the Court </w:t>
      </w:r>
      <w:r w:rsidR="0012698E" w:rsidRPr="00FE50A6">
        <w:rPr>
          <w:rFonts w:cs="Arial"/>
          <w:iCs/>
          <w:szCs w:val="20"/>
          <w:lang w:val="en-US"/>
        </w:rPr>
        <w:t>consider</w:t>
      </w:r>
      <w:r w:rsidRPr="00FE50A6">
        <w:rPr>
          <w:rFonts w:cs="Arial"/>
          <w:iCs/>
          <w:szCs w:val="20"/>
          <w:lang w:val="en-US"/>
        </w:rPr>
        <w:t xml:space="preserve">s that the penalties for a crime of this type should be proportionate to the gravity </w:t>
      </w:r>
      <w:r w:rsidR="007571DF" w:rsidRPr="00FE50A6">
        <w:rPr>
          <w:rFonts w:cs="Arial"/>
          <w:iCs/>
          <w:szCs w:val="20"/>
          <w:lang w:val="en-US"/>
        </w:rPr>
        <w:t xml:space="preserve">of the </w:t>
      </w:r>
      <w:r w:rsidR="00EB5CB3" w:rsidRPr="00FE50A6">
        <w:rPr>
          <w:rFonts w:cs="Arial"/>
          <w:iCs/>
          <w:szCs w:val="20"/>
          <w:lang w:val="en-US"/>
        </w:rPr>
        <w:t>human rights violations</w:t>
      </w:r>
      <w:r w:rsidR="0012698E" w:rsidRPr="00FE50A6">
        <w:rPr>
          <w:rFonts w:cs="Arial"/>
          <w:iCs/>
          <w:szCs w:val="20"/>
          <w:lang w:val="en-US"/>
        </w:rPr>
        <w:t xml:space="preserve"> invol</w:t>
      </w:r>
      <w:r w:rsidRPr="00FE50A6">
        <w:rPr>
          <w:rFonts w:cs="Arial"/>
          <w:iCs/>
          <w:szCs w:val="20"/>
          <w:lang w:val="en-US"/>
        </w:rPr>
        <w:t>ved. However, determination of the a</w:t>
      </w:r>
      <w:r w:rsidR="00B123D3" w:rsidRPr="00FE50A6">
        <w:rPr>
          <w:rFonts w:cs="Arial"/>
          <w:iCs/>
          <w:szCs w:val="20"/>
          <w:lang w:val="en-US"/>
        </w:rPr>
        <w:t>ppropriate</w:t>
      </w:r>
      <w:r w:rsidRPr="00FE50A6">
        <w:rPr>
          <w:rFonts w:cs="Arial"/>
          <w:iCs/>
          <w:szCs w:val="20"/>
          <w:lang w:val="en-US"/>
        </w:rPr>
        <w:t xml:space="preserve"> punishment for this crime is not a task for an international court. In this regard, the Court notes that </w:t>
      </w:r>
      <w:r w:rsidR="00556D8C" w:rsidRPr="00FE50A6">
        <w:rPr>
          <w:rFonts w:cs="Arial"/>
          <w:iCs/>
          <w:szCs w:val="20"/>
          <w:lang w:val="en-US"/>
        </w:rPr>
        <w:t>a comparison of the</w:t>
      </w:r>
      <w:r w:rsidRPr="00FE50A6">
        <w:rPr>
          <w:rFonts w:cs="Arial"/>
          <w:iCs/>
          <w:szCs w:val="20"/>
          <w:lang w:val="en-US"/>
        </w:rPr>
        <w:t xml:space="preserve"> laws of the States of the region does not provide clear </w:t>
      </w:r>
      <w:r w:rsidR="00556D8C" w:rsidRPr="00FE50A6">
        <w:rPr>
          <w:rFonts w:cs="Arial"/>
          <w:iCs/>
          <w:szCs w:val="20"/>
          <w:lang w:val="en-US"/>
        </w:rPr>
        <w:t>criteria</w:t>
      </w:r>
      <w:r w:rsidRPr="00FE50A6">
        <w:rPr>
          <w:rFonts w:cs="Arial"/>
          <w:iCs/>
          <w:szCs w:val="20"/>
          <w:lang w:val="en-US"/>
        </w:rPr>
        <w:t xml:space="preserve"> </w:t>
      </w:r>
      <w:r w:rsidR="00556D8C" w:rsidRPr="00FE50A6">
        <w:rPr>
          <w:rFonts w:cs="Arial"/>
          <w:iCs/>
          <w:szCs w:val="20"/>
          <w:lang w:val="en-US"/>
        </w:rPr>
        <w:t>regarding</w:t>
      </w:r>
      <w:r w:rsidRPr="00FE50A6">
        <w:rPr>
          <w:rFonts w:cs="Arial"/>
          <w:iCs/>
          <w:szCs w:val="20"/>
          <w:lang w:val="en-US"/>
        </w:rPr>
        <w:t xml:space="preserve"> the punishment that should be established in such cases. The States that have established a specific crime of slave labor do not agree substantively on the minimum and maximum duration of the punishment. Consequently, the Court finds that it is the State that has the authority to determine the minimum punishment for this conduct in its criminal law, and that it corresponds to the State’s sphere of competence to define the</w:t>
      </w:r>
      <w:r w:rsidR="00556D8C" w:rsidRPr="00FE50A6">
        <w:rPr>
          <w:rFonts w:cs="Arial"/>
          <w:iCs/>
          <w:szCs w:val="20"/>
          <w:lang w:val="en-US"/>
        </w:rPr>
        <w:t xml:space="preserve"> severity</w:t>
      </w:r>
      <w:r w:rsidRPr="00FE50A6">
        <w:rPr>
          <w:rFonts w:cs="Arial"/>
          <w:iCs/>
          <w:szCs w:val="20"/>
          <w:lang w:val="en-US"/>
        </w:rPr>
        <w:t xml:space="preserve"> of the punishment, because it is better situated to define this.</w:t>
      </w:r>
    </w:p>
    <w:p w14:paraId="36F0CF6C" w14:textId="77777777" w:rsidR="004B0842" w:rsidRPr="00FE50A6" w:rsidRDefault="004B0842" w:rsidP="004B0842">
      <w:pPr>
        <w:pStyle w:val="Prrafodelista"/>
        <w:autoSpaceDE w:val="0"/>
        <w:autoSpaceDN w:val="0"/>
        <w:adjustRightInd w:val="0"/>
        <w:rPr>
          <w:rFonts w:cs="Arial"/>
          <w:i/>
          <w:iCs/>
          <w:szCs w:val="20"/>
          <w:lang w:val="en-US"/>
        </w:rPr>
      </w:pPr>
    </w:p>
    <w:p w14:paraId="4F52419E" w14:textId="77777777" w:rsidR="004B0842" w:rsidRPr="00FE50A6" w:rsidRDefault="00E35960" w:rsidP="00863BF9">
      <w:pPr>
        <w:pStyle w:val="Ttulo3"/>
        <w:rPr>
          <w:lang w:val="en-US"/>
        </w:rPr>
      </w:pPr>
      <w:bookmarkStart w:id="383" w:name="_Toc460433067"/>
      <w:bookmarkStart w:id="384" w:name="_Toc460441998"/>
      <w:bookmarkStart w:id="385" w:name="_Toc462751140"/>
      <w:bookmarkStart w:id="386" w:name="_Toc464813992"/>
      <w:r w:rsidRPr="00FE50A6">
        <w:rPr>
          <w:lang w:val="en-US"/>
        </w:rPr>
        <w:t>C.5</w:t>
      </w:r>
      <w:r w:rsidR="004B0842" w:rsidRPr="00FE50A6">
        <w:rPr>
          <w:lang w:val="en-US"/>
        </w:rPr>
        <w:t>.</w:t>
      </w:r>
      <w:r w:rsidR="004B0842" w:rsidRPr="00FE50A6">
        <w:rPr>
          <w:lang w:val="en-US"/>
        </w:rPr>
        <w:tab/>
      </w:r>
      <w:r w:rsidR="004E3501" w:rsidRPr="00FE50A6">
        <w:rPr>
          <w:lang w:val="en-US"/>
        </w:rPr>
        <w:t>Guarantee of non-repetition</w:t>
      </w:r>
      <w:r w:rsidR="004B0842" w:rsidRPr="00FE50A6">
        <w:rPr>
          <w:lang w:val="en-US"/>
        </w:rPr>
        <w:t xml:space="preserve">: </w:t>
      </w:r>
      <w:bookmarkEnd w:id="383"/>
      <w:bookmarkEnd w:id="384"/>
      <w:bookmarkEnd w:id="385"/>
      <w:bookmarkEnd w:id="386"/>
      <w:r w:rsidR="00E927F3" w:rsidRPr="00FE50A6">
        <w:rPr>
          <w:lang w:val="en-US"/>
        </w:rPr>
        <w:t>public policies</w:t>
      </w:r>
      <w:r w:rsidR="004B0842" w:rsidRPr="00FE50A6">
        <w:rPr>
          <w:lang w:val="en-US"/>
        </w:rPr>
        <w:t xml:space="preserve">   </w:t>
      </w:r>
    </w:p>
    <w:p w14:paraId="21AC2D02" w14:textId="77777777" w:rsidR="004B0842" w:rsidRPr="00FE50A6" w:rsidRDefault="004B0842" w:rsidP="004B0842">
      <w:pPr>
        <w:pStyle w:val="Prrafodelista"/>
        <w:autoSpaceDE w:val="0"/>
        <w:autoSpaceDN w:val="0"/>
        <w:adjustRightInd w:val="0"/>
        <w:rPr>
          <w:rFonts w:cs="Arial"/>
          <w:iCs/>
          <w:szCs w:val="20"/>
          <w:lang w:val="en-US"/>
        </w:rPr>
      </w:pPr>
    </w:p>
    <w:p w14:paraId="65475AB3" w14:textId="77777777" w:rsidR="004B0842" w:rsidRPr="00FE50A6" w:rsidRDefault="000228D0" w:rsidP="008003B1">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Commission</w:t>
      </w:r>
      <w:r w:rsidR="004B0842" w:rsidRPr="00FE50A6">
        <w:rPr>
          <w:rFonts w:cs="Arial"/>
          <w:iCs/>
          <w:szCs w:val="20"/>
          <w:lang w:val="en-US"/>
        </w:rPr>
        <w:t xml:space="preserve"> </w:t>
      </w:r>
      <w:r w:rsidR="00B31664" w:rsidRPr="00FE50A6">
        <w:rPr>
          <w:rFonts w:cs="Arial"/>
          <w:iCs/>
          <w:szCs w:val="20"/>
          <w:lang w:val="en-US"/>
        </w:rPr>
        <w:t>asked that</w:t>
      </w:r>
      <w:r w:rsidR="004B0842" w:rsidRPr="00FE50A6">
        <w:rPr>
          <w:rFonts w:cs="Arial"/>
          <w:iCs/>
          <w:szCs w:val="20"/>
          <w:lang w:val="en-US"/>
        </w:rPr>
        <w:t xml:space="preserve"> </w:t>
      </w:r>
      <w:r w:rsidRPr="00FE50A6">
        <w:rPr>
          <w:rFonts w:cs="Arial"/>
          <w:iCs/>
          <w:szCs w:val="20"/>
          <w:lang w:val="en-US"/>
        </w:rPr>
        <w:t>the State</w:t>
      </w:r>
      <w:r w:rsidR="004B0842" w:rsidRPr="00FE50A6">
        <w:rPr>
          <w:rFonts w:cs="Arial"/>
          <w:iCs/>
          <w:szCs w:val="20"/>
          <w:lang w:val="en-US"/>
        </w:rPr>
        <w:t xml:space="preserve"> adopt</w:t>
      </w:r>
      <w:r w:rsidR="00B31664" w:rsidRPr="00FE50A6">
        <w:rPr>
          <w:rFonts w:cs="Arial"/>
          <w:iCs/>
          <w:szCs w:val="20"/>
          <w:lang w:val="en-US"/>
        </w:rPr>
        <w:t xml:space="preserve"> a series of public policies to prevent and punish</w:t>
      </w:r>
      <w:r w:rsidR="004B0842" w:rsidRPr="00FE50A6">
        <w:rPr>
          <w:rFonts w:cs="Arial"/>
          <w:iCs/>
          <w:szCs w:val="20"/>
          <w:lang w:val="en-US"/>
        </w:rPr>
        <w:t xml:space="preserve"> </w:t>
      </w:r>
      <w:r w:rsidR="005F1946" w:rsidRPr="00FE50A6">
        <w:rPr>
          <w:rFonts w:cs="Arial"/>
          <w:iCs/>
          <w:szCs w:val="20"/>
          <w:lang w:val="en-US"/>
        </w:rPr>
        <w:t>slave labor</w:t>
      </w:r>
      <w:r w:rsidR="004B0842" w:rsidRPr="00FE50A6">
        <w:rPr>
          <w:rFonts w:cs="Arial"/>
          <w:iCs/>
          <w:szCs w:val="20"/>
          <w:lang w:val="en-US"/>
        </w:rPr>
        <w:t xml:space="preserve">. </w:t>
      </w:r>
      <w:r w:rsidR="008003B1" w:rsidRPr="00FE50A6">
        <w:rPr>
          <w:rFonts w:cs="Arial"/>
          <w:iCs/>
          <w:szCs w:val="20"/>
          <w:lang w:val="en-US"/>
        </w:rPr>
        <w:t>Among these, the most important are</w:t>
      </w:r>
      <w:r w:rsidR="004B0842" w:rsidRPr="00FE50A6">
        <w:rPr>
          <w:rFonts w:cs="Arial"/>
          <w:iCs/>
          <w:szCs w:val="20"/>
          <w:lang w:val="en-US"/>
        </w:rPr>
        <w:t xml:space="preserve">: </w:t>
      </w:r>
      <w:r w:rsidR="008003B1" w:rsidRPr="00FE50A6">
        <w:rPr>
          <w:rFonts w:cs="Arial"/>
          <w:iCs/>
          <w:szCs w:val="20"/>
          <w:lang w:val="en-US"/>
        </w:rPr>
        <w:t>(</w:t>
      </w:r>
      <w:r w:rsidR="004B0842" w:rsidRPr="00FE50A6">
        <w:rPr>
          <w:rFonts w:cs="Arial"/>
          <w:iCs/>
          <w:szCs w:val="20"/>
          <w:lang w:val="en-US"/>
        </w:rPr>
        <w:t xml:space="preserve">i) </w:t>
      </w:r>
      <w:r w:rsidR="008003B1" w:rsidRPr="00FE50A6">
        <w:rPr>
          <w:rFonts w:cs="Arial"/>
          <w:iCs/>
          <w:szCs w:val="20"/>
          <w:lang w:val="en-US"/>
        </w:rPr>
        <w:t xml:space="preserve">permanent implementation of public policies and legislative and other measures to eradicate slave labor; in particular, the State should monitor the use of slave labor and its punishment at all levels; (ii) reinforcement of the legal system and creation of coordination mechanisms between the criminal jurisdiction and the labor jurisdiction to </w:t>
      </w:r>
      <w:r w:rsidR="00556D8C" w:rsidRPr="00FE50A6">
        <w:rPr>
          <w:rFonts w:cs="Arial"/>
          <w:iCs/>
          <w:szCs w:val="20"/>
          <w:lang w:val="en-US"/>
        </w:rPr>
        <w:t>overcome</w:t>
      </w:r>
      <w:r w:rsidR="008003B1" w:rsidRPr="00FE50A6">
        <w:rPr>
          <w:rFonts w:cs="Arial"/>
          <w:iCs/>
          <w:szCs w:val="20"/>
          <w:lang w:val="en-US"/>
        </w:rPr>
        <w:t xml:space="preserve"> the </w:t>
      </w:r>
      <w:r w:rsidR="00556D8C" w:rsidRPr="00FE50A6">
        <w:rPr>
          <w:rFonts w:cs="Arial"/>
          <w:iCs/>
          <w:szCs w:val="20"/>
          <w:lang w:val="en-US"/>
        </w:rPr>
        <w:t>defects</w:t>
      </w:r>
      <w:r w:rsidR="008003B1" w:rsidRPr="00FE50A6">
        <w:rPr>
          <w:rFonts w:cs="Arial"/>
          <w:iCs/>
          <w:szCs w:val="20"/>
          <w:lang w:val="en-US"/>
        </w:rPr>
        <w:t xml:space="preserve"> that occur in the investigation, prosecution and punishment of those responsible for the crimes of servitude and forced labor; (iii) ensuring strict compliance with labor laws on </w:t>
      </w:r>
      <w:r w:rsidR="00556D8C" w:rsidRPr="00FE50A6">
        <w:rPr>
          <w:rFonts w:cs="Arial"/>
          <w:iCs/>
          <w:szCs w:val="20"/>
          <w:lang w:val="en-US"/>
        </w:rPr>
        <w:t xml:space="preserve">the </w:t>
      </w:r>
      <w:r w:rsidR="008003B1" w:rsidRPr="00FE50A6">
        <w:rPr>
          <w:rFonts w:cs="Arial"/>
          <w:iCs/>
          <w:szCs w:val="20"/>
          <w:lang w:val="en-US"/>
        </w:rPr>
        <w:t xml:space="preserve">working day and </w:t>
      </w:r>
      <w:r w:rsidR="00556D8C" w:rsidRPr="00FE50A6">
        <w:rPr>
          <w:rFonts w:cs="Arial"/>
          <w:iCs/>
          <w:szCs w:val="20"/>
          <w:lang w:val="en-US"/>
        </w:rPr>
        <w:t>the same pay as</w:t>
      </w:r>
      <w:r w:rsidR="008003B1" w:rsidRPr="00FE50A6">
        <w:rPr>
          <w:rFonts w:cs="Arial"/>
          <w:iCs/>
          <w:szCs w:val="20"/>
          <w:lang w:val="en-US"/>
        </w:rPr>
        <w:t xml:space="preserve"> other salaried workers, and (iv) adoption of the necessary measures to eliminate any type of racial discrimination, particularly the organization of campaigns to raise the awareness of the </w:t>
      </w:r>
      <w:r w:rsidR="00556D8C" w:rsidRPr="00FE50A6">
        <w:rPr>
          <w:rFonts w:cs="Arial"/>
          <w:iCs/>
          <w:szCs w:val="20"/>
          <w:lang w:val="en-US"/>
        </w:rPr>
        <w:t xml:space="preserve">general </w:t>
      </w:r>
      <w:r w:rsidR="008003B1" w:rsidRPr="00FE50A6">
        <w:rPr>
          <w:rFonts w:cs="Arial"/>
          <w:iCs/>
          <w:szCs w:val="20"/>
          <w:lang w:val="en-US"/>
        </w:rPr>
        <w:t>population and State officials</w:t>
      </w:r>
      <w:r w:rsidR="00556D8C" w:rsidRPr="00FE50A6">
        <w:rPr>
          <w:rFonts w:cs="Arial"/>
          <w:iCs/>
          <w:szCs w:val="20"/>
          <w:lang w:val="en-US"/>
        </w:rPr>
        <w:t>,</w:t>
      </w:r>
      <w:r w:rsidR="008003B1" w:rsidRPr="00FE50A6">
        <w:rPr>
          <w:rFonts w:cs="Arial"/>
          <w:iCs/>
          <w:szCs w:val="20"/>
          <w:lang w:val="en-US"/>
        </w:rPr>
        <w:t xml:space="preserve"> including agents of justice</w:t>
      </w:r>
      <w:r w:rsidR="00556D8C" w:rsidRPr="00FE50A6">
        <w:rPr>
          <w:rFonts w:cs="Arial"/>
          <w:iCs/>
          <w:szCs w:val="20"/>
          <w:lang w:val="en-US"/>
        </w:rPr>
        <w:t>,</w:t>
      </w:r>
      <w:r w:rsidR="008003B1" w:rsidRPr="00FE50A6">
        <w:rPr>
          <w:rFonts w:cs="Arial"/>
          <w:iCs/>
          <w:szCs w:val="20"/>
          <w:lang w:val="en-US"/>
        </w:rPr>
        <w:t xml:space="preserve"> with regard to discrimination and subjection to servitude and </w:t>
      </w:r>
      <w:r w:rsidR="005F1946" w:rsidRPr="00FE50A6">
        <w:rPr>
          <w:rFonts w:cs="Arial"/>
          <w:iCs/>
          <w:szCs w:val="20"/>
          <w:lang w:val="en-US"/>
        </w:rPr>
        <w:t>forced labor</w:t>
      </w:r>
      <w:r w:rsidR="004B0842" w:rsidRPr="00FE50A6">
        <w:rPr>
          <w:rFonts w:cs="Arial"/>
          <w:iCs/>
          <w:szCs w:val="20"/>
          <w:lang w:val="en-US"/>
        </w:rPr>
        <w:t>.</w:t>
      </w:r>
    </w:p>
    <w:p w14:paraId="7D6F6EF9" w14:textId="77777777" w:rsidR="004B0842" w:rsidRPr="00FE50A6" w:rsidRDefault="004B0842" w:rsidP="004B0842">
      <w:pPr>
        <w:pStyle w:val="Prrafodelista"/>
        <w:autoSpaceDE w:val="0"/>
        <w:autoSpaceDN w:val="0"/>
        <w:adjustRightInd w:val="0"/>
        <w:rPr>
          <w:rFonts w:cs="Arial"/>
          <w:iCs/>
          <w:szCs w:val="20"/>
          <w:lang w:val="en-US"/>
        </w:rPr>
      </w:pPr>
    </w:p>
    <w:p w14:paraId="37014084"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8003B1" w:rsidRPr="00FE50A6">
        <w:rPr>
          <w:rFonts w:cs="Arial"/>
          <w:iCs/>
          <w:szCs w:val="20"/>
          <w:lang w:val="en-US"/>
        </w:rPr>
        <w:t>asked</w:t>
      </w:r>
      <w:r w:rsidR="004B0842" w:rsidRPr="00FE50A6">
        <w:rPr>
          <w:rFonts w:cs="Arial"/>
          <w:iCs/>
          <w:szCs w:val="20"/>
          <w:lang w:val="en-US"/>
        </w:rPr>
        <w:t xml:space="preserve"> </w:t>
      </w:r>
      <w:r w:rsidR="000228D0" w:rsidRPr="00FE50A6">
        <w:rPr>
          <w:rFonts w:cs="Arial"/>
          <w:iCs/>
          <w:szCs w:val="20"/>
          <w:lang w:val="en-US"/>
        </w:rPr>
        <w:t>the Court</w:t>
      </w:r>
      <w:r w:rsidR="004B0842" w:rsidRPr="00FE50A6">
        <w:rPr>
          <w:rFonts w:cs="Arial"/>
          <w:iCs/>
          <w:szCs w:val="20"/>
          <w:lang w:val="en-US"/>
        </w:rPr>
        <w:t xml:space="preserve"> </w:t>
      </w:r>
      <w:r w:rsidR="009A0969" w:rsidRPr="00FE50A6">
        <w:rPr>
          <w:rFonts w:cs="Arial"/>
          <w:iCs/>
          <w:szCs w:val="20"/>
          <w:lang w:val="en-US"/>
        </w:rPr>
        <w:t>to require the Stat</w:t>
      </w:r>
      <w:r w:rsidR="00556D8C" w:rsidRPr="00FE50A6">
        <w:rPr>
          <w:rFonts w:cs="Arial"/>
          <w:iCs/>
          <w:szCs w:val="20"/>
          <w:lang w:val="en-US"/>
        </w:rPr>
        <w:t>e</w:t>
      </w:r>
      <w:r w:rsidR="009A0969" w:rsidRPr="00FE50A6">
        <w:rPr>
          <w:rFonts w:cs="Arial"/>
          <w:iCs/>
          <w:szCs w:val="20"/>
          <w:lang w:val="en-US"/>
        </w:rPr>
        <w:t xml:space="preserve"> to establish coordination policies between the public authorities t</w:t>
      </w:r>
      <w:r w:rsidR="00294435" w:rsidRPr="00FE50A6">
        <w:rPr>
          <w:rFonts w:cs="Arial"/>
          <w:iCs/>
          <w:szCs w:val="20"/>
          <w:lang w:val="en-US"/>
        </w:rPr>
        <w:t>o</w:t>
      </w:r>
      <w:r w:rsidR="009A0969" w:rsidRPr="00FE50A6">
        <w:rPr>
          <w:rFonts w:cs="Arial"/>
          <w:iCs/>
          <w:szCs w:val="20"/>
          <w:lang w:val="en-US"/>
        </w:rPr>
        <w:t xml:space="preserve"> permit joint actions by </w:t>
      </w:r>
      <w:r w:rsidR="00A67F6B" w:rsidRPr="00FE50A6">
        <w:rPr>
          <w:rFonts w:cs="Arial"/>
          <w:iCs/>
          <w:szCs w:val="20"/>
          <w:lang w:val="en-US"/>
        </w:rPr>
        <w:t xml:space="preserve">the </w:t>
      </w:r>
      <w:r w:rsidR="00F8114C" w:rsidRPr="00FE50A6">
        <w:rPr>
          <w:rFonts w:cs="Arial"/>
          <w:iCs/>
          <w:szCs w:val="20"/>
          <w:lang w:val="en-US"/>
        </w:rPr>
        <w:t>Public</w:t>
      </w:r>
      <w:r w:rsidR="006B2842" w:rsidRPr="00FE50A6">
        <w:rPr>
          <w:rFonts w:cs="Arial"/>
          <w:iCs/>
          <w:szCs w:val="20"/>
          <w:lang w:val="en-US"/>
        </w:rPr>
        <w:t xml:space="preserve"> Prosecution Service</w:t>
      </w:r>
      <w:r w:rsidR="004B0842" w:rsidRPr="00FE50A6">
        <w:rPr>
          <w:rFonts w:cs="Arial"/>
          <w:iCs/>
          <w:szCs w:val="20"/>
          <w:lang w:val="en-US"/>
        </w:rPr>
        <w:t xml:space="preserve">, </w:t>
      </w:r>
      <w:r w:rsidR="00445155" w:rsidRPr="00FE50A6">
        <w:rPr>
          <w:rFonts w:cs="Arial"/>
          <w:iCs/>
          <w:szCs w:val="20"/>
          <w:lang w:val="en-US"/>
        </w:rPr>
        <w:t>the Federal</w:t>
      </w:r>
      <w:r w:rsidR="008B0077" w:rsidRPr="00FE50A6">
        <w:rPr>
          <w:rFonts w:cs="Arial"/>
          <w:iCs/>
          <w:szCs w:val="20"/>
          <w:lang w:val="en-US"/>
        </w:rPr>
        <w:t xml:space="preserve"> Police</w:t>
      </w:r>
      <w:r w:rsidR="004B0842" w:rsidRPr="00FE50A6">
        <w:rPr>
          <w:rFonts w:cs="Arial"/>
          <w:iCs/>
          <w:szCs w:val="20"/>
          <w:lang w:val="en-US"/>
        </w:rPr>
        <w:t xml:space="preserve">, </w:t>
      </w:r>
      <w:r w:rsidR="00833DD0" w:rsidRPr="00FE50A6">
        <w:rPr>
          <w:rFonts w:cs="Arial"/>
          <w:iCs/>
          <w:szCs w:val="20"/>
          <w:lang w:val="en-US"/>
        </w:rPr>
        <w:t>the Ministry</w:t>
      </w:r>
      <w:r w:rsidR="0081756E" w:rsidRPr="00FE50A6">
        <w:rPr>
          <w:rFonts w:cs="Arial"/>
          <w:iCs/>
          <w:szCs w:val="20"/>
          <w:lang w:val="en-US"/>
        </w:rPr>
        <w:t xml:space="preserve"> of Labor</w:t>
      </w:r>
      <w:r w:rsidR="00030C17" w:rsidRPr="00FE50A6">
        <w:rPr>
          <w:rFonts w:cs="Arial"/>
          <w:iCs/>
          <w:szCs w:val="20"/>
          <w:lang w:val="en-US"/>
        </w:rPr>
        <w:t xml:space="preserve"> and </w:t>
      </w:r>
      <w:r w:rsidR="009A0969" w:rsidRPr="00FE50A6">
        <w:rPr>
          <w:rFonts w:cs="Arial"/>
          <w:iCs/>
          <w:szCs w:val="20"/>
          <w:lang w:val="en-US"/>
        </w:rPr>
        <w:t xml:space="preserve">other competent agencies. It indicated that the State should guarantee the rescue and rehabilitation of </w:t>
      </w:r>
      <w:r w:rsidR="00294435" w:rsidRPr="00FE50A6">
        <w:rPr>
          <w:rFonts w:cs="Arial"/>
          <w:iCs/>
          <w:szCs w:val="20"/>
          <w:lang w:val="en-US"/>
        </w:rPr>
        <w:t>individuals</w:t>
      </w:r>
      <w:r w:rsidR="009A0969" w:rsidRPr="00FE50A6">
        <w:rPr>
          <w:rFonts w:cs="Arial"/>
          <w:iCs/>
          <w:szCs w:val="20"/>
          <w:lang w:val="en-US"/>
        </w:rPr>
        <w:t xml:space="preserve"> subjected t</w:t>
      </w:r>
      <w:r w:rsidR="00294435" w:rsidRPr="00FE50A6">
        <w:rPr>
          <w:rFonts w:cs="Arial"/>
          <w:iCs/>
          <w:szCs w:val="20"/>
          <w:lang w:val="en-US"/>
        </w:rPr>
        <w:t>o</w:t>
      </w:r>
      <w:r w:rsidR="009A0969" w:rsidRPr="00FE50A6">
        <w:rPr>
          <w:rFonts w:cs="Arial"/>
          <w:iCs/>
          <w:szCs w:val="20"/>
          <w:lang w:val="en-US"/>
        </w:rPr>
        <w:t xml:space="preserve"> slave labor, providing them with prompt information on their rights and o</w:t>
      </w:r>
      <w:r w:rsidR="00294435" w:rsidRPr="00FE50A6">
        <w:rPr>
          <w:rFonts w:cs="Arial"/>
          <w:iCs/>
          <w:szCs w:val="20"/>
          <w:lang w:val="en-US"/>
        </w:rPr>
        <w:t>n</w:t>
      </w:r>
      <w:r w:rsidR="009A0969" w:rsidRPr="00FE50A6">
        <w:rPr>
          <w:rFonts w:cs="Arial"/>
          <w:iCs/>
          <w:szCs w:val="20"/>
          <w:lang w:val="en-US"/>
        </w:rPr>
        <w:t xml:space="preserve"> social programs they could benefit from</w:t>
      </w:r>
      <w:r w:rsidR="004B0842" w:rsidRPr="00FE50A6">
        <w:rPr>
          <w:rFonts w:cs="Arial"/>
          <w:iCs/>
          <w:szCs w:val="20"/>
          <w:lang w:val="en-US"/>
        </w:rPr>
        <w:t xml:space="preserve">. </w:t>
      </w:r>
      <w:r w:rsidR="009A0969" w:rsidRPr="00FE50A6">
        <w:rPr>
          <w:rFonts w:cs="Arial"/>
          <w:iCs/>
          <w:szCs w:val="20"/>
          <w:lang w:val="en-US"/>
        </w:rPr>
        <w:t>I</w:t>
      </w:r>
      <w:r w:rsidR="004B0842" w:rsidRPr="00FE50A6">
        <w:rPr>
          <w:rFonts w:cs="Arial"/>
          <w:iCs/>
          <w:szCs w:val="20"/>
          <w:lang w:val="en-US"/>
        </w:rPr>
        <w:t>n particular</w:t>
      </w:r>
      <w:r w:rsidR="00DB5A03" w:rsidRPr="00FE50A6">
        <w:rPr>
          <w:rFonts w:cs="Arial"/>
          <w:iCs/>
          <w:szCs w:val="20"/>
          <w:lang w:val="en-US"/>
        </w:rPr>
        <w:t>,</w:t>
      </w:r>
      <w:r w:rsidR="004B0842" w:rsidRPr="00FE50A6">
        <w:rPr>
          <w:rFonts w:cs="Arial"/>
          <w:iCs/>
          <w:szCs w:val="20"/>
          <w:lang w:val="en-US"/>
        </w:rPr>
        <w:t xml:space="preserve"> </w:t>
      </w:r>
      <w:r w:rsidR="009A0969" w:rsidRPr="00FE50A6">
        <w:rPr>
          <w:rFonts w:cs="Arial"/>
          <w:iCs/>
          <w:szCs w:val="20"/>
          <w:lang w:val="en-US"/>
        </w:rPr>
        <w:t xml:space="preserve">with the participation of CONATRAE, </w:t>
      </w:r>
      <w:r w:rsidR="000228D0" w:rsidRPr="00FE50A6">
        <w:rPr>
          <w:rFonts w:cs="Arial"/>
          <w:iCs/>
          <w:szCs w:val="20"/>
          <w:lang w:val="en-US"/>
        </w:rPr>
        <w:t>the State</w:t>
      </w:r>
      <w:r w:rsidR="004B0842" w:rsidRPr="00FE50A6">
        <w:rPr>
          <w:rFonts w:cs="Arial"/>
          <w:iCs/>
          <w:szCs w:val="20"/>
          <w:lang w:val="en-US"/>
        </w:rPr>
        <w:t xml:space="preserve"> </w:t>
      </w:r>
      <w:r w:rsidR="009A0969" w:rsidRPr="00FE50A6">
        <w:rPr>
          <w:rFonts w:cs="Arial"/>
          <w:iCs/>
          <w:szCs w:val="20"/>
          <w:lang w:val="en-US"/>
        </w:rPr>
        <w:t>should establish a public policy to intermediate the hiring of rural labor to avoid rescued workers being re-hired for</w:t>
      </w:r>
      <w:r w:rsidR="004B0842" w:rsidRPr="00FE50A6">
        <w:rPr>
          <w:rFonts w:cs="Arial"/>
          <w:iCs/>
          <w:szCs w:val="20"/>
          <w:lang w:val="en-US"/>
        </w:rPr>
        <w:t xml:space="preserve"> </w:t>
      </w:r>
      <w:r w:rsidR="005F1946" w:rsidRPr="00FE50A6">
        <w:rPr>
          <w:rFonts w:cs="Arial"/>
          <w:iCs/>
          <w:szCs w:val="20"/>
          <w:lang w:val="en-US"/>
        </w:rPr>
        <w:t>slave labor</w:t>
      </w:r>
      <w:r w:rsidR="00294435" w:rsidRPr="00FE50A6">
        <w:rPr>
          <w:rFonts w:cs="Arial"/>
          <w:iCs/>
          <w:szCs w:val="20"/>
          <w:lang w:val="en-US"/>
        </w:rPr>
        <w:t xml:space="preserve"> subsequently</w:t>
      </w:r>
      <w:r w:rsidR="004B0842" w:rsidRPr="00FE50A6">
        <w:rPr>
          <w:rFonts w:cs="Arial"/>
          <w:iCs/>
          <w:szCs w:val="20"/>
          <w:lang w:val="en-US"/>
        </w:rPr>
        <w:t xml:space="preserve">. </w:t>
      </w:r>
      <w:r w:rsidR="009A0969" w:rsidRPr="00FE50A6">
        <w:rPr>
          <w:rFonts w:cs="Arial"/>
          <w:iCs/>
          <w:szCs w:val="20"/>
          <w:lang w:val="en-US"/>
        </w:rPr>
        <w:t>They also requested the construction of a workers</w:t>
      </w:r>
      <w:r w:rsidR="00692981" w:rsidRPr="00FE50A6">
        <w:rPr>
          <w:rFonts w:cs="Arial"/>
          <w:iCs/>
          <w:szCs w:val="20"/>
          <w:lang w:val="en-US"/>
        </w:rPr>
        <w:t>’</w:t>
      </w:r>
      <w:r w:rsidR="009A0969" w:rsidRPr="00FE50A6">
        <w:rPr>
          <w:rFonts w:cs="Arial"/>
          <w:iCs/>
          <w:szCs w:val="20"/>
          <w:lang w:val="en-US"/>
        </w:rPr>
        <w:t xml:space="preserve"> health care center in the municipality of</w:t>
      </w:r>
      <w:r w:rsidR="004B0842" w:rsidRPr="00FE50A6">
        <w:rPr>
          <w:rFonts w:cs="Arial"/>
          <w:iCs/>
          <w:szCs w:val="20"/>
          <w:lang w:val="en-US"/>
        </w:rPr>
        <w:t xml:space="preserve"> Barras, </w:t>
      </w:r>
      <w:r w:rsidR="009A0969" w:rsidRPr="00FE50A6">
        <w:rPr>
          <w:rFonts w:cs="Arial"/>
          <w:iCs/>
          <w:szCs w:val="20"/>
          <w:lang w:val="en-US"/>
        </w:rPr>
        <w:t>state of</w:t>
      </w:r>
      <w:r w:rsidR="004B0842" w:rsidRPr="00FE50A6">
        <w:rPr>
          <w:rFonts w:cs="Arial"/>
          <w:iCs/>
          <w:szCs w:val="20"/>
          <w:lang w:val="en-US"/>
        </w:rPr>
        <w:t xml:space="preserve"> Piauí, </w:t>
      </w:r>
      <w:r w:rsidR="009A0969" w:rsidRPr="00FE50A6">
        <w:rPr>
          <w:rFonts w:cs="Arial"/>
          <w:iCs/>
          <w:szCs w:val="20"/>
          <w:lang w:val="en-US"/>
        </w:rPr>
        <w:t>the place where most of the victims in this case lived</w:t>
      </w:r>
      <w:r w:rsidR="004B0842" w:rsidRPr="00FE50A6">
        <w:rPr>
          <w:rFonts w:cs="Arial"/>
          <w:iCs/>
          <w:szCs w:val="20"/>
          <w:lang w:val="en-US"/>
        </w:rPr>
        <w:t>.</w:t>
      </w:r>
    </w:p>
    <w:p w14:paraId="4614DDBF" w14:textId="77777777" w:rsidR="004B0842" w:rsidRPr="00FE50A6" w:rsidRDefault="004B0842" w:rsidP="004B0842">
      <w:pPr>
        <w:pStyle w:val="Prrafodelista"/>
        <w:autoSpaceDE w:val="0"/>
        <w:autoSpaceDN w:val="0"/>
        <w:adjustRightInd w:val="0"/>
        <w:rPr>
          <w:rFonts w:cs="Arial"/>
          <w:iCs/>
          <w:szCs w:val="20"/>
          <w:lang w:val="en-US"/>
        </w:rPr>
      </w:pPr>
    </w:p>
    <w:p w14:paraId="298BC167" w14:textId="77777777" w:rsidR="004B0842" w:rsidRPr="00FE50A6" w:rsidRDefault="009A096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In addition</w:t>
      </w:r>
      <w:r w:rsidR="00DB5A03" w:rsidRPr="00FE50A6">
        <w:rPr>
          <w:rFonts w:cs="Arial"/>
          <w:iCs/>
          <w:szCs w:val="20"/>
          <w:lang w:val="en-US"/>
        </w:rPr>
        <w:t>,</w:t>
      </w:r>
      <w:r w:rsidR="004B0842" w:rsidRPr="00FE50A6">
        <w:rPr>
          <w:rFonts w:cs="Arial"/>
          <w:iCs/>
          <w:szCs w:val="20"/>
          <w:lang w:val="en-US"/>
        </w:rPr>
        <w:t xml:space="preserve"> </w:t>
      </w:r>
      <w:r w:rsidR="00700B79" w:rsidRPr="00FE50A6">
        <w:rPr>
          <w:rFonts w:cs="Arial"/>
          <w:iCs/>
          <w:szCs w:val="20"/>
          <w:lang w:val="en-US"/>
        </w:rPr>
        <w:t>the representatives</w:t>
      </w:r>
      <w:r w:rsidR="004B0842" w:rsidRPr="00FE50A6">
        <w:rPr>
          <w:rFonts w:cs="Arial"/>
          <w:iCs/>
          <w:szCs w:val="20"/>
          <w:lang w:val="en-US"/>
        </w:rPr>
        <w:t xml:space="preserve"> </w:t>
      </w:r>
      <w:r w:rsidRPr="00FE50A6">
        <w:rPr>
          <w:rFonts w:cs="Arial"/>
          <w:iCs/>
          <w:szCs w:val="20"/>
          <w:lang w:val="en-US"/>
        </w:rPr>
        <w:t>requested th</w:t>
      </w:r>
      <w:r w:rsidR="00294435" w:rsidRPr="00FE50A6">
        <w:rPr>
          <w:rFonts w:cs="Arial"/>
          <w:iCs/>
          <w:szCs w:val="20"/>
          <w:lang w:val="en-US"/>
        </w:rPr>
        <w:t>e continuation of</w:t>
      </w:r>
      <w:r w:rsidRPr="00FE50A6">
        <w:rPr>
          <w:rFonts w:cs="Arial"/>
          <w:iCs/>
          <w:szCs w:val="20"/>
          <w:lang w:val="en-US"/>
        </w:rPr>
        <w:t xml:space="preserve"> certain public policies that had been successful in combating slave labor. </w:t>
      </w:r>
      <w:r w:rsidR="00692981" w:rsidRPr="00FE50A6">
        <w:rPr>
          <w:rFonts w:cs="Arial"/>
          <w:iCs/>
          <w:szCs w:val="20"/>
          <w:lang w:val="en-US"/>
        </w:rPr>
        <w:t>I</w:t>
      </w:r>
      <w:r w:rsidR="004B0842" w:rsidRPr="00FE50A6">
        <w:rPr>
          <w:rFonts w:cs="Arial"/>
          <w:iCs/>
          <w:szCs w:val="20"/>
          <w:lang w:val="en-US"/>
        </w:rPr>
        <w:t>n particular</w:t>
      </w:r>
      <w:r w:rsidRPr="00FE50A6">
        <w:rPr>
          <w:rFonts w:cs="Arial"/>
          <w:iCs/>
          <w:szCs w:val="20"/>
          <w:lang w:val="en-US"/>
        </w:rPr>
        <w:t xml:space="preserve">, they asked </w:t>
      </w:r>
      <w:r w:rsidR="000228D0" w:rsidRPr="00FE50A6">
        <w:rPr>
          <w:rFonts w:cs="Arial"/>
          <w:iCs/>
          <w:szCs w:val="20"/>
          <w:lang w:val="en-US"/>
        </w:rPr>
        <w:t>the Court</w:t>
      </w:r>
      <w:r w:rsidR="004B0842" w:rsidRPr="00FE50A6">
        <w:rPr>
          <w:rFonts w:cs="Arial"/>
          <w:iCs/>
          <w:szCs w:val="20"/>
          <w:lang w:val="en-US"/>
        </w:rPr>
        <w:t xml:space="preserve"> </w:t>
      </w:r>
      <w:r w:rsidRPr="00FE50A6">
        <w:rPr>
          <w:rFonts w:cs="Arial"/>
          <w:iCs/>
          <w:szCs w:val="20"/>
          <w:lang w:val="en-US"/>
        </w:rPr>
        <w:t>to declare that the</w:t>
      </w:r>
      <w:r w:rsidR="004B0842" w:rsidRPr="00FE50A6">
        <w:rPr>
          <w:rFonts w:cs="Arial"/>
          <w:iCs/>
          <w:szCs w:val="20"/>
          <w:lang w:val="en-US"/>
        </w:rPr>
        <w:t xml:space="preserve"> </w:t>
      </w:r>
      <w:r w:rsidR="009C48A4" w:rsidRPr="00FE50A6">
        <w:rPr>
          <w:rFonts w:cs="Arial"/>
          <w:iCs/>
          <w:szCs w:val="20"/>
          <w:lang w:val="en-US"/>
        </w:rPr>
        <w:t>“</w:t>
      </w:r>
      <w:r w:rsidR="00294435" w:rsidRPr="00FE50A6">
        <w:rPr>
          <w:rFonts w:cs="Arial"/>
          <w:iCs/>
          <w:szCs w:val="20"/>
          <w:lang w:val="en-US"/>
        </w:rPr>
        <w:t>Dirty List</w:t>
      </w:r>
      <w:r w:rsidR="00294435" w:rsidRPr="00FE50A6">
        <w:rPr>
          <w:rFonts w:cs="Arial"/>
          <w:i/>
          <w:iCs/>
          <w:szCs w:val="20"/>
          <w:lang w:val="en-US"/>
        </w:rPr>
        <w:t xml:space="preserve">” </w:t>
      </w:r>
      <w:r w:rsidR="00030C17" w:rsidRPr="00FE50A6">
        <w:rPr>
          <w:rFonts w:cs="Arial"/>
          <w:iCs/>
          <w:szCs w:val="20"/>
          <w:lang w:val="en-US"/>
        </w:rPr>
        <w:t xml:space="preserve">and </w:t>
      </w:r>
      <w:r w:rsidR="004B0842" w:rsidRPr="00FE50A6">
        <w:rPr>
          <w:rFonts w:cs="Arial"/>
          <w:iCs/>
          <w:szCs w:val="20"/>
          <w:lang w:val="en-US"/>
        </w:rPr>
        <w:t xml:space="preserve">Interministerial </w:t>
      </w:r>
      <w:r w:rsidRPr="00FE50A6">
        <w:rPr>
          <w:rFonts w:cs="Arial"/>
          <w:iCs/>
          <w:szCs w:val="20"/>
          <w:lang w:val="en-US"/>
        </w:rPr>
        <w:t xml:space="preserve">Act </w:t>
      </w:r>
      <w:r w:rsidR="004B0842" w:rsidRPr="00FE50A6">
        <w:rPr>
          <w:rFonts w:cs="Arial"/>
          <w:iCs/>
          <w:szCs w:val="20"/>
          <w:lang w:val="en-US"/>
        </w:rPr>
        <w:t>2/2015</w:t>
      </w:r>
      <w:r w:rsidR="00294435" w:rsidRPr="00FE50A6">
        <w:rPr>
          <w:rFonts w:cs="Arial"/>
          <w:iCs/>
          <w:szCs w:val="20"/>
          <w:lang w:val="en-US"/>
        </w:rPr>
        <w:t xml:space="preserve"> </w:t>
      </w:r>
      <w:r w:rsidRPr="00FE50A6">
        <w:rPr>
          <w:rFonts w:cs="Arial"/>
          <w:iCs/>
          <w:szCs w:val="20"/>
          <w:lang w:val="en-US"/>
        </w:rPr>
        <w:t>were compatible with</w:t>
      </w:r>
      <w:r w:rsidR="004B0842" w:rsidRPr="00FE50A6">
        <w:rPr>
          <w:rFonts w:cs="Arial"/>
          <w:iCs/>
          <w:szCs w:val="20"/>
          <w:lang w:val="en-US"/>
        </w:rPr>
        <w:t xml:space="preserve"> </w:t>
      </w:r>
      <w:r w:rsidR="000228D0" w:rsidRPr="00FE50A6">
        <w:rPr>
          <w:rFonts w:cs="Arial"/>
          <w:iCs/>
          <w:szCs w:val="20"/>
          <w:lang w:val="en-US"/>
        </w:rPr>
        <w:t>the American Convention</w:t>
      </w:r>
      <w:r w:rsidR="004B0842" w:rsidRPr="00FE50A6">
        <w:rPr>
          <w:rFonts w:cs="Arial"/>
          <w:iCs/>
          <w:szCs w:val="20"/>
          <w:lang w:val="en-US"/>
        </w:rPr>
        <w:t>.</w:t>
      </w:r>
    </w:p>
    <w:p w14:paraId="71875E29" w14:textId="77777777" w:rsidR="004B0842" w:rsidRPr="00FE50A6" w:rsidRDefault="004B0842" w:rsidP="004B0842">
      <w:pPr>
        <w:pStyle w:val="Prrafodelista"/>
        <w:autoSpaceDE w:val="0"/>
        <w:autoSpaceDN w:val="0"/>
        <w:adjustRightInd w:val="0"/>
        <w:rPr>
          <w:rFonts w:cs="Arial"/>
          <w:iCs/>
          <w:szCs w:val="20"/>
          <w:lang w:val="en-US"/>
        </w:rPr>
      </w:pPr>
    </w:p>
    <w:p w14:paraId="7134519D" w14:textId="77777777" w:rsidR="00692981"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w:t>
      </w:r>
      <w:r w:rsidR="00984A55" w:rsidRPr="00FE50A6">
        <w:rPr>
          <w:rFonts w:cs="Arial"/>
          <w:iCs/>
          <w:szCs w:val="20"/>
          <w:lang w:val="en-US"/>
        </w:rPr>
        <w:t>indicated</w:t>
      </w:r>
      <w:r w:rsidR="004B0842" w:rsidRPr="00FE50A6">
        <w:rPr>
          <w:rFonts w:cs="Arial"/>
          <w:iCs/>
          <w:szCs w:val="20"/>
          <w:lang w:val="en-US"/>
        </w:rPr>
        <w:t xml:space="preserve"> </w:t>
      </w:r>
      <w:r w:rsidR="00692981" w:rsidRPr="00FE50A6">
        <w:rPr>
          <w:rFonts w:cs="Arial"/>
          <w:iCs/>
          <w:szCs w:val="20"/>
          <w:lang w:val="en-US"/>
        </w:rPr>
        <w:t xml:space="preserve">that, pursuant to </w:t>
      </w:r>
      <w:r w:rsidRPr="00FE50A6">
        <w:rPr>
          <w:rFonts w:cs="Arial"/>
          <w:iCs/>
          <w:szCs w:val="20"/>
          <w:lang w:val="en-US"/>
        </w:rPr>
        <w:t>the American Convention</w:t>
      </w:r>
      <w:r w:rsidR="00692981" w:rsidRPr="00FE50A6">
        <w:rPr>
          <w:rFonts w:cs="Arial"/>
          <w:iCs/>
          <w:szCs w:val="20"/>
          <w:lang w:val="en-US"/>
        </w:rPr>
        <w:t>, it already had the obligation to conduct adequate and effective criminal investigations. It argued that compliance with that obligation fell within the State’s margin of discretion. Thus, it was for the domestic authorities and not the Court to determine how the State complied with this obligation. It also argued that the State was the only entity with authority to elaborate public policies on the rescue and rehabilitation of workers. The State underlined that a pilot plan already existed for State intermediation in the case of rural workers. Lastly, it argued that the workers’ health care center in Barras requested by the representatives bore no relationship to the facts of the case.</w:t>
      </w:r>
    </w:p>
    <w:p w14:paraId="7F2BE4A6" w14:textId="77777777" w:rsidR="004B0842" w:rsidRPr="00FE50A6" w:rsidRDefault="004B0842" w:rsidP="00692981">
      <w:pPr>
        <w:autoSpaceDE w:val="0"/>
        <w:autoSpaceDN w:val="0"/>
        <w:adjustRightInd w:val="0"/>
        <w:rPr>
          <w:rFonts w:cs="Arial"/>
          <w:iCs/>
          <w:szCs w:val="20"/>
          <w:lang w:val="en-US"/>
        </w:rPr>
      </w:pPr>
    </w:p>
    <w:p w14:paraId="51EFB4CE"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State</w:t>
      </w:r>
      <w:r w:rsidR="004B0842" w:rsidRPr="00FE50A6">
        <w:rPr>
          <w:rFonts w:cs="Arial"/>
          <w:iCs/>
          <w:szCs w:val="20"/>
          <w:lang w:val="en-US"/>
        </w:rPr>
        <w:t xml:space="preserve"> </w:t>
      </w:r>
      <w:r w:rsidR="00984A55" w:rsidRPr="00FE50A6">
        <w:rPr>
          <w:rFonts w:cs="Arial"/>
          <w:iCs/>
          <w:szCs w:val="20"/>
          <w:lang w:val="en-US"/>
        </w:rPr>
        <w:t>indicated</w:t>
      </w:r>
      <w:r w:rsidR="004B0842" w:rsidRPr="00FE50A6">
        <w:rPr>
          <w:rFonts w:cs="Arial"/>
          <w:iCs/>
          <w:szCs w:val="20"/>
          <w:lang w:val="en-US"/>
        </w:rPr>
        <w:t xml:space="preserve"> </w:t>
      </w:r>
      <w:r w:rsidR="00692981" w:rsidRPr="00FE50A6">
        <w:rPr>
          <w:rFonts w:cs="Arial"/>
          <w:iCs/>
          <w:szCs w:val="20"/>
          <w:lang w:val="en-US"/>
        </w:rPr>
        <w:t>that</w:t>
      </w:r>
      <w:r w:rsidR="00294435" w:rsidRPr="00FE50A6">
        <w:rPr>
          <w:rFonts w:cs="Arial"/>
          <w:iCs/>
          <w:szCs w:val="20"/>
          <w:lang w:val="en-US"/>
        </w:rPr>
        <w:t>, currently,</w:t>
      </w:r>
      <w:r w:rsidR="00692981" w:rsidRPr="00FE50A6">
        <w:rPr>
          <w:rFonts w:cs="Arial"/>
          <w:iCs/>
          <w:szCs w:val="20"/>
          <w:lang w:val="en-US"/>
        </w:rPr>
        <w:t xml:space="preserve"> the</w:t>
      </w:r>
      <w:r w:rsidR="004B0842" w:rsidRPr="00FE50A6">
        <w:rPr>
          <w:rFonts w:cs="Arial"/>
          <w:iCs/>
          <w:szCs w:val="20"/>
          <w:lang w:val="en-US"/>
        </w:rPr>
        <w:t xml:space="preserve"> </w:t>
      </w:r>
      <w:r w:rsidR="009C48A4" w:rsidRPr="00FE50A6">
        <w:rPr>
          <w:rFonts w:cs="Arial"/>
          <w:iCs/>
          <w:szCs w:val="20"/>
          <w:lang w:val="en-US"/>
        </w:rPr>
        <w:t>“</w:t>
      </w:r>
      <w:r w:rsidR="00294435" w:rsidRPr="00FE50A6">
        <w:rPr>
          <w:rFonts w:cs="Arial"/>
          <w:iCs/>
          <w:szCs w:val="20"/>
          <w:lang w:val="en-US"/>
        </w:rPr>
        <w:t>Dirty List</w:t>
      </w:r>
      <w:r w:rsidR="009C48A4" w:rsidRPr="00FE50A6">
        <w:rPr>
          <w:rFonts w:cs="Arial"/>
          <w:iCs/>
          <w:szCs w:val="20"/>
          <w:lang w:val="en-US"/>
        </w:rPr>
        <w:t>”</w:t>
      </w:r>
      <w:r w:rsidR="004B0842" w:rsidRPr="00FE50A6">
        <w:rPr>
          <w:rFonts w:cs="Arial"/>
          <w:iCs/>
          <w:szCs w:val="20"/>
          <w:lang w:val="en-US"/>
        </w:rPr>
        <w:t xml:space="preserve"> </w:t>
      </w:r>
      <w:r w:rsidR="00294435" w:rsidRPr="00FE50A6">
        <w:rPr>
          <w:rFonts w:cs="Arial"/>
          <w:iCs/>
          <w:szCs w:val="20"/>
          <w:lang w:val="en-US"/>
        </w:rPr>
        <w:t>was</w:t>
      </w:r>
      <w:r w:rsidR="00692981" w:rsidRPr="00FE50A6">
        <w:rPr>
          <w:rFonts w:cs="Arial"/>
          <w:iCs/>
          <w:szCs w:val="20"/>
          <w:lang w:val="en-US"/>
        </w:rPr>
        <w:t xml:space="preserve"> suspended, </w:t>
      </w:r>
      <w:r w:rsidR="00294435" w:rsidRPr="00FE50A6">
        <w:rPr>
          <w:rFonts w:cs="Arial"/>
          <w:iCs/>
          <w:szCs w:val="20"/>
          <w:lang w:val="en-US"/>
        </w:rPr>
        <w:t>pending</w:t>
      </w:r>
      <w:r w:rsidR="00692981" w:rsidRPr="00FE50A6">
        <w:rPr>
          <w:rFonts w:cs="Arial"/>
          <w:iCs/>
          <w:szCs w:val="20"/>
          <w:lang w:val="en-US"/>
        </w:rPr>
        <w:t xml:space="preserve"> a ruling</w:t>
      </w:r>
      <w:r w:rsidR="004B0842" w:rsidRPr="00FE50A6">
        <w:rPr>
          <w:rFonts w:cs="Arial"/>
          <w:iCs/>
          <w:szCs w:val="20"/>
          <w:lang w:val="en-US"/>
        </w:rPr>
        <w:t xml:space="preserve"> </w:t>
      </w:r>
      <w:r w:rsidR="00015022" w:rsidRPr="00FE50A6">
        <w:rPr>
          <w:rFonts w:cs="Arial"/>
          <w:iCs/>
          <w:szCs w:val="20"/>
          <w:lang w:val="en-US"/>
        </w:rPr>
        <w:t xml:space="preserve">of the </w:t>
      </w:r>
      <w:r w:rsidR="00704BB6" w:rsidRPr="00FE50A6">
        <w:rPr>
          <w:rFonts w:cs="Arial"/>
          <w:iCs/>
          <w:szCs w:val="20"/>
          <w:lang w:val="en-US"/>
        </w:rPr>
        <w:t>Supreme Federal Court</w:t>
      </w:r>
      <w:r w:rsidR="00692981" w:rsidRPr="00FE50A6">
        <w:rPr>
          <w:rFonts w:cs="Arial"/>
          <w:iCs/>
          <w:szCs w:val="20"/>
          <w:lang w:val="en-US"/>
        </w:rPr>
        <w:t xml:space="preserve"> on its constitutionality. It added that, in its opinion, </w:t>
      </w:r>
      <w:r w:rsidR="00294435" w:rsidRPr="00FE50A6">
        <w:rPr>
          <w:rFonts w:cs="Arial"/>
          <w:iCs/>
          <w:szCs w:val="20"/>
          <w:lang w:val="en-US"/>
        </w:rPr>
        <w:t xml:space="preserve">the “Dirty List” </w:t>
      </w:r>
      <w:r w:rsidR="00692981" w:rsidRPr="00FE50A6">
        <w:rPr>
          <w:rFonts w:cs="Arial"/>
          <w:iCs/>
          <w:szCs w:val="20"/>
          <w:lang w:val="en-US"/>
        </w:rPr>
        <w:t>was compatible with</w:t>
      </w:r>
      <w:r w:rsidR="004B0842" w:rsidRPr="00FE50A6">
        <w:rPr>
          <w:rFonts w:cs="Arial"/>
          <w:iCs/>
          <w:szCs w:val="20"/>
          <w:lang w:val="en-US"/>
        </w:rPr>
        <w:t xml:space="preserve"> </w:t>
      </w:r>
      <w:r w:rsidRPr="00FE50A6">
        <w:rPr>
          <w:rFonts w:cs="Arial"/>
          <w:iCs/>
          <w:szCs w:val="20"/>
          <w:lang w:val="en-US"/>
        </w:rPr>
        <w:t>the American Convention</w:t>
      </w:r>
      <w:r w:rsidR="00692981" w:rsidRPr="00FE50A6">
        <w:rPr>
          <w:rFonts w:cs="Arial"/>
          <w:iCs/>
          <w:szCs w:val="20"/>
          <w:lang w:val="en-US"/>
        </w:rPr>
        <w:t>; nevertheless, it asked the Court not to impose a decision on the Brazilian Judiciary</w:t>
      </w:r>
      <w:r w:rsidR="00294435" w:rsidRPr="00FE50A6">
        <w:rPr>
          <w:rFonts w:cs="Arial"/>
          <w:iCs/>
          <w:szCs w:val="20"/>
          <w:lang w:val="en-US"/>
        </w:rPr>
        <w:t xml:space="preserve"> in relation to the pending constitutionality proceedings</w:t>
      </w:r>
      <w:r w:rsidR="004B0842" w:rsidRPr="00FE50A6">
        <w:rPr>
          <w:rFonts w:cs="Arial"/>
          <w:iCs/>
          <w:szCs w:val="20"/>
          <w:lang w:val="en-US"/>
        </w:rPr>
        <w:t>.</w:t>
      </w:r>
    </w:p>
    <w:p w14:paraId="73F83074" w14:textId="77777777" w:rsidR="00795D2F" w:rsidRPr="00FE50A6" w:rsidRDefault="00795D2F" w:rsidP="00235EFA">
      <w:pPr>
        <w:pStyle w:val="Prrafodelista"/>
        <w:tabs>
          <w:tab w:val="left" w:pos="7740"/>
        </w:tabs>
        <w:rPr>
          <w:rFonts w:cs="Arial"/>
          <w:iCs/>
          <w:szCs w:val="20"/>
          <w:lang w:val="en-US"/>
        </w:rPr>
      </w:pPr>
    </w:p>
    <w:p w14:paraId="1367C861" w14:textId="77777777" w:rsidR="00795D2F" w:rsidRPr="00FE50A6" w:rsidRDefault="000228D0" w:rsidP="00795D2F">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795D2F" w:rsidRPr="00FE50A6">
        <w:rPr>
          <w:rFonts w:cs="Arial"/>
          <w:iCs/>
          <w:szCs w:val="20"/>
          <w:lang w:val="en-US"/>
        </w:rPr>
        <w:t xml:space="preserve"> </w:t>
      </w:r>
      <w:r w:rsidR="00A43986" w:rsidRPr="00FE50A6">
        <w:rPr>
          <w:rFonts w:cs="Arial"/>
          <w:iCs/>
          <w:szCs w:val="20"/>
          <w:lang w:val="en-US"/>
        </w:rPr>
        <w:t>consider</w:t>
      </w:r>
      <w:r w:rsidR="00692981" w:rsidRPr="00FE50A6">
        <w:rPr>
          <w:rFonts w:cs="Arial"/>
          <w:iCs/>
          <w:szCs w:val="20"/>
          <w:lang w:val="en-US"/>
        </w:rPr>
        <w:t xml:space="preserve">s that </w:t>
      </w:r>
      <w:r w:rsidR="00235EFA" w:rsidRPr="00FE50A6">
        <w:rPr>
          <w:rFonts w:cs="Arial"/>
          <w:iCs/>
          <w:szCs w:val="20"/>
          <w:lang w:val="en-US"/>
        </w:rPr>
        <w:t>barriers</w:t>
      </w:r>
      <w:r w:rsidR="00692981" w:rsidRPr="00FE50A6">
        <w:rPr>
          <w:rFonts w:cs="Arial"/>
          <w:iCs/>
          <w:szCs w:val="20"/>
          <w:lang w:val="en-US"/>
        </w:rPr>
        <w:t xml:space="preserve"> still </w:t>
      </w:r>
      <w:r w:rsidR="00235EFA" w:rsidRPr="00FE50A6">
        <w:rPr>
          <w:rFonts w:cs="Arial"/>
          <w:iCs/>
          <w:szCs w:val="20"/>
          <w:lang w:val="en-US"/>
        </w:rPr>
        <w:t>exist</w:t>
      </w:r>
      <w:r w:rsidR="00692981" w:rsidRPr="00FE50A6">
        <w:rPr>
          <w:rFonts w:cs="Arial"/>
          <w:iCs/>
          <w:szCs w:val="20"/>
          <w:lang w:val="en-US"/>
        </w:rPr>
        <w:t xml:space="preserve"> </w:t>
      </w:r>
      <w:r w:rsidR="00235EFA" w:rsidRPr="00FE50A6">
        <w:rPr>
          <w:rFonts w:cs="Arial"/>
          <w:iCs/>
          <w:szCs w:val="20"/>
          <w:lang w:val="en-US"/>
        </w:rPr>
        <w:t>in</w:t>
      </w:r>
      <w:r w:rsidR="00692981" w:rsidRPr="00FE50A6">
        <w:rPr>
          <w:rFonts w:cs="Arial"/>
          <w:iCs/>
          <w:szCs w:val="20"/>
          <w:lang w:val="en-US"/>
        </w:rPr>
        <w:t xml:space="preserve"> the fight against</w:t>
      </w:r>
      <w:r w:rsidR="00795D2F" w:rsidRPr="00FE50A6">
        <w:rPr>
          <w:rFonts w:cs="Arial"/>
          <w:iCs/>
          <w:szCs w:val="20"/>
          <w:lang w:val="en-US"/>
        </w:rPr>
        <w:t xml:space="preserve"> </w:t>
      </w:r>
      <w:r w:rsidR="005F1946" w:rsidRPr="00FE50A6">
        <w:rPr>
          <w:rFonts w:cs="Arial"/>
          <w:iCs/>
          <w:szCs w:val="20"/>
          <w:lang w:val="en-US"/>
        </w:rPr>
        <w:t>forced labor</w:t>
      </w:r>
      <w:r w:rsidR="00692981" w:rsidRPr="00FE50A6">
        <w:rPr>
          <w:rFonts w:cs="Arial"/>
          <w:iCs/>
          <w:szCs w:val="20"/>
          <w:lang w:val="en-US"/>
        </w:rPr>
        <w:t xml:space="preserve"> in Brazil</w:t>
      </w:r>
      <w:r w:rsidR="00795D2F" w:rsidRPr="00FE50A6">
        <w:rPr>
          <w:rFonts w:cs="Arial"/>
          <w:iCs/>
          <w:szCs w:val="20"/>
          <w:lang w:val="en-US"/>
        </w:rPr>
        <w:t xml:space="preserve">. </w:t>
      </w:r>
      <w:r w:rsidR="00692981" w:rsidRPr="00FE50A6">
        <w:rPr>
          <w:rFonts w:cs="Arial"/>
          <w:iCs/>
          <w:szCs w:val="20"/>
          <w:lang w:val="en-US"/>
        </w:rPr>
        <w:t>For example</w:t>
      </w:r>
      <w:r w:rsidR="00795D2F" w:rsidRPr="00FE50A6">
        <w:rPr>
          <w:rFonts w:cs="Arial"/>
          <w:iCs/>
          <w:szCs w:val="20"/>
          <w:lang w:val="en-US"/>
        </w:rPr>
        <w:t xml:space="preserve">: </w:t>
      </w:r>
    </w:p>
    <w:p w14:paraId="0F7EFCFE" w14:textId="77777777" w:rsidR="00795D2F" w:rsidRPr="00FE50A6" w:rsidRDefault="00795D2F" w:rsidP="00795D2F">
      <w:pPr>
        <w:pStyle w:val="Prrafodelista"/>
        <w:autoSpaceDE w:val="0"/>
        <w:autoSpaceDN w:val="0"/>
        <w:adjustRightInd w:val="0"/>
        <w:rPr>
          <w:rFonts w:cs="Arial"/>
          <w:iCs/>
          <w:szCs w:val="20"/>
          <w:lang w:val="en-US"/>
        </w:rPr>
      </w:pPr>
    </w:p>
    <w:p w14:paraId="15BC6841" w14:textId="77777777" w:rsidR="00235EFA" w:rsidRPr="00FE50A6" w:rsidRDefault="000228D0" w:rsidP="008B0BCC">
      <w:pPr>
        <w:pStyle w:val="Prrafodelista"/>
        <w:numPr>
          <w:ilvl w:val="0"/>
          <w:numId w:val="13"/>
        </w:numPr>
        <w:autoSpaceDE w:val="0"/>
        <w:autoSpaceDN w:val="0"/>
        <w:adjustRightInd w:val="0"/>
        <w:spacing w:after="120"/>
        <w:ind w:hanging="11"/>
        <w:contextualSpacing w:val="0"/>
        <w:rPr>
          <w:rFonts w:cs="Arial"/>
          <w:iCs/>
          <w:szCs w:val="20"/>
          <w:lang w:val="en-US"/>
        </w:rPr>
      </w:pPr>
      <w:r w:rsidRPr="00FE50A6">
        <w:rPr>
          <w:rFonts w:cs="Arial"/>
          <w:iCs/>
          <w:szCs w:val="20"/>
          <w:lang w:val="en-US"/>
        </w:rPr>
        <w:t xml:space="preserve">The </w:t>
      </w:r>
      <w:r w:rsidR="005D0370" w:rsidRPr="00FE50A6">
        <w:rPr>
          <w:rFonts w:cs="Arial"/>
          <w:iCs/>
          <w:szCs w:val="20"/>
          <w:lang w:val="en-US"/>
        </w:rPr>
        <w:t>Brazilian State</w:t>
      </w:r>
      <w:r w:rsidR="00795D2F" w:rsidRPr="00FE50A6">
        <w:rPr>
          <w:rFonts w:cs="Arial"/>
          <w:iCs/>
          <w:szCs w:val="20"/>
          <w:lang w:val="en-US"/>
        </w:rPr>
        <w:t xml:space="preserve"> ha</w:t>
      </w:r>
      <w:r w:rsidR="00235EFA" w:rsidRPr="00FE50A6">
        <w:rPr>
          <w:rFonts w:cs="Arial"/>
          <w:iCs/>
          <w:szCs w:val="20"/>
          <w:lang w:val="en-US"/>
        </w:rPr>
        <w:t>s faced obstacles to the implementation of public policies on prevention, including communication</w:t>
      </w:r>
      <w:r w:rsidR="00294435" w:rsidRPr="00FE50A6">
        <w:rPr>
          <w:rFonts w:cs="Arial"/>
          <w:iCs/>
          <w:szCs w:val="20"/>
          <w:lang w:val="en-US"/>
        </w:rPr>
        <w:t xml:space="preserve"> difficulties</w:t>
      </w:r>
      <w:r w:rsidR="00235EFA" w:rsidRPr="00FE50A6">
        <w:rPr>
          <w:rFonts w:cs="Arial"/>
          <w:iCs/>
          <w:szCs w:val="20"/>
          <w:lang w:val="en-US"/>
        </w:rPr>
        <w:t xml:space="preserve"> and social inequality due to </w:t>
      </w:r>
      <w:r w:rsidR="00294435" w:rsidRPr="00FE50A6">
        <w:rPr>
          <w:rFonts w:cs="Arial"/>
          <w:iCs/>
          <w:szCs w:val="20"/>
          <w:lang w:val="en-US"/>
        </w:rPr>
        <w:t>the vastness</w:t>
      </w:r>
      <w:r w:rsidR="00235EFA" w:rsidRPr="00FE50A6">
        <w:rPr>
          <w:rFonts w:cs="Arial"/>
          <w:iCs/>
          <w:szCs w:val="20"/>
          <w:lang w:val="en-US"/>
        </w:rPr>
        <w:t xml:space="preserve"> of its national territory, and the opposition of the sectors affected by the national policy to combat slave labor who diversi</w:t>
      </w:r>
      <w:r w:rsidR="00294435" w:rsidRPr="00FE50A6">
        <w:rPr>
          <w:rFonts w:cs="Arial"/>
          <w:iCs/>
          <w:szCs w:val="20"/>
          <w:lang w:val="en-US"/>
        </w:rPr>
        <w:t>f</w:t>
      </w:r>
      <w:r w:rsidR="00235EFA" w:rsidRPr="00FE50A6">
        <w:rPr>
          <w:rFonts w:cs="Arial"/>
          <w:iCs/>
          <w:szCs w:val="20"/>
          <w:lang w:val="en-US"/>
        </w:rPr>
        <w:t xml:space="preserve">y </w:t>
      </w:r>
      <w:r w:rsidR="00294435" w:rsidRPr="00FE50A6">
        <w:rPr>
          <w:rFonts w:cs="Arial"/>
          <w:iCs/>
          <w:szCs w:val="20"/>
          <w:lang w:val="en-US"/>
        </w:rPr>
        <w:t>any</w:t>
      </w:r>
      <w:r w:rsidR="00235EFA" w:rsidRPr="00FE50A6">
        <w:rPr>
          <w:rFonts w:cs="Arial"/>
          <w:iCs/>
          <w:szCs w:val="20"/>
          <w:lang w:val="en-US"/>
        </w:rPr>
        <w:t xml:space="preserve"> actions that are contrary to this public policy;</w:t>
      </w:r>
    </w:p>
    <w:p w14:paraId="77F84021" w14:textId="77777777" w:rsidR="00795D2F" w:rsidRPr="00FE50A6" w:rsidRDefault="00235EFA" w:rsidP="008B0BCC">
      <w:pPr>
        <w:pStyle w:val="Prrafodelista"/>
        <w:numPr>
          <w:ilvl w:val="0"/>
          <w:numId w:val="13"/>
        </w:numPr>
        <w:autoSpaceDE w:val="0"/>
        <w:autoSpaceDN w:val="0"/>
        <w:adjustRightInd w:val="0"/>
        <w:spacing w:after="120"/>
        <w:ind w:hanging="11"/>
        <w:contextualSpacing w:val="0"/>
        <w:rPr>
          <w:rFonts w:cs="Arial"/>
          <w:iCs/>
          <w:szCs w:val="20"/>
          <w:lang w:val="en-US"/>
        </w:rPr>
      </w:pPr>
      <w:r w:rsidRPr="00FE50A6">
        <w:rPr>
          <w:rFonts w:cs="Arial"/>
          <w:iCs/>
          <w:szCs w:val="20"/>
          <w:lang w:val="en-US"/>
        </w:rPr>
        <w:t>On December 23,</w:t>
      </w:r>
      <w:r w:rsidR="00795D2F" w:rsidRPr="00FE50A6">
        <w:rPr>
          <w:rFonts w:cs="Arial"/>
          <w:iCs/>
          <w:szCs w:val="20"/>
          <w:lang w:val="en-US"/>
        </w:rPr>
        <w:t xml:space="preserve"> 2014</w:t>
      </w:r>
      <w:r w:rsidRPr="00FE50A6">
        <w:rPr>
          <w:rFonts w:cs="Arial"/>
          <w:iCs/>
          <w:szCs w:val="20"/>
          <w:lang w:val="en-US"/>
        </w:rPr>
        <w:t>,</w:t>
      </w:r>
      <w:r w:rsidR="00795D2F" w:rsidRPr="00FE50A6">
        <w:rPr>
          <w:rFonts w:cs="Arial"/>
          <w:iCs/>
          <w:szCs w:val="20"/>
          <w:lang w:val="en-US"/>
        </w:rPr>
        <w:t xml:space="preserve"> </w:t>
      </w:r>
      <w:r w:rsidR="00704BB6" w:rsidRPr="00FE50A6">
        <w:rPr>
          <w:rFonts w:cs="Arial"/>
          <w:iCs/>
          <w:szCs w:val="20"/>
          <w:lang w:val="en-US"/>
        </w:rPr>
        <w:t>the Supreme Federal Court</w:t>
      </w:r>
      <w:r w:rsidRPr="00FE50A6">
        <w:rPr>
          <w:rFonts w:cs="Arial"/>
          <w:iCs/>
          <w:szCs w:val="20"/>
          <w:lang w:val="en-US"/>
        </w:rPr>
        <w:t xml:space="preserve"> </w:t>
      </w:r>
      <w:r w:rsidR="00795D2F" w:rsidRPr="00FE50A6">
        <w:rPr>
          <w:rFonts w:cs="Arial"/>
          <w:iCs/>
          <w:szCs w:val="20"/>
          <w:lang w:val="en-US"/>
        </w:rPr>
        <w:t>suspend</w:t>
      </w:r>
      <w:r w:rsidRPr="00FE50A6">
        <w:rPr>
          <w:rFonts w:cs="Arial"/>
          <w:iCs/>
          <w:szCs w:val="20"/>
          <w:lang w:val="en-US"/>
        </w:rPr>
        <w:t>ed the list of those employers of slaves who had been identified (the “</w:t>
      </w:r>
      <w:r w:rsidR="00294435" w:rsidRPr="00FE50A6">
        <w:rPr>
          <w:rFonts w:cs="Arial"/>
          <w:iCs/>
          <w:szCs w:val="20"/>
          <w:lang w:val="en-US"/>
        </w:rPr>
        <w:t>Dirty List</w:t>
      </w:r>
      <w:r w:rsidR="009C48A4" w:rsidRPr="00FE50A6">
        <w:rPr>
          <w:rFonts w:cs="Arial"/>
          <w:iCs/>
          <w:szCs w:val="20"/>
          <w:lang w:val="en-US"/>
        </w:rPr>
        <w:t>”</w:t>
      </w:r>
      <w:r w:rsidR="00DB5A03" w:rsidRPr="00FE50A6">
        <w:rPr>
          <w:rFonts w:cs="Arial"/>
          <w:iCs/>
          <w:szCs w:val="20"/>
          <w:lang w:val="en-US"/>
        </w:rPr>
        <w:t>)</w:t>
      </w:r>
      <w:r w:rsidR="00795D2F" w:rsidRPr="00FE50A6">
        <w:rPr>
          <w:rFonts w:cs="Arial"/>
          <w:iCs/>
          <w:szCs w:val="20"/>
          <w:lang w:val="en-US"/>
        </w:rPr>
        <w:t xml:space="preserve">, </w:t>
      </w:r>
      <w:r w:rsidRPr="00FE50A6">
        <w:rPr>
          <w:rFonts w:cs="Arial"/>
          <w:iCs/>
          <w:szCs w:val="20"/>
          <w:lang w:val="en-US"/>
        </w:rPr>
        <w:t>owing to direct action on unconstitutionality</w:t>
      </w:r>
      <w:r w:rsidR="00795D2F" w:rsidRPr="00FE50A6">
        <w:rPr>
          <w:rFonts w:cs="Arial"/>
          <w:iCs/>
          <w:szCs w:val="20"/>
          <w:lang w:val="en-US"/>
        </w:rPr>
        <w:t xml:space="preserve"> No. 5</w:t>
      </w:r>
      <w:r w:rsidRPr="00FE50A6">
        <w:rPr>
          <w:rFonts w:cs="Arial"/>
          <w:iCs/>
          <w:szCs w:val="20"/>
          <w:lang w:val="en-US"/>
        </w:rPr>
        <w:t>,</w:t>
      </w:r>
      <w:r w:rsidR="00795D2F" w:rsidRPr="00FE50A6">
        <w:rPr>
          <w:rFonts w:cs="Arial"/>
          <w:iCs/>
          <w:szCs w:val="20"/>
          <w:lang w:val="en-US"/>
        </w:rPr>
        <w:t>209</w:t>
      </w:r>
      <w:r w:rsidR="000D52CA" w:rsidRPr="00FE50A6">
        <w:rPr>
          <w:rFonts w:cs="Arial"/>
          <w:iCs/>
          <w:szCs w:val="20"/>
          <w:lang w:val="en-US"/>
        </w:rPr>
        <w:t>,</w:t>
      </w:r>
      <w:r w:rsidRPr="00FE50A6">
        <w:rPr>
          <w:rFonts w:cs="Arial"/>
          <w:iCs/>
          <w:szCs w:val="20"/>
          <w:lang w:val="en-US"/>
        </w:rPr>
        <w:t xml:space="preserve"> which had not been decided at the time this judgment was delivered, and </w:t>
      </w:r>
    </w:p>
    <w:p w14:paraId="09C12CE0" w14:textId="77777777" w:rsidR="004B0842" w:rsidRPr="00FE50A6" w:rsidRDefault="00235EFA" w:rsidP="0073553A">
      <w:pPr>
        <w:pStyle w:val="Prrafodelista"/>
        <w:numPr>
          <w:ilvl w:val="0"/>
          <w:numId w:val="13"/>
        </w:numPr>
        <w:autoSpaceDE w:val="0"/>
        <w:autoSpaceDN w:val="0"/>
        <w:adjustRightInd w:val="0"/>
        <w:spacing w:after="120"/>
        <w:ind w:hanging="11"/>
        <w:contextualSpacing w:val="0"/>
        <w:rPr>
          <w:rFonts w:cs="Arial"/>
          <w:iCs/>
          <w:szCs w:val="20"/>
          <w:lang w:val="en-US"/>
        </w:rPr>
      </w:pPr>
      <w:r w:rsidRPr="00FE50A6">
        <w:rPr>
          <w:rFonts w:cs="Arial"/>
          <w:iCs/>
          <w:szCs w:val="20"/>
          <w:lang w:val="en-US"/>
        </w:rPr>
        <w:t xml:space="preserve">It has been pointed out that the Executive has identified constraints such as the lack of trained personnel, the </w:t>
      </w:r>
      <w:r w:rsidR="0073553A" w:rsidRPr="00FE50A6">
        <w:rPr>
          <w:rFonts w:cs="Arial"/>
          <w:iCs/>
          <w:szCs w:val="20"/>
          <w:lang w:val="en-US"/>
        </w:rPr>
        <w:t>scarcity</w:t>
      </w:r>
      <w:r w:rsidRPr="00FE50A6">
        <w:rPr>
          <w:rFonts w:cs="Arial"/>
          <w:iCs/>
          <w:szCs w:val="20"/>
          <w:lang w:val="en-US"/>
        </w:rPr>
        <w:t xml:space="preserve"> of labor monitors, the lack of public equipment</w:t>
      </w:r>
      <w:r w:rsidR="0073553A" w:rsidRPr="00FE50A6">
        <w:rPr>
          <w:rFonts w:cs="Arial"/>
          <w:iCs/>
          <w:szCs w:val="20"/>
          <w:lang w:val="en-US"/>
        </w:rPr>
        <w:t xml:space="preserve"> and networks for State actions to respond to the demands; the decrease in the number of entities that make up the Special Mobile Monitoring Groups, and also </w:t>
      </w:r>
      <w:r w:rsidR="001F57A1" w:rsidRPr="00FE50A6">
        <w:rPr>
          <w:rFonts w:cs="Arial"/>
          <w:iCs/>
          <w:szCs w:val="20"/>
          <w:lang w:val="en-US"/>
        </w:rPr>
        <w:t>in</w:t>
      </w:r>
      <w:r w:rsidR="0073553A" w:rsidRPr="00FE50A6">
        <w:rPr>
          <w:rFonts w:cs="Arial"/>
          <w:iCs/>
          <w:szCs w:val="20"/>
          <w:lang w:val="en-US"/>
        </w:rPr>
        <w:t xml:space="preserve"> Federal Police agents, to act as</w:t>
      </w:r>
      <w:r w:rsidR="001F57A1" w:rsidRPr="00FE50A6">
        <w:rPr>
          <w:rFonts w:cs="Arial"/>
          <w:iCs/>
          <w:szCs w:val="20"/>
          <w:lang w:val="en-US"/>
        </w:rPr>
        <w:t xml:space="preserve"> logistic and</w:t>
      </w:r>
      <w:r w:rsidR="0073553A" w:rsidRPr="00FE50A6">
        <w:rPr>
          <w:rFonts w:cs="Arial"/>
          <w:iCs/>
          <w:szCs w:val="20"/>
          <w:lang w:val="en-US"/>
        </w:rPr>
        <w:t xml:space="preserve"> judicial police,</w:t>
      </w:r>
      <w:r w:rsidR="001F57A1" w:rsidRPr="00FE50A6">
        <w:rPr>
          <w:rFonts w:cs="Arial"/>
          <w:iCs/>
          <w:szCs w:val="20"/>
          <w:lang w:val="en-US"/>
        </w:rPr>
        <w:t xml:space="preserve"> in the </w:t>
      </w:r>
      <w:r w:rsidR="0073553A" w:rsidRPr="00FE50A6">
        <w:rPr>
          <w:rFonts w:cs="Arial"/>
          <w:iCs/>
          <w:szCs w:val="20"/>
          <w:lang w:val="en-US"/>
        </w:rPr>
        <w:t>combat</w:t>
      </w:r>
      <w:r w:rsidR="001F57A1" w:rsidRPr="00FE50A6">
        <w:rPr>
          <w:rFonts w:cs="Arial"/>
          <w:iCs/>
          <w:szCs w:val="20"/>
          <w:lang w:val="en-US"/>
        </w:rPr>
        <w:t xml:space="preserve"> against</w:t>
      </w:r>
      <w:r w:rsidR="0073553A" w:rsidRPr="00FE50A6">
        <w:rPr>
          <w:rFonts w:cs="Arial"/>
          <w:iCs/>
          <w:szCs w:val="20"/>
          <w:lang w:val="en-US"/>
        </w:rPr>
        <w:t xml:space="preserve"> slave labor. </w:t>
      </w:r>
    </w:p>
    <w:p w14:paraId="52E33CA7" w14:textId="77777777" w:rsidR="004B0842" w:rsidRPr="00FE50A6" w:rsidRDefault="0073553A"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However</w:t>
      </w:r>
      <w:r w:rsidR="00795D2F" w:rsidRPr="00FE50A6">
        <w:rPr>
          <w:rFonts w:cs="Arial"/>
          <w:iCs/>
          <w:szCs w:val="20"/>
          <w:lang w:val="en-US"/>
        </w:rPr>
        <w:t xml:space="preserve">, </w:t>
      </w:r>
      <w:r w:rsidR="000228D0" w:rsidRPr="00FE50A6">
        <w:rPr>
          <w:rFonts w:cs="Arial"/>
          <w:iCs/>
          <w:szCs w:val="20"/>
          <w:lang w:val="en-US"/>
        </w:rPr>
        <w:t>the Court</w:t>
      </w:r>
      <w:r w:rsidR="004B0842" w:rsidRPr="00FE50A6">
        <w:rPr>
          <w:rFonts w:cs="Arial"/>
          <w:iCs/>
          <w:szCs w:val="20"/>
          <w:lang w:val="en-US"/>
        </w:rPr>
        <w:t xml:space="preserve"> </w:t>
      </w:r>
      <w:r w:rsidRPr="00FE50A6">
        <w:rPr>
          <w:rFonts w:cs="Arial"/>
          <w:iCs/>
          <w:szCs w:val="20"/>
          <w:lang w:val="en-US"/>
        </w:rPr>
        <w:t xml:space="preserve">emphasizes that, since 1995, </w:t>
      </w:r>
      <w:r w:rsidR="000228D0" w:rsidRPr="00FE50A6">
        <w:rPr>
          <w:rFonts w:cs="Arial"/>
          <w:iCs/>
          <w:szCs w:val="20"/>
          <w:lang w:val="en-US"/>
        </w:rPr>
        <w:t xml:space="preserve">the </w:t>
      </w:r>
      <w:r w:rsidR="005D0370" w:rsidRPr="00FE50A6">
        <w:rPr>
          <w:rFonts w:cs="Arial"/>
          <w:iCs/>
          <w:szCs w:val="20"/>
          <w:lang w:val="en-US"/>
        </w:rPr>
        <w:t>Brazilian State</w:t>
      </w:r>
      <w:r w:rsidRPr="00FE50A6">
        <w:rPr>
          <w:rFonts w:cs="Arial"/>
          <w:iCs/>
          <w:szCs w:val="20"/>
          <w:lang w:val="en-US"/>
        </w:rPr>
        <w:t xml:space="preserve"> has </w:t>
      </w:r>
      <w:r w:rsidR="001F57A1" w:rsidRPr="00FE50A6">
        <w:rPr>
          <w:rFonts w:cs="Arial"/>
          <w:iCs/>
          <w:szCs w:val="20"/>
          <w:lang w:val="en-US"/>
        </w:rPr>
        <w:t>fulfilled</w:t>
      </w:r>
      <w:r w:rsidRPr="00FE50A6">
        <w:rPr>
          <w:rFonts w:cs="Arial"/>
          <w:iCs/>
          <w:szCs w:val="20"/>
          <w:lang w:val="en-US"/>
        </w:rPr>
        <w:t xml:space="preserve"> its commitment to implement different actions to eradicate</w:t>
      </w:r>
      <w:r w:rsidR="004B0842" w:rsidRPr="00FE50A6">
        <w:rPr>
          <w:rFonts w:cs="Arial"/>
          <w:iCs/>
          <w:szCs w:val="20"/>
          <w:lang w:val="en-US"/>
        </w:rPr>
        <w:t xml:space="preserve"> </w:t>
      </w:r>
      <w:r w:rsidR="005F1946" w:rsidRPr="00FE50A6">
        <w:rPr>
          <w:rFonts w:cs="Arial"/>
          <w:iCs/>
          <w:szCs w:val="20"/>
          <w:lang w:val="en-US"/>
        </w:rPr>
        <w:t>slave labor</w:t>
      </w:r>
      <w:r w:rsidR="004B0842" w:rsidRPr="00FE50A6">
        <w:rPr>
          <w:rFonts w:cs="Arial"/>
          <w:iCs/>
          <w:szCs w:val="20"/>
          <w:lang w:val="en-US"/>
        </w:rPr>
        <w:t xml:space="preserve">. </w:t>
      </w:r>
      <w:r w:rsidRPr="00FE50A6">
        <w:rPr>
          <w:rFonts w:cs="Arial"/>
          <w:iCs/>
          <w:szCs w:val="20"/>
          <w:lang w:val="en-US"/>
        </w:rPr>
        <w:t>Some of the most significant are as follow</w:t>
      </w:r>
      <w:r w:rsidR="004B0842" w:rsidRPr="00FE50A6">
        <w:rPr>
          <w:rFonts w:cs="Arial"/>
          <w:iCs/>
          <w:szCs w:val="20"/>
          <w:lang w:val="en-US"/>
        </w:rPr>
        <w:t>:</w:t>
      </w:r>
    </w:p>
    <w:p w14:paraId="729AC41B" w14:textId="77777777" w:rsidR="004B0842" w:rsidRPr="00FE50A6" w:rsidRDefault="004B0842" w:rsidP="004B0842">
      <w:pPr>
        <w:pStyle w:val="Prrafodelista"/>
        <w:autoSpaceDE w:val="0"/>
        <w:autoSpaceDN w:val="0"/>
        <w:adjustRightInd w:val="0"/>
        <w:rPr>
          <w:rFonts w:cs="Arial"/>
          <w:iCs/>
          <w:szCs w:val="20"/>
          <w:lang w:val="en-US"/>
        </w:rPr>
      </w:pPr>
    </w:p>
    <w:p w14:paraId="36624029" w14:textId="77777777" w:rsidR="004B0842" w:rsidRPr="00FE50A6" w:rsidRDefault="0073553A" w:rsidP="00E15424">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I</w:t>
      </w:r>
      <w:r w:rsidR="004B0842" w:rsidRPr="00FE50A6">
        <w:rPr>
          <w:rFonts w:cs="Arial"/>
          <w:iCs/>
          <w:szCs w:val="20"/>
          <w:lang w:val="en-US"/>
        </w:rPr>
        <w:t xml:space="preserve">n 1995, </w:t>
      </w:r>
      <w:r w:rsidRPr="00FE50A6">
        <w:rPr>
          <w:rFonts w:cs="Arial"/>
          <w:iCs/>
          <w:szCs w:val="20"/>
          <w:lang w:val="en-US"/>
        </w:rPr>
        <w:t>it issued Decree</w:t>
      </w:r>
      <w:r w:rsidR="004B0842" w:rsidRPr="00FE50A6">
        <w:rPr>
          <w:rFonts w:cs="Arial"/>
          <w:iCs/>
          <w:szCs w:val="20"/>
          <w:lang w:val="en-US"/>
        </w:rPr>
        <w:t xml:space="preserve"> No. 1</w:t>
      </w:r>
      <w:r w:rsidRPr="00FE50A6">
        <w:rPr>
          <w:rFonts w:cs="Arial"/>
          <w:iCs/>
          <w:szCs w:val="20"/>
          <w:lang w:val="en-US"/>
        </w:rPr>
        <w:t>,</w:t>
      </w:r>
      <w:r w:rsidR="004B0842" w:rsidRPr="00FE50A6">
        <w:rPr>
          <w:rFonts w:cs="Arial"/>
          <w:iCs/>
          <w:szCs w:val="20"/>
          <w:lang w:val="en-US"/>
        </w:rPr>
        <w:t xml:space="preserve">538, </w:t>
      </w:r>
      <w:r w:rsidRPr="00FE50A6">
        <w:rPr>
          <w:rFonts w:cs="Arial"/>
          <w:iCs/>
          <w:szCs w:val="20"/>
          <w:lang w:val="en-US"/>
        </w:rPr>
        <w:t>creating the</w:t>
      </w:r>
      <w:r w:rsidR="004B0842" w:rsidRPr="00FE50A6">
        <w:rPr>
          <w:rFonts w:cs="Arial"/>
          <w:iCs/>
          <w:szCs w:val="20"/>
          <w:lang w:val="en-US"/>
        </w:rPr>
        <w:t xml:space="preserve"> </w:t>
      </w:r>
      <w:r w:rsidR="0081756E" w:rsidRPr="00FE50A6">
        <w:rPr>
          <w:rFonts w:cs="Arial"/>
          <w:iCs/>
          <w:szCs w:val="20"/>
          <w:lang w:val="en-US"/>
        </w:rPr>
        <w:t>Interministerial Group for the Eradication of Forced Labor</w:t>
      </w:r>
      <w:r w:rsidR="004B0842" w:rsidRPr="00FE50A6">
        <w:rPr>
          <w:rFonts w:cs="Arial"/>
          <w:iCs/>
          <w:szCs w:val="20"/>
          <w:lang w:val="en-US"/>
        </w:rPr>
        <w:t xml:space="preserve"> (GERTRAF), </w:t>
      </w:r>
      <w:r w:rsidR="00E15424" w:rsidRPr="00FE50A6">
        <w:rPr>
          <w:rFonts w:eastAsia="Batang" w:cs="Times"/>
          <w:szCs w:val="20"/>
          <w:lang w:val="en-US"/>
        </w:rPr>
        <w:t>composed of various ministries and coordinated by the Ministry of Labor, with the participation of several agencies, institutions and the International Labour Organization (ILO</w:t>
      </w:r>
      <w:r w:rsidR="007A0208" w:rsidRPr="00FE50A6">
        <w:rPr>
          <w:rFonts w:eastAsia="Batang" w:cs="Times"/>
          <w:szCs w:val="20"/>
          <w:lang w:val="en-US"/>
        </w:rPr>
        <w:t>)</w:t>
      </w:r>
      <w:r w:rsidR="00E15424" w:rsidRPr="00FE50A6">
        <w:rPr>
          <w:rFonts w:eastAsia="Batang" w:cs="Times"/>
          <w:szCs w:val="20"/>
          <w:lang w:val="en-US"/>
        </w:rPr>
        <w:t>. The</w:t>
      </w:r>
      <w:r w:rsidR="00E15424" w:rsidRPr="00FE50A6">
        <w:rPr>
          <w:rFonts w:cs="Arial"/>
          <w:szCs w:val="20"/>
          <w:lang w:val="en-US"/>
        </w:rPr>
        <w:t xml:space="preserve"> Special Mobile Inspection Group was also established that year with authority to act in rural areas and investigate reports of </w:t>
      </w:r>
      <w:r w:rsidR="00E15424" w:rsidRPr="00FE50A6">
        <w:rPr>
          <w:rFonts w:eastAsia="Batang" w:cs="Times"/>
          <w:szCs w:val="20"/>
          <w:lang w:val="en-US"/>
        </w:rPr>
        <w:t xml:space="preserve">slave labor, supporting the operations of the Interministerial Group for the Eradication of Forced Labor. The Mobile Group has been considered an efficient instrument to rescue workers from their situation of slave labor, impose administrative sanctions and the payment of compensation, and compile evidence of these facts to enable the </w:t>
      </w:r>
      <w:r w:rsidR="00DC398B" w:rsidRPr="00FE50A6">
        <w:rPr>
          <w:rFonts w:cs="Arial"/>
          <w:iCs/>
          <w:szCs w:val="20"/>
          <w:lang w:val="en-US"/>
        </w:rPr>
        <w:t>Federal Public Prosecution Service</w:t>
      </w:r>
      <w:r w:rsidR="00030C17" w:rsidRPr="00FE50A6">
        <w:rPr>
          <w:rFonts w:cs="Arial"/>
          <w:iCs/>
          <w:szCs w:val="20"/>
          <w:lang w:val="en-US"/>
        </w:rPr>
        <w:t xml:space="preserve"> and </w:t>
      </w:r>
      <w:r w:rsidR="00E15424" w:rsidRPr="00FE50A6">
        <w:rPr>
          <w:rFonts w:cs="Arial"/>
          <w:iCs/>
          <w:szCs w:val="20"/>
          <w:lang w:val="en-US"/>
        </w:rPr>
        <w:t xml:space="preserve">the Judiciary to act; </w:t>
      </w:r>
    </w:p>
    <w:p w14:paraId="72444493" w14:textId="77777777" w:rsidR="004B0842" w:rsidRPr="00FE50A6" w:rsidRDefault="00E15424"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Also, alongside the monitoring function, the State has increased actions o</w:t>
      </w:r>
      <w:r w:rsidR="007A0208" w:rsidRPr="00FE50A6">
        <w:rPr>
          <w:rFonts w:cs="Arial"/>
          <w:iCs/>
          <w:szCs w:val="20"/>
          <w:lang w:val="en-US"/>
        </w:rPr>
        <w:t>n</w:t>
      </w:r>
      <w:r w:rsidRPr="00FE50A6">
        <w:rPr>
          <w:rFonts w:cs="Arial"/>
          <w:iCs/>
          <w:szCs w:val="20"/>
          <w:lang w:val="en-US"/>
        </w:rPr>
        <w:t xml:space="preserve"> prevention and </w:t>
      </w:r>
      <w:r w:rsidR="007A0208" w:rsidRPr="00FE50A6">
        <w:rPr>
          <w:rFonts w:cs="Arial"/>
          <w:iCs/>
          <w:szCs w:val="20"/>
          <w:lang w:val="en-US"/>
        </w:rPr>
        <w:t xml:space="preserve">for </w:t>
      </w:r>
      <w:r w:rsidRPr="00FE50A6">
        <w:rPr>
          <w:rFonts w:cs="Arial"/>
          <w:iCs/>
          <w:szCs w:val="20"/>
          <w:lang w:val="en-US"/>
        </w:rPr>
        <w:t>the reinsertion of workers</w:t>
      </w:r>
      <w:r w:rsidR="004B0842" w:rsidRPr="00FE50A6">
        <w:rPr>
          <w:rFonts w:cs="Arial"/>
          <w:iCs/>
          <w:szCs w:val="20"/>
          <w:lang w:val="en-US"/>
        </w:rPr>
        <w:t xml:space="preserve">; </w:t>
      </w:r>
    </w:p>
    <w:p w14:paraId="4007B9E2" w14:textId="77777777" w:rsidR="00E15424" w:rsidRPr="00FE50A6" w:rsidRDefault="00E15424"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I</w:t>
      </w:r>
      <w:r w:rsidR="004B0842" w:rsidRPr="00FE50A6">
        <w:rPr>
          <w:rFonts w:cs="Arial"/>
          <w:iCs/>
          <w:szCs w:val="20"/>
          <w:lang w:val="en-US"/>
        </w:rPr>
        <w:t>n 2002</w:t>
      </w:r>
      <w:r w:rsidR="00DB5A03" w:rsidRPr="00FE50A6">
        <w:rPr>
          <w:rFonts w:cs="Arial"/>
          <w:iCs/>
          <w:szCs w:val="20"/>
          <w:lang w:val="en-US"/>
        </w:rPr>
        <w:t>,</w:t>
      </w:r>
      <w:r w:rsidR="004B0842" w:rsidRPr="00FE50A6">
        <w:rPr>
          <w:rFonts w:cs="Arial"/>
          <w:iCs/>
          <w:szCs w:val="20"/>
          <w:lang w:val="en-US"/>
        </w:rPr>
        <w:t xml:space="preserve"> </w:t>
      </w:r>
      <w:r w:rsidRPr="00FE50A6">
        <w:rPr>
          <w:rFonts w:cs="Arial"/>
          <w:iCs/>
          <w:szCs w:val="20"/>
          <w:lang w:val="en-US"/>
        </w:rPr>
        <w:t>the</w:t>
      </w:r>
      <w:r w:rsidR="00F8114C" w:rsidRPr="00FE50A6">
        <w:rPr>
          <w:rFonts w:cs="Arial"/>
          <w:iCs/>
          <w:szCs w:val="20"/>
          <w:lang w:val="en-US"/>
        </w:rPr>
        <w:t xml:space="preserve"> </w:t>
      </w:r>
      <w:r w:rsidR="00452450" w:rsidRPr="00FE50A6">
        <w:rPr>
          <w:rFonts w:cs="Arial"/>
          <w:iCs/>
          <w:szCs w:val="20"/>
          <w:lang w:val="en-US"/>
        </w:rPr>
        <w:t>Labor Public Prosecut</w:t>
      </w:r>
      <w:r w:rsidRPr="00FE50A6">
        <w:rPr>
          <w:rFonts w:cs="Arial"/>
          <w:iCs/>
          <w:szCs w:val="20"/>
          <w:lang w:val="en-US"/>
        </w:rPr>
        <w:t>ion Service was created</w:t>
      </w:r>
      <w:r w:rsidR="004B0842" w:rsidRPr="00FE50A6">
        <w:rPr>
          <w:rFonts w:cs="Arial"/>
          <w:iCs/>
          <w:szCs w:val="20"/>
          <w:lang w:val="en-US"/>
        </w:rPr>
        <w:t xml:space="preserve"> </w:t>
      </w:r>
      <w:r w:rsidRPr="00FE50A6">
        <w:rPr>
          <w:rFonts w:cs="Arial"/>
          <w:iCs/>
          <w:szCs w:val="20"/>
          <w:lang w:val="en-US"/>
        </w:rPr>
        <w:t xml:space="preserve">to combat slave labor and also </w:t>
      </w:r>
      <w:r w:rsidRPr="00FE50A6">
        <w:rPr>
          <w:rFonts w:cs="Times New Roman"/>
          <w:szCs w:val="20"/>
          <w:lang w:val="en-US"/>
        </w:rPr>
        <w:t xml:space="preserve">the </w:t>
      </w:r>
      <w:r w:rsidRPr="00FE50A6">
        <w:rPr>
          <w:rFonts w:eastAsia="Batang" w:cs="Times"/>
          <w:szCs w:val="20"/>
          <w:lang w:val="en-US"/>
        </w:rPr>
        <w:t xml:space="preserve">National Coordinator for the Eradication of Slave Labor. </w:t>
      </w:r>
      <w:r w:rsidR="008621DB" w:rsidRPr="00FE50A6">
        <w:rPr>
          <w:rFonts w:eastAsia="Batang" w:cs="Times"/>
          <w:szCs w:val="20"/>
          <w:lang w:val="en-US"/>
        </w:rPr>
        <w:t>In addition</w:t>
      </w:r>
      <w:r w:rsidRPr="00FE50A6">
        <w:rPr>
          <w:rFonts w:eastAsia="Batang" w:cs="Times"/>
          <w:szCs w:val="20"/>
          <w:lang w:val="en-US"/>
        </w:rPr>
        <w:t xml:space="preserve">, that year the First National Plan for the Eradication of Slavery </w:t>
      </w:r>
      <w:r w:rsidRPr="00FE50A6">
        <w:rPr>
          <w:rFonts w:cs="Arial"/>
          <w:szCs w:val="20"/>
          <w:lang w:val="en-US"/>
        </w:rPr>
        <w:t xml:space="preserve">was introduced by the Special Committee of the Human Rights Council, and Law No. </w:t>
      </w:r>
      <w:r w:rsidRPr="00FE50A6">
        <w:rPr>
          <w:rFonts w:eastAsia="Batang" w:cs="Times"/>
          <w:szCs w:val="20"/>
          <w:lang w:val="en-US"/>
        </w:rPr>
        <w:t xml:space="preserve">10608/2002 was enacted on unemployment insurance for workers rescued from </w:t>
      </w:r>
      <w:r w:rsidR="008621DB" w:rsidRPr="00FE50A6">
        <w:rPr>
          <w:rFonts w:eastAsia="Batang" w:cs="Times"/>
          <w:szCs w:val="20"/>
          <w:lang w:val="en-US"/>
        </w:rPr>
        <w:t>a</w:t>
      </w:r>
      <w:r w:rsidRPr="00FE50A6">
        <w:rPr>
          <w:rFonts w:eastAsia="Batang" w:cs="Times"/>
          <w:szCs w:val="20"/>
          <w:lang w:val="en-US"/>
        </w:rPr>
        <w:t xml:space="preserve"> forced labor regime or from a condition similar to slavery.</w:t>
      </w:r>
    </w:p>
    <w:p w14:paraId="0372DDF5" w14:textId="77777777" w:rsidR="004B0842" w:rsidRPr="00FE50A6" w:rsidRDefault="00E15424"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On December 11,</w:t>
      </w:r>
      <w:r w:rsidR="004B0842" w:rsidRPr="00FE50A6">
        <w:rPr>
          <w:rFonts w:cs="Arial"/>
          <w:iCs/>
          <w:szCs w:val="20"/>
          <w:lang w:val="en-US"/>
        </w:rPr>
        <w:t xml:space="preserve"> 2003, </w:t>
      </w:r>
      <w:r w:rsidRPr="00FE50A6">
        <w:rPr>
          <w:rFonts w:eastAsia="Batang" w:cs="Times"/>
          <w:szCs w:val="20"/>
          <w:lang w:val="en-US"/>
        </w:rPr>
        <w:t>Law No. 10803/2003 was enacted amending the wording of article 149 of the Brazilian Penal Code</w:t>
      </w:r>
      <w:r w:rsidR="004B0842" w:rsidRPr="00FE50A6">
        <w:rPr>
          <w:rFonts w:cs="Arial"/>
          <w:iCs/>
          <w:szCs w:val="20"/>
          <w:lang w:val="en-US"/>
        </w:rPr>
        <w:t xml:space="preserve">; </w:t>
      </w:r>
    </w:p>
    <w:p w14:paraId="68B9C516" w14:textId="77777777" w:rsidR="004B0842" w:rsidRPr="00FE50A6" w:rsidRDefault="009C67FB"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eastAsia="Batang" w:cs="Times"/>
          <w:szCs w:val="20"/>
          <w:lang w:val="en-US"/>
        </w:rPr>
        <w:t xml:space="preserve">Under Ordinances No. 540 of October 15, 2004, and No. 2 of May 12, 2011, </w:t>
      </w:r>
      <w:r w:rsidRPr="00FE50A6">
        <w:rPr>
          <w:rFonts w:cs="Arial"/>
          <w:iCs/>
          <w:szCs w:val="20"/>
          <w:lang w:val="en-US"/>
        </w:rPr>
        <w:t xml:space="preserve">the Ministry of Labor and Employment </w:t>
      </w:r>
      <w:r w:rsidRPr="00FE50A6">
        <w:rPr>
          <w:rFonts w:eastAsia="Batang" w:cs="Times"/>
          <w:szCs w:val="20"/>
          <w:lang w:val="en-US"/>
        </w:rPr>
        <w:t xml:space="preserve">set up the List of Offending Employers (the </w:t>
      </w:r>
      <w:r w:rsidR="008621DB" w:rsidRPr="00FE50A6">
        <w:rPr>
          <w:rFonts w:eastAsia="Batang" w:cs="Times"/>
          <w:szCs w:val="20"/>
          <w:lang w:val="en-US"/>
        </w:rPr>
        <w:t>“D</w:t>
      </w:r>
      <w:r w:rsidRPr="00FE50A6">
        <w:rPr>
          <w:rFonts w:eastAsia="Batang" w:cs="Times"/>
          <w:szCs w:val="20"/>
          <w:lang w:val="en-US"/>
        </w:rPr>
        <w:t xml:space="preserve">irty </w:t>
      </w:r>
      <w:r w:rsidR="008621DB" w:rsidRPr="00FE50A6">
        <w:rPr>
          <w:rFonts w:eastAsia="Batang" w:cs="Times"/>
          <w:szCs w:val="20"/>
          <w:lang w:val="en-US"/>
        </w:rPr>
        <w:t>L</w:t>
      </w:r>
      <w:r w:rsidRPr="00FE50A6">
        <w:rPr>
          <w:rFonts w:eastAsia="Batang" w:cs="Times"/>
          <w:szCs w:val="20"/>
          <w:lang w:val="en-US"/>
        </w:rPr>
        <w:t>ist</w:t>
      </w:r>
      <w:r w:rsidR="008621DB" w:rsidRPr="00FE50A6">
        <w:rPr>
          <w:rFonts w:eastAsia="Batang" w:cs="Times"/>
          <w:szCs w:val="20"/>
          <w:lang w:val="en-US"/>
        </w:rPr>
        <w:t>”</w:t>
      </w:r>
      <w:r w:rsidRPr="00FE50A6">
        <w:rPr>
          <w:rFonts w:eastAsia="Batang" w:cs="Times"/>
          <w:szCs w:val="20"/>
          <w:lang w:val="en-US"/>
        </w:rPr>
        <w:t>), which was updated every six months, and contained the names of those accused of employing workers in conditions of slavery, and which could be consulted by financial institutions when credits were requested</w:t>
      </w:r>
      <w:r w:rsidR="004B0842" w:rsidRPr="00FE50A6">
        <w:rPr>
          <w:rFonts w:cs="Arial"/>
          <w:iCs/>
          <w:szCs w:val="20"/>
          <w:lang w:val="en-US"/>
        </w:rPr>
        <w:t xml:space="preserve">; </w:t>
      </w:r>
    </w:p>
    <w:p w14:paraId="39CAC8F7" w14:textId="77777777" w:rsidR="004B0842" w:rsidRPr="00FE50A6" w:rsidRDefault="009C67FB" w:rsidP="009C67FB">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bCs/>
          <w:szCs w:val="20"/>
          <w:lang w:val="en-US"/>
        </w:rPr>
        <w:t xml:space="preserve">On July 31, </w:t>
      </w:r>
      <w:r w:rsidRPr="00FE50A6">
        <w:rPr>
          <w:rFonts w:eastAsia="Batang" w:cs="Times"/>
          <w:szCs w:val="20"/>
          <w:lang w:val="en-US"/>
        </w:rPr>
        <w:t>2003, the National Commission for the Eradication of Slave Labor (CONATRAE), was established in substitution of the Interministerial Group for the Eradication of Forced Labor set up in 1995. The Commission incorporated a greater number of institutions of the Brazilian State and members of civil society in order to develop public policies to combat slave labor</w:t>
      </w:r>
      <w:r w:rsidRPr="00FE50A6">
        <w:rPr>
          <w:rFonts w:cs="Arial"/>
          <w:iCs/>
          <w:szCs w:val="20"/>
          <w:lang w:val="en-US"/>
        </w:rPr>
        <w:t>. The Court has taken note that ILO has identified this institution as a model that could serve as an example for countries with similar problems</w:t>
      </w:r>
      <w:r w:rsidR="004B0842" w:rsidRPr="00FE50A6">
        <w:rPr>
          <w:rFonts w:cs="Arial"/>
          <w:iCs/>
          <w:szCs w:val="20"/>
          <w:lang w:val="en-US"/>
        </w:rPr>
        <w:t xml:space="preserve">; </w:t>
      </w:r>
    </w:p>
    <w:p w14:paraId="338C7BC1" w14:textId="77777777" w:rsidR="004B0842" w:rsidRPr="00FE50A6" w:rsidRDefault="009C67FB"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eastAsia="Batang" w:cs="Times"/>
          <w:szCs w:val="20"/>
          <w:lang w:val="en-US"/>
        </w:rPr>
        <w:t xml:space="preserve">In December 2007, in special appeal No. 398041, the Brazilian Supreme Federal Court established a </w:t>
      </w:r>
      <w:r w:rsidR="008621DB" w:rsidRPr="00FE50A6">
        <w:rPr>
          <w:rFonts w:eastAsia="Batang" w:cs="Times"/>
          <w:szCs w:val="20"/>
          <w:lang w:val="en-US"/>
        </w:rPr>
        <w:t>final</w:t>
      </w:r>
      <w:r w:rsidRPr="00FE50A6">
        <w:rPr>
          <w:rFonts w:eastAsia="Batang" w:cs="Times"/>
          <w:szCs w:val="20"/>
          <w:lang w:val="en-US"/>
        </w:rPr>
        <w:t xml:space="preserve"> opinion that the federal jurisdiction was the competent instance of the Judiciary to try crimes relating to conditions similar to slavery established in article 149 of the Brazilian Penal Code</w:t>
      </w:r>
      <w:r w:rsidR="004B0842" w:rsidRPr="00FE50A6">
        <w:rPr>
          <w:rFonts w:cs="Arial"/>
          <w:iCs/>
          <w:szCs w:val="20"/>
          <w:lang w:val="en-US"/>
        </w:rPr>
        <w:t>;</w:t>
      </w:r>
    </w:p>
    <w:p w14:paraId="2F7474A7" w14:textId="77777777" w:rsidR="004B0842" w:rsidRPr="00FE50A6" w:rsidRDefault="009C67FB"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eastAsia="Batang" w:cs="Times"/>
          <w:szCs w:val="20"/>
          <w:lang w:val="en-US"/>
        </w:rPr>
        <w:t>In 2008, the Second National Plan for the Eradication of Slavery was implemented. Also, in order to publicize public policies and raise the awareness of society in this area, the National Day of the Combat against Slave Labor was established</w:t>
      </w:r>
      <w:r w:rsidR="0030021B" w:rsidRPr="00FE50A6">
        <w:rPr>
          <w:rFonts w:eastAsia="Batang" w:cs="Times"/>
          <w:szCs w:val="20"/>
          <w:lang w:val="en-US"/>
        </w:rPr>
        <w:t xml:space="preserve"> by Law No. 12064/2009</w:t>
      </w:r>
      <w:r w:rsidR="004B0842" w:rsidRPr="00FE50A6">
        <w:rPr>
          <w:rFonts w:cs="Arial"/>
          <w:iCs/>
          <w:szCs w:val="20"/>
          <w:lang w:val="en-US"/>
        </w:rPr>
        <w:t>;</w:t>
      </w:r>
    </w:p>
    <w:p w14:paraId="21AC06D5" w14:textId="77777777" w:rsidR="004B0842" w:rsidRPr="00FE50A6" w:rsidRDefault="0030021B"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eastAsia="Batang" w:cs="Times"/>
          <w:szCs w:val="20"/>
          <w:lang w:val="en-US"/>
        </w:rPr>
        <w:t xml:space="preserve">On June 22, 2010, the Central Bank of Brazil issued resolution No. 3876 prohibiting the granting of rural credits to physical and legal persons registered on the Offending Employers List </w:t>
      </w:r>
      <w:r w:rsidR="008621DB" w:rsidRPr="00FE50A6">
        <w:rPr>
          <w:rFonts w:eastAsia="Batang" w:cs="Times"/>
          <w:szCs w:val="20"/>
          <w:lang w:val="en-US"/>
        </w:rPr>
        <w:t>who</w:t>
      </w:r>
      <w:r w:rsidRPr="00FE50A6">
        <w:rPr>
          <w:rFonts w:eastAsia="Batang" w:cs="Times"/>
          <w:szCs w:val="20"/>
          <w:lang w:val="en-US"/>
        </w:rPr>
        <w:t xml:space="preserve"> kept workers in conditions similar to</w:t>
      </w:r>
      <w:r w:rsidR="004B0842" w:rsidRPr="00FE50A6">
        <w:rPr>
          <w:rFonts w:cs="Arial"/>
          <w:iCs/>
          <w:szCs w:val="20"/>
          <w:lang w:val="en-US"/>
        </w:rPr>
        <w:t xml:space="preserve"> </w:t>
      </w:r>
      <w:r w:rsidR="00D11A9F" w:rsidRPr="00FE50A6">
        <w:rPr>
          <w:rFonts w:cs="Arial"/>
          <w:iCs/>
          <w:szCs w:val="20"/>
          <w:lang w:val="en-US"/>
        </w:rPr>
        <w:t>slavery</w:t>
      </w:r>
      <w:r w:rsidR="004B0842" w:rsidRPr="00FE50A6">
        <w:rPr>
          <w:rFonts w:cs="Arial"/>
          <w:iCs/>
          <w:szCs w:val="20"/>
          <w:lang w:val="en-US"/>
        </w:rPr>
        <w:t xml:space="preserve">; </w:t>
      </w:r>
    </w:p>
    <w:p w14:paraId="5F8EDCE3" w14:textId="77777777" w:rsidR="001F6E7E" w:rsidRPr="00FE50A6" w:rsidRDefault="001F6E7E" w:rsidP="001F6E7E">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eastAsia="Batang" w:cs="Times"/>
          <w:szCs w:val="20"/>
          <w:lang w:val="en-US"/>
        </w:rPr>
        <w:t>On June 5, 2014, constitutional amendment No. 81 was published; article 243 determined that urban and rural properties in any region of the country where slave labor, among other matters, was found would be expropriated;</w:t>
      </w:r>
    </w:p>
    <w:p w14:paraId="06BCE38F" w14:textId="77777777" w:rsidR="004B0842" w:rsidRPr="00FE50A6" w:rsidRDefault="000228D0"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ha</w:t>
      </w:r>
      <w:r w:rsidR="001F6E7E" w:rsidRPr="00FE50A6">
        <w:rPr>
          <w:rFonts w:cs="Arial"/>
          <w:iCs/>
          <w:szCs w:val="20"/>
          <w:lang w:val="en-US"/>
        </w:rPr>
        <w:t>s received information that</w:t>
      </w:r>
      <w:r w:rsidR="004B0842" w:rsidRPr="00FE50A6">
        <w:rPr>
          <w:rFonts w:cs="Arial"/>
          <w:iCs/>
          <w:szCs w:val="20"/>
          <w:lang w:val="en-US"/>
        </w:rPr>
        <w:t xml:space="preserve"> </w:t>
      </w:r>
      <w:r w:rsidRPr="00FE50A6">
        <w:rPr>
          <w:rFonts w:cs="Arial"/>
          <w:iCs/>
          <w:szCs w:val="20"/>
          <w:lang w:val="en-US"/>
        </w:rPr>
        <w:t xml:space="preserve">the </w:t>
      </w:r>
      <w:r w:rsidR="005D0370" w:rsidRPr="00FE50A6">
        <w:rPr>
          <w:rFonts w:cs="Arial"/>
          <w:iCs/>
          <w:szCs w:val="20"/>
          <w:lang w:val="en-US"/>
        </w:rPr>
        <w:t>Brazilian State</w:t>
      </w:r>
      <w:r w:rsidR="004B0842" w:rsidRPr="00FE50A6">
        <w:rPr>
          <w:rFonts w:cs="Arial"/>
          <w:iCs/>
          <w:szCs w:val="20"/>
          <w:lang w:val="en-US"/>
        </w:rPr>
        <w:t xml:space="preserve"> ha</w:t>
      </w:r>
      <w:r w:rsidR="001F6E7E" w:rsidRPr="00FE50A6">
        <w:rPr>
          <w:rFonts w:cs="Arial"/>
          <w:iCs/>
          <w:szCs w:val="20"/>
          <w:lang w:val="en-US"/>
        </w:rPr>
        <w:t>s reinforced the powers of</w:t>
      </w:r>
      <w:r w:rsidR="00A67F6B" w:rsidRPr="00FE50A6">
        <w:rPr>
          <w:rFonts w:cs="Arial"/>
          <w:iCs/>
          <w:szCs w:val="20"/>
          <w:lang w:val="en-US"/>
        </w:rPr>
        <w:t xml:space="preserve"> the </w:t>
      </w:r>
      <w:r w:rsidR="00452450" w:rsidRPr="00FE50A6">
        <w:rPr>
          <w:rFonts w:cs="Arial"/>
          <w:iCs/>
          <w:szCs w:val="20"/>
          <w:lang w:val="en-US"/>
        </w:rPr>
        <w:t>Labor Public Prosecutor</w:t>
      </w:r>
      <w:r w:rsidR="00030C17" w:rsidRPr="00FE50A6">
        <w:rPr>
          <w:rFonts w:cs="Arial"/>
          <w:iCs/>
          <w:szCs w:val="20"/>
          <w:lang w:val="en-US"/>
        </w:rPr>
        <w:t xml:space="preserve"> and </w:t>
      </w:r>
      <w:r w:rsidR="001F6E7E" w:rsidRPr="00FE50A6">
        <w:rPr>
          <w:rFonts w:cs="Arial"/>
          <w:iCs/>
          <w:szCs w:val="20"/>
          <w:lang w:val="en-US"/>
        </w:rPr>
        <w:t xml:space="preserve">the </w:t>
      </w:r>
      <w:r w:rsidR="00DC398B" w:rsidRPr="00FE50A6">
        <w:rPr>
          <w:rFonts w:cs="Arial"/>
          <w:iCs/>
          <w:szCs w:val="20"/>
          <w:lang w:val="en-US"/>
        </w:rPr>
        <w:t>Federal Public Prosecution Service</w:t>
      </w:r>
      <w:r w:rsidR="001F6E7E" w:rsidRPr="00FE50A6">
        <w:rPr>
          <w:rFonts w:cs="Arial"/>
          <w:iCs/>
          <w:szCs w:val="20"/>
          <w:lang w:val="en-US"/>
        </w:rPr>
        <w:t xml:space="preserve"> to institute public civil and criminal proceedings so that the State can exercise its coercive authority. In addition, technical procedural guidelines have been drawn up for </w:t>
      </w:r>
      <w:r w:rsidR="00F8114C" w:rsidRPr="00FE50A6">
        <w:rPr>
          <w:rFonts w:cs="Arial"/>
          <w:iCs/>
          <w:szCs w:val="20"/>
          <w:lang w:val="en-US"/>
        </w:rPr>
        <w:t xml:space="preserve">the </w:t>
      </w:r>
      <w:r w:rsidR="00452450" w:rsidRPr="00FE50A6">
        <w:rPr>
          <w:rFonts w:cs="Arial"/>
          <w:iCs/>
          <w:szCs w:val="20"/>
          <w:lang w:val="en-US"/>
        </w:rPr>
        <w:t>Labor Public Prosecut</w:t>
      </w:r>
      <w:r w:rsidR="001F6E7E" w:rsidRPr="00FE50A6">
        <w:rPr>
          <w:rFonts w:cs="Arial"/>
          <w:iCs/>
          <w:szCs w:val="20"/>
          <w:lang w:val="en-US"/>
        </w:rPr>
        <w:t xml:space="preserve">ion Service when it participates in operations to eradicate </w:t>
      </w:r>
      <w:r w:rsidR="005F1946" w:rsidRPr="00FE50A6">
        <w:rPr>
          <w:rFonts w:cs="Arial"/>
          <w:iCs/>
          <w:szCs w:val="20"/>
          <w:lang w:val="en-US"/>
        </w:rPr>
        <w:t>slave labor</w:t>
      </w:r>
      <w:r w:rsidR="004B0842" w:rsidRPr="00FE50A6">
        <w:rPr>
          <w:rFonts w:cs="Arial"/>
          <w:iCs/>
          <w:szCs w:val="20"/>
          <w:lang w:val="en-US"/>
        </w:rPr>
        <w:t>;</w:t>
      </w:r>
    </w:p>
    <w:p w14:paraId="1772986E" w14:textId="77777777" w:rsidR="004B0842" w:rsidRPr="00FE50A6" w:rsidRDefault="001F6E7E"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 xml:space="preserve">Both the labor jurisdiction and the federal jurisdiction have convicted individuals responsible for cases of reduction to a condition similar to that of </w:t>
      </w:r>
      <w:r w:rsidR="008621DB" w:rsidRPr="00FE50A6">
        <w:rPr>
          <w:rFonts w:cs="Arial"/>
          <w:iCs/>
          <w:szCs w:val="20"/>
          <w:lang w:val="en-US"/>
        </w:rPr>
        <w:t>slavery</w:t>
      </w:r>
      <w:r w:rsidRPr="00FE50A6">
        <w:rPr>
          <w:rFonts w:cs="Arial"/>
          <w:iCs/>
          <w:szCs w:val="20"/>
          <w:lang w:val="en-US"/>
        </w:rPr>
        <w:t>, also obliging them to pay sizeable fines</w:t>
      </w:r>
      <w:r w:rsidR="004B0842" w:rsidRPr="00FE50A6">
        <w:rPr>
          <w:rFonts w:cs="Arial"/>
          <w:iCs/>
          <w:szCs w:val="20"/>
          <w:lang w:val="en-US"/>
        </w:rPr>
        <w:t>;</w:t>
      </w:r>
    </w:p>
    <w:p w14:paraId="224E5F46" w14:textId="77777777" w:rsidR="001F6E7E" w:rsidRPr="00FE50A6" w:rsidRDefault="001F6E7E" w:rsidP="008B0BCC">
      <w:pPr>
        <w:pStyle w:val="Prrafodelista"/>
        <w:numPr>
          <w:ilvl w:val="0"/>
          <w:numId w:val="12"/>
        </w:numPr>
        <w:autoSpaceDE w:val="0"/>
        <w:autoSpaceDN w:val="0"/>
        <w:adjustRightInd w:val="0"/>
        <w:spacing w:after="120"/>
        <w:ind w:hanging="11"/>
        <w:contextualSpacing w:val="0"/>
        <w:rPr>
          <w:rFonts w:cs="Arial"/>
          <w:iCs/>
          <w:szCs w:val="20"/>
          <w:lang w:val="en-US"/>
        </w:rPr>
      </w:pPr>
      <w:r w:rsidRPr="00FE50A6">
        <w:rPr>
          <w:rFonts w:cs="Arial"/>
          <w:iCs/>
          <w:szCs w:val="20"/>
          <w:lang w:val="en-US"/>
        </w:rPr>
        <w:t xml:space="preserve">In addition, public policies have been </w:t>
      </w:r>
      <w:r w:rsidR="001D45D3" w:rsidRPr="00FE50A6">
        <w:rPr>
          <w:rFonts w:cs="Arial"/>
          <w:iCs/>
          <w:szCs w:val="20"/>
          <w:lang w:val="en-US"/>
        </w:rPr>
        <w:t>implemented</w:t>
      </w:r>
      <w:r w:rsidRPr="00FE50A6">
        <w:rPr>
          <w:rFonts w:cs="Arial"/>
          <w:iCs/>
          <w:szCs w:val="20"/>
          <w:lang w:val="en-US"/>
        </w:rPr>
        <w:t xml:space="preserve"> that have provided universal access to basic services</w:t>
      </w:r>
      <w:r w:rsidR="001D45D3" w:rsidRPr="00FE50A6">
        <w:rPr>
          <w:rFonts w:cs="Arial"/>
          <w:iCs/>
          <w:szCs w:val="20"/>
          <w:lang w:val="en-US"/>
        </w:rPr>
        <w:t>,</w:t>
      </w:r>
      <w:r w:rsidRPr="00FE50A6">
        <w:rPr>
          <w:rFonts w:cs="Arial"/>
          <w:iCs/>
          <w:szCs w:val="20"/>
          <w:lang w:val="en-US"/>
        </w:rPr>
        <w:t xml:space="preserve"> the civil registry, </w:t>
      </w:r>
      <w:r w:rsidR="001D45D3" w:rsidRPr="00FE50A6">
        <w:rPr>
          <w:rFonts w:cs="Arial"/>
          <w:iCs/>
          <w:szCs w:val="20"/>
          <w:lang w:val="en-US"/>
        </w:rPr>
        <w:t xml:space="preserve">the “Bolsa Familia” program (a conditioned cash transfer program for education and vaccination), unemployment insurance, </w:t>
      </w:r>
      <w:r w:rsidR="00293807" w:rsidRPr="00FE50A6">
        <w:rPr>
          <w:rFonts w:cs="Arial"/>
          <w:iCs/>
          <w:szCs w:val="20"/>
          <w:lang w:val="en-US"/>
        </w:rPr>
        <w:t xml:space="preserve">the </w:t>
      </w:r>
      <w:r w:rsidR="001D45D3" w:rsidRPr="00FE50A6">
        <w:rPr>
          <w:rFonts w:cs="Arial"/>
          <w:iCs/>
          <w:szCs w:val="20"/>
          <w:lang w:val="en-US"/>
        </w:rPr>
        <w:t>national program on access to vocational training and employment, and the prestigious Program for the Eradication of Child Labor. The implementation of these social policies has contributed to the fact that Brazil was eliminated from the Hunger Map of the Food and Agriculture Organization of the United Nations (FAO) in 2014, and</w:t>
      </w:r>
    </w:p>
    <w:p w14:paraId="33A9B375" w14:textId="77777777" w:rsidR="004B0842" w:rsidRPr="00FE50A6" w:rsidRDefault="001D45D3" w:rsidP="002C545C">
      <w:pPr>
        <w:pStyle w:val="Prrafodelista"/>
        <w:numPr>
          <w:ilvl w:val="0"/>
          <w:numId w:val="12"/>
        </w:numPr>
        <w:autoSpaceDE w:val="0"/>
        <w:autoSpaceDN w:val="0"/>
        <w:adjustRightInd w:val="0"/>
        <w:ind w:hanging="11"/>
        <w:contextualSpacing w:val="0"/>
        <w:rPr>
          <w:rFonts w:cs="Arial"/>
          <w:iCs/>
          <w:szCs w:val="20"/>
          <w:lang w:val="en-US"/>
        </w:rPr>
      </w:pPr>
      <w:r w:rsidRPr="00FE50A6">
        <w:rPr>
          <w:rFonts w:cs="Arial"/>
          <w:iCs/>
          <w:szCs w:val="20"/>
          <w:lang w:val="en-US"/>
        </w:rPr>
        <w:t xml:space="preserve">The case file includes information on technical cooperation mechanisms to expand and reinforce actions throughout the country by </w:t>
      </w:r>
      <w:r w:rsidR="00700B79" w:rsidRPr="00FE50A6">
        <w:rPr>
          <w:rFonts w:cs="Arial"/>
          <w:iCs/>
          <w:szCs w:val="20"/>
          <w:lang w:val="en-US"/>
        </w:rPr>
        <w:t>representatives</w:t>
      </w:r>
      <w:r w:rsidR="004B0842" w:rsidRPr="00FE50A6">
        <w:rPr>
          <w:rFonts w:cs="Arial"/>
          <w:iCs/>
          <w:szCs w:val="20"/>
          <w:lang w:val="en-US"/>
        </w:rPr>
        <w:t xml:space="preserve"> </w:t>
      </w:r>
      <w:r w:rsidRPr="00FE50A6">
        <w:rPr>
          <w:rFonts w:cs="Arial"/>
          <w:iCs/>
          <w:szCs w:val="20"/>
          <w:lang w:val="en-US"/>
        </w:rPr>
        <w:t xml:space="preserve">of the National Justice Council, the ILO, </w:t>
      </w:r>
      <w:r w:rsidR="00F8114C" w:rsidRPr="00FE50A6">
        <w:rPr>
          <w:rFonts w:cs="Arial"/>
          <w:iCs/>
          <w:szCs w:val="20"/>
          <w:lang w:val="en-US"/>
        </w:rPr>
        <w:t xml:space="preserve">the </w:t>
      </w:r>
      <w:r w:rsidR="00452450" w:rsidRPr="00FE50A6">
        <w:rPr>
          <w:rFonts w:cs="Arial"/>
          <w:iCs/>
          <w:szCs w:val="20"/>
          <w:lang w:val="en-US"/>
        </w:rPr>
        <w:t>Labor Public Prosecut</w:t>
      </w:r>
      <w:r w:rsidR="002C545C" w:rsidRPr="00FE50A6">
        <w:rPr>
          <w:rFonts w:cs="Arial"/>
          <w:iCs/>
          <w:szCs w:val="20"/>
          <w:lang w:val="en-US"/>
        </w:rPr>
        <w:t>ion Service, the</w:t>
      </w:r>
      <w:r w:rsidR="004B0842" w:rsidRPr="00FE50A6">
        <w:rPr>
          <w:rFonts w:cs="Arial"/>
          <w:iCs/>
          <w:szCs w:val="20"/>
          <w:lang w:val="en-US"/>
        </w:rPr>
        <w:t xml:space="preserve"> </w:t>
      </w:r>
      <w:r w:rsidR="00DC398B" w:rsidRPr="00FE50A6">
        <w:rPr>
          <w:rFonts w:cs="Arial"/>
          <w:iCs/>
          <w:szCs w:val="20"/>
          <w:lang w:val="en-US"/>
        </w:rPr>
        <w:t>Federal Public Prosecution Service</w:t>
      </w:r>
      <w:r w:rsidR="004B0842" w:rsidRPr="00FE50A6">
        <w:rPr>
          <w:rFonts w:cs="Arial"/>
          <w:iCs/>
          <w:szCs w:val="20"/>
          <w:lang w:val="en-US"/>
        </w:rPr>
        <w:t xml:space="preserve">, </w:t>
      </w:r>
      <w:r w:rsidR="00445155" w:rsidRPr="00FE50A6">
        <w:rPr>
          <w:rFonts w:cs="Arial"/>
          <w:iCs/>
          <w:szCs w:val="20"/>
          <w:lang w:val="en-US"/>
        </w:rPr>
        <w:t>the Ministry of Labor</w:t>
      </w:r>
      <w:r w:rsidR="00030C17" w:rsidRPr="00FE50A6">
        <w:rPr>
          <w:rFonts w:cs="Arial"/>
          <w:iCs/>
          <w:szCs w:val="20"/>
          <w:lang w:val="en-US"/>
        </w:rPr>
        <w:t xml:space="preserve"> and </w:t>
      </w:r>
      <w:r w:rsidR="004B0842" w:rsidRPr="00FE50A6">
        <w:rPr>
          <w:rFonts w:cs="Arial"/>
          <w:iCs/>
          <w:szCs w:val="20"/>
          <w:lang w:val="en-US"/>
        </w:rPr>
        <w:t>Empl</w:t>
      </w:r>
      <w:r w:rsidR="002C545C" w:rsidRPr="00FE50A6">
        <w:rPr>
          <w:rFonts w:cs="Arial"/>
          <w:iCs/>
          <w:szCs w:val="20"/>
          <w:lang w:val="en-US"/>
        </w:rPr>
        <w:t>oyment</w:t>
      </w:r>
      <w:r w:rsidR="004B0842" w:rsidRPr="00FE50A6">
        <w:rPr>
          <w:rFonts w:cs="Arial"/>
          <w:iCs/>
          <w:szCs w:val="20"/>
          <w:lang w:val="en-US"/>
        </w:rPr>
        <w:t xml:space="preserve">, </w:t>
      </w:r>
      <w:r w:rsidR="002071B1" w:rsidRPr="00FE50A6">
        <w:rPr>
          <w:rFonts w:cs="Arial"/>
          <w:iCs/>
          <w:szCs w:val="20"/>
          <w:lang w:val="en-US"/>
        </w:rPr>
        <w:t xml:space="preserve">the </w:t>
      </w:r>
      <w:r w:rsidR="002C545C" w:rsidRPr="00FE50A6">
        <w:rPr>
          <w:rFonts w:cs="Arial"/>
          <w:iCs/>
          <w:szCs w:val="20"/>
          <w:lang w:val="en-US"/>
        </w:rPr>
        <w:t xml:space="preserve">Superior Labor </w:t>
      </w:r>
      <w:r w:rsidR="002071B1" w:rsidRPr="00FE50A6">
        <w:rPr>
          <w:rFonts w:cs="Arial"/>
          <w:iCs/>
          <w:szCs w:val="20"/>
          <w:lang w:val="en-US"/>
        </w:rPr>
        <w:t>Court</w:t>
      </w:r>
      <w:r w:rsidR="004B0842" w:rsidRPr="00FE50A6">
        <w:rPr>
          <w:rFonts w:cs="Arial"/>
          <w:iCs/>
          <w:szCs w:val="20"/>
          <w:lang w:val="en-US"/>
        </w:rPr>
        <w:t xml:space="preserve">, </w:t>
      </w:r>
      <w:r w:rsidR="002C545C" w:rsidRPr="00FE50A6">
        <w:rPr>
          <w:rFonts w:cs="Arial"/>
          <w:iCs/>
          <w:szCs w:val="20"/>
          <w:lang w:val="en-US"/>
        </w:rPr>
        <w:t xml:space="preserve">the Human Rights Secretariat of the President of the Republic, and the National Union of Labor </w:t>
      </w:r>
      <w:r w:rsidR="00293807" w:rsidRPr="00FE50A6">
        <w:rPr>
          <w:rFonts w:cs="Arial"/>
          <w:iCs/>
          <w:szCs w:val="20"/>
          <w:lang w:val="en-US"/>
        </w:rPr>
        <w:t>Monitors</w:t>
      </w:r>
      <w:r w:rsidR="004B0842" w:rsidRPr="00FE50A6">
        <w:rPr>
          <w:rFonts w:cs="Arial"/>
          <w:iCs/>
          <w:szCs w:val="20"/>
          <w:lang w:val="en-US"/>
        </w:rPr>
        <w:t>.</w:t>
      </w:r>
      <w:r w:rsidR="004B0842" w:rsidRPr="00FE50A6">
        <w:rPr>
          <w:rFonts w:cs="Arial"/>
          <w:i/>
          <w:iCs/>
          <w:szCs w:val="20"/>
          <w:lang w:val="en-US"/>
        </w:rPr>
        <w:t xml:space="preserve"> </w:t>
      </w:r>
      <w:r w:rsidR="002C545C" w:rsidRPr="00FE50A6">
        <w:rPr>
          <w:rFonts w:cs="Arial"/>
          <w:iCs/>
          <w:szCs w:val="20"/>
          <w:lang w:val="en-US"/>
        </w:rPr>
        <w:t xml:space="preserve">Moreover, in 2010, the criminal prosecution of contemporary slavery was made a priority </w:t>
      </w:r>
      <w:r w:rsidR="00293807" w:rsidRPr="00FE50A6">
        <w:rPr>
          <w:rFonts w:cs="Arial"/>
          <w:iCs/>
          <w:szCs w:val="20"/>
          <w:lang w:val="en-US"/>
        </w:rPr>
        <w:t xml:space="preserve">throughout the country </w:t>
      </w:r>
      <w:r w:rsidR="002C545C" w:rsidRPr="00FE50A6">
        <w:rPr>
          <w:rFonts w:cs="Arial"/>
          <w:iCs/>
          <w:szCs w:val="20"/>
          <w:lang w:val="en-US"/>
        </w:rPr>
        <w:t>by the Second Coordination and Review Chamber of the</w:t>
      </w:r>
      <w:r w:rsidR="004B0842" w:rsidRPr="00FE50A6">
        <w:rPr>
          <w:rFonts w:cs="Arial"/>
          <w:iCs/>
          <w:szCs w:val="20"/>
          <w:lang w:val="en-US"/>
        </w:rPr>
        <w:t xml:space="preserve"> </w:t>
      </w:r>
      <w:r w:rsidR="00DC398B" w:rsidRPr="00FE50A6">
        <w:rPr>
          <w:rFonts w:cs="Arial"/>
          <w:iCs/>
          <w:szCs w:val="20"/>
          <w:lang w:val="en-US"/>
        </w:rPr>
        <w:t>Federal Public Prosecution Service</w:t>
      </w:r>
      <w:r w:rsidR="002C545C" w:rsidRPr="00FE50A6">
        <w:rPr>
          <w:rFonts w:cs="Arial"/>
          <w:iCs/>
          <w:szCs w:val="20"/>
          <w:lang w:val="en-US"/>
        </w:rPr>
        <w:t>, and this resulted in the establishment of a database with information on: (</w:t>
      </w:r>
      <w:r w:rsidR="004B0842" w:rsidRPr="00FE50A6">
        <w:rPr>
          <w:rFonts w:cs="Arial"/>
          <w:iCs/>
          <w:szCs w:val="20"/>
          <w:lang w:val="en-US"/>
        </w:rPr>
        <w:t xml:space="preserve">i) </w:t>
      </w:r>
      <w:r w:rsidR="002C545C" w:rsidRPr="00FE50A6">
        <w:rPr>
          <w:rFonts w:cs="Arial"/>
          <w:iCs/>
          <w:szCs w:val="20"/>
          <w:lang w:val="en-US"/>
        </w:rPr>
        <w:t xml:space="preserve">inspection reports prepared since 1995 and their conclusions; (ii) police criminal investigations; (iii) criminal investigations by the </w:t>
      </w:r>
      <w:r w:rsidR="00DC398B" w:rsidRPr="00FE50A6">
        <w:rPr>
          <w:rFonts w:cs="Arial"/>
          <w:iCs/>
          <w:szCs w:val="20"/>
          <w:lang w:val="en-US"/>
        </w:rPr>
        <w:t>Federal Public Prosecution Service</w:t>
      </w:r>
      <w:r w:rsidR="004B0842" w:rsidRPr="00FE50A6">
        <w:rPr>
          <w:rFonts w:cs="Arial"/>
          <w:iCs/>
          <w:szCs w:val="20"/>
          <w:lang w:val="en-US"/>
        </w:rPr>
        <w:t xml:space="preserve">; </w:t>
      </w:r>
      <w:r w:rsidR="002C545C" w:rsidRPr="00FE50A6">
        <w:rPr>
          <w:rFonts w:cs="Arial"/>
          <w:iCs/>
          <w:szCs w:val="20"/>
          <w:lang w:val="en-US"/>
        </w:rPr>
        <w:t>(</w:t>
      </w:r>
      <w:r w:rsidR="004B0842" w:rsidRPr="00FE50A6">
        <w:rPr>
          <w:rFonts w:cs="Arial"/>
          <w:iCs/>
          <w:szCs w:val="20"/>
          <w:lang w:val="en-US"/>
        </w:rPr>
        <w:t xml:space="preserve">iv) </w:t>
      </w:r>
      <w:r w:rsidR="002C545C" w:rsidRPr="00FE50A6">
        <w:rPr>
          <w:rFonts w:cs="Arial"/>
          <w:iCs/>
          <w:szCs w:val="20"/>
          <w:lang w:val="en-US"/>
        </w:rPr>
        <w:t>a review of powers; (</w:t>
      </w:r>
      <w:r w:rsidR="004B0842" w:rsidRPr="00FE50A6">
        <w:rPr>
          <w:rFonts w:cs="Arial"/>
          <w:iCs/>
          <w:szCs w:val="20"/>
          <w:lang w:val="en-US"/>
        </w:rPr>
        <w:t xml:space="preserve">v) </w:t>
      </w:r>
      <w:r w:rsidR="002C545C" w:rsidRPr="00FE50A6">
        <w:rPr>
          <w:rFonts w:cs="Arial"/>
          <w:iCs/>
          <w:szCs w:val="20"/>
          <w:lang w:val="en-US"/>
        </w:rPr>
        <w:t>the criminal actions filed and the sentences executed. The database also contains (vi) a summary of the inspection</w:t>
      </w:r>
      <w:r w:rsidR="00293807" w:rsidRPr="00FE50A6">
        <w:rPr>
          <w:rFonts w:cs="Arial"/>
          <w:iCs/>
          <w:szCs w:val="20"/>
          <w:lang w:val="en-US"/>
        </w:rPr>
        <w:t>s</w:t>
      </w:r>
      <w:r w:rsidR="002C545C" w:rsidRPr="00FE50A6">
        <w:rPr>
          <w:rFonts w:cs="Arial"/>
          <w:iCs/>
          <w:szCs w:val="20"/>
          <w:lang w:val="en-US"/>
        </w:rPr>
        <w:t xml:space="preserve">; (vii) the interviews with workers, traffickers </w:t>
      </w:r>
      <w:r w:rsidR="004B0842" w:rsidRPr="00FE50A6">
        <w:rPr>
          <w:rFonts w:cs="Arial"/>
          <w:iCs/>
          <w:szCs w:val="20"/>
          <w:lang w:val="en-US"/>
        </w:rPr>
        <w:t>(</w:t>
      </w:r>
      <w:r w:rsidR="004B0842" w:rsidRPr="00FE50A6">
        <w:rPr>
          <w:rFonts w:cs="Arial"/>
          <w:i/>
          <w:iCs/>
          <w:szCs w:val="20"/>
          <w:lang w:val="en-US"/>
        </w:rPr>
        <w:t>gatos</w:t>
      </w:r>
      <w:r w:rsidR="004B0842" w:rsidRPr="00FE50A6">
        <w:rPr>
          <w:rFonts w:cs="Arial"/>
          <w:iCs/>
          <w:szCs w:val="20"/>
          <w:lang w:val="en-US"/>
        </w:rPr>
        <w:t>)</w:t>
      </w:r>
      <w:r w:rsidR="00030C17" w:rsidRPr="00FE50A6">
        <w:rPr>
          <w:rFonts w:cs="Arial"/>
          <w:iCs/>
          <w:szCs w:val="20"/>
          <w:lang w:val="en-US"/>
        </w:rPr>
        <w:t xml:space="preserve"> and </w:t>
      </w:r>
      <w:r w:rsidR="002C545C" w:rsidRPr="00FE50A6">
        <w:rPr>
          <w:rFonts w:cs="Arial"/>
          <w:iCs/>
          <w:szCs w:val="20"/>
          <w:lang w:val="en-US"/>
        </w:rPr>
        <w:t>managers</w:t>
      </w:r>
      <w:r w:rsidR="004B0842" w:rsidRPr="00FE50A6">
        <w:rPr>
          <w:rFonts w:cs="Arial"/>
          <w:iCs/>
          <w:szCs w:val="20"/>
          <w:lang w:val="en-US"/>
        </w:rPr>
        <w:t xml:space="preserve">; </w:t>
      </w:r>
      <w:r w:rsidR="002C545C" w:rsidRPr="00FE50A6">
        <w:rPr>
          <w:rFonts w:cs="Arial"/>
          <w:iCs/>
          <w:szCs w:val="20"/>
          <w:lang w:val="en-US"/>
        </w:rPr>
        <w:t>(</w:t>
      </w:r>
      <w:r w:rsidR="004B0842" w:rsidRPr="00FE50A6">
        <w:rPr>
          <w:rFonts w:cs="Arial"/>
          <w:iCs/>
          <w:szCs w:val="20"/>
          <w:lang w:val="en-US"/>
        </w:rPr>
        <w:t xml:space="preserve">viii) </w:t>
      </w:r>
      <w:r w:rsidR="002C545C" w:rsidRPr="00FE50A6">
        <w:rPr>
          <w:rFonts w:cs="Arial"/>
          <w:iCs/>
          <w:szCs w:val="20"/>
          <w:lang w:val="en-US"/>
        </w:rPr>
        <w:t>the logbook</w:t>
      </w:r>
      <w:r w:rsidR="00293807" w:rsidRPr="00FE50A6">
        <w:rPr>
          <w:rFonts w:cs="Arial"/>
          <w:iCs/>
          <w:szCs w:val="20"/>
          <w:lang w:val="en-US"/>
        </w:rPr>
        <w:t>s</w:t>
      </w:r>
      <w:r w:rsidR="002C545C" w:rsidRPr="00FE50A6">
        <w:rPr>
          <w:rFonts w:cs="Arial"/>
          <w:iCs/>
          <w:szCs w:val="20"/>
          <w:lang w:val="en-US"/>
        </w:rPr>
        <w:t xml:space="preserve"> noting down workers’ debts, complaints, police investigations, and (ix) photographs</w:t>
      </w:r>
      <w:r w:rsidR="003A3C64" w:rsidRPr="00FE50A6">
        <w:rPr>
          <w:rFonts w:cs="Arial"/>
          <w:iCs/>
          <w:szCs w:val="20"/>
          <w:lang w:val="en-US"/>
        </w:rPr>
        <w:t>.</w:t>
      </w:r>
      <w:r w:rsidR="004B0842" w:rsidRPr="00FE50A6">
        <w:rPr>
          <w:rFonts w:cs="Arial"/>
          <w:iCs/>
          <w:szCs w:val="20"/>
          <w:lang w:val="en-US"/>
        </w:rPr>
        <w:t xml:space="preserve"> </w:t>
      </w:r>
    </w:p>
    <w:p w14:paraId="10565DBB" w14:textId="77777777" w:rsidR="003E63B3" w:rsidRPr="00FE50A6" w:rsidRDefault="003E63B3" w:rsidP="003E63B3">
      <w:pPr>
        <w:pStyle w:val="Prrafodelista"/>
        <w:autoSpaceDE w:val="0"/>
        <w:autoSpaceDN w:val="0"/>
        <w:adjustRightInd w:val="0"/>
        <w:ind w:left="0"/>
        <w:rPr>
          <w:rFonts w:cs="Arial"/>
          <w:iCs/>
          <w:szCs w:val="20"/>
          <w:lang w:val="en-US"/>
        </w:rPr>
      </w:pPr>
    </w:p>
    <w:p w14:paraId="5C569AAF" w14:textId="77777777" w:rsidR="004B0842" w:rsidRPr="00FE50A6" w:rsidRDefault="002C545C"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Based on the above, the Court considers that the actions and policies adopted by the State are sufficient and does not find it necessary to order additional measures. In particular, the Court emphasizes the active participation of the </w:t>
      </w:r>
      <w:r w:rsidR="00DC398B" w:rsidRPr="00FE50A6">
        <w:rPr>
          <w:rFonts w:cs="Arial"/>
          <w:iCs/>
          <w:szCs w:val="20"/>
          <w:lang w:val="en-US"/>
        </w:rPr>
        <w:t>Federal Public Prosecution Service</w:t>
      </w:r>
      <w:r w:rsidR="00AC382A" w:rsidRPr="00FE50A6">
        <w:rPr>
          <w:rFonts w:cs="Arial"/>
          <w:iCs/>
          <w:szCs w:val="20"/>
          <w:lang w:val="en-US"/>
        </w:rPr>
        <w:t xml:space="preserve"> </w:t>
      </w:r>
      <w:r w:rsidRPr="00FE50A6">
        <w:rPr>
          <w:rFonts w:cs="Arial"/>
          <w:iCs/>
          <w:szCs w:val="20"/>
          <w:lang w:val="en-US"/>
        </w:rPr>
        <w:t>in the inspection</w:t>
      </w:r>
      <w:r w:rsidR="00746763" w:rsidRPr="00FE50A6">
        <w:rPr>
          <w:rFonts w:cs="Arial"/>
          <w:iCs/>
          <w:szCs w:val="20"/>
          <w:lang w:val="en-US"/>
        </w:rPr>
        <w:t xml:space="preserve">s </w:t>
      </w:r>
      <w:r w:rsidRPr="00FE50A6">
        <w:rPr>
          <w:rFonts w:cs="Arial"/>
          <w:iCs/>
          <w:szCs w:val="20"/>
          <w:lang w:val="en-US"/>
        </w:rPr>
        <w:t>carried out by the</w:t>
      </w:r>
      <w:r w:rsidR="00746763" w:rsidRPr="00FE50A6">
        <w:rPr>
          <w:rFonts w:cs="Arial"/>
          <w:iCs/>
          <w:szCs w:val="20"/>
          <w:lang w:val="en-US"/>
        </w:rPr>
        <w:t xml:space="preserve"> Mobile Group to Combat </w:t>
      </w:r>
      <w:r w:rsidR="005F1946" w:rsidRPr="00FE50A6">
        <w:rPr>
          <w:rFonts w:cs="Arial"/>
          <w:iCs/>
          <w:szCs w:val="20"/>
          <w:lang w:val="en-US"/>
        </w:rPr>
        <w:t xml:space="preserve">Slave </w:t>
      </w:r>
      <w:r w:rsidR="00746763" w:rsidRPr="00FE50A6">
        <w:rPr>
          <w:rFonts w:cs="Arial"/>
          <w:iCs/>
          <w:szCs w:val="20"/>
          <w:lang w:val="en-US"/>
        </w:rPr>
        <w:t>L</w:t>
      </w:r>
      <w:r w:rsidR="005F1946" w:rsidRPr="00FE50A6">
        <w:rPr>
          <w:rFonts w:cs="Arial"/>
          <w:iCs/>
          <w:szCs w:val="20"/>
          <w:lang w:val="en-US"/>
        </w:rPr>
        <w:t>abor</w:t>
      </w:r>
      <w:r w:rsidR="00AC382A" w:rsidRPr="00FE50A6">
        <w:rPr>
          <w:rFonts w:cs="Arial"/>
          <w:iCs/>
          <w:szCs w:val="20"/>
          <w:lang w:val="en-US"/>
        </w:rPr>
        <w:t xml:space="preserve">. </w:t>
      </w:r>
      <w:r w:rsidR="00746763" w:rsidRPr="00FE50A6">
        <w:rPr>
          <w:rFonts w:cs="Arial"/>
          <w:iCs/>
          <w:szCs w:val="20"/>
          <w:lang w:val="en-US"/>
        </w:rPr>
        <w:t xml:space="preserve">Nevertheless, the Court urges the State to continue increasing the effectiveness of its policies and the interaction between the different bodies working to combat </w:t>
      </w:r>
      <w:r w:rsidR="00D11A9F" w:rsidRPr="00FE50A6">
        <w:rPr>
          <w:rFonts w:cs="Arial"/>
          <w:iCs/>
          <w:szCs w:val="20"/>
          <w:lang w:val="en-US"/>
        </w:rPr>
        <w:t>slavery</w:t>
      </w:r>
      <w:r w:rsidR="00E368FD" w:rsidRPr="00FE50A6">
        <w:rPr>
          <w:rFonts w:cs="Arial"/>
          <w:iCs/>
          <w:szCs w:val="20"/>
          <w:lang w:val="en-US"/>
        </w:rPr>
        <w:t xml:space="preserve"> in Brazil</w:t>
      </w:r>
      <w:r w:rsidR="00233178" w:rsidRPr="00FE50A6">
        <w:rPr>
          <w:rFonts w:cs="Arial"/>
          <w:iCs/>
          <w:szCs w:val="20"/>
          <w:lang w:val="en-US"/>
        </w:rPr>
        <w:t>,</w:t>
      </w:r>
      <w:r w:rsidR="00746763" w:rsidRPr="00FE50A6">
        <w:rPr>
          <w:rFonts w:cs="Arial"/>
          <w:iCs/>
          <w:szCs w:val="20"/>
          <w:lang w:val="en-US"/>
        </w:rPr>
        <w:t xml:space="preserve"> without allowing any retrogression in this area</w:t>
      </w:r>
      <w:r w:rsidR="00984A47" w:rsidRPr="00FE50A6">
        <w:rPr>
          <w:rFonts w:cs="Arial"/>
          <w:iCs/>
          <w:szCs w:val="20"/>
          <w:lang w:val="en-US"/>
        </w:rPr>
        <w:t xml:space="preserve">. </w:t>
      </w:r>
    </w:p>
    <w:p w14:paraId="01791DEB" w14:textId="77777777" w:rsidR="004B0842" w:rsidRPr="00FE50A6" w:rsidRDefault="004B0842" w:rsidP="004B0842">
      <w:pPr>
        <w:pStyle w:val="Prrafodelista"/>
        <w:autoSpaceDE w:val="0"/>
        <w:autoSpaceDN w:val="0"/>
        <w:adjustRightInd w:val="0"/>
        <w:rPr>
          <w:rFonts w:cs="Arial"/>
          <w:iCs/>
          <w:szCs w:val="20"/>
          <w:lang w:val="en-US"/>
        </w:rPr>
      </w:pPr>
    </w:p>
    <w:p w14:paraId="1E7D7AE4" w14:textId="77777777" w:rsidR="004B0842" w:rsidRPr="00FE50A6" w:rsidRDefault="007A61B7" w:rsidP="008B0BCC">
      <w:pPr>
        <w:pStyle w:val="Ttulo2"/>
        <w:numPr>
          <w:ilvl w:val="0"/>
          <w:numId w:val="21"/>
        </w:numPr>
      </w:pPr>
      <w:r w:rsidRPr="00FE50A6">
        <w:t>Other measures requested</w:t>
      </w:r>
    </w:p>
    <w:p w14:paraId="4EE05159" w14:textId="77777777" w:rsidR="004B0842" w:rsidRPr="00FE50A6" w:rsidRDefault="004B0842" w:rsidP="004B0842">
      <w:pPr>
        <w:pStyle w:val="Prrafodelista"/>
        <w:autoSpaceDE w:val="0"/>
        <w:autoSpaceDN w:val="0"/>
        <w:adjustRightInd w:val="0"/>
        <w:rPr>
          <w:rFonts w:cs="Arial"/>
          <w:iCs/>
          <w:szCs w:val="20"/>
          <w:lang w:val="en-US"/>
        </w:rPr>
      </w:pPr>
    </w:p>
    <w:p w14:paraId="0E9DA47B"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Commission</w:t>
      </w:r>
      <w:r w:rsidR="00746763" w:rsidRPr="00FE50A6">
        <w:rPr>
          <w:rFonts w:cs="Arial"/>
          <w:iCs/>
          <w:szCs w:val="20"/>
          <w:lang w:val="en-US"/>
        </w:rPr>
        <w:t xml:space="preserve"> </w:t>
      </w:r>
      <w:r w:rsidR="001647A7" w:rsidRPr="00FE50A6">
        <w:rPr>
          <w:rFonts w:cs="Arial"/>
          <w:iCs/>
          <w:szCs w:val="20"/>
          <w:lang w:val="en-US"/>
        </w:rPr>
        <w:t xml:space="preserve">asked </w:t>
      </w:r>
      <w:r w:rsidR="00746763" w:rsidRPr="00FE50A6">
        <w:rPr>
          <w:rFonts w:cs="Arial"/>
          <w:iCs/>
          <w:szCs w:val="20"/>
          <w:lang w:val="en-US"/>
        </w:rPr>
        <w:t xml:space="preserve">that an investigation be conducted into the facts related to the disappearance of </w:t>
      </w:r>
      <w:r w:rsidR="008B075C" w:rsidRPr="00FE50A6">
        <w:rPr>
          <w:rFonts w:cs="Arial"/>
          <w:iCs/>
          <w:szCs w:val="20"/>
          <w:lang w:val="en-US"/>
        </w:rPr>
        <w:t xml:space="preserve">Iron Canuto </w:t>
      </w:r>
      <w:r w:rsidR="00BE63A6" w:rsidRPr="00FE50A6">
        <w:rPr>
          <w:rFonts w:cs="Arial"/>
          <w:iCs/>
          <w:szCs w:val="20"/>
          <w:lang w:val="en-US"/>
        </w:rPr>
        <w:t>da Silva</w:t>
      </w:r>
      <w:r w:rsidR="00030C17" w:rsidRPr="00FE50A6">
        <w:rPr>
          <w:rFonts w:cs="Arial"/>
          <w:iCs/>
          <w:szCs w:val="20"/>
          <w:lang w:val="en-US"/>
        </w:rPr>
        <w:t xml:space="preserve"> and </w:t>
      </w:r>
      <w:r w:rsidR="00200C04" w:rsidRPr="00FE50A6">
        <w:rPr>
          <w:rFonts w:cs="Arial"/>
          <w:iCs/>
          <w:szCs w:val="20"/>
          <w:lang w:val="en-US"/>
        </w:rPr>
        <w:t xml:space="preserve">Luis Ferreira </w:t>
      </w:r>
      <w:r w:rsidR="00867094" w:rsidRPr="00FE50A6">
        <w:rPr>
          <w:rFonts w:cs="Arial"/>
          <w:iCs/>
          <w:szCs w:val="20"/>
          <w:lang w:val="en-US"/>
        </w:rPr>
        <w:t>da Cruz</w:t>
      </w:r>
      <w:r w:rsidR="004B0842" w:rsidRPr="00FE50A6">
        <w:rPr>
          <w:rFonts w:cs="Arial"/>
          <w:iCs/>
          <w:szCs w:val="20"/>
          <w:lang w:val="en-US"/>
        </w:rPr>
        <w:t xml:space="preserve">. </w:t>
      </w:r>
      <w:r w:rsidR="00746763" w:rsidRPr="00FE50A6">
        <w:rPr>
          <w:rFonts w:cs="Arial"/>
          <w:iCs/>
          <w:szCs w:val="20"/>
          <w:lang w:val="en-US"/>
        </w:rPr>
        <w:t>The investigation should be conducted impartial</w:t>
      </w:r>
      <w:r w:rsidR="001647A7" w:rsidRPr="00FE50A6">
        <w:rPr>
          <w:rFonts w:cs="Arial"/>
          <w:iCs/>
          <w:szCs w:val="20"/>
          <w:lang w:val="en-US"/>
        </w:rPr>
        <w:t xml:space="preserve">ly </w:t>
      </w:r>
      <w:r w:rsidR="00746763" w:rsidRPr="00FE50A6">
        <w:rPr>
          <w:rFonts w:cs="Arial"/>
          <w:iCs/>
          <w:szCs w:val="20"/>
          <w:lang w:val="en-US"/>
        </w:rPr>
        <w:t>and effective</w:t>
      </w:r>
      <w:r w:rsidR="001647A7" w:rsidRPr="00FE50A6">
        <w:rPr>
          <w:rFonts w:cs="Arial"/>
          <w:iCs/>
          <w:szCs w:val="20"/>
          <w:lang w:val="en-US"/>
        </w:rPr>
        <w:t xml:space="preserve">ly </w:t>
      </w:r>
      <w:r w:rsidR="00746763" w:rsidRPr="00FE50A6">
        <w:rPr>
          <w:rFonts w:cs="Arial"/>
          <w:iCs/>
          <w:szCs w:val="20"/>
          <w:lang w:val="en-US"/>
        </w:rPr>
        <w:t xml:space="preserve">and within a </w:t>
      </w:r>
      <w:r w:rsidR="00F37838" w:rsidRPr="00FE50A6">
        <w:rPr>
          <w:rFonts w:cs="Arial"/>
          <w:iCs/>
          <w:szCs w:val="20"/>
          <w:lang w:val="en-US"/>
        </w:rPr>
        <w:t>reasonable time</w:t>
      </w:r>
      <w:r w:rsidR="004B0842" w:rsidRPr="00FE50A6">
        <w:rPr>
          <w:rFonts w:cs="Arial"/>
          <w:iCs/>
          <w:szCs w:val="20"/>
          <w:lang w:val="en-US"/>
        </w:rPr>
        <w:t xml:space="preserve"> </w:t>
      </w:r>
      <w:r w:rsidR="00746763" w:rsidRPr="00FE50A6">
        <w:rPr>
          <w:rFonts w:cs="Arial"/>
          <w:iCs/>
          <w:szCs w:val="20"/>
          <w:lang w:val="en-US"/>
        </w:rPr>
        <w:t>in order to clarify the facts fully, identify those responsible</w:t>
      </w:r>
      <w:r w:rsidR="001647A7" w:rsidRPr="00FE50A6">
        <w:rPr>
          <w:rFonts w:cs="Arial"/>
          <w:iCs/>
          <w:szCs w:val="20"/>
          <w:lang w:val="en-US"/>
        </w:rPr>
        <w:t>,</w:t>
      </w:r>
      <w:r w:rsidR="00746763" w:rsidRPr="00FE50A6">
        <w:rPr>
          <w:rFonts w:cs="Arial"/>
          <w:iCs/>
          <w:szCs w:val="20"/>
          <w:lang w:val="en-US"/>
        </w:rPr>
        <w:t xml:space="preserve"> and impose the corresponding sanctions</w:t>
      </w:r>
      <w:r w:rsidR="004B0842" w:rsidRPr="00FE50A6">
        <w:rPr>
          <w:rFonts w:cs="Arial"/>
          <w:iCs/>
          <w:szCs w:val="20"/>
          <w:lang w:val="en-US"/>
        </w:rPr>
        <w:t>.</w:t>
      </w:r>
    </w:p>
    <w:p w14:paraId="50BBB615" w14:textId="77777777" w:rsidR="004B0842" w:rsidRPr="00FE50A6" w:rsidRDefault="004B0842" w:rsidP="004B0842">
      <w:pPr>
        <w:pStyle w:val="Prrafodelista"/>
        <w:autoSpaceDE w:val="0"/>
        <w:autoSpaceDN w:val="0"/>
        <w:adjustRightInd w:val="0"/>
        <w:rPr>
          <w:rFonts w:cs="Arial"/>
          <w:iCs/>
          <w:szCs w:val="20"/>
          <w:lang w:val="en-US"/>
        </w:rPr>
      </w:pPr>
    </w:p>
    <w:p w14:paraId="4C4534B2" w14:textId="77777777" w:rsidR="004B0842" w:rsidRPr="00FE50A6" w:rsidRDefault="00746763"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w:t>
      </w:r>
      <w:r w:rsidR="000228D0" w:rsidRPr="00FE50A6">
        <w:rPr>
          <w:rFonts w:cs="Arial"/>
          <w:iCs/>
          <w:szCs w:val="20"/>
          <w:lang w:val="en-US"/>
        </w:rPr>
        <w:t xml:space="preserve"> Commission</w:t>
      </w:r>
      <w:r w:rsidR="004B0842" w:rsidRPr="00FE50A6">
        <w:rPr>
          <w:rFonts w:cs="Arial"/>
          <w:iCs/>
          <w:szCs w:val="20"/>
          <w:lang w:val="en-US"/>
        </w:rPr>
        <w:t xml:space="preserve"> </w:t>
      </w:r>
      <w:r w:rsidRPr="00FE50A6">
        <w:rPr>
          <w:rFonts w:cs="Arial"/>
          <w:iCs/>
          <w:szCs w:val="20"/>
          <w:lang w:val="en-US"/>
        </w:rPr>
        <w:t xml:space="preserve">also asked that a mechanism be established that facilitated locating the victims of </w:t>
      </w:r>
      <w:r w:rsidR="005F1946" w:rsidRPr="00FE50A6">
        <w:rPr>
          <w:rFonts w:cs="Arial"/>
          <w:iCs/>
          <w:szCs w:val="20"/>
          <w:lang w:val="en-US"/>
        </w:rPr>
        <w:t>slave labor</w:t>
      </w:r>
      <w:r w:rsidR="00030C17" w:rsidRPr="00FE50A6">
        <w:rPr>
          <w:rFonts w:cs="Arial"/>
          <w:iCs/>
          <w:szCs w:val="20"/>
          <w:lang w:val="en-US"/>
        </w:rPr>
        <w:t xml:space="preserve"> and</w:t>
      </w:r>
      <w:r w:rsidR="004B0842" w:rsidRPr="00FE50A6">
        <w:rPr>
          <w:rFonts w:cs="Arial"/>
          <w:iCs/>
          <w:szCs w:val="20"/>
          <w:lang w:val="en-US"/>
        </w:rPr>
        <w:t xml:space="preserve"> </w:t>
      </w:r>
      <w:r w:rsidR="008B075C" w:rsidRPr="00FE50A6">
        <w:rPr>
          <w:rFonts w:cs="Arial"/>
          <w:iCs/>
          <w:szCs w:val="20"/>
          <w:lang w:val="en-US"/>
        </w:rPr>
        <w:t xml:space="preserve">Iron Canuto </w:t>
      </w:r>
      <w:r w:rsidR="00BE63A6" w:rsidRPr="00FE50A6">
        <w:rPr>
          <w:rFonts w:cs="Arial"/>
          <w:iCs/>
          <w:szCs w:val="20"/>
          <w:lang w:val="en-US"/>
        </w:rPr>
        <w:t>da Silva</w:t>
      </w:r>
      <w:r w:rsidR="004B0842" w:rsidRPr="00FE50A6">
        <w:rPr>
          <w:rFonts w:cs="Arial"/>
          <w:iCs/>
          <w:szCs w:val="20"/>
          <w:lang w:val="en-US"/>
        </w:rPr>
        <w:t xml:space="preserve">, </w:t>
      </w:r>
      <w:r w:rsidR="00200C04" w:rsidRPr="00FE50A6">
        <w:rPr>
          <w:rFonts w:cs="Arial"/>
          <w:iCs/>
          <w:szCs w:val="20"/>
          <w:lang w:val="en-US"/>
        </w:rPr>
        <w:t xml:space="preserve">Luis Ferreira </w:t>
      </w:r>
      <w:r w:rsidR="00867094" w:rsidRPr="00FE50A6">
        <w:rPr>
          <w:rFonts w:cs="Arial"/>
          <w:iCs/>
          <w:szCs w:val="20"/>
          <w:lang w:val="en-US"/>
        </w:rPr>
        <w:t>da Cruz</w:t>
      </w:r>
      <w:r w:rsidR="004B0842" w:rsidRPr="00FE50A6">
        <w:rPr>
          <w:rFonts w:cs="Arial"/>
          <w:iCs/>
          <w:szCs w:val="20"/>
          <w:lang w:val="en-US"/>
        </w:rPr>
        <w:t>, Adailton Martins dos Reis,</w:t>
      </w:r>
      <w:r w:rsidR="00030C17" w:rsidRPr="00FE50A6">
        <w:rPr>
          <w:rFonts w:cs="Arial"/>
          <w:iCs/>
          <w:szCs w:val="20"/>
          <w:lang w:val="en-US"/>
        </w:rPr>
        <w:t xml:space="preserve"> and </w:t>
      </w:r>
      <w:r w:rsidR="00D63260" w:rsidRPr="00FE50A6">
        <w:rPr>
          <w:rFonts w:cs="Arial"/>
          <w:iCs/>
          <w:szCs w:val="20"/>
          <w:lang w:val="en-US"/>
        </w:rPr>
        <w:t xml:space="preserve">José </w:t>
      </w:r>
      <w:r w:rsidR="004B0842" w:rsidRPr="00FE50A6">
        <w:rPr>
          <w:rFonts w:cs="Arial"/>
          <w:iCs/>
          <w:szCs w:val="20"/>
          <w:lang w:val="en-US"/>
        </w:rPr>
        <w:t>Soriano da Costa, a</w:t>
      </w:r>
      <w:r w:rsidRPr="00FE50A6">
        <w:rPr>
          <w:rFonts w:cs="Arial"/>
          <w:iCs/>
          <w:szCs w:val="20"/>
          <w:lang w:val="en-US"/>
        </w:rPr>
        <w:t xml:space="preserve">s well as the next of kin of the first two, </w:t>
      </w:r>
      <w:r w:rsidR="00D63260" w:rsidRPr="00FE50A6">
        <w:rPr>
          <w:rFonts w:cs="Arial"/>
          <w:iCs/>
          <w:szCs w:val="20"/>
          <w:lang w:val="en-US"/>
        </w:rPr>
        <w:t xml:space="preserve">José </w:t>
      </w:r>
      <w:r w:rsidR="004B0842" w:rsidRPr="00FE50A6">
        <w:rPr>
          <w:rFonts w:cs="Arial"/>
          <w:iCs/>
          <w:szCs w:val="20"/>
          <w:lang w:val="en-US"/>
        </w:rPr>
        <w:t>Teodoro da Silva</w:t>
      </w:r>
      <w:r w:rsidR="00030C17" w:rsidRPr="00FE50A6">
        <w:rPr>
          <w:rFonts w:cs="Arial"/>
          <w:iCs/>
          <w:szCs w:val="20"/>
          <w:lang w:val="en-US"/>
        </w:rPr>
        <w:t xml:space="preserve"> and </w:t>
      </w:r>
      <w:r w:rsidR="004B0842" w:rsidRPr="00FE50A6">
        <w:rPr>
          <w:rFonts w:cs="Arial"/>
          <w:iCs/>
          <w:szCs w:val="20"/>
          <w:lang w:val="en-US"/>
        </w:rPr>
        <w:t xml:space="preserve">Miguel Ferreira da Cruz, </w:t>
      </w:r>
      <w:r w:rsidRPr="00FE50A6">
        <w:rPr>
          <w:rFonts w:cs="Arial"/>
          <w:iCs/>
          <w:szCs w:val="20"/>
          <w:lang w:val="en-US"/>
        </w:rPr>
        <w:t>in order to make reparation to them</w:t>
      </w:r>
      <w:r w:rsidR="004B0842" w:rsidRPr="00FE50A6">
        <w:rPr>
          <w:rFonts w:cs="Arial"/>
          <w:iCs/>
          <w:szCs w:val="20"/>
          <w:lang w:val="en-US"/>
        </w:rPr>
        <w:t>.</w:t>
      </w:r>
    </w:p>
    <w:p w14:paraId="16036E2D" w14:textId="77777777" w:rsidR="004B0842" w:rsidRPr="00FE50A6" w:rsidRDefault="004B0842" w:rsidP="004B0842">
      <w:pPr>
        <w:pStyle w:val="Prrafodelista"/>
        <w:autoSpaceDE w:val="0"/>
        <w:autoSpaceDN w:val="0"/>
        <w:adjustRightInd w:val="0"/>
        <w:rPr>
          <w:rFonts w:cs="Arial"/>
          <w:iCs/>
          <w:szCs w:val="20"/>
          <w:lang w:val="en-US"/>
        </w:rPr>
      </w:pPr>
    </w:p>
    <w:p w14:paraId="1CA68233"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746763" w:rsidRPr="00FE50A6">
        <w:rPr>
          <w:rFonts w:cs="Arial"/>
          <w:iCs/>
          <w:szCs w:val="20"/>
          <w:lang w:val="en-US"/>
        </w:rPr>
        <w:t>agreed with</w:t>
      </w:r>
      <w:r w:rsidR="004B0842" w:rsidRPr="00FE50A6">
        <w:rPr>
          <w:rFonts w:cs="Arial"/>
          <w:iCs/>
          <w:szCs w:val="20"/>
          <w:lang w:val="en-US"/>
        </w:rPr>
        <w:t xml:space="preserve"> </w:t>
      </w:r>
      <w:r w:rsidR="000228D0" w:rsidRPr="00FE50A6">
        <w:rPr>
          <w:rFonts w:cs="Arial"/>
          <w:iCs/>
          <w:szCs w:val="20"/>
          <w:lang w:val="en-US"/>
        </w:rPr>
        <w:t>the Commission</w:t>
      </w:r>
      <w:r w:rsidR="00030C17" w:rsidRPr="00FE50A6">
        <w:rPr>
          <w:rFonts w:cs="Arial"/>
          <w:iCs/>
          <w:szCs w:val="20"/>
          <w:lang w:val="en-US"/>
        </w:rPr>
        <w:t xml:space="preserve"> and </w:t>
      </w:r>
      <w:r w:rsidR="000228D0" w:rsidRPr="00FE50A6">
        <w:rPr>
          <w:rFonts w:cs="Arial"/>
          <w:iCs/>
          <w:szCs w:val="20"/>
          <w:lang w:val="en-US"/>
        </w:rPr>
        <w:t xml:space="preserve">the </w:t>
      </w:r>
      <w:r w:rsidR="000228D0" w:rsidRPr="00FE50A6">
        <w:rPr>
          <w:rFonts w:cs="Arial"/>
          <w:b/>
          <w:i/>
          <w:iCs/>
          <w:szCs w:val="20"/>
          <w:lang w:val="en-US"/>
        </w:rPr>
        <w:t>State</w:t>
      </w:r>
      <w:r w:rsidR="004B0842" w:rsidRPr="00FE50A6">
        <w:rPr>
          <w:rFonts w:cs="Arial"/>
          <w:iCs/>
          <w:szCs w:val="20"/>
          <w:lang w:val="en-US"/>
        </w:rPr>
        <w:t xml:space="preserve"> </w:t>
      </w:r>
      <w:r w:rsidR="00746763" w:rsidRPr="00FE50A6">
        <w:rPr>
          <w:rFonts w:cs="Arial"/>
          <w:iCs/>
          <w:szCs w:val="20"/>
          <w:lang w:val="en-US"/>
        </w:rPr>
        <w:t>did not refer to this request.</w:t>
      </w:r>
    </w:p>
    <w:p w14:paraId="3ADDADCD" w14:textId="77777777" w:rsidR="004B0842" w:rsidRPr="00FE50A6" w:rsidRDefault="004B0842" w:rsidP="004B0842">
      <w:pPr>
        <w:pStyle w:val="Prrafodelista"/>
        <w:autoSpaceDE w:val="0"/>
        <w:autoSpaceDN w:val="0"/>
        <w:adjustRightInd w:val="0"/>
        <w:rPr>
          <w:rFonts w:cs="Arial"/>
          <w:iCs/>
          <w:szCs w:val="20"/>
          <w:lang w:val="en-US"/>
        </w:rPr>
      </w:pPr>
    </w:p>
    <w:p w14:paraId="6561720E" w14:textId="77777777" w:rsidR="00640DA8" w:rsidRPr="00FE50A6" w:rsidRDefault="00746763" w:rsidP="003D02ED">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Given that, in Chapter VIII-2, the Court concluded that Brazil had not violated </w:t>
      </w:r>
      <w:r w:rsidR="000228D0" w:rsidRPr="00FE50A6">
        <w:rPr>
          <w:rFonts w:cs="Arial"/>
          <w:iCs/>
          <w:szCs w:val="20"/>
          <w:lang w:val="en-US"/>
        </w:rPr>
        <w:t>the American Convention</w:t>
      </w:r>
      <w:r w:rsidR="004B0842" w:rsidRPr="00FE50A6">
        <w:rPr>
          <w:rFonts w:cs="Arial"/>
          <w:iCs/>
          <w:szCs w:val="20"/>
          <w:lang w:val="en-US"/>
        </w:rPr>
        <w:t xml:space="preserve"> </w:t>
      </w:r>
      <w:r w:rsidRPr="00FE50A6">
        <w:rPr>
          <w:rFonts w:cs="Arial"/>
          <w:iCs/>
          <w:szCs w:val="20"/>
          <w:lang w:val="en-US"/>
        </w:rPr>
        <w:t xml:space="preserve">in relation to the supposed disappearance of </w:t>
      </w:r>
      <w:r w:rsidR="008B075C" w:rsidRPr="00FE50A6">
        <w:rPr>
          <w:rFonts w:cs="Arial"/>
          <w:iCs/>
          <w:szCs w:val="20"/>
          <w:lang w:val="en-US"/>
        </w:rPr>
        <w:t xml:space="preserve">Iron Canuto </w:t>
      </w:r>
      <w:r w:rsidR="00BE63A6" w:rsidRPr="00FE50A6">
        <w:rPr>
          <w:rFonts w:cs="Arial"/>
          <w:iCs/>
          <w:szCs w:val="20"/>
          <w:lang w:val="en-US"/>
        </w:rPr>
        <w:t>da Silva</w:t>
      </w:r>
      <w:r w:rsidR="00030C17" w:rsidRPr="00FE50A6">
        <w:rPr>
          <w:rFonts w:cs="Arial"/>
          <w:iCs/>
          <w:szCs w:val="20"/>
          <w:lang w:val="en-US"/>
        </w:rPr>
        <w:t xml:space="preserve"> and </w:t>
      </w:r>
      <w:r w:rsidR="00200C04" w:rsidRPr="00FE50A6">
        <w:rPr>
          <w:rFonts w:cs="Arial"/>
          <w:iCs/>
          <w:szCs w:val="20"/>
          <w:lang w:val="en-US"/>
        </w:rPr>
        <w:t xml:space="preserve">Luis Ferreira </w:t>
      </w:r>
      <w:r w:rsidR="00867094" w:rsidRPr="00FE50A6">
        <w:rPr>
          <w:rFonts w:cs="Arial"/>
          <w:iCs/>
          <w:szCs w:val="20"/>
          <w:lang w:val="en-US"/>
        </w:rPr>
        <w:t>da Cruz</w:t>
      </w:r>
      <w:r w:rsidR="004B0842" w:rsidRPr="00FE50A6">
        <w:rPr>
          <w:rFonts w:cs="Arial"/>
          <w:iCs/>
          <w:szCs w:val="20"/>
          <w:lang w:val="en-US"/>
        </w:rPr>
        <w:t xml:space="preserve">, </w:t>
      </w:r>
      <w:r w:rsidRPr="00FE50A6">
        <w:rPr>
          <w:rFonts w:cs="Arial"/>
          <w:iCs/>
          <w:szCs w:val="20"/>
          <w:lang w:val="en-US"/>
        </w:rPr>
        <w:t>it is not possible to grant any measure of reparation of this type.</w:t>
      </w:r>
    </w:p>
    <w:p w14:paraId="66616218" w14:textId="77777777" w:rsidR="00746763" w:rsidRPr="00FE50A6" w:rsidRDefault="00746763" w:rsidP="00746763">
      <w:pPr>
        <w:pStyle w:val="Prrafodelista"/>
        <w:autoSpaceDE w:val="0"/>
        <w:autoSpaceDN w:val="0"/>
        <w:adjustRightInd w:val="0"/>
        <w:ind w:left="0"/>
        <w:rPr>
          <w:rFonts w:cs="Arial"/>
          <w:iCs/>
          <w:szCs w:val="20"/>
          <w:lang w:val="en-US"/>
        </w:rPr>
      </w:pPr>
    </w:p>
    <w:p w14:paraId="40FD18D9" w14:textId="77777777" w:rsidR="00746763" w:rsidRPr="00FE50A6" w:rsidRDefault="00746763" w:rsidP="00640DA8">
      <w:pPr>
        <w:pStyle w:val="Prrafodelista"/>
        <w:numPr>
          <w:ilvl w:val="0"/>
          <w:numId w:val="1"/>
        </w:numPr>
        <w:autoSpaceDE w:val="0"/>
        <w:autoSpaceDN w:val="0"/>
        <w:adjustRightInd w:val="0"/>
        <w:rPr>
          <w:rFonts w:cs="Arial"/>
          <w:iCs/>
          <w:szCs w:val="20"/>
          <w:lang w:val="en-US"/>
        </w:rPr>
      </w:pPr>
      <w:r w:rsidRPr="00FE50A6">
        <w:rPr>
          <w:rFonts w:cs="Arial"/>
          <w:iCs/>
          <w:szCs w:val="20"/>
          <w:lang w:val="en-US"/>
        </w:rPr>
        <w:t>However,</w:t>
      </w:r>
      <w:r w:rsidR="007137FB" w:rsidRPr="00FE50A6">
        <w:rPr>
          <w:rFonts w:cs="Arial"/>
          <w:iCs/>
          <w:szCs w:val="20"/>
          <w:lang w:val="en-US"/>
        </w:rPr>
        <w:t xml:space="preserve"> </w:t>
      </w:r>
      <w:r w:rsidR="00700B79" w:rsidRPr="00FE50A6">
        <w:rPr>
          <w:rFonts w:cs="Arial"/>
          <w:iCs/>
          <w:szCs w:val="20"/>
          <w:lang w:val="en-US"/>
        </w:rPr>
        <w:t xml:space="preserve">the </w:t>
      </w:r>
      <w:r w:rsidR="00700B79" w:rsidRPr="00FE50A6">
        <w:rPr>
          <w:rFonts w:cs="Arial"/>
          <w:b/>
          <w:i/>
          <w:iCs/>
          <w:szCs w:val="20"/>
          <w:lang w:val="en-US"/>
        </w:rPr>
        <w:t>representatives</w:t>
      </w:r>
      <w:r w:rsidR="00640DA8" w:rsidRPr="00FE50A6">
        <w:rPr>
          <w:rFonts w:cs="Arial"/>
          <w:iCs/>
          <w:szCs w:val="20"/>
          <w:lang w:val="en-US"/>
        </w:rPr>
        <w:t xml:space="preserve"> </w:t>
      </w:r>
      <w:r w:rsidRPr="00FE50A6">
        <w:rPr>
          <w:rFonts w:cs="Arial"/>
          <w:iCs/>
          <w:szCs w:val="20"/>
          <w:lang w:val="en-US"/>
        </w:rPr>
        <w:t>requested two specific measures a</w:t>
      </w:r>
      <w:r w:rsidR="001647A7" w:rsidRPr="00FE50A6">
        <w:rPr>
          <w:rFonts w:cs="Arial"/>
          <w:iCs/>
          <w:szCs w:val="20"/>
          <w:lang w:val="en-US"/>
        </w:rPr>
        <w:t>s</w:t>
      </w:r>
      <w:r w:rsidRPr="00FE50A6">
        <w:rPr>
          <w:rFonts w:cs="Arial"/>
          <w:iCs/>
          <w:szCs w:val="20"/>
          <w:lang w:val="en-US"/>
        </w:rPr>
        <w:t xml:space="preserve"> symbolic reparation for the victims. First, they asked that </w:t>
      </w:r>
      <w:r w:rsidR="003D02ED" w:rsidRPr="00FE50A6">
        <w:rPr>
          <w:rFonts w:cs="Arial"/>
          <w:iCs/>
          <w:szCs w:val="20"/>
          <w:lang w:val="en-US"/>
        </w:rPr>
        <w:t>a plaque to commemorate the facts and the Court’s judgment be placed in a public institution in Sapucaia and, second, they asked that the State organize a public ceremony to acknowledge its international responsibility and apologize to the victims. In both cases, it asked that the victims participate in these measures.</w:t>
      </w:r>
    </w:p>
    <w:p w14:paraId="48AF0669" w14:textId="77777777" w:rsidR="00640DA8" w:rsidRPr="00FE50A6" w:rsidRDefault="00640DA8" w:rsidP="00640DA8">
      <w:pPr>
        <w:pStyle w:val="Prrafodelista"/>
        <w:autoSpaceDE w:val="0"/>
        <w:autoSpaceDN w:val="0"/>
        <w:adjustRightInd w:val="0"/>
        <w:rPr>
          <w:rFonts w:cs="Arial"/>
          <w:iCs/>
          <w:szCs w:val="20"/>
          <w:lang w:val="en-US"/>
        </w:rPr>
      </w:pPr>
    </w:p>
    <w:p w14:paraId="7D95D237" w14:textId="77777777" w:rsidR="00640DA8" w:rsidRPr="00FE50A6" w:rsidRDefault="000228D0" w:rsidP="00640DA8">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640DA8" w:rsidRPr="00FE50A6">
        <w:rPr>
          <w:rFonts w:cs="Arial"/>
          <w:iCs/>
          <w:szCs w:val="20"/>
          <w:lang w:val="en-US"/>
        </w:rPr>
        <w:t xml:space="preserve"> </w:t>
      </w:r>
      <w:r w:rsidR="003D02ED" w:rsidRPr="00FE50A6">
        <w:rPr>
          <w:rFonts w:cs="Arial"/>
          <w:iCs/>
          <w:szCs w:val="20"/>
          <w:lang w:val="en-US"/>
        </w:rPr>
        <w:t>raised no objections to the symbolic reparation in general. However, it asked that both the commemorative plaque and the public ceremony be defined by the State without the need for the victims’ consent. If the Court did not find this appropriate, the State asked that the Court itself define the content of these forms of symbolic reparation.</w:t>
      </w:r>
      <w:r w:rsidR="00640DA8" w:rsidRPr="00FE50A6">
        <w:rPr>
          <w:rFonts w:cs="Arial"/>
          <w:iCs/>
          <w:szCs w:val="20"/>
          <w:lang w:val="en-US"/>
        </w:rPr>
        <w:t xml:space="preserve"> </w:t>
      </w:r>
    </w:p>
    <w:p w14:paraId="77AE93A5" w14:textId="77777777" w:rsidR="00640DA8" w:rsidRPr="00FE50A6" w:rsidRDefault="00640DA8" w:rsidP="00640DA8">
      <w:pPr>
        <w:pStyle w:val="Prrafodelista"/>
        <w:autoSpaceDE w:val="0"/>
        <w:autoSpaceDN w:val="0"/>
        <w:adjustRightInd w:val="0"/>
        <w:rPr>
          <w:rFonts w:cs="Arial"/>
          <w:iCs/>
          <w:szCs w:val="20"/>
          <w:lang w:val="en-US"/>
        </w:rPr>
      </w:pPr>
    </w:p>
    <w:p w14:paraId="7F6310F5" w14:textId="77777777" w:rsidR="004B0842" w:rsidRPr="00FE50A6" w:rsidRDefault="003D02ED" w:rsidP="00640DA8">
      <w:pPr>
        <w:pStyle w:val="Prrafodelista"/>
        <w:numPr>
          <w:ilvl w:val="0"/>
          <w:numId w:val="1"/>
        </w:numPr>
        <w:autoSpaceDE w:val="0"/>
        <w:autoSpaceDN w:val="0"/>
        <w:adjustRightInd w:val="0"/>
        <w:rPr>
          <w:rFonts w:cs="Arial"/>
          <w:iCs/>
          <w:szCs w:val="20"/>
          <w:lang w:val="en-US"/>
        </w:rPr>
      </w:pPr>
      <w:r w:rsidRPr="00FE50A6">
        <w:rPr>
          <w:rFonts w:cs="Arial"/>
          <w:iCs/>
          <w:szCs w:val="20"/>
          <w:lang w:val="en-US"/>
        </w:rPr>
        <w:t>Regarding the said measures of reparation, the Court considers that the deliver</w:t>
      </w:r>
      <w:r w:rsidR="001647A7" w:rsidRPr="00FE50A6">
        <w:rPr>
          <w:rFonts w:cs="Arial"/>
          <w:iCs/>
          <w:szCs w:val="20"/>
          <w:lang w:val="en-US"/>
        </w:rPr>
        <w:t>y</w:t>
      </w:r>
      <w:r w:rsidRPr="00FE50A6">
        <w:rPr>
          <w:rFonts w:cs="Arial"/>
          <w:iCs/>
          <w:szCs w:val="20"/>
          <w:lang w:val="en-US"/>
        </w:rPr>
        <w:t xml:space="preserve"> of this judgment and the reparations ordered in this chapter are sufficient and adequate to rectify the violations suffered by the victims and does not find it necessary to order a public act to acknowledge responsibility or</w:t>
      </w:r>
      <w:r w:rsidR="001647A7" w:rsidRPr="00FE50A6">
        <w:rPr>
          <w:rFonts w:cs="Arial"/>
          <w:iCs/>
          <w:szCs w:val="20"/>
          <w:lang w:val="en-US"/>
        </w:rPr>
        <w:t xml:space="preserve"> the</w:t>
      </w:r>
      <w:r w:rsidRPr="00FE50A6">
        <w:rPr>
          <w:rFonts w:cs="Arial"/>
          <w:iCs/>
          <w:szCs w:val="20"/>
          <w:lang w:val="en-US"/>
        </w:rPr>
        <w:t xml:space="preserve"> installation of a commemorative plaque in</w:t>
      </w:r>
      <w:r w:rsidR="00640DA8" w:rsidRPr="00FE50A6">
        <w:rPr>
          <w:rFonts w:cs="Arial"/>
          <w:iCs/>
          <w:szCs w:val="20"/>
          <w:lang w:val="en-US"/>
        </w:rPr>
        <w:t xml:space="preserve"> Sapucaia.</w:t>
      </w:r>
      <w:r w:rsidR="004B0842" w:rsidRPr="00FE50A6">
        <w:rPr>
          <w:rFonts w:cs="Arial"/>
          <w:iCs/>
          <w:szCs w:val="20"/>
          <w:lang w:val="en-US"/>
        </w:rPr>
        <w:t xml:space="preserve">  </w:t>
      </w:r>
    </w:p>
    <w:p w14:paraId="168E7620" w14:textId="77777777" w:rsidR="004B0842" w:rsidRPr="00FE50A6" w:rsidRDefault="004B0842" w:rsidP="004B0842">
      <w:pPr>
        <w:pStyle w:val="Prrafodelista"/>
        <w:autoSpaceDE w:val="0"/>
        <w:autoSpaceDN w:val="0"/>
        <w:adjustRightInd w:val="0"/>
        <w:rPr>
          <w:rFonts w:cs="Arial"/>
          <w:iCs/>
          <w:szCs w:val="20"/>
          <w:lang w:val="en-US"/>
        </w:rPr>
      </w:pPr>
    </w:p>
    <w:p w14:paraId="72566B7C" w14:textId="77777777" w:rsidR="004B0842" w:rsidRPr="00FE50A6" w:rsidRDefault="007A61B7" w:rsidP="008B0BCC">
      <w:pPr>
        <w:pStyle w:val="Ttulo2"/>
        <w:numPr>
          <w:ilvl w:val="0"/>
          <w:numId w:val="21"/>
        </w:numPr>
      </w:pPr>
      <w:r w:rsidRPr="00FE50A6">
        <w:t>Compensation</w:t>
      </w:r>
    </w:p>
    <w:p w14:paraId="78666749" w14:textId="77777777" w:rsidR="004B0842" w:rsidRPr="00FE50A6" w:rsidRDefault="004B0842" w:rsidP="004B0842">
      <w:pPr>
        <w:pStyle w:val="Prrafodelista"/>
        <w:autoSpaceDE w:val="0"/>
        <w:autoSpaceDN w:val="0"/>
        <w:adjustRightInd w:val="0"/>
        <w:ind w:left="0"/>
        <w:rPr>
          <w:rFonts w:cs="Arial"/>
          <w:i/>
          <w:iCs/>
          <w:szCs w:val="20"/>
          <w:lang w:val="en-US"/>
        </w:rPr>
      </w:pPr>
    </w:p>
    <w:p w14:paraId="0B954373" w14:textId="77777777" w:rsidR="004B0842" w:rsidRPr="00FE50A6" w:rsidRDefault="004B0842" w:rsidP="00863BF9">
      <w:pPr>
        <w:pStyle w:val="Ttulo3"/>
        <w:rPr>
          <w:lang w:val="en-US"/>
        </w:rPr>
      </w:pPr>
      <w:bookmarkStart w:id="387" w:name="_Toc460433070"/>
      <w:bookmarkStart w:id="388" w:name="_Toc460442001"/>
      <w:bookmarkStart w:id="389" w:name="_Toc462751143"/>
      <w:bookmarkStart w:id="390" w:name="_Toc464813995"/>
      <w:r w:rsidRPr="00FE50A6">
        <w:rPr>
          <w:lang w:val="en-US"/>
        </w:rPr>
        <w:t xml:space="preserve">E.1.    </w:t>
      </w:r>
      <w:r w:rsidR="003D02ED" w:rsidRPr="00FE50A6">
        <w:rPr>
          <w:lang w:val="en-US"/>
        </w:rPr>
        <w:t>Pecuniary damage</w:t>
      </w:r>
      <w:bookmarkEnd w:id="387"/>
      <w:bookmarkEnd w:id="388"/>
      <w:bookmarkEnd w:id="389"/>
      <w:bookmarkEnd w:id="390"/>
    </w:p>
    <w:p w14:paraId="784943DA" w14:textId="77777777" w:rsidR="004B0842" w:rsidRPr="00FE50A6" w:rsidRDefault="004B0842" w:rsidP="004B0842">
      <w:pPr>
        <w:pStyle w:val="Prrafodelista"/>
        <w:autoSpaceDE w:val="0"/>
        <w:autoSpaceDN w:val="0"/>
        <w:adjustRightInd w:val="0"/>
        <w:rPr>
          <w:rFonts w:cs="Arial"/>
          <w:iCs/>
          <w:szCs w:val="20"/>
          <w:lang w:val="en-US"/>
        </w:rPr>
      </w:pPr>
    </w:p>
    <w:p w14:paraId="2DBD016D"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Commission</w:t>
      </w:r>
      <w:r w:rsidR="004B0842" w:rsidRPr="00FE50A6">
        <w:rPr>
          <w:rFonts w:cs="Arial"/>
          <w:iCs/>
          <w:szCs w:val="20"/>
          <w:lang w:val="en-US"/>
        </w:rPr>
        <w:t xml:space="preserve"> </w:t>
      </w:r>
      <w:r w:rsidR="003D02ED" w:rsidRPr="00FE50A6">
        <w:rPr>
          <w:rFonts w:cs="Arial"/>
          <w:iCs/>
          <w:szCs w:val="20"/>
          <w:lang w:val="en-US"/>
        </w:rPr>
        <w:t>asked that adequate reparation be made to the victims in this case, with regar</w:t>
      </w:r>
      <w:r w:rsidR="00173716" w:rsidRPr="00FE50A6">
        <w:rPr>
          <w:rFonts w:cs="Arial"/>
          <w:iCs/>
          <w:szCs w:val="20"/>
          <w:lang w:val="en-US"/>
        </w:rPr>
        <w:t>d</w:t>
      </w:r>
      <w:r w:rsidR="003D02ED" w:rsidRPr="00FE50A6">
        <w:rPr>
          <w:rFonts w:cs="Arial"/>
          <w:iCs/>
          <w:szCs w:val="20"/>
          <w:lang w:val="en-US"/>
        </w:rPr>
        <w:t xml:space="preserve"> to both pecuniary and non-pecuniary damage</w:t>
      </w:r>
      <w:r w:rsidR="004B0842" w:rsidRPr="00FE50A6">
        <w:rPr>
          <w:rFonts w:cs="Arial"/>
          <w:iCs/>
          <w:szCs w:val="20"/>
          <w:lang w:val="en-US"/>
        </w:rPr>
        <w:t xml:space="preserve">. </w:t>
      </w:r>
      <w:r w:rsidR="00173716" w:rsidRPr="00FE50A6">
        <w:rPr>
          <w:rFonts w:cs="Arial"/>
          <w:iCs/>
          <w:szCs w:val="20"/>
          <w:lang w:val="en-US"/>
        </w:rPr>
        <w:t>I</w:t>
      </w:r>
      <w:r w:rsidR="004B0842" w:rsidRPr="00FE50A6">
        <w:rPr>
          <w:rFonts w:cs="Arial"/>
          <w:iCs/>
          <w:szCs w:val="20"/>
          <w:lang w:val="en-US"/>
        </w:rPr>
        <w:t>n particular</w:t>
      </w:r>
      <w:r w:rsidR="003A3C64" w:rsidRPr="00FE50A6">
        <w:rPr>
          <w:rFonts w:cs="Arial"/>
          <w:iCs/>
          <w:szCs w:val="20"/>
          <w:lang w:val="en-US"/>
        </w:rPr>
        <w:t>,</w:t>
      </w:r>
      <w:r w:rsidR="004B0842" w:rsidRPr="00FE50A6">
        <w:rPr>
          <w:rFonts w:cs="Arial"/>
          <w:iCs/>
          <w:szCs w:val="20"/>
          <w:lang w:val="en-US"/>
        </w:rPr>
        <w:t xml:space="preserve"> </w:t>
      </w:r>
      <w:r w:rsidR="00173716" w:rsidRPr="00FE50A6">
        <w:rPr>
          <w:rFonts w:cs="Arial"/>
          <w:iCs/>
          <w:szCs w:val="20"/>
          <w:lang w:val="en-US"/>
        </w:rPr>
        <w:t xml:space="preserve">it asked that the workers be paid the salaries owed for the services they had rendered, </w:t>
      </w:r>
      <w:r w:rsidR="001647A7" w:rsidRPr="00FE50A6">
        <w:rPr>
          <w:rFonts w:cs="Arial"/>
          <w:iCs/>
          <w:szCs w:val="20"/>
          <w:lang w:val="en-US"/>
        </w:rPr>
        <w:t>together with</w:t>
      </w:r>
      <w:r w:rsidR="00173716" w:rsidRPr="00FE50A6">
        <w:rPr>
          <w:rFonts w:cs="Arial"/>
          <w:iCs/>
          <w:szCs w:val="20"/>
          <w:lang w:val="en-US"/>
        </w:rPr>
        <w:t xml:space="preserve"> the sums of money that had been deducted illegally</w:t>
      </w:r>
      <w:r w:rsidR="004B0842" w:rsidRPr="00FE50A6">
        <w:rPr>
          <w:rFonts w:cs="Arial"/>
          <w:iCs/>
          <w:szCs w:val="20"/>
          <w:lang w:val="en-US"/>
        </w:rPr>
        <w:t xml:space="preserve">. </w:t>
      </w:r>
    </w:p>
    <w:p w14:paraId="46EC768F" w14:textId="77777777" w:rsidR="004B0842" w:rsidRPr="00FE50A6" w:rsidRDefault="004B0842" w:rsidP="004B0842">
      <w:pPr>
        <w:pStyle w:val="Prrafodelista"/>
        <w:autoSpaceDE w:val="0"/>
        <w:autoSpaceDN w:val="0"/>
        <w:adjustRightInd w:val="0"/>
        <w:rPr>
          <w:rFonts w:cs="Arial"/>
          <w:iCs/>
          <w:szCs w:val="20"/>
          <w:lang w:val="en-US"/>
        </w:rPr>
      </w:pPr>
    </w:p>
    <w:p w14:paraId="788D1C1F"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173716" w:rsidRPr="00FE50A6">
        <w:rPr>
          <w:rFonts w:cs="Arial"/>
          <w:iCs/>
          <w:szCs w:val="20"/>
          <w:lang w:val="en-US"/>
        </w:rPr>
        <w:t xml:space="preserve">called for the payment of the labor rights that were not included in the </w:t>
      </w:r>
      <w:r w:rsidR="009C48A4" w:rsidRPr="00FE50A6">
        <w:rPr>
          <w:rFonts w:cs="Arial"/>
          <w:iCs/>
          <w:szCs w:val="20"/>
          <w:lang w:val="en-US"/>
        </w:rPr>
        <w:t>“</w:t>
      </w:r>
      <w:r w:rsidR="00173716" w:rsidRPr="00FE50A6">
        <w:rPr>
          <w:rFonts w:cs="Arial"/>
          <w:iCs/>
          <w:szCs w:val="20"/>
          <w:lang w:val="en-US"/>
        </w:rPr>
        <w:t xml:space="preserve">Work contract termination conditions” </w:t>
      </w:r>
      <w:r w:rsidR="004B0842" w:rsidRPr="00FE50A6">
        <w:rPr>
          <w:rFonts w:cs="Arial"/>
          <w:iCs/>
          <w:szCs w:val="20"/>
          <w:lang w:val="en-US"/>
        </w:rPr>
        <w:t xml:space="preserve">(TRCT) </w:t>
      </w:r>
      <w:r w:rsidR="00173716" w:rsidRPr="00FE50A6">
        <w:rPr>
          <w:rFonts w:cs="Arial"/>
          <w:iCs/>
          <w:szCs w:val="20"/>
          <w:lang w:val="en-US"/>
        </w:rPr>
        <w:t>when the workers were rescued.</w:t>
      </w:r>
    </w:p>
    <w:p w14:paraId="587CB8BD" w14:textId="77777777" w:rsidR="004B0842" w:rsidRPr="00FE50A6" w:rsidRDefault="004B0842" w:rsidP="004B0842">
      <w:pPr>
        <w:pStyle w:val="Prrafodelista"/>
        <w:autoSpaceDE w:val="0"/>
        <w:autoSpaceDN w:val="0"/>
        <w:adjustRightInd w:val="0"/>
        <w:rPr>
          <w:rFonts w:cs="Arial"/>
          <w:iCs/>
          <w:szCs w:val="20"/>
          <w:lang w:val="en-US"/>
        </w:rPr>
      </w:pPr>
    </w:p>
    <w:p w14:paraId="43C7FEA8"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w:t>
      </w:r>
      <w:r w:rsidR="00984A55" w:rsidRPr="00FE50A6">
        <w:rPr>
          <w:rFonts w:cs="Arial"/>
          <w:iCs/>
          <w:szCs w:val="20"/>
          <w:lang w:val="en-US"/>
        </w:rPr>
        <w:t>indicated</w:t>
      </w:r>
      <w:r w:rsidR="004B0842" w:rsidRPr="00FE50A6">
        <w:rPr>
          <w:rFonts w:cs="Arial"/>
          <w:iCs/>
          <w:szCs w:val="20"/>
          <w:lang w:val="en-US"/>
        </w:rPr>
        <w:t xml:space="preserve"> </w:t>
      </w:r>
      <w:r w:rsidR="00173716" w:rsidRPr="00FE50A6">
        <w:rPr>
          <w:rFonts w:cs="Arial"/>
          <w:iCs/>
          <w:szCs w:val="20"/>
          <w:lang w:val="en-US"/>
        </w:rPr>
        <w:t xml:space="preserve">that it was unable to respond for harm exclusively related to labor relations that should be compensated by the private individuals concerned. It added that </w:t>
      </w:r>
      <w:r w:rsidR="00700B79" w:rsidRPr="00FE50A6">
        <w:rPr>
          <w:rFonts w:cs="Arial"/>
          <w:iCs/>
          <w:szCs w:val="20"/>
          <w:lang w:val="en-US"/>
        </w:rPr>
        <w:t>the representatives</w:t>
      </w:r>
      <w:r w:rsidR="004B0842" w:rsidRPr="00FE50A6">
        <w:rPr>
          <w:rFonts w:cs="Arial"/>
          <w:iCs/>
          <w:szCs w:val="20"/>
          <w:lang w:val="en-US"/>
        </w:rPr>
        <w:t xml:space="preserve"> </w:t>
      </w:r>
      <w:r w:rsidR="00173716" w:rsidRPr="00FE50A6">
        <w:rPr>
          <w:rFonts w:cs="Arial"/>
          <w:iCs/>
          <w:szCs w:val="20"/>
          <w:lang w:val="en-US"/>
        </w:rPr>
        <w:t xml:space="preserve">had not provided any evidence to prove the amounts of the </w:t>
      </w:r>
      <w:r w:rsidR="003D02ED" w:rsidRPr="00FE50A6">
        <w:rPr>
          <w:rFonts w:cs="Arial"/>
          <w:iCs/>
          <w:szCs w:val="20"/>
          <w:lang w:val="en-US"/>
        </w:rPr>
        <w:t>pecuniary damage</w:t>
      </w:r>
      <w:r w:rsidR="004B0842" w:rsidRPr="00FE50A6">
        <w:rPr>
          <w:rFonts w:cs="Arial"/>
          <w:iCs/>
          <w:szCs w:val="20"/>
          <w:lang w:val="en-US"/>
        </w:rPr>
        <w:t xml:space="preserve"> </w:t>
      </w:r>
      <w:r w:rsidR="00173716" w:rsidRPr="00FE50A6">
        <w:rPr>
          <w:rFonts w:cs="Arial"/>
          <w:iCs/>
          <w:szCs w:val="20"/>
          <w:lang w:val="en-US"/>
        </w:rPr>
        <w:t xml:space="preserve">in this case and that citing fairness could not substitute for this lack of evidence. </w:t>
      </w:r>
    </w:p>
    <w:p w14:paraId="6A813E42" w14:textId="77777777" w:rsidR="004B0842" w:rsidRPr="00FE50A6" w:rsidRDefault="004B0842" w:rsidP="004B0842">
      <w:pPr>
        <w:pStyle w:val="Prrafodelista"/>
        <w:autoSpaceDE w:val="0"/>
        <w:autoSpaceDN w:val="0"/>
        <w:adjustRightInd w:val="0"/>
        <w:rPr>
          <w:rFonts w:cs="Arial"/>
          <w:iCs/>
          <w:szCs w:val="20"/>
          <w:lang w:val="en-US"/>
        </w:rPr>
      </w:pPr>
    </w:p>
    <w:p w14:paraId="7B3E51E6" w14:textId="77777777" w:rsidR="004B0842" w:rsidRPr="00FE50A6" w:rsidRDefault="00173716"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In its case law, t</w:t>
      </w:r>
      <w:r w:rsidR="000228D0" w:rsidRPr="00FE50A6">
        <w:rPr>
          <w:rFonts w:cs="Arial"/>
          <w:iCs/>
          <w:szCs w:val="20"/>
          <w:lang w:val="en-US"/>
        </w:rPr>
        <w:t>he Court</w:t>
      </w:r>
      <w:r w:rsidR="004B0842" w:rsidRPr="00FE50A6">
        <w:rPr>
          <w:rFonts w:cs="Arial"/>
          <w:iCs/>
          <w:szCs w:val="20"/>
          <w:lang w:val="en-US"/>
        </w:rPr>
        <w:t xml:space="preserve"> ha</w:t>
      </w:r>
      <w:r w:rsidRPr="00FE50A6">
        <w:rPr>
          <w:rFonts w:cs="Arial"/>
          <w:iCs/>
          <w:szCs w:val="20"/>
          <w:lang w:val="en-US"/>
        </w:rPr>
        <w:t xml:space="preserve">s developed the concept of pecuniary damage and has established that this supposes “the loss or detriment to the victims’ earnings, the expenses incurred due to the facts, and the consequences of a pecuniary nature that have a </w:t>
      </w:r>
      <w:r w:rsidR="001647A7" w:rsidRPr="00FE50A6">
        <w:rPr>
          <w:rFonts w:cs="Arial"/>
          <w:iCs/>
          <w:szCs w:val="20"/>
          <w:lang w:val="en-US"/>
        </w:rPr>
        <w:t>c</w:t>
      </w:r>
      <w:r w:rsidRPr="00FE50A6">
        <w:rPr>
          <w:rFonts w:cs="Arial"/>
          <w:iCs/>
          <w:szCs w:val="20"/>
          <w:lang w:val="en-US"/>
        </w:rPr>
        <w:t>ausal nexus with the facts of the case.</w:t>
      </w:r>
      <w:r w:rsidR="004B0842" w:rsidRPr="00FE50A6">
        <w:rPr>
          <w:rFonts w:cs="Arial"/>
          <w:iCs/>
          <w:szCs w:val="20"/>
          <w:vertAlign w:val="superscript"/>
          <w:lang w:val="en-US"/>
        </w:rPr>
        <w:footnoteReference w:id="533"/>
      </w:r>
    </w:p>
    <w:p w14:paraId="20D8E249" w14:textId="77777777" w:rsidR="004B0842" w:rsidRPr="00FE50A6" w:rsidRDefault="004B0842" w:rsidP="004B0842">
      <w:pPr>
        <w:pStyle w:val="Prrafodelista"/>
        <w:autoSpaceDE w:val="0"/>
        <w:autoSpaceDN w:val="0"/>
        <w:adjustRightInd w:val="0"/>
        <w:rPr>
          <w:rFonts w:cs="Arial"/>
          <w:iCs/>
          <w:szCs w:val="20"/>
          <w:lang w:val="en-US"/>
        </w:rPr>
      </w:pPr>
    </w:p>
    <w:p w14:paraId="3B6DDC91" w14:textId="77777777" w:rsidR="008C698E"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w:t>
      </w:r>
      <w:r w:rsidR="00173716" w:rsidRPr="00FE50A6">
        <w:rPr>
          <w:rFonts w:cs="Arial"/>
          <w:iCs/>
          <w:szCs w:val="20"/>
          <w:lang w:val="en-US"/>
        </w:rPr>
        <w:t xml:space="preserve">will not grant any compensation for </w:t>
      </w:r>
      <w:r w:rsidR="003D02ED" w:rsidRPr="00FE50A6">
        <w:rPr>
          <w:rFonts w:cs="Arial"/>
          <w:iCs/>
          <w:szCs w:val="20"/>
          <w:lang w:val="en-US"/>
        </w:rPr>
        <w:t>pecuniary damage</w:t>
      </w:r>
      <w:r w:rsidR="004B0842" w:rsidRPr="00FE50A6">
        <w:rPr>
          <w:rFonts w:cs="Arial"/>
          <w:iCs/>
          <w:szCs w:val="20"/>
          <w:lang w:val="en-US"/>
        </w:rPr>
        <w:t xml:space="preserve"> </w:t>
      </w:r>
      <w:r w:rsidR="00173716" w:rsidRPr="00FE50A6">
        <w:rPr>
          <w:rFonts w:cs="Arial"/>
          <w:iCs/>
          <w:szCs w:val="20"/>
          <w:lang w:val="en-US"/>
        </w:rPr>
        <w:t>in this case.</w:t>
      </w:r>
      <w:r w:rsidR="004B0842" w:rsidRPr="00FE50A6">
        <w:rPr>
          <w:rFonts w:cs="Arial"/>
          <w:iCs/>
          <w:szCs w:val="20"/>
          <w:lang w:val="en-US"/>
        </w:rPr>
        <w:t xml:space="preserve"> </w:t>
      </w:r>
      <w:r w:rsidR="00700B79" w:rsidRPr="00FE50A6">
        <w:rPr>
          <w:rFonts w:cs="Arial"/>
          <w:iCs/>
          <w:szCs w:val="20"/>
          <w:lang w:val="en-US"/>
        </w:rPr>
        <w:t>The representatives</w:t>
      </w:r>
      <w:r w:rsidR="004B0842" w:rsidRPr="00FE50A6">
        <w:rPr>
          <w:rFonts w:cs="Arial"/>
          <w:iCs/>
          <w:szCs w:val="20"/>
          <w:lang w:val="en-US"/>
        </w:rPr>
        <w:t xml:space="preserve"> </w:t>
      </w:r>
      <w:r w:rsidR="00173716" w:rsidRPr="00FE50A6">
        <w:rPr>
          <w:rFonts w:cs="Arial"/>
          <w:iCs/>
          <w:szCs w:val="20"/>
          <w:lang w:val="en-US"/>
        </w:rPr>
        <w:t xml:space="preserve">have not provided any evidence related to their argument that the sums paid under the TRCT </w:t>
      </w:r>
      <w:r w:rsidR="008C698E" w:rsidRPr="00FE50A6">
        <w:rPr>
          <w:rFonts w:cs="Arial"/>
          <w:iCs/>
          <w:szCs w:val="20"/>
          <w:lang w:val="en-US"/>
        </w:rPr>
        <w:t>had been insufficient under Brazil’s labor laws</w:t>
      </w:r>
      <w:r w:rsidR="004B0842" w:rsidRPr="00FE50A6">
        <w:rPr>
          <w:rFonts w:cs="Arial"/>
          <w:iCs/>
          <w:szCs w:val="20"/>
          <w:lang w:val="en-US"/>
        </w:rPr>
        <w:t xml:space="preserve">. </w:t>
      </w:r>
      <w:r w:rsidRPr="00FE50A6">
        <w:rPr>
          <w:rFonts w:cs="Arial"/>
          <w:iCs/>
          <w:szCs w:val="20"/>
          <w:lang w:val="en-US"/>
        </w:rPr>
        <w:t>The Court</w:t>
      </w:r>
      <w:r w:rsidR="004B0842" w:rsidRPr="00FE50A6">
        <w:rPr>
          <w:rFonts w:cs="Arial"/>
          <w:iCs/>
          <w:szCs w:val="20"/>
          <w:lang w:val="en-US"/>
        </w:rPr>
        <w:t xml:space="preserve"> </w:t>
      </w:r>
      <w:r w:rsidR="008C698E" w:rsidRPr="00FE50A6">
        <w:rPr>
          <w:rFonts w:cs="Arial"/>
          <w:iCs/>
          <w:szCs w:val="20"/>
          <w:lang w:val="en-US"/>
        </w:rPr>
        <w:t xml:space="preserve">has no evidence to determine the correct way in which the TRCT compensation should have been calculated, either in general or with regard to each worker identified as a victim in this case. Accordingly, the Court is not in a situation to determine: (i) the amount that corresponded to each worker at the time he was rescued, and (ii) the possible difference </w:t>
      </w:r>
      <w:r w:rsidR="001647A7" w:rsidRPr="00FE50A6">
        <w:rPr>
          <w:rFonts w:cs="Arial"/>
          <w:iCs/>
          <w:szCs w:val="20"/>
          <w:lang w:val="en-US"/>
        </w:rPr>
        <w:t>with</w:t>
      </w:r>
      <w:r w:rsidR="008C698E" w:rsidRPr="00FE50A6">
        <w:rPr>
          <w:rFonts w:cs="Arial"/>
          <w:iCs/>
          <w:szCs w:val="20"/>
          <w:lang w:val="en-US"/>
        </w:rPr>
        <w:t xml:space="preserve"> the amount received by each worker. These two elements are essential to establish the existence of a pecuniary damage. Consequently, the Court rejects the representatives’ request in this regard.</w:t>
      </w:r>
    </w:p>
    <w:p w14:paraId="00B37C8C" w14:textId="77777777" w:rsidR="004B0842" w:rsidRPr="00FE50A6" w:rsidRDefault="004B0842" w:rsidP="004B0842">
      <w:pPr>
        <w:pStyle w:val="Prrafodelista"/>
        <w:autoSpaceDE w:val="0"/>
        <w:autoSpaceDN w:val="0"/>
        <w:adjustRightInd w:val="0"/>
        <w:ind w:left="0"/>
        <w:rPr>
          <w:rFonts w:cs="Arial"/>
          <w:i/>
          <w:iCs/>
          <w:szCs w:val="20"/>
          <w:lang w:val="en-US"/>
        </w:rPr>
      </w:pPr>
    </w:p>
    <w:p w14:paraId="00BDC07C" w14:textId="77777777" w:rsidR="004B0842" w:rsidRPr="00FE50A6" w:rsidRDefault="004B0842" w:rsidP="00863BF9">
      <w:pPr>
        <w:pStyle w:val="Ttulo3"/>
        <w:rPr>
          <w:lang w:val="en-US"/>
        </w:rPr>
      </w:pPr>
      <w:bookmarkStart w:id="391" w:name="_Toc460433071"/>
      <w:bookmarkStart w:id="392" w:name="_Toc460442002"/>
      <w:bookmarkStart w:id="393" w:name="_Toc462751144"/>
      <w:bookmarkStart w:id="394" w:name="_Toc464813996"/>
      <w:r w:rsidRPr="00FE50A6">
        <w:rPr>
          <w:lang w:val="en-US"/>
        </w:rPr>
        <w:t xml:space="preserve">E.2.   </w:t>
      </w:r>
      <w:bookmarkEnd w:id="391"/>
      <w:bookmarkEnd w:id="392"/>
      <w:bookmarkEnd w:id="393"/>
      <w:bookmarkEnd w:id="394"/>
      <w:r w:rsidR="008C698E" w:rsidRPr="00FE50A6">
        <w:rPr>
          <w:lang w:val="en-US"/>
        </w:rPr>
        <w:t>Non-pecuniary damage</w:t>
      </w:r>
      <w:r w:rsidRPr="00FE50A6">
        <w:rPr>
          <w:lang w:val="en-US"/>
        </w:rPr>
        <w:t xml:space="preserve"> </w:t>
      </w:r>
    </w:p>
    <w:p w14:paraId="0A8DFC50" w14:textId="77777777" w:rsidR="004B0842" w:rsidRPr="00FE50A6" w:rsidRDefault="004B0842" w:rsidP="004B0842">
      <w:pPr>
        <w:pStyle w:val="Prrafodelista"/>
        <w:autoSpaceDE w:val="0"/>
        <w:autoSpaceDN w:val="0"/>
        <w:adjustRightInd w:val="0"/>
        <w:rPr>
          <w:rFonts w:cs="Arial"/>
          <w:iCs/>
          <w:szCs w:val="20"/>
          <w:lang w:val="en-US"/>
        </w:rPr>
      </w:pPr>
    </w:p>
    <w:p w14:paraId="04154EEF"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iCs/>
          <w:szCs w:val="20"/>
          <w:lang w:val="en-US"/>
        </w:rPr>
        <w:t xml:space="preserve"> </w:t>
      </w:r>
      <w:r w:rsidR="008C698E" w:rsidRPr="00FE50A6">
        <w:rPr>
          <w:rFonts w:cs="Arial"/>
          <w:iCs/>
          <w:szCs w:val="20"/>
          <w:lang w:val="en-US"/>
        </w:rPr>
        <w:t>requested compensation for the harm suffered by all those identified as victims in their b</w:t>
      </w:r>
      <w:r w:rsidRPr="00FE50A6">
        <w:rPr>
          <w:rFonts w:cs="Arial"/>
          <w:iCs/>
          <w:szCs w:val="20"/>
          <w:lang w:val="en-US"/>
        </w:rPr>
        <w:t>rief with motions, pleadings and evidence</w:t>
      </w:r>
      <w:r w:rsidR="004B0842" w:rsidRPr="00FE50A6">
        <w:rPr>
          <w:rFonts w:cs="Arial"/>
          <w:iCs/>
          <w:szCs w:val="20"/>
          <w:lang w:val="en-US"/>
        </w:rPr>
        <w:t xml:space="preserve">. </w:t>
      </w:r>
      <w:r w:rsidR="008C698E" w:rsidRPr="00FE50A6">
        <w:rPr>
          <w:rFonts w:cs="Arial"/>
          <w:iCs/>
          <w:szCs w:val="20"/>
          <w:lang w:val="en-US"/>
        </w:rPr>
        <w:t xml:space="preserve">As non-pecuniary damage, they requested </w:t>
      </w:r>
      <w:r w:rsidR="004B0842" w:rsidRPr="00FE50A6">
        <w:rPr>
          <w:rFonts w:cs="Arial"/>
          <w:iCs/>
          <w:szCs w:val="20"/>
          <w:lang w:val="en-US"/>
        </w:rPr>
        <w:t>US$40</w:t>
      </w:r>
      <w:r w:rsidR="008C698E" w:rsidRPr="00FE50A6">
        <w:rPr>
          <w:rFonts w:cs="Arial"/>
          <w:iCs/>
          <w:szCs w:val="20"/>
          <w:lang w:val="en-US"/>
        </w:rPr>
        <w:t>,</w:t>
      </w:r>
      <w:r w:rsidR="004B0842" w:rsidRPr="00FE50A6">
        <w:rPr>
          <w:rFonts w:cs="Arial"/>
          <w:iCs/>
          <w:szCs w:val="20"/>
          <w:lang w:val="en-US"/>
        </w:rPr>
        <w:t xml:space="preserve">000 </w:t>
      </w:r>
      <w:r w:rsidR="008C698E" w:rsidRPr="00FE50A6">
        <w:rPr>
          <w:rFonts w:cs="Arial"/>
          <w:iCs/>
          <w:szCs w:val="20"/>
          <w:lang w:val="en-US"/>
        </w:rPr>
        <w:t xml:space="preserve">for each worker found in </w:t>
      </w:r>
      <w:r w:rsidR="00A235E3" w:rsidRPr="00FE50A6">
        <w:rPr>
          <w:rFonts w:cs="Arial"/>
          <w:iCs/>
          <w:szCs w:val="20"/>
          <w:lang w:val="en-US"/>
        </w:rPr>
        <w:t>Haci</w:t>
      </w:r>
      <w:r w:rsidR="004B0842" w:rsidRPr="00FE50A6">
        <w:rPr>
          <w:rFonts w:cs="Arial"/>
          <w:iCs/>
          <w:szCs w:val="20"/>
          <w:lang w:val="en-US"/>
        </w:rPr>
        <w:t xml:space="preserve">enda </w:t>
      </w:r>
      <w:r w:rsidR="00322241" w:rsidRPr="00FE50A6">
        <w:rPr>
          <w:rFonts w:cs="Arial"/>
          <w:iCs/>
          <w:szCs w:val="20"/>
          <w:lang w:val="en-US"/>
        </w:rPr>
        <w:t>Brasil Verde</w:t>
      </w:r>
      <w:r w:rsidR="004B0842" w:rsidRPr="00FE50A6">
        <w:rPr>
          <w:rFonts w:cs="Arial"/>
          <w:iCs/>
          <w:szCs w:val="20"/>
          <w:lang w:val="en-US"/>
        </w:rPr>
        <w:t xml:space="preserve"> </w:t>
      </w:r>
      <w:r w:rsidR="008C698E" w:rsidRPr="00FE50A6">
        <w:rPr>
          <w:rFonts w:cs="Arial"/>
          <w:iCs/>
          <w:szCs w:val="20"/>
          <w:lang w:val="en-US"/>
        </w:rPr>
        <w:t>during the inspections of</w:t>
      </w:r>
      <w:r w:rsidR="004B0842" w:rsidRPr="00FE50A6">
        <w:rPr>
          <w:rFonts w:cs="Arial"/>
          <w:iCs/>
          <w:szCs w:val="20"/>
          <w:lang w:val="en-US"/>
        </w:rPr>
        <w:t xml:space="preserve"> </w:t>
      </w:r>
      <w:r w:rsidR="009C27BB" w:rsidRPr="00FE50A6">
        <w:rPr>
          <w:rFonts w:cs="Arial"/>
          <w:iCs/>
          <w:szCs w:val="20"/>
          <w:lang w:val="en-US"/>
        </w:rPr>
        <w:t xml:space="preserve">April 1997 </w:t>
      </w:r>
      <w:r w:rsidR="00030C17" w:rsidRPr="00FE50A6">
        <w:rPr>
          <w:rFonts w:cs="Arial"/>
          <w:iCs/>
          <w:szCs w:val="20"/>
          <w:lang w:val="en-US"/>
        </w:rPr>
        <w:t xml:space="preserve">and </w:t>
      </w:r>
      <w:r w:rsidR="008C698E" w:rsidRPr="00FE50A6">
        <w:rPr>
          <w:rFonts w:cs="Arial"/>
          <w:iCs/>
          <w:szCs w:val="20"/>
          <w:lang w:val="en-US"/>
        </w:rPr>
        <w:t>March</w:t>
      </w:r>
      <w:r w:rsidR="004B0842" w:rsidRPr="00FE50A6">
        <w:rPr>
          <w:rFonts w:cs="Arial"/>
          <w:iCs/>
          <w:szCs w:val="20"/>
          <w:lang w:val="en-US"/>
        </w:rPr>
        <w:t xml:space="preserve"> 2000. A</w:t>
      </w:r>
      <w:r w:rsidR="008C698E" w:rsidRPr="00FE50A6">
        <w:rPr>
          <w:rFonts w:cs="Arial"/>
          <w:iCs/>
          <w:szCs w:val="20"/>
          <w:lang w:val="en-US"/>
        </w:rPr>
        <w:t xml:space="preserve">lso, regarding the victims found during the latter inspection, they requested compensation for the collective non-pecuniary damage calculated, in equity, for the establishment of a rural vocational training course in </w:t>
      </w:r>
      <w:r w:rsidR="004B0842" w:rsidRPr="00FE50A6">
        <w:rPr>
          <w:rFonts w:cs="Arial"/>
          <w:iCs/>
          <w:szCs w:val="20"/>
          <w:lang w:val="en-US"/>
        </w:rPr>
        <w:t xml:space="preserve">Barras, Piauí, </w:t>
      </w:r>
      <w:r w:rsidR="008C698E" w:rsidRPr="00FE50A6">
        <w:rPr>
          <w:rFonts w:cs="Arial"/>
          <w:iCs/>
          <w:szCs w:val="20"/>
          <w:lang w:val="en-US"/>
        </w:rPr>
        <w:t>to train rural workers</w:t>
      </w:r>
      <w:r w:rsidR="004B0842" w:rsidRPr="00FE50A6">
        <w:rPr>
          <w:rFonts w:cs="Arial"/>
          <w:iCs/>
          <w:szCs w:val="20"/>
          <w:lang w:val="en-US"/>
        </w:rPr>
        <w:t>.</w:t>
      </w:r>
    </w:p>
    <w:p w14:paraId="4081E510" w14:textId="77777777" w:rsidR="004B0842" w:rsidRPr="00FE50A6" w:rsidRDefault="004B0842" w:rsidP="004B0842">
      <w:pPr>
        <w:pStyle w:val="Prrafodelista"/>
        <w:autoSpaceDE w:val="0"/>
        <w:autoSpaceDN w:val="0"/>
        <w:adjustRightInd w:val="0"/>
        <w:rPr>
          <w:rFonts w:cs="Arial"/>
          <w:iCs/>
          <w:szCs w:val="20"/>
          <w:lang w:val="en-US"/>
        </w:rPr>
      </w:pPr>
    </w:p>
    <w:p w14:paraId="523D6712" w14:textId="77777777" w:rsidR="004B0842" w:rsidRPr="00FE50A6" w:rsidRDefault="008C698E"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In addition, in their final written observations,</w:t>
      </w:r>
      <w:r w:rsidR="004B0842" w:rsidRPr="00FE50A6">
        <w:rPr>
          <w:rFonts w:cs="Arial"/>
          <w:iCs/>
          <w:szCs w:val="20"/>
          <w:lang w:val="en-US"/>
        </w:rPr>
        <w:t xml:space="preserve"> </w:t>
      </w:r>
      <w:r w:rsidR="00700B79" w:rsidRPr="00FE50A6">
        <w:rPr>
          <w:rFonts w:cs="Arial"/>
          <w:iCs/>
          <w:szCs w:val="20"/>
          <w:lang w:val="en-US"/>
        </w:rPr>
        <w:t>the representatives</w:t>
      </w:r>
      <w:r w:rsidR="004B0842" w:rsidRPr="00FE50A6">
        <w:rPr>
          <w:rFonts w:cs="Arial"/>
          <w:iCs/>
          <w:szCs w:val="20"/>
          <w:lang w:val="en-US"/>
        </w:rPr>
        <w:t xml:space="preserve"> </w:t>
      </w:r>
      <w:r w:rsidRPr="00FE50A6">
        <w:rPr>
          <w:rFonts w:cs="Arial"/>
          <w:iCs/>
          <w:szCs w:val="20"/>
          <w:lang w:val="en-US"/>
        </w:rPr>
        <w:t>requested</w:t>
      </w:r>
      <w:r w:rsidR="004B0842" w:rsidRPr="00FE50A6">
        <w:rPr>
          <w:rFonts w:cs="Arial"/>
          <w:iCs/>
          <w:szCs w:val="20"/>
          <w:lang w:val="en-US"/>
        </w:rPr>
        <w:t xml:space="preserve"> US$40</w:t>
      </w:r>
      <w:r w:rsidRPr="00FE50A6">
        <w:rPr>
          <w:rFonts w:cs="Arial"/>
          <w:iCs/>
          <w:szCs w:val="20"/>
          <w:lang w:val="en-US"/>
        </w:rPr>
        <w:t>,</w:t>
      </w:r>
      <w:r w:rsidR="004B0842" w:rsidRPr="00FE50A6">
        <w:rPr>
          <w:rFonts w:cs="Arial"/>
          <w:iCs/>
          <w:szCs w:val="20"/>
          <w:lang w:val="en-US"/>
        </w:rPr>
        <w:t xml:space="preserve">000 </w:t>
      </w:r>
      <w:r w:rsidR="002C4EF6" w:rsidRPr="00FE50A6">
        <w:rPr>
          <w:rFonts w:cs="Arial"/>
          <w:iCs/>
          <w:szCs w:val="20"/>
          <w:lang w:val="en-US"/>
        </w:rPr>
        <w:t xml:space="preserve">for each worker rescued in the 1996 inspection as compensation for the non-pecuniary damage suffered. In the same brief, they also asked for compensation for non-pecuniary damage based on the forced disappearance of </w:t>
      </w:r>
      <w:r w:rsidR="00200C04" w:rsidRPr="00FE50A6">
        <w:rPr>
          <w:rFonts w:cs="Arial"/>
          <w:iCs/>
          <w:szCs w:val="20"/>
          <w:lang w:val="en-US"/>
        </w:rPr>
        <w:t xml:space="preserve">Luis Ferreira </w:t>
      </w:r>
      <w:r w:rsidR="00701BB2" w:rsidRPr="00FE50A6">
        <w:rPr>
          <w:rFonts w:cs="Arial"/>
          <w:iCs/>
          <w:szCs w:val="20"/>
          <w:lang w:val="en-US"/>
        </w:rPr>
        <w:t>da Cruz</w:t>
      </w:r>
      <w:r w:rsidR="004B0842" w:rsidRPr="00FE50A6">
        <w:rPr>
          <w:rFonts w:cs="Arial"/>
          <w:iCs/>
          <w:szCs w:val="20"/>
          <w:lang w:val="en-US"/>
        </w:rPr>
        <w:t>.</w:t>
      </w:r>
    </w:p>
    <w:p w14:paraId="18A7F4E8" w14:textId="77777777" w:rsidR="004B0842" w:rsidRPr="00FE50A6" w:rsidRDefault="004B0842" w:rsidP="004B0842">
      <w:pPr>
        <w:pStyle w:val="Prrafodelista"/>
        <w:autoSpaceDE w:val="0"/>
        <w:autoSpaceDN w:val="0"/>
        <w:adjustRightInd w:val="0"/>
        <w:rPr>
          <w:rFonts w:cs="Arial"/>
          <w:iCs/>
          <w:szCs w:val="20"/>
          <w:lang w:val="en-US"/>
        </w:rPr>
      </w:pPr>
    </w:p>
    <w:p w14:paraId="7E6B3A2D"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State</w:t>
      </w:r>
      <w:r w:rsidR="004B0842" w:rsidRPr="00FE50A6">
        <w:rPr>
          <w:rFonts w:cs="Arial"/>
          <w:iCs/>
          <w:szCs w:val="20"/>
          <w:lang w:val="en-US"/>
        </w:rPr>
        <w:t xml:space="preserve"> a</w:t>
      </w:r>
      <w:r w:rsidR="002C4EF6" w:rsidRPr="00FE50A6">
        <w:rPr>
          <w:rFonts w:cs="Arial"/>
          <w:iCs/>
          <w:szCs w:val="20"/>
          <w:lang w:val="en-US"/>
        </w:rPr>
        <w:t xml:space="preserve">rgued, in general, that it did not have the obligation to provide compensation for non-pecuniary damage because the supposed human rights violations were committed by private individuals and not by the State. Thus, there was allegedly no causal </w:t>
      </w:r>
      <w:r w:rsidR="00033442" w:rsidRPr="00FE50A6">
        <w:rPr>
          <w:rFonts w:cs="Arial"/>
          <w:iCs/>
          <w:szCs w:val="20"/>
          <w:lang w:val="en-US"/>
        </w:rPr>
        <w:t>n</w:t>
      </w:r>
      <w:r w:rsidR="002C4EF6" w:rsidRPr="00FE50A6">
        <w:rPr>
          <w:rFonts w:cs="Arial"/>
          <w:iCs/>
          <w:szCs w:val="20"/>
          <w:lang w:val="en-US"/>
        </w:rPr>
        <w:t xml:space="preserve">exus between the alleged harm and the State’s conduct. It added that, in the </w:t>
      </w:r>
      <w:proofErr w:type="gramStart"/>
      <w:r w:rsidR="002C4EF6" w:rsidRPr="00FE50A6">
        <w:rPr>
          <w:rFonts w:cs="Arial"/>
          <w:iCs/>
          <w:szCs w:val="20"/>
          <w:lang w:val="en-US"/>
        </w:rPr>
        <w:t>case  of</w:t>
      </w:r>
      <w:proofErr w:type="gramEnd"/>
      <w:r w:rsidR="002C4EF6" w:rsidRPr="00FE50A6">
        <w:rPr>
          <w:rFonts w:cs="Arial"/>
          <w:iCs/>
          <w:szCs w:val="20"/>
          <w:lang w:val="en-US"/>
        </w:rPr>
        <w:t xml:space="preserve"> violations of </w:t>
      </w:r>
      <w:r w:rsidRPr="00FE50A6">
        <w:rPr>
          <w:rFonts w:cs="Arial"/>
          <w:iCs/>
          <w:szCs w:val="20"/>
          <w:lang w:val="en-US"/>
        </w:rPr>
        <w:t>Articles</w:t>
      </w:r>
      <w:r w:rsidR="004B0842" w:rsidRPr="00FE50A6">
        <w:rPr>
          <w:rFonts w:cs="Arial"/>
          <w:iCs/>
          <w:szCs w:val="20"/>
          <w:lang w:val="en-US"/>
        </w:rPr>
        <w:t xml:space="preserve"> 8</w:t>
      </w:r>
      <w:r w:rsidR="00030C17" w:rsidRPr="00FE50A6">
        <w:rPr>
          <w:rFonts w:cs="Arial"/>
          <w:iCs/>
          <w:szCs w:val="20"/>
          <w:lang w:val="en-US"/>
        </w:rPr>
        <w:t xml:space="preserve"> and </w:t>
      </w:r>
      <w:r w:rsidR="004B0842" w:rsidRPr="00FE50A6">
        <w:rPr>
          <w:rFonts w:cs="Arial"/>
          <w:iCs/>
          <w:szCs w:val="20"/>
          <w:lang w:val="en-US"/>
        </w:rPr>
        <w:t>25</w:t>
      </w:r>
      <w:r w:rsidRPr="00FE50A6">
        <w:rPr>
          <w:rFonts w:cs="Arial"/>
          <w:iCs/>
          <w:szCs w:val="20"/>
          <w:lang w:val="en-US"/>
        </w:rPr>
        <w:t xml:space="preserve"> of the American Convention</w:t>
      </w:r>
      <w:r w:rsidR="003A3C64" w:rsidRPr="00FE50A6">
        <w:rPr>
          <w:rFonts w:cs="Arial"/>
          <w:iCs/>
          <w:szCs w:val="20"/>
          <w:lang w:val="en-US"/>
        </w:rPr>
        <w:t>,</w:t>
      </w:r>
      <w:r w:rsidR="004B0842" w:rsidRPr="00FE50A6">
        <w:rPr>
          <w:rFonts w:cs="Arial"/>
          <w:iCs/>
          <w:szCs w:val="20"/>
          <w:lang w:val="en-US"/>
        </w:rPr>
        <w:t xml:space="preserve"> </w:t>
      </w:r>
      <w:r w:rsidR="002C4EF6" w:rsidRPr="00FE50A6">
        <w:rPr>
          <w:rFonts w:cs="Arial"/>
          <w:iCs/>
          <w:szCs w:val="20"/>
          <w:lang w:val="en-US"/>
        </w:rPr>
        <w:t>the eventual judgment was, in itself, sufficient reparation.</w:t>
      </w:r>
    </w:p>
    <w:p w14:paraId="72A3BEA4" w14:textId="77777777" w:rsidR="004B0842" w:rsidRPr="00FE50A6" w:rsidRDefault="004B0842" w:rsidP="004B0842">
      <w:pPr>
        <w:pStyle w:val="Prrafodelista"/>
        <w:autoSpaceDE w:val="0"/>
        <w:autoSpaceDN w:val="0"/>
        <w:adjustRightInd w:val="0"/>
        <w:rPr>
          <w:rFonts w:cs="Arial"/>
          <w:iCs/>
          <w:szCs w:val="20"/>
          <w:lang w:val="en-US"/>
        </w:rPr>
      </w:pPr>
    </w:p>
    <w:p w14:paraId="0ED581CF" w14:textId="77777777" w:rsidR="004B0842" w:rsidRPr="00FE50A6" w:rsidRDefault="00601268" w:rsidP="00601268">
      <w:pPr>
        <w:pStyle w:val="Prrafodelista"/>
        <w:numPr>
          <w:ilvl w:val="0"/>
          <w:numId w:val="1"/>
        </w:numPr>
        <w:autoSpaceDE w:val="0"/>
        <w:autoSpaceDN w:val="0"/>
        <w:adjustRightInd w:val="0"/>
        <w:rPr>
          <w:rFonts w:cs="Arial"/>
          <w:iCs/>
          <w:szCs w:val="20"/>
          <w:lang w:val="en-US"/>
        </w:rPr>
      </w:pPr>
      <w:r w:rsidRPr="00FE50A6">
        <w:rPr>
          <w:rFonts w:cs="Arial"/>
          <w:iCs/>
          <w:szCs w:val="20"/>
          <w:lang w:val="en-US"/>
        </w:rPr>
        <w:t>In its case law, t</w:t>
      </w:r>
      <w:r w:rsidR="000228D0" w:rsidRPr="00FE50A6">
        <w:rPr>
          <w:rFonts w:cs="Arial"/>
          <w:iCs/>
          <w:szCs w:val="20"/>
          <w:lang w:val="en-US"/>
        </w:rPr>
        <w:t>he Court</w:t>
      </w:r>
      <w:r w:rsidR="004B0842" w:rsidRPr="00FE50A6">
        <w:rPr>
          <w:rFonts w:cs="Arial"/>
          <w:iCs/>
          <w:szCs w:val="20"/>
          <w:lang w:val="en-US"/>
        </w:rPr>
        <w:t xml:space="preserve"> ha</w:t>
      </w:r>
      <w:r w:rsidRPr="00FE50A6">
        <w:rPr>
          <w:rFonts w:cs="Arial"/>
          <w:iCs/>
          <w:szCs w:val="20"/>
          <w:lang w:val="en-US"/>
        </w:rPr>
        <w:t>s developed the concept of non-pecuniary damage and has established that this “may include both the suffering and anguish caused by the violation, and also the impairment of values that are of great significance for the individual, and any change of a non-pecuniary nature in the living conditions of the victims.</w:t>
      </w:r>
      <w:r w:rsidR="009C48A4" w:rsidRPr="00FE50A6">
        <w:rPr>
          <w:rFonts w:cs="Arial"/>
          <w:iCs/>
          <w:szCs w:val="20"/>
          <w:lang w:val="en-US"/>
        </w:rPr>
        <w:t>”</w:t>
      </w:r>
      <w:r w:rsidR="004B0842" w:rsidRPr="00FE50A6">
        <w:rPr>
          <w:rFonts w:cs="Arial"/>
          <w:iCs/>
          <w:szCs w:val="20"/>
          <w:vertAlign w:val="superscript"/>
          <w:lang w:val="en-US"/>
        </w:rPr>
        <w:footnoteReference w:id="534"/>
      </w:r>
      <w:r w:rsidRPr="00FE50A6">
        <w:rPr>
          <w:rFonts w:cs="Arial"/>
          <w:iCs/>
          <w:szCs w:val="20"/>
          <w:lang w:val="en-US"/>
        </w:rPr>
        <w:t xml:space="preserve"> Since it is not possible to assign a precise monetary equivalent to non-pecuniary damage, it can only be compensated, for the purposes of comprehensive reparation to the victim, by the payment of a sum of money or the delivery o</w:t>
      </w:r>
      <w:r w:rsidR="001647A7" w:rsidRPr="00FE50A6">
        <w:rPr>
          <w:rFonts w:cs="Arial"/>
          <w:iCs/>
          <w:szCs w:val="20"/>
          <w:lang w:val="en-US"/>
        </w:rPr>
        <w:t>f</w:t>
      </w:r>
      <w:r w:rsidRPr="00FE50A6">
        <w:rPr>
          <w:rFonts w:cs="Arial"/>
          <w:iCs/>
          <w:szCs w:val="20"/>
          <w:lang w:val="en-US"/>
        </w:rPr>
        <w:t xml:space="preserve"> goods or service</w:t>
      </w:r>
      <w:r w:rsidR="001647A7" w:rsidRPr="00FE50A6">
        <w:rPr>
          <w:rFonts w:cs="Arial"/>
          <w:iCs/>
          <w:szCs w:val="20"/>
          <w:lang w:val="en-US"/>
        </w:rPr>
        <w:t>s</w:t>
      </w:r>
      <w:r w:rsidRPr="00FE50A6">
        <w:rPr>
          <w:rFonts w:cs="Arial"/>
          <w:iCs/>
          <w:szCs w:val="20"/>
          <w:lang w:val="en-US"/>
        </w:rPr>
        <w:t xml:space="preserve"> with a monetary value, that the Court determines in application of sound judicial criteria and in terms of equity.</w:t>
      </w:r>
      <w:r w:rsidR="004B0842" w:rsidRPr="00FE50A6">
        <w:rPr>
          <w:rFonts w:cs="Arial"/>
          <w:iCs/>
          <w:szCs w:val="20"/>
          <w:vertAlign w:val="superscript"/>
          <w:lang w:val="en-US"/>
        </w:rPr>
        <w:footnoteReference w:id="535"/>
      </w:r>
    </w:p>
    <w:p w14:paraId="2FE188CA" w14:textId="77777777" w:rsidR="004B0842" w:rsidRPr="00FE50A6" w:rsidRDefault="004B0842" w:rsidP="004B0842">
      <w:pPr>
        <w:pStyle w:val="Prrafodelista"/>
        <w:autoSpaceDE w:val="0"/>
        <w:autoSpaceDN w:val="0"/>
        <w:adjustRightInd w:val="0"/>
        <w:rPr>
          <w:rFonts w:cs="Arial"/>
          <w:iCs/>
          <w:szCs w:val="20"/>
          <w:lang w:val="en-US"/>
        </w:rPr>
      </w:pPr>
    </w:p>
    <w:p w14:paraId="7A4975C3" w14:textId="77777777" w:rsidR="004B0842" w:rsidRPr="00FE50A6" w:rsidRDefault="00601268"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In Chapters</w:t>
      </w:r>
      <w:r w:rsidR="004B0842" w:rsidRPr="00FE50A6">
        <w:rPr>
          <w:rFonts w:cs="Arial"/>
          <w:iCs/>
          <w:szCs w:val="20"/>
          <w:lang w:val="en-US"/>
        </w:rPr>
        <w:t xml:space="preserve"> </w:t>
      </w:r>
      <w:r w:rsidR="00753978" w:rsidRPr="00FE50A6">
        <w:rPr>
          <w:rFonts w:cs="Arial"/>
          <w:iCs/>
          <w:szCs w:val="20"/>
          <w:lang w:val="en-US"/>
        </w:rPr>
        <w:t>VIII-1</w:t>
      </w:r>
      <w:r w:rsidR="00030C17" w:rsidRPr="00FE50A6">
        <w:rPr>
          <w:rFonts w:cs="Arial"/>
          <w:iCs/>
          <w:szCs w:val="20"/>
          <w:lang w:val="en-US"/>
        </w:rPr>
        <w:t xml:space="preserve"> and </w:t>
      </w:r>
      <w:r w:rsidR="00753978" w:rsidRPr="00FE50A6">
        <w:rPr>
          <w:rFonts w:cs="Arial"/>
          <w:iCs/>
          <w:szCs w:val="20"/>
          <w:lang w:val="en-US"/>
        </w:rPr>
        <w:t>VIII-2</w:t>
      </w:r>
      <w:r w:rsidRPr="00FE50A6">
        <w:rPr>
          <w:rFonts w:cs="Arial"/>
          <w:iCs/>
          <w:szCs w:val="20"/>
          <w:lang w:val="en-US"/>
        </w:rPr>
        <w:t xml:space="preserve">, the Court declared </w:t>
      </w:r>
      <w:r w:rsidR="00700B79" w:rsidRPr="00FE50A6">
        <w:rPr>
          <w:rFonts w:cs="Arial"/>
          <w:iCs/>
          <w:szCs w:val="20"/>
          <w:lang w:val="en-US"/>
        </w:rPr>
        <w:t>the international responsibility</w:t>
      </w:r>
      <w:r w:rsidR="00703850" w:rsidRPr="00FE50A6">
        <w:rPr>
          <w:rFonts w:cs="Arial"/>
          <w:iCs/>
          <w:szCs w:val="20"/>
          <w:lang w:val="en-US"/>
        </w:rPr>
        <w:t xml:space="preserve"> of the </w:t>
      </w:r>
      <w:r w:rsidR="000228D0" w:rsidRPr="00FE50A6">
        <w:rPr>
          <w:rFonts w:cs="Arial"/>
          <w:iCs/>
          <w:szCs w:val="20"/>
          <w:lang w:val="en-US"/>
        </w:rPr>
        <w:t>State</w:t>
      </w:r>
      <w:r w:rsidR="004B0842" w:rsidRPr="00FE50A6">
        <w:rPr>
          <w:rFonts w:cs="Arial"/>
          <w:iCs/>
          <w:szCs w:val="20"/>
          <w:lang w:val="en-US"/>
        </w:rPr>
        <w:t xml:space="preserve"> </w:t>
      </w:r>
      <w:r w:rsidRPr="00FE50A6">
        <w:rPr>
          <w:rFonts w:cs="Arial"/>
          <w:iCs/>
          <w:szCs w:val="20"/>
          <w:lang w:val="en-US"/>
        </w:rPr>
        <w:t>f</w:t>
      </w:r>
      <w:r w:rsidR="004B0842" w:rsidRPr="00FE50A6">
        <w:rPr>
          <w:rFonts w:cs="Arial"/>
          <w:iCs/>
          <w:szCs w:val="20"/>
          <w:lang w:val="en-US"/>
        </w:rPr>
        <w:t xml:space="preserve">or </w:t>
      </w:r>
      <w:r w:rsidR="00351E20" w:rsidRPr="00FE50A6">
        <w:rPr>
          <w:rFonts w:cs="Arial"/>
          <w:iCs/>
          <w:szCs w:val="20"/>
          <w:lang w:val="en-US"/>
        </w:rPr>
        <w:t>the violation</w:t>
      </w:r>
      <w:r w:rsidR="004B0842" w:rsidRPr="00FE50A6">
        <w:rPr>
          <w:rFonts w:cs="Arial"/>
          <w:iCs/>
          <w:szCs w:val="20"/>
          <w:lang w:val="en-US"/>
        </w:rPr>
        <w:t xml:space="preserve"> </w:t>
      </w:r>
      <w:r w:rsidRPr="00FE50A6">
        <w:rPr>
          <w:rFonts w:cs="Arial"/>
          <w:iCs/>
          <w:szCs w:val="20"/>
          <w:lang w:val="en-US"/>
        </w:rPr>
        <w:t xml:space="preserve">of the rights </w:t>
      </w:r>
      <w:r w:rsidR="00BC6362" w:rsidRPr="00FE50A6">
        <w:rPr>
          <w:rFonts w:cs="Arial"/>
          <w:iCs/>
          <w:szCs w:val="20"/>
          <w:lang w:val="en-US"/>
        </w:rPr>
        <w:t>established in</w:t>
      </w:r>
      <w:r w:rsidR="004B0842" w:rsidRPr="00FE50A6">
        <w:rPr>
          <w:rFonts w:cs="Arial"/>
          <w:iCs/>
          <w:szCs w:val="20"/>
          <w:lang w:val="en-US"/>
        </w:rPr>
        <w:t xml:space="preserve"> </w:t>
      </w:r>
      <w:r w:rsidR="000228D0" w:rsidRPr="00FE50A6">
        <w:rPr>
          <w:rFonts w:cs="Arial"/>
          <w:iCs/>
          <w:szCs w:val="20"/>
          <w:lang w:val="en-US"/>
        </w:rPr>
        <w:t>Article</w:t>
      </w:r>
      <w:r w:rsidR="004B0842" w:rsidRPr="00FE50A6">
        <w:rPr>
          <w:rFonts w:cs="Arial"/>
          <w:iCs/>
          <w:szCs w:val="20"/>
          <w:lang w:val="en-US"/>
        </w:rPr>
        <w:t xml:space="preserve"> 6</w:t>
      </w:r>
      <w:r w:rsidR="000228D0" w:rsidRPr="00FE50A6">
        <w:rPr>
          <w:rFonts w:cs="Arial"/>
          <w:iCs/>
          <w:szCs w:val="20"/>
          <w:lang w:val="en-US"/>
        </w:rPr>
        <w:t xml:space="preserve"> of the American Convention</w:t>
      </w:r>
      <w:r w:rsidR="004B0842" w:rsidRPr="00FE50A6">
        <w:rPr>
          <w:rFonts w:cs="Arial"/>
          <w:iCs/>
          <w:szCs w:val="20"/>
          <w:lang w:val="en-US"/>
        </w:rPr>
        <w:t xml:space="preserve">, </w:t>
      </w:r>
      <w:r w:rsidR="000B587F" w:rsidRPr="00FE50A6">
        <w:rPr>
          <w:rFonts w:cs="Arial"/>
          <w:iCs/>
          <w:szCs w:val="20"/>
          <w:lang w:val="en-US"/>
        </w:rPr>
        <w:t>in relation to Articles 1(1)</w:t>
      </w:r>
      <w:r w:rsidR="004B0842" w:rsidRPr="00FE50A6">
        <w:rPr>
          <w:rFonts w:cs="Arial"/>
          <w:iCs/>
          <w:szCs w:val="20"/>
          <w:lang w:val="en-US"/>
        </w:rPr>
        <w:t>, 3, 5, 7, 11</w:t>
      </w:r>
      <w:r w:rsidR="00030C17" w:rsidRPr="00FE50A6">
        <w:rPr>
          <w:rFonts w:cs="Arial"/>
          <w:iCs/>
          <w:szCs w:val="20"/>
          <w:lang w:val="en-US"/>
        </w:rPr>
        <w:t xml:space="preserve"> and </w:t>
      </w:r>
      <w:r w:rsidR="004B0842" w:rsidRPr="00FE50A6">
        <w:rPr>
          <w:rFonts w:cs="Arial"/>
          <w:iCs/>
          <w:szCs w:val="20"/>
          <w:lang w:val="en-US"/>
        </w:rPr>
        <w:t>22</w:t>
      </w:r>
      <w:r w:rsidR="000228D0" w:rsidRPr="00FE50A6">
        <w:rPr>
          <w:rFonts w:cs="Arial"/>
          <w:iCs/>
          <w:szCs w:val="20"/>
          <w:lang w:val="en-US"/>
        </w:rPr>
        <w:t xml:space="preserve"> of the Convention</w:t>
      </w:r>
      <w:r w:rsidR="004B0842" w:rsidRPr="00FE50A6">
        <w:rPr>
          <w:rFonts w:cs="Arial"/>
          <w:iCs/>
          <w:szCs w:val="20"/>
          <w:lang w:val="en-US"/>
        </w:rPr>
        <w:t xml:space="preserve"> (</w:t>
      </w:r>
      <w:r w:rsidR="004B0842" w:rsidRPr="00FE50A6">
        <w:rPr>
          <w:rFonts w:cs="Arial"/>
          <w:i/>
          <w:iCs/>
          <w:szCs w:val="20"/>
          <w:lang w:val="en-US"/>
        </w:rPr>
        <w:t xml:space="preserve">supra </w:t>
      </w:r>
      <w:r w:rsidR="00700B79" w:rsidRPr="00FE50A6">
        <w:rPr>
          <w:rFonts w:cs="Arial"/>
          <w:iCs/>
          <w:szCs w:val="20"/>
          <w:lang w:val="en-US"/>
        </w:rPr>
        <w:t>para.</w:t>
      </w:r>
      <w:r w:rsidR="004B0842" w:rsidRPr="00FE50A6">
        <w:rPr>
          <w:rFonts w:cs="Arial"/>
          <w:iCs/>
          <w:szCs w:val="20"/>
          <w:lang w:val="en-US"/>
        </w:rPr>
        <w:t xml:space="preserve"> </w:t>
      </w:r>
      <w:r w:rsidR="003452E0" w:rsidRPr="00FE50A6">
        <w:rPr>
          <w:rFonts w:cs="Arial"/>
          <w:iCs/>
          <w:szCs w:val="20"/>
          <w:lang w:val="en-US"/>
        </w:rPr>
        <w:t>343</w:t>
      </w:r>
      <w:r w:rsidR="004B0842" w:rsidRPr="00FE50A6">
        <w:rPr>
          <w:rFonts w:cs="Arial"/>
          <w:iCs/>
          <w:szCs w:val="20"/>
          <w:lang w:val="en-US"/>
        </w:rPr>
        <w:t>), as</w:t>
      </w:r>
      <w:r w:rsidRPr="00FE50A6">
        <w:rPr>
          <w:rFonts w:cs="Arial"/>
          <w:iCs/>
          <w:szCs w:val="20"/>
          <w:lang w:val="en-US"/>
        </w:rPr>
        <w:t xml:space="preserve"> well as the rights </w:t>
      </w:r>
      <w:r w:rsidR="00BC6362" w:rsidRPr="00FE50A6">
        <w:rPr>
          <w:rFonts w:cs="Arial"/>
          <w:iCs/>
          <w:szCs w:val="20"/>
          <w:lang w:val="en-US"/>
        </w:rPr>
        <w:t>established in</w:t>
      </w:r>
      <w:r w:rsidR="004B0842" w:rsidRPr="00FE50A6">
        <w:rPr>
          <w:rFonts w:cs="Arial"/>
          <w:iCs/>
          <w:szCs w:val="20"/>
          <w:lang w:val="en-US"/>
        </w:rPr>
        <w:t xml:space="preserve"> </w:t>
      </w:r>
      <w:r w:rsidR="000228D0" w:rsidRPr="00FE50A6">
        <w:rPr>
          <w:rFonts w:cs="Arial"/>
          <w:iCs/>
          <w:szCs w:val="20"/>
          <w:lang w:val="en-US"/>
        </w:rPr>
        <w:t>Articles</w:t>
      </w:r>
      <w:r w:rsidR="004B0842" w:rsidRPr="00FE50A6">
        <w:rPr>
          <w:rFonts w:cs="Arial"/>
          <w:iCs/>
          <w:szCs w:val="20"/>
          <w:lang w:val="en-US"/>
        </w:rPr>
        <w:t xml:space="preserve"> 8</w:t>
      </w:r>
      <w:r w:rsidR="00030C17" w:rsidRPr="00FE50A6">
        <w:rPr>
          <w:rFonts w:cs="Arial"/>
          <w:iCs/>
          <w:szCs w:val="20"/>
          <w:lang w:val="en-US"/>
        </w:rPr>
        <w:t xml:space="preserve"> and </w:t>
      </w:r>
      <w:r w:rsidR="004B0842" w:rsidRPr="00FE50A6">
        <w:rPr>
          <w:rFonts w:cs="Arial"/>
          <w:iCs/>
          <w:szCs w:val="20"/>
          <w:lang w:val="en-US"/>
        </w:rPr>
        <w:t xml:space="preserve">25 </w:t>
      </w:r>
      <w:r w:rsidR="00D11A9F" w:rsidRPr="00FE50A6">
        <w:rPr>
          <w:rFonts w:cs="Arial"/>
          <w:iCs/>
          <w:szCs w:val="20"/>
          <w:lang w:val="en-US"/>
        </w:rPr>
        <w:t>of this instrument</w:t>
      </w:r>
      <w:r w:rsidR="004B0842" w:rsidRPr="00FE50A6">
        <w:rPr>
          <w:rFonts w:cs="Arial"/>
          <w:iCs/>
          <w:szCs w:val="20"/>
          <w:lang w:val="en-US"/>
        </w:rPr>
        <w:t xml:space="preserve"> (</w:t>
      </w:r>
      <w:r w:rsidR="004B0842" w:rsidRPr="00FE50A6">
        <w:rPr>
          <w:rFonts w:cs="Arial"/>
          <w:i/>
          <w:iCs/>
          <w:szCs w:val="20"/>
          <w:lang w:val="en-US"/>
        </w:rPr>
        <w:t xml:space="preserve">supra </w:t>
      </w:r>
      <w:r w:rsidR="00700B79" w:rsidRPr="00FE50A6">
        <w:rPr>
          <w:rFonts w:cs="Arial"/>
          <w:iCs/>
          <w:szCs w:val="20"/>
          <w:lang w:val="en-US"/>
        </w:rPr>
        <w:t>paras.</w:t>
      </w:r>
      <w:r w:rsidR="00A66BE0" w:rsidRPr="00FE50A6">
        <w:rPr>
          <w:rFonts w:cs="Arial"/>
          <w:iCs/>
          <w:szCs w:val="20"/>
          <w:lang w:val="en-US"/>
        </w:rPr>
        <w:t xml:space="preserve"> 36</w:t>
      </w:r>
      <w:r w:rsidR="007A3720" w:rsidRPr="00FE50A6">
        <w:rPr>
          <w:rFonts w:cs="Arial"/>
          <w:iCs/>
          <w:szCs w:val="20"/>
          <w:lang w:val="en-US"/>
        </w:rPr>
        <w:t>8</w:t>
      </w:r>
      <w:r w:rsidR="00A66BE0" w:rsidRPr="00FE50A6">
        <w:rPr>
          <w:rFonts w:cs="Arial"/>
          <w:iCs/>
          <w:szCs w:val="20"/>
          <w:lang w:val="en-US"/>
        </w:rPr>
        <w:t>, 38</w:t>
      </w:r>
      <w:r w:rsidR="007A3720" w:rsidRPr="00FE50A6">
        <w:rPr>
          <w:rFonts w:cs="Arial"/>
          <w:iCs/>
          <w:szCs w:val="20"/>
          <w:lang w:val="en-US"/>
        </w:rPr>
        <w:t>2</w:t>
      </w:r>
      <w:r w:rsidR="00030C17" w:rsidRPr="00FE50A6">
        <w:rPr>
          <w:rFonts w:cs="Arial"/>
          <w:iCs/>
          <w:szCs w:val="20"/>
          <w:lang w:val="en-US"/>
        </w:rPr>
        <w:t xml:space="preserve"> and </w:t>
      </w:r>
      <w:r w:rsidR="00A66BE0" w:rsidRPr="00FE50A6">
        <w:rPr>
          <w:rFonts w:cs="Arial"/>
          <w:iCs/>
          <w:szCs w:val="20"/>
          <w:lang w:val="en-US"/>
        </w:rPr>
        <w:t>42</w:t>
      </w:r>
      <w:r w:rsidR="007A3720" w:rsidRPr="00FE50A6">
        <w:rPr>
          <w:rFonts w:cs="Arial"/>
          <w:iCs/>
          <w:szCs w:val="20"/>
          <w:lang w:val="en-US"/>
        </w:rPr>
        <w:t>0</w:t>
      </w:r>
      <w:r w:rsidR="00A66BE0" w:rsidRPr="00FE50A6">
        <w:rPr>
          <w:rFonts w:cs="Arial"/>
          <w:iCs/>
          <w:szCs w:val="20"/>
          <w:lang w:val="en-US"/>
        </w:rPr>
        <w:t>),</w:t>
      </w:r>
      <w:r w:rsidR="00753978" w:rsidRPr="00FE50A6">
        <w:rPr>
          <w:rFonts w:cs="Arial"/>
          <w:iCs/>
          <w:szCs w:val="20"/>
          <w:lang w:val="en-US"/>
        </w:rPr>
        <w:t xml:space="preserve"> </w:t>
      </w:r>
      <w:r w:rsidR="000B587F" w:rsidRPr="00FE50A6">
        <w:rPr>
          <w:rFonts w:cs="Arial"/>
          <w:iCs/>
          <w:szCs w:val="20"/>
          <w:lang w:val="en-US"/>
        </w:rPr>
        <w:t>in relation to Articles 1(1)</w:t>
      </w:r>
      <w:r w:rsidR="00030C17" w:rsidRPr="00FE50A6">
        <w:rPr>
          <w:rFonts w:cs="Arial"/>
          <w:iCs/>
          <w:szCs w:val="20"/>
          <w:lang w:val="en-US"/>
        </w:rPr>
        <w:t xml:space="preserve"> and </w:t>
      </w:r>
      <w:r w:rsidR="00A66BE0" w:rsidRPr="00FE50A6">
        <w:rPr>
          <w:rFonts w:cs="Arial"/>
          <w:iCs/>
          <w:szCs w:val="20"/>
          <w:lang w:val="en-US"/>
        </w:rPr>
        <w:t>2</w:t>
      </w:r>
      <w:r w:rsidR="000228D0" w:rsidRPr="00FE50A6">
        <w:rPr>
          <w:rFonts w:cs="Arial"/>
          <w:iCs/>
          <w:szCs w:val="20"/>
          <w:lang w:val="en-US"/>
        </w:rPr>
        <w:t xml:space="preserve"> of the Convention</w:t>
      </w:r>
      <w:r w:rsidR="004B0842" w:rsidRPr="00FE50A6">
        <w:rPr>
          <w:rFonts w:cs="Arial"/>
          <w:iCs/>
          <w:szCs w:val="20"/>
          <w:lang w:val="en-US"/>
        </w:rPr>
        <w:t xml:space="preserve">. </w:t>
      </w:r>
      <w:r w:rsidRPr="00FE50A6">
        <w:rPr>
          <w:rFonts w:cs="Arial"/>
          <w:iCs/>
          <w:szCs w:val="20"/>
          <w:lang w:val="en-US"/>
        </w:rPr>
        <w:t xml:space="preserve">On the basis of the foregoing and on the different violations determined in this judgment with regard to different groups of workers based on facts and violations of a different nature, this Court establishes, in equity, the sum of </w:t>
      </w:r>
      <w:r w:rsidR="00D53175" w:rsidRPr="00FE50A6">
        <w:rPr>
          <w:rFonts w:cs="Arial"/>
          <w:iCs/>
          <w:szCs w:val="20"/>
          <w:lang w:val="en-US"/>
        </w:rPr>
        <w:t>US$30</w:t>
      </w:r>
      <w:r w:rsidRPr="00FE50A6">
        <w:rPr>
          <w:rFonts w:cs="Arial"/>
          <w:iCs/>
          <w:szCs w:val="20"/>
          <w:lang w:val="en-US"/>
        </w:rPr>
        <w:t>,</w:t>
      </w:r>
      <w:r w:rsidR="004B0842" w:rsidRPr="00FE50A6">
        <w:rPr>
          <w:rFonts w:cs="Arial"/>
          <w:iCs/>
          <w:szCs w:val="20"/>
          <w:lang w:val="en-US"/>
        </w:rPr>
        <w:t>000</w:t>
      </w:r>
      <w:r w:rsidR="008D6C50" w:rsidRPr="00FE50A6">
        <w:rPr>
          <w:rFonts w:cs="Arial"/>
          <w:iCs/>
          <w:szCs w:val="20"/>
          <w:lang w:val="en-US"/>
        </w:rPr>
        <w:t>.</w:t>
      </w:r>
      <w:r w:rsidR="004B0842" w:rsidRPr="00FE50A6">
        <w:rPr>
          <w:rFonts w:cs="Arial"/>
          <w:iCs/>
          <w:szCs w:val="20"/>
          <w:lang w:val="en-US"/>
        </w:rPr>
        <w:t>00 (</w:t>
      </w:r>
      <w:r w:rsidRPr="00FE50A6">
        <w:rPr>
          <w:rFonts w:cs="Arial"/>
          <w:iCs/>
          <w:szCs w:val="20"/>
          <w:lang w:val="en-US"/>
        </w:rPr>
        <w:t>thirty</w:t>
      </w:r>
      <w:r w:rsidR="004B0842" w:rsidRPr="00FE50A6">
        <w:rPr>
          <w:rFonts w:cs="Arial"/>
          <w:iCs/>
          <w:szCs w:val="20"/>
          <w:lang w:val="en-US"/>
        </w:rPr>
        <w:t xml:space="preserve"> </w:t>
      </w:r>
      <w:r w:rsidRPr="00FE50A6">
        <w:rPr>
          <w:rFonts w:cs="Arial"/>
          <w:iCs/>
          <w:szCs w:val="20"/>
          <w:lang w:val="en-US"/>
        </w:rPr>
        <w:t>thousand United States dollars</w:t>
      </w:r>
      <w:r w:rsidR="004B0842" w:rsidRPr="00FE50A6">
        <w:rPr>
          <w:rFonts w:cs="Arial"/>
          <w:iCs/>
          <w:szCs w:val="20"/>
          <w:lang w:val="en-US"/>
        </w:rPr>
        <w:t xml:space="preserve">) </w:t>
      </w:r>
      <w:r w:rsidRPr="00FE50A6">
        <w:rPr>
          <w:rFonts w:cs="Arial"/>
          <w:iCs/>
          <w:szCs w:val="20"/>
          <w:lang w:val="en-US"/>
        </w:rPr>
        <w:t xml:space="preserve">for each of the </w:t>
      </w:r>
      <w:r w:rsidR="004B0842" w:rsidRPr="00FE50A6">
        <w:rPr>
          <w:rFonts w:cs="Arial"/>
          <w:iCs/>
          <w:szCs w:val="20"/>
          <w:lang w:val="en-US"/>
        </w:rPr>
        <w:t xml:space="preserve">43 </w:t>
      </w:r>
      <w:r w:rsidR="00030C17" w:rsidRPr="00FE50A6">
        <w:rPr>
          <w:rFonts w:cs="Arial"/>
          <w:iCs/>
          <w:szCs w:val="20"/>
          <w:lang w:val="en-US"/>
        </w:rPr>
        <w:t xml:space="preserve">Hacienda </w:t>
      </w:r>
      <w:r w:rsidR="00322241" w:rsidRPr="00FE50A6">
        <w:rPr>
          <w:rFonts w:cs="Arial"/>
          <w:iCs/>
          <w:szCs w:val="20"/>
          <w:lang w:val="en-US"/>
        </w:rPr>
        <w:t>Brasil Verde</w:t>
      </w:r>
      <w:r w:rsidR="00030C17" w:rsidRPr="00FE50A6">
        <w:rPr>
          <w:rFonts w:cs="Arial"/>
          <w:iCs/>
          <w:szCs w:val="20"/>
          <w:lang w:val="en-US"/>
        </w:rPr>
        <w:t xml:space="preserve"> </w:t>
      </w:r>
      <w:r w:rsidRPr="00FE50A6">
        <w:rPr>
          <w:rFonts w:cs="Arial"/>
          <w:iCs/>
          <w:szCs w:val="20"/>
          <w:lang w:val="en-US"/>
        </w:rPr>
        <w:t>w</w:t>
      </w:r>
      <w:r w:rsidR="00030C17" w:rsidRPr="00FE50A6">
        <w:rPr>
          <w:rFonts w:cs="Arial"/>
          <w:iCs/>
          <w:szCs w:val="20"/>
          <w:lang w:val="en-US"/>
        </w:rPr>
        <w:t>orkers</w:t>
      </w:r>
      <w:r w:rsidR="004B0842" w:rsidRPr="00FE50A6">
        <w:rPr>
          <w:rFonts w:cs="Arial"/>
          <w:iCs/>
          <w:szCs w:val="20"/>
          <w:lang w:val="en-US"/>
        </w:rPr>
        <w:t xml:space="preserve"> </w:t>
      </w:r>
      <w:r w:rsidRPr="00FE50A6">
        <w:rPr>
          <w:rFonts w:cs="Arial"/>
          <w:iCs/>
          <w:szCs w:val="20"/>
          <w:lang w:val="en-US"/>
        </w:rPr>
        <w:t xml:space="preserve">found during the </w:t>
      </w:r>
      <w:r w:rsidR="00351E20" w:rsidRPr="00FE50A6">
        <w:rPr>
          <w:rFonts w:cs="Arial"/>
          <w:iCs/>
          <w:szCs w:val="20"/>
          <w:lang w:val="en-US"/>
        </w:rPr>
        <w:t>April 23,</w:t>
      </w:r>
      <w:r w:rsidR="004B0842" w:rsidRPr="00FE50A6">
        <w:rPr>
          <w:rFonts w:cs="Arial"/>
          <w:iCs/>
          <w:szCs w:val="20"/>
          <w:lang w:val="en-US"/>
        </w:rPr>
        <w:t xml:space="preserve"> 1997</w:t>
      </w:r>
      <w:r w:rsidRPr="00FE50A6">
        <w:rPr>
          <w:rFonts w:cs="Arial"/>
          <w:iCs/>
          <w:szCs w:val="20"/>
          <w:lang w:val="en-US"/>
        </w:rPr>
        <w:t xml:space="preserve">, inspection and who have been identified by the Court in this </w:t>
      </w:r>
      <w:r w:rsidR="001647A7" w:rsidRPr="00FE50A6">
        <w:rPr>
          <w:rFonts w:cs="Arial"/>
          <w:iCs/>
          <w:szCs w:val="20"/>
          <w:lang w:val="en-US"/>
        </w:rPr>
        <w:t>judgment</w:t>
      </w:r>
      <w:r w:rsidRPr="00FE50A6">
        <w:rPr>
          <w:rFonts w:cs="Arial"/>
          <w:iCs/>
          <w:szCs w:val="20"/>
          <w:lang w:val="en-US"/>
        </w:rPr>
        <w:t xml:space="preserve"> </w:t>
      </w:r>
      <w:r w:rsidR="004B0842" w:rsidRPr="00FE50A6">
        <w:rPr>
          <w:rFonts w:cs="Arial"/>
          <w:iCs/>
          <w:szCs w:val="20"/>
          <w:lang w:val="en-US"/>
        </w:rPr>
        <w:t>(</w:t>
      </w:r>
      <w:r w:rsidR="004B0842" w:rsidRPr="00FE50A6">
        <w:rPr>
          <w:rFonts w:cs="Arial"/>
          <w:i/>
          <w:iCs/>
          <w:szCs w:val="20"/>
          <w:lang w:val="en-US"/>
        </w:rPr>
        <w:t>supra</w:t>
      </w:r>
      <w:r w:rsidR="004B0842" w:rsidRPr="00FE50A6">
        <w:rPr>
          <w:rFonts w:cs="Arial"/>
          <w:iCs/>
          <w:szCs w:val="20"/>
          <w:lang w:val="en-US"/>
        </w:rPr>
        <w:t xml:space="preserve"> </w:t>
      </w:r>
      <w:r w:rsidR="00700B79" w:rsidRPr="00FE50A6">
        <w:rPr>
          <w:rFonts w:cs="Arial"/>
          <w:iCs/>
          <w:szCs w:val="20"/>
          <w:lang w:val="en-US"/>
        </w:rPr>
        <w:t>para.</w:t>
      </w:r>
      <w:r w:rsidR="004B0842" w:rsidRPr="00FE50A6">
        <w:rPr>
          <w:rFonts w:cs="Arial"/>
          <w:iCs/>
          <w:szCs w:val="20"/>
          <w:lang w:val="en-US"/>
        </w:rPr>
        <w:t xml:space="preserve"> </w:t>
      </w:r>
      <w:r w:rsidR="00627AAF" w:rsidRPr="00FE50A6">
        <w:rPr>
          <w:rFonts w:cs="Arial"/>
          <w:iCs/>
          <w:szCs w:val="20"/>
          <w:lang w:val="en-US"/>
        </w:rPr>
        <w:t>199</w:t>
      </w:r>
      <w:r w:rsidR="004B0842" w:rsidRPr="00FE50A6">
        <w:rPr>
          <w:rFonts w:cs="Arial"/>
          <w:iCs/>
          <w:szCs w:val="20"/>
          <w:lang w:val="en-US"/>
        </w:rPr>
        <w:t>),</w:t>
      </w:r>
      <w:r w:rsidR="00030C17" w:rsidRPr="00FE50A6">
        <w:rPr>
          <w:rFonts w:cs="Arial"/>
          <w:iCs/>
          <w:szCs w:val="20"/>
          <w:lang w:val="en-US"/>
        </w:rPr>
        <w:t xml:space="preserve"> </w:t>
      </w:r>
      <w:r w:rsidRPr="00FE50A6">
        <w:rPr>
          <w:rFonts w:cs="Arial"/>
          <w:iCs/>
          <w:szCs w:val="20"/>
          <w:lang w:val="en-US"/>
        </w:rPr>
        <w:t>and the sum of</w:t>
      </w:r>
      <w:r w:rsidR="004B0842" w:rsidRPr="00FE50A6">
        <w:rPr>
          <w:rFonts w:cs="Arial"/>
          <w:iCs/>
          <w:szCs w:val="20"/>
          <w:lang w:val="en-US"/>
        </w:rPr>
        <w:t xml:space="preserve"> US$40</w:t>
      </w:r>
      <w:r w:rsidRPr="00FE50A6">
        <w:rPr>
          <w:rFonts w:cs="Arial"/>
          <w:iCs/>
          <w:szCs w:val="20"/>
          <w:lang w:val="en-US"/>
        </w:rPr>
        <w:t>,</w:t>
      </w:r>
      <w:r w:rsidR="004B0842" w:rsidRPr="00FE50A6">
        <w:rPr>
          <w:rFonts w:cs="Arial"/>
          <w:iCs/>
          <w:szCs w:val="20"/>
          <w:lang w:val="en-US"/>
        </w:rPr>
        <w:t>000</w:t>
      </w:r>
      <w:r w:rsidR="008D6C50" w:rsidRPr="00FE50A6">
        <w:rPr>
          <w:rFonts w:cs="Arial"/>
          <w:iCs/>
          <w:szCs w:val="20"/>
          <w:lang w:val="en-US"/>
        </w:rPr>
        <w:t>.</w:t>
      </w:r>
      <w:r w:rsidR="004B0842" w:rsidRPr="00FE50A6">
        <w:rPr>
          <w:rFonts w:cs="Arial"/>
          <w:iCs/>
          <w:szCs w:val="20"/>
          <w:lang w:val="en-US"/>
        </w:rPr>
        <w:t>00 (</w:t>
      </w:r>
      <w:r w:rsidRPr="00FE50A6">
        <w:rPr>
          <w:rFonts w:cs="Arial"/>
          <w:iCs/>
          <w:szCs w:val="20"/>
          <w:lang w:val="en-US"/>
        </w:rPr>
        <w:t>forty</w:t>
      </w:r>
      <w:r w:rsidR="004B0842" w:rsidRPr="00FE50A6">
        <w:rPr>
          <w:rFonts w:cs="Arial"/>
          <w:iCs/>
          <w:szCs w:val="20"/>
          <w:lang w:val="en-US"/>
        </w:rPr>
        <w:t xml:space="preserve"> </w:t>
      </w:r>
      <w:r w:rsidRPr="00FE50A6">
        <w:rPr>
          <w:rFonts w:cs="Arial"/>
          <w:iCs/>
          <w:szCs w:val="20"/>
          <w:lang w:val="en-US"/>
        </w:rPr>
        <w:t>thousand United States dollars</w:t>
      </w:r>
      <w:r w:rsidR="004B0842" w:rsidRPr="00FE50A6">
        <w:rPr>
          <w:rFonts w:cs="Arial"/>
          <w:iCs/>
          <w:szCs w:val="20"/>
          <w:lang w:val="en-US"/>
        </w:rPr>
        <w:t xml:space="preserve">) </w:t>
      </w:r>
      <w:r w:rsidR="008D6C50" w:rsidRPr="00FE50A6">
        <w:rPr>
          <w:rFonts w:cs="Arial"/>
          <w:iCs/>
          <w:szCs w:val="20"/>
          <w:lang w:val="en-US"/>
        </w:rPr>
        <w:t>for each of the</w:t>
      </w:r>
      <w:r w:rsidR="004B0842" w:rsidRPr="00FE50A6">
        <w:rPr>
          <w:rFonts w:cs="Arial"/>
          <w:iCs/>
          <w:szCs w:val="20"/>
          <w:lang w:val="en-US"/>
        </w:rPr>
        <w:t xml:space="preserve"> 85 </w:t>
      </w:r>
      <w:r w:rsidR="00030C17" w:rsidRPr="00FE50A6">
        <w:rPr>
          <w:rFonts w:cs="Arial"/>
          <w:iCs/>
          <w:szCs w:val="20"/>
          <w:lang w:val="en-US"/>
        </w:rPr>
        <w:t xml:space="preserve">Hacienda </w:t>
      </w:r>
      <w:r w:rsidR="00322241" w:rsidRPr="00FE50A6">
        <w:rPr>
          <w:rFonts w:cs="Arial"/>
          <w:iCs/>
          <w:szCs w:val="20"/>
          <w:lang w:val="en-US"/>
        </w:rPr>
        <w:t>Brasil Verde</w:t>
      </w:r>
      <w:r w:rsidR="00030C17" w:rsidRPr="00FE50A6">
        <w:rPr>
          <w:rFonts w:cs="Arial"/>
          <w:iCs/>
          <w:szCs w:val="20"/>
          <w:lang w:val="en-US"/>
        </w:rPr>
        <w:t xml:space="preserve"> </w:t>
      </w:r>
      <w:r w:rsidR="008D6C50" w:rsidRPr="00FE50A6">
        <w:rPr>
          <w:rFonts w:cs="Arial"/>
          <w:iCs/>
          <w:szCs w:val="20"/>
          <w:lang w:val="en-US"/>
        </w:rPr>
        <w:t>w</w:t>
      </w:r>
      <w:r w:rsidR="00030C17" w:rsidRPr="00FE50A6">
        <w:rPr>
          <w:rFonts w:cs="Arial"/>
          <w:iCs/>
          <w:szCs w:val="20"/>
          <w:lang w:val="en-US"/>
        </w:rPr>
        <w:t>orkers</w:t>
      </w:r>
      <w:r w:rsidR="004B0842" w:rsidRPr="00FE50A6">
        <w:rPr>
          <w:rFonts w:cs="Arial"/>
          <w:iCs/>
          <w:szCs w:val="20"/>
          <w:lang w:val="en-US"/>
        </w:rPr>
        <w:t xml:space="preserve"> </w:t>
      </w:r>
      <w:r w:rsidR="008D6C50" w:rsidRPr="00FE50A6">
        <w:rPr>
          <w:rFonts w:cs="Arial"/>
          <w:iCs/>
          <w:szCs w:val="20"/>
          <w:lang w:val="en-US"/>
        </w:rPr>
        <w:t>found during the</w:t>
      </w:r>
      <w:r w:rsidR="004B0842" w:rsidRPr="00FE50A6">
        <w:rPr>
          <w:rFonts w:cs="Arial"/>
          <w:iCs/>
          <w:szCs w:val="20"/>
          <w:lang w:val="en-US"/>
        </w:rPr>
        <w:t xml:space="preserve"> </w:t>
      </w:r>
      <w:r w:rsidR="00A67F6B" w:rsidRPr="00FE50A6">
        <w:rPr>
          <w:rFonts w:cs="Arial"/>
          <w:iCs/>
          <w:szCs w:val="20"/>
          <w:lang w:val="en-US"/>
        </w:rPr>
        <w:t>March 15,</w:t>
      </w:r>
      <w:r w:rsidR="004B0842" w:rsidRPr="00FE50A6">
        <w:rPr>
          <w:rFonts w:cs="Arial"/>
          <w:iCs/>
          <w:szCs w:val="20"/>
          <w:lang w:val="en-US"/>
        </w:rPr>
        <w:t xml:space="preserve"> 2000</w:t>
      </w:r>
      <w:r w:rsidR="008D6C50" w:rsidRPr="00FE50A6">
        <w:rPr>
          <w:rFonts w:cs="Arial"/>
          <w:iCs/>
          <w:szCs w:val="20"/>
          <w:lang w:val="en-US"/>
        </w:rPr>
        <w:t xml:space="preserve">, inspection and who have been identified by the Court in this </w:t>
      </w:r>
      <w:r w:rsidR="001647A7" w:rsidRPr="00FE50A6">
        <w:rPr>
          <w:rFonts w:cs="Arial"/>
          <w:iCs/>
          <w:szCs w:val="20"/>
          <w:lang w:val="en-US"/>
        </w:rPr>
        <w:t>judgment</w:t>
      </w:r>
      <w:r w:rsidR="004B0842" w:rsidRPr="00FE50A6">
        <w:rPr>
          <w:rFonts w:cs="Arial"/>
          <w:iCs/>
          <w:szCs w:val="20"/>
          <w:lang w:val="en-US"/>
        </w:rPr>
        <w:t xml:space="preserve"> (</w:t>
      </w:r>
      <w:r w:rsidR="004B0842" w:rsidRPr="00FE50A6">
        <w:rPr>
          <w:rFonts w:cs="Arial"/>
          <w:i/>
          <w:iCs/>
          <w:szCs w:val="20"/>
          <w:lang w:val="en-US"/>
        </w:rPr>
        <w:t>supra</w:t>
      </w:r>
      <w:r w:rsidR="004B0842" w:rsidRPr="00FE50A6">
        <w:rPr>
          <w:rFonts w:cs="Arial"/>
          <w:iCs/>
          <w:szCs w:val="20"/>
          <w:lang w:val="en-US"/>
        </w:rPr>
        <w:t xml:space="preserve"> </w:t>
      </w:r>
      <w:r w:rsidR="00700B79" w:rsidRPr="00FE50A6">
        <w:rPr>
          <w:rFonts w:cs="Arial"/>
          <w:iCs/>
          <w:szCs w:val="20"/>
          <w:lang w:val="en-US"/>
        </w:rPr>
        <w:t>para.</w:t>
      </w:r>
      <w:r w:rsidR="004B0842" w:rsidRPr="00FE50A6">
        <w:rPr>
          <w:rFonts w:cs="Arial"/>
          <w:iCs/>
          <w:szCs w:val="20"/>
          <w:lang w:val="en-US"/>
        </w:rPr>
        <w:t xml:space="preserve"> </w:t>
      </w:r>
      <w:r w:rsidR="00627AAF" w:rsidRPr="00FE50A6">
        <w:rPr>
          <w:rFonts w:cs="Arial"/>
          <w:iCs/>
          <w:szCs w:val="20"/>
          <w:lang w:val="en-US"/>
        </w:rPr>
        <w:t>206</w:t>
      </w:r>
      <w:r w:rsidR="004B0842" w:rsidRPr="00FE50A6">
        <w:rPr>
          <w:rFonts w:cs="Arial"/>
          <w:iCs/>
          <w:szCs w:val="20"/>
          <w:lang w:val="en-US"/>
        </w:rPr>
        <w:t xml:space="preserve">). </w:t>
      </w:r>
    </w:p>
    <w:p w14:paraId="6F37A582" w14:textId="77777777" w:rsidR="004B0842" w:rsidRPr="00FE50A6" w:rsidRDefault="004B0842" w:rsidP="004B0842">
      <w:pPr>
        <w:pStyle w:val="Prrafodelista"/>
        <w:autoSpaceDE w:val="0"/>
        <w:autoSpaceDN w:val="0"/>
        <w:adjustRightInd w:val="0"/>
        <w:ind w:left="0"/>
        <w:contextualSpacing w:val="0"/>
        <w:rPr>
          <w:rFonts w:cs="Arial"/>
          <w:iCs/>
          <w:szCs w:val="20"/>
          <w:lang w:val="en-US"/>
        </w:rPr>
      </w:pPr>
    </w:p>
    <w:p w14:paraId="44D56D2E"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consider</w:t>
      </w:r>
      <w:r w:rsidR="008D6C50" w:rsidRPr="00FE50A6">
        <w:rPr>
          <w:rFonts w:cs="Arial"/>
          <w:iCs/>
          <w:szCs w:val="20"/>
          <w:lang w:val="en-US"/>
        </w:rPr>
        <w:t xml:space="preserve">s that the amounts determined, in equity, for payment of non-pecuniary damage to each of the </w:t>
      </w:r>
      <w:r w:rsidR="00030C17" w:rsidRPr="00FE50A6">
        <w:rPr>
          <w:rFonts w:cs="Arial"/>
          <w:iCs/>
          <w:szCs w:val="20"/>
          <w:lang w:val="en-US"/>
        </w:rPr>
        <w:t xml:space="preserve">Hacienda </w:t>
      </w:r>
      <w:r w:rsidR="00322241" w:rsidRPr="00FE50A6">
        <w:rPr>
          <w:rFonts w:cs="Arial"/>
          <w:iCs/>
          <w:szCs w:val="20"/>
          <w:lang w:val="en-US"/>
        </w:rPr>
        <w:t>Brasil Verde</w:t>
      </w:r>
      <w:r w:rsidR="00030C17" w:rsidRPr="00FE50A6">
        <w:rPr>
          <w:rFonts w:cs="Arial"/>
          <w:iCs/>
          <w:szCs w:val="20"/>
          <w:lang w:val="en-US"/>
        </w:rPr>
        <w:t xml:space="preserve"> </w:t>
      </w:r>
      <w:r w:rsidR="008D6C50" w:rsidRPr="00FE50A6">
        <w:rPr>
          <w:rFonts w:cs="Arial"/>
          <w:iCs/>
          <w:szCs w:val="20"/>
          <w:lang w:val="en-US"/>
        </w:rPr>
        <w:t>w</w:t>
      </w:r>
      <w:r w:rsidR="00030C17" w:rsidRPr="00FE50A6">
        <w:rPr>
          <w:rFonts w:cs="Arial"/>
          <w:iCs/>
          <w:szCs w:val="20"/>
          <w:lang w:val="en-US"/>
        </w:rPr>
        <w:t>orkers</w:t>
      </w:r>
      <w:r w:rsidR="004B0842" w:rsidRPr="00FE50A6">
        <w:rPr>
          <w:rFonts w:cs="Arial"/>
          <w:iCs/>
          <w:szCs w:val="20"/>
          <w:lang w:val="en-US"/>
        </w:rPr>
        <w:t xml:space="preserve"> </w:t>
      </w:r>
      <w:r w:rsidR="008D6C50" w:rsidRPr="00FE50A6">
        <w:rPr>
          <w:rFonts w:cs="Arial"/>
          <w:iCs/>
          <w:szCs w:val="20"/>
          <w:lang w:val="en-US"/>
        </w:rPr>
        <w:t xml:space="preserve">found during the </w:t>
      </w:r>
      <w:r w:rsidR="004B0842" w:rsidRPr="00FE50A6">
        <w:rPr>
          <w:rFonts w:cs="Arial"/>
          <w:iCs/>
          <w:szCs w:val="20"/>
          <w:lang w:val="en-US"/>
        </w:rPr>
        <w:t>1997</w:t>
      </w:r>
      <w:r w:rsidR="00030C17" w:rsidRPr="00FE50A6">
        <w:rPr>
          <w:rFonts w:cs="Arial"/>
          <w:iCs/>
          <w:szCs w:val="20"/>
          <w:lang w:val="en-US"/>
        </w:rPr>
        <w:t xml:space="preserve"> and </w:t>
      </w:r>
      <w:r w:rsidR="004B0842" w:rsidRPr="00FE50A6">
        <w:rPr>
          <w:rFonts w:cs="Arial"/>
          <w:iCs/>
          <w:szCs w:val="20"/>
          <w:lang w:val="en-US"/>
        </w:rPr>
        <w:t>2000</w:t>
      </w:r>
      <w:r w:rsidR="008D6C50" w:rsidRPr="00FE50A6">
        <w:rPr>
          <w:rFonts w:cs="Arial"/>
          <w:iCs/>
          <w:szCs w:val="20"/>
          <w:lang w:val="en-US"/>
        </w:rPr>
        <w:t xml:space="preserve"> inspections</w:t>
      </w:r>
      <w:r w:rsidR="004B0842" w:rsidRPr="00FE50A6">
        <w:rPr>
          <w:rFonts w:cs="Arial"/>
          <w:iCs/>
          <w:szCs w:val="20"/>
          <w:lang w:val="en-US"/>
        </w:rPr>
        <w:t xml:space="preserve"> compensa</w:t>
      </w:r>
      <w:r w:rsidR="008D6C50" w:rsidRPr="00FE50A6">
        <w:rPr>
          <w:rFonts w:cs="Arial"/>
          <w:iCs/>
          <w:szCs w:val="20"/>
          <w:lang w:val="en-US"/>
        </w:rPr>
        <w:t xml:space="preserve">te and form part of the comprehensive reparation </w:t>
      </w:r>
      <w:r w:rsidR="009C7A59" w:rsidRPr="00FE50A6">
        <w:rPr>
          <w:rFonts w:cs="Arial"/>
          <w:iCs/>
          <w:szCs w:val="20"/>
          <w:lang w:val="en-US"/>
        </w:rPr>
        <w:t>for</w:t>
      </w:r>
      <w:r w:rsidR="008D6C50" w:rsidRPr="00FE50A6">
        <w:rPr>
          <w:rFonts w:cs="Arial"/>
          <w:iCs/>
          <w:szCs w:val="20"/>
          <w:lang w:val="en-US"/>
        </w:rPr>
        <w:t xml:space="preserve"> the victims, taking into </w:t>
      </w:r>
      <w:r w:rsidR="009C7A59" w:rsidRPr="00FE50A6">
        <w:rPr>
          <w:rFonts w:cs="Arial"/>
          <w:iCs/>
          <w:szCs w:val="20"/>
          <w:lang w:val="en-US"/>
        </w:rPr>
        <w:t>account</w:t>
      </w:r>
      <w:r w:rsidR="008D6C50" w:rsidRPr="00FE50A6">
        <w:rPr>
          <w:rFonts w:cs="Arial"/>
          <w:iCs/>
          <w:szCs w:val="20"/>
          <w:lang w:val="en-US"/>
        </w:rPr>
        <w:t xml:space="preserve"> the suffering and anguish they endured in their situation of a condition similar to </w:t>
      </w:r>
      <w:r w:rsidR="009C7A59" w:rsidRPr="00FE50A6">
        <w:rPr>
          <w:rFonts w:cs="Arial"/>
          <w:iCs/>
          <w:szCs w:val="20"/>
          <w:lang w:val="en-US"/>
        </w:rPr>
        <w:t>slavery</w:t>
      </w:r>
      <w:r w:rsidR="008D6C50" w:rsidRPr="00FE50A6">
        <w:rPr>
          <w:rFonts w:cs="Arial"/>
          <w:iCs/>
          <w:szCs w:val="20"/>
          <w:lang w:val="en-US"/>
        </w:rPr>
        <w:t xml:space="preserve">. </w:t>
      </w:r>
      <w:r w:rsidR="009C7A59" w:rsidRPr="00FE50A6">
        <w:rPr>
          <w:rFonts w:cs="Arial"/>
          <w:iCs/>
          <w:szCs w:val="20"/>
          <w:lang w:val="en-US"/>
        </w:rPr>
        <w:t>Additionally</w:t>
      </w:r>
      <w:r w:rsidR="008D6C50" w:rsidRPr="00FE50A6">
        <w:rPr>
          <w:rFonts w:cs="Arial"/>
          <w:iCs/>
          <w:szCs w:val="20"/>
          <w:lang w:val="en-US"/>
        </w:rPr>
        <w:t xml:space="preserve">, although </w:t>
      </w:r>
      <w:r w:rsidR="009C7A59" w:rsidRPr="00FE50A6">
        <w:rPr>
          <w:rFonts w:cs="Arial"/>
          <w:iCs/>
          <w:szCs w:val="20"/>
          <w:lang w:val="en-US"/>
        </w:rPr>
        <w:t>determination of</w:t>
      </w:r>
      <w:r w:rsidR="008D6C50" w:rsidRPr="00FE50A6">
        <w:rPr>
          <w:rFonts w:cs="Arial"/>
          <w:iCs/>
          <w:szCs w:val="20"/>
          <w:lang w:val="en-US"/>
        </w:rPr>
        <w:t xml:space="preserve"> the financial amount corresponds to the </w:t>
      </w:r>
      <w:r w:rsidR="009C7A59" w:rsidRPr="00FE50A6">
        <w:rPr>
          <w:rFonts w:cs="Arial"/>
          <w:iCs/>
          <w:szCs w:val="20"/>
          <w:lang w:val="en-US"/>
        </w:rPr>
        <w:t>sphere of judicial discretion</w:t>
      </w:r>
      <w:r w:rsidR="008D6C50" w:rsidRPr="00FE50A6">
        <w:rPr>
          <w:rFonts w:cs="Arial"/>
          <w:iCs/>
          <w:szCs w:val="20"/>
          <w:lang w:val="en-US"/>
        </w:rPr>
        <w:t xml:space="preserve">, in this case it is the </w:t>
      </w:r>
      <w:r w:rsidR="009C7A59" w:rsidRPr="00FE50A6">
        <w:rPr>
          <w:rFonts w:cs="Arial"/>
          <w:iCs/>
          <w:szCs w:val="20"/>
          <w:lang w:val="en-US"/>
        </w:rPr>
        <w:t>closest</w:t>
      </w:r>
      <w:r w:rsidR="008D6C50" w:rsidRPr="00FE50A6">
        <w:rPr>
          <w:rFonts w:cs="Arial"/>
          <w:iCs/>
          <w:szCs w:val="20"/>
          <w:lang w:val="en-US"/>
        </w:rPr>
        <w:t xml:space="preserve"> to the sum requested by </w:t>
      </w:r>
      <w:r w:rsidR="00700B79" w:rsidRPr="00FE50A6">
        <w:rPr>
          <w:rFonts w:cs="Arial"/>
          <w:iCs/>
          <w:szCs w:val="20"/>
          <w:lang w:val="en-US"/>
        </w:rPr>
        <w:t>the representatives</w:t>
      </w:r>
      <w:r w:rsidR="009C7A59" w:rsidRPr="00FE50A6">
        <w:rPr>
          <w:rFonts w:cs="Arial"/>
          <w:iCs/>
          <w:szCs w:val="20"/>
          <w:lang w:val="en-US"/>
        </w:rPr>
        <w:t xml:space="preserve">, Therefore, </w:t>
      </w:r>
      <w:r w:rsidR="008D6C50" w:rsidRPr="00FE50A6">
        <w:rPr>
          <w:rFonts w:cs="Arial"/>
          <w:iCs/>
          <w:szCs w:val="20"/>
          <w:lang w:val="en-US"/>
        </w:rPr>
        <w:t xml:space="preserve">it is </w:t>
      </w:r>
      <w:r w:rsidR="009C7A59" w:rsidRPr="00FE50A6">
        <w:rPr>
          <w:rFonts w:cs="Arial"/>
          <w:iCs/>
          <w:szCs w:val="20"/>
          <w:lang w:val="en-US"/>
        </w:rPr>
        <w:t>considered to be</w:t>
      </w:r>
      <w:r w:rsidR="008D6C50" w:rsidRPr="00FE50A6">
        <w:rPr>
          <w:rFonts w:cs="Arial"/>
          <w:iCs/>
          <w:szCs w:val="20"/>
          <w:lang w:val="en-US"/>
        </w:rPr>
        <w:t xml:space="preserve"> reasonable and proportionate to </w:t>
      </w:r>
      <w:r w:rsidR="009C7A59" w:rsidRPr="00FE50A6">
        <w:rPr>
          <w:rFonts w:cs="Arial"/>
          <w:iCs/>
          <w:szCs w:val="20"/>
          <w:lang w:val="en-US"/>
        </w:rPr>
        <w:t>the sum</w:t>
      </w:r>
      <w:r w:rsidR="008D6C50" w:rsidRPr="00FE50A6">
        <w:rPr>
          <w:rFonts w:cs="Arial"/>
          <w:iCs/>
          <w:szCs w:val="20"/>
          <w:lang w:val="en-US"/>
        </w:rPr>
        <w:t xml:space="preserve"> requested</w:t>
      </w:r>
      <w:r w:rsidR="004B0842" w:rsidRPr="00FE50A6">
        <w:rPr>
          <w:rFonts w:cs="Arial"/>
          <w:iCs/>
          <w:szCs w:val="20"/>
          <w:lang w:val="en-US"/>
        </w:rPr>
        <w:t xml:space="preserve">.     </w:t>
      </w:r>
    </w:p>
    <w:p w14:paraId="4ACA486A" w14:textId="77777777" w:rsidR="004B0842" w:rsidRPr="00FE50A6" w:rsidRDefault="004B0842" w:rsidP="004B0842">
      <w:pPr>
        <w:pStyle w:val="Prrafodelista"/>
        <w:autoSpaceDE w:val="0"/>
        <w:autoSpaceDN w:val="0"/>
        <w:adjustRightInd w:val="0"/>
        <w:ind w:left="0"/>
        <w:contextualSpacing w:val="0"/>
        <w:rPr>
          <w:rFonts w:cs="Arial"/>
          <w:iCs/>
          <w:szCs w:val="20"/>
          <w:lang w:val="en-US"/>
        </w:rPr>
      </w:pPr>
    </w:p>
    <w:p w14:paraId="4D48E805" w14:textId="77777777" w:rsidR="004B0842" w:rsidRPr="00FE50A6" w:rsidRDefault="008D6C5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Regarding the request for reparation for collective non-pecuniary damage, the Court considers that the compensation ordered in this judgment is sufficient and does not find it necessary to order additional reparations in this case</w:t>
      </w:r>
      <w:r w:rsidR="004B0842" w:rsidRPr="00FE50A6">
        <w:rPr>
          <w:rFonts w:cs="Arial"/>
          <w:iCs/>
          <w:szCs w:val="20"/>
          <w:lang w:val="en-US"/>
        </w:rPr>
        <w:t xml:space="preserve">. </w:t>
      </w:r>
    </w:p>
    <w:p w14:paraId="00F9D5AC" w14:textId="77777777" w:rsidR="004B0842" w:rsidRPr="00FE50A6" w:rsidRDefault="004B0842" w:rsidP="004B0842">
      <w:pPr>
        <w:pStyle w:val="Prrafodelista"/>
        <w:autoSpaceDE w:val="0"/>
        <w:autoSpaceDN w:val="0"/>
        <w:adjustRightInd w:val="0"/>
        <w:ind w:left="0"/>
        <w:contextualSpacing w:val="0"/>
        <w:rPr>
          <w:rFonts w:cs="Arial"/>
          <w:iCs/>
          <w:szCs w:val="20"/>
          <w:lang w:val="en-US"/>
        </w:rPr>
      </w:pPr>
    </w:p>
    <w:p w14:paraId="0B86D066" w14:textId="77777777" w:rsidR="004B0842" w:rsidRPr="00FE50A6" w:rsidRDefault="008D6C50" w:rsidP="008B0BCC">
      <w:pPr>
        <w:pStyle w:val="Ttulo2"/>
        <w:numPr>
          <w:ilvl w:val="0"/>
          <w:numId w:val="21"/>
        </w:numPr>
      </w:pPr>
      <w:r w:rsidRPr="00FE50A6">
        <w:t>Costs and expenses</w:t>
      </w:r>
      <w:bookmarkStart w:id="395" w:name="_Toc426108490"/>
      <w:bookmarkStart w:id="396" w:name="_Toc430339043"/>
      <w:bookmarkStart w:id="397" w:name="_Toc451267379"/>
    </w:p>
    <w:p w14:paraId="4DF59346" w14:textId="77777777" w:rsidR="004B0842" w:rsidRPr="00FE50A6" w:rsidRDefault="004B0842" w:rsidP="004B0842">
      <w:pPr>
        <w:pStyle w:val="Prrafodelista"/>
        <w:autoSpaceDE w:val="0"/>
        <w:autoSpaceDN w:val="0"/>
        <w:adjustRightInd w:val="0"/>
        <w:rPr>
          <w:rFonts w:cs="Arial"/>
          <w:iCs/>
          <w:szCs w:val="20"/>
          <w:lang w:val="en-US"/>
        </w:rPr>
      </w:pPr>
    </w:p>
    <w:p w14:paraId="611FCEF0"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w:t>
      </w:r>
      <w:r w:rsidRPr="00FE50A6">
        <w:rPr>
          <w:rFonts w:cs="Arial"/>
          <w:b/>
          <w:i/>
          <w:iCs/>
          <w:szCs w:val="20"/>
          <w:lang w:val="en-US"/>
        </w:rPr>
        <w:t>representatives</w:t>
      </w:r>
      <w:r w:rsidR="004B0842" w:rsidRPr="00FE50A6">
        <w:rPr>
          <w:rFonts w:cs="Arial"/>
          <w:b/>
          <w:bCs/>
          <w:i/>
          <w:iCs/>
          <w:szCs w:val="20"/>
          <w:lang w:val="en-US"/>
        </w:rPr>
        <w:t xml:space="preserve"> </w:t>
      </w:r>
      <w:r w:rsidR="008D6C50" w:rsidRPr="00FE50A6">
        <w:rPr>
          <w:rFonts w:cs="Arial"/>
          <w:iCs/>
          <w:szCs w:val="20"/>
          <w:lang w:val="en-US"/>
        </w:rPr>
        <w:t>requested payment of the expenses incurred during t</w:t>
      </w:r>
      <w:r w:rsidR="009C7A59" w:rsidRPr="00FE50A6">
        <w:rPr>
          <w:rFonts w:cs="Arial"/>
          <w:iCs/>
          <w:szCs w:val="20"/>
          <w:lang w:val="en-US"/>
        </w:rPr>
        <w:t>h</w:t>
      </w:r>
      <w:r w:rsidR="008D6C50" w:rsidRPr="00FE50A6">
        <w:rPr>
          <w:rFonts w:cs="Arial"/>
          <w:iCs/>
          <w:szCs w:val="20"/>
          <w:lang w:val="en-US"/>
        </w:rPr>
        <w:t>e processing of these proceedings from the time the petition</w:t>
      </w:r>
      <w:r w:rsidR="009C7A59" w:rsidRPr="00FE50A6">
        <w:rPr>
          <w:rFonts w:cs="Arial"/>
          <w:iCs/>
          <w:szCs w:val="20"/>
          <w:lang w:val="en-US"/>
        </w:rPr>
        <w:t xml:space="preserve"> </w:t>
      </w:r>
      <w:r w:rsidR="008D6C50" w:rsidRPr="00FE50A6">
        <w:rPr>
          <w:rFonts w:cs="Arial"/>
          <w:iCs/>
          <w:szCs w:val="20"/>
          <w:lang w:val="en-US"/>
        </w:rPr>
        <w:t xml:space="preserve">was lodged before the Commission </w:t>
      </w:r>
      <w:r w:rsidR="009C7A59" w:rsidRPr="00FE50A6">
        <w:rPr>
          <w:rFonts w:cs="Arial"/>
          <w:iCs/>
          <w:szCs w:val="20"/>
          <w:lang w:val="en-US"/>
        </w:rPr>
        <w:t xml:space="preserve">and up </w:t>
      </w:r>
      <w:r w:rsidR="008D6C50" w:rsidRPr="00FE50A6">
        <w:rPr>
          <w:rFonts w:cs="Arial"/>
          <w:iCs/>
          <w:szCs w:val="20"/>
          <w:lang w:val="en-US"/>
        </w:rPr>
        <w:t>until the procedures conducted before</w:t>
      </w:r>
      <w:r w:rsidR="004B0842" w:rsidRPr="00FE50A6">
        <w:rPr>
          <w:rFonts w:cs="Arial"/>
          <w:iCs/>
          <w:szCs w:val="20"/>
          <w:lang w:val="en-US"/>
        </w:rPr>
        <w:t xml:space="preserve"> </w:t>
      </w:r>
      <w:r w:rsidR="000228D0" w:rsidRPr="00FE50A6">
        <w:rPr>
          <w:rFonts w:cs="Arial"/>
          <w:iCs/>
          <w:szCs w:val="20"/>
          <w:lang w:val="en-US"/>
        </w:rPr>
        <w:t>the Court</w:t>
      </w:r>
      <w:r w:rsidR="004B0842" w:rsidRPr="00FE50A6">
        <w:rPr>
          <w:rFonts w:cs="Arial"/>
          <w:iCs/>
          <w:szCs w:val="20"/>
          <w:lang w:val="en-US"/>
        </w:rPr>
        <w:t>.</w:t>
      </w:r>
    </w:p>
    <w:p w14:paraId="1C52C1EE" w14:textId="77777777" w:rsidR="004B0842" w:rsidRPr="00FE50A6" w:rsidRDefault="004B0842" w:rsidP="004B0842">
      <w:pPr>
        <w:pStyle w:val="Prrafodelista"/>
        <w:autoSpaceDE w:val="0"/>
        <w:autoSpaceDN w:val="0"/>
        <w:adjustRightInd w:val="0"/>
        <w:rPr>
          <w:rFonts w:cs="Arial"/>
          <w:iCs/>
          <w:szCs w:val="20"/>
          <w:lang w:val="en-US"/>
        </w:rPr>
      </w:pPr>
    </w:p>
    <w:p w14:paraId="2DE67ACA" w14:textId="77777777" w:rsidR="004B0842" w:rsidRPr="00FE50A6" w:rsidRDefault="00700B7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representatives</w:t>
      </w:r>
      <w:r w:rsidR="004B0842" w:rsidRPr="00FE50A6">
        <w:rPr>
          <w:rFonts w:cs="Arial"/>
          <w:iCs/>
          <w:szCs w:val="20"/>
          <w:lang w:val="en-US"/>
        </w:rPr>
        <w:t xml:space="preserve"> </w:t>
      </w:r>
      <w:r w:rsidR="008D6C50" w:rsidRPr="00FE50A6">
        <w:rPr>
          <w:rFonts w:cs="Arial"/>
          <w:iCs/>
          <w:szCs w:val="20"/>
          <w:lang w:val="en-US"/>
        </w:rPr>
        <w:t xml:space="preserve">indicated that the costs and expenses of the </w:t>
      </w:r>
      <w:r w:rsidR="00C61525" w:rsidRPr="00FE50A6">
        <w:rPr>
          <w:rFonts w:eastAsia="Batang" w:cs="Times"/>
          <w:i/>
          <w:szCs w:val="24"/>
          <w:lang w:val="en-US"/>
        </w:rPr>
        <w:t xml:space="preserve">Comissão Pastoral da Terra </w:t>
      </w:r>
      <w:r w:rsidR="00C75600" w:rsidRPr="00FE50A6">
        <w:rPr>
          <w:rFonts w:eastAsia="Batang" w:cs="Times"/>
          <w:szCs w:val="24"/>
          <w:lang w:val="en-US"/>
        </w:rPr>
        <w:t xml:space="preserve"> amounted to </w:t>
      </w:r>
      <w:r w:rsidR="004B0842" w:rsidRPr="00FE50A6">
        <w:rPr>
          <w:rFonts w:cs="Arial"/>
          <w:iCs/>
          <w:szCs w:val="20"/>
          <w:lang w:val="en-US"/>
        </w:rPr>
        <w:t>US$139</w:t>
      </w:r>
      <w:r w:rsidR="00C75600" w:rsidRPr="00FE50A6">
        <w:rPr>
          <w:rFonts w:cs="Arial"/>
          <w:iCs/>
          <w:szCs w:val="20"/>
          <w:lang w:val="en-US"/>
        </w:rPr>
        <w:t>.</w:t>
      </w:r>
      <w:r w:rsidR="004B0842" w:rsidRPr="00FE50A6">
        <w:rPr>
          <w:rFonts w:cs="Arial"/>
          <w:iCs/>
          <w:szCs w:val="20"/>
          <w:lang w:val="en-US"/>
        </w:rPr>
        <w:t>66</w:t>
      </w:r>
      <w:r w:rsidR="00C75600" w:rsidRPr="00FE50A6">
        <w:rPr>
          <w:rFonts w:cs="Arial"/>
          <w:iCs/>
          <w:szCs w:val="20"/>
          <w:lang w:val="en-US"/>
        </w:rPr>
        <w:t>, while those of CEJIL amounted to</w:t>
      </w:r>
      <w:r w:rsidR="004B0842" w:rsidRPr="00FE50A6">
        <w:rPr>
          <w:rFonts w:cs="Arial"/>
          <w:iCs/>
          <w:szCs w:val="20"/>
          <w:lang w:val="en-US"/>
        </w:rPr>
        <w:t xml:space="preserve"> US$105</w:t>
      </w:r>
      <w:r w:rsidR="00C75600" w:rsidRPr="00FE50A6">
        <w:rPr>
          <w:rFonts w:cs="Arial"/>
          <w:iCs/>
          <w:szCs w:val="20"/>
          <w:lang w:val="en-US"/>
        </w:rPr>
        <w:t>,</w:t>
      </w:r>
      <w:r w:rsidR="004B0842" w:rsidRPr="00FE50A6">
        <w:rPr>
          <w:rFonts w:cs="Arial"/>
          <w:iCs/>
          <w:szCs w:val="20"/>
          <w:lang w:val="en-US"/>
        </w:rPr>
        <w:t xml:space="preserve">108,25. </w:t>
      </w:r>
      <w:r w:rsidRPr="00FE50A6">
        <w:rPr>
          <w:rFonts w:cs="Arial"/>
          <w:iCs/>
          <w:szCs w:val="20"/>
          <w:lang w:val="en-US"/>
        </w:rPr>
        <w:t>The representatives</w:t>
      </w:r>
      <w:r w:rsidR="004B0842" w:rsidRPr="00FE50A6">
        <w:rPr>
          <w:rFonts w:cs="Arial"/>
          <w:iCs/>
          <w:szCs w:val="20"/>
          <w:lang w:val="en-US"/>
        </w:rPr>
        <w:t xml:space="preserve"> </w:t>
      </w:r>
      <w:r w:rsidR="00C75600" w:rsidRPr="00FE50A6">
        <w:rPr>
          <w:rFonts w:cs="Arial"/>
          <w:iCs/>
          <w:szCs w:val="20"/>
          <w:lang w:val="en-US"/>
        </w:rPr>
        <w:t>itemized this sum as follows: (</w:t>
      </w:r>
      <w:r w:rsidR="004B0842" w:rsidRPr="00FE50A6">
        <w:rPr>
          <w:rFonts w:cs="Arial"/>
          <w:iCs/>
          <w:szCs w:val="20"/>
          <w:lang w:val="en-US"/>
        </w:rPr>
        <w:t>i) US$45</w:t>
      </w:r>
      <w:r w:rsidR="00C75600" w:rsidRPr="00FE50A6">
        <w:rPr>
          <w:rFonts w:cs="Arial"/>
          <w:iCs/>
          <w:szCs w:val="20"/>
          <w:lang w:val="en-US"/>
        </w:rPr>
        <w:t>.</w:t>
      </w:r>
      <w:r w:rsidR="004B0842" w:rsidRPr="00FE50A6">
        <w:rPr>
          <w:rFonts w:cs="Arial"/>
          <w:iCs/>
          <w:szCs w:val="20"/>
          <w:lang w:val="en-US"/>
        </w:rPr>
        <w:t>764</w:t>
      </w:r>
      <w:r w:rsidR="00C75600" w:rsidRPr="00FE50A6">
        <w:rPr>
          <w:rFonts w:cs="Arial"/>
          <w:iCs/>
          <w:szCs w:val="20"/>
          <w:lang w:val="en-US"/>
        </w:rPr>
        <w:t>.</w:t>
      </w:r>
      <w:r w:rsidR="004B0842" w:rsidRPr="00FE50A6">
        <w:rPr>
          <w:rFonts w:cs="Arial"/>
          <w:iCs/>
          <w:szCs w:val="20"/>
          <w:lang w:val="en-US"/>
        </w:rPr>
        <w:t xml:space="preserve">54 </w:t>
      </w:r>
      <w:r w:rsidR="00C75600" w:rsidRPr="00FE50A6">
        <w:rPr>
          <w:rFonts w:cs="Arial"/>
          <w:iCs/>
          <w:szCs w:val="20"/>
          <w:lang w:val="en-US"/>
        </w:rPr>
        <w:t>for traveling expenses; (ii)</w:t>
      </w:r>
      <w:r w:rsidR="004B0842" w:rsidRPr="00FE50A6">
        <w:rPr>
          <w:rFonts w:cs="Arial"/>
          <w:iCs/>
          <w:szCs w:val="20"/>
          <w:lang w:val="en-US"/>
        </w:rPr>
        <w:t xml:space="preserve"> US$1</w:t>
      </w:r>
      <w:r w:rsidR="00C75600" w:rsidRPr="00FE50A6">
        <w:rPr>
          <w:rFonts w:cs="Arial"/>
          <w:iCs/>
          <w:szCs w:val="20"/>
          <w:lang w:val="en-US"/>
        </w:rPr>
        <w:t>,</w:t>
      </w:r>
      <w:r w:rsidR="004B0842" w:rsidRPr="00FE50A6">
        <w:rPr>
          <w:rFonts w:cs="Arial"/>
          <w:iCs/>
          <w:szCs w:val="20"/>
          <w:lang w:val="en-US"/>
        </w:rPr>
        <w:t>678</w:t>
      </w:r>
      <w:r w:rsidR="00C75600" w:rsidRPr="00FE50A6">
        <w:rPr>
          <w:rFonts w:cs="Arial"/>
          <w:iCs/>
          <w:szCs w:val="20"/>
          <w:lang w:val="en-US"/>
        </w:rPr>
        <w:t>.</w:t>
      </w:r>
      <w:r w:rsidR="004B0842" w:rsidRPr="00FE50A6">
        <w:rPr>
          <w:rFonts w:cs="Arial"/>
          <w:iCs/>
          <w:szCs w:val="20"/>
          <w:lang w:val="en-US"/>
        </w:rPr>
        <w:t xml:space="preserve">76 </w:t>
      </w:r>
      <w:r w:rsidR="00C75600" w:rsidRPr="00FE50A6">
        <w:rPr>
          <w:rFonts w:cs="Arial"/>
          <w:iCs/>
          <w:szCs w:val="20"/>
          <w:lang w:val="en-US"/>
        </w:rPr>
        <w:t xml:space="preserve">for copies and mailing expenses; (iii) </w:t>
      </w:r>
      <w:r w:rsidR="004B0842" w:rsidRPr="00FE50A6">
        <w:rPr>
          <w:rFonts w:cs="Arial"/>
          <w:iCs/>
          <w:szCs w:val="20"/>
          <w:lang w:val="en-US"/>
        </w:rPr>
        <w:t>US$2</w:t>
      </w:r>
      <w:r w:rsidR="00C75600" w:rsidRPr="00FE50A6">
        <w:rPr>
          <w:rFonts w:cs="Arial"/>
          <w:iCs/>
          <w:szCs w:val="20"/>
          <w:lang w:val="en-US"/>
        </w:rPr>
        <w:t>,</w:t>
      </w:r>
      <w:r w:rsidR="004B0842" w:rsidRPr="00FE50A6">
        <w:rPr>
          <w:rFonts w:cs="Arial"/>
          <w:iCs/>
          <w:szCs w:val="20"/>
          <w:lang w:val="en-US"/>
        </w:rPr>
        <w:t>770</w:t>
      </w:r>
      <w:r w:rsidR="00C75600" w:rsidRPr="00FE50A6">
        <w:rPr>
          <w:rFonts w:cs="Arial"/>
          <w:iCs/>
          <w:szCs w:val="20"/>
          <w:lang w:val="en-US"/>
        </w:rPr>
        <w:t>.</w:t>
      </w:r>
      <w:r w:rsidR="004B0842" w:rsidRPr="00FE50A6">
        <w:rPr>
          <w:rFonts w:cs="Arial"/>
          <w:iCs/>
          <w:szCs w:val="20"/>
          <w:lang w:val="en-US"/>
        </w:rPr>
        <w:t xml:space="preserve">29 </w:t>
      </w:r>
      <w:r w:rsidR="00C75600" w:rsidRPr="00FE50A6">
        <w:rPr>
          <w:rFonts w:cs="Arial"/>
          <w:iCs/>
          <w:szCs w:val="20"/>
          <w:lang w:val="en-US"/>
        </w:rPr>
        <w:t>for notarial expenses and translations; (</w:t>
      </w:r>
      <w:r w:rsidR="004B0842" w:rsidRPr="00FE50A6">
        <w:rPr>
          <w:rFonts w:cs="Arial"/>
          <w:iCs/>
          <w:szCs w:val="20"/>
          <w:lang w:val="en-US"/>
        </w:rPr>
        <w:t>iv) US$122</w:t>
      </w:r>
      <w:r w:rsidR="00C75600" w:rsidRPr="00FE50A6">
        <w:rPr>
          <w:rFonts w:cs="Arial"/>
          <w:iCs/>
          <w:szCs w:val="20"/>
          <w:lang w:val="en-US"/>
        </w:rPr>
        <w:t>.</w:t>
      </w:r>
      <w:r w:rsidR="004B0842" w:rsidRPr="00FE50A6">
        <w:rPr>
          <w:rFonts w:cs="Arial"/>
          <w:iCs/>
          <w:szCs w:val="20"/>
          <w:lang w:val="en-US"/>
        </w:rPr>
        <w:t xml:space="preserve">24 </w:t>
      </w:r>
      <w:r w:rsidR="00C75600" w:rsidRPr="00FE50A6">
        <w:rPr>
          <w:rFonts w:cs="Arial"/>
          <w:iCs/>
          <w:szCs w:val="20"/>
          <w:lang w:val="en-US"/>
        </w:rPr>
        <w:t>for research related expenses</w:t>
      </w:r>
      <w:r w:rsidR="004B0842" w:rsidRPr="00FE50A6">
        <w:rPr>
          <w:rFonts w:cs="Arial"/>
          <w:iCs/>
          <w:szCs w:val="20"/>
          <w:lang w:val="en-US"/>
        </w:rPr>
        <w:t xml:space="preserve">; </w:t>
      </w:r>
      <w:r w:rsidR="00C75600" w:rsidRPr="00FE50A6">
        <w:rPr>
          <w:rFonts w:cs="Arial"/>
          <w:iCs/>
          <w:szCs w:val="20"/>
          <w:lang w:val="en-US"/>
        </w:rPr>
        <w:t>(</w:t>
      </w:r>
      <w:r w:rsidR="004B0842" w:rsidRPr="00FE50A6">
        <w:rPr>
          <w:rFonts w:cs="Arial"/>
          <w:iCs/>
          <w:szCs w:val="20"/>
          <w:lang w:val="en-US"/>
        </w:rPr>
        <w:t>v) US$54</w:t>
      </w:r>
      <w:r w:rsidR="00C75600" w:rsidRPr="00FE50A6">
        <w:rPr>
          <w:rFonts w:cs="Arial"/>
          <w:iCs/>
          <w:szCs w:val="20"/>
          <w:lang w:val="en-US"/>
        </w:rPr>
        <w:t>,</w:t>
      </w:r>
      <w:r w:rsidR="004B0842" w:rsidRPr="00FE50A6">
        <w:rPr>
          <w:rFonts w:cs="Arial"/>
          <w:iCs/>
          <w:szCs w:val="20"/>
          <w:lang w:val="en-US"/>
        </w:rPr>
        <w:t>591</w:t>
      </w:r>
      <w:r w:rsidR="00C75600" w:rsidRPr="00FE50A6">
        <w:rPr>
          <w:rFonts w:cs="Arial"/>
          <w:iCs/>
          <w:szCs w:val="20"/>
          <w:lang w:val="en-US"/>
        </w:rPr>
        <w:t>.</w:t>
      </w:r>
      <w:r w:rsidR="004B0842" w:rsidRPr="00FE50A6">
        <w:rPr>
          <w:rFonts w:cs="Arial"/>
          <w:iCs/>
          <w:szCs w:val="20"/>
          <w:lang w:val="en-US"/>
        </w:rPr>
        <w:t xml:space="preserve">48 </w:t>
      </w:r>
      <w:r w:rsidR="00C75600" w:rsidRPr="00FE50A6">
        <w:rPr>
          <w:rFonts w:cs="Arial"/>
          <w:iCs/>
          <w:szCs w:val="20"/>
          <w:lang w:val="en-US"/>
        </w:rPr>
        <w:t>f</w:t>
      </w:r>
      <w:r w:rsidR="004B0842" w:rsidRPr="00FE50A6">
        <w:rPr>
          <w:rFonts w:cs="Arial"/>
          <w:iCs/>
          <w:szCs w:val="20"/>
          <w:lang w:val="en-US"/>
        </w:rPr>
        <w:t>or salari</w:t>
      </w:r>
      <w:r w:rsidR="00C75600" w:rsidRPr="00FE50A6">
        <w:rPr>
          <w:rFonts w:cs="Arial"/>
          <w:iCs/>
          <w:szCs w:val="20"/>
          <w:lang w:val="en-US"/>
        </w:rPr>
        <w:t>es,</w:t>
      </w:r>
      <w:r w:rsidR="00030C17" w:rsidRPr="00FE50A6">
        <w:rPr>
          <w:rFonts w:cs="Arial"/>
          <w:iCs/>
          <w:szCs w:val="20"/>
          <w:lang w:val="en-US"/>
        </w:rPr>
        <w:t xml:space="preserve"> and </w:t>
      </w:r>
      <w:r w:rsidR="00C75600" w:rsidRPr="00FE50A6">
        <w:rPr>
          <w:rFonts w:cs="Arial"/>
          <w:iCs/>
          <w:szCs w:val="20"/>
          <w:lang w:val="en-US"/>
        </w:rPr>
        <w:t>(</w:t>
      </w:r>
      <w:r w:rsidR="004B0842" w:rsidRPr="00FE50A6">
        <w:rPr>
          <w:rFonts w:cs="Arial"/>
          <w:iCs/>
          <w:szCs w:val="20"/>
          <w:lang w:val="en-US"/>
        </w:rPr>
        <w:t>vi) US$180</w:t>
      </w:r>
      <w:r w:rsidR="00C75600" w:rsidRPr="00FE50A6">
        <w:rPr>
          <w:rFonts w:cs="Arial"/>
          <w:iCs/>
          <w:szCs w:val="20"/>
          <w:lang w:val="en-US"/>
        </w:rPr>
        <w:t>.</w:t>
      </w:r>
      <w:r w:rsidR="004B0842" w:rsidRPr="00FE50A6">
        <w:rPr>
          <w:rFonts w:cs="Arial"/>
          <w:iCs/>
          <w:szCs w:val="20"/>
          <w:lang w:val="en-US"/>
        </w:rPr>
        <w:t xml:space="preserve">95 </w:t>
      </w:r>
      <w:r w:rsidR="00C75600" w:rsidRPr="00FE50A6">
        <w:rPr>
          <w:rFonts w:cs="Arial"/>
          <w:iCs/>
          <w:szCs w:val="20"/>
          <w:lang w:val="en-US"/>
        </w:rPr>
        <w:t>for long-distance telephone calls</w:t>
      </w:r>
      <w:r w:rsidR="004B0842" w:rsidRPr="00FE50A6">
        <w:rPr>
          <w:rFonts w:cs="Arial"/>
          <w:iCs/>
          <w:szCs w:val="20"/>
          <w:lang w:val="en-US"/>
        </w:rPr>
        <w:t>.</w:t>
      </w:r>
    </w:p>
    <w:p w14:paraId="7E015B1D" w14:textId="77777777" w:rsidR="004B0842" w:rsidRPr="00FE50A6" w:rsidRDefault="004B0842" w:rsidP="004B0842">
      <w:pPr>
        <w:pStyle w:val="Prrafodelista"/>
        <w:autoSpaceDE w:val="0"/>
        <w:autoSpaceDN w:val="0"/>
        <w:adjustRightInd w:val="0"/>
        <w:rPr>
          <w:rFonts w:cs="Arial"/>
          <w:iCs/>
          <w:szCs w:val="20"/>
          <w:lang w:val="en-US"/>
        </w:rPr>
      </w:pPr>
    </w:p>
    <w:p w14:paraId="15116F88"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State</w:t>
      </w:r>
      <w:r w:rsidR="004B0842" w:rsidRPr="00FE50A6">
        <w:rPr>
          <w:rFonts w:cs="Arial"/>
          <w:iCs/>
          <w:szCs w:val="20"/>
          <w:lang w:val="en-US"/>
        </w:rPr>
        <w:t xml:space="preserve"> </w:t>
      </w:r>
      <w:r w:rsidR="00C75600" w:rsidRPr="00FE50A6">
        <w:rPr>
          <w:rFonts w:cs="Arial"/>
          <w:iCs/>
          <w:szCs w:val="20"/>
          <w:lang w:val="en-US"/>
        </w:rPr>
        <w:t xml:space="preserve">asked that, if the Court did not declare its international responsibility, it should not be sentenced to pay any amount for costs and expenses. Specifically, it asked the Court to rule on the nature of </w:t>
      </w:r>
      <w:r w:rsidR="008D6C50" w:rsidRPr="00FE50A6">
        <w:rPr>
          <w:rFonts w:cs="Arial"/>
          <w:iCs/>
          <w:szCs w:val="20"/>
          <w:lang w:val="en-US"/>
        </w:rPr>
        <w:t>costs and expenses</w:t>
      </w:r>
      <w:r w:rsidR="004B0842" w:rsidRPr="00FE50A6">
        <w:rPr>
          <w:rFonts w:cs="Arial"/>
          <w:iCs/>
          <w:szCs w:val="20"/>
          <w:lang w:val="en-US"/>
        </w:rPr>
        <w:t>.</w:t>
      </w:r>
    </w:p>
    <w:p w14:paraId="58F081F5" w14:textId="77777777" w:rsidR="004B0842" w:rsidRPr="00FE50A6" w:rsidRDefault="004B0842" w:rsidP="004B0842">
      <w:pPr>
        <w:pStyle w:val="Prrafodelista"/>
        <w:autoSpaceDE w:val="0"/>
        <w:autoSpaceDN w:val="0"/>
        <w:adjustRightInd w:val="0"/>
        <w:rPr>
          <w:rFonts w:cs="Arial"/>
          <w:iCs/>
          <w:szCs w:val="20"/>
          <w:lang w:val="en-US"/>
        </w:rPr>
      </w:pPr>
    </w:p>
    <w:p w14:paraId="1DB66DC5" w14:textId="77777777" w:rsidR="004B0842" w:rsidRPr="00FE50A6" w:rsidRDefault="004B0842"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Ad</w:t>
      </w:r>
      <w:r w:rsidR="00C75600" w:rsidRPr="00FE50A6">
        <w:rPr>
          <w:rFonts w:cs="Arial"/>
          <w:iCs/>
          <w:szCs w:val="20"/>
          <w:lang w:val="en-US"/>
        </w:rPr>
        <w:t>ditionally, should it be sentenced to pay</w:t>
      </w:r>
      <w:r w:rsidRPr="00FE50A6">
        <w:rPr>
          <w:rFonts w:cs="Arial"/>
          <w:iCs/>
          <w:szCs w:val="20"/>
          <w:lang w:val="en-US"/>
        </w:rPr>
        <w:t xml:space="preserve"> </w:t>
      </w:r>
      <w:r w:rsidR="008D6C50" w:rsidRPr="00FE50A6">
        <w:rPr>
          <w:rFonts w:cs="Arial"/>
          <w:iCs/>
          <w:szCs w:val="20"/>
          <w:lang w:val="en-US"/>
        </w:rPr>
        <w:t>costs and expenses</w:t>
      </w:r>
      <w:r w:rsidRPr="00FE50A6">
        <w:rPr>
          <w:rFonts w:cs="Arial"/>
          <w:iCs/>
          <w:szCs w:val="20"/>
          <w:lang w:val="en-US"/>
        </w:rPr>
        <w:t xml:space="preserve">, </w:t>
      </w:r>
      <w:r w:rsidR="000228D0" w:rsidRPr="00FE50A6">
        <w:rPr>
          <w:rFonts w:cs="Arial"/>
          <w:iCs/>
          <w:szCs w:val="20"/>
          <w:lang w:val="en-US"/>
        </w:rPr>
        <w:t>the State</w:t>
      </w:r>
      <w:r w:rsidRPr="00FE50A6">
        <w:rPr>
          <w:rFonts w:cs="Arial"/>
          <w:iCs/>
          <w:szCs w:val="20"/>
          <w:lang w:val="en-US"/>
        </w:rPr>
        <w:t xml:space="preserve"> </w:t>
      </w:r>
      <w:r w:rsidR="00984A55" w:rsidRPr="00FE50A6">
        <w:rPr>
          <w:rFonts w:cs="Arial"/>
          <w:iCs/>
          <w:szCs w:val="20"/>
          <w:lang w:val="en-US"/>
        </w:rPr>
        <w:t>indicated</w:t>
      </w:r>
      <w:r w:rsidRPr="00FE50A6">
        <w:rPr>
          <w:rFonts w:cs="Arial"/>
          <w:iCs/>
          <w:szCs w:val="20"/>
          <w:lang w:val="en-US"/>
        </w:rPr>
        <w:t xml:space="preserve"> </w:t>
      </w:r>
      <w:r w:rsidR="00C75600" w:rsidRPr="00FE50A6">
        <w:rPr>
          <w:rFonts w:cs="Arial"/>
          <w:iCs/>
          <w:szCs w:val="20"/>
          <w:lang w:val="en-US"/>
        </w:rPr>
        <w:t xml:space="preserve">that this should be for reasonable amounts and that </w:t>
      </w:r>
      <w:r w:rsidR="003D6C36" w:rsidRPr="00FE50A6">
        <w:rPr>
          <w:rFonts w:cs="Arial"/>
          <w:iCs/>
          <w:szCs w:val="20"/>
          <w:lang w:val="en-US"/>
        </w:rPr>
        <w:t xml:space="preserve">it had been duly authenticated </w:t>
      </w:r>
      <w:r w:rsidR="00C75600" w:rsidRPr="00FE50A6">
        <w:rPr>
          <w:rFonts w:cs="Arial"/>
          <w:iCs/>
          <w:szCs w:val="20"/>
          <w:lang w:val="en-US"/>
        </w:rPr>
        <w:t xml:space="preserve">that they were directly related to the specific case. In </w:t>
      </w:r>
      <w:r w:rsidRPr="00FE50A6">
        <w:rPr>
          <w:rFonts w:cs="Arial"/>
          <w:iCs/>
          <w:szCs w:val="20"/>
          <w:lang w:val="en-US"/>
        </w:rPr>
        <w:t xml:space="preserve">particular, </w:t>
      </w:r>
      <w:r w:rsidR="000228D0" w:rsidRPr="00FE50A6">
        <w:rPr>
          <w:rFonts w:cs="Arial"/>
          <w:iCs/>
          <w:szCs w:val="20"/>
          <w:lang w:val="en-US"/>
        </w:rPr>
        <w:t>Brazil</w:t>
      </w:r>
      <w:r w:rsidRPr="00FE50A6">
        <w:rPr>
          <w:rFonts w:cs="Arial"/>
          <w:iCs/>
          <w:szCs w:val="20"/>
          <w:lang w:val="en-US"/>
        </w:rPr>
        <w:t xml:space="preserve"> consider</w:t>
      </w:r>
      <w:r w:rsidR="00C75600" w:rsidRPr="00FE50A6">
        <w:rPr>
          <w:rFonts w:cs="Arial"/>
          <w:iCs/>
          <w:szCs w:val="20"/>
          <w:lang w:val="en-US"/>
        </w:rPr>
        <w:t xml:space="preserve">ed that </w:t>
      </w:r>
      <w:r w:rsidR="000D5600" w:rsidRPr="00FE50A6">
        <w:rPr>
          <w:rFonts w:cs="Arial"/>
          <w:iCs/>
          <w:szCs w:val="20"/>
          <w:lang w:val="en-US"/>
        </w:rPr>
        <w:t>disbursements</w:t>
      </w:r>
      <w:r w:rsidR="00C75600" w:rsidRPr="00FE50A6">
        <w:rPr>
          <w:rFonts w:cs="Arial"/>
          <w:iCs/>
          <w:szCs w:val="20"/>
          <w:lang w:val="en-US"/>
        </w:rPr>
        <w:t xml:space="preserve"> for the salaries of lawyers did not comply with these requirements, because they </w:t>
      </w:r>
      <w:r w:rsidR="000D5600" w:rsidRPr="00FE50A6">
        <w:rPr>
          <w:rFonts w:cs="Arial"/>
          <w:iCs/>
          <w:szCs w:val="20"/>
          <w:lang w:val="en-US"/>
        </w:rPr>
        <w:t>we</w:t>
      </w:r>
      <w:r w:rsidR="00C75600" w:rsidRPr="00FE50A6">
        <w:rPr>
          <w:rFonts w:cs="Arial"/>
          <w:iCs/>
          <w:szCs w:val="20"/>
          <w:lang w:val="en-US"/>
        </w:rPr>
        <w:t xml:space="preserve">re mere estimates that </w:t>
      </w:r>
      <w:r w:rsidR="000D5600" w:rsidRPr="00FE50A6">
        <w:rPr>
          <w:rFonts w:cs="Arial"/>
          <w:iCs/>
          <w:szCs w:val="20"/>
          <w:lang w:val="en-US"/>
        </w:rPr>
        <w:t>we</w:t>
      </w:r>
      <w:r w:rsidR="00C75600" w:rsidRPr="00FE50A6">
        <w:rPr>
          <w:rFonts w:cs="Arial"/>
          <w:iCs/>
          <w:szCs w:val="20"/>
          <w:lang w:val="en-US"/>
        </w:rPr>
        <w:t>re impossible to corroborate.</w:t>
      </w:r>
      <w:r w:rsidRPr="00FE50A6">
        <w:rPr>
          <w:rFonts w:cs="Arial"/>
          <w:iCs/>
          <w:szCs w:val="20"/>
          <w:lang w:val="en-US"/>
        </w:rPr>
        <w:t xml:space="preserve"> </w:t>
      </w:r>
    </w:p>
    <w:p w14:paraId="7A9DE944" w14:textId="77777777" w:rsidR="004B0842" w:rsidRPr="00FE50A6" w:rsidRDefault="004B0842" w:rsidP="004B0842">
      <w:pPr>
        <w:pStyle w:val="Prrafodelista"/>
        <w:autoSpaceDE w:val="0"/>
        <w:autoSpaceDN w:val="0"/>
        <w:adjustRightInd w:val="0"/>
        <w:rPr>
          <w:rFonts w:cs="Arial"/>
          <w:iCs/>
          <w:szCs w:val="20"/>
          <w:lang w:val="en-US"/>
        </w:rPr>
      </w:pPr>
    </w:p>
    <w:p w14:paraId="170AD994" w14:textId="77777777" w:rsidR="004B0842" w:rsidRPr="00FE50A6" w:rsidRDefault="000228D0" w:rsidP="00C75600">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Court</w:t>
      </w:r>
      <w:r w:rsidR="004B0842" w:rsidRPr="00FE50A6">
        <w:rPr>
          <w:rFonts w:cs="Arial"/>
          <w:iCs/>
          <w:szCs w:val="20"/>
          <w:lang w:val="en-US"/>
        </w:rPr>
        <w:t xml:space="preserve"> reitera</w:t>
      </w:r>
      <w:r w:rsidR="00C75600" w:rsidRPr="00FE50A6">
        <w:rPr>
          <w:rFonts w:cs="Arial"/>
          <w:iCs/>
          <w:szCs w:val="20"/>
          <w:lang w:val="en-US"/>
        </w:rPr>
        <w:t xml:space="preserve">tes that, in keeping with its case law, </w:t>
      </w:r>
      <w:r w:rsidR="008D6C50" w:rsidRPr="00FE50A6">
        <w:rPr>
          <w:rFonts w:cs="Arial"/>
          <w:iCs/>
          <w:szCs w:val="20"/>
          <w:lang w:val="en-US"/>
        </w:rPr>
        <w:t>costs and expenses</w:t>
      </w:r>
      <w:r w:rsidR="004B0842" w:rsidRPr="00FE50A6">
        <w:rPr>
          <w:rFonts w:cs="Arial"/>
          <w:iCs/>
          <w:szCs w:val="20"/>
          <w:lang w:val="en-US"/>
        </w:rPr>
        <w:t xml:space="preserve"> </w:t>
      </w:r>
      <w:r w:rsidR="00C75600" w:rsidRPr="00FE50A6">
        <w:rPr>
          <w:rFonts w:cs="Arial"/>
          <w:iCs/>
          <w:szCs w:val="20"/>
          <w:lang w:val="en-US"/>
        </w:rPr>
        <w:t>are part of the concept of reparation, because the actions taken by the victims to obtain justice, at both t</w:t>
      </w:r>
      <w:r w:rsidR="000D5600" w:rsidRPr="00FE50A6">
        <w:rPr>
          <w:rFonts w:cs="Arial"/>
          <w:iCs/>
          <w:szCs w:val="20"/>
          <w:lang w:val="en-US"/>
        </w:rPr>
        <w:t>h</w:t>
      </w:r>
      <w:r w:rsidR="00C75600" w:rsidRPr="00FE50A6">
        <w:rPr>
          <w:rFonts w:cs="Arial"/>
          <w:iCs/>
          <w:szCs w:val="20"/>
          <w:lang w:val="en-US"/>
        </w:rPr>
        <w:t xml:space="preserve">e national and the international level, entail disbursements that should be compensated when </w:t>
      </w:r>
      <w:r w:rsidR="00700B79" w:rsidRPr="00FE50A6">
        <w:rPr>
          <w:rFonts w:cs="Arial"/>
          <w:iCs/>
          <w:szCs w:val="20"/>
          <w:lang w:val="en-US"/>
        </w:rPr>
        <w:t>the international responsibility</w:t>
      </w:r>
      <w:r w:rsidR="00703850" w:rsidRPr="00FE50A6">
        <w:rPr>
          <w:rFonts w:cs="Arial"/>
          <w:iCs/>
          <w:szCs w:val="20"/>
          <w:lang w:val="en-US"/>
        </w:rPr>
        <w:t xml:space="preserve"> of the </w:t>
      </w:r>
      <w:r w:rsidRPr="00FE50A6">
        <w:rPr>
          <w:rFonts w:cs="Arial"/>
          <w:iCs/>
          <w:szCs w:val="20"/>
          <w:lang w:val="en-US"/>
        </w:rPr>
        <w:t>State</w:t>
      </w:r>
      <w:r w:rsidR="004B0842" w:rsidRPr="00FE50A6">
        <w:rPr>
          <w:rFonts w:cs="Arial"/>
          <w:iCs/>
          <w:szCs w:val="20"/>
          <w:lang w:val="en-US"/>
        </w:rPr>
        <w:t xml:space="preserve"> </w:t>
      </w:r>
      <w:r w:rsidR="00C75600" w:rsidRPr="00FE50A6">
        <w:rPr>
          <w:rFonts w:cs="Arial"/>
          <w:iCs/>
          <w:szCs w:val="20"/>
          <w:lang w:val="en-US"/>
        </w:rPr>
        <w:t>is declared in a judgment convicting it. Regarding the reimbursement of expenses, it is for the Court to make a prudent assessment of their scope, which includes the expenses arising before the authorities of the domestic jurisdiction, and those generated during the proceedings before the inter-American system, taking into account the circumstances of the specific case and the nature of the international jurisdiction for the protection of human rights. This assessment may be made based on the equity principle and taking into account the expenses indicated by the parties, provided that the amount is reasonable.</w:t>
      </w:r>
      <w:r w:rsidR="004B0842" w:rsidRPr="00FE50A6">
        <w:rPr>
          <w:rFonts w:cs="Arial"/>
          <w:iCs/>
          <w:szCs w:val="20"/>
          <w:vertAlign w:val="superscript"/>
          <w:lang w:val="en-US"/>
        </w:rPr>
        <w:footnoteReference w:id="536"/>
      </w:r>
      <w:r w:rsidR="00C75600" w:rsidRPr="00FE50A6">
        <w:rPr>
          <w:rFonts w:cs="Arial"/>
          <w:iCs/>
          <w:szCs w:val="20"/>
          <w:lang w:val="en-US"/>
        </w:rPr>
        <w:t xml:space="preserve"> As it has on other occasions, </w:t>
      </w:r>
      <w:r w:rsidRPr="00FE50A6">
        <w:rPr>
          <w:rFonts w:cs="Arial"/>
          <w:iCs/>
          <w:szCs w:val="20"/>
          <w:lang w:val="en-US"/>
        </w:rPr>
        <w:t xml:space="preserve">the </w:t>
      </w:r>
      <w:r w:rsidR="0088467F" w:rsidRPr="00FE50A6">
        <w:rPr>
          <w:rFonts w:cs="Arial"/>
          <w:iCs/>
          <w:szCs w:val="20"/>
          <w:lang w:val="en-US"/>
        </w:rPr>
        <w:t>Court recalls</w:t>
      </w:r>
      <w:r w:rsidR="004B0842" w:rsidRPr="00FE50A6">
        <w:rPr>
          <w:rFonts w:cs="Arial"/>
          <w:iCs/>
          <w:szCs w:val="20"/>
          <w:lang w:val="en-US"/>
        </w:rPr>
        <w:t xml:space="preserve"> </w:t>
      </w:r>
      <w:r w:rsidR="00C75600" w:rsidRPr="00FE50A6">
        <w:rPr>
          <w:rFonts w:cs="Arial"/>
          <w:iCs/>
          <w:szCs w:val="20"/>
          <w:lang w:val="en-US"/>
        </w:rPr>
        <w:t>that it is not sufficie</w:t>
      </w:r>
      <w:r w:rsidR="00B179C9" w:rsidRPr="00FE50A6">
        <w:rPr>
          <w:rFonts w:cs="Arial"/>
          <w:iCs/>
          <w:szCs w:val="20"/>
          <w:lang w:val="en-US"/>
        </w:rPr>
        <w:t>n</w:t>
      </w:r>
      <w:r w:rsidR="00C75600" w:rsidRPr="00FE50A6">
        <w:rPr>
          <w:rFonts w:cs="Arial"/>
          <w:iCs/>
          <w:szCs w:val="20"/>
          <w:lang w:val="en-US"/>
        </w:rPr>
        <w:t xml:space="preserve">t merely to </w:t>
      </w:r>
      <w:r w:rsidR="000D5600" w:rsidRPr="00FE50A6">
        <w:rPr>
          <w:rFonts w:cs="Arial"/>
          <w:iCs/>
          <w:szCs w:val="20"/>
          <w:lang w:val="en-US"/>
        </w:rPr>
        <w:t>submit</w:t>
      </w:r>
      <w:r w:rsidR="00C75600" w:rsidRPr="00FE50A6">
        <w:rPr>
          <w:rFonts w:cs="Arial"/>
          <w:iCs/>
          <w:szCs w:val="20"/>
          <w:lang w:val="en-US"/>
        </w:rPr>
        <w:t xml:space="preserve"> evidentiary documents; rather </w:t>
      </w:r>
      <w:r w:rsidR="00B179C9" w:rsidRPr="00FE50A6">
        <w:rPr>
          <w:rFonts w:cs="Arial"/>
          <w:iCs/>
          <w:szCs w:val="20"/>
          <w:lang w:val="en-US"/>
        </w:rPr>
        <w:t>the parties are required to include an explanation that relates the evidence to the fact that it is considered to represent and, in the case of alleged financial disbursements, the items and their justification must be</w:t>
      </w:r>
      <w:r w:rsidR="000D5600" w:rsidRPr="00FE50A6">
        <w:rPr>
          <w:rFonts w:cs="Arial"/>
          <w:iCs/>
          <w:szCs w:val="20"/>
          <w:lang w:val="en-US"/>
        </w:rPr>
        <w:t xml:space="preserve"> establish</w:t>
      </w:r>
      <w:r w:rsidR="00B179C9" w:rsidRPr="00FE50A6">
        <w:rPr>
          <w:rFonts w:cs="Arial"/>
          <w:iCs/>
          <w:szCs w:val="20"/>
          <w:lang w:val="en-US"/>
        </w:rPr>
        <w:t>ed.</w:t>
      </w:r>
      <w:r w:rsidR="004B0842" w:rsidRPr="00FE50A6">
        <w:rPr>
          <w:rFonts w:cs="Arial"/>
          <w:iCs/>
          <w:szCs w:val="20"/>
          <w:vertAlign w:val="superscript"/>
          <w:lang w:val="en-US"/>
        </w:rPr>
        <w:footnoteReference w:id="537"/>
      </w:r>
    </w:p>
    <w:p w14:paraId="1649D09E" w14:textId="77777777" w:rsidR="004B0842" w:rsidRPr="00FE50A6" w:rsidRDefault="004B0842" w:rsidP="004B0842">
      <w:pPr>
        <w:pStyle w:val="Prrafodelista"/>
        <w:autoSpaceDE w:val="0"/>
        <w:autoSpaceDN w:val="0"/>
        <w:adjustRightInd w:val="0"/>
        <w:rPr>
          <w:rFonts w:cs="Arial"/>
          <w:iCs/>
          <w:szCs w:val="20"/>
          <w:lang w:val="en-US"/>
        </w:rPr>
      </w:pPr>
    </w:p>
    <w:p w14:paraId="28D50CAD" w14:textId="77777777" w:rsidR="004B0842" w:rsidRPr="00FE50A6" w:rsidRDefault="00B179C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From an analysis of the documentation provided, the Court concludes that some of the sums requested are justified and authenticated. Consequently, the Court determines, in equity, that the State should pay the sum of </w:t>
      </w:r>
      <w:r w:rsidR="00FA0F9F" w:rsidRPr="00FE50A6">
        <w:rPr>
          <w:rFonts w:cs="Arial"/>
          <w:iCs/>
          <w:szCs w:val="20"/>
          <w:lang w:val="en-US"/>
        </w:rPr>
        <w:t>US$5</w:t>
      </w:r>
      <w:r w:rsidRPr="00FE50A6">
        <w:rPr>
          <w:rFonts w:cs="Arial"/>
          <w:iCs/>
          <w:szCs w:val="20"/>
          <w:lang w:val="en-US"/>
        </w:rPr>
        <w:t>,</w:t>
      </w:r>
      <w:r w:rsidR="00D53175" w:rsidRPr="00FE50A6">
        <w:rPr>
          <w:rFonts w:cs="Arial"/>
          <w:iCs/>
          <w:szCs w:val="20"/>
          <w:lang w:val="en-US"/>
        </w:rPr>
        <w:t>000</w:t>
      </w:r>
      <w:r w:rsidRPr="00FE50A6">
        <w:rPr>
          <w:rFonts w:cs="Arial"/>
          <w:iCs/>
          <w:szCs w:val="20"/>
          <w:lang w:val="en-US"/>
        </w:rPr>
        <w:t>.</w:t>
      </w:r>
      <w:r w:rsidR="00D53175" w:rsidRPr="00FE50A6">
        <w:rPr>
          <w:rFonts w:cs="Arial"/>
          <w:iCs/>
          <w:szCs w:val="20"/>
          <w:lang w:val="en-US"/>
        </w:rPr>
        <w:t>00 (</w:t>
      </w:r>
      <w:r w:rsidRPr="00FE50A6">
        <w:rPr>
          <w:rFonts w:cs="Arial"/>
          <w:iCs/>
          <w:szCs w:val="20"/>
          <w:lang w:val="en-US"/>
        </w:rPr>
        <w:t>five</w:t>
      </w:r>
      <w:r w:rsidR="00FA0F9F" w:rsidRPr="00FE50A6">
        <w:rPr>
          <w:rFonts w:cs="Arial"/>
          <w:iCs/>
          <w:szCs w:val="20"/>
          <w:lang w:val="en-US"/>
        </w:rPr>
        <w:t xml:space="preserve"> </w:t>
      </w:r>
      <w:r w:rsidR="00601268" w:rsidRPr="00FE50A6">
        <w:rPr>
          <w:rFonts w:cs="Arial"/>
          <w:iCs/>
          <w:szCs w:val="20"/>
          <w:lang w:val="en-US"/>
        </w:rPr>
        <w:t>thousand United States dollars</w:t>
      </w:r>
      <w:r w:rsidR="00D53175" w:rsidRPr="00FE50A6">
        <w:rPr>
          <w:rFonts w:cs="Arial"/>
          <w:iCs/>
          <w:szCs w:val="20"/>
          <w:lang w:val="en-US"/>
        </w:rPr>
        <w:t xml:space="preserve">) </w:t>
      </w:r>
      <w:r w:rsidRPr="00FE50A6">
        <w:rPr>
          <w:rFonts w:cs="Arial"/>
          <w:iCs/>
          <w:szCs w:val="20"/>
          <w:lang w:val="en-US"/>
        </w:rPr>
        <w:t xml:space="preserve">to the </w:t>
      </w:r>
      <w:r w:rsidR="00C61525" w:rsidRPr="00FE50A6">
        <w:rPr>
          <w:rFonts w:eastAsia="Batang" w:cs="Times"/>
          <w:i/>
          <w:szCs w:val="24"/>
          <w:lang w:val="en-US"/>
        </w:rPr>
        <w:t xml:space="preserve">Comissão Pastoral da </w:t>
      </w:r>
      <w:proofErr w:type="gramStart"/>
      <w:r w:rsidR="00C61525" w:rsidRPr="00FE50A6">
        <w:rPr>
          <w:rFonts w:eastAsia="Batang" w:cs="Times"/>
          <w:i/>
          <w:szCs w:val="24"/>
          <w:lang w:val="en-US"/>
        </w:rPr>
        <w:t xml:space="preserve">Terra </w:t>
      </w:r>
      <w:r w:rsidR="00CE461E" w:rsidRPr="00FE50A6">
        <w:rPr>
          <w:rFonts w:cs="Arial"/>
          <w:iCs/>
          <w:szCs w:val="20"/>
          <w:lang w:val="en-US"/>
        </w:rPr>
        <w:t>,</w:t>
      </w:r>
      <w:proofErr w:type="gramEnd"/>
      <w:r w:rsidR="00030C17" w:rsidRPr="00FE50A6">
        <w:rPr>
          <w:rFonts w:cs="Arial"/>
          <w:iCs/>
          <w:szCs w:val="20"/>
          <w:lang w:val="en-US"/>
        </w:rPr>
        <w:t xml:space="preserve"> and </w:t>
      </w:r>
      <w:r w:rsidR="00D53175" w:rsidRPr="00FE50A6">
        <w:rPr>
          <w:rFonts w:cs="Arial"/>
          <w:iCs/>
          <w:szCs w:val="20"/>
          <w:lang w:val="en-US"/>
        </w:rPr>
        <w:t>US$</w:t>
      </w:r>
      <w:r w:rsidR="00FA0F9F" w:rsidRPr="00FE50A6">
        <w:rPr>
          <w:rFonts w:cs="Arial"/>
          <w:iCs/>
          <w:szCs w:val="20"/>
          <w:lang w:val="en-US"/>
        </w:rPr>
        <w:t>50</w:t>
      </w:r>
      <w:r w:rsidRPr="00FE50A6">
        <w:rPr>
          <w:rFonts w:cs="Arial"/>
          <w:iCs/>
          <w:szCs w:val="20"/>
          <w:lang w:val="en-US"/>
        </w:rPr>
        <w:t>,</w:t>
      </w:r>
      <w:r w:rsidR="00D53175" w:rsidRPr="00FE50A6">
        <w:rPr>
          <w:rFonts w:cs="Arial"/>
          <w:iCs/>
          <w:szCs w:val="20"/>
          <w:lang w:val="en-US"/>
        </w:rPr>
        <w:t>000</w:t>
      </w:r>
      <w:r w:rsidRPr="00FE50A6">
        <w:rPr>
          <w:rFonts w:cs="Arial"/>
          <w:iCs/>
          <w:szCs w:val="20"/>
          <w:lang w:val="en-US"/>
        </w:rPr>
        <w:t>.</w:t>
      </w:r>
      <w:r w:rsidR="00D53175" w:rsidRPr="00FE50A6">
        <w:rPr>
          <w:rFonts w:cs="Arial"/>
          <w:iCs/>
          <w:szCs w:val="20"/>
          <w:lang w:val="en-US"/>
        </w:rPr>
        <w:t>00</w:t>
      </w:r>
      <w:r w:rsidR="004B0842" w:rsidRPr="00FE50A6">
        <w:rPr>
          <w:rFonts w:cs="Arial"/>
          <w:iCs/>
          <w:szCs w:val="20"/>
          <w:lang w:val="en-US"/>
        </w:rPr>
        <w:t xml:space="preserve"> </w:t>
      </w:r>
      <w:r w:rsidR="00D53175" w:rsidRPr="00FE50A6">
        <w:rPr>
          <w:rFonts w:cs="Arial"/>
          <w:iCs/>
          <w:szCs w:val="20"/>
          <w:lang w:val="en-US"/>
        </w:rPr>
        <w:t>(</w:t>
      </w:r>
      <w:r w:rsidRPr="00FE50A6">
        <w:rPr>
          <w:rFonts w:cs="Arial"/>
          <w:iCs/>
          <w:szCs w:val="20"/>
          <w:lang w:val="en-US"/>
        </w:rPr>
        <w:t xml:space="preserve">fifty </w:t>
      </w:r>
      <w:r w:rsidR="00601268" w:rsidRPr="00FE50A6">
        <w:rPr>
          <w:rFonts w:cs="Arial"/>
          <w:iCs/>
          <w:szCs w:val="20"/>
          <w:lang w:val="en-US"/>
        </w:rPr>
        <w:t>thousand United States dollars</w:t>
      </w:r>
      <w:r w:rsidR="00D53175" w:rsidRPr="00FE50A6">
        <w:rPr>
          <w:rFonts w:cs="Arial"/>
          <w:iCs/>
          <w:szCs w:val="20"/>
          <w:lang w:val="en-US"/>
        </w:rPr>
        <w:t xml:space="preserve">) </w:t>
      </w:r>
      <w:r w:rsidRPr="00FE50A6">
        <w:rPr>
          <w:rFonts w:cs="Arial"/>
          <w:iCs/>
          <w:szCs w:val="20"/>
          <w:lang w:val="en-US"/>
        </w:rPr>
        <w:t>to</w:t>
      </w:r>
      <w:r w:rsidR="004B0842" w:rsidRPr="00FE50A6">
        <w:rPr>
          <w:rFonts w:cs="Arial"/>
          <w:iCs/>
          <w:szCs w:val="20"/>
          <w:lang w:val="en-US"/>
        </w:rPr>
        <w:t xml:space="preserve"> CEJIL</w:t>
      </w:r>
      <w:r w:rsidR="00D53175" w:rsidRPr="00FE50A6">
        <w:rPr>
          <w:rFonts w:cs="Arial"/>
          <w:iCs/>
          <w:szCs w:val="20"/>
          <w:lang w:val="en-US"/>
        </w:rPr>
        <w:t>.</w:t>
      </w:r>
      <w:r w:rsidR="004B0842" w:rsidRPr="00FE50A6">
        <w:rPr>
          <w:rFonts w:cs="Arial"/>
          <w:b/>
          <w:iCs/>
          <w:szCs w:val="20"/>
          <w:lang w:val="en-US"/>
        </w:rPr>
        <w:t xml:space="preserve"> </w:t>
      </w:r>
    </w:p>
    <w:p w14:paraId="10540312" w14:textId="77777777" w:rsidR="004B0842" w:rsidRPr="00FE50A6" w:rsidRDefault="004B0842" w:rsidP="004B0842">
      <w:pPr>
        <w:pStyle w:val="Prrafodelista"/>
        <w:autoSpaceDE w:val="0"/>
        <w:autoSpaceDN w:val="0"/>
        <w:adjustRightInd w:val="0"/>
        <w:rPr>
          <w:rFonts w:cs="Arial"/>
          <w:iCs/>
          <w:szCs w:val="20"/>
          <w:lang w:val="en-US"/>
        </w:rPr>
      </w:pPr>
    </w:p>
    <w:p w14:paraId="02068230" w14:textId="77777777" w:rsidR="004B0842" w:rsidRPr="00FE50A6" w:rsidRDefault="007A61B7" w:rsidP="008B0BCC">
      <w:pPr>
        <w:pStyle w:val="Ttulo2"/>
        <w:numPr>
          <w:ilvl w:val="0"/>
          <w:numId w:val="21"/>
        </w:numPr>
      </w:pPr>
      <w:r w:rsidRPr="00FE50A6">
        <w:t>Method of complying with the payments ordered</w:t>
      </w:r>
      <w:bookmarkEnd w:id="395"/>
      <w:bookmarkEnd w:id="396"/>
      <w:bookmarkEnd w:id="397"/>
    </w:p>
    <w:p w14:paraId="4EBD2B33" w14:textId="77777777" w:rsidR="004B0842" w:rsidRPr="00FE50A6" w:rsidRDefault="004B0842" w:rsidP="004B0842">
      <w:pPr>
        <w:pStyle w:val="Prrafodelista"/>
        <w:autoSpaceDE w:val="0"/>
        <w:autoSpaceDN w:val="0"/>
        <w:adjustRightInd w:val="0"/>
        <w:rPr>
          <w:rFonts w:cs="Arial"/>
          <w:iCs/>
          <w:szCs w:val="20"/>
          <w:lang w:val="en-US"/>
        </w:rPr>
      </w:pPr>
    </w:p>
    <w:p w14:paraId="4A2F3379"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State</w:t>
      </w:r>
      <w:r w:rsidR="004B0842" w:rsidRPr="00FE50A6">
        <w:rPr>
          <w:rFonts w:cs="Arial"/>
          <w:iCs/>
          <w:szCs w:val="20"/>
          <w:lang w:val="en-US"/>
        </w:rPr>
        <w:t xml:space="preserve"> </w:t>
      </w:r>
      <w:r w:rsidR="00B179C9" w:rsidRPr="00FE50A6">
        <w:rPr>
          <w:rFonts w:cs="Arial"/>
          <w:iCs/>
          <w:szCs w:val="20"/>
          <w:lang w:val="en-US"/>
        </w:rPr>
        <w:t xml:space="preserve">shall make the payment of the compensation for non-pecuniary damage and to reimburse the </w:t>
      </w:r>
      <w:r w:rsidR="008D6C50" w:rsidRPr="00FE50A6">
        <w:rPr>
          <w:rFonts w:cs="Arial"/>
          <w:iCs/>
          <w:szCs w:val="20"/>
          <w:lang w:val="en-US"/>
        </w:rPr>
        <w:t>costs and expenses</w:t>
      </w:r>
      <w:r w:rsidR="004B0842" w:rsidRPr="00FE50A6">
        <w:rPr>
          <w:rFonts w:cs="Arial"/>
          <w:iCs/>
          <w:szCs w:val="20"/>
          <w:lang w:val="en-US"/>
        </w:rPr>
        <w:t xml:space="preserve"> </w:t>
      </w:r>
      <w:r w:rsidR="00BC6362" w:rsidRPr="00FE50A6">
        <w:rPr>
          <w:rFonts w:cs="Arial"/>
          <w:iCs/>
          <w:szCs w:val="20"/>
          <w:lang w:val="en-US"/>
        </w:rPr>
        <w:t>established in</w:t>
      </w:r>
      <w:r w:rsidR="004B0842" w:rsidRPr="00FE50A6">
        <w:rPr>
          <w:rFonts w:cs="Arial"/>
          <w:iCs/>
          <w:szCs w:val="20"/>
          <w:lang w:val="en-US"/>
        </w:rPr>
        <w:t xml:space="preserve"> </w:t>
      </w:r>
      <w:r w:rsidR="00B179C9" w:rsidRPr="00FE50A6">
        <w:rPr>
          <w:rFonts w:cs="Arial"/>
          <w:iCs/>
          <w:szCs w:val="20"/>
          <w:lang w:val="en-US"/>
        </w:rPr>
        <w:t xml:space="preserve">this judgment to the persons and organizations indicated herein, within one year from </w:t>
      </w:r>
      <w:r w:rsidR="004E3501" w:rsidRPr="00FE50A6">
        <w:rPr>
          <w:rFonts w:cs="Arial"/>
          <w:iCs/>
          <w:szCs w:val="20"/>
          <w:lang w:val="en-US"/>
        </w:rPr>
        <w:t>notification</w:t>
      </w:r>
      <w:r w:rsidR="004B0842" w:rsidRPr="00FE50A6">
        <w:rPr>
          <w:rFonts w:cs="Arial"/>
          <w:iCs/>
          <w:szCs w:val="20"/>
          <w:lang w:val="en-US"/>
        </w:rPr>
        <w:t xml:space="preserve"> </w:t>
      </w:r>
      <w:r w:rsidR="00B179C9" w:rsidRPr="00FE50A6">
        <w:rPr>
          <w:rFonts w:cs="Arial"/>
          <w:iCs/>
          <w:szCs w:val="20"/>
          <w:lang w:val="en-US"/>
        </w:rPr>
        <w:t>of this judgment</w:t>
      </w:r>
      <w:r w:rsidR="004B0842" w:rsidRPr="00FE50A6">
        <w:rPr>
          <w:rFonts w:cs="Arial"/>
          <w:iCs/>
          <w:szCs w:val="20"/>
          <w:lang w:val="en-US"/>
        </w:rPr>
        <w:t xml:space="preserve">, </w:t>
      </w:r>
      <w:r w:rsidR="00351E20" w:rsidRPr="00FE50A6">
        <w:rPr>
          <w:rFonts w:cs="Arial"/>
          <w:iCs/>
          <w:szCs w:val="20"/>
          <w:lang w:val="en-US"/>
        </w:rPr>
        <w:t>in the terms of</w:t>
      </w:r>
      <w:r w:rsidR="004B0842" w:rsidRPr="00FE50A6">
        <w:rPr>
          <w:rFonts w:cs="Arial"/>
          <w:iCs/>
          <w:szCs w:val="20"/>
          <w:lang w:val="en-US"/>
        </w:rPr>
        <w:t xml:space="preserve"> </w:t>
      </w:r>
      <w:r w:rsidR="00B179C9" w:rsidRPr="00FE50A6">
        <w:rPr>
          <w:rFonts w:cs="Arial"/>
          <w:iCs/>
          <w:szCs w:val="20"/>
          <w:lang w:val="en-US"/>
        </w:rPr>
        <w:t>the following paragraphs</w:t>
      </w:r>
      <w:r w:rsidR="004B0842" w:rsidRPr="00FE50A6">
        <w:rPr>
          <w:rFonts w:cs="Arial"/>
          <w:iCs/>
          <w:szCs w:val="20"/>
          <w:lang w:val="en-US"/>
        </w:rPr>
        <w:t>.</w:t>
      </w:r>
    </w:p>
    <w:p w14:paraId="0FD681AD" w14:textId="77777777" w:rsidR="004B0842" w:rsidRPr="00FE50A6" w:rsidRDefault="00236A9C" w:rsidP="00236A9C">
      <w:pPr>
        <w:pStyle w:val="Prrafodelista"/>
        <w:tabs>
          <w:tab w:val="left" w:pos="2474"/>
        </w:tabs>
        <w:autoSpaceDE w:val="0"/>
        <w:autoSpaceDN w:val="0"/>
        <w:adjustRightInd w:val="0"/>
        <w:rPr>
          <w:rFonts w:cs="Arial"/>
          <w:iCs/>
          <w:szCs w:val="20"/>
          <w:lang w:val="en-US"/>
        </w:rPr>
      </w:pPr>
      <w:r w:rsidRPr="00FE50A6">
        <w:rPr>
          <w:rFonts w:cs="Arial"/>
          <w:iCs/>
          <w:szCs w:val="20"/>
          <w:lang w:val="en-US"/>
        </w:rPr>
        <w:tab/>
      </w:r>
    </w:p>
    <w:p w14:paraId="33397FB9" w14:textId="77777777" w:rsidR="004B0842" w:rsidRPr="00FE50A6" w:rsidRDefault="00B179C9"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If any of the beneficiaries is deceased or dies before they receive the respective compensation, this shall be delivered directly to their heirs pursuant to the applicable domestic law.</w:t>
      </w:r>
    </w:p>
    <w:p w14:paraId="3FE5A6B0" w14:textId="77777777" w:rsidR="004B0842" w:rsidRPr="00FE50A6" w:rsidRDefault="004B0842" w:rsidP="004B0842">
      <w:pPr>
        <w:pStyle w:val="Prrafodelista"/>
        <w:autoSpaceDE w:val="0"/>
        <w:autoSpaceDN w:val="0"/>
        <w:adjustRightInd w:val="0"/>
        <w:rPr>
          <w:rFonts w:cs="Arial"/>
          <w:iCs/>
          <w:szCs w:val="20"/>
          <w:lang w:val="en-US"/>
        </w:rPr>
      </w:pPr>
    </w:p>
    <w:p w14:paraId="6838768A" w14:textId="77777777" w:rsidR="004B0842" w:rsidRPr="00FE50A6" w:rsidRDefault="000228D0"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The State</w:t>
      </w:r>
      <w:r w:rsidR="004B0842" w:rsidRPr="00FE50A6">
        <w:rPr>
          <w:rFonts w:cs="Arial"/>
          <w:iCs/>
          <w:szCs w:val="20"/>
          <w:lang w:val="en-US"/>
        </w:rPr>
        <w:t xml:space="preserve"> </w:t>
      </w:r>
      <w:r w:rsidR="00B179C9" w:rsidRPr="00FE50A6">
        <w:rPr>
          <w:rFonts w:cs="Arial"/>
          <w:iCs/>
          <w:szCs w:val="20"/>
          <w:lang w:val="en-US"/>
        </w:rPr>
        <w:t xml:space="preserve">shall comply with its pecuniary obligations by payment in </w:t>
      </w:r>
      <w:r w:rsidR="00601268" w:rsidRPr="00FE50A6">
        <w:rPr>
          <w:rFonts w:cs="Arial"/>
          <w:iCs/>
          <w:szCs w:val="20"/>
          <w:lang w:val="en-US"/>
        </w:rPr>
        <w:t>United States dollars</w:t>
      </w:r>
      <w:r w:rsidR="004B0842" w:rsidRPr="00FE50A6">
        <w:rPr>
          <w:rFonts w:cs="Arial"/>
          <w:iCs/>
          <w:szCs w:val="20"/>
          <w:lang w:val="en-US"/>
        </w:rPr>
        <w:t xml:space="preserve">, </w:t>
      </w:r>
      <w:r w:rsidR="001F6719" w:rsidRPr="00FE50A6">
        <w:rPr>
          <w:rFonts w:cs="Arial"/>
          <w:iCs/>
          <w:szCs w:val="20"/>
          <w:lang w:val="en-US"/>
        </w:rPr>
        <w:t>o</w:t>
      </w:r>
      <w:r w:rsidR="00B179C9" w:rsidRPr="00FE50A6">
        <w:rPr>
          <w:rFonts w:cs="Arial"/>
          <w:iCs/>
          <w:szCs w:val="20"/>
          <w:lang w:val="en-US"/>
        </w:rPr>
        <w:t>r the equivalent in Brazilian currency, using the exchange rate in force on the New York Stock Exchange</w:t>
      </w:r>
      <w:r w:rsidR="003D6C36" w:rsidRPr="00FE50A6">
        <w:rPr>
          <w:rFonts w:cs="Arial"/>
          <w:iCs/>
          <w:szCs w:val="20"/>
          <w:lang w:val="en-US"/>
        </w:rPr>
        <w:t xml:space="preserve"> (</w:t>
      </w:r>
      <w:r w:rsidR="00B179C9" w:rsidRPr="00FE50A6">
        <w:rPr>
          <w:rFonts w:cs="Arial"/>
          <w:iCs/>
          <w:szCs w:val="20"/>
          <w:lang w:val="en-US"/>
        </w:rPr>
        <w:t>United States of America</w:t>
      </w:r>
      <w:r w:rsidR="003D6C36" w:rsidRPr="00FE50A6">
        <w:rPr>
          <w:rFonts w:cs="Arial"/>
          <w:iCs/>
          <w:szCs w:val="20"/>
          <w:lang w:val="en-US"/>
        </w:rPr>
        <w:t>)</w:t>
      </w:r>
      <w:r w:rsidR="00B179C9" w:rsidRPr="00FE50A6">
        <w:rPr>
          <w:rFonts w:cs="Arial"/>
          <w:iCs/>
          <w:szCs w:val="20"/>
          <w:lang w:val="en-US"/>
        </w:rPr>
        <w:t>, the day before payment</w:t>
      </w:r>
      <w:r w:rsidR="00B8352A" w:rsidRPr="00FE50A6">
        <w:rPr>
          <w:rFonts w:cs="Arial"/>
          <w:iCs/>
          <w:szCs w:val="20"/>
          <w:lang w:val="en-US"/>
        </w:rPr>
        <w:t xml:space="preserve"> to make the calculation</w:t>
      </w:r>
      <w:r w:rsidR="00B179C9" w:rsidRPr="00FE50A6">
        <w:rPr>
          <w:rFonts w:cs="Arial"/>
          <w:iCs/>
          <w:szCs w:val="20"/>
          <w:lang w:val="en-US"/>
        </w:rPr>
        <w:t>.</w:t>
      </w:r>
    </w:p>
    <w:p w14:paraId="59288CB5" w14:textId="77777777" w:rsidR="004B0842" w:rsidRPr="00FE50A6" w:rsidRDefault="004B0842" w:rsidP="004B0842">
      <w:pPr>
        <w:pStyle w:val="Prrafodelista"/>
        <w:autoSpaceDE w:val="0"/>
        <w:autoSpaceDN w:val="0"/>
        <w:adjustRightInd w:val="0"/>
        <w:rPr>
          <w:rFonts w:cs="Arial"/>
          <w:iCs/>
          <w:szCs w:val="20"/>
          <w:lang w:val="en-US"/>
        </w:rPr>
      </w:pPr>
    </w:p>
    <w:p w14:paraId="03AAF045" w14:textId="77777777" w:rsidR="00B8352A" w:rsidRPr="00FE50A6" w:rsidRDefault="00B8352A" w:rsidP="004B0842">
      <w:pPr>
        <w:pStyle w:val="Prrafodelista"/>
        <w:numPr>
          <w:ilvl w:val="0"/>
          <w:numId w:val="1"/>
        </w:numPr>
        <w:autoSpaceDE w:val="0"/>
        <w:autoSpaceDN w:val="0"/>
        <w:adjustRightInd w:val="0"/>
        <w:rPr>
          <w:rFonts w:cs="Arial"/>
          <w:iCs/>
          <w:szCs w:val="20"/>
          <w:lang w:val="en-US"/>
        </w:rPr>
      </w:pPr>
      <w:r w:rsidRPr="00FE50A6">
        <w:rPr>
          <w:rFonts w:cs="Arial"/>
          <w:iCs/>
          <w:szCs w:val="20"/>
          <w:lang w:val="en-US"/>
        </w:rPr>
        <w:t>If, for causes that can be attributed to any of the beneficiaries of the compensation or their heirs, it is not possible to pay all or part of the amounts established within the time frame indicated, the State shall deposit such amounts in an account or deposit certificate in their favor in a solvent Brazilian financial institution, in United States dollars, and in the most favorable financial conditions permitted by the State’s banking law and practice. If the corresponding compensation is not claimed, after 10 years, the amount shall be returned to the State with the interest accrued.</w:t>
      </w:r>
    </w:p>
    <w:p w14:paraId="4FD04BDA" w14:textId="77777777" w:rsidR="004B0842" w:rsidRPr="00FE50A6" w:rsidRDefault="004B0842" w:rsidP="00B8352A">
      <w:pPr>
        <w:autoSpaceDE w:val="0"/>
        <w:autoSpaceDN w:val="0"/>
        <w:adjustRightInd w:val="0"/>
        <w:rPr>
          <w:rFonts w:cs="Arial"/>
          <w:iCs/>
          <w:szCs w:val="20"/>
          <w:lang w:val="en-US"/>
        </w:rPr>
      </w:pPr>
    </w:p>
    <w:p w14:paraId="04FABA4C" w14:textId="77777777" w:rsidR="004B0842" w:rsidRPr="00FE50A6" w:rsidRDefault="00B8352A" w:rsidP="001425E4">
      <w:pPr>
        <w:pStyle w:val="Prrafodelista"/>
        <w:numPr>
          <w:ilvl w:val="0"/>
          <w:numId w:val="1"/>
        </w:numPr>
        <w:autoSpaceDE w:val="0"/>
        <w:autoSpaceDN w:val="0"/>
        <w:adjustRightInd w:val="0"/>
        <w:rPr>
          <w:rFonts w:cs="Arial"/>
          <w:iCs/>
          <w:szCs w:val="20"/>
          <w:lang w:val="en-US"/>
        </w:rPr>
      </w:pPr>
      <w:r w:rsidRPr="00FE50A6">
        <w:rPr>
          <w:rFonts w:cs="Arial"/>
          <w:iCs/>
          <w:szCs w:val="20"/>
          <w:lang w:val="en-US"/>
        </w:rPr>
        <w:t xml:space="preserve">The amounts allocated in this judgment as compensation for non-pecuniary damage and to reimburse </w:t>
      </w:r>
      <w:r w:rsidR="008D6C50" w:rsidRPr="00FE50A6">
        <w:rPr>
          <w:rFonts w:cs="Arial"/>
          <w:iCs/>
          <w:szCs w:val="20"/>
          <w:lang w:val="en-US"/>
        </w:rPr>
        <w:t>costs and expenses</w:t>
      </w:r>
      <w:r w:rsidRPr="00FE50A6">
        <w:rPr>
          <w:rFonts w:cs="Arial"/>
          <w:iCs/>
          <w:szCs w:val="20"/>
          <w:lang w:val="en-US"/>
        </w:rPr>
        <w:t xml:space="preserve"> shall be delivered to the persons and organizations indicated in full, as established in this judgment, without deductions resulting from possible taxes or charges.</w:t>
      </w:r>
      <w:r w:rsidR="004B0842" w:rsidRPr="00FE50A6">
        <w:rPr>
          <w:rFonts w:cs="Arial"/>
          <w:iCs/>
          <w:szCs w:val="20"/>
          <w:lang w:val="en-US"/>
        </w:rPr>
        <w:t xml:space="preserve"> </w:t>
      </w:r>
    </w:p>
    <w:p w14:paraId="21C9AFC2" w14:textId="77777777" w:rsidR="006878A8" w:rsidRPr="00FE50A6" w:rsidRDefault="006878A8" w:rsidP="00F74CCF">
      <w:pPr>
        <w:pStyle w:val="Prrafodelista"/>
        <w:rPr>
          <w:rFonts w:cs="Arial"/>
          <w:iCs/>
          <w:szCs w:val="20"/>
          <w:lang w:val="en-US"/>
        </w:rPr>
      </w:pPr>
    </w:p>
    <w:p w14:paraId="51685727" w14:textId="77777777" w:rsidR="001156BC" w:rsidRPr="00FE50A6" w:rsidRDefault="00B8352A" w:rsidP="001156BC">
      <w:pPr>
        <w:pStyle w:val="Prrafodelista"/>
        <w:numPr>
          <w:ilvl w:val="0"/>
          <w:numId w:val="1"/>
        </w:numPr>
        <w:autoSpaceDE w:val="0"/>
        <w:autoSpaceDN w:val="0"/>
        <w:adjustRightInd w:val="0"/>
        <w:rPr>
          <w:rFonts w:cs="Arial"/>
          <w:iCs/>
          <w:szCs w:val="20"/>
          <w:lang w:val="en-US"/>
        </w:rPr>
      </w:pPr>
      <w:r w:rsidRPr="00FE50A6">
        <w:rPr>
          <w:spacing w:val="-2"/>
          <w:lang w:val="en-US"/>
        </w:rPr>
        <w:t xml:space="preserve">If the State should fall in arrears, it shall pay interest on the amount owed corresponding to banking interest on arrears in </w:t>
      </w:r>
      <w:r w:rsidR="000228D0" w:rsidRPr="00FE50A6">
        <w:rPr>
          <w:spacing w:val="-2"/>
          <w:lang w:val="en-US"/>
        </w:rPr>
        <w:t>the Federative Republic of</w:t>
      </w:r>
      <w:r w:rsidR="006878A8" w:rsidRPr="00FE50A6">
        <w:rPr>
          <w:spacing w:val="-2"/>
          <w:lang w:val="en-US"/>
        </w:rPr>
        <w:t xml:space="preserve"> </w:t>
      </w:r>
      <w:r w:rsidR="000228D0" w:rsidRPr="00FE50A6">
        <w:rPr>
          <w:spacing w:val="-2"/>
          <w:lang w:val="en-US"/>
        </w:rPr>
        <w:t>Brazil</w:t>
      </w:r>
      <w:r w:rsidR="006878A8" w:rsidRPr="00FE50A6">
        <w:rPr>
          <w:spacing w:val="-2"/>
          <w:lang w:val="en-US"/>
        </w:rPr>
        <w:t>.</w:t>
      </w:r>
    </w:p>
    <w:p w14:paraId="2AE45D6B" w14:textId="77777777" w:rsidR="001156BC" w:rsidRPr="00FE50A6" w:rsidRDefault="001156BC" w:rsidP="001156BC">
      <w:pPr>
        <w:pStyle w:val="Prrafodelista2"/>
        <w:ind w:left="0" w:right="-90"/>
        <w:contextualSpacing/>
        <w:rPr>
          <w:lang w:val="en-US"/>
        </w:rPr>
      </w:pPr>
    </w:p>
    <w:p w14:paraId="15E09B14" w14:textId="77777777" w:rsidR="00702C18" w:rsidRPr="00FE50A6" w:rsidRDefault="00702C18" w:rsidP="00702C18">
      <w:pPr>
        <w:keepNext/>
        <w:keepLines/>
        <w:tabs>
          <w:tab w:val="left" w:pos="851"/>
        </w:tabs>
        <w:jc w:val="center"/>
        <w:outlineLvl w:val="0"/>
        <w:rPr>
          <w:rFonts w:eastAsia="Cambria" w:cs="Verdana"/>
          <w:b/>
          <w:bCs/>
          <w:caps/>
          <w:snapToGrid w:val="0"/>
          <w:kern w:val="32"/>
          <w:szCs w:val="20"/>
          <w:lang w:val="en-US"/>
        </w:rPr>
      </w:pPr>
      <w:bookmarkStart w:id="398" w:name="_Toc375517156"/>
      <w:bookmarkStart w:id="399" w:name="_Toc459158160"/>
      <w:bookmarkStart w:id="400" w:name="_Toc464813999"/>
      <w:r w:rsidRPr="00FE50A6">
        <w:rPr>
          <w:rFonts w:eastAsia="Cambria" w:cs="Verdana"/>
          <w:b/>
          <w:bCs/>
          <w:caps/>
          <w:snapToGrid w:val="0"/>
          <w:kern w:val="32"/>
          <w:szCs w:val="20"/>
          <w:lang w:val="en-US"/>
        </w:rPr>
        <w:t>X</w:t>
      </w:r>
      <w:r w:rsidRPr="00FE50A6">
        <w:rPr>
          <w:rFonts w:eastAsia="Cambria" w:cs="Verdana"/>
          <w:b/>
          <w:bCs/>
          <w:caps/>
          <w:snapToGrid w:val="0"/>
          <w:kern w:val="32"/>
          <w:szCs w:val="20"/>
          <w:lang w:val="en-US"/>
        </w:rPr>
        <w:br/>
      </w:r>
      <w:r w:rsidR="00351E20" w:rsidRPr="00FE50A6">
        <w:rPr>
          <w:rFonts w:eastAsia="Cambria" w:cs="Verdana"/>
          <w:b/>
          <w:bCs/>
          <w:caps/>
          <w:snapToGrid w:val="0"/>
          <w:kern w:val="32"/>
          <w:szCs w:val="20"/>
          <w:lang w:val="en-US"/>
        </w:rPr>
        <w:t>OPERATIVE PARAGRAPHS</w:t>
      </w:r>
      <w:bookmarkEnd w:id="398"/>
      <w:bookmarkEnd w:id="399"/>
      <w:bookmarkEnd w:id="400"/>
    </w:p>
    <w:p w14:paraId="64AA137F" w14:textId="77777777" w:rsidR="00702C18" w:rsidRPr="00FE50A6" w:rsidRDefault="00702C18" w:rsidP="00702C18">
      <w:pPr>
        <w:tabs>
          <w:tab w:val="clear" w:pos="4419"/>
          <w:tab w:val="clear" w:pos="8838"/>
        </w:tabs>
        <w:ind w:left="720" w:right="-90"/>
        <w:contextualSpacing/>
        <w:rPr>
          <w:rFonts w:eastAsia="MS Mincho" w:cs="Times New Roman"/>
          <w:szCs w:val="20"/>
          <w:lang w:val="en-US" w:bidi="en-US"/>
        </w:rPr>
      </w:pPr>
    </w:p>
    <w:p w14:paraId="6BBAE90B" w14:textId="77777777" w:rsidR="00702C18" w:rsidRPr="00FE50A6" w:rsidRDefault="00351E20" w:rsidP="008B0BCC">
      <w:pPr>
        <w:numPr>
          <w:ilvl w:val="0"/>
          <w:numId w:val="25"/>
        </w:numPr>
        <w:tabs>
          <w:tab w:val="clear" w:pos="4419"/>
          <w:tab w:val="clear" w:pos="8838"/>
          <w:tab w:val="left" w:pos="0"/>
        </w:tabs>
        <w:ind w:left="0" w:right="-90" w:firstLine="0"/>
        <w:jc w:val="both"/>
        <w:rPr>
          <w:rFonts w:eastAsia="MS Mincho" w:cs="Times New Roman"/>
          <w:szCs w:val="20"/>
          <w:lang w:val="en-US" w:bidi="en-US"/>
        </w:rPr>
      </w:pPr>
      <w:r w:rsidRPr="00FE50A6">
        <w:rPr>
          <w:rFonts w:eastAsia="MS Mincho" w:cs="Times New Roman"/>
          <w:szCs w:val="20"/>
          <w:lang w:val="en-US" w:bidi="en-US"/>
        </w:rPr>
        <w:t>Therefore</w:t>
      </w:r>
      <w:r w:rsidR="00702C18" w:rsidRPr="00FE50A6">
        <w:rPr>
          <w:rFonts w:eastAsia="MS Mincho" w:cs="Times New Roman"/>
          <w:szCs w:val="20"/>
          <w:lang w:val="en-US" w:bidi="en-US"/>
        </w:rPr>
        <w:t xml:space="preserve">, </w:t>
      </w:r>
    </w:p>
    <w:p w14:paraId="7C8B3923" w14:textId="77777777" w:rsidR="00702C18" w:rsidRPr="00FE50A6" w:rsidRDefault="00702C18" w:rsidP="00702C18">
      <w:pPr>
        <w:tabs>
          <w:tab w:val="clear" w:pos="4419"/>
          <w:tab w:val="clear" w:pos="8838"/>
          <w:tab w:val="left" w:pos="720"/>
        </w:tabs>
        <w:ind w:left="720" w:right="-90"/>
        <w:contextualSpacing/>
        <w:rPr>
          <w:rFonts w:eastAsia="MS Mincho" w:cs="Times New Roman"/>
          <w:szCs w:val="20"/>
          <w:lang w:val="en-US" w:bidi="en-US"/>
        </w:rPr>
      </w:pPr>
    </w:p>
    <w:p w14:paraId="041BF485" w14:textId="77777777" w:rsidR="00702C18" w:rsidRPr="00FE50A6" w:rsidRDefault="000228D0" w:rsidP="00702C18">
      <w:pPr>
        <w:tabs>
          <w:tab w:val="clear" w:pos="4419"/>
          <w:tab w:val="clear" w:pos="8838"/>
          <w:tab w:val="left" w:pos="720"/>
        </w:tabs>
        <w:ind w:right="-90"/>
        <w:contextualSpacing/>
        <w:rPr>
          <w:rFonts w:eastAsia="MS Mincho" w:cs="Times New Roman"/>
          <w:szCs w:val="20"/>
          <w:lang w:val="en-US" w:bidi="en-US"/>
        </w:rPr>
      </w:pPr>
      <w:r w:rsidRPr="00FE50A6">
        <w:rPr>
          <w:rFonts w:eastAsia="MS Mincho" w:cs="Times New Roman"/>
          <w:b/>
          <w:bCs/>
          <w:szCs w:val="20"/>
          <w:lang w:val="en-US" w:bidi="en-US"/>
        </w:rPr>
        <w:t>THE COURT</w:t>
      </w:r>
      <w:r w:rsidR="00702C18" w:rsidRPr="00FE50A6">
        <w:rPr>
          <w:rFonts w:eastAsia="MS Mincho" w:cs="Times New Roman"/>
          <w:b/>
          <w:bCs/>
          <w:szCs w:val="20"/>
          <w:lang w:val="en-US" w:bidi="en-US"/>
        </w:rPr>
        <w:t xml:space="preserve"> </w:t>
      </w:r>
    </w:p>
    <w:p w14:paraId="3F804F15" w14:textId="77777777" w:rsidR="00702C18" w:rsidRPr="00FE50A6" w:rsidRDefault="00702C18" w:rsidP="00702C18">
      <w:pPr>
        <w:tabs>
          <w:tab w:val="clear" w:pos="4419"/>
          <w:tab w:val="clear" w:pos="8838"/>
          <w:tab w:val="left" w:pos="720"/>
        </w:tabs>
        <w:ind w:right="-90"/>
        <w:contextualSpacing/>
        <w:rPr>
          <w:rFonts w:eastAsia="MS Mincho" w:cs="Times New Roman"/>
          <w:szCs w:val="20"/>
          <w:lang w:val="en-US" w:bidi="en-US"/>
        </w:rPr>
      </w:pPr>
    </w:p>
    <w:p w14:paraId="3866BE62" w14:textId="77777777" w:rsidR="00702C18" w:rsidRPr="00FE50A6" w:rsidRDefault="00702C18" w:rsidP="00702C18">
      <w:pPr>
        <w:tabs>
          <w:tab w:val="clear" w:pos="4419"/>
          <w:tab w:val="clear" w:pos="8838"/>
          <w:tab w:val="left" w:pos="720"/>
        </w:tabs>
        <w:ind w:right="-90"/>
        <w:contextualSpacing/>
        <w:rPr>
          <w:rFonts w:eastAsia="MS Mincho" w:cs="Times New Roman"/>
          <w:b/>
          <w:szCs w:val="20"/>
          <w:lang w:val="en-US" w:bidi="en-US"/>
        </w:rPr>
      </w:pPr>
      <w:r w:rsidRPr="00FE50A6">
        <w:rPr>
          <w:rFonts w:eastAsia="MS Mincho" w:cs="Times New Roman"/>
          <w:b/>
          <w:szCs w:val="20"/>
          <w:lang w:val="en-US" w:bidi="en-US"/>
        </w:rPr>
        <w:t>DECIDE</w:t>
      </w:r>
      <w:r w:rsidR="00351E20" w:rsidRPr="00FE50A6">
        <w:rPr>
          <w:rFonts w:eastAsia="MS Mincho" w:cs="Times New Roman"/>
          <w:b/>
          <w:szCs w:val="20"/>
          <w:lang w:val="en-US" w:bidi="en-US"/>
        </w:rPr>
        <w:t>S</w:t>
      </w:r>
      <w:r w:rsidRPr="00FE50A6">
        <w:rPr>
          <w:rFonts w:eastAsia="MS Mincho" w:cs="Times New Roman"/>
          <w:b/>
          <w:szCs w:val="20"/>
          <w:lang w:val="en-US" w:bidi="en-US"/>
        </w:rPr>
        <w:t xml:space="preserve">, </w:t>
      </w:r>
    </w:p>
    <w:p w14:paraId="58A282B4" w14:textId="77777777" w:rsidR="00702C18" w:rsidRPr="00FE50A6" w:rsidRDefault="00702C18" w:rsidP="00702C18">
      <w:pPr>
        <w:tabs>
          <w:tab w:val="clear" w:pos="4419"/>
          <w:tab w:val="clear" w:pos="8838"/>
          <w:tab w:val="left" w:pos="720"/>
        </w:tabs>
        <w:ind w:right="-90"/>
        <w:contextualSpacing/>
        <w:rPr>
          <w:rFonts w:eastAsia="MS Mincho" w:cs="Times New Roman"/>
          <w:szCs w:val="20"/>
          <w:lang w:val="en-US" w:bidi="en-US"/>
        </w:rPr>
      </w:pPr>
      <w:r w:rsidRPr="00FE50A6">
        <w:rPr>
          <w:rFonts w:eastAsia="MS Mincho" w:cs="Times New Roman"/>
          <w:szCs w:val="20"/>
          <w:lang w:val="en-US" w:bidi="en-US"/>
        </w:rPr>
        <w:t xml:space="preserve"> </w:t>
      </w:r>
    </w:p>
    <w:p w14:paraId="6D7D09B5" w14:textId="77777777" w:rsidR="00702C18" w:rsidRPr="00FE50A6" w:rsidRDefault="00351E20" w:rsidP="00702C18">
      <w:pPr>
        <w:tabs>
          <w:tab w:val="clear" w:pos="4419"/>
          <w:tab w:val="clear" w:pos="8838"/>
          <w:tab w:val="left" w:pos="720"/>
        </w:tabs>
        <w:ind w:right="-90"/>
        <w:contextualSpacing/>
        <w:rPr>
          <w:rFonts w:eastAsia="MS Mincho" w:cs="Times New Roman"/>
          <w:szCs w:val="20"/>
          <w:lang w:val="en-US" w:bidi="en-US"/>
        </w:rPr>
      </w:pPr>
      <w:r w:rsidRPr="00FE50A6">
        <w:rPr>
          <w:rFonts w:eastAsia="MS Mincho" w:cs="Times New Roman"/>
          <w:szCs w:val="20"/>
          <w:lang w:val="en-US" w:bidi="en-US"/>
        </w:rPr>
        <w:t>Unanimously</w:t>
      </w:r>
      <w:r w:rsidR="00702C18" w:rsidRPr="00FE50A6">
        <w:rPr>
          <w:rFonts w:eastAsia="MS Mincho" w:cs="Times New Roman"/>
          <w:szCs w:val="20"/>
          <w:lang w:val="en-US" w:bidi="en-US"/>
        </w:rPr>
        <w:t xml:space="preserve">, </w:t>
      </w:r>
    </w:p>
    <w:p w14:paraId="70EA482E" w14:textId="77777777" w:rsidR="00702C18" w:rsidRPr="00FE50A6" w:rsidRDefault="00702C18" w:rsidP="00702C18">
      <w:pPr>
        <w:tabs>
          <w:tab w:val="clear" w:pos="4419"/>
          <w:tab w:val="clear" w:pos="8838"/>
          <w:tab w:val="left" w:pos="720"/>
        </w:tabs>
        <w:ind w:right="-90"/>
        <w:contextualSpacing/>
        <w:rPr>
          <w:rFonts w:eastAsia="MS Mincho" w:cs="Times New Roman"/>
          <w:szCs w:val="20"/>
          <w:lang w:val="en-US" w:bidi="en-US"/>
        </w:rPr>
      </w:pPr>
    </w:p>
    <w:p w14:paraId="66E00E69" w14:textId="77777777" w:rsidR="00702C18" w:rsidRPr="00FE50A6" w:rsidRDefault="00351E20" w:rsidP="008B0BCC">
      <w:pPr>
        <w:numPr>
          <w:ilvl w:val="0"/>
          <w:numId w:val="14"/>
        </w:numPr>
        <w:tabs>
          <w:tab w:val="clear" w:pos="4419"/>
          <w:tab w:val="clear" w:pos="8838"/>
          <w:tab w:val="left" w:pos="720"/>
        </w:tabs>
        <w:ind w:right="-90"/>
        <w:contextualSpacing/>
        <w:jc w:val="both"/>
        <w:rPr>
          <w:rFonts w:eastAsia="Cambria" w:cs="Times New Roman"/>
          <w:lang w:val="en-US"/>
        </w:rPr>
      </w:pPr>
      <w:r w:rsidRPr="00FE50A6">
        <w:rPr>
          <w:rFonts w:eastAsia="MS Mincho" w:cs="Times New Roman"/>
          <w:szCs w:val="20"/>
          <w:lang w:val="en-US"/>
        </w:rPr>
        <w:t>To reject the</w:t>
      </w:r>
      <w:r w:rsidR="00702C18" w:rsidRPr="00FE50A6">
        <w:rPr>
          <w:rFonts w:eastAsia="Cambria" w:cs="Times New Roman"/>
          <w:szCs w:val="20"/>
          <w:lang w:val="en-US"/>
        </w:rPr>
        <w:t xml:space="preserve"> </w:t>
      </w:r>
      <w:r w:rsidR="00700B79" w:rsidRPr="00FE50A6">
        <w:rPr>
          <w:rFonts w:eastAsia="Cambria" w:cs="Times New Roman"/>
          <w:szCs w:val="20"/>
          <w:lang w:val="en-US"/>
        </w:rPr>
        <w:t>preliminary objections</w:t>
      </w:r>
      <w:r w:rsidR="00702C18" w:rsidRPr="00FE50A6">
        <w:rPr>
          <w:rFonts w:eastAsia="Cambria" w:cs="Times New Roman"/>
          <w:szCs w:val="20"/>
          <w:lang w:val="en-US"/>
        </w:rPr>
        <w:t xml:space="preserve"> </w:t>
      </w:r>
      <w:r w:rsidRPr="00FE50A6">
        <w:rPr>
          <w:rFonts w:eastAsia="Cambria" w:cs="Times New Roman"/>
          <w:szCs w:val="20"/>
          <w:lang w:val="en-US"/>
        </w:rPr>
        <w:t>filed by</w:t>
      </w:r>
      <w:r w:rsidR="00702C18" w:rsidRPr="00FE50A6">
        <w:rPr>
          <w:rFonts w:eastAsia="Cambria" w:cs="Times New Roman"/>
          <w:szCs w:val="20"/>
          <w:lang w:val="en-US"/>
        </w:rPr>
        <w:t xml:space="preserve"> </w:t>
      </w:r>
      <w:r w:rsidR="000228D0" w:rsidRPr="00FE50A6">
        <w:rPr>
          <w:rFonts w:eastAsia="Cambria" w:cs="Times New Roman"/>
          <w:szCs w:val="20"/>
          <w:lang w:val="en-US"/>
        </w:rPr>
        <w:t>the State</w:t>
      </w:r>
      <w:r w:rsidR="00702C18" w:rsidRPr="00FE50A6">
        <w:rPr>
          <w:rFonts w:eastAsia="Cambria" w:cs="Times New Roman"/>
          <w:szCs w:val="20"/>
          <w:lang w:val="en-US"/>
        </w:rPr>
        <w:t xml:space="preserve"> </w:t>
      </w:r>
      <w:r w:rsidR="001613F2" w:rsidRPr="00FE50A6">
        <w:rPr>
          <w:rFonts w:eastAsia="Cambria" w:cs="Times New Roman"/>
          <w:szCs w:val="20"/>
          <w:lang w:val="en-US"/>
        </w:rPr>
        <w:t>with regard to the i</w:t>
      </w:r>
      <w:r w:rsidR="00822837" w:rsidRPr="00FE50A6">
        <w:rPr>
          <w:rFonts w:eastAsia="Cambria" w:cs="Times New Roman"/>
          <w:szCs w:val="20"/>
          <w:lang w:val="en-US"/>
        </w:rPr>
        <w:t>nadmissibility of the submission of the case to</w:t>
      </w:r>
      <w:r w:rsidR="00303055" w:rsidRPr="00FE50A6">
        <w:rPr>
          <w:rFonts w:eastAsia="Batang" w:cs="Times"/>
          <w:noProof/>
          <w:szCs w:val="24"/>
          <w:lang w:val="en-US" w:eastAsia="es-ES"/>
        </w:rPr>
        <w:t xml:space="preserve"> </w:t>
      </w:r>
      <w:r w:rsidR="000228D0" w:rsidRPr="00FE50A6">
        <w:rPr>
          <w:rFonts w:eastAsia="Batang" w:cs="Times"/>
          <w:noProof/>
          <w:szCs w:val="24"/>
          <w:lang w:val="en-US" w:eastAsia="es-ES"/>
        </w:rPr>
        <w:t>the Court</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owing to the publication of the Merits Report by</w:t>
      </w:r>
      <w:r w:rsidR="000228D0" w:rsidRPr="00FE50A6">
        <w:rPr>
          <w:rFonts w:eastAsia="Batang" w:cs="Times"/>
          <w:noProof/>
          <w:szCs w:val="24"/>
          <w:lang w:val="en-US" w:eastAsia="es-ES"/>
        </w:rPr>
        <w:t xml:space="preserve"> the Commission</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w:t>
      </w:r>
      <w:r w:rsidR="009E7747" w:rsidRPr="00FE50A6">
        <w:rPr>
          <w:rFonts w:eastAsia="Batang" w:cs="Times"/>
          <w:noProof/>
          <w:szCs w:val="24"/>
          <w:lang w:val="en-US" w:eastAsia="es-ES"/>
        </w:rPr>
        <w:t xml:space="preserve"> </w:t>
      </w:r>
      <w:r w:rsidR="001613F2" w:rsidRPr="00FE50A6">
        <w:rPr>
          <w:rFonts w:eastAsia="Batang" w:cs="Times"/>
          <w:noProof/>
          <w:szCs w:val="24"/>
          <w:lang w:val="en-US" w:eastAsia="es-ES"/>
        </w:rPr>
        <w:t>l</w:t>
      </w:r>
      <w:r w:rsidR="00822837" w:rsidRPr="00FE50A6">
        <w:rPr>
          <w:rFonts w:eastAsia="Batang" w:cs="Times"/>
          <w:noProof/>
          <w:szCs w:val="24"/>
          <w:lang w:val="en-US" w:eastAsia="es-ES"/>
        </w:rPr>
        <w:t>ack of jurisdiction</w:t>
      </w:r>
      <w:r w:rsidR="00303055" w:rsidRPr="00FE50A6">
        <w:rPr>
          <w:rFonts w:eastAsia="Batang" w:cs="Times"/>
          <w:noProof/>
          <w:szCs w:val="24"/>
          <w:lang w:val="en-US" w:eastAsia="es-ES"/>
        </w:rPr>
        <w:t xml:space="preserve"> </w:t>
      </w:r>
      <w:r w:rsidR="00303055" w:rsidRPr="00FE50A6">
        <w:rPr>
          <w:rFonts w:eastAsia="Batang" w:cs="Times"/>
          <w:i/>
          <w:noProof/>
          <w:szCs w:val="24"/>
          <w:lang w:val="en-US" w:eastAsia="es-ES"/>
        </w:rPr>
        <w:t>ratione personae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with regard to unidentified presumed victims</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 xml:space="preserve">those who were identified but did not grant a power of </w:t>
      </w:r>
      <w:r w:rsidR="001613F2" w:rsidRPr="00FE50A6">
        <w:rPr>
          <w:rFonts w:eastAsia="Batang" w:cs="Times"/>
          <w:noProof/>
          <w:szCs w:val="24"/>
          <w:lang w:val="en-US" w:eastAsia="es-ES"/>
        </w:rPr>
        <w:t>attorney</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those who did not appear in the Commission’s Merits Report</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or who were not involved in the facts  of the case</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w:t>
      </w:r>
      <w:r w:rsidR="009E7747" w:rsidRPr="00FE50A6">
        <w:rPr>
          <w:rFonts w:eastAsia="Batang" w:cs="Times"/>
          <w:noProof/>
          <w:szCs w:val="24"/>
          <w:lang w:val="en-US" w:eastAsia="es-ES"/>
        </w:rPr>
        <w:t xml:space="preserve"> </w:t>
      </w:r>
      <w:r w:rsidR="001613F2" w:rsidRPr="00FE50A6">
        <w:rPr>
          <w:rFonts w:eastAsia="Batang" w:cs="Times"/>
          <w:noProof/>
          <w:szCs w:val="24"/>
          <w:lang w:val="en-US" w:eastAsia="es-ES"/>
        </w:rPr>
        <w:t>l</w:t>
      </w:r>
      <w:r w:rsidR="00822837" w:rsidRPr="00FE50A6">
        <w:rPr>
          <w:rFonts w:eastAsia="Batang" w:cs="Times"/>
          <w:noProof/>
          <w:szCs w:val="24"/>
          <w:lang w:val="en-US" w:eastAsia="es-ES"/>
        </w:rPr>
        <w:t>ack of jurisdiction</w:t>
      </w:r>
      <w:r w:rsidR="00303055" w:rsidRPr="00FE50A6">
        <w:rPr>
          <w:rFonts w:eastAsia="Batang" w:cs="Times"/>
          <w:noProof/>
          <w:szCs w:val="24"/>
          <w:lang w:val="en-US" w:eastAsia="es-ES"/>
        </w:rPr>
        <w:t xml:space="preserve"> </w:t>
      </w:r>
      <w:r w:rsidR="00303055" w:rsidRPr="00FE50A6">
        <w:rPr>
          <w:rFonts w:eastAsia="Batang" w:cs="Times"/>
          <w:i/>
          <w:noProof/>
          <w:szCs w:val="24"/>
          <w:lang w:val="en-US" w:eastAsia="es-ES"/>
        </w:rPr>
        <w:t>ratione personae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for violations in abstract terms</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 l</w:t>
      </w:r>
      <w:r w:rsidR="00822837" w:rsidRPr="00FE50A6">
        <w:rPr>
          <w:rFonts w:eastAsia="Batang" w:cs="Times"/>
          <w:noProof/>
          <w:szCs w:val="24"/>
          <w:lang w:val="en-US" w:eastAsia="es-ES"/>
        </w:rPr>
        <w:t>ack of jurisdiction</w:t>
      </w:r>
      <w:r w:rsidR="00303055" w:rsidRPr="00FE50A6">
        <w:rPr>
          <w:rFonts w:eastAsia="Batang" w:cs="Times"/>
          <w:noProof/>
          <w:szCs w:val="24"/>
          <w:lang w:val="en-US" w:eastAsia="es-ES"/>
        </w:rPr>
        <w:t xml:space="preserve"> </w:t>
      </w:r>
      <w:r w:rsidR="00303055" w:rsidRPr="00FE50A6">
        <w:rPr>
          <w:rFonts w:eastAsia="Batang" w:cs="Times"/>
          <w:i/>
          <w:noProof/>
          <w:szCs w:val="24"/>
          <w:lang w:val="en-US" w:eastAsia="es-ES"/>
        </w:rPr>
        <w:t>ratione materiae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based on violation of the principle of the subsidiary nature of the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inter-American system</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 fourth instance</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 l</w:t>
      </w:r>
      <w:r w:rsidR="00822837" w:rsidRPr="00FE50A6">
        <w:rPr>
          <w:rFonts w:eastAsia="Batang" w:cs="Times"/>
          <w:noProof/>
          <w:szCs w:val="24"/>
          <w:lang w:val="en-US" w:eastAsia="es-ES"/>
        </w:rPr>
        <w:t>ack of jurisdiction</w:t>
      </w:r>
      <w:r w:rsidR="00303055" w:rsidRPr="00FE50A6">
        <w:rPr>
          <w:rFonts w:eastAsia="Batang" w:cs="Times"/>
          <w:noProof/>
          <w:szCs w:val="24"/>
          <w:lang w:val="en-US" w:eastAsia="es-ES"/>
        </w:rPr>
        <w:t xml:space="preserve"> </w:t>
      </w:r>
      <w:r w:rsidR="00303055" w:rsidRPr="00FE50A6">
        <w:rPr>
          <w:rFonts w:eastAsia="Batang" w:cs="Times"/>
          <w:i/>
          <w:noProof/>
          <w:szCs w:val="24"/>
          <w:lang w:val="en-US" w:eastAsia="es-ES"/>
        </w:rPr>
        <w:t>ratione materiae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regarding presumed violations of the prohibition of</w:t>
      </w:r>
      <w:r w:rsidR="00303055" w:rsidRPr="00FE50A6">
        <w:rPr>
          <w:rFonts w:eastAsia="Batang" w:cs="Times"/>
          <w:noProof/>
          <w:szCs w:val="24"/>
          <w:lang w:val="en-US" w:eastAsia="es-ES"/>
        </w:rPr>
        <w:t xml:space="preserve"> </w:t>
      </w:r>
      <w:r w:rsidR="000C2A19" w:rsidRPr="00FE50A6">
        <w:rPr>
          <w:rFonts w:eastAsia="Batang" w:cs="Times"/>
          <w:noProof/>
          <w:szCs w:val="24"/>
          <w:lang w:val="en-US" w:eastAsia="es-ES"/>
        </w:rPr>
        <w:t>trafficking in persons</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 l</w:t>
      </w:r>
      <w:r w:rsidR="00822837" w:rsidRPr="00FE50A6">
        <w:rPr>
          <w:rFonts w:eastAsia="Batang" w:cs="Times"/>
          <w:noProof/>
          <w:szCs w:val="24"/>
          <w:lang w:val="en-US" w:eastAsia="es-ES"/>
        </w:rPr>
        <w:t>ack of jurisdiction</w:t>
      </w:r>
      <w:r w:rsidR="00303055" w:rsidRPr="00FE50A6">
        <w:rPr>
          <w:rFonts w:eastAsia="Batang" w:cs="Times"/>
          <w:noProof/>
          <w:szCs w:val="24"/>
          <w:lang w:val="en-US" w:eastAsia="es-ES"/>
        </w:rPr>
        <w:t xml:space="preserve"> </w:t>
      </w:r>
      <w:r w:rsidR="00303055" w:rsidRPr="00FE50A6">
        <w:rPr>
          <w:rFonts w:eastAsia="Batang" w:cs="Times"/>
          <w:i/>
          <w:noProof/>
          <w:szCs w:val="24"/>
          <w:lang w:val="en-US" w:eastAsia="es-ES"/>
        </w:rPr>
        <w:t>ratione materiae</w:t>
      </w:r>
      <w:r w:rsidR="00303055" w:rsidRPr="00FE50A6">
        <w:rPr>
          <w:rFonts w:eastAsia="Batang" w:cs="Times"/>
          <w:noProof/>
          <w:szCs w:val="24"/>
          <w:lang w:val="en-US" w:eastAsia="es-ES"/>
        </w:rPr>
        <w:t xml:space="preserve"> </w:t>
      </w:r>
      <w:r w:rsidR="00822837" w:rsidRPr="00FE50A6">
        <w:rPr>
          <w:rFonts w:eastAsia="Batang" w:cs="Times"/>
          <w:noProof/>
          <w:szCs w:val="24"/>
          <w:lang w:val="en-US" w:eastAsia="es-ES"/>
        </w:rPr>
        <w:t>concerning supposed violations of labor rights</w:t>
      </w:r>
      <w:r w:rsidR="00303055" w:rsidRPr="00FE50A6">
        <w:rPr>
          <w:rFonts w:eastAsia="Batang" w:cs="Times"/>
          <w:noProof/>
          <w:szCs w:val="24"/>
          <w:lang w:val="en-US" w:eastAsia="es-ES"/>
        </w:rPr>
        <w:t xml:space="preserve">; </w:t>
      </w:r>
      <w:r w:rsidR="001613F2" w:rsidRPr="00FE50A6">
        <w:rPr>
          <w:rFonts w:eastAsia="Batang" w:cs="Times"/>
          <w:noProof/>
          <w:szCs w:val="24"/>
          <w:lang w:val="en-US" w:eastAsia="es-ES"/>
        </w:rPr>
        <w:t>the f</w:t>
      </w:r>
      <w:r w:rsidR="00822837" w:rsidRPr="00FE50A6">
        <w:rPr>
          <w:rFonts w:eastAsia="Batang" w:cs="Times"/>
          <w:noProof/>
          <w:szCs w:val="24"/>
          <w:lang w:val="en-US" w:eastAsia="es-ES"/>
        </w:rPr>
        <w:t>ailure to exhaust domestic remedies</w:t>
      </w:r>
      <w:r w:rsidR="00303055"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001613F2" w:rsidRPr="00FE50A6">
        <w:rPr>
          <w:rFonts w:eastAsia="Batang" w:cs="Times"/>
          <w:noProof/>
          <w:szCs w:val="24"/>
          <w:lang w:val="en-US" w:eastAsia="es-ES"/>
        </w:rPr>
        <w:t>the</w:t>
      </w:r>
      <w:r w:rsidR="009E7747" w:rsidRPr="00FE50A6">
        <w:rPr>
          <w:rFonts w:eastAsia="Batang" w:cs="Times"/>
          <w:noProof/>
          <w:szCs w:val="24"/>
          <w:lang w:val="en-US" w:eastAsia="es-ES"/>
        </w:rPr>
        <w:t xml:space="preserve"> </w:t>
      </w:r>
      <w:r w:rsidR="004B38CC" w:rsidRPr="00FE50A6">
        <w:rPr>
          <w:rFonts w:eastAsia="Batang" w:cs="Times"/>
          <w:noProof/>
          <w:szCs w:val="24"/>
          <w:lang w:val="en-US" w:eastAsia="es-ES"/>
        </w:rPr>
        <w:t>prescription of the petition before</w:t>
      </w:r>
      <w:r w:rsidR="00303055" w:rsidRPr="00FE50A6">
        <w:rPr>
          <w:rFonts w:eastAsia="Batang" w:cs="Times"/>
          <w:noProof/>
          <w:szCs w:val="24"/>
          <w:lang w:val="en-US" w:eastAsia="es-ES"/>
        </w:rPr>
        <w:t xml:space="preserve"> </w:t>
      </w:r>
      <w:r w:rsidR="000228D0" w:rsidRPr="00FE50A6">
        <w:rPr>
          <w:rFonts w:eastAsia="Batang" w:cs="Times"/>
          <w:noProof/>
          <w:szCs w:val="24"/>
          <w:lang w:val="en-US" w:eastAsia="es-ES"/>
        </w:rPr>
        <w:t>the Commission</w:t>
      </w:r>
      <w:r w:rsidR="00303055" w:rsidRPr="00FE50A6">
        <w:rPr>
          <w:rFonts w:eastAsia="Batang" w:cs="Times"/>
          <w:noProof/>
          <w:szCs w:val="24"/>
          <w:lang w:val="en-US" w:eastAsia="es-ES"/>
        </w:rPr>
        <w:t xml:space="preserve"> </w:t>
      </w:r>
      <w:r w:rsidR="004B38CC" w:rsidRPr="00FE50A6">
        <w:rPr>
          <w:rFonts w:eastAsia="Batang" w:cs="Times"/>
          <w:noProof/>
          <w:szCs w:val="24"/>
          <w:lang w:val="en-US" w:eastAsia="es-ES"/>
        </w:rPr>
        <w:t>as regards the claims for reparation for pecuniary and non-pecuniary damage</w:t>
      </w:r>
      <w:r w:rsidR="00702C18" w:rsidRPr="00FE50A6">
        <w:rPr>
          <w:rFonts w:eastAsia="Cambria" w:cs="Times New Roman"/>
          <w:szCs w:val="20"/>
          <w:lang w:val="en-US"/>
        </w:rPr>
        <w:t xml:space="preserve">, </w:t>
      </w:r>
      <w:r w:rsidRPr="00FE50A6">
        <w:rPr>
          <w:rFonts w:eastAsia="Cambria" w:cs="Times New Roman"/>
          <w:szCs w:val="20"/>
          <w:lang w:val="en-US"/>
        </w:rPr>
        <w:t>in the terms of</w:t>
      </w:r>
      <w:r w:rsidR="00702C18" w:rsidRPr="00FE50A6">
        <w:rPr>
          <w:rFonts w:eastAsia="Cambria" w:cs="Times New Roman"/>
          <w:szCs w:val="20"/>
          <w:lang w:val="en-US"/>
        </w:rPr>
        <w:t xml:space="preserve"> </w:t>
      </w:r>
      <w:r w:rsidRPr="00FE50A6">
        <w:rPr>
          <w:rFonts w:eastAsia="Cambria" w:cs="Times New Roman"/>
          <w:szCs w:val="20"/>
          <w:lang w:val="en-US"/>
        </w:rPr>
        <w:t>paragraphs</w:t>
      </w:r>
      <w:r w:rsidR="00702C18" w:rsidRPr="00FE50A6">
        <w:rPr>
          <w:rFonts w:eastAsia="Cambria" w:cs="Times New Roman"/>
          <w:szCs w:val="20"/>
          <w:lang w:val="en-US"/>
        </w:rPr>
        <w:t xml:space="preserve"> </w:t>
      </w:r>
      <w:r w:rsidR="009E7747" w:rsidRPr="00FE50A6">
        <w:rPr>
          <w:rFonts w:eastAsia="Cambria" w:cs="Times New Roman"/>
          <w:szCs w:val="20"/>
          <w:lang w:val="en-US"/>
        </w:rPr>
        <w:t xml:space="preserve">23 </w:t>
      </w:r>
      <w:r w:rsidR="001613F2" w:rsidRPr="00FE50A6">
        <w:rPr>
          <w:rFonts w:eastAsia="Cambria" w:cs="Times New Roman"/>
          <w:szCs w:val="20"/>
          <w:lang w:val="en-US"/>
        </w:rPr>
        <w:t>to</w:t>
      </w:r>
      <w:r w:rsidR="009E7747" w:rsidRPr="00FE50A6">
        <w:rPr>
          <w:rFonts w:eastAsia="Cambria" w:cs="Times New Roman"/>
          <w:szCs w:val="20"/>
          <w:lang w:val="en-US"/>
        </w:rPr>
        <w:t xml:space="preserve"> 28, 44 </w:t>
      </w:r>
      <w:r w:rsidR="001613F2" w:rsidRPr="00FE50A6">
        <w:rPr>
          <w:rFonts w:eastAsia="Cambria" w:cs="Times New Roman"/>
          <w:szCs w:val="20"/>
          <w:lang w:val="en-US"/>
        </w:rPr>
        <w:t>to</w:t>
      </w:r>
      <w:r w:rsidR="009E7747" w:rsidRPr="00FE50A6">
        <w:rPr>
          <w:rFonts w:eastAsia="Cambria" w:cs="Times New Roman"/>
          <w:szCs w:val="20"/>
          <w:lang w:val="en-US"/>
        </w:rPr>
        <w:t xml:space="preserve"> 50, 54, 71 </w:t>
      </w:r>
      <w:r w:rsidR="001613F2" w:rsidRPr="00FE50A6">
        <w:rPr>
          <w:rFonts w:eastAsia="Cambria" w:cs="Times New Roman"/>
          <w:szCs w:val="20"/>
          <w:lang w:val="en-US"/>
        </w:rPr>
        <w:t>to</w:t>
      </w:r>
      <w:r w:rsidR="009E7747" w:rsidRPr="00FE50A6">
        <w:rPr>
          <w:rFonts w:eastAsia="Cambria" w:cs="Times New Roman"/>
          <w:szCs w:val="20"/>
          <w:lang w:val="en-US"/>
        </w:rPr>
        <w:t xml:space="preserve"> 74, 78 </w:t>
      </w:r>
      <w:r w:rsidR="001613F2" w:rsidRPr="00FE50A6">
        <w:rPr>
          <w:rFonts w:eastAsia="Cambria" w:cs="Times New Roman"/>
          <w:szCs w:val="20"/>
          <w:lang w:val="en-US"/>
        </w:rPr>
        <w:t>to</w:t>
      </w:r>
      <w:r w:rsidR="009E7747" w:rsidRPr="00FE50A6">
        <w:rPr>
          <w:rFonts w:eastAsia="Cambria" w:cs="Times New Roman"/>
          <w:szCs w:val="20"/>
          <w:lang w:val="en-US"/>
        </w:rPr>
        <w:t xml:space="preserve"> 80, 84, 89 </w:t>
      </w:r>
      <w:r w:rsidR="001613F2" w:rsidRPr="00FE50A6">
        <w:rPr>
          <w:rFonts w:eastAsia="Cambria" w:cs="Times New Roman"/>
          <w:szCs w:val="20"/>
          <w:lang w:val="en-US"/>
        </w:rPr>
        <w:t>to</w:t>
      </w:r>
      <w:r w:rsidR="009E7747" w:rsidRPr="00FE50A6">
        <w:rPr>
          <w:rFonts w:eastAsia="Cambria" w:cs="Times New Roman"/>
          <w:szCs w:val="20"/>
          <w:lang w:val="en-US"/>
        </w:rPr>
        <w:t xml:space="preserve"> 93</w:t>
      </w:r>
      <w:r w:rsidR="001613F2" w:rsidRPr="00FE50A6">
        <w:rPr>
          <w:rFonts w:eastAsia="Cambria" w:cs="Times New Roman"/>
          <w:szCs w:val="20"/>
          <w:lang w:val="en-US"/>
        </w:rPr>
        <w:t>,</w:t>
      </w:r>
      <w:r w:rsidR="00030C17" w:rsidRPr="00FE50A6">
        <w:rPr>
          <w:rFonts w:eastAsia="Cambria" w:cs="Times New Roman"/>
          <w:szCs w:val="20"/>
          <w:lang w:val="en-US"/>
        </w:rPr>
        <w:t xml:space="preserve"> and </w:t>
      </w:r>
      <w:r w:rsidR="009E7747" w:rsidRPr="00FE50A6">
        <w:rPr>
          <w:rFonts w:eastAsia="Cambria" w:cs="Times New Roman"/>
          <w:szCs w:val="20"/>
          <w:lang w:val="en-US"/>
        </w:rPr>
        <w:t>98</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 xml:space="preserve">. </w:t>
      </w:r>
      <w:r w:rsidR="00702C18" w:rsidRPr="00FE50A6">
        <w:rPr>
          <w:rFonts w:eastAsia="Cambria" w:cs="Times New Roman"/>
          <w:szCs w:val="20"/>
          <w:lang w:val="en-US"/>
        </w:rPr>
        <w:cr/>
      </w:r>
    </w:p>
    <w:p w14:paraId="3C95BC2B" w14:textId="77777777" w:rsidR="00702C18" w:rsidRPr="00FE50A6" w:rsidRDefault="001613F2" w:rsidP="008B0BCC">
      <w:pPr>
        <w:numPr>
          <w:ilvl w:val="0"/>
          <w:numId w:val="14"/>
        </w:numPr>
        <w:tabs>
          <w:tab w:val="clear" w:pos="4419"/>
          <w:tab w:val="clear" w:pos="8838"/>
          <w:tab w:val="left" w:pos="720"/>
        </w:tabs>
        <w:ind w:right="-90"/>
        <w:contextualSpacing/>
        <w:jc w:val="both"/>
        <w:rPr>
          <w:rFonts w:eastAsia="Cambria" w:cs="Times New Roman"/>
          <w:lang w:val="en-US"/>
        </w:rPr>
      </w:pPr>
      <w:r w:rsidRPr="00FE50A6">
        <w:rPr>
          <w:rFonts w:eastAsia="MS Mincho" w:cs="Times New Roman"/>
          <w:szCs w:val="20"/>
          <w:lang w:val="en-US"/>
        </w:rPr>
        <w:t xml:space="preserve">To declare partially admissible the </w:t>
      </w:r>
      <w:r w:rsidR="00700B79" w:rsidRPr="00FE50A6">
        <w:rPr>
          <w:rFonts w:eastAsia="Cambria" w:cs="Times New Roman"/>
          <w:szCs w:val="20"/>
          <w:lang w:val="en-US"/>
        </w:rPr>
        <w:t>preliminary objection</w:t>
      </w:r>
      <w:r w:rsidR="00702C18" w:rsidRPr="00FE50A6">
        <w:rPr>
          <w:rFonts w:eastAsia="Cambria" w:cs="Times New Roman"/>
          <w:szCs w:val="20"/>
          <w:lang w:val="en-US"/>
        </w:rPr>
        <w:t xml:space="preserve"> </w:t>
      </w:r>
      <w:r w:rsidRPr="00FE50A6">
        <w:rPr>
          <w:rFonts w:eastAsia="Cambria" w:cs="Times New Roman"/>
          <w:szCs w:val="20"/>
          <w:lang w:val="en-US"/>
        </w:rPr>
        <w:t>filed by</w:t>
      </w:r>
      <w:r w:rsidR="009E7747" w:rsidRPr="00FE50A6">
        <w:rPr>
          <w:rFonts w:eastAsia="Cambria" w:cs="Times New Roman"/>
          <w:szCs w:val="20"/>
          <w:lang w:val="en-US"/>
        </w:rPr>
        <w:t xml:space="preserve"> </w:t>
      </w:r>
      <w:r w:rsidR="000228D0" w:rsidRPr="00FE50A6">
        <w:rPr>
          <w:rFonts w:eastAsia="Cambria" w:cs="Times New Roman"/>
          <w:szCs w:val="20"/>
          <w:lang w:val="en-US"/>
        </w:rPr>
        <w:t>the State</w:t>
      </w:r>
      <w:r w:rsidR="009E7747" w:rsidRPr="00FE50A6">
        <w:rPr>
          <w:rFonts w:eastAsia="Cambria" w:cs="Times New Roman"/>
          <w:szCs w:val="20"/>
          <w:lang w:val="en-US"/>
        </w:rPr>
        <w:t xml:space="preserve"> </w:t>
      </w:r>
      <w:r w:rsidRPr="00FE50A6">
        <w:rPr>
          <w:rFonts w:eastAsia="Cambria" w:cs="Times New Roman"/>
          <w:szCs w:val="20"/>
          <w:lang w:val="en-US"/>
        </w:rPr>
        <w:t>regarding the</w:t>
      </w:r>
      <w:r w:rsidR="009E7747" w:rsidRPr="00FE50A6">
        <w:rPr>
          <w:rFonts w:eastAsia="Batang" w:cs="Times"/>
          <w:noProof/>
          <w:szCs w:val="24"/>
          <w:lang w:val="en-US" w:eastAsia="es-ES"/>
        </w:rPr>
        <w:t xml:space="preserve"> </w:t>
      </w:r>
      <w:r w:rsidRPr="00FE50A6">
        <w:rPr>
          <w:rFonts w:eastAsia="Batang" w:cs="Times"/>
          <w:noProof/>
          <w:szCs w:val="24"/>
          <w:lang w:val="en-US" w:eastAsia="es-ES"/>
        </w:rPr>
        <w:t>l</w:t>
      </w:r>
      <w:r w:rsidR="00822837" w:rsidRPr="00FE50A6">
        <w:rPr>
          <w:rFonts w:eastAsia="Batang" w:cs="Times"/>
          <w:noProof/>
          <w:szCs w:val="24"/>
          <w:lang w:val="en-US" w:eastAsia="es-ES"/>
        </w:rPr>
        <w:t>ack of jurisdiction</w:t>
      </w:r>
      <w:r w:rsidR="009E7747" w:rsidRPr="00FE50A6">
        <w:rPr>
          <w:rFonts w:eastAsia="Batang" w:cs="Times"/>
          <w:noProof/>
          <w:szCs w:val="24"/>
          <w:lang w:val="en-US" w:eastAsia="es-ES"/>
        </w:rPr>
        <w:t xml:space="preserve"> </w:t>
      </w:r>
      <w:r w:rsidR="009E7747" w:rsidRPr="00FE50A6">
        <w:rPr>
          <w:rFonts w:eastAsia="Batang" w:cs="Times"/>
          <w:i/>
          <w:noProof/>
          <w:szCs w:val="24"/>
          <w:lang w:val="en-US" w:eastAsia="es-ES"/>
        </w:rPr>
        <w:t>ratione temporis</w:t>
      </w:r>
      <w:r w:rsidR="009E7747" w:rsidRPr="00FE50A6">
        <w:rPr>
          <w:rFonts w:eastAsia="Batang" w:cs="Times"/>
          <w:noProof/>
          <w:szCs w:val="24"/>
          <w:lang w:val="en-US" w:eastAsia="es-ES"/>
        </w:rPr>
        <w:t xml:space="preserve"> </w:t>
      </w:r>
      <w:r w:rsidR="00822837" w:rsidRPr="00FE50A6">
        <w:rPr>
          <w:rFonts w:eastAsia="Batang" w:cs="Times"/>
          <w:noProof/>
          <w:szCs w:val="24"/>
          <w:lang w:val="en-US" w:eastAsia="es-ES"/>
        </w:rPr>
        <w:t>with regard to facts prior to the date on which the State accepted the Court’s jurisdiction</w:t>
      </w:r>
      <w:r w:rsidR="009E7747" w:rsidRPr="00FE50A6">
        <w:rPr>
          <w:rFonts w:eastAsia="Batang" w:cs="Times"/>
          <w:noProof/>
          <w:szCs w:val="24"/>
          <w:lang w:val="en-US" w:eastAsia="es-ES"/>
        </w:rPr>
        <w:t>,</w:t>
      </w:r>
      <w:r w:rsidR="00030C17" w:rsidRPr="00FE50A6">
        <w:rPr>
          <w:rFonts w:eastAsia="Batang" w:cs="Times"/>
          <w:noProof/>
          <w:szCs w:val="24"/>
          <w:lang w:val="en-US" w:eastAsia="es-ES"/>
        </w:rPr>
        <w:t xml:space="preserve"> and </w:t>
      </w:r>
      <w:r w:rsidRPr="00FE50A6">
        <w:rPr>
          <w:rFonts w:eastAsia="Batang" w:cs="Times"/>
          <w:noProof/>
          <w:szCs w:val="24"/>
          <w:lang w:val="en-US" w:eastAsia="es-ES"/>
        </w:rPr>
        <w:t>the la</w:t>
      </w:r>
      <w:r w:rsidR="00822837" w:rsidRPr="00FE50A6">
        <w:rPr>
          <w:rFonts w:eastAsia="Batang" w:cs="Times"/>
          <w:noProof/>
          <w:szCs w:val="24"/>
          <w:lang w:val="en-US" w:eastAsia="es-ES"/>
        </w:rPr>
        <w:t>ck of jurisdiction</w:t>
      </w:r>
      <w:r w:rsidR="009E7747" w:rsidRPr="00FE50A6">
        <w:rPr>
          <w:rFonts w:eastAsia="Batang" w:cs="Times"/>
          <w:noProof/>
          <w:szCs w:val="24"/>
          <w:lang w:val="en-US" w:eastAsia="es-ES"/>
        </w:rPr>
        <w:t xml:space="preserve"> </w:t>
      </w:r>
      <w:r w:rsidR="009E7747" w:rsidRPr="00FE50A6">
        <w:rPr>
          <w:rFonts w:eastAsia="Batang" w:cs="Times"/>
          <w:i/>
          <w:noProof/>
          <w:szCs w:val="24"/>
          <w:lang w:val="en-US" w:eastAsia="es-ES"/>
        </w:rPr>
        <w:t>ratione temporis</w:t>
      </w:r>
      <w:r w:rsidR="009E7747" w:rsidRPr="00FE50A6">
        <w:rPr>
          <w:rFonts w:eastAsia="Batang" w:cs="Times"/>
          <w:noProof/>
          <w:szCs w:val="24"/>
          <w:lang w:val="en-US" w:eastAsia="es-ES"/>
        </w:rPr>
        <w:t xml:space="preserve"> </w:t>
      </w:r>
      <w:r w:rsidR="00822837" w:rsidRPr="00FE50A6">
        <w:rPr>
          <w:rFonts w:eastAsia="Batang" w:cs="Times"/>
          <w:noProof/>
          <w:szCs w:val="24"/>
          <w:lang w:val="en-US" w:eastAsia="es-ES"/>
        </w:rPr>
        <w:t>concerning facts prior to the State’s adhesion to</w:t>
      </w:r>
      <w:r w:rsidR="009E7747" w:rsidRPr="00FE50A6">
        <w:rPr>
          <w:rFonts w:eastAsia="Batang" w:cs="Times"/>
          <w:noProof/>
          <w:szCs w:val="24"/>
          <w:lang w:val="en-US" w:eastAsia="es-ES"/>
        </w:rPr>
        <w:t xml:space="preserve"> </w:t>
      </w:r>
      <w:r w:rsidR="000228D0" w:rsidRPr="00FE50A6">
        <w:rPr>
          <w:rFonts w:eastAsia="Batang" w:cs="Times"/>
          <w:noProof/>
          <w:szCs w:val="24"/>
          <w:lang w:val="en-US" w:eastAsia="es-ES"/>
        </w:rPr>
        <w:t>the American Convention</w:t>
      </w:r>
      <w:r w:rsidR="00702C18" w:rsidRPr="00FE50A6">
        <w:rPr>
          <w:rFonts w:eastAsia="Cambria" w:cs="Times New Roman"/>
          <w:szCs w:val="20"/>
          <w:lang w:val="en-US"/>
        </w:rPr>
        <w:t xml:space="preserve">,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9E7747" w:rsidRPr="00FE50A6">
        <w:rPr>
          <w:rFonts w:eastAsia="Cambria" w:cs="Times New Roman"/>
          <w:szCs w:val="20"/>
          <w:lang w:val="en-US"/>
        </w:rPr>
        <w:t xml:space="preserve">63 </w:t>
      </w:r>
      <w:r w:rsidRPr="00FE50A6">
        <w:rPr>
          <w:rFonts w:eastAsia="Cambria" w:cs="Times New Roman"/>
          <w:szCs w:val="20"/>
          <w:lang w:val="en-US"/>
        </w:rPr>
        <w:t>to</w:t>
      </w:r>
      <w:r w:rsidR="009E7747" w:rsidRPr="00FE50A6">
        <w:rPr>
          <w:rFonts w:eastAsia="Cambria" w:cs="Times New Roman"/>
          <w:szCs w:val="20"/>
          <w:lang w:val="en-US"/>
        </w:rPr>
        <w:t xml:space="preserve"> 65</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 xml:space="preserve">. </w:t>
      </w:r>
      <w:r w:rsidR="00702C18" w:rsidRPr="00FE50A6">
        <w:rPr>
          <w:rFonts w:eastAsia="Cambria" w:cs="Times New Roman"/>
          <w:szCs w:val="20"/>
          <w:lang w:val="en-US"/>
        </w:rPr>
        <w:cr/>
      </w:r>
    </w:p>
    <w:p w14:paraId="57609849" w14:textId="77777777" w:rsidR="00702C18" w:rsidRPr="00FE50A6" w:rsidRDefault="00702C18" w:rsidP="00702C18">
      <w:pPr>
        <w:tabs>
          <w:tab w:val="clear" w:pos="4419"/>
          <w:tab w:val="clear" w:pos="8838"/>
          <w:tab w:val="left" w:pos="720"/>
        </w:tabs>
        <w:ind w:right="-90"/>
        <w:contextualSpacing/>
        <w:rPr>
          <w:rFonts w:eastAsia="MS Mincho" w:cs="Times New Roman"/>
          <w:szCs w:val="20"/>
          <w:lang w:val="en-US" w:bidi="en-US"/>
        </w:rPr>
      </w:pPr>
      <w:r w:rsidRPr="00FE50A6">
        <w:rPr>
          <w:rFonts w:eastAsia="MS Mincho" w:cs="Times New Roman"/>
          <w:b/>
          <w:bCs/>
          <w:szCs w:val="20"/>
          <w:lang w:val="en-US" w:bidi="en-US"/>
        </w:rPr>
        <w:t>DECLAR</w:t>
      </w:r>
      <w:r w:rsidR="001613F2" w:rsidRPr="00FE50A6">
        <w:rPr>
          <w:rFonts w:eastAsia="MS Mincho" w:cs="Times New Roman"/>
          <w:b/>
          <w:bCs/>
          <w:szCs w:val="20"/>
          <w:lang w:val="en-US" w:bidi="en-US"/>
        </w:rPr>
        <w:t>ES</w:t>
      </w:r>
      <w:r w:rsidRPr="00FE50A6">
        <w:rPr>
          <w:rFonts w:eastAsia="MS Mincho" w:cs="Times New Roman"/>
          <w:b/>
          <w:bCs/>
          <w:szCs w:val="20"/>
          <w:lang w:val="en-US" w:bidi="en-US"/>
        </w:rPr>
        <w:t xml:space="preserve">: </w:t>
      </w:r>
    </w:p>
    <w:p w14:paraId="2FBEFA1E" w14:textId="77777777" w:rsidR="00702C18" w:rsidRPr="00FE50A6" w:rsidRDefault="00702C18" w:rsidP="00702C18">
      <w:pPr>
        <w:tabs>
          <w:tab w:val="clear" w:pos="4419"/>
          <w:tab w:val="clear" w:pos="8838"/>
          <w:tab w:val="left" w:pos="720"/>
        </w:tabs>
        <w:ind w:right="-90"/>
        <w:contextualSpacing/>
        <w:rPr>
          <w:rFonts w:eastAsia="MS Mincho" w:cs="Times New Roman"/>
          <w:szCs w:val="20"/>
          <w:lang w:val="en-US" w:bidi="en-US"/>
        </w:rPr>
      </w:pPr>
    </w:p>
    <w:p w14:paraId="4C8E2352" w14:textId="77777777" w:rsidR="00702C18" w:rsidRPr="00FE50A6" w:rsidRDefault="00351E20" w:rsidP="00702C18">
      <w:pPr>
        <w:tabs>
          <w:tab w:val="clear" w:pos="4419"/>
          <w:tab w:val="clear" w:pos="8838"/>
        </w:tabs>
        <w:ind w:right="-90"/>
        <w:contextualSpacing/>
        <w:rPr>
          <w:rFonts w:eastAsia="MS Mincho" w:cs="Times New Roman"/>
          <w:szCs w:val="20"/>
          <w:lang w:val="en-US" w:bidi="en-US"/>
        </w:rPr>
      </w:pPr>
      <w:r w:rsidRPr="00FE50A6">
        <w:rPr>
          <w:rFonts w:eastAsia="MS Mincho" w:cs="Times New Roman"/>
          <w:szCs w:val="20"/>
          <w:lang w:val="en-US" w:bidi="en-US"/>
        </w:rPr>
        <w:t>Unanimously that</w:t>
      </w:r>
      <w:r w:rsidR="00702C18" w:rsidRPr="00FE50A6">
        <w:rPr>
          <w:rFonts w:eastAsia="MS Mincho" w:cs="Times New Roman"/>
          <w:szCs w:val="20"/>
          <w:lang w:val="en-US" w:bidi="en-US"/>
        </w:rPr>
        <w:t>:</w:t>
      </w:r>
    </w:p>
    <w:p w14:paraId="03EDD324" w14:textId="77777777" w:rsidR="00702C18" w:rsidRPr="00FE50A6" w:rsidRDefault="00702C18" w:rsidP="00702C18">
      <w:pPr>
        <w:tabs>
          <w:tab w:val="clear" w:pos="4419"/>
          <w:tab w:val="clear" w:pos="8838"/>
        </w:tabs>
        <w:ind w:right="-90"/>
        <w:contextualSpacing/>
        <w:rPr>
          <w:rFonts w:eastAsia="MS Mincho" w:cs="Times New Roman"/>
          <w:szCs w:val="20"/>
          <w:lang w:val="en-US" w:bidi="en-US"/>
        </w:rPr>
      </w:pPr>
    </w:p>
    <w:p w14:paraId="55C9B117"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The State</w:t>
      </w:r>
      <w:r w:rsidR="00702C18" w:rsidRPr="00FE50A6">
        <w:rPr>
          <w:rFonts w:eastAsia="Cambria" w:cs="Times New Roman"/>
          <w:szCs w:val="20"/>
          <w:lang w:val="en-US"/>
        </w:rPr>
        <w:t xml:space="preserve"> </w:t>
      </w:r>
      <w:r w:rsidR="00351E20" w:rsidRPr="00FE50A6">
        <w:rPr>
          <w:rFonts w:eastAsia="Cambria" w:cs="Times New Roman"/>
          <w:szCs w:val="20"/>
          <w:lang w:val="en-US"/>
        </w:rPr>
        <w:t>is responsible for</w:t>
      </w:r>
      <w:r w:rsidR="00702C18" w:rsidRPr="00FE50A6">
        <w:rPr>
          <w:rFonts w:eastAsia="Cambria" w:cs="Times New Roman"/>
          <w:szCs w:val="20"/>
          <w:lang w:val="en-US"/>
        </w:rPr>
        <w:t xml:space="preserve"> </w:t>
      </w:r>
      <w:r w:rsidR="00351E20" w:rsidRPr="00FE50A6">
        <w:rPr>
          <w:rFonts w:eastAsia="Cambria" w:cs="Times New Roman"/>
          <w:lang w:val="en-US"/>
        </w:rPr>
        <w:t>t</w:t>
      </w:r>
      <w:r w:rsidR="00703850" w:rsidRPr="00FE50A6">
        <w:rPr>
          <w:rFonts w:eastAsia="Cambria" w:cs="Times New Roman"/>
          <w:lang w:val="en-US"/>
        </w:rPr>
        <w:t>he violation</w:t>
      </w:r>
      <w:r w:rsidR="00EE52F3" w:rsidRPr="00FE50A6">
        <w:rPr>
          <w:rFonts w:eastAsia="Cambria" w:cs="Times New Roman"/>
          <w:lang w:val="en-US"/>
        </w:rPr>
        <w:t xml:space="preserve"> of </w:t>
      </w:r>
      <w:r w:rsidR="00351E20" w:rsidRPr="00FE50A6">
        <w:rPr>
          <w:rFonts w:eastAsia="Cambria" w:cs="Times New Roman"/>
          <w:lang w:val="en-US"/>
        </w:rPr>
        <w:t xml:space="preserve">the right not to be subjected to </w:t>
      </w:r>
      <w:r w:rsidR="00D11A9F" w:rsidRPr="00FE50A6">
        <w:rPr>
          <w:rFonts w:eastAsia="Cambria" w:cs="Times New Roman"/>
          <w:lang w:val="en-US"/>
        </w:rPr>
        <w:t>slavery</w:t>
      </w:r>
      <w:r w:rsidR="00030C17" w:rsidRPr="00FE50A6">
        <w:rPr>
          <w:rFonts w:eastAsia="Cambria" w:cs="Times New Roman"/>
          <w:lang w:val="en-US"/>
        </w:rPr>
        <w:t xml:space="preserve"> and</w:t>
      </w:r>
      <w:r w:rsidR="00615E39" w:rsidRPr="00FE50A6">
        <w:rPr>
          <w:rFonts w:eastAsia="Cambria" w:cs="Times New Roman"/>
          <w:lang w:val="en-US"/>
        </w:rPr>
        <w:t xml:space="preserve"> trafficking</w:t>
      </w:r>
      <w:r w:rsidR="00702C18" w:rsidRPr="00FE50A6">
        <w:rPr>
          <w:rFonts w:eastAsia="Cambria" w:cs="Times New Roman"/>
          <w:lang w:val="en-US"/>
        </w:rPr>
        <w:t xml:space="preserve"> </w:t>
      </w:r>
      <w:r w:rsidR="00351E20" w:rsidRPr="00FE50A6">
        <w:rPr>
          <w:rFonts w:eastAsia="Cambria" w:cs="Times New Roman"/>
          <w:lang w:val="en-US"/>
        </w:rPr>
        <w:t>established in</w:t>
      </w:r>
      <w:r w:rsidR="00702C18" w:rsidRPr="00FE50A6">
        <w:rPr>
          <w:rFonts w:eastAsia="Cambria" w:cs="Times New Roman"/>
          <w:lang w:val="en-US"/>
        </w:rPr>
        <w:t xml:space="preserve"> </w:t>
      </w:r>
      <w:r w:rsidRPr="00FE50A6">
        <w:rPr>
          <w:rFonts w:eastAsia="Cambria" w:cs="Times New Roman"/>
          <w:lang w:val="en-US"/>
        </w:rPr>
        <w:t>Article</w:t>
      </w:r>
      <w:r w:rsidR="00702C18" w:rsidRPr="00FE50A6">
        <w:rPr>
          <w:rFonts w:eastAsia="Cambria" w:cs="Times New Roman"/>
          <w:lang w:val="en-US"/>
        </w:rPr>
        <w:t xml:space="preserve"> </w:t>
      </w:r>
      <w:r w:rsidR="00090C6A" w:rsidRPr="00FE50A6">
        <w:rPr>
          <w:rFonts w:eastAsia="Cambria" w:cs="Times New Roman"/>
          <w:lang w:val="en-US"/>
        </w:rPr>
        <w:t>6(1)</w:t>
      </w:r>
      <w:r w:rsidRPr="00FE50A6">
        <w:rPr>
          <w:rFonts w:eastAsia="Cambria" w:cs="Times New Roman"/>
          <w:lang w:val="en-US"/>
        </w:rPr>
        <w:t xml:space="preserve"> of the American Convention on Human Rights</w:t>
      </w:r>
      <w:r w:rsidR="00702C18" w:rsidRPr="00FE50A6">
        <w:rPr>
          <w:rFonts w:eastAsia="Cambria" w:cs="Times New Roman"/>
          <w:lang w:val="en-US"/>
        </w:rPr>
        <w:t xml:space="preserve">, </w:t>
      </w:r>
      <w:r w:rsidR="000B587F" w:rsidRPr="00FE50A6">
        <w:rPr>
          <w:rFonts w:eastAsia="Cambria" w:cs="Times New Roman"/>
          <w:lang w:val="en-US"/>
        </w:rPr>
        <w:t>in relation to Articles 1(1)</w:t>
      </w:r>
      <w:r w:rsidR="00702C18" w:rsidRPr="00FE50A6">
        <w:rPr>
          <w:rFonts w:eastAsia="Cambria" w:cs="Times New Roman"/>
          <w:lang w:val="en-US"/>
        </w:rPr>
        <w:t>, 3, 5, 7, 11</w:t>
      </w:r>
      <w:r w:rsidR="00030C17" w:rsidRPr="00FE50A6">
        <w:rPr>
          <w:rFonts w:eastAsia="Cambria" w:cs="Times New Roman"/>
          <w:lang w:val="en-US"/>
        </w:rPr>
        <w:t xml:space="preserve"> and </w:t>
      </w:r>
      <w:r w:rsidR="00702C18" w:rsidRPr="00FE50A6">
        <w:rPr>
          <w:rFonts w:eastAsia="Cambria" w:cs="Times New Roman"/>
          <w:lang w:val="en-US"/>
        </w:rPr>
        <w:t xml:space="preserve">22 </w:t>
      </w:r>
      <w:r w:rsidR="00D11A9F" w:rsidRPr="00FE50A6">
        <w:rPr>
          <w:rFonts w:eastAsia="Cambria" w:cs="Times New Roman"/>
          <w:lang w:val="en-US"/>
        </w:rPr>
        <w:t>of this instrument</w:t>
      </w:r>
      <w:r w:rsidR="00702C18" w:rsidRPr="00FE50A6">
        <w:rPr>
          <w:rFonts w:eastAsia="Cambria" w:cs="Times New Roman"/>
          <w:lang w:val="en-US"/>
        </w:rPr>
        <w:t xml:space="preserve">, </w:t>
      </w:r>
      <w:r w:rsidR="00703850" w:rsidRPr="00FE50A6">
        <w:rPr>
          <w:rFonts w:eastAsia="Cambria" w:cs="Times New Roman"/>
          <w:lang w:val="en-US"/>
        </w:rPr>
        <w:t>to the detriment of the</w:t>
      </w:r>
      <w:r w:rsidR="00702C18" w:rsidRPr="00FE50A6">
        <w:rPr>
          <w:rFonts w:eastAsia="Cambria" w:cs="Times New Roman"/>
          <w:lang w:val="en-US"/>
        </w:rPr>
        <w:t xml:space="preserve"> 85 </w:t>
      </w:r>
      <w:r w:rsidR="00AF42D1" w:rsidRPr="00FE50A6">
        <w:rPr>
          <w:rFonts w:eastAsia="Cambria" w:cs="Times New Roman"/>
          <w:lang w:val="en-US"/>
        </w:rPr>
        <w:t>workers rescued</w:t>
      </w:r>
      <w:r w:rsidR="00702C18" w:rsidRPr="00FE50A6">
        <w:rPr>
          <w:rFonts w:eastAsia="Cambria" w:cs="Times New Roman"/>
          <w:lang w:val="en-US"/>
        </w:rPr>
        <w:t xml:space="preserve"> </w:t>
      </w:r>
      <w:r w:rsidR="00A67F6B" w:rsidRPr="00FE50A6">
        <w:rPr>
          <w:rFonts w:eastAsia="Cambria" w:cs="Times New Roman"/>
          <w:lang w:val="en-US"/>
        </w:rPr>
        <w:t>on March 15,</w:t>
      </w:r>
      <w:r w:rsidR="00702C18" w:rsidRPr="00FE50A6">
        <w:rPr>
          <w:rFonts w:eastAsia="Cambria" w:cs="Times New Roman"/>
          <w:lang w:val="en-US"/>
        </w:rPr>
        <w:t xml:space="preserve"> 2000</w:t>
      </w:r>
      <w:r w:rsidR="00351E20" w:rsidRPr="00FE50A6">
        <w:rPr>
          <w:rFonts w:eastAsia="Cambria" w:cs="Times New Roman"/>
          <w:lang w:val="en-US"/>
        </w:rPr>
        <w:t>, in</w:t>
      </w:r>
      <w:r w:rsidR="00702C18" w:rsidRPr="00FE50A6">
        <w:rPr>
          <w:rFonts w:eastAsia="Cambria" w:cs="Times New Roman"/>
          <w:lang w:val="en-US"/>
        </w:rPr>
        <w:t xml:space="preserve"> Hacienda </w:t>
      </w:r>
      <w:r w:rsidR="00322241" w:rsidRPr="00FE50A6">
        <w:rPr>
          <w:rFonts w:eastAsia="Cambria" w:cs="Times New Roman"/>
          <w:lang w:val="en-US"/>
        </w:rPr>
        <w:t>Brasil Verde</w:t>
      </w:r>
      <w:r w:rsidR="00702C18" w:rsidRPr="00FE50A6">
        <w:rPr>
          <w:rFonts w:eastAsia="Cambria" w:cs="Times New Roman"/>
          <w:lang w:val="en-US"/>
        </w:rPr>
        <w:t xml:space="preserve">, </w:t>
      </w:r>
      <w:r w:rsidR="00351E20" w:rsidRPr="00FE50A6">
        <w:rPr>
          <w:rFonts w:eastAsia="Cambria" w:cs="Times New Roman"/>
          <w:lang w:val="en-US"/>
        </w:rPr>
        <w:t>listed in</w:t>
      </w:r>
      <w:r w:rsidR="00702C18" w:rsidRPr="00FE50A6">
        <w:rPr>
          <w:rFonts w:eastAsia="Cambria" w:cs="Times New Roman"/>
          <w:lang w:val="en-US"/>
        </w:rPr>
        <w:t xml:space="preserve"> </w:t>
      </w:r>
      <w:r w:rsidR="00AF42D1" w:rsidRPr="00FE50A6">
        <w:rPr>
          <w:rFonts w:eastAsia="Cambria" w:cs="Times New Roman"/>
          <w:lang w:val="en-US"/>
        </w:rPr>
        <w:t>paragraph</w:t>
      </w:r>
      <w:r w:rsidR="00702C18" w:rsidRPr="00FE50A6">
        <w:rPr>
          <w:rFonts w:eastAsia="Cambria" w:cs="Times New Roman"/>
          <w:lang w:val="en-US"/>
        </w:rPr>
        <w:t xml:space="preserve"> </w:t>
      </w:r>
      <w:r w:rsidR="00A21B95" w:rsidRPr="00FE50A6">
        <w:rPr>
          <w:rFonts w:eastAsia="Cambria" w:cs="Times New Roman"/>
          <w:lang w:val="en-US"/>
        </w:rPr>
        <w:t>206</w:t>
      </w:r>
      <w:r w:rsidR="00702C18" w:rsidRPr="00FE50A6">
        <w:rPr>
          <w:rFonts w:eastAsia="Cambria" w:cs="Times New Roman"/>
          <w:lang w:val="en-US"/>
        </w:rPr>
        <w:t xml:space="preserve"> </w:t>
      </w:r>
      <w:r w:rsidR="00AF42D1" w:rsidRPr="00FE50A6">
        <w:rPr>
          <w:rFonts w:eastAsia="Cambria" w:cs="Times New Roman"/>
          <w:lang w:val="en-US"/>
        </w:rPr>
        <w:t>of this judgment</w:t>
      </w:r>
      <w:r w:rsidR="00702C18" w:rsidRPr="00FE50A6">
        <w:rPr>
          <w:rFonts w:eastAsia="Cambria" w:cs="Times New Roman"/>
          <w:lang w:val="en-US"/>
        </w:rPr>
        <w:t xml:space="preserve">,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A21B95" w:rsidRPr="00FE50A6">
        <w:rPr>
          <w:rFonts w:eastAsia="Cambria" w:cs="Times New Roman"/>
          <w:szCs w:val="20"/>
          <w:lang w:val="en-US"/>
        </w:rPr>
        <w:t>342</w:t>
      </w:r>
      <w:r w:rsidR="00030C17" w:rsidRPr="00FE50A6">
        <w:rPr>
          <w:rFonts w:eastAsia="Cambria" w:cs="Times New Roman"/>
          <w:szCs w:val="20"/>
          <w:lang w:val="en-US"/>
        </w:rPr>
        <w:t xml:space="preserve"> and </w:t>
      </w:r>
      <w:r w:rsidR="00A21B95" w:rsidRPr="00FE50A6">
        <w:rPr>
          <w:rFonts w:eastAsia="Cambria" w:cs="Times New Roman"/>
          <w:szCs w:val="20"/>
          <w:lang w:val="en-US"/>
        </w:rPr>
        <w:t xml:space="preserve">343 </w:t>
      </w:r>
      <w:r w:rsidR="00AF42D1" w:rsidRPr="00FE50A6">
        <w:rPr>
          <w:rFonts w:eastAsia="Cambria" w:cs="Times New Roman"/>
          <w:szCs w:val="20"/>
          <w:lang w:val="en-US"/>
        </w:rPr>
        <w:t>of this judgment</w:t>
      </w:r>
      <w:r w:rsidR="00702C18" w:rsidRPr="00FE50A6">
        <w:rPr>
          <w:rFonts w:eastAsia="Cambria" w:cs="Times New Roman"/>
          <w:lang w:val="en-US"/>
        </w:rPr>
        <w:t xml:space="preserve">. </w:t>
      </w:r>
      <w:r w:rsidR="00351E20" w:rsidRPr="00FE50A6">
        <w:rPr>
          <w:rFonts w:eastAsia="Cambria" w:cs="Times New Roman"/>
          <w:lang w:val="en-US"/>
        </w:rPr>
        <w:t xml:space="preserve">Additionally, in relation to Antônio Francisco da Silva this violation occurred also in relation </w:t>
      </w:r>
      <w:r w:rsidR="000B587F" w:rsidRPr="00FE50A6">
        <w:rPr>
          <w:rFonts w:eastAsia="Cambria" w:cs="Times New Roman"/>
          <w:lang w:val="en-US"/>
        </w:rPr>
        <w:t>to Article</w:t>
      </w:r>
      <w:r w:rsidR="00702C18" w:rsidRPr="00FE50A6">
        <w:rPr>
          <w:rFonts w:eastAsia="Cambria" w:cs="Times New Roman"/>
          <w:lang w:val="en-US"/>
        </w:rPr>
        <w:t xml:space="preserve"> 19</w:t>
      </w:r>
      <w:r w:rsidRPr="00FE50A6">
        <w:rPr>
          <w:rFonts w:eastAsia="Cambria" w:cs="Times New Roman"/>
          <w:lang w:val="en-US"/>
        </w:rPr>
        <w:t xml:space="preserve"> of the American Convention on Human Rights</w:t>
      </w:r>
      <w:r w:rsidR="00702C18" w:rsidRPr="00FE50A6">
        <w:rPr>
          <w:rFonts w:eastAsia="Cambria" w:cs="Times New Roman"/>
          <w:lang w:val="en-US"/>
        </w:rPr>
        <w:t xml:space="preserve">, </w:t>
      </w:r>
      <w:r w:rsidR="00351E20" w:rsidRPr="00FE50A6">
        <w:rPr>
          <w:rFonts w:eastAsia="Cambria" w:cs="Times New Roman"/>
          <w:lang w:val="en-US"/>
        </w:rPr>
        <w:t xml:space="preserve">since he was a minor at the time of the facts,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A21B95" w:rsidRPr="00FE50A6">
        <w:rPr>
          <w:rFonts w:eastAsia="Cambria" w:cs="Times New Roman"/>
          <w:szCs w:val="20"/>
          <w:lang w:val="en-US"/>
        </w:rPr>
        <w:t>342</w:t>
      </w:r>
      <w:r w:rsidR="00030C17" w:rsidRPr="00FE50A6">
        <w:rPr>
          <w:rFonts w:eastAsia="Cambria" w:cs="Times New Roman"/>
          <w:szCs w:val="20"/>
          <w:lang w:val="en-US"/>
        </w:rPr>
        <w:t xml:space="preserve"> and </w:t>
      </w:r>
      <w:r w:rsidR="00A21B95" w:rsidRPr="00FE50A6">
        <w:rPr>
          <w:rFonts w:eastAsia="Cambria" w:cs="Times New Roman"/>
          <w:szCs w:val="20"/>
          <w:lang w:val="en-US"/>
        </w:rPr>
        <w:t>343</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 xml:space="preserve">. </w:t>
      </w:r>
    </w:p>
    <w:p w14:paraId="359BB538" w14:textId="77777777" w:rsidR="00702C18" w:rsidRPr="00FE50A6" w:rsidRDefault="00702C18" w:rsidP="00702C18">
      <w:pPr>
        <w:tabs>
          <w:tab w:val="clear" w:pos="4419"/>
          <w:tab w:val="clear" w:pos="8838"/>
        </w:tabs>
        <w:ind w:right="-90"/>
        <w:contextualSpacing/>
        <w:jc w:val="both"/>
        <w:rPr>
          <w:rFonts w:eastAsia="MS Mincho" w:cs="Times New Roman"/>
          <w:szCs w:val="20"/>
          <w:lang w:val="en-US" w:bidi="en-US"/>
        </w:rPr>
      </w:pPr>
    </w:p>
    <w:p w14:paraId="3183F478" w14:textId="77777777" w:rsidR="00702C18" w:rsidRPr="00FE50A6" w:rsidRDefault="00351E20" w:rsidP="00702C18">
      <w:pPr>
        <w:tabs>
          <w:tab w:val="clear" w:pos="4419"/>
          <w:tab w:val="clear" w:pos="8838"/>
        </w:tabs>
        <w:ind w:right="-90"/>
        <w:contextualSpacing/>
        <w:jc w:val="both"/>
        <w:rPr>
          <w:rFonts w:eastAsia="MS Mincho" w:cs="Times New Roman"/>
          <w:szCs w:val="20"/>
          <w:lang w:val="en-US" w:bidi="en-US"/>
        </w:rPr>
      </w:pPr>
      <w:r w:rsidRPr="00FE50A6">
        <w:rPr>
          <w:rFonts w:eastAsia="MS Mincho" w:cs="Times New Roman"/>
          <w:szCs w:val="20"/>
          <w:lang w:val="en-US" w:bidi="en-US"/>
        </w:rPr>
        <w:t>By five votes to one, that</w:t>
      </w:r>
      <w:r w:rsidR="00702C18" w:rsidRPr="00FE50A6">
        <w:rPr>
          <w:rFonts w:eastAsia="MS Mincho" w:cs="Times New Roman"/>
          <w:szCs w:val="20"/>
          <w:lang w:val="en-US" w:bidi="en-US"/>
        </w:rPr>
        <w:t>:</w:t>
      </w:r>
    </w:p>
    <w:p w14:paraId="2E46723E" w14:textId="77777777" w:rsidR="00702C18" w:rsidRPr="00FE50A6" w:rsidRDefault="00702C18" w:rsidP="00702C18">
      <w:pPr>
        <w:tabs>
          <w:tab w:val="clear" w:pos="4419"/>
          <w:tab w:val="clear" w:pos="8838"/>
        </w:tabs>
        <w:ind w:right="-90"/>
        <w:contextualSpacing/>
        <w:jc w:val="both"/>
        <w:rPr>
          <w:rFonts w:eastAsia="MS Mincho" w:cs="Times New Roman"/>
          <w:szCs w:val="20"/>
          <w:lang w:val="en-US" w:bidi="en-US"/>
        </w:rPr>
      </w:pPr>
    </w:p>
    <w:p w14:paraId="5F997569"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The State</w:t>
      </w:r>
      <w:r w:rsidR="00702C18" w:rsidRPr="00FE50A6">
        <w:rPr>
          <w:rFonts w:eastAsia="Cambria" w:cs="Times New Roman"/>
          <w:szCs w:val="20"/>
          <w:lang w:val="en-US"/>
        </w:rPr>
        <w:t xml:space="preserve"> </w:t>
      </w:r>
      <w:r w:rsidR="00351E20" w:rsidRPr="00FE50A6">
        <w:rPr>
          <w:rFonts w:eastAsia="Cambria" w:cs="Times New Roman"/>
          <w:szCs w:val="20"/>
          <w:lang w:val="en-US"/>
        </w:rPr>
        <w:t>is responsible for</w:t>
      </w:r>
      <w:r w:rsidR="00702C18" w:rsidRPr="00FE50A6">
        <w:rPr>
          <w:rFonts w:eastAsia="Cambria" w:cs="Times New Roman"/>
          <w:szCs w:val="20"/>
          <w:lang w:val="en-US"/>
        </w:rPr>
        <w:t xml:space="preserve"> </w:t>
      </w:r>
      <w:r w:rsidR="00700B79" w:rsidRPr="00FE50A6">
        <w:rPr>
          <w:rFonts w:eastAsia="Cambria" w:cs="Times New Roman"/>
          <w:lang w:val="en-US"/>
        </w:rPr>
        <w:t>the violation</w:t>
      </w:r>
      <w:r w:rsidR="00702C18" w:rsidRPr="00FE50A6">
        <w:rPr>
          <w:rFonts w:eastAsia="Cambria" w:cs="Times New Roman"/>
          <w:lang w:val="en-US"/>
        </w:rPr>
        <w:t xml:space="preserve"> </w:t>
      </w:r>
      <w:r w:rsidR="00703850" w:rsidRPr="00FE50A6">
        <w:rPr>
          <w:rFonts w:eastAsia="Cambria" w:cs="Times New Roman"/>
          <w:lang w:val="en-US"/>
        </w:rPr>
        <w:t>of Article</w:t>
      </w:r>
      <w:r w:rsidR="00702C18" w:rsidRPr="00FE50A6">
        <w:rPr>
          <w:rFonts w:eastAsia="Cambria" w:cs="Times New Roman"/>
          <w:lang w:val="en-US"/>
        </w:rPr>
        <w:t xml:space="preserve"> </w:t>
      </w:r>
      <w:r w:rsidR="00090C6A" w:rsidRPr="00FE50A6">
        <w:rPr>
          <w:rFonts w:eastAsia="Cambria" w:cs="Times New Roman"/>
          <w:lang w:val="en-US"/>
        </w:rPr>
        <w:t>6(1)</w:t>
      </w:r>
      <w:r w:rsidRPr="00FE50A6">
        <w:rPr>
          <w:rFonts w:eastAsia="Cambria" w:cs="Times New Roman"/>
          <w:lang w:val="en-US"/>
        </w:rPr>
        <w:t xml:space="preserve"> of the American Convention</w:t>
      </w:r>
      <w:r w:rsidR="00702C18" w:rsidRPr="00FE50A6">
        <w:rPr>
          <w:rFonts w:eastAsia="Cambria" w:cs="Times New Roman"/>
          <w:lang w:val="en-US"/>
        </w:rPr>
        <w:t xml:space="preserve">, </w:t>
      </w:r>
      <w:r w:rsidR="000B587F" w:rsidRPr="00FE50A6">
        <w:rPr>
          <w:rFonts w:eastAsia="Cambria" w:cs="Times New Roman"/>
          <w:lang w:val="en-US"/>
        </w:rPr>
        <w:t>in relation to Article 1(1)</w:t>
      </w:r>
      <w:r w:rsidR="00702C18" w:rsidRPr="00FE50A6">
        <w:rPr>
          <w:rFonts w:eastAsia="Cambria" w:cs="Times New Roman"/>
          <w:lang w:val="en-US"/>
        </w:rPr>
        <w:t xml:space="preserve"> </w:t>
      </w:r>
      <w:r w:rsidR="00D11A9F" w:rsidRPr="00FE50A6">
        <w:rPr>
          <w:rFonts w:eastAsia="Cambria" w:cs="Times New Roman"/>
          <w:lang w:val="en-US"/>
        </w:rPr>
        <w:t>of this instrument</w:t>
      </w:r>
      <w:r w:rsidR="00702C18" w:rsidRPr="00FE50A6">
        <w:rPr>
          <w:rFonts w:eastAsia="Cambria" w:cs="Times New Roman"/>
          <w:lang w:val="en-US"/>
        </w:rPr>
        <w:t xml:space="preserve">, </w:t>
      </w:r>
      <w:r w:rsidR="00351E20" w:rsidRPr="00FE50A6">
        <w:rPr>
          <w:rFonts w:eastAsia="Cambria" w:cs="Times New Roman"/>
          <w:lang w:val="en-US"/>
        </w:rPr>
        <w:t xml:space="preserve">which occurred in the context of a situation of </w:t>
      </w:r>
      <w:r w:rsidR="009308B1" w:rsidRPr="00FE50A6">
        <w:rPr>
          <w:rFonts w:eastAsia="Cambria" w:cs="Times New Roman"/>
          <w:lang w:val="en-US"/>
        </w:rPr>
        <w:t>historical structural</w:t>
      </w:r>
      <w:r w:rsidR="00311174" w:rsidRPr="00FE50A6">
        <w:rPr>
          <w:rFonts w:eastAsia="Cambria" w:cs="Times New Roman"/>
          <w:lang w:val="en-US"/>
        </w:rPr>
        <w:t xml:space="preserve"> discrimination</w:t>
      </w:r>
      <w:r w:rsidR="00702C18" w:rsidRPr="00FE50A6">
        <w:rPr>
          <w:rFonts w:eastAsia="Cambria" w:cs="Times New Roman"/>
          <w:lang w:val="en-US"/>
        </w:rPr>
        <w:t xml:space="preserve">, </w:t>
      </w:r>
      <w:r w:rsidR="00351E20" w:rsidRPr="00FE50A6">
        <w:rPr>
          <w:rFonts w:eastAsia="Cambria" w:cs="Times New Roman"/>
          <w:lang w:val="en-US"/>
        </w:rPr>
        <w:t xml:space="preserve">based on the economic status of the 85 workers identified in </w:t>
      </w:r>
      <w:r w:rsidR="00AF42D1" w:rsidRPr="00FE50A6">
        <w:rPr>
          <w:rFonts w:eastAsia="Cambria" w:cs="Times New Roman"/>
          <w:lang w:val="en-US"/>
        </w:rPr>
        <w:t>paragraph</w:t>
      </w:r>
      <w:r w:rsidR="00702C18" w:rsidRPr="00FE50A6">
        <w:rPr>
          <w:rFonts w:eastAsia="Cambria" w:cs="Times New Roman"/>
          <w:lang w:val="en-US"/>
        </w:rPr>
        <w:t xml:space="preserve"> </w:t>
      </w:r>
      <w:r w:rsidR="00A21B95" w:rsidRPr="00FE50A6">
        <w:rPr>
          <w:rFonts w:eastAsia="Cambria" w:cs="Times New Roman"/>
          <w:lang w:val="en-US"/>
        </w:rPr>
        <w:t>206</w:t>
      </w:r>
      <w:r w:rsidR="00702C18" w:rsidRPr="00FE50A6">
        <w:rPr>
          <w:rFonts w:eastAsia="Cambria" w:cs="Times New Roman"/>
          <w:lang w:val="en-US"/>
        </w:rPr>
        <w:t xml:space="preserve"> </w:t>
      </w:r>
      <w:r w:rsidR="00AF42D1" w:rsidRPr="00FE50A6">
        <w:rPr>
          <w:rFonts w:eastAsia="Cambria" w:cs="Times New Roman"/>
          <w:lang w:val="en-US"/>
        </w:rPr>
        <w:t>of this judgment</w:t>
      </w:r>
      <w:r w:rsidR="00702C18" w:rsidRPr="00FE50A6">
        <w:rPr>
          <w:rFonts w:eastAsia="Cambria" w:cs="Times New Roman"/>
          <w:lang w:val="en-US"/>
        </w:rPr>
        <w:t xml:space="preserve">,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A21B95" w:rsidRPr="00FE50A6">
        <w:rPr>
          <w:rFonts w:eastAsia="Cambria" w:cs="Times New Roman"/>
          <w:szCs w:val="20"/>
          <w:lang w:val="en-US"/>
        </w:rPr>
        <w:t>342</w:t>
      </w:r>
      <w:r w:rsidR="00030C17" w:rsidRPr="00FE50A6">
        <w:rPr>
          <w:rFonts w:eastAsia="Cambria" w:cs="Times New Roman"/>
          <w:szCs w:val="20"/>
          <w:lang w:val="en-US"/>
        </w:rPr>
        <w:t xml:space="preserve"> and </w:t>
      </w:r>
      <w:r w:rsidR="00A21B95" w:rsidRPr="00FE50A6">
        <w:rPr>
          <w:rFonts w:eastAsia="Cambria" w:cs="Times New Roman"/>
          <w:szCs w:val="20"/>
          <w:lang w:val="en-US"/>
        </w:rPr>
        <w:t>343</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lang w:val="en-US"/>
        </w:rPr>
        <w:t>.</w:t>
      </w:r>
    </w:p>
    <w:p w14:paraId="1D3A2286" w14:textId="77777777" w:rsidR="00702C18" w:rsidRPr="00FE50A6" w:rsidRDefault="00702C18" w:rsidP="00702C18">
      <w:pPr>
        <w:tabs>
          <w:tab w:val="clear" w:pos="4419"/>
          <w:tab w:val="clear" w:pos="8838"/>
          <w:tab w:val="left" w:pos="720"/>
        </w:tabs>
        <w:ind w:right="-90"/>
        <w:contextualSpacing/>
        <w:jc w:val="both"/>
        <w:rPr>
          <w:rFonts w:eastAsia="Cambria" w:cs="Times New Roman"/>
          <w:lang w:val="en-US"/>
        </w:rPr>
      </w:pPr>
    </w:p>
    <w:p w14:paraId="5A4B3F4D" w14:textId="77777777" w:rsidR="00702C18" w:rsidRPr="00FE50A6" w:rsidRDefault="00351E20" w:rsidP="00702C18">
      <w:p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Dissenting</w:t>
      </w:r>
      <w:r w:rsidR="00702C18" w:rsidRPr="00FE50A6">
        <w:rPr>
          <w:rFonts w:eastAsia="Cambria" w:cs="Times New Roman"/>
          <w:szCs w:val="20"/>
          <w:lang w:val="en-US"/>
        </w:rPr>
        <w:t xml:space="preserve"> </w:t>
      </w:r>
      <w:r w:rsidR="000228D0" w:rsidRPr="00FE50A6">
        <w:rPr>
          <w:rFonts w:eastAsia="Cambria" w:cs="Times New Roman"/>
          <w:szCs w:val="20"/>
          <w:lang w:val="en-US"/>
        </w:rPr>
        <w:t>Judge</w:t>
      </w:r>
      <w:r w:rsidR="00702C18" w:rsidRPr="00FE50A6">
        <w:rPr>
          <w:rFonts w:eastAsia="Cambria" w:cs="Times New Roman"/>
          <w:szCs w:val="20"/>
          <w:lang w:val="en-US"/>
        </w:rPr>
        <w:t xml:space="preserve"> Sierra Porto.</w:t>
      </w:r>
    </w:p>
    <w:p w14:paraId="13C857E6" w14:textId="77777777" w:rsidR="00702C18" w:rsidRPr="00FE50A6" w:rsidRDefault="00702C18" w:rsidP="00702C18">
      <w:pPr>
        <w:tabs>
          <w:tab w:val="clear" w:pos="4419"/>
          <w:tab w:val="clear" w:pos="8838"/>
        </w:tabs>
        <w:ind w:left="720"/>
        <w:contextualSpacing/>
        <w:jc w:val="both"/>
        <w:rPr>
          <w:rFonts w:eastAsia="Cambria" w:cs="Times New Roman"/>
          <w:szCs w:val="20"/>
          <w:lang w:val="en-US"/>
        </w:rPr>
      </w:pPr>
    </w:p>
    <w:p w14:paraId="07E0CDC0" w14:textId="77777777" w:rsidR="00702C18" w:rsidRPr="00FE50A6" w:rsidRDefault="00351E20" w:rsidP="00702C18">
      <w:p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Unanimously that</w:t>
      </w:r>
      <w:r w:rsidR="00702C18" w:rsidRPr="00FE50A6">
        <w:rPr>
          <w:rFonts w:eastAsia="Cambria" w:cs="Times New Roman"/>
          <w:szCs w:val="20"/>
          <w:lang w:val="en-US"/>
        </w:rPr>
        <w:t xml:space="preserve">: </w:t>
      </w:r>
    </w:p>
    <w:p w14:paraId="56420542" w14:textId="77777777" w:rsidR="00702C18" w:rsidRPr="00FE50A6" w:rsidRDefault="00702C18" w:rsidP="00702C18">
      <w:pPr>
        <w:tabs>
          <w:tab w:val="clear" w:pos="4419"/>
          <w:tab w:val="clear" w:pos="8838"/>
        </w:tabs>
        <w:ind w:left="720"/>
        <w:contextualSpacing/>
        <w:jc w:val="both"/>
        <w:rPr>
          <w:rFonts w:eastAsia="Cambria" w:cs="Times New Roman"/>
          <w:szCs w:val="20"/>
          <w:lang w:val="en-US"/>
        </w:rPr>
      </w:pPr>
    </w:p>
    <w:p w14:paraId="3DD08BE5"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The State</w:t>
      </w:r>
      <w:r w:rsidR="00702C18" w:rsidRPr="00FE50A6">
        <w:rPr>
          <w:rFonts w:eastAsia="Cambria" w:cs="Times New Roman"/>
          <w:szCs w:val="20"/>
          <w:lang w:val="en-US"/>
        </w:rPr>
        <w:t xml:space="preserve"> </w:t>
      </w:r>
      <w:r w:rsidR="00351E20" w:rsidRPr="00FE50A6">
        <w:rPr>
          <w:rFonts w:eastAsia="Cambria" w:cs="Times New Roman"/>
          <w:szCs w:val="20"/>
          <w:lang w:val="en-US"/>
        </w:rPr>
        <w:t>is responsible for</w:t>
      </w:r>
      <w:r w:rsidR="00702C18" w:rsidRPr="00FE50A6">
        <w:rPr>
          <w:rFonts w:eastAsia="Cambria" w:cs="Times New Roman"/>
          <w:szCs w:val="20"/>
          <w:lang w:val="en-US"/>
        </w:rPr>
        <w:t xml:space="preserve"> </w:t>
      </w:r>
      <w:r w:rsidR="00351E20" w:rsidRPr="00FE50A6">
        <w:rPr>
          <w:rFonts w:eastAsia="Cambria" w:cs="Times New Roman"/>
          <w:szCs w:val="20"/>
          <w:lang w:val="en-US"/>
        </w:rPr>
        <w:t>violating the</w:t>
      </w:r>
      <w:r w:rsidR="00702C18" w:rsidRPr="00FE50A6">
        <w:rPr>
          <w:rFonts w:eastAsia="Cambria" w:cs="Times New Roman"/>
          <w:szCs w:val="20"/>
          <w:lang w:val="en-US"/>
        </w:rPr>
        <w:t xml:space="preserve"> </w:t>
      </w:r>
      <w:r w:rsidR="00D11A9F" w:rsidRPr="00FE50A6">
        <w:rPr>
          <w:rFonts w:eastAsia="Cambria" w:cs="Times New Roman"/>
          <w:szCs w:val="20"/>
          <w:lang w:val="en-US"/>
        </w:rPr>
        <w:t>judicial guarantees</w:t>
      </w:r>
      <w:r w:rsidR="00702C18" w:rsidRPr="00FE50A6">
        <w:rPr>
          <w:rFonts w:eastAsia="Cambria" w:cs="Times New Roman"/>
          <w:szCs w:val="20"/>
          <w:lang w:val="en-US"/>
        </w:rPr>
        <w:t xml:space="preserve"> </w:t>
      </w:r>
      <w:r w:rsidR="00351E20" w:rsidRPr="00FE50A6">
        <w:rPr>
          <w:rFonts w:eastAsia="Cambria" w:cs="Times New Roman"/>
          <w:szCs w:val="20"/>
          <w:lang w:val="en-US"/>
        </w:rPr>
        <w:t>of</w:t>
      </w:r>
      <w:r w:rsidR="00702C18" w:rsidRPr="00FE50A6">
        <w:rPr>
          <w:rFonts w:eastAsia="Cambria" w:cs="Times New Roman"/>
          <w:szCs w:val="20"/>
          <w:lang w:val="en-US"/>
        </w:rPr>
        <w:t xml:space="preserve"> </w:t>
      </w:r>
      <w:r w:rsidR="00576F80" w:rsidRPr="00FE50A6">
        <w:rPr>
          <w:rFonts w:eastAsia="Cambria" w:cs="Times New Roman"/>
          <w:szCs w:val="20"/>
          <w:lang w:val="en-US"/>
        </w:rPr>
        <w:t>due diligence</w:t>
      </w:r>
      <w:r w:rsidR="00030C17" w:rsidRPr="00FE50A6">
        <w:rPr>
          <w:rFonts w:eastAsia="Cambria" w:cs="Times New Roman"/>
          <w:szCs w:val="20"/>
          <w:lang w:val="en-US"/>
        </w:rPr>
        <w:t xml:space="preserve"> and</w:t>
      </w:r>
      <w:r w:rsidR="00351E20" w:rsidRPr="00FE50A6">
        <w:rPr>
          <w:rFonts w:eastAsia="Cambria" w:cs="Times New Roman"/>
          <w:szCs w:val="20"/>
          <w:lang w:val="en-US"/>
        </w:rPr>
        <w:t xml:space="preserve"> reasonable time</w:t>
      </w:r>
      <w:r w:rsidR="00702C18" w:rsidRPr="00FE50A6">
        <w:rPr>
          <w:rFonts w:eastAsia="Cambria" w:cs="Times New Roman"/>
          <w:szCs w:val="20"/>
          <w:lang w:val="en-US"/>
        </w:rPr>
        <w:t xml:space="preserve">, </w:t>
      </w:r>
      <w:r w:rsidR="00351E20" w:rsidRPr="00FE50A6">
        <w:rPr>
          <w:rFonts w:eastAsia="Cambria" w:cs="Times New Roman"/>
          <w:szCs w:val="20"/>
          <w:lang w:val="en-US"/>
        </w:rPr>
        <w:t>established in Article</w:t>
      </w:r>
      <w:r w:rsidR="00702C18" w:rsidRPr="00FE50A6">
        <w:rPr>
          <w:rFonts w:eastAsia="Cambria" w:cs="Times New Roman"/>
          <w:szCs w:val="20"/>
          <w:lang w:val="en-US"/>
        </w:rPr>
        <w:t xml:space="preserve"> </w:t>
      </w:r>
      <w:r w:rsidR="00703850" w:rsidRPr="00FE50A6">
        <w:rPr>
          <w:rFonts w:eastAsia="Cambria" w:cs="Times New Roman"/>
          <w:szCs w:val="20"/>
          <w:lang w:val="en-US"/>
        </w:rPr>
        <w:t>8(1)</w:t>
      </w:r>
      <w:r w:rsidRPr="00FE50A6">
        <w:rPr>
          <w:rFonts w:eastAsia="Cambria" w:cs="Times New Roman"/>
          <w:szCs w:val="20"/>
          <w:lang w:val="en-US"/>
        </w:rPr>
        <w:t xml:space="preserve"> of the American Convention on Human Rights</w:t>
      </w:r>
      <w:r w:rsidR="00702C18" w:rsidRPr="00FE50A6">
        <w:rPr>
          <w:rFonts w:eastAsia="Cambria" w:cs="Times New Roman"/>
          <w:szCs w:val="20"/>
          <w:lang w:val="en-US"/>
        </w:rPr>
        <w:t xml:space="preserve">, </w:t>
      </w:r>
      <w:r w:rsidR="000B587F" w:rsidRPr="00FE50A6">
        <w:rPr>
          <w:rFonts w:eastAsia="Cambria" w:cs="Times New Roman"/>
          <w:szCs w:val="20"/>
          <w:lang w:val="en-US"/>
        </w:rPr>
        <w:t>in relation to Article 1(1)</w:t>
      </w:r>
      <w:r w:rsidR="00702C18" w:rsidRPr="00FE50A6">
        <w:rPr>
          <w:rFonts w:eastAsia="Cambria" w:cs="Times New Roman"/>
          <w:szCs w:val="20"/>
          <w:lang w:val="en-US"/>
        </w:rPr>
        <w:t xml:space="preserve"> </w:t>
      </w:r>
      <w:r w:rsidR="00D11A9F" w:rsidRPr="00FE50A6">
        <w:rPr>
          <w:rFonts w:eastAsia="Cambria" w:cs="Times New Roman"/>
          <w:szCs w:val="20"/>
          <w:lang w:val="en-US"/>
        </w:rPr>
        <w:t>of this instrument</w:t>
      </w:r>
      <w:r w:rsidR="00702C18" w:rsidRPr="00FE50A6">
        <w:rPr>
          <w:rFonts w:eastAsia="Cambria" w:cs="Times New Roman"/>
          <w:szCs w:val="20"/>
          <w:lang w:val="en-US"/>
        </w:rPr>
        <w:t xml:space="preserve">, </w:t>
      </w:r>
      <w:r w:rsidR="00703850" w:rsidRPr="00FE50A6">
        <w:rPr>
          <w:rFonts w:eastAsia="Cambria" w:cs="Times New Roman"/>
          <w:szCs w:val="20"/>
          <w:lang w:val="en-US"/>
        </w:rPr>
        <w:t>to the detriment of the</w:t>
      </w:r>
      <w:r w:rsidR="00702C18" w:rsidRPr="00FE50A6">
        <w:rPr>
          <w:rFonts w:eastAsia="Cambria" w:cs="Times New Roman"/>
          <w:szCs w:val="20"/>
          <w:lang w:val="en-US"/>
        </w:rPr>
        <w:t xml:space="preserve"> 43 </w:t>
      </w:r>
      <w:r w:rsidR="00030C17" w:rsidRPr="00FE50A6">
        <w:rPr>
          <w:rFonts w:eastAsia="Cambria" w:cs="Times New Roman"/>
          <w:szCs w:val="20"/>
          <w:lang w:val="en-US"/>
        </w:rPr>
        <w:t xml:space="preserve">Hacienda </w:t>
      </w:r>
      <w:r w:rsidR="00322241" w:rsidRPr="00FE50A6">
        <w:rPr>
          <w:rFonts w:eastAsia="Cambria" w:cs="Times New Roman"/>
          <w:szCs w:val="20"/>
          <w:lang w:val="en-US"/>
        </w:rPr>
        <w:t>Brasil Verde</w:t>
      </w:r>
      <w:r w:rsidR="00030C17" w:rsidRPr="00FE50A6">
        <w:rPr>
          <w:rFonts w:eastAsia="Cambria" w:cs="Times New Roman"/>
          <w:szCs w:val="20"/>
          <w:lang w:val="en-US"/>
        </w:rPr>
        <w:t xml:space="preserve"> </w:t>
      </w:r>
      <w:r w:rsidR="00351E20" w:rsidRPr="00FE50A6">
        <w:rPr>
          <w:rFonts w:eastAsia="Cambria" w:cs="Times New Roman"/>
          <w:szCs w:val="20"/>
          <w:lang w:val="en-US"/>
        </w:rPr>
        <w:t>w</w:t>
      </w:r>
      <w:r w:rsidR="00030C17" w:rsidRPr="00FE50A6">
        <w:rPr>
          <w:rFonts w:eastAsia="Cambria" w:cs="Times New Roman"/>
          <w:szCs w:val="20"/>
          <w:lang w:val="en-US"/>
        </w:rPr>
        <w:t>orkers</w:t>
      </w:r>
      <w:r w:rsidR="00702C18" w:rsidRPr="00FE50A6">
        <w:rPr>
          <w:rFonts w:eastAsia="Cambria" w:cs="Times New Roman"/>
          <w:szCs w:val="20"/>
          <w:lang w:val="en-US"/>
        </w:rPr>
        <w:t xml:space="preserve"> </w:t>
      </w:r>
      <w:r w:rsidR="00351E20" w:rsidRPr="00FE50A6">
        <w:rPr>
          <w:rFonts w:eastAsia="Cambria" w:cs="Times New Roman"/>
          <w:szCs w:val="20"/>
          <w:lang w:val="en-US"/>
        </w:rPr>
        <w:t>found during the inspection of April 23,</w:t>
      </w:r>
      <w:r w:rsidR="00702C18" w:rsidRPr="00FE50A6">
        <w:rPr>
          <w:rFonts w:eastAsia="Cambria" w:cs="Times New Roman"/>
          <w:szCs w:val="20"/>
          <w:lang w:val="en-US"/>
        </w:rPr>
        <w:t xml:space="preserve"> 1997</w:t>
      </w:r>
      <w:r w:rsidR="00351E20" w:rsidRPr="00FE50A6">
        <w:rPr>
          <w:rFonts w:eastAsia="Cambria" w:cs="Times New Roman"/>
          <w:szCs w:val="20"/>
          <w:lang w:val="en-US"/>
        </w:rPr>
        <w:t>,</w:t>
      </w:r>
      <w:r w:rsidR="00030C17" w:rsidRPr="00FE50A6">
        <w:rPr>
          <w:rFonts w:eastAsia="Cambria" w:cs="Times New Roman"/>
          <w:szCs w:val="20"/>
          <w:lang w:val="en-US"/>
        </w:rPr>
        <w:t xml:space="preserve"> and </w:t>
      </w:r>
      <w:r w:rsidR="00351E20" w:rsidRPr="00FE50A6">
        <w:rPr>
          <w:rFonts w:eastAsia="Cambria" w:cs="Times New Roman"/>
          <w:szCs w:val="20"/>
          <w:lang w:val="en-US"/>
        </w:rPr>
        <w:t xml:space="preserve">who are identified by </w:t>
      </w:r>
      <w:r w:rsidRPr="00FE50A6">
        <w:rPr>
          <w:rFonts w:eastAsia="Cambria" w:cs="Times New Roman"/>
          <w:szCs w:val="20"/>
          <w:lang w:val="en-US"/>
        </w:rPr>
        <w:t>the Court</w:t>
      </w:r>
      <w:r w:rsidR="00702C18" w:rsidRPr="00FE50A6">
        <w:rPr>
          <w:rFonts w:eastAsia="Cambria" w:cs="Times New Roman"/>
          <w:szCs w:val="20"/>
          <w:lang w:val="en-US"/>
        </w:rPr>
        <w:t xml:space="preserve"> </w:t>
      </w:r>
      <w:r w:rsidR="00351E20" w:rsidRPr="00FE50A6">
        <w:rPr>
          <w:rFonts w:eastAsia="Cambria" w:cs="Times New Roman"/>
          <w:szCs w:val="20"/>
          <w:lang w:val="en-US"/>
        </w:rPr>
        <w:t>i</w:t>
      </w:r>
      <w:r w:rsidR="00702C18" w:rsidRPr="00FE50A6">
        <w:rPr>
          <w:rFonts w:eastAsia="Cambria" w:cs="Times New Roman"/>
          <w:szCs w:val="20"/>
          <w:lang w:val="en-US"/>
        </w:rPr>
        <w:t xml:space="preserve">n </w:t>
      </w:r>
      <w:r w:rsidR="00AF42D1" w:rsidRPr="00FE50A6">
        <w:rPr>
          <w:rFonts w:eastAsia="Cambria" w:cs="Times New Roman"/>
          <w:szCs w:val="20"/>
          <w:lang w:val="en-US"/>
        </w:rPr>
        <w:t>paragraph</w:t>
      </w:r>
      <w:r w:rsidR="00702C18" w:rsidRPr="00FE50A6">
        <w:rPr>
          <w:rFonts w:eastAsia="Cambria" w:cs="Times New Roman"/>
          <w:szCs w:val="20"/>
          <w:lang w:val="en-US"/>
        </w:rPr>
        <w:t xml:space="preserve"> </w:t>
      </w:r>
      <w:r w:rsidR="003452E0" w:rsidRPr="00FE50A6">
        <w:rPr>
          <w:rFonts w:eastAsia="Cambria" w:cs="Times New Roman"/>
          <w:szCs w:val="20"/>
          <w:lang w:val="en-US"/>
        </w:rPr>
        <w:t>199</w:t>
      </w:r>
      <w:r w:rsidR="00702C18" w:rsidRPr="00FE50A6">
        <w:rPr>
          <w:rFonts w:eastAsia="Cambria" w:cs="Times New Roman"/>
          <w:szCs w:val="20"/>
          <w:lang w:val="en-US"/>
        </w:rPr>
        <w:t xml:space="preserve"> </w:t>
      </w:r>
      <w:r w:rsidR="00351E20" w:rsidRPr="00FE50A6">
        <w:rPr>
          <w:rFonts w:eastAsia="Cambria" w:cs="Times New Roman"/>
          <w:szCs w:val="20"/>
          <w:lang w:val="en-US"/>
        </w:rPr>
        <w:t>of the judgment</w:t>
      </w:r>
      <w:r w:rsidR="00702C18" w:rsidRPr="00FE50A6">
        <w:rPr>
          <w:rFonts w:eastAsia="Batang" w:cs="Times New Roman"/>
          <w:color w:val="000000"/>
          <w:spacing w:val="-2"/>
          <w:szCs w:val="20"/>
          <w:lang w:val="en-US"/>
        </w:rPr>
        <w:t xml:space="preserve"> </w:t>
      </w:r>
      <w:r w:rsidR="00351E20" w:rsidRPr="00FE50A6">
        <w:rPr>
          <w:rFonts w:eastAsia="Batang" w:cs="Times New Roman"/>
          <w:color w:val="000000"/>
          <w:spacing w:val="-2"/>
          <w:szCs w:val="20"/>
          <w:lang w:val="en-US"/>
        </w:rPr>
        <w:t>in the terms of</w:t>
      </w:r>
      <w:r w:rsidR="00702C18" w:rsidRPr="00FE50A6">
        <w:rPr>
          <w:rFonts w:eastAsia="Batang" w:cs="Times New Roman"/>
          <w:color w:val="000000"/>
          <w:spacing w:val="-2"/>
          <w:szCs w:val="20"/>
          <w:lang w:val="en-US"/>
        </w:rPr>
        <w:t xml:space="preserve"> </w:t>
      </w:r>
      <w:r w:rsidR="00351E20" w:rsidRPr="00FE50A6">
        <w:rPr>
          <w:rFonts w:eastAsia="Batang" w:cs="Times New Roman"/>
          <w:color w:val="000000"/>
          <w:spacing w:val="-2"/>
          <w:szCs w:val="20"/>
          <w:lang w:val="en-US"/>
        </w:rPr>
        <w:t>paragraphs</w:t>
      </w:r>
      <w:r w:rsidR="00702C18" w:rsidRPr="00FE50A6">
        <w:rPr>
          <w:rFonts w:eastAsia="Batang" w:cs="Times New Roman"/>
          <w:color w:val="000000"/>
          <w:spacing w:val="-2"/>
          <w:szCs w:val="20"/>
          <w:lang w:val="en-US"/>
        </w:rPr>
        <w:t xml:space="preserve"> </w:t>
      </w:r>
      <w:r w:rsidR="00A21B95" w:rsidRPr="00FE50A6">
        <w:rPr>
          <w:rFonts w:eastAsia="Cambria" w:cs="Times New Roman"/>
          <w:szCs w:val="20"/>
          <w:lang w:val="en-US"/>
        </w:rPr>
        <w:t>36</w:t>
      </w:r>
      <w:r w:rsidR="007A3720" w:rsidRPr="00FE50A6">
        <w:rPr>
          <w:rFonts w:eastAsia="Cambria" w:cs="Times New Roman"/>
          <w:szCs w:val="20"/>
          <w:lang w:val="en-US"/>
        </w:rPr>
        <w:t>1</w:t>
      </w:r>
      <w:r w:rsidR="009D2CB0" w:rsidRPr="00FE50A6">
        <w:rPr>
          <w:rFonts w:eastAsia="Cambria" w:cs="Times New Roman"/>
          <w:szCs w:val="20"/>
          <w:lang w:val="en-US"/>
        </w:rPr>
        <w:t xml:space="preserve"> </w:t>
      </w:r>
      <w:r w:rsidR="00351E20" w:rsidRPr="00FE50A6">
        <w:rPr>
          <w:rFonts w:eastAsia="Cambria" w:cs="Times New Roman"/>
          <w:szCs w:val="20"/>
          <w:lang w:val="en-US"/>
        </w:rPr>
        <w:t>to</w:t>
      </w:r>
      <w:r w:rsidR="009D2CB0" w:rsidRPr="00FE50A6">
        <w:rPr>
          <w:rFonts w:eastAsia="Cambria" w:cs="Times New Roman"/>
          <w:szCs w:val="20"/>
          <w:lang w:val="en-US"/>
        </w:rPr>
        <w:t xml:space="preserve"> 382</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w:t>
      </w:r>
    </w:p>
    <w:p w14:paraId="04939EA5" w14:textId="77777777" w:rsidR="00702C18" w:rsidRPr="00FE50A6" w:rsidRDefault="00702C18" w:rsidP="00702C18">
      <w:pPr>
        <w:tabs>
          <w:tab w:val="clear" w:pos="4419"/>
          <w:tab w:val="clear" w:pos="8838"/>
        </w:tabs>
        <w:ind w:right="-90"/>
        <w:contextualSpacing/>
        <w:jc w:val="both"/>
        <w:rPr>
          <w:rFonts w:eastAsia="MS Mincho" w:cs="Times New Roman"/>
          <w:szCs w:val="20"/>
          <w:lang w:val="en-US" w:bidi="en-US"/>
        </w:rPr>
      </w:pPr>
    </w:p>
    <w:p w14:paraId="2E39DA3D" w14:textId="77777777" w:rsidR="00702C18" w:rsidRPr="00FE50A6" w:rsidRDefault="00351E20" w:rsidP="00702C18">
      <w:pPr>
        <w:tabs>
          <w:tab w:val="clear" w:pos="4419"/>
          <w:tab w:val="clear" w:pos="8838"/>
        </w:tabs>
        <w:ind w:right="-90"/>
        <w:contextualSpacing/>
        <w:jc w:val="both"/>
        <w:rPr>
          <w:rFonts w:eastAsia="MS Mincho" w:cs="Times New Roman"/>
          <w:szCs w:val="20"/>
          <w:lang w:val="en-US" w:bidi="en-US"/>
        </w:rPr>
      </w:pPr>
      <w:r w:rsidRPr="00FE50A6">
        <w:rPr>
          <w:rFonts w:eastAsia="MS Mincho" w:cs="Times New Roman"/>
          <w:szCs w:val="20"/>
          <w:lang w:val="en-US" w:bidi="en-US"/>
        </w:rPr>
        <w:t>By five votes to one, that:</w:t>
      </w:r>
    </w:p>
    <w:p w14:paraId="7C7615C5" w14:textId="77777777" w:rsidR="00702C18" w:rsidRPr="00FE50A6" w:rsidRDefault="00702C18" w:rsidP="00702C18">
      <w:pPr>
        <w:tabs>
          <w:tab w:val="clear" w:pos="4419"/>
          <w:tab w:val="clear" w:pos="8838"/>
        </w:tabs>
        <w:ind w:right="-90"/>
        <w:contextualSpacing/>
        <w:jc w:val="both"/>
        <w:rPr>
          <w:rFonts w:eastAsia="MS Mincho" w:cs="Times New Roman"/>
          <w:szCs w:val="20"/>
          <w:lang w:val="en-US" w:bidi="en-US"/>
        </w:rPr>
      </w:pPr>
    </w:p>
    <w:p w14:paraId="592E2EEF"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The State</w:t>
      </w:r>
      <w:r w:rsidR="00702C18" w:rsidRPr="00FE50A6">
        <w:rPr>
          <w:rFonts w:eastAsia="Cambria" w:cs="Times New Roman"/>
          <w:szCs w:val="20"/>
          <w:lang w:val="en-US"/>
        </w:rPr>
        <w:t xml:space="preserve"> </w:t>
      </w:r>
      <w:r w:rsidR="00351E20" w:rsidRPr="00FE50A6">
        <w:rPr>
          <w:rFonts w:eastAsia="Cambria" w:cs="Times New Roman"/>
          <w:szCs w:val="20"/>
          <w:lang w:val="en-US"/>
        </w:rPr>
        <w:t>is responsible for violating the right to</w:t>
      </w:r>
      <w:r w:rsidR="00702C18" w:rsidRPr="00FE50A6">
        <w:rPr>
          <w:rFonts w:eastAsia="Cambria" w:cs="Times New Roman"/>
          <w:szCs w:val="20"/>
          <w:lang w:val="en-US"/>
        </w:rPr>
        <w:t xml:space="preserve"> </w:t>
      </w:r>
      <w:r w:rsidR="00D11A9F" w:rsidRPr="00FE50A6">
        <w:rPr>
          <w:rFonts w:eastAsia="Cambria" w:cs="Times New Roman"/>
          <w:szCs w:val="20"/>
          <w:lang w:val="en-US"/>
        </w:rPr>
        <w:t>judicial protection</w:t>
      </w:r>
      <w:r w:rsidR="00702C18" w:rsidRPr="00FE50A6">
        <w:rPr>
          <w:rFonts w:eastAsia="Cambria" w:cs="Times New Roman"/>
          <w:szCs w:val="20"/>
          <w:lang w:val="en-US"/>
        </w:rPr>
        <w:t xml:space="preserve">, </w:t>
      </w:r>
      <w:r w:rsidR="00351E20" w:rsidRPr="00FE50A6">
        <w:rPr>
          <w:rFonts w:eastAsia="Cambria" w:cs="Times New Roman"/>
          <w:szCs w:val="20"/>
          <w:lang w:val="en-US"/>
        </w:rPr>
        <w:t>established in Article</w:t>
      </w:r>
      <w:r w:rsidR="00702C18" w:rsidRPr="00FE50A6">
        <w:rPr>
          <w:rFonts w:eastAsia="Cambria" w:cs="Times New Roman"/>
          <w:szCs w:val="20"/>
          <w:lang w:val="en-US"/>
        </w:rPr>
        <w:t xml:space="preserve"> 25</w:t>
      </w:r>
      <w:r w:rsidRPr="00FE50A6">
        <w:rPr>
          <w:rFonts w:eastAsia="Cambria" w:cs="Times New Roman"/>
          <w:szCs w:val="20"/>
          <w:lang w:val="en-US"/>
        </w:rPr>
        <w:t xml:space="preserve"> of the American Convention on Human Rights</w:t>
      </w:r>
      <w:r w:rsidR="00702C18" w:rsidRPr="00FE50A6">
        <w:rPr>
          <w:rFonts w:eastAsia="Cambria" w:cs="Times New Roman"/>
          <w:szCs w:val="20"/>
          <w:lang w:val="en-US"/>
        </w:rPr>
        <w:t xml:space="preserve">, </w:t>
      </w:r>
      <w:r w:rsidR="000B587F" w:rsidRPr="00FE50A6">
        <w:rPr>
          <w:rFonts w:eastAsia="Cambria" w:cs="Times New Roman"/>
          <w:szCs w:val="20"/>
          <w:lang w:val="en-US"/>
        </w:rPr>
        <w:t>in relation to Articles 1(1)</w:t>
      </w:r>
      <w:r w:rsidR="00030C17" w:rsidRPr="00FE50A6">
        <w:rPr>
          <w:rFonts w:eastAsia="Cambria" w:cs="Times New Roman"/>
          <w:szCs w:val="20"/>
          <w:lang w:val="en-US"/>
        </w:rPr>
        <w:t xml:space="preserve"> and </w:t>
      </w:r>
      <w:r w:rsidR="00702C18" w:rsidRPr="00FE50A6">
        <w:rPr>
          <w:rFonts w:eastAsia="Cambria" w:cs="Times New Roman"/>
          <w:szCs w:val="20"/>
          <w:lang w:val="en-US"/>
        </w:rPr>
        <w:t xml:space="preserve">2 </w:t>
      </w:r>
      <w:r w:rsidR="00D11A9F" w:rsidRPr="00FE50A6">
        <w:rPr>
          <w:rFonts w:eastAsia="Cambria" w:cs="Times New Roman"/>
          <w:szCs w:val="20"/>
          <w:lang w:val="en-US"/>
        </w:rPr>
        <w:t>of this instrument</w:t>
      </w:r>
      <w:r w:rsidR="00702C18" w:rsidRPr="00FE50A6">
        <w:rPr>
          <w:rFonts w:eastAsia="Cambria" w:cs="Times New Roman"/>
          <w:szCs w:val="20"/>
          <w:lang w:val="en-US"/>
        </w:rPr>
        <w:t xml:space="preserve"> </w:t>
      </w:r>
      <w:r w:rsidR="00703850" w:rsidRPr="00FE50A6">
        <w:rPr>
          <w:rFonts w:eastAsia="Cambria" w:cs="Times New Roman"/>
          <w:szCs w:val="20"/>
          <w:lang w:val="en-US"/>
        </w:rPr>
        <w:t>to the detriment of</w:t>
      </w:r>
      <w:r w:rsidR="00702C18" w:rsidRPr="00FE50A6">
        <w:rPr>
          <w:rFonts w:eastAsia="Cambria" w:cs="Times New Roman"/>
          <w:szCs w:val="20"/>
          <w:lang w:val="en-US"/>
        </w:rPr>
        <w:t xml:space="preserve">: </w:t>
      </w:r>
      <w:r w:rsidR="00351E20" w:rsidRPr="00FE50A6">
        <w:rPr>
          <w:rFonts w:eastAsia="Cambria" w:cs="Times New Roman"/>
          <w:szCs w:val="20"/>
          <w:lang w:val="en-US"/>
        </w:rPr>
        <w:t>(</w:t>
      </w:r>
      <w:r w:rsidR="00702C18" w:rsidRPr="00FE50A6">
        <w:rPr>
          <w:rFonts w:eastAsia="Cambria" w:cs="Times New Roman"/>
          <w:szCs w:val="20"/>
          <w:lang w:val="en-US"/>
        </w:rPr>
        <w:t xml:space="preserve">a) </w:t>
      </w:r>
      <w:r w:rsidR="00351E20" w:rsidRPr="00FE50A6">
        <w:rPr>
          <w:rFonts w:eastAsia="Cambria" w:cs="Times New Roman"/>
          <w:szCs w:val="20"/>
          <w:lang w:val="en-US"/>
        </w:rPr>
        <w:t>the</w:t>
      </w:r>
      <w:r w:rsidR="00702C18" w:rsidRPr="00FE50A6">
        <w:rPr>
          <w:rFonts w:eastAsia="Cambria" w:cs="Times New Roman"/>
          <w:szCs w:val="20"/>
          <w:lang w:val="en-US"/>
        </w:rPr>
        <w:t xml:space="preserve"> 43 </w:t>
      </w:r>
      <w:r w:rsidR="00030C17" w:rsidRPr="00FE50A6">
        <w:rPr>
          <w:rFonts w:eastAsia="Cambria" w:cs="Times New Roman"/>
          <w:szCs w:val="20"/>
          <w:lang w:val="en-US"/>
        </w:rPr>
        <w:t xml:space="preserve">Hacienda </w:t>
      </w:r>
      <w:r w:rsidR="00322241" w:rsidRPr="00FE50A6">
        <w:rPr>
          <w:rFonts w:eastAsia="Cambria" w:cs="Times New Roman"/>
          <w:szCs w:val="20"/>
          <w:lang w:val="en-US"/>
        </w:rPr>
        <w:t>Brasil Verde</w:t>
      </w:r>
      <w:r w:rsidR="00030C17" w:rsidRPr="00FE50A6">
        <w:rPr>
          <w:rFonts w:eastAsia="Cambria" w:cs="Times New Roman"/>
          <w:szCs w:val="20"/>
          <w:lang w:val="en-US"/>
        </w:rPr>
        <w:t xml:space="preserve"> </w:t>
      </w:r>
      <w:r w:rsidR="00351E20" w:rsidRPr="00FE50A6">
        <w:rPr>
          <w:rFonts w:eastAsia="Cambria" w:cs="Times New Roman"/>
          <w:szCs w:val="20"/>
          <w:lang w:val="en-US"/>
        </w:rPr>
        <w:t>w</w:t>
      </w:r>
      <w:r w:rsidR="00030C17" w:rsidRPr="00FE50A6">
        <w:rPr>
          <w:rFonts w:eastAsia="Cambria" w:cs="Times New Roman"/>
          <w:szCs w:val="20"/>
          <w:lang w:val="en-US"/>
        </w:rPr>
        <w:t>orkers</w:t>
      </w:r>
      <w:r w:rsidR="00702C18" w:rsidRPr="00FE50A6">
        <w:rPr>
          <w:rFonts w:eastAsia="Cambria" w:cs="Times New Roman"/>
          <w:szCs w:val="20"/>
          <w:lang w:val="en-US"/>
        </w:rPr>
        <w:t xml:space="preserve"> </w:t>
      </w:r>
      <w:r w:rsidR="00351E20" w:rsidRPr="00FE50A6">
        <w:rPr>
          <w:rFonts w:eastAsia="Cambria" w:cs="Times New Roman"/>
          <w:szCs w:val="20"/>
          <w:lang w:val="en-US"/>
        </w:rPr>
        <w:t>found during the inspection of April 23,</w:t>
      </w:r>
      <w:r w:rsidR="00702C18" w:rsidRPr="00FE50A6">
        <w:rPr>
          <w:rFonts w:eastAsia="Cambria" w:cs="Times New Roman"/>
          <w:szCs w:val="20"/>
          <w:lang w:val="en-US"/>
        </w:rPr>
        <w:t xml:space="preserve"> 1997</w:t>
      </w:r>
      <w:r w:rsidR="00351E20" w:rsidRPr="00FE50A6">
        <w:rPr>
          <w:rFonts w:eastAsia="Cambria" w:cs="Times New Roman"/>
          <w:szCs w:val="20"/>
          <w:lang w:val="en-US"/>
        </w:rPr>
        <w:t>,</w:t>
      </w:r>
      <w:r w:rsidR="00030C17" w:rsidRPr="00FE50A6">
        <w:rPr>
          <w:rFonts w:eastAsia="Cambria" w:cs="Times New Roman"/>
          <w:szCs w:val="20"/>
          <w:lang w:val="en-US"/>
        </w:rPr>
        <w:t xml:space="preserve"> and </w:t>
      </w:r>
      <w:r w:rsidR="00351E20" w:rsidRPr="00FE50A6">
        <w:rPr>
          <w:rFonts w:eastAsia="Cambria" w:cs="Times New Roman"/>
          <w:szCs w:val="20"/>
          <w:lang w:val="en-US"/>
        </w:rPr>
        <w:t xml:space="preserve">who have been identified by the Court in this </w:t>
      </w:r>
      <w:r w:rsidR="002248E2" w:rsidRPr="00FE50A6">
        <w:rPr>
          <w:rFonts w:eastAsia="Cambria" w:cs="Times New Roman"/>
          <w:szCs w:val="20"/>
          <w:lang w:val="en-US"/>
        </w:rPr>
        <w:t>judgment</w:t>
      </w:r>
      <w:r w:rsidR="00351E20" w:rsidRPr="00FE50A6">
        <w:rPr>
          <w:rFonts w:eastAsia="Cambria" w:cs="Times New Roman"/>
          <w:szCs w:val="20"/>
          <w:lang w:val="en-US"/>
        </w:rPr>
        <w:t xml:space="preserve"> </w:t>
      </w:r>
      <w:r w:rsidR="00702C18" w:rsidRPr="00FE50A6">
        <w:rPr>
          <w:rFonts w:eastAsia="Cambria" w:cs="Times New Roman"/>
          <w:szCs w:val="20"/>
          <w:lang w:val="en-US"/>
        </w:rPr>
        <w:t>(</w:t>
      </w:r>
      <w:r w:rsidR="00702C18" w:rsidRPr="00FE50A6">
        <w:rPr>
          <w:rFonts w:eastAsia="Cambria" w:cs="Times New Roman"/>
          <w:i/>
          <w:szCs w:val="20"/>
          <w:lang w:val="en-US"/>
        </w:rPr>
        <w:t>supra</w:t>
      </w:r>
      <w:r w:rsidR="00702C18" w:rsidRPr="00FE50A6">
        <w:rPr>
          <w:rFonts w:eastAsia="Cambria" w:cs="Times New Roman"/>
          <w:szCs w:val="20"/>
          <w:lang w:val="en-US"/>
        </w:rPr>
        <w:t xml:space="preserve"> </w:t>
      </w:r>
      <w:r w:rsidR="00700B79" w:rsidRPr="00FE50A6">
        <w:rPr>
          <w:rFonts w:eastAsia="Cambria" w:cs="Times New Roman"/>
          <w:szCs w:val="20"/>
          <w:lang w:val="en-US"/>
        </w:rPr>
        <w:t>para.</w:t>
      </w:r>
      <w:r w:rsidR="00702C18" w:rsidRPr="00FE50A6">
        <w:rPr>
          <w:rFonts w:eastAsia="Cambria" w:cs="Times New Roman"/>
          <w:szCs w:val="20"/>
          <w:lang w:val="en-US"/>
        </w:rPr>
        <w:t xml:space="preserve"> </w:t>
      </w:r>
      <w:r w:rsidR="002E7572" w:rsidRPr="00FE50A6">
        <w:rPr>
          <w:rFonts w:eastAsia="Cambria" w:cs="Times New Roman"/>
          <w:szCs w:val="20"/>
          <w:lang w:val="en-US"/>
        </w:rPr>
        <w:t>199</w:t>
      </w:r>
      <w:r w:rsidR="00702C18" w:rsidRPr="00FE50A6">
        <w:rPr>
          <w:rFonts w:eastAsia="Cambria" w:cs="Times New Roman"/>
          <w:szCs w:val="20"/>
          <w:lang w:val="en-US"/>
        </w:rPr>
        <w:t>),</w:t>
      </w:r>
      <w:r w:rsidR="00030C17" w:rsidRPr="00FE50A6">
        <w:rPr>
          <w:rFonts w:eastAsia="Cambria" w:cs="Times New Roman"/>
          <w:szCs w:val="20"/>
          <w:lang w:val="en-US"/>
        </w:rPr>
        <w:t xml:space="preserve"> and </w:t>
      </w:r>
      <w:r w:rsidR="00351E20" w:rsidRPr="00FE50A6">
        <w:rPr>
          <w:rFonts w:eastAsia="Cambria" w:cs="Times New Roman"/>
          <w:szCs w:val="20"/>
          <w:lang w:val="en-US"/>
        </w:rPr>
        <w:t>(</w:t>
      </w:r>
      <w:r w:rsidR="00702C18" w:rsidRPr="00FE50A6">
        <w:rPr>
          <w:rFonts w:eastAsia="Cambria" w:cs="Times New Roman"/>
          <w:szCs w:val="20"/>
          <w:lang w:val="en-US"/>
        </w:rPr>
        <w:t xml:space="preserve">b) </w:t>
      </w:r>
      <w:r w:rsidR="00351E20" w:rsidRPr="00FE50A6">
        <w:rPr>
          <w:rFonts w:eastAsia="Cambria" w:cs="Times New Roman"/>
          <w:szCs w:val="20"/>
          <w:lang w:val="en-US"/>
        </w:rPr>
        <w:t>the</w:t>
      </w:r>
      <w:r w:rsidR="00702C18" w:rsidRPr="00FE50A6">
        <w:rPr>
          <w:rFonts w:eastAsia="Cambria" w:cs="Times New Roman"/>
          <w:szCs w:val="20"/>
          <w:lang w:val="en-US"/>
        </w:rPr>
        <w:t xml:space="preserve"> 85 </w:t>
      </w:r>
      <w:r w:rsidR="00030C17" w:rsidRPr="00FE50A6">
        <w:rPr>
          <w:rFonts w:eastAsia="Cambria" w:cs="Times New Roman"/>
          <w:szCs w:val="20"/>
          <w:lang w:val="en-US"/>
        </w:rPr>
        <w:t xml:space="preserve">Hacienda </w:t>
      </w:r>
      <w:r w:rsidR="00322241" w:rsidRPr="00FE50A6">
        <w:rPr>
          <w:rFonts w:eastAsia="Cambria" w:cs="Times New Roman"/>
          <w:szCs w:val="20"/>
          <w:lang w:val="en-US"/>
        </w:rPr>
        <w:t>Brasil Verde</w:t>
      </w:r>
      <w:r w:rsidR="00030C17" w:rsidRPr="00FE50A6">
        <w:rPr>
          <w:rFonts w:eastAsia="Cambria" w:cs="Times New Roman"/>
          <w:szCs w:val="20"/>
          <w:lang w:val="en-US"/>
        </w:rPr>
        <w:t xml:space="preserve"> </w:t>
      </w:r>
      <w:r w:rsidR="00351E20" w:rsidRPr="00FE50A6">
        <w:rPr>
          <w:rFonts w:eastAsia="Cambria" w:cs="Times New Roman"/>
          <w:szCs w:val="20"/>
          <w:lang w:val="en-US"/>
        </w:rPr>
        <w:t>w</w:t>
      </w:r>
      <w:r w:rsidR="00030C17" w:rsidRPr="00FE50A6">
        <w:rPr>
          <w:rFonts w:eastAsia="Cambria" w:cs="Times New Roman"/>
          <w:szCs w:val="20"/>
          <w:lang w:val="en-US"/>
        </w:rPr>
        <w:t>orkers</w:t>
      </w:r>
      <w:r w:rsidR="00702C18" w:rsidRPr="00FE50A6">
        <w:rPr>
          <w:rFonts w:eastAsia="Cambria" w:cs="Times New Roman"/>
          <w:szCs w:val="20"/>
          <w:lang w:val="en-US"/>
        </w:rPr>
        <w:t xml:space="preserve"> </w:t>
      </w:r>
      <w:r w:rsidR="00351E20" w:rsidRPr="00FE50A6">
        <w:rPr>
          <w:rFonts w:eastAsia="Cambria" w:cs="Times New Roman"/>
          <w:szCs w:val="20"/>
          <w:lang w:val="en-US"/>
        </w:rPr>
        <w:t xml:space="preserve">found during the </w:t>
      </w:r>
      <w:r w:rsidR="00A67F6B" w:rsidRPr="00FE50A6">
        <w:rPr>
          <w:rFonts w:eastAsia="Cambria" w:cs="Times New Roman"/>
          <w:szCs w:val="20"/>
          <w:lang w:val="en-US"/>
        </w:rPr>
        <w:t>March 15,</w:t>
      </w:r>
      <w:r w:rsidR="00702C18" w:rsidRPr="00FE50A6">
        <w:rPr>
          <w:rFonts w:eastAsia="Cambria" w:cs="Times New Roman"/>
          <w:szCs w:val="20"/>
          <w:lang w:val="en-US"/>
        </w:rPr>
        <w:t xml:space="preserve"> 2000</w:t>
      </w:r>
      <w:r w:rsidR="00351E20" w:rsidRPr="00FE50A6">
        <w:rPr>
          <w:rFonts w:eastAsia="Cambria" w:cs="Times New Roman"/>
          <w:szCs w:val="20"/>
          <w:lang w:val="en-US"/>
        </w:rPr>
        <w:t>, inspection</w:t>
      </w:r>
      <w:r w:rsidR="00030C17" w:rsidRPr="00FE50A6">
        <w:rPr>
          <w:rFonts w:eastAsia="Cambria" w:cs="Times New Roman"/>
          <w:szCs w:val="20"/>
          <w:lang w:val="en-US"/>
        </w:rPr>
        <w:t xml:space="preserve"> </w:t>
      </w:r>
      <w:r w:rsidR="00351E20" w:rsidRPr="00FE50A6">
        <w:rPr>
          <w:rFonts w:eastAsia="Cambria" w:cs="Times New Roman"/>
          <w:szCs w:val="20"/>
          <w:lang w:val="en-US"/>
        </w:rPr>
        <w:t xml:space="preserve">and who have been identified by the Court in this </w:t>
      </w:r>
      <w:r w:rsidR="002248E2" w:rsidRPr="00FE50A6">
        <w:rPr>
          <w:rFonts w:eastAsia="Cambria" w:cs="Times New Roman"/>
          <w:szCs w:val="20"/>
          <w:lang w:val="en-US"/>
        </w:rPr>
        <w:t>judgment</w:t>
      </w:r>
      <w:r w:rsidR="00351E20" w:rsidRPr="00FE50A6">
        <w:rPr>
          <w:rFonts w:eastAsia="Cambria" w:cs="Times New Roman"/>
          <w:szCs w:val="20"/>
          <w:lang w:val="en-US"/>
        </w:rPr>
        <w:t xml:space="preserve"> </w:t>
      </w:r>
      <w:r w:rsidR="00702C18" w:rsidRPr="00FE50A6">
        <w:rPr>
          <w:rFonts w:eastAsia="Cambria" w:cs="Times New Roman"/>
          <w:szCs w:val="20"/>
          <w:lang w:val="en-US"/>
        </w:rPr>
        <w:t>(</w:t>
      </w:r>
      <w:r w:rsidR="00702C18" w:rsidRPr="00FE50A6">
        <w:rPr>
          <w:rFonts w:eastAsia="Cambria" w:cs="Times New Roman"/>
          <w:i/>
          <w:szCs w:val="20"/>
          <w:lang w:val="en-US"/>
        </w:rPr>
        <w:t>supra</w:t>
      </w:r>
      <w:r w:rsidR="00702C18" w:rsidRPr="00FE50A6">
        <w:rPr>
          <w:rFonts w:eastAsia="Cambria" w:cs="Times New Roman"/>
          <w:szCs w:val="20"/>
          <w:lang w:val="en-US"/>
        </w:rPr>
        <w:t xml:space="preserve"> </w:t>
      </w:r>
      <w:r w:rsidR="00700B79" w:rsidRPr="00FE50A6">
        <w:rPr>
          <w:rFonts w:eastAsia="Cambria" w:cs="Times New Roman"/>
          <w:szCs w:val="20"/>
          <w:lang w:val="en-US"/>
        </w:rPr>
        <w:t>para.</w:t>
      </w:r>
      <w:r w:rsidR="00702C18" w:rsidRPr="00FE50A6">
        <w:rPr>
          <w:rFonts w:eastAsia="Cambria" w:cs="Times New Roman"/>
          <w:szCs w:val="20"/>
          <w:lang w:val="en-US"/>
        </w:rPr>
        <w:t xml:space="preserve"> </w:t>
      </w:r>
      <w:r w:rsidR="002E7572" w:rsidRPr="00FE50A6">
        <w:rPr>
          <w:rFonts w:eastAsia="Cambria" w:cs="Times New Roman"/>
          <w:szCs w:val="20"/>
          <w:lang w:val="en-US"/>
        </w:rPr>
        <w:t>206</w:t>
      </w:r>
      <w:r w:rsidR="00702C18" w:rsidRPr="00FE50A6">
        <w:rPr>
          <w:rFonts w:eastAsia="Cambria" w:cs="Times New Roman"/>
          <w:szCs w:val="20"/>
          <w:lang w:val="en-US"/>
        </w:rPr>
        <w:t xml:space="preserve">). </w:t>
      </w:r>
      <w:r w:rsidR="00702C18" w:rsidRPr="00FE50A6">
        <w:rPr>
          <w:rFonts w:eastAsia="Cambria" w:cs="Times New Roman"/>
          <w:lang w:val="en-US"/>
        </w:rPr>
        <w:t>Ad</w:t>
      </w:r>
      <w:r w:rsidR="00351E20" w:rsidRPr="00FE50A6">
        <w:rPr>
          <w:rFonts w:eastAsia="Cambria" w:cs="Times New Roman"/>
          <w:lang w:val="en-US"/>
        </w:rPr>
        <w:t xml:space="preserve">ditionally, in relation to </w:t>
      </w:r>
      <w:r w:rsidR="00D60654" w:rsidRPr="00FE50A6">
        <w:rPr>
          <w:rFonts w:eastAsia="Cambria" w:cs="Times New Roman"/>
          <w:lang w:val="en-US"/>
        </w:rPr>
        <w:t xml:space="preserve">Antônio </w:t>
      </w:r>
      <w:r w:rsidR="00702C18" w:rsidRPr="00FE50A6">
        <w:rPr>
          <w:rFonts w:eastAsia="Cambria" w:cs="Times New Roman"/>
          <w:lang w:val="en-US"/>
        </w:rPr>
        <w:t xml:space="preserve">Francisco da Silva </w:t>
      </w:r>
      <w:r w:rsidR="00351E20" w:rsidRPr="00FE50A6">
        <w:rPr>
          <w:rFonts w:eastAsia="Cambria" w:cs="Times New Roman"/>
          <w:lang w:val="en-US"/>
        </w:rPr>
        <w:t xml:space="preserve">this violation occurred also </w:t>
      </w:r>
      <w:r w:rsidR="000B587F" w:rsidRPr="00FE50A6">
        <w:rPr>
          <w:rFonts w:eastAsia="Cambria" w:cs="Times New Roman"/>
          <w:lang w:val="en-US"/>
        </w:rPr>
        <w:t>in relation to Article</w:t>
      </w:r>
      <w:r w:rsidR="00702C18" w:rsidRPr="00FE50A6">
        <w:rPr>
          <w:rFonts w:eastAsia="Cambria" w:cs="Times New Roman"/>
          <w:lang w:val="en-US"/>
        </w:rPr>
        <w:t xml:space="preserve"> 19</w:t>
      </w:r>
      <w:r w:rsidRPr="00FE50A6">
        <w:rPr>
          <w:rFonts w:eastAsia="Cambria" w:cs="Times New Roman"/>
          <w:lang w:val="en-US"/>
        </w:rPr>
        <w:t xml:space="preserve"> of the American Convention</w:t>
      </w:r>
      <w:r w:rsidR="00702C18" w:rsidRPr="00FE50A6">
        <w:rPr>
          <w:rFonts w:eastAsia="Cambria" w:cs="Times New Roman"/>
          <w:lang w:val="en-US"/>
        </w:rPr>
        <w:t xml:space="preserve">, </w:t>
      </w:r>
      <w:r w:rsidR="00351E20" w:rsidRPr="00FE50A6">
        <w:rPr>
          <w:rFonts w:eastAsia="Cambria" w:cs="Times New Roman"/>
          <w:lang w:val="en-US"/>
        </w:rPr>
        <w:t>all the foregoing</w:t>
      </w:r>
      <w:r w:rsidR="00702C18" w:rsidRPr="00FE50A6">
        <w:rPr>
          <w:rFonts w:eastAsia="Cambria" w:cs="Times New Roman"/>
          <w:szCs w:val="20"/>
          <w:lang w:val="en-US"/>
        </w:rPr>
        <w:t xml:space="preserve">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7A3720" w:rsidRPr="00FE50A6">
        <w:rPr>
          <w:rFonts w:eastAsia="Cambria" w:cs="Times New Roman"/>
          <w:szCs w:val="20"/>
          <w:lang w:val="en-US"/>
        </w:rPr>
        <w:t>383</w:t>
      </w:r>
      <w:r w:rsidR="00483F80" w:rsidRPr="00FE50A6">
        <w:rPr>
          <w:rFonts w:eastAsia="Cambria" w:cs="Times New Roman"/>
          <w:szCs w:val="20"/>
          <w:lang w:val="en-US"/>
        </w:rPr>
        <w:t xml:space="preserve"> </w:t>
      </w:r>
      <w:r w:rsidR="00351E20" w:rsidRPr="00FE50A6">
        <w:rPr>
          <w:rFonts w:eastAsia="Cambria" w:cs="Times New Roman"/>
          <w:szCs w:val="20"/>
          <w:lang w:val="en-US"/>
        </w:rPr>
        <w:t>to</w:t>
      </w:r>
      <w:r w:rsidR="00483F80" w:rsidRPr="00FE50A6">
        <w:rPr>
          <w:rFonts w:eastAsia="Cambria" w:cs="Times New Roman"/>
          <w:szCs w:val="20"/>
          <w:lang w:val="en-US"/>
        </w:rPr>
        <w:t xml:space="preserve"> 42</w:t>
      </w:r>
      <w:r w:rsidR="007A3720" w:rsidRPr="00FE50A6">
        <w:rPr>
          <w:rFonts w:eastAsia="Cambria" w:cs="Times New Roman"/>
          <w:szCs w:val="20"/>
          <w:lang w:val="en-US"/>
        </w:rPr>
        <w:t>0</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w:t>
      </w:r>
    </w:p>
    <w:p w14:paraId="5BCB7724" w14:textId="77777777" w:rsidR="00702C18" w:rsidRPr="00FE50A6" w:rsidRDefault="00702C18" w:rsidP="00702C18">
      <w:pPr>
        <w:tabs>
          <w:tab w:val="clear" w:pos="4419"/>
          <w:tab w:val="clear" w:pos="8838"/>
          <w:tab w:val="left" w:pos="720"/>
        </w:tabs>
        <w:ind w:right="-90"/>
        <w:contextualSpacing/>
        <w:jc w:val="both"/>
        <w:rPr>
          <w:rFonts w:eastAsia="Cambria" w:cs="Times New Roman"/>
          <w:szCs w:val="20"/>
          <w:lang w:val="en-US"/>
        </w:rPr>
      </w:pPr>
    </w:p>
    <w:p w14:paraId="27A684A2" w14:textId="77777777" w:rsidR="00702C18" w:rsidRPr="00FE50A6" w:rsidRDefault="00351E20" w:rsidP="00702C18">
      <w:p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Dissenting</w:t>
      </w:r>
      <w:r w:rsidR="00702C18" w:rsidRPr="00FE50A6">
        <w:rPr>
          <w:rFonts w:eastAsia="Cambria" w:cs="Times New Roman"/>
          <w:szCs w:val="20"/>
          <w:lang w:val="en-US"/>
        </w:rPr>
        <w:t xml:space="preserve"> </w:t>
      </w:r>
      <w:r w:rsidR="000228D0" w:rsidRPr="00FE50A6">
        <w:rPr>
          <w:rFonts w:eastAsia="Cambria" w:cs="Times New Roman"/>
          <w:szCs w:val="20"/>
          <w:lang w:val="en-US"/>
        </w:rPr>
        <w:t>Judge</w:t>
      </w:r>
      <w:r w:rsidR="00702C18" w:rsidRPr="00FE50A6">
        <w:rPr>
          <w:rFonts w:eastAsia="Cambria" w:cs="Times New Roman"/>
          <w:szCs w:val="20"/>
          <w:lang w:val="en-US"/>
        </w:rPr>
        <w:t xml:space="preserve"> Sierra Porto.</w:t>
      </w:r>
    </w:p>
    <w:p w14:paraId="3A3B0B8D" w14:textId="77777777" w:rsidR="00702C18" w:rsidRPr="00FE50A6" w:rsidRDefault="00702C18" w:rsidP="00702C18">
      <w:pPr>
        <w:tabs>
          <w:tab w:val="left" w:pos="720"/>
        </w:tabs>
        <w:ind w:right="-90"/>
        <w:contextualSpacing/>
        <w:rPr>
          <w:rFonts w:eastAsia="Cambria" w:cs="Times New Roman"/>
          <w:szCs w:val="20"/>
          <w:lang w:val="en-US"/>
        </w:rPr>
      </w:pPr>
    </w:p>
    <w:p w14:paraId="0636EBC1" w14:textId="77777777" w:rsidR="00702C18" w:rsidRPr="00FE50A6" w:rsidRDefault="00351E20" w:rsidP="00702C18">
      <w:pPr>
        <w:tabs>
          <w:tab w:val="left" w:pos="720"/>
        </w:tabs>
        <w:ind w:right="-90"/>
        <w:contextualSpacing/>
        <w:rPr>
          <w:rFonts w:eastAsia="Cambria" w:cs="Times New Roman"/>
          <w:szCs w:val="20"/>
          <w:lang w:val="en-US"/>
        </w:rPr>
      </w:pPr>
      <w:r w:rsidRPr="00FE50A6">
        <w:rPr>
          <w:rFonts w:eastAsia="Cambria" w:cs="Times New Roman"/>
          <w:szCs w:val="20"/>
          <w:lang w:val="en-US"/>
        </w:rPr>
        <w:t>Unanimously that</w:t>
      </w:r>
      <w:r w:rsidR="00702C18" w:rsidRPr="00FE50A6">
        <w:rPr>
          <w:rFonts w:eastAsia="Cambria" w:cs="Times New Roman"/>
          <w:szCs w:val="20"/>
          <w:lang w:val="en-US"/>
        </w:rPr>
        <w:t xml:space="preserve">: </w:t>
      </w:r>
    </w:p>
    <w:p w14:paraId="03FF0231" w14:textId="77777777" w:rsidR="00702C18" w:rsidRPr="00FE50A6" w:rsidRDefault="00702C18" w:rsidP="00702C18">
      <w:pPr>
        <w:tabs>
          <w:tab w:val="left" w:pos="720"/>
        </w:tabs>
        <w:ind w:right="-90"/>
        <w:contextualSpacing/>
        <w:rPr>
          <w:rFonts w:eastAsia="Cambria" w:cs="Times New Roman"/>
          <w:szCs w:val="20"/>
          <w:lang w:val="en-US"/>
        </w:rPr>
      </w:pPr>
    </w:p>
    <w:p w14:paraId="6903B251"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szCs w:val="20"/>
          <w:lang w:val="en-US"/>
        </w:rPr>
      </w:pPr>
      <w:r w:rsidRPr="00FE50A6">
        <w:rPr>
          <w:rFonts w:eastAsia="Cambria" w:cs="Times New Roman"/>
          <w:szCs w:val="20"/>
          <w:lang w:val="en-US"/>
        </w:rPr>
        <w:t>The State</w:t>
      </w:r>
      <w:r w:rsidR="00702C18" w:rsidRPr="00FE50A6">
        <w:rPr>
          <w:rFonts w:eastAsia="Cambria" w:cs="Times New Roman"/>
          <w:szCs w:val="20"/>
          <w:lang w:val="en-US"/>
        </w:rPr>
        <w:t xml:space="preserve"> </w:t>
      </w:r>
      <w:r w:rsidR="00351E20" w:rsidRPr="00FE50A6">
        <w:rPr>
          <w:rFonts w:eastAsia="Cambria" w:cs="Times New Roman"/>
          <w:szCs w:val="20"/>
          <w:lang w:val="en-US"/>
        </w:rPr>
        <w:t>is not responsible for</w:t>
      </w:r>
      <w:r w:rsidR="00702C18" w:rsidRPr="00FE50A6">
        <w:rPr>
          <w:rFonts w:eastAsia="Cambria" w:cs="Times New Roman"/>
          <w:szCs w:val="20"/>
          <w:lang w:val="en-US"/>
        </w:rPr>
        <w:t xml:space="preserve"> </w:t>
      </w:r>
      <w:r w:rsidR="00351E20" w:rsidRPr="00FE50A6">
        <w:rPr>
          <w:rFonts w:eastAsia="Cambria" w:cs="Arial"/>
          <w:iCs/>
          <w:szCs w:val="20"/>
          <w:lang w:val="en-US"/>
        </w:rPr>
        <w:t>the violations</w:t>
      </w:r>
      <w:r w:rsidR="00702C18" w:rsidRPr="00FE50A6">
        <w:rPr>
          <w:rFonts w:eastAsia="Cambria" w:cs="Arial"/>
          <w:iCs/>
          <w:szCs w:val="20"/>
          <w:lang w:val="en-US"/>
        </w:rPr>
        <w:t xml:space="preserve"> </w:t>
      </w:r>
      <w:r w:rsidR="00351E20" w:rsidRPr="00FE50A6">
        <w:rPr>
          <w:rFonts w:eastAsia="Cambria" w:cs="Arial"/>
          <w:iCs/>
          <w:szCs w:val="20"/>
          <w:lang w:val="en-US"/>
        </w:rPr>
        <w:t>of the rights to</w:t>
      </w:r>
      <w:r w:rsidR="00702C18" w:rsidRPr="00FE50A6">
        <w:rPr>
          <w:rFonts w:eastAsia="Cambria" w:cs="Arial"/>
          <w:iCs/>
          <w:szCs w:val="20"/>
          <w:lang w:val="en-US"/>
        </w:rPr>
        <w:t xml:space="preserve"> </w:t>
      </w:r>
      <w:r w:rsidR="00D11A9F" w:rsidRPr="00FE50A6">
        <w:rPr>
          <w:rFonts w:eastAsia="Cambria" w:cs="Arial"/>
          <w:iCs/>
          <w:szCs w:val="20"/>
          <w:lang w:val="en-US"/>
        </w:rPr>
        <w:t>juridical personality</w:t>
      </w:r>
      <w:r w:rsidR="00702C18" w:rsidRPr="00FE50A6">
        <w:rPr>
          <w:rFonts w:eastAsia="Cambria" w:cs="Arial"/>
          <w:iCs/>
          <w:szCs w:val="20"/>
          <w:lang w:val="en-US"/>
        </w:rPr>
        <w:t xml:space="preserve">, </w:t>
      </w:r>
      <w:r w:rsidR="00351E20" w:rsidRPr="00FE50A6">
        <w:rPr>
          <w:rFonts w:eastAsia="Cambria" w:cs="Arial"/>
          <w:iCs/>
          <w:szCs w:val="20"/>
          <w:lang w:val="en-US"/>
        </w:rPr>
        <w:t xml:space="preserve">life, personal integrity </w:t>
      </w:r>
      <w:r w:rsidR="00030C17" w:rsidRPr="00FE50A6">
        <w:rPr>
          <w:rFonts w:eastAsia="Cambria" w:cs="Arial"/>
          <w:iCs/>
          <w:szCs w:val="20"/>
          <w:lang w:val="en-US"/>
        </w:rPr>
        <w:t xml:space="preserve">and </w:t>
      </w:r>
      <w:r w:rsidR="00BC6362" w:rsidRPr="00FE50A6">
        <w:rPr>
          <w:rFonts w:eastAsia="Cambria" w:cs="Arial"/>
          <w:iCs/>
          <w:szCs w:val="20"/>
          <w:lang w:val="en-US"/>
        </w:rPr>
        <w:t>personal liberty</w:t>
      </w:r>
      <w:r w:rsidR="00702C18" w:rsidRPr="00FE50A6">
        <w:rPr>
          <w:rFonts w:eastAsia="Cambria" w:cs="Arial"/>
          <w:iCs/>
          <w:szCs w:val="20"/>
          <w:lang w:val="en-US"/>
        </w:rPr>
        <w:t xml:space="preserve">, </w:t>
      </w:r>
      <w:r w:rsidR="00351E20" w:rsidRPr="00FE50A6">
        <w:rPr>
          <w:rFonts w:eastAsia="Cambria" w:cs="Arial"/>
          <w:iCs/>
          <w:szCs w:val="20"/>
          <w:lang w:val="en-US"/>
        </w:rPr>
        <w:t>and judicial guarantees and protection</w:t>
      </w:r>
      <w:r w:rsidR="00702C18" w:rsidRPr="00FE50A6">
        <w:rPr>
          <w:rFonts w:eastAsia="Cambria" w:cs="Arial"/>
          <w:iCs/>
          <w:szCs w:val="20"/>
          <w:lang w:val="en-US"/>
        </w:rPr>
        <w:t xml:space="preserve">, </w:t>
      </w:r>
      <w:r w:rsidR="00351E20" w:rsidRPr="00FE50A6">
        <w:rPr>
          <w:rFonts w:eastAsia="Cambria" w:cs="Arial"/>
          <w:iCs/>
          <w:szCs w:val="20"/>
          <w:lang w:val="en-US"/>
        </w:rPr>
        <w:t>recognized in</w:t>
      </w:r>
      <w:r w:rsidR="00702C18" w:rsidRPr="00FE50A6">
        <w:rPr>
          <w:rFonts w:eastAsia="Cambria" w:cs="Arial"/>
          <w:iCs/>
          <w:szCs w:val="20"/>
          <w:lang w:val="en-US"/>
        </w:rPr>
        <w:t xml:space="preserve"> </w:t>
      </w:r>
      <w:r w:rsidRPr="00FE50A6">
        <w:rPr>
          <w:rFonts w:eastAsia="Cambria" w:cs="Arial"/>
          <w:iCs/>
          <w:szCs w:val="20"/>
          <w:lang w:val="en-US"/>
        </w:rPr>
        <w:t>Articles</w:t>
      </w:r>
      <w:r w:rsidR="00702C18" w:rsidRPr="00FE50A6">
        <w:rPr>
          <w:rFonts w:eastAsia="Cambria" w:cs="Arial"/>
          <w:iCs/>
          <w:szCs w:val="20"/>
          <w:lang w:val="en-US"/>
        </w:rPr>
        <w:t xml:space="preserve"> 3, 4, 5, 7, 8</w:t>
      </w:r>
      <w:r w:rsidR="00030C17" w:rsidRPr="00FE50A6">
        <w:rPr>
          <w:rFonts w:eastAsia="Cambria" w:cs="Arial"/>
          <w:iCs/>
          <w:szCs w:val="20"/>
          <w:lang w:val="en-US"/>
        </w:rPr>
        <w:t xml:space="preserve"> and </w:t>
      </w:r>
      <w:r w:rsidR="00702C18" w:rsidRPr="00FE50A6">
        <w:rPr>
          <w:rFonts w:eastAsia="Cambria" w:cs="Arial"/>
          <w:iCs/>
          <w:szCs w:val="20"/>
          <w:lang w:val="en-US"/>
        </w:rPr>
        <w:t>25</w:t>
      </w:r>
      <w:r w:rsidRPr="00FE50A6">
        <w:rPr>
          <w:rFonts w:eastAsia="Cambria" w:cs="Arial"/>
          <w:iCs/>
          <w:szCs w:val="20"/>
          <w:lang w:val="en-US"/>
        </w:rPr>
        <w:t xml:space="preserve"> of the American Convention</w:t>
      </w:r>
      <w:r w:rsidR="00702C18" w:rsidRPr="00FE50A6">
        <w:rPr>
          <w:rFonts w:eastAsia="Cambria" w:cs="Arial"/>
          <w:iCs/>
          <w:szCs w:val="20"/>
          <w:lang w:val="en-US"/>
        </w:rPr>
        <w:t xml:space="preserve">, </w:t>
      </w:r>
      <w:r w:rsidR="000B587F" w:rsidRPr="00FE50A6">
        <w:rPr>
          <w:rFonts w:eastAsia="Cambria" w:cs="Arial"/>
          <w:iCs/>
          <w:szCs w:val="20"/>
          <w:lang w:val="en-US"/>
        </w:rPr>
        <w:t>in relation to Articles 1(1)</w:t>
      </w:r>
      <w:r w:rsidR="00030C17" w:rsidRPr="00FE50A6">
        <w:rPr>
          <w:rFonts w:eastAsia="Cambria" w:cs="Arial"/>
          <w:iCs/>
          <w:szCs w:val="20"/>
          <w:lang w:val="en-US"/>
        </w:rPr>
        <w:t xml:space="preserve"> and </w:t>
      </w:r>
      <w:r w:rsidR="00702C18" w:rsidRPr="00FE50A6">
        <w:rPr>
          <w:rFonts w:eastAsia="Cambria" w:cs="Arial"/>
          <w:iCs/>
          <w:szCs w:val="20"/>
          <w:lang w:val="en-US"/>
        </w:rPr>
        <w:t xml:space="preserve">19 </w:t>
      </w:r>
      <w:r w:rsidR="00D11A9F" w:rsidRPr="00FE50A6">
        <w:rPr>
          <w:rFonts w:eastAsia="Cambria" w:cs="Arial"/>
          <w:iCs/>
          <w:szCs w:val="20"/>
          <w:lang w:val="en-US"/>
        </w:rPr>
        <w:t>of this instrument</w:t>
      </w:r>
      <w:r w:rsidR="00702C18" w:rsidRPr="00FE50A6">
        <w:rPr>
          <w:rFonts w:eastAsia="Cambria" w:cs="Arial"/>
          <w:iCs/>
          <w:szCs w:val="20"/>
          <w:lang w:val="en-US"/>
        </w:rPr>
        <w:t xml:space="preserve">, </w:t>
      </w:r>
      <w:r w:rsidR="00703850" w:rsidRPr="00FE50A6">
        <w:rPr>
          <w:rFonts w:eastAsia="Cambria" w:cs="Arial"/>
          <w:iCs/>
          <w:szCs w:val="20"/>
          <w:lang w:val="en-US"/>
        </w:rPr>
        <w:t>to the detriment of</w:t>
      </w:r>
      <w:r w:rsidR="00702C18" w:rsidRPr="00FE50A6">
        <w:rPr>
          <w:rFonts w:eastAsia="Cambria" w:cs="Arial"/>
          <w:iCs/>
          <w:szCs w:val="20"/>
          <w:lang w:val="en-US"/>
        </w:rPr>
        <w:t xml:space="preserve"> Luis Ferreira da Cruz</w:t>
      </w:r>
      <w:r w:rsidR="009C27BB" w:rsidRPr="00FE50A6">
        <w:rPr>
          <w:rFonts w:eastAsia="Cambria" w:cs="Arial"/>
          <w:iCs/>
          <w:szCs w:val="20"/>
          <w:lang w:val="en-US"/>
        </w:rPr>
        <w:t xml:space="preserve"> and Iron</w:t>
      </w:r>
      <w:r w:rsidR="008B075C" w:rsidRPr="00FE50A6">
        <w:rPr>
          <w:rFonts w:eastAsia="Cambria" w:cs="Arial"/>
          <w:iCs/>
          <w:szCs w:val="20"/>
          <w:lang w:val="en-US"/>
        </w:rPr>
        <w:t xml:space="preserve"> Canuto da Silva</w:t>
      </w:r>
      <w:r w:rsidR="00702C18" w:rsidRPr="00FE50A6">
        <w:rPr>
          <w:rFonts w:eastAsia="Cambria" w:cs="Arial"/>
          <w:iCs/>
          <w:szCs w:val="20"/>
          <w:lang w:val="en-US"/>
        </w:rPr>
        <w:t xml:space="preserve"> </w:t>
      </w:r>
      <w:r w:rsidR="00351E20" w:rsidRPr="00FE50A6">
        <w:rPr>
          <w:rFonts w:eastAsia="Cambria" w:cs="Arial"/>
          <w:iCs/>
          <w:szCs w:val="20"/>
          <w:lang w:val="en-US"/>
        </w:rPr>
        <w:t>or of their family members</w:t>
      </w:r>
      <w:r w:rsidR="00702C18" w:rsidRPr="00FE50A6">
        <w:rPr>
          <w:rFonts w:eastAsia="Cambria" w:cs="Times New Roman"/>
          <w:szCs w:val="20"/>
          <w:lang w:val="en-US"/>
        </w:rPr>
        <w:t xml:space="preserve">, </w:t>
      </w:r>
      <w:r w:rsidR="00351E20" w:rsidRPr="00FE50A6">
        <w:rPr>
          <w:rFonts w:eastAsia="Cambria" w:cs="Times New Roman"/>
          <w:szCs w:val="20"/>
          <w:lang w:val="en-US"/>
        </w:rPr>
        <w:t>in the terms of</w:t>
      </w:r>
      <w:r w:rsidR="00702C18" w:rsidRPr="00FE50A6">
        <w:rPr>
          <w:rFonts w:eastAsia="Cambria" w:cs="Times New Roman"/>
          <w:szCs w:val="20"/>
          <w:lang w:val="en-US"/>
        </w:rPr>
        <w:t xml:space="preserve"> </w:t>
      </w:r>
      <w:r w:rsidR="00351E20" w:rsidRPr="00FE50A6">
        <w:rPr>
          <w:rFonts w:eastAsia="Cambria" w:cs="Times New Roman"/>
          <w:szCs w:val="20"/>
          <w:lang w:val="en-US"/>
        </w:rPr>
        <w:t>paragraphs</w:t>
      </w:r>
      <w:r w:rsidR="00702C18" w:rsidRPr="00FE50A6">
        <w:rPr>
          <w:rFonts w:eastAsia="Cambria" w:cs="Times New Roman"/>
          <w:szCs w:val="20"/>
          <w:lang w:val="en-US"/>
        </w:rPr>
        <w:t xml:space="preserve"> </w:t>
      </w:r>
      <w:r w:rsidR="00483F80" w:rsidRPr="00FE50A6">
        <w:rPr>
          <w:rFonts w:eastAsia="Cambria" w:cs="Times New Roman"/>
          <w:szCs w:val="20"/>
          <w:lang w:val="en-US"/>
        </w:rPr>
        <w:t>42</w:t>
      </w:r>
      <w:r w:rsidR="007A3720" w:rsidRPr="00FE50A6">
        <w:rPr>
          <w:rFonts w:eastAsia="Cambria" w:cs="Times New Roman"/>
          <w:szCs w:val="20"/>
          <w:lang w:val="en-US"/>
        </w:rPr>
        <w:t>1</w:t>
      </w:r>
      <w:r w:rsidR="00030C17" w:rsidRPr="00FE50A6">
        <w:rPr>
          <w:rFonts w:eastAsia="Cambria" w:cs="Times New Roman"/>
          <w:szCs w:val="20"/>
          <w:lang w:val="en-US"/>
        </w:rPr>
        <w:t xml:space="preserve"> and </w:t>
      </w:r>
      <w:r w:rsidR="00BC5A18" w:rsidRPr="00FE50A6">
        <w:rPr>
          <w:rFonts w:eastAsia="Cambria" w:cs="Times New Roman"/>
          <w:szCs w:val="20"/>
          <w:lang w:val="en-US"/>
        </w:rPr>
        <w:t>426</w:t>
      </w:r>
      <w:r w:rsidR="00483F80" w:rsidRPr="00FE50A6">
        <w:rPr>
          <w:rFonts w:eastAsia="Cambria" w:cs="Times New Roman"/>
          <w:szCs w:val="20"/>
          <w:lang w:val="en-US"/>
        </w:rPr>
        <w:t xml:space="preserve"> </w:t>
      </w:r>
      <w:r w:rsidR="00351E20" w:rsidRPr="00FE50A6">
        <w:rPr>
          <w:rFonts w:eastAsia="Cambria" w:cs="Times New Roman"/>
          <w:szCs w:val="20"/>
          <w:lang w:val="en-US"/>
        </w:rPr>
        <w:t>to</w:t>
      </w:r>
      <w:r w:rsidR="00483F80" w:rsidRPr="00FE50A6">
        <w:rPr>
          <w:rFonts w:eastAsia="Cambria" w:cs="Times New Roman"/>
          <w:szCs w:val="20"/>
          <w:lang w:val="en-US"/>
        </w:rPr>
        <w:t xml:space="preserve"> 43</w:t>
      </w:r>
      <w:r w:rsidR="007A3720" w:rsidRPr="00FE50A6">
        <w:rPr>
          <w:rFonts w:eastAsia="Cambria" w:cs="Times New Roman"/>
          <w:szCs w:val="20"/>
          <w:lang w:val="en-US"/>
        </w:rPr>
        <w:t>4</w:t>
      </w:r>
      <w:r w:rsidR="00702C18" w:rsidRPr="00FE50A6">
        <w:rPr>
          <w:rFonts w:eastAsia="Cambria" w:cs="Times New Roman"/>
          <w:szCs w:val="20"/>
          <w:lang w:val="en-US"/>
        </w:rPr>
        <w:t xml:space="preserve"> </w:t>
      </w:r>
      <w:r w:rsidR="00AF42D1" w:rsidRPr="00FE50A6">
        <w:rPr>
          <w:rFonts w:eastAsia="Cambria" w:cs="Times New Roman"/>
          <w:szCs w:val="20"/>
          <w:lang w:val="en-US"/>
        </w:rPr>
        <w:t>of this judgment</w:t>
      </w:r>
      <w:r w:rsidR="00702C18" w:rsidRPr="00FE50A6">
        <w:rPr>
          <w:rFonts w:eastAsia="Cambria" w:cs="Times New Roman"/>
          <w:szCs w:val="20"/>
          <w:lang w:val="en-US"/>
        </w:rPr>
        <w:t>.</w:t>
      </w:r>
    </w:p>
    <w:p w14:paraId="4DDCC72F" w14:textId="77777777" w:rsidR="00702C18" w:rsidRPr="00FE50A6" w:rsidRDefault="00702C18" w:rsidP="00702C18">
      <w:pPr>
        <w:tabs>
          <w:tab w:val="clear" w:pos="4419"/>
          <w:tab w:val="clear" w:pos="8838"/>
        </w:tabs>
        <w:ind w:right="-90"/>
        <w:contextualSpacing/>
        <w:jc w:val="both"/>
        <w:rPr>
          <w:rFonts w:eastAsia="MS Mincho" w:cs="Times New Roman"/>
          <w:szCs w:val="20"/>
          <w:lang w:val="en-US" w:bidi="en-US"/>
        </w:rPr>
      </w:pPr>
    </w:p>
    <w:p w14:paraId="29D23649" w14:textId="77777777" w:rsidR="00702C18" w:rsidRPr="00FE50A6" w:rsidRDefault="00351E20" w:rsidP="00702C18">
      <w:pPr>
        <w:tabs>
          <w:tab w:val="clear" w:pos="4419"/>
          <w:tab w:val="clear" w:pos="8838"/>
          <w:tab w:val="left" w:pos="720"/>
        </w:tabs>
        <w:ind w:right="-90"/>
        <w:contextualSpacing/>
        <w:jc w:val="both"/>
        <w:rPr>
          <w:rFonts w:eastAsia="MS Mincho" w:cs="Times New Roman"/>
          <w:b/>
          <w:bCs/>
          <w:szCs w:val="20"/>
          <w:lang w:val="en-US" w:bidi="en-US"/>
        </w:rPr>
      </w:pPr>
      <w:r w:rsidRPr="00FE50A6">
        <w:rPr>
          <w:rFonts w:eastAsia="MS Mincho" w:cs="Times New Roman"/>
          <w:b/>
          <w:bCs/>
          <w:szCs w:val="20"/>
          <w:lang w:val="en-US" w:bidi="en-US"/>
        </w:rPr>
        <w:t>AND DECIDES</w:t>
      </w:r>
      <w:r w:rsidR="00702C18" w:rsidRPr="00FE50A6">
        <w:rPr>
          <w:rFonts w:eastAsia="MS Mincho" w:cs="Times New Roman"/>
          <w:b/>
          <w:bCs/>
          <w:szCs w:val="20"/>
          <w:lang w:val="en-US" w:bidi="en-US"/>
        </w:rPr>
        <w:t>:</w:t>
      </w:r>
    </w:p>
    <w:p w14:paraId="00794AB1" w14:textId="77777777" w:rsidR="00702C18" w:rsidRPr="00FE50A6" w:rsidRDefault="00702C18" w:rsidP="00702C18">
      <w:pPr>
        <w:tabs>
          <w:tab w:val="clear" w:pos="4419"/>
          <w:tab w:val="clear" w:pos="8838"/>
          <w:tab w:val="left" w:pos="720"/>
        </w:tabs>
        <w:ind w:right="-90"/>
        <w:contextualSpacing/>
        <w:jc w:val="both"/>
        <w:rPr>
          <w:rFonts w:eastAsia="MS Mincho" w:cs="Times New Roman"/>
          <w:b/>
          <w:bCs/>
          <w:szCs w:val="20"/>
          <w:lang w:val="en-US" w:bidi="en-US"/>
        </w:rPr>
      </w:pPr>
    </w:p>
    <w:p w14:paraId="4833164E" w14:textId="77777777" w:rsidR="00702C18" w:rsidRPr="00FE50A6" w:rsidRDefault="00351E20" w:rsidP="00702C18">
      <w:pPr>
        <w:tabs>
          <w:tab w:val="clear" w:pos="4419"/>
          <w:tab w:val="clear" w:pos="8838"/>
          <w:tab w:val="left" w:pos="720"/>
        </w:tabs>
        <w:ind w:right="-90"/>
        <w:contextualSpacing/>
        <w:jc w:val="both"/>
        <w:rPr>
          <w:rFonts w:eastAsia="MS Mincho" w:cs="Times New Roman"/>
          <w:bCs/>
          <w:szCs w:val="20"/>
          <w:lang w:val="en-US" w:bidi="en-US"/>
        </w:rPr>
      </w:pPr>
      <w:r w:rsidRPr="00FE50A6">
        <w:rPr>
          <w:rFonts w:eastAsia="MS Mincho" w:cs="Times New Roman"/>
          <w:szCs w:val="20"/>
          <w:lang w:val="en-US" w:bidi="en-US"/>
        </w:rPr>
        <w:t>Unanimously that</w:t>
      </w:r>
      <w:r w:rsidR="00702C18" w:rsidRPr="00FE50A6">
        <w:rPr>
          <w:rFonts w:eastAsia="MS Mincho" w:cs="Times New Roman"/>
          <w:bCs/>
          <w:szCs w:val="20"/>
          <w:lang w:val="en-US" w:bidi="en-US"/>
        </w:rPr>
        <w:t>:</w:t>
      </w:r>
    </w:p>
    <w:p w14:paraId="6AEB9C68" w14:textId="77777777" w:rsidR="00702C18" w:rsidRPr="00FE50A6" w:rsidRDefault="00702C18" w:rsidP="00702C18">
      <w:pPr>
        <w:tabs>
          <w:tab w:val="clear" w:pos="4419"/>
          <w:tab w:val="clear" w:pos="8838"/>
          <w:tab w:val="left" w:pos="720"/>
        </w:tabs>
        <w:ind w:right="-90"/>
        <w:contextualSpacing/>
        <w:jc w:val="both"/>
        <w:rPr>
          <w:rFonts w:eastAsia="MS Mincho" w:cs="Times New Roman"/>
          <w:bCs/>
          <w:szCs w:val="20"/>
          <w:lang w:val="en-US" w:bidi="en-US"/>
        </w:rPr>
      </w:pPr>
    </w:p>
    <w:p w14:paraId="6BDC2090" w14:textId="77777777" w:rsidR="00702C18" w:rsidRPr="00FE50A6" w:rsidRDefault="00351E2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szCs w:val="20"/>
          <w:lang w:val="en-US"/>
        </w:rPr>
        <w:t>This judgment</w:t>
      </w:r>
      <w:r w:rsidR="00702C18" w:rsidRPr="00FE50A6">
        <w:rPr>
          <w:rFonts w:eastAsia="Cambria" w:cs="Times New Roman"/>
          <w:bCs/>
          <w:szCs w:val="20"/>
          <w:lang w:val="en-US"/>
        </w:rPr>
        <w:t xml:space="preserve"> constitu</w:t>
      </w:r>
      <w:r w:rsidRPr="00FE50A6">
        <w:rPr>
          <w:rFonts w:eastAsia="Cambria" w:cs="Times New Roman"/>
          <w:bCs/>
          <w:szCs w:val="20"/>
          <w:lang w:val="en-US"/>
        </w:rPr>
        <w:t>tes</w:t>
      </w:r>
      <w:r w:rsidR="00702C18" w:rsidRPr="00FE50A6">
        <w:rPr>
          <w:rFonts w:eastAsia="Cambria" w:cs="Times New Roman"/>
          <w:bCs/>
          <w:szCs w:val="20"/>
          <w:lang w:val="en-US"/>
        </w:rPr>
        <w:t xml:space="preserve">, </w:t>
      </w:r>
      <w:r w:rsidR="00702C18" w:rsidRPr="00FE50A6">
        <w:rPr>
          <w:rFonts w:eastAsia="Cambria" w:cs="Times New Roman"/>
          <w:bCs/>
          <w:i/>
          <w:szCs w:val="20"/>
          <w:lang w:val="en-US"/>
        </w:rPr>
        <w:t>per se</w:t>
      </w:r>
      <w:r w:rsidR="00702C18" w:rsidRPr="00FE50A6">
        <w:rPr>
          <w:rFonts w:eastAsia="Cambria" w:cs="Times New Roman"/>
          <w:bCs/>
          <w:szCs w:val="20"/>
          <w:lang w:val="en-US"/>
        </w:rPr>
        <w:t xml:space="preserve">, </w:t>
      </w:r>
      <w:r w:rsidRPr="00FE50A6">
        <w:rPr>
          <w:rFonts w:eastAsia="Cambria" w:cs="Times New Roman"/>
          <w:bCs/>
          <w:szCs w:val="20"/>
          <w:lang w:val="en-US"/>
        </w:rPr>
        <w:t>a form of reparation</w:t>
      </w:r>
      <w:r w:rsidR="00702C18" w:rsidRPr="00FE50A6">
        <w:rPr>
          <w:rFonts w:eastAsia="Cambria" w:cs="Times New Roman"/>
          <w:bCs/>
          <w:szCs w:val="20"/>
          <w:lang w:val="en-US"/>
        </w:rPr>
        <w:t>.</w:t>
      </w:r>
    </w:p>
    <w:p w14:paraId="76DA2BF8" w14:textId="77777777" w:rsidR="00702C18" w:rsidRPr="00FE50A6" w:rsidRDefault="00702C18" w:rsidP="00702C18">
      <w:pPr>
        <w:tabs>
          <w:tab w:val="clear" w:pos="4419"/>
          <w:tab w:val="clear" w:pos="8838"/>
        </w:tabs>
        <w:ind w:right="-90"/>
        <w:contextualSpacing/>
        <w:jc w:val="both"/>
        <w:rPr>
          <w:rFonts w:eastAsia="MS Mincho" w:cs="Times New Roman"/>
          <w:bCs/>
          <w:szCs w:val="20"/>
          <w:lang w:val="en-US" w:bidi="en-US"/>
        </w:rPr>
      </w:pPr>
    </w:p>
    <w:p w14:paraId="2AD5CC72"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bCs/>
          <w:szCs w:val="20"/>
          <w:lang w:val="en-US"/>
        </w:rPr>
        <w:t>The State</w:t>
      </w:r>
      <w:r w:rsidR="00702C18" w:rsidRPr="00FE50A6">
        <w:rPr>
          <w:rFonts w:eastAsia="Cambria" w:cs="Times New Roman"/>
          <w:bCs/>
          <w:szCs w:val="20"/>
          <w:lang w:val="en-US"/>
        </w:rPr>
        <w:t xml:space="preserve"> </w:t>
      </w:r>
      <w:r w:rsidR="001613F2" w:rsidRPr="00FE50A6">
        <w:rPr>
          <w:rFonts w:eastAsia="Cambria" w:cs="Times New Roman"/>
          <w:bCs/>
          <w:szCs w:val="20"/>
          <w:lang w:val="en-US"/>
        </w:rPr>
        <w:t>must re</w:t>
      </w:r>
      <w:r w:rsidR="002248E2" w:rsidRPr="00FE50A6">
        <w:rPr>
          <w:rFonts w:eastAsia="Cambria" w:cs="Times New Roman"/>
          <w:bCs/>
          <w:szCs w:val="20"/>
          <w:lang w:val="en-US"/>
        </w:rPr>
        <w:t>-</w:t>
      </w:r>
      <w:r w:rsidR="001613F2" w:rsidRPr="00FE50A6">
        <w:rPr>
          <w:rFonts w:eastAsia="Cambria" w:cs="Times New Roman"/>
          <w:bCs/>
          <w:szCs w:val="20"/>
          <w:lang w:val="en-US"/>
        </w:rPr>
        <w:t xml:space="preserve">open, with </w:t>
      </w:r>
      <w:r w:rsidR="00576F80" w:rsidRPr="00FE50A6">
        <w:rPr>
          <w:rFonts w:eastAsia="Cambria" w:cs="Arial"/>
          <w:iCs/>
          <w:szCs w:val="20"/>
          <w:lang w:val="en-US"/>
        </w:rPr>
        <w:t>due diligence</w:t>
      </w:r>
      <w:r w:rsidR="00702C18" w:rsidRPr="00FE50A6">
        <w:rPr>
          <w:rFonts w:eastAsia="Cambria" w:cs="Arial"/>
          <w:iCs/>
          <w:szCs w:val="20"/>
          <w:lang w:val="en-US"/>
        </w:rPr>
        <w:t xml:space="preserve">, </w:t>
      </w:r>
      <w:r w:rsidR="001613F2" w:rsidRPr="00FE50A6">
        <w:rPr>
          <w:rFonts w:eastAsia="Cambria" w:cs="Arial"/>
          <w:iCs/>
          <w:szCs w:val="20"/>
          <w:lang w:val="en-US"/>
        </w:rPr>
        <w:t xml:space="preserve">the relevant investigations and/or criminal proceedings for the facts verified in March 2000 in this case in order, within a reasonable time, to identify, prosecute and punish, as appropriate, those responsible as established in </w:t>
      </w:r>
      <w:r w:rsidR="00351E20" w:rsidRPr="00FE50A6">
        <w:rPr>
          <w:rFonts w:eastAsia="Cambria" w:cs="Times New Roman"/>
          <w:bCs/>
          <w:szCs w:val="20"/>
          <w:lang w:val="en-US"/>
        </w:rPr>
        <w:t>paragraphs</w:t>
      </w:r>
      <w:r w:rsidR="00702C18" w:rsidRPr="00FE50A6">
        <w:rPr>
          <w:rFonts w:eastAsia="Cambria" w:cs="Times New Roman"/>
          <w:bCs/>
          <w:szCs w:val="20"/>
          <w:lang w:val="en-US"/>
        </w:rPr>
        <w:t xml:space="preserve"> </w:t>
      </w:r>
      <w:r w:rsidR="00C861A8" w:rsidRPr="00FE50A6">
        <w:rPr>
          <w:rFonts w:eastAsia="Cambria" w:cs="Times New Roman"/>
          <w:bCs/>
          <w:szCs w:val="20"/>
          <w:lang w:val="en-US"/>
        </w:rPr>
        <w:t>44</w:t>
      </w:r>
      <w:r w:rsidR="007A3720" w:rsidRPr="00FE50A6">
        <w:rPr>
          <w:rFonts w:eastAsia="Cambria" w:cs="Times New Roman"/>
          <w:bCs/>
          <w:szCs w:val="20"/>
          <w:lang w:val="en-US"/>
        </w:rPr>
        <w:t>4</w:t>
      </w:r>
      <w:r w:rsidR="00C861A8" w:rsidRPr="00FE50A6">
        <w:rPr>
          <w:rFonts w:eastAsia="Cambria" w:cs="Times New Roman"/>
          <w:bCs/>
          <w:szCs w:val="20"/>
          <w:lang w:val="en-US"/>
        </w:rPr>
        <w:t xml:space="preserve"> </w:t>
      </w:r>
      <w:r w:rsidR="001613F2" w:rsidRPr="00FE50A6">
        <w:rPr>
          <w:rFonts w:eastAsia="Cambria" w:cs="Times New Roman"/>
          <w:bCs/>
          <w:szCs w:val="20"/>
          <w:lang w:val="en-US"/>
        </w:rPr>
        <w:t>to</w:t>
      </w:r>
      <w:r w:rsidR="00C861A8" w:rsidRPr="00FE50A6">
        <w:rPr>
          <w:rFonts w:eastAsia="Cambria" w:cs="Times New Roman"/>
          <w:bCs/>
          <w:szCs w:val="20"/>
          <w:lang w:val="en-US"/>
        </w:rPr>
        <w:t xml:space="preserve"> 44</w:t>
      </w:r>
      <w:r w:rsidR="007A3720" w:rsidRPr="00FE50A6">
        <w:rPr>
          <w:rFonts w:eastAsia="Cambria" w:cs="Times New Roman"/>
          <w:bCs/>
          <w:szCs w:val="20"/>
          <w:lang w:val="en-US"/>
        </w:rPr>
        <w:t>6</w:t>
      </w:r>
      <w:r w:rsidR="001613F2" w:rsidRPr="00FE50A6">
        <w:rPr>
          <w:rFonts w:eastAsia="Cambria" w:cs="Times New Roman"/>
          <w:bCs/>
          <w:szCs w:val="20"/>
          <w:lang w:val="en-US"/>
        </w:rPr>
        <w:t xml:space="preserve"> </w:t>
      </w:r>
      <w:r w:rsidR="00AF42D1" w:rsidRPr="00FE50A6">
        <w:rPr>
          <w:rFonts w:eastAsia="Cambria" w:cs="Times New Roman"/>
          <w:bCs/>
          <w:szCs w:val="20"/>
          <w:lang w:val="en-US"/>
        </w:rPr>
        <w:t>of this judgment</w:t>
      </w:r>
      <w:r w:rsidR="00702C18" w:rsidRPr="00FE50A6">
        <w:rPr>
          <w:rFonts w:eastAsia="Cambria" w:cs="Times New Roman"/>
          <w:bCs/>
          <w:szCs w:val="20"/>
          <w:lang w:val="en-US"/>
        </w:rPr>
        <w:t xml:space="preserve">. </w:t>
      </w:r>
      <w:r w:rsidR="001613F2" w:rsidRPr="00FE50A6">
        <w:rPr>
          <w:rFonts w:eastAsia="Cambria" w:cs="Times New Roman"/>
          <w:bCs/>
          <w:szCs w:val="20"/>
          <w:lang w:val="en-US"/>
        </w:rPr>
        <w:t xml:space="preserve">If appropriate, the State must re-establish (or reconstruct) criminal proceedings No. </w:t>
      </w:r>
      <w:r w:rsidR="00702C18" w:rsidRPr="00FE50A6">
        <w:rPr>
          <w:rFonts w:eastAsia="Cambria" w:cs="Arial"/>
          <w:bCs/>
          <w:iCs/>
          <w:szCs w:val="20"/>
          <w:lang w:val="en-US"/>
        </w:rPr>
        <w:t xml:space="preserve">2001.39.01.000270-0, </w:t>
      </w:r>
      <w:r w:rsidR="001613F2" w:rsidRPr="00FE50A6">
        <w:rPr>
          <w:rFonts w:eastAsia="Cambria" w:cs="Arial"/>
          <w:bCs/>
          <w:iCs/>
          <w:szCs w:val="20"/>
          <w:lang w:val="en-US"/>
        </w:rPr>
        <w:t>opened in</w:t>
      </w:r>
      <w:r w:rsidR="00702C18" w:rsidRPr="00FE50A6">
        <w:rPr>
          <w:rFonts w:eastAsia="Cambria" w:cs="Arial"/>
          <w:bCs/>
          <w:iCs/>
          <w:szCs w:val="20"/>
          <w:lang w:val="en-US"/>
        </w:rPr>
        <w:t xml:space="preserve"> 2001, </w:t>
      </w:r>
      <w:r w:rsidR="001613F2" w:rsidRPr="00FE50A6">
        <w:rPr>
          <w:rFonts w:eastAsia="Cambria" w:cs="Arial"/>
          <w:bCs/>
          <w:iCs/>
          <w:szCs w:val="20"/>
          <w:lang w:val="en-US"/>
        </w:rPr>
        <w:t>before the Second</w:t>
      </w:r>
      <w:r w:rsidR="009B2C1E" w:rsidRPr="00FE50A6">
        <w:rPr>
          <w:rFonts w:eastAsia="Cambria" w:cs="Arial"/>
          <w:bCs/>
          <w:iCs/>
          <w:szCs w:val="20"/>
          <w:lang w:val="en-US"/>
        </w:rPr>
        <w:t xml:space="preserve"> </w:t>
      </w:r>
      <w:r w:rsidR="009B2C1E" w:rsidRPr="00FE50A6">
        <w:rPr>
          <w:rFonts w:cs="Arial"/>
          <w:bCs/>
          <w:iCs/>
          <w:szCs w:val="20"/>
          <w:lang w:val="en-US"/>
        </w:rPr>
        <w:t>Jurisdiction</w:t>
      </w:r>
      <w:r w:rsidR="00702C18" w:rsidRPr="00FE50A6">
        <w:rPr>
          <w:rFonts w:eastAsia="Cambria" w:cs="Arial"/>
          <w:bCs/>
          <w:iCs/>
          <w:szCs w:val="20"/>
          <w:lang w:val="en-US"/>
        </w:rPr>
        <w:t xml:space="preserve"> </w:t>
      </w:r>
      <w:r w:rsidR="001613F2" w:rsidRPr="00FE50A6">
        <w:rPr>
          <w:rFonts w:eastAsia="Cambria" w:cs="Arial"/>
          <w:bCs/>
          <w:iCs/>
          <w:szCs w:val="20"/>
          <w:lang w:val="en-US"/>
        </w:rPr>
        <w:t>of the Marabá</w:t>
      </w:r>
      <w:r w:rsidR="00702C18" w:rsidRPr="00FE50A6">
        <w:rPr>
          <w:rFonts w:eastAsia="Cambria" w:cs="Arial"/>
          <w:bCs/>
          <w:iCs/>
          <w:szCs w:val="20"/>
          <w:lang w:val="en-US"/>
        </w:rPr>
        <w:t xml:space="preserve"> Federal </w:t>
      </w:r>
      <w:r w:rsidR="001613F2" w:rsidRPr="00FE50A6">
        <w:rPr>
          <w:rFonts w:eastAsia="Cambria" w:cs="Arial"/>
          <w:bCs/>
          <w:iCs/>
          <w:szCs w:val="20"/>
          <w:lang w:val="en-US"/>
        </w:rPr>
        <w:t>Justice Department</w:t>
      </w:r>
      <w:r w:rsidR="00702C18" w:rsidRPr="00FE50A6">
        <w:rPr>
          <w:rFonts w:eastAsia="Cambria" w:cs="Arial"/>
          <w:bCs/>
          <w:iCs/>
          <w:szCs w:val="20"/>
          <w:lang w:val="en-US"/>
        </w:rPr>
        <w:t xml:space="preserve">, </w:t>
      </w:r>
      <w:r w:rsidR="001613F2" w:rsidRPr="00FE50A6">
        <w:rPr>
          <w:rFonts w:eastAsia="Cambria" w:cs="Arial"/>
          <w:bCs/>
          <w:iCs/>
          <w:szCs w:val="20"/>
          <w:lang w:val="en-US"/>
        </w:rPr>
        <w:t>state of</w:t>
      </w:r>
      <w:r w:rsidR="00702C18" w:rsidRPr="00FE50A6">
        <w:rPr>
          <w:rFonts w:eastAsia="Cambria" w:cs="Arial"/>
          <w:bCs/>
          <w:iCs/>
          <w:szCs w:val="20"/>
          <w:lang w:val="en-US"/>
        </w:rPr>
        <w:t xml:space="preserve"> Pará</w:t>
      </w:r>
      <w:r w:rsidR="00702C18" w:rsidRPr="00FE50A6">
        <w:rPr>
          <w:rFonts w:eastAsia="Cambria" w:cs="Times New Roman"/>
          <w:bCs/>
          <w:szCs w:val="20"/>
          <w:lang w:val="en-US"/>
        </w:rPr>
        <w:t xml:space="preserve">, </w:t>
      </w:r>
      <w:r w:rsidR="001613F2" w:rsidRPr="00FE50A6">
        <w:rPr>
          <w:rFonts w:eastAsia="Cambria" w:cs="Times New Roman"/>
          <w:bCs/>
          <w:szCs w:val="20"/>
          <w:lang w:val="en-US"/>
        </w:rPr>
        <w:t>as established in</w:t>
      </w:r>
      <w:r w:rsidR="00EA6274" w:rsidRPr="00FE50A6">
        <w:rPr>
          <w:rFonts w:eastAsia="Cambria" w:cs="Times New Roman"/>
          <w:bCs/>
          <w:szCs w:val="20"/>
          <w:lang w:val="en-US"/>
        </w:rPr>
        <w:t xml:space="preserve"> </w:t>
      </w:r>
      <w:r w:rsidR="00351E20" w:rsidRPr="00FE50A6">
        <w:rPr>
          <w:rFonts w:eastAsia="Cambria" w:cs="Times New Roman"/>
          <w:bCs/>
          <w:szCs w:val="20"/>
          <w:lang w:val="en-US"/>
        </w:rPr>
        <w:t>paragraphs</w:t>
      </w:r>
      <w:r w:rsidR="00EA6274" w:rsidRPr="00FE50A6">
        <w:rPr>
          <w:rFonts w:eastAsia="Cambria" w:cs="Times New Roman"/>
          <w:bCs/>
          <w:szCs w:val="20"/>
          <w:lang w:val="en-US"/>
        </w:rPr>
        <w:t xml:space="preserve"> 44</w:t>
      </w:r>
      <w:r w:rsidR="007A3720" w:rsidRPr="00FE50A6">
        <w:rPr>
          <w:rFonts w:eastAsia="Cambria" w:cs="Times New Roman"/>
          <w:bCs/>
          <w:szCs w:val="20"/>
          <w:lang w:val="en-US"/>
        </w:rPr>
        <w:t>4</w:t>
      </w:r>
      <w:r w:rsidR="00EA6274" w:rsidRPr="00FE50A6">
        <w:rPr>
          <w:rFonts w:eastAsia="Cambria" w:cs="Times New Roman"/>
          <w:bCs/>
          <w:szCs w:val="20"/>
          <w:lang w:val="en-US"/>
        </w:rPr>
        <w:t xml:space="preserve"> </w:t>
      </w:r>
      <w:r w:rsidR="001613F2" w:rsidRPr="00FE50A6">
        <w:rPr>
          <w:rFonts w:eastAsia="Cambria" w:cs="Times New Roman"/>
          <w:bCs/>
          <w:szCs w:val="20"/>
          <w:lang w:val="en-US"/>
        </w:rPr>
        <w:t>to</w:t>
      </w:r>
      <w:r w:rsidR="00EA6274" w:rsidRPr="00FE50A6">
        <w:rPr>
          <w:rFonts w:eastAsia="Cambria" w:cs="Times New Roman"/>
          <w:bCs/>
          <w:szCs w:val="20"/>
          <w:lang w:val="en-US"/>
        </w:rPr>
        <w:t xml:space="preserve"> 44</w:t>
      </w:r>
      <w:r w:rsidR="007A3720" w:rsidRPr="00FE50A6">
        <w:rPr>
          <w:rFonts w:eastAsia="Cambria" w:cs="Times New Roman"/>
          <w:bCs/>
          <w:szCs w:val="20"/>
          <w:lang w:val="en-US"/>
        </w:rPr>
        <w:t>6</w:t>
      </w:r>
      <w:r w:rsidR="00702C18" w:rsidRPr="00FE50A6">
        <w:rPr>
          <w:rFonts w:eastAsia="Cambria" w:cs="Times New Roman"/>
          <w:bCs/>
          <w:szCs w:val="20"/>
          <w:lang w:val="en-US"/>
        </w:rPr>
        <w:t xml:space="preserve"> </w:t>
      </w:r>
      <w:r w:rsidR="00AF42D1" w:rsidRPr="00FE50A6">
        <w:rPr>
          <w:rFonts w:eastAsia="Cambria" w:cs="Times New Roman"/>
          <w:bCs/>
          <w:szCs w:val="20"/>
          <w:lang w:val="en-US"/>
        </w:rPr>
        <w:t>of this judgment</w:t>
      </w:r>
      <w:r w:rsidR="00702C18" w:rsidRPr="00FE50A6">
        <w:rPr>
          <w:rFonts w:eastAsia="Cambria" w:cs="Times New Roman"/>
          <w:bCs/>
          <w:szCs w:val="20"/>
          <w:lang w:val="en-US"/>
        </w:rPr>
        <w:t>.</w:t>
      </w:r>
    </w:p>
    <w:p w14:paraId="6710F4EC" w14:textId="77777777" w:rsidR="00702C18" w:rsidRPr="00FE50A6" w:rsidRDefault="00702C18" w:rsidP="00702C18">
      <w:pPr>
        <w:tabs>
          <w:tab w:val="clear" w:pos="4419"/>
          <w:tab w:val="clear" w:pos="8838"/>
        </w:tabs>
        <w:ind w:left="720" w:right="-90"/>
        <w:contextualSpacing/>
        <w:rPr>
          <w:rFonts w:eastAsia="MS Mincho" w:cs="Times New Roman"/>
          <w:bCs/>
          <w:szCs w:val="20"/>
          <w:lang w:val="en-US" w:bidi="en-US"/>
        </w:rPr>
      </w:pPr>
    </w:p>
    <w:p w14:paraId="1090F4D4"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bCs/>
          <w:szCs w:val="20"/>
          <w:lang w:val="en-US"/>
        </w:rPr>
        <w:t>The State</w:t>
      </w:r>
      <w:r w:rsidR="00702C18" w:rsidRPr="00FE50A6">
        <w:rPr>
          <w:rFonts w:eastAsia="Cambria" w:cs="Times New Roman"/>
          <w:bCs/>
          <w:szCs w:val="20"/>
          <w:lang w:val="en-US"/>
        </w:rPr>
        <w:t xml:space="preserve"> </w:t>
      </w:r>
      <w:r w:rsidR="001613F2" w:rsidRPr="00FE50A6">
        <w:rPr>
          <w:rFonts w:eastAsia="Cambria" w:cs="Times New Roman"/>
          <w:bCs/>
          <w:szCs w:val="20"/>
          <w:lang w:val="en-US"/>
        </w:rPr>
        <w:t>must make the publications indicated in paragraph 450 of the judgment within six months of</w:t>
      </w:r>
      <w:r w:rsidR="00702C18" w:rsidRPr="00FE50A6">
        <w:rPr>
          <w:rFonts w:eastAsia="Cambria" w:cs="Times New Roman"/>
          <w:bCs/>
          <w:szCs w:val="20"/>
          <w:lang w:val="en-US"/>
        </w:rPr>
        <w:t xml:space="preserve"> notifica</w:t>
      </w:r>
      <w:r w:rsidR="001613F2" w:rsidRPr="00FE50A6">
        <w:rPr>
          <w:rFonts w:eastAsia="Cambria" w:cs="Times New Roman"/>
          <w:bCs/>
          <w:szCs w:val="20"/>
          <w:lang w:val="en-US"/>
        </w:rPr>
        <w:t>tio</w:t>
      </w:r>
      <w:r w:rsidR="00702C18" w:rsidRPr="00FE50A6">
        <w:rPr>
          <w:rFonts w:eastAsia="Cambria" w:cs="Times New Roman"/>
          <w:bCs/>
          <w:szCs w:val="20"/>
          <w:lang w:val="en-US"/>
        </w:rPr>
        <w:t xml:space="preserve">n </w:t>
      </w:r>
      <w:r w:rsidR="00AF42D1" w:rsidRPr="00FE50A6">
        <w:rPr>
          <w:rFonts w:eastAsia="Cambria" w:cs="Times New Roman"/>
          <w:bCs/>
          <w:szCs w:val="20"/>
          <w:lang w:val="en-US"/>
        </w:rPr>
        <w:t>of this judgment</w:t>
      </w:r>
      <w:r w:rsidR="00702C18" w:rsidRPr="00FE50A6">
        <w:rPr>
          <w:rFonts w:eastAsia="Cambria" w:cs="Times New Roman"/>
          <w:bCs/>
          <w:szCs w:val="20"/>
          <w:lang w:val="en-US"/>
        </w:rPr>
        <w:t xml:space="preserve">, </w:t>
      </w:r>
      <w:r w:rsidR="001613F2" w:rsidRPr="00FE50A6">
        <w:rPr>
          <w:rFonts w:eastAsia="Cambria" w:cs="Times New Roman"/>
          <w:bCs/>
          <w:szCs w:val="20"/>
          <w:lang w:val="en-US"/>
        </w:rPr>
        <w:t>as established herein</w:t>
      </w:r>
      <w:r w:rsidR="00702C18" w:rsidRPr="00FE50A6">
        <w:rPr>
          <w:rFonts w:eastAsia="Cambria" w:cs="Times New Roman"/>
          <w:bCs/>
          <w:szCs w:val="20"/>
          <w:lang w:val="en-US"/>
        </w:rPr>
        <w:t>.</w:t>
      </w:r>
    </w:p>
    <w:p w14:paraId="240D1C7E" w14:textId="77777777" w:rsidR="00702C18" w:rsidRPr="00FE50A6" w:rsidRDefault="00702C18" w:rsidP="00702C18">
      <w:pPr>
        <w:tabs>
          <w:tab w:val="clear" w:pos="4419"/>
          <w:tab w:val="clear" w:pos="8838"/>
        </w:tabs>
        <w:ind w:right="-90"/>
        <w:contextualSpacing/>
        <w:jc w:val="both"/>
        <w:rPr>
          <w:rFonts w:eastAsia="MS Mincho" w:cs="Times New Roman"/>
          <w:bCs/>
          <w:szCs w:val="20"/>
          <w:lang w:val="en-US" w:bidi="en-US"/>
        </w:rPr>
      </w:pPr>
    </w:p>
    <w:p w14:paraId="260ADF72"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Verdana"/>
          <w:szCs w:val="20"/>
          <w:lang w:val="en-US"/>
        </w:rPr>
        <w:t>The State</w:t>
      </w:r>
      <w:r w:rsidR="00702C18" w:rsidRPr="00FE50A6">
        <w:rPr>
          <w:rFonts w:eastAsia="Cambria" w:cs="Verdana"/>
          <w:szCs w:val="20"/>
          <w:lang w:val="en-US"/>
        </w:rPr>
        <w:t xml:space="preserve"> </w:t>
      </w:r>
      <w:r w:rsidR="00AF0700" w:rsidRPr="00FE50A6">
        <w:rPr>
          <w:rFonts w:eastAsia="Cambria" w:cs="Verdana"/>
          <w:szCs w:val="20"/>
          <w:lang w:val="en-US"/>
        </w:rPr>
        <w:t xml:space="preserve">must, within a reasonable time following notification </w:t>
      </w:r>
      <w:r w:rsidR="00AF42D1" w:rsidRPr="00FE50A6">
        <w:rPr>
          <w:rFonts w:eastAsia="Cambria" w:cs="Arial"/>
          <w:iCs/>
          <w:szCs w:val="20"/>
          <w:lang w:val="en-US"/>
        </w:rPr>
        <w:t>of this judgment</w:t>
      </w:r>
      <w:r w:rsidR="00702C18" w:rsidRPr="00FE50A6">
        <w:rPr>
          <w:rFonts w:eastAsia="Cambria" w:cs="Arial"/>
          <w:iCs/>
          <w:szCs w:val="20"/>
          <w:lang w:val="en-US"/>
        </w:rPr>
        <w:t>, adopt</w:t>
      </w:r>
      <w:r w:rsidR="00AF0700" w:rsidRPr="00FE50A6">
        <w:rPr>
          <w:rFonts w:eastAsia="Cambria" w:cs="Arial"/>
          <w:iCs/>
          <w:szCs w:val="20"/>
          <w:lang w:val="en-US"/>
        </w:rPr>
        <w:t xml:space="preserve"> the necessary measures to ensure that the statute of limitations is not applied to the crime under international law of slavery and conditions similar to slavery</w:t>
      </w:r>
      <w:r w:rsidR="00702C18" w:rsidRPr="00FE50A6">
        <w:rPr>
          <w:rFonts w:eastAsia="Cambria" w:cs="Arial"/>
          <w:iCs/>
          <w:szCs w:val="20"/>
          <w:lang w:val="en-US"/>
        </w:rPr>
        <w:t xml:space="preserve">, </w:t>
      </w:r>
      <w:r w:rsidR="00AF0700" w:rsidRPr="00FE50A6">
        <w:rPr>
          <w:rFonts w:eastAsia="Cambria" w:cs="Arial"/>
          <w:iCs/>
          <w:szCs w:val="20"/>
          <w:lang w:val="en-US"/>
        </w:rPr>
        <w:t>as established in</w:t>
      </w:r>
      <w:r w:rsidR="00702C18" w:rsidRPr="00FE50A6">
        <w:rPr>
          <w:rFonts w:eastAsia="Cambria" w:cs="Arial"/>
          <w:iCs/>
          <w:szCs w:val="20"/>
          <w:lang w:val="en-US"/>
        </w:rPr>
        <w:t xml:space="preserve"> </w:t>
      </w:r>
      <w:r w:rsidR="00351E20" w:rsidRPr="00FE50A6">
        <w:rPr>
          <w:rFonts w:eastAsia="Cambria" w:cs="Arial"/>
          <w:iCs/>
          <w:szCs w:val="20"/>
          <w:lang w:val="en-US"/>
        </w:rPr>
        <w:t>paragraphs</w:t>
      </w:r>
      <w:r w:rsidR="00702C18" w:rsidRPr="00FE50A6">
        <w:rPr>
          <w:rFonts w:eastAsia="Cambria" w:cs="Arial"/>
          <w:iCs/>
          <w:szCs w:val="20"/>
          <w:lang w:val="en-US"/>
        </w:rPr>
        <w:t xml:space="preserve"> </w:t>
      </w:r>
      <w:r w:rsidR="007A3164" w:rsidRPr="00FE50A6">
        <w:rPr>
          <w:rFonts w:eastAsia="Cambria" w:cs="Arial"/>
          <w:iCs/>
          <w:szCs w:val="20"/>
          <w:lang w:val="en-US"/>
        </w:rPr>
        <w:t>45</w:t>
      </w:r>
      <w:r w:rsidR="00B839C3" w:rsidRPr="00FE50A6">
        <w:rPr>
          <w:rFonts w:eastAsia="Cambria" w:cs="Arial"/>
          <w:iCs/>
          <w:szCs w:val="20"/>
          <w:lang w:val="en-US"/>
        </w:rPr>
        <w:t>4</w:t>
      </w:r>
      <w:r w:rsidR="00030C17" w:rsidRPr="00FE50A6">
        <w:rPr>
          <w:rFonts w:eastAsia="Cambria" w:cs="Arial"/>
          <w:iCs/>
          <w:szCs w:val="20"/>
          <w:lang w:val="en-US"/>
        </w:rPr>
        <w:t xml:space="preserve"> and </w:t>
      </w:r>
      <w:r w:rsidR="007A3164" w:rsidRPr="00FE50A6">
        <w:rPr>
          <w:rFonts w:eastAsia="Cambria" w:cs="Arial"/>
          <w:iCs/>
          <w:szCs w:val="20"/>
          <w:lang w:val="en-US"/>
        </w:rPr>
        <w:t>45</w:t>
      </w:r>
      <w:r w:rsidR="007A3720" w:rsidRPr="00FE50A6">
        <w:rPr>
          <w:rFonts w:eastAsia="Cambria" w:cs="Arial"/>
          <w:iCs/>
          <w:szCs w:val="20"/>
          <w:lang w:val="en-US"/>
        </w:rPr>
        <w:t>5</w:t>
      </w:r>
      <w:r w:rsidR="00702C18" w:rsidRPr="00FE50A6">
        <w:rPr>
          <w:rFonts w:eastAsia="Cambria" w:cs="Arial"/>
          <w:iCs/>
          <w:szCs w:val="20"/>
          <w:lang w:val="en-US"/>
        </w:rPr>
        <w:t xml:space="preserve"> </w:t>
      </w:r>
      <w:r w:rsidR="00AF42D1" w:rsidRPr="00FE50A6">
        <w:rPr>
          <w:rFonts w:eastAsia="Cambria" w:cs="Arial"/>
          <w:iCs/>
          <w:szCs w:val="20"/>
          <w:lang w:val="en-US"/>
        </w:rPr>
        <w:t>of this judgment</w:t>
      </w:r>
      <w:r w:rsidR="00702C18" w:rsidRPr="00FE50A6">
        <w:rPr>
          <w:rFonts w:eastAsia="Cambria" w:cs="Times New Roman"/>
          <w:bCs/>
          <w:szCs w:val="20"/>
          <w:lang w:val="en-US"/>
        </w:rPr>
        <w:t>.</w:t>
      </w:r>
    </w:p>
    <w:p w14:paraId="0A2AF1CF" w14:textId="77777777" w:rsidR="00702C18" w:rsidRPr="00FE50A6" w:rsidRDefault="00702C18" w:rsidP="00702C18">
      <w:pPr>
        <w:tabs>
          <w:tab w:val="clear" w:pos="4419"/>
          <w:tab w:val="clear" w:pos="8838"/>
        </w:tabs>
        <w:ind w:right="-90"/>
        <w:contextualSpacing/>
        <w:jc w:val="both"/>
        <w:rPr>
          <w:rFonts w:eastAsia="MS Mincho" w:cs="Times New Roman"/>
          <w:bCs/>
          <w:szCs w:val="20"/>
          <w:lang w:val="en-US" w:bidi="en-US"/>
        </w:rPr>
      </w:pPr>
    </w:p>
    <w:p w14:paraId="2C8B3A10"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bCs/>
          <w:szCs w:val="20"/>
          <w:lang w:val="en-US"/>
        </w:rPr>
        <w:t>The State</w:t>
      </w:r>
      <w:r w:rsidR="00702C18" w:rsidRPr="00FE50A6">
        <w:rPr>
          <w:rFonts w:eastAsia="Cambria" w:cs="Times New Roman"/>
          <w:bCs/>
          <w:szCs w:val="20"/>
          <w:lang w:val="en-US"/>
        </w:rPr>
        <w:t xml:space="preserve"> </w:t>
      </w:r>
      <w:r w:rsidR="00AF0700" w:rsidRPr="00FE50A6">
        <w:rPr>
          <w:rFonts w:eastAsia="Cambria" w:cs="Times New Roman"/>
          <w:bCs/>
          <w:szCs w:val="20"/>
          <w:lang w:val="en-US"/>
        </w:rPr>
        <w:t xml:space="preserve">must pay the sums established in </w:t>
      </w:r>
      <w:r w:rsidR="00AF42D1" w:rsidRPr="00FE50A6">
        <w:rPr>
          <w:rFonts w:eastAsia="Cambria" w:cs="Times New Roman"/>
          <w:bCs/>
          <w:szCs w:val="20"/>
          <w:lang w:val="en-US"/>
        </w:rPr>
        <w:t>paragraph</w:t>
      </w:r>
      <w:r w:rsidR="00D7650B" w:rsidRPr="00FE50A6">
        <w:rPr>
          <w:rFonts w:eastAsia="Cambria" w:cs="Times New Roman"/>
          <w:bCs/>
          <w:szCs w:val="20"/>
          <w:lang w:val="en-US"/>
        </w:rPr>
        <w:t xml:space="preserve"> 487 </w:t>
      </w:r>
      <w:r w:rsidR="00AF42D1" w:rsidRPr="00FE50A6">
        <w:rPr>
          <w:rFonts w:eastAsia="Cambria" w:cs="Times New Roman"/>
          <w:bCs/>
          <w:szCs w:val="20"/>
          <w:lang w:val="en-US"/>
        </w:rPr>
        <w:t>of this judgment</w:t>
      </w:r>
      <w:r w:rsidR="00AF0700" w:rsidRPr="00FE50A6">
        <w:rPr>
          <w:rFonts w:eastAsia="Cambria" w:cs="Times New Roman"/>
          <w:bCs/>
          <w:szCs w:val="20"/>
          <w:lang w:val="en-US"/>
        </w:rPr>
        <w:t xml:space="preserve"> as compensation for non-pecuniary damage and to reimburse costs and expenses,</w:t>
      </w:r>
      <w:r w:rsidR="00702C18" w:rsidRPr="00FE50A6">
        <w:rPr>
          <w:rFonts w:eastAsia="Cambria" w:cs="Times New Roman"/>
          <w:bCs/>
          <w:szCs w:val="20"/>
          <w:lang w:val="en-US"/>
        </w:rPr>
        <w:t xml:space="preserve"> </w:t>
      </w:r>
      <w:r w:rsidR="001613F2" w:rsidRPr="00FE50A6">
        <w:rPr>
          <w:rFonts w:eastAsia="Cambria" w:cs="Times New Roman"/>
          <w:bCs/>
          <w:szCs w:val="20"/>
          <w:lang w:val="en-US"/>
        </w:rPr>
        <w:t xml:space="preserve">in the terms of </w:t>
      </w:r>
      <w:r w:rsidR="00AF42D1" w:rsidRPr="00FE50A6">
        <w:rPr>
          <w:rFonts w:eastAsia="Cambria" w:cs="Times New Roman"/>
          <w:bCs/>
          <w:szCs w:val="20"/>
          <w:lang w:val="en-US"/>
        </w:rPr>
        <w:t>paragraph</w:t>
      </w:r>
      <w:r w:rsidR="00702C18" w:rsidRPr="00FE50A6">
        <w:rPr>
          <w:rFonts w:eastAsia="Cambria" w:cs="Times New Roman"/>
          <w:bCs/>
          <w:szCs w:val="20"/>
          <w:lang w:val="en-US"/>
        </w:rPr>
        <w:t xml:space="preserve"> </w:t>
      </w:r>
      <w:r w:rsidR="007A3164" w:rsidRPr="00FE50A6">
        <w:rPr>
          <w:rFonts w:eastAsia="Cambria" w:cs="Times New Roman"/>
          <w:bCs/>
          <w:szCs w:val="20"/>
          <w:lang w:val="en-US"/>
        </w:rPr>
        <w:t>49</w:t>
      </w:r>
      <w:r w:rsidR="00C1211D" w:rsidRPr="00FE50A6">
        <w:rPr>
          <w:rFonts w:eastAsia="Cambria" w:cs="Times New Roman"/>
          <w:bCs/>
          <w:szCs w:val="20"/>
          <w:lang w:val="en-US"/>
        </w:rPr>
        <w:t>5</w:t>
      </w:r>
      <w:r w:rsidR="00702C18" w:rsidRPr="00FE50A6">
        <w:rPr>
          <w:rFonts w:eastAsia="Cambria" w:cs="Times New Roman"/>
          <w:bCs/>
          <w:szCs w:val="20"/>
          <w:lang w:val="en-US"/>
        </w:rPr>
        <w:t xml:space="preserve"> </w:t>
      </w:r>
      <w:r w:rsidR="00AF42D1" w:rsidRPr="00FE50A6">
        <w:rPr>
          <w:rFonts w:eastAsia="Cambria" w:cs="Times New Roman"/>
          <w:bCs/>
          <w:szCs w:val="20"/>
          <w:lang w:val="en-US"/>
        </w:rPr>
        <w:t>of this judgment</w:t>
      </w:r>
      <w:r w:rsidR="00702C18" w:rsidRPr="00FE50A6">
        <w:rPr>
          <w:rFonts w:eastAsia="Cambria" w:cs="Times New Roman"/>
          <w:bCs/>
          <w:szCs w:val="20"/>
          <w:lang w:val="en-US"/>
        </w:rPr>
        <w:t>.</w:t>
      </w:r>
    </w:p>
    <w:p w14:paraId="743F4390" w14:textId="77777777" w:rsidR="00702C18" w:rsidRPr="00FE50A6" w:rsidRDefault="00702C18" w:rsidP="00702C18">
      <w:pPr>
        <w:tabs>
          <w:tab w:val="clear" w:pos="4419"/>
          <w:tab w:val="clear" w:pos="8838"/>
        </w:tabs>
        <w:ind w:right="-90"/>
        <w:contextualSpacing/>
        <w:jc w:val="both"/>
        <w:rPr>
          <w:rFonts w:eastAsia="MS Mincho" w:cs="Times New Roman"/>
          <w:bCs/>
          <w:szCs w:val="20"/>
          <w:lang w:val="en-US" w:bidi="en-US"/>
        </w:rPr>
      </w:pPr>
    </w:p>
    <w:p w14:paraId="3A0FDDA7"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bCs/>
          <w:szCs w:val="20"/>
          <w:lang w:val="en-US"/>
        </w:rPr>
        <w:t>The State</w:t>
      </w:r>
      <w:r w:rsidR="00702C18" w:rsidRPr="00FE50A6">
        <w:rPr>
          <w:rFonts w:eastAsia="Cambria" w:cs="Times New Roman"/>
          <w:bCs/>
          <w:szCs w:val="20"/>
          <w:lang w:val="en-US"/>
        </w:rPr>
        <w:t xml:space="preserve"> </w:t>
      </w:r>
      <w:r w:rsidR="00AF0700" w:rsidRPr="00FE50A6">
        <w:rPr>
          <w:rFonts w:eastAsia="Cambria" w:cs="Times New Roman"/>
          <w:bCs/>
          <w:szCs w:val="20"/>
          <w:lang w:val="en-US"/>
        </w:rPr>
        <w:t xml:space="preserve">must provide the Court with a report on the measures taken to comply with this judgment within one year of its notification, without prejudice to the provisions established in </w:t>
      </w:r>
      <w:r w:rsidR="00AF42D1" w:rsidRPr="00FE50A6">
        <w:rPr>
          <w:rFonts w:eastAsia="Cambria" w:cs="Times New Roman"/>
          <w:bCs/>
          <w:szCs w:val="20"/>
          <w:lang w:val="en-US"/>
        </w:rPr>
        <w:t>paragraph</w:t>
      </w:r>
      <w:r w:rsidR="00702C18" w:rsidRPr="00FE50A6">
        <w:rPr>
          <w:rFonts w:eastAsia="Cambria" w:cs="Times New Roman"/>
          <w:bCs/>
          <w:szCs w:val="20"/>
          <w:lang w:val="en-US"/>
        </w:rPr>
        <w:t xml:space="preserve"> </w:t>
      </w:r>
      <w:r w:rsidR="00C861A8" w:rsidRPr="00FE50A6">
        <w:rPr>
          <w:rFonts w:eastAsia="Cambria" w:cs="Times New Roman"/>
          <w:bCs/>
          <w:szCs w:val="20"/>
          <w:lang w:val="en-US"/>
        </w:rPr>
        <w:t>45</w:t>
      </w:r>
      <w:r w:rsidR="007A3720" w:rsidRPr="00FE50A6">
        <w:rPr>
          <w:rFonts w:eastAsia="Cambria" w:cs="Times New Roman"/>
          <w:bCs/>
          <w:szCs w:val="20"/>
          <w:lang w:val="en-US"/>
        </w:rPr>
        <w:t>1</w:t>
      </w:r>
      <w:r w:rsidR="00702C18" w:rsidRPr="00FE50A6">
        <w:rPr>
          <w:rFonts w:eastAsia="Cambria" w:cs="Times New Roman"/>
          <w:bCs/>
          <w:szCs w:val="20"/>
          <w:lang w:val="en-US"/>
        </w:rPr>
        <w:t xml:space="preserve"> </w:t>
      </w:r>
      <w:r w:rsidR="00AF42D1" w:rsidRPr="00FE50A6">
        <w:rPr>
          <w:rFonts w:eastAsia="Cambria" w:cs="Times New Roman"/>
          <w:bCs/>
          <w:szCs w:val="20"/>
          <w:lang w:val="en-US"/>
        </w:rPr>
        <w:t>of this judgment</w:t>
      </w:r>
      <w:r w:rsidR="00702C18" w:rsidRPr="00FE50A6">
        <w:rPr>
          <w:rFonts w:eastAsia="Cambria" w:cs="Times New Roman"/>
          <w:bCs/>
          <w:szCs w:val="20"/>
          <w:lang w:val="en-US"/>
        </w:rPr>
        <w:t>.</w:t>
      </w:r>
    </w:p>
    <w:p w14:paraId="0DB730B4" w14:textId="77777777" w:rsidR="00702C18" w:rsidRPr="00FE50A6" w:rsidRDefault="00702C18" w:rsidP="00702C18">
      <w:pPr>
        <w:tabs>
          <w:tab w:val="clear" w:pos="4419"/>
          <w:tab w:val="clear" w:pos="8838"/>
        </w:tabs>
        <w:ind w:right="-90"/>
        <w:contextualSpacing/>
        <w:jc w:val="both"/>
        <w:rPr>
          <w:rFonts w:eastAsia="MS Mincho" w:cs="Times New Roman"/>
          <w:bCs/>
          <w:szCs w:val="20"/>
          <w:lang w:val="en-US" w:bidi="en-US"/>
        </w:rPr>
      </w:pPr>
    </w:p>
    <w:p w14:paraId="47D4257C" w14:textId="77777777" w:rsidR="00702C18" w:rsidRPr="00FE50A6" w:rsidRDefault="000228D0" w:rsidP="008B0BCC">
      <w:pPr>
        <w:numPr>
          <w:ilvl w:val="0"/>
          <w:numId w:val="14"/>
        </w:numPr>
        <w:tabs>
          <w:tab w:val="clear" w:pos="4419"/>
          <w:tab w:val="clear" w:pos="8838"/>
          <w:tab w:val="left" w:pos="720"/>
        </w:tabs>
        <w:ind w:right="-90"/>
        <w:contextualSpacing/>
        <w:jc w:val="both"/>
        <w:rPr>
          <w:rFonts w:eastAsia="Cambria" w:cs="Times New Roman"/>
          <w:bCs/>
          <w:szCs w:val="20"/>
          <w:lang w:val="en-US"/>
        </w:rPr>
      </w:pPr>
      <w:r w:rsidRPr="00FE50A6">
        <w:rPr>
          <w:rFonts w:eastAsia="Cambria" w:cs="Times New Roman"/>
          <w:bCs/>
          <w:szCs w:val="20"/>
          <w:lang w:val="en-US"/>
        </w:rPr>
        <w:t>The Court</w:t>
      </w:r>
      <w:r w:rsidR="00702C18" w:rsidRPr="00FE50A6">
        <w:rPr>
          <w:rFonts w:eastAsia="Cambria" w:cs="Times New Roman"/>
          <w:bCs/>
          <w:szCs w:val="20"/>
          <w:lang w:val="en-US"/>
        </w:rPr>
        <w:t xml:space="preserve"> </w:t>
      </w:r>
      <w:r w:rsidR="00AF0700" w:rsidRPr="00FE50A6">
        <w:rPr>
          <w:rFonts w:eastAsia="Cambria" w:cs="Times New Roman"/>
          <w:bCs/>
          <w:szCs w:val="20"/>
          <w:lang w:val="en-US"/>
        </w:rPr>
        <w:t xml:space="preserve">will monitor full compliance with this judgment, in exercise of its </w:t>
      </w:r>
      <w:r w:rsidR="002248E2" w:rsidRPr="00FE50A6">
        <w:rPr>
          <w:rFonts w:eastAsia="Cambria" w:cs="Times New Roman"/>
          <w:bCs/>
          <w:szCs w:val="20"/>
          <w:lang w:val="en-US"/>
        </w:rPr>
        <w:t>p</w:t>
      </w:r>
      <w:r w:rsidR="00AF0700" w:rsidRPr="00FE50A6">
        <w:rPr>
          <w:rFonts w:eastAsia="Cambria" w:cs="Times New Roman"/>
          <w:bCs/>
          <w:szCs w:val="20"/>
          <w:lang w:val="en-US"/>
        </w:rPr>
        <w:t>owers and in fulfillment of its obligations under</w:t>
      </w:r>
      <w:r w:rsidR="00702C18" w:rsidRPr="00FE50A6">
        <w:rPr>
          <w:rFonts w:eastAsia="Cambria" w:cs="Times New Roman"/>
          <w:bCs/>
          <w:szCs w:val="20"/>
          <w:lang w:val="en-US"/>
        </w:rPr>
        <w:t xml:space="preserve"> </w:t>
      </w:r>
      <w:r w:rsidRPr="00FE50A6">
        <w:rPr>
          <w:rFonts w:eastAsia="Cambria" w:cs="Times New Roman"/>
          <w:bCs/>
          <w:szCs w:val="20"/>
          <w:lang w:val="en-US"/>
        </w:rPr>
        <w:t>the American Convention on Human Rights</w:t>
      </w:r>
      <w:r w:rsidR="00702C18" w:rsidRPr="00FE50A6">
        <w:rPr>
          <w:rFonts w:eastAsia="Cambria" w:cs="Times New Roman"/>
          <w:bCs/>
          <w:szCs w:val="20"/>
          <w:lang w:val="en-US"/>
        </w:rPr>
        <w:t>,</w:t>
      </w:r>
      <w:r w:rsidR="00030C17" w:rsidRPr="00FE50A6">
        <w:rPr>
          <w:rFonts w:eastAsia="Cambria" w:cs="Times New Roman"/>
          <w:bCs/>
          <w:szCs w:val="20"/>
          <w:lang w:val="en-US"/>
        </w:rPr>
        <w:t xml:space="preserve"> and </w:t>
      </w:r>
      <w:r w:rsidR="00AF0700" w:rsidRPr="00FE50A6">
        <w:rPr>
          <w:rFonts w:eastAsia="Cambria" w:cs="Times New Roman"/>
          <w:bCs/>
          <w:szCs w:val="20"/>
          <w:lang w:val="en-US"/>
        </w:rPr>
        <w:t>it will consider this case c</w:t>
      </w:r>
      <w:r w:rsidR="002248E2" w:rsidRPr="00FE50A6">
        <w:rPr>
          <w:rFonts w:eastAsia="Cambria" w:cs="Times New Roman"/>
          <w:bCs/>
          <w:szCs w:val="20"/>
          <w:lang w:val="en-US"/>
        </w:rPr>
        <w:t>losed</w:t>
      </w:r>
      <w:r w:rsidR="00AF0700" w:rsidRPr="00FE50A6">
        <w:rPr>
          <w:rFonts w:eastAsia="Cambria" w:cs="Times New Roman"/>
          <w:bCs/>
          <w:szCs w:val="20"/>
          <w:lang w:val="en-US"/>
        </w:rPr>
        <w:t xml:space="preserve"> when the State has complied fully with all its provisions</w:t>
      </w:r>
      <w:r w:rsidR="00702C18" w:rsidRPr="00FE50A6">
        <w:rPr>
          <w:rFonts w:eastAsia="Cambria" w:cs="Times New Roman"/>
          <w:bCs/>
          <w:szCs w:val="20"/>
          <w:lang w:val="en-US"/>
        </w:rPr>
        <w:t>.</w:t>
      </w:r>
    </w:p>
    <w:p w14:paraId="30AED373" w14:textId="77777777" w:rsidR="00702C18" w:rsidRPr="00FE50A6" w:rsidRDefault="00702C18" w:rsidP="00702C18">
      <w:pPr>
        <w:tabs>
          <w:tab w:val="left" w:pos="720"/>
        </w:tabs>
        <w:ind w:right="-90"/>
        <w:contextualSpacing/>
        <w:rPr>
          <w:rFonts w:eastAsia="Cambria" w:cs="Times New Roman"/>
          <w:bCs/>
          <w:szCs w:val="20"/>
          <w:lang w:val="en-US"/>
        </w:rPr>
      </w:pPr>
    </w:p>
    <w:p w14:paraId="3DF2AE9B" w14:textId="77777777" w:rsidR="00702C18" w:rsidRPr="00FE50A6" w:rsidRDefault="00093E44" w:rsidP="00702C18">
      <w:pPr>
        <w:jc w:val="both"/>
        <w:rPr>
          <w:rFonts w:eastAsia="Cambria" w:cs="Times New Roman"/>
          <w:lang w:val="en-US"/>
        </w:rPr>
      </w:pPr>
      <w:r w:rsidRPr="00FE50A6">
        <w:rPr>
          <w:rFonts w:eastAsia="Cambria" w:cs="Times New Roman"/>
          <w:lang w:val="en-US"/>
        </w:rPr>
        <w:t>Judges</w:t>
      </w:r>
      <w:r w:rsidR="00702C18" w:rsidRPr="00FE50A6">
        <w:rPr>
          <w:rFonts w:eastAsia="Cambria" w:cs="Times New Roman"/>
          <w:lang w:val="en-US"/>
        </w:rPr>
        <w:t xml:space="preserve"> Eduardo Ferre</w:t>
      </w:r>
      <w:r w:rsidR="00584AC9" w:rsidRPr="00FE50A6">
        <w:rPr>
          <w:rFonts w:eastAsia="Cambria" w:cs="Times New Roman"/>
          <w:lang w:val="en-US"/>
        </w:rPr>
        <w:t>r Mac-Gregor Poisot</w:t>
      </w:r>
      <w:r w:rsidR="00030C17" w:rsidRPr="00FE50A6">
        <w:rPr>
          <w:rFonts w:eastAsia="Cambria" w:cs="Times New Roman"/>
          <w:lang w:val="en-US"/>
        </w:rPr>
        <w:t xml:space="preserve"> and </w:t>
      </w:r>
      <w:r w:rsidR="00584AC9" w:rsidRPr="00FE50A6">
        <w:rPr>
          <w:rFonts w:eastAsia="Cambria" w:cs="Times New Roman"/>
          <w:lang w:val="en-US"/>
        </w:rPr>
        <w:t>Eduardo Vi</w:t>
      </w:r>
      <w:r w:rsidR="00702C18" w:rsidRPr="00FE50A6">
        <w:rPr>
          <w:rFonts w:eastAsia="Cambria" w:cs="Times New Roman"/>
          <w:lang w:val="en-US"/>
        </w:rPr>
        <w:t xml:space="preserve">o Grossi </w:t>
      </w:r>
      <w:r w:rsidRPr="00FE50A6">
        <w:rPr>
          <w:rFonts w:eastAsia="Cambria" w:cs="Times New Roman"/>
          <w:lang w:val="en-US"/>
        </w:rPr>
        <w:t>advised</w:t>
      </w:r>
      <w:r w:rsidR="00702C18" w:rsidRPr="00FE50A6">
        <w:rPr>
          <w:rFonts w:eastAsia="Cambria" w:cs="Times New Roman"/>
          <w:lang w:val="en-US"/>
        </w:rPr>
        <w:t xml:space="preserve"> </w:t>
      </w:r>
      <w:r w:rsidR="000228D0" w:rsidRPr="00FE50A6">
        <w:rPr>
          <w:rFonts w:eastAsia="Cambria" w:cs="Times New Roman"/>
          <w:lang w:val="en-US"/>
        </w:rPr>
        <w:t>the Court</w:t>
      </w:r>
      <w:r w:rsidRPr="00FE50A6">
        <w:rPr>
          <w:rFonts w:eastAsia="Cambria" w:cs="Times New Roman"/>
          <w:lang w:val="en-US"/>
        </w:rPr>
        <w:t xml:space="preserve"> of their concurring opinions.</w:t>
      </w:r>
      <w:r w:rsidR="00702C18" w:rsidRPr="00FE50A6">
        <w:rPr>
          <w:rFonts w:eastAsia="Cambria" w:cs="Times New Roman"/>
          <w:lang w:val="en-US"/>
        </w:rPr>
        <w:t xml:space="preserve"> </w:t>
      </w:r>
      <w:r w:rsidR="000228D0" w:rsidRPr="00FE50A6">
        <w:rPr>
          <w:rFonts w:eastAsia="Cambria" w:cs="Times New Roman"/>
          <w:lang w:val="en-US"/>
        </w:rPr>
        <w:t>Judge</w:t>
      </w:r>
      <w:r w:rsidR="00702C18" w:rsidRPr="00FE50A6">
        <w:rPr>
          <w:rFonts w:eastAsia="Cambria" w:cs="Times New Roman"/>
          <w:lang w:val="en-US"/>
        </w:rPr>
        <w:t xml:space="preserve"> Humberto </w:t>
      </w:r>
      <w:r w:rsidR="00D60654" w:rsidRPr="00FE50A6">
        <w:rPr>
          <w:rFonts w:eastAsia="Cambria" w:cs="Times New Roman"/>
          <w:lang w:val="en-US"/>
        </w:rPr>
        <w:t xml:space="preserve">Antônio </w:t>
      </w:r>
      <w:r w:rsidR="00702C18" w:rsidRPr="00FE50A6">
        <w:rPr>
          <w:rFonts w:eastAsia="Cambria" w:cs="Times New Roman"/>
          <w:lang w:val="en-US"/>
        </w:rPr>
        <w:t xml:space="preserve">Sierra Porto </w:t>
      </w:r>
      <w:r w:rsidRPr="00FE50A6">
        <w:rPr>
          <w:rFonts w:eastAsia="Cambria" w:cs="Times New Roman"/>
          <w:lang w:val="en-US"/>
        </w:rPr>
        <w:t xml:space="preserve">advised </w:t>
      </w:r>
      <w:r w:rsidR="000228D0" w:rsidRPr="00FE50A6">
        <w:rPr>
          <w:rFonts w:eastAsia="Cambria" w:cs="Times New Roman"/>
          <w:lang w:val="en-US"/>
        </w:rPr>
        <w:t>the Court</w:t>
      </w:r>
      <w:r w:rsidR="00702C18" w:rsidRPr="00FE50A6">
        <w:rPr>
          <w:rFonts w:eastAsia="Cambria" w:cs="Times New Roman"/>
          <w:lang w:val="en-US"/>
        </w:rPr>
        <w:t xml:space="preserve"> </w:t>
      </w:r>
      <w:r w:rsidRPr="00FE50A6">
        <w:rPr>
          <w:rFonts w:eastAsia="Cambria" w:cs="Times New Roman"/>
          <w:lang w:val="en-US"/>
        </w:rPr>
        <w:t>of his partially dissenting opinion.</w:t>
      </w:r>
    </w:p>
    <w:p w14:paraId="22214342" w14:textId="77777777" w:rsidR="00702C18" w:rsidRPr="00FE50A6" w:rsidRDefault="00702C18" w:rsidP="00702C18">
      <w:pPr>
        <w:tabs>
          <w:tab w:val="left" w:pos="720"/>
        </w:tabs>
        <w:ind w:right="-90"/>
        <w:contextualSpacing/>
        <w:rPr>
          <w:rFonts w:eastAsia="Cambria" w:cs="Times New Roman"/>
          <w:bCs/>
          <w:szCs w:val="20"/>
          <w:lang w:val="en-US"/>
        </w:rPr>
      </w:pPr>
    </w:p>
    <w:p w14:paraId="711DF15F" w14:textId="77777777" w:rsidR="00702C18" w:rsidRPr="00FE50A6" w:rsidRDefault="00093E44" w:rsidP="00702C18">
      <w:pPr>
        <w:tabs>
          <w:tab w:val="left" w:pos="720"/>
        </w:tabs>
        <w:ind w:right="-90"/>
        <w:contextualSpacing/>
        <w:jc w:val="both"/>
        <w:rPr>
          <w:rFonts w:eastAsia="Cambria" w:cs="Times New Roman"/>
          <w:bCs/>
          <w:szCs w:val="20"/>
          <w:lang w:val="en-US"/>
        </w:rPr>
      </w:pPr>
      <w:r w:rsidRPr="00FE50A6">
        <w:rPr>
          <w:rFonts w:eastAsia="Cambria" w:cs="Times New Roman"/>
          <w:bCs/>
          <w:szCs w:val="20"/>
          <w:lang w:val="en-US"/>
        </w:rPr>
        <w:t>Done, at San José, Costa Rica, on October 20, 2016, in the Spanish and Portuguese languages, the Spanish text being authentic.</w:t>
      </w:r>
    </w:p>
    <w:p w14:paraId="24C1C4C5" w14:textId="77777777" w:rsidR="00E12F06" w:rsidRPr="00FE50A6" w:rsidRDefault="00E12F06" w:rsidP="00702C18">
      <w:pPr>
        <w:tabs>
          <w:tab w:val="left" w:pos="720"/>
        </w:tabs>
        <w:ind w:right="-90"/>
        <w:contextualSpacing/>
        <w:jc w:val="both"/>
        <w:rPr>
          <w:rFonts w:eastAsia="Cambria" w:cs="Times New Roman"/>
          <w:bCs/>
          <w:szCs w:val="20"/>
          <w:lang w:val="en-US"/>
        </w:rPr>
      </w:pPr>
    </w:p>
    <w:p w14:paraId="38A68BC3" w14:textId="77777777" w:rsidR="00E12F06" w:rsidRPr="00FE50A6" w:rsidRDefault="00093E44" w:rsidP="00E12F06">
      <w:pPr>
        <w:jc w:val="both"/>
        <w:rPr>
          <w:lang w:val="en-US"/>
        </w:rPr>
      </w:pPr>
      <w:r w:rsidRPr="00FE50A6">
        <w:rPr>
          <w:lang w:val="en-US"/>
        </w:rPr>
        <w:t>Judgment</w:t>
      </w:r>
      <w:r w:rsidR="000228D0" w:rsidRPr="00FE50A6">
        <w:rPr>
          <w:lang w:val="en-US"/>
        </w:rPr>
        <w:t xml:space="preserve"> of the Inter-American Court of Human Rights</w:t>
      </w:r>
      <w:r w:rsidR="00E12F06" w:rsidRPr="00FE50A6">
        <w:rPr>
          <w:lang w:val="en-US"/>
        </w:rPr>
        <w:t>. Cas</w:t>
      </w:r>
      <w:r w:rsidRPr="00FE50A6">
        <w:rPr>
          <w:lang w:val="en-US"/>
        </w:rPr>
        <w:t>e of the</w:t>
      </w:r>
      <w:r w:rsidR="00E12F06" w:rsidRPr="00FE50A6">
        <w:rPr>
          <w:lang w:val="en-US"/>
        </w:rPr>
        <w:t xml:space="preserve"> </w:t>
      </w:r>
      <w:r w:rsidR="00030C17" w:rsidRPr="00FE50A6">
        <w:rPr>
          <w:lang w:val="en-US"/>
        </w:rPr>
        <w:t xml:space="preserve">Hacienda </w:t>
      </w:r>
      <w:r w:rsidR="00322241" w:rsidRPr="00FE50A6">
        <w:rPr>
          <w:lang w:val="en-US"/>
        </w:rPr>
        <w:t>Brasil Verde</w:t>
      </w:r>
      <w:r w:rsidR="00030C17" w:rsidRPr="00FE50A6">
        <w:rPr>
          <w:lang w:val="en-US"/>
        </w:rPr>
        <w:t xml:space="preserve"> Workers</w:t>
      </w:r>
      <w:r w:rsidR="00E12F06" w:rsidRPr="00FE50A6">
        <w:rPr>
          <w:lang w:val="en-US"/>
        </w:rPr>
        <w:t xml:space="preserve"> </w:t>
      </w:r>
      <w:r w:rsidR="000228D0" w:rsidRPr="00FE50A6">
        <w:rPr>
          <w:i/>
          <w:lang w:val="en-US"/>
        </w:rPr>
        <w:t>v.</w:t>
      </w:r>
      <w:r w:rsidR="00E12F06" w:rsidRPr="00FE50A6">
        <w:rPr>
          <w:lang w:val="en-US"/>
        </w:rPr>
        <w:t xml:space="preserve"> </w:t>
      </w:r>
      <w:r w:rsidR="000228D0" w:rsidRPr="00FE50A6">
        <w:rPr>
          <w:lang w:val="en-US"/>
        </w:rPr>
        <w:t>Brazil</w:t>
      </w:r>
      <w:r w:rsidR="00E12F06" w:rsidRPr="00FE50A6">
        <w:rPr>
          <w:lang w:val="en-US"/>
        </w:rPr>
        <w:t xml:space="preserve">. </w:t>
      </w:r>
      <w:r w:rsidR="00700B79" w:rsidRPr="00FE50A6">
        <w:rPr>
          <w:lang w:val="en-US"/>
        </w:rPr>
        <w:t>Preliminary objections</w:t>
      </w:r>
      <w:r w:rsidR="00E12F06" w:rsidRPr="00FE50A6">
        <w:rPr>
          <w:lang w:val="en-US"/>
        </w:rPr>
        <w:t xml:space="preserve">, </w:t>
      </w:r>
      <w:r w:rsidRPr="00FE50A6">
        <w:rPr>
          <w:lang w:val="en-US"/>
        </w:rPr>
        <w:t>merits, reparations and costs</w:t>
      </w:r>
      <w:r w:rsidR="00E12F06" w:rsidRPr="00FE50A6">
        <w:rPr>
          <w:lang w:val="en-US"/>
        </w:rPr>
        <w:t>.</w:t>
      </w:r>
    </w:p>
    <w:p w14:paraId="684C9BA4" w14:textId="77777777" w:rsidR="00E12F06" w:rsidRPr="00FE50A6" w:rsidRDefault="00E12F06" w:rsidP="00E12F06">
      <w:pPr>
        <w:jc w:val="center"/>
        <w:rPr>
          <w:lang w:val="en-US"/>
        </w:rPr>
      </w:pPr>
    </w:p>
    <w:p w14:paraId="5DFBE0AE" w14:textId="77777777" w:rsidR="00E12F06" w:rsidRPr="00FE50A6" w:rsidRDefault="00E12F06" w:rsidP="00E12F06">
      <w:pPr>
        <w:rPr>
          <w:strike/>
          <w:lang w:val="en-US"/>
        </w:rPr>
      </w:pPr>
    </w:p>
    <w:p w14:paraId="22E767F4" w14:textId="77777777" w:rsidR="00E12F06" w:rsidRPr="00FE50A6" w:rsidRDefault="00E12F06" w:rsidP="00E12F06">
      <w:pPr>
        <w:rPr>
          <w:lang w:val="en-US"/>
        </w:rPr>
      </w:pPr>
    </w:p>
    <w:p w14:paraId="228BAEF8" w14:textId="77777777" w:rsidR="00E12F06" w:rsidRPr="00FE50A6" w:rsidRDefault="00E12F06" w:rsidP="00E12F06">
      <w:pPr>
        <w:rPr>
          <w:lang w:val="en-US"/>
        </w:rPr>
      </w:pPr>
    </w:p>
    <w:p w14:paraId="63C423D4" w14:textId="77777777" w:rsidR="00E12F06" w:rsidRPr="00FE50A6" w:rsidRDefault="00E12F06" w:rsidP="00E12F06">
      <w:pPr>
        <w:jc w:val="center"/>
        <w:rPr>
          <w:lang w:val="en-US"/>
        </w:rPr>
      </w:pPr>
      <w:r w:rsidRPr="00FE50A6">
        <w:rPr>
          <w:lang w:val="en-US"/>
        </w:rPr>
        <w:t>Eduardo Ferrer Mac-Gregor Poisot</w:t>
      </w:r>
    </w:p>
    <w:p w14:paraId="769F5DA5" w14:textId="77777777" w:rsidR="00E12F06" w:rsidRPr="00FE50A6" w:rsidRDefault="00093E44" w:rsidP="00E12F06">
      <w:pPr>
        <w:jc w:val="center"/>
      </w:pPr>
      <w:r w:rsidRPr="00FE50A6">
        <w:t>A</w:t>
      </w:r>
      <w:r w:rsidR="000228D0" w:rsidRPr="00FE50A6">
        <w:t>cting President</w:t>
      </w:r>
    </w:p>
    <w:p w14:paraId="5AD876C7" w14:textId="77777777" w:rsidR="00E12F06" w:rsidRPr="00FE50A6" w:rsidRDefault="00E12F06" w:rsidP="00E12F06"/>
    <w:p w14:paraId="3D51A99A" w14:textId="77777777" w:rsidR="00E12F06" w:rsidRPr="00FE50A6" w:rsidRDefault="00E12F06" w:rsidP="00E12F06"/>
    <w:p w14:paraId="00E455B6" w14:textId="77777777" w:rsidR="00E12F06" w:rsidRPr="00FE50A6" w:rsidRDefault="00E12F06" w:rsidP="00E12F06"/>
    <w:p w14:paraId="52B8D5A6" w14:textId="77777777" w:rsidR="00E12F06" w:rsidRPr="00FE50A6" w:rsidRDefault="00E12F06" w:rsidP="00E12F06"/>
    <w:p w14:paraId="17E9136E" w14:textId="77777777" w:rsidR="00E12F06" w:rsidRPr="00FE50A6" w:rsidRDefault="00E12F06" w:rsidP="00E12F06">
      <w:r w:rsidRPr="00FE50A6">
        <w:t xml:space="preserve"> Eduardo Vio Grossi</w:t>
      </w:r>
      <w:r w:rsidRPr="00FE50A6">
        <w:tab/>
      </w:r>
      <w:r w:rsidRPr="00FE50A6">
        <w:tab/>
        <w:t>Humberto Antonio Sierra Porto</w:t>
      </w:r>
    </w:p>
    <w:p w14:paraId="639B24E5" w14:textId="77777777" w:rsidR="00E12F06" w:rsidRPr="00FE50A6" w:rsidRDefault="00E12F06" w:rsidP="00E12F06">
      <w:r w:rsidRPr="00FE50A6">
        <w:tab/>
      </w:r>
    </w:p>
    <w:p w14:paraId="51E35F66" w14:textId="77777777" w:rsidR="00E12F06" w:rsidRPr="00FE50A6" w:rsidRDefault="00E12F06" w:rsidP="00E12F06"/>
    <w:p w14:paraId="1ACFAFB6" w14:textId="77777777" w:rsidR="00E12F06" w:rsidRPr="00FE50A6" w:rsidRDefault="00E12F06" w:rsidP="00E12F06"/>
    <w:p w14:paraId="2C94A2EC" w14:textId="77777777" w:rsidR="00E12F06" w:rsidRPr="00FE50A6" w:rsidRDefault="00E12F06" w:rsidP="00E12F06"/>
    <w:p w14:paraId="5D3B0E5A" w14:textId="77777777" w:rsidR="00E12F06" w:rsidRPr="00FE50A6" w:rsidRDefault="00E12F06" w:rsidP="00E12F06"/>
    <w:p w14:paraId="3DA26BA3" w14:textId="77777777" w:rsidR="00E12F06" w:rsidRPr="00FE50A6" w:rsidRDefault="00E12F06" w:rsidP="00E12F06">
      <w:r w:rsidRPr="00FE50A6">
        <w:t>Elizabeth Odio Benito</w:t>
      </w:r>
      <w:r w:rsidRPr="00FE50A6">
        <w:tab/>
      </w:r>
      <w:r w:rsidR="00093E44" w:rsidRPr="00FE50A6">
        <w:tab/>
      </w:r>
      <w:r w:rsidRPr="00FE50A6">
        <w:t>Eugenio Raúl Zaffaroni</w:t>
      </w:r>
    </w:p>
    <w:p w14:paraId="1B0816FF" w14:textId="77777777" w:rsidR="00E12F06" w:rsidRPr="00FE50A6" w:rsidRDefault="00E12F06" w:rsidP="00E12F06"/>
    <w:p w14:paraId="2066F2C1" w14:textId="77777777" w:rsidR="00E12F06" w:rsidRPr="00FE50A6" w:rsidRDefault="00E12F06" w:rsidP="00E12F06"/>
    <w:p w14:paraId="287B9FD8" w14:textId="77777777" w:rsidR="00E12F06" w:rsidRPr="00FE50A6" w:rsidRDefault="00E12F06" w:rsidP="00E12F06"/>
    <w:p w14:paraId="29AFF11F" w14:textId="77777777" w:rsidR="00E12F06" w:rsidRPr="00FE50A6" w:rsidRDefault="00E12F06" w:rsidP="00E12F06"/>
    <w:p w14:paraId="5DC1E8F5" w14:textId="77777777" w:rsidR="00E12F06" w:rsidRPr="00FE50A6" w:rsidRDefault="00E12F06" w:rsidP="00E12F06">
      <w:pPr>
        <w:jc w:val="center"/>
      </w:pPr>
      <w:r w:rsidRPr="00FE50A6">
        <w:t>L. Patricio Pazmiño Freire</w:t>
      </w:r>
    </w:p>
    <w:p w14:paraId="7312EFC5" w14:textId="77777777" w:rsidR="00E12F06" w:rsidRPr="00FE50A6" w:rsidRDefault="00E12F06" w:rsidP="00E12F06"/>
    <w:p w14:paraId="38854091" w14:textId="77777777" w:rsidR="00E12F06" w:rsidRPr="00FE50A6" w:rsidRDefault="00E12F06" w:rsidP="00E12F06"/>
    <w:p w14:paraId="6B0AD902" w14:textId="77777777" w:rsidR="00E12F06" w:rsidRPr="00FE50A6" w:rsidRDefault="00E12F06" w:rsidP="00E12F06">
      <w:pPr>
        <w:jc w:val="both"/>
      </w:pPr>
    </w:p>
    <w:p w14:paraId="1A3415DE" w14:textId="77777777" w:rsidR="00E12F06" w:rsidRPr="00FE50A6" w:rsidRDefault="00E12F06" w:rsidP="00E12F06">
      <w:pPr>
        <w:jc w:val="both"/>
      </w:pPr>
    </w:p>
    <w:p w14:paraId="5B37AE1A" w14:textId="77777777" w:rsidR="00E12F06" w:rsidRPr="00FE50A6" w:rsidRDefault="00E12F06" w:rsidP="00E12F06">
      <w:pPr>
        <w:jc w:val="both"/>
      </w:pPr>
    </w:p>
    <w:p w14:paraId="021F0E17" w14:textId="77777777" w:rsidR="00E12F06" w:rsidRPr="00FE50A6" w:rsidRDefault="00E12F06" w:rsidP="00E12F06">
      <w:pPr>
        <w:jc w:val="center"/>
      </w:pPr>
      <w:r w:rsidRPr="00FE50A6">
        <w:t>Pablo Saavedra Alessandri</w:t>
      </w:r>
    </w:p>
    <w:p w14:paraId="7C6C3862" w14:textId="77777777" w:rsidR="00E12F06" w:rsidRPr="00FE50A6" w:rsidRDefault="008D0905" w:rsidP="00E12F06">
      <w:pPr>
        <w:jc w:val="center"/>
        <w:rPr>
          <w:lang w:val="en-US"/>
        </w:rPr>
      </w:pPr>
      <w:r w:rsidRPr="00FE50A6">
        <w:rPr>
          <w:lang w:val="en-US"/>
        </w:rPr>
        <w:t>Secretary</w:t>
      </w:r>
    </w:p>
    <w:p w14:paraId="5EBBF200" w14:textId="77777777" w:rsidR="00E12F06" w:rsidRPr="00FE50A6" w:rsidRDefault="00E12F06" w:rsidP="00E12F06">
      <w:pPr>
        <w:pStyle w:val="Textonotapie"/>
      </w:pPr>
    </w:p>
    <w:p w14:paraId="6B3FD838" w14:textId="77777777" w:rsidR="00E12F06" w:rsidRPr="00FE50A6" w:rsidRDefault="00E12F06" w:rsidP="00E12F06">
      <w:pPr>
        <w:pStyle w:val="Textonotapie"/>
      </w:pPr>
    </w:p>
    <w:p w14:paraId="0B56BD9B" w14:textId="77777777" w:rsidR="00E12F06" w:rsidRPr="00FE50A6" w:rsidRDefault="00093E44" w:rsidP="00E12F06">
      <w:pPr>
        <w:jc w:val="both"/>
        <w:rPr>
          <w:lang w:val="en-US"/>
        </w:rPr>
      </w:pPr>
      <w:r w:rsidRPr="00FE50A6">
        <w:rPr>
          <w:lang w:val="en-US"/>
        </w:rPr>
        <w:t>So ordered</w:t>
      </w:r>
      <w:r w:rsidR="00E12F06" w:rsidRPr="00FE50A6">
        <w:rPr>
          <w:lang w:val="en-US"/>
        </w:rPr>
        <w:t>,</w:t>
      </w:r>
    </w:p>
    <w:p w14:paraId="19B48E18" w14:textId="77777777" w:rsidR="00E12F06" w:rsidRPr="00FE50A6" w:rsidRDefault="00E12F06" w:rsidP="00E12F06">
      <w:pPr>
        <w:rPr>
          <w:lang w:val="en-US"/>
        </w:rPr>
      </w:pPr>
    </w:p>
    <w:p w14:paraId="3EBBFDB2" w14:textId="77777777" w:rsidR="00E12F06" w:rsidRPr="00FE50A6" w:rsidRDefault="00E12F06" w:rsidP="00E12F06">
      <w:pPr>
        <w:jc w:val="right"/>
        <w:rPr>
          <w:lang w:val="en-US"/>
        </w:rPr>
      </w:pPr>
    </w:p>
    <w:p w14:paraId="4D005A5F" w14:textId="77777777" w:rsidR="00E12F06" w:rsidRPr="00FE50A6" w:rsidRDefault="00E12F06" w:rsidP="00E12F06">
      <w:pPr>
        <w:jc w:val="right"/>
        <w:rPr>
          <w:lang w:val="en-US"/>
        </w:rPr>
      </w:pPr>
    </w:p>
    <w:p w14:paraId="2197DE02" w14:textId="77777777" w:rsidR="00E12F06" w:rsidRPr="00FE50A6" w:rsidRDefault="00E12F06" w:rsidP="00E12F06">
      <w:pPr>
        <w:jc w:val="center"/>
        <w:rPr>
          <w:lang w:val="en-US"/>
        </w:rPr>
      </w:pPr>
      <w:r w:rsidRPr="00FE50A6">
        <w:rPr>
          <w:lang w:val="en-US"/>
        </w:rPr>
        <w:t xml:space="preserve">                                                                                   Eduardo Ferrer Mac-Gregor Poisot</w:t>
      </w:r>
    </w:p>
    <w:p w14:paraId="5A2CB0FE" w14:textId="77777777" w:rsidR="00E12F06" w:rsidRPr="00FE50A6" w:rsidRDefault="00093E44" w:rsidP="00E12F06">
      <w:pPr>
        <w:ind w:left="6480"/>
        <w:rPr>
          <w:lang w:val="en-US"/>
        </w:rPr>
      </w:pPr>
      <w:r w:rsidRPr="00FE50A6">
        <w:rPr>
          <w:lang w:val="en-US"/>
        </w:rPr>
        <w:t>A</w:t>
      </w:r>
      <w:r w:rsidR="000228D0" w:rsidRPr="00FE50A6">
        <w:rPr>
          <w:lang w:val="en-US"/>
        </w:rPr>
        <w:t>cting President</w:t>
      </w:r>
    </w:p>
    <w:p w14:paraId="7F8ED7F0" w14:textId="77777777" w:rsidR="00E12F06" w:rsidRPr="00FE50A6" w:rsidRDefault="00E12F06" w:rsidP="00E12F06">
      <w:pPr>
        <w:ind w:left="5040" w:firstLine="720"/>
        <w:jc w:val="center"/>
        <w:rPr>
          <w:lang w:val="en-US"/>
        </w:rPr>
      </w:pPr>
    </w:p>
    <w:p w14:paraId="25FEFFF6" w14:textId="77777777" w:rsidR="00E12F06" w:rsidRPr="00FE50A6" w:rsidRDefault="00E12F06" w:rsidP="00E12F06">
      <w:pPr>
        <w:jc w:val="both"/>
        <w:rPr>
          <w:lang w:val="en-US"/>
        </w:rPr>
      </w:pPr>
    </w:p>
    <w:p w14:paraId="42AE37E4" w14:textId="77777777" w:rsidR="00E12F06" w:rsidRPr="00FE50A6" w:rsidRDefault="00E12F06" w:rsidP="00E12F06">
      <w:pPr>
        <w:jc w:val="both"/>
        <w:rPr>
          <w:lang w:val="en-US"/>
        </w:rPr>
      </w:pPr>
    </w:p>
    <w:p w14:paraId="30A2F029" w14:textId="77777777" w:rsidR="00E12F06" w:rsidRPr="00FE50A6" w:rsidRDefault="00E12F06" w:rsidP="00E12F06">
      <w:pPr>
        <w:jc w:val="both"/>
        <w:rPr>
          <w:lang w:val="en-US"/>
        </w:rPr>
      </w:pPr>
      <w:r w:rsidRPr="00FE50A6">
        <w:rPr>
          <w:lang w:val="en-US"/>
        </w:rPr>
        <w:t>Pablo Saavedra Alessandri</w:t>
      </w:r>
    </w:p>
    <w:p w14:paraId="75E40F8F" w14:textId="77777777" w:rsidR="00E12F06" w:rsidRPr="00FE50A6" w:rsidRDefault="00E12F06" w:rsidP="00E12F06">
      <w:pPr>
        <w:rPr>
          <w:lang w:val="en-US"/>
        </w:rPr>
      </w:pPr>
      <w:r w:rsidRPr="00FE50A6">
        <w:rPr>
          <w:lang w:val="en-US"/>
        </w:rPr>
        <w:t xml:space="preserve">          </w:t>
      </w:r>
      <w:r w:rsidR="008D0905" w:rsidRPr="00FE50A6">
        <w:rPr>
          <w:lang w:val="en-US"/>
        </w:rPr>
        <w:t>Secretary</w:t>
      </w:r>
    </w:p>
    <w:p w14:paraId="4935E9C5" w14:textId="77777777" w:rsidR="00E12F06" w:rsidRPr="00FE50A6" w:rsidRDefault="00E12F06" w:rsidP="00E12F06">
      <w:pPr>
        <w:jc w:val="both"/>
        <w:rPr>
          <w:lang w:val="en-US"/>
        </w:rPr>
      </w:pPr>
    </w:p>
    <w:p w14:paraId="3455F81E" w14:textId="77777777" w:rsidR="00E12F06" w:rsidRPr="00FE50A6" w:rsidRDefault="00E12F06" w:rsidP="00E12F06">
      <w:pPr>
        <w:jc w:val="both"/>
        <w:rPr>
          <w:lang w:val="en-US"/>
        </w:rPr>
      </w:pPr>
    </w:p>
    <w:p w14:paraId="611C70A9" w14:textId="77777777" w:rsidR="00130785" w:rsidRPr="00FE50A6" w:rsidRDefault="00130785" w:rsidP="00F74CCF">
      <w:pPr>
        <w:tabs>
          <w:tab w:val="left" w:pos="720"/>
        </w:tabs>
        <w:ind w:right="-90"/>
        <w:contextualSpacing/>
        <w:rPr>
          <w:bCs/>
          <w:szCs w:val="20"/>
          <w:lang w:val="en-US"/>
        </w:rPr>
        <w:sectPr w:rsidR="00130785" w:rsidRPr="00FE50A6" w:rsidSect="005D2144">
          <w:headerReference w:type="default" r:id="rId8"/>
          <w:footerReference w:type="default" r:id="rId9"/>
          <w:pgSz w:w="12240" w:h="15840" w:code="1"/>
          <w:pgMar w:top="1304" w:right="1474" w:bottom="1304" w:left="1474" w:header="709" w:footer="709" w:gutter="0"/>
          <w:cols w:space="708"/>
          <w:titlePg/>
          <w:docGrid w:linePitch="360"/>
        </w:sectPr>
      </w:pPr>
    </w:p>
    <w:p w14:paraId="1B1AF477" w14:textId="77777777" w:rsidR="00130785" w:rsidRPr="00FE50A6" w:rsidRDefault="00E12A06" w:rsidP="00130785">
      <w:pPr>
        <w:tabs>
          <w:tab w:val="clear" w:pos="4419"/>
          <w:tab w:val="clear" w:pos="8838"/>
        </w:tabs>
        <w:spacing w:line="360" w:lineRule="auto"/>
        <w:jc w:val="center"/>
        <w:rPr>
          <w:rFonts w:eastAsia="Cambria" w:cs="Times New Roman"/>
          <w:b/>
          <w:szCs w:val="20"/>
          <w:lang w:val="en-US"/>
        </w:rPr>
      </w:pPr>
      <w:bookmarkStart w:id="401" w:name="_Toc462751118"/>
      <w:r w:rsidRPr="00FE50A6">
        <w:rPr>
          <w:rFonts w:eastAsia="Cambria" w:cs="Times New Roman"/>
          <w:b/>
          <w:szCs w:val="20"/>
          <w:lang w:val="en-US"/>
        </w:rPr>
        <w:t xml:space="preserve">SEPARATE OPINION OF </w:t>
      </w:r>
      <w:r w:rsidR="000228D0" w:rsidRPr="00FE50A6">
        <w:rPr>
          <w:rFonts w:eastAsia="Cambria" w:cs="Times New Roman"/>
          <w:b/>
          <w:szCs w:val="20"/>
          <w:lang w:val="en-US"/>
        </w:rPr>
        <w:t>JUDGE</w:t>
      </w:r>
      <w:r w:rsidR="00130785" w:rsidRPr="00FE50A6">
        <w:rPr>
          <w:rFonts w:eastAsia="Cambria" w:cs="Times New Roman"/>
          <w:b/>
          <w:szCs w:val="20"/>
          <w:lang w:val="en-US"/>
        </w:rPr>
        <w:t xml:space="preserve"> EDUARDO FERRER MAC-GREGOR POISOT</w:t>
      </w:r>
    </w:p>
    <w:p w14:paraId="74213060"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p>
    <w:p w14:paraId="3849C717" w14:textId="77777777" w:rsidR="00E12A06" w:rsidRPr="00FE50A6" w:rsidRDefault="00E12A06" w:rsidP="00E12A06">
      <w:pPr>
        <w:tabs>
          <w:tab w:val="clear" w:pos="4419"/>
          <w:tab w:val="clear" w:pos="8838"/>
        </w:tabs>
        <w:ind w:left="-142" w:right="-138"/>
        <w:jc w:val="center"/>
        <w:rPr>
          <w:rFonts w:eastAsia="MS Mincho" w:cs="Times New Roman"/>
          <w:b/>
          <w:sz w:val="16"/>
          <w:szCs w:val="20"/>
          <w:lang w:val="en-US"/>
        </w:rPr>
      </w:pPr>
    </w:p>
    <w:p w14:paraId="01678CB5" w14:textId="77777777" w:rsidR="00E12A06" w:rsidRPr="00FE50A6" w:rsidRDefault="00E12A06" w:rsidP="00E12A06">
      <w:pPr>
        <w:tabs>
          <w:tab w:val="clear" w:pos="4419"/>
          <w:tab w:val="clear" w:pos="8838"/>
        </w:tabs>
        <w:ind w:left="-142" w:right="-138"/>
        <w:jc w:val="center"/>
        <w:rPr>
          <w:rFonts w:eastAsia="MS Mincho" w:cs="Times New Roman"/>
          <w:b/>
          <w:sz w:val="16"/>
          <w:szCs w:val="20"/>
          <w:lang w:val="en-US"/>
        </w:rPr>
      </w:pPr>
      <w:r w:rsidRPr="00FE50A6">
        <w:rPr>
          <w:rFonts w:eastAsia="MS Mincho" w:cs="Times New Roman"/>
          <w:b/>
          <w:szCs w:val="20"/>
          <w:lang w:val="en-US"/>
        </w:rPr>
        <w:t xml:space="preserve">CASE OF THE HACIENDA BRASIL VERDE WORKERS </w:t>
      </w:r>
      <w:r w:rsidRPr="00FE50A6">
        <w:rPr>
          <w:rFonts w:eastAsia="MS Mincho" w:cs="Times New Roman"/>
          <w:b/>
          <w:i/>
          <w:szCs w:val="20"/>
          <w:lang w:val="en-US"/>
        </w:rPr>
        <w:t>V</w:t>
      </w:r>
      <w:r w:rsidRPr="00FE50A6">
        <w:rPr>
          <w:rFonts w:eastAsia="MS Mincho" w:cs="Times New Roman"/>
          <w:b/>
          <w:szCs w:val="20"/>
          <w:lang w:val="en-US"/>
        </w:rPr>
        <w:t>. BRAZIL</w:t>
      </w:r>
    </w:p>
    <w:p w14:paraId="7C8DBCF0"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p>
    <w:p w14:paraId="64964470"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JUDGMENT OF OCTOBER 20, 2016</w:t>
      </w:r>
    </w:p>
    <w:p w14:paraId="73CC6ECD" w14:textId="77777777" w:rsidR="00E12A06" w:rsidRPr="00FE50A6" w:rsidRDefault="00E12A06" w:rsidP="00E12A06">
      <w:pPr>
        <w:tabs>
          <w:tab w:val="clear" w:pos="4419"/>
          <w:tab w:val="clear" w:pos="8838"/>
        </w:tabs>
        <w:ind w:left="-142" w:right="-138"/>
        <w:jc w:val="center"/>
        <w:rPr>
          <w:rFonts w:eastAsia="MS Mincho" w:cs="Times New Roman"/>
          <w:b/>
          <w:i/>
          <w:szCs w:val="20"/>
          <w:lang w:val="en-US"/>
        </w:rPr>
      </w:pPr>
      <w:r w:rsidRPr="00FE50A6">
        <w:rPr>
          <w:rFonts w:eastAsia="MS Mincho" w:cs="Times New Roman"/>
          <w:b/>
          <w:i/>
          <w:szCs w:val="20"/>
          <w:lang w:val="en-US"/>
        </w:rPr>
        <w:t>(Preliminary objections, merits, reparations and costs)</w:t>
      </w:r>
    </w:p>
    <w:p w14:paraId="04C3A0D1" w14:textId="77777777" w:rsidR="00130785" w:rsidRPr="00FE50A6" w:rsidRDefault="00130785" w:rsidP="00130785">
      <w:pPr>
        <w:tabs>
          <w:tab w:val="clear" w:pos="4419"/>
          <w:tab w:val="clear" w:pos="8838"/>
        </w:tabs>
        <w:rPr>
          <w:rFonts w:eastAsia="MS Mincho" w:cs="Tahoma"/>
          <w:szCs w:val="20"/>
          <w:lang w:val="en-US" w:eastAsia="es-ES"/>
        </w:rPr>
      </w:pPr>
    </w:p>
    <w:p w14:paraId="5FFD2C98" w14:textId="77777777" w:rsidR="00130785" w:rsidRPr="00FE50A6" w:rsidRDefault="00130785" w:rsidP="00130785">
      <w:pPr>
        <w:tabs>
          <w:tab w:val="clear" w:pos="4419"/>
          <w:tab w:val="clear" w:pos="8838"/>
        </w:tabs>
        <w:jc w:val="center"/>
        <w:rPr>
          <w:rFonts w:eastAsia="MS Mincho" w:cs="Tahoma"/>
          <w:szCs w:val="20"/>
          <w:lang w:val="en-US" w:eastAsia="es-ES"/>
        </w:rPr>
      </w:pPr>
    </w:p>
    <w:p w14:paraId="0EA4A5AE" w14:textId="77777777" w:rsidR="00130785" w:rsidRPr="00FE50A6" w:rsidRDefault="00E12A06" w:rsidP="00130785">
      <w:pPr>
        <w:tabs>
          <w:tab w:val="clear" w:pos="4419"/>
          <w:tab w:val="clear" w:pos="8838"/>
        </w:tabs>
        <w:spacing w:after="120"/>
        <w:jc w:val="both"/>
        <w:rPr>
          <w:rFonts w:eastAsia="MS Mincho" w:cs="Times New Roman"/>
          <w:szCs w:val="20"/>
          <w:lang w:val="en-US" w:eastAsia="es-ES"/>
        </w:rPr>
      </w:pPr>
      <w:r w:rsidRPr="00FE50A6">
        <w:rPr>
          <w:rFonts w:eastAsia="MS Mincho" w:cs="Times New Roman"/>
          <w:szCs w:val="20"/>
          <w:lang w:val="en-US" w:eastAsia="es-ES"/>
        </w:rPr>
        <w:t>Judge</w:t>
      </w:r>
      <w:r w:rsidR="00130785" w:rsidRPr="00FE50A6">
        <w:rPr>
          <w:rFonts w:eastAsia="MS Mincho" w:cs="Times New Roman"/>
          <w:szCs w:val="20"/>
          <w:lang w:val="en-US" w:eastAsia="es-ES"/>
        </w:rPr>
        <w:t xml:space="preserve"> Elizabeth Odio Benito </w:t>
      </w:r>
      <w:r w:rsidRPr="00FE50A6">
        <w:rPr>
          <w:rFonts w:eastAsia="MS Mincho" w:cs="Times New Roman"/>
          <w:szCs w:val="20"/>
          <w:lang w:val="en-US" w:eastAsia="es-ES"/>
        </w:rPr>
        <w:t xml:space="preserve">adheres to this Opinion of </w:t>
      </w:r>
      <w:r w:rsidR="000228D0" w:rsidRPr="00FE50A6">
        <w:rPr>
          <w:rFonts w:eastAsia="MS Mincho" w:cs="Times New Roman"/>
          <w:szCs w:val="20"/>
          <w:lang w:val="en-US" w:eastAsia="es-ES"/>
        </w:rPr>
        <w:t>Judge</w:t>
      </w:r>
      <w:r w:rsidR="00130785" w:rsidRPr="00FE50A6">
        <w:rPr>
          <w:rFonts w:eastAsia="MS Mincho" w:cs="Times New Roman"/>
          <w:szCs w:val="20"/>
          <w:lang w:val="en-US" w:eastAsia="es-ES"/>
        </w:rPr>
        <w:t xml:space="preserve"> Eduardo Ferrer Mac-Gregor Poisot.</w:t>
      </w:r>
    </w:p>
    <w:p w14:paraId="5D74AB3F" w14:textId="77777777" w:rsidR="00130785" w:rsidRPr="00FE50A6" w:rsidRDefault="00130785" w:rsidP="00E12A06">
      <w:pPr>
        <w:tabs>
          <w:tab w:val="clear" w:pos="4419"/>
          <w:tab w:val="clear" w:pos="8838"/>
        </w:tabs>
        <w:spacing w:after="120"/>
        <w:jc w:val="center"/>
        <w:rPr>
          <w:rFonts w:eastAsia="MS Mincho" w:cs="Tahoma"/>
          <w:szCs w:val="20"/>
          <w:lang w:val="en-US" w:eastAsia="es-ES"/>
        </w:rPr>
      </w:pPr>
      <w:r w:rsidRPr="00FE50A6">
        <w:rPr>
          <w:rFonts w:eastAsia="MS Mincho" w:cs="Tahoma"/>
          <w:szCs w:val="20"/>
          <w:lang w:val="en-US" w:eastAsia="es-ES"/>
        </w:rPr>
        <w:t>INTRODUC</w:t>
      </w:r>
      <w:r w:rsidR="00E12A06" w:rsidRPr="00FE50A6">
        <w:rPr>
          <w:rFonts w:eastAsia="MS Mincho" w:cs="Tahoma"/>
          <w:szCs w:val="20"/>
          <w:lang w:val="en-US" w:eastAsia="es-ES"/>
        </w:rPr>
        <w:t>TIO</w:t>
      </w:r>
      <w:r w:rsidRPr="00FE50A6">
        <w:rPr>
          <w:rFonts w:eastAsia="MS Mincho" w:cs="Tahoma"/>
          <w:szCs w:val="20"/>
          <w:lang w:val="en-US" w:eastAsia="es-ES"/>
        </w:rPr>
        <w:t>N:</w:t>
      </w:r>
    </w:p>
    <w:p w14:paraId="5FDA8213" w14:textId="77777777" w:rsidR="00130785" w:rsidRPr="00FE50A6" w:rsidRDefault="00E12A06" w:rsidP="00E12A06">
      <w:pPr>
        <w:tabs>
          <w:tab w:val="clear" w:pos="4419"/>
          <w:tab w:val="clear" w:pos="8838"/>
        </w:tabs>
        <w:jc w:val="center"/>
        <w:rPr>
          <w:rFonts w:eastAsia="MS Mincho" w:cs="Tahoma"/>
          <w:szCs w:val="20"/>
          <w:lang w:val="en-US" w:eastAsia="es-ES"/>
        </w:rPr>
      </w:pPr>
      <w:r w:rsidRPr="00FE50A6">
        <w:rPr>
          <w:rFonts w:eastAsia="MS Mincho" w:cs="Tahoma"/>
          <w:szCs w:val="20"/>
          <w:lang w:val="en-US" w:eastAsia="es-ES"/>
        </w:rPr>
        <w:t>“</w:t>
      </w:r>
      <w:r w:rsidR="009308B1" w:rsidRPr="00FE50A6">
        <w:rPr>
          <w:rFonts w:eastAsia="MS Mincho" w:cs="Tahoma"/>
          <w:szCs w:val="20"/>
          <w:lang w:val="en-US" w:eastAsia="es-ES"/>
        </w:rPr>
        <w:t>HISTORICAL STRUCTURAL</w:t>
      </w:r>
      <w:r w:rsidRPr="00FE50A6">
        <w:rPr>
          <w:rFonts w:eastAsia="MS Mincho" w:cs="Tahoma"/>
          <w:szCs w:val="20"/>
          <w:lang w:val="en-US" w:eastAsia="es-ES"/>
        </w:rPr>
        <w:t xml:space="preserve"> DISCRIMINATION” OWING TO THE ECONOMIC SITUATION (POVERTY) OF WORKERS SUBJECTED TO </w:t>
      </w:r>
      <w:r w:rsidR="005F1946" w:rsidRPr="00FE50A6">
        <w:rPr>
          <w:rFonts w:eastAsia="MS Mincho" w:cs="Tahoma"/>
          <w:szCs w:val="20"/>
          <w:lang w:val="en-US" w:eastAsia="es-ES"/>
        </w:rPr>
        <w:t>SLAVE LABOR</w:t>
      </w:r>
    </w:p>
    <w:bookmarkEnd w:id="401"/>
    <w:p w14:paraId="5CBD0C36" w14:textId="77777777" w:rsidR="00130785" w:rsidRPr="00FE50A6" w:rsidRDefault="00130785" w:rsidP="00130785">
      <w:pPr>
        <w:tabs>
          <w:tab w:val="clear" w:pos="4419"/>
          <w:tab w:val="clear" w:pos="8838"/>
        </w:tabs>
        <w:contextualSpacing/>
        <w:jc w:val="both"/>
        <w:rPr>
          <w:rFonts w:eastAsia="Cambria" w:cs="System Font Regular"/>
          <w:szCs w:val="20"/>
          <w:lang w:val="en-US"/>
        </w:rPr>
      </w:pPr>
    </w:p>
    <w:p w14:paraId="5B8A5061" w14:textId="77777777" w:rsidR="00130785" w:rsidRPr="00FE50A6" w:rsidRDefault="009E41ED"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Times New Roman"/>
          <w:szCs w:val="20"/>
          <w:lang w:val="en-US"/>
        </w:rPr>
        <w:t>This is the first occasion on which</w:t>
      </w:r>
      <w:r w:rsidR="00130785" w:rsidRPr="00FE50A6">
        <w:rPr>
          <w:rFonts w:eastAsia="Cambria" w:cs="Times New Roman"/>
          <w:szCs w:val="20"/>
          <w:lang w:val="en-US"/>
        </w:rPr>
        <w:t xml:space="preserve"> </w:t>
      </w:r>
      <w:r w:rsidR="000228D0" w:rsidRPr="00FE50A6">
        <w:rPr>
          <w:rFonts w:eastAsia="Cambria" w:cs="Times New Roman"/>
          <w:szCs w:val="20"/>
          <w:lang w:val="en-US"/>
        </w:rPr>
        <w:t>the Inter-American Court of Human Rights</w:t>
      </w:r>
      <w:r w:rsidR="00130785" w:rsidRPr="00FE50A6">
        <w:rPr>
          <w:rFonts w:eastAsia="Cambria" w:cs="Times New Roman"/>
          <w:szCs w:val="20"/>
          <w:lang w:val="en-US"/>
        </w:rPr>
        <w:t xml:space="preserve">  (</w:t>
      </w:r>
      <w:r w:rsidR="000228D0" w:rsidRPr="00FE50A6">
        <w:rPr>
          <w:rFonts w:eastAsia="Cambria" w:cs="Times New Roman"/>
          <w:szCs w:val="20"/>
          <w:lang w:val="en-US"/>
        </w:rPr>
        <w:t>hereinafter</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Pr="00FE50A6">
        <w:rPr>
          <w:rFonts w:eastAsia="Cambria" w:cs="Times New Roman"/>
          <w:szCs w:val="20"/>
          <w:lang w:val="en-US"/>
        </w:rPr>
        <w:t>the Court</w:t>
      </w:r>
      <w:r w:rsidR="009C48A4" w:rsidRPr="00FE50A6">
        <w:rPr>
          <w:rFonts w:eastAsia="Cambria" w:cs="Times New Roman"/>
          <w:szCs w:val="20"/>
          <w:lang w:val="en-US"/>
        </w:rPr>
        <w:t>”</w:t>
      </w:r>
      <w:r w:rsidR="00130785" w:rsidRPr="00FE50A6">
        <w:rPr>
          <w:rFonts w:eastAsia="Cambria" w:cs="Times New Roman"/>
          <w:szCs w:val="20"/>
          <w:lang w:val="en-US"/>
        </w:rPr>
        <w:t xml:space="preserve"> o</w:t>
      </w:r>
      <w:r w:rsidRPr="00FE50A6">
        <w:rPr>
          <w:rFonts w:eastAsia="Cambria" w:cs="Times New Roman"/>
          <w:szCs w:val="20"/>
          <w:lang w:val="en-US"/>
        </w:rPr>
        <w:t>r</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Pr="00FE50A6">
        <w:rPr>
          <w:rFonts w:eastAsia="Cambria" w:cs="Times New Roman"/>
          <w:szCs w:val="20"/>
          <w:lang w:val="en-US"/>
        </w:rPr>
        <w:t>the Inter-American Court</w:t>
      </w:r>
      <w:r w:rsidR="009C48A4" w:rsidRPr="00FE50A6">
        <w:rPr>
          <w:rFonts w:eastAsia="Cambria" w:cs="Times New Roman"/>
          <w:szCs w:val="20"/>
          <w:lang w:val="en-US"/>
        </w:rPr>
        <w:t>”</w:t>
      </w:r>
      <w:r w:rsidR="00130785" w:rsidRPr="00FE50A6">
        <w:rPr>
          <w:rFonts w:eastAsia="Cambria" w:cs="Times New Roman"/>
          <w:szCs w:val="20"/>
          <w:lang w:val="en-US"/>
        </w:rPr>
        <w:t>)</w:t>
      </w:r>
      <w:r w:rsidR="00130785" w:rsidRPr="00FE50A6">
        <w:rPr>
          <w:rFonts w:eastAsia="Cambria" w:cs="System Font Regular"/>
          <w:szCs w:val="20"/>
          <w:lang w:val="en-US"/>
        </w:rPr>
        <w:t xml:space="preserve"> ha</w:t>
      </w:r>
      <w:r w:rsidR="00090C6A" w:rsidRPr="00FE50A6">
        <w:rPr>
          <w:rFonts w:eastAsia="Cambria" w:cs="System Font Regular"/>
          <w:szCs w:val="20"/>
          <w:lang w:val="en-US"/>
        </w:rPr>
        <w:t xml:space="preserve">s had occasion to rule on the phenomenon of </w:t>
      </w:r>
      <w:r w:rsidR="005F1946" w:rsidRPr="00FE50A6">
        <w:rPr>
          <w:rFonts w:eastAsia="Cambria" w:cs="System Font Regular"/>
          <w:szCs w:val="20"/>
          <w:lang w:val="en-US"/>
        </w:rPr>
        <w:t>slave labor</w:t>
      </w:r>
      <w:r w:rsidR="00090C6A" w:rsidRPr="00FE50A6">
        <w:rPr>
          <w:rFonts w:eastAsia="Cambria" w:cs="System Font Regular"/>
          <w:szCs w:val="20"/>
          <w:lang w:val="en-US"/>
        </w:rPr>
        <w:t xml:space="preserve"> – which, in this case involve</w:t>
      </w:r>
      <w:r w:rsidR="00D340FB" w:rsidRPr="00FE50A6">
        <w:rPr>
          <w:rFonts w:eastAsia="Cambria" w:cs="System Font Regular"/>
          <w:szCs w:val="20"/>
          <w:lang w:val="en-US"/>
        </w:rPr>
        <w:t>d</w:t>
      </w:r>
      <w:r w:rsidR="00090C6A" w:rsidRPr="00FE50A6">
        <w:rPr>
          <w:rFonts w:eastAsia="Cambria" w:cs="System Font Regular"/>
          <w:szCs w:val="20"/>
          <w:lang w:val="en-US"/>
        </w:rPr>
        <w:t xml:space="preserve"> forced labor, </w:t>
      </w:r>
      <w:r w:rsidR="005F1946" w:rsidRPr="00FE50A6">
        <w:rPr>
          <w:rFonts w:eastAsia="Cambria" w:cs="System Font Regular"/>
          <w:szCs w:val="20"/>
          <w:lang w:val="en-US"/>
        </w:rPr>
        <w:t>debt bondage</w:t>
      </w:r>
      <w:r w:rsidR="00130785" w:rsidRPr="00FE50A6">
        <w:rPr>
          <w:rFonts w:eastAsia="Cambria" w:cs="System Font Regular"/>
          <w:szCs w:val="20"/>
          <w:lang w:val="en-US"/>
        </w:rPr>
        <w:t xml:space="preserve"> </w:t>
      </w:r>
      <w:r w:rsidR="00030C17" w:rsidRPr="00FE50A6">
        <w:rPr>
          <w:rFonts w:eastAsia="Cambria" w:cs="System Font Regular"/>
          <w:szCs w:val="20"/>
          <w:lang w:val="en-US"/>
        </w:rPr>
        <w:t>and</w:t>
      </w:r>
      <w:r w:rsidR="00615E39" w:rsidRPr="00FE50A6">
        <w:rPr>
          <w:rFonts w:eastAsia="Cambria" w:cs="System Font Regular"/>
          <w:szCs w:val="20"/>
          <w:lang w:val="en-US"/>
        </w:rPr>
        <w:t xml:space="preserve"> </w:t>
      </w:r>
      <w:r w:rsidR="000C2A19" w:rsidRPr="00FE50A6">
        <w:rPr>
          <w:rFonts w:eastAsia="Cambria" w:cs="System Font Regular"/>
          <w:szCs w:val="20"/>
          <w:lang w:val="en-US"/>
        </w:rPr>
        <w:t>trafficking in persons</w:t>
      </w:r>
      <w:r w:rsidR="00615E39" w:rsidRPr="00FE50A6">
        <w:rPr>
          <w:rFonts w:eastAsia="Cambria" w:cs="System Font Regular"/>
          <w:szCs w:val="20"/>
          <w:lang w:val="en-US"/>
        </w:rPr>
        <w:t xml:space="preserve"> </w:t>
      </w:r>
      <w:r w:rsidR="00D340FB" w:rsidRPr="00FE50A6">
        <w:rPr>
          <w:rFonts w:eastAsia="Cambria" w:cs="System Font Regular"/>
          <w:szCs w:val="20"/>
          <w:lang w:val="en-US"/>
        </w:rPr>
        <w:t>– de</w:t>
      </w:r>
      <w:r w:rsidR="00130785" w:rsidRPr="00FE50A6">
        <w:rPr>
          <w:rFonts w:eastAsia="Cambria" w:cs="System Font Regular"/>
          <w:szCs w:val="20"/>
          <w:lang w:val="en-US"/>
        </w:rPr>
        <w:t>clar</w:t>
      </w:r>
      <w:r w:rsidR="00090C6A" w:rsidRPr="00FE50A6">
        <w:rPr>
          <w:rFonts w:eastAsia="Cambria" w:cs="System Font Regular"/>
          <w:szCs w:val="20"/>
          <w:lang w:val="en-US"/>
        </w:rPr>
        <w:t xml:space="preserve">ing the State responsible for violating </w:t>
      </w:r>
      <w:r w:rsidR="000228D0" w:rsidRPr="00FE50A6">
        <w:rPr>
          <w:rFonts w:eastAsia="Cambria" w:cs="System Font Regular"/>
          <w:szCs w:val="20"/>
          <w:lang w:val="en-US"/>
        </w:rPr>
        <w:t>Article</w:t>
      </w:r>
      <w:r w:rsidR="00130785" w:rsidRPr="00FE50A6">
        <w:rPr>
          <w:rFonts w:eastAsia="Cambria" w:cs="System Font Regular"/>
          <w:szCs w:val="20"/>
          <w:lang w:val="en-US"/>
        </w:rPr>
        <w:t xml:space="preserve"> </w:t>
      </w:r>
      <w:r w:rsidR="00090C6A" w:rsidRPr="00FE50A6">
        <w:rPr>
          <w:rFonts w:eastAsia="Cambria" w:cs="System Font Regular"/>
          <w:szCs w:val="20"/>
          <w:lang w:val="en-US"/>
        </w:rPr>
        <w:t>6(1)</w:t>
      </w:r>
      <w:r w:rsidR="000228D0" w:rsidRPr="00FE50A6">
        <w:rPr>
          <w:rFonts w:eastAsia="Cambria" w:cs="System Font Regular"/>
          <w:szCs w:val="20"/>
          <w:lang w:val="en-US"/>
        </w:rPr>
        <w:t xml:space="preserve"> of the American Convention on Human Rights</w:t>
      </w:r>
      <w:r w:rsidR="00130785" w:rsidRPr="00FE50A6">
        <w:rPr>
          <w:rFonts w:eastAsia="Cambria" w:cs="System Font Regular"/>
          <w:szCs w:val="20"/>
          <w:lang w:val="en-US"/>
        </w:rPr>
        <w:t xml:space="preserve"> </w:t>
      </w:r>
      <w:r w:rsidR="00130785" w:rsidRPr="00FE50A6">
        <w:rPr>
          <w:rFonts w:eastAsia="Cambria" w:cs="Times New Roman"/>
          <w:szCs w:val="20"/>
          <w:lang w:val="en-US"/>
        </w:rPr>
        <w:t>(</w:t>
      </w:r>
      <w:r w:rsidR="000228D0" w:rsidRPr="00FE50A6">
        <w:rPr>
          <w:rFonts w:eastAsia="Cambria" w:cs="Times New Roman"/>
          <w:szCs w:val="20"/>
          <w:lang w:val="en-US"/>
        </w:rPr>
        <w:t>hereinafter</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00090C6A" w:rsidRPr="00FE50A6">
        <w:rPr>
          <w:rFonts w:eastAsia="Cambria" w:cs="Times New Roman"/>
          <w:szCs w:val="20"/>
          <w:lang w:val="en-US"/>
        </w:rPr>
        <w:t>the American Convention</w:t>
      </w:r>
      <w:r w:rsidR="009C48A4" w:rsidRPr="00FE50A6">
        <w:rPr>
          <w:rFonts w:eastAsia="Cambria" w:cs="Times New Roman"/>
          <w:szCs w:val="20"/>
          <w:lang w:val="en-US"/>
        </w:rPr>
        <w:t>”</w:t>
      </w:r>
      <w:r w:rsidR="00130785" w:rsidRPr="00FE50A6">
        <w:rPr>
          <w:rFonts w:eastAsia="Cambria" w:cs="Times New Roman"/>
          <w:szCs w:val="20"/>
          <w:lang w:val="en-US"/>
        </w:rPr>
        <w:t xml:space="preserve"> o</w:t>
      </w:r>
      <w:r w:rsidR="00090C6A" w:rsidRPr="00FE50A6">
        <w:rPr>
          <w:rFonts w:eastAsia="Cambria" w:cs="Times New Roman"/>
          <w:szCs w:val="20"/>
          <w:lang w:val="en-US"/>
        </w:rPr>
        <w:t>r</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00090C6A" w:rsidRPr="00FE50A6">
        <w:rPr>
          <w:rFonts w:eastAsia="Cambria" w:cs="Times New Roman"/>
          <w:szCs w:val="20"/>
          <w:lang w:val="en-US"/>
        </w:rPr>
        <w:t>Pact of San</w:t>
      </w:r>
      <w:r w:rsidR="00130785" w:rsidRPr="00FE50A6">
        <w:rPr>
          <w:rFonts w:eastAsia="Cambria" w:cs="Times New Roman"/>
          <w:szCs w:val="20"/>
          <w:lang w:val="en-US"/>
        </w:rPr>
        <w:t xml:space="preserve"> José</w:t>
      </w:r>
      <w:r w:rsidR="009C48A4" w:rsidRPr="00FE50A6">
        <w:rPr>
          <w:rFonts w:eastAsia="Cambria" w:cs="Times New Roman"/>
          <w:szCs w:val="20"/>
          <w:lang w:val="en-US"/>
        </w:rPr>
        <w:t>”</w:t>
      </w:r>
      <w:r w:rsidR="00130785" w:rsidRPr="00FE50A6">
        <w:rPr>
          <w:rFonts w:eastAsia="Cambria" w:cs="Times New Roman"/>
          <w:szCs w:val="20"/>
          <w:lang w:val="en-US"/>
        </w:rPr>
        <w:t xml:space="preserve">), </w:t>
      </w:r>
      <w:r w:rsidR="00090C6A" w:rsidRPr="00FE50A6">
        <w:rPr>
          <w:rFonts w:eastAsia="Cambria" w:cs="Times New Roman"/>
          <w:szCs w:val="20"/>
          <w:lang w:val="en-US"/>
        </w:rPr>
        <w:t xml:space="preserve">with regard to 85 workers – including only one woman – victims in this case, rescued from </w:t>
      </w:r>
      <w:r w:rsidR="00130785" w:rsidRPr="00FE50A6">
        <w:rPr>
          <w:rFonts w:eastAsia="Cambria" w:cs="System Font Regular"/>
          <w:szCs w:val="20"/>
          <w:lang w:val="en-US"/>
        </w:rPr>
        <w:t xml:space="preserve">Hacienda </w:t>
      </w:r>
      <w:r w:rsidR="00322241" w:rsidRPr="00FE50A6">
        <w:rPr>
          <w:rFonts w:eastAsia="Cambria" w:cs="System Font Regular"/>
          <w:szCs w:val="20"/>
          <w:lang w:val="en-US"/>
        </w:rPr>
        <w:t>Brasil Verde</w:t>
      </w:r>
      <w:r w:rsidR="00130785" w:rsidRPr="00FE50A6">
        <w:rPr>
          <w:rFonts w:eastAsia="Cambria" w:cs="System Font Regular"/>
          <w:szCs w:val="20"/>
          <w:lang w:val="en-US"/>
        </w:rPr>
        <w:t xml:space="preserve">. </w:t>
      </w:r>
    </w:p>
    <w:p w14:paraId="643A6E21" w14:textId="77777777" w:rsidR="00130785" w:rsidRPr="00FE50A6" w:rsidRDefault="00130785" w:rsidP="00130785">
      <w:pPr>
        <w:tabs>
          <w:tab w:val="clear" w:pos="4419"/>
          <w:tab w:val="clear" w:pos="8838"/>
          <w:tab w:val="left" w:pos="709"/>
          <w:tab w:val="left" w:pos="1464"/>
        </w:tabs>
        <w:rPr>
          <w:rFonts w:eastAsia="MS Mincho" w:cs="System Font Regular"/>
          <w:szCs w:val="20"/>
          <w:lang w:val="en-US" w:eastAsia="es-ES"/>
        </w:rPr>
      </w:pPr>
    </w:p>
    <w:p w14:paraId="309FE079" w14:textId="77777777" w:rsidR="00130785" w:rsidRPr="00FE50A6" w:rsidRDefault="002071B1" w:rsidP="008B0BCC">
      <w:pPr>
        <w:numPr>
          <w:ilvl w:val="0"/>
          <w:numId w:val="26"/>
        </w:numPr>
        <w:tabs>
          <w:tab w:val="clear" w:pos="4419"/>
          <w:tab w:val="clear" w:pos="8838"/>
          <w:tab w:val="left" w:pos="709"/>
          <w:tab w:val="left" w:pos="1464"/>
        </w:tabs>
        <w:contextualSpacing/>
        <w:jc w:val="both"/>
        <w:rPr>
          <w:rFonts w:eastAsia="Cambria" w:cs="Times New Roman"/>
          <w:szCs w:val="20"/>
          <w:lang w:val="en-US"/>
        </w:rPr>
      </w:pPr>
      <w:r w:rsidRPr="00FE50A6">
        <w:rPr>
          <w:rFonts w:eastAsia="Cambria" w:cs="System Font Regular"/>
          <w:szCs w:val="20"/>
          <w:lang w:val="en-US"/>
        </w:rPr>
        <w:t xml:space="preserve">The </w:t>
      </w:r>
      <w:r w:rsidR="00090C6A" w:rsidRPr="00FE50A6">
        <w:rPr>
          <w:rFonts w:eastAsia="Cambria" w:cs="System Font Regular"/>
          <w:szCs w:val="20"/>
          <w:lang w:val="en-US"/>
        </w:rPr>
        <w:t>Inter-American Court</w:t>
      </w:r>
      <w:r w:rsidR="00130785" w:rsidRPr="00FE50A6">
        <w:rPr>
          <w:rFonts w:eastAsia="Cambria" w:cs="System Font Regular"/>
          <w:szCs w:val="20"/>
          <w:lang w:val="en-US"/>
        </w:rPr>
        <w:t xml:space="preserve"> </w:t>
      </w:r>
      <w:r w:rsidR="00090C6A" w:rsidRPr="00FE50A6">
        <w:rPr>
          <w:rFonts w:eastAsia="Cambria" w:cs="System Font Regular"/>
          <w:szCs w:val="20"/>
          <w:lang w:val="en-US"/>
        </w:rPr>
        <w:t xml:space="preserve">analyzed the context of discrimination based on poverty within the phenomenon of </w:t>
      </w:r>
      <w:r w:rsidR="005F1946" w:rsidRPr="00FE50A6">
        <w:rPr>
          <w:rFonts w:eastAsia="Cambria" w:cs="System Font Regular"/>
          <w:szCs w:val="20"/>
          <w:lang w:val="en-US"/>
        </w:rPr>
        <w:t>slave labor</w:t>
      </w:r>
      <w:r w:rsidR="00E368FD" w:rsidRPr="00FE50A6">
        <w:rPr>
          <w:rFonts w:eastAsia="Cambria" w:cs="System Font Regular"/>
          <w:szCs w:val="20"/>
          <w:lang w:val="en-US"/>
        </w:rPr>
        <w:t xml:space="preserve"> in Brazil</w:t>
      </w:r>
      <w:r w:rsidR="00130785" w:rsidRPr="00FE50A6">
        <w:rPr>
          <w:rFonts w:eastAsia="Cambria" w:cs="System Font Regular"/>
          <w:szCs w:val="20"/>
          <w:lang w:val="en-US"/>
        </w:rPr>
        <w:t xml:space="preserve"> (</w:t>
      </w:r>
      <w:r w:rsidR="00D340FB" w:rsidRPr="00FE50A6">
        <w:rPr>
          <w:rFonts w:eastAsia="Cambria" w:cs="System Font Regular"/>
          <w:szCs w:val="20"/>
          <w:lang w:val="en-US"/>
        </w:rPr>
        <w:t>which</w:t>
      </w:r>
      <w:r w:rsidR="00090C6A" w:rsidRPr="00FE50A6">
        <w:rPr>
          <w:rFonts w:eastAsia="Cambria" w:cs="System Font Regular"/>
          <w:szCs w:val="20"/>
          <w:lang w:val="en-US"/>
        </w:rPr>
        <w:t xml:space="preserve"> dates from the mid- eightee</w:t>
      </w:r>
      <w:r w:rsidR="003F1019" w:rsidRPr="00FE50A6">
        <w:rPr>
          <w:rFonts w:eastAsia="Cambria" w:cs="System Font Regular"/>
          <w:szCs w:val="20"/>
          <w:lang w:val="en-US"/>
        </w:rPr>
        <w:t>n</w:t>
      </w:r>
      <w:r w:rsidR="00090C6A" w:rsidRPr="00FE50A6">
        <w:rPr>
          <w:rFonts w:eastAsia="Cambria" w:cs="System Font Regular"/>
          <w:szCs w:val="20"/>
          <w:lang w:val="en-US"/>
        </w:rPr>
        <w:t>th century)</w:t>
      </w:r>
      <w:r w:rsidR="0063434B" w:rsidRPr="00FE50A6">
        <w:rPr>
          <w:rFonts w:eastAsia="Cambria" w:cs="System Font Regular"/>
          <w:szCs w:val="20"/>
          <w:lang w:val="en-US"/>
        </w:rPr>
        <w:t>,</w:t>
      </w:r>
      <w:r w:rsidR="00090C6A" w:rsidRPr="00FE50A6">
        <w:rPr>
          <w:rFonts w:eastAsia="Cambria" w:cs="System Font Regular"/>
          <w:szCs w:val="20"/>
          <w:lang w:val="en-US"/>
        </w:rPr>
        <w:t xml:space="preserve"> and </w:t>
      </w:r>
      <w:r w:rsidR="00D340FB" w:rsidRPr="00FE50A6">
        <w:rPr>
          <w:rFonts w:eastAsia="Cambria" w:cs="System Font Regular"/>
          <w:szCs w:val="20"/>
          <w:lang w:val="en-US"/>
        </w:rPr>
        <w:t>which</w:t>
      </w:r>
      <w:r w:rsidR="00090C6A" w:rsidRPr="00FE50A6">
        <w:rPr>
          <w:rFonts w:eastAsia="Cambria" w:cs="System Font Regular"/>
          <w:szCs w:val="20"/>
          <w:lang w:val="en-US"/>
        </w:rPr>
        <w:t xml:space="preserve"> systematically allowed the victims to be subjected to </w:t>
      </w:r>
      <w:r w:rsidR="000C2A19" w:rsidRPr="00FE50A6">
        <w:rPr>
          <w:rFonts w:eastAsia="Cambria" w:cs="System Font Regular"/>
          <w:szCs w:val="20"/>
          <w:lang w:val="en-US"/>
        </w:rPr>
        <w:t>trafficking</w:t>
      </w:r>
      <w:r w:rsidR="00130785" w:rsidRPr="00FE50A6">
        <w:rPr>
          <w:rFonts w:eastAsia="Cambria" w:cs="System Font Regular"/>
          <w:szCs w:val="20"/>
          <w:lang w:val="en-US"/>
        </w:rPr>
        <w:t xml:space="preserve">. </w:t>
      </w:r>
      <w:r w:rsidR="00090C6A" w:rsidRPr="00FE50A6">
        <w:rPr>
          <w:rFonts w:eastAsia="Cambria" w:cs="System Font Regular"/>
          <w:szCs w:val="20"/>
          <w:lang w:val="en-US"/>
        </w:rPr>
        <w:t xml:space="preserve">That said, </w:t>
      </w:r>
      <w:r w:rsidR="000228D0" w:rsidRPr="00FE50A6">
        <w:rPr>
          <w:rFonts w:eastAsia="Cambria" w:cs="System Font Regular"/>
          <w:szCs w:val="20"/>
          <w:lang w:val="en-US"/>
        </w:rPr>
        <w:t>the Inter-American Court</w:t>
      </w:r>
      <w:r w:rsidR="00090C6A" w:rsidRPr="00FE50A6">
        <w:rPr>
          <w:rFonts w:eastAsia="Cambria" w:cs="System Font Regular"/>
          <w:szCs w:val="20"/>
          <w:lang w:val="en-US"/>
        </w:rPr>
        <w:t xml:space="preserve">’s recognition of “poverty” as part of the prohibition of discrimination on the basis of “economic </w:t>
      </w:r>
      <w:r w:rsidR="0063434B" w:rsidRPr="00FE50A6">
        <w:rPr>
          <w:rFonts w:eastAsia="Cambria" w:cs="System Font Regular"/>
          <w:szCs w:val="20"/>
          <w:lang w:val="en-US"/>
        </w:rPr>
        <w:t>status</w:t>
      </w:r>
      <w:r w:rsidR="00090C6A" w:rsidRPr="00FE50A6">
        <w:rPr>
          <w:rFonts w:eastAsia="Cambria" w:cs="System Font Regular"/>
          <w:szCs w:val="20"/>
          <w:lang w:val="en-US"/>
        </w:rPr>
        <w:t>” is of particular relevance for inter-American jurisprudence – and, in general, for the Latin America context</w:t>
      </w:r>
      <w:r w:rsidR="00130785" w:rsidRPr="00FE50A6">
        <w:rPr>
          <w:rFonts w:eastAsia="Cambria" w:cs="Times New Roman"/>
          <w:szCs w:val="20"/>
          <w:vertAlign w:val="superscript"/>
          <w:lang w:val="en-US"/>
        </w:rPr>
        <w:footnoteReference w:id="538"/>
      </w:r>
      <w:r w:rsidR="00090C6A" w:rsidRPr="00FE50A6">
        <w:rPr>
          <w:rFonts w:eastAsia="Cambria" w:cs="System Font Regular"/>
          <w:szCs w:val="20"/>
          <w:lang w:val="en-US"/>
        </w:rPr>
        <w:t xml:space="preserve"> – because it is the first time that poverty</w:t>
      </w:r>
      <w:r w:rsidR="0063434B" w:rsidRPr="00FE50A6">
        <w:rPr>
          <w:rFonts w:eastAsia="Cambria" w:cs="System Font Regular"/>
          <w:szCs w:val="20"/>
          <w:lang w:val="en-US"/>
        </w:rPr>
        <w:t xml:space="preserve"> has been </w:t>
      </w:r>
      <w:r w:rsidR="00090C6A" w:rsidRPr="00FE50A6">
        <w:rPr>
          <w:rFonts w:eastAsia="Cambria" w:cs="System Font Regular"/>
          <w:szCs w:val="20"/>
          <w:lang w:val="en-US"/>
        </w:rPr>
        <w:t>considered a component of the prohibition of discrimination based on “</w:t>
      </w:r>
      <w:r w:rsidR="00090C6A" w:rsidRPr="00FE50A6">
        <w:rPr>
          <w:rFonts w:eastAsia="Cambria" w:cs="System Font Regular"/>
          <w:i/>
          <w:szCs w:val="20"/>
          <w:lang w:val="en-US"/>
        </w:rPr>
        <w:t>economic status</w:t>
      </w:r>
      <w:r w:rsidR="00090C6A" w:rsidRPr="00FE50A6">
        <w:rPr>
          <w:rFonts w:eastAsia="Cambria" w:cs="System Font Regular"/>
          <w:szCs w:val="20"/>
          <w:lang w:val="en-US"/>
        </w:rPr>
        <w:t>”</w:t>
      </w:r>
      <w:r w:rsidR="00130785" w:rsidRPr="00FE50A6">
        <w:rPr>
          <w:rFonts w:eastAsia="Cambria" w:cs="System Font Regular"/>
          <w:szCs w:val="20"/>
          <w:lang w:val="en-US"/>
        </w:rPr>
        <w:t xml:space="preserve"> </w:t>
      </w:r>
      <w:r w:rsidR="00090C6A" w:rsidRPr="00FE50A6">
        <w:rPr>
          <w:rFonts w:eastAsia="Cambria" w:cs="System Font Regular"/>
          <w:szCs w:val="20"/>
          <w:lang w:val="en-US"/>
        </w:rPr>
        <w:t xml:space="preserve">(a category that is expressly established in </w:t>
      </w:r>
      <w:r w:rsidR="000B587F" w:rsidRPr="00FE50A6">
        <w:rPr>
          <w:rFonts w:eastAsia="Cambria" w:cs="Times New Roman"/>
          <w:szCs w:val="20"/>
          <w:lang w:val="en-US"/>
        </w:rPr>
        <w:t>Article 1(1)</w:t>
      </w:r>
      <w:r w:rsidR="000228D0" w:rsidRPr="00FE50A6">
        <w:rPr>
          <w:rFonts w:eastAsia="Cambria" w:cs="Times New Roman"/>
          <w:szCs w:val="20"/>
          <w:lang w:val="en-US"/>
        </w:rPr>
        <w:t xml:space="preserve"> of the American Convention</w:t>
      </w:r>
      <w:r w:rsidR="00130785" w:rsidRPr="00FE50A6">
        <w:rPr>
          <w:rFonts w:eastAsia="Cambria" w:cs="Times New Roman"/>
          <w:szCs w:val="20"/>
          <w:lang w:val="en-US"/>
        </w:rPr>
        <w:t xml:space="preserve">, </w:t>
      </w:r>
      <w:r w:rsidR="0063434B" w:rsidRPr="00FE50A6">
        <w:rPr>
          <w:rFonts w:eastAsia="Cambria" w:cs="Times New Roman"/>
          <w:szCs w:val="20"/>
          <w:lang w:val="en-US"/>
        </w:rPr>
        <w:t>unlike</w:t>
      </w:r>
      <w:r w:rsidR="00090C6A" w:rsidRPr="00FE50A6">
        <w:rPr>
          <w:rFonts w:eastAsia="Cambria" w:cs="Times New Roman"/>
          <w:szCs w:val="20"/>
          <w:lang w:val="en-US"/>
        </w:rPr>
        <w:t xml:space="preserve"> other international treaties)</w:t>
      </w:r>
      <w:r w:rsidR="0063434B" w:rsidRPr="00FE50A6">
        <w:rPr>
          <w:rFonts w:eastAsia="Cambria" w:cs="Times New Roman"/>
          <w:szCs w:val="20"/>
          <w:lang w:val="en-US"/>
        </w:rPr>
        <w:t>. Moreover,</w:t>
      </w:r>
      <w:r w:rsidR="00090C6A" w:rsidRPr="00FE50A6">
        <w:rPr>
          <w:rFonts w:eastAsia="Cambria" w:cs="Times New Roman"/>
          <w:szCs w:val="20"/>
          <w:lang w:val="en-US"/>
        </w:rPr>
        <w:t xml:space="preserve"> it is especially relevant that the violations declared </w:t>
      </w:r>
      <w:r w:rsidR="0063434B" w:rsidRPr="00FE50A6">
        <w:rPr>
          <w:rFonts w:eastAsia="Cambria" w:cs="Times New Roman"/>
          <w:szCs w:val="20"/>
          <w:lang w:val="en-US"/>
        </w:rPr>
        <w:t>occurred</w:t>
      </w:r>
      <w:r w:rsidR="00090C6A" w:rsidRPr="00FE50A6">
        <w:rPr>
          <w:rFonts w:eastAsia="Cambria" w:cs="Times New Roman"/>
          <w:szCs w:val="20"/>
          <w:lang w:val="en-US"/>
        </w:rPr>
        <w:t xml:space="preserve"> “in the context of a situation of </w:t>
      </w:r>
      <w:r w:rsidR="009308B1" w:rsidRPr="00FE50A6">
        <w:rPr>
          <w:rFonts w:eastAsia="Cambria" w:cs="Times New Roman"/>
          <w:i/>
          <w:szCs w:val="20"/>
          <w:lang w:val="en-US"/>
        </w:rPr>
        <w:t>historical structural</w:t>
      </w:r>
      <w:r w:rsidR="00090C6A" w:rsidRPr="00FE50A6">
        <w:rPr>
          <w:rFonts w:eastAsia="Cambria" w:cs="Times New Roman"/>
          <w:i/>
          <w:szCs w:val="20"/>
          <w:lang w:val="en-US"/>
        </w:rPr>
        <w:t xml:space="preserve"> discrimination</w:t>
      </w:r>
      <w:r w:rsidR="00090C6A" w:rsidRPr="00FE50A6">
        <w:rPr>
          <w:rFonts w:eastAsia="Cambria" w:cs="Times New Roman"/>
          <w:szCs w:val="20"/>
          <w:lang w:val="en-US"/>
        </w:rPr>
        <w:t xml:space="preserve"> owing to the economic status of the 85 workers” in this specific case.</w:t>
      </w:r>
      <w:r w:rsidR="00130785" w:rsidRPr="00FE50A6">
        <w:rPr>
          <w:rFonts w:eastAsia="Cambria" w:cs="Times New Roman"/>
          <w:szCs w:val="20"/>
          <w:vertAlign w:val="superscript"/>
          <w:lang w:val="en-US"/>
        </w:rPr>
        <w:footnoteReference w:id="539"/>
      </w:r>
      <w:r w:rsidR="00130785" w:rsidRPr="00FE50A6">
        <w:rPr>
          <w:rFonts w:eastAsia="Cambria" w:cs="Times New Roman"/>
          <w:i/>
          <w:szCs w:val="20"/>
          <w:lang w:val="en-US"/>
        </w:rPr>
        <w:t xml:space="preserve"> </w:t>
      </w:r>
    </w:p>
    <w:p w14:paraId="00735ECC" w14:textId="77777777" w:rsidR="00130785" w:rsidRPr="00FE50A6" w:rsidRDefault="00130785" w:rsidP="00130785">
      <w:pPr>
        <w:tabs>
          <w:tab w:val="clear" w:pos="4419"/>
          <w:tab w:val="clear" w:pos="8838"/>
          <w:tab w:val="left" w:pos="709"/>
          <w:tab w:val="left" w:pos="1464"/>
        </w:tabs>
        <w:rPr>
          <w:rFonts w:eastAsia="MS Mincho" w:cs="Times New Roman"/>
          <w:szCs w:val="20"/>
          <w:lang w:val="en-US" w:eastAsia="es-ES"/>
        </w:rPr>
      </w:pPr>
    </w:p>
    <w:p w14:paraId="65086D9B" w14:textId="77777777" w:rsidR="00130785" w:rsidRPr="00FE50A6" w:rsidRDefault="00090C6A" w:rsidP="008B0BCC">
      <w:pPr>
        <w:numPr>
          <w:ilvl w:val="0"/>
          <w:numId w:val="26"/>
        </w:numPr>
        <w:tabs>
          <w:tab w:val="clear" w:pos="4419"/>
          <w:tab w:val="clear" w:pos="8838"/>
          <w:tab w:val="left" w:pos="709"/>
          <w:tab w:val="left" w:pos="1464"/>
        </w:tabs>
        <w:contextualSpacing/>
        <w:jc w:val="both"/>
        <w:rPr>
          <w:rFonts w:eastAsia="Cambria" w:cs="Times New Roman"/>
          <w:szCs w:val="20"/>
          <w:lang w:val="en-US"/>
        </w:rPr>
      </w:pPr>
      <w:r w:rsidRPr="00FE50A6">
        <w:rPr>
          <w:rFonts w:eastAsia="Cambria" w:cs="Times New Roman"/>
          <w:szCs w:val="20"/>
          <w:lang w:val="en-US"/>
        </w:rPr>
        <w:t xml:space="preserve">This is why I am issuing this separate opinion, because I consider it necessary to emphasize and examine in greater depth some elements of the case </w:t>
      </w:r>
      <w:r w:rsidR="0063434B" w:rsidRPr="00FE50A6">
        <w:rPr>
          <w:rFonts w:eastAsia="Cambria" w:cs="Times New Roman"/>
          <w:szCs w:val="20"/>
          <w:lang w:val="en-US"/>
        </w:rPr>
        <w:t>that relate to</w:t>
      </w:r>
      <w:r w:rsidRPr="00FE50A6">
        <w:rPr>
          <w:rFonts w:eastAsia="Cambria" w:cs="Times New Roman"/>
          <w:szCs w:val="20"/>
          <w:lang w:val="en-US"/>
        </w:rPr>
        <w:t xml:space="preserve"> the recognition of poverty as part of the prohibition of</w:t>
      </w:r>
      <w:r w:rsidR="00130785" w:rsidRPr="00FE50A6">
        <w:rPr>
          <w:rFonts w:eastAsia="Cambria" w:cs="Times New Roman"/>
          <w:szCs w:val="20"/>
          <w:lang w:val="en-US"/>
        </w:rPr>
        <w:t xml:space="preserve"> discrimina</w:t>
      </w:r>
      <w:r w:rsidRPr="00FE50A6">
        <w:rPr>
          <w:rFonts w:eastAsia="Cambria" w:cs="Times New Roman"/>
          <w:szCs w:val="20"/>
          <w:lang w:val="en-US"/>
        </w:rPr>
        <w:t>tion based on economic status recognized in</w:t>
      </w:r>
      <w:r w:rsidR="00130785" w:rsidRPr="00FE50A6">
        <w:rPr>
          <w:rFonts w:eastAsia="Cambria" w:cs="Times New Roman"/>
          <w:szCs w:val="20"/>
          <w:lang w:val="en-US"/>
        </w:rPr>
        <w:t xml:space="preserve"> </w:t>
      </w:r>
      <w:r w:rsidR="000B587F" w:rsidRPr="00FE50A6">
        <w:rPr>
          <w:rFonts w:eastAsia="Cambria" w:cs="Times New Roman"/>
          <w:szCs w:val="20"/>
          <w:lang w:val="en-US"/>
        </w:rPr>
        <w:t>Article 1(1)</w:t>
      </w:r>
      <w:r w:rsidR="0063434B" w:rsidRPr="00FE50A6">
        <w:rPr>
          <w:rFonts w:eastAsia="Cambria" w:cs="Times New Roman"/>
          <w:szCs w:val="20"/>
          <w:lang w:val="en-US"/>
        </w:rPr>
        <w:t>,</w:t>
      </w:r>
      <w:r w:rsidR="00030C17" w:rsidRPr="00FE50A6">
        <w:rPr>
          <w:rFonts w:eastAsia="Cambria" w:cs="Times New Roman"/>
          <w:szCs w:val="20"/>
          <w:lang w:val="en-US"/>
        </w:rPr>
        <w:t xml:space="preserve"> and</w:t>
      </w:r>
      <w:r w:rsidRPr="00FE50A6">
        <w:rPr>
          <w:rFonts w:eastAsia="Cambria" w:cs="Times New Roman"/>
          <w:szCs w:val="20"/>
          <w:lang w:val="en-US"/>
        </w:rPr>
        <w:t xml:space="preserve"> the identification of circumstances of </w:t>
      </w:r>
      <w:r w:rsidR="009308B1" w:rsidRPr="00FE50A6">
        <w:rPr>
          <w:rFonts w:eastAsia="Cambria" w:cs="Times New Roman"/>
          <w:i/>
          <w:szCs w:val="20"/>
          <w:lang w:val="en-US"/>
        </w:rPr>
        <w:t>historical structural</w:t>
      </w:r>
      <w:r w:rsidRPr="00FE50A6">
        <w:rPr>
          <w:rFonts w:eastAsia="Cambria" w:cs="Times New Roman"/>
          <w:i/>
          <w:szCs w:val="20"/>
          <w:lang w:val="en-US"/>
        </w:rPr>
        <w:t xml:space="preserve"> discrimination</w:t>
      </w:r>
      <w:r w:rsidRPr="00FE50A6">
        <w:rPr>
          <w:rFonts w:eastAsia="Cambria" w:cs="Times New Roman"/>
          <w:szCs w:val="20"/>
          <w:lang w:val="en-US"/>
        </w:rPr>
        <w:t xml:space="preserve"> in the judgment.</w:t>
      </w:r>
      <w:r w:rsidR="00130785" w:rsidRPr="00FE50A6">
        <w:rPr>
          <w:rFonts w:eastAsia="Cambria" w:cs="Times New Roman"/>
          <w:szCs w:val="20"/>
          <w:lang w:val="en-US"/>
        </w:rPr>
        <w:t xml:space="preserve"> </w:t>
      </w:r>
      <w:r w:rsidRPr="00FE50A6">
        <w:rPr>
          <w:rFonts w:eastAsia="Cambria" w:cs="Times New Roman"/>
          <w:szCs w:val="20"/>
          <w:lang w:val="en-US"/>
        </w:rPr>
        <w:t xml:space="preserve">In the interests of clarity, I will </w:t>
      </w:r>
      <w:r w:rsidR="00311174" w:rsidRPr="00FE50A6">
        <w:rPr>
          <w:rFonts w:eastAsia="Cambria" w:cs="Times New Roman"/>
          <w:szCs w:val="20"/>
          <w:lang w:val="en-US"/>
        </w:rPr>
        <w:t>examine below</w:t>
      </w:r>
      <w:r w:rsidR="00130785" w:rsidRPr="00FE50A6">
        <w:rPr>
          <w:rFonts w:eastAsia="Cambria" w:cs="Times New Roman"/>
          <w:szCs w:val="20"/>
          <w:lang w:val="en-US"/>
        </w:rPr>
        <w:t>:</w:t>
      </w:r>
      <w:r w:rsidR="00130785" w:rsidRPr="00FE50A6">
        <w:rPr>
          <w:rFonts w:eastAsia="Cambria" w:cs="Times New Roman"/>
          <w:i/>
          <w:szCs w:val="20"/>
          <w:lang w:val="en-US"/>
        </w:rPr>
        <w:t xml:space="preserve"> </w:t>
      </w:r>
      <w:r w:rsidR="00311174" w:rsidRPr="00FE50A6">
        <w:rPr>
          <w:rFonts w:eastAsia="Cambria" w:cs="Times New Roman"/>
          <w:i/>
          <w:szCs w:val="20"/>
          <w:lang w:val="en-US"/>
        </w:rPr>
        <w:t>(</w:t>
      </w:r>
      <w:r w:rsidR="00130785" w:rsidRPr="00FE50A6">
        <w:rPr>
          <w:rFonts w:eastAsia="Cambria" w:cs="Times New Roman"/>
          <w:i/>
          <w:szCs w:val="20"/>
          <w:lang w:val="en-US"/>
        </w:rPr>
        <w:t xml:space="preserve">I) </w:t>
      </w:r>
      <w:r w:rsidRPr="00FE50A6">
        <w:rPr>
          <w:rFonts w:eastAsia="Cambria" w:cs="Times New Roman"/>
          <w:szCs w:val="20"/>
          <w:lang w:val="en-US"/>
        </w:rPr>
        <w:t xml:space="preserve">Poverty as part of the prohibition of discrimination based on “economic status” </w:t>
      </w:r>
      <w:r w:rsidR="00311174" w:rsidRPr="00FE50A6">
        <w:rPr>
          <w:rFonts w:eastAsia="Cambria" w:cs="Times New Roman"/>
          <w:szCs w:val="20"/>
          <w:lang w:val="en-US"/>
        </w:rPr>
        <w:t>under</w:t>
      </w:r>
      <w:r w:rsidRPr="00FE50A6">
        <w:rPr>
          <w:rFonts w:eastAsia="Cambria" w:cs="Times New Roman"/>
          <w:szCs w:val="20"/>
          <w:lang w:val="en-US"/>
        </w:rPr>
        <w:t xml:space="preserve"> the human rights</w:t>
      </w:r>
      <w:r w:rsidR="0063434B" w:rsidRPr="00FE50A6">
        <w:rPr>
          <w:rFonts w:eastAsia="Cambria" w:cs="Times New Roman"/>
          <w:szCs w:val="20"/>
          <w:lang w:val="en-US"/>
        </w:rPr>
        <w:t xml:space="preserve"> protection systems</w:t>
      </w:r>
      <w:r w:rsidRPr="00FE50A6">
        <w:rPr>
          <w:rFonts w:eastAsia="Cambria" w:cs="Times New Roman"/>
          <w:szCs w:val="20"/>
          <w:lang w:val="en-US"/>
        </w:rPr>
        <w:t xml:space="preserve"> </w:t>
      </w:r>
      <w:r w:rsidR="00130785" w:rsidRPr="00FE50A6">
        <w:rPr>
          <w:rFonts w:eastAsia="Cambria" w:cs="Times New Roman"/>
          <w:i/>
          <w:szCs w:val="20"/>
          <w:lang w:val="en-US"/>
        </w:rPr>
        <w:t>(</w:t>
      </w:r>
      <w:r w:rsidR="00700B79" w:rsidRPr="00FE50A6">
        <w:rPr>
          <w:rFonts w:eastAsia="Cambria" w:cs="Times New Roman"/>
          <w:i/>
          <w:szCs w:val="20"/>
          <w:lang w:val="en-US"/>
        </w:rPr>
        <w:t>paras.</w:t>
      </w:r>
      <w:r w:rsidR="00130785" w:rsidRPr="00FE50A6">
        <w:rPr>
          <w:rFonts w:eastAsia="Cambria" w:cs="Times New Roman"/>
          <w:i/>
          <w:szCs w:val="20"/>
          <w:lang w:val="en-US"/>
        </w:rPr>
        <w:t xml:space="preserve"> 4-25);</w:t>
      </w:r>
      <w:r w:rsidR="00130785" w:rsidRPr="00FE50A6">
        <w:rPr>
          <w:rFonts w:eastAsia="Cambria" w:cs="Times New Roman"/>
          <w:szCs w:val="20"/>
          <w:lang w:val="en-US"/>
        </w:rPr>
        <w:t xml:space="preserve"> </w:t>
      </w:r>
      <w:r w:rsidR="00311174" w:rsidRPr="00FE50A6">
        <w:rPr>
          <w:rFonts w:eastAsia="Cambria" w:cs="Times New Roman"/>
          <w:szCs w:val="20"/>
          <w:lang w:val="en-US"/>
        </w:rPr>
        <w:t>(</w:t>
      </w:r>
      <w:r w:rsidR="00130785" w:rsidRPr="00FE50A6">
        <w:rPr>
          <w:rFonts w:eastAsia="Cambria" w:cs="Times New Roman"/>
          <w:i/>
          <w:szCs w:val="20"/>
          <w:lang w:val="en-US"/>
        </w:rPr>
        <w:t>II)</w:t>
      </w:r>
      <w:r w:rsidR="00130785" w:rsidRPr="00FE50A6">
        <w:rPr>
          <w:rFonts w:eastAsia="Cambria" w:cs="Times New Roman"/>
          <w:szCs w:val="20"/>
          <w:lang w:val="en-US"/>
        </w:rPr>
        <w:t xml:space="preserve"> </w:t>
      </w:r>
      <w:r w:rsidR="00311174" w:rsidRPr="00FE50A6">
        <w:rPr>
          <w:rFonts w:eastAsia="Cambria" w:cs="Times New Roman"/>
          <w:szCs w:val="20"/>
          <w:lang w:val="en-US"/>
        </w:rPr>
        <w:t xml:space="preserve">Poverty and economic status in inter-American jurisprudence </w:t>
      </w:r>
      <w:r w:rsidR="00130785" w:rsidRPr="00FE50A6">
        <w:rPr>
          <w:rFonts w:eastAsia="Cambria" w:cs="Times New Roman"/>
          <w:i/>
          <w:szCs w:val="20"/>
          <w:lang w:val="en-US"/>
        </w:rPr>
        <w:t>(</w:t>
      </w:r>
      <w:r w:rsidR="00700B79" w:rsidRPr="00FE50A6">
        <w:rPr>
          <w:rFonts w:eastAsia="Cambria" w:cs="Times New Roman"/>
          <w:i/>
          <w:szCs w:val="20"/>
          <w:lang w:val="en-US"/>
        </w:rPr>
        <w:t>paras.</w:t>
      </w:r>
      <w:r w:rsidR="00130785" w:rsidRPr="00FE50A6">
        <w:rPr>
          <w:rFonts w:eastAsia="Cambria" w:cs="Times New Roman"/>
          <w:i/>
          <w:szCs w:val="20"/>
          <w:lang w:val="en-US"/>
        </w:rPr>
        <w:t xml:space="preserve"> 26-44)</w:t>
      </w:r>
      <w:r w:rsidR="00130785" w:rsidRPr="00FE50A6">
        <w:rPr>
          <w:rFonts w:eastAsia="Cambria" w:cs="Times New Roman"/>
          <w:szCs w:val="20"/>
          <w:lang w:val="en-US"/>
        </w:rPr>
        <w:t xml:space="preserve">; </w:t>
      </w:r>
      <w:r w:rsidR="00311174" w:rsidRPr="00FE50A6">
        <w:rPr>
          <w:rFonts w:eastAsia="Cambria" w:cs="Times New Roman"/>
          <w:szCs w:val="20"/>
          <w:lang w:val="en-US"/>
        </w:rPr>
        <w:t>(</w:t>
      </w:r>
      <w:r w:rsidR="00130785" w:rsidRPr="00FE50A6">
        <w:rPr>
          <w:rFonts w:eastAsia="Cambria" w:cs="Times New Roman"/>
          <w:i/>
          <w:szCs w:val="20"/>
          <w:lang w:val="en-US"/>
        </w:rPr>
        <w:t>III)</w:t>
      </w:r>
      <w:r w:rsidR="00130785" w:rsidRPr="00FE50A6">
        <w:rPr>
          <w:rFonts w:eastAsia="Cambria" w:cs="Times New Roman"/>
          <w:szCs w:val="20"/>
          <w:lang w:val="en-US"/>
        </w:rPr>
        <w:t xml:space="preserve"> </w:t>
      </w:r>
      <w:r w:rsidR="00311174" w:rsidRPr="00FE50A6">
        <w:rPr>
          <w:rFonts w:eastAsia="Cambria" w:cs="Times New Roman"/>
          <w:szCs w:val="20"/>
          <w:lang w:val="en-US"/>
        </w:rPr>
        <w:t xml:space="preserve">Poverty as part of the “economic status” contemplated in </w:t>
      </w:r>
      <w:r w:rsidR="000228D0" w:rsidRPr="00FE50A6">
        <w:rPr>
          <w:rFonts w:eastAsia="Cambria" w:cs="Times New Roman"/>
          <w:szCs w:val="20"/>
          <w:lang w:val="en-US"/>
        </w:rPr>
        <w:t>the American Convention</w:t>
      </w:r>
      <w:r w:rsidR="00130785" w:rsidRPr="00FE50A6">
        <w:rPr>
          <w:rFonts w:eastAsia="Cambria" w:cs="Times New Roman"/>
          <w:szCs w:val="20"/>
          <w:lang w:val="en-US"/>
        </w:rPr>
        <w:t xml:space="preserve"> </w:t>
      </w:r>
      <w:r w:rsidR="00311174" w:rsidRPr="00FE50A6">
        <w:rPr>
          <w:rFonts w:eastAsia="Cambria" w:cs="Times New Roman"/>
          <w:szCs w:val="20"/>
          <w:lang w:val="en-US"/>
        </w:rPr>
        <w:t>in this case</w:t>
      </w:r>
      <w:r w:rsidR="00130785" w:rsidRPr="00FE50A6">
        <w:rPr>
          <w:rFonts w:eastAsia="Cambria" w:cs="Times New Roman"/>
          <w:szCs w:val="20"/>
          <w:lang w:val="en-US"/>
        </w:rPr>
        <w:t xml:space="preserve"> </w:t>
      </w:r>
      <w:r w:rsidR="00130785" w:rsidRPr="00FE50A6">
        <w:rPr>
          <w:rFonts w:eastAsia="Cambria" w:cs="Times New Roman"/>
          <w:i/>
          <w:szCs w:val="20"/>
          <w:lang w:val="en-US"/>
        </w:rPr>
        <w:t>(</w:t>
      </w:r>
      <w:r w:rsidR="00700B79" w:rsidRPr="00FE50A6">
        <w:rPr>
          <w:rFonts w:eastAsia="Cambria" w:cs="Times New Roman"/>
          <w:i/>
          <w:szCs w:val="20"/>
          <w:lang w:val="en-US"/>
        </w:rPr>
        <w:t>paras.</w:t>
      </w:r>
      <w:r w:rsidR="00130785" w:rsidRPr="00FE50A6">
        <w:rPr>
          <w:rFonts w:eastAsia="Cambria" w:cs="Times New Roman"/>
          <w:i/>
          <w:szCs w:val="20"/>
          <w:lang w:val="en-US"/>
        </w:rPr>
        <w:t xml:space="preserve"> 45-55);</w:t>
      </w:r>
      <w:r w:rsidR="00130785" w:rsidRPr="00FE50A6">
        <w:rPr>
          <w:rFonts w:eastAsia="Cambria" w:cs="Times New Roman"/>
          <w:szCs w:val="20"/>
          <w:lang w:val="en-US"/>
        </w:rPr>
        <w:t xml:space="preserve"> </w:t>
      </w:r>
      <w:r w:rsidR="00311174" w:rsidRPr="00FE50A6">
        <w:rPr>
          <w:rFonts w:eastAsia="Cambria" w:cs="Times New Roman"/>
          <w:szCs w:val="20"/>
          <w:lang w:val="en-US"/>
        </w:rPr>
        <w:t>(</w:t>
      </w:r>
      <w:r w:rsidR="00130785" w:rsidRPr="00FE50A6">
        <w:rPr>
          <w:rFonts w:eastAsia="Cambria" w:cs="System Font Regular"/>
          <w:i/>
          <w:szCs w:val="20"/>
          <w:lang w:val="en-US"/>
        </w:rPr>
        <w:t>IV)</w:t>
      </w:r>
      <w:r w:rsidR="00130785" w:rsidRPr="00FE50A6">
        <w:rPr>
          <w:rFonts w:eastAsia="Cambria" w:cs="System Font Regular"/>
          <w:szCs w:val="20"/>
          <w:lang w:val="en-US"/>
        </w:rPr>
        <w:t xml:space="preserve"> </w:t>
      </w:r>
      <w:r w:rsidR="00311174" w:rsidRPr="00FE50A6">
        <w:rPr>
          <w:rFonts w:eastAsia="Cambria" w:cs="System Font Regular"/>
          <w:szCs w:val="20"/>
          <w:lang w:val="en-US"/>
        </w:rPr>
        <w:t>Structural violations in international law</w:t>
      </w:r>
      <w:r w:rsidR="00130785" w:rsidRPr="00FE50A6">
        <w:rPr>
          <w:rFonts w:eastAsia="Cambria" w:cs="System Font Regular"/>
          <w:szCs w:val="20"/>
          <w:lang w:val="en-US"/>
        </w:rPr>
        <w:t xml:space="preserve"> </w:t>
      </w:r>
      <w:r w:rsidR="00130785" w:rsidRPr="00FE50A6">
        <w:rPr>
          <w:rFonts w:eastAsia="Cambria" w:cs="System Font Regular"/>
          <w:i/>
          <w:szCs w:val="20"/>
          <w:lang w:val="en-US"/>
        </w:rPr>
        <w:t>(</w:t>
      </w:r>
      <w:r w:rsidR="00700B79" w:rsidRPr="00FE50A6">
        <w:rPr>
          <w:rFonts w:eastAsia="Cambria" w:cs="System Font Regular"/>
          <w:i/>
          <w:szCs w:val="20"/>
          <w:lang w:val="en-US"/>
        </w:rPr>
        <w:t>paras.</w:t>
      </w:r>
      <w:r w:rsidR="00130785" w:rsidRPr="00FE50A6">
        <w:rPr>
          <w:rFonts w:eastAsia="Cambria" w:cs="System Font Regular"/>
          <w:i/>
          <w:szCs w:val="20"/>
          <w:lang w:val="en-US"/>
        </w:rPr>
        <w:t xml:space="preserve"> 56-71)</w:t>
      </w:r>
      <w:r w:rsidR="00130785" w:rsidRPr="00FE50A6">
        <w:rPr>
          <w:rFonts w:eastAsia="Cambria" w:cs="System Font Regular"/>
          <w:szCs w:val="20"/>
          <w:lang w:val="en-US"/>
        </w:rPr>
        <w:t xml:space="preserve">; </w:t>
      </w:r>
      <w:r w:rsidR="00311174" w:rsidRPr="00FE50A6">
        <w:rPr>
          <w:rFonts w:eastAsia="Cambria" w:cs="System Font Regular"/>
          <w:szCs w:val="20"/>
          <w:lang w:val="en-US"/>
        </w:rPr>
        <w:t>(</w:t>
      </w:r>
      <w:r w:rsidR="00130785" w:rsidRPr="00FE50A6">
        <w:rPr>
          <w:rFonts w:eastAsia="Cambria" w:cs="System Font Regular"/>
          <w:i/>
          <w:szCs w:val="20"/>
          <w:lang w:val="en-US"/>
        </w:rPr>
        <w:t xml:space="preserve">V) </w:t>
      </w:r>
      <w:r w:rsidR="00230B50" w:rsidRPr="00FE50A6">
        <w:rPr>
          <w:rFonts w:eastAsia="Cambria" w:cs="System Font Regular"/>
          <w:szCs w:val="20"/>
          <w:lang w:val="en-US"/>
        </w:rPr>
        <w:t>I</w:t>
      </w:r>
      <w:r w:rsidR="007860B0" w:rsidRPr="00FE50A6">
        <w:rPr>
          <w:rFonts w:eastAsia="Cambria" w:cs="System Font Regular"/>
          <w:szCs w:val="20"/>
          <w:lang w:val="en-US"/>
        </w:rPr>
        <w:t>n</w:t>
      </w:r>
      <w:r w:rsidR="00311174" w:rsidRPr="00FE50A6">
        <w:rPr>
          <w:rFonts w:eastAsia="Cambria" w:cs="System Font Regular"/>
          <w:szCs w:val="20"/>
          <w:lang w:val="en-US"/>
        </w:rPr>
        <w:t xml:space="preserve">direct </w:t>
      </w:r>
      <w:r w:rsidR="00230B50" w:rsidRPr="00FE50A6">
        <w:rPr>
          <w:rFonts w:eastAsia="Cambria" w:cs="System Font Regular"/>
          <w:szCs w:val="20"/>
          <w:lang w:val="en-US"/>
        </w:rPr>
        <w:t xml:space="preserve">or </w:t>
      </w:r>
      <w:r w:rsidR="00230B50" w:rsidRPr="00FE50A6">
        <w:rPr>
          <w:rFonts w:eastAsia="Cambria" w:cs="System Font Regular"/>
          <w:i/>
          <w:iCs/>
          <w:szCs w:val="20"/>
          <w:lang w:val="en-US"/>
        </w:rPr>
        <w:t>de facto</w:t>
      </w:r>
      <w:r w:rsidR="00230B50" w:rsidRPr="00FE50A6">
        <w:rPr>
          <w:rFonts w:eastAsia="Cambria" w:cs="System Font Regular"/>
          <w:szCs w:val="20"/>
          <w:lang w:val="en-US"/>
        </w:rPr>
        <w:t xml:space="preserve"> </w:t>
      </w:r>
      <w:r w:rsidR="00311174" w:rsidRPr="00FE50A6">
        <w:rPr>
          <w:rFonts w:eastAsia="Cambria" w:cs="System Font Regular"/>
          <w:szCs w:val="20"/>
          <w:lang w:val="en-US"/>
        </w:rPr>
        <w:t xml:space="preserve">structural discrimination in the </w:t>
      </w:r>
      <w:r w:rsidR="00130785" w:rsidRPr="00FE50A6">
        <w:rPr>
          <w:rFonts w:eastAsia="Cambria" w:cs="System Font Regular"/>
          <w:szCs w:val="20"/>
          <w:lang w:val="en-US"/>
        </w:rPr>
        <w:t>jurisprudenc</w:t>
      </w:r>
      <w:r w:rsidR="00311174" w:rsidRPr="00FE50A6">
        <w:rPr>
          <w:rFonts w:eastAsia="Cambria" w:cs="System Font Regular"/>
          <w:szCs w:val="20"/>
          <w:lang w:val="en-US"/>
        </w:rPr>
        <w:t>e</w:t>
      </w:r>
      <w:r w:rsidR="000228D0" w:rsidRPr="00FE50A6">
        <w:rPr>
          <w:rFonts w:eastAsia="Cambria" w:cs="System Font Regular"/>
          <w:szCs w:val="20"/>
          <w:lang w:val="en-US"/>
        </w:rPr>
        <w:t xml:space="preserve"> of the Inter-American Court</w:t>
      </w:r>
      <w:r w:rsidR="00130785" w:rsidRPr="00FE50A6">
        <w:rPr>
          <w:rFonts w:eastAsia="Cambria" w:cs="System Font Regular"/>
          <w:szCs w:val="20"/>
          <w:lang w:val="en-US"/>
        </w:rPr>
        <w:t xml:space="preserve"> (</w:t>
      </w:r>
      <w:r w:rsidR="00700B79" w:rsidRPr="00FE50A6">
        <w:rPr>
          <w:rFonts w:eastAsia="Cambria" w:cs="System Font Regular"/>
          <w:szCs w:val="20"/>
          <w:lang w:val="en-US"/>
        </w:rPr>
        <w:t>paras.</w:t>
      </w:r>
      <w:r w:rsidR="00130785" w:rsidRPr="00FE50A6">
        <w:rPr>
          <w:rFonts w:eastAsia="Cambria" w:cs="System Font Regular"/>
          <w:szCs w:val="20"/>
          <w:lang w:val="en-US"/>
        </w:rPr>
        <w:t xml:space="preserve"> 72-80); </w:t>
      </w:r>
      <w:r w:rsidR="00311174" w:rsidRPr="00FE50A6">
        <w:rPr>
          <w:rFonts w:eastAsia="Cambria" w:cs="System Font Regular"/>
          <w:szCs w:val="20"/>
          <w:lang w:val="en-US"/>
        </w:rPr>
        <w:t>(</w:t>
      </w:r>
      <w:r w:rsidR="00130785" w:rsidRPr="00FE50A6">
        <w:rPr>
          <w:rFonts w:eastAsia="Cambria" w:cs="System Font Regular"/>
          <w:i/>
          <w:szCs w:val="20"/>
          <w:lang w:val="en-US"/>
        </w:rPr>
        <w:t>VI)</w:t>
      </w:r>
      <w:r w:rsidR="00130785" w:rsidRPr="00FE50A6">
        <w:rPr>
          <w:rFonts w:eastAsia="Cambria" w:cs="System Font Regular"/>
          <w:szCs w:val="20"/>
          <w:lang w:val="en-US"/>
        </w:rPr>
        <w:t xml:space="preserve"> </w:t>
      </w:r>
      <w:r w:rsidR="00311174" w:rsidRPr="00FE50A6">
        <w:rPr>
          <w:rFonts w:eastAsia="Cambria" w:cs="System Font Regular"/>
          <w:szCs w:val="20"/>
          <w:lang w:val="en-US"/>
        </w:rPr>
        <w:t xml:space="preserve">The scope of </w:t>
      </w:r>
      <w:r w:rsidR="009308B1" w:rsidRPr="00FE50A6">
        <w:rPr>
          <w:rFonts w:eastAsia="Cambria" w:cs="System Font Regular"/>
          <w:szCs w:val="20"/>
          <w:lang w:val="en-US"/>
        </w:rPr>
        <w:t>historical structural</w:t>
      </w:r>
      <w:r w:rsidR="00311174" w:rsidRPr="00FE50A6">
        <w:rPr>
          <w:rFonts w:eastAsia="Cambria" w:cs="System Font Regular"/>
          <w:szCs w:val="20"/>
          <w:lang w:val="en-US"/>
        </w:rPr>
        <w:t xml:space="preserve"> discrimination</w:t>
      </w:r>
      <w:r w:rsidR="00130785" w:rsidRPr="00FE50A6">
        <w:rPr>
          <w:rFonts w:eastAsia="Cambria" w:cs="System Font Regular"/>
          <w:szCs w:val="20"/>
          <w:lang w:val="en-US"/>
        </w:rPr>
        <w:t xml:space="preserve"> </w:t>
      </w:r>
      <w:r w:rsidR="00311174" w:rsidRPr="00FE50A6">
        <w:rPr>
          <w:rFonts w:eastAsia="Cambria" w:cs="System Font Regular"/>
          <w:szCs w:val="20"/>
          <w:lang w:val="en-US"/>
        </w:rPr>
        <w:t xml:space="preserve">in the case of the </w:t>
      </w:r>
      <w:r w:rsidR="00030C17" w:rsidRPr="00FE50A6">
        <w:rPr>
          <w:rFonts w:eastAsia="Cambria" w:cs="System Font Regular"/>
          <w:szCs w:val="20"/>
          <w:lang w:val="en-US"/>
        </w:rPr>
        <w:t xml:space="preserve">Hacienda </w:t>
      </w:r>
      <w:r w:rsidR="00322241" w:rsidRPr="00FE50A6">
        <w:rPr>
          <w:rFonts w:eastAsia="Cambria" w:cs="System Font Regular"/>
          <w:szCs w:val="20"/>
          <w:lang w:val="en-US"/>
        </w:rPr>
        <w:t>Brasil Verde</w:t>
      </w:r>
      <w:r w:rsidR="00030C17" w:rsidRPr="00FE50A6">
        <w:rPr>
          <w:rFonts w:eastAsia="Cambria" w:cs="System Font Regular"/>
          <w:szCs w:val="20"/>
          <w:lang w:val="en-US"/>
        </w:rPr>
        <w:t xml:space="preserve"> Workers</w:t>
      </w:r>
      <w:r w:rsidR="00130785" w:rsidRPr="00FE50A6">
        <w:rPr>
          <w:rFonts w:eastAsia="Cambria" w:cs="System Font Regular"/>
          <w:szCs w:val="20"/>
          <w:lang w:val="en-US"/>
        </w:rPr>
        <w:t xml:space="preserve"> </w:t>
      </w:r>
      <w:r w:rsidR="00130785" w:rsidRPr="00FE50A6">
        <w:rPr>
          <w:rFonts w:eastAsia="Cambria" w:cs="Times New Roman"/>
          <w:i/>
          <w:szCs w:val="20"/>
          <w:lang w:val="en-US"/>
        </w:rPr>
        <w:t>(</w:t>
      </w:r>
      <w:r w:rsidR="00700B79" w:rsidRPr="00FE50A6">
        <w:rPr>
          <w:rFonts w:eastAsia="Cambria" w:cs="Times New Roman"/>
          <w:i/>
          <w:szCs w:val="20"/>
          <w:lang w:val="en-US"/>
        </w:rPr>
        <w:t>paras.</w:t>
      </w:r>
      <w:r w:rsidR="00130785" w:rsidRPr="00FE50A6">
        <w:rPr>
          <w:rFonts w:eastAsia="Cambria" w:cs="Times New Roman"/>
          <w:i/>
          <w:szCs w:val="20"/>
          <w:lang w:val="en-US"/>
        </w:rPr>
        <w:t xml:space="preserve"> 81-96)</w:t>
      </w:r>
      <w:r w:rsidR="00130785" w:rsidRPr="00FE50A6">
        <w:rPr>
          <w:rFonts w:eastAsia="Cambria" w:cs="System Font Regular"/>
          <w:i/>
          <w:szCs w:val="20"/>
          <w:lang w:val="en-US"/>
        </w:rPr>
        <w:t>,</w:t>
      </w:r>
      <w:r w:rsidR="00030C17" w:rsidRPr="00FE50A6">
        <w:rPr>
          <w:rFonts w:eastAsia="Cambria" w:cs="System Font Regular"/>
          <w:i/>
          <w:szCs w:val="20"/>
          <w:lang w:val="en-US"/>
        </w:rPr>
        <w:t xml:space="preserve"> and </w:t>
      </w:r>
      <w:r w:rsidR="00311174" w:rsidRPr="00FE50A6">
        <w:rPr>
          <w:rFonts w:eastAsia="Cambria" w:cs="System Font Regular"/>
          <w:i/>
          <w:szCs w:val="20"/>
          <w:lang w:val="en-US"/>
        </w:rPr>
        <w:t>(</w:t>
      </w:r>
      <w:r w:rsidR="00130785" w:rsidRPr="00FE50A6">
        <w:rPr>
          <w:rFonts w:eastAsia="Cambria" w:cs="Times New Roman"/>
          <w:i/>
          <w:szCs w:val="20"/>
          <w:lang w:val="en-US"/>
        </w:rPr>
        <w:t>VII)</w:t>
      </w:r>
      <w:r w:rsidR="00130785" w:rsidRPr="00FE50A6">
        <w:rPr>
          <w:rFonts w:eastAsia="Cambria" w:cs="Times New Roman"/>
          <w:szCs w:val="20"/>
          <w:lang w:val="en-US"/>
        </w:rPr>
        <w:t xml:space="preserve"> Conclusions (</w:t>
      </w:r>
      <w:r w:rsidR="00700B79" w:rsidRPr="00FE50A6">
        <w:rPr>
          <w:rFonts w:eastAsia="Cambria" w:cs="Times New Roman"/>
          <w:i/>
          <w:szCs w:val="20"/>
          <w:lang w:val="en-US"/>
        </w:rPr>
        <w:t>paras.</w:t>
      </w:r>
      <w:r w:rsidR="00130785" w:rsidRPr="00FE50A6">
        <w:rPr>
          <w:rFonts w:eastAsia="Cambria" w:cs="Times New Roman"/>
          <w:i/>
          <w:szCs w:val="20"/>
          <w:lang w:val="en-US"/>
        </w:rPr>
        <w:t xml:space="preserve"> 97-100</w:t>
      </w:r>
      <w:r w:rsidR="00130785" w:rsidRPr="00FE50A6">
        <w:rPr>
          <w:rFonts w:eastAsia="Cambria" w:cs="Times New Roman"/>
          <w:szCs w:val="20"/>
          <w:lang w:val="en-US"/>
        </w:rPr>
        <w:t xml:space="preserve">). </w:t>
      </w:r>
    </w:p>
    <w:p w14:paraId="0F61C7AD"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3535FA29" w14:textId="77777777" w:rsidR="00130785" w:rsidRPr="00FE50A6" w:rsidRDefault="00130785" w:rsidP="00311174">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 xml:space="preserve">I. </w:t>
      </w:r>
      <w:r w:rsidR="00090C6A" w:rsidRPr="00FE50A6">
        <w:rPr>
          <w:rFonts w:eastAsia="Cambria" w:cs="Times New Roman"/>
          <w:szCs w:val="20"/>
          <w:lang w:val="en-US"/>
        </w:rPr>
        <w:t>POVERTY AS PART OF THE PROHIBITION OF DISCRIMINATION BASED ON “ECONOMIC STATUS”</w:t>
      </w:r>
      <w:r w:rsidRPr="00FE50A6">
        <w:rPr>
          <w:rFonts w:eastAsia="Cambria" w:cs="Times New Roman"/>
          <w:szCs w:val="20"/>
          <w:lang w:val="en-US"/>
        </w:rPr>
        <w:t xml:space="preserve"> </w:t>
      </w:r>
      <w:r w:rsidR="00311174" w:rsidRPr="00FE50A6">
        <w:rPr>
          <w:rFonts w:eastAsia="Cambria" w:cs="Times New Roman"/>
          <w:szCs w:val="20"/>
          <w:lang w:val="en-US"/>
        </w:rPr>
        <w:t>UNDER THE HUMAN RIGHTS</w:t>
      </w:r>
      <w:r w:rsidR="0063434B" w:rsidRPr="00FE50A6">
        <w:rPr>
          <w:rFonts w:eastAsia="Cambria" w:cs="Times New Roman"/>
          <w:szCs w:val="20"/>
          <w:lang w:val="en-US"/>
        </w:rPr>
        <w:t xml:space="preserve"> PROTECTION SYSTEMS</w:t>
      </w:r>
    </w:p>
    <w:p w14:paraId="72CAC737" w14:textId="77777777" w:rsidR="00311174" w:rsidRPr="00FE50A6" w:rsidRDefault="00311174" w:rsidP="00311174">
      <w:pPr>
        <w:tabs>
          <w:tab w:val="clear" w:pos="4419"/>
          <w:tab w:val="clear" w:pos="8838"/>
        </w:tabs>
        <w:contextualSpacing/>
        <w:jc w:val="center"/>
        <w:rPr>
          <w:rFonts w:eastAsia="Cambria" w:cs="System Font Regular"/>
          <w:szCs w:val="20"/>
          <w:lang w:val="en-US"/>
        </w:rPr>
      </w:pPr>
    </w:p>
    <w:p w14:paraId="68497E64" w14:textId="77777777" w:rsidR="00130785" w:rsidRPr="00FE50A6" w:rsidRDefault="00B44229"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System Font Regular"/>
          <w:szCs w:val="20"/>
          <w:lang w:val="en-US"/>
        </w:rPr>
        <w:t>Both the</w:t>
      </w:r>
      <w:r w:rsidR="00130785" w:rsidRPr="00FE50A6">
        <w:rPr>
          <w:rFonts w:eastAsia="Cambria" w:cs="System Font Regular"/>
          <w:lang w:val="en-US"/>
        </w:rPr>
        <w:t xml:space="preserve"> </w:t>
      </w:r>
      <w:r w:rsidR="009E41ED" w:rsidRPr="00FE50A6">
        <w:rPr>
          <w:rFonts w:eastAsia="Cambria" w:cs="System Font Regular"/>
          <w:lang w:val="en-US"/>
        </w:rPr>
        <w:t>Inter-American Court</w:t>
      </w:r>
      <w:r w:rsidR="007C4DDC" w:rsidRPr="00FE50A6">
        <w:rPr>
          <w:rFonts w:eastAsia="Cambria" w:cs="System Font Regular"/>
          <w:lang w:val="en-US"/>
        </w:rPr>
        <w:t xml:space="preserve"> of Human Rights</w:t>
      </w:r>
      <w:r w:rsidR="00130785" w:rsidRPr="00FE50A6">
        <w:rPr>
          <w:rFonts w:eastAsia="Cambria" w:cs="System Font Regular"/>
          <w:lang w:val="en-US"/>
        </w:rPr>
        <w:t xml:space="preserve"> </w:t>
      </w:r>
      <w:r w:rsidRPr="00FE50A6">
        <w:rPr>
          <w:rFonts w:eastAsia="Cambria" w:cs="System Font Regular"/>
          <w:lang w:val="en-US"/>
        </w:rPr>
        <w:t>and</w:t>
      </w:r>
      <w:r w:rsidR="00130785" w:rsidRPr="00FE50A6">
        <w:rPr>
          <w:rFonts w:eastAsia="Cambria" w:cs="System Font Regular"/>
          <w:lang w:val="en-US"/>
        </w:rPr>
        <w:t xml:space="preserve"> </w:t>
      </w:r>
      <w:r w:rsidR="002071B1" w:rsidRPr="00FE50A6">
        <w:rPr>
          <w:rFonts w:eastAsia="Cambria" w:cs="System Font Regular"/>
          <w:lang w:val="en-US"/>
        </w:rPr>
        <w:t xml:space="preserve">the </w:t>
      </w:r>
      <w:r w:rsidRPr="00FE50A6">
        <w:rPr>
          <w:rFonts w:eastAsia="Cambria" w:cs="System Font Regular"/>
          <w:lang w:val="en-US"/>
        </w:rPr>
        <w:t>European Court of Human Rights</w:t>
      </w:r>
      <w:r w:rsidR="00130785" w:rsidRPr="00FE50A6">
        <w:rPr>
          <w:rFonts w:eastAsia="Cambria" w:cs="System Font Regular"/>
          <w:lang w:val="en-US"/>
        </w:rPr>
        <w:t xml:space="preserve"> (</w:t>
      </w:r>
      <w:r w:rsidR="000228D0" w:rsidRPr="00FE50A6">
        <w:rPr>
          <w:rFonts w:eastAsia="Cambria" w:cs="System Font Regular"/>
          <w:lang w:val="en-US"/>
        </w:rPr>
        <w:t>hereinafter</w:t>
      </w:r>
      <w:r w:rsidR="00130785" w:rsidRPr="00FE50A6">
        <w:rPr>
          <w:rFonts w:eastAsia="Cambria" w:cs="System Font Regular"/>
          <w:lang w:val="en-US"/>
        </w:rPr>
        <w:t xml:space="preserve"> </w:t>
      </w:r>
      <w:r w:rsidR="009C48A4" w:rsidRPr="00FE50A6">
        <w:rPr>
          <w:rFonts w:eastAsia="Cambria" w:cs="System Font Regular"/>
          <w:lang w:val="en-US"/>
        </w:rPr>
        <w:t>“</w:t>
      </w:r>
      <w:r w:rsidR="007869B6" w:rsidRPr="00FE50A6">
        <w:rPr>
          <w:rFonts w:eastAsia="Cambria" w:cs="System Font Regular"/>
          <w:lang w:val="en-US"/>
        </w:rPr>
        <w:t xml:space="preserve">the </w:t>
      </w:r>
      <w:r w:rsidRPr="00FE50A6">
        <w:rPr>
          <w:rFonts w:eastAsia="Cambria" w:cs="System Font Regular"/>
          <w:lang w:val="en-US"/>
        </w:rPr>
        <w:t>ECHR</w:t>
      </w:r>
      <w:r w:rsidR="009C48A4" w:rsidRPr="00FE50A6">
        <w:rPr>
          <w:rFonts w:eastAsia="Cambria" w:cs="System Font Regular"/>
          <w:lang w:val="en-US"/>
        </w:rPr>
        <w:t>”</w:t>
      </w:r>
      <w:r w:rsidR="00130785" w:rsidRPr="00FE50A6">
        <w:rPr>
          <w:rFonts w:eastAsia="Cambria" w:cs="System Font Regular"/>
          <w:lang w:val="en-US"/>
        </w:rPr>
        <w:t xml:space="preserve"> o</w:t>
      </w:r>
      <w:r w:rsidRPr="00FE50A6">
        <w:rPr>
          <w:rFonts w:eastAsia="Cambria" w:cs="System Font Regular"/>
          <w:lang w:val="en-US"/>
        </w:rPr>
        <w:t>r</w:t>
      </w:r>
      <w:r w:rsidR="00130785" w:rsidRPr="00FE50A6">
        <w:rPr>
          <w:rFonts w:eastAsia="Cambria" w:cs="System Font Regular"/>
          <w:lang w:val="en-US"/>
        </w:rPr>
        <w:t xml:space="preserve"> </w:t>
      </w:r>
      <w:r w:rsidR="009C48A4" w:rsidRPr="00FE50A6">
        <w:rPr>
          <w:rFonts w:eastAsia="Cambria" w:cs="System Font Regular"/>
          <w:lang w:val="en-US"/>
        </w:rPr>
        <w:t>“</w:t>
      </w:r>
      <w:r w:rsidR="007869B6" w:rsidRPr="00FE50A6">
        <w:rPr>
          <w:rFonts w:eastAsia="Cambria" w:cs="System Font Regular"/>
          <w:lang w:val="en-US"/>
        </w:rPr>
        <w:t xml:space="preserve">the </w:t>
      </w:r>
      <w:r w:rsidRPr="00FE50A6">
        <w:rPr>
          <w:rFonts w:eastAsia="Cambria" w:cs="System Font Regular"/>
          <w:lang w:val="en-US"/>
        </w:rPr>
        <w:t>European Court</w:t>
      </w:r>
      <w:r w:rsidR="009C48A4" w:rsidRPr="00FE50A6">
        <w:rPr>
          <w:rFonts w:eastAsia="Cambria" w:cs="System Font Regular"/>
          <w:lang w:val="en-US"/>
        </w:rPr>
        <w:t>”</w:t>
      </w:r>
      <w:r w:rsidR="00130785" w:rsidRPr="00FE50A6">
        <w:rPr>
          <w:rFonts w:eastAsia="Cambria" w:cs="System Font Regular"/>
          <w:lang w:val="en-US"/>
        </w:rPr>
        <w:t xml:space="preserve">) </w:t>
      </w:r>
      <w:r w:rsidR="005D1CFD" w:rsidRPr="00FE50A6">
        <w:rPr>
          <w:rFonts w:eastAsia="Cambria" w:cs="System Font Regular"/>
          <w:lang w:val="en-US"/>
        </w:rPr>
        <w:t>agree that h</w:t>
      </w:r>
      <w:r w:rsidR="00CD3CCC" w:rsidRPr="00FE50A6">
        <w:rPr>
          <w:rFonts w:eastAsia="Cambria" w:cs="System Font Regular"/>
          <w:lang w:val="en-US"/>
        </w:rPr>
        <w:t>u</w:t>
      </w:r>
      <w:r w:rsidR="005D1CFD" w:rsidRPr="00FE50A6">
        <w:rPr>
          <w:rFonts w:eastAsia="Cambria" w:cs="System Font Regular"/>
          <w:lang w:val="en-US"/>
        </w:rPr>
        <w:t xml:space="preserve">man rights treaties are living instruments the interpretation of which must evolve </w:t>
      </w:r>
      <w:r w:rsidR="00CD3CCC" w:rsidRPr="00FE50A6">
        <w:rPr>
          <w:rFonts w:eastAsia="Cambria" w:cs="System Font Regular"/>
          <w:lang w:val="en-US"/>
        </w:rPr>
        <w:t>in keeping with</w:t>
      </w:r>
      <w:r w:rsidR="007C4DDC" w:rsidRPr="00FE50A6">
        <w:rPr>
          <w:rFonts w:eastAsia="Cambria" w:cs="System Font Regular"/>
          <w:lang w:val="en-US"/>
        </w:rPr>
        <w:t xml:space="preserve"> the</w:t>
      </w:r>
      <w:r w:rsidR="00CD3CCC" w:rsidRPr="00FE50A6">
        <w:rPr>
          <w:rFonts w:eastAsia="Cambria" w:cs="System Font Regular"/>
          <w:lang w:val="en-US"/>
        </w:rPr>
        <w:t xml:space="preserve"> time</w:t>
      </w:r>
      <w:r w:rsidR="007860B0" w:rsidRPr="00FE50A6">
        <w:rPr>
          <w:rFonts w:eastAsia="Cambria" w:cs="System Font Regular"/>
          <w:lang w:val="en-US"/>
        </w:rPr>
        <w:t>s</w:t>
      </w:r>
      <w:r w:rsidR="005D1CFD" w:rsidRPr="00FE50A6">
        <w:rPr>
          <w:rFonts w:eastAsia="Cambria" w:cs="System Font Regular"/>
          <w:lang w:val="en-US"/>
        </w:rPr>
        <w:t xml:space="preserve"> </w:t>
      </w:r>
      <w:r w:rsidR="00D04F10" w:rsidRPr="00FE50A6">
        <w:rPr>
          <w:rFonts w:eastAsia="Cambria" w:cs="System Font Regular"/>
          <w:lang w:val="en-US"/>
        </w:rPr>
        <w:t>and the general rules of interpretation established in</w:t>
      </w:r>
      <w:r w:rsidR="00130785" w:rsidRPr="00FE50A6">
        <w:rPr>
          <w:rFonts w:eastAsia="Cambria" w:cs="System Font Regular"/>
          <w:lang w:val="en-US"/>
        </w:rPr>
        <w:t xml:space="preserve"> </w:t>
      </w:r>
      <w:r w:rsidR="000228D0" w:rsidRPr="00FE50A6">
        <w:rPr>
          <w:rFonts w:eastAsia="Cambria" w:cs="System Font Regular"/>
          <w:lang w:val="en-US"/>
        </w:rPr>
        <w:t>Article</w:t>
      </w:r>
      <w:r w:rsidR="00130785" w:rsidRPr="00FE50A6">
        <w:rPr>
          <w:rFonts w:eastAsia="Cambria" w:cs="System Font Regular"/>
          <w:lang w:val="en-US"/>
        </w:rPr>
        <w:t xml:space="preserve"> 29</w:t>
      </w:r>
      <w:r w:rsidR="000228D0" w:rsidRPr="00FE50A6">
        <w:rPr>
          <w:rFonts w:eastAsia="Cambria" w:cs="System Font Regular"/>
          <w:lang w:val="en-US"/>
        </w:rPr>
        <w:t xml:space="preserve"> of the American Convention</w:t>
      </w:r>
      <w:r w:rsidR="00130785" w:rsidRPr="00FE50A6">
        <w:rPr>
          <w:rFonts w:eastAsia="Cambria" w:cs="System Font Regular"/>
          <w:lang w:val="en-US"/>
        </w:rPr>
        <w:t>, as</w:t>
      </w:r>
      <w:r w:rsidR="00D04F10" w:rsidRPr="00FE50A6">
        <w:rPr>
          <w:rFonts w:eastAsia="Cambria" w:cs="System Font Regular"/>
          <w:lang w:val="en-US"/>
        </w:rPr>
        <w:t xml:space="preserve"> well as those established by </w:t>
      </w:r>
      <w:r w:rsidR="000228D0" w:rsidRPr="00FE50A6">
        <w:rPr>
          <w:rFonts w:eastAsia="Cambria" w:cs="System Font Regular"/>
          <w:lang w:val="en-US"/>
        </w:rPr>
        <w:t xml:space="preserve">the </w:t>
      </w:r>
      <w:r w:rsidR="00963689" w:rsidRPr="00FE50A6">
        <w:rPr>
          <w:rFonts w:eastAsia="Cambria" w:cs="System Font Regular"/>
          <w:lang w:val="en-US"/>
        </w:rPr>
        <w:t>Vienna Convention</w:t>
      </w:r>
      <w:r w:rsidR="00D04F10" w:rsidRPr="00FE50A6">
        <w:rPr>
          <w:rFonts w:eastAsia="Cambria" w:cs="System Font Regular"/>
          <w:lang w:val="en-US"/>
        </w:rPr>
        <w:t xml:space="preserve"> on the Law of Treaties. This evolutive interpretation should be applied not only to the interpretation of the rights</w:t>
      </w:r>
      <w:r w:rsidR="00130785" w:rsidRPr="00FE50A6">
        <w:rPr>
          <w:rFonts w:eastAsia="Cambria" w:cs="System Font Regular"/>
          <w:lang w:val="en-US"/>
        </w:rPr>
        <w:t xml:space="preserve"> </w:t>
      </w:r>
      <w:r w:rsidR="007C4DDC" w:rsidRPr="00FE50A6">
        <w:rPr>
          <w:rFonts w:eastAsia="Cambria" w:cs="System Font Regular"/>
          <w:lang w:val="en-US"/>
        </w:rPr>
        <w:t>recognized</w:t>
      </w:r>
      <w:r w:rsidR="00BC6362" w:rsidRPr="00FE50A6">
        <w:rPr>
          <w:rFonts w:eastAsia="Cambria" w:cs="System Font Regular"/>
          <w:lang w:val="en-US"/>
        </w:rPr>
        <w:t xml:space="preserve"> in</w:t>
      </w:r>
      <w:r w:rsidR="00130785" w:rsidRPr="00FE50A6">
        <w:rPr>
          <w:rFonts w:eastAsia="Cambria" w:cs="System Font Regular"/>
          <w:lang w:val="en-US"/>
        </w:rPr>
        <w:t xml:space="preserve"> </w:t>
      </w:r>
      <w:r w:rsidR="00D04F10" w:rsidRPr="00FE50A6">
        <w:rPr>
          <w:rFonts w:eastAsia="Cambria" w:cs="System Font Regular"/>
          <w:lang w:val="en-US"/>
        </w:rPr>
        <w:t>Articles</w:t>
      </w:r>
      <w:r w:rsidR="00130785" w:rsidRPr="00FE50A6">
        <w:rPr>
          <w:rFonts w:eastAsia="Cambria" w:cs="System Font Regular"/>
          <w:lang w:val="en-US"/>
        </w:rPr>
        <w:t xml:space="preserve"> 3 </w:t>
      </w:r>
      <w:r w:rsidR="00D04F10" w:rsidRPr="00FE50A6">
        <w:rPr>
          <w:rFonts w:eastAsia="Cambria" w:cs="System Font Regular"/>
          <w:lang w:val="en-US"/>
        </w:rPr>
        <w:t>to</w:t>
      </w:r>
      <w:r w:rsidR="00130785" w:rsidRPr="00FE50A6">
        <w:rPr>
          <w:rFonts w:eastAsia="Cambria" w:cs="System Font Regular"/>
          <w:lang w:val="en-US"/>
        </w:rPr>
        <w:t xml:space="preserve"> 26</w:t>
      </w:r>
      <w:r w:rsidR="000228D0" w:rsidRPr="00FE50A6">
        <w:rPr>
          <w:rFonts w:eastAsia="Cambria" w:cs="System Font Regular"/>
          <w:lang w:val="en-US"/>
        </w:rPr>
        <w:t xml:space="preserve"> of the American Convention</w:t>
      </w:r>
      <w:r w:rsidR="00130785" w:rsidRPr="00FE50A6">
        <w:rPr>
          <w:rFonts w:eastAsia="Cambria" w:cs="System Font Regular"/>
          <w:lang w:val="en-US"/>
        </w:rPr>
        <w:t xml:space="preserve">, </w:t>
      </w:r>
      <w:r w:rsidR="00D04F10" w:rsidRPr="00FE50A6">
        <w:rPr>
          <w:rFonts w:eastAsia="Cambria" w:cs="System Font Regular"/>
          <w:lang w:val="en-US"/>
        </w:rPr>
        <w:t xml:space="preserve">but should also be take into consideration to constitute special categories of protection in light of </w:t>
      </w:r>
      <w:r w:rsidR="00703850" w:rsidRPr="00FE50A6">
        <w:rPr>
          <w:rFonts w:eastAsia="Cambria" w:cs="System Font Regular"/>
          <w:lang w:val="en-US"/>
        </w:rPr>
        <w:t>Article</w:t>
      </w:r>
      <w:r w:rsidR="000B587F" w:rsidRPr="00FE50A6">
        <w:rPr>
          <w:rFonts w:eastAsia="Cambria" w:cs="System Font Regular"/>
          <w:lang w:val="en-US"/>
        </w:rPr>
        <w:t xml:space="preserve"> 1(1)</w:t>
      </w:r>
      <w:r w:rsidRPr="00FE50A6">
        <w:rPr>
          <w:rFonts w:eastAsia="Cambria" w:cs="System Font Regular"/>
          <w:lang w:val="en-US"/>
        </w:rPr>
        <w:t>.</w:t>
      </w:r>
      <w:r w:rsidR="00130785" w:rsidRPr="00FE50A6">
        <w:rPr>
          <w:rFonts w:eastAsia="Cambria" w:cs="Times New Roman"/>
          <w:szCs w:val="20"/>
          <w:vertAlign w:val="superscript"/>
          <w:lang w:val="en-US"/>
        </w:rPr>
        <w:footnoteReference w:id="540"/>
      </w:r>
      <w:r w:rsidR="00130785" w:rsidRPr="00FE50A6">
        <w:rPr>
          <w:rFonts w:eastAsia="Cambria" w:cs="System Font Regular"/>
          <w:lang w:val="en-US"/>
        </w:rPr>
        <w:t xml:space="preserve"> </w:t>
      </w:r>
    </w:p>
    <w:p w14:paraId="6682B471" w14:textId="77777777" w:rsidR="00130785" w:rsidRPr="00FE50A6" w:rsidRDefault="00130785" w:rsidP="00130785">
      <w:pPr>
        <w:tabs>
          <w:tab w:val="clear" w:pos="4419"/>
          <w:tab w:val="clear" w:pos="8838"/>
        </w:tabs>
        <w:rPr>
          <w:rFonts w:eastAsia="MS Mincho" w:cs="Times New Roman"/>
          <w:szCs w:val="20"/>
          <w:lang w:val="en-US" w:eastAsia="es-ES"/>
        </w:rPr>
      </w:pPr>
    </w:p>
    <w:p w14:paraId="3F514564" w14:textId="77777777" w:rsidR="00130785" w:rsidRPr="00FE50A6" w:rsidRDefault="00CD3CCC" w:rsidP="00CD3C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Times New Roman"/>
          <w:lang w:val="en-US"/>
        </w:rPr>
        <w:t xml:space="preserve">Thus, when interpreting the </w:t>
      </w:r>
      <w:r w:rsidR="00090C6A" w:rsidRPr="00FE50A6">
        <w:rPr>
          <w:rFonts w:eastAsia="Cambria" w:cs="Times New Roman"/>
          <w:lang w:val="en-US"/>
        </w:rPr>
        <w:t>Pact of San</w:t>
      </w:r>
      <w:r w:rsidR="00130785" w:rsidRPr="00FE50A6">
        <w:rPr>
          <w:rFonts w:eastAsia="Cambria" w:cs="Times New Roman"/>
          <w:lang w:val="en-US"/>
        </w:rPr>
        <w:t xml:space="preserve"> José</w:t>
      </w:r>
      <w:r w:rsidR="007C4DDC" w:rsidRPr="00FE50A6">
        <w:rPr>
          <w:rFonts w:eastAsia="Cambria" w:cs="Times New Roman"/>
          <w:lang w:val="en-US"/>
        </w:rPr>
        <w:t>,</w:t>
      </w:r>
      <w:r w:rsidR="00130785" w:rsidRPr="00FE50A6">
        <w:rPr>
          <w:rFonts w:eastAsia="Cambria" w:cs="Times New Roman"/>
          <w:lang w:val="en-US"/>
        </w:rPr>
        <w:t xml:space="preserve"> </w:t>
      </w:r>
      <w:r w:rsidRPr="00FE50A6">
        <w:rPr>
          <w:rFonts w:eastAsia="Cambria" w:cs="Times New Roman"/>
          <w:lang w:val="en-US"/>
        </w:rPr>
        <w:t xml:space="preserve">the most favorable alternative for the protection of the rights protected by this treaty should always be chosen, in accordance with the principle of </w:t>
      </w:r>
      <w:r w:rsidR="007C4DDC" w:rsidRPr="00FE50A6">
        <w:rPr>
          <w:rFonts w:eastAsia="Cambria" w:cs="Times New Roman"/>
          <w:lang w:val="en-US"/>
        </w:rPr>
        <w:t xml:space="preserve">the </w:t>
      </w:r>
      <w:r w:rsidRPr="00FE50A6">
        <w:rPr>
          <w:rFonts w:eastAsia="Cambria" w:cs="Times New Roman"/>
          <w:lang w:val="en-US"/>
        </w:rPr>
        <w:t>norm most favorable to the individual.</w:t>
      </w:r>
      <w:r w:rsidR="00130785" w:rsidRPr="00FE50A6">
        <w:rPr>
          <w:rFonts w:eastAsia="Cambria" w:cs="Times New Roman"/>
          <w:szCs w:val="20"/>
          <w:vertAlign w:val="superscript"/>
          <w:lang w:val="en-US"/>
        </w:rPr>
        <w:footnoteReference w:id="541"/>
      </w:r>
      <w:r w:rsidRPr="00FE50A6">
        <w:rPr>
          <w:rFonts w:eastAsia="Cambria" w:cs="Times New Roman"/>
          <w:lang w:val="en-US"/>
        </w:rPr>
        <w:t xml:space="preserve"> In the course of its interpretive task, the Inter-American Court has </w:t>
      </w:r>
      <w:r w:rsidR="007C4DDC" w:rsidRPr="00FE50A6">
        <w:rPr>
          <w:rFonts w:eastAsia="Cambria" w:cs="Times New Roman"/>
          <w:lang w:val="en-US"/>
        </w:rPr>
        <w:t>indicated</w:t>
      </w:r>
      <w:r w:rsidRPr="00FE50A6">
        <w:rPr>
          <w:rFonts w:eastAsia="Cambria" w:cs="Times New Roman"/>
          <w:lang w:val="en-US"/>
        </w:rPr>
        <w:t xml:space="preserve"> that </w:t>
      </w:r>
      <w:r w:rsidR="000228D0" w:rsidRPr="00FE50A6">
        <w:rPr>
          <w:rFonts w:eastAsia="Cambria" w:cs="Times New Roman"/>
          <w:szCs w:val="20"/>
          <w:lang w:val="en-US"/>
        </w:rPr>
        <w:t>the American Convention</w:t>
      </w:r>
      <w:r w:rsidR="00130785" w:rsidRPr="00FE50A6">
        <w:rPr>
          <w:rFonts w:eastAsia="Cambria" w:cs="Times New Roman"/>
          <w:szCs w:val="20"/>
          <w:lang w:val="en-US"/>
        </w:rPr>
        <w:t xml:space="preserve"> </w:t>
      </w:r>
      <w:r w:rsidRPr="00FE50A6">
        <w:rPr>
          <w:rFonts w:eastAsia="Cambria" w:cs="Times New Roman"/>
          <w:szCs w:val="20"/>
          <w:lang w:val="en-US"/>
        </w:rPr>
        <w:t xml:space="preserve">does not contain an explicit definition of the concept of </w:t>
      </w:r>
      <w:r w:rsidRPr="00FE50A6">
        <w:rPr>
          <w:rFonts w:eastAsia="Cambria" w:cs="Times New Roman"/>
          <w:szCs w:val="20"/>
          <w:lang w:val="en-US"/>
        </w:rPr>
        <w:br/>
        <w:t xml:space="preserve">“discrimination” or of </w:t>
      </w:r>
      <w:r w:rsidR="007C4DDC" w:rsidRPr="00FE50A6">
        <w:rPr>
          <w:rFonts w:eastAsia="Cambria" w:cs="Times New Roman"/>
          <w:szCs w:val="20"/>
          <w:lang w:val="en-US"/>
        </w:rPr>
        <w:t>the</w:t>
      </w:r>
      <w:r w:rsidRPr="00FE50A6">
        <w:rPr>
          <w:rFonts w:eastAsia="Cambria" w:cs="Times New Roman"/>
          <w:szCs w:val="20"/>
          <w:lang w:val="en-US"/>
        </w:rPr>
        <w:t xml:space="preserve"> groups </w:t>
      </w:r>
      <w:r w:rsidR="007C4DDC" w:rsidRPr="00FE50A6">
        <w:rPr>
          <w:rFonts w:eastAsia="Cambria" w:cs="Times New Roman"/>
          <w:szCs w:val="20"/>
          <w:lang w:val="en-US"/>
        </w:rPr>
        <w:t xml:space="preserve">that </w:t>
      </w:r>
      <w:r w:rsidRPr="00FE50A6">
        <w:rPr>
          <w:rFonts w:eastAsia="Cambria" w:cs="Times New Roman"/>
          <w:szCs w:val="20"/>
          <w:lang w:val="en-US"/>
        </w:rPr>
        <w:t xml:space="preserve">are “subjected to discrimination.” Nevertheless, based on diverse references in the corresponding </w:t>
      </w:r>
      <w:r w:rsidR="00130785" w:rsidRPr="00FE50A6">
        <w:rPr>
          <w:rFonts w:eastAsia="Cambria" w:cs="Times New Roman"/>
          <w:i/>
          <w:iCs/>
          <w:szCs w:val="20"/>
          <w:lang w:val="en-US"/>
        </w:rPr>
        <w:t>corpus iuris</w:t>
      </w:r>
      <w:r w:rsidR="00130785" w:rsidRPr="00FE50A6">
        <w:rPr>
          <w:rFonts w:eastAsia="Cambria" w:cs="Times New Roman"/>
          <w:szCs w:val="20"/>
          <w:lang w:val="en-US"/>
        </w:rPr>
        <w:t xml:space="preserve">,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ha</w:t>
      </w:r>
      <w:r w:rsidRPr="00FE50A6">
        <w:rPr>
          <w:rFonts w:eastAsia="Cambria" w:cs="Times New Roman"/>
          <w:szCs w:val="20"/>
          <w:lang w:val="en-US"/>
        </w:rPr>
        <w:t>s indicated that discrimination is related to:</w:t>
      </w:r>
      <w:r w:rsidR="00130785" w:rsidRPr="00FE50A6">
        <w:rPr>
          <w:rFonts w:eastAsia="Cambria" w:cs="Times New Roman"/>
          <w:b/>
          <w:szCs w:val="20"/>
          <w:lang w:val="en-US"/>
        </w:rPr>
        <w:t xml:space="preserve"> </w:t>
      </w:r>
    </w:p>
    <w:p w14:paraId="2BDFEE36" w14:textId="77777777" w:rsidR="00130785" w:rsidRPr="00FE50A6" w:rsidRDefault="00130785" w:rsidP="00130785">
      <w:pPr>
        <w:tabs>
          <w:tab w:val="clear" w:pos="4419"/>
          <w:tab w:val="clear" w:pos="8838"/>
        </w:tabs>
        <w:contextualSpacing/>
        <w:jc w:val="both"/>
        <w:rPr>
          <w:rFonts w:eastAsia="Cambria" w:cs="System Font Regular"/>
          <w:i/>
          <w:szCs w:val="20"/>
          <w:lang w:val="en-US"/>
        </w:rPr>
      </w:pPr>
    </w:p>
    <w:p w14:paraId="48C26223" w14:textId="77777777" w:rsidR="00130785" w:rsidRPr="00FE50A6" w:rsidRDefault="007C4DDC" w:rsidP="007C4DDC">
      <w:pPr>
        <w:ind w:left="720" w:right="558"/>
        <w:jc w:val="both"/>
        <w:rPr>
          <w:rFonts w:eastAsia="Cambria" w:cs="Times New Roman"/>
          <w:sz w:val="16"/>
          <w:szCs w:val="16"/>
          <w:lang w:val="en-US"/>
        </w:rPr>
      </w:pPr>
      <w:r w:rsidRPr="00FE50A6">
        <w:rPr>
          <w:sz w:val="16"/>
          <w:szCs w:val="16"/>
          <w:lang w:val="en-US"/>
        </w:rPr>
        <w:t>“A</w:t>
      </w:r>
      <w:r w:rsidR="00574E3E" w:rsidRPr="00FE50A6">
        <w:rPr>
          <w:sz w:val="16"/>
          <w:szCs w:val="16"/>
          <w:lang w:val="en-US"/>
        </w:rPr>
        <w:t xml:space="preserve">ny distinction, exclusion, restriction or preference </w:t>
      </w:r>
      <w:r w:rsidR="00574E3E" w:rsidRPr="00FE50A6">
        <w:rPr>
          <w:spacing w:val="-3"/>
          <w:sz w:val="16"/>
          <w:szCs w:val="16"/>
          <w:lang w:val="en-US"/>
        </w:rPr>
        <w:t xml:space="preserve">for reasons of race, color, sex, language, religion, political or other opinion, national or social origin, economic status, birth, or any other social condition </w:t>
      </w:r>
      <w:r w:rsidR="00574E3E" w:rsidRPr="00FE50A6">
        <w:rPr>
          <w:sz w:val="16"/>
          <w:szCs w:val="16"/>
          <w:lang w:val="en-US"/>
        </w:rPr>
        <w:t>which has the purpose or effect of nullifying or impairing the recognition, enjoyment or exercise, on an equal footing, of human rights and fundamental freedoms.</w:t>
      </w:r>
      <w:r w:rsidRPr="00FE50A6">
        <w:rPr>
          <w:sz w:val="16"/>
          <w:szCs w:val="16"/>
          <w:lang w:val="en-US"/>
        </w:rPr>
        <w:t>”</w:t>
      </w:r>
      <w:r w:rsidR="00130785" w:rsidRPr="00FE50A6">
        <w:rPr>
          <w:rFonts w:eastAsia="Cambria" w:cs="Times New Roman"/>
          <w:sz w:val="16"/>
          <w:szCs w:val="20"/>
          <w:vertAlign w:val="superscript"/>
          <w:lang w:val="en-US"/>
        </w:rPr>
        <w:footnoteReference w:id="542"/>
      </w:r>
      <w:r w:rsidR="00130785" w:rsidRPr="00FE50A6">
        <w:rPr>
          <w:rFonts w:eastAsia="Cambria" w:cs="Times New Roman"/>
          <w:sz w:val="16"/>
          <w:szCs w:val="16"/>
          <w:lang w:val="en-US"/>
        </w:rPr>
        <w:t xml:space="preserve"> </w:t>
      </w:r>
    </w:p>
    <w:p w14:paraId="643BAE5B" w14:textId="77777777" w:rsidR="00FC2475" w:rsidRPr="00FE50A6" w:rsidRDefault="00D01BEF" w:rsidP="008B0BCC">
      <w:pPr>
        <w:numPr>
          <w:ilvl w:val="0"/>
          <w:numId w:val="26"/>
        </w:numPr>
        <w:tabs>
          <w:tab w:val="clear" w:pos="4419"/>
          <w:tab w:val="clear" w:pos="8838"/>
        </w:tabs>
        <w:spacing w:before="100" w:beforeAutospacing="1" w:after="100" w:afterAutospacing="1"/>
        <w:ind w:right="49"/>
        <w:contextualSpacing/>
        <w:jc w:val="both"/>
        <w:rPr>
          <w:rFonts w:eastAsia="Cambria" w:cs="Times New Roman"/>
          <w:i/>
          <w:szCs w:val="20"/>
          <w:lang w:val="en-US"/>
        </w:rPr>
      </w:pPr>
      <w:r w:rsidRPr="00FE50A6">
        <w:rPr>
          <w:rFonts w:eastAsia="Cambria" w:cs="Times New Roman"/>
          <w:szCs w:val="20"/>
          <w:lang w:val="en-US"/>
        </w:rPr>
        <w:t>In</w:t>
      </w:r>
      <w:r w:rsidR="00FC2475" w:rsidRPr="00FE50A6">
        <w:rPr>
          <w:rFonts w:eastAsia="Cambria" w:cs="Times New Roman"/>
          <w:szCs w:val="20"/>
          <w:lang w:val="en-US"/>
        </w:rPr>
        <w:t xml:space="preserve"> this </w:t>
      </w:r>
      <w:r w:rsidRPr="00FE50A6">
        <w:rPr>
          <w:rFonts w:eastAsia="Cambria" w:cs="Times New Roman"/>
          <w:szCs w:val="20"/>
          <w:lang w:val="en-US"/>
        </w:rPr>
        <w:t xml:space="preserve">regard, </w:t>
      </w:r>
      <w:r w:rsidR="00931A2D" w:rsidRPr="00FE50A6">
        <w:rPr>
          <w:rFonts w:eastAsia="Cambria" w:cs="Times New Roman"/>
          <w:szCs w:val="20"/>
          <w:lang w:val="en-US"/>
        </w:rPr>
        <w:t>international law</w:t>
      </w:r>
      <w:r w:rsidR="00030C17" w:rsidRPr="00FE50A6">
        <w:rPr>
          <w:rFonts w:eastAsia="Cambria" w:cs="Times New Roman"/>
          <w:szCs w:val="20"/>
          <w:lang w:val="en-US"/>
        </w:rPr>
        <w:t xml:space="preserve"> and</w:t>
      </w:r>
      <w:r w:rsidR="00FC2475" w:rsidRPr="00FE50A6">
        <w:rPr>
          <w:rFonts w:eastAsia="Cambria" w:cs="Times New Roman"/>
          <w:szCs w:val="20"/>
          <w:lang w:val="en-US"/>
        </w:rPr>
        <w:t xml:space="preserve"> constitutional law have </w:t>
      </w:r>
      <w:r w:rsidR="00944C27" w:rsidRPr="00FE50A6">
        <w:rPr>
          <w:rFonts w:eastAsia="Cambria" w:cs="Times New Roman"/>
          <w:szCs w:val="20"/>
          <w:lang w:val="en-US"/>
        </w:rPr>
        <w:t xml:space="preserve">generally </w:t>
      </w:r>
      <w:r w:rsidR="00FC2475" w:rsidRPr="00FE50A6">
        <w:rPr>
          <w:rFonts w:eastAsia="Cambria" w:cs="Times New Roman"/>
          <w:szCs w:val="20"/>
          <w:lang w:val="en-US"/>
        </w:rPr>
        <w:t xml:space="preserve">identified a specific </w:t>
      </w:r>
      <w:r w:rsidRPr="00FE50A6">
        <w:rPr>
          <w:rFonts w:eastAsia="Cambria" w:cs="Times New Roman"/>
          <w:szCs w:val="20"/>
          <w:lang w:val="en-US"/>
        </w:rPr>
        <w:t>list</w:t>
      </w:r>
      <w:r w:rsidR="00FC2475" w:rsidRPr="00FE50A6">
        <w:rPr>
          <w:rFonts w:eastAsia="Cambria" w:cs="Times New Roman"/>
          <w:szCs w:val="20"/>
          <w:lang w:val="en-US"/>
        </w:rPr>
        <w:t xml:space="preserve"> of group</w:t>
      </w:r>
      <w:r w:rsidRPr="00FE50A6">
        <w:rPr>
          <w:rFonts w:eastAsia="Cambria" w:cs="Times New Roman"/>
          <w:szCs w:val="20"/>
          <w:lang w:val="en-US"/>
        </w:rPr>
        <w:t>s</w:t>
      </w:r>
      <w:r w:rsidR="00FC2475" w:rsidRPr="00FE50A6">
        <w:rPr>
          <w:rFonts w:eastAsia="Cambria" w:cs="Times New Roman"/>
          <w:szCs w:val="20"/>
          <w:lang w:val="en-US"/>
        </w:rPr>
        <w:t xml:space="preserve"> towards whom</w:t>
      </w:r>
      <w:r w:rsidR="00030C17" w:rsidRPr="00FE50A6">
        <w:rPr>
          <w:rFonts w:eastAsia="Cambria" w:cs="Times New Roman"/>
          <w:szCs w:val="20"/>
          <w:lang w:val="en-US"/>
        </w:rPr>
        <w:t xml:space="preserve">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00FC2475" w:rsidRPr="00FE50A6">
        <w:rPr>
          <w:rFonts w:eastAsia="Cambria" w:cs="Times New Roman"/>
          <w:szCs w:val="20"/>
          <w:lang w:val="en-US"/>
        </w:rPr>
        <w:t xml:space="preserve">based on the said reasons, would have to be justified objectively and reasonably </w:t>
      </w:r>
      <w:r w:rsidRPr="00FE50A6">
        <w:rPr>
          <w:rFonts w:eastAsia="Cambria" w:cs="Times New Roman"/>
          <w:szCs w:val="20"/>
          <w:lang w:val="en-US"/>
        </w:rPr>
        <w:t xml:space="preserve">in order </w:t>
      </w:r>
      <w:r w:rsidR="00FC2475" w:rsidRPr="00FE50A6">
        <w:rPr>
          <w:rFonts w:eastAsia="Cambria" w:cs="Times New Roman"/>
          <w:szCs w:val="20"/>
          <w:lang w:val="en-US"/>
        </w:rPr>
        <w:t>to consider that the right to equality had not been violated with regard to the enjoyment and guarantee of the human rights recognized in international treaties or the Constitutions. However, this list is not absolute or literal; therefore, in many cases – such as the one that concerns us – it will be necessary to delimit the content of these categories so that they can be applied in the specific case.</w:t>
      </w:r>
    </w:p>
    <w:p w14:paraId="609CCA80" w14:textId="77777777" w:rsidR="00130785" w:rsidRPr="00FE50A6" w:rsidRDefault="00130785" w:rsidP="00B44229">
      <w:pPr>
        <w:tabs>
          <w:tab w:val="clear" w:pos="4419"/>
          <w:tab w:val="clear" w:pos="8838"/>
        </w:tabs>
        <w:spacing w:before="100" w:beforeAutospacing="1" w:after="100" w:afterAutospacing="1"/>
        <w:ind w:right="49"/>
        <w:contextualSpacing/>
        <w:jc w:val="both"/>
        <w:rPr>
          <w:rFonts w:eastAsia="Cambria" w:cs="Times New Roman"/>
          <w:i/>
          <w:szCs w:val="20"/>
          <w:lang w:val="en-US"/>
        </w:rPr>
      </w:pPr>
    </w:p>
    <w:p w14:paraId="7A116A7C" w14:textId="77777777" w:rsidR="00FC2475" w:rsidRPr="00FE50A6" w:rsidRDefault="00FC2475" w:rsidP="00A843FC">
      <w:pPr>
        <w:numPr>
          <w:ilvl w:val="0"/>
          <w:numId w:val="26"/>
        </w:numPr>
        <w:tabs>
          <w:tab w:val="clear" w:pos="4419"/>
          <w:tab w:val="clear" w:pos="8838"/>
        </w:tabs>
        <w:spacing w:before="100" w:beforeAutospacing="1" w:after="100" w:afterAutospacing="1"/>
        <w:ind w:right="49"/>
        <w:contextualSpacing/>
        <w:jc w:val="both"/>
        <w:rPr>
          <w:rFonts w:eastAsia="Cambria" w:cs="Times New Roman"/>
          <w:i/>
          <w:szCs w:val="20"/>
          <w:lang w:val="en-US"/>
        </w:rPr>
      </w:pPr>
      <w:r w:rsidRPr="00FE50A6">
        <w:rPr>
          <w:rFonts w:eastAsia="Cambria" w:cs="Times New Roman"/>
          <w:szCs w:val="20"/>
          <w:lang w:val="en-US"/>
        </w:rPr>
        <w:t>Thus, for example, “poverty” has not been expressly recognized as a category for special protection. Nevertheless, this does not mean that poverty cannot be assessed as part of one of the categories that are explicitly recognized</w:t>
      </w:r>
      <w:r w:rsidR="00D01BEF" w:rsidRPr="00FE50A6">
        <w:rPr>
          <w:rFonts w:eastAsia="Cambria" w:cs="Times New Roman"/>
          <w:szCs w:val="20"/>
          <w:lang w:val="en-US"/>
        </w:rPr>
        <w:t>,</w:t>
      </w:r>
      <w:r w:rsidRPr="00FE50A6">
        <w:rPr>
          <w:rFonts w:eastAsia="Cambria" w:cs="Times New Roman"/>
          <w:szCs w:val="20"/>
          <w:lang w:val="en-US"/>
        </w:rPr>
        <w:t xml:space="preserve"> or incorporated into “</w:t>
      </w:r>
      <w:r w:rsidR="00D01BEF" w:rsidRPr="00FE50A6">
        <w:rPr>
          <w:rFonts w:eastAsia="Cambria" w:cs="Times New Roman"/>
          <w:szCs w:val="20"/>
          <w:lang w:val="en-US"/>
        </w:rPr>
        <w:t xml:space="preserve">any </w:t>
      </w:r>
      <w:r w:rsidRPr="00FE50A6">
        <w:rPr>
          <w:rFonts w:eastAsia="Cambria" w:cs="Times New Roman"/>
          <w:szCs w:val="20"/>
          <w:lang w:val="en-US"/>
        </w:rPr>
        <w:t xml:space="preserve">other social condition.” In this situation, the different systems for the protection of human rights (regional and universal), have their particularities as regards recognizing poverty as part of the category of </w:t>
      </w:r>
      <w:r w:rsidR="00D01BEF" w:rsidRPr="00FE50A6">
        <w:rPr>
          <w:rFonts w:eastAsia="Cambria" w:cs="Times New Roman"/>
          <w:szCs w:val="20"/>
          <w:lang w:val="en-US"/>
        </w:rPr>
        <w:t>“economic status”</w:t>
      </w:r>
      <w:r w:rsidR="00A843FC" w:rsidRPr="00FE50A6">
        <w:rPr>
          <w:rFonts w:eastAsia="Cambria" w:cs="Times New Roman"/>
          <w:szCs w:val="20"/>
          <w:lang w:val="en-US"/>
        </w:rPr>
        <w:t xml:space="preserve"> based on which discrimination is prohibited.</w:t>
      </w:r>
      <w:r w:rsidR="009D23B3" w:rsidRPr="00FE50A6">
        <w:rPr>
          <w:rFonts w:eastAsia="Cambria" w:cs="Times New Roman"/>
          <w:szCs w:val="20"/>
          <w:lang w:val="en-US"/>
        </w:rPr>
        <w:t xml:space="preserve"> </w:t>
      </w:r>
      <w:r w:rsidR="00A843FC" w:rsidRPr="00FE50A6">
        <w:rPr>
          <w:rFonts w:eastAsia="Cambria" w:cs="Times New Roman"/>
          <w:szCs w:val="20"/>
          <w:lang w:val="en-US"/>
        </w:rPr>
        <w:t>T</w:t>
      </w:r>
      <w:r w:rsidR="009D23B3" w:rsidRPr="00FE50A6">
        <w:rPr>
          <w:rFonts w:eastAsia="Cambria" w:cs="Times New Roman"/>
          <w:szCs w:val="20"/>
          <w:lang w:val="en-US"/>
        </w:rPr>
        <w:t xml:space="preserve">his has not been an obstacle for </w:t>
      </w:r>
      <w:r w:rsidR="00A843FC" w:rsidRPr="00FE50A6">
        <w:rPr>
          <w:rFonts w:eastAsia="Cambria" w:cs="Times New Roman"/>
          <w:szCs w:val="20"/>
          <w:lang w:val="en-US"/>
        </w:rPr>
        <w:t>the permeation</w:t>
      </w:r>
      <w:r w:rsidR="009D23B3" w:rsidRPr="00FE50A6">
        <w:rPr>
          <w:rFonts w:eastAsia="Cambria" w:cs="Times New Roman"/>
          <w:szCs w:val="20"/>
          <w:lang w:val="en-US"/>
        </w:rPr>
        <w:t xml:space="preserve"> of obligations with regard to the eradication of poverty, although not as part of a category meriting special protection, but as an aggravating factor </w:t>
      </w:r>
      <w:r w:rsidR="00A843FC" w:rsidRPr="00FE50A6">
        <w:rPr>
          <w:rFonts w:eastAsia="Cambria" w:cs="Times New Roman"/>
          <w:szCs w:val="20"/>
          <w:lang w:val="en-US"/>
        </w:rPr>
        <w:t>relating to</w:t>
      </w:r>
      <w:r w:rsidR="009D23B3" w:rsidRPr="00FE50A6">
        <w:rPr>
          <w:rFonts w:eastAsia="Cambria" w:cs="Times New Roman"/>
          <w:szCs w:val="20"/>
          <w:lang w:val="en-US"/>
        </w:rPr>
        <w:t xml:space="preserve"> social </w:t>
      </w:r>
      <w:r w:rsidR="007860B0" w:rsidRPr="00FE50A6">
        <w:rPr>
          <w:rFonts w:eastAsia="Cambria" w:cs="Times New Roman"/>
          <w:szCs w:val="20"/>
          <w:lang w:val="en-US"/>
        </w:rPr>
        <w:t xml:space="preserve">living </w:t>
      </w:r>
      <w:r w:rsidR="009D23B3" w:rsidRPr="00FE50A6">
        <w:rPr>
          <w:rFonts w:eastAsia="Cambria" w:cs="Times New Roman"/>
          <w:szCs w:val="20"/>
          <w:lang w:val="en-US"/>
        </w:rPr>
        <w:t>conditions, that can vary from case to case.</w:t>
      </w:r>
    </w:p>
    <w:p w14:paraId="092F1D06" w14:textId="77777777" w:rsidR="00130785" w:rsidRPr="00FE50A6" w:rsidRDefault="00130785" w:rsidP="00130785">
      <w:pPr>
        <w:tabs>
          <w:tab w:val="clear" w:pos="4419"/>
          <w:tab w:val="clear" w:pos="8838"/>
        </w:tabs>
        <w:contextualSpacing/>
        <w:jc w:val="both"/>
        <w:rPr>
          <w:rFonts w:eastAsia="Cambria" w:cs="Times New Roman"/>
          <w:i/>
          <w:szCs w:val="20"/>
          <w:lang w:val="en-US"/>
        </w:rPr>
      </w:pPr>
    </w:p>
    <w:p w14:paraId="6F7919F6" w14:textId="77777777" w:rsidR="00130785" w:rsidRPr="00FE50A6" w:rsidRDefault="00130785" w:rsidP="00130785">
      <w:pPr>
        <w:tabs>
          <w:tab w:val="clear" w:pos="4419"/>
          <w:tab w:val="clear" w:pos="8838"/>
        </w:tabs>
        <w:contextualSpacing/>
        <w:jc w:val="both"/>
        <w:rPr>
          <w:rFonts w:eastAsia="Cambria" w:cs="Times New Roman"/>
          <w:i/>
          <w:szCs w:val="20"/>
          <w:lang w:val="en-US"/>
        </w:rPr>
      </w:pPr>
      <w:r w:rsidRPr="00FE50A6">
        <w:rPr>
          <w:rFonts w:eastAsia="Cambria" w:cs="Times New Roman"/>
          <w:i/>
          <w:szCs w:val="20"/>
          <w:lang w:val="en-US"/>
        </w:rPr>
        <w:t xml:space="preserve">i) </w:t>
      </w:r>
      <w:r w:rsidR="00B44229" w:rsidRPr="00FE50A6">
        <w:rPr>
          <w:rFonts w:eastAsia="Cambria" w:cs="Times New Roman"/>
          <w:i/>
          <w:szCs w:val="20"/>
          <w:lang w:val="en-US"/>
        </w:rPr>
        <w:t>European human rights system</w:t>
      </w:r>
    </w:p>
    <w:p w14:paraId="13E5E7B5" w14:textId="77777777" w:rsidR="00130785" w:rsidRPr="00FE50A6" w:rsidRDefault="00130785" w:rsidP="00130785">
      <w:pPr>
        <w:tabs>
          <w:tab w:val="clear" w:pos="4419"/>
          <w:tab w:val="clear" w:pos="8838"/>
        </w:tabs>
        <w:rPr>
          <w:rFonts w:eastAsia="MS Mincho" w:cs="System Font Regular"/>
          <w:b/>
          <w:i/>
          <w:sz w:val="24"/>
          <w:szCs w:val="20"/>
          <w:lang w:val="en-US" w:eastAsia="es-ES"/>
        </w:rPr>
      </w:pPr>
    </w:p>
    <w:p w14:paraId="75F6CF9C" w14:textId="77777777" w:rsidR="00130785" w:rsidRPr="00FE50A6" w:rsidRDefault="009D23B3" w:rsidP="008B0BC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 the</w:t>
      </w:r>
      <w:r w:rsidR="00130785" w:rsidRPr="00FE50A6">
        <w:rPr>
          <w:rFonts w:eastAsia="Cambria" w:cs="Times New Roman"/>
          <w:szCs w:val="20"/>
          <w:lang w:val="en-US"/>
        </w:rPr>
        <w:t xml:space="preserve"> </w:t>
      </w:r>
      <w:r w:rsidR="00B44229" w:rsidRPr="00FE50A6">
        <w:rPr>
          <w:rFonts w:eastAsia="Cambria" w:cs="Times New Roman"/>
          <w:szCs w:val="20"/>
          <w:lang w:val="en-US"/>
        </w:rPr>
        <w:t>European human rights system</w:t>
      </w:r>
      <w:r w:rsidR="00130785" w:rsidRPr="00FE50A6">
        <w:rPr>
          <w:rFonts w:eastAsia="Cambria" w:cs="Times New Roman"/>
          <w:szCs w:val="20"/>
          <w:lang w:val="en-US"/>
        </w:rPr>
        <w:t xml:space="preserve">, </w:t>
      </w:r>
      <w:r w:rsidR="000228D0" w:rsidRPr="00FE50A6">
        <w:rPr>
          <w:rFonts w:eastAsia="Cambria" w:cs="Times New Roman"/>
          <w:szCs w:val="20"/>
          <w:lang w:val="en-US"/>
        </w:rPr>
        <w:t>Article</w:t>
      </w:r>
      <w:r w:rsidR="00130785" w:rsidRPr="00FE50A6">
        <w:rPr>
          <w:rFonts w:eastAsia="Cambria" w:cs="Times New Roman"/>
          <w:szCs w:val="20"/>
          <w:lang w:val="en-US"/>
        </w:rPr>
        <w:t xml:space="preserve"> 14 </w:t>
      </w:r>
      <w:r w:rsidRPr="00FE50A6">
        <w:rPr>
          <w:rFonts w:eastAsia="Cambria" w:cs="Times New Roman"/>
          <w:szCs w:val="20"/>
          <w:lang w:val="en-US"/>
        </w:rPr>
        <w:t>of the</w:t>
      </w:r>
      <w:r w:rsidR="00130785" w:rsidRPr="00FE50A6">
        <w:rPr>
          <w:rFonts w:eastAsia="Cambria" w:cs="Times New Roman"/>
          <w:szCs w:val="20"/>
          <w:lang w:val="en-US"/>
        </w:rPr>
        <w:t xml:space="preserve"> </w:t>
      </w:r>
      <w:r w:rsidR="008232F3" w:rsidRPr="00FE50A6">
        <w:rPr>
          <w:rFonts w:eastAsia="Cambria" w:cs="Times New Roman"/>
          <w:szCs w:val="20"/>
          <w:lang w:val="en-US"/>
        </w:rPr>
        <w:t>European Convention on Human Rights</w:t>
      </w:r>
      <w:r w:rsidR="00130785" w:rsidRPr="00FE50A6">
        <w:rPr>
          <w:rFonts w:eastAsia="Cambria" w:cs="Times New Roman"/>
          <w:szCs w:val="20"/>
          <w:lang w:val="en-US"/>
        </w:rPr>
        <w:t xml:space="preserve"> (</w:t>
      </w:r>
      <w:r w:rsidR="000228D0" w:rsidRPr="00FE50A6">
        <w:rPr>
          <w:rFonts w:eastAsia="Cambria" w:cs="Times New Roman"/>
          <w:szCs w:val="20"/>
          <w:lang w:val="en-US"/>
        </w:rPr>
        <w:t>hereinafter</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Pr="00FE50A6">
        <w:rPr>
          <w:rFonts w:eastAsia="Cambria" w:cs="Times New Roman"/>
          <w:szCs w:val="20"/>
          <w:lang w:val="en-US"/>
        </w:rPr>
        <w:t>the European Convention</w:t>
      </w:r>
      <w:r w:rsidR="009C48A4" w:rsidRPr="00FE50A6">
        <w:rPr>
          <w:rFonts w:eastAsia="Cambria" w:cs="Times New Roman"/>
          <w:szCs w:val="20"/>
          <w:lang w:val="en-US"/>
        </w:rPr>
        <w:t>”</w:t>
      </w:r>
      <w:r w:rsidR="00130785" w:rsidRPr="00FE50A6">
        <w:rPr>
          <w:rFonts w:eastAsia="Cambria" w:cs="Times New Roman"/>
          <w:szCs w:val="20"/>
          <w:lang w:val="en-US"/>
        </w:rPr>
        <w:t>)</w:t>
      </w:r>
      <w:r w:rsidR="00030C17" w:rsidRPr="00FE50A6">
        <w:rPr>
          <w:rFonts w:eastAsia="Cambria" w:cs="Times New Roman"/>
          <w:szCs w:val="20"/>
          <w:lang w:val="en-US"/>
        </w:rPr>
        <w:t xml:space="preserve"> and</w:t>
      </w:r>
      <w:r w:rsidR="00130785" w:rsidRPr="00FE50A6">
        <w:rPr>
          <w:rFonts w:eastAsia="Cambria" w:cs="Times New Roman"/>
          <w:szCs w:val="20"/>
          <w:lang w:val="en-US"/>
        </w:rPr>
        <w:t xml:space="preserve"> </w:t>
      </w:r>
      <w:r w:rsidR="000228D0" w:rsidRPr="00FE50A6">
        <w:rPr>
          <w:rFonts w:eastAsia="Cambria" w:cs="Times New Roman"/>
          <w:szCs w:val="20"/>
          <w:lang w:val="en-US"/>
        </w:rPr>
        <w:t>Article</w:t>
      </w:r>
      <w:r w:rsidR="00130785" w:rsidRPr="00FE50A6">
        <w:rPr>
          <w:rFonts w:eastAsia="Cambria" w:cs="Times New Roman"/>
          <w:szCs w:val="20"/>
          <w:lang w:val="en-US"/>
        </w:rPr>
        <w:t xml:space="preserve"> 1</w:t>
      </w:r>
      <w:r w:rsidRPr="00FE50A6">
        <w:rPr>
          <w:rFonts w:eastAsia="Cambria" w:cs="Times New Roman"/>
          <w:szCs w:val="20"/>
          <w:lang w:val="en-US"/>
        </w:rPr>
        <w:t xml:space="preserve"> of Protocol 12 to that Convention establish the equal protection provisions (subordinate and autonomous, respectively).  They establish:</w:t>
      </w:r>
    </w:p>
    <w:p w14:paraId="1887911B" w14:textId="77777777" w:rsidR="00B44229" w:rsidRPr="00FE50A6" w:rsidRDefault="00B44229" w:rsidP="00B44229">
      <w:pPr>
        <w:tabs>
          <w:tab w:val="clear" w:pos="4419"/>
          <w:tab w:val="clear" w:pos="8838"/>
        </w:tabs>
        <w:contextualSpacing/>
        <w:jc w:val="both"/>
        <w:rPr>
          <w:rFonts w:eastAsia="Cambria" w:cs="Times New Roman"/>
          <w:szCs w:val="20"/>
          <w:lang w:val="en-US"/>
        </w:rPr>
      </w:pPr>
    </w:p>
    <w:p w14:paraId="23D66EFC" w14:textId="77777777" w:rsidR="00391B10" w:rsidRPr="00FE50A6" w:rsidRDefault="00A843FC" w:rsidP="00A843FC">
      <w:pPr>
        <w:tabs>
          <w:tab w:val="clear" w:pos="8838"/>
        </w:tabs>
        <w:ind w:left="360" w:right="558"/>
        <w:jc w:val="both"/>
        <w:rPr>
          <w:rFonts w:eastAsia="MS Mincho" w:cs="Times New Roman"/>
          <w:sz w:val="16"/>
          <w:szCs w:val="16"/>
          <w:lang w:val="en-US" w:eastAsia="es-ES"/>
        </w:rPr>
      </w:pPr>
      <w:r w:rsidRPr="00FE50A6">
        <w:rPr>
          <w:rFonts w:eastAsia="MS Mincho" w:cs="Times New Roman"/>
          <w:bCs/>
          <w:sz w:val="16"/>
          <w:szCs w:val="16"/>
          <w:lang w:val="en-US" w:eastAsia="es-ES"/>
        </w:rPr>
        <w:t>“</w:t>
      </w:r>
      <w:r w:rsidR="009D23B3" w:rsidRPr="00FE50A6">
        <w:rPr>
          <w:rFonts w:eastAsia="MS Mincho" w:cs="Times New Roman"/>
          <w:bCs/>
          <w:sz w:val="16"/>
          <w:szCs w:val="16"/>
          <w:lang w:val="en-US" w:eastAsia="es-ES"/>
        </w:rPr>
        <w:t>ARTICLE</w:t>
      </w:r>
      <w:r w:rsidR="00130785" w:rsidRPr="00FE50A6">
        <w:rPr>
          <w:rFonts w:eastAsia="MS Mincho" w:cs="Times New Roman"/>
          <w:bCs/>
          <w:sz w:val="16"/>
          <w:szCs w:val="16"/>
          <w:lang w:val="en-US" w:eastAsia="es-ES"/>
        </w:rPr>
        <w:t xml:space="preserve"> 14. </w:t>
      </w:r>
      <w:r w:rsidR="00391B10" w:rsidRPr="00FE50A6">
        <w:rPr>
          <w:rFonts w:cs="Arial"/>
          <w:sz w:val="16"/>
          <w:szCs w:val="16"/>
          <w:lang w:val="en-US"/>
        </w:rPr>
        <w:t>Prohibition of discrimination: 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r w:rsidRPr="00FE50A6">
        <w:rPr>
          <w:rFonts w:cs="Arial"/>
          <w:sz w:val="16"/>
          <w:szCs w:val="16"/>
          <w:lang w:val="en-US"/>
        </w:rPr>
        <w:t>”</w:t>
      </w:r>
      <w:r w:rsidR="00130785" w:rsidRPr="00FE50A6">
        <w:rPr>
          <w:rFonts w:eastAsia="MS Mincho" w:cs="Times New Roman"/>
          <w:sz w:val="16"/>
          <w:szCs w:val="20"/>
          <w:vertAlign w:val="superscript"/>
          <w:lang w:val="en-US" w:eastAsia="es-ES"/>
        </w:rPr>
        <w:footnoteReference w:id="543"/>
      </w:r>
    </w:p>
    <w:p w14:paraId="746C7988" w14:textId="77777777" w:rsidR="00130785" w:rsidRPr="00FE50A6" w:rsidRDefault="00130785" w:rsidP="00A843FC">
      <w:pPr>
        <w:ind w:left="720" w:right="558"/>
        <w:jc w:val="both"/>
        <w:rPr>
          <w:sz w:val="16"/>
          <w:szCs w:val="16"/>
          <w:lang w:val="en-US"/>
        </w:rPr>
      </w:pPr>
      <w:r w:rsidRPr="00FE50A6">
        <w:rPr>
          <w:rFonts w:eastAsia="MS Mincho" w:cs="Times New Roman"/>
          <w:sz w:val="16"/>
          <w:szCs w:val="16"/>
          <w:lang w:val="en-US" w:eastAsia="es-ES"/>
        </w:rPr>
        <w:t xml:space="preserve"> </w:t>
      </w:r>
    </w:p>
    <w:p w14:paraId="007F5B42" w14:textId="77777777" w:rsidR="00391B10" w:rsidRPr="00FE50A6" w:rsidRDefault="00A843FC" w:rsidP="00A843FC">
      <w:pPr>
        <w:tabs>
          <w:tab w:val="left" w:pos="8460"/>
        </w:tabs>
        <w:ind w:left="360" w:right="558"/>
        <w:jc w:val="both"/>
        <w:rPr>
          <w:rFonts w:eastAsia="MS Mincho" w:cs="Times New Roman"/>
          <w:sz w:val="16"/>
          <w:szCs w:val="16"/>
          <w:lang w:val="en-US" w:eastAsia="es-ES"/>
        </w:rPr>
      </w:pPr>
      <w:r w:rsidRPr="00FE50A6">
        <w:rPr>
          <w:rFonts w:eastAsia="MS Mincho" w:cs="Times New Roman"/>
          <w:bCs/>
          <w:sz w:val="16"/>
          <w:szCs w:val="16"/>
          <w:lang w:val="en-US" w:eastAsia="es-ES"/>
        </w:rPr>
        <w:t>“</w:t>
      </w:r>
      <w:r w:rsidR="009D23B3" w:rsidRPr="00FE50A6">
        <w:rPr>
          <w:rFonts w:eastAsia="MS Mincho" w:cs="Times New Roman"/>
          <w:bCs/>
          <w:sz w:val="16"/>
          <w:szCs w:val="16"/>
          <w:lang w:val="en-US" w:eastAsia="es-ES"/>
        </w:rPr>
        <w:t>ARTICLE</w:t>
      </w:r>
      <w:r w:rsidR="00130785" w:rsidRPr="00FE50A6">
        <w:rPr>
          <w:rFonts w:eastAsia="MS Mincho" w:cs="Times New Roman"/>
          <w:bCs/>
          <w:sz w:val="16"/>
          <w:szCs w:val="16"/>
          <w:lang w:val="en-US" w:eastAsia="es-ES"/>
        </w:rPr>
        <w:t xml:space="preserve"> 1 </w:t>
      </w:r>
      <w:r w:rsidR="00BB0FDE" w:rsidRPr="00FE50A6">
        <w:rPr>
          <w:rFonts w:eastAsia="MS Mincho" w:cs="Times New Roman"/>
          <w:bCs/>
          <w:sz w:val="16"/>
          <w:szCs w:val="16"/>
          <w:lang w:val="en-US" w:eastAsia="es-ES"/>
        </w:rPr>
        <w:t>of the</w:t>
      </w:r>
      <w:r w:rsidR="00130785" w:rsidRPr="00FE50A6">
        <w:rPr>
          <w:rFonts w:eastAsia="MS Mincho" w:cs="Times New Roman"/>
          <w:bCs/>
          <w:sz w:val="16"/>
          <w:szCs w:val="16"/>
          <w:lang w:val="en-US" w:eastAsia="es-ES"/>
        </w:rPr>
        <w:t xml:space="preserve"> Protocol 12. </w:t>
      </w:r>
      <w:r w:rsidR="00391B10" w:rsidRPr="00FE50A6">
        <w:rPr>
          <w:sz w:val="16"/>
          <w:szCs w:val="16"/>
          <w:lang w:val="en-US"/>
        </w:rPr>
        <w:t>General prohibition of discrimination: 1. The enjoyment of any right set forth by law shall be secured without discrimination on any ground such as sex, race, colour, language, religion, political or other opinion, national or social origin, association with a national minority, property, birth or other status.</w:t>
      </w:r>
      <w:r w:rsidRPr="00FE50A6">
        <w:rPr>
          <w:sz w:val="16"/>
          <w:szCs w:val="16"/>
          <w:lang w:val="en-US"/>
        </w:rPr>
        <w:t>”</w:t>
      </w:r>
      <w:r w:rsidR="00130785" w:rsidRPr="00FE50A6">
        <w:rPr>
          <w:rFonts w:eastAsia="MS Mincho" w:cs="Times New Roman"/>
          <w:sz w:val="16"/>
          <w:szCs w:val="20"/>
          <w:vertAlign w:val="superscript"/>
          <w:lang w:val="en-US" w:eastAsia="es-ES"/>
        </w:rPr>
        <w:footnoteReference w:id="544"/>
      </w:r>
    </w:p>
    <w:p w14:paraId="30DCA867" w14:textId="77777777" w:rsidR="00130785" w:rsidRPr="00FE50A6" w:rsidRDefault="00130785" w:rsidP="00391B10">
      <w:pPr>
        <w:ind w:left="450" w:right="360"/>
        <w:jc w:val="both"/>
        <w:rPr>
          <w:i/>
          <w:sz w:val="16"/>
          <w:szCs w:val="16"/>
          <w:lang w:val="en-US"/>
        </w:rPr>
      </w:pPr>
      <w:r w:rsidRPr="00FE50A6">
        <w:rPr>
          <w:rFonts w:eastAsia="MS Mincho" w:cs="Times New Roman"/>
          <w:i/>
          <w:sz w:val="16"/>
          <w:szCs w:val="16"/>
          <w:lang w:val="en-US" w:eastAsia="es-ES"/>
        </w:rPr>
        <w:t xml:space="preserve"> </w:t>
      </w:r>
    </w:p>
    <w:p w14:paraId="1C353E74" w14:textId="77777777" w:rsidR="00130785" w:rsidRPr="00FE50A6" w:rsidRDefault="00391B10" w:rsidP="008B0BCC">
      <w:pPr>
        <w:numPr>
          <w:ilvl w:val="0"/>
          <w:numId w:val="26"/>
        </w:numPr>
        <w:tabs>
          <w:tab w:val="clear" w:pos="4419"/>
          <w:tab w:val="clear" w:pos="8838"/>
        </w:tabs>
        <w:contextualSpacing/>
        <w:jc w:val="both"/>
        <w:rPr>
          <w:rFonts w:eastAsia="Cambria" w:cs="Arial"/>
          <w:szCs w:val="20"/>
          <w:lang w:val="en-US"/>
        </w:rPr>
      </w:pPr>
      <w:r w:rsidRPr="00FE50A6">
        <w:rPr>
          <w:rFonts w:eastAsia="Cambria" w:cs="Arial"/>
          <w:szCs w:val="20"/>
          <w:lang w:val="en-US"/>
        </w:rPr>
        <w:t xml:space="preserve">Regarding the scope of </w:t>
      </w:r>
      <w:r w:rsidR="00703850" w:rsidRPr="00FE50A6">
        <w:rPr>
          <w:rFonts w:eastAsia="Cambria" w:cs="Arial"/>
          <w:szCs w:val="20"/>
          <w:lang w:val="en-US"/>
        </w:rPr>
        <w:t>Article</w:t>
      </w:r>
      <w:r w:rsidR="00130785" w:rsidRPr="00FE50A6">
        <w:rPr>
          <w:rFonts w:eastAsia="Cambria" w:cs="Arial"/>
          <w:szCs w:val="20"/>
          <w:lang w:val="en-US"/>
        </w:rPr>
        <w:t xml:space="preserve"> 14</w:t>
      </w:r>
      <w:r w:rsidRPr="00FE50A6">
        <w:rPr>
          <w:rFonts w:eastAsia="Cambria" w:cs="Arial"/>
          <w:szCs w:val="20"/>
          <w:lang w:val="en-US"/>
        </w:rPr>
        <w:t xml:space="preserve"> of the </w:t>
      </w:r>
      <w:r w:rsidR="009D23B3" w:rsidRPr="00FE50A6">
        <w:rPr>
          <w:rFonts w:eastAsia="Cambria" w:cs="Arial"/>
          <w:szCs w:val="20"/>
          <w:lang w:val="en-US"/>
        </w:rPr>
        <w:t>European Convention</w:t>
      </w:r>
      <w:r w:rsidR="00130785" w:rsidRPr="00FE50A6">
        <w:rPr>
          <w:rFonts w:eastAsia="Cambria" w:cs="Arial"/>
          <w:szCs w:val="20"/>
          <w:lang w:val="en-US"/>
        </w:rPr>
        <w:t xml:space="preserve"> (</w:t>
      </w:r>
      <w:r w:rsidRPr="00FE50A6">
        <w:rPr>
          <w:rFonts w:eastAsia="Cambria" w:cs="Arial"/>
          <w:szCs w:val="20"/>
          <w:lang w:val="en-US"/>
        </w:rPr>
        <w:t>Prohibition</w:t>
      </w:r>
      <w:r w:rsidR="00130785" w:rsidRPr="00FE50A6">
        <w:rPr>
          <w:rFonts w:eastAsia="Cambria" w:cs="Arial"/>
          <w:szCs w:val="20"/>
          <w:lang w:val="en-US"/>
        </w:rPr>
        <w:t xml:space="preserve"> </w:t>
      </w:r>
      <w:r w:rsidRPr="00FE50A6">
        <w:rPr>
          <w:rFonts w:eastAsia="Cambria" w:cs="Arial"/>
          <w:szCs w:val="20"/>
          <w:lang w:val="en-US"/>
        </w:rPr>
        <w:t>of</w:t>
      </w:r>
      <w:r w:rsidR="00130785" w:rsidRPr="00FE50A6">
        <w:rPr>
          <w:rFonts w:eastAsia="Cambria" w:cs="Arial"/>
          <w:szCs w:val="20"/>
          <w:lang w:val="en-US"/>
        </w:rPr>
        <w:t xml:space="preserve"> </w:t>
      </w:r>
      <w:r w:rsidR="003707E5" w:rsidRPr="00FE50A6">
        <w:rPr>
          <w:rFonts w:eastAsia="Cambria" w:cs="Arial"/>
          <w:szCs w:val="20"/>
          <w:lang w:val="en-US"/>
        </w:rPr>
        <w:t>discrimination</w:t>
      </w:r>
      <w:r w:rsidR="00130785" w:rsidRPr="00FE50A6">
        <w:rPr>
          <w:rFonts w:eastAsia="Cambria" w:cs="Arial"/>
          <w:szCs w:val="20"/>
          <w:lang w:val="en-US"/>
        </w:rPr>
        <w:t xml:space="preserve"> </w:t>
      </w:r>
      <w:r w:rsidRPr="00FE50A6">
        <w:rPr>
          <w:rFonts w:eastAsia="Cambria" w:cs="Arial"/>
          <w:szCs w:val="20"/>
          <w:lang w:val="en-US"/>
        </w:rPr>
        <w:t xml:space="preserve">in light of the provisions </w:t>
      </w:r>
      <w:r w:rsidR="000228D0" w:rsidRPr="00FE50A6">
        <w:rPr>
          <w:rFonts w:eastAsia="Cambria" w:cs="Arial"/>
          <w:szCs w:val="20"/>
          <w:lang w:val="en-US"/>
        </w:rPr>
        <w:t>of the Convention</w:t>
      </w:r>
      <w:r w:rsidR="00130785" w:rsidRPr="00FE50A6">
        <w:rPr>
          <w:rFonts w:eastAsia="Cambria" w:cs="Arial"/>
          <w:szCs w:val="20"/>
          <w:lang w:val="en-US"/>
        </w:rPr>
        <w:t>)</w:t>
      </w:r>
      <w:r w:rsidR="00030C17" w:rsidRPr="00FE50A6">
        <w:rPr>
          <w:rFonts w:eastAsia="Cambria" w:cs="Arial"/>
          <w:szCs w:val="20"/>
          <w:lang w:val="en-US"/>
        </w:rPr>
        <w:t xml:space="preserve"> and </w:t>
      </w:r>
      <w:r w:rsidR="00703850" w:rsidRPr="00FE50A6">
        <w:rPr>
          <w:rFonts w:eastAsia="Cambria" w:cs="Arial"/>
          <w:szCs w:val="20"/>
          <w:lang w:val="en-US"/>
        </w:rPr>
        <w:t>of Article</w:t>
      </w:r>
      <w:r w:rsidR="00130785" w:rsidRPr="00FE50A6">
        <w:rPr>
          <w:rFonts w:eastAsia="Cambria" w:cs="Arial"/>
          <w:szCs w:val="20"/>
          <w:lang w:val="en-US"/>
        </w:rPr>
        <w:t xml:space="preserve"> 1 </w:t>
      </w:r>
      <w:r w:rsidRPr="00FE50A6">
        <w:rPr>
          <w:rFonts w:eastAsia="Cambria" w:cs="Arial"/>
          <w:szCs w:val="20"/>
          <w:lang w:val="en-US"/>
        </w:rPr>
        <w:t>of Protocol</w:t>
      </w:r>
      <w:r w:rsidR="00130785" w:rsidRPr="00FE50A6">
        <w:rPr>
          <w:rFonts w:eastAsia="Cambria" w:cs="Arial"/>
          <w:szCs w:val="20"/>
          <w:lang w:val="en-US"/>
        </w:rPr>
        <w:t xml:space="preserve"> No. 12 (</w:t>
      </w:r>
      <w:r w:rsidRPr="00FE50A6">
        <w:rPr>
          <w:rFonts w:eastAsia="Cambria" w:cs="Arial"/>
          <w:szCs w:val="20"/>
          <w:lang w:val="en-US"/>
        </w:rPr>
        <w:t>Prohibition</w:t>
      </w:r>
      <w:r w:rsidR="00130785" w:rsidRPr="00FE50A6">
        <w:rPr>
          <w:rFonts w:eastAsia="Cambria" w:cs="Arial"/>
          <w:szCs w:val="20"/>
          <w:lang w:val="en-US"/>
        </w:rPr>
        <w:t xml:space="preserve"> </w:t>
      </w:r>
      <w:r w:rsidRPr="00FE50A6">
        <w:rPr>
          <w:rFonts w:eastAsia="Cambria" w:cs="Arial"/>
          <w:szCs w:val="20"/>
          <w:lang w:val="en-US"/>
        </w:rPr>
        <w:t>of</w:t>
      </w:r>
      <w:r w:rsidR="00130785" w:rsidRPr="00FE50A6">
        <w:rPr>
          <w:rFonts w:eastAsia="Cambria" w:cs="Arial"/>
          <w:szCs w:val="20"/>
          <w:lang w:val="en-US"/>
        </w:rPr>
        <w:t xml:space="preserve"> </w:t>
      </w:r>
      <w:r w:rsidR="003707E5" w:rsidRPr="00FE50A6">
        <w:rPr>
          <w:rFonts w:eastAsia="Cambria" w:cs="Arial"/>
          <w:szCs w:val="20"/>
          <w:lang w:val="en-US"/>
        </w:rPr>
        <w:t>discrimination</w:t>
      </w:r>
      <w:r w:rsidRPr="00FE50A6">
        <w:rPr>
          <w:rFonts w:eastAsia="Cambria" w:cs="Arial"/>
          <w:szCs w:val="20"/>
          <w:lang w:val="en-US"/>
        </w:rPr>
        <w:t xml:space="preserve"> in light of domestic law</w:t>
      </w:r>
      <w:r w:rsidR="00130785" w:rsidRPr="00FE50A6">
        <w:rPr>
          <w:rFonts w:eastAsia="Cambria" w:cs="Arial"/>
          <w:szCs w:val="20"/>
          <w:lang w:val="en-US"/>
        </w:rPr>
        <w:t xml:space="preserve">), </w:t>
      </w:r>
      <w:r w:rsidR="002071B1" w:rsidRPr="00FE50A6">
        <w:rPr>
          <w:rFonts w:eastAsia="Cambria" w:cs="Arial"/>
          <w:szCs w:val="20"/>
          <w:lang w:val="en-US"/>
        </w:rPr>
        <w:t xml:space="preserve">the </w:t>
      </w:r>
      <w:r w:rsidR="00B44229" w:rsidRPr="00FE50A6">
        <w:rPr>
          <w:rFonts w:eastAsia="Cambria" w:cs="Arial"/>
          <w:szCs w:val="20"/>
          <w:lang w:val="en-US"/>
        </w:rPr>
        <w:t>European Court</w:t>
      </w:r>
      <w:r w:rsidR="00130785" w:rsidRPr="00FE50A6">
        <w:rPr>
          <w:rFonts w:eastAsia="Cambria" w:cs="Arial"/>
          <w:szCs w:val="20"/>
          <w:lang w:val="en-US"/>
        </w:rPr>
        <w:t xml:space="preserve"> ha</w:t>
      </w:r>
      <w:r w:rsidRPr="00FE50A6">
        <w:rPr>
          <w:rFonts w:eastAsia="Cambria" w:cs="Arial"/>
          <w:szCs w:val="20"/>
          <w:lang w:val="en-US"/>
        </w:rPr>
        <w:t xml:space="preserve">s clarified that despite their “difference” in scope (provisions </w:t>
      </w:r>
      <w:r w:rsidR="000228D0" w:rsidRPr="00FE50A6">
        <w:rPr>
          <w:rFonts w:eastAsia="Cambria" w:cs="Arial"/>
          <w:szCs w:val="20"/>
          <w:lang w:val="en-US"/>
        </w:rPr>
        <w:t>of the Convention</w:t>
      </w:r>
      <w:r w:rsidR="00030C17" w:rsidRPr="00FE50A6">
        <w:rPr>
          <w:rFonts w:eastAsia="Cambria" w:cs="Arial"/>
          <w:szCs w:val="20"/>
          <w:lang w:val="en-US"/>
        </w:rPr>
        <w:t xml:space="preserve"> and </w:t>
      </w:r>
      <w:r w:rsidRPr="00FE50A6">
        <w:rPr>
          <w:rFonts w:eastAsia="Cambria" w:cs="Arial"/>
          <w:szCs w:val="20"/>
          <w:lang w:val="en-US"/>
        </w:rPr>
        <w:t xml:space="preserve">domestic law), the interpretation of the </w:t>
      </w:r>
      <w:r w:rsidR="009C48A4" w:rsidRPr="00FE50A6">
        <w:rPr>
          <w:rFonts w:eastAsia="Cambria" w:cs="Arial"/>
          <w:szCs w:val="20"/>
          <w:lang w:val="en-US"/>
        </w:rPr>
        <w:t>“</w:t>
      </w:r>
      <w:r w:rsidRPr="00FE50A6">
        <w:rPr>
          <w:rFonts w:eastAsia="Cambria" w:cs="Arial"/>
          <w:szCs w:val="20"/>
          <w:lang w:val="en-US"/>
        </w:rPr>
        <w:t>prohibition</w:t>
      </w:r>
      <w:r w:rsidR="00130785" w:rsidRPr="00FE50A6">
        <w:rPr>
          <w:rFonts w:eastAsia="Cambria" w:cs="Arial"/>
          <w:szCs w:val="20"/>
          <w:lang w:val="en-US"/>
        </w:rPr>
        <w:t xml:space="preserve"> </w:t>
      </w:r>
      <w:r w:rsidRPr="00FE50A6">
        <w:rPr>
          <w:rFonts w:eastAsia="Cambria" w:cs="Arial"/>
          <w:szCs w:val="20"/>
          <w:lang w:val="en-US"/>
        </w:rPr>
        <w:t>of</w:t>
      </w:r>
      <w:r w:rsidR="00130785" w:rsidRPr="00FE50A6">
        <w:rPr>
          <w:rFonts w:eastAsia="Cambria" w:cs="Arial"/>
          <w:szCs w:val="20"/>
          <w:lang w:val="en-US"/>
        </w:rPr>
        <w:t xml:space="preserve"> </w:t>
      </w:r>
      <w:r w:rsidR="003707E5" w:rsidRPr="00FE50A6">
        <w:rPr>
          <w:rFonts w:eastAsia="Cambria" w:cs="Arial"/>
          <w:szCs w:val="20"/>
          <w:lang w:val="en-US"/>
        </w:rPr>
        <w:t>discrimination</w:t>
      </w:r>
      <w:r w:rsidR="009C48A4" w:rsidRPr="00FE50A6">
        <w:rPr>
          <w:rFonts w:eastAsia="Cambria" w:cs="Arial"/>
          <w:szCs w:val="20"/>
          <w:lang w:val="en-US"/>
        </w:rPr>
        <w:t>”</w:t>
      </w:r>
      <w:r w:rsidR="00130785" w:rsidRPr="00FE50A6">
        <w:rPr>
          <w:rFonts w:eastAsia="Cambria" w:cs="Arial"/>
          <w:szCs w:val="20"/>
          <w:lang w:val="en-US"/>
        </w:rPr>
        <w:t xml:space="preserve"> </w:t>
      </w:r>
      <w:r w:rsidRPr="00FE50A6">
        <w:rPr>
          <w:rFonts w:eastAsia="Cambria" w:cs="Arial"/>
          <w:szCs w:val="20"/>
          <w:lang w:val="en-US"/>
        </w:rPr>
        <w:t>is identical for both provisions</w:t>
      </w:r>
      <w:r w:rsidR="00A843FC" w:rsidRPr="00FE50A6">
        <w:rPr>
          <w:rFonts w:eastAsia="Cambria" w:cs="Arial"/>
          <w:szCs w:val="20"/>
          <w:lang w:val="en-US"/>
        </w:rPr>
        <w:t>.</w:t>
      </w:r>
      <w:r w:rsidRPr="00FE50A6">
        <w:rPr>
          <w:rFonts w:eastAsia="Cambria" w:cs="Arial"/>
          <w:szCs w:val="20"/>
          <w:lang w:val="en-US"/>
        </w:rPr>
        <w:t xml:space="preserve"> </w:t>
      </w:r>
      <w:r w:rsidR="00A843FC" w:rsidRPr="00FE50A6">
        <w:rPr>
          <w:rFonts w:eastAsia="Cambria" w:cs="Arial"/>
          <w:szCs w:val="20"/>
          <w:lang w:val="en-US"/>
        </w:rPr>
        <w:t>T</w:t>
      </w:r>
      <w:r w:rsidRPr="00FE50A6">
        <w:rPr>
          <w:rFonts w:eastAsia="Cambria" w:cs="Arial"/>
          <w:szCs w:val="20"/>
          <w:lang w:val="en-US"/>
        </w:rPr>
        <w:t xml:space="preserve">hus, </w:t>
      </w:r>
      <w:r w:rsidR="00A843FC" w:rsidRPr="00FE50A6">
        <w:rPr>
          <w:rFonts w:eastAsia="Cambria" w:cs="Arial"/>
          <w:szCs w:val="20"/>
          <w:lang w:val="en-US"/>
        </w:rPr>
        <w:t xml:space="preserve">in Article 1 of Protocol No. 12, </w:t>
      </w:r>
      <w:r w:rsidR="002071B1" w:rsidRPr="00FE50A6">
        <w:rPr>
          <w:rFonts w:eastAsia="Cambria" w:cs="Arial"/>
          <w:szCs w:val="20"/>
          <w:lang w:val="en-US"/>
        </w:rPr>
        <w:t xml:space="preserve">the </w:t>
      </w:r>
      <w:r w:rsidR="00B44229" w:rsidRPr="00FE50A6">
        <w:rPr>
          <w:rFonts w:eastAsia="Cambria" w:cs="Arial"/>
          <w:szCs w:val="20"/>
          <w:lang w:val="en-US"/>
        </w:rPr>
        <w:t>European Court</w:t>
      </w:r>
      <w:r w:rsidR="00130785" w:rsidRPr="00FE50A6">
        <w:rPr>
          <w:rFonts w:eastAsia="Cambria" w:cs="Arial"/>
          <w:szCs w:val="20"/>
          <w:lang w:val="en-US"/>
        </w:rPr>
        <w:t xml:space="preserve"> ap</w:t>
      </w:r>
      <w:r w:rsidRPr="00FE50A6">
        <w:rPr>
          <w:rFonts w:eastAsia="Cambria" w:cs="Arial"/>
          <w:szCs w:val="20"/>
          <w:lang w:val="en-US"/>
        </w:rPr>
        <w:t xml:space="preserve">plies the same interpretation to </w:t>
      </w:r>
      <w:r w:rsidR="00EE52F3" w:rsidRPr="00FE50A6">
        <w:rPr>
          <w:rFonts w:eastAsia="Cambria" w:cs="Arial"/>
          <w:szCs w:val="20"/>
          <w:lang w:val="en-US"/>
        </w:rPr>
        <w:t>the prohibition of</w:t>
      </w:r>
      <w:r w:rsidR="00130785" w:rsidRPr="00FE50A6">
        <w:rPr>
          <w:rFonts w:eastAsia="Cambria" w:cs="Arial"/>
          <w:szCs w:val="20"/>
          <w:lang w:val="en-US"/>
        </w:rPr>
        <w:t xml:space="preserve"> </w:t>
      </w:r>
      <w:r w:rsidR="003707E5" w:rsidRPr="00FE50A6">
        <w:rPr>
          <w:rFonts w:eastAsia="Cambria" w:cs="Arial"/>
          <w:szCs w:val="20"/>
          <w:lang w:val="en-US"/>
        </w:rPr>
        <w:t>discrimination</w:t>
      </w:r>
      <w:r w:rsidR="00130785" w:rsidRPr="00FE50A6">
        <w:rPr>
          <w:rFonts w:eastAsia="Cambria" w:cs="Arial"/>
          <w:szCs w:val="20"/>
          <w:lang w:val="en-US"/>
        </w:rPr>
        <w:t xml:space="preserve"> </w:t>
      </w:r>
      <w:r w:rsidRPr="00FE50A6">
        <w:rPr>
          <w:rFonts w:eastAsia="Cambria" w:cs="Arial"/>
          <w:szCs w:val="20"/>
          <w:lang w:val="en-US"/>
        </w:rPr>
        <w:t xml:space="preserve">that it has developed in </w:t>
      </w:r>
      <w:r w:rsidR="00703850" w:rsidRPr="00FE50A6">
        <w:rPr>
          <w:rFonts w:eastAsia="Cambria" w:cs="Arial"/>
          <w:szCs w:val="20"/>
          <w:lang w:val="en-US"/>
        </w:rPr>
        <w:t>Article</w:t>
      </w:r>
      <w:r w:rsidR="00130785" w:rsidRPr="00FE50A6">
        <w:rPr>
          <w:rFonts w:eastAsia="Cambria" w:cs="Arial"/>
          <w:szCs w:val="20"/>
          <w:lang w:val="en-US"/>
        </w:rPr>
        <w:t xml:space="preserve"> 14</w:t>
      </w:r>
      <w:r w:rsidRPr="00FE50A6">
        <w:rPr>
          <w:rFonts w:eastAsia="Cambria" w:cs="Arial"/>
          <w:szCs w:val="20"/>
          <w:lang w:val="en-US"/>
        </w:rPr>
        <w:t xml:space="preserve"> of the </w:t>
      </w:r>
      <w:r w:rsidR="009D23B3" w:rsidRPr="00FE50A6">
        <w:rPr>
          <w:rFonts w:eastAsia="Cambria" w:cs="Arial"/>
          <w:szCs w:val="20"/>
          <w:lang w:val="en-US"/>
        </w:rPr>
        <w:t>European Convention</w:t>
      </w:r>
      <w:r w:rsidR="00A843FC" w:rsidRPr="00FE50A6">
        <w:rPr>
          <w:rFonts w:eastAsia="Cambria" w:cs="Arial"/>
          <w:szCs w:val="20"/>
          <w:lang w:val="en-US"/>
        </w:rPr>
        <w:t>.</w:t>
      </w:r>
      <w:r w:rsidR="00130785" w:rsidRPr="00FE50A6">
        <w:rPr>
          <w:rFonts w:eastAsia="Cambria" w:cs="Arial"/>
          <w:szCs w:val="20"/>
          <w:vertAlign w:val="superscript"/>
          <w:lang w:val="en-US"/>
        </w:rPr>
        <w:footnoteReference w:id="545"/>
      </w:r>
    </w:p>
    <w:p w14:paraId="41A9AE9C" w14:textId="77777777" w:rsidR="00130785" w:rsidRPr="00FE50A6" w:rsidRDefault="00130785" w:rsidP="00130785">
      <w:pPr>
        <w:tabs>
          <w:tab w:val="clear" w:pos="4419"/>
          <w:tab w:val="clear" w:pos="8838"/>
        </w:tabs>
        <w:contextualSpacing/>
        <w:jc w:val="both"/>
        <w:rPr>
          <w:rFonts w:eastAsia="Cambria" w:cs="System Font Regular"/>
          <w:b/>
          <w:i/>
          <w:szCs w:val="20"/>
          <w:lang w:val="en-US"/>
        </w:rPr>
      </w:pPr>
    </w:p>
    <w:p w14:paraId="259C7D4A" w14:textId="77777777" w:rsidR="00130785" w:rsidRPr="00FE50A6" w:rsidRDefault="00A843FC" w:rsidP="008B0BCC">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Times New Roman"/>
          <w:szCs w:val="20"/>
          <w:lang w:val="en-US"/>
        </w:rPr>
        <w:t>Despite</w:t>
      </w:r>
      <w:r w:rsidR="00391B10" w:rsidRPr="00FE50A6">
        <w:rPr>
          <w:rFonts w:eastAsia="Cambria" w:cs="Times New Roman"/>
          <w:szCs w:val="20"/>
          <w:lang w:val="en-US"/>
        </w:rPr>
        <w:t xml:space="preserve"> the foregoing</w:t>
      </w:r>
      <w:r w:rsidR="00130785" w:rsidRPr="00FE50A6">
        <w:rPr>
          <w:rFonts w:eastAsia="Cambria" w:cs="Times New Roman"/>
          <w:szCs w:val="20"/>
          <w:lang w:val="en-US"/>
        </w:rPr>
        <w:t xml:space="preserve">, </w:t>
      </w:r>
      <w:r w:rsidR="009D23B3" w:rsidRPr="00FE50A6">
        <w:rPr>
          <w:rFonts w:eastAsia="Cambria" w:cs="Times New Roman"/>
          <w:szCs w:val="20"/>
          <w:lang w:val="en-US"/>
        </w:rPr>
        <w:t>the European Convention</w:t>
      </w:r>
      <w:r w:rsidR="00130785" w:rsidRPr="00FE50A6">
        <w:rPr>
          <w:rFonts w:eastAsia="Cambria" w:cs="Times New Roman"/>
          <w:szCs w:val="20"/>
          <w:lang w:val="en-US"/>
        </w:rPr>
        <w:t xml:space="preserve"> </w:t>
      </w:r>
      <w:r w:rsidR="00391B10" w:rsidRPr="00FE50A6">
        <w:rPr>
          <w:rFonts w:eastAsia="Cambria" w:cs="Times New Roman"/>
          <w:szCs w:val="20"/>
          <w:lang w:val="en-US"/>
        </w:rPr>
        <w:t xml:space="preserve">does not expressly refer to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00391B10" w:rsidRPr="00FE50A6">
        <w:rPr>
          <w:rFonts w:eastAsia="Cambria" w:cs="Times New Roman"/>
          <w:szCs w:val="20"/>
          <w:lang w:val="en-US"/>
        </w:rPr>
        <w:t>based on economic status or poverty</w:t>
      </w:r>
      <w:r w:rsidR="00130785" w:rsidRPr="00FE50A6">
        <w:rPr>
          <w:rFonts w:eastAsia="Cambria" w:cs="Times New Roman"/>
          <w:szCs w:val="20"/>
          <w:lang w:val="en-US"/>
        </w:rPr>
        <w:t xml:space="preserve">. </w:t>
      </w:r>
      <w:r w:rsidR="00391B10" w:rsidRPr="00FE50A6">
        <w:rPr>
          <w:rFonts w:eastAsia="Cambria" w:cs="Times New Roman"/>
          <w:szCs w:val="20"/>
          <w:lang w:val="en-US"/>
        </w:rPr>
        <w:t xml:space="preserve">But this has not been an obstacle for </w:t>
      </w:r>
      <w:r w:rsidR="002071B1" w:rsidRPr="00FE50A6">
        <w:rPr>
          <w:rFonts w:eastAsia="Cambria" w:cs="Times New Roman"/>
          <w:szCs w:val="20"/>
          <w:lang w:val="en-US"/>
        </w:rPr>
        <w:t xml:space="preserve">the </w:t>
      </w:r>
      <w:r w:rsidR="00B44229" w:rsidRPr="00FE50A6">
        <w:rPr>
          <w:rFonts w:eastAsia="Cambria" w:cs="Times New Roman"/>
          <w:szCs w:val="20"/>
          <w:lang w:val="en-US"/>
        </w:rPr>
        <w:t>European Court</w:t>
      </w:r>
      <w:r w:rsidR="00130785" w:rsidRPr="00FE50A6">
        <w:rPr>
          <w:rFonts w:eastAsia="Cambria" w:cs="Times New Roman"/>
          <w:szCs w:val="20"/>
          <w:lang w:val="en-US"/>
        </w:rPr>
        <w:t xml:space="preserve"> </w:t>
      </w:r>
      <w:r w:rsidR="00391B10" w:rsidRPr="00FE50A6">
        <w:rPr>
          <w:rFonts w:eastAsia="Cambria" w:cs="Times New Roman"/>
          <w:szCs w:val="20"/>
          <w:lang w:val="en-US"/>
        </w:rPr>
        <w:t>to develop case law on the economic conditions that many victims face.</w:t>
      </w:r>
    </w:p>
    <w:p w14:paraId="7F7F3D2C" w14:textId="77777777" w:rsidR="00130785" w:rsidRPr="00FE50A6" w:rsidRDefault="00130785" w:rsidP="00130785">
      <w:pPr>
        <w:tabs>
          <w:tab w:val="clear" w:pos="4419"/>
          <w:tab w:val="clear" w:pos="8838"/>
        </w:tabs>
        <w:contextualSpacing/>
        <w:jc w:val="both"/>
        <w:rPr>
          <w:rFonts w:eastAsia="Cambria" w:cs="System Font Regular"/>
          <w:b/>
          <w:i/>
          <w:szCs w:val="20"/>
          <w:lang w:val="en-US"/>
        </w:rPr>
      </w:pPr>
    </w:p>
    <w:p w14:paraId="4F5AB127" w14:textId="77777777" w:rsidR="00130785" w:rsidRPr="00FE50A6" w:rsidRDefault="00391B10" w:rsidP="008B0BCC">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System Font Regular"/>
          <w:szCs w:val="20"/>
          <w:lang w:val="en-US"/>
        </w:rPr>
        <w:t>In this regard</w:t>
      </w:r>
      <w:r w:rsidR="00130785" w:rsidRPr="00FE50A6">
        <w:rPr>
          <w:rFonts w:eastAsia="Cambria" w:cs="System Font Regular"/>
          <w:szCs w:val="20"/>
          <w:lang w:val="en-US"/>
        </w:rPr>
        <w:t xml:space="preserve">, </w:t>
      </w:r>
      <w:r w:rsidR="000228D0" w:rsidRPr="00FE50A6">
        <w:rPr>
          <w:rFonts w:eastAsia="Cambria" w:cs="System Font Regular"/>
          <w:szCs w:val="20"/>
          <w:lang w:val="en-US"/>
        </w:rPr>
        <w:t>Article</w:t>
      </w:r>
      <w:r w:rsidR="00130785" w:rsidRPr="00FE50A6">
        <w:rPr>
          <w:rFonts w:eastAsia="Cambria" w:cs="System Font Regular"/>
          <w:szCs w:val="20"/>
          <w:lang w:val="en-US"/>
        </w:rPr>
        <w:t xml:space="preserve"> 14</w:t>
      </w:r>
      <w:r w:rsidRPr="00FE50A6">
        <w:rPr>
          <w:rFonts w:eastAsia="Cambria" w:cs="System Font Regular"/>
          <w:szCs w:val="20"/>
          <w:lang w:val="en-US"/>
        </w:rPr>
        <w:t xml:space="preserve"> of the </w:t>
      </w:r>
      <w:r w:rsidR="009D23B3" w:rsidRPr="00FE50A6">
        <w:rPr>
          <w:rFonts w:eastAsia="Cambria" w:cs="System Font Regular"/>
          <w:szCs w:val="20"/>
          <w:lang w:val="en-US"/>
        </w:rPr>
        <w:t>European Convention</w:t>
      </w:r>
      <w:r w:rsidR="00130785" w:rsidRPr="00FE50A6">
        <w:rPr>
          <w:rFonts w:eastAsia="Cambria" w:cs="System Font Regular"/>
          <w:szCs w:val="20"/>
          <w:lang w:val="en-US"/>
        </w:rPr>
        <w:t xml:space="preserve"> ha</w:t>
      </w:r>
      <w:r w:rsidRPr="00FE50A6">
        <w:rPr>
          <w:rFonts w:eastAsia="Cambria" w:cs="System Font Regular"/>
          <w:szCs w:val="20"/>
          <w:lang w:val="en-US"/>
        </w:rPr>
        <w:t xml:space="preserve">s been associated implicitly, accessorily and indirectly </w:t>
      </w:r>
      <w:r w:rsidR="00A843FC" w:rsidRPr="00FE50A6">
        <w:rPr>
          <w:rFonts w:eastAsia="Cambria" w:cs="System Font Regular"/>
          <w:szCs w:val="20"/>
          <w:lang w:val="en-US"/>
        </w:rPr>
        <w:t>with</w:t>
      </w:r>
      <w:r w:rsidRPr="00FE50A6">
        <w:rPr>
          <w:rFonts w:eastAsia="Cambria" w:cs="System Font Regular"/>
          <w:szCs w:val="20"/>
          <w:lang w:val="en-US"/>
        </w:rPr>
        <w:t xml:space="preserve"> rights and freedoms protected by</w:t>
      </w:r>
      <w:r w:rsidR="00130785" w:rsidRPr="00FE50A6">
        <w:rPr>
          <w:rFonts w:eastAsia="Cambria" w:cs="System Font Regular"/>
          <w:szCs w:val="20"/>
          <w:lang w:val="en-US"/>
        </w:rPr>
        <w:t xml:space="preserve"> </w:t>
      </w:r>
      <w:r w:rsidR="009D23B3" w:rsidRPr="00FE50A6">
        <w:rPr>
          <w:rFonts w:eastAsia="Cambria" w:cs="System Font Regular"/>
          <w:szCs w:val="20"/>
          <w:lang w:val="en-US"/>
        </w:rPr>
        <w:t>the European Convention</w:t>
      </w:r>
      <w:r w:rsidR="00130785" w:rsidRPr="00FE50A6">
        <w:rPr>
          <w:rFonts w:eastAsia="Cambria" w:cs="System Font Regular"/>
          <w:szCs w:val="20"/>
          <w:lang w:val="en-US"/>
        </w:rPr>
        <w:t xml:space="preserve">. </w:t>
      </w:r>
      <w:r w:rsidRPr="00FE50A6">
        <w:rPr>
          <w:rFonts w:eastAsia="Cambria" w:cs="System Font Regular"/>
          <w:szCs w:val="20"/>
          <w:lang w:val="en-US"/>
        </w:rPr>
        <w:t>Thus</w:t>
      </w:r>
      <w:r w:rsidR="00130785" w:rsidRPr="00FE50A6">
        <w:rPr>
          <w:rFonts w:eastAsia="Cambria" w:cs="System Font Regular"/>
          <w:szCs w:val="20"/>
          <w:lang w:val="en-US"/>
        </w:rPr>
        <w:t xml:space="preserve">, </w:t>
      </w:r>
      <w:r w:rsidR="00EE52F3" w:rsidRPr="00FE50A6">
        <w:rPr>
          <w:rFonts w:eastAsia="Cambria" w:cs="System Font Regular"/>
          <w:szCs w:val="20"/>
          <w:lang w:val="en-US"/>
        </w:rPr>
        <w:t>the prohibition of</w:t>
      </w:r>
      <w:r w:rsidR="00130785" w:rsidRPr="00FE50A6">
        <w:rPr>
          <w:rFonts w:eastAsia="Cambria" w:cs="System Font Regular"/>
          <w:szCs w:val="20"/>
          <w:lang w:val="en-US"/>
        </w:rPr>
        <w:t xml:space="preserve"> </w:t>
      </w:r>
      <w:r w:rsidR="003707E5" w:rsidRPr="00FE50A6">
        <w:rPr>
          <w:rFonts w:eastAsia="Cambria" w:cs="System Font Regular"/>
          <w:szCs w:val="20"/>
          <w:lang w:val="en-US"/>
        </w:rPr>
        <w:t>discrimination</w:t>
      </w:r>
      <w:r w:rsidR="00130785" w:rsidRPr="00FE50A6">
        <w:rPr>
          <w:rFonts w:eastAsia="Cambria" w:cs="System Font Regular"/>
          <w:szCs w:val="20"/>
          <w:lang w:val="en-US"/>
        </w:rPr>
        <w:t xml:space="preserve"> contempl</w:t>
      </w:r>
      <w:r w:rsidRPr="00FE50A6">
        <w:rPr>
          <w:rFonts w:eastAsia="Cambria" w:cs="System Font Regular"/>
          <w:szCs w:val="20"/>
          <w:lang w:val="en-US"/>
        </w:rPr>
        <w:t>ated in</w:t>
      </w:r>
      <w:r w:rsidR="00130785" w:rsidRPr="00FE50A6">
        <w:rPr>
          <w:rFonts w:eastAsia="Cambria" w:cs="System Font Regular"/>
          <w:szCs w:val="20"/>
          <w:lang w:val="en-US"/>
        </w:rPr>
        <w:t xml:space="preserve"> </w:t>
      </w:r>
      <w:r w:rsidR="009D23B3" w:rsidRPr="00FE50A6">
        <w:rPr>
          <w:rFonts w:eastAsia="Cambria" w:cs="System Font Regular"/>
          <w:szCs w:val="20"/>
          <w:lang w:val="en-US"/>
        </w:rPr>
        <w:t>the European Convention</w:t>
      </w:r>
      <w:r w:rsidR="00130785" w:rsidRPr="00FE50A6">
        <w:rPr>
          <w:rFonts w:eastAsia="Cambria" w:cs="System Font Regular"/>
          <w:szCs w:val="20"/>
          <w:lang w:val="en-US"/>
        </w:rPr>
        <w:t xml:space="preserve"> </w:t>
      </w:r>
      <w:r w:rsidRPr="00FE50A6">
        <w:rPr>
          <w:rFonts w:eastAsia="Cambria" w:cs="System Font Regular"/>
          <w:szCs w:val="20"/>
          <w:lang w:val="en-US"/>
        </w:rPr>
        <w:t xml:space="preserve">has been related to the right to life </w:t>
      </w:r>
      <w:r w:rsidR="00130785" w:rsidRPr="00FE50A6">
        <w:rPr>
          <w:rFonts w:eastAsia="Cambria" w:cs="System Font Regular"/>
          <w:szCs w:val="20"/>
          <w:lang w:val="en-US"/>
        </w:rPr>
        <w:t>(</w:t>
      </w:r>
      <w:r w:rsidRPr="00FE50A6">
        <w:rPr>
          <w:rFonts w:eastAsia="Cambria" w:cs="System Font Regular"/>
          <w:szCs w:val="20"/>
          <w:lang w:val="en-US"/>
        </w:rPr>
        <w:t>A</w:t>
      </w:r>
      <w:r w:rsidR="00130785" w:rsidRPr="00FE50A6">
        <w:rPr>
          <w:rFonts w:eastAsia="Cambria" w:cs="System Font Regular"/>
          <w:szCs w:val="20"/>
          <w:lang w:val="en-US"/>
        </w:rPr>
        <w:t>rt. 2</w:t>
      </w:r>
      <w:r w:rsidRPr="00FE50A6">
        <w:rPr>
          <w:rFonts w:eastAsia="Cambria" w:cs="System Font Regular"/>
          <w:szCs w:val="20"/>
          <w:lang w:val="en-US"/>
        </w:rPr>
        <w:t xml:space="preserve"> of the </w:t>
      </w:r>
      <w:r w:rsidR="009D23B3" w:rsidRPr="00FE50A6">
        <w:rPr>
          <w:rFonts w:eastAsia="Cambria" w:cs="System Font Regular"/>
          <w:szCs w:val="20"/>
          <w:lang w:val="en-US"/>
        </w:rPr>
        <w:t>European Convention</w:t>
      </w:r>
      <w:r w:rsidR="00130785" w:rsidRPr="00FE50A6">
        <w:rPr>
          <w:rFonts w:eastAsia="Cambria" w:cs="System Font Regular"/>
          <w:szCs w:val="20"/>
          <w:lang w:val="en-US"/>
        </w:rPr>
        <w:t xml:space="preserve">) </w:t>
      </w:r>
      <w:r w:rsidR="002B3334" w:rsidRPr="00FE50A6">
        <w:rPr>
          <w:rFonts w:eastAsia="Cambria" w:cs="System Font Regular"/>
          <w:szCs w:val="20"/>
          <w:lang w:val="en-US"/>
        </w:rPr>
        <w:t>with regard</w:t>
      </w:r>
      <w:r w:rsidRPr="00FE50A6">
        <w:rPr>
          <w:rFonts w:eastAsia="Cambria" w:cs="System Font Regular"/>
          <w:szCs w:val="20"/>
          <w:lang w:val="en-US"/>
        </w:rPr>
        <w:t xml:space="preserve"> to living conditions </w:t>
      </w:r>
      <w:r w:rsidR="00EA7E3A" w:rsidRPr="00FE50A6">
        <w:rPr>
          <w:rFonts w:eastAsia="Cambria" w:cs="System Font Regular"/>
          <w:szCs w:val="20"/>
          <w:lang w:val="en-US"/>
        </w:rPr>
        <w:t>and</w:t>
      </w:r>
      <w:r w:rsidRPr="00FE50A6">
        <w:rPr>
          <w:rFonts w:eastAsia="Cambria" w:cs="System Font Regular"/>
          <w:szCs w:val="20"/>
          <w:lang w:val="en-US"/>
        </w:rPr>
        <w:t xml:space="preserve"> assistance;</w:t>
      </w:r>
      <w:r w:rsidR="00130785" w:rsidRPr="00FE50A6">
        <w:rPr>
          <w:rFonts w:eastAsia="Cambria" w:cs="Times New Roman"/>
          <w:szCs w:val="20"/>
          <w:vertAlign w:val="superscript"/>
          <w:lang w:val="en-US"/>
        </w:rPr>
        <w:footnoteReference w:id="546"/>
      </w:r>
      <w:r w:rsidR="00130785" w:rsidRPr="00FE50A6">
        <w:rPr>
          <w:rFonts w:eastAsia="Cambria" w:cs="System Font Regular"/>
          <w:szCs w:val="20"/>
          <w:lang w:val="en-US"/>
        </w:rPr>
        <w:t xml:space="preserve"> </w:t>
      </w:r>
      <w:r w:rsidR="00EE52F3" w:rsidRPr="00FE50A6">
        <w:rPr>
          <w:rFonts w:eastAsia="Cambria" w:cs="System Font Regular"/>
          <w:szCs w:val="20"/>
          <w:lang w:val="en-US"/>
        </w:rPr>
        <w:t>the prohibition of</w:t>
      </w:r>
      <w:r w:rsidRPr="00FE50A6">
        <w:rPr>
          <w:rFonts w:eastAsia="Cambria" w:cs="System Font Regular"/>
          <w:szCs w:val="20"/>
          <w:lang w:val="en-US"/>
        </w:rPr>
        <w:t xml:space="preserve"> cruel, inhuman or degrading treatment </w:t>
      </w:r>
      <w:r w:rsidR="002B3334" w:rsidRPr="00FE50A6">
        <w:rPr>
          <w:rFonts w:eastAsia="Cambria" w:cs="System Font Regular"/>
          <w:szCs w:val="20"/>
          <w:lang w:val="en-US"/>
        </w:rPr>
        <w:t>and</w:t>
      </w:r>
      <w:r w:rsidRPr="00FE50A6">
        <w:rPr>
          <w:rFonts w:eastAsia="Cambria" w:cs="System Font Regular"/>
          <w:szCs w:val="20"/>
          <w:lang w:val="en-US"/>
        </w:rPr>
        <w:t xml:space="preserve"> respect for private and family life</w:t>
      </w:r>
      <w:r w:rsidR="00130785" w:rsidRPr="00FE50A6">
        <w:rPr>
          <w:rFonts w:eastAsia="Cambria" w:cs="System Font Regular"/>
          <w:szCs w:val="20"/>
          <w:lang w:val="en-US"/>
        </w:rPr>
        <w:t xml:space="preserve"> (</w:t>
      </w:r>
      <w:r w:rsidRPr="00FE50A6">
        <w:rPr>
          <w:rFonts w:eastAsia="Cambria" w:cs="System Font Regular"/>
          <w:szCs w:val="20"/>
          <w:lang w:val="en-US"/>
        </w:rPr>
        <w:t>A</w:t>
      </w:r>
      <w:r w:rsidR="00130785" w:rsidRPr="00FE50A6">
        <w:rPr>
          <w:rFonts w:eastAsia="Cambria" w:cs="System Font Regular"/>
          <w:szCs w:val="20"/>
          <w:lang w:val="en-US"/>
        </w:rPr>
        <w:t>rts. 3</w:t>
      </w:r>
      <w:r w:rsidR="00030C17" w:rsidRPr="00FE50A6">
        <w:rPr>
          <w:rFonts w:eastAsia="Cambria" w:cs="System Font Regular"/>
          <w:szCs w:val="20"/>
          <w:lang w:val="en-US"/>
        </w:rPr>
        <w:t xml:space="preserve"> and </w:t>
      </w:r>
      <w:r w:rsidR="00130785" w:rsidRPr="00FE50A6">
        <w:rPr>
          <w:rFonts w:eastAsia="Cambria" w:cs="System Font Regular"/>
          <w:szCs w:val="20"/>
          <w:lang w:val="en-US"/>
        </w:rPr>
        <w:t>8</w:t>
      </w:r>
      <w:r w:rsidRPr="00FE50A6">
        <w:rPr>
          <w:rFonts w:eastAsia="Cambria" w:cs="System Font Regular"/>
          <w:szCs w:val="20"/>
          <w:lang w:val="en-US"/>
        </w:rPr>
        <w:t xml:space="preserve"> of the </w:t>
      </w:r>
      <w:r w:rsidR="009D23B3" w:rsidRPr="00FE50A6">
        <w:rPr>
          <w:rFonts w:eastAsia="Cambria" w:cs="System Font Regular"/>
          <w:szCs w:val="20"/>
          <w:lang w:val="en-US"/>
        </w:rPr>
        <w:t>European Convention</w:t>
      </w:r>
      <w:r w:rsidR="00130785" w:rsidRPr="00FE50A6">
        <w:rPr>
          <w:rFonts w:eastAsia="Cambria" w:cs="System Font Regular"/>
          <w:szCs w:val="20"/>
          <w:lang w:val="en-US"/>
        </w:rPr>
        <w:t xml:space="preserve">) </w:t>
      </w:r>
      <w:r w:rsidR="002B3334" w:rsidRPr="00FE50A6">
        <w:rPr>
          <w:rFonts w:eastAsia="Cambria" w:cs="System Font Regular"/>
          <w:szCs w:val="20"/>
          <w:lang w:val="en-US"/>
        </w:rPr>
        <w:t>with regard</w:t>
      </w:r>
      <w:r w:rsidRPr="00FE50A6">
        <w:rPr>
          <w:rFonts w:eastAsia="Cambria" w:cs="System Font Regular"/>
          <w:szCs w:val="20"/>
          <w:lang w:val="en-US"/>
        </w:rPr>
        <w:t xml:space="preserve"> t</w:t>
      </w:r>
      <w:r w:rsidR="002B3334" w:rsidRPr="00FE50A6">
        <w:rPr>
          <w:rFonts w:eastAsia="Cambria" w:cs="System Font Regular"/>
          <w:szCs w:val="20"/>
          <w:lang w:val="en-US"/>
        </w:rPr>
        <w:t>o</w:t>
      </w:r>
      <w:r w:rsidRPr="00FE50A6">
        <w:rPr>
          <w:rFonts w:eastAsia="Cambria" w:cs="System Font Regular"/>
          <w:szCs w:val="20"/>
          <w:lang w:val="en-US"/>
        </w:rPr>
        <w:t xml:space="preserve"> decent </w:t>
      </w:r>
      <w:r w:rsidR="002B3334" w:rsidRPr="00FE50A6">
        <w:rPr>
          <w:rFonts w:eastAsia="Cambria" w:cs="System Font Regular"/>
          <w:szCs w:val="20"/>
          <w:lang w:val="en-US"/>
        </w:rPr>
        <w:t>living conditions</w:t>
      </w:r>
      <w:r w:rsidRPr="00FE50A6">
        <w:rPr>
          <w:rFonts w:eastAsia="Cambria" w:cs="System Font Regular"/>
          <w:szCs w:val="20"/>
          <w:lang w:val="en-US"/>
        </w:rPr>
        <w:t>,</w:t>
      </w:r>
      <w:r w:rsidR="00130785" w:rsidRPr="00FE50A6">
        <w:rPr>
          <w:rFonts w:eastAsia="Cambria" w:cs="Times New Roman"/>
          <w:szCs w:val="20"/>
          <w:vertAlign w:val="superscript"/>
          <w:lang w:val="en-US"/>
        </w:rPr>
        <w:footnoteReference w:id="547"/>
      </w:r>
      <w:r w:rsidRPr="00FE50A6">
        <w:rPr>
          <w:rFonts w:eastAsia="Cambria" w:cs="System Font Regular"/>
          <w:szCs w:val="20"/>
          <w:lang w:val="en-US"/>
        </w:rPr>
        <w:t xml:space="preserve"> or the right to the protection of private and family life </w:t>
      </w:r>
      <w:r w:rsidR="00130785" w:rsidRPr="00FE50A6">
        <w:rPr>
          <w:rFonts w:eastAsia="Cambria" w:cs="Times New Roman"/>
          <w:szCs w:val="20"/>
          <w:lang w:val="en-US"/>
        </w:rPr>
        <w:t>(</w:t>
      </w:r>
      <w:r w:rsidRPr="00FE50A6">
        <w:rPr>
          <w:rFonts w:eastAsia="Cambria" w:cs="Times New Roman"/>
          <w:szCs w:val="20"/>
          <w:lang w:val="en-US"/>
        </w:rPr>
        <w:t>A</w:t>
      </w:r>
      <w:r w:rsidR="00130785" w:rsidRPr="00FE50A6">
        <w:rPr>
          <w:rFonts w:eastAsia="Cambria" w:cs="Times New Roman"/>
          <w:szCs w:val="20"/>
          <w:lang w:val="en-US"/>
        </w:rPr>
        <w:t>rt. 8</w:t>
      </w:r>
      <w:r w:rsidRPr="00FE50A6">
        <w:rPr>
          <w:rFonts w:eastAsia="Cambria" w:cs="Times New Roman"/>
          <w:szCs w:val="20"/>
          <w:lang w:val="en-US"/>
        </w:rPr>
        <w:t xml:space="preserve"> of the </w:t>
      </w:r>
      <w:r w:rsidR="009D23B3" w:rsidRPr="00FE50A6">
        <w:rPr>
          <w:rFonts w:eastAsia="Cambria" w:cs="Times New Roman"/>
          <w:szCs w:val="20"/>
          <w:lang w:val="en-US"/>
        </w:rPr>
        <w:t>European Convention</w:t>
      </w:r>
      <w:r w:rsidR="00130785" w:rsidRPr="00FE50A6">
        <w:rPr>
          <w:rFonts w:eastAsia="Cambria" w:cs="Times New Roman"/>
          <w:szCs w:val="20"/>
          <w:lang w:val="en-US"/>
        </w:rPr>
        <w:t xml:space="preserve">) </w:t>
      </w:r>
      <w:r w:rsidRPr="00FE50A6">
        <w:rPr>
          <w:rFonts w:eastAsia="Cambria" w:cs="Times New Roman"/>
          <w:szCs w:val="20"/>
          <w:lang w:val="en-US"/>
        </w:rPr>
        <w:t xml:space="preserve">with regard to the deprivation of </w:t>
      </w:r>
      <w:r w:rsidR="00BB0FDE" w:rsidRPr="00FE50A6">
        <w:rPr>
          <w:rFonts w:eastAsia="Cambria" w:cs="Times New Roman"/>
          <w:szCs w:val="20"/>
          <w:lang w:val="en-US"/>
        </w:rPr>
        <w:t>child custody</w:t>
      </w:r>
      <w:r w:rsidRPr="00FE50A6">
        <w:rPr>
          <w:rFonts w:eastAsia="Cambria" w:cs="Times New Roman"/>
          <w:szCs w:val="20"/>
          <w:lang w:val="en-US"/>
        </w:rPr>
        <w:t xml:space="preserve"> rights</w:t>
      </w:r>
      <w:r w:rsidR="00BB0FDE" w:rsidRPr="00FE50A6">
        <w:rPr>
          <w:rFonts w:eastAsia="Cambria" w:cs="Times New Roman"/>
          <w:szCs w:val="20"/>
          <w:lang w:val="en-US"/>
        </w:rPr>
        <w:t xml:space="preserve"> and the placement of the children concerned in a state institution,</w:t>
      </w:r>
      <w:r w:rsidR="00130785" w:rsidRPr="00FE50A6">
        <w:rPr>
          <w:rFonts w:eastAsia="Cambria" w:cs="Times New Roman"/>
          <w:szCs w:val="20"/>
          <w:vertAlign w:val="superscript"/>
          <w:lang w:val="en-US"/>
        </w:rPr>
        <w:footnoteReference w:id="548"/>
      </w:r>
      <w:r w:rsidR="00130785" w:rsidRPr="00FE50A6">
        <w:rPr>
          <w:rFonts w:eastAsia="Cambria" w:cs="Times New Roman"/>
          <w:szCs w:val="20"/>
          <w:lang w:val="en-US"/>
        </w:rPr>
        <w:t xml:space="preserve"> </w:t>
      </w:r>
      <w:r w:rsidR="00030C17" w:rsidRPr="00FE50A6">
        <w:rPr>
          <w:rFonts w:eastAsia="Cambria" w:cs="Times New Roman"/>
          <w:szCs w:val="20"/>
          <w:lang w:val="en-US"/>
        </w:rPr>
        <w:t xml:space="preserve"> and </w:t>
      </w:r>
      <w:r w:rsidRPr="00FE50A6">
        <w:rPr>
          <w:rFonts w:eastAsia="Cambria" w:cs="Times New Roman"/>
          <w:szCs w:val="20"/>
          <w:lang w:val="en-US"/>
        </w:rPr>
        <w:t>the right to property</w:t>
      </w:r>
      <w:r w:rsidR="00130785" w:rsidRPr="00FE50A6">
        <w:rPr>
          <w:rFonts w:eastAsia="Cambria" w:cs="Times New Roman"/>
          <w:szCs w:val="20"/>
          <w:lang w:val="en-US"/>
        </w:rPr>
        <w:t xml:space="preserve"> (</w:t>
      </w:r>
      <w:r w:rsidRPr="00FE50A6">
        <w:rPr>
          <w:rFonts w:eastAsia="Cambria" w:cs="Times New Roman"/>
          <w:szCs w:val="20"/>
          <w:lang w:val="en-US"/>
        </w:rPr>
        <w:t>A</w:t>
      </w:r>
      <w:r w:rsidR="00130785" w:rsidRPr="00FE50A6">
        <w:rPr>
          <w:rFonts w:eastAsia="Cambria" w:cs="Times New Roman"/>
          <w:szCs w:val="20"/>
          <w:lang w:val="en-US"/>
        </w:rPr>
        <w:t>rt. 1</w:t>
      </w:r>
      <w:r w:rsidRPr="00FE50A6">
        <w:rPr>
          <w:rFonts w:eastAsia="Cambria" w:cs="Times New Roman"/>
          <w:szCs w:val="20"/>
          <w:lang w:val="en-US"/>
        </w:rPr>
        <w:t xml:space="preserve"> of</w:t>
      </w:r>
      <w:r w:rsidR="00130785" w:rsidRPr="00FE50A6">
        <w:rPr>
          <w:rFonts w:eastAsia="Cambria" w:cs="Times New Roman"/>
          <w:szCs w:val="20"/>
          <w:lang w:val="en-US"/>
        </w:rPr>
        <w:t xml:space="preserve"> Protocol No. 1</w:t>
      </w:r>
      <w:r w:rsidRPr="00FE50A6">
        <w:rPr>
          <w:rFonts w:eastAsia="Cambria" w:cs="Times New Roman"/>
          <w:szCs w:val="20"/>
          <w:lang w:val="en-US"/>
        </w:rPr>
        <w:t xml:space="preserve"> </w:t>
      </w:r>
      <w:r w:rsidR="00553E86" w:rsidRPr="00FE50A6">
        <w:rPr>
          <w:rFonts w:eastAsia="Cambria" w:cs="Times New Roman"/>
          <w:szCs w:val="20"/>
          <w:lang w:val="en-US"/>
        </w:rPr>
        <w:t>to</w:t>
      </w:r>
      <w:r w:rsidRPr="00FE50A6">
        <w:rPr>
          <w:rFonts w:eastAsia="Cambria" w:cs="Times New Roman"/>
          <w:szCs w:val="20"/>
          <w:lang w:val="en-US"/>
        </w:rPr>
        <w:t xml:space="preserve"> the </w:t>
      </w:r>
      <w:r w:rsidR="009D23B3" w:rsidRPr="00FE50A6">
        <w:rPr>
          <w:rFonts w:eastAsia="Cambria" w:cs="Times New Roman"/>
          <w:szCs w:val="20"/>
          <w:lang w:val="en-US"/>
        </w:rPr>
        <w:t>European Convention</w:t>
      </w:r>
      <w:r w:rsidR="00130785" w:rsidRPr="00FE50A6">
        <w:rPr>
          <w:rFonts w:eastAsia="Cambria" w:cs="Times New Roman"/>
          <w:szCs w:val="20"/>
          <w:lang w:val="en-US"/>
        </w:rPr>
        <w:t>)</w:t>
      </w:r>
      <w:r w:rsidR="00EA7E3A" w:rsidRPr="00FE50A6">
        <w:rPr>
          <w:rFonts w:eastAsia="Cambria" w:cs="Times New Roman"/>
          <w:szCs w:val="20"/>
          <w:lang w:val="en-US"/>
        </w:rPr>
        <w:t>.</w:t>
      </w:r>
      <w:r w:rsidR="00130785" w:rsidRPr="00FE50A6">
        <w:rPr>
          <w:rFonts w:eastAsia="Cambria" w:cs="Times New Roman"/>
          <w:szCs w:val="20"/>
          <w:vertAlign w:val="superscript"/>
          <w:lang w:val="en-US"/>
        </w:rPr>
        <w:footnoteReference w:id="549"/>
      </w:r>
    </w:p>
    <w:p w14:paraId="654AFBDC" w14:textId="77777777" w:rsidR="00130785" w:rsidRPr="00FE50A6" w:rsidRDefault="00130785" w:rsidP="00130785">
      <w:pPr>
        <w:tabs>
          <w:tab w:val="clear" w:pos="4419"/>
          <w:tab w:val="clear" w:pos="8838"/>
        </w:tabs>
        <w:rPr>
          <w:rFonts w:eastAsia="MS Mincho" w:cs="System Font Regular"/>
          <w:b/>
          <w:i/>
          <w:szCs w:val="20"/>
          <w:lang w:val="en-US" w:eastAsia="es-ES"/>
        </w:rPr>
      </w:pPr>
    </w:p>
    <w:p w14:paraId="08AD06D5" w14:textId="77777777" w:rsidR="00130785" w:rsidRPr="00FE50A6" w:rsidRDefault="00EA7E3A" w:rsidP="00104264">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System Font Regular"/>
          <w:szCs w:val="20"/>
          <w:lang w:val="en-US"/>
        </w:rPr>
        <w:t>Similarly</w:t>
      </w:r>
      <w:r w:rsidR="00130785" w:rsidRPr="00FE50A6">
        <w:rPr>
          <w:rFonts w:eastAsia="Cambria" w:cs="System Font Regular"/>
          <w:szCs w:val="20"/>
          <w:lang w:val="en-US"/>
        </w:rPr>
        <w:t xml:space="preserve">, </w:t>
      </w:r>
      <w:r w:rsidRPr="00FE50A6">
        <w:rPr>
          <w:rFonts w:eastAsia="Cambria" w:cs="System Font Regular"/>
          <w:szCs w:val="20"/>
          <w:lang w:val="en-US"/>
        </w:rPr>
        <w:t xml:space="preserve">under the European system, a significant </w:t>
      </w:r>
      <w:r w:rsidR="003F189E" w:rsidRPr="00FE50A6">
        <w:rPr>
          <w:rFonts w:eastAsia="Cambria" w:cs="System Font Regular"/>
          <w:szCs w:val="20"/>
          <w:lang w:val="en-US"/>
        </w:rPr>
        <w:t>provision</w:t>
      </w:r>
      <w:r w:rsidRPr="00FE50A6">
        <w:rPr>
          <w:rFonts w:eastAsia="Cambria" w:cs="System Font Regular"/>
          <w:szCs w:val="20"/>
          <w:lang w:val="en-US"/>
        </w:rPr>
        <w:t xml:space="preserve"> can be found in </w:t>
      </w:r>
      <w:r w:rsidR="00104264" w:rsidRPr="00FE50A6">
        <w:rPr>
          <w:rFonts w:eastAsia="Cambria" w:cs="System Font Regular"/>
          <w:szCs w:val="20"/>
          <w:lang w:val="en-US"/>
        </w:rPr>
        <w:t>A</w:t>
      </w:r>
      <w:r w:rsidRPr="00FE50A6">
        <w:rPr>
          <w:rFonts w:eastAsia="Cambria" w:cs="System Font Regular"/>
          <w:szCs w:val="20"/>
          <w:lang w:val="en-US"/>
        </w:rPr>
        <w:t xml:space="preserve">rticle 30 of the </w:t>
      </w:r>
      <w:r w:rsidR="00553E86" w:rsidRPr="00FE50A6">
        <w:rPr>
          <w:rFonts w:eastAsia="Cambria" w:cs="System Font Regular"/>
          <w:szCs w:val="20"/>
          <w:lang w:val="en-US"/>
        </w:rPr>
        <w:t>European Social Charter</w:t>
      </w:r>
      <w:r w:rsidR="00104264" w:rsidRPr="00FE50A6">
        <w:rPr>
          <w:rFonts w:eastAsia="Cambria" w:cs="System Font Regular"/>
          <w:szCs w:val="20"/>
          <w:lang w:val="en-US"/>
        </w:rPr>
        <w:t>, which recognizes</w:t>
      </w:r>
      <w:r w:rsidRPr="00FE50A6">
        <w:rPr>
          <w:rFonts w:eastAsia="Cambria" w:cs="System Font Regular"/>
          <w:szCs w:val="20"/>
          <w:lang w:val="en-US"/>
        </w:rPr>
        <w:t xml:space="preserve"> </w:t>
      </w:r>
      <w:r w:rsidR="00104264" w:rsidRPr="00FE50A6">
        <w:rPr>
          <w:rFonts w:eastAsia="Cambria" w:cs="System Font Regular"/>
          <w:i/>
          <w:szCs w:val="20"/>
          <w:lang w:val="en-US"/>
        </w:rPr>
        <w:t>the right to protection against poverty and social exclusion,</w:t>
      </w:r>
      <w:r w:rsidR="00104264" w:rsidRPr="00FE50A6">
        <w:rPr>
          <w:rFonts w:eastAsia="Cambria" w:cs="System Font Regular"/>
          <w:szCs w:val="20"/>
          <w:lang w:val="en-US"/>
        </w:rPr>
        <w:t xml:space="preserve"> and under which the States undertake “</w:t>
      </w:r>
      <w:r w:rsidR="00104264" w:rsidRPr="00FE50A6">
        <w:rPr>
          <w:rStyle w:val="normal10"/>
          <w:lang w:val="en-US"/>
        </w:rPr>
        <w:t xml:space="preserve">to take measures within the framework of an overall and co-ordinated approach to promote the effective access </w:t>
      </w:r>
      <w:r w:rsidR="00104264" w:rsidRPr="00FE50A6">
        <w:rPr>
          <w:rStyle w:val="normal10"/>
          <w:i/>
          <w:lang w:val="en-US"/>
        </w:rPr>
        <w:t>of persons who live or risk living in a situation of social exclusion or poverty, as well as their families</w:t>
      </w:r>
      <w:r w:rsidR="00104264" w:rsidRPr="00FE50A6">
        <w:rPr>
          <w:rStyle w:val="normal10"/>
          <w:lang w:val="en-US"/>
        </w:rPr>
        <w:t>, to, in particular, employment, housing, training, education, culture and social and medical assistance.</w:t>
      </w:r>
      <w:r w:rsidR="009C48A4" w:rsidRPr="00FE50A6">
        <w:rPr>
          <w:rFonts w:eastAsia="Cambria" w:cs="Times New Roman"/>
          <w:szCs w:val="20"/>
          <w:lang w:val="en-US"/>
        </w:rPr>
        <w:t>”</w:t>
      </w:r>
      <w:r w:rsidR="00130785" w:rsidRPr="00FE50A6">
        <w:rPr>
          <w:rFonts w:eastAsia="Cambria" w:cs="Times New Roman"/>
          <w:szCs w:val="20"/>
          <w:vertAlign w:val="superscript"/>
          <w:lang w:val="en-US"/>
        </w:rPr>
        <w:footnoteReference w:id="550"/>
      </w:r>
      <w:r w:rsidR="00130785" w:rsidRPr="00FE50A6">
        <w:rPr>
          <w:rFonts w:eastAsia="Cambria" w:cs="Times New Roman"/>
          <w:szCs w:val="20"/>
          <w:lang w:val="en-US"/>
        </w:rPr>
        <w:t xml:space="preserve"> </w:t>
      </w:r>
    </w:p>
    <w:p w14:paraId="70EBE009" w14:textId="77777777" w:rsidR="00130785" w:rsidRPr="00FE50A6" w:rsidRDefault="00130785" w:rsidP="00130785">
      <w:pPr>
        <w:tabs>
          <w:tab w:val="clear" w:pos="4419"/>
          <w:tab w:val="clear" w:pos="8838"/>
        </w:tabs>
        <w:rPr>
          <w:rFonts w:eastAsia="MS Mincho" w:cs="Times New Roman"/>
          <w:szCs w:val="20"/>
          <w:lang w:val="en-US" w:eastAsia="es-ES"/>
        </w:rPr>
      </w:pPr>
    </w:p>
    <w:p w14:paraId="23FE9E20" w14:textId="77777777" w:rsidR="00130785" w:rsidRPr="00FE50A6" w:rsidRDefault="00104264" w:rsidP="00104264">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Times New Roman"/>
          <w:szCs w:val="20"/>
          <w:lang w:val="en-US"/>
        </w:rPr>
        <w:t xml:space="preserve">This provision of the </w:t>
      </w:r>
      <w:r w:rsidR="00553E86" w:rsidRPr="00FE50A6">
        <w:rPr>
          <w:rFonts w:eastAsia="Cambria" w:cs="Times New Roman"/>
          <w:lang w:val="en-US"/>
        </w:rPr>
        <w:t>European Social Charter</w:t>
      </w:r>
      <w:r w:rsidR="00130785" w:rsidRPr="00FE50A6">
        <w:rPr>
          <w:rFonts w:eastAsia="Cambria" w:cs="Times New Roman"/>
          <w:lang w:val="en-US"/>
        </w:rPr>
        <w:t xml:space="preserve"> </w:t>
      </w:r>
      <w:r w:rsidRPr="00FE50A6">
        <w:rPr>
          <w:rFonts w:eastAsia="Cambria" w:cs="Times New Roman"/>
          <w:lang w:val="en-US"/>
        </w:rPr>
        <w:t xml:space="preserve">has the explicit purpose of alleviating poverty and social exclusion </w:t>
      </w:r>
      <w:r w:rsidR="0054425B" w:rsidRPr="00FE50A6">
        <w:rPr>
          <w:rFonts w:eastAsia="Cambria" w:cs="Times New Roman"/>
          <w:lang w:val="en-US"/>
        </w:rPr>
        <w:t xml:space="preserve">by </w:t>
      </w:r>
      <w:r w:rsidRPr="00FE50A6">
        <w:rPr>
          <w:rFonts w:eastAsia="Cambria" w:cs="Times New Roman"/>
          <w:lang w:val="en-US"/>
        </w:rPr>
        <w:t>obliging States to take a coordinated approach to these matters. Thus,</w:t>
      </w:r>
      <w:r w:rsidR="00050AB5" w:rsidRPr="00FE50A6">
        <w:rPr>
          <w:rFonts w:eastAsia="Cambria" w:cs="Times New Roman"/>
          <w:lang w:val="en-US"/>
        </w:rPr>
        <w:t xml:space="preserve"> </w:t>
      </w:r>
      <w:r w:rsidRPr="00FE50A6">
        <w:rPr>
          <w:rFonts w:eastAsia="Cambria" w:cs="Times New Roman"/>
          <w:i/>
          <w:lang w:val="en-US"/>
        </w:rPr>
        <w:t>poverty</w:t>
      </w:r>
      <w:r w:rsidRPr="00FE50A6">
        <w:rPr>
          <w:rFonts w:eastAsia="Cambria" w:cs="Times New Roman"/>
          <w:lang w:val="en-US"/>
        </w:rPr>
        <w:t xml:space="preserve"> </w:t>
      </w:r>
      <w:r w:rsidR="0054425B" w:rsidRPr="00FE50A6">
        <w:rPr>
          <w:rFonts w:eastAsia="Cambria" w:cs="Times New Roman"/>
          <w:lang w:val="en-US"/>
        </w:rPr>
        <w:t xml:space="preserve">is understood to </w:t>
      </w:r>
      <w:r w:rsidR="00050AB5" w:rsidRPr="00FE50A6">
        <w:rPr>
          <w:rFonts w:eastAsia="Cambria" w:cs="Times New Roman"/>
          <w:lang w:val="en-US"/>
        </w:rPr>
        <w:t>encompass individuals who are in situations that range from</w:t>
      </w:r>
      <w:r w:rsidR="00EA7875" w:rsidRPr="00FE50A6">
        <w:rPr>
          <w:rFonts w:eastAsia="Cambria" w:cs="Times New Roman"/>
          <w:lang w:val="en-US"/>
        </w:rPr>
        <w:t xml:space="preserve"> their</w:t>
      </w:r>
      <w:r w:rsidR="00050AB5" w:rsidRPr="00FE50A6">
        <w:rPr>
          <w:rFonts w:eastAsia="Cambria" w:cs="Times New Roman"/>
          <w:lang w:val="en-US"/>
        </w:rPr>
        <w:t xml:space="preserve"> </w:t>
      </w:r>
      <w:r w:rsidR="00EA7875" w:rsidRPr="00FE50A6">
        <w:rPr>
          <w:rFonts w:eastAsia="Cambria" w:cs="Times New Roman"/>
          <w:lang w:val="en-US"/>
        </w:rPr>
        <w:t xml:space="preserve">families living in </w:t>
      </w:r>
      <w:r w:rsidR="00050AB5" w:rsidRPr="00FE50A6">
        <w:rPr>
          <w:rFonts w:eastAsia="Cambria" w:cs="Times New Roman"/>
          <w:lang w:val="en-US"/>
        </w:rPr>
        <w:t xml:space="preserve">extreme poverty for several generations to those who are temporarily exposed to the risk of suffering poverty. Meanwhile, the term </w:t>
      </w:r>
      <w:r w:rsidR="00050AB5" w:rsidRPr="00FE50A6">
        <w:rPr>
          <w:rFonts w:eastAsia="Cambria" w:cs="Times New Roman"/>
          <w:i/>
          <w:lang w:val="en-US"/>
        </w:rPr>
        <w:t>social exclusion</w:t>
      </w:r>
      <w:r w:rsidR="00050AB5" w:rsidRPr="00FE50A6">
        <w:rPr>
          <w:rFonts w:eastAsia="Cambria" w:cs="Times New Roman"/>
          <w:lang w:val="en-US"/>
        </w:rPr>
        <w:t xml:space="preserve"> is understood to refer to </w:t>
      </w:r>
      <w:r w:rsidR="00EA7875" w:rsidRPr="00FE50A6">
        <w:rPr>
          <w:rFonts w:eastAsia="Cambria" w:cs="Times New Roman"/>
          <w:lang w:val="en-US"/>
        </w:rPr>
        <w:t>the</w:t>
      </w:r>
      <w:r w:rsidR="00050AB5" w:rsidRPr="00FE50A6">
        <w:rPr>
          <w:rFonts w:eastAsia="Cambria" w:cs="Times New Roman"/>
          <w:lang w:val="en-US"/>
        </w:rPr>
        <w:t xml:space="preserve"> situation of those who are </w:t>
      </w:r>
      <w:r w:rsidR="00EA7875" w:rsidRPr="00FE50A6">
        <w:rPr>
          <w:rFonts w:eastAsia="Cambria" w:cs="Times New Roman"/>
          <w:lang w:val="en-US"/>
        </w:rPr>
        <w:t>living in</w:t>
      </w:r>
      <w:r w:rsidR="00050AB5" w:rsidRPr="00FE50A6">
        <w:rPr>
          <w:rFonts w:eastAsia="Cambria" w:cs="Times New Roman"/>
          <w:lang w:val="en-US"/>
        </w:rPr>
        <w:t xml:space="preserve"> extreme poverty owing to an accumulation of disadvantages, who </w:t>
      </w:r>
      <w:r w:rsidR="00EA7875" w:rsidRPr="00FE50A6">
        <w:rPr>
          <w:rFonts w:eastAsia="Cambria" w:cs="Times New Roman"/>
          <w:lang w:val="en-US"/>
        </w:rPr>
        <w:t>experience</w:t>
      </w:r>
      <w:r w:rsidR="00050AB5" w:rsidRPr="00FE50A6">
        <w:rPr>
          <w:rFonts w:eastAsia="Cambria" w:cs="Times New Roman"/>
          <w:lang w:val="en-US"/>
        </w:rPr>
        <w:t xml:space="preserve"> degrading </w:t>
      </w:r>
      <w:r w:rsidR="00EA7875" w:rsidRPr="00FE50A6">
        <w:rPr>
          <w:rFonts w:eastAsia="Cambria" w:cs="Times New Roman"/>
          <w:lang w:val="en-US"/>
        </w:rPr>
        <w:t>conditions</w:t>
      </w:r>
      <w:r w:rsidR="00050AB5" w:rsidRPr="00FE50A6">
        <w:rPr>
          <w:rFonts w:eastAsia="Cambria" w:cs="Times New Roman"/>
          <w:lang w:val="en-US"/>
        </w:rPr>
        <w:t xml:space="preserve"> </w:t>
      </w:r>
      <w:r w:rsidR="00EA7875" w:rsidRPr="00FE50A6">
        <w:rPr>
          <w:rFonts w:eastAsia="Cambria" w:cs="Times New Roman"/>
          <w:lang w:val="en-US"/>
        </w:rPr>
        <w:t xml:space="preserve">and actions </w:t>
      </w:r>
      <w:r w:rsidR="00050AB5" w:rsidRPr="00FE50A6">
        <w:rPr>
          <w:rFonts w:eastAsia="Cambria" w:cs="Times New Roman"/>
          <w:lang w:val="en-US"/>
        </w:rPr>
        <w:t>or marginalization, whose rights to receive certain benefits (provided by the State) may have expired some time previously</w:t>
      </w:r>
      <w:r w:rsidR="007860B0" w:rsidRPr="00FE50A6">
        <w:rPr>
          <w:rFonts w:eastAsia="Cambria" w:cs="Times New Roman"/>
          <w:lang w:val="en-US"/>
        </w:rPr>
        <w:t>,</w:t>
      </w:r>
      <w:r w:rsidR="00050AB5" w:rsidRPr="00FE50A6">
        <w:rPr>
          <w:rFonts w:eastAsia="Cambria" w:cs="Times New Roman"/>
          <w:lang w:val="en-US"/>
        </w:rPr>
        <w:t xml:space="preserve"> or whose situation is the result of concurring circumstances.</w:t>
      </w:r>
      <w:r w:rsidR="00130785" w:rsidRPr="00FE50A6">
        <w:rPr>
          <w:rFonts w:eastAsia="Cambria" w:cs="Times New Roman"/>
          <w:szCs w:val="20"/>
          <w:vertAlign w:val="superscript"/>
          <w:lang w:val="en-US"/>
        </w:rPr>
        <w:footnoteReference w:id="551"/>
      </w:r>
      <w:r w:rsidR="00130785" w:rsidRPr="00FE50A6">
        <w:rPr>
          <w:rFonts w:eastAsia="Cambria" w:cs="Times New Roman"/>
          <w:lang w:val="en-US"/>
        </w:rPr>
        <w:t xml:space="preserve"> </w:t>
      </w:r>
    </w:p>
    <w:p w14:paraId="7A04F7FB" w14:textId="77777777" w:rsidR="00130785" w:rsidRPr="00FE50A6" w:rsidRDefault="00130785" w:rsidP="00130785">
      <w:pPr>
        <w:tabs>
          <w:tab w:val="clear" w:pos="4419"/>
          <w:tab w:val="clear" w:pos="8838"/>
        </w:tabs>
        <w:contextualSpacing/>
        <w:jc w:val="both"/>
        <w:rPr>
          <w:rFonts w:eastAsia="Cambria" w:cs="System Font Regular"/>
          <w:b/>
          <w:i/>
          <w:szCs w:val="20"/>
          <w:lang w:val="en-US"/>
        </w:rPr>
      </w:pPr>
    </w:p>
    <w:p w14:paraId="2BAA4787" w14:textId="77777777" w:rsidR="00130785" w:rsidRPr="00FE50A6" w:rsidRDefault="00130785" w:rsidP="00130785">
      <w:pPr>
        <w:tabs>
          <w:tab w:val="clear" w:pos="4419"/>
          <w:tab w:val="clear" w:pos="8838"/>
        </w:tabs>
        <w:contextualSpacing/>
        <w:jc w:val="both"/>
        <w:rPr>
          <w:rFonts w:eastAsia="Cambria" w:cs="Times New Roman"/>
          <w:i/>
          <w:szCs w:val="20"/>
          <w:lang w:val="en-US"/>
        </w:rPr>
      </w:pPr>
      <w:r w:rsidRPr="00FE50A6">
        <w:rPr>
          <w:rFonts w:eastAsia="Cambria" w:cs="Times New Roman"/>
          <w:i/>
          <w:szCs w:val="20"/>
          <w:lang w:val="en-US"/>
        </w:rPr>
        <w:t xml:space="preserve">ii) </w:t>
      </w:r>
      <w:r w:rsidR="00B44229" w:rsidRPr="00FE50A6">
        <w:rPr>
          <w:rFonts w:eastAsia="Cambria" w:cs="Times New Roman"/>
          <w:i/>
          <w:szCs w:val="20"/>
          <w:lang w:val="en-US"/>
        </w:rPr>
        <w:t>African human rights system</w:t>
      </w:r>
    </w:p>
    <w:p w14:paraId="3E86DCE3"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56D4B7F2" w14:textId="77777777" w:rsidR="00130785" w:rsidRPr="00FE50A6" w:rsidRDefault="00050AB5" w:rsidP="00AC50D9">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System Font Regular"/>
          <w:szCs w:val="20"/>
          <w:lang w:val="en-US"/>
        </w:rPr>
        <w:t>Article 2 of the</w:t>
      </w:r>
      <w:r w:rsidR="00130785" w:rsidRPr="00FE50A6">
        <w:rPr>
          <w:rFonts w:eastAsia="Cambria" w:cs="System Font Regular"/>
          <w:szCs w:val="20"/>
          <w:lang w:val="en-US"/>
        </w:rPr>
        <w:t xml:space="preserve"> </w:t>
      </w:r>
      <w:r w:rsidR="008232F3" w:rsidRPr="00FE50A6">
        <w:rPr>
          <w:rFonts w:eastAsia="Cambria" w:cs="System Font Regular"/>
          <w:szCs w:val="20"/>
          <w:lang w:val="en-US"/>
        </w:rPr>
        <w:t>African Charter on Human and Peoples’ Rights</w:t>
      </w:r>
      <w:r w:rsidRPr="00FE50A6">
        <w:rPr>
          <w:rFonts w:eastAsia="Cambria" w:cs="System Font Regular"/>
          <w:szCs w:val="20"/>
          <w:lang w:val="en-US"/>
        </w:rPr>
        <w:t xml:space="preserve"> – or the Banjul Charter – establishes that </w:t>
      </w:r>
      <w:r w:rsidR="009C48A4" w:rsidRPr="00FE50A6">
        <w:rPr>
          <w:rFonts w:eastAsia="Cambria" w:cs="System Font Regular"/>
          <w:szCs w:val="20"/>
          <w:lang w:val="en-US"/>
        </w:rPr>
        <w:t>“</w:t>
      </w:r>
      <w:r w:rsidR="00130785" w:rsidRPr="00FE50A6">
        <w:rPr>
          <w:rFonts w:eastAsia="Cambria" w:cs="System Font Regular"/>
          <w:szCs w:val="20"/>
          <w:lang w:val="en-US"/>
        </w:rPr>
        <w:t>[</w:t>
      </w:r>
      <w:r w:rsidR="00AC50D9" w:rsidRPr="00FE50A6">
        <w:rPr>
          <w:rFonts w:eastAsia="Cambria" w:cs="System Font Regular"/>
          <w:szCs w:val="20"/>
          <w:lang w:val="en-US"/>
        </w:rPr>
        <w:t>e]</w:t>
      </w:r>
      <w:r w:rsidR="00AC50D9" w:rsidRPr="00FE50A6">
        <w:rPr>
          <w:szCs w:val="20"/>
          <w:lang w:val="en-US"/>
        </w:rPr>
        <w:t>very individual shall be entitled to the enjoyment of the rights and freedoms recognized and guaranteed in the present Charter without distinction of any kind such as race, ethnic group, colour, sex, language, religion, political or any other opinion, national and social origin, fortune, birth or other status.</w:t>
      </w:r>
      <w:r w:rsidR="009C48A4" w:rsidRPr="00FE50A6">
        <w:rPr>
          <w:rFonts w:eastAsia="Cambria" w:cs="System Font Regular"/>
          <w:szCs w:val="20"/>
          <w:lang w:val="en-US"/>
        </w:rPr>
        <w:t>”</w:t>
      </w:r>
      <w:r w:rsidR="00130785" w:rsidRPr="00FE50A6">
        <w:rPr>
          <w:rFonts w:eastAsia="Cambria" w:cs="System Font Regular"/>
          <w:szCs w:val="20"/>
          <w:lang w:val="en-US"/>
        </w:rPr>
        <w:t xml:space="preserve"> </w:t>
      </w:r>
      <w:r w:rsidR="00AC50D9" w:rsidRPr="00FE50A6">
        <w:rPr>
          <w:rFonts w:eastAsia="Cambria" w:cs="System Font Regular"/>
          <w:szCs w:val="20"/>
          <w:lang w:val="en-US"/>
        </w:rPr>
        <w:t>Thus, neither economic status or poverty are expressly mentioned as categories requiring special protection, which does not prevent them being incorporated under “or other status.”</w:t>
      </w:r>
    </w:p>
    <w:p w14:paraId="39A1A3B1" w14:textId="77777777" w:rsidR="00130785" w:rsidRPr="00FE50A6" w:rsidRDefault="00130785" w:rsidP="00130785">
      <w:pPr>
        <w:tabs>
          <w:tab w:val="clear" w:pos="4419"/>
          <w:tab w:val="clear" w:pos="8838"/>
        </w:tabs>
        <w:contextualSpacing/>
        <w:jc w:val="both"/>
        <w:rPr>
          <w:rFonts w:eastAsia="Cambria" w:cs="System Font Regular"/>
          <w:b/>
          <w:i/>
          <w:szCs w:val="20"/>
          <w:lang w:val="en-US"/>
        </w:rPr>
      </w:pPr>
    </w:p>
    <w:p w14:paraId="0911A2E8" w14:textId="77777777" w:rsidR="00130785" w:rsidRPr="00FE50A6" w:rsidRDefault="00AC50D9" w:rsidP="008B0BCC">
      <w:pPr>
        <w:numPr>
          <w:ilvl w:val="0"/>
          <w:numId w:val="26"/>
        </w:numPr>
        <w:tabs>
          <w:tab w:val="clear" w:pos="4419"/>
          <w:tab w:val="clear" w:pos="8838"/>
        </w:tabs>
        <w:contextualSpacing/>
        <w:jc w:val="both"/>
        <w:rPr>
          <w:rFonts w:eastAsia="Cambria" w:cs="System Font Regular"/>
          <w:b/>
          <w:i/>
          <w:szCs w:val="20"/>
          <w:lang w:val="en-US"/>
        </w:rPr>
      </w:pPr>
      <w:r w:rsidRPr="00FE50A6">
        <w:rPr>
          <w:rFonts w:eastAsia="Cambria" w:cs="System Font Regular"/>
          <w:szCs w:val="20"/>
          <w:lang w:val="en-US"/>
        </w:rPr>
        <w:t>In the case of</w:t>
      </w:r>
      <w:r w:rsidR="00130785" w:rsidRPr="00FE50A6">
        <w:rPr>
          <w:rFonts w:eastAsia="Cambria" w:cs="System Font Regular"/>
          <w:szCs w:val="20"/>
          <w:lang w:val="en-US"/>
        </w:rPr>
        <w:t xml:space="preserve"> </w:t>
      </w:r>
      <w:r w:rsidR="00130785" w:rsidRPr="00FE50A6">
        <w:rPr>
          <w:rFonts w:eastAsia="Cambria" w:cs="System Font Regular"/>
          <w:i/>
          <w:szCs w:val="20"/>
          <w:lang w:val="en-US"/>
        </w:rPr>
        <w:t xml:space="preserve">Endorois </w:t>
      </w:r>
      <w:r w:rsidR="000228D0" w:rsidRPr="00FE50A6">
        <w:rPr>
          <w:rFonts w:eastAsia="Cambria" w:cs="System Font Regular"/>
          <w:i/>
          <w:szCs w:val="20"/>
          <w:lang w:val="en-US"/>
        </w:rPr>
        <w:t>v.</w:t>
      </w:r>
      <w:r w:rsidR="00130785" w:rsidRPr="00FE50A6">
        <w:rPr>
          <w:rFonts w:eastAsia="Cambria" w:cs="System Font Regular"/>
          <w:i/>
          <w:szCs w:val="20"/>
          <w:lang w:val="en-US"/>
        </w:rPr>
        <w:t xml:space="preserve"> Ken</w:t>
      </w:r>
      <w:r w:rsidRPr="00FE50A6">
        <w:rPr>
          <w:rFonts w:eastAsia="Cambria" w:cs="System Font Regular"/>
          <w:i/>
          <w:szCs w:val="20"/>
          <w:lang w:val="en-US"/>
        </w:rPr>
        <w:t>y</w:t>
      </w:r>
      <w:r w:rsidR="00130785" w:rsidRPr="00FE50A6">
        <w:rPr>
          <w:rFonts w:eastAsia="Cambria" w:cs="System Font Regular"/>
          <w:szCs w:val="20"/>
          <w:lang w:val="en-US"/>
        </w:rPr>
        <w:t xml:space="preserve">a, </w:t>
      </w:r>
      <w:r w:rsidR="000228D0" w:rsidRPr="00FE50A6">
        <w:rPr>
          <w:rFonts w:eastAsia="Cambria" w:cs="System Font Regular"/>
          <w:szCs w:val="20"/>
          <w:lang w:val="en-US"/>
        </w:rPr>
        <w:t xml:space="preserve">the </w:t>
      </w:r>
      <w:r w:rsidR="0055567E" w:rsidRPr="00FE50A6">
        <w:rPr>
          <w:rFonts w:eastAsia="Cambria" w:cs="System Font Regular"/>
          <w:szCs w:val="20"/>
          <w:lang w:val="en-US"/>
        </w:rPr>
        <w:t>African Commission on Human and Peoples’ Rights</w:t>
      </w:r>
      <w:r w:rsidR="00130785" w:rsidRPr="00FE50A6">
        <w:rPr>
          <w:rFonts w:eastAsia="Cambria" w:cs="System Font Regular"/>
          <w:szCs w:val="20"/>
          <w:lang w:val="en-US"/>
        </w:rPr>
        <w:t xml:space="preserve"> consider</w:t>
      </w:r>
      <w:r w:rsidRPr="00FE50A6">
        <w:rPr>
          <w:rFonts w:eastAsia="Cambria" w:cs="System Font Regular"/>
          <w:szCs w:val="20"/>
          <w:lang w:val="en-US"/>
        </w:rPr>
        <w:t>ed, in relation to</w:t>
      </w:r>
      <w:r w:rsidR="00130785" w:rsidRPr="00FE50A6">
        <w:rPr>
          <w:rFonts w:eastAsia="Cambria" w:cs="System Font Regular"/>
          <w:szCs w:val="20"/>
          <w:lang w:val="en-US"/>
        </w:rPr>
        <w:t xml:space="preserve"> </w:t>
      </w:r>
      <w:r w:rsidR="007571DF" w:rsidRPr="00FE50A6">
        <w:rPr>
          <w:rFonts w:eastAsia="Cambria" w:cs="System Font Regular"/>
          <w:szCs w:val="20"/>
          <w:lang w:val="en-US"/>
        </w:rPr>
        <w:t xml:space="preserve">the </w:t>
      </w:r>
      <w:r w:rsidR="00700B79" w:rsidRPr="00FE50A6">
        <w:rPr>
          <w:rFonts w:eastAsia="Cambria" w:cs="System Font Regular"/>
          <w:szCs w:val="20"/>
          <w:lang w:val="en-US"/>
        </w:rPr>
        <w:t>violation</w:t>
      </w:r>
      <w:r w:rsidR="00130785" w:rsidRPr="00FE50A6">
        <w:rPr>
          <w:rFonts w:eastAsia="Cambria" w:cs="System Font Regular"/>
          <w:szCs w:val="20"/>
          <w:lang w:val="en-US"/>
        </w:rPr>
        <w:t xml:space="preserve"> </w:t>
      </w:r>
      <w:r w:rsidR="00703850" w:rsidRPr="00FE50A6">
        <w:rPr>
          <w:rFonts w:eastAsia="Cambria" w:cs="System Font Regular"/>
          <w:szCs w:val="20"/>
          <w:lang w:val="en-US"/>
        </w:rPr>
        <w:t>of Article</w:t>
      </w:r>
      <w:r w:rsidR="00130785" w:rsidRPr="00FE50A6">
        <w:rPr>
          <w:rFonts w:eastAsia="Cambria" w:cs="System Font Regular"/>
          <w:szCs w:val="20"/>
          <w:lang w:val="en-US"/>
        </w:rPr>
        <w:t xml:space="preserve"> 17</w:t>
      </w:r>
      <w:r w:rsidRPr="00FE50A6">
        <w:rPr>
          <w:rFonts w:eastAsia="Cambria" w:cs="System Font Regular"/>
          <w:szCs w:val="20"/>
          <w:lang w:val="en-US"/>
        </w:rPr>
        <w:t>(</w:t>
      </w:r>
      <w:r w:rsidR="00130785" w:rsidRPr="00FE50A6">
        <w:rPr>
          <w:rFonts w:eastAsia="Cambria" w:cs="System Font Regular"/>
          <w:szCs w:val="20"/>
          <w:lang w:val="en-US"/>
        </w:rPr>
        <w:t>2</w:t>
      </w:r>
      <w:r w:rsidRPr="00FE50A6">
        <w:rPr>
          <w:rFonts w:eastAsia="Cambria" w:cs="System Font Regular"/>
          <w:szCs w:val="20"/>
          <w:lang w:val="en-US"/>
        </w:rPr>
        <w:t>)</w:t>
      </w:r>
      <w:r w:rsidR="00130785" w:rsidRPr="00FE50A6">
        <w:rPr>
          <w:rFonts w:eastAsia="Cambria" w:cs="System Font Regular"/>
          <w:szCs w:val="20"/>
          <w:lang w:val="en-US"/>
        </w:rPr>
        <w:t xml:space="preserve"> (participa</w:t>
      </w:r>
      <w:r w:rsidRPr="00FE50A6">
        <w:rPr>
          <w:rFonts w:eastAsia="Cambria" w:cs="System Font Regular"/>
          <w:szCs w:val="20"/>
          <w:lang w:val="en-US"/>
        </w:rPr>
        <w:t>tion in cultural life of the community</w:t>
      </w:r>
      <w:r w:rsidR="00130785" w:rsidRPr="00FE50A6">
        <w:rPr>
          <w:rFonts w:eastAsia="Cambria" w:cs="System Font Regular"/>
          <w:szCs w:val="20"/>
          <w:lang w:val="en-US"/>
        </w:rPr>
        <w:t>)</w:t>
      </w:r>
      <w:r w:rsidR="00030C17" w:rsidRPr="00FE50A6">
        <w:rPr>
          <w:rFonts w:eastAsia="Cambria" w:cs="System Font Regular"/>
          <w:szCs w:val="20"/>
          <w:lang w:val="en-US"/>
        </w:rPr>
        <w:t xml:space="preserve"> and </w:t>
      </w:r>
      <w:r w:rsidR="00130785" w:rsidRPr="00FE50A6">
        <w:rPr>
          <w:rFonts w:eastAsia="Cambria" w:cs="System Font Regular"/>
          <w:szCs w:val="20"/>
          <w:lang w:val="en-US"/>
        </w:rPr>
        <w:t>17</w:t>
      </w:r>
      <w:r w:rsidRPr="00FE50A6">
        <w:rPr>
          <w:rFonts w:eastAsia="Cambria" w:cs="System Font Regular"/>
          <w:szCs w:val="20"/>
          <w:lang w:val="en-US"/>
        </w:rPr>
        <w:t>(</w:t>
      </w:r>
      <w:r w:rsidR="00130785" w:rsidRPr="00FE50A6">
        <w:rPr>
          <w:rFonts w:eastAsia="Cambria" w:cs="System Font Regular"/>
          <w:szCs w:val="20"/>
          <w:lang w:val="en-US"/>
        </w:rPr>
        <w:t>3</w:t>
      </w:r>
      <w:r w:rsidRPr="00FE50A6">
        <w:rPr>
          <w:rFonts w:eastAsia="Cambria" w:cs="System Font Regular"/>
          <w:szCs w:val="20"/>
          <w:lang w:val="en-US"/>
        </w:rPr>
        <w:t>)</w:t>
      </w:r>
      <w:r w:rsidR="00130785" w:rsidRPr="00FE50A6">
        <w:rPr>
          <w:rFonts w:eastAsia="Cambria" w:cs="System Font Regular"/>
          <w:szCs w:val="20"/>
          <w:lang w:val="en-US"/>
        </w:rPr>
        <w:t xml:space="preserve"> (protec</w:t>
      </w:r>
      <w:r w:rsidRPr="00FE50A6">
        <w:rPr>
          <w:rFonts w:eastAsia="Cambria" w:cs="System Font Regular"/>
          <w:szCs w:val="20"/>
          <w:lang w:val="en-US"/>
        </w:rPr>
        <w:t>tion of traditional values)</w:t>
      </w:r>
      <w:r w:rsidR="004774FD" w:rsidRPr="00FE50A6">
        <w:rPr>
          <w:rFonts w:eastAsia="Cambria" w:cs="System Font Regular"/>
          <w:szCs w:val="20"/>
          <w:lang w:val="en-US"/>
        </w:rPr>
        <w:t>,</w:t>
      </w:r>
      <w:r w:rsidRPr="00FE50A6">
        <w:rPr>
          <w:rFonts w:eastAsia="Cambria" w:cs="System Font Regular"/>
          <w:szCs w:val="20"/>
          <w:lang w:val="en-US"/>
        </w:rPr>
        <w:t xml:space="preserve"> that</w:t>
      </w:r>
      <w:r w:rsidR="00130785" w:rsidRPr="00FE50A6">
        <w:rPr>
          <w:rFonts w:eastAsia="Cambria" w:cs="System Font Regular"/>
          <w:szCs w:val="20"/>
          <w:lang w:val="en-US"/>
        </w:rPr>
        <w:t xml:space="preserve"> </w:t>
      </w:r>
      <w:r w:rsidR="000228D0" w:rsidRPr="00FE50A6">
        <w:rPr>
          <w:rFonts w:eastAsia="Cambria" w:cs="System Font Regular"/>
          <w:szCs w:val="20"/>
          <w:lang w:val="en-US"/>
        </w:rPr>
        <w:t>the State</w:t>
      </w:r>
      <w:r w:rsidR="00130785" w:rsidRPr="00FE50A6">
        <w:rPr>
          <w:rFonts w:eastAsia="Cambria" w:cs="System Font Regular"/>
          <w:szCs w:val="20"/>
          <w:lang w:val="en-US"/>
        </w:rPr>
        <w:t xml:space="preserve"> </w:t>
      </w:r>
      <w:r w:rsidRPr="00FE50A6">
        <w:rPr>
          <w:rFonts w:eastAsia="Cambria" w:cs="System Font Regular"/>
          <w:szCs w:val="20"/>
          <w:lang w:val="en-US"/>
        </w:rPr>
        <w:t>should take positive actions to eliminate the difficulties faced by the indigenous communities, including extreme poverty. Thus, it established that:</w:t>
      </w:r>
    </w:p>
    <w:p w14:paraId="04A35D73" w14:textId="77777777" w:rsidR="00130785" w:rsidRPr="00FE50A6" w:rsidRDefault="00130785" w:rsidP="00130785">
      <w:pPr>
        <w:tabs>
          <w:tab w:val="clear" w:pos="4419"/>
          <w:tab w:val="clear" w:pos="8838"/>
        </w:tabs>
        <w:rPr>
          <w:rFonts w:eastAsia="MS Mincho" w:cs="System Font Regular"/>
          <w:sz w:val="24"/>
          <w:szCs w:val="20"/>
          <w:lang w:val="en-US" w:eastAsia="es-ES"/>
        </w:rPr>
      </w:pPr>
    </w:p>
    <w:p w14:paraId="0A44BCFA" w14:textId="77777777" w:rsidR="00130785" w:rsidRPr="00FE50A6" w:rsidRDefault="004774FD" w:rsidP="004774FD">
      <w:pPr>
        <w:tabs>
          <w:tab w:val="clear" w:pos="8838"/>
          <w:tab w:val="right" w:pos="8280"/>
        </w:tabs>
        <w:ind w:left="720" w:right="558"/>
        <w:jc w:val="both"/>
        <w:rPr>
          <w:rFonts w:cs="Arial"/>
          <w:sz w:val="16"/>
          <w:szCs w:val="16"/>
          <w:lang w:val="en-US"/>
        </w:rPr>
      </w:pPr>
      <w:bookmarkStart w:id="402" w:name="_Hlk9926000"/>
      <w:r w:rsidRPr="00FE50A6">
        <w:rPr>
          <w:rFonts w:eastAsia="Cambria" w:cs="System Font Regular"/>
          <w:sz w:val="16"/>
          <w:szCs w:val="16"/>
          <w:lang w:val="en-US"/>
        </w:rPr>
        <w:t>“</w:t>
      </w:r>
      <w:r w:rsidR="005C43DC" w:rsidRPr="00FE50A6">
        <w:rPr>
          <w:rFonts w:eastAsia="Cambria" w:cs="System Font Regular"/>
          <w:sz w:val="16"/>
          <w:szCs w:val="16"/>
          <w:lang w:val="en-US"/>
        </w:rPr>
        <w:t>2</w:t>
      </w:r>
      <w:r w:rsidR="00130785" w:rsidRPr="00FE50A6">
        <w:rPr>
          <w:rFonts w:eastAsia="Cambria" w:cs="System Font Regular"/>
          <w:sz w:val="16"/>
          <w:szCs w:val="16"/>
          <w:lang w:val="en-US"/>
        </w:rPr>
        <w:t xml:space="preserve">48. […] </w:t>
      </w:r>
      <w:r w:rsidR="005C43DC" w:rsidRPr="00FE50A6">
        <w:rPr>
          <w:rFonts w:cs="Arial"/>
          <w:sz w:val="16"/>
          <w:szCs w:val="16"/>
          <w:lang w:val="en-US"/>
        </w:rPr>
        <w:t xml:space="preserve">the Respondent State has a higher duty in terms of taking positive steps to protect groups and communities like the Endorois, but also to promote cultural rights including the creation of opportunities, policies, institutions, or other mechanisms that allow for different cultures and ways of life to exist, develop in view of the challenges facing indigenous communities. These challenges include </w:t>
      </w:r>
      <w:r w:rsidR="005C43DC" w:rsidRPr="00FE50A6">
        <w:rPr>
          <w:rFonts w:cs="Arial"/>
          <w:sz w:val="16"/>
          <w:szCs w:val="16"/>
          <w:u w:val="single"/>
          <w:lang w:val="en-US"/>
        </w:rPr>
        <w:t>exclusion, exploitation, discrimination and extreme poverty</w:t>
      </w:r>
      <w:r w:rsidR="00130785" w:rsidRPr="00FE50A6">
        <w:rPr>
          <w:rFonts w:eastAsia="Cambria" w:cs="System Font Regular"/>
          <w:sz w:val="16"/>
          <w:szCs w:val="16"/>
          <w:u w:val="single"/>
          <w:lang w:val="en-US"/>
        </w:rPr>
        <w:t xml:space="preserve"> </w:t>
      </w:r>
      <w:r w:rsidR="00130785" w:rsidRPr="00FE50A6">
        <w:rPr>
          <w:rFonts w:eastAsia="Cambria" w:cs="System Font Regular"/>
          <w:sz w:val="16"/>
          <w:szCs w:val="16"/>
          <w:lang w:val="en-US"/>
        </w:rPr>
        <w:t>[…]</w:t>
      </w:r>
      <w:r w:rsidR="00711EC1" w:rsidRPr="00FE50A6">
        <w:rPr>
          <w:rFonts w:eastAsia="Cambria" w:cs="System Font Regular"/>
          <w:sz w:val="16"/>
          <w:szCs w:val="16"/>
          <w:lang w:val="en-US"/>
        </w:rPr>
        <w:t>.</w:t>
      </w:r>
      <w:r w:rsidRPr="00FE50A6">
        <w:rPr>
          <w:rFonts w:eastAsia="Cambria" w:cs="System Font Regular"/>
          <w:sz w:val="16"/>
          <w:szCs w:val="16"/>
          <w:lang w:val="en-US"/>
        </w:rPr>
        <w:t>”</w:t>
      </w:r>
      <w:r w:rsidR="00130785" w:rsidRPr="00FE50A6">
        <w:rPr>
          <w:rFonts w:eastAsia="Cambria" w:cs="Times New Roman"/>
          <w:sz w:val="16"/>
          <w:szCs w:val="16"/>
          <w:vertAlign w:val="superscript"/>
          <w:lang w:val="en-US"/>
        </w:rPr>
        <w:footnoteReference w:id="552"/>
      </w:r>
    </w:p>
    <w:bookmarkEnd w:id="402"/>
    <w:p w14:paraId="0A127F24" w14:textId="77777777" w:rsidR="00130785" w:rsidRPr="00FE50A6" w:rsidRDefault="00130785" w:rsidP="00130785">
      <w:pPr>
        <w:tabs>
          <w:tab w:val="clear" w:pos="4419"/>
          <w:tab w:val="clear" w:pos="8838"/>
        </w:tabs>
        <w:rPr>
          <w:rFonts w:eastAsia="MS Mincho" w:cs="System Font Regular"/>
          <w:b/>
          <w:i/>
          <w:sz w:val="24"/>
          <w:szCs w:val="20"/>
          <w:lang w:val="en-US" w:eastAsia="es-ES"/>
        </w:rPr>
      </w:pPr>
    </w:p>
    <w:p w14:paraId="02A44406" w14:textId="77777777" w:rsidR="00130785" w:rsidRPr="00FE50A6" w:rsidRDefault="00711EC1" w:rsidP="00DC4D2B">
      <w:pPr>
        <w:numPr>
          <w:ilvl w:val="0"/>
          <w:numId w:val="26"/>
        </w:numPr>
        <w:tabs>
          <w:tab w:val="clear" w:pos="4419"/>
          <w:tab w:val="clear" w:pos="8838"/>
        </w:tabs>
        <w:contextualSpacing/>
        <w:jc w:val="both"/>
        <w:rPr>
          <w:rFonts w:eastAsia="Cambria" w:cs="System Font Regular"/>
          <w:b/>
          <w:szCs w:val="20"/>
          <w:lang w:val="en-US"/>
        </w:rPr>
      </w:pPr>
      <w:r w:rsidRPr="00FE50A6">
        <w:rPr>
          <w:rFonts w:eastAsia="Cambria" w:cs="System Font Regular"/>
          <w:szCs w:val="20"/>
          <w:lang w:val="en-US"/>
        </w:rPr>
        <w:t>Although the Banjul Charter is one of the most progressive instruments as</w:t>
      </w:r>
      <w:r w:rsidR="00DC4D2B" w:rsidRPr="00FE50A6">
        <w:rPr>
          <w:rFonts w:eastAsia="Cambria" w:cs="System Font Regular"/>
          <w:szCs w:val="20"/>
          <w:lang w:val="en-US"/>
        </w:rPr>
        <w:t xml:space="preserve"> regards the incorporation of rights – by expressly recognizing the right to development in its </w:t>
      </w:r>
      <w:r w:rsidR="00D2546E" w:rsidRPr="00FE50A6">
        <w:rPr>
          <w:rFonts w:eastAsia="Cambria" w:cs="System Font Regular"/>
          <w:szCs w:val="20"/>
          <w:lang w:val="en-US"/>
        </w:rPr>
        <w:t>Article</w:t>
      </w:r>
      <w:r w:rsidR="00130785" w:rsidRPr="00FE50A6">
        <w:rPr>
          <w:rFonts w:eastAsia="Cambria" w:cs="System Font Regular"/>
          <w:szCs w:val="20"/>
          <w:lang w:val="en-US"/>
        </w:rPr>
        <w:t xml:space="preserve"> 22</w:t>
      </w:r>
      <w:r w:rsidR="00DC4D2B" w:rsidRPr="00FE50A6">
        <w:rPr>
          <w:rFonts w:eastAsia="Cambria" w:cs="System Font Regular"/>
          <w:szCs w:val="20"/>
          <w:lang w:val="en-US"/>
        </w:rPr>
        <w:t xml:space="preserve"> – the African system does not have significant jurisprudence on the conditions of poverty or economic status,</w:t>
      </w:r>
      <w:r w:rsidR="00130785" w:rsidRPr="00FE50A6">
        <w:rPr>
          <w:rFonts w:eastAsia="Cambria" w:cs="Times New Roman"/>
          <w:szCs w:val="20"/>
          <w:vertAlign w:val="superscript"/>
          <w:lang w:val="en-US"/>
        </w:rPr>
        <w:footnoteReference w:id="553"/>
      </w:r>
      <w:r w:rsidR="00DC4D2B" w:rsidRPr="00FE50A6">
        <w:rPr>
          <w:rFonts w:eastAsia="Cambria" w:cs="System Font Regular"/>
          <w:szCs w:val="20"/>
          <w:lang w:val="en-US"/>
        </w:rPr>
        <w:t xml:space="preserve"> </w:t>
      </w:r>
      <w:r w:rsidR="004774FD" w:rsidRPr="00FE50A6">
        <w:rPr>
          <w:rFonts w:eastAsia="Cambria" w:cs="System Font Regular"/>
          <w:szCs w:val="20"/>
          <w:lang w:val="en-US"/>
        </w:rPr>
        <w:t xml:space="preserve">due </w:t>
      </w:r>
      <w:r w:rsidR="00DC4D2B" w:rsidRPr="00FE50A6">
        <w:rPr>
          <w:rFonts w:eastAsia="Cambria" w:cs="System Font Regular"/>
          <w:szCs w:val="20"/>
          <w:lang w:val="en-US"/>
        </w:rPr>
        <w:t>mainly to the context of the African continent.</w:t>
      </w:r>
    </w:p>
    <w:p w14:paraId="72D259A4" w14:textId="77777777" w:rsidR="00130785" w:rsidRPr="00FE50A6" w:rsidRDefault="00130785" w:rsidP="00130785">
      <w:pPr>
        <w:tabs>
          <w:tab w:val="clear" w:pos="4419"/>
          <w:tab w:val="clear" w:pos="8838"/>
        </w:tabs>
        <w:contextualSpacing/>
        <w:jc w:val="both"/>
        <w:rPr>
          <w:rFonts w:eastAsia="Cambria" w:cs="Times New Roman"/>
          <w:i/>
          <w:szCs w:val="20"/>
          <w:lang w:val="en-US"/>
        </w:rPr>
      </w:pPr>
    </w:p>
    <w:p w14:paraId="0AC5E304" w14:textId="77777777" w:rsidR="00130785" w:rsidRPr="00FE50A6" w:rsidRDefault="00130785" w:rsidP="00130785">
      <w:pPr>
        <w:tabs>
          <w:tab w:val="clear" w:pos="4419"/>
          <w:tab w:val="clear" w:pos="8838"/>
        </w:tabs>
        <w:contextualSpacing/>
        <w:jc w:val="both"/>
        <w:rPr>
          <w:rFonts w:eastAsia="Cambria" w:cs="Times New Roman"/>
          <w:i/>
          <w:szCs w:val="20"/>
          <w:lang w:val="en-US"/>
        </w:rPr>
      </w:pPr>
      <w:r w:rsidRPr="00FE50A6">
        <w:rPr>
          <w:rFonts w:eastAsia="Cambria" w:cs="Times New Roman"/>
          <w:i/>
          <w:szCs w:val="20"/>
          <w:lang w:val="en-US"/>
        </w:rPr>
        <w:t xml:space="preserve">iii) </w:t>
      </w:r>
      <w:r w:rsidR="00061AB2" w:rsidRPr="00FE50A6">
        <w:rPr>
          <w:rFonts w:eastAsia="Cambria" w:cs="Times New Roman"/>
          <w:i/>
          <w:szCs w:val="20"/>
          <w:lang w:val="en-US"/>
        </w:rPr>
        <w:t>Universal human rights system</w:t>
      </w:r>
      <w:r w:rsidRPr="00FE50A6">
        <w:rPr>
          <w:rFonts w:eastAsia="Cambria" w:cs="Times New Roman"/>
          <w:i/>
          <w:szCs w:val="20"/>
          <w:lang w:val="en-US"/>
        </w:rPr>
        <w:t xml:space="preserve">  </w:t>
      </w:r>
    </w:p>
    <w:p w14:paraId="64A2D35D" w14:textId="77777777" w:rsidR="00130785" w:rsidRPr="00FE50A6" w:rsidRDefault="00130785" w:rsidP="00130785">
      <w:pPr>
        <w:tabs>
          <w:tab w:val="clear" w:pos="4419"/>
          <w:tab w:val="clear" w:pos="8838"/>
        </w:tabs>
        <w:contextualSpacing/>
        <w:jc w:val="both"/>
        <w:rPr>
          <w:rFonts w:eastAsia="Cambria" w:cs="Times New Roman"/>
          <w:i/>
          <w:szCs w:val="20"/>
          <w:lang w:val="en-US"/>
        </w:rPr>
      </w:pPr>
    </w:p>
    <w:p w14:paraId="5593787E" w14:textId="77777777" w:rsidR="00130785" w:rsidRPr="00FE50A6" w:rsidRDefault="004774FD" w:rsidP="00733A3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Under</w:t>
      </w:r>
      <w:r w:rsidR="00130785" w:rsidRPr="00FE50A6">
        <w:rPr>
          <w:rFonts w:eastAsia="Cambria" w:cs="Times New Roman"/>
          <w:szCs w:val="20"/>
          <w:lang w:val="en-US"/>
        </w:rPr>
        <w:t xml:space="preserve"> </w:t>
      </w:r>
      <w:r w:rsidRPr="00FE50A6">
        <w:rPr>
          <w:rFonts w:eastAsia="Cambria" w:cs="Times New Roman"/>
          <w:szCs w:val="20"/>
          <w:lang w:val="en-US"/>
        </w:rPr>
        <w:t xml:space="preserve">the </w:t>
      </w:r>
      <w:r w:rsidR="00061AB2" w:rsidRPr="00FE50A6">
        <w:rPr>
          <w:rFonts w:eastAsia="Cambria" w:cs="Times New Roman"/>
          <w:szCs w:val="20"/>
          <w:lang w:val="en-US"/>
        </w:rPr>
        <w:t>universal human rights system</w:t>
      </w:r>
      <w:r w:rsidR="00130785" w:rsidRPr="00FE50A6">
        <w:rPr>
          <w:rFonts w:eastAsia="Cambria" w:cs="Times New Roman"/>
          <w:szCs w:val="20"/>
          <w:lang w:val="en-US"/>
        </w:rPr>
        <w:t xml:space="preserve">, </w:t>
      </w:r>
      <w:r w:rsidR="00061AB2" w:rsidRPr="00FE50A6">
        <w:rPr>
          <w:rFonts w:eastAsia="Cambria" w:cs="Times New Roman"/>
          <w:szCs w:val="20"/>
          <w:lang w:val="en-US"/>
        </w:rPr>
        <w:t>four instruments have defined what should be understood by the word</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003707E5" w:rsidRPr="00FE50A6">
        <w:rPr>
          <w:rFonts w:eastAsia="Cambria" w:cs="Times New Roman"/>
          <w:szCs w:val="20"/>
          <w:lang w:val="en-US"/>
        </w:rPr>
        <w:t>discrimination</w:t>
      </w:r>
      <w:r w:rsidR="009C48A4" w:rsidRPr="00FE50A6">
        <w:rPr>
          <w:rFonts w:eastAsia="Cambria" w:cs="Times New Roman"/>
          <w:szCs w:val="20"/>
          <w:lang w:val="en-US"/>
        </w:rPr>
        <w:t>”</w:t>
      </w:r>
      <w:r w:rsidR="00130785" w:rsidRPr="00FE50A6">
        <w:rPr>
          <w:rFonts w:eastAsia="Cambria" w:cs="Times New Roman"/>
          <w:szCs w:val="20"/>
          <w:lang w:val="en-US"/>
        </w:rPr>
        <w:t xml:space="preserve">: </w:t>
      </w:r>
      <w:r w:rsidR="00061AB2" w:rsidRPr="00FE50A6">
        <w:rPr>
          <w:rFonts w:eastAsia="Cambria" w:cs="Times New Roman"/>
          <w:szCs w:val="20"/>
          <w:lang w:val="en-US"/>
        </w:rPr>
        <w:t>(</w:t>
      </w:r>
      <w:r w:rsidR="00130785" w:rsidRPr="00FE50A6">
        <w:rPr>
          <w:rFonts w:eastAsia="Cambria" w:cs="Times New Roman"/>
          <w:szCs w:val="20"/>
          <w:lang w:val="en-US"/>
        </w:rPr>
        <w:t xml:space="preserve">i) </w:t>
      </w:r>
      <w:r w:rsidR="00061AB2" w:rsidRPr="00FE50A6">
        <w:rPr>
          <w:rFonts w:eastAsia="Cambria" w:cs="Times New Roman"/>
          <w:szCs w:val="20"/>
          <w:lang w:val="en-US"/>
        </w:rPr>
        <w:t>Convention</w:t>
      </w:r>
      <w:r w:rsidR="00130785" w:rsidRPr="00FE50A6">
        <w:rPr>
          <w:rFonts w:eastAsia="Cambria" w:cs="Times New Roman"/>
          <w:szCs w:val="20"/>
          <w:lang w:val="en-US"/>
        </w:rPr>
        <w:t xml:space="preserve"> 111 </w:t>
      </w:r>
      <w:r w:rsidR="00061AB2" w:rsidRPr="00FE50A6">
        <w:rPr>
          <w:rFonts w:eastAsia="Cambria" w:cs="Times New Roman"/>
          <w:szCs w:val="20"/>
          <w:lang w:val="en-US"/>
        </w:rPr>
        <w:t>of the</w:t>
      </w:r>
      <w:r w:rsidR="00130785" w:rsidRPr="00FE50A6">
        <w:rPr>
          <w:rFonts w:eastAsia="Cambria" w:cs="Times New Roman"/>
          <w:szCs w:val="20"/>
          <w:lang w:val="en-US"/>
        </w:rPr>
        <w:t xml:space="preserve"> </w:t>
      </w:r>
      <w:r w:rsidR="002A125A" w:rsidRPr="00FE50A6">
        <w:rPr>
          <w:rFonts w:eastAsia="Cambria" w:cs="Times New Roman"/>
          <w:szCs w:val="20"/>
          <w:lang w:val="en-US"/>
        </w:rPr>
        <w:t>International Labour Organization</w:t>
      </w:r>
      <w:r w:rsidR="00061AB2" w:rsidRPr="00FE50A6">
        <w:rPr>
          <w:rFonts w:eastAsia="Cambria" w:cs="Times New Roman"/>
          <w:szCs w:val="20"/>
          <w:lang w:val="en-US"/>
        </w:rPr>
        <w:t xml:space="preserve"> concerning Discrimination in Respect of Employment and Occupation </w:t>
      </w:r>
      <w:r w:rsidR="00130785" w:rsidRPr="00FE50A6">
        <w:rPr>
          <w:rFonts w:eastAsia="Cambria" w:cs="Times New Roman"/>
          <w:szCs w:val="20"/>
          <w:lang w:val="en-US"/>
        </w:rPr>
        <w:t>(1958)</w:t>
      </w:r>
      <w:r w:rsidR="00061AB2" w:rsidRPr="00FE50A6">
        <w:rPr>
          <w:rFonts w:eastAsia="Cambria" w:cs="Times New Roman"/>
          <w:szCs w:val="20"/>
          <w:lang w:val="en-US"/>
        </w:rPr>
        <w:t>;</w:t>
      </w:r>
      <w:r w:rsidR="004E5BC7" w:rsidRPr="00FE50A6">
        <w:rPr>
          <w:rStyle w:val="Refdenotaalpie"/>
          <w:rFonts w:eastAsia="Cambria"/>
          <w:lang w:val="en-US"/>
        </w:rPr>
        <w:footnoteReference w:id="554"/>
      </w:r>
      <w:r w:rsidR="00130785" w:rsidRPr="00FE50A6">
        <w:rPr>
          <w:rFonts w:eastAsia="Cambria" w:cs="Times New Roman"/>
          <w:szCs w:val="20"/>
          <w:lang w:val="en-US"/>
        </w:rPr>
        <w:t xml:space="preserve"> </w:t>
      </w:r>
      <w:r w:rsidR="00061AB2" w:rsidRPr="00FE50A6">
        <w:rPr>
          <w:rFonts w:eastAsia="Cambria" w:cs="Times New Roman"/>
          <w:szCs w:val="20"/>
          <w:lang w:val="en-US"/>
        </w:rPr>
        <w:t>(</w:t>
      </w:r>
      <w:r w:rsidR="00130785" w:rsidRPr="00FE50A6">
        <w:rPr>
          <w:rFonts w:eastAsia="Cambria" w:cs="Times New Roman"/>
          <w:szCs w:val="20"/>
          <w:lang w:val="en-US"/>
        </w:rPr>
        <w:t xml:space="preserve">ii) </w:t>
      </w:r>
      <w:r w:rsidR="000228D0" w:rsidRPr="00FE50A6">
        <w:rPr>
          <w:rFonts w:eastAsia="Cambria" w:cs="Georgia"/>
          <w:szCs w:val="20"/>
          <w:lang w:val="en-US"/>
        </w:rPr>
        <w:t xml:space="preserve">the </w:t>
      </w:r>
      <w:r w:rsidR="00061AB2" w:rsidRPr="00FE50A6">
        <w:rPr>
          <w:rFonts w:eastAsia="Cambria" w:cs="Georgia"/>
          <w:szCs w:val="20"/>
          <w:lang w:val="en-US"/>
        </w:rPr>
        <w:t xml:space="preserve">UNESCO </w:t>
      </w:r>
      <w:r w:rsidR="000228D0" w:rsidRPr="00FE50A6">
        <w:rPr>
          <w:rFonts w:eastAsia="Cambria" w:cs="Georgia"/>
          <w:szCs w:val="20"/>
          <w:lang w:val="en-US"/>
        </w:rPr>
        <w:t>Convention</w:t>
      </w:r>
      <w:r w:rsidR="00130785" w:rsidRPr="00FE50A6">
        <w:rPr>
          <w:rFonts w:eastAsia="Cambria" w:cs="Georgia"/>
          <w:szCs w:val="20"/>
          <w:lang w:val="en-US"/>
        </w:rPr>
        <w:t xml:space="preserve"> </w:t>
      </w:r>
      <w:r w:rsidR="00061AB2" w:rsidRPr="00FE50A6">
        <w:rPr>
          <w:rFonts w:eastAsia="Cambria" w:cs="Georgia"/>
          <w:szCs w:val="20"/>
          <w:lang w:val="en-US"/>
        </w:rPr>
        <w:t>against discrimination in education</w:t>
      </w:r>
      <w:r w:rsidR="00130785" w:rsidRPr="00FE50A6">
        <w:rPr>
          <w:rFonts w:eastAsia="Cambria" w:cs="Georgia"/>
          <w:szCs w:val="20"/>
          <w:lang w:val="en-US"/>
        </w:rPr>
        <w:t xml:space="preserve"> (1960)</w:t>
      </w:r>
      <w:r w:rsidR="00061AB2" w:rsidRPr="00FE50A6">
        <w:rPr>
          <w:rFonts w:eastAsia="Cambria" w:cs="Georgia"/>
          <w:szCs w:val="20"/>
          <w:lang w:val="en-US"/>
        </w:rPr>
        <w:t>;</w:t>
      </w:r>
      <w:r w:rsidR="00130785" w:rsidRPr="00FE50A6">
        <w:rPr>
          <w:rFonts w:eastAsia="Cambria" w:cs="Georgia"/>
          <w:szCs w:val="20"/>
          <w:vertAlign w:val="superscript"/>
          <w:lang w:val="en-US"/>
        </w:rPr>
        <w:footnoteReference w:id="555"/>
      </w:r>
      <w:r w:rsidR="00130785" w:rsidRPr="00FE50A6">
        <w:rPr>
          <w:rFonts w:eastAsia="Cambria" w:cs="Times New Roman"/>
          <w:szCs w:val="20"/>
          <w:lang w:val="en-US"/>
        </w:rPr>
        <w:t xml:space="preserve"> </w:t>
      </w:r>
      <w:r w:rsidR="00C45B9B" w:rsidRPr="00FE50A6">
        <w:rPr>
          <w:rFonts w:eastAsia="Cambria" w:cs="Times New Roman"/>
          <w:szCs w:val="20"/>
          <w:lang w:val="en-US"/>
        </w:rPr>
        <w:t>(</w:t>
      </w:r>
      <w:r w:rsidR="00130785" w:rsidRPr="00FE50A6">
        <w:rPr>
          <w:rFonts w:eastAsia="Cambria" w:cs="Times New Roman"/>
          <w:szCs w:val="20"/>
          <w:lang w:val="en-US"/>
        </w:rPr>
        <w:t xml:space="preserve">iii) </w:t>
      </w:r>
      <w:r w:rsidR="000228D0" w:rsidRPr="00FE50A6">
        <w:rPr>
          <w:rFonts w:eastAsia="Cambria" w:cs="Times New Roman"/>
          <w:szCs w:val="20"/>
          <w:lang w:val="en-US"/>
        </w:rPr>
        <w:t xml:space="preserve">the </w:t>
      </w:r>
      <w:r w:rsidR="00733A3C" w:rsidRPr="00FE50A6">
        <w:rPr>
          <w:rFonts w:eastAsia="Cambria" w:cs="Times New Roman"/>
          <w:szCs w:val="20"/>
          <w:lang w:val="en-US"/>
        </w:rPr>
        <w:t xml:space="preserve">International </w:t>
      </w:r>
      <w:r w:rsidR="000228D0" w:rsidRPr="00FE50A6">
        <w:rPr>
          <w:rFonts w:eastAsia="Cambria" w:cs="Times New Roman"/>
          <w:szCs w:val="20"/>
          <w:lang w:val="en-US"/>
        </w:rPr>
        <w:t>Convention</w:t>
      </w:r>
      <w:r w:rsidR="00130785" w:rsidRPr="00FE50A6">
        <w:rPr>
          <w:rFonts w:eastAsia="Cambria" w:cs="Times New Roman"/>
          <w:szCs w:val="20"/>
          <w:lang w:val="en-US"/>
        </w:rPr>
        <w:t xml:space="preserve"> </w:t>
      </w:r>
      <w:r w:rsidR="00C45B9B" w:rsidRPr="00FE50A6">
        <w:rPr>
          <w:rFonts w:eastAsia="Cambria" w:cs="Times New Roman"/>
          <w:szCs w:val="20"/>
          <w:lang w:val="en-US"/>
        </w:rPr>
        <w:t>on the Elimination of All Forms of Racial Discrimination</w:t>
      </w:r>
      <w:r w:rsidR="00130785" w:rsidRPr="00FE50A6">
        <w:rPr>
          <w:rFonts w:eastAsia="Cambria" w:cs="Times New Roman"/>
          <w:szCs w:val="20"/>
          <w:lang w:val="en-US"/>
        </w:rPr>
        <w:t xml:space="preserve"> (1965)</w:t>
      </w:r>
      <w:r w:rsidR="00C45B9B" w:rsidRPr="00FE50A6">
        <w:rPr>
          <w:rFonts w:eastAsia="Cambria" w:cs="Times New Roman"/>
          <w:szCs w:val="20"/>
          <w:lang w:val="en-US"/>
        </w:rPr>
        <w:t>,</w:t>
      </w:r>
      <w:r w:rsidR="00130785" w:rsidRPr="00FE50A6">
        <w:rPr>
          <w:rFonts w:eastAsia="Cambria" w:cs="Times New Roman"/>
          <w:szCs w:val="20"/>
          <w:vertAlign w:val="superscript"/>
          <w:lang w:val="en-US"/>
        </w:rPr>
        <w:footnoteReference w:id="556"/>
      </w:r>
      <w:r w:rsidR="00030C17" w:rsidRPr="00FE50A6">
        <w:rPr>
          <w:rFonts w:eastAsia="Cambria" w:cs="Times New Roman"/>
          <w:szCs w:val="20"/>
          <w:lang w:val="en-US"/>
        </w:rPr>
        <w:t xml:space="preserve"> and </w:t>
      </w:r>
      <w:r w:rsidR="00C45B9B" w:rsidRPr="00FE50A6">
        <w:rPr>
          <w:rFonts w:eastAsia="Cambria" w:cs="Times New Roman"/>
          <w:szCs w:val="20"/>
          <w:lang w:val="en-US"/>
        </w:rPr>
        <w:t>(</w:t>
      </w:r>
      <w:r w:rsidR="00130785" w:rsidRPr="00FE50A6">
        <w:rPr>
          <w:rFonts w:eastAsia="Cambria" w:cs="Georgia"/>
          <w:szCs w:val="20"/>
          <w:lang w:val="en-US"/>
        </w:rPr>
        <w:t xml:space="preserve">iv) </w:t>
      </w:r>
      <w:r w:rsidR="000228D0" w:rsidRPr="00FE50A6">
        <w:rPr>
          <w:rFonts w:eastAsia="Cambria" w:cs="Times New Roman"/>
          <w:szCs w:val="20"/>
          <w:lang w:val="en-US"/>
        </w:rPr>
        <w:t xml:space="preserve">the </w:t>
      </w:r>
      <w:r w:rsidR="00733A3C" w:rsidRPr="00FE50A6">
        <w:rPr>
          <w:rFonts w:eastAsia="Cambria" w:cs="Times New Roman"/>
          <w:szCs w:val="20"/>
          <w:lang w:val="en-US"/>
        </w:rPr>
        <w:t xml:space="preserve">International </w:t>
      </w:r>
      <w:r w:rsidR="000228D0" w:rsidRPr="00FE50A6">
        <w:rPr>
          <w:rFonts w:eastAsia="Cambria" w:cs="Times New Roman"/>
          <w:szCs w:val="20"/>
          <w:lang w:val="en-US"/>
        </w:rPr>
        <w:t>Convention</w:t>
      </w:r>
      <w:r w:rsidR="00130785" w:rsidRPr="00FE50A6">
        <w:rPr>
          <w:rFonts w:eastAsia="Cambria" w:cs="Times New Roman"/>
          <w:szCs w:val="20"/>
          <w:lang w:val="en-US"/>
        </w:rPr>
        <w:t xml:space="preserve"> </w:t>
      </w:r>
      <w:r w:rsidR="00C45B9B" w:rsidRPr="00FE50A6">
        <w:rPr>
          <w:rFonts w:eastAsia="Cambria" w:cs="Times New Roman"/>
          <w:szCs w:val="20"/>
          <w:lang w:val="en-US"/>
        </w:rPr>
        <w:t>on the Elimination of All Forms of Discrimination against Women</w:t>
      </w:r>
      <w:r w:rsidR="00130785" w:rsidRPr="00FE50A6">
        <w:rPr>
          <w:rFonts w:eastAsia="Cambria" w:cs="Times New Roman"/>
          <w:szCs w:val="20"/>
          <w:lang w:val="en-US"/>
        </w:rPr>
        <w:t xml:space="preserve"> (1979)</w:t>
      </w:r>
      <w:r w:rsidR="00C45B9B" w:rsidRPr="00FE50A6">
        <w:rPr>
          <w:rFonts w:eastAsia="Cambria" w:cs="Times New Roman"/>
          <w:szCs w:val="20"/>
          <w:lang w:val="en-US"/>
        </w:rPr>
        <w:t>.</w:t>
      </w:r>
      <w:r w:rsidR="00130785" w:rsidRPr="00FE50A6">
        <w:rPr>
          <w:rFonts w:eastAsia="Cambria" w:cs="Times New Roman"/>
          <w:szCs w:val="20"/>
          <w:vertAlign w:val="superscript"/>
          <w:lang w:val="en-US"/>
        </w:rPr>
        <w:footnoteReference w:id="557"/>
      </w:r>
      <w:r w:rsidR="00130785" w:rsidRPr="00FE50A6">
        <w:rPr>
          <w:rFonts w:eastAsia="Cambria" w:cs="Times New Roman"/>
          <w:szCs w:val="20"/>
          <w:lang w:val="en-US"/>
        </w:rPr>
        <w:t xml:space="preserve"> </w:t>
      </w:r>
      <w:r w:rsidR="00CD779E" w:rsidRPr="00FE50A6">
        <w:rPr>
          <w:rFonts w:eastAsia="Cambria" w:cs="Times New Roman"/>
          <w:szCs w:val="20"/>
          <w:lang w:val="en-US"/>
        </w:rPr>
        <w:t>That is to say</w:t>
      </w:r>
      <w:r w:rsidR="00733A3C" w:rsidRPr="00FE50A6">
        <w:rPr>
          <w:rFonts w:eastAsia="Cambria" w:cs="Times New Roman"/>
          <w:szCs w:val="20"/>
          <w:lang w:val="en-US"/>
        </w:rPr>
        <w:t xml:space="preserve">, these definitions recognize race, color, descent or national, ethnic or social origin, sex, religion, language, political or other opinion, </w:t>
      </w:r>
      <w:r w:rsidR="002507AD" w:rsidRPr="00FE50A6">
        <w:rPr>
          <w:rFonts w:eastAsia="Cambria" w:cs="Times New Roman"/>
          <w:szCs w:val="20"/>
          <w:lang w:val="en-US"/>
        </w:rPr>
        <w:t xml:space="preserve">or </w:t>
      </w:r>
      <w:r w:rsidR="00733A3C" w:rsidRPr="00FE50A6">
        <w:rPr>
          <w:rFonts w:eastAsia="Cambria" w:cs="Times New Roman"/>
          <w:szCs w:val="20"/>
          <w:lang w:val="en-US"/>
        </w:rPr>
        <w:t>birth</w:t>
      </w:r>
      <w:r w:rsidR="00CD779E" w:rsidRPr="00FE50A6">
        <w:rPr>
          <w:rFonts w:eastAsia="Cambria" w:cs="Times New Roman"/>
          <w:szCs w:val="20"/>
          <w:lang w:val="en-US"/>
        </w:rPr>
        <w:t xml:space="preserve"> as express grounds for the prohibition of discrimination</w:t>
      </w:r>
      <w:r w:rsidR="002507AD" w:rsidRPr="00FE50A6">
        <w:rPr>
          <w:rFonts w:eastAsia="Cambria" w:cs="Times New Roman"/>
          <w:szCs w:val="20"/>
          <w:lang w:val="en-US"/>
        </w:rPr>
        <w:t xml:space="preserve">. Regarding “economic </w:t>
      </w:r>
      <w:r w:rsidR="00CD779E" w:rsidRPr="00FE50A6">
        <w:rPr>
          <w:rFonts w:eastAsia="Cambria" w:cs="Times New Roman"/>
          <w:szCs w:val="20"/>
          <w:lang w:val="en-US"/>
        </w:rPr>
        <w:t>status</w:t>
      </w:r>
      <w:r w:rsidR="002507AD" w:rsidRPr="00FE50A6">
        <w:rPr>
          <w:rFonts w:eastAsia="Cambria" w:cs="Times New Roman"/>
          <w:szCs w:val="20"/>
          <w:lang w:val="en-US"/>
        </w:rPr>
        <w:t xml:space="preserve">,” only the UNESCO Convention against Discrimination in Education recognizes this reason for </w:t>
      </w:r>
      <w:r w:rsidR="003707E5" w:rsidRPr="00FE50A6">
        <w:rPr>
          <w:rFonts w:eastAsia="Cambria" w:cs="Georgia"/>
          <w:szCs w:val="20"/>
          <w:lang w:val="en-US"/>
        </w:rPr>
        <w:t>discrimination</w:t>
      </w:r>
      <w:r w:rsidR="00130785" w:rsidRPr="00FE50A6">
        <w:rPr>
          <w:rFonts w:eastAsia="Cambria" w:cs="Georgia"/>
          <w:szCs w:val="20"/>
          <w:lang w:val="en-US"/>
        </w:rPr>
        <w:t xml:space="preserve">. </w:t>
      </w:r>
    </w:p>
    <w:p w14:paraId="15824E38"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42FF8905" w14:textId="77777777" w:rsidR="00130785" w:rsidRPr="00FE50A6" w:rsidRDefault="002507AD" w:rsidP="001126A8">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 the</w:t>
      </w:r>
      <w:r w:rsidR="00130785" w:rsidRPr="00FE50A6">
        <w:rPr>
          <w:rFonts w:eastAsia="Cambria" w:cs="Times New Roman"/>
          <w:szCs w:val="20"/>
          <w:lang w:val="en-US"/>
        </w:rPr>
        <w:t xml:space="preserve"> </w:t>
      </w:r>
      <w:r w:rsidR="002A125A" w:rsidRPr="00FE50A6">
        <w:rPr>
          <w:rFonts w:eastAsia="Cambria" w:cs="Times New Roman"/>
          <w:szCs w:val="20"/>
          <w:lang w:val="en-US"/>
        </w:rPr>
        <w:t>International Covenant on Civil and Political Rights</w:t>
      </w:r>
      <w:r w:rsidR="00030C17" w:rsidRPr="00FE50A6">
        <w:rPr>
          <w:rFonts w:eastAsia="Cambria" w:cs="Times New Roman"/>
          <w:szCs w:val="20"/>
          <w:lang w:val="en-US"/>
        </w:rPr>
        <w:t xml:space="preserve"> and </w:t>
      </w:r>
      <w:r w:rsidR="00733A3C" w:rsidRPr="00FE50A6">
        <w:rPr>
          <w:rFonts w:eastAsia="Cambria" w:cs="Times New Roman"/>
          <w:szCs w:val="20"/>
          <w:lang w:val="en-US"/>
        </w:rPr>
        <w:t>the International Covenant on Economic, Social and Cultural Rights</w:t>
      </w:r>
      <w:r w:rsidR="00130785" w:rsidRPr="00FE50A6">
        <w:rPr>
          <w:rFonts w:eastAsia="Cambria" w:cs="Times New Roman"/>
          <w:szCs w:val="20"/>
          <w:lang w:val="en-US"/>
        </w:rPr>
        <w:t xml:space="preserve"> (1966), </w:t>
      </w:r>
      <w:r w:rsidRPr="00FE50A6">
        <w:rPr>
          <w:rFonts w:eastAsia="Cambria" w:cs="Times New Roman"/>
          <w:szCs w:val="20"/>
          <w:lang w:val="en-US"/>
        </w:rPr>
        <w:t xml:space="preserve">both covenants establish the prohibition </w:t>
      </w:r>
      <w:r w:rsidR="00EE52F3" w:rsidRPr="00FE50A6">
        <w:rPr>
          <w:rFonts w:eastAsia="Cambria" w:cs="Times New Roman"/>
          <w:szCs w:val="20"/>
          <w:lang w:val="en-US"/>
        </w:rPr>
        <w:t>of</w:t>
      </w:r>
      <w:r w:rsidR="00130785" w:rsidRPr="00FE50A6">
        <w:rPr>
          <w:rFonts w:eastAsia="Cambria" w:cs="Times New Roman"/>
          <w:szCs w:val="20"/>
          <w:lang w:val="en-US"/>
        </w:rPr>
        <w:t xml:space="preserve">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Pr="00FE50A6">
        <w:rPr>
          <w:rFonts w:eastAsia="Cambria" w:cs="Times New Roman"/>
          <w:szCs w:val="20"/>
          <w:lang w:val="en-US"/>
        </w:rPr>
        <w:t>based on</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Pr="00FE50A6">
        <w:rPr>
          <w:rFonts w:eastAsia="Cambria" w:cs="Times New Roman"/>
          <w:szCs w:val="20"/>
          <w:lang w:val="en-US"/>
        </w:rPr>
        <w:t>property.</w:t>
      </w:r>
      <w:r w:rsidR="009C48A4" w:rsidRPr="00FE50A6">
        <w:rPr>
          <w:rFonts w:eastAsia="Cambria" w:cs="Times New Roman"/>
          <w:szCs w:val="20"/>
          <w:lang w:val="en-US"/>
        </w:rPr>
        <w:t>”</w:t>
      </w:r>
      <w:r w:rsidR="00130785" w:rsidRPr="00FE50A6">
        <w:rPr>
          <w:rFonts w:eastAsia="Cambria" w:cs="Times New Roman"/>
          <w:szCs w:val="20"/>
          <w:vertAlign w:val="superscript"/>
          <w:lang w:val="en-US"/>
        </w:rPr>
        <w:footnoteReference w:id="558"/>
      </w:r>
      <w:r w:rsidR="00130785" w:rsidRPr="00FE50A6">
        <w:rPr>
          <w:rFonts w:eastAsia="Cambria" w:cs="Times New Roman"/>
          <w:szCs w:val="20"/>
          <w:lang w:val="en-US"/>
        </w:rPr>
        <w:t xml:space="preserve"> </w:t>
      </w:r>
      <w:r w:rsidRPr="00FE50A6">
        <w:rPr>
          <w:rFonts w:eastAsia="Cambria" w:cs="Times"/>
          <w:szCs w:val="20"/>
          <w:lang w:val="en-US"/>
        </w:rPr>
        <w:t xml:space="preserve">The Committee on Economic, Social and Cultural Rights </w:t>
      </w:r>
      <w:r w:rsidR="00130785" w:rsidRPr="00FE50A6">
        <w:rPr>
          <w:rFonts w:eastAsia="Cambria" w:cs="Times"/>
          <w:szCs w:val="20"/>
          <w:lang w:val="en-US"/>
        </w:rPr>
        <w:t>(</w:t>
      </w:r>
      <w:r w:rsidR="000228D0" w:rsidRPr="00FE50A6">
        <w:rPr>
          <w:rFonts w:eastAsia="Cambria" w:cs="Times"/>
          <w:szCs w:val="20"/>
          <w:lang w:val="en-US"/>
        </w:rPr>
        <w:t>hereinafter</w:t>
      </w:r>
      <w:r w:rsidR="00130785" w:rsidRPr="00FE50A6">
        <w:rPr>
          <w:rFonts w:eastAsia="Cambria" w:cs="Times"/>
          <w:szCs w:val="20"/>
          <w:lang w:val="en-US"/>
        </w:rPr>
        <w:t xml:space="preserve"> </w:t>
      </w:r>
      <w:r w:rsidR="009C48A4" w:rsidRPr="00FE50A6">
        <w:rPr>
          <w:rFonts w:eastAsia="Cambria" w:cs="Times"/>
          <w:szCs w:val="20"/>
          <w:lang w:val="en-US"/>
        </w:rPr>
        <w:t>“</w:t>
      </w:r>
      <w:r w:rsidRPr="00FE50A6">
        <w:rPr>
          <w:rFonts w:eastAsia="Cambria" w:cs="Times"/>
          <w:szCs w:val="20"/>
          <w:lang w:val="en-US"/>
        </w:rPr>
        <w:t>the CESCR</w:t>
      </w:r>
      <w:r w:rsidR="009C48A4" w:rsidRPr="00FE50A6">
        <w:rPr>
          <w:rFonts w:eastAsia="Cambria" w:cs="Times"/>
          <w:szCs w:val="20"/>
          <w:lang w:val="en-US"/>
        </w:rPr>
        <w:t>”</w:t>
      </w:r>
      <w:r w:rsidR="00130785" w:rsidRPr="00FE50A6">
        <w:rPr>
          <w:rFonts w:eastAsia="Cambria" w:cs="Times"/>
          <w:szCs w:val="20"/>
          <w:lang w:val="en-US"/>
        </w:rPr>
        <w:t>)</w:t>
      </w:r>
      <w:r w:rsidR="00130785" w:rsidRPr="00FE50A6">
        <w:rPr>
          <w:rFonts w:eastAsia="Cambria" w:cs="Times New Roman"/>
          <w:szCs w:val="20"/>
          <w:lang w:val="en-US"/>
        </w:rPr>
        <w:t xml:space="preserve">, </w:t>
      </w:r>
      <w:r w:rsidRPr="00FE50A6">
        <w:rPr>
          <w:rFonts w:eastAsia="Cambria" w:cs="Times New Roman"/>
          <w:szCs w:val="20"/>
          <w:lang w:val="en-US"/>
        </w:rPr>
        <w:t xml:space="preserve">in its General Comment </w:t>
      </w:r>
      <w:r w:rsidR="00130785" w:rsidRPr="00FE50A6">
        <w:rPr>
          <w:rFonts w:eastAsia="Cambria" w:cs="Times New Roman"/>
          <w:szCs w:val="20"/>
          <w:lang w:val="en-US"/>
        </w:rPr>
        <w:t>No. 20,</w:t>
      </w:r>
      <w:r w:rsidR="00CD779E" w:rsidRPr="00FE50A6">
        <w:rPr>
          <w:rFonts w:eastAsia="Cambria" w:cs="Times New Roman"/>
          <w:szCs w:val="20"/>
          <w:lang w:val="en-US"/>
        </w:rPr>
        <w:t xml:space="preserve"> </w:t>
      </w:r>
      <w:r w:rsidRPr="00FE50A6">
        <w:rPr>
          <w:rFonts w:eastAsia="Cambria" w:cs="Times New Roman"/>
          <w:szCs w:val="20"/>
          <w:lang w:val="en-US"/>
        </w:rPr>
        <w:t>indicat</w:t>
      </w:r>
      <w:r w:rsidR="001126A8" w:rsidRPr="00FE50A6">
        <w:rPr>
          <w:rFonts w:eastAsia="Cambria" w:cs="Times New Roman"/>
          <w:szCs w:val="20"/>
          <w:lang w:val="en-US"/>
        </w:rPr>
        <w:t>e</w:t>
      </w:r>
      <w:r w:rsidRPr="00FE50A6">
        <w:rPr>
          <w:rFonts w:eastAsia="Cambria" w:cs="Times New Roman"/>
          <w:szCs w:val="20"/>
          <w:lang w:val="en-US"/>
        </w:rPr>
        <w:t xml:space="preserve">d that </w:t>
      </w:r>
      <w:r w:rsidR="001126A8" w:rsidRPr="00FE50A6">
        <w:rPr>
          <w:rFonts w:eastAsia="Cambria" w:cs="Times New Roman"/>
          <w:szCs w:val="20"/>
          <w:lang w:val="en-US"/>
        </w:rPr>
        <w:t>“</w:t>
      </w:r>
      <w:r w:rsidRPr="00FE50A6">
        <w:rPr>
          <w:rFonts w:eastAsia="Cambria" w:cs="Times New Roman"/>
          <w:szCs w:val="20"/>
          <w:lang w:val="en-US"/>
        </w:rPr>
        <w:t xml:space="preserve">economic </w:t>
      </w:r>
      <w:r w:rsidR="001126A8" w:rsidRPr="00FE50A6">
        <w:rPr>
          <w:szCs w:val="20"/>
          <w:lang w:val="en-US"/>
        </w:rPr>
        <w:t>growth ha</w:t>
      </w:r>
      <w:r w:rsidR="00210F35" w:rsidRPr="00FE50A6">
        <w:rPr>
          <w:szCs w:val="20"/>
          <w:lang w:val="en-US"/>
        </w:rPr>
        <w:t>s</w:t>
      </w:r>
      <w:r w:rsidR="001126A8" w:rsidRPr="00FE50A6">
        <w:rPr>
          <w:szCs w:val="20"/>
          <w:lang w:val="en-US"/>
        </w:rPr>
        <w:t xml:space="preserve"> not, in itself, led to sustainable development, and individuals and groups of individuals continue to face socio-economic inequality, often because of entrenched historical and contemporary forms of discrimination</w:t>
      </w:r>
      <w:r w:rsidR="001126A8" w:rsidRPr="00FE50A6">
        <w:rPr>
          <w:rFonts w:eastAsia="Cambria" w:cs="Times New Roman"/>
          <w:szCs w:val="20"/>
          <w:lang w:val="en-US"/>
        </w:rPr>
        <w:t>.”</w:t>
      </w:r>
      <w:r w:rsidR="00130785" w:rsidRPr="00FE50A6">
        <w:rPr>
          <w:rFonts w:eastAsia="Cambria" w:cs="Times New Roman"/>
          <w:szCs w:val="20"/>
          <w:vertAlign w:val="superscript"/>
          <w:lang w:val="en-US"/>
        </w:rPr>
        <w:footnoteReference w:id="559"/>
      </w:r>
      <w:r w:rsidR="00130785" w:rsidRPr="00FE50A6">
        <w:rPr>
          <w:rFonts w:eastAsia="Cambria" w:cs="Times New Roman"/>
          <w:szCs w:val="20"/>
          <w:lang w:val="en-US"/>
        </w:rPr>
        <w:t xml:space="preserve"> </w:t>
      </w:r>
    </w:p>
    <w:p w14:paraId="60385404" w14:textId="77777777" w:rsidR="00130785" w:rsidRPr="00FE50A6" w:rsidRDefault="00130785" w:rsidP="00130785">
      <w:pPr>
        <w:tabs>
          <w:tab w:val="clear" w:pos="4419"/>
          <w:tab w:val="clear" w:pos="8838"/>
        </w:tabs>
        <w:rPr>
          <w:rFonts w:eastAsia="MS Mincho" w:cs="Times New Roman"/>
          <w:szCs w:val="20"/>
          <w:lang w:val="en-US" w:eastAsia="es-ES"/>
        </w:rPr>
      </w:pPr>
    </w:p>
    <w:p w14:paraId="6BFBF711" w14:textId="77777777" w:rsidR="00130785" w:rsidRPr="00FE50A6" w:rsidRDefault="001126A8" w:rsidP="001126A8">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The</w:t>
      </w:r>
      <w:r w:rsidR="002507AD" w:rsidRPr="00FE50A6">
        <w:rPr>
          <w:rFonts w:eastAsia="Cambria" w:cs="Times New Roman"/>
          <w:szCs w:val="20"/>
          <w:lang w:val="en-US"/>
        </w:rPr>
        <w:t xml:space="preserve"> CESCR</w:t>
      </w:r>
      <w:r w:rsidRPr="00FE50A6">
        <w:rPr>
          <w:rFonts w:eastAsia="Cambria" w:cs="Times New Roman"/>
          <w:szCs w:val="20"/>
          <w:lang w:val="en-US"/>
        </w:rPr>
        <w:t xml:space="preserve"> </w:t>
      </w:r>
      <w:r w:rsidR="00130785" w:rsidRPr="00FE50A6">
        <w:rPr>
          <w:rFonts w:eastAsia="Cambria" w:cs="Times New Roman"/>
          <w:szCs w:val="20"/>
          <w:lang w:val="en-US"/>
        </w:rPr>
        <w:t>ha</w:t>
      </w:r>
      <w:r w:rsidRPr="00FE50A6">
        <w:rPr>
          <w:rFonts w:eastAsia="Cambria" w:cs="Times New Roman"/>
          <w:szCs w:val="20"/>
          <w:lang w:val="en-US"/>
        </w:rPr>
        <w:t>s also noted that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Pr="00FE50A6">
        <w:rPr>
          <w:szCs w:val="20"/>
          <w:lang w:val="en-US"/>
        </w:rPr>
        <w:t xml:space="preserve">against some groups is pervasive and persistent and deeply entrenched in social behaviour and organization, often involving unchallenged or indirect discrimination. </w:t>
      </w:r>
      <w:r w:rsidRPr="00FE50A6">
        <w:rPr>
          <w:szCs w:val="20"/>
          <w:u w:val="single"/>
          <w:lang w:val="en-US"/>
        </w:rPr>
        <w:t>Such systemic discrimination can be understood as legal rules, policies, practices or predominant cultural attitudes in either the public or private sector which create relative disadvantages for some groups, and privileges for other groups</w:t>
      </w:r>
      <w:r w:rsidRPr="00FE50A6">
        <w:rPr>
          <w:szCs w:val="20"/>
          <w:lang w:val="en-US"/>
        </w:rPr>
        <w:t>.”</w:t>
      </w:r>
      <w:r w:rsidR="00130785" w:rsidRPr="00FE50A6">
        <w:rPr>
          <w:rFonts w:eastAsia="Cambria" w:cs="Times New Roman"/>
          <w:szCs w:val="20"/>
          <w:vertAlign w:val="superscript"/>
          <w:lang w:val="en-US"/>
        </w:rPr>
        <w:footnoteReference w:id="560"/>
      </w:r>
      <w:r w:rsidR="00130785" w:rsidRPr="00FE50A6">
        <w:rPr>
          <w:rFonts w:eastAsia="Cambria" w:cs="Times New Roman"/>
          <w:szCs w:val="20"/>
          <w:lang w:val="en-US"/>
        </w:rPr>
        <w:t xml:space="preserve"> </w:t>
      </w:r>
    </w:p>
    <w:p w14:paraId="3C422A4E"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515DD82A" w14:textId="77777777" w:rsidR="00130785" w:rsidRPr="00FE50A6" w:rsidRDefault="001126A8" w:rsidP="000F7DD8">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relation to economic status or property as a category requ</w:t>
      </w:r>
      <w:r w:rsidR="00CD779E" w:rsidRPr="00FE50A6">
        <w:rPr>
          <w:rFonts w:eastAsia="Cambria" w:cs="Times New Roman"/>
          <w:szCs w:val="20"/>
          <w:lang w:val="en-US"/>
        </w:rPr>
        <w:t>i</w:t>
      </w:r>
      <w:r w:rsidRPr="00FE50A6">
        <w:rPr>
          <w:rFonts w:eastAsia="Cambria" w:cs="Times New Roman"/>
          <w:szCs w:val="20"/>
          <w:lang w:val="en-US"/>
        </w:rPr>
        <w:t xml:space="preserve">ring special protection, </w:t>
      </w:r>
      <w:r w:rsidR="002507AD" w:rsidRPr="00FE50A6">
        <w:rPr>
          <w:rFonts w:eastAsia="Cambria" w:cs="Times New Roman"/>
          <w:szCs w:val="20"/>
          <w:lang w:val="en-US"/>
        </w:rPr>
        <w:t>the CESCR</w:t>
      </w:r>
      <w:r w:rsidRPr="00FE50A6">
        <w:rPr>
          <w:rFonts w:eastAsia="Cambria" w:cs="Times New Roman"/>
          <w:szCs w:val="20"/>
          <w:lang w:val="en-US"/>
        </w:rPr>
        <w:t xml:space="preserve"> </w:t>
      </w:r>
      <w:r w:rsidR="00130785" w:rsidRPr="00FE50A6">
        <w:rPr>
          <w:rFonts w:eastAsia="Cambria" w:cs="Times New Roman"/>
          <w:szCs w:val="20"/>
          <w:lang w:val="en-US"/>
        </w:rPr>
        <w:t>ha</w:t>
      </w:r>
      <w:r w:rsidRPr="00FE50A6">
        <w:rPr>
          <w:rFonts w:eastAsia="Cambria" w:cs="Times New Roman"/>
          <w:szCs w:val="20"/>
          <w:lang w:val="en-US"/>
        </w:rPr>
        <w:t xml:space="preserve">s indicated that </w:t>
      </w:r>
      <w:r w:rsidRPr="00FE50A6">
        <w:rPr>
          <w:szCs w:val="20"/>
          <w:lang w:val="en-US"/>
        </w:rPr>
        <w:t>“property status, as a prohibited ground of discrimination, is a broad concept and includes real property […] and personal property […] or the lack of it</w:t>
      </w:r>
      <w:r w:rsidR="000F7DD8" w:rsidRPr="00FE50A6">
        <w:rPr>
          <w:szCs w:val="20"/>
          <w:lang w:val="en-US"/>
        </w:rPr>
        <w:t>”</w:t>
      </w:r>
      <w:r w:rsidR="00130785" w:rsidRPr="00FE50A6">
        <w:rPr>
          <w:rFonts w:eastAsia="Cambria" w:cs="Times New Roman"/>
          <w:szCs w:val="20"/>
          <w:vertAlign w:val="superscript"/>
          <w:lang w:val="en-US"/>
        </w:rPr>
        <w:footnoteReference w:id="561"/>
      </w:r>
      <w:r w:rsidR="000F7DD8" w:rsidRPr="00FE50A6">
        <w:rPr>
          <w:rFonts w:eastAsia="Cambria" w:cs="Times New Roman"/>
          <w:szCs w:val="20"/>
          <w:lang w:val="en-US"/>
        </w:rPr>
        <w:t>;</w:t>
      </w:r>
      <w:r w:rsidR="00130785" w:rsidRPr="00FE50A6">
        <w:rPr>
          <w:rFonts w:eastAsia="Cambria" w:cs="Times New Roman"/>
          <w:szCs w:val="20"/>
          <w:lang w:val="en-US"/>
        </w:rPr>
        <w:t xml:space="preserve"> </w:t>
      </w:r>
      <w:r w:rsidR="000F7DD8" w:rsidRPr="00FE50A6">
        <w:rPr>
          <w:rFonts w:eastAsia="Cambria" w:cs="Times New Roman"/>
          <w:szCs w:val="20"/>
          <w:lang w:val="en-US"/>
        </w:rPr>
        <w:t>in other words, one of the aspects of poverty. On this point,</w:t>
      </w:r>
      <w:r w:rsidR="00130785" w:rsidRPr="00FE50A6">
        <w:rPr>
          <w:rFonts w:eastAsia="Cambria" w:cs="Times New Roman"/>
          <w:szCs w:val="20"/>
          <w:lang w:val="en-US"/>
        </w:rPr>
        <w:t xml:space="preserve"> </w:t>
      </w:r>
      <w:r w:rsidR="002507AD" w:rsidRPr="00FE50A6">
        <w:rPr>
          <w:rFonts w:eastAsia="Cambria" w:cs="Times"/>
          <w:szCs w:val="20"/>
          <w:lang w:val="en-US"/>
        </w:rPr>
        <w:t>the CESCR</w:t>
      </w:r>
      <w:r w:rsidR="000F7DD8" w:rsidRPr="00FE50A6">
        <w:rPr>
          <w:rFonts w:eastAsia="Cambria" w:cs="Times"/>
          <w:szCs w:val="20"/>
          <w:lang w:val="en-US"/>
        </w:rPr>
        <w:t xml:space="preserve"> </w:t>
      </w:r>
      <w:r w:rsidR="00130785" w:rsidRPr="00FE50A6">
        <w:rPr>
          <w:rFonts w:eastAsia="Cambria" w:cs="Times"/>
          <w:szCs w:val="20"/>
          <w:lang w:val="en-US"/>
        </w:rPr>
        <w:t>ha</w:t>
      </w:r>
      <w:r w:rsidR="000F7DD8" w:rsidRPr="00FE50A6">
        <w:rPr>
          <w:rFonts w:eastAsia="Cambria" w:cs="Times"/>
          <w:szCs w:val="20"/>
          <w:lang w:val="en-US"/>
        </w:rPr>
        <w:t>s considered that “</w:t>
      </w:r>
      <w:r w:rsidR="000F7DD8" w:rsidRPr="00FE50A6">
        <w:rPr>
          <w:szCs w:val="20"/>
          <w:lang w:val="en-US"/>
        </w:rPr>
        <w:t>poverty may be defined as a human condition characterized by sustained or chronic deprivation of the resources, capabilities, choices, security and power necessary for the enjoyment of an adequate standard of living and other civil, cultural, economic, political and social rights.”</w:t>
      </w:r>
      <w:r w:rsidR="00130785" w:rsidRPr="00FE50A6">
        <w:rPr>
          <w:rFonts w:eastAsia="Cambria" w:cs="Times New Roman"/>
          <w:szCs w:val="20"/>
          <w:vertAlign w:val="superscript"/>
          <w:lang w:val="en-US"/>
        </w:rPr>
        <w:footnoteReference w:id="562"/>
      </w:r>
      <w:r w:rsidR="00130785" w:rsidRPr="00FE50A6">
        <w:rPr>
          <w:rFonts w:eastAsia="Cambria" w:cs="Times"/>
          <w:szCs w:val="20"/>
          <w:lang w:val="en-US"/>
        </w:rPr>
        <w:t xml:space="preserve"> </w:t>
      </w:r>
    </w:p>
    <w:p w14:paraId="183A9755" w14:textId="77777777" w:rsidR="00130785" w:rsidRPr="00FE50A6" w:rsidRDefault="00130785" w:rsidP="00130785">
      <w:pPr>
        <w:tabs>
          <w:tab w:val="clear" w:pos="4419"/>
          <w:tab w:val="clear" w:pos="8838"/>
        </w:tabs>
        <w:rPr>
          <w:rFonts w:eastAsia="MS Mincho" w:cs="Times"/>
          <w:szCs w:val="20"/>
          <w:lang w:val="en-US" w:eastAsia="es-ES"/>
        </w:rPr>
      </w:pPr>
    </w:p>
    <w:p w14:paraId="1ACC43B7" w14:textId="77777777" w:rsidR="00130785" w:rsidRPr="00FE50A6" w:rsidRDefault="000F7DD8" w:rsidP="004F4F0D">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w:szCs w:val="20"/>
          <w:lang w:val="en-US"/>
        </w:rPr>
        <w:t xml:space="preserve">Meanwhile, the Guiding Principles on extreme poverty and human rights </w:t>
      </w:r>
      <w:r w:rsidR="00130785" w:rsidRPr="00FE50A6">
        <w:rPr>
          <w:rFonts w:eastAsia="Cambria" w:cs="Times New Roman"/>
          <w:lang w:val="en-US"/>
        </w:rPr>
        <w:t>(</w:t>
      </w:r>
      <w:r w:rsidR="000228D0" w:rsidRPr="00FE50A6">
        <w:rPr>
          <w:rFonts w:eastAsia="Cambria" w:cs="Times New Roman"/>
          <w:lang w:val="en-US"/>
        </w:rPr>
        <w:t>hereinafter</w:t>
      </w:r>
      <w:r w:rsidR="00130785" w:rsidRPr="00FE50A6">
        <w:rPr>
          <w:rFonts w:eastAsia="Cambria" w:cs="Times New Roman"/>
          <w:lang w:val="en-US"/>
        </w:rPr>
        <w:t xml:space="preserve"> </w:t>
      </w:r>
      <w:r w:rsidR="009C48A4" w:rsidRPr="00FE50A6">
        <w:rPr>
          <w:rFonts w:eastAsia="Cambria" w:cs="Times New Roman"/>
          <w:lang w:val="en-US"/>
        </w:rPr>
        <w:t>“</w:t>
      </w:r>
      <w:r w:rsidR="00CD779E" w:rsidRPr="00FE50A6">
        <w:rPr>
          <w:rFonts w:eastAsia="Cambria" w:cs="Times New Roman"/>
          <w:lang w:val="en-US"/>
        </w:rPr>
        <w:t>the</w:t>
      </w:r>
      <w:r w:rsidR="00130785" w:rsidRPr="00FE50A6">
        <w:rPr>
          <w:rFonts w:eastAsia="Cambria" w:cs="Times New Roman"/>
          <w:lang w:val="en-US"/>
        </w:rPr>
        <w:t xml:space="preserve"> </w:t>
      </w:r>
      <w:r w:rsidR="00967440" w:rsidRPr="00FE50A6">
        <w:rPr>
          <w:rFonts w:eastAsia="Cambria" w:cs="Times New Roman"/>
          <w:lang w:val="en-US"/>
        </w:rPr>
        <w:t>Guiding Principles</w:t>
      </w:r>
      <w:r w:rsidR="009C48A4" w:rsidRPr="00FE50A6">
        <w:rPr>
          <w:rFonts w:eastAsia="Cambria" w:cs="Times New Roman"/>
          <w:lang w:val="en-US"/>
        </w:rPr>
        <w:t>”</w:t>
      </w:r>
      <w:r w:rsidR="00130785" w:rsidRPr="00FE50A6">
        <w:rPr>
          <w:rFonts w:eastAsia="Cambria" w:cs="Times New Roman"/>
          <w:lang w:val="en-US"/>
        </w:rPr>
        <w:t>)</w:t>
      </w:r>
      <w:r w:rsidR="00130785" w:rsidRPr="00FE50A6">
        <w:rPr>
          <w:rFonts w:eastAsia="Cambria" w:cs="Times"/>
          <w:szCs w:val="20"/>
          <w:lang w:val="en-US"/>
        </w:rPr>
        <w:t xml:space="preserve">, define </w:t>
      </w:r>
      <w:r w:rsidR="008E0E54" w:rsidRPr="00FE50A6">
        <w:rPr>
          <w:rFonts w:cs="Arial"/>
          <w:szCs w:val="20"/>
          <w:lang w:val="en-US"/>
        </w:rPr>
        <w:t xml:space="preserve">extreme poverty, as “the combination of </w:t>
      </w:r>
      <w:r w:rsidR="008E0E54" w:rsidRPr="00FE50A6">
        <w:rPr>
          <w:rStyle w:val="highlight"/>
          <w:rFonts w:cs="Arial"/>
          <w:szCs w:val="20"/>
          <w:lang w:val="en-US"/>
        </w:rPr>
        <w:t>income</w:t>
      </w:r>
      <w:r w:rsidR="008E0E54" w:rsidRPr="00FE50A6">
        <w:rPr>
          <w:rFonts w:cs="Arial"/>
          <w:szCs w:val="20"/>
          <w:lang w:val="en-US"/>
        </w:rPr>
        <w:t xml:space="preserve"> poverty, human development poverty and social exclusion</w:t>
      </w:r>
      <w:r w:rsidR="009C48A4" w:rsidRPr="00FE50A6">
        <w:rPr>
          <w:rFonts w:eastAsia="Cambria" w:cs="Times"/>
          <w:szCs w:val="20"/>
          <w:lang w:val="en-US"/>
        </w:rPr>
        <w:t>”</w:t>
      </w:r>
      <w:r w:rsidR="00130785" w:rsidRPr="00FE50A6">
        <w:rPr>
          <w:rFonts w:eastAsia="Cambria" w:cs="Times New Roman"/>
          <w:szCs w:val="20"/>
          <w:vertAlign w:val="superscript"/>
          <w:lang w:val="en-US"/>
        </w:rPr>
        <w:footnoteReference w:id="563"/>
      </w:r>
      <w:r w:rsidR="00130785" w:rsidRPr="00FE50A6">
        <w:rPr>
          <w:rFonts w:eastAsia="Cambria" w:cs="Times"/>
          <w:szCs w:val="20"/>
          <w:lang w:val="en-US"/>
        </w:rPr>
        <w:t xml:space="preserve"> </w:t>
      </w:r>
      <w:r w:rsidR="008E0E54" w:rsidRPr="00FE50A6">
        <w:rPr>
          <w:rFonts w:cs="Arial"/>
          <w:szCs w:val="20"/>
          <w:lang w:val="en-US"/>
        </w:rPr>
        <w:t xml:space="preserve">where </w:t>
      </w:r>
      <w:r w:rsidR="00CD779E" w:rsidRPr="00FE50A6">
        <w:rPr>
          <w:rFonts w:cs="Arial"/>
          <w:szCs w:val="20"/>
          <w:lang w:val="en-US"/>
        </w:rPr>
        <w:t>“</w:t>
      </w:r>
      <w:r w:rsidR="009502A3" w:rsidRPr="00FE50A6">
        <w:rPr>
          <w:rFonts w:cs="Arial"/>
          <w:szCs w:val="20"/>
          <w:lang w:val="en-US"/>
        </w:rPr>
        <w:t>a</w:t>
      </w:r>
      <w:r w:rsidR="008E0E54" w:rsidRPr="00FE50A6">
        <w:rPr>
          <w:rFonts w:cs="Arial"/>
          <w:szCs w:val="20"/>
          <w:lang w:val="en-US"/>
        </w:rPr>
        <w:t xml:space="preserve"> prolonged lack of basic security affects several aspects of people’s lives</w:t>
      </w:r>
      <w:r w:rsidR="009502A3" w:rsidRPr="00FE50A6">
        <w:rPr>
          <w:rFonts w:cs="Arial"/>
          <w:szCs w:val="20"/>
          <w:lang w:val="en-US"/>
        </w:rPr>
        <w:t xml:space="preserve"> simultaneously</w:t>
      </w:r>
      <w:r w:rsidR="008E0E54" w:rsidRPr="00FE50A6">
        <w:rPr>
          <w:rFonts w:cs="Arial"/>
          <w:szCs w:val="20"/>
          <w:lang w:val="en-US"/>
        </w:rPr>
        <w:t>, severely compromising their chances of exercising or regaining their rights in the foreseeable future</w:t>
      </w:r>
      <w:r w:rsidR="004F4F0D" w:rsidRPr="00FE50A6">
        <w:rPr>
          <w:rFonts w:cs="Arial"/>
          <w:szCs w:val="20"/>
          <w:lang w:val="en-US"/>
        </w:rPr>
        <w:t>.</w:t>
      </w:r>
      <w:r w:rsidR="00CD779E" w:rsidRPr="00FE50A6">
        <w:rPr>
          <w:rFonts w:cs="Arial"/>
          <w:szCs w:val="20"/>
          <w:lang w:val="en-US"/>
        </w:rPr>
        <w:t>”</w:t>
      </w:r>
      <w:r w:rsidR="00130785" w:rsidRPr="00FE50A6">
        <w:rPr>
          <w:rFonts w:eastAsia="Cambria" w:cs="Times New Roman"/>
          <w:szCs w:val="20"/>
          <w:vertAlign w:val="superscript"/>
          <w:lang w:val="en-US"/>
        </w:rPr>
        <w:footnoteReference w:id="564"/>
      </w:r>
      <w:r w:rsidR="00130785" w:rsidRPr="00FE50A6">
        <w:rPr>
          <w:rFonts w:eastAsia="Cambria" w:cs="Times"/>
          <w:szCs w:val="20"/>
          <w:lang w:val="en-US"/>
        </w:rPr>
        <w:t xml:space="preserve"> </w:t>
      </w:r>
    </w:p>
    <w:p w14:paraId="294E80EC"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43B4B57A" w14:textId="77777777" w:rsidR="00130785" w:rsidRPr="00FE50A6" w:rsidRDefault="00130785" w:rsidP="008B0BCC">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 xml:space="preserve"> </w:t>
      </w:r>
      <w:r w:rsidR="00967440" w:rsidRPr="00FE50A6">
        <w:rPr>
          <w:rFonts w:eastAsia="Cambria" w:cs="Times New Roman"/>
          <w:szCs w:val="20"/>
          <w:lang w:val="en-US"/>
        </w:rPr>
        <w:t>In addition, the Guiding Principles consider that:</w:t>
      </w:r>
    </w:p>
    <w:p w14:paraId="06A2D7B3" w14:textId="77777777" w:rsidR="00130785" w:rsidRPr="00FE50A6" w:rsidRDefault="00130785" w:rsidP="00130785">
      <w:pPr>
        <w:tabs>
          <w:tab w:val="clear" w:pos="4419"/>
          <w:tab w:val="clear" w:pos="8838"/>
        </w:tabs>
        <w:rPr>
          <w:rFonts w:eastAsia="MS Mincho" w:cs="Times New Roman"/>
          <w:b/>
          <w:sz w:val="24"/>
          <w:szCs w:val="20"/>
          <w:lang w:val="en-US" w:eastAsia="es-ES"/>
        </w:rPr>
      </w:pPr>
    </w:p>
    <w:p w14:paraId="3039A15B" w14:textId="77777777" w:rsidR="009502A3" w:rsidRPr="00FE50A6" w:rsidRDefault="00CD779E" w:rsidP="00CD779E">
      <w:pPr>
        <w:tabs>
          <w:tab w:val="clear" w:pos="8838"/>
          <w:tab w:val="right" w:pos="8370"/>
        </w:tabs>
        <w:ind w:left="720" w:right="468"/>
        <w:jc w:val="both"/>
        <w:rPr>
          <w:sz w:val="16"/>
          <w:szCs w:val="16"/>
          <w:lang w:val="en-US"/>
        </w:rPr>
      </w:pPr>
      <w:r w:rsidRPr="00FE50A6">
        <w:rPr>
          <w:sz w:val="16"/>
          <w:szCs w:val="16"/>
          <w:lang w:val="en-US"/>
        </w:rPr>
        <w:t>“</w:t>
      </w:r>
      <w:r w:rsidR="009502A3" w:rsidRPr="00FE50A6">
        <w:rPr>
          <w:sz w:val="16"/>
          <w:szCs w:val="16"/>
          <w:lang w:val="en-US"/>
        </w:rPr>
        <w:t xml:space="preserve">3. Poverty is an </w:t>
      </w:r>
      <w:r w:rsidR="009502A3" w:rsidRPr="00FE50A6">
        <w:rPr>
          <w:rStyle w:val="highlight"/>
          <w:sz w:val="16"/>
          <w:szCs w:val="16"/>
          <w:lang w:val="en-US"/>
        </w:rPr>
        <w:t xml:space="preserve">urgent </w:t>
      </w:r>
      <w:r w:rsidR="009502A3" w:rsidRPr="00FE50A6">
        <w:rPr>
          <w:sz w:val="16"/>
          <w:szCs w:val="16"/>
          <w:lang w:val="en-US"/>
        </w:rPr>
        <w:t xml:space="preserve">human rights concern in itself. It is both a cause and a consequence of human rights violations and an enabling condition for other violations. </w:t>
      </w:r>
      <w:r w:rsidR="009502A3" w:rsidRPr="00FE50A6">
        <w:rPr>
          <w:sz w:val="16"/>
          <w:szCs w:val="16"/>
          <w:u w:val="single"/>
          <w:lang w:val="en-US"/>
        </w:rPr>
        <w:t>Not only is extreme poverty characterized by multiple reinforcing violations of civil, political, economic, social and cultural rights, but persons living in poverty generally experience regular denials of their dignity and equality</w:t>
      </w:r>
      <w:r w:rsidR="009502A3" w:rsidRPr="00FE50A6">
        <w:rPr>
          <w:sz w:val="16"/>
          <w:szCs w:val="16"/>
          <w:lang w:val="en-US"/>
        </w:rPr>
        <w:t>.</w:t>
      </w:r>
    </w:p>
    <w:p w14:paraId="2DEFE3CC" w14:textId="77777777" w:rsidR="009502A3" w:rsidRPr="00FE50A6" w:rsidRDefault="009502A3" w:rsidP="00CD779E">
      <w:pPr>
        <w:widowControl w:val="0"/>
        <w:tabs>
          <w:tab w:val="clear" w:pos="4419"/>
          <w:tab w:val="clear" w:pos="8838"/>
          <w:tab w:val="right" w:pos="8370"/>
        </w:tabs>
        <w:autoSpaceDE w:val="0"/>
        <w:autoSpaceDN w:val="0"/>
        <w:adjustRightInd w:val="0"/>
        <w:ind w:left="709" w:right="468"/>
        <w:contextualSpacing/>
        <w:jc w:val="both"/>
        <w:rPr>
          <w:rFonts w:eastAsia="Cambria" w:cs="Times"/>
          <w:sz w:val="16"/>
          <w:szCs w:val="16"/>
          <w:lang w:val="en-US"/>
        </w:rPr>
      </w:pPr>
    </w:p>
    <w:p w14:paraId="6702C460" w14:textId="77777777" w:rsidR="00130785" w:rsidRPr="00FE50A6" w:rsidRDefault="009502A3" w:rsidP="00CD779E">
      <w:pPr>
        <w:tabs>
          <w:tab w:val="clear" w:pos="8838"/>
          <w:tab w:val="right" w:pos="8370"/>
        </w:tabs>
        <w:ind w:left="720" w:right="468"/>
        <w:jc w:val="both"/>
        <w:rPr>
          <w:i/>
          <w:sz w:val="16"/>
          <w:szCs w:val="16"/>
          <w:lang w:val="en-US"/>
        </w:rPr>
      </w:pPr>
      <w:r w:rsidRPr="00FE50A6">
        <w:rPr>
          <w:rFonts w:eastAsia="Cambria" w:cs="Times"/>
          <w:sz w:val="16"/>
          <w:szCs w:val="16"/>
          <w:lang w:val="en-US"/>
        </w:rPr>
        <w:t xml:space="preserve">4. </w:t>
      </w:r>
      <w:r w:rsidRPr="00FE50A6">
        <w:rPr>
          <w:sz w:val="16"/>
          <w:szCs w:val="16"/>
          <w:lang w:val="en-US"/>
        </w:rPr>
        <w:t xml:space="preserve">Persons living in poverty are confronted by the most severe obstacles </w:t>
      </w:r>
      <w:r w:rsidRPr="00FE50A6">
        <w:rPr>
          <w:rFonts w:cs="Arial"/>
          <w:sz w:val="16"/>
          <w:szCs w:val="16"/>
          <w:lang w:val="en-US"/>
        </w:rPr>
        <w:t>–</w:t>
      </w:r>
      <w:r w:rsidRPr="00FE50A6">
        <w:rPr>
          <w:sz w:val="16"/>
          <w:szCs w:val="16"/>
          <w:lang w:val="en-US"/>
        </w:rPr>
        <w:t xml:space="preserve"> physical, economic, cultural and social </w:t>
      </w:r>
      <w:r w:rsidRPr="00FE50A6">
        <w:rPr>
          <w:rFonts w:cs="Arial"/>
          <w:sz w:val="16"/>
          <w:szCs w:val="16"/>
          <w:lang w:val="en-US"/>
        </w:rPr>
        <w:t>–</w:t>
      </w:r>
      <w:r w:rsidRPr="00FE50A6">
        <w:rPr>
          <w:sz w:val="16"/>
          <w:szCs w:val="16"/>
          <w:lang w:val="en-US"/>
        </w:rPr>
        <w:t xml:space="preserve"> to accessing their rights and entitlements. Consequently, they experience many interrelated and mutually reinforcing deprivations </w:t>
      </w:r>
      <w:r w:rsidRPr="00FE50A6">
        <w:rPr>
          <w:rFonts w:cs="Arial"/>
          <w:sz w:val="16"/>
          <w:szCs w:val="16"/>
          <w:lang w:val="en-US"/>
        </w:rPr>
        <w:t>–</w:t>
      </w:r>
      <w:r w:rsidRPr="00FE50A6">
        <w:rPr>
          <w:sz w:val="16"/>
          <w:szCs w:val="16"/>
          <w:lang w:val="en-US"/>
        </w:rPr>
        <w:t xml:space="preserve"> including dangerous work conditions, unsafe housing, lack of nutritious food, unequal access to justice, lack of political power and limited access to health care </w:t>
      </w:r>
      <w:r w:rsidRPr="00FE50A6">
        <w:rPr>
          <w:rFonts w:cs="Arial"/>
          <w:sz w:val="16"/>
          <w:szCs w:val="16"/>
          <w:lang w:val="en-US"/>
        </w:rPr>
        <w:t>–</w:t>
      </w:r>
      <w:r w:rsidRPr="00FE50A6">
        <w:rPr>
          <w:sz w:val="16"/>
          <w:szCs w:val="16"/>
          <w:lang w:val="en-US"/>
        </w:rPr>
        <w:t xml:space="preserve"> that prevent them from realizing their rights and perpetuate their poverty. </w:t>
      </w:r>
      <w:r w:rsidRPr="00FE50A6">
        <w:rPr>
          <w:sz w:val="16"/>
          <w:szCs w:val="16"/>
          <w:u w:val="single"/>
          <w:lang w:val="en-US"/>
        </w:rPr>
        <w:t>Persons experiencing extreme poverty live in a vicious cycle of powerlessness, stigmatization, discrimination, exclusion and material deprivation, which all mutually reinforce one another</w:t>
      </w:r>
      <w:r w:rsidR="00CD779E" w:rsidRPr="00FE50A6">
        <w:rPr>
          <w:sz w:val="16"/>
          <w:szCs w:val="16"/>
          <w:lang w:val="en-US"/>
        </w:rPr>
        <w:t>”</w:t>
      </w:r>
      <w:r w:rsidR="00130785" w:rsidRPr="00FE50A6">
        <w:rPr>
          <w:rFonts w:eastAsia="Cambria" w:cs="Times New Roman"/>
          <w:i/>
          <w:sz w:val="16"/>
          <w:szCs w:val="20"/>
          <w:vertAlign w:val="superscript"/>
          <w:lang w:val="en-US"/>
        </w:rPr>
        <w:footnoteReference w:id="565"/>
      </w:r>
      <w:r w:rsidR="00130785" w:rsidRPr="00FE50A6">
        <w:rPr>
          <w:rFonts w:eastAsia="Cambria" w:cs="Times"/>
          <w:sz w:val="16"/>
          <w:szCs w:val="16"/>
          <w:lang w:val="en-US"/>
        </w:rPr>
        <w:t xml:space="preserve"> (</w:t>
      </w:r>
      <w:r w:rsidRPr="00FE50A6">
        <w:rPr>
          <w:rFonts w:eastAsia="Cambria" w:cs="Times"/>
          <w:sz w:val="16"/>
          <w:szCs w:val="16"/>
          <w:lang w:val="en-US"/>
        </w:rPr>
        <w:t>underlining added</w:t>
      </w:r>
      <w:r w:rsidR="00130785" w:rsidRPr="00FE50A6">
        <w:rPr>
          <w:rFonts w:eastAsia="Cambria" w:cs="Times"/>
          <w:sz w:val="16"/>
          <w:szCs w:val="16"/>
          <w:lang w:val="en-US"/>
        </w:rPr>
        <w:t>).</w:t>
      </w:r>
    </w:p>
    <w:p w14:paraId="70348AB6" w14:textId="77777777" w:rsidR="00130785" w:rsidRPr="00FE50A6" w:rsidRDefault="00130785" w:rsidP="00130785">
      <w:pPr>
        <w:widowControl w:val="0"/>
        <w:tabs>
          <w:tab w:val="clear" w:pos="4419"/>
          <w:tab w:val="clear" w:pos="8838"/>
        </w:tabs>
        <w:autoSpaceDE w:val="0"/>
        <w:autoSpaceDN w:val="0"/>
        <w:adjustRightInd w:val="0"/>
        <w:rPr>
          <w:rFonts w:eastAsia="MS Mincho" w:cs="Times"/>
          <w:szCs w:val="20"/>
          <w:lang w:val="en-US" w:eastAsia="es-ES"/>
        </w:rPr>
      </w:pPr>
    </w:p>
    <w:p w14:paraId="2ABA6147" w14:textId="77777777" w:rsidR="00D23D2A" w:rsidRPr="00FE50A6" w:rsidRDefault="006B0C55" w:rsidP="009502A3">
      <w:pPr>
        <w:widowControl w:val="0"/>
        <w:numPr>
          <w:ilvl w:val="0"/>
          <w:numId w:val="26"/>
        </w:numPr>
        <w:tabs>
          <w:tab w:val="clear" w:pos="4419"/>
          <w:tab w:val="clear" w:pos="8838"/>
          <w:tab w:val="left" w:pos="180"/>
        </w:tabs>
        <w:autoSpaceDE w:val="0"/>
        <w:autoSpaceDN w:val="0"/>
        <w:adjustRightInd w:val="0"/>
        <w:contextualSpacing/>
        <w:jc w:val="both"/>
        <w:rPr>
          <w:rFonts w:eastAsia="Cambria" w:cs="Times New Roman"/>
          <w:szCs w:val="20"/>
          <w:lang w:val="en-US"/>
        </w:rPr>
      </w:pPr>
      <w:r w:rsidRPr="00FE50A6">
        <w:rPr>
          <w:rFonts w:eastAsia="Cambria" w:cs="Times New Roman"/>
          <w:szCs w:val="20"/>
          <w:lang w:val="en-US"/>
        </w:rPr>
        <w:t>The Special Rapporteur</w:t>
      </w:r>
      <w:r w:rsidR="00130785" w:rsidRPr="00FE50A6">
        <w:rPr>
          <w:rFonts w:eastAsia="Cambria" w:cs="Times New Roman"/>
          <w:szCs w:val="20"/>
          <w:lang w:val="en-US"/>
        </w:rPr>
        <w:t xml:space="preserve"> </w:t>
      </w:r>
      <w:r w:rsidR="00CD779E" w:rsidRPr="00FE50A6">
        <w:rPr>
          <w:rFonts w:eastAsia="Cambria" w:cs="Times New Roman"/>
          <w:szCs w:val="20"/>
          <w:lang w:val="en-US"/>
        </w:rPr>
        <w:t>on</w:t>
      </w:r>
      <w:r w:rsidR="009502A3" w:rsidRPr="00FE50A6">
        <w:rPr>
          <w:rFonts w:eastAsia="Cambria" w:cs="Times New Roman"/>
          <w:szCs w:val="20"/>
          <w:lang w:val="en-US"/>
        </w:rPr>
        <w:t xml:space="preserve"> </w:t>
      </w:r>
      <w:r w:rsidR="009004BA" w:rsidRPr="00FE50A6">
        <w:rPr>
          <w:rFonts w:eastAsia="Cambria" w:cs="Times New Roman"/>
          <w:szCs w:val="20"/>
          <w:lang w:val="en-US"/>
        </w:rPr>
        <w:t xml:space="preserve">extreme poverty and human rights </w:t>
      </w:r>
      <w:r w:rsidR="009502A3" w:rsidRPr="00FE50A6">
        <w:rPr>
          <w:rFonts w:eastAsia="Cambria" w:cs="Times New Roman"/>
          <w:szCs w:val="20"/>
          <w:lang w:val="en-US"/>
        </w:rPr>
        <w:t>has considered that</w:t>
      </w:r>
      <w:r w:rsidR="00D23D2A" w:rsidRPr="00FE50A6">
        <w:rPr>
          <w:rFonts w:eastAsia="Cambria" w:cs="Times New Roman"/>
          <w:szCs w:val="20"/>
          <w:lang w:val="en-US"/>
        </w:rPr>
        <w:t xml:space="preserve"> “[</w:t>
      </w:r>
      <w:r w:rsidR="00D23D2A" w:rsidRPr="00FE50A6">
        <w:rPr>
          <w:rFonts w:eastAsia="Cambria" w:cs="Times New Roman"/>
          <w:szCs w:val="20"/>
          <w:u w:val="single"/>
          <w:lang w:val="en-US"/>
        </w:rPr>
        <w:t>p]</w:t>
      </w:r>
      <w:r w:rsidR="00D23D2A" w:rsidRPr="00FE50A6">
        <w:rPr>
          <w:szCs w:val="20"/>
          <w:u w:val="single"/>
          <w:lang w:val="en-US"/>
        </w:rPr>
        <w:t>eople living in poverty experience discrimination on the grounds of poverty itself</w:t>
      </w:r>
      <w:r w:rsidR="00D23D2A" w:rsidRPr="00FE50A6">
        <w:rPr>
          <w:lang w:val="en-US"/>
        </w:rPr>
        <w:t xml:space="preserve">, </w:t>
      </w:r>
      <w:r w:rsidR="00D23D2A" w:rsidRPr="00FE50A6">
        <w:rPr>
          <w:szCs w:val="20"/>
          <w:lang w:val="en-US"/>
        </w:rPr>
        <w:t>but also frequently due to membership in other disadvantaged sectors of the population, including but not limited to indigenous peoples, persons with disabilities, ethnic minorities and people living with HIV/AIDS</w:t>
      </w:r>
      <w:r w:rsidR="00D23D2A" w:rsidRPr="00FE50A6">
        <w:rPr>
          <w:rFonts w:eastAsia="Cambria" w:cs="Times New Roman"/>
          <w:szCs w:val="20"/>
          <w:lang w:val="en-US"/>
        </w:rPr>
        <w:t>.</w:t>
      </w:r>
      <w:r w:rsidR="009004BA" w:rsidRPr="00FE50A6">
        <w:rPr>
          <w:rFonts w:eastAsia="Cambria" w:cs="Times New Roman"/>
          <w:szCs w:val="20"/>
          <w:lang w:val="en-US"/>
        </w:rPr>
        <w:t>”</w:t>
      </w:r>
      <w:r w:rsidR="00130785" w:rsidRPr="00FE50A6">
        <w:rPr>
          <w:rFonts w:eastAsia="Cambria" w:cs="Times New Roman"/>
          <w:szCs w:val="20"/>
          <w:vertAlign w:val="superscript"/>
          <w:lang w:val="en-US"/>
        </w:rPr>
        <w:footnoteReference w:id="566"/>
      </w:r>
      <w:r w:rsidR="00D23D2A" w:rsidRPr="00FE50A6">
        <w:rPr>
          <w:rFonts w:eastAsia="Cambria" w:cs="Times"/>
          <w:szCs w:val="20"/>
          <w:lang w:val="en-US"/>
        </w:rPr>
        <w:t xml:space="preserve"> In other words although</w:t>
      </w:r>
      <w:r w:rsidR="009004BA" w:rsidRPr="00FE50A6">
        <w:rPr>
          <w:rFonts w:eastAsia="Cambria" w:cs="Times"/>
          <w:szCs w:val="20"/>
          <w:lang w:val="en-US"/>
        </w:rPr>
        <w:t>, in</w:t>
      </w:r>
      <w:r w:rsidR="00D23D2A" w:rsidRPr="00FE50A6">
        <w:rPr>
          <w:rFonts w:eastAsia="Cambria" w:cs="Times"/>
          <w:szCs w:val="20"/>
          <w:lang w:val="en-US"/>
        </w:rPr>
        <w:t xml:space="preserve"> general, people living in poverty may, coincidentally, be members of other vulnerable sectors (women, children, pe</w:t>
      </w:r>
      <w:r w:rsidR="009004BA" w:rsidRPr="00FE50A6">
        <w:rPr>
          <w:rFonts w:eastAsia="Cambria" w:cs="Times"/>
          <w:szCs w:val="20"/>
          <w:lang w:val="en-US"/>
        </w:rPr>
        <w:t>rsons</w:t>
      </w:r>
      <w:r w:rsidR="00D23D2A" w:rsidRPr="00FE50A6">
        <w:rPr>
          <w:rFonts w:eastAsia="Cambria" w:cs="Times"/>
          <w:szCs w:val="20"/>
          <w:lang w:val="en-US"/>
        </w:rPr>
        <w:t xml:space="preserve"> with disabilities, indigenous peoples, </w:t>
      </w:r>
      <w:r w:rsidR="00210F35" w:rsidRPr="00FE50A6">
        <w:rPr>
          <w:rFonts w:eastAsia="Cambria" w:cs="Times"/>
          <w:szCs w:val="20"/>
          <w:lang w:val="en-US"/>
        </w:rPr>
        <w:t>A</w:t>
      </w:r>
      <w:r w:rsidR="00D23D2A" w:rsidRPr="00FE50A6">
        <w:rPr>
          <w:rFonts w:eastAsia="Cambria" w:cs="Times"/>
          <w:szCs w:val="20"/>
          <w:lang w:val="en-US"/>
        </w:rPr>
        <w:t>fro-descendants, the elderly, etc.) this does not exclude people living in poverty who do not fall within any other category.</w:t>
      </w:r>
    </w:p>
    <w:p w14:paraId="4B32AFB1" w14:textId="77777777" w:rsidR="00130785" w:rsidRPr="00FE50A6" w:rsidRDefault="00130785" w:rsidP="00B44229">
      <w:pPr>
        <w:widowControl w:val="0"/>
        <w:tabs>
          <w:tab w:val="clear" w:pos="4419"/>
          <w:tab w:val="clear" w:pos="8838"/>
          <w:tab w:val="left" w:pos="180"/>
        </w:tabs>
        <w:autoSpaceDE w:val="0"/>
        <w:autoSpaceDN w:val="0"/>
        <w:adjustRightInd w:val="0"/>
        <w:contextualSpacing/>
        <w:jc w:val="both"/>
        <w:rPr>
          <w:rFonts w:eastAsia="Cambria" w:cs="Times New Roman"/>
          <w:szCs w:val="20"/>
          <w:lang w:val="en-US"/>
        </w:rPr>
      </w:pPr>
    </w:p>
    <w:p w14:paraId="728AFD67" w14:textId="77777777" w:rsidR="00130785" w:rsidRPr="00FE50A6" w:rsidRDefault="00D23D2A" w:rsidP="00B44229">
      <w:pPr>
        <w:numPr>
          <w:ilvl w:val="0"/>
          <w:numId w:val="26"/>
        </w:numPr>
        <w:tabs>
          <w:tab w:val="clear" w:pos="4419"/>
          <w:tab w:val="clear" w:pos="8838"/>
          <w:tab w:val="left" w:pos="180"/>
        </w:tabs>
        <w:contextualSpacing/>
        <w:jc w:val="both"/>
        <w:rPr>
          <w:rFonts w:eastAsia="Cambria" w:cs="Times New Roman"/>
          <w:szCs w:val="20"/>
          <w:lang w:val="en-US"/>
        </w:rPr>
      </w:pPr>
      <w:r w:rsidRPr="00FE50A6">
        <w:rPr>
          <w:rFonts w:eastAsia="Cambria" w:cs="Times New Roman"/>
          <w:szCs w:val="20"/>
          <w:lang w:val="en-US"/>
        </w:rPr>
        <w:t>This tendency has also been reflected by other United Nations Special Rapporteurs who differentiate between the traditionally recognized groups and people living in poverty, recognizing the latter as people who require special protection in relation to respect and guarantee of the internationally recognized human rights.</w:t>
      </w:r>
    </w:p>
    <w:p w14:paraId="59284C08" w14:textId="77777777" w:rsidR="00130785" w:rsidRPr="00FE50A6" w:rsidRDefault="00130785" w:rsidP="00B44229">
      <w:pPr>
        <w:tabs>
          <w:tab w:val="clear" w:pos="4419"/>
          <w:tab w:val="clear" w:pos="8838"/>
          <w:tab w:val="left" w:pos="180"/>
        </w:tabs>
        <w:rPr>
          <w:rFonts w:eastAsia="MS Mincho" w:cs="Times New Roman"/>
          <w:szCs w:val="20"/>
          <w:lang w:val="en-US" w:eastAsia="es-ES"/>
        </w:rPr>
      </w:pPr>
    </w:p>
    <w:p w14:paraId="79F9B33B" w14:textId="77777777" w:rsidR="00130785" w:rsidRPr="00FE50A6" w:rsidRDefault="00963CA2" w:rsidP="00B44229">
      <w:pPr>
        <w:numPr>
          <w:ilvl w:val="0"/>
          <w:numId w:val="26"/>
        </w:numPr>
        <w:tabs>
          <w:tab w:val="clear" w:pos="4419"/>
          <w:tab w:val="clear" w:pos="8838"/>
          <w:tab w:val="left" w:pos="180"/>
        </w:tabs>
        <w:contextualSpacing/>
        <w:jc w:val="both"/>
        <w:rPr>
          <w:rFonts w:eastAsia="Cambria" w:cs="Times New Roman"/>
          <w:szCs w:val="20"/>
          <w:lang w:val="en-US"/>
        </w:rPr>
      </w:pPr>
      <w:r w:rsidRPr="00FE50A6">
        <w:rPr>
          <w:rFonts w:eastAsia="Cambria" w:cs="Times New Roman"/>
          <w:szCs w:val="20"/>
          <w:lang w:val="en-US"/>
        </w:rPr>
        <w:t>Thus</w:t>
      </w:r>
      <w:r w:rsidR="00D23D2A" w:rsidRPr="00FE50A6">
        <w:rPr>
          <w:rFonts w:eastAsia="Cambria" w:cs="Times New Roman"/>
          <w:szCs w:val="20"/>
          <w:lang w:val="en-US"/>
        </w:rPr>
        <w:t xml:space="preserve">, we can find statements </w:t>
      </w:r>
      <w:r w:rsidRPr="00FE50A6">
        <w:rPr>
          <w:rFonts w:eastAsia="Cambria" w:cs="Times New Roman"/>
          <w:szCs w:val="20"/>
          <w:lang w:val="en-US"/>
        </w:rPr>
        <w:t>by</w:t>
      </w:r>
      <w:r w:rsidR="00D23D2A" w:rsidRPr="00FE50A6">
        <w:rPr>
          <w:rFonts w:eastAsia="Cambria" w:cs="Times New Roman"/>
          <w:szCs w:val="20"/>
          <w:lang w:val="en-US"/>
        </w:rPr>
        <w:t xml:space="preserve"> the United Nations Special Rapporteurs on</w:t>
      </w:r>
      <w:r w:rsidR="00130785" w:rsidRPr="00FE50A6">
        <w:rPr>
          <w:rFonts w:eastAsia="Cambria" w:cs="Times New Roman"/>
          <w:szCs w:val="20"/>
          <w:lang w:val="en-US"/>
        </w:rPr>
        <w:t xml:space="preserve">: </w:t>
      </w:r>
      <w:r w:rsidR="00D23D2A" w:rsidRPr="00FE50A6">
        <w:rPr>
          <w:rFonts w:eastAsia="Cambria" w:cs="Times New Roman"/>
          <w:szCs w:val="20"/>
          <w:lang w:val="en-US"/>
        </w:rPr>
        <w:t>(</w:t>
      </w:r>
      <w:r w:rsidR="00130785" w:rsidRPr="00FE50A6">
        <w:rPr>
          <w:rFonts w:eastAsia="Cambria" w:cs="Times New Roman"/>
          <w:szCs w:val="20"/>
          <w:lang w:val="en-US"/>
        </w:rPr>
        <w:t xml:space="preserve">i) </w:t>
      </w:r>
      <w:r w:rsidR="000C2A19" w:rsidRPr="00FE50A6">
        <w:rPr>
          <w:rFonts w:eastAsia="Cambria" w:cs="Times New Roman"/>
          <w:szCs w:val="20"/>
          <w:lang w:val="en-US"/>
        </w:rPr>
        <w:t>trafficking in persons</w:t>
      </w:r>
      <w:r w:rsidR="00130785" w:rsidRPr="00FE50A6">
        <w:rPr>
          <w:rFonts w:eastAsia="Cambria" w:cs="Times New Roman"/>
          <w:szCs w:val="20"/>
          <w:lang w:val="en-US"/>
        </w:rPr>
        <w:t>, especia</w:t>
      </w:r>
      <w:r w:rsidR="00D23D2A" w:rsidRPr="00FE50A6">
        <w:rPr>
          <w:rFonts w:eastAsia="Cambria" w:cs="Times New Roman"/>
          <w:szCs w:val="20"/>
          <w:lang w:val="en-US"/>
        </w:rPr>
        <w:t>lly women and children;</w:t>
      </w:r>
      <w:r w:rsidR="00130785" w:rsidRPr="00FE50A6">
        <w:rPr>
          <w:rFonts w:eastAsia="Cambria" w:cs="Times New Roman"/>
          <w:szCs w:val="20"/>
          <w:vertAlign w:val="superscript"/>
          <w:lang w:val="en-US"/>
        </w:rPr>
        <w:footnoteReference w:id="567"/>
      </w:r>
      <w:r w:rsidR="00130785" w:rsidRPr="00FE50A6">
        <w:rPr>
          <w:rFonts w:eastAsia="Cambria" w:cs="Times New Roman"/>
          <w:szCs w:val="20"/>
          <w:lang w:val="en-US"/>
        </w:rPr>
        <w:t xml:space="preserve"> </w:t>
      </w:r>
      <w:r w:rsidR="00D23D2A" w:rsidRPr="00FE50A6">
        <w:rPr>
          <w:rFonts w:eastAsia="Cambria" w:cs="Times New Roman"/>
          <w:szCs w:val="20"/>
          <w:lang w:val="en-US"/>
        </w:rPr>
        <w:t>(</w:t>
      </w:r>
      <w:r w:rsidR="00130785" w:rsidRPr="00FE50A6">
        <w:rPr>
          <w:rFonts w:eastAsia="Cambria" w:cs="Times New Roman"/>
          <w:szCs w:val="20"/>
          <w:lang w:val="en-US"/>
        </w:rPr>
        <w:t xml:space="preserve">ii) </w:t>
      </w:r>
      <w:r w:rsidR="00D23D2A" w:rsidRPr="00FE50A6">
        <w:rPr>
          <w:rFonts w:eastAsia="Cambria" w:cs="Times New Roman"/>
          <w:szCs w:val="20"/>
          <w:lang w:val="en-US"/>
        </w:rPr>
        <w:t>the right to w</w:t>
      </w:r>
      <w:r w:rsidRPr="00FE50A6">
        <w:rPr>
          <w:rFonts w:eastAsia="Cambria" w:cs="Times New Roman"/>
          <w:szCs w:val="20"/>
          <w:lang w:val="en-US"/>
        </w:rPr>
        <w:t>a</w:t>
      </w:r>
      <w:r w:rsidR="00D23D2A" w:rsidRPr="00FE50A6">
        <w:rPr>
          <w:rFonts w:eastAsia="Cambria" w:cs="Times New Roman"/>
          <w:szCs w:val="20"/>
          <w:lang w:val="en-US"/>
        </w:rPr>
        <w:t>ter;</w:t>
      </w:r>
      <w:r w:rsidR="00130785" w:rsidRPr="00FE50A6">
        <w:rPr>
          <w:rFonts w:eastAsia="Cambria" w:cs="Times New Roman"/>
          <w:szCs w:val="20"/>
          <w:vertAlign w:val="superscript"/>
          <w:lang w:val="en-US"/>
        </w:rPr>
        <w:footnoteReference w:id="568"/>
      </w:r>
      <w:r w:rsidR="00130785" w:rsidRPr="00FE50A6">
        <w:rPr>
          <w:rFonts w:eastAsia="Cambria" w:cs="Times New Roman"/>
          <w:szCs w:val="20"/>
          <w:lang w:val="en-US"/>
        </w:rPr>
        <w:t xml:space="preserve"> </w:t>
      </w:r>
      <w:r w:rsidR="00D23D2A" w:rsidRPr="00FE50A6">
        <w:rPr>
          <w:rFonts w:eastAsia="Cambria" w:cs="Times New Roman"/>
          <w:szCs w:val="20"/>
          <w:lang w:val="en-US"/>
        </w:rPr>
        <w:t>(</w:t>
      </w:r>
      <w:r w:rsidR="00130785" w:rsidRPr="00FE50A6">
        <w:rPr>
          <w:rFonts w:eastAsia="Cambria" w:cs="Times New Roman"/>
          <w:szCs w:val="20"/>
          <w:lang w:val="en-US"/>
        </w:rPr>
        <w:t xml:space="preserve">iii) </w:t>
      </w:r>
      <w:r w:rsidR="00D23D2A" w:rsidRPr="00FE50A6">
        <w:rPr>
          <w:rFonts w:eastAsia="Cambria" w:cs="Times New Roman"/>
          <w:szCs w:val="20"/>
          <w:lang w:val="en-US"/>
        </w:rPr>
        <w:t>hu</w:t>
      </w:r>
      <w:r w:rsidRPr="00FE50A6">
        <w:rPr>
          <w:rFonts w:eastAsia="Cambria" w:cs="Times New Roman"/>
          <w:szCs w:val="20"/>
          <w:lang w:val="en-US"/>
        </w:rPr>
        <w:t>m</w:t>
      </w:r>
      <w:r w:rsidR="00D23D2A" w:rsidRPr="00FE50A6">
        <w:rPr>
          <w:rFonts w:eastAsia="Cambria" w:cs="Times New Roman"/>
          <w:szCs w:val="20"/>
          <w:lang w:val="en-US"/>
        </w:rPr>
        <w:t>an rights defenders</w:t>
      </w:r>
      <w:r w:rsidRPr="00FE50A6">
        <w:rPr>
          <w:rFonts w:eastAsia="Cambria" w:cs="Times New Roman"/>
          <w:szCs w:val="20"/>
          <w:lang w:val="en-US"/>
        </w:rPr>
        <w:t>;</w:t>
      </w:r>
      <w:r w:rsidR="00130785" w:rsidRPr="00FE50A6">
        <w:rPr>
          <w:rFonts w:eastAsia="Cambria" w:cs="Times New Roman"/>
          <w:szCs w:val="20"/>
          <w:vertAlign w:val="superscript"/>
          <w:lang w:val="en-US"/>
        </w:rPr>
        <w:footnoteReference w:id="569"/>
      </w:r>
      <w:r w:rsidR="00130785" w:rsidRPr="00FE50A6">
        <w:rPr>
          <w:rFonts w:eastAsia="Cambria" w:cs="Times New Roman"/>
          <w:szCs w:val="20"/>
          <w:lang w:val="en-US"/>
        </w:rPr>
        <w:t xml:space="preserve"> </w:t>
      </w:r>
      <w:r w:rsidR="00D23D2A" w:rsidRPr="00FE50A6">
        <w:rPr>
          <w:rFonts w:eastAsia="Cambria" w:cs="Times New Roman"/>
          <w:szCs w:val="20"/>
          <w:lang w:val="en-US"/>
        </w:rPr>
        <w:t>(</w:t>
      </w:r>
      <w:r w:rsidR="00130785" w:rsidRPr="00FE50A6">
        <w:rPr>
          <w:rFonts w:eastAsia="Cambria" w:cs="Times New Roman"/>
          <w:szCs w:val="20"/>
          <w:lang w:val="en-US"/>
        </w:rPr>
        <w:t xml:space="preserve">iv) </w:t>
      </w:r>
      <w:r w:rsidRPr="00FE50A6">
        <w:rPr>
          <w:rFonts w:eastAsia="Cambria" w:cs="Times New Roman"/>
          <w:szCs w:val="20"/>
          <w:lang w:val="en-US"/>
        </w:rPr>
        <w:t>the right to education;</w:t>
      </w:r>
      <w:r w:rsidR="00130785" w:rsidRPr="00FE50A6">
        <w:rPr>
          <w:rFonts w:eastAsia="Cambria" w:cs="Times New Roman"/>
          <w:szCs w:val="20"/>
          <w:vertAlign w:val="superscript"/>
          <w:lang w:val="en-US"/>
        </w:rPr>
        <w:footnoteReference w:id="570"/>
      </w:r>
      <w:r w:rsidR="00130785" w:rsidRPr="00FE50A6">
        <w:rPr>
          <w:rFonts w:eastAsia="Cambria" w:cs="Times New Roman"/>
          <w:szCs w:val="20"/>
          <w:lang w:val="en-US"/>
        </w:rPr>
        <w:t xml:space="preserve"> </w:t>
      </w:r>
      <w:r w:rsidR="00D23D2A" w:rsidRPr="00FE50A6">
        <w:rPr>
          <w:rFonts w:eastAsia="Cambria" w:cs="Times New Roman"/>
          <w:szCs w:val="20"/>
          <w:lang w:val="en-US"/>
        </w:rPr>
        <w:t>(</w:t>
      </w:r>
      <w:r w:rsidR="00130785" w:rsidRPr="00FE50A6">
        <w:rPr>
          <w:rFonts w:eastAsia="Cambria" w:cs="Times New Roman"/>
          <w:szCs w:val="20"/>
          <w:lang w:val="en-US"/>
        </w:rPr>
        <w:t xml:space="preserve">v) </w:t>
      </w:r>
      <w:r w:rsidRPr="00FE50A6">
        <w:rPr>
          <w:rFonts w:eastAsia="Cambria" w:cs="Times New Roman"/>
          <w:szCs w:val="20"/>
          <w:lang w:val="en-US"/>
        </w:rPr>
        <w:t>the human rights obligations related to the enjoyment of a risk-free, clean, healthy and sustainable environment;</w:t>
      </w:r>
      <w:r w:rsidR="00130785" w:rsidRPr="00FE50A6">
        <w:rPr>
          <w:rFonts w:eastAsia="Cambria" w:cs="Times New Roman"/>
          <w:szCs w:val="20"/>
          <w:vertAlign w:val="superscript"/>
          <w:lang w:val="en-US"/>
        </w:rPr>
        <w:footnoteReference w:id="571"/>
      </w:r>
      <w:r w:rsidR="00130785" w:rsidRPr="00FE50A6">
        <w:rPr>
          <w:rFonts w:eastAsia="Cambria" w:cs="Times New Roman"/>
          <w:szCs w:val="20"/>
          <w:lang w:val="en-US"/>
        </w:rPr>
        <w:t xml:space="preserve"> </w:t>
      </w:r>
      <w:r w:rsidRPr="00FE50A6">
        <w:rPr>
          <w:rFonts w:eastAsia="Cambria" w:cs="Times New Roman"/>
          <w:szCs w:val="20"/>
          <w:lang w:val="en-US"/>
        </w:rPr>
        <w:t>(</w:t>
      </w:r>
      <w:r w:rsidR="00130785" w:rsidRPr="00FE50A6">
        <w:rPr>
          <w:rFonts w:eastAsia="Cambria" w:cs="Times New Roman"/>
          <w:szCs w:val="20"/>
          <w:lang w:val="en-US"/>
        </w:rPr>
        <w:t xml:space="preserve">vi) </w:t>
      </w:r>
      <w:r w:rsidRPr="00FE50A6">
        <w:rPr>
          <w:rFonts w:eastAsia="Cambria" w:cs="Times New Roman"/>
          <w:szCs w:val="20"/>
          <w:lang w:val="en-US"/>
        </w:rPr>
        <w:t>the right to adequate housing,</w:t>
      </w:r>
      <w:r w:rsidR="00130785" w:rsidRPr="00FE50A6">
        <w:rPr>
          <w:rFonts w:eastAsia="Cambria" w:cs="Times New Roman"/>
          <w:szCs w:val="20"/>
          <w:vertAlign w:val="superscript"/>
          <w:lang w:val="en-US"/>
        </w:rPr>
        <w:footnoteReference w:id="572"/>
      </w:r>
      <w:r w:rsidR="00030C17" w:rsidRPr="00FE50A6">
        <w:rPr>
          <w:rFonts w:eastAsia="Cambria" w:cs="Times New Roman"/>
          <w:szCs w:val="20"/>
          <w:lang w:val="en-US"/>
        </w:rPr>
        <w:t xml:space="preserve"> and </w:t>
      </w:r>
      <w:r w:rsidRPr="00FE50A6">
        <w:rPr>
          <w:rFonts w:eastAsia="Cambria" w:cs="Times New Roman"/>
          <w:szCs w:val="20"/>
          <w:lang w:val="en-US"/>
        </w:rPr>
        <w:t>(</w:t>
      </w:r>
      <w:r w:rsidR="00130785" w:rsidRPr="00FE50A6">
        <w:rPr>
          <w:rFonts w:eastAsia="Cambria" w:cs="Times New Roman"/>
          <w:szCs w:val="20"/>
          <w:lang w:val="en-US"/>
        </w:rPr>
        <w:t xml:space="preserve">vii) </w:t>
      </w:r>
      <w:r w:rsidRPr="00FE50A6">
        <w:rPr>
          <w:rFonts w:eastAsia="Cambria" w:cs="Times New Roman"/>
          <w:szCs w:val="20"/>
          <w:lang w:val="en-US"/>
        </w:rPr>
        <w:t>the right to food.</w:t>
      </w:r>
      <w:r w:rsidR="00130785" w:rsidRPr="00FE50A6">
        <w:rPr>
          <w:rFonts w:eastAsia="Cambria" w:cs="Times New Roman"/>
          <w:szCs w:val="20"/>
          <w:vertAlign w:val="superscript"/>
          <w:lang w:val="en-US"/>
        </w:rPr>
        <w:footnoteReference w:id="573"/>
      </w:r>
      <w:r w:rsidR="00130785" w:rsidRPr="00FE50A6">
        <w:rPr>
          <w:rFonts w:eastAsia="Cambria" w:cs="Times New Roman"/>
          <w:szCs w:val="20"/>
          <w:lang w:val="en-US"/>
        </w:rPr>
        <w:t xml:space="preserve"> </w:t>
      </w:r>
    </w:p>
    <w:p w14:paraId="7B5DE6F3" w14:textId="77777777" w:rsidR="00130785" w:rsidRPr="00FE50A6" w:rsidRDefault="00130785" w:rsidP="00311174">
      <w:pPr>
        <w:tabs>
          <w:tab w:val="clear" w:pos="4419"/>
          <w:tab w:val="clear" w:pos="8838"/>
        </w:tabs>
        <w:contextualSpacing/>
        <w:jc w:val="right"/>
        <w:rPr>
          <w:rFonts w:eastAsia="Cambria" w:cs="Times New Roman"/>
          <w:szCs w:val="20"/>
          <w:lang w:val="en-US"/>
        </w:rPr>
      </w:pPr>
    </w:p>
    <w:p w14:paraId="5C71F6AE" w14:textId="77777777" w:rsidR="00130785" w:rsidRPr="00FE50A6" w:rsidRDefault="00130785" w:rsidP="000D75A3">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 xml:space="preserve">II. </w:t>
      </w:r>
      <w:r w:rsidR="00311174" w:rsidRPr="00FE50A6">
        <w:rPr>
          <w:rFonts w:eastAsia="Cambria" w:cs="Times New Roman"/>
          <w:szCs w:val="20"/>
          <w:lang w:val="en-US"/>
        </w:rPr>
        <w:t>POVERTY AND ECONOMIC STATUS IN INTER-AMERICAN JURISPRUDENCE</w:t>
      </w:r>
    </w:p>
    <w:p w14:paraId="1B115B89"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03F166F2" w14:textId="77777777" w:rsidR="00130785" w:rsidRPr="00FE50A6" w:rsidRDefault="003D585E" w:rsidP="008B0BC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 xml:space="preserve">The issue of poverty and economic status has been present throughout the jurisprudence of the </w:t>
      </w:r>
      <w:r w:rsidR="009E41ED" w:rsidRPr="00FE50A6">
        <w:rPr>
          <w:rFonts w:eastAsia="Cambria" w:cs="Times New Roman"/>
          <w:szCs w:val="20"/>
          <w:lang w:val="en-US"/>
        </w:rPr>
        <w:t>Inter-American Court</w:t>
      </w:r>
      <w:r w:rsidR="00130785" w:rsidRPr="00FE50A6">
        <w:rPr>
          <w:rFonts w:eastAsia="Cambria" w:cs="Times New Roman"/>
          <w:szCs w:val="20"/>
          <w:lang w:val="en-US"/>
        </w:rPr>
        <w:t>; m</w:t>
      </w:r>
      <w:r w:rsidRPr="00FE50A6">
        <w:rPr>
          <w:rFonts w:eastAsia="Cambria" w:cs="Times New Roman"/>
          <w:szCs w:val="20"/>
          <w:lang w:val="en-US"/>
        </w:rPr>
        <w:t>any human rights violations are related to situations of exclusion and marginalization because the victims are living in poverty. To date, in all cases, poverty has been identified as a factor of vulnerability that intensifies the impact on the victims of human rights violations</w:t>
      </w:r>
      <w:r w:rsidR="009004BA" w:rsidRPr="00FE50A6">
        <w:rPr>
          <w:rFonts w:eastAsia="Cambria" w:cs="Times New Roman"/>
          <w:szCs w:val="20"/>
          <w:lang w:val="en-US"/>
        </w:rPr>
        <w:t xml:space="preserve"> who are</w:t>
      </w:r>
      <w:r w:rsidRPr="00FE50A6">
        <w:rPr>
          <w:rFonts w:eastAsia="Cambria" w:cs="Times New Roman"/>
          <w:szCs w:val="20"/>
          <w:lang w:val="en-US"/>
        </w:rPr>
        <w:t xml:space="preserve"> living in this situation.</w:t>
      </w:r>
    </w:p>
    <w:p w14:paraId="5F071306" w14:textId="77777777" w:rsidR="00130785" w:rsidRPr="00FE50A6" w:rsidRDefault="00130785" w:rsidP="00130785">
      <w:pPr>
        <w:tabs>
          <w:tab w:val="clear" w:pos="4419"/>
          <w:tab w:val="clear" w:pos="8838"/>
        </w:tabs>
        <w:rPr>
          <w:rFonts w:eastAsia="MS Mincho" w:cs="Times New Roman"/>
          <w:szCs w:val="20"/>
          <w:lang w:val="en-US" w:eastAsia="es-ES"/>
        </w:rPr>
      </w:pPr>
    </w:p>
    <w:p w14:paraId="2D71C777" w14:textId="77777777" w:rsidR="00130785" w:rsidRPr="00FE50A6" w:rsidRDefault="003D585E" w:rsidP="008B0BCC">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When ordering reparations in the case of the</w:t>
      </w:r>
      <w:r w:rsidR="00130785" w:rsidRPr="00FE50A6">
        <w:rPr>
          <w:rFonts w:eastAsia="Cambria" w:cs="Times New Roman"/>
          <w:szCs w:val="20"/>
          <w:lang w:val="en-US"/>
        </w:rPr>
        <w:t xml:space="preserve"> </w:t>
      </w:r>
      <w:r w:rsidRPr="00FE50A6">
        <w:rPr>
          <w:rFonts w:eastAsia="Cambria" w:cs="Times New Roman"/>
          <w:i/>
          <w:szCs w:val="20"/>
          <w:lang w:val="en-US"/>
        </w:rPr>
        <w:t>Juvenile Re-education Institute v.</w:t>
      </w:r>
      <w:r w:rsidR="00130785" w:rsidRPr="00FE50A6">
        <w:rPr>
          <w:rFonts w:eastAsia="Cambria" w:cs="Times New Roman"/>
          <w:i/>
          <w:szCs w:val="20"/>
          <w:lang w:val="en-US"/>
        </w:rPr>
        <w:t xml:space="preserve"> Paraguay </w:t>
      </w:r>
      <w:r w:rsidR="00130785" w:rsidRPr="00FE50A6">
        <w:rPr>
          <w:rFonts w:eastAsia="Cambria" w:cs="Times New Roman"/>
          <w:szCs w:val="20"/>
          <w:lang w:val="en-US"/>
        </w:rPr>
        <w:t xml:space="preserve">(2004), </w:t>
      </w:r>
      <w:r w:rsidR="00CD3CCC" w:rsidRPr="00FE50A6">
        <w:rPr>
          <w:rFonts w:eastAsia="Cambria" w:cs="Times New Roman"/>
          <w:szCs w:val="20"/>
          <w:lang w:val="en-US"/>
        </w:rPr>
        <w:t>the Inter-American Court</w:t>
      </w:r>
      <w:r w:rsidRPr="00FE50A6">
        <w:rPr>
          <w:rFonts w:eastAsia="Cambria" w:cs="Times New Roman"/>
          <w:szCs w:val="20"/>
          <w:lang w:val="en-US"/>
        </w:rPr>
        <w:t xml:space="preserve"> took into account that, in this case, there were adolescent</w:t>
      </w:r>
      <w:r w:rsidR="006C3699" w:rsidRPr="00FE50A6">
        <w:rPr>
          <w:rFonts w:eastAsia="Cambria" w:cs="Times New Roman"/>
          <w:szCs w:val="20"/>
          <w:lang w:val="en-US"/>
        </w:rPr>
        <w:t>s who were evidently in a situation of poverty and who had been victims of serious human rights violations.</w:t>
      </w:r>
      <w:r w:rsidR="00130785" w:rsidRPr="00FE50A6">
        <w:rPr>
          <w:rFonts w:eastAsia="Cambria" w:cs="Times New Roman"/>
          <w:szCs w:val="20"/>
          <w:vertAlign w:val="superscript"/>
          <w:lang w:val="en-US"/>
        </w:rPr>
        <w:footnoteReference w:id="574"/>
      </w:r>
      <w:r w:rsidR="00130785" w:rsidRPr="00FE50A6">
        <w:rPr>
          <w:rFonts w:eastAsia="Cambria" w:cs="Times New Roman"/>
          <w:szCs w:val="20"/>
          <w:lang w:val="en-US"/>
        </w:rPr>
        <w:t xml:space="preserve"> </w:t>
      </w:r>
    </w:p>
    <w:p w14:paraId="00FDE47F" w14:textId="77777777" w:rsidR="00130785" w:rsidRPr="00FE50A6" w:rsidRDefault="00130785" w:rsidP="00130785">
      <w:pPr>
        <w:tabs>
          <w:tab w:val="clear" w:pos="4419"/>
          <w:tab w:val="clear" w:pos="8838"/>
        </w:tabs>
        <w:rPr>
          <w:rFonts w:eastAsia="MS Mincho" w:cs="Times New Roman"/>
          <w:szCs w:val="20"/>
          <w:lang w:val="en-US" w:eastAsia="es-ES"/>
        </w:rPr>
      </w:pPr>
    </w:p>
    <w:p w14:paraId="27337B75" w14:textId="77777777" w:rsidR="00130785" w:rsidRPr="00FE50A6" w:rsidRDefault="006C3699" w:rsidP="008B0BC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Pr="00FE50A6">
        <w:rPr>
          <w:rFonts w:eastAsia="Cambria" w:cs="Times New Roman"/>
          <w:szCs w:val="20"/>
          <w:lang w:val="en-US"/>
        </w:rPr>
        <w:t>the</w:t>
      </w:r>
      <w:r w:rsidR="00130785" w:rsidRPr="00FE50A6">
        <w:rPr>
          <w:rFonts w:eastAsia="Cambria" w:cs="Times New Roman"/>
          <w:szCs w:val="20"/>
          <w:lang w:val="en-US"/>
        </w:rPr>
        <w:t xml:space="preserve"> </w:t>
      </w:r>
      <w:r w:rsidR="00130785" w:rsidRPr="00FE50A6">
        <w:rPr>
          <w:rFonts w:eastAsia="Cambria" w:cs="Times New Roman"/>
          <w:i/>
          <w:szCs w:val="20"/>
          <w:lang w:val="en-US"/>
        </w:rPr>
        <w:t>Moiwana</w:t>
      </w:r>
      <w:r w:rsidRPr="00FE50A6">
        <w:rPr>
          <w:rFonts w:eastAsia="Cambria" w:cs="Times New Roman"/>
          <w:i/>
          <w:szCs w:val="20"/>
          <w:lang w:val="en-US"/>
        </w:rPr>
        <w:t xml:space="preserve"> Community</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Suriname </w:t>
      </w:r>
      <w:r w:rsidR="00130785" w:rsidRPr="00FE50A6">
        <w:rPr>
          <w:rFonts w:eastAsia="Cambria" w:cs="Times New Roman"/>
          <w:szCs w:val="20"/>
          <w:lang w:val="en-US"/>
        </w:rPr>
        <w:t xml:space="preserve">(2005),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w:t>
      </w:r>
      <w:r w:rsidRPr="00FE50A6">
        <w:rPr>
          <w:rFonts w:eastAsia="Cambria" w:cs="Times New Roman"/>
          <w:szCs w:val="20"/>
          <w:lang w:val="en-US"/>
        </w:rPr>
        <w:t>found it proved that the members of this community had been forced to leave their traditional lands and their homes abruptly, and were in a situation of persistent displacement in French Guyana or in other parts of Suriname.</w:t>
      </w:r>
      <w:r w:rsidR="00130785" w:rsidRPr="00FE50A6">
        <w:rPr>
          <w:rFonts w:eastAsia="Cambria" w:cs="Times New Roman"/>
          <w:szCs w:val="20"/>
          <w:lang w:val="en-US"/>
        </w:rPr>
        <w:t xml:space="preserve"> </w:t>
      </w:r>
      <w:r w:rsidRPr="00FE50A6">
        <w:rPr>
          <w:rFonts w:eastAsia="Cambria" w:cs="Times New Roman"/>
          <w:szCs w:val="20"/>
          <w:lang w:val="en-US"/>
        </w:rPr>
        <w:t>T</w:t>
      </w:r>
      <w:r w:rsidR="00CD3CCC" w:rsidRPr="00FE50A6">
        <w:rPr>
          <w:rFonts w:eastAsia="Cambria" w:cs="Times New Roman"/>
          <w:szCs w:val="20"/>
          <w:lang w:val="en-US"/>
        </w:rPr>
        <w:t>he Court</w:t>
      </w:r>
      <w:r w:rsidRPr="00FE50A6">
        <w:rPr>
          <w:rFonts w:eastAsia="Cambria" w:cs="Times New Roman"/>
          <w:szCs w:val="20"/>
          <w:lang w:val="en-US"/>
        </w:rPr>
        <w:t xml:space="preserve"> considered that community members had endured poverty and deprivations since their flight from the village of Moiwana because the possibility of using their traditional means of subsistence had been drastically limited.</w:t>
      </w:r>
      <w:r w:rsidR="00130785" w:rsidRPr="00FE50A6">
        <w:rPr>
          <w:rFonts w:eastAsia="Cambria" w:cs="Times New Roman"/>
          <w:szCs w:val="20"/>
          <w:vertAlign w:val="superscript"/>
          <w:lang w:val="en-US"/>
        </w:rPr>
        <w:footnoteReference w:id="575"/>
      </w:r>
      <w:r w:rsidR="00130785" w:rsidRPr="00FE50A6">
        <w:rPr>
          <w:rFonts w:eastAsia="Cambria" w:cs="Times New Roman"/>
          <w:szCs w:val="20"/>
          <w:lang w:val="en-US"/>
        </w:rPr>
        <w:t xml:space="preserve"> </w:t>
      </w:r>
    </w:p>
    <w:p w14:paraId="7D140E7E" w14:textId="77777777" w:rsidR="00130785" w:rsidRPr="00FE50A6" w:rsidRDefault="00130785" w:rsidP="00130785">
      <w:pPr>
        <w:tabs>
          <w:tab w:val="clear" w:pos="4419"/>
          <w:tab w:val="clear" w:pos="8838"/>
        </w:tabs>
        <w:rPr>
          <w:rFonts w:eastAsia="MS Mincho" w:cs="Times New Roman"/>
          <w:szCs w:val="20"/>
          <w:lang w:val="en-US" w:eastAsia="es-ES"/>
        </w:rPr>
      </w:pPr>
    </w:p>
    <w:p w14:paraId="057CFF0F" w14:textId="77777777" w:rsidR="00130785" w:rsidRPr="00FE50A6" w:rsidRDefault="006C3699" w:rsidP="008B0BCC">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 xml:space="preserve">Servellón García </w:t>
      </w:r>
      <w:r w:rsidR="000228D0" w:rsidRPr="00FE50A6">
        <w:rPr>
          <w:rFonts w:eastAsia="Cambria" w:cs="Times New Roman"/>
          <w:i/>
          <w:szCs w:val="20"/>
          <w:lang w:val="en-US"/>
        </w:rPr>
        <w:t>v.</w:t>
      </w:r>
      <w:r w:rsidR="00130785" w:rsidRPr="00FE50A6">
        <w:rPr>
          <w:rFonts w:eastAsia="Cambria" w:cs="Times New Roman"/>
          <w:i/>
          <w:szCs w:val="20"/>
          <w:lang w:val="en-US"/>
        </w:rPr>
        <w:t xml:space="preserve"> Honduras </w:t>
      </w:r>
      <w:r w:rsidR="00130785" w:rsidRPr="00FE50A6">
        <w:rPr>
          <w:rFonts w:eastAsia="Cambria" w:cs="Times New Roman"/>
          <w:szCs w:val="20"/>
          <w:lang w:val="en-US"/>
        </w:rPr>
        <w:t>(2005)</w:t>
      </w:r>
      <w:r w:rsidR="00130785" w:rsidRPr="00FE50A6">
        <w:rPr>
          <w:rFonts w:eastAsia="Cambria" w:cs="Times New Roman"/>
          <w:i/>
          <w:szCs w:val="20"/>
          <w:lang w:val="en-US"/>
        </w:rPr>
        <w:t xml:space="preserve">, </w:t>
      </w:r>
      <w:r w:rsidR="00CD3CCC" w:rsidRPr="00FE50A6">
        <w:rPr>
          <w:rFonts w:eastAsia="Cambria" w:cs="Times New Roman"/>
          <w:szCs w:val="20"/>
          <w:lang w:val="en-US"/>
        </w:rPr>
        <w:t>the Inter-American Court</w:t>
      </w:r>
      <w:r w:rsidRPr="00FE50A6">
        <w:rPr>
          <w:rFonts w:eastAsia="Cambria" w:cs="Times New Roman"/>
          <w:szCs w:val="20"/>
          <w:lang w:val="en-US"/>
        </w:rPr>
        <w:t xml:space="preserve"> considered that States had the obligation to ensure the protection of children and adolescents affected by poverty who were socially</w:t>
      </w:r>
      <w:r w:rsidR="007F6278" w:rsidRPr="00FE50A6">
        <w:rPr>
          <w:rFonts w:eastAsia="Cambria" w:cs="Times New Roman"/>
          <w:szCs w:val="20"/>
          <w:lang w:val="en-US"/>
        </w:rPr>
        <w:t xml:space="preserve"> </w:t>
      </w:r>
      <w:r w:rsidRPr="00FE50A6">
        <w:rPr>
          <w:rFonts w:eastAsia="Cambria" w:cs="Times New Roman"/>
          <w:szCs w:val="20"/>
          <w:lang w:val="en-US"/>
        </w:rPr>
        <w:t xml:space="preserve">marginalized. </w:t>
      </w:r>
      <w:r w:rsidR="007F6278" w:rsidRPr="00FE50A6">
        <w:rPr>
          <w:rFonts w:eastAsia="Cambria" w:cs="Times New Roman"/>
          <w:szCs w:val="20"/>
          <w:lang w:val="en-US"/>
        </w:rPr>
        <w:t>T</w:t>
      </w:r>
      <w:r w:rsidRPr="00FE50A6">
        <w:rPr>
          <w:rFonts w:eastAsia="Cambria" w:cs="Times New Roman"/>
          <w:szCs w:val="20"/>
          <w:lang w:val="en-US"/>
        </w:rPr>
        <w:t>he Court</w:t>
      </w:r>
      <w:r w:rsidR="007F6278" w:rsidRPr="00FE50A6">
        <w:rPr>
          <w:rFonts w:eastAsia="Cambria" w:cs="Times New Roman"/>
          <w:szCs w:val="20"/>
          <w:lang w:val="en-US"/>
        </w:rPr>
        <w:t xml:space="preserve"> also</w:t>
      </w:r>
      <w:r w:rsidRPr="00FE50A6">
        <w:rPr>
          <w:rFonts w:eastAsia="Cambria" w:cs="Times New Roman"/>
          <w:szCs w:val="20"/>
          <w:lang w:val="en-US"/>
        </w:rPr>
        <w:t xml:space="preserve"> underlined, as it had in the case of the </w:t>
      </w:r>
      <w:r w:rsidRPr="00FE50A6">
        <w:rPr>
          <w:rFonts w:eastAsia="Cambria" w:cs="Times New Roman"/>
          <w:i/>
          <w:szCs w:val="20"/>
          <w:lang w:val="en-US"/>
        </w:rPr>
        <w:t>“Street Children”</w:t>
      </w:r>
      <w:r w:rsidR="00130785" w:rsidRPr="00FE50A6">
        <w:rPr>
          <w:rFonts w:eastAsia="Cambria" w:cs="Times New Roman"/>
          <w:i/>
          <w:szCs w:val="20"/>
          <w:lang w:val="en-US"/>
        </w:rPr>
        <w:t xml:space="preserve"> (Villagrán Morales</w:t>
      </w:r>
      <w:r w:rsidR="00030C17" w:rsidRPr="00FE50A6">
        <w:rPr>
          <w:rFonts w:eastAsia="Cambria" w:cs="Times New Roman"/>
          <w:i/>
          <w:szCs w:val="20"/>
          <w:lang w:val="en-US"/>
        </w:rPr>
        <w:t xml:space="preserve"> </w:t>
      </w:r>
      <w:r w:rsidRPr="00FE50A6">
        <w:rPr>
          <w:rFonts w:eastAsia="Cambria" w:cs="Times New Roman"/>
          <w:i/>
          <w:szCs w:val="20"/>
          <w:lang w:val="en-US"/>
        </w:rPr>
        <w:t>et al.</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Guatemala, </w:t>
      </w:r>
      <w:r w:rsidRPr="00FE50A6">
        <w:rPr>
          <w:rFonts w:eastAsia="Cambria" w:cs="Times New Roman"/>
          <w:szCs w:val="20"/>
          <w:lang w:val="en-US"/>
        </w:rPr>
        <w:t xml:space="preserve">that if States have </w:t>
      </w:r>
      <w:r w:rsidR="007F6278" w:rsidRPr="00FE50A6">
        <w:rPr>
          <w:rFonts w:eastAsia="Cambria" w:cs="Times New Roman"/>
          <w:szCs w:val="20"/>
          <w:lang w:val="en-US"/>
        </w:rPr>
        <w:t>evidence</w:t>
      </w:r>
      <w:r w:rsidRPr="00FE50A6">
        <w:rPr>
          <w:rFonts w:eastAsia="Cambria" w:cs="Times New Roman"/>
          <w:szCs w:val="20"/>
          <w:lang w:val="en-US"/>
        </w:rPr>
        <w:t xml:space="preserve"> to believe that at-risk children are affected by factors that c</w:t>
      </w:r>
      <w:r w:rsidR="007F6278" w:rsidRPr="00FE50A6">
        <w:rPr>
          <w:rFonts w:eastAsia="Cambria" w:cs="Times New Roman"/>
          <w:szCs w:val="20"/>
          <w:lang w:val="en-US"/>
        </w:rPr>
        <w:t>ould</w:t>
      </w:r>
      <w:r w:rsidRPr="00FE50A6">
        <w:rPr>
          <w:rFonts w:eastAsia="Cambria" w:cs="Times New Roman"/>
          <w:szCs w:val="20"/>
          <w:lang w:val="en-US"/>
        </w:rPr>
        <w:t xml:space="preserve"> lead them to commit wrongful acts, they should take all possible measures to prevent this. States should assume their special position of guarantor with greater care and responsibility and should take special measures </w:t>
      </w:r>
      <w:r w:rsidR="007F6278" w:rsidRPr="00FE50A6">
        <w:rPr>
          <w:rFonts w:eastAsia="Cambria" w:cs="Times New Roman"/>
          <w:szCs w:val="20"/>
          <w:lang w:val="en-US"/>
        </w:rPr>
        <w:t>to</w:t>
      </w:r>
      <w:r w:rsidRPr="00FE50A6">
        <w:rPr>
          <w:rFonts w:eastAsia="Cambria" w:cs="Times New Roman"/>
          <w:szCs w:val="20"/>
          <w:lang w:val="en-US"/>
        </w:rPr>
        <w:t xml:space="preserve"> guarantee the principle of the best interests of the child.</w:t>
      </w:r>
      <w:r w:rsidR="00130785" w:rsidRPr="00FE50A6">
        <w:rPr>
          <w:rFonts w:eastAsia="Cambria" w:cs="Times New Roman"/>
          <w:szCs w:val="20"/>
          <w:vertAlign w:val="superscript"/>
          <w:lang w:val="en-US"/>
        </w:rPr>
        <w:footnoteReference w:id="576"/>
      </w:r>
      <w:r w:rsidR="00130785" w:rsidRPr="00FE50A6">
        <w:rPr>
          <w:rFonts w:eastAsia="Cambria" w:cs="Times New Roman"/>
          <w:szCs w:val="20"/>
          <w:lang w:val="en-US"/>
        </w:rPr>
        <w:t xml:space="preserve"> </w:t>
      </w:r>
    </w:p>
    <w:p w14:paraId="2751A74F" w14:textId="77777777" w:rsidR="00130785" w:rsidRPr="00FE50A6" w:rsidRDefault="00130785" w:rsidP="00130785">
      <w:pPr>
        <w:tabs>
          <w:tab w:val="clear" w:pos="4419"/>
          <w:tab w:val="clear" w:pos="8838"/>
        </w:tabs>
        <w:rPr>
          <w:rFonts w:eastAsia="MS Mincho" w:cs="Times New Roman"/>
          <w:b/>
          <w:szCs w:val="20"/>
          <w:lang w:val="en-US" w:eastAsia="es-ES"/>
        </w:rPr>
      </w:pPr>
    </w:p>
    <w:p w14:paraId="028C58C5" w14:textId="77777777" w:rsidR="00130785" w:rsidRPr="00FE50A6" w:rsidRDefault="006C3699" w:rsidP="00D7417A">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Pr="00FE50A6">
        <w:rPr>
          <w:rFonts w:eastAsia="Cambria" w:cs="Times New Roman"/>
          <w:szCs w:val="20"/>
          <w:lang w:val="en-US"/>
        </w:rPr>
        <w:t>the</w:t>
      </w:r>
      <w:r w:rsidR="00130785" w:rsidRPr="00FE50A6">
        <w:rPr>
          <w:rFonts w:eastAsia="Cambria" w:cs="Times New Roman"/>
          <w:szCs w:val="20"/>
          <w:lang w:val="en-US"/>
        </w:rPr>
        <w:t xml:space="preserve"> </w:t>
      </w:r>
      <w:r w:rsidR="00130785" w:rsidRPr="00FE50A6">
        <w:rPr>
          <w:rFonts w:eastAsia="Cambria" w:cs="Times New Roman"/>
          <w:i/>
          <w:szCs w:val="20"/>
          <w:lang w:val="en-US"/>
        </w:rPr>
        <w:t>Yakye Axa</w:t>
      </w:r>
      <w:r w:rsidRPr="00FE50A6">
        <w:rPr>
          <w:rFonts w:eastAsia="Cambria" w:cs="Times New Roman"/>
          <w:i/>
          <w:szCs w:val="20"/>
          <w:lang w:val="en-US"/>
        </w:rPr>
        <w:t xml:space="preserve"> Indigenous Community</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Paraguay (</w:t>
      </w:r>
      <w:r w:rsidR="00130785" w:rsidRPr="00FE50A6">
        <w:rPr>
          <w:rFonts w:eastAsia="Cambria" w:cs="Times New Roman"/>
          <w:szCs w:val="20"/>
          <w:lang w:val="en-US"/>
        </w:rPr>
        <w:t>2005),</w:t>
      </w:r>
      <w:r w:rsidRPr="00FE50A6">
        <w:rPr>
          <w:rFonts w:eastAsia="Cambria" w:cs="Times New Roman"/>
          <w:szCs w:val="20"/>
          <w:lang w:val="en-US"/>
        </w:rPr>
        <w:t xml:space="preserve"> Judge </w:t>
      </w:r>
      <w:r w:rsidRPr="00FE50A6">
        <w:rPr>
          <w:rFonts w:eastAsia="Cambria" w:cs="Times New Roman"/>
          <w:i/>
          <w:szCs w:val="20"/>
          <w:lang w:val="en-US"/>
        </w:rPr>
        <w:t>ad ho</w:t>
      </w:r>
      <w:r w:rsidRPr="00FE50A6">
        <w:rPr>
          <w:rFonts w:eastAsia="Cambria" w:cs="Times New Roman"/>
          <w:szCs w:val="20"/>
          <w:lang w:val="en-US"/>
        </w:rPr>
        <w:t xml:space="preserve">c </w:t>
      </w:r>
      <w:r w:rsidR="00130785" w:rsidRPr="00FE50A6">
        <w:rPr>
          <w:rFonts w:eastAsia="Cambria" w:cs="Times New Roman"/>
          <w:szCs w:val="20"/>
          <w:lang w:val="en-US"/>
        </w:rPr>
        <w:t>Ramón Foguel</w:t>
      </w:r>
      <w:r w:rsidRPr="00FE50A6">
        <w:rPr>
          <w:rFonts w:eastAsia="Cambria" w:cs="Times New Roman"/>
          <w:szCs w:val="20"/>
          <w:lang w:val="en-US"/>
        </w:rPr>
        <w:t xml:space="preserve">, in his partially concurring and partially dissenting opinion, explained that </w:t>
      </w:r>
      <w:r w:rsidR="007F6278" w:rsidRPr="00FE50A6">
        <w:rPr>
          <w:rFonts w:eastAsia="Cambria" w:cs="Times New Roman"/>
          <w:szCs w:val="20"/>
          <w:lang w:val="en-US"/>
        </w:rPr>
        <w:t>“</w:t>
      </w:r>
      <w:r w:rsidRPr="00FE50A6">
        <w:rPr>
          <w:rFonts w:eastAsia="Cambria" w:cs="Times New Roman"/>
          <w:szCs w:val="20"/>
          <w:lang w:val="en-US"/>
        </w:rPr>
        <w:t xml:space="preserve">in the case of indigenous communities, especially those </w:t>
      </w:r>
      <w:r w:rsidR="0035422D" w:rsidRPr="00FE50A6">
        <w:rPr>
          <w:rFonts w:eastAsia="Cambria" w:cs="Times New Roman"/>
          <w:szCs w:val="20"/>
          <w:lang w:val="en-US"/>
        </w:rPr>
        <w:t>suffering from</w:t>
      </w:r>
      <w:r w:rsidRPr="00FE50A6">
        <w:rPr>
          <w:rFonts w:eastAsia="Cambria" w:cs="Times New Roman"/>
          <w:szCs w:val="20"/>
          <w:lang w:val="en-US"/>
        </w:rPr>
        <w:t xml:space="preserve"> </w:t>
      </w:r>
      <w:r w:rsidR="0035422D" w:rsidRPr="00FE50A6">
        <w:rPr>
          <w:rFonts w:eastAsia="Cambria" w:cs="Times New Roman"/>
          <w:szCs w:val="20"/>
          <w:lang w:val="en-US"/>
        </w:rPr>
        <w:t>harsh</w:t>
      </w:r>
      <w:r w:rsidRPr="00FE50A6">
        <w:rPr>
          <w:rFonts w:eastAsia="Cambria" w:cs="Times New Roman"/>
          <w:szCs w:val="20"/>
          <w:lang w:val="en-US"/>
        </w:rPr>
        <w:t xml:space="preserve"> poverty, </w:t>
      </w:r>
      <w:r w:rsidR="007F6278" w:rsidRPr="00FE50A6">
        <w:rPr>
          <w:rFonts w:eastAsia="Cambria" w:cs="Times New Roman"/>
          <w:szCs w:val="20"/>
          <w:lang w:val="en-US"/>
        </w:rPr>
        <w:t xml:space="preserve">the situation of extreme poverty </w:t>
      </w:r>
      <w:r w:rsidR="0035422D" w:rsidRPr="00FE50A6">
        <w:rPr>
          <w:rFonts w:eastAsia="Cambria" w:cs="Times New Roman"/>
          <w:szCs w:val="20"/>
          <w:lang w:val="en-US"/>
        </w:rPr>
        <w:t>entail</w:t>
      </w:r>
      <w:r w:rsidR="00A80357" w:rsidRPr="00FE50A6">
        <w:rPr>
          <w:rFonts w:eastAsia="Cambria" w:cs="Times New Roman"/>
          <w:szCs w:val="20"/>
          <w:lang w:val="en-US"/>
        </w:rPr>
        <w:t>s</w:t>
      </w:r>
      <w:r w:rsidR="0035422D" w:rsidRPr="00FE50A6">
        <w:rPr>
          <w:rFonts w:eastAsia="Cambria" w:cs="Times New Roman"/>
          <w:szCs w:val="20"/>
          <w:lang w:val="en-US"/>
        </w:rPr>
        <w:t xml:space="preserve"> a</w:t>
      </w:r>
      <w:r w:rsidRPr="00FE50A6">
        <w:rPr>
          <w:rFonts w:eastAsia="Cambria" w:cs="Times New Roman"/>
          <w:szCs w:val="20"/>
          <w:lang w:val="en-US"/>
        </w:rPr>
        <w:t xml:space="preserve"> systematic denial of the possibility of enjoying the inherent rights of </w:t>
      </w:r>
      <w:r w:rsidR="0035422D" w:rsidRPr="00FE50A6">
        <w:rPr>
          <w:rFonts w:eastAsia="Cambria" w:cs="Times New Roman"/>
          <w:szCs w:val="20"/>
          <w:lang w:val="en-US"/>
        </w:rPr>
        <w:t xml:space="preserve">the </w:t>
      </w:r>
      <w:r w:rsidRPr="00FE50A6">
        <w:rPr>
          <w:rFonts w:eastAsia="Cambria" w:cs="Times New Roman"/>
          <w:szCs w:val="20"/>
          <w:lang w:val="en-US"/>
        </w:rPr>
        <w:t xml:space="preserve">human </w:t>
      </w:r>
      <w:r w:rsidR="0035422D" w:rsidRPr="00FE50A6">
        <w:rPr>
          <w:rFonts w:eastAsia="Cambria" w:cs="Times New Roman"/>
          <w:szCs w:val="20"/>
          <w:lang w:val="en-US"/>
        </w:rPr>
        <w:t>person</w:t>
      </w:r>
      <w:r w:rsidRPr="00FE50A6">
        <w:rPr>
          <w:rFonts w:eastAsia="Cambria" w:cs="Times New Roman"/>
          <w:szCs w:val="20"/>
          <w:lang w:val="en-US"/>
        </w:rPr>
        <w:t>.</w:t>
      </w:r>
      <w:r w:rsidR="00A80357" w:rsidRPr="00FE50A6">
        <w:rPr>
          <w:rFonts w:eastAsia="Cambria" w:cs="Times New Roman"/>
          <w:szCs w:val="20"/>
          <w:lang w:val="en-US"/>
        </w:rPr>
        <w:t>”</w:t>
      </w:r>
      <w:r w:rsidRPr="00FE50A6">
        <w:rPr>
          <w:rFonts w:eastAsia="Cambria" w:cs="Times New Roman"/>
          <w:szCs w:val="20"/>
          <w:lang w:val="en-US"/>
        </w:rPr>
        <w:t xml:space="preserve"> According to the Judge </w:t>
      </w:r>
      <w:r w:rsidRPr="00FE50A6">
        <w:rPr>
          <w:rFonts w:eastAsia="Cambria" w:cs="Times New Roman"/>
          <w:i/>
          <w:szCs w:val="20"/>
          <w:lang w:val="en-US"/>
        </w:rPr>
        <w:t>ad hoc</w:t>
      </w:r>
      <w:r w:rsidRPr="00FE50A6">
        <w:rPr>
          <w:rFonts w:eastAsia="Cambria" w:cs="Times New Roman"/>
          <w:szCs w:val="20"/>
          <w:lang w:val="en-US"/>
        </w:rPr>
        <w:t>, the Yakye Axa community was obviously affected by extreme poverty.</w:t>
      </w:r>
      <w:r w:rsidR="00130785" w:rsidRPr="00FE50A6">
        <w:rPr>
          <w:rFonts w:eastAsia="Cambria" w:cs="Times New Roman"/>
          <w:szCs w:val="20"/>
          <w:vertAlign w:val="superscript"/>
          <w:lang w:val="en-US"/>
        </w:rPr>
        <w:footnoteReference w:id="577"/>
      </w:r>
      <w:r w:rsidR="00130785" w:rsidRPr="00FE50A6">
        <w:rPr>
          <w:rFonts w:eastAsia="Cambria" w:cs="Times New Roman"/>
          <w:b/>
          <w:szCs w:val="20"/>
          <w:lang w:val="en-US"/>
        </w:rPr>
        <w:t xml:space="preserve"> </w:t>
      </w:r>
      <w:r w:rsidRPr="00FE50A6">
        <w:rPr>
          <w:rFonts w:eastAsia="Cambria" w:cs="Times New Roman"/>
          <w:szCs w:val="20"/>
          <w:lang w:val="en-US"/>
        </w:rPr>
        <w:t xml:space="preserve">The </w:t>
      </w:r>
      <w:r w:rsidR="000228D0" w:rsidRPr="00FE50A6">
        <w:rPr>
          <w:rFonts w:eastAsia="Cambria" w:cs="Times New Roman"/>
          <w:szCs w:val="20"/>
          <w:lang w:val="en-US"/>
        </w:rPr>
        <w:t>Judge</w:t>
      </w:r>
      <w:r w:rsidR="00130785" w:rsidRPr="00FE50A6">
        <w:rPr>
          <w:rFonts w:eastAsia="Cambria" w:cs="Times New Roman"/>
          <w:szCs w:val="20"/>
          <w:lang w:val="en-US"/>
        </w:rPr>
        <w:t xml:space="preserve"> </w:t>
      </w:r>
      <w:r w:rsidR="00130785" w:rsidRPr="00FE50A6">
        <w:rPr>
          <w:rFonts w:eastAsia="Cambria" w:cs="Times New Roman"/>
          <w:i/>
          <w:szCs w:val="20"/>
          <w:lang w:val="en-US"/>
        </w:rPr>
        <w:t>ad-hoc</w:t>
      </w:r>
      <w:r w:rsidR="00130785" w:rsidRPr="00FE50A6">
        <w:rPr>
          <w:rFonts w:eastAsia="Cambria" w:cs="Times New Roman"/>
          <w:szCs w:val="20"/>
          <w:lang w:val="en-US"/>
        </w:rPr>
        <w:t xml:space="preserve"> </w:t>
      </w:r>
      <w:r w:rsidRPr="00FE50A6">
        <w:rPr>
          <w:rFonts w:eastAsia="Cambria" w:cs="Times New Roman"/>
          <w:szCs w:val="20"/>
          <w:lang w:val="en-US"/>
        </w:rPr>
        <w:t xml:space="preserve">also suggested that, on this point, the position of </w:t>
      </w:r>
      <w:r w:rsidR="00CD3CCC" w:rsidRPr="00FE50A6">
        <w:rPr>
          <w:rFonts w:eastAsia="Cambria" w:cs="Times New Roman"/>
          <w:szCs w:val="20"/>
          <w:lang w:val="en-US"/>
        </w:rPr>
        <w:t>the Inter-American Court</w:t>
      </w:r>
      <w:r w:rsidRPr="00FE50A6">
        <w:rPr>
          <w:rFonts w:eastAsia="Cambria" w:cs="Times New Roman"/>
          <w:szCs w:val="20"/>
          <w:lang w:val="en-US"/>
        </w:rPr>
        <w:t xml:space="preserve"> should be taken into </w:t>
      </w:r>
      <w:r w:rsidR="007F6278" w:rsidRPr="00FE50A6">
        <w:rPr>
          <w:rFonts w:eastAsia="Cambria" w:cs="Times New Roman"/>
          <w:szCs w:val="20"/>
          <w:lang w:val="en-US"/>
        </w:rPr>
        <w:t>account</w:t>
      </w:r>
      <w:r w:rsidRPr="00FE50A6">
        <w:rPr>
          <w:rFonts w:eastAsia="Cambria" w:cs="Times New Roman"/>
          <w:szCs w:val="20"/>
          <w:lang w:val="en-US"/>
        </w:rPr>
        <w:t xml:space="preserve"> </w:t>
      </w:r>
      <w:r w:rsidR="007F6278" w:rsidRPr="00FE50A6">
        <w:rPr>
          <w:rFonts w:eastAsia="Cambria" w:cs="Times New Roman"/>
          <w:szCs w:val="20"/>
          <w:lang w:val="en-US"/>
        </w:rPr>
        <w:t xml:space="preserve">“regarding the need for </w:t>
      </w:r>
      <w:r w:rsidRPr="00FE50A6">
        <w:rPr>
          <w:rFonts w:eastAsia="Cambria" w:cs="Times New Roman"/>
          <w:szCs w:val="20"/>
          <w:lang w:val="en-US"/>
        </w:rPr>
        <w:t xml:space="preserve">interpretation of an international protection instrument </w:t>
      </w:r>
      <w:r w:rsidR="007F6278" w:rsidRPr="00FE50A6">
        <w:rPr>
          <w:rFonts w:eastAsia="Cambria" w:cs="Times New Roman"/>
          <w:szCs w:val="20"/>
          <w:lang w:val="en-US"/>
        </w:rPr>
        <w:t>to</w:t>
      </w:r>
      <w:r w:rsidRPr="00FE50A6">
        <w:rPr>
          <w:rFonts w:eastAsia="Cambria" w:cs="Times New Roman"/>
          <w:szCs w:val="20"/>
          <w:lang w:val="en-US"/>
        </w:rPr>
        <w:t xml:space="preserve"> evolve with the</w:t>
      </w:r>
      <w:r w:rsidR="00D7417A" w:rsidRPr="00FE50A6">
        <w:rPr>
          <w:rFonts w:eastAsia="Cambria" w:cs="Times New Roman"/>
          <w:szCs w:val="20"/>
          <w:lang w:val="en-US"/>
        </w:rPr>
        <w:t xml:space="preserve"> </w:t>
      </w:r>
      <w:r w:rsidR="007F6278" w:rsidRPr="00FE50A6">
        <w:rPr>
          <w:rFonts w:eastAsia="Cambria" w:cs="Times New Roman"/>
          <w:szCs w:val="20"/>
          <w:lang w:val="en-US"/>
        </w:rPr>
        <w:t>changing</w:t>
      </w:r>
      <w:r w:rsidRPr="00FE50A6">
        <w:rPr>
          <w:rFonts w:eastAsia="Cambria" w:cs="Times New Roman"/>
          <w:szCs w:val="20"/>
          <w:lang w:val="en-US"/>
        </w:rPr>
        <w:t xml:space="preserve"> time</w:t>
      </w:r>
      <w:r w:rsidR="007F6278" w:rsidRPr="00FE50A6">
        <w:rPr>
          <w:rFonts w:eastAsia="Cambria" w:cs="Times New Roman"/>
          <w:szCs w:val="20"/>
          <w:lang w:val="en-US"/>
        </w:rPr>
        <w:t>s</w:t>
      </w:r>
      <w:r w:rsidRPr="00FE50A6">
        <w:rPr>
          <w:rFonts w:eastAsia="Cambria" w:cs="Times New Roman"/>
          <w:szCs w:val="20"/>
          <w:lang w:val="en-US"/>
        </w:rPr>
        <w:t xml:space="preserve"> and </w:t>
      </w:r>
      <w:r w:rsidR="00D7417A" w:rsidRPr="00FE50A6">
        <w:rPr>
          <w:rFonts w:eastAsia="Cambria" w:cs="Times New Roman"/>
          <w:szCs w:val="20"/>
          <w:lang w:val="en-US"/>
        </w:rPr>
        <w:t xml:space="preserve">current living conditions, </w:t>
      </w:r>
      <w:r w:rsidR="007F6278" w:rsidRPr="00FE50A6">
        <w:rPr>
          <w:rFonts w:eastAsia="Cambria" w:cs="Times New Roman"/>
          <w:szCs w:val="20"/>
          <w:lang w:val="en-US"/>
        </w:rPr>
        <w:t>[</w:t>
      </w:r>
      <w:r w:rsidR="00D7417A" w:rsidRPr="00FE50A6">
        <w:rPr>
          <w:rFonts w:eastAsia="Cambria" w:cs="Times New Roman"/>
          <w:szCs w:val="20"/>
          <w:lang w:val="en-US"/>
        </w:rPr>
        <w:t>because</w:t>
      </w:r>
      <w:r w:rsidR="007F6278" w:rsidRPr="00FE50A6">
        <w:rPr>
          <w:rFonts w:eastAsia="Cambria" w:cs="Times New Roman"/>
          <w:szCs w:val="20"/>
          <w:lang w:val="en-US"/>
        </w:rPr>
        <w:t>]</w:t>
      </w:r>
      <w:r w:rsidR="00D7417A" w:rsidRPr="00FE50A6">
        <w:rPr>
          <w:rFonts w:eastAsia="Cambria" w:cs="Times New Roman"/>
          <w:szCs w:val="20"/>
          <w:lang w:val="en-US"/>
        </w:rPr>
        <w:t xml:space="preserve"> the Court ha</w:t>
      </w:r>
      <w:r w:rsidR="00233001" w:rsidRPr="00FE50A6">
        <w:rPr>
          <w:rFonts w:eastAsia="Cambria" w:cs="Times New Roman"/>
          <w:szCs w:val="20"/>
          <w:lang w:val="en-US"/>
        </w:rPr>
        <w:t>s</w:t>
      </w:r>
      <w:r w:rsidR="00D7417A" w:rsidRPr="00FE50A6">
        <w:rPr>
          <w:rFonts w:eastAsia="Cambria" w:cs="Times New Roman"/>
          <w:szCs w:val="20"/>
          <w:lang w:val="en-US"/>
        </w:rPr>
        <w:t xml:space="preserve"> also </w:t>
      </w:r>
      <w:r w:rsidR="0035422D" w:rsidRPr="00FE50A6">
        <w:rPr>
          <w:rFonts w:eastAsia="Cambria" w:cs="Times New Roman"/>
          <w:szCs w:val="20"/>
          <w:lang w:val="en-US"/>
        </w:rPr>
        <w:t>pointed out</w:t>
      </w:r>
      <w:r w:rsidR="00D7417A" w:rsidRPr="00FE50A6">
        <w:rPr>
          <w:rFonts w:eastAsia="Cambria" w:cs="Times New Roman"/>
          <w:szCs w:val="20"/>
          <w:lang w:val="en-US"/>
        </w:rPr>
        <w:t xml:space="preserve"> that the evolutive interpretation, pursuant to the general rules </w:t>
      </w:r>
      <w:r w:rsidR="007F6278" w:rsidRPr="00FE50A6">
        <w:rPr>
          <w:rFonts w:eastAsia="Cambria" w:cs="Times New Roman"/>
          <w:szCs w:val="20"/>
          <w:lang w:val="en-US"/>
        </w:rPr>
        <w:t>of treaty</w:t>
      </w:r>
      <w:r w:rsidR="00D7417A" w:rsidRPr="00FE50A6">
        <w:rPr>
          <w:rFonts w:eastAsia="Cambria" w:cs="Times New Roman"/>
          <w:szCs w:val="20"/>
          <w:lang w:val="en-US"/>
        </w:rPr>
        <w:t xml:space="preserve"> interpretation, ha</w:t>
      </w:r>
      <w:r w:rsidR="00233001" w:rsidRPr="00FE50A6">
        <w:rPr>
          <w:rFonts w:eastAsia="Cambria" w:cs="Times New Roman"/>
          <w:szCs w:val="20"/>
          <w:lang w:val="en-US"/>
        </w:rPr>
        <w:t>d</w:t>
      </w:r>
      <w:r w:rsidR="00D7417A" w:rsidRPr="00FE50A6">
        <w:rPr>
          <w:rFonts w:eastAsia="Cambria" w:cs="Times New Roman"/>
          <w:szCs w:val="20"/>
          <w:lang w:val="en-US"/>
        </w:rPr>
        <w:t xml:space="preserve"> </w:t>
      </w:r>
      <w:r w:rsidR="0035422D" w:rsidRPr="00FE50A6">
        <w:rPr>
          <w:rFonts w:eastAsia="Cambria" w:cs="Times New Roman"/>
          <w:szCs w:val="20"/>
          <w:lang w:val="en-US"/>
        </w:rPr>
        <w:t>significantly</w:t>
      </w:r>
      <w:r w:rsidR="00D7417A" w:rsidRPr="00FE50A6">
        <w:rPr>
          <w:rFonts w:eastAsia="Cambria" w:cs="Times New Roman"/>
          <w:szCs w:val="20"/>
          <w:lang w:val="en-US"/>
        </w:rPr>
        <w:t xml:space="preserve"> contribut</w:t>
      </w:r>
      <w:r w:rsidR="0035422D" w:rsidRPr="00FE50A6">
        <w:rPr>
          <w:rFonts w:eastAsia="Cambria" w:cs="Times New Roman"/>
          <w:szCs w:val="20"/>
          <w:lang w:val="en-US"/>
        </w:rPr>
        <w:t>ed</w:t>
      </w:r>
      <w:r w:rsidR="00D7417A" w:rsidRPr="00FE50A6">
        <w:rPr>
          <w:rFonts w:eastAsia="Cambria" w:cs="Times New Roman"/>
          <w:szCs w:val="20"/>
          <w:lang w:val="en-US"/>
        </w:rPr>
        <w:t xml:space="preserve"> to </w:t>
      </w:r>
      <w:r w:rsidR="0035422D" w:rsidRPr="00FE50A6">
        <w:rPr>
          <w:rFonts w:eastAsia="Cambria" w:cs="Times New Roman"/>
          <w:szCs w:val="20"/>
          <w:lang w:val="en-US"/>
        </w:rPr>
        <w:t>furthering</w:t>
      </w:r>
      <w:r w:rsidR="00D7417A" w:rsidRPr="00FE50A6">
        <w:rPr>
          <w:rFonts w:eastAsia="Cambria" w:cs="Times New Roman"/>
          <w:szCs w:val="20"/>
          <w:lang w:val="en-US"/>
        </w:rPr>
        <w:t xml:space="preserve"> </w:t>
      </w:r>
      <w:r w:rsidR="002A125A" w:rsidRPr="00FE50A6">
        <w:rPr>
          <w:rFonts w:eastAsia="Cambria" w:cs="Times New Roman"/>
          <w:szCs w:val="20"/>
          <w:lang w:val="en-US"/>
        </w:rPr>
        <w:t>international</w:t>
      </w:r>
      <w:r w:rsidR="00BC6362" w:rsidRPr="00FE50A6">
        <w:rPr>
          <w:rFonts w:eastAsia="Cambria" w:cs="Times New Roman"/>
          <w:szCs w:val="20"/>
          <w:lang w:val="en-US"/>
        </w:rPr>
        <w:t xml:space="preserve"> human rights law</w:t>
      </w:r>
      <w:r w:rsidR="00D7417A" w:rsidRPr="00FE50A6">
        <w:rPr>
          <w:rFonts w:eastAsia="Cambria" w:cs="Times New Roman"/>
          <w:szCs w:val="20"/>
          <w:lang w:val="en-US"/>
        </w:rPr>
        <w:t>.</w:t>
      </w:r>
      <w:r w:rsidR="007F6278" w:rsidRPr="00FE50A6">
        <w:rPr>
          <w:rFonts w:eastAsia="Cambria" w:cs="Times New Roman"/>
          <w:szCs w:val="20"/>
          <w:lang w:val="en-US"/>
        </w:rPr>
        <w:t>”</w:t>
      </w:r>
      <w:r w:rsidR="00130785" w:rsidRPr="00FE50A6">
        <w:rPr>
          <w:rFonts w:eastAsia="Cambria" w:cs="Times New Roman"/>
          <w:szCs w:val="20"/>
          <w:vertAlign w:val="superscript"/>
          <w:lang w:val="en-US"/>
        </w:rPr>
        <w:footnoteReference w:id="578"/>
      </w:r>
    </w:p>
    <w:p w14:paraId="5D363397" w14:textId="77777777" w:rsidR="00130785" w:rsidRPr="00FE50A6" w:rsidRDefault="00130785" w:rsidP="00130785">
      <w:pPr>
        <w:tabs>
          <w:tab w:val="clear" w:pos="4419"/>
          <w:tab w:val="clear" w:pos="8838"/>
        </w:tabs>
        <w:rPr>
          <w:rFonts w:eastAsia="MS Mincho" w:cs="Times New Roman"/>
          <w:szCs w:val="20"/>
          <w:lang w:val="en-US" w:eastAsia="es-ES"/>
        </w:rPr>
      </w:pPr>
    </w:p>
    <w:p w14:paraId="03660047" w14:textId="77777777" w:rsidR="00130785" w:rsidRPr="00FE50A6" w:rsidRDefault="00D7417A" w:rsidP="00D7417A">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szCs w:val="20"/>
          <w:lang w:val="en-US"/>
        </w:rPr>
        <w:t>In this regard</w:t>
      </w:r>
      <w:r w:rsidR="00130785" w:rsidRPr="00FE50A6">
        <w:rPr>
          <w:rFonts w:eastAsia="Cambria" w:cs="Times New Roman"/>
          <w:szCs w:val="20"/>
          <w:lang w:val="en-US"/>
        </w:rPr>
        <w:t xml:space="preserve">, </w:t>
      </w:r>
      <w:r w:rsidRPr="00FE50A6">
        <w:rPr>
          <w:rFonts w:eastAsia="Cambria" w:cs="Times New Roman"/>
          <w:szCs w:val="20"/>
          <w:lang w:val="en-US"/>
        </w:rPr>
        <w:t>the</w:t>
      </w:r>
      <w:r w:rsidR="00130785" w:rsidRPr="00FE50A6">
        <w:rPr>
          <w:rFonts w:eastAsia="Cambria" w:cs="Times New Roman"/>
          <w:szCs w:val="20"/>
          <w:lang w:val="en-US"/>
        </w:rPr>
        <w:t xml:space="preserve"> </w:t>
      </w:r>
      <w:r w:rsidR="000228D0" w:rsidRPr="00FE50A6">
        <w:rPr>
          <w:rFonts w:eastAsia="Cambria" w:cs="Times New Roman"/>
          <w:szCs w:val="20"/>
          <w:lang w:val="en-US"/>
        </w:rPr>
        <w:t>Judge</w:t>
      </w:r>
      <w:r w:rsidR="00130785" w:rsidRPr="00FE50A6">
        <w:rPr>
          <w:rFonts w:eastAsia="Cambria" w:cs="Times New Roman"/>
          <w:szCs w:val="20"/>
          <w:lang w:val="en-US"/>
        </w:rPr>
        <w:t xml:space="preserve"> </w:t>
      </w:r>
      <w:r w:rsidR="00130785" w:rsidRPr="00FE50A6">
        <w:rPr>
          <w:rFonts w:eastAsia="Cambria" w:cs="Times New Roman"/>
          <w:i/>
          <w:szCs w:val="20"/>
          <w:lang w:val="en-US"/>
        </w:rPr>
        <w:t>ad</w:t>
      </w:r>
      <w:r w:rsidRPr="00FE50A6">
        <w:rPr>
          <w:rFonts w:eastAsia="Cambria" w:cs="Times New Roman"/>
          <w:i/>
          <w:szCs w:val="20"/>
          <w:lang w:val="en-US"/>
        </w:rPr>
        <w:t xml:space="preserve"> </w:t>
      </w:r>
      <w:r w:rsidR="00130785" w:rsidRPr="00FE50A6">
        <w:rPr>
          <w:rFonts w:eastAsia="Cambria" w:cs="Times New Roman"/>
          <w:i/>
          <w:szCs w:val="20"/>
          <w:lang w:val="en-US"/>
        </w:rPr>
        <w:t>hoc</w:t>
      </w:r>
      <w:r w:rsidR="00130785" w:rsidRPr="00FE50A6">
        <w:rPr>
          <w:rFonts w:eastAsia="Cambria" w:cs="Times New Roman"/>
          <w:szCs w:val="20"/>
          <w:lang w:val="en-US"/>
        </w:rPr>
        <w:t xml:space="preserve"> </w:t>
      </w:r>
      <w:r w:rsidRPr="00FE50A6">
        <w:rPr>
          <w:rFonts w:eastAsia="Cambria" w:cs="Times New Roman"/>
          <w:szCs w:val="20"/>
          <w:lang w:val="en-US"/>
        </w:rPr>
        <w:t xml:space="preserve">indicated that, in his opinion, </w:t>
      </w:r>
      <w:r w:rsidR="00A80357" w:rsidRPr="00FE50A6">
        <w:rPr>
          <w:rFonts w:eastAsia="Cambria" w:cs="Times New Roman"/>
          <w:szCs w:val="20"/>
          <w:lang w:val="en-US"/>
        </w:rPr>
        <w:t>“</w:t>
      </w:r>
      <w:r w:rsidRPr="00FE50A6">
        <w:rPr>
          <w:rFonts w:eastAsia="Cambria" w:cs="Times New Roman"/>
          <w:szCs w:val="20"/>
          <w:lang w:val="en-US"/>
        </w:rPr>
        <w:t xml:space="preserve">the evolutive interpretation of the right to life </w:t>
      </w:r>
      <w:r w:rsidR="00A80357" w:rsidRPr="00FE50A6">
        <w:rPr>
          <w:rFonts w:eastAsia="Cambria" w:cs="Times New Roman"/>
          <w:szCs w:val="20"/>
          <w:lang w:val="en-US"/>
        </w:rPr>
        <w:t>embodied</w:t>
      </w:r>
      <w:r w:rsidRPr="00FE50A6">
        <w:rPr>
          <w:rFonts w:eastAsia="Cambria" w:cs="Times New Roman"/>
          <w:szCs w:val="20"/>
          <w:lang w:val="en-US"/>
        </w:rPr>
        <w:t xml:space="preserve"> in </w:t>
      </w:r>
      <w:r w:rsidR="000228D0" w:rsidRPr="00FE50A6">
        <w:rPr>
          <w:rFonts w:eastAsia="Cambria" w:cs="Times New Roman"/>
          <w:szCs w:val="20"/>
          <w:lang w:val="en-US"/>
        </w:rPr>
        <w:t>the American Convention</w:t>
      </w:r>
      <w:r w:rsidRPr="00FE50A6">
        <w:rPr>
          <w:rFonts w:eastAsia="Cambria" w:cs="Times New Roman"/>
          <w:szCs w:val="20"/>
          <w:lang w:val="en-US"/>
        </w:rPr>
        <w:t xml:space="preserve"> </w:t>
      </w:r>
      <w:r w:rsidR="00A80357" w:rsidRPr="00FE50A6">
        <w:rPr>
          <w:rFonts w:eastAsia="Cambria" w:cs="Times New Roman"/>
          <w:szCs w:val="20"/>
          <w:lang w:val="en-US"/>
        </w:rPr>
        <w:t>must</w:t>
      </w:r>
      <w:r w:rsidRPr="00FE50A6">
        <w:rPr>
          <w:rFonts w:eastAsia="Cambria" w:cs="Times New Roman"/>
          <w:szCs w:val="20"/>
          <w:lang w:val="en-US"/>
        </w:rPr>
        <w:t xml:space="preserve"> take into </w:t>
      </w:r>
      <w:r w:rsidR="0035422D" w:rsidRPr="00FE50A6">
        <w:rPr>
          <w:rFonts w:eastAsia="Cambria" w:cs="Times New Roman"/>
          <w:szCs w:val="20"/>
          <w:lang w:val="en-US"/>
        </w:rPr>
        <w:t>account</w:t>
      </w:r>
      <w:r w:rsidRPr="00FE50A6">
        <w:rPr>
          <w:rFonts w:eastAsia="Cambria" w:cs="Times New Roman"/>
          <w:szCs w:val="20"/>
          <w:lang w:val="en-US"/>
        </w:rPr>
        <w:t xml:space="preserve"> the </w:t>
      </w:r>
      <w:r w:rsidR="00130785" w:rsidRPr="00FE50A6">
        <w:rPr>
          <w:rFonts w:eastAsia="Cambria" w:cs="Times New Roman"/>
          <w:i/>
          <w:szCs w:val="20"/>
          <w:lang w:val="en-US"/>
        </w:rPr>
        <w:t>socio</w:t>
      </w:r>
      <w:r w:rsidRPr="00FE50A6">
        <w:rPr>
          <w:rFonts w:eastAsia="Cambria" w:cs="Times New Roman"/>
          <w:i/>
          <w:szCs w:val="20"/>
          <w:lang w:val="en-US"/>
        </w:rPr>
        <w:t>-</w:t>
      </w:r>
      <w:r w:rsidR="00130785" w:rsidRPr="00FE50A6">
        <w:rPr>
          <w:rFonts w:eastAsia="Cambria" w:cs="Times New Roman"/>
          <w:i/>
          <w:szCs w:val="20"/>
          <w:lang w:val="en-US"/>
        </w:rPr>
        <w:t>econ</w:t>
      </w:r>
      <w:r w:rsidRPr="00FE50A6">
        <w:rPr>
          <w:rFonts w:eastAsia="Cambria" w:cs="Times New Roman"/>
          <w:i/>
          <w:szCs w:val="20"/>
          <w:lang w:val="en-US"/>
        </w:rPr>
        <w:t>omic situation</w:t>
      </w:r>
      <w:r w:rsidR="00130785" w:rsidRPr="00FE50A6">
        <w:rPr>
          <w:rFonts w:eastAsia="Cambria" w:cs="Times New Roman"/>
          <w:i/>
          <w:szCs w:val="20"/>
          <w:lang w:val="en-US"/>
        </w:rPr>
        <w:t xml:space="preserve"> </w:t>
      </w:r>
      <w:r w:rsidRPr="00FE50A6">
        <w:rPr>
          <w:rFonts w:eastAsia="Cambria" w:cs="Times New Roman"/>
          <w:szCs w:val="20"/>
          <w:lang w:val="en-US"/>
        </w:rPr>
        <w:t>of</w:t>
      </w:r>
      <w:r w:rsidR="00130785" w:rsidRPr="00FE50A6">
        <w:rPr>
          <w:rFonts w:eastAsia="Cambria" w:cs="Times New Roman"/>
          <w:szCs w:val="20"/>
          <w:lang w:val="en-US"/>
        </w:rPr>
        <w:t xml:space="preserve"> Paraguay</w:t>
      </w:r>
      <w:r w:rsidR="00030C17" w:rsidRPr="00FE50A6">
        <w:rPr>
          <w:rFonts w:eastAsia="Cambria" w:cs="Times New Roman"/>
          <w:szCs w:val="20"/>
          <w:lang w:val="en-US"/>
        </w:rPr>
        <w:t xml:space="preserve"> and</w:t>
      </w:r>
      <w:r w:rsidRPr="00FE50A6">
        <w:rPr>
          <w:rFonts w:eastAsia="Cambria" w:cs="Times New Roman"/>
          <w:szCs w:val="20"/>
          <w:lang w:val="en-US"/>
        </w:rPr>
        <w:t xml:space="preserve"> of most Latin American countries, </w:t>
      </w:r>
      <w:r w:rsidR="0035422D" w:rsidRPr="00FE50A6">
        <w:rPr>
          <w:rFonts w:eastAsia="Cambria" w:cs="Times New Roman"/>
          <w:szCs w:val="20"/>
          <w:lang w:val="en-US"/>
        </w:rPr>
        <w:t>where</w:t>
      </w:r>
      <w:r w:rsidRPr="00FE50A6">
        <w:rPr>
          <w:rFonts w:eastAsia="Cambria" w:cs="Times New Roman"/>
          <w:szCs w:val="20"/>
          <w:lang w:val="en-US"/>
        </w:rPr>
        <w:t xml:space="preserve"> extreme poverty</w:t>
      </w:r>
      <w:r w:rsidR="0035422D" w:rsidRPr="00FE50A6">
        <w:rPr>
          <w:rFonts w:eastAsia="Cambria" w:cs="Times New Roman"/>
          <w:szCs w:val="20"/>
          <w:lang w:val="en-US"/>
        </w:rPr>
        <w:t xml:space="preserve"> had increased</w:t>
      </w:r>
      <w:r w:rsidRPr="00FE50A6">
        <w:rPr>
          <w:rFonts w:eastAsia="Cambria" w:cs="Times New Roman"/>
          <w:szCs w:val="20"/>
          <w:lang w:val="en-US"/>
        </w:rPr>
        <w:t xml:space="preserve"> in absolute and relative terms despite implementation of social protection policies.</w:t>
      </w:r>
      <w:r w:rsidR="00A80357" w:rsidRPr="00FE50A6">
        <w:rPr>
          <w:rFonts w:eastAsia="Cambria" w:cs="Times New Roman"/>
          <w:szCs w:val="20"/>
          <w:lang w:val="en-US"/>
        </w:rPr>
        <w:t>”</w:t>
      </w:r>
      <w:r w:rsidR="00030C17" w:rsidRPr="00FE50A6">
        <w:rPr>
          <w:rFonts w:eastAsia="Cambria" w:cs="Times New Roman"/>
          <w:szCs w:val="20"/>
          <w:lang w:val="en-US"/>
        </w:rPr>
        <w:t xml:space="preserve"> </w:t>
      </w:r>
      <w:r w:rsidRPr="00FE50A6">
        <w:rPr>
          <w:rFonts w:eastAsia="Cambria" w:cs="Times New Roman"/>
          <w:szCs w:val="20"/>
          <w:lang w:val="en-US"/>
        </w:rPr>
        <w:t>According to</w:t>
      </w:r>
      <w:r w:rsidR="00130785" w:rsidRPr="00FE50A6">
        <w:rPr>
          <w:rFonts w:eastAsia="Cambria" w:cs="Times New Roman"/>
          <w:szCs w:val="20"/>
          <w:lang w:val="en-US"/>
        </w:rPr>
        <w:t xml:space="preserve"> </w:t>
      </w:r>
      <w:r w:rsidR="000228D0" w:rsidRPr="00FE50A6">
        <w:rPr>
          <w:rFonts w:eastAsia="Cambria" w:cs="Times New Roman"/>
          <w:szCs w:val="20"/>
          <w:lang w:val="en-US"/>
        </w:rPr>
        <w:t>Judge</w:t>
      </w:r>
      <w:r w:rsidR="00130785" w:rsidRPr="00FE50A6">
        <w:rPr>
          <w:rFonts w:eastAsia="Cambria" w:cs="Times New Roman"/>
          <w:szCs w:val="20"/>
          <w:lang w:val="en-US"/>
        </w:rPr>
        <w:t xml:space="preserve"> Foguel, </w:t>
      </w:r>
      <w:r w:rsidR="00233001" w:rsidRPr="00FE50A6">
        <w:rPr>
          <w:rFonts w:eastAsia="Cambria" w:cs="Times New Roman"/>
          <w:szCs w:val="20"/>
          <w:lang w:val="en-US"/>
        </w:rPr>
        <w:t>“[</w:t>
      </w:r>
      <w:r w:rsidRPr="00FE50A6">
        <w:rPr>
          <w:rFonts w:eastAsia="Cambria" w:cs="Times New Roman"/>
          <w:szCs w:val="20"/>
          <w:lang w:val="en-US"/>
        </w:rPr>
        <w:t>i</w:t>
      </w:r>
      <w:r w:rsidR="00233001" w:rsidRPr="00FE50A6">
        <w:rPr>
          <w:rFonts w:eastAsia="Cambria" w:cs="Times New Roman"/>
          <w:szCs w:val="20"/>
          <w:lang w:val="en-US"/>
        </w:rPr>
        <w:t>]</w:t>
      </w:r>
      <w:r w:rsidRPr="00FE50A6">
        <w:rPr>
          <w:rFonts w:eastAsia="Cambria" w:cs="Times New Roman"/>
          <w:szCs w:val="20"/>
          <w:lang w:val="en-US"/>
        </w:rPr>
        <w:t xml:space="preserve">nterpretation of the right to life </w:t>
      </w:r>
      <w:r w:rsidR="00182F9A" w:rsidRPr="00FE50A6">
        <w:rPr>
          <w:rFonts w:eastAsia="Cambria" w:cs="Times New Roman"/>
          <w:szCs w:val="20"/>
          <w:lang w:val="en-US"/>
        </w:rPr>
        <w:t>involve</w:t>
      </w:r>
      <w:r w:rsidR="00233001" w:rsidRPr="00FE50A6">
        <w:rPr>
          <w:rFonts w:eastAsia="Cambria" w:cs="Times New Roman"/>
          <w:szCs w:val="20"/>
          <w:lang w:val="en-US"/>
        </w:rPr>
        <w:t>s</w:t>
      </w:r>
      <w:r w:rsidRPr="00FE50A6">
        <w:rPr>
          <w:rFonts w:eastAsia="Cambria" w:cs="Times New Roman"/>
          <w:szCs w:val="20"/>
          <w:lang w:val="en-US"/>
        </w:rPr>
        <w:t xml:space="preserve"> not only</w:t>
      </w:r>
      <w:r w:rsidR="00182F9A" w:rsidRPr="00FE50A6">
        <w:rPr>
          <w:rFonts w:eastAsia="Cambria" w:cs="Times New Roman"/>
          <w:szCs w:val="20"/>
          <w:lang w:val="en-US"/>
        </w:rPr>
        <w:t xml:space="preserve"> compliance by the State with social protection measures </w:t>
      </w:r>
      <w:r w:rsidR="00182F9A" w:rsidRPr="00FE50A6">
        <w:rPr>
          <w:rFonts w:cs="Arial"/>
          <w:szCs w:val="20"/>
          <w:lang w:val="en-US"/>
        </w:rPr>
        <w:t xml:space="preserve">that temporarily ensure minimum living conditions, but also addressing the causes that </w:t>
      </w:r>
      <w:r w:rsidR="00233001" w:rsidRPr="00FE50A6">
        <w:rPr>
          <w:rFonts w:cs="Arial"/>
          <w:szCs w:val="20"/>
          <w:lang w:val="en-US"/>
        </w:rPr>
        <w:t>generate</w:t>
      </w:r>
      <w:r w:rsidR="00182F9A" w:rsidRPr="00FE50A6">
        <w:rPr>
          <w:rFonts w:cs="Arial"/>
          <w:szCs w:val="20"/>
          <w:lang w:val="en-US"/>
        </w:rPr>
        <w:t xml:space="preserve"> poverty, reproduce its conditions, and create additional poor populations.</w:t>
      </w:r>
      <w:r w:rsidR="00233001" w:rsidRPr="00FE50A6">
        <w:rPr>
          <w:rFonts w:cs="Arial"/>
          <w:szCs w:val="20"/>
          <w:lang w:val="en-US"/>
        </w:rPr>
        <w:t>”</w:t>
      </w:r>
      <w:r w:rsidR="00182F9A" w:rsidRPr="00FE50A6">
        <w:rPr>
          <w:rFonts w:cs="Arial"/>
          <w:szCs w:val="20"/>
          <w:lang w:val="en-US"/>
        </w:rPr>
        <w:t xml:space="preserve"> The Judge considered that this posed </w:t>
      </w:r>
      <w:r w:rsidR="00233001" w:rsidRPr="00FE50A6">
        <w:rPr>
          <w:rFonts w:cs="Arial"/>
          <w:szCs w:val="20"/>
          <w:lang w:val="en-US"/>
        </w:rPr>
        <w:t>“</w:t>
      </w:r>
      <w:r w:rsidR="00182F9A" w:rsidRPr="00FE50A6">
        <w:rPr>
          <w:rFonts w:cs="Arial"/>
          <w:szCs w:val="20"/>
          <w:lang w:val="en-US"/>
        </w:rPr>
        <w:t xml:space="preserve">the need to link measures for eradication of poverty with </w:t>
      </w:r>
      <w:r w:rsidR="00233001" w:rsidRPr="00FE50A6">
        <w:rPr>
          <w:rFonts w:cs="Arial"/>
          <w:szCs w:val="20"/>
          <w:lang w:val="en-US"/>
        </w:rPr>
        <w:t>the series of</w:t>
      </w:r>
      <w:r w:rsidR="00182F9A" w:rsidRPr="00FE50A6">
        <w:rPr>
          <w:rFonts w:cs="Arial"/>
          <w:szCs w:val="20"/>
          <w:lang w:val="en-US"/>
        </w:rPr>
        <w:t xml:space="preserve"> phenomena that give rise to it, bearing in mind the impact of the decisions by </w:t>
      </w:r>
      <w:r w:rsidR="00233001" w:rsidRPr="00FE50A6">
        <w:rPr>
          <w:rFonts w:cs="Arial"/>
          <w:szCs w:val="20"/>
          <w:lang w:val="en-US"/>
        </w:rPr>
        <w:t xml:space="preserve">the </w:t>
      </w:r>
      <w:r w:rsidR="00182F9A" w:rsidRPr="00FE50A6">
        <w:rPr>
          <w:rFonts w:cs="Arial"/>
          <w:szCs w:val="20"/>
          <w:lang w:val="en-US"/>
        </w:rPr>
        <w:t>States, international and multilateral bodies,</w:t>
      </w:r>
      <w:r w:rsidR="00233001" w:rsidRPr="00FE50A6">
        <w:rPr>
          <w:rFonts w:cs="Arial"/>
          <w:szCs w:val="20"/>
          <w:lang w:val="en-US"/>
        </w:rPr>
        <w:t>”</w:t>
      </w:r>
      <w:r w:rsidR="00182F9A" w:rsidRPr="00FE50A6">
        <w:rPr>
          <w:rFonts w:cs="Arial"/>
          <w:szCs w:val="20"/>
          <w:lang w:val="en-US"/>
        </w:rPr>
        <w:t xml:space="preserve"> because</w:t>
      </w:r>
      <w:r w:rsidR="00233001" w:rsidRPr="00FE50A6">
        <w:rPr>
          <w:rFonts w:cs="Arial"/>
          <w:szCs w:val="20"/>
          <w:lang w:val="en-US"/>
        </w:rPr>
        <w:t xml:space="preserve"> “reproduction of conditions of poverty</w:t>
      </w:r>
      <w:r w:rsidR="00182F9A" w:rsidRPr="00FE50A6">
        <w:rPr>
          <w:rFonts w:cs="Arial"/>
          <w:szCs w:val="20"/>
          <w:lang w:val="en-US"/>
        </w:rPr>
        <w:t xml:space="preserve"> </w:t>
      </w:r>
      <w:r w:rsidR="00233001" w:rsidRPr="00FE50A6">
        <w:rPr>
          <w:rFonts w:cs="Arial"/>
          <w:szCs w:val="20"/>
          <w:lang w:val="en-US"/>
        </w:rPr>
        <w:t xml:space="preserve">entailed </w:t>
      </w:r>
      <w:r w:rsidR="00182F9A" w:rsidRPr="00FE50A6">
        <w:rPr>
          <w:rFonts w:cs="Arial"/>
          <w:szCs w:val="20"/>
          <w:lang w:val="en-US"/>
        </w:rPr>
        <w:t>the</w:t>
      </w:r>
      <w:r w:rsidR="00233001" w:rsidRPr="00FE50A6">
        <w:rPr>
          <w:rFonts w:cs="Arial"/>
          <w:szCs w:val="20"/>
          <w:lang w:val="en-US"/>
        </w:rPr>
        <w:t xml:space="preserve"> responsibilities of the</w:t>
      </w:r>
      <w:r w:rsidR="00182F9A" w:rsidRPr="00FE50A6">
        <w:rPr>
          <w:rFonts w:cs="Arial"/>
          <w:szCs w:val="20"/>
          <w:lang w:val="en-US"/>
        </w:rPr>
        <w:t xml:space="preserve"> international and national actors and institutions.</w:t>
      </w:r>
      <w:r w:rsidR="00233001" w:rsidRPr="00FE50A6">
        <w:rPr>
          <w:rFonts w:cs="Arial"/>
          <w:szCs w:val="20"/>
          <w:lang w:val="en-US"/>
        </w:rPr>
        <w:t>”</w:t>
      </w:r>
      <w:r w:rsidR="00130785" w:rsidRPr="00FE50A6">
        <w:rPr>
          <w:rFonts w:eastAsia="Cambria" w:cs="Times New Roman"/>
          <w:szCs w:val="20"/>
          <w:vertAlign w:val="superscript"/>
          <w:lang w:val="en-US"/>
        </w:rPr>
        <w:footnoteReference w:id="579"/>
      </w:r>
      <w:r w:rsidR="00182F9A" w:rsidRPr="00FE50A6">
        <w:rPr>
          <w:rFonts w:eastAsia="Cambria" w:cs="Times New Roman"/>
          <w:szCs w:val="20"/>
          <w:lang w:val="en-US"/>
        </w:rPr>
        <w:t xml:space="preserve"> He concluded by considering that: </w:t>
      </w:r>
      <w:r w:rsidR="00130785" w:rsidRPr="00FE50A6">
        <w:rPr>
          <w:rFonts w:eastAsia="Cambria" w:cs="Times New Roman"/>
          <w:szCs w:val="20"/>
          <w:lang w:val="en-US"/>
        </w:rPr>
        <w:t xml:space="preserve"> </w:t>
      </w:r>
    </w:p>
    <w:p w14:paraId="7B2554CB"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6232E801" w14:textId="77777777" w:rsidR="00130785" w:rsidRPr="00FE50A6" w:rsidRDefault="00A80357" w:rsidP="00A80357">
      <w:pPr>
        <w:ind w:left="720" w:right="558"/>
        <w:jc w:val="both"/>
        <w:rPr>
          <w:i/>
          <w:sz w:val="16"/>
          <w:szCs w:val="16"/>
          <w:lang w:val="en-US"/>
        </w:rPr>
      </w:pPr>
      <w:r w:rsidRPr="00FE50A6">
        <w:rPr>
          <w:rFonts w:eastAsia="Cambria" w:cs="Times New Roman"/>
          <w:sz w:val="16"/>
          <w:szCs w:val="16"/>
          <w:lang w:val="en-US"/>
        </w:rPr>
        <w:t xml:space="preserve">“36. </w:t>
      </w:r>
      <w:r w:rsidRPr="00FE50A6">
        <w:rPr>
          <w:rFonts w:cs="Arial"/>
          <w:sz w:val="16"/>
          <w:szCs w:val="16"/>
          <w:lang w:val="en-US"/>
        </w:rPr>
        <w:t>Progress of international human rights law requires that the international community acknowledge that poverty, and especially extreme poverty, is a form of abridgment of all human rights, civil, political, economic, and cultural, and that it act accordingly so as to facilitate identification of the internationally liable perpetrators. The economic growth system linked to a type of globalization that impoverishes growing sectors constitutes a “massive, flagrant, and systematic violation of human rights,” in an increasingly interdependent world. This interpretation of the right to life, attuned to evolving times and current living conditions, must pay attention to the causes of extreme poverty and to their perpetrators. From this standpoint, the international responsibility of the State […] and of other Signatory States of the American Convention does not cease, but it is shared with the International Community that requires new instrument</w:t>
      </w:r>
      <w:r w:rsidRPr="00FE50A6">
        <w:rPr>
          <w:sz w:val="16"/>
          <w:szCs w:val="16"/>
          <w:lang w:val="en-US"/>
        </w:rPr>
        <w:t>s</w:t>
      </w:r>
      <w:r w:rsidRPr="00FE50A6">
        <w:rPr>
          <w:rFonts w:cs="Arial"/>
          <w:sz w:val="16"/>
          <w:szCs w:val="16"/>
          <w:lang w:val="en-US"/>
        </w:rPr>
        <w:t>.”</w:t>
      </w:r>
      <w:r w:rsidR="00130785" w:rsidRPr="00FE50A6">
        <w:rPr>
          <w:rFonts w:eastAsia="Cambria" w:cs="Times New Roman"/>
          <w:sz w:val="16"/>
          <w:szCs w:val="20"/>
          <w:vertAlign w:val="superscript"/>
          <w:lang w:val="en-US"/>
        </w:rPr>
        <w:footnoteReference w:id="580"/>
      </w:r>
      <w:r w:rsidR="00130785" w:rsidRPr="00FE50A6">
        <w:rPr>
          <w:rFonts w:eastAsia="Cambria" w:cs="Times New Roman"/>
          <w:i/>
          <w:sz w:val="16"/>
          <w:szCs w:val="16"/>
          <w:lang w:val="en-US"/>
        </w:rPr>
        <w:t xml:space="preserve"> </w:t>
      </w:r>
    </w:p>
    <w:p w14:paraId="55FB5CBB" w14:textId="77777777" w:rsidR="00130785" w:rsidRPr="00FE50A6" w:rsidRDefault="00130785" w:rsidP="00130785">
      <w:pPr>
        <w:tabs>
          <w:tab w:val="clear" w:pos="4419"/>
          <w:tab w:val="clear" w:pos="8838"/>
        </w:tabs>
        <w:rPr>
          <w:rFonts w:eastAsia="MS Mincho" w:cs="Times New Roman"/>
          <w:i/>
          <w:sz w:val="16"/>
          <w:szCs w:val="16"/>
          <w:lang w:val="en-US" w:eastAsia="es-ES"/>
        </w:rPr>
      </w:pPr>
    </w:p>
    <w:p w14:paraId="27216121" w14:textId="77777777" w:rsidR="00130785" w:rsidRPr="00FE50A6" w:rsidRDefault="006C3699" w:rsidP="00E31002">
      <w:pPr>
        <w:numPr>
          <w:ilvl w:val="0"/>
          <w:numId w:val="26"/>
        </w:numPr>
        <w:tabs>
          <w:tab w:val="clear" w:pos="4419"/>
          <w:tab w:val="clear" w:pos="8838"/>
        </w:tabs>
        <w:contextualSpacing/>
        <w:jc w:val="both"/>
        <w:rPr>
          <w:rFonts w:eastAsia="Cambria" w:cs="Times New Roman"/>
          <w:i/>
          <w:sz w:val="16"/>
          <w:szCs w:val="16"/>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E31002" w:rsidRPr="00FE50A6">
        <w:rPr>
          <w:rFonts w:eastAsia="Cambria" w:cs="Times New Roman"/>
          <w:szCs w:val="20"/>
          <w:lang w:val="en-US"/>
        </w:rPr>
        <w:t>the</w:t>
      </w:r>
      <w:r w:rsidR="00130785" w:rsidRPr="00FE50A6">
        <w:rPr>
          <w:rFonts w:eastAsia="Cambria" w:cs="Times New Roman"/>
          <w:szCs w:val="20"/>
          <w:lang w:val="en-US"/>
        </w:rPr>
        <w:t xml:space="preserve"> </w:t>
      </w:r>
      <w:r w:rsidR="00E31002" w:rsidRPr="00FE50A6">
        <w:rPr>
          <w:rFonts w:eastAsia="Cambria" w:cs="Times New Roman"/>
          <w:i/>
          <w:szCs w:val="20"/>
          <w:lang w:val="en-US"/>
        </w:rPr>
        <w:t>“</w:t>
      </w:r>
      <w:r w:rsidR="00130785" w:rsidRPr="00FE50A6">
        <w:rPr>
          <w:rFonts w:eastAsia="Cambria" w:cs="Times New Roman"/>
          <w:i/>
          <w:szCs w:val="20"/>
          <w:lang w:val="en-US"/>
        </w:rPr>
        <w:t>Mapiripán</w:t>
      </w:r>
      <w:r w:rsidR="00E31002" w:rsidRPr="00FE50A6">
        <w:rPr>
          <w:rFonts w:eastAsia="Cambria" w:cs="Times New Roman"/>
          <w:i/>
          <w:szCs w:val="20"/>
          <w:lang w:val="en-US"/>
        </w:rPr>
        <w:t xml:space="preserve"> Massacre”</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Colombia </w:t>
      </w:r>
      <w:r w:rsidR="00130785" w:rsidRPr="00FE50A6">
        <w:rPr>
          <w:rFonts w:eastAsia="Cambria" w:cs="Times New Roman"/>
          <w:szCs w:val="20"/>
          <w:lang w:val="en-US"/>
        </w:rPr>
        <w:t>(2005)</w:t>
      </w:r>
      <w:r w:rsidR="00210F35" w:rsidRPr="00FE50A6">
        <w:rPr>
          <w:rFonts w:eastAsia="Cambria" w:cs="Times New Roman"/>
          <w:szCs w:val="20"/>
          <w:lang w:val="en-US"/>
        </w:rPr>
        <w:t xml:space="preserve">, the Inter-American Court noted that, </w:t>
      </w:r>
      <w:r w:rsidR="00E31002" w:rsidRPr="00FE50A6">
        <w:rPr>
          <w:rFonts w:eastAsia="Cambria" w:cs="Times New Roman"/>
          <w:szCs w:val="20"/>
          <w:lang w:val="en-US"/>
        </w:rPr>
        <w:t>in view of the characteristics of th</w:t>
      </w:r>
      <w:r w:rsidR="00210F35" w:rsidRPr="00FE50A6">
        <w:rPr>
          <w:rFonts w:eastAsia="Cambria" w:cs="Times New Roman"/>
          <w:szCs w:val="20"/>
          <w:lang w:val="en-US"/>
        </w:rPr>
        <w:t>is</w:t>
      </w:r>
      <w:r w:rsidR="00E31002" w:rsidRPr="00FE50A6">
        <w:rPr>
          <w:rFonts w:eastAsia="Cambria" w:cs="Times New Roman"/>
          <w:szCs w:val="20"/>
          <w:lang w:val="en-US"/>
        </w:rPr>
        <w:t xml:space="preserve"> massacre</w:t>
      </w:r>
      <w:r w:rsidR="00233001" w:rsidRPr="00FE50A6">
        <w:rPr>
          <w:rFonts w:eastAsia="Cambria" w:cs="Times New Roman"/>
          <w:szCs w:val="20"/>
          <w:lang w:val="en-US"/>
        </w:rPr>
        <w:t xml:space="preserve">, </w:t>
      </w:r>
      <w:r w:rsidR="00E31002" w:rsidRPr="00FE50A6">
        <w:rPr>
          <w:rFonts w:eastAsia="Cambria" w:cs="Times New Roman"/>
          <w:szCs w:val="20"/>
          <w:lang w:val="en-US"/>
        </w:rPr>
        <w:t>the harm suffered by the families</w:t>
      </w:r>
      <w:r w:rsidR="00233001" w:rsidRPr="00FE50A6">
        <w:rPr>
          <w:rFonts w:eastAsia="Cambria" w:cs="Times New Roman"/>
          <w:szCs w:val="20"/>
          <w:lang w:val="en-US"/>
        </w:rPr>
        <w:t>,</w:t>
      </w:r>
      <w:r w:rsidR="00E31002" w:rsidRPr="00FE50A6">
        <w:rPr>
          <w:rFonts w:eastAsia="Cambria" w:cs="Times New Roman"/>
          <w:szCs w:val="20"/>
          <w:lang w:val="en-US"/>
        </w:rPr>
        <w:t xml:space="preserve"> added to their fear of similar acts being repeated, the intimidation and threats by paramilitary agents to which some of them were subject</w:t>
      </w:r>
      <w:r w:rsidR="00233001" w:rsidRPr="00FE50A6">
        <w:rPr>
          <w:rFonts w:eastAsia="Cambria" w:cs="Times New Roman"/>
          <w:szCs w:val="20"/>
          <w:lang w:val="en-US"/>
        </w:rPr>
        <w:t>ed</w:t>
      </w:r>
      <w:r w:rsidR="00E31002" w:rsidRPr="00FE50A6">
        <w:rPr>
          <w:rFonts w:eastAsia="Cambria" w:cs="Times New Roman"/>
          <w:szCs w:val="20"/>
          <w:lang w:val="en-US"/>
        </w:rPr>
        <w:t xml:space="preserve">, and the fact that they had testified or would testify, </w:t>
      </w:r>
      <w:r w:rsidR="00210F35" w:rsidRPr="00FE50A6">
        <w:rPr>
          <w:rFonts w:eastAsia="Cambria" w:cs="Times New Roman"/>
          <w:szCs w:val="20"/>
          <w:lang w:val="en-US"/>
        </w:rPr>
        <w:t xml:space="preserve">had </w:t>
      </w:r>
      <w:r w:rsidR="00690EFB" w:rsidRPr="00FE50A6">
        <w:rPr>
          <w:rFonts w:eastAsia="Cambria" w:cs="Times New Roman"/>
          <w:szCs w:val="20"/>
          <w:lang w:val="en-US"/>
        </w:rPr>
        <w:t>resulted in</w:t>
      </w:r>
      <w:r w:rsidR="00E31002" w:rsidRPr="00FE50A6">
        <w:rPr>
          <w:rFonts w:eastAsia="Cambria" w:cs="Times New Roman"/>
          <w:szCs w:val="20"/>
          <w:lang w:val="en-US"/>
        </w:rPr>
        <w:t xml:space="preserve"> the internal displacement of many Mapiripán families. In addition, the Court considered that it was possible that some of the displaced families were not living in Mapiripán at the time of the </w:t>
      </w:r>
      <w:r w:rsidR="00690EFB" w:rsidRPr="00FE50A6">
        <w:rPr>
          <w:rFonts w:eastAsia="Cambria" w:cs="Times New Roman"/>
          <w:szCs w:val="20"/>
          <w:lang w:val="en-US"/>
        </w:rPr>
        <w:t>massacre</w:t>
      </w:r>
      <w:r w:rsidR="00E31002" w:rsidRPr="00FE50A6">
        <w:rPr>
          <w:rFonts w:eastAsia="Cambria" w:cs="Times New Roman"/>
          <w:szCs w:val="20"/>
          <w:lang w:val="en-US"/>
        </w:rPr>
        <w:t>, but rather in surrounding areas, but were also obliged to displace as a result of th</w:t>
      </w:r>
      <w:r w:rsidR="00690EFB" w:rsidRPr="00FE50A6">
        <w:rPr>
          <w:rFonts w:eastAsia="Cambria" w:cs="Times New Roman"/>
          <w:szCs w:val="20"/>
          <w:lang w:val="en-US"/>
        </w:rPr>
        <w:t>e events</w:t>
      </w:r>
      <w:r w:rsidR="00E31002" w:rsidRPr="00FE50A6">
        <w:rPr>
          <w:rFonts w:eastAsia="Cambria" w:cs="Times New Roman"/>
          <w:szCs w:val="20"/>
          <w:lang w:val="en-US"/>
        </w:rPr>
        <w:t>. The Court noted that, as revealed by the</w:t>
      </w:r>
      <w:r w:rsidR="00690EFB" w:rsidRPr="00FE50A6">
        <w:rPr>
          <w:rFonts w:eastAsia="Cambria" w:cs="Times New Roman"/>
          <w:szCs w:val="20"/>
          <w:lang w:val="en-US"/>
        </w:rPr>
        <w:t>ir</w:t>
      </w:r>
      <w:r w:rsidR="00E31002" w:rsidRPr="00FE50A6">
        <w:rPr>
          <w:rFonts w:eastAsia="Cambria" w:cs="Times New Roman"/>
          <w:szCs w:val="20"/>
          <w:lang w:val="en-US"/>
        </w:rPr>
        <w:t xml:space="preserve"> testimony, many of those people had </w:t>
      </w:r>
      <w:r w:rsidR="00690EFB" w:rsidRPr="00FE50A6">
        <w:rPr>
          <w:rFonts w:eastAsia="Cambria" w:cs="Times New Roman"/>
          <w:szCs w:val="20"/>
          <w:lang w:val="en-US"/>
        </w:rPr>
        <w:t>experienced</w:t>
      </w:r>
      <w:r w:rsidR="00E31002" w:rsidRPr="00FE50A6">
        <w:rPr>
          <w:rFonts w:eastAsia="Cambria" w:cs="Times New Roman"/>
          <w:szCs w:val="20"/>
          <w:lang w:val="en-US"/>
        </w:rPr>
        <w:t xml:space="preserve"> a situation of harsh poverty and lack of access to many basic services.</w:t>
      </w:r>
      <w:r w:rsidR="00130785" w:rsidRPr="00FE50A6">
        <w:rPr>
          <w:rFonts w:eastAsia="Cambria" w:cs="Times New Roman"/>
          <w:szCs w:val="20"/>
          <w:vertAlign w:val="superscript"/>
          <w:lang w:val="en-US"/>
        </w:rPr>
        <w:footnoteReference w:id="581"/>
      </w:r>
      <w:r w:rsidR="00130785" w:rsidRPr="00FE50A6">
        <w:rPr>
          <w:rFonts w:eastAsia="Cambria" w:cs="Times New Roman"/>
          <w:szCs w:val="20"/>
          <w:lang w:val="en-US"/>
        </w:rPr>
        <w:t xml:space="preserve">  </w:t>
      </w:r>
    </w:p>
    <w:p w14:paraId="4697F7BE" w14:textId="77777777" w:rsidR="00130785" w:rsidRPr="00FE50A6" w:rsidRDefault="00130785" w:rsidP="00130785">
      <w:pPr>
        <w:tabs>
          <w:tab w:val="clear" w:pos="4419"/>
          <w:tab w:val="clear" w:pos="8838"/>
        </w:tabs>
        <w:contextualSpacing/>
        <w:jc w:val="both"/>
        <w:rPr>
          <w:rFonts w:eastAsia="Cambria" w:cs="Times New Roman"/>
          <w:i/>
          <w:szCs w:val="20"/>
          <w:lang w:val="en-US"/>
        </w:rPr>
      </w:pPr>
    </w:p>
    <w:p w14:paraId="4F081C2C" w14:textId="77777777" w:rsidR="00130785" w:rsidRPr="00FE50A6" w:rsidRDefault="006C3699" w:rsidP="008B0BCC">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E31002" w:rsidRPr="00FE50A6">
        <w:rPr>
          <w:rFonts w:eastAsia="Cambria" w:cs="Times New Roman"/>
          <w:szCs w:val="20"/>
          <w:lang w:val="en-US"/>
        </w:rPr>
        <w:t>the</w:t>
      </w:r>
      <w:r w:rsidR="00130785" w:rsidRPr="00FE50A6">
        <w:rPr>
          <w:rFonts w:eastAsia="Cambria" w:cs="Times New Roman"/>
          <w:i/>
          <w:szCs w:val="20"/>
          <w:lang w:val="en-US"/>
        </w:rPr>
        <w:t xml:space="preserve"> Sawhoyamaxa</w:t>
      </w:r>
      <w:r w:rsidR="00E31002" w:rsidRPr="00FE50A6">
        <w:rPr>
          <w:rFonts w:eastAsia="Cambria" w:cs="Times New Roman"/>
          <w:i/>
          <w:szCs w:val="20"/>
          <w:lang w:val="en-US"/>
        </w:rPr>
        <w:t xml:space="preserve"> Indigenous Community</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Paraguay </w:t>
      </w:r>
      <w:r w:rsidR="00130785" w:rsidRPr="00FE50A6">
        <w:rPr>
          <w:rFonts w:eastAsia="Cambria" w:cs="Times New Roman"/>
          <w:szCs w:val="20"/>
          <w:lang w:val="en-US"/>
        </w:rPr>
        <w:t xml:space="preserve">(2006), </w:t>
      </w:r>
      <w:r w:rsidR="00CD3CCC" w:rsidRPr="00FE50A6">
        <w:rPr>
          <w:rFonts w:eastAsia="Cambria" w:cs="Times New Roman"/>
          <w:szCs w:val="20"/>
          <w:lang w:val="en-US"/>
        </w:rPr>
        <w:t>the Inter-American Court</w:t>
      </w:r>
      <w:r w:rsidR="00E31002" w:rsidRPr="00FE50A6">
        <w:rPr>
          <w:rFonts w:eastAsia="Cambria" w:cs="Times New Roman"/>
          <w:szCs w:val="20"/>
          <w:lang w:val="en-US"/>
        </w:rPr>
        <w:t xml:space="preserve"> established that, under the American Convention, </w:t>
      </w:r>
      <w:r w:rsidR="00700B79" w:rsidRPr="00FE50A6">
        <w:rPr>
          <w:rFonts w:eastAsia="Cambria" w:cs="Times New Roman"/>
          <w:szCs w:val="20"/>
          <w:lang w:val="en-US"/>
        </w:rPr>
        <w:t>the international responsibility</w:t>
      </w:r>
      <w:r w:rsidR="00130785" w:rsidRPr="00FE50A6">
        <w:rPr>
          <w:rFonts w:eastAsia="Cambria" w:cs="Times New Roman"/>
          <w:szCs w:val="20"/>
          <w:lang w:val="en-US"/>
        </w:rPr>
        <w:t xml:space="preserve"> </w:t>
      </w:r>
      <w:r w:rsidR="00E31002" w:rsidRPr="00FE50A6">
        <w:rPr>
          <w:rFonts w:eastAsia="Cambria" w:cs="Times New Roman"/>
          <w:szCs w:val="20"/>
          <w:lang w:val="en-US"/>
        </w:rPr>
        <w:t xml:space="preserve">of the State arises at the time </w:t>
      </w:r>
      <w:r w:rsidR="00703850" w:rsidRPr="00FE50A6">
        <w:rPr>
          <w:rFonts w:eastAsia="Cambria" w:cs="Times New Roman"/>
          <w:szCs w:val="20"/>
          <w:lang w:val="en-US"/>
        </w:rPr>
        <w:t>of the violation</w:t>
      </w:r>
      <w:r w:rsidR="00030C17" w:rsidRPr="00FE50A6">
        <w:rPr>
          <w:rFonts w:eastAsia="Cambria" w:cs="Times New Roman"/>
          <w:szCs w:val="20"/>
          <w:lang w:val="en-US"/>
        </w:rPr>
        <w:t xml:space="preserve"> of</w:t>
      </w:r>
      <w:r w:rsidR="00E31002" w:rsidRPr="00FE50A6">
        <w:rPr>
          <w:rFonts w:eastAsia="Cambria" w:cs="Times New Roman"/>
          <w:szCs w:val="20"/>
          <w:lang w:val="en-US"/>
        </w:rPr>
        <w:t xml:space="preserve"> the general obligations established in </w:t>
      </w:r>
      <w:r w:rsidR="000B587F" w:rsidRPr="00FE50A6">
        <w:rPr>
          <w:rFonts w:eastAsia="Cambria" w:cs="Times New Roman"/>
          <w:szCs w:val="20"/>
          <w:lang w:val="en-US"/>
        </w:rPr>
        <w:t>Articles 1(1)</w:t>
      </w:r>
      <w:r w:rsidR="00030C17" w:rsidRPr="00FE50A6">
        <w:rPr>
          <w:rFonts w:eastAsia="Cambria" w:cs="Times New Roman"/>
          <w:szCs w:val="20"/>
          <w:lang w:val="en-US"/>
        </w:rPr>
        <w:t xml:space="preserve"> and </w:t>
      </w:r>
      <w:r w:rsidR="00130785" w:rsidRPr="00FE50A6">
        <w:rPr>
          <w:rFonts w:eastAsia="Cambria" w:cs="Times New Roman"/>
          <w:szCs w:val="20"/>
          <w:lang w:val="en-US"/>
        </w:rPr>
        <w:t xml:space="preserve">2 </w:t>
      </w:r>
      <w:r w:rsidR="00E31002" w:rsidRPr="00FE50A6">
        <w:rPr>
          <w:rFonts w:eastAsia="Cambria" w:cs="Times New Roman"/>
          <w:szCs w:val="20"/>
          <w:lang w:val="en-US"/>
        </w:rPr>
        <w:t>of this instrument</w:t>
      </w:r>
      <w:r w:rsidR="00130785" w:rsidRPr="00FE50A6">
        <w:rPr>
          <w:rFonts w:eastAsia="Cambria" w:cs="Times New Roman"/>
          <w:szCs w:val="20"/>
          <w:lang w:val="en-US"/>
        </w:rPr>
        <w:t xml:space="preserve">. </w:t>
      </w:r>
      <w:r w:rsidR="00E31002" w:rsidRPr="00FE50A6">
        <w:rPr>
          <w:rFonts w:eastAsia="Cambria" w:cs="Times New Roman"/>
          <w:szCs w:val="20"/>
          <w:lang w:val="en-US"/>
        </w:rPr>
        <w:t xml:space="preserve">Special duties </w:t>
      </w:r>
      <w:r w:rsidR="00461A37" w:rsidRPr="00FE50A6">
        <w:rPr>
          <w:rFonts w:eastAsia="Cambria" w:cs="Times New Roman"/>
          <w:szCs w:val="20"/>
          <w:lang w:val="en-US"/>
        </w:rPr>
        <w:t>result from these general obligations that can be determined based on the particular needs for protection of the subject of law, due either to his personal condition or to the specific situation in which he finds himself, such as extreme poverty, marginalization or childhood.</w:t>
      </w:r>
      <w:r w:rsidR="00130785" w:rsidRPr="00FE50A6">
        <w:rPr>
          <w:rFonts w:eastAsia="Cambria" w:cs="Times New Roman"/>
          <w:szCs w:val="20"/>
          <w:vertAlign w:val="superscript"/>
          <w:lang w:val="en-US"/>
        </w:rPr>
        <w:footnoteReference w:id="582"/>
      </w:r>
    </w:p>
    <w:p w14:paraId="052DB042" w14:textId="77777777" w:rsidR="00130785" w:rsidRPr="00FE50A6" w:rsidRDefault="00130785" w:rsidP="00130785">
      <w:pPr>
        <w:tabs>
          <w:tab w:val="clear" w:pos="4419"/>
          <w:tab w:val="clear" w:pos="8838"/>
        </w:tabs>
        <w:rPr>
          <w:rFonts w:eastAsia="MS Mincho" w:cs="Times New Roman"/>
          <w:i/>
          <w:szCs w:val="20"/>
          <w:lang w:val="en-US" w:eastAsia="es-ES"/>
        </w:rPr>
      </w:pPr>
    </w:p>
    <w:p w14:paraId="44CF9983" w14:textId="77777777" w:rsidR="00130785" w:rsidRPr="00FE50A6" w:rsidRDefault="006C3699" w:rsidP="00461A37">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 xml:space="preserve">Ximenes Lopes </w:t>
      </w:r>
      <w:r w:rsidR="000228D0" w:rsidRPr="00FE50A6">
        <w:rPr>
          <w:rFonts w:eastAsia="Cambria" w:cs="Times New Roman"/>
          <w:i/>
          <w:szCs w:val="20"/>
          <w:lang w:val="en-US"/>
        </w:rPr>
        <w:t>v.</w:t>
      </w:r>
      <w:r w:rsidR="00130785" w:rsidRPr="00FE50A6">
        <w:rPr>
          <w:rFonts w:eastAsia="Cambria" w:cs="Times New Roman"/>
          <w:i/>
          <w:szCs w:val="20"/>
          <w:lang w:val="en-US"/>
        </w:rPr>
        <w:t xml:space="preserve"> </w:t>
      </w:r>
      <w:r w:rsidR="000228D0" w:rsidRPr="00FE50A6">
        <w:rPr>
          <w:rFonts w:eastAsia="Cambria" w:cs="Times New Roman"/>
          <w:i/>
          <w:szCs w:val="20"/>
          <w:lang w:val="en-US"/>
        </w:rPr>
        <w:t>Brazil</w:t>
      </w:r>
      <w:r w:rsidR="00130785" w:rsidRPr="00FE50A6">
        <w:rPr>
          <w:rFonts w:eastAsia="Cambria" w:cs="Times New Roman"/>
          <w:i/>
          <w:szCs w:val="20"/>
          <w:lang w:val="en-US"/>
        </w:rPr>
        <w:t xml:space="preserve"> </w:t>
      </w:r>
      <w:r w:rsidR="00130785" w:rsidRPr="00FE50A6">
        <w:rPr>
          <w:rFonts w:eastAsia="Cambria" w:cs="Times New Roman"/>
          <w:szCs w:val="20"/>
          <w:lang w:val="en-US"/>
        </w:rPr>
        <w:t xml:space="preserve">(2006),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to</w:t>
      </w:r>
      <w:r w:rsidR="00461A37" w:rsidRPr="00FE50A6">
        <w:rPr>
          <w:rFonts w:eastAsia="Cambria" w:cs="Times New Roman"/>
          <w:szCs w:val="20"/>
          <w:lang w:val="en-US"/>
        </w:rPr>
        <w:t xml:space="preserve">ok into account that </w:t>
      </w:r>
      <w:r w:rsidR="006864C6" w:rsidRPr="00FE50A6">
        <w:rPr>
          <w:rFonts w:eastAsia="Cambria" w:cs="Times New Roman"/>
          <w:szCs w:val="20"/>
          <w:lang w:val="en-US"/>
        </w:rPr>
        <w:t>“</w:t>
      </w:r>
      <w:r w:rsidR="00461A37" w:rsidRPr="00FE50A6">
        <w:rPr>
          <w:rFonts w:eastAsia="Cambria" w:cs="Times New Roman"/>
          <w:szCs w:val="20"/>
          <w:lang w:val="en-US"/>
        </w:rPr>
        <w:t>groups</w:t>
      </w:r>
      <w:r w:rsidR="006864C6" w:rsidRPr="00FE50A6">
        <w:rPr>
          <w:rFonts w:eastAsia="Cambria" w:cs="Times New Roman"/>
          <w:szCs w:val="20"/>
          <w:lang w:val="en-US"/>
        </w:rPr>
        <w:t xml:space="preserve"> of people</w:t>
      </w:r>
      <w:r w:rsidR="00461A37" w:rsidRPr="00FE50A6">
        <w:rPr>
          <w:rFonts w:eastAsia="Cambria" w:cs="Times New Roman"/>
          <w:szCs w:val="20"/>
          <w:lang w:val="en-US"/>
        </w:rPr>
        <w:t xml:space="preserve"> who live in adverse </w:t>
      </w:r>
      <w:r w:rsidR="006864C6" w:rsidRPr="00FE50A6">
        <w:rPr>
          <w:rFonts w:eastAsia="Cambria" w:cs="Times New Roman"/>
          <w:szCs w:val="20"/>
          <w:lang w:val="en-US"/>
        </w:rPr>
        <w:t>conditions</w:t>
      </w:r>
      <w:r w:rsidR="00461A37" w:rsidRPr="00FE50A6">
        <w:rPr>
          <w:rFonts w:eastAsia="Cambria" w:cs="Times New Roman"/>
          <w:szCs w:val="20"/>
          <w:lang w:val="en-US"/>
        </w:rPr>
        <w:t xml:space="preserve"> and </w:t>
      </w:r>
      <w:r w:rsidR="006864C6" w:rsidRPr="00FE50A6">
        <w:rPr>
          <w:rFonts w:eastAsia="Cambria" w:cs="Times New Roman"/>
          <w:szCs w:val="20"/>
          <w:lang w:val="en-US"/>
        </w:rPr>
        <w:t>have</w:t>
      </w:r>
      <w:r w:rsidR="00461A37" w:rsidRPr="00FE50A6">
        <w:rPr>
          <w:rFonts w:eastAsia="Cambria" w:cs="Times New Roman"/>
          <w:szCs w:val="20"/>
          <w:lang w:val="en-US"/>
        </w:rPr>
        <w:t xml:space="preserve"> </w:t>
      </w:r>
      <w:r w:rsidR="006864C6" w:rsidRPr="00FE50A6">
        <w:rPr>
          <w:rFonts w:eastAsia="Cambria" w:cs="Times New Roman"/>
          <w:szCs w:val="20"/>
          <w:lang w:val="en-US"/>
        </w:rPr>
        <w:t>few</w:t>
      </w:r>
      <w:r w:rsidR="00461A37" w:rsidRPr="00FE50A6">
        <w:rPr>
          <w:rFonts w:eastAsia="Cambria" w:cs="Times New Roman"/>
          <w:szCs w:val="20"/>
          <w:lang w:val="en-US"/>
        </w:rPr>
        <w:t xml:space="preserve"> resources, such as </w:t>
      </w:r>
      <w:r w:rsidR="006864C6" w:rsidRPr="00FE50A6">
        <w:rPr>
          <w:rFonts w:eastAsia="Cambria" w:cs="Times New Roman"/>
          <w:szCs w:val="20"/>
          <w:lang w:val="en-US"/>
        </w:rPr>
        <w:t>those who live</w:t>
      </w:r>
      <w:r w:rsidR="00461A37" w:rsidRPr="00FE50A6">
        <w:rPr>
          <w:rFonts w:eastAsia="Cambria" w:cs="Times New Roman"/>
          <w:szCs w:val="20"/>
          <w:lang w:val="en-US"/>
        </w:rPr>
        <w:t xml:space="preserve"> in </w:t>
      </w:r>
      <w:r w:rsidR="00130785" w:rsidRPr="00FE50A6">
        <w:rPr>
          <w:rFonts w:eastAsia="Cambria" w:cs="Times New Roman"/>
          <w:szCs w:val="20"/>
          <w:lang w:val="en-US"/>
        </w:rPr>
        <w:t>extrem</w:t>
      </w:r>
      <w:r w:rsidR="00461A37" w:rsidRPr="00FE50A6">
        <w:rPr>
          <w:rFonts w:eastAsia="Cambria" w:cs="Times New Roman"/>
          <w:szCs w:val="20"/>
          <w:lang w:val="en-US"/>
        </w:rPr>
        <w:t>e poverty, at-risk children and adolescents,</w:t>
      </w:r>
      <w:r w:rsidR="00130785" w:rsidRPr="00FE50A6">
        <w:rPr>
          <w:rFonts w:eastAsia="Cambria" w:cs="Times New Roman"/>
          <w:szCs w:val="20"/>
          <w:lang w:val="en-US"/>
        </w:rPr>
        <w:t xml:space="preserve"> </w:t>
      </w:r>
      <w:r w:rsidR="00030C17" w:rsidRPr="00FE50A6">
        <w:rPr>
          <w:rFonts w:eastAsia="Cambria" w:cs="Times New Roman"/>
          <w:szCs w:val="20"/>
          <w:lang w:val="en-US"/>
        </w:rPr>
        <w:t>and</w:t>
      </w:r>
      <w:r w:rsidR="00461A37" w:rsidRPr="00FE50A6">
        <w:rPr>
          <w:rFonts w:eastAsia="Cambria" w:cs="Times New Roman"/>
          <w:szCs w:val="20"/>
          <w:lang w:val="en-US"/>
        </w:rPr>
        <w:t xml:space="preserve"> indigenous peoples face an increased risk of suffering from </w:t>
      </w:r>
      <w:r w:rsidR="006864C6" w:rsidRPr="00FE50A6">
        <w:rPr>
          <w:rFonts w:eastAsia="Cambria" w:cs="Times New Roman"/>
          <w:szCs w:val="20"/>
          <w:lang w:val="en-US"/>
        </w:rPr>
        <w:t xml:space="preserve">mental </w:t>
      </w:r>
      <w:r w:rsidR="00461A37" w:rsidRPr="00FE50A6">
        <w:rPr>
          <w:rFonts w:eastAsia="Cambria" w:cs="Times New Roman"/>
          <w:szCs w:val="20"/>
          <w:lang w:val="en-US"/>
        </w:rPr>
        <w:t>disabilities</w:t>
      </w:r>
      <w:r w:rsidR="00130785" w:rsidRPr="00FE50A6">
        <w:rPr>
          <w:rFonts w:eastAsia="Cambria" w:cs="Times New Roman"/>
          <w:szCs w:val="20"/>
          <w:lang w:val="en-US"/>
        </w:rPr>
        <w:t>.</w:t>
      </w:r>
      <w:r w:rsidR="006864C6" w:rsidRPr="00FE50A6">
        <w:rPr>
          <w:rFonts w:eastAsia="Cambria" w:cs="Times New Roman"/>
          <w:szCs w:val="20"/>
          <w:lang w:val="en-US"/>
        </w:rPr>
        <w:t xml:space="preserve">” </w:t>
      </w:r>
      <w:r w:rsidR="00461A37" w:rsidRPr="00FE50A6">
        <w:rPr>
          <w:rFonts w:eastAsia="Cambria" w:cs="Times New Roman"/>
          <w:szCs w:val="20"/>
          <w:lang w:val="en-US"/>
        </w:rPr>
        <w:t xml:space="preserve">The Court therefore considered that the </w:t>
      </w:r>
      <w:r w:rsidR="006864C6" w:rsidRPr="00FE50A6">
        <w:rPr>
          <w:rFonts w:eastAsia="Cambria" w:cs="Times New Roman"/>
          <w:szCs w:val="20"/>
          <w:lang w:val="en-US"/>
        </w:rPr>
        <w:t>link</w:t>
      </w:r>
      <w:r w:rsidR="00461A37" w:rsidRPr="00FE50A6">
        <w:rPr>
          <w:rFonts w:eastAsia="Cambria" w:cs="Times New Roman"/>
          <w:szCs w:val="20"/>
          <w:lang w:val="en-US"/>
        </w:rPr>
        <w:t xml:space="preserve"> between </w:t>
      </w:r>
      <w:r w:rsidR="006864C6" w:rsidRPr="00FE50A6">
        <w:rPr>
          <w:rFonts w:eastAsia="Cambria" w:cs="Times New Roman"/>
          <w:szCs w:val="20"/>
          <w:lang w:val="en-US"/>
        </w:rPr>
        <w:t xml:space="preserve">the </w:t>
      </w:r>
      <w:r w:rsidR="00461A37" w:rsidRPr="00FE50A6">
        <w:rPr>
          <w:rFonts w:eastAsia="Cambria" w:cs="Times New Roman"/>
          <w:szCs w:val="20"/>
          <w:lang w:val="en-US"/>
        </w:rPr>
        <w:t>disability, on the one hand, and poverty and social exclusion</w:t>
      </w:r>
      <w:r w:rsidR="006864C6" w:rsidRPr="00FE50A6">
        <w:rPr>
          <w:rFonts w:eastAsia="Cambria" w:cs="Times New Roman"/>
          <w:szCs w:val="20"/>
          <w:lang w:val="en-US"/>
        </w:rPr>
        <w:t>,</w:t>
      </w:r>
      <w:r w:rsidR="00461A37" w:rsidRPr="00FE50A6">
        <w:rPr>
          <w:rFonts w:eastAsia="Cambria" w:cs="Times New Roman"/>
          <w:szCs w:val="20"/>
          <w:lang w:val="en-US"/>
        </w:rPr>
        <w:t xml:space="preserve"> on the other</w:t>
      </w:r>
      <w:r w:rsidR="006864C6" w:rsidRPr="00FE50A6">
        <w:rPr>
          <w:rFonts w:eastAsia="Cambria" w:cs="Times New Roman"/>
          <w:szCs w:val="20"/>
          <w:lang w:val="en-US"/>
        </w:rPr>
        <w:t>,</w:t>
      </w:r>
      <w:r w:rsidR="00461A37" w:rsidRPr="00FE50A6">
        <w:rPr>
          <w:rFonts w:eastAsia="Cambria" w:cs="Times New Roman"/>
          <w:szCs w:val="20"/>
          <w:lang w:val="en-US"/>
        </w:rPr>
        <w:t xml:space="preserve"> </w:t>
      </w:r>
      <w:r w:rsidR="006864C6" w:rsidRPr="00FE50A6">
        <w:rPr>
          <w:rFonts w:eastAsia="Cambria" w:cs="Times New Roman"/>
          <w:szCs w:val="20"/>
          <w:lang w:val="en-US"/>
        </w:rPr>
        <w:t>i</w:t>
      </w:r>
      <w:r w:rsidR="00461A37" w:rsidRPr="00FE50A6">
        <w:rPr>
          <w:rFonts w:eastAsia="Cambria" w:cs="Times New Roman"/>
          <w:szCs w:val="20"/>
          <w:lang w:val="en-US"/>
        </w:rPr>
        <w:t>s direct and significant. Consequently, among the positive me</w:t>
      </w:r>
      <w:r w:rsidR="006864C6" w:rsidRPr="00FE50A6">
        <w:rPr>
          <w:rFonts w:eastAsia="Cambria" w:cs="Times New Roman"/>
          <w:szCs w:val="20"/>
          <w:lang w:val="en-US"/>
        </w:rPr>
        <w:t>a</w:t>
      </w:r>
      <w:r w:rsidR="00461A37" w:rsidRPr="00FE50A6">
        <w:rPr>
          <w:rFonts w:eastAsia="Cambria" w:cs="Times New Roman"/>
          <w:szCs w:val="20"/>
          <w:lang w:val="en-US"/>
        </w:rPr>
        <w:t xml:space="preserve">sures that States should take were those necessary to </w:t>
      </w:r>
      <w:r w:rsidR="0005421E" w:rsidRPr="00FE50A6">
        <w:rPr>
          <w:rFonts w:eastAsia="Cambria" w:cs="Times New Roman"/>
          <w:szCs w:val="20"/>
          <w:lang w:val="en-US"/>
        </w:rPr>
        <w:t>prevent all</w:t>
      </w:r>
      <w:r w:rsidR="00461A37" w:rsidRPr="00FE50A6">
        <w:rPr>
          <w:rFonts w:eastAsia="Cambria" w:cs="Times New Roman"/>
          <w:szCs w:val="20"/>
          <w:lang w:val="en-US"/>
        </w:rPr>
        <w:t xml:space="preserve"> </w:t>
      </w:r>
      <w:r w:rsidR="006864C6" w:rsidRPr="00FE50A6">
        <w:rPr>
          <w:rFonts w:eastAsia="Cambria" w:cs="Times New Roman"/>
          <w:szCs w:val="20"/>
          <w:lang w:val="en-US"/>
        </w:rPr>
        <w:t>types of</w:t>
      </w:r>
      <w:r w:rsidR="00461A37" w:rsidRPr="00FE50A6">
        <w:rPr>
          <w:rFonts w:eastAsia="Cambria" w:cs="Times New Roman"/>
          <w:szCs w:val="20"/>
          <w:lang w:val="en-US"/>
        </w:rPr>
        <w:t xml:space="preserve"> disability</w:t>
      </w:r>
      <w:r w:rsidR="006864C6" w:rsidRPr="00FE50A6">
        <w:rPr>
          <w:rFonts w:eastAsia="Cambria" w:cs="Times New Roman"/>
          <w:szCs w:val="20"/>
          <w:lang w:val="en-US"/>
        </w:rPr>
        <w:t xml:space="preserve"> that may be prevented</w:t>
      </w:r>
      <w:r w:rsidR="00461A37" w:rsidRPr="00FE50A6">
        <w:rPr>
          <w:rFonts w:eastAsia="Cambria" w:cs="Times New Roman"/>
          <w:szCs w:val="20"/>
          <w:lang w:val="en-US"/>
        </w:rPr>
        <w:t xml:space="preserve"> and to give </w:t>
      </w:r>
      <w:r w:rsidR="006864C6" w:rsidRPr="00FE50A6">
        <w:rPr>
          <w:rFonts w:eastAsia="Cambria" w:cs="Times New Roman"/>
          <w:szCs w:val="20"/>
          <w:lang w:val="en-US"/>
        </w:rPr>
        <w:t>people</w:t>
      </w:r>
      <w:r w:rsidR="00461A37" w:rsidRPr="00FE50A6">
        <w:rPr>
          <w:rFonts w:eastAsia="Cambria" w:cs="Times New Roman"/>
          <w:szCs w:val="20"/>
          <w:lang w:val="en-US"/>
        </w:rPr>
        <w:t xml:space="preserve"> </w:t>
      </w:r>
      <w:r w:rsidR="006864C6" w:rsidRPr="00FE50A6">
        <w:rPr>
          <w:rFonts w:eastAsia="Cambria" w:cs="Times New Roman"/>
          <w:szCs w:val="20"/>
          <w:lang w:val="en-US"/>
        </w:rPr>
        <w:t>with</w:t>
      </w:r>
      <w:r w:rsidR="00461A37" w:rsidRPr="00FE50A6">
        <w:rPr>
          <w:rFonts w:eastAsia="Cambria" w:cs="Times New Roman"/>
          <w:szCs w:val="20"/>
          <w:lang w:val="en-US"/>
        </w:rPr>
        <w:t xml:space="preserve"> any </w:t>
      </w:r>
      <w:r w:rsidR="0005421E" w:rsidRPr="00FE50A6">
        <w:rPr>
          <w:rFonts w:eastAsia="Cambria" w:cs="Times New Roman"/>
          <w:szCs w:val="20"/>
          <w:lang w:val="en-US"/>
        </w:rPr>
        <w:t>disabilit</w:t>
      </w:r>
      <w:r w:rsidR="006864C6" w:rsidRPr="00FE50A6">
        <w:rPr>
          <w:rFonts w:eastAsia="Cambria" w:cs="Times New Roman"/>
          <w:szCs w:val="20"/>
          <w:lang w:val="en-US"/>
        </w:rPr>
        <w:t>y</w:t>
      </w:r>
      <w:r w:rsidR="00461A37" w:rsidRPr="00FE50A6">
        <w:rPr>
          <w:rFonts w:eastAsia="Cambria" w:cs="Times New Roman"/>
          <w:szCs w:val="20"/>
          <w:lang w:val="en-US"/>
        </w:rPr>
        <w:t xml:space="preserve"> the preferential treatment required by their special condition of vulnerability.</w:t>
      </w:r>
      <w:r w:rsidR="00130785" w:rsidRPr="00FE50A6">
        <w:rPr>
          <w:rFonts w:eastAsia="Cambria" w:cs="Times New Roman"/>
          <w:szCs w:val="20"/>
          <w:vertAlign w:val="superscript"/>
          <w:lang w:val="en-US"/>
        </w:rPr>
        <w:footnoteReference w:id="583"/>
      </w:r>
      <w:r w:rsidR="00130785" w:rsidRPr="00FE50A6">
        <w:rPr>
          <w:rFonts w:eastAsia="Cambria" w:cs="Times New Roman"/>
          <w:szCs w:val="20"/>
          <w:lang w:val="en-US"/>
        </w:rPr>
        <w:t xml:space="preserve"> </w:t>
      </w:r>
    </w:p>
    <w:p w14:paraId="6B40FFA5" w14:textId="77777777" w:rsidR="00130785" w:rsidRPr="00FE50A6" w:rsidRDefault="00130785" w:rsidP="00130785">
      <w:pPr>
        <w:tabs>
          <w:tab w:val="clear" w:pos="4419"/>
          <w:tab w:val="clear" w:pos="8838"/>
        </w:tabs>
        <w:rPr>
          <w:rFonts w:eastAsia="MS Mincho" w:cs="Times New Roman"/>
          <w:i/>
          <w:szCs w:val="20"/>
          <w:lang w:val="en-US" w:eastAsia="es-ES"/>
        </w:rPr>
      </w:pPr>
    </w:p>
    <w:p w14:paraId="379C3A9A" w14:textId="77777777" w:rsidR="00130785" w:rsidRPr="00FE50A6" w:rsidRDefault="006C3699" w:rsidP="00461A37">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461A37" w:rsidRPr="00FE50A6">
        <w:rPr>
          <w:rFonts w:eastAsia="Cambria" w:cs="Times New Roman"/>
          <w:szCs w:val="20"/>
          <w:lang w:val="en-US"/>
        </w:rPr>
        <w:t>the</w:t>
      </w:r>
      <w:r w:rsidR="00130785" w:rsidRPr="00FE50A6">
        <w:rPr>
          <w:rFonts w:eastAsia="Cambria" w:cs="Times New Roman"/>
          <w:i/>
          <w:szCs w:val="20"/>
          <w:lang w:val="en-US"/>
        </w:rPr>
        <w:t xml:space="preserve"> Xákmok Kásek</w:t>
      </w:r>
      <w:r w:rsidR="00461A37" w:rsidRPr="00FE50A6">
        <w:rPr>
          <w:rFonts w:eastAsia="Cambria" w:cs="Times New Roman"/>
          <w:i/>
          <w:szCs w:val="20"/>
          <w:lang w:val="en-US"/>
        </w:rPr>
        <w:t xml:space="preserve"> Indigenous Community</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Paraguay </w:t>
      </w:r>
      <w:r w:rsidR="00130785" w:rsidRPr="00FE50A6">
        <w:rPr>
          <w:rFonts w:eastAsia="Cambria" w:cs="Times New Roman"/>
          <w:szCs w:val="20"/>
          <w:lang w:val="en-US"/>
        </w:rPr>
        <w:t xml:space="preserve">(2010),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w:t>
      </w:r>
      <w:r w:rsidR="00461A37" w:rsidRPr="00FE50A6">
        <w:rPr>
          <w:rFonts w:eastAsia="Cambria" w:cs="Times New Roman"/>
          <w:szCs w:val="20"/>
          <w:lang w:val="en-US"/>
        </w:rPr>
        <w:t xml:space="preserve">indicated that the extreme poverty and lack of adequate medical care for pregnant or post-partum women were significant and </w:t>
      </w:r>
      <w:r w:rsidR="0069720A" w:rsidRPr="00FE50A6">
        <w:rPr>
          <w:rFonts w:eastAsia="Cambria" w:cs="Times New Roman"/>
          <w:szCs w:val="20"/>
          <w:lang w:val="en-US"/>
        </w:rPr>
        <w:t>resulted in</w:t>
      </w:r>
      <w:r w:rsidR="00461A37" w:rsidRPr="00FE50A6">
        <w:rPr>
          <w:rFonts w:eastAsia="Cambria" w:cs="Times New Roman"/>
          <w:szCs w:val="20"/>
          <w:lang w:val="en-US"/>
        </w:rPr>
        <w:t xml:space="preserve"> high </w:t>
      </w:r>
      <w:r w:rsidR="0069720A" w:rsidRPr="00FE50A6">
        <w:rPr>
          <w:rFonts w:eastAsia="Cambria" w:cs="Times New Roman"/>
          <w:szCs w:val="20"/>
          <w:lang w:val="en-US"/>
        </w:rPr>
        <w:t xml:space="preserve">maternal </w:t>
      </w:r>
      <w:r w:rsidR="00461A37" w:rsidRPr="00FE50A6">
        <w:rPr>
          <w:rFonts w:eastAsia="Cambria" w:cs="Times New Roman"/>
          <w:szCs w:val="20"/>
          <w:lang w:val="en-US"/>
        </w:rPr>
        <w:t xml:space="preserve">mortality and morbidity. Accordingly, States should establish adequate health policies that allowed them to provide assistance </w:t>
      </w:r>
      <w:r w:rsidR="0069720A" w:rsidRPr="00FE50A6">
        <w:rPr>
          <w:rFonts w:eastAsia="Cambria" w:cs="Times New Roman"/>
          <w:szCs w:val="20"/>
          <w:lang w:val="en-US"/>
        </w:rPr>
        <w:t>using</w:t>
      </w:r>
      <w:r w:rsidR="00461A37" w:rsidRPr="00FE50A6">
        <w:rPr>
          <w:rFonts w:eastAsia="Cambria" w:cs="Times New Roman"/>
          <w:szCs w:val="20"/>
          <w:lang w:val="en-US"/>
        </w:rPr>
        <w:t xml:space="preserve"> personnel who had received proper training </w:t>
      </w:r>
      <w:r w:rsidR="00BE5224" w:rsidRPr="00FE50A6">
        <w:rPr>
          <w:rFonts w:eastAsia="Cambria" w:cs="Times New Roman"/>
          <w:szCs w:val="20"/>
          <w:lang w:val="en-US"/>
        </w:rPr>
        <w:t xml:space="preserve">in attending births; policies to prevent maternal mortality through appropriate prenatal and post-partum controls, and legal and administrative instruments </w:t>
      </w:r>
      <w:r w:rsidR="0069720A" w:rsidRPr="00FE50A6">
        <w:rPr>
          <w:rFonts w:eastAsia="Cambria" w:cs="Times New Roman"/>
          <w:szCs w:val="20"/>
          <w:lang w:val="en-US"/>
        </w:rPr>
        <w:t>relating to</w:t>
      </w:r>
      <w:r w:rsidR="00BE5224" w:rsidRPr="00FE50A6">
        <w:rPr>
          <w:rFonts w:eastAsia="Cambria" w:cs="Times New Roman"/>
          <w:szCs w:val="20"/>
          <w:lang w:val="en-US"/>
        </w:rPr>
        <w:t xml:space="preserve"> health policies that allowed cases of maternal mortality to be properly documented. Th</w:t>
      </w:r>
      <w:r w:rsidR="007E02D6" w:rsidRPr="00FE50A6">
        <w:rPr>
          <w:rFonts w:eastAsia="Cambria" w:cs="Times New Roman"/>
          <w:szCs w:val="20"/>
          <w:lang w:val="en-US"/>
        </w:rPr>
        <w:t xml:space="preserve">is </w:t>
      </w:r>
      <w:r w:rsidR="00BE5224" w:rsidRPr="00FE50A6">
        <w:rPr>
          <w:rFonts w:eastAsia="Cambria" w:cs="Times New Roman"/>
          <w:szCs w:val="20"/>
          <w:lang w:val="en-US"/>
        </w:rPr>
        <w:t>was necessary because pregnant women required special measures of protection.</w:t>
      </w:r>
      <w:r w:rsidR="00130785" w:rsidRPr="00FE50A6">
        <w:rPr>
          <w:rFonts w:eastAsia="Cambria" w:cs="Times New Roman"/>
          <w:szCs w:val="20"/>
          <w:vertAlign w:val="superscript"/>
          <w:lang w:val="en-US"/>
        </w:rPr>
        <w:footnoteReference w:id="584"/>
      </w:r>
      <w:r w:rsidR="00130785" w:rsidRPr="00FE50A6">
        <w:rPr>
          <w:rFonts w:eastAsia="Cambria" w:cs="Times New Roman"/>
          <w:szCs w:val="20"/>
          <w:lang w:val="en-US"/>
        </w:rPr>
        <w:t xml:space="preserve"> </w:t>
      </w:r>
    </w:p>
    <w:p w14:paraId="7F8101E1" w14:textId="77777777" w:rsidR="00130785" w:rsidRPr="00FE50A6" w:rsidRDefault="00130785" w:rsidP="00130785">
      <w:pPr>
        <w:tabs>
          <w:tab w:val="clear" w:pos="4419"/>
          <w:tab w:val="clear" w:pos="8838"/>
        </w:tabs>
        <w:rPr>
          <w:rFonts w:eastAsia="MS Mincho" w:cs="Times New Roman"/>
          <w:szCs w:val="20"/>
          <w:lang w:val="en-US" w:eastAsia="es-ES"/>
        </w:rPr>
      </w:pPr>
    </w:p>
    <w:p w14:paraId="13321013" w14:textId="77777777" w:rsidR="00130785" w:rsidRPr="00FE50A6" w:rsidRDefault="006C3699" w:rsidP="0069720A">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Rosendo Cantú</w:t>
      </w:r>
      <w:r w:rsidR="00030C17" w:rsidRPr="00FE50A6">
        <w:rPr>
          <w:rFonts w:eastAsia="Cambria" w:cs="Times New Roman"/>
          <w:i/>
          <w:szCs w:val="20"/>
          <w:lang w:val="en-US"/>
        </w:rPr>
        <w:t xml:space="preserve"> </w:t>
      </w:r>
      <w:r w:rsidR="00BE5224" w:rsidRPr="00FE50A6">
        <w:rPr>
          <w:rFonts w:eastAsia="Cambria" w:cs="Times New Roman"/>
          <w:i/>
          <w:szCs w:val="20"/>
          <w:lang w:val="en-US"/>
        </w:rPr>
        <w:t>et al.</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M</w:t>
      </w:r>
      <w:r w:rsidR="0069720A" w:rsidRPr="00FE50A6">
        <w:rPr>
          <w:rFonts w:eastAsia="Cambria" w:cs="Times New Roman"/>
          <w:i/>
          <w:szCs w:val="20"/>
          <w:lang w:val="en-US"/>
        </w:rPr>
        <w:t>e</w:t>
      </w:r>
      <w:r w:rsidR="00130785" w:rsidRPr="00FE50A6">
        <w:rPr>
          <w:rFonts w:eastAsia="Cambria" w:cs="Times New Roman"/>
          <w:i/>
          <w:szCs w:val="20"/>
          <w:lang w:val="en-US"/>
        </w:rPr>
        <w:t xml:space="preserve">xico </w:t>
      </w:r>
      <w:r w:rsidR="00130785" w:rsidRPr="00FE50A6">
        <w:rPr>
          <w:rFonts w:eastAsia="Cambria" w:cs="Times New Roman"/>
          <w:szCs w:val="20"/>
          <w:lang w:val="en-US"/>
        </w:rPr>
        <w:t xml:space="preserve">(2010), </w:t>
      </w:r>
      <w:r w:rsidR="00CD3CCC" w:rsidRPr="00FE50A6">
        <w:rPr>
          <w:rFonts w:eastAsia="Cambria" w:cs="Times New Roman"/>
          <w:szCs w:val="20"/>
          <w:lang w:val="en-US"/>
        </w:rPr>
        <w:t>the Inter-American Court</w:t>
      </w:r>
      <w:r w:rsidR="00BE5224" w:rsidRPr="00FE50A6">
        <w:rPr>
          <w:rFonts w:eastAsia="Cambria" w:cs="Times New Roman"/>
          <w:szCs w:val="20"/>
          <w:lang w:val="en-US"/>
        </w:rPr>
        <w:t xml:space="preserve"> </w:t>
      </w:r>
      <w:r w:rsidR="00984A55" w:rsidRPr="00FE50A6">
        <w:rPr>
          <w:rFonts w:eastAsia="Cambria" w:cs="Times New Roman"/>
          <w:szCs w:val="20"/>
          <w:lang w:val="en-US"/>
        </w:rPr>
        <w:t>indicated</w:t>
      </w:r>
      <w:r w:rsidR="00BE5224" w:rsidRPr="00FE50A6">
        <w:rPr>
          <w:rFonts w:eastAsia="Cambria" w:cs="Times New Roman"/>
          <w:szCs w:val="20"/>
          <w:lang w:val="en-US"/>
        </w:rPr>
        <w:t xml:space="preserve"> </w:t>
      </w:r>
      <w:r w:rsidR="0069720A" w:rsidRPr="00FE50A6">
        <w:rPr>
          <w:rFonts w:eastAsia="Cambria" w:cs="Times New Roman"/>
          <w:szCs w:val="20"/>
          <w:lang w:val="en-US"/>
        </w:rPr>
        <w:t>“</w:t>
      </w:r>
      <w:r w:rsidR="00BE5224" w:rsidRPr="00FE50A6">
        <w:rPr>
          <w:rFonts w:eastAsia="Cambria" w:cs="Times New Roman"/>
          <w:szCs w:val="20"/>
          <w:lang w:val="en-US"/>
        </w:rPr>
        <w:t>that</w:t>
      </w:r>
      <w:r w:rsidR="00130785" w:rsidRPr="00FE50A6">
        <w:rPr>
          <w:rFonts w:eastAsia="Cambria" w:cs="Times New Roman"/>
          <w:szCs w:val="20"/>
          <w:lang w:val="en-US"/>
        </w:rPr>
        <w:t xml:space="preserve">, </w:t>
      </w:r>
      <w:r w:rsidR="0069720A" w:rsidRPr="00FE50A6">
        <w:rPr>
          <w:rFonts w:eastAsia="Cambria" w:cs="Times New Roman"/>
          <w:szCs w:val="20"/>
          <w:lang w:val="en-US"/>
        </w:rPr>
        <w:t>according</w:t>
      </w:r>
      <w:r w:rsidR="00BE5224" w:rsidRPr="00FE50A6">
        <w:rPr>
          <w:rFonts w:eastAsia="Cambria" w:cs="Times New Roman"/>
          <w:szCs w:val="20"/>
          <w:lang w:val="en-US"/>
        </w:rPr>
        <w:t xml:space="preserve"> to</w:t>
      </w:r>
      <w:r w:rsidR="00130785" w:rsidRPr="00FE50A6">
        <w:rPr>
          <w:rFonts w:eastAsia="Cambria" w:cs="Times New Roman"/>
          <w:szCs w:val="20"/>
          <w:lang w:val="en-US"/>
        </w:rPr>
        <w:t xml:space="preserve"> </w:t>
      </w:r>
      <w:r w:rsidR="000228D0" w:rsidRPr="00FE50A6">
        <w:rPr>
          <w:rFonts w:eastAsia="Cambria" w:cs="Times New Roman"/>
          <w:szCs w:val="20"/>
          <w:lang w:val="en-US"/>
        </w:rPr>
        <w:t>Article</w:t>
      </w:r>
      <w:r w:rsidR="00130785" w:rsidRPr="00FE50A6">
        <w:rPr>
          <w:rFonts w:eastAsia="Cambria" w:cs="Times New Roman"/>
          <w:szCs w:val="20"/>
          <w:lang w:val="en-US"/>
        </w:rPr>
        <w:t xml:space="preserve"> 19</w:t>
      </w:r>
      <w:r w:rsidR="000228D0" w:rsidRPr="00FE50A6">
        <w:rPr>
          <w:rFonts w:eastAsia="Cambria" w:cs="Times New Roman"/>
          <w:szCs w:val="20"/>
          <w:lang w:val="en-US"/>
        </w:rPr>
        <w:t xml:space="preserve"> of the American Convention</w:t>
      </w:r>
      <w:r w:rsidR="00130785" w:rsidRPr="00FE50A6">
        <w:rPr>
          <w:rFonts w:eastAsia="Cambria" w:cs="Times New Roman"/>
          <w:szCs w:val="20"/>
          <w:lang w:val="en-US"/>
        </w:rPr>
        <w:t xml:space="preserve">, </w:t>
      </w:r>
      <w:r w:rsidR="0069720A" w:rsidRPr="00FE50A6">
        <w:rPr>
          <w:rFonts w:eastAsia="Cambria" w:cs="Times New Roman"/>
          <w:szCs w:val="20"/>
          <w:lang w:val="en-US"/>
        </w:rPr>
        <w:t xml:space="preserve">the </w:t>
      </w:r>
      <w:r w:rsidR="00BE5224" w:rsidRPr="00FE50A6">
        <w:rPr>
          <w:rFonts w:eastAsia="Cambria" w:cs="Times New Roman"/>
          <w:szCs w:val="20"/>
          <w:lang w:val="en-US"/>
        </w:rPr>
        <w:t>State</w:t>
      </w:r>
      <w:r w:rsidR="0069720A" w:rsidRPr="00FE50A6">
        <w:rPr>
          <w:rFonts w:eastAsia="Cambria" w:cs="Times New Roman"/>
          <w:szCs w:val="20"/>
          <w:lang w:val="en-US"/>
        </w:rPr>
        <w:t xml:space="preserve"> must</w:t>
      </w:r>
      <w:r w:rsidR="00BE5224" w:rsidRPr="00FE50A6">
        <w:rPr>
          <w:rFonts w:eastAsia="Cambria" w:cs="Times New Roman"/>
          <w:szCs w:val="20"/>
          <w:lang w:val="en-US"/>
        </w:rPr>
        <w:t xml:space="preserve"> </w:t>
      </w:r>
      <w:r w:rsidR="0069720A" w:rsidRPr="00FE50A6">
        <w:rPr>
          <w:rFonts w:eastAsia="Cambria" w:cs="Times New Roman"/>
          <w:szCs w:val="20"/>
          <w:lang w:val="en-US"/>
        </w:rPr>
        <w:t>assume a</w:t>
      </w:r>
      <w:r w:rsidR="00BE5224" w:rsidRPr="00FE50A6">
        <w:rPr>
          <w:rFonts w:eastAsia="Cambria" w:cs="Times New Roman"/>
          <w:szCs w:val="20"/>
          <w:lang w:val="en-US"/>
        </w:rPr>
        <w:t xml:space="preserve"> special position </w:t>
      </w:r>
      <w:r w:rsidR="0069720A" w:rsidRPr="00FE50A6">
        <w:rPr>
          <w:rFonts w:eastAsia="Cambria" w:cs="Times New Roman"/>
          <w:szCs w:val="20"/>
          <w:lang w:val="en-US"/>
        </w:rPr>
        <w:t>as</w:t>
      </w:r>
      <w:r w:rsidR="00BE5224" w:rsidRPr="00FE50A6">
        <w:rPr>
          <w:rFonts w:eastAsia="Cambria" w:cs="Times New Roman"/>
          <w:szCs w:val="20"/>
          <w:lang w:val="en-US"/>
        </w:rPr>
        <w:t xml:space="preserve"> guarantor with greater care and responsibility, and </w:t>
      </w:r>
      <w:r w:rsidR="0069720A" w:rsidRPr="00FE50A6">
        <w:rPr>
          <w:rFonts w:eastAsia="Cambria" w:cs="Times New Roman"/>
          <w:szCs w:val="20"/>
          <w:lang w:val="en-US"/>
        </w:rPr>
        <w:t>must</w:t>
      </w:r>
      <w:r w:rsidR="00BE5224" w:rsidRPr="00FE50A6">
        <w:rPr>
          <w:rFonts w:eastAsia="Cambria" w:cs="Times New Roman"/>
          <w:szCs w:val="20"/>
          <w:lang w:val="en-US"/>
        </w:rPr>
        <w:t xml:space="preserve"> take special measures </w:t>
      </w:r>
      <w:r w:rsidR="0002556D" w:rsidRPr="00FE50A6">
        <w:rPr>
          <w:rFonts w:eastAsia="Cambria" w:cs="Times New Roman"/>
          <w:szCs w:val="20"/>
          <w:lang w:val="en-US"/>
        </w:rPr>
        <w:t xml:space="preserve">or steps aimed at </w:t>
      </w:r>
      <w:r w:rsidR="00BE5224" w:rsidRPr="00FE50A6">
        <w:rPr>
          <w:rFonts w:eastAsia="Cambria" w:cs="Times New Roman"/>
          <w:szCs w:val="20"/>
          <w:lang w:val="en-US"/>
        </w:rPr>
        <w:t>guarantee</w:t>
      </w:r>
      <w:r w:rsidR="0002556D" w:rsidRPr="00FE50A6">
        <w:rPr>
          <w:rFonts w:eastAsia="Cambria" w:cs="Times New Roman"/>
          <w:szCs w:val="20"/>
          <w:lang w:val="en-US"/>
        </w:rPr>
        <w:t>ing</w:t>
      </w:r>
      <w:r w:rsidR="00BE5224" w:rsidRPr="00FE50A6">
        <w:rPr>
          <w:rFonts w:eastAsia="Cambria" w:cs="Times New Roman"/>
          <w:szCs w:val="20"/>
          <w:lang w:val="en-US"/>
        </w:rPr>
        <w:t xml:space="preserve"> the principle of the</w:t>
      </w:r>
      <w:r w:rsidR="0002556D" w:rsidRPr="00FE50A6">
        <w:rPr>
          <w:rFonts w:eastAsia="Cambria" w:cs="Times New Roman"/>
          <w:szCs w:val="20"/>
          <w:lang w:val="en-US"/>
        </w:rPr>
        <w:t xml:space="preserve"> child’s</w:t>
      </w:r>
      <w:r w:rsidR="00BE5224" w:rsidRPr="00FE50A6">
        <w:rPr>
          <w:rFonts w:eastAsia="Cambria" w:cs="Times New Roman"/>
          <w:szCs w:val="20"/>
          <w:lang w:val="en-US"/>
        </w:rPr>
        <w:t xml:space="preserve"> best interest. </w:t>
      </w:r>
      <w:r w:rsidR="0002556D" w:rsidRPr="00FE50A6">
        <w:rPr>
          <w:rFonts w:eastAsia="Cambria" w:cs="Times New Roman"/>
          <w:szCs w:val="20"/>
          <w:lang w:val="en-US"/>
        </w:rPr>
        <w:t>In this regard</w:t>
      </w:r>
      <w:r w:rsidR="00BE5224" w:rsidRPr="00FE50A6">
        <w:rPr>
          <w:rFonts w:eastAsia="Cambria" w:cs="Times New Roman"/>
          <w:szCs w:val="20"/>
          <w:lang w:val="en-US"/>
        </w:rPr>
        <w:t>, State</w:t>
      </w:r>
      <w:r w:rsidR="0069720A" w:rsidRPr="00FE50A6">
        <w:rPr>
          <w:rFonts w:eastAsia="Cambria" w:cs="Times New Roman"/>
          <w:szCs w:val="20"/>
          <w:lang w:val="en-US"/>
        </w:rPr>
        <w:t>s</w:t>
      </w:r>
      <w:r w:rsidR="00BE5224" w:rsidRPr="00FE50A6">
        <w:rPr>
          <w:rFonts w:eastAsia="Cambria" w:cs="Times New Roman"/>
          <w:szCs w:val="20"/>
          <w:lang w:val="en-US"/>
        </w:rPr>
        <w:t xml:space="preserve"> </w:t>
      </w:r>
      <w:r w:rsidR="0002556D" w:rsidRPr="00FE50A6">
        <w:rPr>
          <w:rFonts w:eastAsia="Cambria" w:cs="Times New Roman"/>
          <w:szCs w:val="20"/>
          <w:lang w:val="en-US"/>
        </w:rPr>
        <w:t>must</w:t>
      </w:r>
      <w:r w:rsidR="00BE5224" w:rsidRPr="00FE50A6">
        <w:rPr>
          <w:rFonts w:eastAsia="Cambria" w:cs="Times New Roman"/>
          <w:szCs w:val="20"/>
          <w:lang w:val="en-US"/>
        </w:rPr>
        <w:t xml:space="preserve"> pay special attention to the needs and the rights of children in a special </w:t>
      </w:r>
      <w:r w:rsidR="0069720A" w:rsidRPr="00FE50A6">
        <w:rPr>
          <w:rFonts w:eastAsia="Cambria" w:cs="Times New Roman"/>
          <w:szCs w:val="20"/>
          <w:lang w:val="en-US"/>
        </w:rPr>
        <w:t>situation of</w:t>
      </w:r>
      <w:r w:rsidR="00BE5224" w:rsidRPr="00FE50A6">
        <w:rPr>
          <w:rFonts w:eastAsia="Cambria" w:cs="Times New Roman"/>
          <w:szCs w:val="20"/>
          <w:lang w:val="en-US"/>
        </w:rPr>
        <w:t xml:space="preserve"> vulnerability.</w:t>
      </w:r>
      <w:r w:rsidR="0002556D" w:rsidRPr="00FE50A6">
        <w:rPr>
          <w:rFonts w:eastAsia="Cambria" w:cs="Times New Roman"/>
          <w:szCs w:val="20"/>
          <w:lang w:val="en-US"/>
        </w:rPr>
        <w:t>”</w:t>
      </w:r>
      <w:r w:rsidR="00BE5224" w:rsidRPr="00FE50A6">
        <w:rPr>
          <w:rFonts w:eastAsia="Cambria" w:cs="Times New Roman"/>
          <w:szCs w:val="20"/>
          <w:lang w:val="en-US"/>
        </w:rPr>
        <w:t xml:space="preserve"> In th</w:t>
      </w:r>
      <w:r w:rsidR="0069720A" w:rsidRPr="00FE50A6">
        <w:rPr>
          <w:rFonts w:eastAsia="Cambria" w:cs="Times New Roman"/>
          <w:szCs w:val="20"/>
          <w:lang w:val="en-US"/>
        </w:rPr>
        <w:t>at</w:t>
      </w:r>
      <w:r w:rsidR="00BE5224" w:rsidRPr="00FE50A6">
        <w:rPr>
          <w:rFonts w:eastAsia="Cambria" w:cs="Times New Roman"/>
          <w:szCs w:val="20"/>
          <w:lang w:val="en-US"/>
        </w:rPr>
        <w:t xml:space="preserve"> case, it considered that, based on its</w:t>
      </w:r>
      <w:r w:rsidR="0002556D" w:rsidRPr="00FE50A6">
        <w:rPr>
          <w:rFonts w:eastAsia="Cambria" w:cs="Times New Roman"/>
          <w:szCs w:val="20"/>
          <w:lang w:val="en-US"/>
        </w:rPr>
        <w:t xml:space="preserve"> treaty-based</w:t>
      </w:r>
      <w:r w:rsidR="00BE5224" w:rsidRPr="00FE50A6">
        <w:rPr>
          <w:rFonts w:eastAsia="Cambria" w:cs="Times New Roman"/>
          <w:szCs w:val="20"/>
          <w:lang w:val="en-US"/>
        </w:rPr>
        <w:t xml:space="preserve"> obligations, the State should have adopted special measures in favor of Ms. Rosendo Cantú, not only </w:t>
      </w:r>
      <w:r w:rsidR="0002556D" w:rsidRPr="00FE50A6">
        <w:rPr>
          <w:rFonts w:eastAsia="Cambria" w:cs="Times New Roman"/>
          <w:szCs w:val="20"/>
          <w:lang w:val="en-US"/>
        </w:rPr>
        <w:t>when she filed the</w:t>
      </w:r>
      <w:r w:rsidR="00BE5224" w:rsidRPr="00FE50A6">
        <w:rPr>
          <w:rFonts w:eastAsia="Cambria" w:cs="Times New Roman"/>
          <w:szCs w:val="20"/>
          <w:lang w:val="en-US"/>
        </w:rPr>
        <w:t xml:space="preserve"> criminal complaint, but also </w:t>
      </w:r>
      <w:r w:rsidR="0002556D" w:rsidRPr="00FE50A6">
        <w:rPr>
          <w:rFonts w:eastAsia="Cambria" w:cs="Times New Roman"/>
          <w:szCs w:val="20"/>
          <w:lang w:val="en-US"/>
        </w:rPr>
        <w:t>during</w:t>
      </w:r>
      <w:r w:rsidR="00BE5224" w:rsidRPr="00FE50A6">
        <w:rPr>
          <w:rFonts w:eastAsia="Cambria" w:cs="Times New Roman"/>
          <w:szCs w:val="20"/>
          <w:lang w:val="en-US"/>
        </w:rPr>
        <w:t xml:space="preserve"> the time </w:t>
      </w:r>
      <w:r w:rsidR="0002556D" w:rsidRPr="00FE50A6">
        <w:rPr>
          <w:rFonts w:eastAsia="Cambria" w:cs="Times New Roman"/>
          <w:szCs w:val="20"/>
          <w:lang w:val="en-US"/>
        </w:rPr>
        <w:t>when</w:t>
      </w:r>
      <w:r w:rsidR="00BE5224" w:rsidRPr="00FE50A6">
        <w:rPr>
          <w:rFonts w:eastAsia="Cambria" w:cs="Times New Roman"/>
          <w:szCs w:val="20"/>
          <w:lang w:val="en-US"/>
        </w:rPr>
        <w:t xml:space="preserve">, </w:t>
      </w:r>
      <w:r w:rsidR="0002556D" w:rsidRPr="00FE50A6">
        <w:rPr>
          <w:rFonts w:eastAsia="Cambria" w:cs="Times New Roman"/>
          <w:szCs w:val="20"/>
          <w:lang w:val="en-US"/>
        </w:rPr>
        <w:t>as</w:t>
      </w:r>
      <w:r w:rsidR="00BE5224" w:rsidRPr="00FE50A6">
        <w:rPr>
          <w:rFonts w:eastAsia="Cambria" w:cs="Times New Roman"/>
          <w:szCs w:val="20"/>
          <w:lang w:val="en-US"/>
        </w:rPr>
        <w:t xml:space="preserve"> a minor, she was involved in the prosecution’s investigation into the </w:t>
      </w:r>
      <w:r w:rsidR="0002556D" w:rsidRPr="00FE50A6">
        <w:rPr>
          <w:rFonts w:eastAsia="Cambria" w:cs="Times New Roman"/>
          <w:szCs w:val="20"/>
          <w:lang w:val="en-US"/>
        </w:rPr>
        <w:t>offense</w:t>
      </w:r>
      <w:r w:rsidR="00BE5224" w:rsidRPr="00FE50A6">
        <w:rPr>
          <w:rFonts w:eastAsia="Cambria" w:cs="Times New Roman"/>
          <w:szCs w:val="20"/>
          <w:lang w:val="en-US"/>
        </w:rPr>
        <w:t xml:space="preserve"> she had reported, especially as she was an indigenous </w:t>
      </w:r>
      <w:r w:rsidR="0069720A" w:rsidRPr="00FE50A6">
        <w:rPr>
          <w:rFonts w:eastAsia="Cambria" w:cs="Times New Roman"/>
          <w:szCs w:val="20"/>
          <w:lang w:val="en-US"/>
        </w:rPr>
        <w:t>person</w:t>
      </w:r>
      <w:r w:rsidR="00BE5224" w:rsidRPr="00FE50A6">
        <w:rPr>
          <w:rFonts w:eastAsia="Cambria" w:cs="Times New Roman"/>
          <w:szCs w:val="20"/>
          <w:lang w:val="en-US"/>
        </w:rPr>
        <w:t xml:space="preserve">, because indigenous children whose communities are affected by poverty are in a situation of </w:t>
      </w:r>
      <w:r w:rsidR="0002556D" w:rsidRPr="00FE50A6">
        <w:rPr>
          <w:rFonts w:eastAsia="Cambria" w:cs="Times New Roman"/>
          <w:szCs w:val="20"/>
          <w:lang w:val="en-US"/>
        </w:rPr>
        <w:t xml:space="preserve">special </w:t>
      </w:r>
      <w:r w:rsidR="00BE5224" w:rsidRPr="00FE50A6">
        <w:rPr>
          <w:rFonts w:eastAsia="Cambria" w:cs="Times New Roman"/>
          <w:szCs w:val="20"/>
          <w:lang w:val="en-US"/>
        </w:rPr>
        <w:t>vulnerability.</w:t>
      </w:r>
      <w:r w:rsidR="00130785" w:rsidRPr="00FE50A6">
        <w:rPr>
          <w:rFonts w:eastAsia="Cambria" w:cs="Times New Roman"/>
          <w:szCs w:val="20"/>
          <w:vertAlign w:val="superscript"/>
          <w:lang w:val="en-US"/>
        </w:rPr>
        <w:footnoteReference w:id="585"/>
      </w:r>
      <w:r w:rsidR="00130785" w:rsidRPr="00FE50A6">
        <w:rPr>
          <w:rFonts w:eastAsia="Cambria" w:cs="Times New Roman"/>
          <w:szCs w:val="20"/>
          <w:lang w:val="en-US"/>
        </w:rPr>
        <w:t xml:space="preserve">  </w:t>
      </w:r>
    </w:p>
    <w:p w14:paraId="029F5BC8" w14:textId="77777777" w:rsidR="00130785" w:rsidRPr="00FE50A6" w:rsidRDefault="00130785" w:rsidP="00130785">
      <w:pPr>
        <w:tabs>
          <w:tab w:val="clear" w:pos="4419"/>
          <w:tab w:val="clear" w:pos="8838"/>
        </w:tabs>
        <w:rPr>
          <w:rFonts w:eastAsia="MS Mincho" w:cs="Times New Roman"/>
          <w:szCs w:val="20"/>
          <w:lang w:val="en-US" w:eastAsia="es-ES"/>
        </w:rPr>
      </w:pPr>
    </w:p>
    <w:p w14:paraId="3690C7F2" w14:textId="77777777" w:rsidR="00130785" w:rsidRPr="00FE50A6" w:rsidRDefault="006C3699" w:rsidP="00481AA0">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In the case of</w:t>
      </w:r>
      <w:r w:rsidR="00130785" w:rsidRPr="00FE50A6">
        <w:rPr>
          <w:rFonts w:eastAsia="Cambria" w:cs="Times New Roman"/>
          <w:i/>
          <w:szCs w:val="20"/>
          <w:lang w:val="en-US"/>
        </w:rPr>
        <w:t xml:space="preserve"> Furlan</w:t>
      </w:r>
      <w:r w:rsidR="00030C17" w:rsidRPr="00FE50A6">
        <w:rPr>
          <w:rFonts w:eastAsia="Cambria" w:cs="Times New Roman"/>
          <w:i/>
          <w:szCs w:val="20"/>
          <w:lang w:val="en-US"/>
        </w:rPr>
        <w:t xml:space="preserve"> </w:t>
      </w:r>
      <w:r w:rsidR="00BE5224" w:rsidRPr="00FE50A6">
        <w:rPr>
          <w:rFonts w:eastAsia="Cambria" w:cs="Times New Roman"/>
          <w:i/>
          <w:szCs w:val="20"/>
          <w:lang w:val="en-US"/>
        </w:rPr>
        <w:t>and family</w:t>
      </w:r>
      <w:r w:rsidR="00B44229" w:rsidRPr="00FE50A6">
        <w:rPr>
          <w:rFonts w:eastAsia="Cambria" w:cs="Times New Roman"/>
          <w:i/>
          <w:szCs w:val="20"/>
          <w:lang w:val="en-US"/>
        </w:rPr>
        <w:t xml:space="preserve"> v.</w:t>
      </w:r>
      <w:r w:rsidR="00130785" w:rsidRPr="00FE50A6">
        <w:rPr>
          <w:rFonts w:eastAsia="Cambria" w:cs="Times New Roman"/>
          <w:i/>
          <w:szCs w:val="20"/>
          <w:lang w:val="en-US"/>
        </w:rPr>
        <w:t xml:space="preserve"> Argentina </w:t>
      </w:r>
      <w:r w:rsidR="00130785" w:rsidRPr="00FE50A6">
        <w:rPr>
          <w:rFonts w:eastAsia="Cambria" w:cs="Times New Roman"/>
          <w:szCs w:val="20"/>
          <w:lang w:val="en-US"/>
        </w:rPr>
        <w:t>(2012), reitera</w:t>
      </w:r>
      <w:r w:rsidR="00481AA0" w:rsidRPr="00FE50A6">
        <w:rPr>
          <w:rFonts w:eastAsia="Cambria" w:cs="Times New Roman"/>
          <w:szCs w:val="20"/>
          <w:lang w:val="en-US"/>
        </w:rPr>
        <w:t>ting the relationship between poverty and disability,</w:t>
      </w:r>
      <w:r w:rsidR="00130785" w:rsidRPr="00FE50A6">
        <w:rPr>
          <w:rFonts w:eastAsia="Cambria" w:cs="Times New Roman"/>
          <w:szCs w:val="20"/>
          <w:vertAlign w:val="superscript"/>
          <w:lang w:val="en-US"/>
        </w:rPr>
        <w:footnoteReference w:id="586"/>
      </w:r>
      <w:r w:rsidR="00130785" w:rsidRPr="00FE50A6">
        <w:rPr>
          <w:rFonts w:eastAsia="Cambria" w:cs="Times New Roman"/>
          <w:szCs w:val="20"/>
          <w:lang w:val="en-US"/>
        </w:rPr>
        <w:t xml:space="preserve"> </w:t>
      </w:r>
      <w:r w:rsidR="00CD3CCC" w:rsidRPr="00FE50A6">
        <w:rPr>
          <w:rFonts w:eastAsia="Cambria" w:cs="Times New Roman"/>
          <w:szCs w:val="20"/>
          <w:lang w:val="en-US"/>
        </w:rPr>
        <w:t>the Inter-American Court</w:t>
      </w:r>
      <w:r w:rsidR="00481AA0" w:rsidRPr="00FE50A6">
        <w:rPr>
          <w:rFonts w:eastAsia="Cambria" w:cs="Times New Roman"/>
          <w:szCs w:val="20"/>
          <w:lang w:val="en-US"/>
        </w:rPr>
        <w:t xml:space="preserve"> </w:t>
      </w:r>
      <w:r w:rsidR="00130785" w:rsidRPr="00FE50A6">
        <w:rPr>
          <w:rFonts w:eastAsia="Cambria" w:cs="Times New Roman"/>
          <w:szCs w:val="20"/>
          <w:lang w:val="en-US"/>
        </w:rPr>
        <w:t>observ</w:t>
      </w:r>
      <w:r w:rsidR="00481AA0" w:rsidRPr="00FE50A6">
        <w:rPr>
          <w:rFonts w:eastAsia="Cambria" w:cs="Times New Roman"/>
          <w:szCs w:val="20"/>
          <w:lang w:val="en-US"/>
        </w:rPr>
        <w:t>ed that “</w:t>
      </w:r>
      <w:r w:rsidR="0002556D" w:rsidRPr="00FE50A6">
        <w:rPr>
          <w:rFonts w:cs="Arial"/>
          <w:szCs w:val="20"/>
          <w:lang w:val="en-US"/>
        </w:rPr>
        <w:t xml:space="preserve">the judge of the civil proceeding failed to notify </w:t>
      </w:r>
      <w:r w:rsidR="00481AA0" w:rsidRPr="00FE50A6">
        <w:rPr>
          <w:rFonts w:cs="Arial"/>
          <w:szCs w:val="20"/>
          <w:lang w:val="en-US"/>
        </w:rPr>
        <w:t>the Juvenile Defender while Sebastián Furl</w:t>
      </w:r>
      <w:r w:rsidR="00BB6752" w:rsidRPr="00FE50A6">
        <w:rPr>
          <w:rFonts w:cs="Arial"/>
          <w:szCs w:val="20"/>
          <w:lang w:val="en-US"/>
        </w:rPr>
        <w:t>a</w:t>
      </w:r>
      <w:r w:rsidR="00481AA0" w:rsidRPr="00FE50A6">
        <w:rPr>
          <w:rFonts w:cs="Arial"/>
          <w:szCs w:val="20"/>
          <w:lang w:val="en-US"/>
        </w:rPr>
        <w:t xml:space="preserve">n was a minor or later on, when the expert reports revealed the extent of his disability; therefore, Sebastián Furlan was not given the opportunity, which is mandatory at the domestic level, to participate in the civil proceeding, to which he could have contributed </w:t>
      </w:r>
      <w:r w:rsidR="0002556D" w:rsidRPr="00FE50A6">
        <w:rPr>
          <w:rFonts w:cs="Arial"/>
          <w:szCs w:val="20"/>
          <w:lang w:val="en-US"/>
        </w:rPr>
        <w:t>based on</w:t>
      </w:r>
      <w:r w:rsidR="00481AA0" w:rsidRPr="00FE50A6">
        <w:rPr>
          <w:rFonts w:cs="Arial"/>
          <w:szCs w:val="20"/>
          <w:lang w:val="en-US"/>
        </w:rPr>
        <w:t xml:space="preserve"> the powers granted by law</w:t>
      </w:r>
      <w:r w:rsidR="00481AA0" w:rsidRPr="00FE50A6">
        <w:rPr>
          <w:rFonts w:eastAsia="Cambria" w:cs="Times New Roman"/>
          <w:szCs w:val="20"/>
          <w:lang w:val="en-US"/>
        </w:rPr>
        <w:t xml:space="preserve">. </w:t>
      </w:r>
      <w:r w:rsidR="00481AA0" w:rsidRPr="00FE50A6">
        <w:rPr>
          <w:rFonts w:cs="Arial"/>
          <w:szCs w:val="20"/>
          <w:lang w:val="en-US"/>
        </w:rPr>
        <w:t xml:space="preserve">Bearing </w:t>
      </w:r>
      <w:r w:rsidR="0002556D" w:rsidRPr="00FE50A6">
        <w:rPr>
          <w:rFonts w:cs="Arial"/>
          <w:szCs w:val="20"/>
          <w:lang w:val="en-US"/>
        </w:rPr>
        <w:t xml:space="preserve">this </w:t>
      </w:r>
      <w:r w:rsidR="00481AA0" w:rsidRPr="00FE50A6">
        <w:rPr>
          <w:rFonts w:cs="Arial"/>
          <w:szCs w:val="20"/>
          <w:lang w:val="en-US"/>
        </w:rPr>
        <w:t xml:space="preserve">in mind, in the specific circumstances of the case, the Defender of Juveniles and Persons with Disabilities would have </w:t>
      </w:r>
      <w:r w:rsidR="0002556D" w:rsidRPr="00FE50A6">
        <w:rPr>
          <w:rFonts w:cs="Arial"/>
          <w:szCs w:val="20"/>
          <w:lang w:val="en-US"/>
        </w:rPr>
        <w:t>constituted</w:t>
      </w:r>
      <w:r w:rsidR="00481AA0" w:rsidRPr="00FE50A6">
        <w:rPr>
          <w:rFonts w:cs="Arial"/>
          <w:szCs w:val="20"/>
          <w:lang w:val="en-US"/>
        </w:rPr>
        <w:t xml:space="preserve"> a mechanism to address Sebastián Furlan’s vulnerability, given the negative effects produced by the combination of his disability and his and his family’s very limited financial resources which, as mentioned previously, meant that his impoverished circumstances had a disproportionate impact on his condition as a person with disabilities.</w:t>
      </w:r>
      <w:r w:rsidR="00130785" w:rsidRPr="00FE50A6">
        <w:rPr>
          <w:rFonts w:eastAsia="Cambria" w:cs="Times New Roman"/>
          <w:szCs w:val="20"/>
          <w:vertAlign w:val="superscript"/>
          <w:lang w:val="en-US"/>
        </w:rPr>
        <w:footnoteReference w:id="587"/>
      </w:r>
      <w:r w:rsidR="00130785" w:rsidRPr="00FE50A6">
        <w:rPr>
          <w:rFonts w:eastAsia="Cambria" w:cs="Times New Roman"/>
          <w:szCs w:val="20"/>
          <w:lang w:val="en-US"/>
        </w:rPr>
        <w:t xml:space="preserve"> </w:t>
      </w:r>
    </w:p>
    <w:p w14:paraId="6B5362E9" w14:textId="77777777" w:rsidR="00130785" w:rsidRPr="00FE50A6" w:rsidRDefault="00130785" w:rsidP="00130785">
      <w:pPr>
        <w:tabs>
          <w:tab w:val="clear" w:pos="4419"/>
          <w:tab w:val="clear" w:pos="8838"/>
        </w:tabs>
        <w:rPr>
          <w:rFonts w:eastAsia="MS Mincho" w:cs="Times New Roman"/>
          <w:i/>
          <w:szCs w:val="20"/>
          <w:lang w:val="en-US" w:eastAsia="es-ES"/>
        </w:rPr>
      </w:pPr>
    </w:p>
    <w:p w14:paraId="790666DF" w14:textId="77777777" w:rsidR="00130785" w:rsidRPr="00FE50A6" w:rsidRDefault="006C3699" w:rsidP="00E55F90">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Uzcátegui</w:t>
      </w:r>
      <w:r w:rsidR="00030C17" w:rsidRPr="00FE50A6">
        <w:rPr>
          <w:rFonts w:eastAsia="Cambria" w:cs="Times New Roman"/>
          <w:i/>
          <w:szCs w:val="20"/>
          <w:lang w:val="en-US"/>
        </w:rPr>
        <w:t xml:space="preserve"> </w:t>
      </w:r>
      <w:r w:rsidR="00B44229" w:rsidRPr="00FE50A6">
        <w:rPr>
          <w:rFonts w:eastAsia="Cambria" w:cs="Times New Roman"/>
          <w:i/>
          <w:szCs w:val="20"/>
          <w:lang w:val="en-US"/>
        </w:rPr>
        <w:t>et al. v.</w:t>
      </w:r>
      <w:r w:rsidR="00130785" w:rsidRPr="00FE50A6">
        <w:rPr>
          <w:rFonts w:eastAsia="Cambria" w:cs="Times New Roman"/>
          <w:i/>
          <w:szCs w:val="20"/>
          <w:lang w:val="en-US"/>
        </w:rPr>
        <w:t xml:space="preserve"> Venezuela </w:t>
      </w:r>
      <w:r w:rsidR="00130785" w:rsidRPr="00FE50A6">
        <w:rPr>
          <w:rFonts w:eastAsia="Cambria" w:cs="Times New Roman"/>
          <w:szCs w:val="20"/>
          <w:lang w:val="en-US"/>
        </w:rPr>
        <w:t>(2012), re</w:t>
      </w:r>
      <w:r w:rsidR="00E55F90" w:rsidRPr="00FE50A6">
        <w:rPr>
          <w:rFonts w:eastAsia="Cambria" w:cs="Times New Roman"/>
          <w:szCs w:val="20"/>
          <w:lang w:val="en-US"/>
        </w:rPr>
        <w:t xml:space="preserve">garding the right to property, </w:t>
      </w:r>
      <w:r w:rsidR="00CD3CCC" w:rsidRPr="00FE50A6">
        <w:rPr>
          <w:rFonts w:eastAsia="Cambria" w:cs="Times New Roman"/>
          <w:szCs w:val="20"/>
          <w:lang w:val="en-US"/>
        </w:rPr>
        <w:t>the Inter-American Court</w:t>
      </w:r>
      <w:r w:rsidR="00E55F90" w:rsidRPr="00FE50A6">
        <w:rPr>
          <w:rFonts w:eastAsia="Cambria" w:cs="Times New Roman"/>
          <w:szCs w:val="20"/>
          <w:lang w:val="en-US"/>
        </w:rPr>
        <w:t xml:space="preserve"> </w:t>
      </w:r>
      <w:r w:rsidR="00130785" w:rsidRPr="00FE50A6">
        <w:rPr>
          <w:rFonts w:eastAsia="Cambria" w:cs="Times New Roman"/>
          <w:szCs w:val="20"/>
          <w:lang w:val="en-US"/>
        </w:rPr>
        <w:t>consider</w:t>
      </w:r>
      <w:r w:rsidR="00E55F90" w:rsidRPr="00FE50A6">
        <w:rPr>
          <w:rFonts w:eastAsia="Cambria" w:cs="Times New Roman"/>
          <w:szCs w:val="20"/>
          <w:lang w:val="en-US"/>
        </w:rPr>
        <w:t xml:space="preserve">ed that, </w:t>
      </w:r>
      <w:r w:rsidR="00E55F90" w:rsidRPr="00FE50A6">
        <w:rPr>
          <w:rFonts w:cs="Arial"/>
          <w:szCs w:val="20"/>
          <w:lang w:val="en-US"/>
        </w:rPr>
        <w:t>given the circumstances in which the action took place and, in particular, the socio-economic status and vulnerability of the Uzcátegui family, the damage to their property during the raid had a far greater impact than it would have had for other families. In this regard, the Court considered that States must take into account that groups of people living in adverse circumstances and with few resources, such as those living in poverty, experience an increase in the extent to which their rights are affected, precisely because of their more vulnerable situation</w:t>
      </w:r>
      <w:r w:rsidR="00E55F90" w:rsidRPr="00FE50A6">
        <w:rPr>
          <w:rFonts w:eastAsia="Cambria" w:cs="Times New Roman"/>
          <w:i/>
          <w:szCs w:val="20"/>
          <w:lang w:val="en-US"/>
        </w:rPr>
        <w:t>.</w:t>
      </w:r>
      <w:r w:rsidR="00130785" w:rsidRPr="00FE50A6">
        <w:rPr>
          <w:rFonts w:eastAsia="Cambria" w:cs="Times New Roman"/>
          <w:szCs w:val="20"/>
          <w:vertAlign w:val="superscript"/>
          <w:lang w:val="en-US"/>
        </w:rPr>
        <w:footnoteReference w:id="588"/>
      </w:r>
      <w:r w:rsidR="00130785" w:rsidRPr="00FE50A6">
        <w:rPr>
          <w:rFonts w:eastAsia="Cambria" w:cs="Times New Roman"/>
          <w:szCs w:val="20"/>
          <w:lang w:val="en-US"/>
        </w:rPr>
        <w:t xml:space="preserve"> </w:t>
      </w:r>
    </w:p>
    <w:p w14:paraId="05A57E50" w14:textId="77777777" w:rsidR="00130785" w:rsidRPr="00FE50A6" w:rsidRDefault="00130785" w:rsidP="00130785">
      <w:pPr>
        <w:tabs>
          <w:tab w:val="clear" w:pos="4419"/>
          <w:tab w:val="clear" w:pos="8838"/>
        </w:tabs>
        <w:rPr>
          <w:rFonts w:eastAsia="MS Mincho" w:cs="Times New Roman"/>
          <w:i/>
          <w:szCs w:val="20"/>
          <w:lang w:val="en-US" w:eastAsia="es-ES"/>
        </w:rPr>
      </w:pPr>
    </w:p>
    <w:p w14:paraId="38EB7BEF" w14:textId="77777777" w:rsidR="00130785" w:rsidRPr="00FE50A6" w:rsidRDefault="00E55F90" w:rsidP="00E55F90">
      <w:pPr>
        <w:numPr>
          <w:ilvl w:val="0"/>
          <w:numId w:val="26"/>
        </w:numPr>
        <w:tabs>
          <w:tab w:val="clear" w:pos="4419"/>
          <w:tab w:val="clear" w:pos="8838"/>
        </w:tabs>
        <w:contextualSpacing/>
        <w:jc w:val="both"/>
        <w:rPr>
          <w:rFonts w:eastAsia="Cambria" w:cs="Times New Roman"/>
          <w:b/>
          <w:i/>
          <w:szCs w:val="20"/>
          <w:lang w:val="en-US"/>
        </w:rPr>
      </w:pPr>
      <w:r w:rsidRPr="00FE50A6">
        <w:rPr>
          <w:rFonts w:eastAsia="Cambria" w:cs="Times New Roman"/>
          <w:szCs w:val="20"/>
          <w:lang w:val="en-US"/>
        </w:rPr>
        <w:t>In the context of the internal armed conflict and the application</w:t>
      </w:r>
      <w:r w:rsidR="002A125A" w:rsidRPr="00FE50A6">
        <w:rPr>
          <w:rFonts w:eastAsia="Cambria" w:cs="Times New Roman"/>
          <w:szCs w:val="20"/>
          <w:lang w:val="en-US"/>
        </w:rPr>
        <w:t xml:space="preserve"> of </w:t>
      </w:r>
      <w:r w:rsidR="004D0663" w:rsidRPr="00FE50A6">
        <w:rPr>
          <w:rFonts w:eastAsia="Cambria" w:cs="Times New Roman"/>
          <w:szCs w:val="20"/>
          <w:lang w:val="en-US"/>
        </w:rPr>
        <w:t>international humanitar</w:t>
      </w:r>
      <w:r w:rsidRPr="00FE50A6">
        <w:rPr>
          <w:rFonts w:eastAsia="Cambria" w:cs="Times New Roman"/>
          <w:szCs w:val="20"/>
          <w:lang w:val="en-US"/>
        </w:rPr>
        <w:t>i</w:t>
      </w:r>
      <w:r w:rsidR="004D0663" w:rsidRPr="00FE50A6">
        <w:rPr>
          <w:rFonts w:eastAsia="Cambria" w:cs="Times New Roman"/>
          <w:szCs w:val="20"/>
          <w:lang w:val="en-US"/>
        </w:rPr>
        <w:t>an law</w:t>
      </w:r>
      <w:r w:rsidR="00130785" w:rsidRPr="00FE50A6">
        <w:rPr>
          <w:rFonts w:eastAsia="Cambria" w:cs="Times New Roman"/>
          <w:szCs w:val="20"/>
          <w:lang w:val="en-US"/>
        </w:rPr>
        <w:t xml:space="preserve">, </w:t>
      </w:r>
      <w:r w:rsidR="00CD3CCC" w:rsidRPr="00FE50A6">
        <w:rPr>
          <w:rFonts w:eastAsia="Cambria" w:cs="Times New Roman"/>
          <w:szCs w:val="20"/>
          <w:lang w:val="en-US"/>
        </w:rPr>
        <w:t>the Inter-American Court</w:t>
      </w:r>
      <w:r w:rsidRPr="00FE50A6">
        <w:rPr>
          <w:rFonts w:eastAsia="Cambria" w:cs="Times New Roman"/>
          <w:szCs w:val="20"/>
          <w:lang w:val="en-US"/>
        </w:rPr>
        <w:t xml:space="preserve"> </w:t>
      </w:r>
      <w:r w:rsidR="00130785" w:rsidRPr="00FE50A6">
        <w:rPr>
          <w:rFonts w:eastAsia="Cambria" w:cs="Times New Roman"/>
          <w:szCs w:val="20"/>
          <w:lang w:val="en-US"/>
        </w:rPr>
        <w:t>ha</w:t>
      </w:r>
      <w:r w:rsidRPr="00FE50A6">
        <w:rPr>
          <w:rFonts w:eastAsia="Cambria" w:cs="Times New Roman"/>
          <w:szCs w:val="20"/>
          <w:lang w:val="en-US"/>
        </w:rPr>
        <w:t>s considered that, owing to their socio-economic situation and vulnerability, people living in poverty experience the violation of human rights in a different way (and to a greater extent) than people or groups in other conditions.</w:t>
      </w:r>
      <w:r w:rsidR="00130785" w:rsidRPr="00FE50A6">
        <w:rPr>
          <w:rFonts w:eastAsia="Cambria" w:cs="Times New Roman"/>
          <w:szCs w:val="20"/>
          <w:vertAlign w:val="superscript"/>
          <w:lang w:val="en-US"/>
        </w:rPr>
        <w:footnoteReference w:id="589"/>
      </w:r>
      <w:r w:rsidR="00130785" w:rsidRPr="00FE50A6">
        <w:rPr>
          <w:rFonts w:eastAsia="Cambria" w:cs="Times New Roman"/>
          <w:szCs w:val="20"/>
          <w:lang w:val="en-US"/>
        </w:rPr>
        <w:t xml:space="preserve"> </w:t>
      </w:r>
      <w:r w:rsidR="006C3699" w:rsidRPr="00FE50A6">
        <w:rPr>
          <w:rFonts w:eastAsia="Cambria" w:cs="Times New Roman"/>
          <w:szCs w:val="20"/>
          <w:lang w:val="en-US"/>
        </w:rPr>
        <w:t>In the case of</w:t>
      </w:r>
      <w:r w:rsidRPr="00FE50A6">
        <w:rPr>
          <w:rFonts w:eastAsia="Cambria" w:cs="Times New Roman"/>
          <w:szCs w:val="20"/>
          <w:lang w:val="en-US"/>
        </w:rPr>
        <w:t xml:space="preserve"> the</w:t>
      </w:r>
      <w:r w:rsidR="00130785" w:rsidRPr="00FE50A6">
        <w:rPr>
          <w:rFonts w:eastAsia="Cambria" w:cs="Times New Roman"/>
          <w:szCs w:val="20"/>
          <w:lang w:val="en-US"/>
        </w:rPr>
        <w:t xml:space="preserve"> </w:t>
      </w:r>
      <w:r w:rsidR="00130785" w:rsidRPr="00FE50A6">
        <w:rPr>
          <w:rFonts w:eastAsia="Cambria" w:cs="Times New Roman"/>
          <w:i/>
          <w:szCs w:val="20"/>
          <w:lang w:val="en-US"/>
        </w:rPr>
        <w:t>Santo Domingo</w:t>
      </w:r>
      <w:r w:rsidRPr="00FE50A6">
        <w:rPr>
          <w:rFonts w:eastAsia="Cambria" w:cs="Times New Roman"/>
          <w:i/>
          <w:szCs w:val="20"/>
          <w:lang w:val="en-US"/>
        </w:rPr>
        <w:t xml:space="preserve"> Massacre</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Colombia </w:t>
      </w:r>
      <w:r w:rsidR="00130785" w:rsidRPr="00FE50A6">
        <w:rPr>
          <w:rFonts w:eastAsia="Cambria" w:cs="Times New Roman"/>
          <w:szCs w:val="20"/>
          <w:lang w:val="en-US"/>
        </w:rPr>
        <w:t>(2012)</w:t>
      </w:r>
      <w:r w:rsidR="00130785" w:rsidRPr="00FE50A6">
        <w:rPr>
          <w:rFonts w:eastAsia="Cambria" w:cs="Times New Roman"/>
          <w:i/>
          <w:szCs w:val="20"/>
          <w:lang w:val="en-US"/>
        </w:rPr>
        <w:t xml:space="preserve">,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w:t>
      </w:r>
      <w:r w:rsidR="0050523E" w:rsidRPr="00FE50A6">
        <w:rPr>
          <w:rFonts w:eastAsia="Cambria" w:cs="Times New Roman"/>
          <w:szCs w:val="20"/>
          <w:lang w:val="en-US"/>
        </w:rPr>
        <w:t xml:space="preserve">verified that, after the inhabitants of </w:t>
      </w:r>
      <w:r w:rsidR="00130785" w:rsidRPr="00FE50A6">
        <w:rPr>
          <w:rFonts w:eastAsia="Cambria" w:cs="Times New Roman"/>
          <w:szCs w:val="20"/>
          <w:lang w:val="en-US"/>
        </w:rPr>
        <w:t xml:space="preserve">Santo Domingo </w:t>
      </w:r>
      <w:r w:rsidR="0050523E" w:rsidRPr="00FE50A6">
        <w:rPr>
          <w:rFonts w:eastAsia="Cambria" w:cs="Times New Roman"/>
          <w:szCs w:val="20"/>
          <w:lang w:val="en-US"/>
        </w:rPr>
        <w:t>had abandon</w:t>
      </w:r>
      <w:r w:rsidR="007E02D6" w:rsidRPr="00FE50A6">
        <w:rPr>
          <w:rFonts w:eastAsia="Cambria" w:cs="Times New Roman"/>
          <w:szCs w:val="20"/>
          <w:lang w:val="en-US"/>
        </w:rPr>
        <w:t>ed</w:t>
      </w:r>
      <w:r w:rsidR="0050523E" w:rsidRPr="00FE50A6">
        <w:rPr>
          <w:rFonts w:eastAsia="Cambria" w:cs="Times New Roman"/>
          <w:szCs w:val="20"/>
          <w:lang w:val="en-US"/>
        </w:rPr>
        <w:t xml:space="preserve"> their homes and displace</w:t>
      </w:r>
      <w:r w:rsidR="007E02D6" w:rsidRPr="00FE50A6">
        <w:rPr>
          <w:rFonts w:eastAsia="Cambria" w:cs="Times New Roman"/>
          <w:szCs w:val="20"/>
          <w:lang w:val="en-US"/>
        </w:rPr>
        <w:t>d</w:t>
      </w:r>
      <w:r w:rsidR="0050523E" w:rsidRPr="00FE50A6">
        <w:rPr>
          <w:rFonts w:eastAsia="Cambria" w:cs="Times New Roman"/>
          <w:szCs w:val="20"/>
          <w:lang w:val="en-US"/>
        </w:rPr>
        <w:t xml:space="preserve"> as a result of the </w:t>
      </w:r>
      <w:r w:rsidR="007E02D6" w:rsidRPr="00FE50A6">
        <w:rPr>
          <w:rFonts w:eastAsia="Cambria" w:cs="Times New Roman"/>
          <w:szCs w:val="20"/>
          <w:lang w:val="en-US"/>
        </w:rPr>
        <w:t>acts of violence they had experienced</w:t>
      </w:r>
      <w:r w:rsidR="0050523E" w:rsidRPr="00FE50A6">
        <w:rPr>
          <w:rFonts w:eastAsia="Cambria" w:cs="Times New Roman"/>
          <w:szCs w:val="20"/>
          <w:lang w:val="en-US"/>
        </w:rPr>
        <w:t xml:space="preserve">, some of the homes and shops in Santo Domingo were looted, and </w:t>
      </w:r>
      <w:r w:rsidR="0002556D" w:rsidRPr="00FE50A6">
        <w:rPr>
          <w:rFonts w:eastAsia="Cambria" w:cs="Times New Roman"/>
          <w:szCs w:val="20"/>
          <w:lang w:val="en-US"/>
        </w:rPr>
        <w:t xml:space="preserve">their </w:t>
      </w:r>
      <w:r w:rsidR="0050523E" w:rsidRPr="00FE50A6">
        <w:rPr>
          <w:rFonts w:eastAsia="Cambria" w:cs="Times New Roman"/>
          <w:szCs w:val="20"/>
          <w:lang w:val="en-US"/>
        </w:rPr>
        <w:t>property and possessions were damaged or destroyed.</w:t>
      </w:r>
      <w:r w:rsidR="00130785" w:rsidRPr="00FE50A6">
        <w:rPr>
          <w:rFonts w:eastAsia="Cambria" w:cs="Times New Roman"/>
          <w:szCs w:val="20"/>
          <w:vertAlign w:val="superscript"/>
          <w:lang w:val="en-US"/>
        </w:rPr>
        <w:footnoteReference w:id="590"/>
      </w:r>
      <w:r w:rsidR="00130785" w:rsidRPr="00FE50A6">
        <w:rPr>
          <w:rFonts w:eastAsia="Cambria" w:cs="Times New Roman"/>
          <w:szCs w:val="20"/>
          <w:lang w:val="en-US"/>
        </w:rPr>
        <w:t xml:space="preserve">  </w:t>
      </w:r>
    </w:p>
    <w:p w14:paraId="3CFE547E"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03FC495B" w14:textId="77777777" w:rsidR="00130785" w:rsidRPr="00FE50A6" w:rsidRDefault="006C3699" w:rsidP="0050523E">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Artavia Murillo</w:t>
      </w:r>
      <w:r w:rsidR="00030C17" w:rsidRPr="00FE50A6">
        <w:rPr>
          <w:rFonts w:eastAsia="Cambria" w:cs="Times New Roman"/>
          <w:i/>
          <w:szCs w:val="20"/>
          <w:lang w:val="en-US"/>
        </w:rPr>
        <w:t xml:space="preserve"> </w:t>
      </w:r>
      <w:r w:rsidR="0050523E" w:rsidRPr="00FE50A6">
        <w:rPr>
          <w:rFonts w:eastAsia="Cambria" w:cs="Times New Roman"/>
          <w:i/>
          <w:szCs w:val="20"/>
          <w:lang w:val="en-US"/>
        </w:rPr>
        <w:t>et al.</w:t>
      </w:r>
      <w:r w:rsidR="00130785" w:rsidRPr="00FE50A6">
        <w:rPr>
          <w:rFonts w:eastAsia="Cambria" w:cs="Times New Roman"/>
          <w:i/>
          <w:szCs w:val="20"/>
          <w:lang w:val="en-US"/>
        </w:rPr>
        <w:t xml:space="preserve"> (</w:t>
      </w:r>
      <w:r w:rsidR="0050523E" w:rsidRPr="00FE50A6">
        <w:rPr>
          <w:rFonts w:eastAsia="Cambria" w:cs="Times New Roman"/>
          <w:i/>
          <w:szCs w:val="20"/>
          <w:lang w:val="en-US"/>
        </w:rPr>
        <w:t>In</w:t>
      </w:r>
      <w:r w:rsidR="00130785" w:rsidRPr="00FE50A6">
        <w:rPr>
          <w:rFonts w:eastAsia="Cambria" w:cs="Times New Roman"/>
          <w:i/>
          <w:szCs w:val="20"/>
          <w:lang w:val="en-US"/>
        </w:rPr>
        <w:t xml:space="preserve"> </w:t>
      </w:r>
      <w:r w:rsidR="0050523E" w:rsidRPr="00FE50A6">
        <w:rPr>
          <w:rFonts w:eastAsia="Cambria" w:cs="Times New Roman"/>
          <w:i/>
          <w:szCs w:val="20"/>
          <w:lang w:val="en-US"/>
        </w:rPr>
        <w:t>v</w:t>
      </w:r>
      <w:r w:rsidR="00130785" w:rsidRPr="00FE50A6">
        <w:rPr>
          <w:rFonts w:eastAsia="Cambria" w:cs="Times New Roman"/>
          <w:i/>
          <w:szCs w:val="20"/>
          <w:lang w:val="en-US"/>
        </w:rPr>
        <w:t>itro</w:t>
      </w:r>
      <w:r w:rsidR="0050523E" w:rsidRPr="00FE50A6">
        <w:rPr>
          <w:rFonts w:eastAsia="Cambria" w:cs="Times New Roman"/>
          <w:i/>
          <w:szCs w:val="20"/>
          <w:lang w:val="en-US"/>
        </w:rPr>
        <w:t xml:space="preserve"> fertilization</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Costa Rica </w:t>
      </w:r>
      <w:r w:rsidR="00130785" w:rsidRPr="00FE50A6">
        <w:rPr>
          <w:rFonts w:eastAsia="Cambria" w:cs="Times New Roman"/>
          <w:szCs w:val="20"/>
          <w:lang w:val="en-US"/>
        </w:rPr>
        <w:t xml:space="preserve">(2012), </w:t>
      </w:r>
      <w:r w:rsidR="0050523E" w:rsidRPr="00FE50A6">
        <w:rPr>
          <w:rFonts w:eastAsia="Cambria" w:cs="Times New Roman"/>
          <w:szCs w:val="20"/>
          <w:lang w:val="en-US"/>
        </w:rPr>
        <w:t xml:space="preserve">when analyzing </w:t>
      </w:r>
      <w:r w:rsidR="00511962" w:rsidRPr="00FE50A6">
        <w:rPr>
          <w:rFonts w:eastAsia="Cambria" w:cs="Times New Roman"/>
          <w:szCs w:val="20"/>
          <w:lang w:val="en-US"/>
        </w:rPr>
        <w:t xml:space="preserve">the </w:t>
      </w:r>
      <w:r w:rsidR="00EE52F3" w:rsidRPr="00FE50A6">
        <w:rPr>
          <w:rFonts w:eastAsia="Cambria" w:cs="Times New Roman"/>
          <w:lang w:val="en-US"/>
        </w:rPr>
        <w:t>prohibition of</w:t>
      </w:r>
      <w:r w:rsidR="0050523E" w:rsidRPr="00FE50A6">
        <w:rPr>
          <w:rFonts w:eastAsia="Cambria" w:cs="Times New Roman"/>
          <w:lang w:val="en-US"/>
        </w:rPr>
        <w:t xml:space="preserve"> </w:t>
      </w:r>
      <w:r w:rsidR="0050523E" w:rsidRPr="00FE50A6">
        <w:rPr>
          <w:rFonts w:eastAsia="Cambria" w:cs="Times New Roman"/>
          <w:i/>
          <w:lang w:val="en-US"/>
        </w:rPr>
        <w:t>in vitro</w:t>
      </w:r>
      <w:r w:rsidR="0050523E" w:rsidRPr="00FE50A6">
        <w:rPr>
          <w:rFonts w:eastAsia="Cambria" w:cs="Times New Roman"/>
          <w:lang w:val="en-US"/>
        </w:rPr>
        <w:t xml:space="preserve"> fert</w:t>
      </w:r>
      <w:r w:rsidR="0002556D" w:rsidRPr="00FE50A6">
        <w:rPr>
          <w:rFonts w:eastAsia="Cambria" w:cs="Times New Roman"/>
          <w:lang w:val="en-US"/>
        </w:rPr>
        <w:t>i</w:t>
      </w:r>
      <w:r w:rsidR="0050523E" w:rsidRPr="00FE50A6">
        <w:rPr>
          <w:rFonts w:eastAsia="Cambria" w:cs="Times New Roman"/>
          <w:lang w:val="en-US"/>
        </w:rPr>
        <w:t>lization</w:t>
      </w:r>
      <w:r w:rsidR="00130785" w:rsidRPr="00FE50A6">
        <w:rPr>
          <w:rFonts w:eastAsia="Cambria" w:cs="Times New Roman"/>
          <w:lang w:val="en-US"/>
        </w:rPr>
        <w:t xml:space="preserve">, </w:t>
      </w:r>
      <w:r w:rsidR="00CD3CCC" w:rsidRPr="00FE50A6">
        <w:rPr>
          <w:rFonts w:eastAsia="Cambria" w:cs="Times New Roman"/>
          <w:lang w:val="en-US"/>
        </w:rPr>
        <w:t>the Court</w:t>
      </w:r>
      <w:r w:rsidR="0050523E" w:rsidRPr="00FE50A6">
        <w:rPr>
          <w:rFonts w:eastAsia="Cambria" w:cs="Times New Roman"/>
          <w:lang w:val="en-US"/>
        </w:rPr>
        <w:t xml:space="preserve"> </w:t>
      </w:r>
      <w:r w:rsidR="00984A55" w:rsidRPr="00FE50A6">
        <w:rPr>
          <w:rFonts w:eastAsia="Cambria" w:cs="Times New Roman"/>
          <w:lang w:val="en-US"/>
        </w:rPr>
        <w:t>indicated</w:t>
      </w:r>
      <w:r w:rsidR="00130785" w:rsidRPr="00FE50A6">
        <w:rPr>
          <w:rFonts w:eastAsia="Cambria" w:cs="Times New Roman"/>
          <w:lang w:val="en-US"/>
        </w:rPr>
        <w:t xml:space="preserve"> </w:t>
      </w:r>
      <w:r w:rsidR="0050523E" w:rsidRPr="00FE50A6">
        <w:rPr>
          <w:rFonts w:eastAsia="Cambria" w:cs="Times New Roman"/>
          <w:lang w:val="en-US"/>
        </w:rPr>
        <w:t>t</w:t>
      </w:r>
      <w:r w:rsidR="007E02D6" w:rsidRPr="00FE50A6">
        <w:rPr>
          <w:rFonts w:eastAsia="Cambria" w:cs="Times New Roman"/>
          <w:lang w:val="en-US"/>
        </w:rPr>
        <w:t>hat t</w:t>
      </w:r>
      <w:r w:rsidR="0050523E" w:rsidRPr="00FE50A6">
        <w:rPr>
          <w:rFonts w:eastAsia="Cambria" w:cs="Times New Roman"/>
          <w:lang w:val="en-US"/>
        </w:rPr>
        <w:t xml:space="preserve">his had had a disproportionate impact on the infertile couples who did not have the financial resources to undergo successful </w:t>
      </w:r>
      <w:r w:rsidR="0050523E" w:rsidRPr="00FE50A6">
        <w:rPr>
          <w:rFonts w:eastAsia="Cambria" w:cs="Times New Roman"/>
          <w:i/>
          <w:lang w:val="en-US"/>
        </w:rPr>
        <w:t>in vitro</w:t>
      </w:r>
      <w:r w:rsidR="0050523E" w:rsidRPr="00FE50A6">
        <w:rPr>
          <w:rFonts w:eastAsia="Cambria" w:cs="Times New Roman"/>
          <w:lang w:val="en-US"/>
        </w:rPr>
        <w:t xml:space="preserve"> fertilization treatment abroad</w:t>
      </w:r>
      <w:r w:rsidR="00130785" w:rsidRPr="00FE50A6">
        <w:rPr>
          <w:rFonts w:eastAsia="Cambria" w:cs="Times New Roman"/>
          <w:szCs w:val="20"/>
          <w:vertAlign w:val="superscript"/>
          <w:lang w:val="en-US"/>
        </w:rPr>
        <w:footnoteReference w:id="591"/>
      </w:r>
      <w:r w:rsidR="00130785" w:rsidRPr="00FE50A6">
        <w:rPr>
          <w:rFonts w:eastAsia="Cambria" w:cs="Times New Roman"/>
          <w:szCs w:val="20"/>
          <w:lang w:val="en-US"/>
        </w:rPr>
        <w:t xml:space="preserve"> </w:t>
      </w:r>
      <w:r w:rsidR="0050523E" w:rsidRPr="00FE50A6">
        <w:rPr>
          <w:rFonts w:eastAsia="Cambria" w:cs="Times New Roman"/>
          <w:szCs w:val="20"/>
          <w:lang w:val="en-US"/>
        </w:rPr>
        <w:t xml:space="preserve">and constituted indirect </w:t>
      </w:r>
      <w:r w:rsidR="003707E5" w:rsidRPr="00FE50A6">
        <w:rPr>
          <w:rFonts w:eastAsia="Cambria" w:cs="Times New Roman"/>
          <w:szCs w:val="20"/>
          <w:lang w:val="en-US"/>
        </w:rPr>
        <w:t>discrimination</w:t>
      </w:r>
      <w:r w:rsidR="0050523E" w:rsidRPr="00FE50A6">
        <w:rPr>
          <w:rFonts w:eastAsia="Cambria" w:cs="Times New Roman"/>
          <w:szCs w:val="20"/>
          <w:lang w:val="en-US"/>
        </w:rPr>
        <w:t>.</w:t>
      </w:r>
      <w:r w:rsidR="00130785" w:rsidRPr="00FE50A6">
        <w:rPr>
          <w:rFonts w:eastAsia="Cambria" w:cs="Times New Roman"/>
          <w:szCs w:val="20"/>
          <w:vertAlign w:val="superscript"/>
          <w:lang w:val="en-US"/>
        </w:rPr>
        <w:footnoteReference w:id="592"/>
      </w:r>
      <w:r w:rsidR="00130785" w:rsidRPr="00FE50A6">
        <w:rPr>
          <w:rFonts w:eastAsia="Cambria" w:cs="Times New Roman"/>
          <w:szCs w:val="20"/>
          <w:lang w:val="en-US"/>
        </w:rPr>
        <w:t xml:space="preserve"> </w:t>
      </w:r>
    </w:p>
    <w:p w14:paraId="0096EAE6"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38BE2DEE" w14:textId="77777777" w:rsidR="00130785" w:rsidRPr="00FE50A6" w:rsidRDefault="0050523E" w:rsidP="008B0BCC">
      <w:pPr>
        <w:numPr>
          <w:ilvl w:val="0"/>
          <w:numId w:val="26"/>
        </w:numPr>
        <w:tabs>
          <w:tab w:val="clear" w:pos="4419"/>
          <w:tab w:val="clear" w:pos="8838"/>
        </w:tabs>
        <w:contextualSpacing/>
        <w:jc w:val="both"/>
        <w:rPr>
          <w:rFonts w:eastAsia="Cambria" w:cs="Times New Roman"/>
          <w:b/>
          <w:i/>
          <w:szCs w:val="20"/>
          <w:lang w:val="en-US"/>
        </w:rPr>
      </w:pPr>
      <w:r w:rsidRPr="00FE50A6">
        <w:rPr>
          <w:rFonts w:eastAsia="Cambria" w:cs="Times New Roman"/>
          <w:szCs w:val="20"/>
          <w:lang w:val="en-US"/>
        </w:rPr>
        <w:t>In the case</w:t>
      </w:r>
      <w:r w:rsidR="0067450B" w:rsidRPr="00FE50A6">
        <w:rPr>
          <w:rFonts w:eastAsia="Cambria" w:cs="Times New Roman"/>
          <w:szCs w:val="20"/>
          <w:lang w:val="en-US"/>
        </w:rPr>
        <w:t>s</w:t>
      </w:r>
      <w:r w:rsidRPr="00FE50A6">
        <w:rPr>
          <w:rFonts w:eastAsia="Cambria" w:cs="Times New Roman"/>
          <w:szCs w:val="20"/>
          <w:lang w:val="en-US"/>
        </w:rPr>
        <w:t xml:space="preserve"> of the</w:t>
      </w:r>
      <w:r w:rsidR="00130785" w:rsidRPr="00FE50A6">
        <w:rPr>
          <w:rFonts w:eastAsia="Cambria" w:cs="Times New Roman"/>
          <w:szCs w:val="20"/>
          <w:lang w:val="en-US"/>
        </w:rPr>
        <w:t xml:space="preserve"> </w:t>
      </w:r>
      <w:r w:rsidR="00130785" w:rsidRPr="00FE50A6">
        <w:rPr>
          <w:rFonts w:eastAsia="Cambria" w:cs="Times New Roman"/>
          <w:i/>
          <w:szCs w:val="20"/>
          <w:lang w:val="en-US"/>
        </w:rPr>
        <w:t>Yean</w:t>
      </w:r>
      <w:r w:rsidR="00030C17" w:rsidRPr="00FE50A6">
        <w:rPr>
          <w:rFonts w:eastAsia="Cambria" w:cs="Times New Roman"/>
          <w:i/>
          <w:szCs w:val="20"/>
          <w:lang w:val="en-US"/>
        </w:rPr>
        <w:t xml:space="preserve"> and </w:t>
      </w:r>
      <w:r w:rsidR="00130785" w:rsidRPr="00FE50A6">
        <w:rPr>
          <w:rFonts w:eastAsia="Cambria" w:cs="Times New Roman"/>
          <w:i/>
          <w:szCs w:val="20"/>
          <w:lang w:val="en-US"/>
        </w:rPr>
        <w:t>Bosico</w:t>
      </w:r>
      <w:r w:rsidRPr="00FE50A6">
        <w:rPr>
          <w:rFonts w:eastAsia="Cambria" w:cs="Times New Roman"/>
          <w:i/>
          <w:szCs w:val="20"/>
          <w:lang w:val="en-US"/>
        </w:rPr>
        <w:t xml:space="preserve"> Girls</w:t>
      </w:r>
      <w:r w:rsidR="00130785" w:rsidRPr="00FE50A6">
        <w:rPr>
          <w:rFonts w:eastAsia="Cambria" w:cs="Times New Roman"/>
          <w:i/>
          <w:szCs w:val="20"/>
          <w:lang w:val="en-US"/>
        </w:rPr>
        <w:t xml:space="preserve"> </w:t>
      </w:r>
      <w:r w:rsidR="00130785" w:rsidRPr="00FE50A6">
        <w:rPr>
          <w:rFonts w:eastAsia="Cambria" w:cs="Times New Roman"/>
          <w:szCs w:val="20"/>
          <w:lang w:val="en-US"/>
        </w:rPr>
        <w:t>(2005)</w:t>
      </w:r>
      <w:r w:rsidR="00030C17" w:rsidRPr="00FE50A6">
        <w:rPr>
          <w:rFonts w:eastAsia="Cambria" w:cs="Times New Roman"/>
          <w:szCs w:val="20"/>
          <w:lang w:val="en-US"/>
        </w:rPr>
        <w:t xml:space="preserve"> and </w:t>
      </w:r>
      <w:r w:rsidRPr="00FE50A6">
        <w:rPr>
          <w:rFonts w:eastAsia="Cambria" w:cs="Times New Roman"/>
          <w:szCs w:val="20"/>
          <w:lang w:val="en-US"/>
        </w:rPr>
        <w:t>of</w:t>
      </w:r>
      <w:r w:rsidR="00130785" w:rsidRPr="00FE50A6">
        <w:rPr>
          <w:rFonts w:eastAsia="Cambria" w:cs="Times New Roman"/>
          <w:szCs w:val="20"/>
          <w:lang w:val="en-US"/>
        </w:rPr>
        <w:t xml:space="preserve"> </w:t>
      </w:r>
      <w:r w:rsidRPr="00FE50A6">
        <w:rPr>
          <w:rFonts w:eastAsia="Cambria" w:cs="Times New Roman"/>
          <w:i/>
          <w:szCs w:val="20"/>
          <w:lang w:val="en-US"/>
        </w:rPr>
        <w:t xml:space="preserve">Expelled Dominicans and Haitians </w:t>
      </w:r>
      <w:r w:rsidR="00130785" w:rsidRPr="00FE50A6">
        <w:rPr>
          <w:rFonts w:eastAsia="Cambria" w:cs="Times New Roman"/>
          <w:szCs w:val="20"/>
          <w:lang w:val="en-US"/>
        </w:rPr>
        <w:t xml:space="preserve">(2014), </w:t>
      </w:r>
      <w:r w:rsidRPr="00FE50A6">
        <w:rPr>
          <w:rFonts w:eastAsia="Cambria" w:cs="Times New Roman"/>
          <w:szCs w:val="20"/>
          <w:lang w:val="en-US"/>
        </w:rPr>
        <w:t>both against the Dominican Republic, it was</w:t>
      </w:r>
      <w:r w:rsidR="0067450B" w:rsidRPr="00FE50A6">
        <w:rPr>
          <w:rFonts w:eastAsia="Cambria" w:cs="Times New Roman"/>
          <w:szCs w:val="20"/>
          <w:lang w:val="en-US"/>
        </w:rPr>
        <w:t xml:space="preserve"> considered</w:t>
      </w:r>
      <w:r w:rsidRPr="00FE50A6">
        <w:rPr>
          <w:rFonts w:eastAsia="Cambria" w:cs="Times New Roman"/>
          <w:szCs w:val="20"/>
          <w:lang w:val="en-US"/>
        </w:rPr>
        <w:t xml:space="preserve"> proved that many Haitians in Dominican Republic experienced poverty and marginalization based on their lack of legal status and opportunities.</w:t>
      </w:r>
      <w:r w:rsidR="00130785" w:rsidRPr="00FE50A6">
        <w:rPr>
          <w:rFonts w:eastAsia="Cambria" w:cs="Times New Roman"/>
          <w:szCs w:val="20"/>
          <w:vertAlign w:val="superscript"/>
          <w:lang w:val="en-US"/>
        </w:rPr>
        <w:footnoteReference w:id="593"/>
      </w:r>
      <w:r w:rsidR="00130785" w:rsidRPr="00FE50A6">
        <w:rPr>
          <w:rFonts w:eastAsia="Cambria" w:cs="Times New Roman"/>
          <w:b/>
          <w:szCs w:val="20"/>
          <w:lang w:val="en-US"/>
        </w:rPr>
        <w:t xml:space="preserve"> </w:t>
      </w:r>
    </w:p>
    <w:p w14:paraId="72F4DC06" w14:textId="77777777" w:rsidR="00130785" w:rsidRPr="00FE50A6" w:rsidRDefault="00130785" w:rsidP="00130785">
      <w:pPr>
        <w:tabs>
          <w:tab w:val="clear" w:pos="4419"/>
          <w:tab w:val="clear" w:pos="8838"/>
        </w:tabs>
        <w:contextualSpacing/>
        <w:jc w:val="both"/>
        <w:rPr>
          <w:rFonts w:eastAsia="Cambria" w:cs="Times New Roman"/>
          <w:b/>
          <w:szCs w:val="20"/>
          <w:lang w:val="en-US"/>
        </w:rPr>
      </w:pPr>
    </w:p>
    <w:p w14:paraId="36A9D24F" w14:textId="77777777" w:rsidR="00130785" w:rsidRPr="00FE50A6" w:rsidRDefault="006C3699" w:rsidP="007A0689">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the case of</w:t>
      </w:r>
      <w:r w:rsidR="00130785" w:rsidRPr="00FE50A6">
        <w:rPr>
          <w:rFonts w:eastAsia="Cambria" w:cs="Times New Roman"/>
          <w:szCs w:val="20"/>
          <w:lang w:val="en-US"/>
        </w:rPr>
        <w:t xml:space="preserve"> </w:t>
      </w:r>
      <w:r w:rsidR="00130785" w:rsidRPr="00FE50A6">
        <w:rPr>
          <w:rFonts w:eastAsia="Cambria" w:cs="Times New Roman"/>
          <w:i/>
          <w:szCs w:val="20"/>
          <w:lang w:val="en-US"/>
        </w:rPr>
        <w:t>Gonzales Lluy</w:t>
      </w:r>
      <w:r w:rsidR="00030C17" w:rsidRPr="00FE50A6">
        <w:rPr>
          <w:rFonts w:eastAsia="Cambria" w:cs="Times New Roman"/>
          <w:i/>
          <w:szCs w:val="20"/>
          <w:lang w:val="en-US"/>
        </w:rPr>
        <w:t xml:space="preserve"> </w:t>
      </w:r>
      <w:r w:rsidR="00B44229" w:rsidRPr="00FE50A6">
        <w:rPr>
          <w:rFonts w:eastAsia="Cambria" w:cs="Times New Roman"/>
          <w:i/>
          <w:szCs w:val="20"/>
          <w:lang w:val="en-US"/>
        </w:rPr>
        <w:t>et al. v.</w:t>
      </w:r>
      <w:r w:rsidR="00130785" w:rsidRPr="00FE50A6">
        <w:rPr>
          <w:rFonts w:eastAsia="Cambria" w:cs="Times New Roman"/>
          <w:i/>
          <w:szCs w:val="20"/>
          <w:lang w:val="en-US"/>
        </w:rPr>
        <w:t xml:space="preserve"> Ecuador </w:t>
      </w:r>
      <w:r w:rsidR="00130785" w:rsidRPr="00FE50A6">
        <w:rPr>
          <w:rFonts w:eastAsia="Cambria" w:cs="Times New Roman"/>
          <w:szCs w:val="20"/>
          <w:lang w:val="en-US"/>
        </w:rPr>
        <w:t>(2015),</w:t>
      </w:r>
      <w:r w:rsidR="007A0689" w:rsidRPr="00FE50A6">
        <w:rPr>
          <w:rFonts w:eastAsia="Cambria" w:cs="Times New Roman"/>
          <w:szCs w:val="20"/>
          <w:lang w:val="en-US"/>
        </w:rPr>
        <w:t xml:space="preserve"> concerning the victim’s health, the Court noted that, among other measures to ensure the right to health, </w:t>
      </w:r>
      <w:r w:rsidR="00F15589" w:rsidRPr="00FE50A6">
        <w:rPr>
          <w:rFonts w:eastAsia="Cambria" w:cs="Times New Roman"/>
          <w:szCs w:val="20"/>
          <w:lang w:val="en-US"/>
        </w:rPr>
        <w:t>the Protocol of</w:t>
      </w:r>
      <w:r w:rsidR="00130785" w:rsidRPr="00FE50A6">
        <w:rPr>
          <w:rFonts w:eastAsia="Cambria" w:cs="Times New Roman"/>
          <w:szCs w:val="20"/>
          <w:lang w:val="en-US"/>
        </w:rPr>
        <w:t xml:space="preserve"> San Salvador</w:t>
      </w:r>
      <w:r w:rsidR="007A0689" w:rsidRPr="00FE50A6">
        <w:rPr>
          <w:rFonts w:eastAsia="Cambria" w:cs="Times New Roman"/>
          <w:szCs w:val="20"/>
          <w:lang w:val="en-US"/>
        </w:rPr>
        <w:t xml:space="preserve"> established that States must adopt measures to ensure</w:t>
      </w:r>
      <w:r w:rsidR="007A0689" w:rsidRPr="00FE50A6">
        <w:rPr>
          <w:rFonts w:eastAsia="Cambria" w:cs="Times New Roman"/>
          <w:b/>
          <w:szCs w:val="20"/>
          <w:lang w:val="en-US"/>
        </w:rPr>
        <w:t xml:space="preserve"> </w:t>
      </w:r>
      <w:r w:rsidR="007A0689" w:rsidRPr="00FE50A6">
        <w:rPr>
          <w:rFonts w:cs="Tahoma"/>
          <w:bCs/>
          <w:szCs w:val="20"/>
          <w:lang w:val="en-US"/>
        </w:rPr>
        <w:t>universal immunization against the principal infectious disease</w:t>
      </w:r>
      <w:r w:rsidR="007A0689" w:rsidRPr="00FE50A6">
        <w:rPr>
          <w:rFonts w:eastAsia="Cambria" w:cs="Times New Roman"/>
          <w:szCs w:val="20"/>
          <w:lang w:val="en-US"/>
        </w:rPr>
        <w:t>; the</w:t>
      </w:r>
      <w:r w:rsidR="007A0689" w:rsidRPr="00FE50A6">
        <w:rPr>
          <w:rFonts w:eastAsia="Cambria" w:cs="Times New Roman"/>
          <w:b/>
          <w:szCs w:val="20"/>
          <w:lang w:val="en-US"/>
        </w:rPr>
        <w:t xml:space="preserve"> </w:t>
      </w:r>
      <w:r w:rsidR="007A0689" w:rsidRPr="00FE50A6">
        <w:rPr>
          <w:rFonts w:cs="Tahoma"/>
          <w:bCs/>
          <w:szCs w:val="20"/>
          <w:lang w:val="en-US"/>
        </w:rPr>
        <w:t>prevention and treatment of endemic, occupational and other diseases, and</w:t>
      </w:r>
      <w:r w:rsidR="007A0689" w:rsidRPr="00FE50A6">
        <w:rPr>
          <w:rFonts w:cs="Arial"/>
          <w:bCs/>
          <w:lang w:val="en-US"/>
        </w:rPr>
        <w:t xml:space="preserve"> </w:t>
      </w:r>
      <w:r w:rsidR="007A0689" w:rsidRPr="00FE50A6">
        <w:rPr>
          <w:rFonts w:cs="Tahoma"/>
          <w:bCs/>
          <w:szCs w:val="20"/>
          <w:lang w:val="en-US"/>
        </w:rPr>
        <w:t>satisfaction of the health needs of the highest risk groups and of those whose poverty makes them the most vulnerable.</w:t>
      </w:r>
      <w:r w:rsidR="00130785" w:rsidRPr="00FE50A6">
        <w:rPr>
          <w:rFonts w:eastAsia="Cambria" w:cs="Times New Roman"/>
          <w:szCs w:val="20"/>
          <w:vertAlign w:val="superscript"/>
          <w:lang w:val="en-US"/>
        </w:rPr>
        <w:footnoteReference w:id="594"/>
      </w:r>
      <w:r w:rsidR="00130785" w:rsidRPr="00FE50A6">
        <w:rPr>
          <w:rFonts w:eastAsia="Cambria" w:cs="Times New Roman"/>
          <w:szCs w:val="20"/>
          <w:lang w:val="en-US"/>
        </w:rPr>
        <w:t xml:space="preserve"> </w:t>
      </w:r>
    </w:p>
    <w:p w14:paraId="2BF5EB8E" w14:textId="77777777" w:rsidR="00130785" w:rsidRPr="00FE50A6" w:rsidRDefault="00130785" w:rsidP="00130785">
      <w:pPr>
        <w:tabs>
          <w:tab w:val="clear" w:pos="4419"/>
          <w:tab w:val="clear" w:pos="8838"/>
        </w:tabs>
        <w:rPr>
          <w:rFonts w:eastAsia="MS Mincho" w:cs="Times New Roman"/>
          <w:sz w:val="24"/>
          <w:szCs w:val="20"/>
          <w:lang w:val="en-US" w:eastAsia="es-ES"/>
        </w:rPr>
      </w:pPr>
    </w:p>
    <w:p w14:paraId="145A6BAC" w14:textId="77777777" w:rsidR="00130785" w:rsidRPr="00FE50A6" w:rsidRDefault="007A0689" w:rsidP="007A0689">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that case</w:t>
      </w:r>
      <w:r w:rsidR="00130785" w:rsidRPr="00FE50A6">
        <w:rPr>
          <w:rFonts w:eastAsia="Cambria" w:cs="Times New Roman"/>
          <w:szCs w:val="20"/>
          <w:lang w:val="en-US"/>
        </w:rPr>
        <w:t xml:space="preserve">, </w:t>
      </w:r>
      <w:r w:rsidR="00CD3CCC" w:rsidRPr="00FE50A6">
        <w:rPr>
          <w:rFonts w:eastAsia="Cambria" w:cs="Times New Roman"/>
          <w:szCs w:val="20"/>
          <w:lang w:val="en-US"/>
        </w:rPr>
        <w:t>the Court</w:t>
      </w:r>
      <w:r w:rsidRPr="00FE50A6">
        <w:rPr>
          <w:rFonts w:eastAsia="Cambria" w:cs="Times New Roman"/>
          <w:szCs w:val="20"/>
          <w:lang w:val="en-US"/>
        </w:rPr>
        <w:t xml:space="preserve"> </w:t>
      </w:r>
      <w:r w:rsidR="00130785" w:rsidRPr="00FE50A6">
        <w:rPr>
          <w:rFonts w:eastAsia="Cambria" w:cs="Times New Roman"/>
          <w:szCs w:val="20"/>
          <w:lang w:val="en-US"/>
        </w:rPr>
        <w:t>consider</w:t>
      </w:r>
      <w:r w:rsidRPr="00FE50A6">
        <w:rPr>
          <w:rFonts w:eastAsia="Cambria" w:cs="Times New Roman"/>
          <w:szCs w:val="20"/>
          <w:lang w:val="en-US"/>
        </w:rPr>
        <w:t xml:space="preserve">ed that </w:t>
      </w:r>
      <w:r w:rsidRPr="00FE50A6">
        <w:rPr>
          <w:rFonts w:cs="Arial"/>
          <w:szCs w:val="20"/>
          <w:lang w:val="en-US"/>
        </w:rPr>
        <w:t xml:space="preserve">numerous factors of vulnerability and risk of discrimination intersected that were associated with </w:t>
      </w:r>
      <w:r w:rsidR="003B2CB1" w:rsidRPr="00FE50A6">
        <w:rPr>
          <w:rFonts w:cs="Arial"/>
          <w:szCs w:val="20"/>
          <w:lang w:val="en-US"/>
        </w:rPr>
        <w:t>the victim’s</w:t>
      </w:r>
      <w:r w:rsidRPr="00FE50A6">
        <w:rPr>
          <w:rFonts w:cs="Arial"/>
          <w:szCs w:val="20"/>
          <w:lang w:val="en-US"/>
        </w:rPr>
        <w:t xml:space="preserve"> condition as a minor, a female, a person living in poverty, and a person living with HIV.</w:t>
      </w:r>
      <w:r w:rsidR="003B2CB1" w:rsidRPr="00FE50A6">
        <w:rPr>
          <w:rFonts w:cs="Arial"/>
          <w:szCs w:val="20"/>
          <w:lang w:val="en-US"/>
        </w:rPr>
        <w:t xml:space="preserve"> The Court also indicated that the poverty had an impact on the initial access to health care that was not of the best quality and that, to the contrary, resulted in the infection with HIV. The situation of poverty also had an</w:t>
      </w:r>
      <w:r w:rsidR="003B2CB1" w:rsidRPr="00FE50A6">
        <w:rPr>
          <w:rFonts w:cs="Arial"/>
          <w:lang w:val="en-US"/>
        </w:rPr>
        <w:t xml:space="preserve"> </w:t>
      </w:r>
      <w:r w:rsidR="003B2CB1" w:rsidRPr="00FE50A6">
        <w:rPr>
          <w:rFonts w:cs="Arial"/>
          <w:szCs w:val="20"/>
          <w:lang w:val="en-US"/>
        </w:rPr>
        <w:t>impact on the difficult</w:t>
      </w:r>
      <w:r w:rsidR="0067450B" w:rsidRPr="00FE50A6">
        <w:rPr>
          <w:rFonts w:cs="Arial"/>
          <w:szCs w:val="20"/>
          <w:lang w:val="en-US"/>
        </w:rPr>
        <w:t>y</w:t>
      </w:r>
      <w:r w:rsidR="003B2CB1" w:rsidRPr="00FE50A6">
        <w:rPr>
          <w:rFonts w:cs="Arial"/>
          <w:szCs w:val="20"/>
          <w:lang w:val="en-US"/>
        </w:rPr>
        <w:t xml:space="preserve"> to gain access to the education system and to lead a decent life. Subsequently, because she was a child with HIV, the obstacles that the victim suffered in access to education had a negative impact on her overall development, which was also a differentiated impact taking into account the role of education in overcoming gender stereotypes. In sum, in the Court’s opinion, the victim’s case illustrated that HIV-related stigmatization did not affect everyone in the same way and that the impact was more severe on members of vulnerable groups</w:t>
      </w:r>
      <w:r w:rsidR="003B2CB1" w:rsidRPr="00FE50A6">
        <w:rPr>
          <w:rFonts w:eastAsia="Cambria" w:cs="Times New Roman"/>
          <w:szCs w:val="20"/>
          <w:lang w:val="en-US"/>
        </w:rPr>
        <w:t>.</w:t>
      </w:r>
      <w:r w:rsidR="00130785" w:rsidRPr="00FE50A6">
        <w:rPr>
          <w:rFonts w:eastAsia="Cambria" w:cs="Times New Roman"/>
          <w:szCs w:val="20"/>
          <w:vertAlign w:val="superscript"/>
          <w:lang w:val="en-US"/>
        </w:rPr>
        <w:footnoteReference w:id="595"/>
      </w:r>
      <w:r w:rsidR="00130785" w:rsidRPr="00FE50A6">
        <w:rPr>
          <w:rFonts w:eastAsia="Cambria" w:cs="Times New Roman"/>
          <w:szCs w:val="20"/>
          <w:lang w:val="en-US"/>
        </w:rPr>
        <w:t xml:space="preserve"> </w:t>
      </w:r>
      <w:r w:rsidR="003B2CB1" w:rsidRPr="00FE50A6">
        <w:rPr>
          <w:rFonts w:eastAsia="Cambria" w:cs="Times New Roman"/>
          <w:szCs w:val="20"/>
          <w:lang w:val="en-US"/>
        </w:rPr>
        <w:t>Based on the foregoing, the</w:t>
      </w:r>
      <w:r w:rsidR="00CD3CCC" w:rsidRPr="00FE50A6">
        <w:rPr>
          <w:rFonts w:eastAsia="Cambria" w:cs="Times New Roman"/>
          <w:szCs w:val="20"/>
          <w:lang w:val="en-US"/>
        </w:rPr>
        <w:t xml:space="preserve"> Court</w:t>
      </w:r>
      <w:r w:rsidR="003B2CB1" w:rsidRPr="00FE50A6">
        <w:rPr>
          <w:rFonts w:eastAsia="Cambria" w:cs="Times New Roman"/>
          <w:szCs w:val="20"/>
          <w:lang w:val="en-US"/>
        </w:rPr>
        <w:t xml:space="preserve"> </w:t>
      </w:r>
      <w:r w:rsidR="00130785" w:rsidRPr="00FE50A6">
        <w:rPr>
          <w:rFonts w:eastAsia="Cambria" w:cs="Times New Roman"/>
          <w:szCs w:val="20"/>
          <w:lang w:val="en-US"/>
        </w:rPr>
        <w:t>conclu</w:t>
      </w:r>
      <w:r w:rsidR="003B2CB1" w:rsidRPr="00FE50A6">
        <w:rPr>
          <w:rFonts w:eastAsia="Cambria" w:cs="Times New Roman"/>
          <w:szCs w:val="20"/>
          <w:lang w:val="en-US"/>
        </w:rPr>
        <w:t xml:space="preserve">ded that the victim suffered discrimination derived from her </w:t>
      </w:r>
      <w:r w:rsidR="0067450B" w:rsidRPr="00FE50A6">
        <w:rPr>
          <w:rFonts w:eastAsia="Cambria" w:cs="Times New Roman"/>
          <w:szCs w:val="20"/>
          <w:lang w:val="en-US"/>
        </w:rPr>
        <w:t>condition</w:t>
      </w:r>
      <w:r w:rsidR="003B2CB1" w:rsidRPr="00FE50A6">
        <w:rPr>
          <w:rFonts w:eastAsia="Cambria" w:cs="Times New Roman"/>
          <w:szCs w:val="20"/>
          <w:lang w:val="en-US"/>
        </w:rPr>
        <w:t xml:space="preserve"> as a person living with HIV, a child, a female, and living in poverty.</w:t>
      </w:r>
      <w:r w:rsidR="00130785" w:rsidRPr="00FE50A6">
        <w:rPr>
          <w:rFonts w:eastAsia="Cambria" w:cs="Times New Roman"/>
          <w:szCs w:val="20"/>
          <w:vertAlign w:val="superscript"/>
          <w:lang w:val="en-US"/>
        </w:rPr>
        <w:footnoteReference w:id="596"/>
      </w:r>
    </w:p>
    <w:p w14:paraId="6BE16B17" w14:textId="77777777" w:rsidR="00130785" w:rsidRPr="00FE50A6" w:rsidRDefault="00130785" w:rsidP="00130785">
      <w:pPr>
        <w:tabs>
          <w:tab w:val="clear" w:pos="4419"/>
          <w:tab w:val="clear" w:pos="8838"/>
        </w:tabs>
        <w:contextualSpacing/>
        <w:jc w:val="both"/>
        <w:rPr>
          <w:rFonts w:eastAsia="Cambria" w:cs="Times New Roman"/>
          <w:b/>
          <w:szCs w:val="20"/>
          <w:lang w:val="en-US"/>
        </w:rPr>
      </w:pPr>
    </w:p>
    <w:p w14:paraId="41D647BE" w14:textId="77777777" w:rsidR="00130785" w:rsidRPr="00FE50A6" w:rsidRDefault="003B2CB1" w:rsidP="003B2CB1">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As we can see, in inter-American case law, economic status (poverty or economic situation) has</w:t>
      </w:r>
      <w:r w:rsidR="00505E66" w:rsidRPr="00FE50A6">
        <w:rPr>
          <w:rFonts w:eastAsia="Cambria" w:cs="Times New Roman"/>
          <w:szCs w:val="20"/>
          <w:lang w:val="en-US"/>
        </w:rPr>
        <w:t xml:space="preserve"> </w:t>
      </w:r>
      <w:r w:rsidR="0067450B" w:rsidRPr="00FE50A6">
        <w:rPr>
          <w:rFonts w:eastAsia="Cambria" w:cs="Times New Roman"/>
          <w:szCs w:val="20"/>
          <w:lang w:val="en-US"/>
        </w:rPr>
        <w:t xml:space="preserve">been </w:t>
      </w:r>
      <w:r w:rsidR="00505E66" w:rsidRPr="00FE50A6">
        <w:rPr>
          <w:rFonts w:eastAsia="Cambria" w:cs="Times New Roman"/>
          <w:szCs w:val="20"/>
          <w:lang w:val="en-US"/>
        </w:rPr>
        <w:t>examined i</w:t>
      </w:r>
      <w:r w:rsidRPr="00FE50A6">
        <w:rPr>
          <w:rFonts w:eastAsia="Cambria" w:cs="Times New Roman"/>
          <w:szCs w:val="20"/>
          <w:lang w:val="en-US"/>
        </w:rPr>
        <w:t>n three different ways: first, poverty or economic status associated with traditionally identified vulnerable groups (children, women, indigenous peoples, people with disabilities, migrants, etc.); second, poverty or economic status analyzed as multiple/comp</w:t>
      </w:r>
      <w:r w:rsidR="00505E66" w:rsidRPr="00FE50A6">
        <w:rPr>
          <w:rFonts w:eastAsia="Cambria" w:cs="Times New Roman"/>
          <w:szCs w:val="20"/>
          <w:lang w:val="en-US"/>
        </w:rPr>
        <w:t>ounded</w:t>
      </w:r>
      <w:r w:rsidRPr="00FE50A6">
        <w:rPr>
          <w:rFonts w:eastAsia="Cambria" w:cs="Times New Roman"/>
          <w:szCs w:val="20"/>
          <w:vertAlign w:val="superscript"/>
          <w:lang w:val="en-US"/>
        </w:rPr>
        <w:footnoteReference w:id="597"/>
      </w:r>
      <w:r w:rsidRPr="00FE50A6">
        <w:rPr>
          <w:rFonts w:eastAsia="Cambria" w:cs="Times New Roman"/>
          <w:szCs w:val="20"/>
          <w:lang w:val="en-US"/>
        </w:rPr>
        <w:t xml:space="preserve"> or intersected</w:t>
      </w:r>
      <w:r w:rsidRPr="00FE50A6">
        <w:rPr>
          <w:rFonts w:eastAsia="Cambria" w:cs="Times New Roman"/>
          <w:szCs w:val="20"/>
          <w:vertAlign w:val="superscript"/>
          <w:lang w:val="en-US"/>
        </w:rPr>
        <w:footnoteReference w:id="598"/>
      </w:r>
      <w:r w:rsidRPr="00FE50A6">
        <w:rPr>
          <w:rFonts w:eastAsia="Cambria" w:cs="Times New Roman"/>
          <w:szCs w:val="20"/>
          <w:lang w:val="en-US"/>
        </w:rPr>
        <w:t xml:space="preserve"> with other categories and, third, poverty or economic status analyzed in isolation </w:t>
      </w:r>
      <w:r w:rsidR="00505E66" w:rsidRPr="00FE50A6">
        <w:rPr>
          <w:rFonts w:eastAsia="Cambria" w:cs="Times New Roman"/>
          <w:szCs w:val="20"/>
          <w:lang w:val="en-US"/>
        </w:rPr>
        <w:t>in view of the circumstances of the case, without relating it to any other category of special protection.</w:t>
      </w:r>
      <w:r w:rsidR="00505E66" w:rsidRPr="00FE50A6">
        <w:rPr>
          <w:rFonts w:eastAsia="Cambria" w:cs="Times New Roman"/>
          <w:szCs w:val="20"/>
          <w:vertAlign w:val="superscript"/>
          <w:lang w:val="en-US"/>
        </w:rPr>
        <w:footnoteReference w:id="599"/>
      </w:r>
      <w:r w:rsidR="00505E66" w:rsidRPr="00FE50A6">
        <w:rPr>
          <w:rFonts w:eastAsia="Cambria" w:cs="Times New Roman"/>
          <w:szCs w:val="20"/>
          <w:lang w:val="en-US"/>
        </w:rPr>
        <w:t xml:space="preserve"> However, </w:t>
      </w:r>
      <w:r w:rsidR="0067450B" w:rsidRPr="00FE50A6">
        <w:rPr>
          <w:rFonts w:eastAsia="Cambria" w:cs="Times New Roman"/>
          <w:szCs w:val="20"/>
          <w:lang w:val="en-US"/>
        </w:rPr>
        <w:t xml:space="preserve">until the </w:t>
      </w:r>
      <w:r w:rsidR="0067450B" w:rsidRPr="00FE50A6">
        <w:rPr>
          <w:rFonts w:eastAsia="Cambria" w:cs="Times New Roman"/>
          <w:i/>
          <w:szCs w:val="20"/>
          <w:lang w:val="en-US"/>
        </w:rPr>
        <w:t>Case of the</w:t>
      </w:r>
      <w:r w:rsidR="0067450B" w:rsidRPr="00FE50A6">
        <w:rPr>
          <w:rFonts w:eastAsia="Cambria" w:cs="Times New Roman"/>
          <w:szCs w:val="20"/>
          <w:lang w:val="en-US"/>
        </w:rPr>
        <w:t xml:space="preserve"> </w:t>
      </w:r>
      <w:r w:rsidR="0067450B" w:rsidRPr="00FE50A6">
        <w:rPr>
          <w:rFonts w:eastAsia="Cambria" w:cs="Times New Roman"/>
          <w:i/>
          <w:szCs w:val="20"/>
          <w:lang w:val="en-US"/>
        </w:rPr>
        <w:t>Hacienda Brasil Verde Workers</w:t>
      </w:r>
      <w:r w:rsidR="0067450B" w:rsidRPr="00FE50A6">
        <w:rPr>
          <w:rFonts w:eastAsia="Cambria" w:cs="Times New Roman"/>
          <w:szCs w:val="20"/>
          <w:lang w:val="en-US"/>
        </w:rPr>
        <w:t xml:space="preserve">, to which this separate opinion refers, </w:t>
      </w:r>
      <w:r w:rsidR="00505E66" w:rsidRPr="00FE50A6">
        <w:rPr>
          <w:rFonts w:eastAsia="Cambria" w:cs="Times New Roman"/>
          <w:szCs w:val="20"/>
          <w:lang w:val="en-US"/>
        </w:rPr>
        <w:t xml:space="preserve">this third factor has never been analyzed </w:t>
      </w:r>
      <w:r w:rsidR="0067450B" w:rsidRPr="00FE50A6">
        <w:rPr>
          <w:rFonts w:eastAsia="Cambria" w:cs="Times New Roman"/>
          <w:szCs w:val="20"/>
          <w:lang w:val="en-US"/>
        </w:rPr>
        <w:t>considering</w:t>
      </w:r>
      <w:r w:rsidR="00505E66" w:rsidRPr="00FE50A6">
        <w:rPr>
          <w:rFonts w:eastAsia="Cambria" w:cs="Times New Roman"/>
          <w:szCs w:val="20"/>
          <w:lang w:val="en-US"/>
        </w:rPr>
        <w:t xml:space="preserve"> poverty as part of the economic status</w:t>
      </w:r>
      <w:r w:rsidR="0067450B" w:rsidRPr="00FE50A6">
        <w:rPr>
          <w:rFonts w:eastAsia="Cambria" w:cs="Times New Roman"/>
          <w:szCs w:val="20"/>
          <w:lang w:val="en-US"/>
        </w:rPr>
        <w:t xml:space="preserve"> </w:t>
      </w:r>
      <w:r w:rsidR="007E02D6" w:rsidRPr="00FE50A6">
        <w:rPr>
          <w:rFonts w:eastAsia="Cambria" w:cs="Times New Roman"/>
          <w:szCs w:val="20"/>
          <w:lang w:val="en-US"/>
        </w:rPr>
        <w:t>under</w:t>
      </w:r>
      <w:r w:rsidR="0067450B" w:rsidRPr="00FE50A6">
        <w:rPr>
          <w:rFonts w:eastAsia="Cambria" w:cs="Times New Roman"/>
          <w:szCs w:val="20"/>
          <w:lang w:val="en-US"/>
        </w:rPr>
        <w:t xml:space="preserve"> </w:t>
      </w:r>
      <w:r w:rsidR="00505E66" w:rsidRPr="00FE50A6">
        <w:rPr>
          <w:rFonts w:eastAsia="Cambria" w:cs="Times New Roman"/>
          <w:szCs w:val="20"/>
          <w:lang w:val="en-US"/>
        </w:rPr>
        <w:t xml:space="preserve">the provisions of </w:t>
      </w:r>
      <w:r w:rsidR="000B587F" w:rsidRPr="00FE50A6">
        <w:rPr>
          <w:rFonts w:eastAsia="Cambria" w:cs="Times New Roman"/>
          <w:szCs w:val="20"/>
          <w:lang w:val="en-US"/>
        </w:rPr>
        <w:t>Article 1(1)</w:t>
      </w:r>
      <w:r w:rsidR="000228D0" w:rsidRPr="00FE50A6">
        <w:rPr>
          <w:rFonts w:eastAsia="Cambria" w:cs="Times New Roman"/>
          <w:szCs w:val="20"/>
          <w:lang w:val="en-US"/>
        </w:rPr>
        <w:t xml:space="preserve"> of the American Convention</w:t>
      </w:r>
      <w:r w:rsidR="0067450B" w:rsidRPr="00FE50A6">
        <w:rPr>
          <w:rFonts w:eastAsia="Cambria" w:cs="Times New Roman"/>
          <w:szCs w:val="20"/>
          <w:lang w:val="en-US"/>
        </w:rPr>
        <w:t>.</w:t>
      </w:r>
      <w:r w:rsidR="00130785" w:rsidRPr="00FE50A6">
        <w:rPr>
          <w:rFonts w:eastAsia="Cambria" w:cs="Times New Roman"/>
          <w:szCs w:val="20"/>
          <w:lang w:val="en-US"/>
        </w:rPr>
        <w:t xml:space="preserve"> </w:t>
      </w:r>
    </w:p>
    <w:p w14:paraId="548B1D90" w14:textId="77777777" w:rsidR="00130785" w:rsidRPr="00FE50A6" w:rsidRDefault="00130785" w:rsidP="00130785">
      <w:pPr>
        <w:tabs>
          <w:tab w:val="clear" w:pos="4419"/>
          <w:tab w:val="clear" w:pos="8838"/>
        </w:tabs>
        <w:spacing w:line="360" w:lineRule="auto"/>
        <w:contextualSpacing/>
        <w:jc w:val="center"/>
        <w:rPr>
          <w:rFonts w:eastAsia="Cambria" w:cs="Times New Roman"/>
          <w:b/>
          <w:szCs w:val="20"/>
          <w:lang w:val="en-US"/>
        </w:rPr>
      </w:pPr>
    </w:p>
    <w:p w14:paraId="77F9F979" w14:textId="77777777" w:rsidR="0067450B" w:rsidRPr="00FE50A6" w:rsidRDefault="00130785" w:rsidP="00B44229">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 xml:space="preserve">III. </w:t>
      </w:r>
      <w:r w:rsidR="00505E66" w:rsidRPr="00FE50A6">
        <w:rPr>
          <w:rFonts w:eastAsia="Cambria" w:cs="Times New Roman"/>
          <w:szCs w:val="20"/>
          <w:lang w:val="en-US"/>
        </w:rPr>
        <w:t>POVERTY AS PART OF THE “ECONOMIC STATUS” ESTABLISHED IN</w:t>
      </w:r>
      <w:r w:rsidRPr="00FE50A6">
        <w:rPr>
          <w:rFonts w:eastAsia="Cambria" w:cs="Times New Roman"/>
          <w:szCs w:val="20"/>
          <w:lang w:val="en-US"/>
        </w:rPr>
        <w:t xml:space="preserve"> </w:t>
      </w:r>
    </w:p>
    <w:p w14:paraId="4BE480D5" w14:textId="77777777" w:rsidR="00130785" w:rsidRPr="00FE50A6" w:rsidRDefault="000228D0" w:rsidP="00B44229">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THE AMERICAN CONVENTION</w:t>
      </w:r>
      <w:r w:rsidR="00130785" w:rsidRPr="00FE50A6">
        <w:rPr>
          <w:rFonts w:eastAsia="Cambria" w:cs="Times New Roman"/>
          <w:szCs w:val="20"/>
          <w:lang w:val="en-US"/>
        </w:rPr>
        <w:t xml:space="preserve"> </w:t>
      </w:r>
      <w:r w:rsidR="0088467F" w:rsidRPr="00FE50A6">
        <w:rPr>
          <w:rFonts w:eastAsia="Cambria" w:cs="Times New Roman"/>
          <w:szCs w:val="20"/>
          <w:lang w:val="en-US"/>
        </w:rPr>
        <w:t>IN THIS CASE</w:t>
      </w:r>
    </w:p>
    <w:p w14:paraId="182F382F" w14:textId="77777777" w:rsidR="00130785" w:rsidRPr="00FE50A6" w:rsidRDefault="00130785" w:rsidP="00130785">
      <w:pPr>
        <w:tabs>
          <w:tab w:val="clear" w:pos="4419"/>
          <w:tab w:val="clear" w:pos="8838"/>
        </w:tabs>
        <w:spacing w:line="276" w:lineRule="auto"/>
        <w:jc w:val="both"/>
        <w:rPr>
          <w:rFonts w:eastAsia="Cambria" w:cs="Times New Roman"/>
          <w:lang w:val="en-US"/>
        </w:rPr>
      </w:pPr>
    </w:p>
    <w:p w14:paraId="668B1D84" w14:textId="77777777" w:rsidR="00130785" w:rsidRPr="00FE50A6" w:rsidRDefault="00BC5C1E" w:rsidP="00D47D19">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Al</w:t>
      </w:r>
      <w:r w:rsidR="00D47D19" w:rsidRPr="00FE50A6">
        <w:rPr>
          <w:rFonts w:eastAsia="Cambria" w:cs="Times New Roman"/>
          <w:szCs w:val="20"/>
          <w:lang w:val="en-US"/>
        </w:rPr>
        <w:t xml:space="preserve">though the regional human rights courts have not ruled on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00D47D19" w:rsidRPr="00FE50A6">
        <w:rPr>
          <w:rFonts w:eastAsia="Cambria" w:cs="Times New Roman"/>
          <w:szCs w:val="20"/>
          <w:lang w:val="en-US"/>
        </w:rPr>
        <w:t xml:space="preserve">based on economic status derived from the poverty </w:t>
      </w:r>
      <w:r w:rsidR="0067450B" w:rsidRPr="00FE50A6">
        <w:rPr>
          <w:rFonts w:eastAsia="Cambria" w:cs="Times New Roman"/>
          <w:szCs w:val="20"/>
          <w:lang w:val="en-US"/>
        </w:rPr>
        <w:t>experienced</w:t>
      </w:r>
      <w:r w:rsidR="00D47D19" w:rsidRPr="00FE50A6">
        <w:rPr>
          <w:rFonts w:eastAsia="Cambria" w:cs="Times New Roman"/>
          <w:szCs w:val="20"/>
          <w:lang w:val="en-US"/>
        </w:rPr>
        <w:t xml:space="preserve"> by pe</w:t>
      </w:r>
      <w:r w:rsidR="0067450B" w:rsidRPr="00FE50A6">
        <w:rPr>
          <w:rFonts w:eastAsia="Cambria" w:cs="Times New Roman"/>
          <w:szCs w:val="20"/>
          <w:lang w:val="en-US"/>
        </w:rPr>
        <w:t>rsons</w:t>
      </w:r>
      <w:r w:rsidR="00D47D19" w:rsidRPr="00FE50A6">
        <w:rPr>
          <w:rFonts w:eastAsia="Cambria" w:cs="Times New Roman"/>
          <w:szCs w:val="20"/>
          <w:lang w:val="en-US"/>
        </w:rPr>
        <w:t xml:space="preserve"> subject to their jurisdictions –</w:t>
      </w:r>
      <w:r w:rsidR="0067450B" w:rsidRPr="00FE50A6">
        <w:rPr>
          <w:rFonts w:eastAsia="Cambria" w:cs="Times New Roman"/>
          <w:szCs w:val="20"/>
          <w:lang w:val="en-US"/>
        </w:rPr>
        <w:t xml:space="preserve"> </w:t>
      </w:r>
      <w:r w:rsidR="00D47D19" w:rsidRPr="00FE50A6">
        <w:rPr>
          <w:rFonts w:eastAsia="Cambria" w:cs="Times New Roman"/>
          <w:szCs w:val="20"/>
          <w:lang w:val="en-US"/>
        </w:rPr>
        <w:t xml:space="preserve">perhaps due to the fact that, </w:t>
      </w:r>
      <w:r w:rsidR="0067450B" w:rsidRPr="00FE50A6">
        <w:rPr>
          <w:rFonts w:eastAsia="Cambria" w:cs="Times New Roman"/>
          <w:szCs w:val="20"/>
          <w:lang w:val="en-US"/>
        </w:rPr>
        <w:t>unlike</w:t>
      </w:r>
      <w:r w:rsidR="00D47D19" w:rsidRPr="00FE50A6">
        <w:rPr>
          <w:rFonts w:eastAsia="Cambria" w:cs="Times New Roman"/>
          <w:szCs w:val="20"/>
          <w:lang w:val="en-US"/>
        </w:rPr>
        <w:t xml:space="preserve"> the American Convention</w:t>
      </w:r>
      <w:r w:rsidR="00130785" w:rsidRPr="00FE50A6">
        <w:rPr>
          <w:rFonts w:eastAsia="Cambria" w:cs="Times New Roman"/>
          <w:szCs w:val="20"/>
          <w:lang w:val="en-US"/>
        </w:rPr>
        <w:t xml:space="preserve">, </w:t>
      </w:r>
      <w:r w:rsidR="009D23B3" w:rsidRPr="00FE50A6">
        <w:rPr>
          <w:rFonts w:eastAsia="Cambria" w:cs="Times New Roman"/>
          <w:szCs w:val="20"/>
          <w:lang w:val="en-US"/>
        </w:rPr>
        <w:t>the European Convention</w:t>
      </w:r>
      <w:r w:rsidR="00030C17" w:rsidRPr="00FE50A6">
        <w:rPr>
          <w:rFonts w:eastAsia="Cambria" w:cs="Times New Roman"/>
          <w:szCs w:val="20"/>
          <w:lang w:val="en-US"/>
        </w:rPr>
        <w:t xml:space="preserve"> and </w:t>
      </w:r>
      <w:r w:rsidR="00D47D19" w:rsidRPr="00FE50A6">
        <w:rPr>
          <w:rFonts w:eastAsia="Cambria" w:cs="Times New Roman"/>
          <w:szCs w:val="20"/>
          <w:lang w:val="en-US"/>
        </w:rPr>
        <w:t xml:space="preserve">the African Charter do not expressly include the prohibition of discrimination based on “economic status” – as </w:t>
      </w:r>
      <w:r w:rsidRPr="00FE50A6">
        <w:rPr>
          <w:rFonts w:eastAsia="Cambria" w:cs="Times New Roman"/>
          <w:szCs w:val="20"/>
          <w:lang w:val="en-US"/>
        </w:rPr>
        <w:t>shown above</w:t>
      </w:r>
      <w:r w:rsidR="00D47D19" w:rsidRPr="00FE50A6">
        <w:rPr>
          <w:rFonts w:eastAsia="Cambria" w:cs="Times New Roman"/>
          <w:szCs w:val="20"/>
          <w:lang w:val="en-US"/>
        </w:rPr>
        <w:t xml:space="preserve">, the Inter-American Court is </w:t>
      </w:r>
      <w:r w:rsidRPr="00FE50A6">
        <w:rPr>
          <w:rFonts w:eastAsia="Cambria" w:cs="Times New Roman"/>
          <w:szCs w:val="20"/>
          <w:lang w:val="en-US"/>
        </w:rPr>
        <w:t xml:space="preserve">in line with </w:t>
      </w:r>
      <w:r w:rsidR="00D47D19" w:rsidRPr="00FE50A6">
        <w:rPr>
          <w:rFonts w:eastAsia="Cambria" w:cs="Times New Roman"/>
          <w:szCs w:val="20"/>
          <w:lang w:val="en-US"/>
        </w:rPr>
        <w:t xml:space="preserve">the universal system </w:t>
      </w:r>
      <w:r w:rsidRPr="00FE50A6">
        <w:rPr>
          <w:rFonts w:eastAsia="Cambria" w:cs="Times New Roman"/>
          <w:szCs w:val="20"/>
          <w:lang w:val="en-US"/>
        </w:rPr>
        <w:t>when it</w:t>
      </w:r>
      <w:r w:rsidR="00D47D19" w:rsidRPr="00FE50A6">
        <w:rPr>
          <w:rFonts w:eastAsia="Cambria" w:cs="Times New Roman"/>
          <w:szCs w:val="20"/>
          <w:lang w:val="en-US"/>
        </w:rPr>
        <w:t xml:space="preserve"> recogniz</w:t>
      </w:r>
      <w:r w:rsidRPr="00FE50A6">
        <w:rPr>
          <w:rFonts w:eastAsia="Cambria" w:cs="Times New Roman"/>
          <w:szCs w:val="20"/>
          <w:lang w:val="en-US"/>
        </w:rPr>
        <w:t>es</w:t>
      </w:r>
      <w:r w:rsidR="00D47D19" w:rsidRPr="00FE50A6">
        <w:rPr>
          <w:rFonts w:eastAsia="Cambria" w:cs="Times New Roman"/>
          <w:szCs w:val="20"/>
          <w:lang w:val="en-US"/>
        </w:rPr>
        <w:t xml:space="preserve"> that people living in poverty are protected by </w:t>
      </w:r>
      <w:r w:rsidR="000B587F" w:rsidRPr="00FE50A6">
        <w:rPr>
          <w:rFonts w:eastAsia="Cambria" w:cs="Times New Roman"/>
          <w:szCs w:val="20"/>
          <w:lang w:val="en-US"/>
        </w:rPr>
        <w:t>Article 1(1)</w:t>
      </w:r>
      <w:r w:rsidR="000228D0" w:rsidRPr="00FE50A6">
        <w:rPr>
          <w:rFonts w:eastAsia="Cambria" w:cs="Times New Roman"/>
          <w:szCs w:val="20"/>
          <w:lang w:val="en-US"/>
        </w:rPr>
        <w:t xml:space="preserve"> of the American Convention</w:t>
      </w:r>
      <w:r w:rsidR="00130785" w:rsidRPr="00FE50A6">
        <w:rPr>
          <w:rFonts w:eastAsia="Cambria" w:cs="Times New Roman"/>
          <w:szCs w:val="20"/>
          <w:lang w:val="en-US"/>
        </w:rPr>
        <w:t xml:space="preserve"> </w:t>
      </w:r>
      <w:r w:rsidR="00D47D19" w:rsidRPr="00FE50A6">
        <w:rPr>
          <w:rFonts w:eastAsia="Cambria" w:cs="Times New Roman"/>
          <w:szCs w:val="20"/>
          <w:lang w:val="en-US"/>
        </w:rPr>
        <w:t xml:space="preserve">owing to their economic status. Thus,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ad</w:t>
      </w:r>
      <w:r w:rsidR="00D47D19" w:rsidRPr="00FE50A6">
        <w:rPr>
          <w:rFonts w:eastAsia="Cambria" w:cs="Times New Roman"/>
          <w:szCs w:val="20"/>
          <w:lang w:val="en-US"/>
        </w:rPr>
        <w:t xml:space="preserve">ds </w:t>
      </w:r>
      <w:r w:rsidRPr="00FE50A6">
        <w:rPr>
          <w:rFonts w:eastAsia="Cambria" w:cs="Times New Roman"/>
          <w:szCs w:val="20"/>
          <w:lang w:val="en-US"/>
        </w:rPr>
        <w:t>another</w:t>
      </w:r>
      <w:r w:rsidR="00D47D19" w:rsidRPr="00FE50A6">
        <w:rPr>
          <w:rFonts w:eastAsia="Cambria" w:cs="Times New Roman"/>
          <w:szCs w:val="20"/>
          <w:lang w:val="en-US"/>
        </w:rPr>
        <w:t xml:space="preserve"> way of understanding poverty as part of a </w:t>
      </w:r>
      <w:r w:rsidRPr="00FE50A6">
        <w:rPr>
          <w:rFonts w:eastAsia="Cambria" w:cs="Times New Roman"/>
          <w:szCs w:val="20"/>
          <w:lang w:val="en-US"/>
        </w:rPr>
        <w:t xml:space="preserve">category meriting </w:t>
      </w:r>
      <w:r w:rsidR="00D47D19" w:rsidRPr="00FE50A6">
        <w:rPr>
          <w:rFonts w:eastAsia="Cambria" w:cs="Times New Roman"/>
          <w:szCs w:val="20"/>
          <w:lang w:val="en-US"/>
        </w:rPr>
        <w:t>special protection</w:t>
      </w:r>
      <w:r w:rsidR="00130785" w:rsidRPr="00FE50A6">
        <w:rPr>
          <w:rFonts w:eastAsia="Cambria" w:cs="Times New Roman"/>
          <w:szCs w:val="20"/>
          <w:lang w:val="en-US"/>
        </w:rPr>
        <w:t>.</w:t>
      </w:r>
    </w:p>
    <w:p w14:paraId="01F844DF" w14:textId="77777777" w:rsidR="00130785" w:rsidRPr="00FE50A6" w:rsidRDefault="00130785" w:rsidP="00130785">
      <w:p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 xml:space="preserve"> </w:t>
      </w:r>
    </w:p>
    <w:p w14:paraId="2C76D26A" w14:textId="77777777" w:rsidR="00130785" w:rsidRPr="00FE50A6" w:rsidRDefault="00D47D19" w:rsidP="00D47D19">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lang w:val="en-US"/>
        </w:rPr>
        <w:t xml:space="preserve">In </w:t>
      </w:r>
      <w:r w:rsidR="00BC5C1E" w:rsidRPr="00FE50A6">
        <w:rPr>
          <w:rFonts w:eastAsia="Cambria" w:cs="Times New Roman"/>
          <w:lang w:val="en-US"/>
        </w:rPr>
        <w:t>its</w:t>
      </w:r>
      <w:r w:rsidRPr="00FE50A6">
        <w:rPr>
          <w:rFonts w:eastAsia="Cambria" w:cs="Times New Roman"/>
          <w:lang w:val="en-US"/>
        </w:rPr>
        <w:t xml:space="preserve"> judgment, th</w:t>
      </w:r>
      <w:r w:rsidR="00CD3CCC" w:rsidRPr="00FE50A6">
        <w:rPr>
          <w:rFonts w:eastAsia="Cambria" w:cs="Times New Roman"/>
          <w:lang w:val="en-US"/>
        </w:rPr>
        <w:t>e Inter-American Court</w:t>
      </w:r>
      <w:r w:rsidRPr="00FE50A6">
        <w:rPr>
          <w:rFonts w:eastAsia="Cambria" w:cs="Times New Roman"/>
          <w:lang w:val="en-US"/>
        </w:rPr>
        <w:t xml:space="preserve"> recognized, for the first time, that the discriminatory acts in this case resulted from the economic status – the </w:t>
      </w:r>
      <w:r w:rsidR="00577A31" w:rsidRPr="00FE50A6">
        <w:rPr>
          <w:rFonts w:eastAsia="Cambria" w:cs="Times New Roman"/>
          <w:lang w:val="en-US"/>
        </w:rPr>
        <w:t xml:space="preserve">condition of poverty – of the 85 victims who were in </w:t>
      </w:r>
      <w:r w:rsidR="00130785" w:rsidRPr="00FE50A6">
        <w:rPr>
          <w:rFonts w:eastAsia="Cambria" w:cs="Times New Roman"/>
          <w:lang w:val="en-US"/>
        </w:rPr>
        <w:t xml:space="preserve">Hacienda </w:t>
      </w:r>
      <w:r w:rsidR="00322241" w:rsidRPr="00FE50A6">
        <w:rPr>
          <w:rFonts w:eastAsia="Cambria" w:cs="Times New Roman"/>
          <w:lang w:val="en-US"/>
        </w:rPr>
        <w:t>Brasil Verde</w:t>
      </w:r>
      <w:r w:rsidR="00130785" w:rsidRPr="00FE50A6">
        <w:rPr>
          <w:rFonts w:eastAsia="Cambria" w:cs="Times New Roman"/>
          <w:lang w:val="en-US"/>
        </w:rPr>
        <w:t xml:space="preserve">. </w:t>
      </w:r>
      <w:r w:rsidR="00577A31" w:rsidRPr="00FE50A6">
        <w:rPr>
          <w:rFonts w:eastAsia="Cambria" w:cs="Times New Roman"/>
          <w:lang w:val="en-US"/>
        </w:rPr>
        <w:t>Thus, it establishe</w:t>
      </w:r>
      <w:r w:rsidR="00BC5C1E" w:rsidRPr="00FE50A6">
        <w:rPr>
          <w:rFonts w:eastAsia="Cambria" w:cs="Times New Roman"/>
          <w:lang w:val="en-US"/>
        </w:rPr>
        <w:t>d</w:t>
      </w:r>
      <w:r w:rsidR="00577A31" w:rsidRPr="00FE50A6">
        <w:rPr>
          <w:rFonts w:eastAsia="Cambria" w:cs="Times New Roman"/>
          <w:lang w:val="en-US"/>
        </w:rPr>
        <w:t xml:space="preserve">: </w:t>
      </w:r>
    </w:p>
    <w:p w14:paraId="6572F736" w14:textId="77777777" w:rsidR="00130785" w:rsidRPr="00FE50A6" w:rsidRDefault="00130785" w:rsidP="00130785">
      <w:pPr>
        <w:tabs>
          <w:tab w:val="clear" w:pos="4419"/>
          <w:tab w:val="clear" w:pos="8838"/>
        </w:tabs>
        <w:jc w:val="both"/>
        <w:rPr>
          <w:rFonts w:eastAsia="Cambria" w:cs="Times New Roman"/>
          <w:lang w:val="en-US"/>
        </w:rPr>
      </w:pPr>
    </w:p>
    <w:p w14:paraId="0682C722" w14:textId="77777777" w:rsidR="00130785" w:rsidRPr="00FE50A6" w:rsidRDefault="00130785" w:rsidP="00BC5C1E">
      <w:pPr>
        <w:ind w:left="720" w:right="558"/>
        <w:jc w:val="both"/>
        <w:rPr>
          <w:sz w:val="16"/>
          <w:szCs w:val="16"/>
          <w:lang w:val="en-US"/>
        </w:rPr>
      </w:pPr>
      <w:r w:rsidRPr="00FE50A6">
        <w:rPr>
          <w:rFonts w:eastAsia="Cambria" w:cs="Times New Roman"/>
          <w:sz w:val="16"/>
          <w:szCs w:val="16"/>
          <w:lang w:val="en-US"/>
        </w:rPr>
        <w:t xml:space="preserve">339. </w:t>
      </w:r>
      <w:r w:rsidR="008755E0" w:rsidRPr="00FE50A6">
        <w:rPr>
          <w:sz w:val="16"/>
          <w:szCs w:val="16"/>
          <w:lang w:val="en-US"/>
        </w:rPr>
        <w:t xml:space="preserve">In this case, […] some characteristics of specific victimization shared by the 85 workers rescued on March 15, 2000: </w:t>
      </w:r>
      <w:r w:rsidR="008755E0" w:rsidRPr="00FE50A6">
        <w:rPr>
          <w:rFonts w:eastAsia="Cambria" w:cs="Times New Roman"/>
          <w:b/>
          <w:sz w:val="16"/>
          <w:szCs w:val="16"/>
          <w:lang w:val="en-US"/>
        </w:rPr>
        <w:t xml:space="preserve">[(i)] </w:t>
      </w:r>
      <w:r w:rsidR="008755E0" w:rsidRPr="00FE50A6">
        <w:rPr>
          <w:b/>
          <w:sz w:val="16"/>
          <w:szCs w:val="16"/>
          <w:lang w:val="en-US"/>
        </w:rPr>
        <w:t xml:space="preserve">they were poor; </w:t>
      </w:r>
      <w:r w:rsidR="008755E0" w:rsidRPr="00FE50A6">
        <w:rPr>
          <w:rFonts w:eastAsia="Cambria" w:cs="Times New Roman"/>
          <w:b/>
          <w:sz w:val="16"/>
          <w:szCs w:val="16"/>
          <w:lang w:val="en-US"/>
        </w:rPr>
        <w:t xml:space="preserve">[(ii)] </w:t>
      </w:r>
      <w:r w:rsidR="008755E0" w:rsidRPr="00FE50A6">
        <w:rPr>
          <w:b/>
          <w:sz w:val="16"/>
          <w:szCs w:val="16"/>
          <w:lang w:val="en-US"/>
        </w:rPr>
        <w:t xml:space="preserve">they came from the poorest regions of the country, </w:t>
      </w:r>
      <w:r w:rsidR="008755E0" w:rsidRPr="00FE50A6">
        <w:rPr>
          <w:rFonts w:eastAsia="Cambria" w:cs="Times New Roman"/>
          <w:b/>
          <w:sz w:val="16"/>
          <w:szCs w:val="16"/>
          <w:lang w:val="en-US"/>
        </w:rPr>
        <w:t xml:space="preserve">[(iii)] </w:t>
      </w:r>
      <w:r w:rsidR="008755E0" w:rsidRPr="00FE50A6">
        <w:rPr>
          <w:b/>
          <w:sz w:val="16"/>
          <w:szCs w:val="16"/>
          <w:lang w:val="en-US"/>
        </w:rPr>
        <w:t xml:space="preserve"> with the lowest human development and possibilities of work and employment, and </w:t>
      </w:r>
      <w:r w:rsidR="008755E0" w:rsidRPr="00FE50A6">
        <w:rPr>
          <w:rFonts w:eastAsia="Cambria" w:cs="Times New Roman"/>
          <w:b/>
          <w:sz w:val="16"/>
          <w:szCs w:val="16"/>
          <w:lang w:val="en-US"/>
        </w:rPr>
        <w:t xml:space="preserve">[(iv)] </w:t>
      </w:r>
      <w:r w:rsidR="008755E0" w:rsidRPr="00FE50A6">
        <w:rPr>
          <w:b/>
          <w:sz w:val="16"/>
          <w:szCs w:val="16"/>
          <w:lang w:val="en-US"/>
        </w:rPr>
        <w:t xml:space="preserve">they were illiterate and </w:t>
      </w:r>
      <w:r w:rsidR="008755E0" w:rsidRPr="00FE50A6">
        <w:rPr>
          <w:rFonts w:eastAsia="Cambria" w:cs="Times New Roman"/>
          <w:b/>
          <w:sz w:val="16"/>
          <w:szCs w:val="16"/>
          <w:lang w:val="en-US"/>
        </w:rPr>
        <w:t xml:space="preserve">[(v)] </w:t>
      </w:r>
      <w:r w:rsidR="008755E0" w:rsidRPr="00FE50A6">
        <w:rPr>
          <w:b/>
          <w:sz w:val="16"/>
          <w:szCs w:val="16"/>
          <w:lang w:val="en-US"/>
        </w:rPr>
        <w:t>with little or no schooling</w:t>
      </w:r>
      <w:r w:rsidR="008755E0" w:rsidRPr="00FE50A6">
        <w:rPr>
          <w:sz w:val="16"/>
          <w:szCs w:val="16"/>
          <w:lang w:val="en-US"/>
        </w:rPr>
        <w:t xml:space="preserve">. This placed them in a situation that made them more susceptible to recruitment by means of false promises and deception. </w:t>
      </w:r>
      <w:r w:rsidR="008755E0" w:rsidRPr="00FE50A6">
        <w:rPr>
          <w:b/>
          <w:sz w:val="16"/>
          <w:szCs w:val="16"/>
          <w:lang w:val="en-US"/>
        </w:rPr>
        <w:t xml:space="preserve">This situation of imminent risk for a specific group of people with identical characteristics, from the same regions of the country, </w:t>
      </w:r>
      <w:r w:rsidR="008755E0" w:rsidRPr="00FE50A6">
        <w:rPr>
          <w:b/>
          <w:sz w:val="16"/>
          <w:szCs w:val="16"/>
          <w:u w:val="single"/>
          <w:lang w:val="en-US"/>
        </w:rPr>
        <w:t xml:space="preserve">had historical roots and </w:t>
      </w:r>
      <w:r w:rsidR="000A24E9" w:rsidRPr="00FE50A6">
        <w:rPr>
          <w:b/>
          <w:sz w:val="16"/>
          <w:szCs w:val="16"/>
          <w:u w:val="single"/>
          <w:lang w:val="en-US"/>
        </w:rPr>
        <w:t xml:space="preserve">had been </w:t>
      </w:r>
      <w:r w:rsidR="008755E0" w:rsidRPr="00FE50A6">
        <w:rPr>
          <w:b/>
          <w:sz w:val="16"/>
          <w:szCs w:val="16"/>
          <w:u w:val="single"/>
          <w:lang w:val="en-US"/>
        </w:rPr>
        <w:t>known</w:t>
      </w:r>
      <w:r w:rsidR="008755E0" w:rsidRPr="00FE50A6">
        <w:rPr>
          <w:b/>
          <w:sz w:val="16"/>
          <w:szCs w:val="16"/>
          <w:lang w:val="en-US"/>
        </w:rPr>
        <w:t xml:space="preserve"> since, at least, 1995</w:t>
      </w:r>
      <w:r w:rsidR="008755E0" w:rsidRPr="00FE50A6">
        <w:rPr>
          <w:sz w:val="16"/>
          <w:szCs w:val="16"/>
          <w:lang w:val="en-US"/>
        </w:rPr>
        <w:t xml:space="preserve"> when the Brazilian Government expressly acknowledged the existence of “slave labor” in the country </w:t>
      </w:r>
      <w:r w:rsidRPr="00FE50A6">
        <w:rPr>
          <w:rFonts w:eastAsia="Cambria" w:cs="Times New Roman"/>
          <w:sz w:val="16"/>
          <w:szCs w:val="16"/>
          <w:lang w:val="en-US"/>
        </w:rPr>
        <w:t>[…].</w:t>
      </w:r>
    </w:p>
    <w:p w14:paraId="621E2822" w14:textId="77777777" w:rsidR="00130785" w:rsidRPr="00FE50A6" w:rsidRDefault="00130785" w:rsidP="00BC5C1E">
      <w:pPr>
        <w:tabs>
          <w:tab w:val="clear" w:pos="4419"/>
          <w:tab w:val="clear" w:pos="8838"/>
        </w:tabs>
        <w:ind w:left="708" w:right="558"/>
        <w:jc w:val="both"/>
        <w:rPr>
          <w:rFonts w:eastAsia="Cambria" w:cs="Times New Roman"/>
          <w:i/>
          <w:sz w:val="16"/>
          <w:szCs w:val="16"/>
          <w:lang w:val="en-US"/>
        </w:rPr>
      </w:pPr>
    </w:p>
    <w:p w14:paraId="39F696D0" w14:textId="77777777" w:rsidR="00130785" w:rsidRPr="00FE50A6" w:rsidRDefault="00130785" w:rsidP="00BC5C1E">
      <w:pPr>
        <w:tabs>
          <w:tab w:val="clear" w:pos="4419"/>
          <w:tab w:val="clear" w:pos="8838"/>
        </w:tabs>
        <w:ind w:left="708" w:right="558"/>
        <w:jc w:val="both"/>
        <w:rPr>
          <w:sz w:val="16"/>
          <w:szCs w:val="16"/>
          <w:lang w:val="en-US"/>
        </w:rPr>
      </w:pPr>
      <w:r w:rsidRPr="00FE50A6">
        <w:rPr>
          <w:rFonts w:eastAsia="Cambria" w:cs="Times New Roman"/>
          <w:sz w:val="16"/>
          <w:szCs w:val="16"/>
          <w:lang w:val="en-US"/>
        </w:rPr>
        <w:t xml:space="preserve">341. </w:t>
      </w:r>
      <w:r w:rsidR="008755E0" w:rsidRPr="00FE50A6">
        <w:rPr>
          <w:sz w:val="16"/>
          <w:szCs w:val="16"/>
          <w:lang w:val="en-US"/>
        </w:rPr>
        <w:t xml:space="preserve">Having verified this situation, the Court finds that the State failed to take into account the vulnerability of the 85 workers rescued on March 15, 2000, </w:t>
      </w:r>
      <w:r w:rsidR="008755E0" w:rsidRPr="00FE50A6">
        <w:rPr>
          <w:b/>
          <w:sz w:val="16"/>
          <w:szCs w:val="16"/>
          <w:u w:val="single"/>
          <w:lang w:val="en-US"/>
        </w:rPr>
        <w:t>owing to discrimination based on their economic status</w:t>
      </w:r>
      <w:r w:rsidR="008755E0" w:rsidRPr="00FE50A6">
        <w:rPr>
          <w:sz w:val="16"/>
          <w:szCs w:val="16"/>
          <w:lang w:val="en-US"/>
        </w:rPr>
        <w:t>. This constitutes a violation of Article 6(1) of the American Convention, in relation to Article 1(1) of this instrument, to their detriment</w:t>
      </w:r>
      <w:r w:rsidR="000A24E9" w:rsidRPr="00FE50A6">
        <w:rPr>
          <w:sz w:val="16"/>
          <w:szCs w:val="16"/>
          <w:lang w:val="en-US"/>
        </w:rPr>
        <w:t>.</w:t>
      </w:r>
      <w:r w:rsidRPr="00FE50A6">
        <w:rPr>
          <w:rFonts w:eastAsia="Cambria" w:cs="Times New Roman"/>
          <w:sz w:val="16"/>
          <w:szCs w:val="20"/>
          <w:vertAlign w:val="superscript"/>
          <w:lang w:val="en-US"/>
        </w:rPr>
        <w:footnoteReference w:id="600"/>
      </w:r>
      <w:r w:rsidRPr="00FE50A6">
        <w:rPr>
          <w:rFonts w:eastAsia="Cambria" w:cs="Times New Roman"/>
          <w:i/>
          <w:sz w:val="16"/>
          <w:szCs w:val="16"/>
          <w:lang w:val="en-US"/>
        </w:rPr>
        <w:t xml:space="preserve"> </w:t>
      </w:r>
      <w:r w:rsidRPr="00FE50A6">
        <w:rPr>
          <w:rFonts w:eastAsia="Cambria" w:cs="Times New Roman"/>
          <w:sz w:val="16"/>
          <w:szCs w:val="16"/>
          <w:lang w:val="en-US"/>
        </w:rPr>
        <w:t>(</w:t>
      </w:r>
      <w:r w:rsidR="00577A31" w:rsidRPr="00FE50A6">
        <w:rPr>
          <w:rFonts w:eastAsia="Cambria" w:cs="Times New Roman"/>
          <w:sz w:val="16"/>
          <w:szCs w:val="16"/>
          <w:lang w:val="en-US"/>
        </w:rPr>
        <w:t>emphasis added</w:t>
      </w:r>
      <w:r w:rsidRPr="00FE50A6">
        <w:rPr>
          <w:rFonts w:eastAsia="Cambria" w:cs="Times New Roman"/>
          <w:sz w:val="16"/>
          <w:szCs w:val="16"/>
          <w:lang w:val="en-US"/>
        </w:rPr>
        <w:t>).</w:t>
      </w:r>
      <w:r w:rsidRPr="00FE50A6">
        <w:rPr>
          <w:rFonts w:eastAsia="Cambria" w:cs="Times New Roman"/>
          <w:i/>
          <w:sz w:val="16"/>
          <w:szCs w:val="16"/>
          <w:lang w:val="en-US"/>
        </w:rPr>
        <w:t xml:space="preserve"> </w:t>
      </w:r>
    </w:p>
    <w:p w14:paraId="44048A12" w14:textId="77777777" w:rsidR="00130785" w:rsidRPr="00FE50A6" w:rsidRDefault="00130785" w:rsidP="00130785">
      <w:pPr>
        <w:tabs>
          <w:tab w:val="clear" w:pos="4419"/>
          <w:tab w:val="clear" w:pos="8838"/>
        </w:tabs>
        <w:ind w:left="708"/>
        <w:jc w:val="both"/>
        <w:rPr>
          <w:rFonts w:eastAsia="Cambria" w:cs="Times New Roman"/>
          <w:i/>
          <w:sz w:val="16"/>
          <w:szCs w:val="16"/>
          <w:lang w:val="en-US"/>
        </w:rPr>
      </w:pPr>
    </w:p>
    <w:p w14:paraId="7D31AC94" w14:textId="77777777" w:rsidR="00130785" w:rsidRPr="00FE50A6" w:rsidRDefault="00577A31" w:rsidP="00577A31">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Thus, the specific criteria owing to which discrimination is prohibited under Article 1(1) of the American Convention do not constitute an exhaustive, literal or restrictive list, but are merely exemplificative.</w:t>
      </w:r>
      <w:r w:rsidR="00130785" w:rsidRPr="00FE50A6">
        <w:rPr>
          <w:rFonts w:eastAsia="Cambria" w:cs="Times New Roman"/>
          <w:szCs w:val="20"/>
          <w:vertAlign w:val="superscript"/>
          <w:lang w:val="en-US"/>
        </w:rPr>
        <w:footnoteReference w:id="601"/>
      </w:r>
      <w:r w:rsidRPr="00FE50A6">
        <w:rPr>
          <w:rFonts w:eastAsia="Cambria" w:cs="Times New Roman"/>
          <w:szCs w:val="20"/>
          <w:lang w:val="en-US"/>
        </w:rPr>
        <w:t xml:space="preserve"> Contrary to other case</w:t>
      </w:r>
      <w:r w:rsidR="007E02D6" w:rsidRPr="00FE50A6">
        <w:rPr>
          <w:rFonts w:eastAsia="Cambria" w:cs="Times New Roman"/>
          <w:szCs w:val="20"/>
          <w:lang w:val="en-US"/>
        </w:rPr>
        <w:t>s</w:t>
      </w:r>
      <w:r w:rsidRPr="00FE50A6">
        <w:rPr>
          <w:rFonts w:eastAsia="Cambria" w:cs="Times New Roman"/>
          <w:szCs w:val="20"/>
          <w:lang w:val="en-US"/>
        </w:rPr>
        <w:t xml:space="preserve"> in which </w:t>
      </w:r>
      <w:r w:rsidR="00CD3CCC" w:rsidRPr="00FE50A6">
        <w:rPr>
          <w:rFonts w:eastAsia="Cambria" w:cs="Times New Roman"/>
          <w:szCs w:val="20"/>
          <w:lang w:val="en-US"/>
        </w:rPr>
        <w:t>the Inter-American Court</w:t>
      </w:r>
      <w:r w:rsidRPr="00FE50A6">
        <w:rPr>
          <w:rFonts w:eastAsia="Cambria" w:cs="Times New Roman"/>
          <w:szCs w:val="20"/>
          <w:lang w:val="en-US"/>
        </w:rPr>
        <w:t xml:space="preserve"> </w:t>
      </w:r>
      <w:r w:rsidR="00130785" w:rsidRPr="00FE50A6">
        <w:rPr>
          <w:rFonts w:eastAsia="Cambria" w:cs="Times New Roman"/>
          <w:szCs w:val="20"/>
          <w:lang w:val="en-US"/>
        </w:rPr>
        <w:t>ha</w:t>
      </w:r>
      <w:r w:rsidRPr="00FE50A6">
        <w:rPr>
          <w:rFonts w:eastAsia="Cambria" w:cs="Times New Roman"/>
          <w:szCs w:val="20"/>
          <w:lang w:val="en-US"/>
        </w:rPr>
        <w:t xml:space="preserve">s expanded the list of categories of special protection established in </w:t>
      </w:r>
      <w:r w:rsidR="000B587F" w:rsidRPr="00FE50A6">
        <w:rPr>
          <w:rFonts w:eastAsia="Cambria" w:cs="Times New Roman"/>
          <w:szCs w:val="20"/>
          <w:lang w:val="en-US"/>
        </w:rPr>
        <w:t>Article 1(1)</w:t>
      </w:r>
      <w:r w:rsidR="00130785" w:rsidRPr="00FE50A6">
        <w:rPr>
          <w:rFonts w:eastAsia="Cambria" w:cs="Times New Roman"/>
          <w:szCs w:val="20"/>
          <w:lang w:val="en-US"/>
        </w:rPr>
        <w:t xml:space="preserve"> </w:t>
      </w:r>
      <w:r w:rsidRPr="00FE50A6">
        <w:rPr>
          <w:rFonts w:eastAsia="Cambria" w:cs="Times New Roman"/>
          <w:szCs w:val="20"/>
          <w:lang w:val="en-US"/>
        </w:rPr>
        <w:t xml:space="preserve">of the </w:t>
      </w:r>
      <w:r w:rsidR="00090C6A" w:rsidRPr="00FE50A6">
        <w:rPr>
          <w:rFonts w:eastAsia="Cambria" w:cs="Times New Roman"/>
          <w:szCs w:val="20"/>
          <w:lang w:val="en-US"/>
        </w:rPr>
        <w:t>Pact of San</w:t>
      </w:r>
      <w:r w:rsidR="00130785" w:rsidRPr="00FE50A6">
        <w:rPr>
          <w:rFonts w:eastAsia="Cambria" w:cs="Times New Roman"/>
          <w:szCs w:val="20"/>
          <w:lang w:val="en-US"/>
        </w:rPr>
        <w:t xml:space="preserve"> José</w:t>
      </w:r>
      <w:r w:rsidRPr="00FE50A6">
        <w:rPr>
          <w:rFonts w:eastAsia="Cambria" w:cs="Times New Roman"/>
          <w:szCs w:val="20"/>
          <w:lang w:val="en-US"/>
        </w:rPr>
        <w:t>,</w:t>
      </w:r>
      <w:r w:rsidR="00130785" w:rsidRPr="00FE50A6">
        <w:rPr>
          <w:rFonts w:eastAsia="Cambria" w:cs="Times New Roman"/>
          <w:szCs w:val="20"/>
          <w:vertAlign w:val="superscript"/>
          <w:lang w:val="en-US"/>
        </w:rPr>
        <w:footnoteReference w:id="602"/>
      </w:r>
      <w:r w:rsidR="00130785" w:rsidRPr="00FE50A6">
        <w:rPr>
          <w:rFonts w:eastAsia="Cambria" w:cs="Times New Roman"/>
          <w:szCs w:val="20"/>
          <w:lang w:val="en-US"/>
        </w:rPr>
        <w:t xml:space="preserve"> incorpora</w:t>
      </w:r>
      <w:r w:rsidRPr="00FE50A6">
        <w:rPr>
          <w:rFonts w:eastAsia="Cambria" w:cs="Times New Roman"/>
          <w:szCs w:val="20"/>
          <w:lang w:val="en-US"/>
        </w:rPr>
        <w:t>ting, for example, gender identity and sexual orientation</w:t>
      </w:r>
      <w:r w:rsidR="00130785" w:rsidRPr="00FE50A6">
        <w:rPr>
          <w:rFonts w:eastAsia="Cambria" w:cs="Times New Roman"/>
          <w:szCs w:val="20"/>
          <w:vertAlign w:val="superscript"/>
          <w:lang w:val="en-US"/>
        </w:rPr>
        <w:footnoteReference w:id="603"/>
      </w:r>
      <w:r w:rsidR="00130785" w:rsidRPr="00FE50A6">
        <w:rPr>
          <w:rFonts w:eastAsia="Cambria" w:cs="Times New Roman"/>
          <w:szCs w:val="20"/>
          <w:lang w:val="en-US"/>
        </w:rPr>
        <w:t xml:space="preserve"> o</w:t>
      </w:r>
      <w:r w:rsidRPr="00FE50A6">
        <w:rPr>
          <w:rFonts w:eastAsia="Cambria" w:cs="Times New Roman"/>
          <w:szCs w:val="20"/>
          <w:lang w:val="en-US"/>
        </w:rPr>
        <w:t>r disability,</w:t>
      </w:r>
      <w:r w:rsidR="00130785" w:rsidRPr="00FE50A6">
        <w:rPr>
          <w:rFonts w:eastAsia="Cambria" w:cs="Times New Roman"/>
          <w:szCs w:val="20"/>
          <w:vertAlign w:val="superscript"/>
          <w:lang w:val="en-US"/>
        </w:rPr>
        <w:footnoteReference w:id="604"/>
      </w:r>
      <w:r w:rsidRPr="00FE50A6">
        <w:rPr>
          <w:rFonts w:eastAsia="Cambria" w:cs="Times New Roman"/>
          <w:szCs w:val="20"/>
          <w:lang w:val="en-US"/>
        </w:rPr>
        <w:t xml:space="preserve"> in this judgment, the Court delimits the meaning and scope </w:t>
      </w:r>
      <w:r w:rsidR="00511962" w:rsidRPr="00FE50A6">
        <w:rPr>
          <w:rFonts w:eastAsia="Cambria" w:cs="Times New Roman"/>
          <w:szCs w:val="20"/>
          <w:lang w:val="en-US"/>
        </w:rPr>
        <w:t xml:space="preserve">of the </w:t>
      </w:r>
      <w:r w:rsidR="00EE52F3" w:rsidRPr="00FE50A6">
        <w:rPr>
          <w:rFonts w:eastAsia="Cambria" w:cs="Times New Roman"/>
          <w:szCs w:val="20"/>
          <w:lang w:val="en-US"/>
        </w:rPr>
        <w:t>prohibition of</w:t>
      </w:r>
      <w:r w:rsidR="00130785" w:rsidRPr="00FE50A6">
        <w:rPr>
          <w:rFonts w:eastAsia="Cambria" w:cs="Times New Roman"/>
          <w:szCs w:val="20"/>
          <w:lang w:val="en-US"/>
        </w:rPr>
        <w:t xml:space="preserve">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Pr="00FE50A6">
        <w:rPr>
          <w:rFonts w:eastAsia="Cambria" w:cs="Times New Roman"/>
          <w:szCs w:val="20"/>
          <w:lang w:val="en-US"/>
        </w:rPr>
        <w:t xml:space="preserve">based on “economic status” by analyzing the </w:t>
      </w:r>
      <w:r w:rsidR="00772166" w:rsidRPr="00FE50A6">
        <w:rPr>
          <w:rFonts w:eastAsia="Cambria" w:cs="Times New Roman"/>
          <w:szCs w:val="20"/>
          <w:lang w:val="en-US"/>
        </w:rPr>
        <w:t>situation</w:t>
      </w:r>
      <w:r w:rsidRPr="00FE50A6">
        <w:rPr>
          <w:rFonts w:eastAsia="Cambria" w:cs="Times New Roman"/>
          <w:szCs w:val="20"/>
          <w:lang w:val="en-US"/>
        </w:rPr>
        <w:t xml:space="preserve"> of poverty </w:t>
      </w:r>
      <w:r w:rsidR="00772166" w:rsidRPr="00FE50A6">
        <w:rPr>
          <w:rFonts w:eastAsia="Cambria" w:cs="Times New Roman"/>
          <w:szCs w:val="20"/>
          <w:lang w:val="en-US"/>
        </w:rPr>
        <w:t>of</w:t>
      </w:r>
      <w:r w:rsidR="00130785" w:rsidRPr="00FE50A6">
        <w:rPr>
          <w:rFonts w:eastAsia="Cambria" w:cs="Times New Roman"/>
          <w:szCs w:val="20"/>
          <w:lang w:val="en-US"/>
        </w:rPr>
        <w:t xml:space="preserve"> 85</w:t>
      </w:r>
      <w:r w:rsidR="00772166" w:rsidRPr="00FE50A6">
        <w:rPr>
          <w:rFonts w:eastAsia="Cambria" w:cs="Times New Roman"/>
          <w:szCs w:val="20"/>
          <w:lang w:val="en-US"/>
        </w:rPr>
        <w:t xml:space="preserve"> of the</w:t>
      </w:r>
      <w:r w:rsidR="00130785" w:rsidRPr="00FE50A6">
        <w:rPr>
          <w:rFonts w:eastAsia="Cambria" w:cs="Times New Roman"/>
          <w:szCs w:val="20"/>
          <w:lang w:val="en-US"/>
        </w:rPr>
        <w:t xml:space="preserve"> </w:t>
      </w:r>
      <w:r w:rsidR="00772166" w:rsidRPr="00FE50A6">
        <w:rPr>
          <w:rFonts w:eastAsia="Cambria" w:cs="Times New Roman"/>
          <w:szCs w:val="20"/>
          <w:lang w:val="en-US"/>
        </w:rPr>
        <w:t>victims in this case</w:t>
      </w:r>
      <w:r w:rsidR="00130785" w:rsidRPr="00FE50A6">
        <w:rPr>
          <w:rFonts w:eastAsia="Cambria" w:cs="Times New Roman"/>
          <w:szCs w:val="20"/>
          <w:lang w:val="en-US"/>
        </w:rPr>
        <w:t xml:space="preserve">. </w:t>
      </w:r>
    </w:p>
    <w:p w14:paraId="75B69403" w14:textId="77777777" w:rsidR="00130785" w:rsidRPr="00FE50A6" w:rsidRDefault="00130785" w:rsidP="00130785">
      <w:pPr>
        <w:tabs>
          <w:tab w:val="clear" w:pos="4419"/>
          <w:tab w:val="clear" w:pos="8838"/>
        </w:tabs>
        <w:contextualSpacing/>
        <w:jc w:val="both"/>
        <w:rPr>
          <w:rFonts w:eastAsia="Cambria" w:cs="Times New Roman"/>
          <w:b/>
          <w:szCs w:val="20"/>
          <w:lang w:val="en-US"/>
        </w:rPr>
      </w:pPr>
    </w:p>
    <w:p w14:paraId="785926CE" w14:textId="77777777" w:rsidR="00130785" w:rsidRPr="00FE50A6" w:rsidRDefault="00772166" w:rsidP="008B0BCC">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this regard</w:t>
      </w:r>
      <w:r w:rsidR="00130785" w:rsidRPr="00FE50A6">
        <w:rPr>
          <w:rFonts w:eastAsia="Cambria" w:cs="Times New Roman"/>
          <w:szCs w:val="20"/>
          <w:lang w:val="en-US"/>
        </w:rPr>
        <w:t xml:space="preserve">, </w:t>
      </w:r>
      <w:r w:rsidR="006B0C55" w:rsidRPr="00FE50A6">
        <w:rPr>
          <w:rFonts w:eastAsia="Cambria" w:cs="Times New Roman"/>
          <w:szCs w:val="20"/>
          <w:lang w:val="en-US"/>
        </w:rPr>
        <w:t>the Special Rapporteur</w:t>
      </w:r>
      <w:r w:rsidR="00130785" w:rsidRPr="00FE50A6">
        <w:rPr>
          <w:rFonts w:eastAsia="Cambria" w:cs="Times New Roman"/>
          <w:szCs w:val="20"/>
          <w:lang w:val="en-US"/>
        </w:rPr>
        <w:t xml:space="preserve"> </w:t>
      </w:r>
      <w:r w:rsidRPr="00FE50A6">
        <w:rPr>
          <w:rFonts w:eastAsia="Cambria" w:cs="Times New Roman"/>
          <w:szCs w:val="20"/>
          <w:lang w:val="en-US"/>
        </w:rPr>
        <w:t>on extreme poverty and human rights</w:t>
      </w:r>
      <w:r w:rsidR="00130785" w:rsidRPr="00FE50A6">
        <w:rPr>
          <w:rFonts w:eastAsia="Cambria" w:cs="Times New Roman"/>
          <w:szCs w:val="20"/>
          <w:lang w:val="en-US"/>
        </w:rPr>
        <w:t xml:space="preserve"> ha</w:t>
      </w:r>
      <w:r w:rsidRPr="00FE50A6">
        <w:rPr>
          <w:rFonts w:eastAsia="Cambria" w:cs="Times New Roman"/>
          <w:szCs w:val="20"/>
          <w:lang w:val="en-US"/>
        </w:rPr>
        <w:t>s indicated that:</w:t>
      </w:r>
    </w:p>
    <w:p w14:paraId="0F32A673" w14:textId="77777777" w:rsidR="00130785" w:rsidRPr="00FE50A6" w:rsidRDefault="00130785" w:rsidP="00130785">
      <w:pPr>
        <w:tabs>
          <w:tab w:val="clear" w:pos="4419"/>
          <w:tab w:val="clear" w:pos="8838"/>
        </w:tabs>
        <w:contextualSpacing/>
        <w:jc w:val="both"/>
        <w:rPr>
          <w:rFonts w:eastAsia="Cambria" w:cs="Times New Roman"/>
          <w:b/>
          <w:szCs w:val="20"/>
          <w:lang w:val="en-US"/>
        </w:rPr>
      </w:pPr>
    </w:p>
    <w:p w14:paraId="252835C3" w14:textId="77777777" w:rsidR="00130785" w:rsidRPr="00FE50A6" w:rsidRDefault="009C48A4" w:rsidP="00772166">
      <w:pPr>
        <w:tabs>
          <w:tab w:val="clear" w:pos="8838"/>
          <w:tab w:val="right" w:pos="8280"/>
        </w:tabs>
        <w:ind w:left="720" w:right="558"/>
        <w:jc w:val="both"/>
        <w:rPr>
          <w:sz w:val="16"/>
          <w:szCs w:val="16"/>
          <w:lang w:val="en-US"/>
        </w:rPr>
      </w:pPr>
      <w:r w:rsidRPr="00FE50A6">
        <w:rPr>
          <w:rFonts w:eastAsia="Cambria" w:cs="Times New Roman"/>
          <w:i/>
          <w:sz w:val="16"/>
          <w:szCs w:val="16"/>
          <w:lang w:val="en-US"/>
        </w:rPr>
        <w:t>“</w:t>
      </w:r>
      <w:r w:rsidR="00772166" w:rsidRPr="00FE50A6">
        <w:rPr>
          <w:sz w:val="16"/>
          <w:szCs w:val="16"/>
          <w:lang w:val="en-US"/>
        </w:rPr>
        <w:t xml:space="preserve">18. Discrimination is prohibited on a number of enumerated grounds, </w:t>
      </w:r>
      <w:r w:rsidR="00772166" w:rsidRPr="00FE50A6">
        <w:rPr>
          <w:sz w:val="16"/>
          <w:szCs w:val="16"/>
          <w:u w:val="single"/>
          <w:lang w:val="en-US"/>
        </w:rPr>
        <w:t>including economic and social status</w:t>
      </w:r>
      <w:r w:rsidR="00772166" w:rsidRPr="00FE50A6">
        <w:rPr>
          <w:sz w:val="16"/>
          <w:szCs w:val="16"/>
          <w:lang w:val="en-US"/>
        </w:rPr>
        <w:t xml:space="preserve"> as implied in the phrase “other status”, which is included as a ground of discrimination in the International Covenant on Economic, Social and Cultural Rights and the International Covenant on Civil and Political Rights. Penalization measures target individuals because their income, appearance, speech, address or needs identify them as poor. Thus, such measures clearly constitute discrimination on the basis of economic and social status.</w:t>
      </w:r>
      <w:r w:rsidRPr="00FE50A6">
        <w:rPr>
          <w:rFonts w:eastAsia="Cambria" w:cs="Times New Roman"/>
          <w:i/>
          <w:sz w:val="16"/>
          <w:szCs w:val="16"/>
          <w:lang w:val="en-US"/>
        </w:rPr>
        <w:t>”</w:t>
      </w:r>
      <w:r w:rsidR="00130785" w:rsidRPr="00FE50A6">
        <w:rPr>
          <w:rFonts w:eastAsia="Cambria" w:cs="Times New Roman"/>
          <w:i/>
          <w:sz w:val="16"/>
          <w:szCs w:val="20"/>
          <w:vertAlign w:val="superscript"/>
          <w:lang w:val="en-US"/>
        </w:rPr>
        <w:footnoteReference w:id="605"/>
      </w:r>
    </w:p>
    <w:p w14:paraId="12A34539" w14:textId="77777777" w:rsidR="00130785" w:rsidRPr="00FE50A6" w:rsidRDefault="00130785" w:rsidP="00130785">
      <w:pPr>
        <w:tabs>
          <w:tab w:val="clear" w:pos="4419"/>
          <w:tab w:val="clear" w:pos="8838"/>
        </w:tabs>
        <w:rPr>
          <w:rFonts w:eastAsia="MS Mincho" w:cs="Times New Roman"/>
          <w:b/>
          <w:sz w:val="24"/>
          <w:szCs w:val="20"/>
          <w:lang w:val="en-US" w:eastAsia="es-ES"/>
        </w:rPr>
      </w:pPr>
    </w:p>
    <w:p w14:paraId="1CA344D8" w14:textId="77777777" w:rsidR="00130785" w:rsidRPr="00FE50A6" w:rsidRDefault="00772166" w:rsidP="00130785">
      <w:p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And added</w:t>
      </w:r>
      <w:r w:rsidR="00130785" w:rsidRPr="00FE50A6">
        <w:rPr>
          <w:rFonts w:eastAsia="Cambria" w:cs="Times New Roman"/>
          <w:szCs w:val="20"/>
          <w:lang w:val="en-US"/>
        </w:rPr>
        <w:t xml:space="preserve">: </w:t>
      </w:r>
    </w:p>
    <w:p w14:paraId="3E94E198"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709F56DD" w14:textId="77777777" w:rsidR="00130785" w:rsidRPr="00FE50A6" w:rsidRDefault="009C48A4" w:rsidP="00772166">
      <w:pPr>
        <w:tabs>
          <w:tab w:val="clear" w:pos="8838"/>
          <w:tab w:val="right" w:pos="8280"/>
        </w:tabs>
        <w:ind w:left="720" w:right="558"/>
        <w:jc w:val="both"/>
        <w:rPr>
          <w:i/>
          <w:sz w:val="16"/>
          <w:szCs w:val="16"/>
          <w:lang w:val="en-US"/>
        </w:rPr>
      </w:pPr>
      <w:r w:rsidRPr="00FE50A6">
        <w:rPr>
          <w:rFonts w:eastAsia="Cambria" w:cs="Arial"/>
          <w:i/>
          <w:sz w:val="16"/>
          <w:szCs w:val="16"/>
          <w:lang w:val="en-US"/>
        </w:rPr>
        <w:t>“</w:t>
      </w:r>
      <w:r w:rsidR="00772166" w:rsidRPr="00FE50A6">
        <w:rPr>
          <w:sz w:val="16"/>
          <w:szCs w:val="16"/>
          <w:lang w:val="en-US"/>
        </w:rPr>
        <w:t xml:space="preserve">In its jurisprudence, the Human Rights Committee has reiterated that the grounds for discrimination are not exhaustive and that “other status” has an open-ended meaning. [… Moreover,] </w:t>
      </w:r>
      <w:r w:rsidR="00772166" w:rsidRPr="00FE50A6">
        <w:rPr>
          <w:sz w:val="16"/>
          <w:szCs w:val="16"/>
          <w:u w:val="single"/>
          <w:lang w:val="en-US"/>
        </w:rPr>
        <w:t>economic status and social condition are explicitly included as grounds of discrimination in article 1 of the American Convention on Human Rights. Other prohibited grounds for discrimination such as “property” and even “social origin” may also be relevant in addressing issues of poverty</w:t>
      </w:r>
      <w:r w:rsidR="00130785" w:rsidRPr="00FE50A6">
        <w:rPr>
          <w:rFonts w:eastAsia="Cambria" w:cs="Times New Roman"/>
          <w:i/>
          <w:sz w:val="16"/>
          <w:szCs w:val="20"/>
          <w:vertAlign w:val="superscript"/>
          <w:lang w:val="en-US"/>
        </w:rPr>
        <w:footnoteReference w:id="606"/>
      </w:r>
      <w:r w:rsidR="00130785" w:rsidRPr="00FE50A6">
        <w:rPr>
          <w:rFonts w:eastAsia="Cambria" w:cs="Arial"/>
          <w:i/>
          <w:sz w:val="16"/>
          <w:szCs w:val="16"/>
          <w:lang w:val="en-US"/>
        </w:rPr>
        <w:t xml:space="preserve"> </w:t>
      </w:r>
      <w:r w:rsidR="00130785" w:rsidRPr="00FE50A6">
        <w:rPr>
          <w:rFonts w:eastAsia="Cambria" w:cs="Arial"/>
          <w:sz w:val="16"/>
          <w:szCs w:val="16"/>
          <w:lang w:val="en-US"/>
        </w:rPr>
        <w:t>(</w:t>
      </w:r>
      <w:r w:rsidR="00772166" w:rsidRPr="00FE50A6">
        <w:rPr>
          <w:rFonts w:eastAsia="Cambria" w:cs="Arial"/>
          <w:sz w:val="16"/>
          <w:szCs w:val="16"/>
          <w:lang w:val="en-US"/>
        </w:rPr>
        <w:t>underlining added</w:t>
      </w:r>
      <w:r w:rsidR="00130785" w:rsidRPr="00FE50A6">
        <w:rPr>
          <w:rFonts w:eastAsia="Cambria" w:cs="Times"/>
          <w:sz w:val="16"/>
          <w:szCs w:val="16"/>
          <w:lang w:val="en-US"/>
        </w:rPr>
        <w:t>).</w:t>
      </w:r>
      <w:r w:rsidR="00130785" w:rsidRPr="00FE50A6">
        <w:rPr>
          <w:rFonts w:eastAsia="Cambria" w:cs="Times"/>
          <w:lang w:val="en-US"/>
        </w:rPr>
        <w:t xml:space="preserve"> </w:t>
      </w:r>
    </w:p>
    <w:p w14:paraId="2BD4438A" w14:textId="77777777" w:rsidR="00130785" w:rsidRPr="00FE50A6" w:rsidRDefault="00130785" w:rsidP="00130785">
      <w:pPr>
        <w:tabs>
          <w:tab w:val="clear" w:pos="4419"/>
          <w:tab w:val="clear" w:pos="8838"/>
        </w:tabs>
        <w:ind w:left="708"/>
        <w:contextualSpacing/>
        <w:jc w:val="both"/>
        <w:rPr>
          <w:rFonts w:eastAsia="Cambria" w:cs="Times"/>
          <w:lang w:val="en-US"/>
        </w:rPr>
      </w:pPr>
    </w:p>
    <w:p w14:paraId="092FC44D" w14:textId="77777777" w:rsidR="00130785" w:rsidRPr="00FE50A6" w:rsidRDefault="00772166" w:rsidP="00E50EE5">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lang w:val="en-US"/>
        </w:rPr>
        <w:t xml:space="preserve">In this regard, </w:t>
      </w:r>
      <w:r w:rsidR="00CD3CCC" w:rsidRPr="00FE50A6">
        <w:rPr>
          <w:rFonts w:eastAsia="Cambria" w:cs="Times New Roman"/>
          <w:lang w:val="en-US"/>
        </w:rPr>
        <w:t>the Inter-American Court</w:t>
      </w:r>
      <w:r w:rsidRPr="00FE50A6">
        <w:rPr>
          <w:rFonts w:eastAsia="Cambria" w:cs="Times New Roman"/>
          <w:lang w:val="en-US"/>
        </w:rPr>
        <w:t xml:space="preserve"> – as the judgment reveals – has ruled that everyone in a situation of vulnerability merits special protection </w:t>
      </w:r>
      <w:r w:rsidR="00E50EE5" w:rsidRPr="00FE50A6">
        <w:rPr>
          <w:rFonts w:eastAsia="Cambria" w:cs="Times New Roman"/>
          <w:lang w:val="en-US"/>
        </w:rPr>
        <w:t>owing to the special obligations that the States must meet to satisfy the general obligation to respect and to ensure human rights</w:t>
      </w:r>
      <w:r w:rsidR="00130785" w:rsidRPr="00FE50A6">
        <w:rPr>
          <w:rFonts w:eastAsia="Cambria" w:cs="Times New Roman"/>
          <w:lang w:val="en-US"/>
        </w:rPr>
        <w:t xml:space="preserve">. </w:t>
      </w:r>
      <w:r w:rsidR="002071B1" w:rsidRPr="00FE50A6">
        <w:rPr>
          <w:rFonts w:eastAsia="Cambria" w:cs="Times New Roman"/>
          <w:lang w:val="en-US"/>
        </w:rPr>
        <w:t xml:space="preserve">The </w:t>
      </w:r>
      <w:r w:rsidR="00090C6A" w:rsidRPr="00FE50A6">
        <w:rPr>
          <w:rFonts w:eastAsia="Cambria" w:cs="Times New Roman"/>
          <w:lang w:val="en-US"/>
        </w:rPr>
        <w:t>Inter-American Court</w:t>
      </w:r>
      <w:r w:rsidR="00130785" w:rsidRPr="00FE50A6">
        <w:rPr>
          <w:rFonts w:eastAsia="Cambria" w:cs="Times New Roman"/>
          <w:lang w:val="en-US"/>
        </w:rPr>
        <w:t xml:space="preserve"> </w:t>
      </w:r>
      <w:r w:rsidR="00A23843" w:rsidRPr="00FE50A6">
        <w:rPr>
          <w:rFonts w:eastAsia="Cambria" w:cs="Times New Roman"/>
          <w:lang w:val="en-US"/>
        </w:rPr>
        <w:t xml:space="preserve">has </w:t>
      </w:r>
      <w:r w:rsidR="00130785" w:rsidRPr="00FE50A6">
        <w:rPr>
          <w:rFonts w:eastAsia="Cambria" w:cs="Times New Roman"/>
          <w:lang w:val="en-US"/>
        </w:rPr>
        <w:t>re</w:t>
      </w:r>
      <w:r w:rsidR="00E50EE5" w:rsidRPr="00FE50A6">
        <w:rPr>
          <w:rFonts w:eastAsia="Cambria" w:cs="Times New Roman"/>
          <w:lang w:val="en-US"/>
        </w:rPr>
        <w:t>called that it is not sufficient that States abstain from violating rights</w:t>
      </w:r>
      <w:r w:rsidR="00A23843" w:rsidRPr="00FE50A6">
        <w:rPr>
          <w:rFonts w:eastAsia="Cambria" w:cs="Times New Roman"/>
          <w:lang w:val="en-US"/>
        </w:rPr>
        <w:t>; rather,</w:t>
      </w:r>
      <w:r w:rsidR="00E50EE5" w:rsidRPr="00FE50A6">
        <w:rPr>
          <w:rFonts w:eastAsia="Cambria" w:cs="Times New Roman"/>
          <w:lang w:val="en-US"/>
        </w:rPr>
        <w:t xml:space="preserve"> it is essential that they adopt positive measures, determined in function of the particular needs for protection of the subject of law, due to his personal situation or </w:t>
      </w:r>
      <w:r w:rsidR="009329CA" w:rsidRPr="00FE50A6">
        <w:rPr>
          <w:rFonts w:eastAsia="Cambria" w:cs="Times New Roman"/>
          <w:lang w:val="en-US"/>
        </w:rPr>
        <w:t xml:space="preserve">to </w:t>
      </w:r>
      <w:r w:rsidR="00E50EE5" w:rsidRPr="00FE50A6">
        <w:rPr>
          <w:rFonts w:eastAsia="Cambria" w:cs="Times New Roman"/>
          <w:lang w:val="en-US"/>
        </w:rPr>
        <w:t>the specific situation in which he finds himself,</w:t>
      </w:r>
      <w:r w:rsidR="00130785" w:rsidRPr="00FE50A6">
        <w:rPr>
          <w:rFonts w:eastAsia="Cambria" w:cs="Times New Roman"/>
          <w:szCs w:val="20"/>
          <w:vertAlign w:val="superscript"/>
          <w:lang w:val="en-US"/>
        </w:rPr>
        <w:footnoteReference w:id="607"/>
      </w:r>
      <w:r w:rsidR="00130785" w:rsidRPr="00FE50A6">
        <w:rPr>
          <w:rFonts w:eastAsia="Cambria" w:cs="Times New Roman"/>
          <w:lang w:val="en-US"/>
        </w:rPr>
        <w:t xml:space="preserve"> </w:t>
      </w:r>
      <w:r w:rsidR="00E50EE5" w:rsidRPr="00FE50A6">
        <w:rPr>
          <w:rFonts w:eastAsia="Cambria" w:cs="Times New Roman"/>
          <w:i/>
          <w:lang w:val="en-US"/>
        </w:rPr>
        <w:t>such as that of extreme poverty or marginalization.</w:t>
      </w:r>
      <w:r w:rsidR="00130785" w:rsidRPr="00FE50A6">
        <w:rPr>
          <w:rFonts w:eastAsia="Cambria" w:cs="Times New Roman"/>
          <w:szCs w:val="20"/>
          <w:vertAlign w:val="superscript"/>
          <w:lang w:val="en-US"/>
        </w:rPr>
        <w:footnoteReference w:id="608"/>
      </w:r>
      <w:r w:rsidR="00130785" w:rsidRPr="00FE50A6">
        <w:rPr>
          <w:rFonts w:eastAsia="Cambria" w:cs="Times New Roman"/>
          <w:lang w:val="en-US"/>
        </w:rPr>
        <w:t xml:space="preserve"> </w:t>
      </w:r>
    </w:p>
    <w:p w14:paraId="088A762C" w14:textId="77777777" w:rsidR="00130785" w:rsidRPr="00FE50A6" w:rsidRDefault="00130785" w:rsidP="00130785">
      <w:pPr>
        <w:tabs>
          <w:tab w:val="clear" w:pos="4419"/>
          <w:tab w:val="clear" w:pos="8838"/>
        </w:tabs>
        <w:contextualSpacing/>
        <w:jc w:val="both"/>
        <w:rPr>
          <w:rFonts w:eastAsia="Cambria" w:cs="Times New Roman"/>
          <w:b/>
          <w:szCs w:val="20"/>
          <w:lang w:val="en-US"/>
        </w:rPr>
      </w:pPr>
    </w:p>
    <w:p w14:paraId="42E4324D" w14:textId="77777777" w:rsidR="00130785" w:rsidRPr="00FE50A6" w:rsidRDefault="0005421E" w:rsidP="008B0BC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 xml:space="preserve">Thus, poverty forms part of the content of </w:t>
      </w:r>
      <w:r w:rsidR="00511962" w:rsidRPr="00FE50A6">
        <w:rPr>
          <w:rFonts w:eastAsia="Cambria" w:cs="Times New Roman"/>
          <w:szCs w:val="20"/>
          <w:lang w:val="en-US"/>
        </w:rPr>
        <w:t xml:space="preserve">the </w:t>
      </w:r>
      <w:r w:rsidR="00EE52F3" w:rsidRPr="00FE50A6">
        <w:rPr>
          <w:rFonts w:eastAsia="Cambria" w:cs="Times New Roman"/>
          <w:szCs w:val="20"/>
          <w:lang w:val="en-US"/>
        </w:rPr>
        <w:t xml:space="preserve">prohibition </w:t>
      </w:r>
      <w:r w:rsidRPr="00FE50A6">
        <w:rPr>
          <w:rFonts w:eastAsia="Cambria" w:cs="Times New Roman"/>
          <w:szCs w:val="20"/>
          <w:lang w:val="en-US"/>
        </w:rPr>
        <w:t>to discriminat</w:t>
      </w:r>
      <w:r w:rsidR="00A23843" w:rsidRPr="00FE50A6">
        <w:rPr>
          <w:rFonts w:eastAsia="Cambria" w:cs="Times New Roman"/>
          <w:szCs w:val="20"/>
          <w:lang w:val="en-US"/>
        </w:rPr>
        <w:t>e</w:t>
      </w:r>
      <w:r w:rsidRPr="00FE50A6">
        <w:rPr>
          <w:rFonts w:eastAsia="Cambria" w:cs="Times New Roman"/>
          <w:szCs w:val="20"/>
          <w:lang w:val="en-US"/>
        </w:rPr>
        <w:t xml:space="preserve"> based on the economic status of a person or g</w:t>
      </w:r>
      <w:r w:rsidR="00AD7C07" w:rsidRPr="00FE50A6">
        <w:rPr>
          <w:rFonts w:eastAsia="Cambria" w:cs="Times New Roman"/>
          <w:szCs w:val="20"/>
          <w:lang w:val="en-US"/>
        </w:rPr>
        <w:t>r</w:t>
      </w:r>
      <w:r w:rsidRPr="00FE50A6">
        <w:rPr>
          <w:rFonts w:eastAsia="Cambria" w:cs="Times New Roman"/>
          <w:szCs w:val="20"/>
          <w:lang w:val="en-US"/>
        </w:rPr>
        <w:t>oup of persons. In addition, poverty, since it is a multidimensional phenomenon</w:t>
      </w:r>
      <w:r w:rsidR="00AD7C07" w:rsidRPr="00FE50A6">
        <w:rPr>
          <w:rFonts w:eastAsia="Cambria" w:cs="Times New Roman"/>
          <w:szCs w:val="20"/>
          <w:lang w:val="en-US"/>
        </w:rPr>
        <w:t>,</w:t>
      </w:r>
      <w:r w:rsidR="00130785" w:rsidRPr="00FE50A6">
        <w:rPr>
          <w:rFonts w:eastAsia="Cambria" w:cs="Times New Roman"/>
          <w:szCs w:val="20"/>
          <w:vertAlign w:val="superscript"/>
          <w:lang w:val="en-US"/>
        </w:rPr>
        <w:footnoteReference w:id="609"/>
      </w:r>
      <w:r w:rsidR="00130785" w:rsidRPr="00FE50A6">
        <w:rPr>
          <w:rFonts w:eastAsia="Cambria" w:cs="Times New Roman"/>
          <w:szCs w:val="20"/>
          <w:lang w:val="en-US"/>
        </w:rPr>
        <w:t xml:space="preserve"> </w:t>
      </w:r>
      <w:r w:rsidRPr="00FE50A6">
        <w:rPr>
          <w:rFonts w:eastAsia="Cambria" w:cs="Times New Roman"/>
          <w:szCs w:val="20"/>
          <w:lang w:val="en-US"/>
        </w:rPr>
        <w:t xml:space="preserve">may be approached </w:t>
      </w:r>
      <w:r w:rsidR="00AD7C07" w:rsidRPr="00FE50A6">
        <w:rPr>
          <w:rFonts w:eastAsia="Cambria" w:cs="Times New Roman"/>
          <w:szCs w:val="20"/>
          <w:lang w:val="en-US"/>
        </w:rPr>
        <w:t xml:space="preserve">based on different </w:t>
      </w:r>
      <w:r w:rsidR="00A23843" w:rsidRPr="00FE50A6">
        <w:rPr>
          <w:rFonts w:eastAsia="Cambria" w:cs="Times New Roman"/>
          <w:szCs w:val="20"/>
          <w:lang w:val="en-US"/>
        </w:rPr>
        <w:t>grounds for</w:t>
      </w:r>
      <w:r w:rsidR="00AD7C07" w:rsidRPr="00FE50A6">
        <w:rPr>
          <w:rFonts w:eastAsia="Cambria" w:cs="Times New Roman"/>
          <w:szCs w:val="20"/>
          <w:lang w:val="en-US"/>
        </w:rPr>
        <w:t xml:space="preserve"> protection in light </w:t>
      </w:r>
      <w:r w:rsidR="00703850" w:rsidRPr="00FE50A6">
        <w:rPr>
          <w:rFonts w:eastAsia="Cambria" w:cs="Times New Roman"/>
          <w:szCs w:val="20"/>
          <w:lang w:val="en-US"/>
        </w:rPr>
        <w:t>of Article</w:t>
      </w:r>
      <w:r w:rsidR="000B587F" w:rsidRPr="00FE50A6">
        <w:rPr>
          <w:rFonts w:eastAsia="Cambria" w:cs="Times New Roman"/>
          <w:szCs w:val="20"/>
          <w:lang w:val="en-US"/>
        </w:rPr>
        <w:t xml:space="preserve"> 1(1)</w:t>
      </w:r>
      <w:r w:rsidR="000228D0" w:rsidRPr="00FE50A6">
        <w:rPr>
          <w:rFonts w:eastAsia="Cambria" w:cs="Times New Roman"/>
          <w:szCs w:val="20"/>
          <w:lang w:val="en-US"/>
        </w:rPr>
        <w:t xml:space="preserve"> of the American Convention</w:t>
      </w:r>
      <w:r w:rsidR="00AD7C07" w:rsidRPr="00FE50A6">
        <w:rPr>
          <w:rFonts w:eastAsia="Cambria" w:cs="Times New Roman"/>
          <w:szCs w:val="20"/>
          <w:lang w:val="en-US"/>
        </w:rPr>
        <w:t>, such as economic status, social origin or any other social condition,</w:t>
      </w:r>
      <w:r w:rsidR="00130785" w:rsidRPr="00FE50A6">
        <w:rPr>
          <w:rFonts w:eastAsia="Cambria" w:cs="Times New Roman"/>
          <w:szCs w:val="20"/>
          <w:vertAlign w:val="superscript"/>
          <w:lang w:val="en-US"/>
        </w:rPr>
        <w:footnoteReference w:id="610"/>
      </w:r>
      <w:r w:rsidR="00AD7C07" w:rsidRPr="00FE50A6">
        <w:rPr>
          <w:rFonts w:eastAsia="Cambria" w:cs="Times New Roman"/>
          <w:szCs w:val="20"/>
          <w:lang w:val="en-US"/>
        </w:rPr>
        <w:t xml:space="preserve"> and the protection of these categories of protection can be provided separately, </w:t>
      </w:r>
      <w:r w:rsidR="00A23843" w:rsidRPr="00FE50A6">
        <w:rPr>
          <w:rFonts w:eastAsia="Cambria" w:cs="Times New Roman"/>
          <w:szCs w:val="20"/>
          <w:lang w:val="en-US"/>
        </w:rPr>
        <w:t>or</w:t>
      </w:r>
      <w:r w:rsidR="00AD7C07" w:rsidRPr="00FE50A6">
        <w:rPr>
          <w:rFonts w:eastAsia="Cambria" w:cs="Times New Roman"/>
          <w:szCs w:val="20"/>
          <w:lang w:val="en-US"/>
        </w:rPr>
        <w:t xml:space="preserve"> in a multiple or intersectional manner, according to the specific case.</w:t>
      </w:r>
      <w:r w:rsidR="00130785" w:rsidRPr="00FE50A6">
        <w:rPr>
          <w:rFonts w:eastAsia="Cambria" w:cs="Times New Roman"/>
          <w:szCs w:val="20"/>
          <w:vertAlign w:val="superscript"/>
          <w:lang w:val="en-US"/>
        </w:rPr>
        <w:footnoteReference w:id="611"/>
      </w:r>
      <w:r w:rsidR="00130785" w:rsidRPr="00FE50A6">
        <w:rPr>
          <w:rFonts w:eastAsia="Cambria" w:cs="Times New Roman"/>
          <w:szCs w:val="20"/>
          <w:lang w:val="en-US"/>
        </w:rPr>
        <w:t xml:space="preserve"> </w:t>
      </w:r>
    </w:p>
    <w:p w14:paraId="476A9647" w14:textId="77777777" w:rsidR="00130785" w:rsidRPr="00FE50A6" w:rsidRDefault="00130785" w:rsidP="00130785">
      <w:pPr>
        <w:widowControl w:val="0"/>
        <w:tabs>
          <w:tab w:val="clear" w:pos="4419"/>
          <w:tab w:val="clear" w:pos="8838"/>
        </w:tabs>
        <w:autoSpaceDE w:val="0"/>
        <w:autoSpaceDN w:val="0"/>
        <w:adjustRightInd w:val="0"/>
        <w:contextualSpacing/>
        <w:jc w:val="both"/>
        <w:rPr>
          <w:rFonts w:eastAsia="Cambria" w:cs="Times"/>
          <w:sz w:val="16"/>
          <w:szCs w:val="16"/>
          <w:lang w:val="en-US"/>
        </w:rPr>
      </w:pPr>
    </w:p>
    <w:p w14:paraId="5F14079E" w14:textId="77777777" w:rsidR="00130785" w:rsidRPr="00FE50A6" w:rsidRDefault="00550E57" w:rsidP="008B0BCC">
      <w:pPr>
        <w:widowControl w:val="0"/>
        <w:numPr>
          <w:ilvl w:val="0"/>
          <w:numId w:val="26"/>
        </w:numPr>
        <w:tabs>
          <w:tab w:val="clear" w:pos="4419"/>
          <w:tab w:val="clear" w:pos="8838"/>
        </w:tabs>
        <w:autoSpaceDE w:val="0"/>
        <w:autoSpaceDN w:val="0"/>
        <w:adjustRightInd w:val="0"/>
        <w:contextualSpacing/>
        <w:jc w:val="both"/>
        <w:rPr>
          <w:rFonts w:eastAsia="Cambria" w:cs="Times"/>
          <w:sz w:val="16"/>
          <w:szCs w:val="16"/>
          <w:lang w:val="en-US"/>
        </w:rPr>
      </w:pPr>
      <w:r w:rsidRPr="00FE50A6">
        <w:rPr>
          <w:rFonts w:eastAsia="Cambria" w:cs="Times"/>
          <w:szCs w:val="20"/>
          <w:lang w:val="en-US"/>
        </w:rPr>
        <w:t xml:space="preserve">Regarding the facts of the instant case, </w:t>
      </w:r>
      <w:r w:rsidR="002071B1" w:rsidRPr="00FE50A6">
        <w:rPr>
          <w:rFonts w:eastAsia="Cambria" w:cs="Times"/>
          <w:szCs w:val="20"/>
          <w:lang w:val="en-US"/>
        </w:rPr>
        <w:t xml:space="preserve">the </w:t>
      </w:r>
      <w:r w:rsidR="00090C6A" w:rsidRPr="00FE50A6">
        <w:rPr>
          <w:rFonts w:eastAsia="Cambria" w:cs="Times"/>
          <w:szCs w:val="20"/>
          <w:lang w:val="en-US"/>
        </w:rPr>
        <w:t>Inter-American Court</w:t>
      </w:r>
      <w:r w:rsidR="00130785" w:rsidRPr="00FE50A6">
        <w:rPr>
          <w:rFonts w:eastAsia="Cambria" w:cs="Times"/>
          <w:szCs w:val="20"/>
          <w:lang w:val="en-US"/>
        </w:rPr>
        <w:t xml:space="preserve"> </w:t>
      </w:r>
      <w:r w:rsidRPr="00FE50A6">
        <w:rPr>
          <w:rFonts w:eastAsia="Cambria" w:cs="Times"/>
          <w:szCs w:val="20"/>
          <w:lang w:val="en-US"/>
        </w:rPr>
        <w:t xml:space="preserve">reached this conclusion because people who are living in poverty are more likely to suffer from </w:t>
      </w:r>
      <w:r w:rsidR="000C2A19" w:rsidRPr="00FE50A6">
        <w:rPr>
          <w:rFonts w:eastAsia="Cambria" w:cs="Times"/>
          <w:szCs w:val="20"/>
          <w:lang w:val="en-US"/>
        </w:rPr>
        <w:t>trafficking</w:t>
      </w:r>
      <w:r w:rsidRPr="00FE50A6">
        <w:rPr>
          <w:rFonts w:eastAsia="Cambria" w:cs="Times"/>
          <w:szCs w:val="20"/>
          <w:lang w:val="en-US"/>
        </w:rPr>
        <w:t>,</w:t>
      </w:r>
      <w:r w:rsidR="00130785" w:rsidRPr="00FE50A6">
        <w:rPr>
          <w:rFonts w:eastAsia="Cambria" w:cs="Times New Roman"/>
          <w:szCs w:val="20"/>
          <w:vertAlign w:val="superscript"/>
          <w:lang w:val="en-US"/>
        </w:rPr>
        <w:footnoteReference w:id="612"/>
      </w:r>
      <w:r w:rsidRPr="00FE50A6">
        <w:rPr>
          <w:rFonts w:eastAsia="Cambria" w:cs="Times"/>
          <w:szCs w:val="20"/>
          <w:lang w:val="en-US"/>
        </w:rPr>
        <w:t xml:space="preserve"> as occurred </w:t>
      </w:r>
      <w:r w:rsidR="006C3699" w:rsidRPr="00FE50A6">
        <w:rPr>
          <w:rFonts w:eastAsia="Cambria" w:cs="Times"/>
          <w:szCs w:val="20"/>
          <w:lang w:val="en-US"/>
        </w:rPr>
        <w:t>in the case of</w:t>
      </w:r>
      <w:r w:rsidR="00130785" w:rsidRPr="00FE50A6">
        <w:rPr>
          <w:rFonts w:eastAsia="Cambria" w:cs="Times"/>
          <w:szCs w:val="20"/>
          <w:lang w:val="en-US"/>
        </w:rPr>
        <w:t xml:space="preserve"> </w:t>
      </w:r>
      <w:r w:rsidRPr="00FE50A6">
        <w:rPr>
          <w:rFonts w:eastAsia="Cambria" w:cs="Times"/>
          <w:szCs w:val="20"/>
          <w:lang w:val="en-US"/>
        </w:rPr>
        <w:t>the</w:t>
      </w:r>
      <w:r w:rsidR="00130785" w:rsidRPr="00FE50A6">
        <w:rPr>
          <w:rFonts w:eastAsia="Cambria" w:cs="Times"/>
          <w:szCs w:val="20"/>
          <w:lang w:val="en-US"/>
        </w:rPr>
        <w:t xml:space="preserve"> 85 </w:t>
      </w:r>
      <w:r w:rsidR="00030C17" w:rsidRPr="00FE50A6">
        <w:rPr>
          <w:rFonts w:eastAsia="Cambria" w:cs="Times"/>
          <w:szCs w:val="20"/>
          <w:lang w:val="en-US"/>
        </w:rPr>
        <w:t xml:space="preserve">Hacienda </w:t>
      </w:r>
      <w:r w:rsidR="00322241" w:rsidRPr="00FE50A6">
        <w:rPr>
          <w:rFonts w:eastAsia="Cambria" w:cs="Times"/>
          <w:szCs w:val="20"/>
          <w:lang w:val="en-US"/>
        </w:rPr>
        <w:t>Brasil Verde</w:t>
      </w:r>
      <w:r w:rsidR="00030C17" w:rsidRPr="00FE50A6">
        <w:rPr>
          <w:rFonts w:eastAsia="Cambria" w:cs="Times"/>
          <w:szCs w:val="20"/>
          <w:lang w:val="en-US"/>
        </w:rPr>
        <w:t xml:space="preserve"> </w:t>
      </w:r>
      <w:r w:rsidRPr="00FE50A6">
        <w:rPr>
          <w:rFonts w:eastAsia="Cambria" w:cs="Times"/>
          <w:szCs w:val="20"/>
          <w:lang w:val="en-US"/>
        </w:rPr>
        <w:t>w</w:t>
      </w:r>
      <w:r w:rsidR="00030C17" w:rsidRPr="00FE50A6">
        <w:rPr>
          <w:rFonts w:eastAsia="Cambria" w:cs="Times"/>
          <w:szCs w:val="20"/>
          <w:lang w:val="en-US"/>
        </w:rPr>
        <w:t>orkers</w:t>
      </w:r>
      <w:r w:rsidR="00130785" w:rsidRPr="00FE50A6">
        <w:rPr>
          <w:rFonts w:eastAsia="Cambria" w:cs="Times"/>
          <w:szCs w:val="20"/>
          <w:lang w:val="en-US"/>
        </w:rPr>
        <w:t>. Re</w:t>
      </w:r>
      <w:r w:rsidR="00A23843" w:rsidRPr="00FE50A6">
        <w:rPr>
          <w:rFonts w:eastAsia="Cambria" w:cs="Times"/>
          <w:szCs w:val="20"/>
          <w:lang w:val="en-US"/>
        </w:rPr>
        <w:t>garding the link between work, poverty and contemporary forms of</w:t>
      </w:r>
      <w:r w:rsidR="00130785" w:rsidRPr="00FE50A6">
        <w:rPr>
          <w:rFonts w:eastAsia="Cambria" w:cs="Times"/>
          <w:szCs w:val="20"/>
          <w:lang w:val="en-US"/>
        </w:rPr>
        <w:t xml:space="preserve"> </w:t>
      </w:r>
      <w:r w:rsidR="00D11A9F" w:rsidRPr="00FE50A6">
        <w:rPr>
          <w:rFonts w:eastAsia="Cambria" w:cs="Times"/>
          <w:szCs w:val="20"/>
          <w:lang w:val="en-US"/>
        </w:rPr>
        <w:t>slavery</w:t>
      </w:r>
      <w:r w:rsidR="00130785" w:rsidRPr="00FE50A6">
        <w:rPr>
          <w:rFonts w:eastAsia="Cambria" w:cs="Times"/>
          <w:szCs w:val="20"/>
          <w:lang w:val="en-US"/>
        </w:rPr>
        <w:t xml:space="preserve">, </w:t>
      </w:r>
      <w:r w:rsidRPr="00FE50A6">
        <w:rPr>
          <w:rFonts w:eastAsia="Cambria" w:cs="Times"/>
          <w:szCs w:val="20"/>
          <w:lang w:val="en-US"/>
        </w:rPr>
        <w:t>the Guiding Principles indicate that:</w:t>
      </w:r>
    </w:p>
    <w:p w14:paraId="1E7532D5" w14:textId="77777777" w:rsidR="00130785" w:rsidRPr="00FE50A6" w:rsidRDefault="00130785" w:rsidP="00130785">
      <w:pPr>
        <w:widowControl w:val="0"/>
        <w:tabs>
          <w:tab w:val="clear" w:pos="4419"/>
          <w:tab w:val="clear" w:pos="8838"/>
        </w:tabs>
        <w:autoSpaceDE w:val="0"/>
        <w:autoSpaceDN w:val="0"/>
        <w:adjustRightInd w:val="0"/>
        <w:contextualSpacing/>
        <w:jc w:val="both"/>
        <w:rPr>
          <w:rFonts w:eastAsia="Cambria" w:cs="Times"/>
          <w:szCs w:val="20"/>
          <w:lang w:val="en-US"/>
        </w:rPr>
      </w:pPr>
    </w:p>
    <w:p w14:paraId="112BE794" w14:textId="77777777" w:rsidR="00130785" w:rsidRPr="00FE50A6" w:rsidRDefault="00A23843" w:rsidP="00D40BEE">
      <w:pPr>
        <w:widowControl w:val="0"/>
        <w:tabs>
          <w:tab w:val="clear" w:pos="4419"/>
          <w:tab w:val="clear" w:pos="8838"/>
        </w:tabs>
        <w:autoSpaceDE w:val="0"/>
        <w:autoSpaceDN w:val="0"/>
        <w:adjustRightInd w:val="0"/>
        <w:ind w:left="709"/>
        <w:contextualSpacing/>
        <w:jc w:val="both"/>
        <w:rPr>
          <w:rFonts w:cs="Arial"/>
          <w:sz w:val="16"/>
          <w:szCs w:val="16"/>
          <w:lang w:val="en-US"/>
        </w:rPr>
      </w:pPr>
      <w:r w:rsidRPr="00FE50A6">
        <w:rPr>
          <w:rFonts w:eastAsia="Cambria" w:cs="Times"/>
          <w:sz w:val="16"/>
          <w:szCs w:val="16"/>
          <w:lang w:val="en-US"/>
        </w:rPr>
        <w:t>“</w:t>
      </w:r>
      <w:r w:rsidR="00130785" w:rsidRPr="00FE50A6">
        <w:rPr>
          <w:rFonts w:eastAsia="Cambria" w:cs="Times"/>
          <w:sz w:val="16"/>
          <w:szCs w:val="16"/>
          <w:lang w:val="en-US"/>
        </w:rPr>
        <w:t xml:space="preserve">83. </w:t>
      </w:r>
      <w:r w:rsidR="00D40BEE" w:rsidRPr="00FE50A6">
        <w:rPr>
          <w:rFonts w:cs="Arial"/>
          <w:sz w:val="16"/>
          <w:szCs w:val="16"/>
          <w:u w:val="single"/>
          <w:lang w:val="en-US"/>
        </w:rPr>
        <w:t xml:space="preserve">In rural and urban areas alike, persons living in poverty experience unemployment, underemployment, unreliable casual labour, </w:t>
      </w:r>
      <w:r w:rsidR="00D40BEE" w:rsidRPr="00FE50A6">
        <w:rPr>
          <w:rFonts w:cs="Arial"/>
          <w:sz w:val="16"/>
          <w:szCs w:val="16"/>
          <w:lang w:val="en-US"/>
        </w:rPr>
        <w:t xml:space="preserve">low wages and unsafe and degrading working conditions. Persons living in poverty tend to work outside the formal economy and without social security benefits, such as maternity leave, sick leave, pensions and disability benefits. They may spend most of their waking hours at the workplace, barely surviving on their earnings and </w:t>
      </w:r>
      <w:r w:rsidR="00D40BEE" w:rsidRPr="00FE50A6">
        <w:rPr>
          <w:rFonts w:cs="Arial"/>
          <w:sz w:val="16"/>
          <w:szCs w:val="16"/>
          <w:u w:val="single"/>
          <w:lang w:val="en-US"/>
        </w:rPr>
        <w:t>facing exploitation including bonded or forced labour,</w:t>
      </w:r>
      <w:r w:rsidR="00D40BEE" w:rsidRPr="00FE50A6">
        <w:rPr>
          <w:rFonts w:cs="Arial"/>
          <w:sz w:val="16"/>
          <w:szCs w:val="16"/>
          <w:lang w:val="en-US"/>
        </w:rPr>
        <w:t xml:space="preserve"> arbitrary dismissal and abuse</w:t>
      </w:r>
      <w:r w:rsidRPr="00FE50A6">
        <w:rPr>
          <w:rFonts w:cs="Arial"/>
          <w:sz w:val="16"/>
          <w:szCs w:val="16"/>
          <w:lang w:val="en-US"/>
        </w:rPr>
        <w:t>”</w:t>
      </w:r>
      <w:r w:rsidR="00130785" w:rsidRPr="00FE50A6">
        <w:rPr>
          <w:rFonts w:eastAsia="Cambria" w:cs="Times New Roman"/>
          <w:sz w:val="16"/>
          <w:szCs w:val="20"/>
          <w:vertAlign w:val="superscript"/>
          <w:lang w:val="en-US"/>
        </w:rPr>
        <w:footnoteReference w:id="613"/>
      </w:r>
      <w:r w:rsidR="00130785" w:rsidRPr="00FE50A6">
        <w:rPr>
          <w:rFonts w:eastAsia="Cambria" w:cs="Times"/>
          <w:sz w:val="16"/>
          <w:szCs w:val="16"/>
          <w:lang w:val="en-US"/>
        </w:rPr>
        <w:t xml:space="preserve"> (</w:t>
      </w:r>
      <w:r w:rsidR="00D40BEE" w:rsidRPr="00FE50A6">
        <w:rPr>
          <w:rFonts w:eastAsia="Cambria" w:cs="Times"/>
          <w:sz w:val="16"/>
          <w:szCs w:val="16"/>
          <w:lang w:val="en-US"/>
        </w:rPr>
        <w:t>underlining added</w:t>
      </w:r>
      <w:r w:rsidR="00130785" w:rsidRPr="00FE50A6">
        <w:rPr>
          <w:rFonts w:eastAsia="Cambria" w:cs="Times"/>
          <w:sz w:val="16"/>
          <w:szCs w:val="16"/>
          <w:lang w:val="en-US"/>
        </w:rPr>
        <w:t xml:space="preserve">). </w:t>
      </w:r>
    </w:p>
    <w:p w14:paraId="5C5FD635" w14:textId="77777777" w:rsidR="00130785" w:rsidRPr="00FE50A6" w:rsidRDefault="00130785" w:rsidP="00130785">
      <w:pPr>
        <w:widowControl w:val="0"/>
        <w:tabs>
          <w:tab w:val="clear" w:pos="4419"/>
          <w:tab w:val="clear" w:pos="8838"/>
        </w:tabs>
        <w:autoSpaceDE w:val="0"/>
        <w:autoSpaceDN w:val="0"/>
        <w:adjustRightInd w:val="0"/>
        <w:contextualSpacing/>
        <w:jc w:val="both"/>
        <w:rPr>
          <w:rFonts w:eastAsia="Cambria" w:cs="Times New Roman"/>
          <w:lang w:val="en-US"/>
        </w:rPr>
      </w:pPr>
    </w:p>
    <w:p w14:paraId="63A986FE" w14:textId="77777777" w:rsidR="00130785" w:rsidRPr="00FE50A6" w:rsidRDefault="00D85DC4" w:rsidP="008B0BCC">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In this regard,</w:t>
      </w:r>
      <w:r w:rsidR="00130785" w:rsidRPr="00FE50A6">
        <w:rPr>
          <w:rFonts w:eastAsia="Cambria" w:cs="Times New Roman"/>
          <w:lang w:val="en-US"/>
        </w:rPr>
        <w:t xml:space="preserve"> </w:t>
      </w:r>
      <w:r w:rsidR="006B0C55" w:rsidRPr="00FE50A6">
        <w:rPr>
          <w:rFonts w:eastAsia="Cambria" w:cs="Times New Roman"/>
          <w:lang w:val="en-US"/>
        </w:rPr>
        <w:t>the Special Rapporteur</w:t>
      </w:r>
      <w:r w:rsidR="00130785" w:rsidRPr="00FE50A6">
        <w:rPr>
          <w:rFonts w:eastAsia="Cambria" w:cs="Times New Roman"/>
          <w:lang w:val="en-US"/>
        </w:rPr>
        <w:t xml:space="preserve"> </w:t>
      </w:r>
      <w:r w:rsidRPr="00FE50A6">
        <w:rPr>
          <w:rFonts w:eastAsia="Cambria" w:cs="Times New Roman"/>
          <w:lang w:val="en-US"/>
        </w:rPr>
        <w:t>on</w:t>
      </w:r>
      <w:r w:rsidR="00130785" w:rsidRPr="00FE50A6">
        <w:rPr>
          <w:rFonts w:eastAsia="Cambria" w:cs="Times New Roman"/>
          <w:lang w:val="en-US"/>
        </w:rPr>
        <w:t xml:space="preserve"> </w:t>
      </w:r>
      <w:r w:rsidR="00EE52F3" w:rsidRPr="00FE50A6">
        <w:rPr>
          <w:rFonts w:eastAsia="Cambria" w:cs="Times New Roman"/>
          <w:lang w:val="en-US"/>
        </w:rPr>
        <w:t>contemporary forms of</w:t>
      </w:r>
      <w:r w:rsidR="00130785" w:rsidRPr="00FE50A6">
        <w:rPr>
          <w:rFonts w:eastAsia="Cambria" w:cs="Times New Roman"/>
          <w:lang w:val="en-US"/>
        </w:rPr>
        <w:t xml:space="preserve"> </w:t>
      </w:r>
      <w:r w:rsidR="00D11A9F" w:rsidRPr="00FE50A6">
        <w:rPr>
          <w:rFonts w:eastAsia="Cambria" w:cs="Times New Roman"/>
          <w:lang w:val="en-US"/>
        </w:rPr>
        <w:t>slavery</w:t>
      </w:r>
      <w:r w:rsidR="00130785" w:rsidRPr="00FE50A6">
        <w:rPr>
          <w:rFonts w:eastAsia="Cambria" w:cs="Times New Roman"/>
          <w:lang w:val="en-US"/>
        </w:rPr>
        <w:t xml:space="preserve">, </w:t>
      </w:r>
      <w:r w:rsidRPr="00FE50A6">
        <w:rPr>
          <w:lang w:val="en-US"/>
        </w:rPr>
        <w:t>including its causes and consequences</w:t>
      </w:r>
      <w:r w:rsidR="00A23843" w:rsidRPr="00FE50A6">
        <w:rPr>
          <w:lang w:val="en-US"/>
        </w:rPr>
        <w:t>,</w:t>
      </w:r>
      <w:r w:rsidRPr="00FE50A6">
        <w:rPr>
          <w:lang w:val="en-US"/>
        </w:rPr>
        <w:t xml:space="preserve"> has indicated that:</w:t>
      </w:r>
    </w:p>
    <w:p w14:paraId="79ACB302" w14:textId="77777777" w:rsidR="00130785" w:rsidRPr="00FE50A6" w:rsidRDefault="00130785" w:rsidP="00130785">
      <w:pPr>
        <w:tabs>
          <w:tab w:val="clear" w:pos="4419"/>
          <w:tab w:val="clear" w:pos="8838"/>
        </w:tabs>
        <w:contextualSpacing/>
        <w:jc w:val="both"/>
        <w:rPr>
          <w:rFonts w:eastAsia="Cambria" w:cs="Times New Roman"/>
          <w:lang w:val="en-US"/>
        </w:rPr>
      </w:pPr>
    </w:p>
    <w:p w14:paraId="715C53C7" w14:textId="77777777" w:rsidR="00130785" w:rsidRPr="00FE50A6" w:rsidRDefault="00A23843" w:rsidP="00D85DC4">
      <w:pPr>
        <w:tabs>
          <w:tab w:val="clear" w:pos="4419"/>
          <w:tab w:val="clear" w:pos="8838"/>
        </w:tabs>
        <w:ind w:left="708" w:right="558"/>
        <w:jc w:val="both"/>
        <w:rPr>
          <w:rFonts w:eastAsia="MS Mincho" w:cs="Times"/>
          <w:sz w:val="16"/>
          <w:szCs w:val="16"/>
          <w:lang w:val="en-US" w:eastAsia="es-ES"/>
        </w:rPr>
      </w:pPr>
      <w:r w:rsidRPr="00FE50A6">
        <w:rPr>
          <w:rFonts w:eastAsia="MS Mincho" w:cs="Times"/>
          <w:sz w:val="16"/>
          <w:szCs w:val="16"/>
          <w:lang w:val="en-US" w:eastAsia="es-ES"/>
        </w:rPr>
        <w:t>“</w:t>
      </w:r>
      <w:r w:rsidR="00130785" w:rsidRPr="00FE50A6">
        <w:rPr>
          <w:rFonts w:eastAsia="MS Mincho" w:cs="Times"/>
          <w:sz w:val="16"/>
          <w:szCs w:val="16"/>
          <w:lang w:val="en-US" w:eastAsia="es-ES"/>
        </w:rPr>
        <w:t xml:space="preserve">48. </w:t>
      </w:r>
      <w:r w:rsidR="00D85DC4" w:rsidRPr="00FE50A6">
        <w:rPr>
          <w:sz w:val="16"/>
          <w:szCs w:val="16"/>
          <w:lang w:val="en-US"/>
        </w:rPr>
        <w:t>Bonded labourers are mostly from socially excluded groups, including indigenous people, minorities and migrants, who suffer additionally from discrimination and political disenfranchisement.</w:t>
      </w:r>
      <w:r w:rsidRPr="00FE50A6">
        <w:rPr>
          <w:sz w:val="16"/>
          <w:szCs w:val="16"/>
          <w:lang w:val="en-US"/>
        </w:rPr>
        <w:t>”</w:t>
      </w:r>
      <w:r w:rsidR="00130785" w:rsidRPr="00FE50A6">
        <w:rPr>
          <w:rFonts w:eastAsia="MS Mincho" w:cs="Times New Roman"/>
          <w:sz w:val="16"/>
          <w:szCs w:val="16"/>
          <w:vertAlign w:val="superscript"/>
          <w:lang w:val="en-US" w:eastAsia="es-ES"/>
        </w:rPr>
        <w:footnoteReference w:id="614"/>
      </w:r>
    </w:p>
    <w:p w14:paraId="7E06E377" w14:textId="77777777" w:rsidR="00130785" w:rsidRPr="00FE50A6" w:rsidRDefault="00130785" w:rsidP="00D85DC4">
      <w:pPr>
        <w:tabs>
          <w:tab w:val="clear" w:pos="4419"/>
          <w:tab w:val="clear" w:pos="8838"/>
        </w:tabs>
        <w:ind w:right="558"/>
        <w:rPr>
          <w:rFonts w:eastAsia="MS Mincho" w:cs="Times New Roman"/>
          <w:sz w:val="16"/>
          <w:szCs w:val="16"/>
          <w:lang w:val="en-US" w:eastAsia="es-ES"/>
        </w:rPr>
      </w:pPr>
    </w:p>
    <w:p w14:paraId="695134E7" w14:textId="77777777" w:rsidR="00130785" w:rsidRPr="00FE50A6" w:rsidRDefault="00D85DC4" w:rsidP="00D85DC4">
      <w:pPr>
        <w:tabs>
          <w:tab w:val="clear" w:pos="4419"/>
          <w:tab w:val="clear" w:pos="8838"/>
        </w:tabs>
        <w:ind w:right="558"/>
        <w:rPr>
          <w:rFonts w:eastAsia="MS Mincho" w:cs="Times New Roman"/>
          <w:szCs w:val="20"/>
          <w:lang w:val="en-US" w:eastAsia="es-ES"/>
        </w:rPr>
      </w:pPr>
      <w:r w:rsidRPr="00FE50A6">
        <w:rPr>
          <w:rFonts w:eastAsia="MS Mincho" w:cs="Times New Roman"/>
          <w:szCs w:val="20"/>
          <w:lang w:val="en-US" w:eastAsia="es-ES"/>
        </w:rPr>
        <w:t>also</w:t>
      </w:r>
      <w:r w:rsidR="00130785" w:rsidRPr="00FE50A6">
        <w:rPr>
          <w:rFonts w:eastAsia="MS Mincho" w:cs="Times New Roman"/>
          <w:szCs w:val="20"/>
          <w:lang w:val="en-US" w:eastAsia="es-ES"/>
        </w:rPr>
        <w:t xml:space="preserve">: </w:t>
      </w:r>
    </w:p>
    <w:p w14:paraId="6B6778AD" w14:textId="77777777" w:rsidR="00130785" w:rsidRPr="00FE50A6" w:rsidRDefault="00130785" w:rsidP="00D85DC4">
      <w:pPr>
        <w:tabs>
          <w:tab w:val="clear" w:pos="4419"/>
          <w:tab w:val="clear" w:pos="8838"/>
        </w:tabs>
        <w:ind w:right="558"/>
        <w:rPr>
          <w:rFonts w:eastAsia="MS Mincho" w:cs="Times New Roman"/>
          <w:sz w:val="16"/>
          <w:szCs w:val="16"/>
          <w:lang w:val="en-US" w:eastAsia="es-ES"/>
        </w:rPr>
      </w:pPr>
    </w:p>
    <w:p w14:paraId="7B8D813A" w14:textId="77777777" w:rsidR="00130785" w:rsidRPr="00FE50A6" w:rsidRDefault="00130785" w:rsidP="00D85DC4">
      <w:pPr>
        <w:tabs>
          <w:tab w:val="clear" w:pos="4419"/>
          <w:tab w:val="clear" w:pos="8838"/>
        </w:tabs>
        <w:ind w:left="708" w:right="558"/>
        <w:contextualSpacing/>
        <w:jc w:val="both"/>
        <w:rPr>
          <w:rFonts w:eastAsia="Cambria" w:cs="Times"/>
          <w:sz w:val="16"/>
          <w:szCs w:val="16"/>
          <w:lang w:val="en-US"/>
        </w:rPr>
      </w:pPr>
      <w:r w:rsidRPr="00FE50A6">
        <w:rPr>
          <w:rFonts w:eastAsia="Cambria" w:cs="Times New Roman"/>
          <w:sz w:val="16"/>
          <w:szCs w:val="16"/>
          <w:lang w:val="en-US"/>
        </w:rPr>
        <w:t xml:space="preserve">38. </w:t>
      </w:r>
      <w:r w:rsidR="00D85DC4" w:rsidRPr="00FE50A6">
        <w:rPr>
          <w:rFonts w:eastAsia="Cambria" w:cs="Times New Roman"/>
          <w:sz w:val="16"/>
          <w:szCs w:val="16"/>
          <w:lang w:val="en-US"/>
        </w:rPr>
        <w:t>I</w:t>
      </w:r>
      <w:r w:rsidR="00D85DC4" w:rsidRPr="00FE50A6">
        <w:rPr>
          <w:sz w:val="16"/>
          <w:szCs w:val="16"/>
          <w:lang w:val="en-US"/>
        </w:rPr>
        <w:t>n many countries in which slavery occurs, victims are poor, have few political connections and have little power to voice their grievances. These communities are normally marginalized and discriminated against as a result of their caste, race, gender and/or their origin as migrants or indigenous populations.</w:t>
      </w:r>
      <w:r w:rsidRPr="00FE50A6">
        <w:rPr>
          <w:rFonts w:eastAsia="Cambria" w:cs="Times New Roman"/>
          <w:sz w:val="16"/>
          <w:szCs w:val="16"/>
          <w:vertAlign w:val="superscript"/>
          <w:lang w:val="en-US"/>
        </w:rPr>
        <w:footnoteReference w:id="615"/>
      </w:r>
    </w:p>
    <w:p w14:paraId="7EA37BFD" w14:textId="77777777" w:rsidR="00130785" w:rsidRPr="00FE50A6" w:rsidRDefault="00130785" w:rsidP="00130785">
      <w:pPr>
        <w:tabs>
          <w:tab w:val="clear" w:pos="4419"/>
          <w:tab w:val="clear" w:pos="8838"/>
        </w:tabs>
        <w:ind w:left="708"/>
        <w:contextualSpacing/>
        <w:jc w:val="both"/>
        <w:rPr>
          <w:rFonts w:eastAsia="Cambria" w:cs="Times"/>
          <w:sz w:val="16"/>
          <w:szCs w:val="16"/>
          <w:lang w:val="en-US"/>
        </w:rPr>
      </w:pPr>
    </w:p>
    <w:p w14:paraId="60D884BB" w14:textId="77777777" w:rsidR="00130785" w:rsidRPr="00FE50A6" w:rsidRDefault="004B4D91" w:rsidP="004B4D91">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 xml:space="preserve">In other words, if </w:t>
      </w:r>
      <w:r w:rsidRPr="00FE50A6">
        <w:rPr>
          <w:rFonts w:eastAsia="Cambria" w:cs="Times New Roman"/>
          <w:i/>
          <w:lang w:val="en-US"/>
        </w:rPr>
        <w:t>generally, normally or almost always</w:t>
      </w:r>
      <w:r w:rsidRPr="00FE50A6">
        <w:rPr>
          <w:rFonts w:eastAsia="Cambria" w:cs="Times New Roman"/>
          <w:lang w:val="en-US"/>
        </w:rPr>
        <w:t xml:space="preserve"> the victims of slavery and conditions similar to slavery are poor people who have been discriminated against historically as a result of their </w:t>
      </w:r>
      <w:r w:rsidR="00A23843" w:rsidRPr="00FE50A6">
        <w:rPr>
          <w:rFonts w:eastAsia="Cambria" w:cs="Times New Roman"/>
          <w:lang w:val="en-US"/>
        </w:rPr>
        <w:t>r</w:t>
      </w:r>
      <w:r w:rsidRPr="00FE50A6">
        <w:rPr>
          <w:rFonts w:eastAsia="Cambria" w:cs="Times New Roman"/>
          <w:lang w:val="en-US"/>
        </w:rPr>
        <w:t xml:space="preserve">ace, sex and/or origin as indigenous people or migrants, this does not </w:t>
      </w:r>
      <w:r w:rsidR="005742BA" w:rsidRPr="00FE50A6">
        <w:rPr>
          <w:rFonts w:eastAsia="Cambria" w:cs="Times New Roman"/>
          <w:lang w:val="en-US"/>
        </w:rPr>
        <w:t>exclude the existence of people</w:t>
      </w:r>
      <w:r w:rsidRPr="00FE50A6">
        <w:rPr>
          <w:rFonts w:eastAsia="Cambria" w:cs="Times New Roman"/>
          <w:lang w:val="en-US"/>
        </w:rPr>
        <w:t xml:space="preserve"> who are not necessarily included in these express categories, but who </w:t>
      </w:r>
      <w:r w:rsidR="005742BA" w:rsidRPr="00FE50A6">
        <w:rPr>
          <w:rFonts w:eastAsia="Cambria" w:cs="Times New Roman"/>
          <w:lang w:val="en-US"/>
        </w:rPr>
        <w:t>are also</w:t>
      </w:r>
      <w:r w:rsidRPr="00FE50A6">
        <w:rPr>
          <w:rFonts w:eastAsia="Cambria" w:cs="Times New Roman"/>
          <w:lang w:val="en-US"/>
        </w:rPr>
        <w:t xml:space="preserve"> poor, marginalized or excluded. However, it should be stressed that when, in addition to the situation of poverty, another category established in </w:t>
      </w:r>
      <w:r w:rsidRPr="00FE50A6">
        <w:rPr>
          <w:rFonts w:eastAsia="Cambria" w:cs="Times New Roman"/>
          <w:szCs w:val="20"/>
          <w:lang w:val="en-US"/>
        </w:rPr>
        <w:t>Article 1(1)</w:t>
      </w:r>
      <w:r w:rsidRPr="00FE50A6">
        <w:rPr>
          <w:rFonts w:eastAsia="Cambria" w:cs="Times New Roman"/>
          <w:lang w:val="en-US"/>
        </w:rPr>
        <w:t xml:space="preserve"> is present, such as race, gender, ethnic origin, etc., a situation of multiple/compounded or intersectional discrimination exists, based on the particularities of the case</w:t>
      </w:r>
      <w:r w:rsidR="00130785" w:rsidRPr="00FE50A6">
        <w:rPr>
          <w:rFonts w:eastAsia="Cambria" w:cs="Times New Roman"/>
          <w:szCs w:val="20"/>
          <w:vertAlign w:val="superscript"/>
          <w:lang w:val="en-US"/>
        </w:rPr>
        <w:footnoteReference w:id="616"/>
      </w:r>
      <w:r w:rsidR="00030C17" w:rsidRPr="00FE50A6">
        <w:rPr>
          <w:rFonts w:eastAsia="Cambria" w:cs="Times New Roman"/>
          <w:lang w:val="en-US"/>
        </w:rPr>
        <w:t xml:space="preserve"> and </w:t>
      </w:r>
      <w:r w:rsidRPr="00FE50A6">
        <w:rPr>
          <w:rFonts w:eastAsia="Cambria" w:cs="Times New Roman"/>
          <w:lang w:val="en-US"/>
        </w:rPr>
        <w:t xml:space="preserve">how this has been recognized by </w:t>
      </w:r>
      <w:r w:rsidR="002071B1" w:rsidRPr="00FE50A6">
        <w:rPr>
          <w:rFonts w:eastAsia="Cambria" w:cs="Times New Roman"/>
          <w:lang w:val="en-US"/>
        </w:rPr>
        <w:t xml:space="preserve">the </w:t>
      </w:r>
      <w:r w:rsidR="00090C6A" w:rsidRPr="00FE50A6">
        <w:rPr>
          <w:rFonts w:eastAsia="Cambria" w:cs="Times New Roman"/>
          <w:lang w:val="en-US"/>
        </w:rPr>
        <w:t>Inter-American Court</w:t>
      </w:r>
      <w:r w:rsidRPr="00FE50A6">
        <w:rPr>
          <w:rFonts w:eastAsia="Cambria" w:cs="Times New Roman"/>
          <w:lang w:val="en-US"/>
        </w:rPr>
        <w:t xml:space="preserve"> on other occasions.</w:t>
      </w:r>
      <w:r w:rsidR="00130785" w:rsidRPr="00FE50A6">
        <w:rPr>
          <w:rFonts w:eastAsia="Cambria" w:cs="Times New Roman"/>
          <w:szCs w:val="20"/>
          <w:vertAlign w:val="superscript"/>
          <w:lang w:val="en-US"/>
        </w:rPr>
        <w:footnoteReference w:id="617"/>
      </w:r>
      <w:r w:rsidR="00130785" w:rsidRPr="00FE50A6">
        <w:rPr>
          <w:rFonts w:eastAsia="Cambria" w:cs="Times New Roman"/>
          <w:lang w:val="en-US"/>
        </w:rPr>
        <w:t xml:space="preserve"> </w:t>
      </w:r>
    </w:p>
    <w:p w14:paraId="6D68E275" w14:textId="77777777" w:rsidR="007F08BC" w:rsidRPr="00FE50A6" w:rsidRDefault="007F08BC" w:rsidP="007F08BC">
      <w:pPr>
        <w:tabs>
          <w:tab w:val="clear" w:pos="4419"/>
          <w:tab w:val="clear" w:pos="8838"/>
        </w:tabs>
        <w:contextualSpacing/>
        <w:jc w:val="both"/>
        <w:rPr>
          <w:rFonts w:eastAsia="Cambria" w:cs="Times New Roman"/>
          <w:lang w:val="en-US"/>
        </w:rPr>
      </w:pPr>
    </w:p>
    <w:p w14:paraId="6BC48B40" w14:textId="77777777" w:rsidR="00130785" w:rsidRPr="00FE50A6" w:rsidRDefault="004B4D91" w:rsidP="003B3F30">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 xml:space="preserve">For the purposes of </w:t>
      </w:r>
      <w:r w:rsidR="005742BA" w:rsidRPr="00FE50A6">
        <w:rPr>
          <w:rFonts w:eastAsia="Cambria" w:cs="Times New Roman"/>
          <w:lang w:val="en-US"/>
        </w:rPr>
        <w:t xml:space="preserve">the right </w:t>
      </w:r>
      <w:r w:rsidR="007E02D6" w:rsidRPr="00FE50A6">
        <w:rPr>
          <w:rFonts w:eastAsia="Cambria" w:cs="Times New Roman"/>
          <w:lang w:val="en-US"/>
        </w:rPr>
        <w:t>to non-</w:t>
      </w:r>
      <w:r w:rsidR="005742BA" w:rsidRPr="00FE50A6">
        <w:rPr>
          <w:rFonts w:eastAsia="Cambria" w:cs="Times New Roman"/>
          <w:lang w:val="en-US"/>
        </w:rPr>
        <w:t>discriminat</w:t>
      </w:r>
      <w:r w:rsidR="007E02D6" w:rsidRPr="00FE50A6">
        <w:rPr>
          <w:rFonts w:eastAsia="Cambria" w:cs="Times New Roman"/>
          <w:lang w:val="en-US"/>
        </w:rPr>
        <w:t>ion</w:t>
      </w:r>
      <w:r w:rsidR="003B3F30" w:rsidRPr="00FE50A6">
        <w:rPr>
          <w:rFonts w:eastAsia="Cambria" w:cs="Times New Roman"/>
          <w:lang w:val="en-US"/>
        </w:rPr>
        <w:t xml:space="preserve">, economic status refers to structural situations </w:t>
      </w:r>
      <w:r w:rsidR="005742BA" w:rsidRPr="00FE50A6">
        <w:rPr>
          <w:rFonts w:eastAsia="Cambria" w:cs="Times New Roman"/>
          <w:lang w:val="en-US"/>
        </w:rPr>
        <w:t>that constitute</w:t>
      </w:r>
      <w:r w:rsidR="003B3F30" w:rsidRPr="00FE50A6">
        <w:rPr>
          <w:rFonts w:eastAsia="Cambria" w:cs="Times New Roman"/>
          <w:lang w:val="en-US"/>
        </w:rPr>
        <w:t xml:space="preserve"> the denial</w:t>
      </w:r>
      <w:r w:rsidR="005742BA" w:rsidRPr="00FE50A6">
        <w:rPr>
          <w:rFonts w:eastAsia="Cambria" w:cs="Times New Roman"/>
          <w:lang w:val="en-US"/>
        </w:rPr>
        <w:t xml:space="preserve"> to a sector of the population</w:t>
      </w:r>
      <w:r w:rsidR="003B3F30" w:rsidRPr="00FE50A6">
        <w:rPr>
          <w:rFonts w:eastAsia="Cambria" w:cs="Times New Roman"/>
          <w:lang w:val="en-US"/>
        </w:rPr>
        <w:t xml:space="preserve">, due to different circumstances, of the general requirements for a decent and autonomous life. Thus, it should be understood </w:t>
      </w:r>
      <w:r w:rsidR="007E02D6" w:rsidRPr="00FE50A6">
        <w:rPr>
          <w:rFonts w:eastAsia="Cambria" w:cs="Times New Roman"/>
          <w:lang w:val="en-US"/>
        </w:rPr>
        <w:t>in the context of</w:t>
      </w:r>
      <w:r w:rsidR="003B3F30" w:rsidRPr="00FE50A6">
        <w:rPr>
          <w:rFonts w:eastAsia="Cambria" w:cs="Times New Roman"/>
          <w:lang w:val="en-US"/>
        </w:rPr>
        <w:t xml:space="preserve"> the </w:t>
      </w:r>
      <w:r w:rsidR="007E02D6" w:rsidRPr="00FE50A6">
        <w:rPr>
          <w:rFonts w:eastAsia="Cambria" w:cs="Times New Roman"/>
          <w:lang w:val="en-US"/>
        </w:rPr>
        <w:t>types</w:t>
      </w:r>
      <w:r w:rsidR="003B3F30" w:rsidRPr="00FE50A6">
        <w:rPr>
          <w:rFonts w:eastAsia="Cambria" w:cs="Times New Roman"/>
          <w:lang w:val="en-US"/>
        </w:rPr>
        <w:t xml:space="preserve"> of situation</w:t>
      </w:r>
      <w:r w:rsidR="005742BA" w:rsidRPr="00FE50A6">
        <w:rPr>
          <w:rFonts w:eastAsia="Cambria" w:cs="Times New Roman"/>
          <w:lang w:val="en-US"/>
        </w:rPr>
        <w:t>s</w:t>
      </w:r>
      <w:r w:rsidR="003B3F30" w:rsidRPr="00FE50A6">
        <w:rPr>
          <w:rFonts w:eastAsia="Cambria" w:cs="Times New Roman"/>
          <w:lang w:val="en-US"/>
        </w:rPr>
        <w:t xml:space="preserve"> that prevent a person from developing a decent life, such as access to and enjoyment of the most basic social services. In this regard, decent conditions refer to the possibility, for example, of </w:t>
      </w:r>
      <w:r w:rsidR="005742BA" w:rsidRPr="00FE50A6">
        <w:rPr>
          <w:rFonts w:eastAsia="Cambria" w:cs="Times New Roman"/>
          <w:lang w:val="en-US"/>
        </w:rPr>
        <w:t>having a job</w:t>
      </w:r>
      <w:r w:rsidR="003B3F30" w:rsidRPr="00FE50A6">
        <w:rPr>
          <w:rFonts w:eastAsia="Cambria" w:cs="Times New Roman"/>
          <w:lang w:val="en-US"/>
        </w:rPr>
        <w:t xml:space="preserve">, or enjoying benefits such as housing, education, health, recreation, public services, social security and culture, because it is </w:t>
      </w:r>
      <w:r w:rsidR="007E02D6" w:rsidRPr="00FE50A6">
        <w:rPr>
          <w:rFonts w:eastAsia="Cambria" w:cs="Times New Roman"/>
          <w:lang w:val="en-US"/>
        </w:rPr>
        <w:t>the</w:t>
      </w:r>
      <w:r w:rsidR="005742BA" w:rsidRPr="00FE50A6">
        <w:rPr>
          <w:rFonts w:eastAsia="Cambria" w:cs="Times New Roman"/>
          <w:lang w:val="en-US"/>
        </w:rPr>
        <w:t xml:space="preserve"> individual’s</w:t>
      </w:r>
      <w:r w:rsidR="003B3F30" w:rsidRPr="00FE50A6">
        <w:rPr>
          <w:rFonts w:eastAsia="Cambria" w:cs="Times New Roman"/>
          <w:lang w:val="en-US"/>
        </w:rPr>
        <w:t xml:space="preserve"> situation that constitutes </w:t>
      </w:r>
      <w:r w:rsidR="005742BA" w:rsidRPr="00FE50A6">
        <w:rPr>
          <w:rFonts w:eastAsia="Cambria" w:cs="Times New Roman"/>
          <w:lang w:val="en-US"/>
        </w:rPr>
        <w:t>his or her</w:t>
      </w:r>
      <w:r w:rsidR="003B3F30" w:rsidRPr="00FE50A6">
        <w:rPr>
          <w:rFonts w:eastAsia="Cambria" w:cs="Times New Roman"/>
          <w:lang w:val="en-US"/>
        </w:rPr>
        <w:t xml:space="preserve"> socio-economic status.</w:t>
      </w:r>
      <w:r w:rsidR="00130785" w:rsidRPr="00FE50A6">
        <w:rPr>
          <w:rFonts w:eastAsia="Cambria" w:cs="Times New Roman"/>
          <w:szCs w:val="20"/>
          <w:vertAlign w:val="superscript"/>
          <w:lang w:val="en-US"/>
        </w:rPr>
        <w:footnoteReference w:id="618"/>
      </w:r>
      <w:r w:rsidR="00130785" w:rsidRPr="00FE50A6">
        <w:rPr>
          <w:rFonts w:eastAsia="Cambria" w:cs="Times New Roman"/>
          <w:lang w:val="en-US"/>
        </w:rPr>
        <w:t xml:space="preserve"> </w:t>
      </w:r>
      <w:r w:rsidR="007F08BC" w:rsidRPr="00FE50A6">
        <w:rPr>
          <w:rFonts w:eastAsia="Cambria"/>
          <w:szCs w:val="20"/>
          <w:lang w:val="en-US"/>
        </w:rPr>
        <w:t>The</w:t>
      </w:r>
      <w:r w:rsidR="005742BA" w:rsidRPr="00FE50A6">
        <w:rPr>
          <w:rFonts w:eastAsia="Cambria"/>
          <w:szCs w:val="20"/>
          <w:lang w:val="en-US"/>
        </w:rPr>
        <w:t xml:space="preserve"> foregoing </w:t>
      </w:r>
      <w:r w:rsidR="007F08BC" w:rsidRPr="00FE50A6">
        <w:rPr>
          <w:rFonts w:eastAsia="Cambria"/>
          <w:szCs w:val="20"/>
          <w:lang w:val="en-US"/>
        </w:rPr>
        <w:t>is more evident in Latin America with regard to women, owing to their lack of financial autonomy and because the incidence of poverty is higher among women, and this means that States need to take specific actions to resolve this situation of gender inequ</w:t>
      </w:r>
      <w:r w:rsidR="005742BA" w:rsidRPr="00FE50A6">
        <w:rPr>
          <w:rFonts w:eastAsia="Cambria"/>
          <w:szCs w:val="20"/>
          <w:lang w:val="en-US"/>
        </w:rPr>
        <w:t>a</w:t>
      </w:r>
      <w:r w:rsidR="007F08BC" w:rsidRPr="00FE50A6">
        <w:rPr>
          <w:rFonts w:eastAsia="Cambria"/>
          <w:szCs w:val="20"/>
          <w:lang w:val="en-US"/>
        </w:rPr>
        <w:t>lity in the impact of poverty.</w:t>
      </w:r>
      <w:r w:rsidR="00130785" w:rsidRPr="00FE50A6">
        <w:rPr>
          <w:rFonts w:eastAsia="Cambria" w:cs="Times New Roman"/>
          <w:szCs w:val="20"/>
          <w:vertAlign w:val="superscript"/>
          <w:lang w:val="en-US"/>
        </w:rPr>
        <w:footnoteReference w:id="619"/>
      </w:r>
      <w:r w:rsidR="00130785" w:rsidRPr="00FE50A6">
        <w:rPr>
          <w:rFonts w:eastAsia="Cambria" w:cs="Times New Roman"/>
          <w:lang w:val="en-US"/>
        </w:rPr>
        <w:t xml:space="preserve"> </w:t>
      </w:r>
    </w:p>
    <w:p w14:paraId="6E1F140D" w14:textId="77777777" w:rsidR="00130785" w:rsidRPr="00FE50A6" w:rsidRDefault="00130785" w:rsidP="00130785">
      <w:pPr>
        <w:tabs>
          <w:tab w:val="clear" w:pos="4419"/>
          <w:tab w:val="clear" w:pos="8838"/>
        </w:tabs>
        <w:contextualSpacing/>
        <w:jc w:val="both"/>
        <w:rPr>
          <w:rFonts w:eastAsia="Cambria" w:cs="Times New Roman"/>
          <w:szCs w:val="20"/>
          <w:lang w:val="en-US"/>
        </w:rPr>
      </w:pPr>
      <w:r w:rsidRPr="00FE50A6">
        <w:rPr>
          <w:rFonts w:eastAsia="Cambria" w:cs="Times New Roman"/>
          <w:lang w:val="en-US"/>
        </w:rPr>
        <w:t xml:space="preserve"> </w:t>
      </w:r>
    </w:p>
    <w:p w14:paraId="39513607" w14:textId="77777777" w:rsidR="00130785" w:rsidRPr="00FE50A6" w:rsidRDefault="00D91CEE" w:rsidP="00232923">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In sum</w:t>
      </w:r>
      <w:r w:rsidR="00130785" w:rsidRPr="00FE50A6">
        <w:rPr>
          <w:rFonts w:eastAsia="Cambria" w:cs="Times New Roman"/>
          <w:szCs w:val="20"/>
          <w:lang w:val="en-US"/>
        </w:rPr>
        <w:t xml:space="preserve">,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ha</w:t>
      </w:r>
      <w:r w:rsidRPr="00FE50A6">
        <w:rPr>
          <w:rFonts w:eastAsia="Cambria" w:cs="Times New Roman"/>
          <w:szCs w:val="20"/>
          <w:lang w:val="en-US"/>
        </w:rPr>
        <w:t>s been expanding and delimiting the content of the grounds on which individuals or groups of individuals cannot be discriminated against</w:t>
      </w:r>
      <w:r w:rsidR="001A72AC" w:rsidRPr="00FE50A6">
        <w:rPr>
          <w:rFonts w:eastAsia="Cambria" w:cs="Times New Roman"/>
          <w:szCs w:val="20"/>
          <w:lang w:val="en-US"/>
        </w:rPr>
        <w:t>.</w:t>
      </w:r>
      <w:r w:rsidRPr="00FE50A6">
        <w:rPr>
          <w:rFonts w:eastAsia="Cambria" w:cs="Times New Roman"/>
          <w:szCs w:val="20"/>
          <w:lang w:val="en-US"/>
        </w:rPr>
        <w:t xml:space="preserve"> </w:t>
      </w:r>
      <w:r w:rsidR="001A72AC" w:rsidRPr="00FE50A6">
        <w:rPr>
          <w:rFonts w:eastAsia="Cambria" w:cs="Times New Roman"/>
          <w:szCs w:val="20"/>
          <w:lang w:val="en-US"/>
        </w:rPr>
        <w:t>I</w:t>
      </w:r>
      <w:r w:rsidRPr="00FE50A6">
        <w:rPr>
          <w:rFonts w:eastAsia="Cambria" w:cs="Times New Roman"/>
          <w:szCs w:val="20"/>
          <w:lang w:val="en-US"/>
        </w:rPr>
        <w:t xml:space="preserve">n some case, this has </w:t>
      </w:r>
      <w:r w:rsidR="001A72AC" w:rsidRPr="00FE50A6">
        <w:rPr>
          <w:rFonts w:eastAsia="Cambria" w:cs="Times New Roman"/>
          <w:szCs w:val="20"/>
          <w:lang w:val="en-US"/>
        </w:rPr>
        <w:t xml:space="preserve">been in </w:t>
      </w:r>
      <w:r w:rsidRPr="00FE50A6">
        <w:rPr>
          <w:rFonts w:eastAsia="Cambria" w:cs="Times New Roman"/>
          <w:szCs w:val="20"/>
          <w:lang w:val="en-US"/>
        </w:rPr>
        <w:t>respon</w:t>
      </w:r>
      <w:r w:rsidR="001A72AC" w:rsidRPr="00FE50A6">
        <w:rPr>
          <w:rFonts w:eastAsia="Cambria" w:cs="Times New Roman"/>
          <w:szCs w:val="20"/>
          <w:lang w:val="en-US"/>
        </w:rPr>
        <w:t>se</w:t>
      </w:r>
      <w:r w:rsidRPr="00FE50A6">
        <w:rPr>
          <w:rFonts w:eastAsia="Cambria" w:cs="Times New Roman"/>
          <w:szCs w:val="20"/>
          <w:lang w:val="en-US"/>
        </w:rPr>
        <w:t xml:space="preserve"> to </w:t>
      </w:r>
      <w:r w:rsidR="005742BA" w:rsidRPr="00FE50A6">
        <w:rPr>
          <w:rFonts w:eastAsia="Cambria" w:cs="Times New Roman"/>
          <w:szCs w:val="20"/>
          <w:lang w:val="en-US"/>
        </w:rPr>
        <w:t>evolving</w:t>
      </w:r>
      <w:r w:rsidRPr="00FE50A6">
        <w:rPr>
          <w:rFonts w:eastAsia="Cambria" w:cs="Times New Roman"/>
          <w:szCs w:val="20"/>
          <w:lang w:val="en-US"/>
        </w:rPr>
        <w:t xml:space="preserve"> social circumstances in which</w:t>
      </w:r>
      <w:r w:rsidR="001A72AC" w:rsidRPr="00FE50A6">
        <w:rPr>
          <w:rFonts w:eastAsia="Cambria" w:cs="Times New Roman"/>
          <w:szCs w:val="20"/>
          <w:lang w:val="en-US"/>
        </w:rPr>
        <w:t xml:space="preserve"> these grounds </w:t>
      </w:r>
      <w:r w:rsidRPr="00FE50A6">
        <w:rPr>
          <w:rFonts w:eastAsia="Cambria" w:cs="Times New Roman"/>
          <w:szCs w:val="20"/>
          <w:lang w:val="en-US"/>
        </w:rPr>
        <w:t xml:space="preserve">are not </w:t>
      </w:r>
      <w:r w:rsidR="001A72AC" w:rsidRPr="00FE50A6">
        <w:rPr>
          <w:rFonts w:eastAsia="Cambria" w:cs="Times New Roman"/>
          <w:szCs w:val="20"/>
          <w:lang w:val="en-US"/>
        </w:rPr>
        <w:t>independent</w:t>
      </w:r>
      <w:r w:rsidRPr="00FE50A6">
        <w:rPr>
          <w:rFonts w:eastAsia="Cambria" w:cs="Times New Roman"/>
          <w:szCs w:val="20"/>
          <w:lang w:val="en-US"/>
        </w:rPr>
        <w:t xml:space="preserve">, but </w:t>
      </w:r>
      <w:r w:rsidR="001A72AC" w:rsidRPr="00FE50A6">
        <w:rPr>
          <w:rFonts w:eastAsia="Cambria" w:cs="Times New Roman"/>
          <w:szCs w:val="20"/>
          <w:lang w:val="en-US"/>
        </w:rPr>
        <w:t xml:space="preserve">rather </w:t>
      </w:r>
      <w:r w:rsidRPr="00FE50A6">
        <w:rPr>
          <w:rFonts w:eastAsia="Cambria" w:cs="Times New Roman"/>
          <w:szCs w:val="20"/>
          <w:lang w:val="en-US"/>
        </w:rPr>
        <w:t>respond to different factors and social and cultural barriers as a whole, as</w:t>
      </w:r>
      <w:r w:rsidR="001A72AC" w:rsidRPr="00FE50A6">
        <w:rPr>
          <w:rFonts w:eastAsia="Cambria" w:cs="Times New Roman"/>
          <w:szCs w:val="20"/>
          <w:lang w:val="en-US"/>
        </w:rPr>
        <w:t xml:space="preserve"> in the case of</w:t>
      </w:r>
      <w:r w:rsidRPr="00FE50A6">
        <w:rPr>
          <w:rFonts w:eastAsia="Cambria" w:cs="Times New Roman"/>
          <w:szCs w:val="20"/>
          <w:lang w:val="en-US"/>
        </w:rPr>
        <w:t xml:space="preserve"> HIV that may result in disabilit</w:t>
      </w:r>
      <w:r w:rsidR="00232923" w:rsidRPr="00FE50A6">
        <w:rPr>
          <w:rFonts w:eastAsia="Cambria" w:cs="Times New Roman"/>
          <w:szCs w:val="20"/>
          <w:lang w:val="en-US"/>
        </w:rPr>
        <w:t>y; infertility as a form of disability that has</w:t>
      </w:r>
      <w:r w:rsidR="001A72AC" w:rsidRPr="00FE50A6">
        <w:rPr>
          <w:rFonts w:eastAsia="Cambria" w:cs="Times New Roman"/>
          <w:szCs w:val="20"/>
          <w:lang w:val="en-US"/>
        </w:rPr>
        <w:t xml:space="preserve"> gender-based</w:t>
      </w:r>
      <w:r w:rsidR="00232923" w:rsidRPr="00FE50A6">
        <w:rPr>
          <w:rFonts w:eastAsia="Cambria" w:cs="Times New Roman"/>
          <w:szCs w:val="20"/>
          <w:lang w:val="en-US"/>
        </w:rPr>
        <w:t xml:space="preserve"> repercussion</w:t>
      </w:r>
      <w:r w:rsidR="001A72AC" w:rsidRPr="00FE50A6">
        <w:rPr>
          <w:rFonts w:eastAsia="Cambria" w:cs="Times New Roman"/>
          <w:szCs w:val="20"/>
          <w:lang w:val="en-US"/>
        </w:rPr>
        <w:t>s</w:t>
      </w:r>
      <w:r w:rsidR="00232923" w:rsidRPr="00FE50A6">
        <w:rPr>
          <w:rFonts w:eastAsia="Cambria" w:cs="Times New Roman"/>
          <w:szCs w:val="20"/>
          <w:lang w:val="en-US"/>
        </w:rPr>
        <w:t xml:space="preserve">, or </w:t>
      </w:r>
      <w:r w:rsidR="001A72AC" w:rsidRPr="00FE50A6">
        <w:rPr>
          <w:rFonts w:eastAsia="Cambria" w:cs="Times New Roman"/>
          <w:szCs w:val="20"/>
          <w:lang w:val="en-US"/>
        </w:rPr>
        <w:t>a worker’s</w:t>
      </w:r>
      <w:r w:rsidR="00232923" w:rsidRPr="00FE50A6">
        <w:rPr>
          <w:rFonts w:eastAsia="Cambria" w:cs="Times New Roman"/>
          <w:szCs w:val="20"/>
          <w:lang w:val="en-US"/>
        </w:rPr>
        <w:t xml:space="preserve"> situation of disadvantage owing to his irregular migratory status and, now, the situation of poverty as part of the economic status.</w:t>
      </w:r>
    </w:p>
    <w:p w14:paraId="7B927565" w14:textId="77777777" w:rsidR="00232923" w:rsidRPr="00FE50A6" w:rsidRDefault="00232923" w:rsidP="00232923">
      <w:pPr>
        <w:tabs>
          <w:tab w:val="clear" w:pos="4419"/>
          <w:tab w:val="clear" w:pos="8838"/>
        </w:tabs>
        <w:contextualSpacing/>
        <w:jc w:val="both"/>
        <w:rPr>
          <w:rFonts w:eastAsia="Cambria" w:cs="Times New Roman"/>
          <w:b/>
          <w:szCs w:val="20"/>
          <w:lang w:val="en-US"/>
        </w:rPr>
      </w:pPr>
    </w:p>
    <w:p w14:paraId="3CAE8F24" w14:textId="77777777" w:rsidR="00130785" w:rsidRPr="00FE50A6" w:rsidRDefault="00130785" w:rsidP="00130785">
      <w:pPr>
        <w:tabs>
          <w:tab w:val="clear" w:pos="4419"/>
          <w:tab w:val="clear" w:pos="8838"/>
        </w:tabs>
        <w:spacing w:line="276" w:lineRule="auto"/>
        <w:contextualSpacing/>
        <w:jc w:val="center"/>
        <w:rPr>
          <w:rFonts w:eastAsia="Cambria" w:cs="System Font Regular"/>
          <w:szCs w:val="20"/>
          <w:lang w:val="en-US"/>
        </w:rPr>
      </w:pPr>
      <w:r w:rsidRPr="00FE50A6">
        <w:rPr>
          <w:rFonts w:eastAsia="Cambria" w:cs="System Font Regular"/>
          <w:szCs w:val="20"/>
          <w:lang w:val="en-US"/>
        </w:rPr>
        <w:t xml:space="preserve">IV. </w:t>
      </w:r>
      <w:r w:rsidR="00702AE2" w:rsidRPr="00FE50A6">
        <w:rPr>
          <w:rFonts w:eastAsia="Cambria" w:cs="System Font Regular"/>
          <w:szCs w:val="20"/>
          <w:lang w:val="en-US"/>
        </w:rPr>
        <w:t>STRUCTURAL</w:t>
      </w:r>
      <w:r w:rsidR="00351E20" w:rsidRPr="00FE50A6">
        <w:rPr>
          <w:rFonts w:eastAsia="Cambria" w:cs="System Font Regular"/>
          <w:szCs w:val="20"/>
          <w:lang w:val="en-US"/>
        </w:rPr>
        <w:t xml:space="preserve"> VIOLATIONS</w:t>
      </w:r>
      <w:r w:rsidRPr="00FE50A6">
        <w:rPr>
          <w:rFonts w:eastAsia="Cambria" w:cs="System Font Regular"/>
          <w:szCs w:val="20"/>
          <w:lang w:val="en-US"/>
        </w:rPr>
        <w:t xml:space="preserve"> </w:t>
      </w:r>
      <w:r w:rsidR="00702AE2" w:rsidRPr="00FE50A6">
        <w:rPr>
          <w:rFonts w:eastAsia="Cambria" w:cs="System Font Regular"/>
          <w:szCs w:val="20"/>
          <w:lang w:val="en-US"/>
        </w:rPr>
        <w:t>IN</w:t>
      </w:r>
      <w:r w:rsidRPr="00FE50A6">
        <w:rPr>
          <w:rFonts w:eastAsia="Cambria" w:cs="System Font Regular"/>
          <w:szCs w:val="20"/>
          <w:lang w:val="en-US"/>
        </w:rPr>
        <w:t xml:space="preserve"> </w:t>
      </w:r>
      <w:r w:rsidR="00931A2D" w:rsidRPr="00FE50A6">
        <w:rPr>
          <w:rFonts w:eastAsia="Cambria" w:cs="System Font Regular"/>
          <w:szCs w:val="20"/>
          <w:lang w:val="en-US"/>
        </w:rPr>
        <w:t>INTERNATIONAL LAW</w:t>
      </w:r>
      <w:r w:rsidRPr="00FE50A6">
        <w:rPr>
          <w:rFonts w:eastAsia="Cambria" w:cs="System Font Regular"/>
          <w:szCs w:val="20"/>
          <w:lang w:val="en-US"/>
        </w:rPr>
        <w:t xml:space="preserve"> </w:t>
      </w:r>
    </w:p>
    <w:p w14:paraId="0FB61DD7" w14:textId="77777777" w:rsidR="00130785" w:rsidRPr="00FE50A6" w:rsidRDefault="00130785" w:rsidP="00130785">
      <w:pPr>
        <w:tabs>
          <w:tab w:val="clear" w:pos="4419"/>
          <w:tab w:val="clear" w:pos="8838"/>
        </w:tabs>
        <w:contextualSpacing/>
        <w:jc w:val="center"/>
        <w:rPr>
          <w:rFonts w:eastAsia="Cambria" w:cs="System Font Regular"/>
          <w:b/>
          <w:szCs w:val="20"/>
          <w:lang w:val="en-US"/>
        </w:rPr>
      </w:pPr>
    </w:p>
    <w:p w14:paraId="58A378B3" w14:textId="77777777" w:rsidR="007D525B" w:rsidRPr="00FE50A6" w:rsidRDefault="007D525B" w:rsidP="008B0BCC">
      <w:pPr>
        <w:numPr>
          <w:ilvl w:val="0"/>
          <w:numId w:val="26"/>
        </w:numPr>
        <w:tabs>
          <w:tab w:val="clear" w:pos="4419"/>
          <w:tab w:val="clear" w:pos="8838"/>
        </w:tabs>
        <w:jc w:val="both"/>
        <w:rPr>
          <w:rFonts w:eastAsia="Cambria" w:cs="System Font Regular"/>
          <w:szCs w:val="20"/>
          <w:lang w:val="en-US"/>
        </w:rPr>
      </w:pPr>
      <w:r w:rsidRPr="00FE50A6">
        <w:rPr>
          <w:rFonts w:eastAsia="Cambria" w:cs="System Font Regular"/>
          <w:szCs w:val="20"/>
          <w:lang w:val="en-US"/>
        </w:rPr>
        <w:t xml:space="preserve">The purpose of this section is to contextualize the progress made in the recognition of structural discrimination. In this regard, it is crucially important that States take the existence of </w:t>
      </w:r>
      <w:r w:rsidR="004A4D76" w:rsidRPr="00FE50A6">
        <w:rPr>
          <w:rFonts w:eastAsia="Cambria" w:cs="System Font Regular"/>
          <w:szCs w:val="20"/>
          <w:lang w:val="en-US"/>
        </w:rPr>
        <w:t>such</w:t>
      </w:r>
      <w:r w:rsidRPr="00FE50A6">
        <w:rPr>
          <w:rFonts w:eastAsia="Cambria" w:cs="System Font Regular"/>
          <w:szCs w:val="20"/>
          <w:lang w:val="en-US"/>
        </w:rPr>
        <w:t xml:space="preserve"> systemic situations of discrimination into account, because not all human rights violations occur as isolated events; rather, at times, they respond to specific institutional contexts of the denial of human rights.</w:t>
      </w:r>
    </w:p>
    <w:p w14:paraId="125A62B1" w14:textId="77777777" w:rsidR="00130785" w:rsidRPr="00FE50A6" w:rsidRDefault="00130785" w:rsidP="00130785">
      <w:pPr>
        <w:tabs>
          <w:tab w:val="clear" w:pos="4419"/>
          <w:tab w:val="clear" w:pos="8838"/>
        </w:tabs>
        <w:jc w:val="both"/>
        <w:rPr>
          <w:rFonts w:eastAsia="Cambria" w:cs="System Font Regular"/>
          <w:szCs w:val="20"/>
          <w:lang w:val="en-US"/>
        </w:rPr>
      </w:pPr>
    </w:p>
    <w:p w14:paraId="3088D6DA" w14:textId="77777777" w:rsidR="007D525B" w:rsidRPr="00FE50A6" w:rsidRDefault="007D525B" w:rsidP="008B0BCC">
      <w:pPr>
        <w:numPr>
          <w:ilvl w:val="0"/>
          <w:numId w:val="26"/>
        </w:numPr>
        <w:tabs>
          <w:tab w:val="clear" w:pos="4419"/>
          <w:tab w:val="clear" w:pos="8838"/>
        </w:tabs>
        <w:jc w:val="both"/>
        <w:rPr>
          <w:rFonts w:eastAsia="Cambria" w:cs="System Font Regular"/>
          <w:b/>
          <w:i/>
          <w:szCs w:val="20"/>
          <w:lang w:val="en-US"/>
        </w:rPr>
      </w:pPr>
      <w:r w:rsidRPr="00FE50A6">
        <w:rPr>
          <w:rFonts w:eastAsia="Cambria" w:cs="System Font Regular"/>
          <w:szCs w:val="20"/>
          <w:lang w:val="en-US"/>
        </w:rPr>
        <w:t xml:space="preserve">Even though, the current state </w:t>
      </w:r>
      <w:r w:rsidR="002A125A" w:rsidRPr="00FE50A6">
        <w:rPr>
          <w:rFonts w:eastAsia="Cambria" w:cs="System Font Regular"/>
          <w:szCs w:val="20"/>
          <w:lang w:val="en-US"/>
        </w:rPr>
        <w:t>of</w:t>
      </w:r>
      <w:r w:rsidRPr="00FE50A6">
        <w:rPr>
          <w:rFonts w:eastAsia="Cambria" w:cs="System Font Regular"/>
          <w:szCs w:val="20"/>
          <w:lang w:val="en-US"/>
        </w:rPr>
        <w:t xml:space="preserve"> constitutional and</w:t>
      </w:r>
      <w:r w:rsidR="002A125A" w:rsidRPr="00FE50A6">
        <w:rPr>
          <w:rFonts w:eastAsia="Cambria" w:cs="System Font Regular"/>
          <w:szCs w:val="20"/>
          <w:lang w:val="en-US"/>
        </w:rPr>
        <w:t xml:space="preserve"> international</w:t>
      </w:r>
      <w:r w:rsidRPr="00FE50A6">
        <w:rPr>
          <w:rFonts w:eastAsia="Cambria" w:cs="System Font Regular"/>
          <w:szCs w:val="20"/>
          <w:lang w:val="en-US"/>
        </w:rPr>
        <w:t xml:space="preserve"> human rights law has not firmly defined </w:t>
      </w:r>
      <w:r w:rsidR="004A4D76" w:rsidRPr="00FE50A6">
        <w:rPr>
          <w:rFonts w:eastAsia="Cambria" w:cs="System Font Regular"/>
          <w:szCs w:val="20"/>
          <w:lang w:val="en-US"/>
        </w:rPr>
        <w:t>this concept</w:t>
      </w:r>
      <w:r w:rsidRPr="00FE50A6">
        <w:rPr>
          <w:rFonts w:eastAsia="Cambria" w:cs="System Font Regular"/>
          <w:szCs w:val="20"/>
          <w:lang w:val="en-US"/>
        </w:rPr>
        <w:t xml:space="preserve">, this </w:t>
      </w:r>
      <w:r w:rsidR="004A4D76" w:rsidRPr="00FE50A6">
        <w:rPr>
          <w:rFonts w:eastAsia="Cambria" w:cs="System Font Regular"/>
          <w:szCs w:val="20"/>
          <w:lang w:val="en-US"/>
        </w:rPr>
        <w:t>has not prevented different</w:t>
      </w:r>
      <w:r w:rsidRPr="00FE50A6">
        <w:rPr>
          <w:rFonts w:eastAsia="Cambria" w:cs="System Font Regular"/>
          <w:szCs w:val="20"/>
          <w:lang w:val="en-US"/>
        </w:rPr>
        <w:t xml:space="preserve"> instances </w:t>
      </w:r>
      <w:r w:rsidR="004A4D76" w:rsidRPr="00FE50A6">
        <w:rPr>
          <w:rFonts w:eastAsia="Cambria" w:cs="System Font Regular"/>
          <w:szCs w:val="20"/>
          <w:lang w:val="en-US"/>
        </w:rPr>
        <w:t>from gradually</w:t>
      </w:r>
      <w:r w:rsidRPr="00FE50A6">
        <w:rPr>
          <w:rFonts w:eastAsia="Cambria" w:cs="System Font Regular"/>
          <w:szCs w:val="20"/>
          <w:lang w:val="en-US"/>
        </w:rPr>
        <w:t xml:space="preserve"> ruling on the existence and materialization of th</w:t>
      </w:r>
      <w:r w:rsidR="004A4D76" w:rsidRPr="00FE50A6">
        <w:rPr>
          <w:rFonts w:eastAsia="Cambria" w:cs="System Font Regular"/>
          <w:szCs w:val="20"/>
          <w:lang w:val="en-US"/>
        </w:rPr>
        <w:t>e</w:t>
      </w:r>
      <w:r w:rsidRPr="00FE50A6">
        <w:rPr>
          <w:rFonts w:eastAsia="Cambria" w:cs="System Font Regular"/>
          <w:szCs w:val="20"/>
          <w:lang w:val="en-US"/>
        </w:rPr>
        <w:t xml:space="preserve"> situation. Thus, we find some </w:t>
      </w:r>
      <w:r w:rsidR="004A4D76" w:rsidRPr="00FE50A6">
        <w:rPr>
          <w:rFonts w:eastAsia="Cambria" w:cs="System Font Regular"/>
          <w:szCs w:val="20"/>
          <w:lang w:val="en-US"/>
        </w:rPr>
        <w:t>similar</w:t>
      </w:r>
      <w:r w:rsidRPr="00FE50A6">
        <w:rPr>
          <w:rFonts w:eastAsia="Cambria" w:cs="System Font Regular"/>
          <w:szCs w:val="20"/>
          <w:lang w:val="en-US"/>
        </w:rPr>
        <w:t xml:space="preserve"> characteristics in the international sphere.</w:t>
      </w:r>
    </w:p>
    <w:p w14:paraId="0CA725AA" w14:textId="77777777" w:rsidR="00130785" w:rsidRPr="00FE50A6" w:rsidRDefault="00130785" w:rsidP="00130785">
      <w:pPr>
        <w:tabs>
          <w:tab w:val="clear" w:pos="4419"/>
          <w:tab w:val="clear" w:pos="8838"/>
        </w:tabs>
        <w:jc w:val="both"/>
        <w:rPr>
          <w:rFonts w:eastAsia="Cambria" w:cs="System Font Regular"/>
          <w:b/>
          <w:i/>
          <w:szCs w:val="20"/>
          <w:lang w:val="en-US"/>
        </w:rPr>
      </w:pPr>
    </w:p>
    <w:p w14:paraId="035CB4A4" w14:textId="77777777" w:rsidR="00130785" w:rsidRPr="00FE50A6" w:rsidRDefault="00130785" w:rsidP="00130785">
      <w:pPr>
        <w:tabs>
          <w:tab w:val="clear" w:pos="4419"/>
          <w:tab w:val="clear" w:pos="8838"/>
        </w:tabs>
        <w:contextualSpacing/>
        <w:jc w:val="both"/>
        <w:rPr>
          <w:rFonts w:eastAsia="Cambria" w:cs="System Font Regular"/>
          <w:i/>
          <w:szCs w:val="20"/>
          <w:lang w:val="en-US"/>
        </w:rPr>
      </w:pPr>
      <w:r w:rsidRPr="00FE50A6">
        <w:rPr>
          <w:rFonts w:eastAsia="Cambria" w:cs="System Font Regular"/>
          <w:i/>
          <w:szCs w:val="20"/>
          <w:lang w:val="en-US"/>
        </w:rPr>
        <w:t xml:space="preserve">i) </w:t>
      </w:r>
      <w:r w:rsidR="00B44229" w:rsidRPr="00FE50A6">
        <w:rPr>
          <w:rFonts w:eastAsia="Cambria" w:cs="System Font Regular"/>
          <w:i/>
          <w:szCs w:val="20"/>
          <w:lang w:val="en-US"/>
        </w:rPr>
        <w:t>European Court</w:t>
      </w:r>
      <w:r w:rsidRPr="00FE50A6">
        <w:rPr>
          <w:rFonts w:eastAsia="Cambria" w:cs="System Font Regular"/>
          <w:i/>
          <w:szCs w:val="20"/>
          <w:lang w:val="en-US"/>
        </w:rPr>
        <w:t xml:space="preserve"> </w:t>
      </w:r>
      <w:r w:rsidR="00C82C2B" w:rsidRPr="00FE50A6">
        <w:rPr>
          <w:rFonts w:eastAsia="Cambria" w:cs="System Font Regular"/>
          <w:i/>
          <w:szCs w:val="20"/>
          <w:lang w:val="en-US"/>
        </w:rPr>
        <w:t>of Human Rights</w:t>
      </w:r>
      <w:r w:rsidRPr="00FE50A6">
        <w:rPr>
          <w:rFonts w:eastAsia="Cambria" w:cs="System Font Regular"/>
          <w:i/>
          <w:szCs w:val="20"/>
          <w:lang w:val="en-US"/>
        </w:rPr>
        <w:t xml:space="preserve"> </w:t>
      </w:r>
    </w:p>
    <w:p w14:paraId="168AAECE" w14:textId="77777777" w:rsidR="00130785" w:rsidRPr="00FE50A6" w:rsidRDefault="00130785" w:rsidP="00130785">
      <w:pPr>
        <w:tabs>
          <w:tab w:val="clear" w:pos="4419"/>
          <w:tab w:val="clear" w:pos="8838"/>
        </w:tabs>
        <w:jc w:val="both"/>
        <w:rPr>
          <w:rFonts w:eastAsia="Cambria" w:cs="System Font Regular"/>
          <w:b/>
          <w:i/>
          <w:szCs w:val="20"/>
          <w:lang w:val="en-US"/>
        </w:rPr>
      </w:pPr>
    </w:p>
    <w:p w14:paraId="6160C34A" w14:textId="77777777" w:rsidR="00130785" w:rsidRPr="00FE50A6" w:rsidRDefault="00C82C2B" w:rsidP="00C82C2B">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To date, the</w:t>
      </w:r>
      <w:r w:rsidR="002071B1" w:rsidRPr="00FE50A6">
        <w:rPr>
          <w:rFonts w:eastAsia="Cambria" w:cs="System Font Regular"/>
          <w:szCs w:val="20"/>
          <w:lang w:val="en-US"/>
        </w:rPr>
        <w:t xml:space="preserve"> </w:t>
      </w:r>
      <w:r w:rsidR="00B44229" w:rsidRPr="00FE50A6">
        <w:rPr>
          <w:rFonts w:eastAsia="Cambria" w:cs="System Font Regular"/>
          <w:szCs w:val="20"/>
          <w:lang w:val="en-US"/>
        </w:rPr>
        <w:t>European Court</w:t>
      </w:r>
      <w:r w:rsidRPr="00FE50A6">
        <w:rPr>
          <w:rFonts w:eastAsia="Cambria" w:cs="System Font Regular"/>
          <w:szCs w:val="20"/>
          <w:lang w:val="en-US"/>
        </w:rPr>
        <w:t xml:space="preserve"> has not recognized the concept of </w:t>
      </w:r>
      <w:r w:rsidR="009C48A4" w:rsidRPr="00FE50A6">
        <w:rPr>
          <w:rFonts w:eastAsia="Cambria" w:cs="System Font Regular"/>
          <w:i/>
          <w:szCs w:val="20"/>
          <w:lang w:val="en-US"/>
        </w:rPr>
        <w:t>“</w:t>
      </w:r>
      <w:r w:rsidRPr="00FE50A6">
        <w:rPr>
          <w:rFonts w:eastAsia="Cambria" w:cs="System Font Regular"/>
          <w:i/>
          <w:szCs w:val="20"/>
          <w:lang w:val="en-US"/>
        </w:rPr>
        <w:t>structural discrimination</w:t>
      </w:r>
      <w:r w:rsidR="009C48A4" w:rsidRPr="00FE50A6">
        <w:rPr>
          <w:rFonts w:eastAsia="Cambria" w:cs="System Font Regular"/>
          <w:i/>
          <w:szCs w:val="20"/>
          <w:lang w:val="en-US"/>
        </w:rPr>
        <w:t>”</w:t>
      </w:r>
      <w:r w:rsidR="00130785" w:rsidRPr="00FE50A6">
        <w:rPr>
          <w:rFonts w:eastAsia="Cambria" w:cs="System Font Regular"/>
          <w:i/>
          <w:szCs w:val="20"/>
          <w:lang w:val="en-US"/>
        </w:rPr>
        <w:t xml:space="preserve"> </w:t>
      </w:r>
      <w:r w:rsidR="004A4D76" w:rsidRPr="00FE50A6">
        <w:rPr>
          <w:rFonts w:eastAsia="Cambria" w:cs="System Font Regular"/>
          <w:szCs w:val="20"/>
          <w:lang w:val="en-US"/>
        </w:rPr>
        <w:t xml:space="preserve">as grounds for special protection under </w:t>
      </w:r>
      <w:r w:rsidR="000228D0" w:rsidRPr="00FE50A6">
        <w:rPr>
          <w:rFonts w:eastAsia="Cambria" w:cs="System Font Regular"/>
          <w:szCs w:val="20"/>
          <w:lang w:val="en-US"/>
        </w:rPr>
        <w:t>Article</w:t>
      </w:r>
      <w:r w:rsidR="00130785" w:rsidRPr="00FE50A6">
        <w:rPr>
          <w:rFonts w:eastAsia="Cambria" w:cs="System Font Regular"/>
          <w:szCs w:val="20"/>
          <w:lang w:val="en-US"/>
        </w:rPr>
        <w:t xml:space="preserve"> 14</w:t>
      </w:r>
      <w:r w:rsidR="00391B10" w:rsidRPr="00FE50A6">
        <w:rPr>
          <w:rFonts w:eastAsia="Cambria" w:cs="System Font Regular"/>
          <w:szCs w:val="20"/>
          <w:lang w:val="en-US"/>
        </w:rPr>
        <w:t xml:space="preserve"> of the </w:t>
      </w:r>
      <w:r w:rsidR="009D23B3" w:rsidRPr="00FE50A6">
        <w:rPr>
          <w:rFonts w:eastAsia="Cambria" w:cs="System Font Regular"/>
          <w:szCs w:val="20"/>
          <w:lang w:val="en-US"/>
        </w:rPr>
        <w:t>European Convention</w:t>
      </w:r>
      <w:r w:rsidR="00130785" w:rsidRPr="00FE50A6">
        <w:rPr>
          <w:rFonts w:eastAsia="Cambria" w:cs="System Font Regular"/>
          <w:szCs w:val="20"/>
          <w:lang w:val="en-US"/>
        </w:rPr>
        <w:t>, o</w:t>
      </w:r>
      <w:r w:rsidRPr="00FE50A6">
        <w:rPr>
          <w:rFonts w:eastAsia="Cambria" w:cs="System Font Regular"/>
          <w:szCs w:val="20"/>
          <w:lang w:val="en-US"/>
        </w:rPr>
        <w:t>r</w:t>
      </w:r>
      <w:r w:rsidR="00130785" w:rsidRPr="00FE50A6">
        <w:rPr>
          <w:rFonts w:eastAsia="Cambria" w:cs="System Font Regular"/>
          <w:szCs w:val="20"/>
          <w:lang w:val="en-US"/>
        </w:rPr>
        <w:t xml:space="preserve"> </w:t>
      </w:r>
      <w:r w:rsidR="000228D0" w:rsidRPr="00FE50A6">
        <w:rPr>
          <w:rFonts w:eastAsia="Cambria" w:cs="System Font Regular"/>
          <w:szCs w:val="20"/>
          <w:lang w:val="en-US"/>
        </w:rPr>
        <w:t>Article</w:t>
      </w:r>
      <w:r w:rsidR="00130785" w:rsidRPr="00FE50A6">
        <w:rPr>
          <w:rFonts w:eastAsia="Cambria" w:cs="System Font Regular"/>
          <w:szCs w:val="20"/>
          <w:lang w:val="en-US"/>
        </w:rPr>
        <w:t xml:space="preserve"> 1</w:t>
      </w:r>
      <w:r w:rsidRPr="00FE50A6">
        <w:rPr>
          <w:rFonts w:eastAsia="Cambria" w:cs="System Font Regular"/>
          <w:szCs w:val="20"/>
          <w:lang w:val="en-US"/>
        </w:rPr>
        <w:t xml:space="preserve"> of</w:t>
      </w:r>
      <w:r w:rsidR="00130785" w:rsidRPr="00FE50A6">
        <w:rPr>
          <w:rFonts w:eastAsia="Cambria" w:cs="System Font Regular"/>
          <w:szCs w:val="20"/>
          <w:lang w:val="en-US"/>
        </w:rPr>
        <w:t xml:space="preserve"> Protocol 12 </w:t>
      </w:r>
      <w:r w:rsidRPr="00FE50A6">
        <w:rPr>
          <w:rFonts w:eastAsia="Cambria" w:cs="System Font Regular"/>
          <w:szCs w:val="20"/>
          <w:lang w:val="en-US"/>
        </w:rPr>
        <w:t xml:space="preserve">to this Convention. However, as a result of a systematic context of denial of rights, </w:t>
      </w:r>
      <w:r w:rsidR="004A4D76" w:rsidRPr="00FE50A6">
        <w:rPr>
          <w:rFonts w:eastAsia="Cambria" w:cs="System Font Regular"/>
          <w:szCs w:val="20"/>
          <w:lang w:val="en-US"/>
        </w:rPr>
        <w:t xml:space="preserve">this has not prevented </w:t>
      </w:r>
      <w:r w:rsidRPr="00FE50A6">
        <w:rPr>
          <w:rFonts w:eastAsia="Cambria" w:cs="System Font Regular"/>
          <w:szCs w:val="20"/>
          <w:lang w:val="en-US"/>
        </w:rPr>
        <w:t xml:space="preserve">structural violations of these rights established in the European Convention being protected. In this regard, it is worthwhile underlining that, </w:t>
      </w:r>
      <w:r w:rsidR="007869B6" w:rsidRPr="00FE50A6">
        <w:rPr>
          <w:rFonts w:eastAsia="Cambria" w:cs="System Font Regular"/>
          <w:szCs w:val="20"/>
          <w:lang w:val="en-US"/>
        </w:rPr>
        <w:t>unlike</w:t>
      </w:r>
      <w:r w:rsidRPr="00FE50A6">
        <w:rPr>
          <w:rFonts w:eastAsia="Cambria" w:cs="System Font Regular"/>
          <w:szCs w:val="20"/>
          <w:lang w:val="en-US"/>
        </w:rPr>
        <w:t xml:space="preserve"> </w:t>
      </w:r>
      <w:r w:rsidR="000228D0" w:rsidRPr="00FE50A6">
        <w:rPr>
          <w:rFonts w:eastAsia="Cambria" w:cs="System Font Regular"/>
          <w:szCs w:val="20"/>
          <w:lang w:val="en-US"/>
        </w:rPr>
        <w:t>the American Convention</w:t>
      </w:r>
      <w:r w:rsidRPr="00FE50A6">
        <w:rPr>
          <w:rFonts w:eastAsia="Cambria" w:cs="System Font Regular"/>
          <w:szCs w:val="20"/>
          <w:lang w:val="en-US"/>
        </w:rPr>
        <w:t>, which includes a mandate to adopt domestic legislation or adapt existing laws</w:t>
      </w:r>
      <w:r w:rsidR="00130785" w:rsidRPr="00FE50A6">
        <w:rPr>
          <w:rFonts w:eastAsia="Cambria" w:cs="System Font Regular"/>
          <w:szCs w:val="20"/>
          <w:lang w:val="en-US"/>
        </w:rPr>
        <w:t xml:space="preserve"> (</w:t>
      </w:r>
      <w:r w:rsidR="00D2546E" w:rsidRPr="00FE50A6">
        <w:rPr>
          <w:rFonts w:eastAsia="Cambria" w:cs="System Font Regular"/>
          <w:szCs w:val="20"/>
          <w:lang w:val="en-US"/>
        </w:rPr>
        <w:t>Article</w:t>
      </w:r>
      <w:r w:rsidR="00130785" w:rsidRPr="00FE50A6">
        <w:rPr>
          <w:rFonts w:eastAsia="Cambria" w:cs="System Font Regular"/>
          <w:szCs w:val="20"/>
          <w:lang w:val="en-US"/>
        </w:rPr>
        <w:t xml:space="preserve"> 2 </w:t>
      </w:r>
      <w:r w:rsidRPr="00FE50A6">
        <w:rPr>
          <w:rFonts w:eastAsia="Cambria" w:cs="System Font Regular"/>
          <w:szCs w:val="20"/>
          <w:lang w:val="en-US"/>
        </w:rPr>
        <w:t>of the</w:t>
      </w:r>
      <w:r w:rsidR="00130785" w:rsidRPr="00FE50A6">
        <w:rPr>
          <w:rFonts w:eastAsia="Cambria" w:cs="System Font Regular"/>
          <w:szCs w:val="20"/>
          <w:lang w:val="en-US"/>
        </w:rPr>
        <w:t xml:space="preserve"> </w:t>
      </w:r>
      <w:r w:rsidR="00090C6A" w:rsidRPr="00FE50A6">
        <w:rPr>
          <w:rFonts w:eastAsia="Cambria" w:cs="System Font Regular"/>
          <w:szCs w:val="20"/>
          <w:lang w:val="en-US"/>
        </w:rPr>
        <w:t>Pact of San</w:t>
      </w:r>
      <w:r w:rsidR="00130785" w:rsidRPr="00FE50A6">
        <w:rPr>
          <w:rFonts w:eastAsia="Cambria" w:cs="System Font Regular"/>
          <w:szCs w:val="20"/>
          <w:lang w:val="en-US"/>
        </w:rPr>
        <w:t xml:space="preserve"> José), </w:t>
      </w:r>
      <w:r w:rsidR="009D23B3" w:rsidRPr="00FE50A6">
        <w:rPr>
          <w:rFonts w:eastAsia="Cambria" w:cs="System Font Regular"/>
          <w:szCs w:val="20"/>
          <w:lang w:val="en-US"/>
        </w:rPr>
        <w:t>the European Convention</w:t>
      </w:r>
      <w:r w:rsidR="00130785" w:rsidRPr="00FE50A6">
        <w:rPr>
          <w:rFonts w:eastAsia="Cambria" w:cs="System Font Regular"/>
          <w:szCs w:val="20"/>
          <w:lang w:val="en-US"/>
        </w:rPr>
        <w:t xml:space="preserve"> </w:t>
      </w:r>
      <w:r w:rsidRPr="00FE50A6">
        <w:rPr>
          <w:rFonts w:eastAsia="Cambria" w:cs="System Font Regular"/>
          <w:szCs w:val="20"/>
          <w:lang w:val="en-US"/>
        </w:rPr>
        <w:t>does not include a provision of a similar breadth and dimension.</w:t>
      </w:r>
    </w:p>
    <w:p w14:paraId="5830DF66" w14:textId="77777777" w:rsidR="00130785" w:rsidRPr="00FE50A6" w:rsidRDefault="00130785" w:rsidP="00130785">
      <w:pPr>
        <w:tabs>
          <w:tab w:val="clear" w:pos="4419"/>
          <w:tab w:val="clear" w:pos="8838"/>
        </w:tabs>
        <w:jc w:val="both"/>
        <w:rPr>
          <w:rFonts w:eastAsia="Cambria" w:cs="System Font Regular"/>
          <w:i/>
          <w:szCs w:val="20"/>
          <w:lang w:val="en-US"/>
        </w:rPr>
      </w:pPr>
    </w:p>
    <w:p w14:paraId="65F72D03" w14:textId="77777777" w:rsidR="00130785" w:rsidRPr="00FE50A6" w:rsidRDefault="007869B6" w:rsidP="00EA7E4B">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In this regard,</w:t>
      </w:r>
      <w:r w:rsidR="00EA7E4B" w:rsidRPr="00FE50A6">
        <w:rPr>
          <w:rFonts w:eastAsia="Cambria" w:cs="System Font Regular"/>
          <w:szCs w:val="20"/>
          <w:lang w:val="en-US"/>
        </w:rPr>
        <w:t xml:space="preserve"> the ECHR has considered </w:t>
      </w:r>
      <w:r w:rsidR="00945F02" w:rsidRPr="00FE50A6">
        <w:rPr>
          <w:rFonts w:eastAsia="Cambria" w:cs="System Font Regular"/>
          <w:szCs w:val="20"/>
          <w:lang w:val="en-US"/>
        </w:rPr>
        <w:t xml:space="preserve">it </w:t>
      </w:r>
      <w:r w:rsidR="00EA7E4B" w:rsidRPr="00FE50A6">
        <w:rPr>
          <w:rFonts w:eastAsia="Cambria" w:cs="System Font Regular"/>
          <w:szCs w:val="20"/>
          <w:lang w:val="en-US"/>
        </w:rPr>
        <w:t xml:space="preserve">appropriate to deal with </w:t>
      </w:r>
      <w:r w:rsidR="00EB5CB3" w:rsidRPr="00FE50A6">
        <w:rPr>
          <w:rFonts w:eastAsia="Cambria" w:cs="System Font Regular"/>
          <w:szCs w:val="20"/>
          <w:lang w:val="en-US"/>
        </w:rPr>
        <w:t>human rights violations</w:t>
      </w:r>
      <w:r w:rsidR="00130785" w:rsidRPr="00FE50A6">
        <w:rPr>
          <w:rFonts w:eastAsia="Cambria" w:cs="System Font Regular"/>
          <w:szCs w:val="20"/>
          <w:lang w:val="en-US"/>
        </w:rPr>
        <w:t xml:space="preserve"> </w:t>
      </w:r>
      <w:r w:rsidR="00EA7E4B" w:rsidRPr="00FE50A6">
        <w:rPr>
          <w:rFonts w:eastAsia="Cambria" w:cs="System Font Regular"/>
          <w:szCs w:val="20"/>
          <w:lang w:val="en-US"/>
        </w:rPr>
        <w:t>in structural situations</w:t>
      </w:r>
      <w:r w:rsidRPr="00FE50A6">
        <w:rPr>
          <w:rFonts w:eastAsia="Cambria" w:cs="System Font Regular"/>
          <w:szCs w:val="20"/>
          <w:lang w:val="en-US"/>
        </w:rPr>
        <w:t xml:space="preserve"> by</w:t>
      </w:r>
      <w:r w:rsidR="00EA7E4B" w:rsidRPr="00FE50A6">
        <w:rPr>
          <w:rFonts w:eastAsia="Cambria" w:cs="System Font Regular"/>
          <w:szCs w:val="20"/>
          <w:lang w:val="en-US"/>
        </w:rPr>
        <w:t xml:space="preserve"> the adoption of measures that help revert th</w:t>
      </w:r>
      <w:r w:rsidRPr="00FE50A6">
        <w:rPr>
          <w:rFonts w:eastAsia="Cambria" w:cs="System Font Regular"/>
          <w:szCs w:val="20"/>
          <w:lang w:val="en-US"/>
        </w:rPr>
        <w:t>e situation that is</w:t>
      </w:r>
      <w:r w:rsidR="00EA7E4B" w:rsidRPr="00FE50A6">
        <w:rPr>
          <w:rFonts w:eastAsia="Cambria" w:cs="System Font Regular"/>
          <w:szCs w:val="20"/>
          <w:lang w:val="en-US"/>
        </w:rPr>
        <w:t xml:space="preserve"> unfavorable for a sector of the population. The absence of a treaty-based mandate in the European Convention has not </w:t>
      </w:r>
      <w:r w:rsidRPr="00FE50A6">
        <w:rPr>
          <w:rFonts w:eastAsia="Cambria" w:cs="System Font Regular"/>
          <w:szCs w:val="20"/>
          <w:lang w:val="en-US"/>
        </w:rPr>
        <w:t xml:space="preserve">prevented </w:t>
      </w:r>
      <w:r w:rsidR="00EA7E4B" w:rsidRPr="00FE50A6">
        <w:rPr>
          <w:rFonts w:eastAsia="Cambria" w:cs="System Font Regular"/>
          <w:szCs w:val="20"/>
          <w:lang w:val="en-US"/>
        </w:rPr>
        <w:t xml:space="preserve">the Strasbourg Court </w:t>
      </w:r>
      <w:r w:rsidRPr="00FE50A6">
        <w:rPr>
          <w:rFonts w:eastAsia="Cambria" w:cs="System Font Regular"/>
          <w:szCs w:val="20"/>
          <w:lang w:val="en-US"/>
        </w:rPr>
        <w:t>from</w:t>
      </w:r>
      <w:r w:rsidR="00EA7E4B" w:rsidRPr="00FE50A6">
        <w:rPr>
          <w:rFonts w:eastAsia="Cambria" w:cs="System Font Regular"/>
          <w:szCs w:val="20"/>
          <w:lang w:val="en-US"/>
        </w:rPr>
        <w:t xml:space="preserve"> recogniz</w:t>
      </w:r>
      <w:r w:rsidRPr="00FE50A6">
        <w:rPr>
          <w:rFonts w:eastAsia="Cambria" w:cs="System Font Regular"/>
          <w:szCs w:val="20"/>
          <w:lang w:val="en-US"/>
        </w:rPr>
        <w:t>ing</w:t>
      </w:r>
      <w:r w:rsidR="00EA7E4B" w:rsidRPr="00FE50A6">
        <w:rPr>
          <w:rFonts w:eastAsia="Cambria" w:cs="System Font Regular"/>
          <w:szCs w:val="20"/>
          <w:lang w:val="en-US"/>
        </w:rPr>
        <w:t xml:space="preserve"> the existe</w:t>
      </w:r>
      <w:r w:rsidRPr="00FE50A6">
        <w:rPr>
          <w:rFonts w:eastAsia="Cambria" w:cs="System Font Regular"/>
          <w:szCs w:val="20"/>
          <w:lang w:val="en-US"/>
        </w:rPr>
        <w:t>nce</w:t>
      </w:r>
      <w:r w:rsidR="00EA7E4B" w:rsidRPr="00FE50A6">
        <w:rPr>
          <w:rFonts w:eastAsia="Cambria" w:cs="System Font Regular"/>
          <w:szCs w:val="20"/>
          <w:lang w:val="en-US"/>
        </w:rPr>
        <w:t xml:space="preserve"> of</w:t>
      </w:r>
      <w:r w:rsidR="00BB55F1" w:rsidRPr="00FE50A6">
        <w:rPr>
          <w:rFonts w:eastAsia="Cambria" w:cs="System Font Regular"/>
          <w:szCs w:val="20"/>
          <w:lang w:val="en-US"/>
        </w:rPr>
        <w:t xml:space="preserve"> underlying</w:t>
      </w:r>
      <w:r w:rsidR="00EA7E4B" w:rsidRPr="00FE50A6">
        <w:rPr>
          <w:rFonts w:eastAsia="Cambria" w:cs="System Font Regular"/>
          <w:szCs w:val="20"/>
          <w:lang w:val="en-US"/>
        </w:rPr>
        <w:t xml:space="preserve"> structural and systemic problems in relation to other rights protected by the Rome Convention in its jurisprudence an</w:t>
      </w:r>
      <w:r w:rsidRPr="00FE50A6">
        <w:rPr>
          <w:rFonts w:eastAsia="Cambria" w:cs="System Font Regular"/>
          <w:szCs w:val="20"/>
          <w:lang w:val="en-US"/>
        </w:rPr>
        <w:t xml:space="preserve">d, consequently, </w:t>
      </w:r>
      <w:r w:rsidR="00EA7E4B" w:rsidRPr="00FE50A6">
        <w:rPr>
          <w:rFonts w:eastAsia="Cambria" w:cs="System Font Regular"/>
          <w:szCs w:val="20"/>
          <w:lang w:val="en-US"/>
        </w:rPr>
        <w:t>order</w:t>
      </w:r>
      <w:r w:rsidRPr="00FE50A6">
        <w:rPr>
          <w:rFonts w:eastAsia="Cambria" w:cs="System Font Regular"/>
          <w:szCs w:val="20"/>
          <w:lang w:val="en-US"/>
        </w:rPr>
        <w:t>ing</w:t>
      </w:r>
      <w:r w:rsidR="00EA7E4B" w:rsidRPr="00FE50A6">
        <w:rPr>
          <w:rFonts w:eastAsia="Cambria" w:cs="System Font Regular"/>
          <w:szCs w:val="20"/>
          <w:lang w:val="en-US"/>
        </w:rPr>
        <w:t xml:space="preserve"> </w:t>
      </w:r>
      <w:r w:rsidRPr="00FE50A6">
        <w:rPr>
          <w:rFonts w:eastAsia="Cambria" w:cs="System Font Regular"/>
          <w:szCs w:val="20"/>
          <w:lang w:val="en-US"/>
        </w:rPr>
        <w:t xml:space="preserve">the </w:t>
      </w:r>
      <w:r w:rsidR="00EA7E4B" w:rsidRPr="00FE50A6">
        <w:rPr>
          <w:rFonts w:eastAsia="Cambria" w:cs="System Font Regular"/>
          <w:szCs w:val="20"/>
          <w:lang w:val="en-US"/>
        </w:rPr>
        <w:t xml:space="preserve">implementation of positive measures to ensure the rights protected in </w:t>
      </w:r>
      <w:r w:rsidR="009D23B3" w:rsidRPr="00FE50A6">
        <w:rPr>
          <w:rFonts w:eastAsia="Cambria" w:cs="System Font Regular"/>
          <w:szCs w:val="20"/>
          <w:lang w:val="en-US"/>
        </w:rPr>
        <w:t>the European Convention</w:t>
      </w:r>
      <w:r w:rsidR="00EA7E4B" w:rsidRPr="00FE50A6">
        <w:rPr>
          <w:rFonts w:eastAsia="Cambria" w:cs="System Font Regular"/>
          <w:szCs w:val="20"/>
          <w:lang w:val="en-US"/>
        </w:rPr>
        <w:t>.</w:t>
      </w:r>
      <w:r w:rsidR="00130785" w:rsidRPr="00FE50A6">
        <w:rPr>
          <w:rFonts w:eastAsia="Cambria" w:cs="Times New Roman"/>
          <w:szCs w:val="20"/>
          <w:vertAlign w:val="superscript"/>
          <w:lang w:val="en-US"/>
        </w:rPr>
        <w:footnoteReference w:id="620"/>
      </w:r>
      <w:r w:rsidR="00130785" w:rsidRPr="00FE50A6">
        <w:rPr>
          <w:rFonts w:eastAsia="Cambria" w:cs="System Font Regular"/>
          <w:szCs w:val="20"/>
          <w:lang w:val="en-US"/>
        </w:rPr>
        <w:t xml:space="preserve"> </w:t>
      </w:r>
    </w:p>
    <w:p w14:paraId="5686A794" w14:textId="77777777" w:rsidR="00130785" w:rsidRPr="00FE50A6" w:rsidRDefault="00130785" w:rsidP="00130785">
      <w:pPr>
        <w:tabs>
          <w:tab w:val="clear" w:pos="4419"/>
          <w:tab w:val="clear" w:pos="8838"/>
        </w:tabs>
        <w:jc w:val="both"/>
        <w:rPr>
          <w:rFonts w:eastAsia="Cambria" w:cs="System Font Regular"/>
          <w:i/>
          <w:szCs w:val="20"/>
          <w:lang w:val="en-US"/>
        </w:rPr>
      </w:pPr>
    </w:p>
    <w:p w14:paraId="06D7AA4B" w14:textId="77777777" w:rsidR="00130785" w:rsidRPr="00FE50A6" w:rsidRDefault="00A55268" w:rsidP="00130785">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 xml:space="preserve">European </w:t>
      </w:r>
      <w:r w:rsidR="00945F02" w:rsidRPr="00FE50A6">
        <w:rPr>
          <w:rFonts w:eastAsia="Cambria" w:cs="System Font Regular"/>
          <w:szCs w:val="20"/>
          <w:lang w:val="en-US"/>
        </w:rPr>
        <w:t>case law</w:t>
      </w:r>
      <w:r w:rsidRPr="00FE50A6">
        <w:rPr>
          <w:rFonts w:eastAsia="Cambria" w:cs="System Font Regular"/>
          <w:szCs w:val="20"/>
          <w:lang w:val="en-US"/>
        </w:rPr>
        <w:t xml:space="preserve"> has recognized systemic and structural problems by </w:t>
      </w:r>
      <w:r w:rsidR="007869B6" w:rsidRPr="00FE50A6">
        <w:rPr>
          <w:rFonts w:eastAsia="Cambria" w:cs="System Font Regular"/>
          <w:szCs w:val="20"/>
          <w:lang w:val="en-US"/>
        </w:rPr>
        <w:t xml:space="preserve">means of </w:t>
      </w:r>
      <w:r w:rsidRPr="00FE50A6">
        <w:rPr>
          <w:rFonts w:eastAsia="Cambria" w:cs="System Font Regular"/>
          <w:szCs w:val="20"/>
          <w:lang w:val="en-US"/>
        </w:rPr>
        <w:t>the so-called pilot judgments.</w:t>
      </w:r>
      <w:r w:rsidR="00130785" w:rsidRPr="00FE50A6">
        <w:rPr>
          <w:rFonts w:eastAsia="Cambria" w:cs="Times New Roman"/>
          <w:szCs w:val="20"/>
          <w:vertAlign w:val="superscript"/>
          <w:lang w:val="en-US"/>
        </w:rPr>
        <w:footnoteReference w:id="621"/>
      </w:r>
      <w:r w:rsidR="00130785" w:rsidRPr="00FE50A6">
        <w:rPr>
          <w:rFonts w:eastAsia="Cambria" w:cs="System Font Regular"/>
          <w:szCs w:val="20"/>
          <w:lang w:val="en-US"/>
        </w:rPr>
        <w:t xml:space="preserve"> </w:t>
      </w:r>
      <w:r w:rsidRPr="00FE50A6">
        <w:rPr>
          <w:rFonts w:eastAsia="Cambria" w:cs="System Font Regular"/>
          <w:szCs w:val="20"/>
          <w:lang w:val="en-US"/>
        </w:rPr>
        <w:t xml:space="preserve">Pilot judgments are </w:t>
      </w:r>
      <w:r w:rsidR="00945F02" w:rsidRPr="00FE50A6">
        <w:rPr>
          <w:rFonts w:eastAsia="Cambria" w:cs="System Font Regular"/>
          <w:szCs w:val="20"/>
          <w:lang w:val="en-US"/>
        </w:rPr>
        <w:t>rulings</w:t>
      </w:r>
      <w:r w:rsidRPr="00FE50A6">
        <w:rPr>
          <w:rFonts w:eastAsia="Cambria" w:cs="System Font Regular"/>
          <w:szCs w:val="20"/>
          <w:lang w:val="en-US"/>
        </w:rPr>
        <w:t xml:space="preserve"> </w:t>
      </w:r>
      <w:r w:rsidR="002071B1" w:rsidRPr="00FE50A6">
        <w:rPr>
          <w:rFonts w:eastAsia="Cambria" w:cs="System Font Regular"/>
          <w:szCs w:val="20"/>
          <w:lang w:val="en-US"/>
        </w:rPr>
        <w:t xml:space="preserve">the </w:t>
      </w:r>
      <w:r w:rsidR="00B44229" w:rsidRPr="00FE50A6">
        <w:rPr>
          <w:rFonts w:eastAsia="Cambria" w:cs="System Font Regular"/>
          <w:szCs w:val="20"/>
          <w:lang w:val="en-US"/>
        </w:rPr>
        <w:t>European Court</w:t>
      </w:r>
      <w:r w:rsidR="00130785" w:rsidRPr="00FE50A6">
        <w:rPr>
          <w:rFonts w:eastAsia="Cambria" w:cs="System Font Regular"/>
          <w:szCs w:val="20"/>
          <w:lang w:val="en-US"/>
        </w:rPr>
        <w:t xml:space="preserve"> ha</w:t>
      </w:r>
      <w:r w:rsidRPr="00FE50A6">
        <w:rPr>
          <w:rFonts w:eastAsia="Cambria" w:cs="System Font Regular"/>
          <w:szCs w:val="20"/>
          <w:lang w:val="en-US"/>
        </w:rPr>
        <w:t>s</w:t>
      </w:r>
      <w:r w:rsidR="00130785" w:rsidRPr="00FE50A6">
        <w:rPr>
          <w:rFonts w:eastAsia="Cambria" w:cs="System Font Regular"/>
          <w:szCs w:val="20"/>
          <w:lang w:val="en-US"/>
        </w:rPr>
        <w:t xml:space="preserve"> adopt</w:t>
      </w:r>
      <w:r w:rsidR="00E433A9" w:rsidRPr="00FE50A6">
        <w:rPr>
          <w:rFonts w:eastAsia="Cambria" w:cs="System Font Regular"/>
          <w:szCs w:val="20"/>
          <w:lang w:val="en-US"/>
        </w:rPr>
        <w:t xml:space="preserve">ed against the State </w:t>
      </w:r>
      <w:r w:rsidR="007869B6" w:rsidRPr="00FE50A6">
        <w:rPr>
          <w:rFonts w:eastAsia="Cambria" w:cs="System Font Regular"/>
          <w:szCs w:val="20"/>
          <w:lang w:val="en-US"/>
        </w:rPr>
        <w:t>concerne</w:t>
      </w:r>
      <w:r w:rsidR="00E433A9" w:rsidRPr="00FE50A6">
        <w:rPr>
          <w:rFonts w:eastAsia="Cambria" w:cs="System Font Regular"/>
          <w:szCs w:val="20"/>
          <w:lang w:val="en-US"/>
        </w:rPr>
        <w:t xml:space="preserve">d – </w:t>
      </w:r>
      <w:r w:rsidR="00945F02" w:rsidRPr="00FE50A6">
        <w:rPr>
          <w:rFonts w:eastAsia="Cambria" w:cs="System Font Regular"/>
          <w:szCs w:val="20"/>
          <w:lang w:val="en-US"/>
        </w:rPr>
        <w:t>owing to</w:t>
      </w:r>
      <w:r w:rsidR="00E433A9" w:rsidRPr="00FE50A6">
        <w:rPr>
          <w:rFonts w:eastAsia="Cambria" w:cs="System Font Regular"/>
          <w:szCs w:val="20"/>
          <w:lang w:val="en-US"/>
        </w:rPr>
        <w:t xml:space="preserve"> </w:t>
      </w:r>
      <w:r w:rsidR="00BB55F1" w:rsidRPr="00FE50A6">
        <w:rPr>
          <w:rFonts w:eastAsia="Cambria" w:cs="System Font Regular"/>
          <w:szCs w:val="20"/>
          <w:lang w:val="en-US"/>
        </w:rPr>
        <w:t>an</w:t>
      </w:r>
      <w:r w:rsidR="00E433A9" w:rsidRPr="00FE50A6">
        <w:rPr>
          <w:rFonts w:eastAsia="Cambria" w:cs="System Font Regular"/>
          <w:szCs w:val="20"/>
          <w:lang w:val="en-US"/>
        </w:rPr>
        <w:t xml:space="preserve"> accumulation of different cases with similar characteristics – obliging it to adopt domestic laws (general measures) that rectify the</w:t>
      </w:r>
      <w:r w:rsidR="00BB55F1" w:rsidRPr="00FE50A6">
        <w:rPr>
          <w:rFonts w:eastAsia="Cambria" w:cs="System Font Regular"/>
          <w:szCs w:val="20"/>
          <w:lang w:val="en-US"/>
        </w:rPr>
        <w:t xml:space="preserve"> underlying</w:t>
      </w:r>
      <w:r w:rsidR="00E433A9" w:rsidRPr="00FE50A6">
        <w:rPr>
          <w:rFonts w:eastAsia="Cambria" w:cs="System Font Regular"/>
          <w:szCs w:val="20"/>
          <w:lang w:val="en-US"/>
        </w:rPr>
        <w:t xml:space="preserve"> </w:t>
      </w:r>
      <w:r w:rsidR="00E433A9" w:rsidRPr="00FE50A6">
        <w:rPr>
          <w:rFonts w:eastAsia="Cambria" w:cs="System Font Regular"/>
          <w:i/>
          <w:szCs w:val="20"/>
          <w:lang w:val="en-US"/>
        </w:rPr>
        <w:t>structural problem</w:t>
      </w:r>
      <w:r w:rsidR="00E433A9" w:rsidRPr="00FE50A6">
        <w:rPr>
          <w:rFonts w:eastAsia="Cambria" w:cs="System Font Regular"/>
          <w:szCs w:val="20"/>
          <w:lang w:val="en-US"/>
        </w:rPr>
        <w:t xml:space="preserve"> that originated t</w:t>
      </w:r>
      <w:r w:rsidR="00703850" w:rsidRPr="00FE50A6">
        <w:rPr>
          <w:rFonts w:eastAsia="Cambria" w:cs="System Font Regular"/>
          <w:szCs w:val="20"/>
          <w:lang w:val="en-US"/>
        </w:rPr>
        <w:t>he violation</w:t>
      </w:r>
      <w:r w:rsidR="00EE52F3" w:rsidRPr="00FE50A6">
        <w:rPr>
          <w:rFonts w:eastAsia="Cambria" w:cs="System Font Regular"/>
          <w:szCs w:val="20"/>
          <w:lang w:val="en-US"/>
        </w:rPr>
        <w:t xml:space="preserve"> of </w:t>
      </w:r>
      <w:r w:rsidR="00E433A9" w:rsidRPr="00FE50A6">
        <w:rPr>
          <w:rFonts w:eastAsia="Cambria" w:cs="System Font Regular"/>
          <w:szCs w:val="20"/>
          <w:lang w:val="en-US"/>
        </w:rPr>
        <w:t xml:space="preserve">the European Convention. In this type of case, the ECHR notes the existence of a systemic problem, suspends proceedings in identical cases – </w:t>
      </w:r>
      <w:r w:rsidR="007869B6" w:rsidRPr="00FE50A6">
        <w:rPr>
          <w:rFonts w:eastAsia="Cambria" w:cs="System Font Regular"/>
          <w:szCs w:val="20"/>
          <w:lang w:val="en-US"/>
        </w:rPr>
        <w:t xml:space="preserve">the </w:t>
      </w:r>
      <w:r w:rsidR="00E433A9" w:rsidRPr="00FE50A6">
        <w:rPr>
          <w:rFonts w:eastAsia="Cambria" w:cs="System Font Regular"/>
          <w:szCs w:val="20"/>
          <w:lang w:val="en-US"/>
        </w:rPr>
        <w:t>domino effect – and requires the State to take general measures. The plaintiff (</w:t>
      </w:r>
      <w:r w:rsidR="007869B6" w:rsidRPr="00FE50A6">
        <w:rPr>
          <w:rFonts w:eastAsia="Cambria" w:cs="System Font Regular"/>
          <w:szCs w:val="20"/>
          <w:lang w:val="en-US"/>
        </w:rPr>
        <w:t xml:space="preserve">in the </w:t>
      </w:r>
      <w:r w:rsidR="00E433A9" w:rsidRPr="00FE50A6">
        <w:rPr>
          <w:rFonts w:eastAsia="Cambria" w:cs="System Font Regular"/>
          <w:szCs w:val="20"/>
          <w:lang w:val="en-US"/>
        </w:rPr>
        <w:t>pilot case) and all those affected by the structural problem will have their proceedings postponed until the State</w:t>
      </w:r>
      <w:r w:rsidR="00BB55F1" w:rsidRPr="00FE50A6">
        <w:rPr>
          <w:rFonts w:eastAsia="Cambria" w:cs="System Font Regular"/>
          <w:szCs w:val="20"/>
          <w:lang w:val="en-US"/>
        </w:rPr>
        <w:t xml:space="preserve"> concerned</w:t>
      </w:r>
      <w:r w:rsidR="00E433A9" w:rsidRPr="00FE50A6">
        <w:rPr>
          <w:rFonts w:eastAsia="Cambria" w:cs="System Font Regular"/>
          <w:szCs w:val="20"/>
          <w:lang w:val="en-US"/>
        </w:rPr>
        <w:t xml:space="preserve"> </w:t>
      </w:r>
      <w:r w:rsidR="00945F02" w:rsidRPr="00FE50A6">
        <w:rPr>
          <w:rFonts w:eastAsia="Cambria" w:cs="System Font Regular"/>
          <w:szCs w:val="20"/>
          <w:lang w:val="en-US"/>
        </w:rPr>
        <w:t xml:space="preserve">has </w:t>
      </w:r>
      <w:r w:rsidR="00E433A9" w:rsidRPr="00FE50A6">
        <w:rPr>
          <w:rFonts w:eastAsia="Cambria" w:cs="System Font Regular"/>
          <w:szCs w:val="20"/>
          <w:lang w:val="en-US"/>
        </w:rPr>
        <w:t>adopt</w:t>
      </w:r>
      <w:r w:rsidR="00945F02" w:rsidRPr="00FE50A6">
        <w:rPr>
          <w:rFonts w:eastAsia="Cambria" w:cs="System Font Regular"/>
          <w:szCs w:val="20"/>
          <w:lang w:val="en-US"/>
        </w:rPr>
        <w:t>ed</w:t>
      </w:r>
      <w:r w:rsidR="00E433A9" w:rsidRPr="00FE50A6">
        <w:rPr>
          <w:rFonts w:eastAsia="Cambria" w:cs="System Font Regular"/>
          <w:szCs w:val="20"/>
          <w:lang w:val="en-US"/>
        </w:rPr>
        <w:t xml:space="preserve"> those measures</w:t>
      </w:r>
      <w:r w:rsidR="001A046C" w:rsidRPr="00FE50A6">
        <w:rPr>
          <w:rFonts w:eastAsia="Cambria" w:cs="System Font Regular"/>
          <w:szCs w:val="20"/>
          <w:lang w:val="en-US"/>
        </w:rPr>
        <w:t>.</w:t>
      </w:r>
      <w:r w:rsidR="001A046C" w:rsidRPr="00FE50A6">
        <w:rPr>
          <w:rFonts w:eastAsia="Cambria" w:cs="Times New Roman"/>
          <w:szCs w:val="20"/>
          <w:vertAlign w:val="superscript"/>
          <w:lang w:val="es-ES_tradnl"/>
        </w:rPr>
        <w:footnoteReference w:id="622"/>
      </w:r>
    </w:p>
    <w:p w14:paraId="1AACA457" w14:textId="77777777" w:rsidR="00E433A9" w:rsidRPr="00FE50A6" w:rsidRDefault="00E433A9" w:rsidP="00E433A9">
      <w:pPr>
        <w:tabs>
          <w:tab w:val="clear" w:pos="4419"/>
          <w:tab w:val="clear" w:pos="8838"/>
        </w:tabs>
        <w:jc w:val="both"/>
        <w:rPr>
          <w:rFonts w:eastAsia="Cambria" w:cs="System Font Regular"/>
          <w:i/>
          <w:szCs w:val="20"/>
          <w:lang w:val="en-US"/>
        </w:rPr>
      </w:pPr>
    </w:p>
    <w:p w14:paraId="6C294DB5" w14:textId="77777777" w:rsidR="00130785" w:rsidRPr="00FE50A6" w:rsidRDefault="00E433A9" w:rsidP="00D67209">
      <w:pPr>
        <w:numPr>
          <w:ilvl w:val="0"/>
          <w:numId w:val="26"/>
        </w:numPr>
        <w:tabs>
          <w:tab w:val="clear" w:pos="4419"/>
          <w:tab w:val="clear" w:pos="8838"/>
        </w:tabs>
        <w:jc w:val="both"/>
        <w:rPr>
          <w:rFonts w:eastAsia="Cambria" w:cs="Times"/>
          <w:iCs/>
          <w:szCs w:val="20"/>
          <w:lang w:val="en-US"/>
        </w:rPr>
      </w:pPr>
      <w:r w:rsidRPr="00FE50A6">
        <w:rPr>
          <w:rFonts w:eastAsia="Cambria" w:cs="System Font Regular"/>
          <w:szCs w:val="20"/>
          <w:lang w:val="en-US"/>
        </w:rPr>
        <w:t>The</w:t>
      </w:r>
      <w:r w:rsidR="00130785" w:rsidRPr="00FE50A6">
        <w:rPr>
          <w:rFonts w:eastAsia="Cambria" w:cs="System Font Regular"/>
          <w:szCs w:val="20"/>
          <w:lang w:val="en-US"/>
        </w:rPr>
        <w:t xml:space="preserve"> </w:t>
      </w:r>
      <w:r w:rsidR="00945F02" w:rsidRPr="00FE50A6">
        <w:rPr>
          <w:rFonts w:eastAsia="Cambria" w:cs="System Font Regular"/>
          <w:szCs w:val="20"/>
          <w:lang w:val="en-US"/>
        </w:rPr>
        <w:t>first</w:t>
      </w:r>
      <w:r w:rsidR="00130785" w:rsidRPr="00FE50A6">
        <w:rPr>
          <w:rFonts w:eastAsia="Cambria" w:cs="System Font Regular"/>
          <w:szCs w:val="20"/>
          <w:lang w:val="en-US"/>
        </w:rPr>
        <w:t xml:space="preserve"> case </w:t>
      </w:r>
      <w:r w:rsidRPr="00FE50A6">
        <w:rPr>
          <w:rFonts w:eastAsia="Cambria" w:cs="System Font Regular"/>
          <w:szCs w:val="20"/>
          <w:lang w:val="en-US"/>
        </w:rPr>
        <w:t>in which the</w:t>
      </w:r>
      <w:r w:rsidR="00130785" w:rsidRPr="00FE50A6">
        <w:rPr>
          <w:rFonts w:eastAsia="Cambria" w:cs="System Font Regular"/>
          <w:szCs w:val="20"/>
          <w:lang w:val="en-US"/>
        </w:rPr>
        <w:t xml:space="preserve"> </w:t>
      </w:r>
      <w:r w:rsidR="00B44229" w:rsidRPr="00FE50A6">
        <w:rPr>
          <w:rFonts w:eastAsia="Cambria" w:cs="System Font Regular"/>
          <w:szCs w:val="20"/>
          <w:lang w:val="en-US"/>
        </w:rPr>
        <w:t>ECHR</w:t>
      </w:r>
      <w:r w:rsidR="00130785" w:rsidRPr="00FE50A6">
        <w:rPr>
          <w:rFonts w:eastAsia="Cambria" w:cs="System Font Regular"/>
          <w:szCs w:val="20"/>
          <w:lang w:val="en-US"/>
        </w:rPr>
        <w:t xml:space="preserve"> u</w:t>
      </w:r>
      <w:r w:rsidRPr="00FE50A6">
        <w:rPr>
          <w:rFonts w:eastAsia="Cambria" w:cs="System Font Regular"/>
          <w:szCs w:val="20"/>
          <w:lang w:val="en-US"/>
        </w:rPr>
        <w:t>sed</w:t>
      </w:r>
      <w:r w:rsidR="00BB55F1" w:rsidRPr="00FE50A6">
        <w:rPr>
          <w:rFonts w:eastAsia="Cambria" w:cs="System Font Regular"/>
          <w:szCs w:val="20"/>
          <w:lang w:val="en-US"/>
        </w:rPr>
        <w:t xml:space="preserve"> a</w:t>
      </w:r>
      <w:r w:rsidRPr="00FE50A6">
        <w:rPr>
          <w:rFonts w:eastAsia="Cambria" w:cs="System Font Regular"/>
          <w:szCs w:val="20"/>
          <w:lang w:val="en-US"/>
        </w:rPr>
        <w:t xml:space="preserve"> pilot judgment was </w:t>
      </w:r>
      <w:r w:rsidR="006C3699" w:rsidRPr="00FE50A6">
        <w:rPr>
          <w:rFonts w:eastAsia="Cambria" w:cs="System Font Regular"/>
          <w:szCs w:val="20"/>
          <w:lang w:val="en-US"/>
        </w:rPr>
        <w:t xml:space="preserve">the </w:t>
      </w:r>
      <w:r w:rsidRPr="00FE50A6">
        <w:rPr>
          <w:rFonts w:eastAsia="Cambria" w:cs="System Font Regular"/>
          <w:szCs w:val="20"/>
          <w:lang w:val="en-US"/>
        </w:rPr>
        <w:t xml:space="preserve">1994 </w:t>
      </w:r>
      <w:r w:rsidR="006C3699" w:rsidRPr="00FE50A6">
        <w:rPr>
          <w:rFonts w:eastAsia="Cambria" w:cs="System Font Regular"/>
          <w:szCs w:val="20"/>
          <w:lang w:val="en-US"/>
        </w:rPr>
        <w:t>case of</w:t>
      </w:r>
      <w:r w:rsidR="00130785" w:rsidRPr="00FE50A6">
        <w:rPr>
          <w:rFonts w:eastAsia="Cambria" w:cs="System Font Regular"/>
          <w:szCs w:val="20"/>
          <w:lang w:val="en-US"/>
        </w:rPr>
        <w:t xml:space="preserve"> </w:t>
      </w:r>
      <w:r w:rsidR="00130785" w:rsidRPr="00FE50A6">
        <w:rPr>
          <w:rFonts w:eastAsia="Cambria" w:cs="Times"/>
          <w:i/>
          <w:iCs/>
          <w:szCs w:val="20"/>
          <w:lang w:val="en-US"/>
        </w:rPr>
        <w:t xml:space="preserve">Broniowski </w:t>
      </w:r>
      <w:r w:rsidR="000228D0" w:rsidRPr="00FE50A6">
        <w:rPr>
          <w:rFonts w:eastAsia="Cambria" w:cs="Times"/>
          <w:i/>
          <w:iCs/>
          <w:szCs w:val="20"/>
          <w:lang w:val="en-US"/>
        </w:rPr>
        <w:t>v.</w:t>
      </w:r>
      <w:r w:rsidR="00130785" w:rsidRPr="00FE50A6">
        <w:rPr>
          <w:rFonts w:eastAsia="Cambria" w:cs="Times"/>
          <w:i/>
          <w:iCs/>
          <w:szCs w:val="20"/>
          <w:lang w:val="en-US"/>
        </w:rPr>
        <w:t xml:space="preserve"> Pol</w:t>
      </w:r>
      <w:r w:rsidRPr="00FE50A6">
        <w:rPr>
          <w:rFonts w:eastAsia="Cambria" w:cs="Times"/>
          <w:i/>
          <w:iCs/>
          <w:szCs w:val="20"/>
          <w:lang w:val="en-US"/>
        </w:rPr>
        <w:t xml:space="preserve">and </w:t>
      </w:r>
      <w:r w:rsidRPr="00FE50A6">
        <w:rPr>
          <w:rFonts w:eastAsia="Cambria" w:cs="Times"/>
          <w:iCs/>
          <w:szCs w:val="20"/>
          <w:lang w:val="en-US"/>
        </w:rPr>
        <w:t>concerning the right to property (violation of</w:t>
      </w:r>
      <w:r w:rsidR="00130785" w:rsidRPr="00FE50A6">
        <w:rPr>
          <w:rFonts w:eastAsia="Cambria" w:cs="Times"/>
          <w:iCs/>
          <w:szCs w:val="20"/>
          <w:lang w:val="en-US"/>
        </w:rPr>
        <w:t xml:space="preserve"> </w:t>
      </w:r>
      <w:r w:rsidR="00D2546E" w:rsidRPr="00FE50A6">
        <w:rPr>
          <w:rFonts w:eastAsia="Cambria" w:cs="Times"/>
          <w:iCs/>
          <w:szCs w:val="20"/>
          <w:lang w:val="en-US"/>
        </w:rPr>
        <w:t>Article</w:t>
      </w:r>
      <w:r w:rsidR="00130785" w:rsidRPr="00FE50A6">
        <w:rPr>
          <w:rFonts w:eastAsia="Cambria" w:cs="Times"/>
          <w:iCs/>
          <w:szCs w:val="20"/>
          <w:lang w:val="en-US"/>
        </w:rPr>
        <w:t xml:space="preserve"> </w:t>
      </w:r>
      <w:r w:rsidRPr="00FE50A6">
        <w:rPr>
          <w:rFonts w:eastAsia="Cambria" w:cs="Times"/>
          <w:iCs/>
          <w:szCs w:val="20"/>
          <w:lang w:val="en-US"/>
        </w:rPr>
        <w:t>1 of</w:t>
      </w:r>
      <w:r w:rsidR="00130785" w:rsidRPr="00FE50A6">
        <w:rPr>
          <w:rFonts w:eastAsia="Cambria" w:cs="Times"/>
          <w:iCs/>
          <w:szCs w:val="20"/>
          <w:lang w:val="en-US"/>
        </w:rPr>
        <w:t xml:space="preserve"> Protocol 1</w:t>
      </w:r>
      <w:r w:rsidR="00391B10" w:rsidRPr="00FE50A6">
        <w:rPr>
          <w:rFonts w:eastAsia="Cambria" w:cs="Times"/>
          <w:iCs/>
          <w:szCs w:val="20"/>
          <w:lang w:val="en-US"/>
        </w:rPr>
        <w:t xml:space="preserve"> </w:t>
      </w:r>
      <w:r w:rsidRPr="00FE50A6">
        <w:rPr>
          <w:rFonts w:eastAsia="Cambria" w:cs="Times"/>
          <w:iCs/>
          <w:szCs w:val="20"/>
          <w:lang w:val="en-US"/>
        </w:rPr>
        <w:t>to</w:t>
      </w:r>
      <w:r w:rsidR="00391B10" w:rsidRPr="00FE50A6">
        <w:rPr>
          <w:rFonts w:eastAsia="Cambria" w:cs="Times"/>
          <w:iCs/>
          <w:szCs w:val="20"/>
          <w:lang w:val="en-US"/>
        </w:rPr>
        <w:t xml:space="preserve"> the </w:t>
      </w:r>
      <w:r w:rsidR="009D23B3" w:rsidRPr="00FE50A6">
        <w:rPr>
          <w:rFonts w:eastAsia="Cambria" w:cs="Times"/>
          <w:iCs/>
          <w:szCs w:val="20"/>
          <w:lang w:val="en-US"/>
        </w:rPr>
        <w:t>European Convention</w:t>
      </w:r>
      <w:r w:rsidR="00130785" w:rsidRPr="00FE50A6">
        <w:rPr>
          <w:rFonts w:eastAsia="Cambria" w:cs="Times"/>
          <w:iCs/>
          <w:szCs w:val="20"/>
          <w:lang w:val="en-US"/>
        </w:rPr>
        <w:t xml:space="preserve">). </w:t>
      </w:r>
      <w:r w:rsidRPr="00FE50A6">
        <w:rPr>
          <w:rFonts w:eastAsia="Cambria" w:cs="Times"/>
          <w:iCs/>
          <w:szCs w:val="20"/>
          <w:lang w:val="en-US"/>
        </w:rPr>
        <w:t>On that occasion, the European Court considered, when analyzing</w:t>
      </w:r>
      <w:r w:rsidR="00703850" w:rsidRPr="00FE50A6">
        <w:rPr>
          <w:rFonts w:eastAsia="Cambria" w:cs="Times"/>
          <w:iCs/>
          <w:szCs w:val="20"/>
          <w:lang w:val="en-US"/>
        </w:rPr>
        <w:t xml:space="preserve"> Article</w:t>
      </w:r>
      <w:r w:rsidR="00130785" w:rsidRPr="00FE50A6">
        <w:rPr>
          <w:rFonts w:eastAsia="Cambria" w:cs="Times"/>
          <w:iCs/>
          <w:szCs w:val="20"/>
          <w:lang w:val="en-US"/>
        </w:rPr>
        <w:t xml:space="preserve"> 46, </w:t>
      </w:r>
      <w:r w:rsidR="00D67209" w:rsidRPr="00FE50A6">
        <w:rPr>
          <w:rFonts w:eastAsia="Cambria" w:cs="Times"/>
          <w:iCs/>
          <w:szCs w:val="20"/>
          <w:lang w:val="en-US"/>
        </w:rPr>
        <w:t xml:space="preserve">that it was </w:t>
      </w:r>
      <w:r w:rsidR="00BB55F1" w:rsidRPr="00FE50A6">
        <w:rPr>
          <w:rFonts w:eastAsia="Cambria" w:cs="Times"/>
          <w:iCs/>
          <w:szCs w:val="20"/>
          <w:lang w:val="en-US"/>
        </w:rPr>
        <w:t>“</w:t>
      </w:r>
      <w:r w:rsidR="00D67209" w:rsidRPr="00FE50A6">
        <w:rPr>
          <w:szCs w:val="20"/>
          <w:lang w:val="en-US"/>
        </w:rPr>
        <w:t>inherent in the Court's findings that the violation of the applicant's right guaranteed by</w:t>
      </w:r>
      <w:r w:rsidR="00D67209" w:rsidRPr="00FE50A6">
        <w:rPr>
          <w:lang w:val="en-US"/>
        </w:rPr>
        <w:t xml:space="preserve"> </w:t>
      </w:r>
      <w:r w:rsidR="00D67209" w:rsidRPr="00FE50A6">
        <w:rPr>
          <w:szCs w:val="20"/>
          <w:lang w:val="en-US"/>
        </w:rPr>
        <w:t>Article 1 of Protocol No. 1 originated in a widespread problem which resulted from a malfunctioning</w:t>
      </w:r>
      <w:r w:rsidR="00D67209" w:rsidRPr="00FE50A6">
        <w:rPr>
          <w:lang w:val="en-US"/>
        </w:rPr>
        <w:t xml:space="preserve"> </w:t>
      </w:r>
      <w:r w:rsidR="00D67209" w:rsidRPr="00FE50A6">
        <w:rPr>
          <w:szCs w:val="20"/>
          <w:lang w:val="en-US"/>
        </w:rPr>
        <w:t>of Polish legislation and administrative practice and which ha</w:t>
      </w:r>
      <w:r w:rsidR="00BB55F1" w:rsidRPr="00FE50A6">
        <w:rPr>
          <w:szCs w:val="20"/>
          <w:lang w:val="en-US"/>
        </w:rPr>
        <w:t>s</w:t>
      </w:r>
      <w:r w:rsidR="00D67209" w:rsidRPr="00FE50A6">
        <w:rPr>
          <w:szCs w:val="20"/>
          <w:lang w:val="en-US"/>
        </w:rPr>
        <w:t xml:space="preserve"> affected and remain</w:t>
      </w:r>
      <w:r w:rsidR="00BB55F1" w:rsidRPr="00FE50A6">
        <w:rPr>
          <w:szCs w:val="20"/>
          <w:lang w:val="en-US"/>
        </w:rPr>
        <w:t>s</w:t>
      </w:r>
      <w:r w:rsidR="00D67209" w:rsidRPr="00FE50A6">
        <w:rPr>
          <w:szCs w:val="20"/>
          <w:lang w:val="en-US"/>
        </w:rPr>
        <w:t xml:space="preserve"> capable of</w:t>
      </w:r>
      <w:r w:rsidR="00D67209" w:rsidRPr="00FE50A6">
        <w:rPr>
          <w:lang w:val="en-US"/>
        </w:rPr>
        <w:t xml:space="preserve"> </w:t>
      </w:r>
      <w:r w:rsidR="00D67209" w:rsidRPr="00FE50A6">
        <w:rPr>
          <w:szCs w:val="20"/>
          <w:lang w:val="en-US"/>
        </w:rPr>
        <w:t>affecting a large number of persons.</w:t>
      </w:r>
      <w:r w:rsidR="00BB55F1" w:rsidRPr="00FE50A6">
        <w:rPr>
          <w:szCs w:val="20"/>
          <w:lang w:val="en-US"/>
        </w:rPr>
        <w:t>”</w:t>
      </w:r>
      <w:r w:rsidR="00D67209" w:rsidRPr="00FE50A6">
        <w:rPr>
          <w:szCs w:val="20"/>
          <w:lang w:val="en-US"/>
        </w:rPr>
        <w:t xml:space="preserve"> In this case, the violation of property had not been prompted by an isolated incident, </w:t>
      </w:r>
      <w:r w:rsidR="00BB55F1" w:rsidRPr="00FE50A6">
        <w:rPr>
          <w:szCs w:val="20"/>
          <w:lang w:val="en-US"/>
        </w:rPr>
        <w:t>“</w:t>
      </w:r>
      <w:r w:rsidR="00D67209" w:rsidRPr="00FE50A6">
        <w:rPr>
          <w:szCs w:val="20"/>
          <w:lang w:val="en-US"/>
        </w:rPr>
        <w:t>but was rather the consequence of administrative and regulatory</w:t>
      </w:r>
      <w:r w:rsidR="00D67209" w:rsidRPr="00FE50A6">
        <w:rPr>
          <w:lang w:val="en-US"/>
        </w:rPr>
        <w:t xml:space="preserve"> </w:t>
      </w:r>
      <w:r w:rsidR="00D67209" w:rsidRPr="00FE50A6">
        <w:rPr>
          <w:szCs w:val="20"/>
          <w:lang w:val="en-US"/>
        </w:rPr>
        <w:t>conduct on the part of the authorities towards an identifiable class of citizens</w:t>
      </w:r>
      <w:r w:rsidR="00BB55F1" w:rsidRPr="00FE50A6">
        <w:rPr>
          <w:szCs w:val="20"/>
          <w:lang w:val="en-US"/>
        </w:rPr>
        <w:t xml:space="preserve">, </w:t>
      </w:r>
      <w:r w:rsidR="00D67209" w:rsidRPr="00FE50A6">
        <w:rPr>
          <w:szCs w:val="20"/>
          <w:lang w:val="en-US"/>
        </w:rPr>
        <w:t>namely the Bug River</w:t>
      </w:r>
      <w:r w:rsidR="00D67209" w:rsidRPr="00FE50A6">
        <w:rPr>
          <w:lang w:val="en-US"/>
        </w:rPr>
        <w:t xml:space="preserve"> </w:t>
      </w:r>
      <w:r w:rsidR="00D67209" w:rsidRPr="00FE50A6">
        <w:rPr>
          <w:szCs w:val="20"/>
          <w:lang w:val="en-US"/>
        </w:rPr>
        <w:t>claimants.</w:t>
      </w:r>
      <w:r w:rsidR="00BB55F1" w:rsidRPr="00FE50A6">
        <w:rPr>
          <w:szCs w:val="20"/>
          <w:lang w:val="en-US"/>
        </w:rPr>
        <w:t>”</w:t>
      </w:r>
      <w:r w:rsidR="00D67209" w:rsidRPr="00FE50A6">
        <w:rPr>
          <w:szCs w:val="20"/>
          <w:lang w:val="en-US"/>
        </w:rPr>
        <w:t xml:space="preserve"> Thus, the ECHR considered that the existence and the systemic nature of the problem had </w:t>
      </w:r>
      <w:r w:rsidR="00BB55F1" w:rsidRPr="00FE50A6">
        <w:rPr>
          <w:szCs w:val="20"/>
          <w:lang w:val="en-US"/>
        </w:rPr>
        <w:t xml:space="preserve">already </w:t>
      </w:r>
      <w:r w:rsidR="00D67209" w:rsidRPr="00FE50A6">
        <w:rPr>
          <w:szCs w:val="20"/>
          <w:lang w:val="en-US"/>
        </w:rPr>
        <w:t>been recognized by the Polish judicial authorities as an “inadmissible systemic dysfunction</w:t>
      </w:r>
      <w:r w:rsidR="00554645" w:rsidRPr="00FE50A6">
        <w:rPr>
          <w:szCs w:val="20"/>
          <w:lang w:val="en-US"/>
        </w:rPr>
        <w:t xml:space="preserve">,” </w:t>
      </w:r>
      <w:r w:rsidR="00D67209" w:rsidRPr="00FE50A6">
        <w:rPr>
          <w:szCs w:val="20"/>
          <w:lang w:val="en-US"/>
        </w:rPr>
        <w:t>as</w:t>
      </w:r>
      <w:r w:rsidR="00554645" w:rsidRPr="00FE50A6">
        <w:rPr>
          <w:szCs w:val="20"/>
          <w:lang w:val="en-US"/>
        </w:rPr>
        <w:t xml:space="preserve"> </w:t>
      </w:r>
      <w:r w:rsidR="00D67209" w:rsidRPr="00FE50A6">
        <w:rPr>
          <w:szCs w:val="20"/>
          <w:lang w:val="en-US"/>
        </w:rPr>
        <w:t>a consequence of which a whole class of individuals ha</w:t>
      </w:r>
      <w:r w:rsidR="00554645" w:rsidRPr="00FE50A6">
        <w:rPr>
          <w:szCs w:val="20"/>
          <w:lang w:val="en-US"/>
        </w:rPr>
        <w:t>d</w:t>
      </w:r>
      <w:r w:rsidR="00D67209" w:rsidRPr="00FE50A6">
        <w:rPr>
          <w:szCs w:val="20"/>
          <w:lang w:val="en-US"/>
        </w:rPr>
        <w:t xml:space="preserve"> been or</w:t>
      </w:r>
      <w:r w:rsidR="00554645" w:rsidRPr="00FE50A6">
        <w:rPr>
          <w:szCs w:val="20"/>
          <w:lang w:val="en-US"/>
        </w:rPr>
        <w:t xml:space="preserve"> still were</w:t>
      </w:r>
      <w:r w:rsidR="00D67209" w:rsidRPr="00FE50A6">
        <w:rPr>
          <w:szCs w:val="20"/>
          <w:lang w:val="en-US"/>
        </w:rPr>
        <w:t xml:space="preserve"> denied the peaceful enjoyment of their possessions</w:t>
      </w:r>
      <w:r w:rsidR="00554645" w:rsidRPr="00FE50A6">
        <w:rPr>
          <w:szCs w:val="20"/>
          <w:lang w:val="en-US"/>
        </w:rPr>
        <w:t xml:space="preserve">, </w:t>
      </w:r>
      <w:r w:rsidR="00D67209" w:rsidRPr="00FE50A6">
        <w:rPr>
          <w:szCs w:val="20"/>
          <w:lang w:val="en-US"/>
        </w:rPr>
        <w:t>to which should be added the deficiencies in national law and practice identified in the applicant's individual case</w:t>
      </w:r>
      <w:r w:rsidR="00D67209" w:rsidRPr="00FE50A6">
        <w:rPr>
          <w:rFonts w:eastAsia="Cambria" w:cs="Times"/>
          <w:iCs/>
          <w:szCs w:val="20"/>
          <w:lang w:val="en-US"/>
        </w:rPr>
        <w:t>.</w:t>
      </w:r>
      <w:r w:rsidR="00130785" w:rsidRPr="00FE50A6">
        <w:rPr>
          <w:rFonts w:eastAsia="Cambria" w:cs="Times New Roman"/>
          <w:szCs w:val="20"/>
          <w:vertAlign w:val="superscript"/>
          <w:lang w:val="en-US"/>
        </w:rPr>
        <w:footnoteReference w:id="623"/>
      </w:r>
      <w:r w:rsidR="00130785" w:rsidRPr="00FE50A6">
        <w:rPr>
          <w:rFonts w:eastAsia="Cambria" w:cs="Arial"/>
          <w:szCs w:val="20"/>
          <w:lang w:val="en-US"/>
        </w:rPr>
        <w:t xml:space="preserve"> </w:t>
      </w:r>
    </w:p>
    <w:p w14:paraId="07970A20" w14:textId="77777777" w:rsidR="00130785" w:rsidRPr="00FE50A6" w:rsidRDefault="00130785" w:rsidP="00130785">
      <w:pPr>
        <w:tabs>
          <w:tab w:val="clear" w:pos="4419"/>
          <w:tab w:val="clear" w:pos="8838"/>
        </w:tabs>
        <w:jc w:val="both"/>
        <w:rPr>
          <w:rFonts w:eastAsia="Cambria" w:cs="Times"/>
          <w:iCs/>
          <w:szCs w:val="20"/>
          <w:lang w:val="en-US"/>
        </w:rPr>
      </w:pPr>
    </w:p>
    <w:p w14:paraId="486C1A5B" w14:textId="77777777" w:rsidR="005A0FD9" w:rsidRPr="00FE50A6" w:rsidRDefault="005A0FD9" w:rsidP="008B0BCC">
      <w:pPr>
        <w:numPr>
          <w:ilvl w:val="0"/>
          <w:numId w:val="26"/>
        </w:numPr>
        <w:tabs>
          <w:tab w:val="clear" w:pos="4419"/>
          <w:tab w:val="clear" w:pos="8838"/>
        </w:tabs>
        <w:jc w:val="both"/>
        <w:rPr>
          <w:rFonts w:eastAsia="Cambria" w:cs="System Font Regular"/>
          <w:i/>
          <w:szCs w:val="20"/>
          <w:lang w:val="en-US"/>
        </w:rPr>
      </w:pPr>
      <w:r w:rsidRPr="00FE50A6">
        <w:rPr>
          <w:rFonts w:eastAsia="Cambria" w:cs="Times"/>
          <w:iCs/>
          <w:szCs w:val="20"/>
          <w:lang w:val="en-US"/>
        </w:rPr>
        <w:t>Pilot judgments, as a mechani</w:t>
      </w:r>
      <w:r w:rsidR="00554645" w:rsidRPr="00FE50A6">
        <w:rPr>
          <w:rFonts w:eastAsia="Cambria" w:cs="Times"/>
          <w:iCs/>
          <w:szCs w:val="20"/>
          <w:lang w:val="en-US"/>
        </w:rPr>
        <w:t>sm</w:t>
      </w:r>
      <w:r w:rsidRPr="00FE50A6">
        <w:rPr>
          <w:rFonts w:eastAsia="Cambria" w:cs="Times"/>
          <w:iCs/>
          <w:szCs w:val="20"/>
          <w:lang w:val="en-US"/>
        </w:rPr>
        <w:t xml:space="preserve"> for the recognition of structural and systemic problems within the States parties to </w:t>
      </w:r>
      <w:r w:rsidR="00391B10" w:rsidRPr="00FE50A6">
        <w:rPr>
          <w:rFonts w:eastAsia="Cambria" w:cs="Times"/>
          <w:iCs/>
          <w:szCs w:val="20"/>
          <w:lang w:val="en-US"/>
        </w:rPr>
        <w:t xml:space="preserve">the </w:t>
      </w:r>
      <w:r w:rsidR="009D23B3" w:rsidRPr="00FE50A6">
        <w:rPr>
          <w:rFonts w:eastAsia="Cambria" w:cs="Times"/>
          <w:iCs/>
          <w:szCs w:val="20"/>
          <w:lang w:val="en-US"/>
        </w:rPr>
        <w:t>European Convention</w:t>
      </w:r>
      <w:r w:rsidRPr="00FE50A6">
        <w:rPr>
          <w:rFonts w:eastAsia="Cambria" w:cs="Times"/>
          <w:iCs/>
          <w:szCs w:val="20"/>
          <w:lang w:val="en-US"/>
        </w:rPr>
        <w:t>, were not limited to 2004, but have been repeated up until</w:t>
      </w:r>
      <w:r w:rsidR="00130785" w:rsidRPr="00FE50A6">
        <w:rPr>
          <w:rFonts w:eastAsia="Cambria" w:cs="Times"/>
          <w:iCs/>
          <w:szCs w:val="20"/>
          <w:lang w:val="en-US"/>
        </w:rPr>
        <w:t xml:space="preserve"> 2016</w:t>
      </w:r>
      <w:r w:rsidRPr="00FE50A6">
        <w:rPr>
          <w:rFonts w:eastAsia="Cambria" w:cs="Times"/>
          <w:iCs/>
          <w:szCs w:val="20"/>
          <w:lang w:val="en-US"/>
        </w:rPr>
        <w:t>,</w:t>
      </w:r>
      <w:r w:rsidR="00130785" w:rsidRPr="00FE50A6">
        <w:rPr>
          <w:rFonts w:eastAsia="Cambria" w:cs="Times New Roman"/>
          <w:iCs/>
          <w:szCs w:val="20"/>
          <w:vertAlign w:val="superscript"/>
          <w:lang w:val="en-US"/>
        </w:rPr>
        <w:footnoteReference w:id="624"/>
      </w:r>
      <w:r w:rsidR="00130785" w:rsidRPr="00FE50A6">
        <w:rPr>
          <w:rFonts w:eastAsia="Cambria" w:cs="Times"/>
          <w:iCs/>
          <w:szCs w:val="20"/>
          <w:lang w:val="en-US"/>
        </w:rPr>
        <w:t xml:space="preserve"> </w:t>
      </w:r>
      <w:r w:rsidR="00554645" w:rsidRPr="00FE50A6">
        <w:rPr>
          <w:rFonts w:eastAsia="Cambria" w:cs="Times"/>
          <w:iCs/>
          <w:szCs w:val="20"/>
          <w:lang w:val="en-US"/>
        </w:rPr>
        <w:t>in relation to</w:t>
      </w:r>
      <w:r w:rsidRPr="00FE50A6">
        <w:rPr>
          <w:rFonts w:eastAsia="Cambria" w:cs="Times"/>
          <w:iCs/>
          <w:szCs w:val="20"/>
          <w:lang w:val="en-US"/>
        </w:rPr>
        <w:t xml:space="preserve"> issues such as</w:t>
      </w:r>
      <w:r w:rsidR="00130785" w:rsidRPr="00FE50A6">
        <w:rPr>
          <w:rFonts w:eastAsia="Cambria" w:cs="Times"/>
          <w:iCs/>
          <w:szCs w:val="20"/>
          <w:lang w:val="en-US"/>
        </w:rPr>
        <w:t xml:space="preserve">: </w:t>
      </w:r>
      <w:r w:rsidRPr="00FE50A6">
        <w:rPr>
          <w:rFonts w:eastAsia="Cambria" w:cs="Times"/>
          <w:iCs/>
          <w:szCs w:val="20"/>
          <w:lang w:val="en-US"/>
        </w:rPr>
        <w:t>(</w:t>
      </w:r>
      <w:r w:rsidR="00130785" w:rsidRPr="00FE50A6">
        <w:rPr>
          <w:rFonts w:eastAsia="Cambria" w:cs="Times"/>
          <w:iCs/>
          <w:szCs w:val="20"/>
          <w:lang w:val="en-US"/>
        </w:rPr>
        <w:t xml:space="preserve">i) </w:t>
      </w:r>
      <w:r w:rsidRPr="00FE50A6">
        <w:rPr>
          <w:rFonts w:eastAsia="Cambria" w:cs="Times"/>
          <w:iCs/>
          <w:szCs w:val="20"/>
          <w:lang w:val="en-US"/>
        </w:rPr>
        <w:t>excessive time in domestic proceedings; (ii) the denial of prisoners’ voting rights; (iii) the failure to regularize the residence status of persons wrongfully eliminated from the permanent residents registry; (iv) inhuman and degrading detention conditions; (v) unjustified delay in the execution of domestic court orders, and (vi) violations related to the right to property.</w:t>
      </w:r>
    </w:p>
    <w:p w14:paraId="763BFFC1" w14:textId="77777777" w:rsidR="00130785" w:rsidRPr="00FE50A6" w:rsidRDefault="00130785" w:rsidP="00130785">
      <w:pPr>
        <w:tabs>
          <w:tab w:val="clear" w:pos="4419"/>
          <w:tab w:val="clear" w:pos="8838"/>
        </w:tabs>
        <w:jc w:val="both"/>
        <w:rPr>
          <w:rFonts w:eastAsia="Cambria" w:cs="System Font Regular"/>
          <w:i/>
          <w:szCs w:val="20"/>
          <w:lang w:val="en-US"/>
        </w:rPr>
      </w:pPr>
    </w:p>
    <w:p w14:paraId="76CF8220" w14:textId="77777777" w:rsidR="00130785" w:rsidRPr="00FE50A6" w:rsidRDefault="00130785" w:rsidP="00130785">
      <w:pPr>
        <w:tabs>
          <w:tab w:val="clear" w:pos="4419"/>
          <w:tab w:val="clear" w:pos="8838"/>
        </w:tabs>
        <w:jc w:val="both"/>
        <w:rPr>
          <w:rFonts w:eastAsia="Cambria" w:cs="System Font Regular"/>
          <w:i/>
          <w:szCs w:val="20"/>
          <w:lang w:val="en-US"/>
        </w:rPr>
      </w:pPr>
      <w:r w:rsidRPr="00FE50A6">
        <w:rPr>
          <w:rFonts w:eastAsia="Cambria" w:cs="System Font Regular"/>
          <w:i/>
          <w:szCs w:val="20"/>
          <w:lang w:val="en-US"/>
        </w:rPr>
        <w:t xml:space="preserve">ii) </w:t>
      </w:r>
      <w:r w:rsidR="002B7FA3" w:rsidRPr="00FE50A6">
        <w:rPr>
          <w:rFonts w:eastAsia="Cambria" w:cs="System Font Regular"/>
          <w:i/>
          <w:szCs w:val="20"/>
          <w:lang w:val="en-US"/>
        </w:rPr>
        <w:t>U</w:t>
      </w:r>
      <w:r w:rsidR="00061AB2" w:rsidRPr="00FE50A6">
        <w:rPr>
          <w:rFonts w:eastAsia="Cambria" w:cs="System Font Regular"/>
          <w:i/>
          <w:szCs w:val="20"/>
          <w:lang w:val="en-US"/>
        </w:rPr>
        <w:t>niversal human rights syste</w:t>
      </w:r>
      <w:r w:rsidR="005A0FD9" w:rsidRPr="00FE50A6">
        <w:rPr>
          <w:rFonts w:eastAsia="Cambria" w:cs="System Font Regular"/>
          <w:i/>
          <w:szCs w:val="20"/>
          <w:lang w:val="en-US"/>
        </w:rPr>
        <w:t>m</w:t>
      </w:r>
    </w:p>
    <w:p w14:paraId="11BFFEF0" w14:textId="77777777" w:rsidR="00130785" w:rsidRPr="00FE50A6" w:rsidRDefault="00130785" w:rsidP="00130785">
      <w:pPr>
        <w:tabs>
          <w:tab w:val="clear" w:pos="4419"/>
          <w:tab w:val="clear" w:pos="8838"/>
        </w:tabs>
        <w:rPr>
          <w:rFonts w:eastAsia="MS Mincho" w:cs="System Font Regular"/>
          <w:i/>
          <w:sz w:val="24"/>
          <w:szCs w:val="20"/>
          <w:lang w:val="en-US" w:eastAsia="es-ES"/>
        </w:rPr>
      </w:pPr>
    </w:p>
    <w:p w14:paraId="0DA3F3AA" w14:textId="77777777" w:rsidR="00130785" w:rsidRPr="00FE50A6" w:rsidRDefault="005A0FD9" w:rsidP="008B0BCC">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 xml:space="preserve">The CESCR, in its General Comment </w:t>
      </w:r>
      <w:r w:rsidR="00130785" w:rsidRPr="00FE50A6">
        <w:rPr>
          <w:rFonts w:eastAsia="Cambria" w:cs="Times New Roman"/>
          <w:szCs w:val="20"/>
          <w:lang w:val="en-US"/>
        </w:rPr>
        <w:t>No. 20</w:t>
      </w:r>
      <w:r w:rsidRPr="00FE50A6">
        <w:rPr>
          <w:rFonts w:eastAsia="Cambria" w:cs="Times New Roman"/>
          <w:szCs w:val="20"/>
          <w:lang w:val="en-US"/>
        </w:rPr>
        <w:t xml:space="preserve"> on</w:t>
      </w:r>
      <w:r w:rsidR="00130785" w:rsidRPr="00FE50A6">
        <w:rPr>
          <w:rFonts w:eastAsia="Cambria" w:cs="Times New Roman"/>
          <w:szCs w:val="20"/>
          <w:lang w:val="en-US"/>
        </w:rPr>
        <w:t xml:space="preserve"> </w:t>
      </w:r>
      <w:r w:rsidRPr="00FE50A6">
        <w:rPr>
          <w:lang w:val="en-US"/>
        </w:rPr>
        <w:t xml:space="preserve">non-discrimination in economic, social and cultural rights </w:t>
      </w:r>
      <w:r w:rsidR="00130785" w:rsidRPr="00FE50A6">
        <w:rPr>
          <w:rFonts w:eastAsia="Cambria" w:cs="System Font Regular"/>
          <w:szCs w:val="20"/>
          <w:lang w:val="en-US"/>
        </w:rPr>
        <w:t xml:space="preserve">(2009), </w:t>
      </w:r>
      <w:r w:rsidRPr="00FE50A6">
        <w:rPr>
          <w:rFonts w:eastAsia="Cambria" w:cs="System Font Regular"/>
          <w:szCs w:val="20"/>
          <w:lang w:val="en-US"/>
        </w:rPr>
        <w:t>considered that</w:t>
      </w:r>
      <w:r w:rsidR="00130785" w:rsidRPr="00FE50A6">
        <w:rPr>
          <w:rFonts w:eastAsia="Cambria" w:cs="System Font Regular"/>
          <w:szCs w:val="20"/>
          <w:lang w:val="en-US"/>
        </w:rPr>
        <w:t xml:space="preserve">: </w:t>
      </w:r>
    </w:p>
    <w:p w14:paraId="65C77641" w14:textId="77777777" w:rsidR="00130785" w:rsidRPr="00FE50A6" w:rsidRDefault="00130785" w:rsidP="00554645">
      <w:pPr>
        <w:tabs>
          <w:tab w:val="clear" w:pos="4419"/>
          <w:tab w:val="clear" w:pos="8838"/>
        </w:tabs>
        <w:ind w:left="708" w:right="558"/>
        <w:jc w:val="both"/>
        <w:rPr>
          <w:rFonts w:eastAsia="Cambria" w:cs="Times"/>
          <w:szCs w:val="20"/>
          <w:lang w:val="en-US"/>
        </w:rPr>
      </w:pPr>
    </w:p>
    <w:p w14:paraId="30108FFA" w14:textId="77777777" w:rsidR="00130785" w:rsidRPr="00FE50A6" w:rsidRDefault="00554645" w:rsidP="00554645">
      <w:pPr>
        <w:tabs>
          <w:tab w:val="clear" w:pos="4419"/>
          <w:tab w:val="clear" w:pos="8838"/>
        </w:tabs>
        <w:ind w:left="708" w:right="558"/>
        <w:jc w:val="both"/>
        <w:rPr>
          <w:rFonts w:eastAsia="Cambria" w:cs="Times"/>
          <w:i/>
          <w:sz w:val="16"/>
          <w:szCs w:val="16"/>
          <w:lang w:val="en-US"/>
        </w:rPr>
      </w:pPr>
      <w:r w:rsidRPr="00FE50A6">
        <w:rPr>
          <w:rFonts w:eastAsia="Cambria" w:cs="Times"/>
          <w:sz w:val="16"/>
          <w:szCs w:val="16"/>
          <w:lang w:val="en-US"/>
        </w:rPr>
        <w:t>“</w:t>
      </w:r>
      <w:r w:rsidR="00130785" w:rsidRPr="00FE50A6">
        <w:rPr>
          <w:rFonts w:eastAsia="Cambria" w:cs="Times"/>
          <w:sz w:val="16"/>
          <w:szCs w:val="16"/>
          <w:lang w:val="en-US"/>
        </w:rPr>
        <w:t>40.</w:t>
      </w:r>
      <w:r w:rsidR="00130785" w:rsidRPr="00FE50A6">
        <w:rPr>
          <w:rFonts w:eastAsia="Cambria" w:cs="Times"/>
          <w:i/>
          <w:sz w:val="16"/>
          <w:szCs w:val="16"/>
          <w:lang w:val="en-US"/>
        </w:rPr>
        <w:t xml:space="preserve"> </w:t>
      </w:r>
      <w:r w:rsidR="005A0FD9" w:rsidRPr="00FE50A6">
        <w:rPr>
          <w:sz w:val="16"/>
          <w:szCs w:val="16"/>
          <w:lang w:val="en-US"/>
        </w:rPr>
        <w:t xml:space="preserve">National legislation, strategies, policies and plans should provide for mechanisms and </w:t>
      </w:r>
      <w:r w:rsidRPr="00FE50A6">
        <w:rPr>
          <w:sz w:val="16"/>
          <w:szCs w:val="16"/>
          <w:lang w:val="en-US"/>
        </w:rPr>
        <w:t>i</w:t>
      </w:r>
      <w:r w:rsidR="005A0FD9" w:rsidRPr="00FE50A6">
        <w:rPr>
          <w:sz w:val="16"/>
          <w:szCs w:val="16"/>
          <w:lang w:val="en-US"/>
        </w:rPr>
        <w:t>nstitutions that effectively address the individual and structural nature of the harm caused by discrimination in the field of economic, social and cultural right</w:t>
      </w:r>
      <w:r w:rsidR="005A0FD9" w:rsidRPr="00FE50A6">
        <w:rPr>
          <w:rFonts w:eastAsia="Cambria" w:cs="Times"/>
          <w:i/>
          <w:sz w:val="16"/>
          <w:szCs w:val="16"/>
          <w:lang w:val="en-US"/>
        </w:rPr>
        <w:t>.</w:t>
      </w:r>
      <w:r w:rsidR="005A0FD9" w:rsidRPr="00FE50A6">
        <w:rPr>
          <w:rFonts w:eastAsia="Cambria" w:cs="Times"/>
          <w:sz w:val="16"/>
          <w:szCs w:val="16"/>
          <w:lang w:val="en-US"/>
        </w:rPr>
        <w:t xml:space="preserve"> </w:t>
      </w:r>
      <w:r w:rsidR="00130785" w:rsidRPr="00FE50A6">
        <w:rPr>
          <w:rFonts w:eastAsia="Cambria" w:cs="Times"/>
          <w:sz w:val="16"/>
          <w:szCs w:val="16"/>
          <w:lang w:val="en-US"/>
        </w:rPr>
        <w:t>[…]</w:t>
      </w:r>
      <w:r w:rsidRPr="00FE50A6">
        <w:rPr>
          <w:rFonts w:eastAsia="Cambria" w:cs="Times"/>
          <w:sz w:val="16"/>
          <w:szCs w:val="16"/>
          <w:lang w:val="en-US"/>
        </w:rPr>
        <w:t>”</w:t>
      </w:r>
      <w:r w:rsidR="00130785" w:rsidRPr="00FE50A6">
        <w:rPr>
          <w:rFonts w:eastAsia="Cambria" w:cs="Times New Roman"/>
          <w:sz w:val="16"/>
          <w:szCs w:val="20"/>
          <w:vertAlign w:val="superscript"/>
          <w:lang w:val="en-US"/>
        </w:rPr>
        <w:footnoteReference w:id="625"/>
      </w:r>
    </w:p>
    <w:p w14:paraId="06704709" w14:textId="77777777" w:rsidR="00130785" w:rsidRPr="00FE50A6" w:rsidRDefault="00130785" w:rsidP="00130785">
      <w:pPr>
        <w:tabs>
          <w:tab w:val="clear" w:pos="4419"/>
          <w:tab w:val="clear" w:pos="8838"/>
        </w:tabs>
        <w:ind w:left="708"/>
        <w:jc w:val="both"/>
        <w:rPr>
          <w:rFonts w:eastAsia="Cambria" w:cs="Times"/>
          <w:i/>
          <w:sz w:val="16"/>
          <w:szCs w:val="16"/>
          <w:lang w:val="en-US"/>
        </w:rPr>
      </w:pPr>
    </w:p>
    <w:p w14:paraId="1C61D640" w14:textId="77777777" w:rsidR="00130785" w:rsidRPr="00FE50A6" w:rsidRDefault="00227B3B" w:rsidP="008B0BCC">
      <w:pPr>
        <w:widowControl w:val="0"/>
        <w:numPr>
          <w:ilvl w:val="0"/>
          <w:numId w:val="26"/>
        </w:numPr>
        <w:tabs>
          <w:tab w:val="clear" w:pos="4419"/>
          <w:tab w:val="clear" w:pos="8838"/>
        </w:tabs>
        <w:autoSpaceDE w:val="0"/>
        <w:autoSpaceDN w:val="0"/>
        <w:adjustRightInd w:val="0"/>
        <w:contextualSpacing/>
        <w:jc w:val="both"/>
        <w:rPr>
          <w:rFonts w:eastAsia="Cambria" w:cs="Times"/>
          <w:szCs w:val="20"/>
          <w:lang w:val="en-US"/>
        </w:rPr>
      </w:pPr>
      <w:r w:rsidRPr="00FE50A6">
        <w:rPr>
          <w:rFonts w:eastAsia="Cambria" w:cs="Times"/>
          <w:szCs w:val="20"/>
          <w:lang w:val="en-US"/>
        </w:rPr>
        <w:t>Meanwhile, in 2010, in its General Recommendation No. 28 on the core obligations of States parties under article 2 of the Convention, the Committee for the Elimination of Violence against Women indicated that</w:t>
      </w:r>
      <w:r w:rsidR="00130785" w:rsidRPr="00FE50A6">
        <w:rPr>
          <w:rFonts w:eastAsia="Cambria" w:cs="Times"/>
          <w:szCs w:val="20"/>
          <w:lang w:val="en-US"/>
        </w:rPr>
        <w:t xml:space="preserve">: </w:t>
      </w:r>
    </w:p>
    <w:p w14:paraId="70650EA4" w14:textId="77777777" w:rsidR="00130785" w:rsidRPr="00FE50A6" w:rsidRDefault="00130785" w:rsidP="00130785">
      <w:pPr>
        <w:widowControl w:val="0"/>
        <w:tabs>
          <w:tab w:val="clear" w:pos="4419"/>
          <w:tab w:val="clear" w:pos="8838"/>
        </w:tabs>
        <w:autoSpaceDE w:val="0"/>
        <w:autoSpaceDN w:val="0"/>
        <w:adjustRightInd w:val="0"/>
        <w:jc w:val="both"/>
        <w:rPr>
          <w:rFonts w:eastAsia="MS Mincho" w:cs="Times"/>
          <w:szCs w:val="20"/>
          <w:lang w:val="en-US" w:eastAsia="es-ES"/>
        </w:rPr>
      </w:pPr>
    </w:p>
    <w:p w14:paraId="6FEFAF06" w14:textId="77777777" w:rsidR="00130785" w:rsidRPr="00FE50A6" w:rsidRDefault="00554645" w:rsidP="00554645">
      <w:pPr>
        <w:widowControl w:val="0"/>
        <w:tabs>
          <w:tab w:val="clear" w:pos="4419"/>
          <w:tab w:val="clear" w:pos="8838"/>
        </w:tabs>
        <w:autoSpaceDE w:val="0"/>
        <w:autoSpaceDN w:val="0"/>
        <w:adjustRightInd w:val="0"/>
        <w:ind w:left="708" w:right="558"/>
        <w:jc w:val="both"/>
        <w:rPr>
          <w:sz w:val="16"/>
          <w:szCs w:val="16"/>
          <w:lang w:val="en-US"/>
        </w:rPr>
      </w:pPr>
      <w:r w:rsidRPr="00FE50A6">
        <w:rPr>
          <w:rFonts w:eastAsia="MS Mincho" w:cs="Times"/>
          <w:sz w:val="16"/>
          <w:szCs w:val="16"/>
          <w:lang w:val="en-US" w:eastAsia="es-ES"/>
        </w:rPr>
        <w:t>“</w:t>
      </w:r>
      <w:r w:rsidR="00130785" w:rsidRPr="00FE50A6">
        <w:rPr>
          <w:rFonts w:eastAsia="MS Mincho" w:cs="Times"/>
          <w:sz w:val="16"/>
          <w:szCs w:val="16"/>
          <w:lang w:val="en-US" w:eastAsia="es-ES"/>
        </w:rPr>
        <w:t>16.</w:t>
      </w:r>
      <w:r w:rsidR="00130785" w:rsidRPr="00FE50A6">
        <w:rPr>
          <w:rFonts w:eastAsia="MS Mincho" w:cs="Times"/>
          <w:i/>
          <w:sz w:val="16"/>
          <w:szCs w:val="16"/>
          <w:lang w:val="en-US" w:eastAsia="es-ES"/>
        </w:rPr>
        <w:t xml:space="preserve"> </w:t>
      </w:r>
      <w:r w:rsidR="00227B3B" w:rsidRPr="00FE50A6">
        <w:rPr>
          <w:sz w:val="16"/>
          <w:szCs w:val="16"/>
          <w:lang w:val="en-US"/>
        </w:rPr>
        <w:t xml:space="preserve">States parties are under an obligation to respect, protect and fulfil the right to non-discrimination of women and to ensure the development and advancement of women in order that they improve their position and implement their right of </w:t>
      </w:r>
      <w:r w:rsidR="00227B3B" w:rsidRPr="00FE50A6">
        <w:rPr>
          <w:i/>
          <w:sz w:val="16"/>
          <w:szCs w:val="16"/>
          <w:lang w:val="en-US"/>
        </w:rPr>
        <w:t>de jure</w:t>
      </w:r>
      <w:r w:rsidR="00227B3B" w:rsidRPr="00FE50A6">
        <w:rPr>
          <w:sz w:val="16"/>
          <w:szCs w:val="16"/>
          <w:lang w:val="en-US"/>
        </w:rPr>
        <w:t xml:space="preserve"> and </w:t>
      </w:r>
      <w:r w:rsidR="00227B3B" w:rsidRPr="00FE50A6">
        <w:rPr>
          <w:i/>
          <w:sz w:val="16"/>
          <w:szCs w:val="16"/>
          <w:lang w:val="en-US"/>
        </w:rPr>
        <w:t>de facto</w:t>
      </w:r>
      <w:r w:rsidR="00227B3B" w:rsidRPr="00FE50A6">
        <w:rPr>
          <w:sz w:val="16"/>
          <w:szCs w:val="16"/>
          <w:lang w:val="en-US"/>
        </w:rPr>
        <w:t xml:space="preserve"> or substantive equality with men. States parties shall ensure that there is neither direct nor indirect discrimination against women. Direct discrimination against women constitutes different treatment explicitly based on grounds of sex and gender differences. Indirect discrimination against women occurs when a law, policy, programme or practice appears to be neutral in so far as it relates to men and women, but has a discriminatory effect in practice on women because pre-existing inequalities are not addressed by the apparently neutral measure. Moreover, indirect discrimination can exacerbate existing inequalities owing to a failure to recognize structural and historical patterns of discrimination and unequal .power relationships between women and men</w:t>
      </w:r>
      <w:r w:rsidR="00227B3B" w:rsidRPr="00FE50A6">
        <w:rPr>
          <w:rFonts w:eastAsia="MS Mincho" w:cs="Times"/>
          <w:i/>
          <w:sz w:val="16"/>
          <w:szCs w:val="16"/>
          <w:lang w:val="en-US" w:eastAsia="es-ES"/>
        </w:rPr>
        <w:t>.</w:t>
      </w:r>
      <w:r w:rsidRPr="00FE50A6">
        <w:rPr>
          <w:rFonts w:eastAsia="MS Mincho" w:cs="Times"/>
          <w:i/>
          <w:sz w:val="16"/>
          <w:szCs w:val="16"/>
          <w:lang w:val="en-US" w:eastAsia="es-ES"/>
        </w:rPr>
        <w:t>”</w:t>
      </w:r>
      <w:r w:rsidR="00130785" w:rsidRPr="00FE50A6">
        <w:rPr>
          <w:rFonts w:eastAsia="MS Mincho" w:cs="Times New Roman"/>
          <w:sz w:val="16"/>
          <w:szCs w:val="20"/>
          <w:vertAlign w:val="superscript"/>
          <w:lang w:val="en-US" w:eastAsia="es-ES"/>
        </w:rPr>
        <w:footnoteReference w:id="626"/>
      </w:r>
    </w:p>
    <w:p w14:paraId="591A6659" w14:textId="77777777" w:rsidR="00130785" w:rsidRPr="00FE50A6" w:rsidRDefault="00130785" w:rsidP="00130785">
      <w:pPr>
        <w:widowControl w:val="0"/>
        <w:tabs>
          <w:tab w:val="clear" w:pos="4419"/>
          <w:tab w:val="clear" w:pos="8838"/>
        </w:tabs>
        <w:autoSpaceDE w:val="0"/>
        <w:autoSpaceDN w:val="0"/>
        <w:adjustRightInd w:val="0"/>
        <w:ind w:left="708"/>
        <w:jc w:val="both"/>
        <w:rPr>
          <w:rFonts w:eastAsia="MS Mincho" w:cs="Times"/>
          <w:i/>
          <w:sz w:val="16"/>
          <w:szCs w:val="16"/>
          <w:lang w:val="en-US" w:eastAsia="es-ES"/>
        </w:rPr>
      </w:pPr>
    </w:p>
    <w:p w14:paraId="64D55732" w14:textId="77777777" w:rsidR="00130785" w:rsidRPr="00FE50A6" w:rsidRDefault="00227B3B" w:rsidP="008B0BCC">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 xml:space="preserve">In the case of the Committee for the Elimination of Racial Discrimination, in General Recommendation No. 34 on </w:t>
      </w:r>
      <w:r w:rsidR="00D27A98" w:rsidRPr="00FE50A6">
        <w:rPr>
          <w:rFonts w:eastAsia="Cambria" w:cs="System Font Regular"/>
          <w:szCs w:val="20"/>
          <w:lang w:val="en-US"/>
        </w:rPr>
        <w:t>r</w:t>
      </w:r>
      <w:r w:rsidRPr="00FE50A6">
        <w:rPr>
          <w:rFonts w:eastAsia="Cambria" w:cs="System Font Regular"/>
          <w:szCs w:val="20"/>
          <w:lang w:val="en-US"/>
        </w:rPr>
        <w:t xml:space="preserve">acial discrimination against people of African descent, it understood that: </w:t>
      </w:r>
    </w:p>
    <w:p w14:paraId="677F0476" w14:textId="77777777" w:rsidR="00130785" w:rsidRPr="00FE50A6" w:rsidRDefault="00130785" w:rsidP="00130785">
      <w:pPr>
        <w:tabs>
          <w:tab w:val="clear" w:pos="4419"/>
          <w:tab w:val="clear" w:pos="8838"/>
        </w:tabs>
        <w:jc w:val="both"/>
        <w:rPr>
          <w:rFonts w:eastAsia="Cambria" w:cs="System Font Regular"/>
          <w:i/>
          <w:sz w:val="16"/>
          <w:szCs w:val="16"/>
          <w:lang w:val="en-US"/>
        </w:rPr>
      </w:pPr>
    </w:p>
    <w:p w14:paraId="0EDB00E8" w14:textId="77777777" w:rsidR="00130785" w:rsidRPr="00FE50A6" w:rsidRDefault="00554645" w:rsidP="002974A2">
      <w:pPr>
        <w:tabs>
          <w:tab w:val="clear" w:pos="4419"/>
          <w:tab w:val="clear" w:pos="8838"/>
        </w:tabs>
        <w:ind w:left="708"/>
        <w:jc w:val="both"/>
        <w:rPr>
          <w:rFonts w:eastAsia="Cambria" w:cs="Times New Roman"/>
          <w:i/>
          <w:sz w:val="16"/>
          <w:szCs w:val="16"/>
          <w:lang w:val="en-US"/>
        </w:rPr>
      </w:pPr>
      <w:r w:rsidRPr="00FE50A6">
        <w:rPr>
          <w:rFonts w:eastAsia="Cambria" w:cs="Times New Roman"/>
          <w:sz w:val="16"/>
          <w:szCs w:val="16"/>
          <w:lang w:val="en-US"/>
        </w:rPr>
        <w:t>“</w:t>
      </w:r>
      <w:r w:rsidR="00130785" w:rsidRPr="00FE50A6">
        <w:rPr>
          <w:rFonts w:eastAsia="Cambria" w:cs="Times New Roman"/>
          <w:sz w:val="16"/>
          <w:szCs w:val="16"/>
          <w:lang w:val="en-US"/>
        </w:rPr>
        <w:t>6.</w:t>
      </w:r>
      <w:r w:rsidR="00130785" w:rsidRPr="00FE50A6">
        <w:rPr>
          <w:rFonts w:eastAsia="Cambria" w:cs="Times New Roman"/>
          <w:i/>
          <w:sz w:val="16"/>
          <w:szCs w:val="16"/>
          <w:lang w:val="en-US"/>
        </w:rPr>
        <w:t xml:space="preserve"> </w:t>
      </w:r>
      <w:r w:rsidR="00227B3B" w:rsidRPr="00FE50A6">
        <w:rPr>
          <w:sz w:val="16"/>
          <w:szCs w:val="16"/>
          <w:lang w:val="en-US"/>
        </w:rPr>
        <w:t xml:space="preserve">Racism and structural discrimination against people of African descent, </w:t>
      </w:r>
      <w:r w:rsidR="00227B3B" w:rsidRPr="00FE50A6">
        <w:rPr>
          <w:sz w:val="16"/>
          <w:szCs w:val="16"/>
          <w:u w:val="single"/>
          <w:lang w:val="en-US"/>
        </w:rPr>
        <w:t>rooted in the infamous regime of slavery,</w:t>
      </w:r>
      <w:r w:rsidR="00227B3B" w:rsidRPr="00FE50A6">
        <w:rPr>
          <w:sz w:val="16"/>
          <w:szCs w:val="16"/>
          <w:lang w:val="en-US"/>
        </w:rPr>
        <w:t xml:space="preserve"> are evident in the situations of inequality affecting them and reflected</w:t>
      </w:r>
      <w:r w:rsidR="00227B3B" w:rsidRPr="00FE50A6">
        <w:rPr>
          <w:rFonts w:cs="Arial"/>
          <w:sz w:val="16"/>
          <w:szCs w:val="16"/>
          <w:lang w:val="en-US"/>
        </w:rPr>
        <w:t xml:space="preserve">, </w:t>
      </w:r>
      <w:r w:rsidR="00227B3B" w:rsidRPr="00FE50A6">
        <w:rPr>
          <w:i/>
          <w:sz w:val="16"/>
          <w:szCs w:val="16"/>
          <w:lang w:val="en-US"/>
        </w:rPr>
        <w:t>inter alia</w:t>
      </w:r>
      <w:r w:rsidR="00227B3B" w:rsidRPr="00FE50A6">
        <w:rPr>
          <w:sz w:val="16"/>
          <w:szCs w:val="16"/>
          <w:lang w:val="en-US"/>
        </w:rPr>
        <w:t xml:space="preserve">, in the following domains: </w:t>
      </w:r>
      <w:r w:rsidR="00227B3B" w:rsidRPr="00FE50A6">
        <w:rPr>
          <w:sz w:val="16"/>
          <w:szCs w:val="16"/>
          <w:u w:val="single"/>
          <w:lang w:val="en-US"/>
        </w:rPr>
        <w:t xml:space="preserve">their grouping, together with indigenous peoples, among the poorest of the poor; </w:t>
      </w:r>
      <w:r w:rsidR="00227B3B" w:rsidRPr="00FE50A6">
        <w:rPr>
          <w:sz w:val="16"/>
          <w:szCs w:val="16"/>
          <w:lang w:val="en-US"/>
        </w:rPr>
        <w:t xml:space="preserve">their low rate of participation and representation in political and institutional decision-making processes; additional difficulties they face in access to and completion and quality of education, which results in </w:t>
      </w:r>
      <w:r w:rsidR="00227B3B" w:rsidRPr="00FE50A6">
        <w:rPr>
          <w:sz w:val="16"/>
          <w:szCs w:val="16"/>
          <w:u w:val="single"/>
          <w:lang w:val="en-US"/>
        </w:rPr>
        <w:t>the transmission of poverty from generation to generation</w:t>
      </w:r>
      <w:r w:rsidR="00227B3B" w:rsidRPr="00FE50A6">
        <w:rPr>
          <w:sz w:val="16"/>
          <w:szCs w:val="16"/>
          <w:lang w:val="en-US"/>
        </w:rPr>
        <w:t>; inequality in access to the labour market; limited social recognition and valuation of their ethnic and cultural diversity; and a disproportionate presence in prison populations</w:t>
      </w:r>
      <w:r w:rsidR="009C48A4" w:rsidRPr="00FE50A6">
        <w:rPr>
          <w:rFonts w:eastAsia="Cambria" w:cs="System Font Regular"/>
          <w:i/>
          <w:sz w:val="16"/>
          <w:szCs w:val="16"/>
          <w:lang w:val="en-US"/>
        </w:rPr>
        <w:t>”</w:t>
      </w:r>
      <w:r w:rsidR="00130785" w:rsidRPr="00FE50A6">
        <w:rPr>
          <w:rFonts w:eastAsia="Cambria" w:cs="Times New Roman"/>
          <w:i/>
          <w:sz w:val="16"/>
          <w:szCs w:val="16"/>
          <w:vertAlign w:val="superscript"/>
          <w:lang w:val="en-US"/>
        </w:rPr>
        <w:footnoteReference w:id="627"/>
      </w:r>
      <w:r w:rsidR="00130785" w:rsidRPr="00FE50A6">
        <w:rPr>
          <w:rFonts w:eastAsia="Cambria" w:cs="System Font Regular"/>
          <w:i/>
          <w:sz w:val="16"/>
          <w:szCs w:val="16"/>
          <w:lang w:val="en-US"/>
        </w:rPr>
        <w:t xml:space="preserve"> </w:t>
      </w:r>
      <w:r w:rsidR="00130785" w:rsidRPr="00FE50A6">
        <w:rPr>
          <w:rFonts w:eastAsia="Cambria" w:cs="System Font Regular"/>
          <w:sz w:val="16"/>
          <w:szCs w:val="16"/>
          <w:lang w:val="en-US"/>
        </w:rPr>
        <w:t>(</w:t>
      </w:r>
      <w:r w:rsidR="002974A2" w:rsidRPr="00FE50A6">
        <w:rPr>
          <w:rFonts w:eastAsia="Cambria" w:cs="System Font Regular"/>
          <w:sz w:val="16"/>
          <w:szCs w:val="16"/>
          <w:lang w:val="en-US"/>
        </w:rPr>
        <w:t>underlining added</w:t>
      </w:r>
      <w:r w:rsidR="00130785" w:rsidRPr="00FE50A6">
        <w:rPr>
          <w:rFonts w:eastAsia="Cambria" w:cs="System Font Regular"/>
          <w:sz w:val="16"/>
          <w:szCs w:val="16"/>
          <w:lang w:val="en-US"/>
        </w:rPr>
        <w:t>).</w:t>
      </w:r>
    </w:p>
    <w:p w14:paraId="02BE7630" w14:textId="77777777" w:rsidR="00130785" w:rsidRPr="00FE50A6" w:rsidRDefault="00130785" w:rsidP="00130785">
      <w:pPr>
        <w:tabs>
          <w:tab w:val="clear" w:pos="4419"/>
          <w:tab w:val="clear" w:pos="8838"/>
        </w:tabs>
        <w:jc w:val="both"/>
        <w:rPr>
          <w:rFonts w:eastAsia="Cambria" w:cs="System Font Regular"/>
          <w:i/>
          <w:szCs w:val="20"/>
          <w:lang w:val="en-US"/>
        </w:rPr>
      </w:pPr>
    </w:p>
    <w:p w14:paraId="5FC8C1DD" w14:textId="77777777" w:rsidR="00130785" w:rsidRPr="00FE50A6" w:rsidRDefault="00130785" w:rsidP="0061547C">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Final</w:t>
      </w:r>
      <w:r w:rsidR="0061547C" w:rsidRPr="00FE50A6">
        <w:rPr>
          <w:rFonts w:eastAsia="Cambria" w:cs="System Font Regular"/>
          <w:szCs w:val="20"/>
          <w:lang w:val="en-US"/>
        </w:rPr>
        <w:t xml:space="preserve">ly, the most complete definition of systematic or </w:t>
      </w:r>
      <w:r w:rsidR="00C82C2B" w:rsidRPr="00FE50A6">
        <w:rPr>
          <w:rFonts w:eastAsia="Cambria" w:cs="System Font Regular"/>
          <w:szCs w:val="20"/>
          <w:lang w:val="en-US"/>
        </w:rPr>
        <w:t>structural discrimination</w:t>
      </w:r>
      <w:r w:rsidR="0061547C" w:rsidRPr="00FE50A6">
        <w:rPr>
          <w:rFonts w:eastAsia="Cambria" w:cs="System Font Regular"/>
          <w:szCs w:val="20"/>
          <w:lang w:val="en-US"/>
        </w:rPr>
        <w:t xml:space="preserve"> is the one recently provided by the Committee on the Rights of Persons with Disabilities in its General Comment No. 3 on the rights of women and girls with disabilities. Thus, this Committee understood that systematic of </w:t>
      </w:r>
      <w:r w:rsidR="00C82C2B" w:rsidRPr="00FE50A6">
        <w:rPr>
          <w:rFonts w:eastAsia="Cambria" w:cs="System Font Regular"/>
          <w:szCs w:val="20"/>
          <w:lang w:val="en-US"/>
        </w:rPr>
        <w:t>structural discrimination</w:t>
      </w:r>
      <w:r w:rsidRPr="00FE50A6">
        <w:rPr>
          <w:rFonts w:eastAsia="Cambria" w:cs="System Font Regular"/>
          <w:szCs w:val="20"/>
          <w:lang w:val="en-US"/>
        </w:rPr>
        <w:t xml:space="preserve"> </w:t>
      </w:r>
      <w:r w:rsidR="0061547C" w:rsidRPr="00FE50A6">
        <w:rPr>
          <w:rFonts w:eastAsia="Cambria" w:cs="System Font Regular"/>
          <w:szCs w:val="20"/>
          <w:lang w:val="en-US"/>
        </w:rPr>
        <w:t>existed when:</w:t>
      </w:r>
    </w:p>
    <w:p w14:paraId="33C21E7E" w14:textId="77777777" w:rsidR="00130785" w:rsidRPr="00FE50A6" w:rsidRDefault="00130785" w:rsidP="00130785">
      <w:pPr>
        <w:tabs>
          <w:tab w:val="clear" w:pos="4419"/>
          <w:tab w:val="clear" w:pos="8838"/>
        </w:tabs>
        <w:ind w:left="708"/>
        <w:jc w:val="both"/>
        <w:rPr>
          <w:rFonts w:eastAsia="Cambria" w:cs="Arial"/>
          <w:sz w:val="16"/>
          <w:szCs w:val="16"/>
          <w:lang w:val="en-US"/>
        </w:rPr>
      </w:pPr>
    </w:p>
    <w:p w14:paraId="3918A523" w14:textId="77777777" w:rsidR="00130785" w:rsidRPr="00FE50A6" w:rsidRDefault="00043E12" w:rsidP="00043E12">
      <w:pPr>
        <w:tabs>
          <w:tab w:val="clear" w:pos="4419"/>
          <w:tab w:val="clear" w:pos="8838"/>
        </w:tabs>
        <w:ind w:left="708" w:right="558"/>
        <w:jc w:val="both"/>
        <w:rPr>
          <w:rFonts w:eastAsia="Cambria" w:cs="Arial"/>
          <w:i/>
          <w:sz w:val="16"/>
          <w:szCs w:val="16"/>
          <w:lang w:val="en-US"/>
        </w:rPr>
      </w:pPr>
      <w:r w:rsidRPr="00FE50A6">
        <w:rPr>
          <w:rFonts w:eastAsia="Cambria" w:cs="Arial"/>
          <w:sz w:val="16"/>
          <w:szCs w:val="16"/>
          <w:lang w:val="en-US"/>
        </w:rPr>
        <w:t>“</w:t>
      </w:r>
      <w:r w:rsidR="00130785" w:rsidRPr="00FE50A6">
        <w:rPr>
          <w:rFonts w:eastAsia="Cambria" w:cs="Arial"/>
          <w:sz w:val="16"/>
          <w:szCs w:val="16"/>
          <w:lang w:val="en-US"/>
        </w:rPr>
        <w:t>17</w:t>
      </w:r>
      <w:r w:rsidR="002B7FA3" w:rsidRPr="00FE50A6">
        <w:rPr>
          <w:rFonts w:eastAsia="Cambria" w:cs="Arial"/>
          <w:sz w:val="16"/>
          <w:szCs w:val="16"/>
          <w:lang w:val="en-US"/>
        </w:rPr>
        <w:t>(</w:t>
      </w:r>
      <w:r w:rsidR="00130785" w:rsidRPr="00FE50A6">
        <w:rPr>
          <w:rFonts w:eastAsia="Cambria" w:cs="Arial"/>
          <w:sz w:val="16"/>
          <w:szCs w:val="16"/>
          <w:lang w:val="en-US"/>
        </w:rPr>
        <w:t>e)</w:t>
      </w:r>
      <w:r w:rsidR="00130785" w:rsidRPr="00FE50A6">
        <w:rPr>
          <w:rFonts w:eastAsia="Cambria" w:cs="Arial"/>
          <w:i/>
          <w:sz w:val="16"/>
          <w:szCs w:val="16"/>
          <w:lang w:val="en-US"/>
        </w:rPr>
        <w:t xml:space="preserve"> </w:t>
      </w:r>
      <w:r w:rsidR="002B7FA3" w:rsidRPr="00FE50A6">
        <w:rPr>
          <w:sz w:val="16"/>
          <w:szCs w:val="16"/>
          <w:lang w:val="en-US"/>
        </w:rPr>
        <w:t>Structural or systemic discrimination are hidden or overt patterns of discriminatory institutional behaviour, discriminatory cultural traditions, social norms and/or rules. Harmful gender and disability stereotyping can lead to such discrimination, inextricably linked to a lack of policies, regulation and service provision specifically for women with disabilities.</w:t>
      </w:r>
      <w:r w:rsidR="002B7FA3" w:rsidRPr="00FE50A6">
        <w:rPr>
          <w:lang w:val="en-US"/>
        </w:rPr>
        <w:t xml:space="preserve"> </w:t>
      </w:r>
      <w:r w:rsidR="00130785" w:rsidRPr="00FE50A6">
        <w:rPr>
          <w:rFonts w:eastAsia="Cambria" w:cs="Arial"/>
          <w:sz w:val="16"/>
          <w:szCs w:val="16"/>
          <w:lang w:val="en-US"/>
        </w:rPr>
        <w:t>[…]</w:t>
      </w:r>
      <w:r w:rsidR="002B7FA3" w:rsidRPr="00FE50A6">
        <w:rPr>
          <w:rFonts w:eastAsia="Cambria" w:cs="Arial"/>
          <w:sz w:val="16"/>
          <w:szCs w:val="16"/>
          <w:lang w:val="en-US"/>
        </w:rPr>
        <w:t>.</w:t>
      </w:r>
      <w:r w:rsidRPr="00FE50A6">
        <w:rPr>
          <w:rFonts w:eastAsia="Cambria" w:cs="Arial"/>
          <w:sz w:val="16"/>
          <w:szCs w:val="16"/>
          <w:lang w:val="en-US"/>
        </w:rPr>
        <w:t>”</w:t>
      </w:r>
      <w:r w:rsidR="00130785" w:rsidRPr="00FE50A6">
        <w:rPr>
          <w:rFonts w:eastAsia="Cambria" w:cs="Times New Roman"/>
          <w:sz w:val="16"/>
          <w:szCs w:val="20"/>
          <w:vertAlign w:val="superscript"/>
          <w:lang w:val="en-US"/>
        </w:rPr>
        <w:footnoteReference w:id="628"/>
      </w:r>
    </w:p>
    <w:p w14:paraId="0183EFA2" w14:textId="77777777" w:rsidR="00130785" w:rsidRPr="00FE50A6" w:rsidRDefault="00130785" w:rsidP="00130785">
      <w:pPr>
        <w:tabs>
          <w:tab w:val="clear" w:pos="4419"/>
          <w:tab w:val="clear" w:pos="8838"/>
        </w:tabs>
        <w:jc w:val="both"/>
        <w:rPr>
          <w:rFonts w:eastAsia="Cambria" w:cs="System Font Regular"/>
          <w:i/>
          <w:szCs w:val="20"/>
          <w:lang w:val="en-US"/>
        </w:rPr>
      </w:pPr>
    </w:p>
    <w:p w14:paraId="3D8CCB01" w14:textId="77777777" w:rsidR="00130785" w:rsidRPr="00FE50A6" w:rsidRDefault="00D27A98" w:rsidP="008B0BCC">
      <w:pPr>
        <w:numPr>
          <w:ilvl w:val="0"/>
          <w:numId w:val="26"/>
        </w:numPr>
        <w:tabs>
          <w:tab w:val="clear" w:pos="4419"/>
          <w:tab w:val="clear" w:pos="8838"/>
        </w:tabs>
        <w:jc w:val="both"/>
        <w:rPr>
          <w:rFonts w:eastAsia="Cambria" w:cs="System Font Regular"/>
          <w:i/>
          <w:szCs w:val="20"/>
          <w:lang w:val="en-US"/>
        </w:rPr>
      </w:pPr>
      <w:r w:rsidRPr="00FE50A6">
        <w:rPr>
          <w:rFonts w:eastAsia="Cambria" w:cs="System Font Regular"/>
          <w:szCs w:val="20"/>
          <w:lang w:val="en-US"/>
        </w:rPr>
        <w:t xml:space="preserve">Regarding the existence of structural </w:t>
      </w:r>
      <w:r w:rsidR="00BB6752" w:rsidRPr="00FE50A6">
        <w:rPr>
          <w:rFonts w:eastAsia="Cambria" w:cs="System Font Regular"/>
          <w:szCs w:val="20"/>
          <w:lang w:val="en-US"/>
        </w:rPr>
        <w:t>poverty</w:t>
      </w:r>
      <w:r w:rsidRPr="00FE50A6">
        <w:rPr>
          <w:rFonts w:eastAsia="Cambria" w:cs="System Font Regular"/>
          <w:szCs w:val="20"/>
          <w:lang w:val="en-US"/>
        </w:rPr>
        <w:t>, the United Nations Special Rapporteur on the right to food, when analyzing the provision of condition</w:t>
      </w:r>
      <w:r w:rsidR="001A184E" w:rsidRPr="00FE50A6">
        <w:rPr>
          <w:rFonts w:eastAsia="Cambria" w:cs="System Font Regular"/>
          <w:szCs w:val="20"/>
          <w:lang w:val="en-US"/>
        </w:rPr>
        <w:t>al</w:t>
      </w:r>
      <w:r w:rsidRPr="00FE50A6">
        <w:rPr>
          <w:rFonts w:eastAsia="Cambria" w:cs="System Font Regular"/>
          <w:szCs w:val="20"/>
          <w:lang w:val="en-US"/>
        </w:rPr>
        <w:t xml:space="preserve"> social assistance – for those who must meeting certain </w:t>
      </w:r>
      <w:r w:rsidR="00BB6752" w:rsidRPr="00FE50A6">
        <w:rPr>
          <w:rFonts w:eastAsia="Cambria" w:cs="System Font Regular"/>
          <w:szCs w:val="20"/>
          <w:lang w:val="en-US"/>
        </w:rPr>
        <w:t>eligibility</w:t>
      </w:r>
      <w:r w:rsidRPr="00FE50A6">
        <w:rPr>
          <w:rFonts w:eastAsia="Cambria" w:cs="System Font Regular"/>
          <w:szCs w:val="20"/>
          <w:lang w:val="en-US"/>
        </w:rPr>
        <w:t xml:space="preserve"> requirements – considered that:</w:t>
      </w:r>
    </w:p>
    <w:p w14:paraId="5D54C532" w14:textId="77777777" w:rsidR="00130785" w:rsidRPr="00FE50A6" w:rsidRDefault="00130785" w:rsidP="00130785">
      <w:pPr>
        <w:tabs>
          <w:tab w:val="clear" w:pos="4419"/>
          <w:tab w:val="clear" w:pos="8838"/>
        </w:tabs>
        <w:jc w:val="both"/>
        <w:rPr>
          <w:rFonts w:eastAsia="Cambria" w:cs="System Font Regular"/>
          <w:i/>
          <w:szCs w:val="20"/>
          <w:lang w:val="en-US"/>
        </w:rPr>
      </w:pPr>
    </w:p>
    <w:p w14:paraId="181E00AF" w14:textId="77777777" w:rsidR="00130785" w:rsidRPr="00FE50A6" w:rsidRDefault="00043E12" w:rsidP="00043E12">
      <w:pPr>
        <w:tabs>
          <w:tab w:val="clear" w:pos="4419"/>
          <w:tab w:val="clear" w:pos="8838"/>
        </w:tabs>
        <w:ind w:left="708" w:right="558"/>
        <w:jc w:val="both"/>
        <w:rPr>
          <w:rFonts w:eastAsia="Cambria" w:cs="Times"/>
          <w:i/>
          <w:sz w:val="16"/>
          <w:szCs w:val="16"/>
          <w:lang w:val="en-US"/>
        </w:rPr>
      </w:pPr>
      <w:r w:rsidRPr="00FE50A6">
        <w:rPr>
          <w:rFonts w:eastAsia="Cambria" w:cs="Times"/>
          <w:sz w:val="16"/>
          <w:szCs w:val="16"/>
          <w:lang w:val="en-US"/>
        </w:rPr>
        <w:t>“</w:t>
      </w:r>
      <w:r w:rsidR="00130785" w:rsidRPr="00FE50A6">
        <w:rPr>
          <w:rFonts w:eastAsia="Cambria" w:cs="Times"/>
          <w:sz w:val="16"/>
          <w:szCs w:val="16"/>
          <w:lang w:val="en-US"/>
        </w:rPr>
        <w:t xml:space="preserve">30. </w:t>
      </w:r>
      <w:r w:rsidR="001A184E" w:rsidRPr="00FE50A6">
        <w:rPr>
          <w:sz w:val="16"/>
          <w:szCs w:val="16"/>
          <w:lang w:val="en-US"/>
        </w:rPr>
        <w:t>Conditional programmes are generally designed to address “long-term, structural poverty rather than income shocks, particularly if those shocks are expected to be short-term ones”; they are not the ideal instrument for dealing with transient poverty.</w:t>
      </w:r>
      <w:r w:rsidRPr="00FE50A6">
        <w:rPr>
          <w:sz w:val="16"/>
          <w:szCs w:val="16"/>
          <w:lang w:val="en-US"/>
        </w:rPr>
        <w:t>”</w:t>
      </w:r>
      <w:r w:rsidR="00130785" w:rsidRPr="00FE50A6">
        <w:rPr>
          <w:rFonts w:eastAsia="Cambria" w:cs="Times New Roman"/>
          <w:i/>
          <w:sz w:val="16"/>
          <w:szCs w:val="20"/>
          <w:vertAlign w:val="superscript"/>
          <w:lang w:val="en-US"/>
        </w:rPr>
        <w:footnoteReference w:id="629"/>
      </w:r>
      <w:r w:rsidR="00130785" w:rsidRPr="00FE50A6">
        <w:rPr>
          <w:rFonts w:eastAsia="Cambria" w:cs="Times"/>
          <w:i/>
          <w:sz w:val="16"/>
          <w:szCs w:val="16"/>
          <w:lang w:val="en-US"/>
        </w:rPr>
        <w:t xml:space="preserve"> </w:t>
      </w:r>
    </w:p>
    <w:p w14:paraId="520CF42B" w14:textId="77777777" w:rsidR="00130785" w:rsidRPr="00FE50A6" w:rsidRDefault="00130785" w:rsidP="00130785">
      <w:pPr>
        <w:tabs>
          <w:tab w:val="clear" w:pos="4419"/>
          <w:tab w:val="clear" w:pos="8838"/>
        </w:tabs>
        <w:jc w:val="both"/>
        <w:rPr>
          <w:rFonts w:eastAsia="Cambria" w:cs="System Font Regular"/>
          <w:i/>
          <w:szCs w:val="20"/>
          <w:lang w:val="en-US"/>
        </w:rPr>
      </w:pPr>
    </w:p>
    <w:p w14:paraId="55FFF11C" w14:textId="77777777" w:rsidR="00130785" w:rsidRPr="00FE50A6" w:rsidRDefault="00043E12" w:rsidP="00DA3F78">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n-US"/>
        </w:rPr>
      </w:pPr>
      <w:r w:rsidRPr="00FE50A6">
        <w:rPr>
          <w:rFonts w:eastAsia="Cambria" w:cs="System Font Regular"/>
          <w:szCs w:val="20"/>
          <w:lang w:val="en-US"/>
        </w:rPr>
        <w:t>Al</w:t>
      </w:r>
      <w:r w:rsidR="00DA3F78" w:rsidRPr="00FE50A6">
        <w:rPr>
          <w:rFonts w:eastAsia="Cambria" w:cs="System Font Regular"/>
          <w:szCs w:val="20"/>
          <w:lang w:val="en-US"/>
        </w:rPr>
        <w:t>though, to date, no explicit definition exists in</w:t>
      </w:r>
      <w:r w:rsidR="00130785" w:rsidRPr="00FE50A6">
        <w:rPr>
          <w:rFonts w:eastAsia="Cambria" w:cs="System Font Regular"/>
          <w:szCs w:val="20"/>
          <w:lang w:val="en-US"/>
        </w:rPr>
        <w:t xml:space="preserve"> </w:t>
      </w:r>
      <w:r w:rsidR="00931A2D" w:rsidRPr="00FE50A6">
        <w:rPr>
          <w:rFonts w:eastAsia="Cambria" w:cs="System Font Regular"/>
          <w:szCs w:val="20"/>
          <w:lang w:val="en-US"/>
        </w:rPr>
        <w:t>international law</w:t>
      </w:r>
      <w:r w:rsidR="00130785" w:rsidRPr="00FE50A6">
        <w:rPr>
          <w:rFonts w:eastAsia="Cambria" w:cs="System Font Regular"/>
          <w:szCs w:val="20"/>
          <w:lang w:val="en-US"/>
        </w:rPr>
        <w:t xml:space="preserve"> </w:t>
      </w:r>
      <w:r w:rsidR="00DA3F78" w:rsidRPr="00FE50A6">
        <w:rPr>
          <w:rFonts w:eastAsia="Cambria" w:cs="System Font Regular"/>
          <w:szCs w:val="20"/>
          <w:lang w:val="en-US"/>
        </w:rPr>
        <w:t xml:space="preserve">of what should be understood by </w:t>
      </w:r>
      <w:r w:rsidR="00130785" w:rsidRPr="00FE50A6">
        <w:rPr>
          <w:rFonts w:eastAsia="Cambria" w:cs="System Font Regular"/>
          <w:i/>
          <w:szCs w:val="20"/>
          <w:lang w:val="en-US"/>
        </w:rPr>
        <w:t>structural</w:t>
      </w:r>
      <w:r w:rsidR="00DA3F78" w:rsidRPr="00FE50A6">
        <w:rPr>
          <w:rFonts w:eastAsia="Cambria" w:cs="System Font Regular"/>
          <w:i/>
          <w:szCs w:val="20"/>
          <w:lang w:val="en-US"/>
        </w:rPr>
        <w:t xml:space="preserve"> poverty</w:t>
      </w:r>
      <w:r w:rsidR="00130785" w:rsidRPr="00FE50A6">
        <w:rPr>
          <w:rFonts w:eastAsia="Cambria" w:cs="Times New Roman"/>
          <w:szCs w:val="20"/>
          <w:vertAlign w:val="superscript"/>
          <w:lang w:val="en-US"/>
        </w:rPr>
        <w:footnoteReference w:id="630"/>
      </w:r>
      <w:r w:rsidR="00130785" w:rsidRPr="00FE50A6">
        <w:rPr>
          <w:rFonts w:eastAsia="Cambria" w:cs="System Font Regular"/>
          <w:i/>
          <w:szCs w:val="20"/>
          <w:lang w:val="en-US"/>
        </w:rPr>
        <w:t xml:space="preserve"> </w:t>
      </w:r>
      <w:r w:rsidR="00DA3F78" w:rsidRPr="00FE50A6">
        <w:rPr>
          <w:rFonts w:eastAsia="Cambria" w:cs="System Font Regular"/>
          <w:szCs w:val="20"/>
          <w:lang w:val="en-US"/>
        </w:rPr>
        <w:t xml:space="preserve">as a form of </w:t>
      </w:r>
      <w:r w:rsidR="003707E5" w:rsidRPr="00FE50A6">
        <w:rPr>
          <w:rFonts w:eastAsia="Cambria" w:cs="System Font Regular"/>
          <w:szCs w:val="20"/>
          <w:lang w:val="en-US"/>
        </w:rPr>
        <w:t>discrimination</w:t>
      </w:r>
      <w:r w:rsidR="00130785" w:rsidRPr="00FE50A6">
        <w:rPr>
          <w:rFonts w:eastAsia="Cambria" w:cs="System Font Regular"/>
          <w:szCs w:val="20"/>
          <w:lang w:val="en-US"/>
        </w:rPr>
        <w:t xml:space="preserve">, </w:t>
      </w:r>
      <w:r w:rsidR="00DA3F78" w:rsidRPr="00FE50A6">
        <w:rPr>
          <w:rFonts w:eastAsia="Cambria" w:cs="System Font Regular"/>
          <w:szCs w:val="20"/>
          <w:lang w:val="en-US"/>
        </w:rPr>
        <w:t xml:space="preserve">Special Rapporteurs on extreme poverty have </w:t>
      </w:r>
      <w:r w:rsidRPr="00FE50A6">
        <w:rPr>
          <w:rFonts w:eastAsia="Cambria" w:cs="System Font Regular"/>
          <w:szCs w:val="20"/>
          <w:lang w:val="en-US"/>
        </w:rPr>
        <w:t>made statements</w:t>
      </w:r>
      <w:r w:rsidR="00DA3F78" w:rsidRPr="00FE50A6">
        <w:rPr>
          <w:rFonts w:eastAsia="Cambria" w:cs="System Font Regular"/>
          <w:szCs w:val="20"/>
          <w:lang w:val="en-US"/>
        </w:rPr>
        <w:t xml:space="preserve"> that </w:t>
      </w:r>
      <w:r w:rsidRPr="00FE50A6">
        <w:rPr>
          <w:rFonts w:eastAsia="Cambria" w:cs="System Font Regular"/>
          <w:szCs w:val="20"/>
          <w:lang w:val="en-US"/>
        </w:rPr>
        <w:t xml:space="preserve">permit the identification of </w:t>
      </w:r>
      <w:r w:rsidR="00DA3F78" w:rsidRPr="00FE50A6">
        <w:rPr>
          <w:rFonts w:eastAsia="Cambria" w:cs="System Font Regular"/>
          <w:szCs w:val="20"/>
          <w:lang w:val="en-US"/>
        </w:rPr>
        <w:t xml:space="preserve">those persons who could be affected by this </w:t>
      </w:r>
      <w:r w:rsidRPr="00FE50A6">
        <w:rPr>
          <w:rFonts w:eastAsia="Cambria" w:cs="System Font Regular"/>
          <w:szCs w:val="20"/>
          <w:lang w:val="en-US"/>
        </w:rPr>
        <w:t xml:space="preserve">particular </w:t>
      </w:r>
      <w:r w:rsidR="00DA3F78" w:rsidRPr="00FE50A6">
        <w:rPr>
          <w:rFonts w:eastAsia="Cambria" w:cs="System Font Regular"/>
          <w:szCs w:val="20"/>
          <w:lang w:val="en-US"/>
        </w:rPr>
        <w:t xml:space="preserve">situation. For example, the Guiding Principles have indicated that “extreme poverty is </w:t>
      </w:r>
      <w:r w:rsidR="00DA3F78" w:rsidRPr="00FE50A6">
        <w:rPr>
          <w:szCs w:val="20"/>
          <w:lang w:val="en-US"/>
        </w:rPr>
        <w:t xml:space="preserve">created, enabled and perpetuated by acts and omissions of States and other economic actors. In the past, public policies have often failed to reach persons living in extreme poverty, resulting in the transmission of poverty across generations. Structural and systemic inequalities </w:t>
      </w:r>
      <w:r w:rsidR="00DA3F78" w:rsidRPr="00FE50A6">
        <w:rPr>
          <w:rFonts w:cs="Arial"/>
          <w:szCs w:val="20"/>
          <w:lang w:val="en-US"/>
        </w:rPr>
        <w:t>–</w:t>
      </w:r>
      <w:r w:rsidR="00DA3F78" w:rsidRPr="00FE50A6">
        <w:rPr>
          <w:szCs w:val="20"/>
          <w:lang w:val="en-US"/>
        </w:rPr>
        <w:t xml:space="preserve"> social, political, economic and cultural </w:t>
      </w:r>
      <w:r w:rsidR="00DA3F78" w:rsidRPr="00FE50A6">
        <w:rPr>
          <w:rFonts w:cs="Arial"/>
          <w:szCs w:val="20"/>
          <w:lang w:val="en-US"/>
        </w:rPr>
        <w:t>–</w:t>
      </w:r>
      <w:r w:rsidR="00DA3F78" w:rsidRPr="00FE50A6">
        <w:rPr>
          <w:szCs w:val="20"/>
          <w:lang w:val="en-US"/>
        </w:rPr>
        <w:t xml:space="preserve"> often remain unaddressed and further entrench poverty</w:t>
      </w:r>
      <w:r w:rsidR="00DA3F78" w:rsidRPr="00FE50A6">
        <w:rPr>
          <w:rFonts w:eastAsia="Cambria" w:cs="Times"/>
          <w:szCs w:val="20"/>
          <w:lang w:val="en-US"/>
        </w:rPr>
        <w:t>.”</w:t>
      </w:r>
      <w:r w:rsidR="00130785" w:rsidRPr="00FE50A6">
        <w:rPr>
          <w:rFonts w:eastAsia="Cambria" w:cs="Times New Roman"/>
          <w:szCs w:val="20"/>
          <w:vertAlign w:val="superscript"/>
          <w:lang w:val="en-US"/>
        </w:rPr>
        <w:footnoteReference w:id="631"/>
      </w:r>
      <w:r w:rsidR="00130785" w:rsidRPr="00FE50A6">
        <w:rPr>
          <w:rFonts w:eastAsia="Cambria" w:cs="System Font Regular"/>
          <w:szCs w:val="20"/>
          <w:lang w:val="en-US"/>
        </w:rPr>
        <w:t xml:space="preserve"> </w:t>
      </w:r>
      <w:r w:rsidRPr="00FE50A6">
        <w:rPr>
          <w:rFonts w:eastAsia="Cambria" w:cs="System Font Regular"/>
          <w:szCs w:val="20"/>
          <w:lang w:val="en-US"/>
        </w:rPr>
        <w:t xml:space="preserve"> </w:t>
      </w:r>
    </w:p>
    <w:p w14:paraId="56D190B1" w14:textId="77777777" w:rsidR="00130785" w:rsidRPr="00FE50A6" w:rsidRDefault="00130785" w:rsidP="00130785">
      <w:pPr>
        <w:widowControl w:val="0"/>
        <w:tabs>
          <w:tab w:val="clear" w:pos="4419"/>
          <w:tab w:val="clear" w:pos="8838"/>
        </w:tabs>
        <w:autoSpaceDE w:val="0"/>
        <w:autoSpaceDN w:val="0"/>
        <w:adjustRightInd w:val="0"/>
        <w:spacing w:after="240"/>
        <w:contextualSpacing/>
        <w:jc w:val="both"/>
        <w:rPr>
          <w:rFonts w:eastAsia="Cambria" w:cs="Times"/>
          <w:szCs w:val="20"/>
          <w:lang w:val="en-US"/>
        </w:rPr>
      </w:pPr>
    </w:p>
    <w:p w14:paraId="40A8C81E" w14:textId="77777777" w:rsidR="00FD73DC" w:rsidRPr="00FE50A6" w:rsidRDefault="00DA3F78" w:rsidP="008B0BCC">
      <w:pPr>
        <w:widowControl w:val="0"/>
        <w:numPr>
          <w:ilvl w:val="0"/>
          <w:numId w:val="26"/>
        </w:numPr>
        <w:tabs>
          <w:tab w:val="clear" w:pos="4419"/>
          <w:tab w:val="clear" w:pos="8838"/>
        </w:tabs>
        <w:autoSpaceDE w:val="0"/>
        <w:autoSpaceDN w:val="0"/>
        <w:adjustRightInd w:val="0"/>
        <w:spacing w:after="240"/>
        <w:contextualSpacing/>
        <w:jc w:val="both"/>
        <w:rPr>
          <w:rFonts w:eastAsia="Cambria" w:cs="Times"/>
          <w:szCs w:val="20"/>
          <w:lang w:val="en-US"/>
        </w:rPr>
      </w:pPr>
      <w:r w:rsidRPr="00FE50A6">
        <w:rPr>
          <w:rFonts w:eastAsia="Cambria" w:cs="System Font Regular"/>
          <w:szCs w:val="20"/>
          <w:lang w:val="en-US"/>
        </w:rPr>
        <w:t xml:space="preserve">Furthermore, </w:t>
      </w:r>
      <w:r w:rsidR="00FD73DC" w:rsidRPr="00FE50A6">
        <w:rPr>
          <w:rFonts w:eastAsia="Cambria" w:cs="System Font Regular"/>
          <w:szCs w:val="20"/>
          <w:lang w:val="en-US"/>
        </w:rPr>
        <w:t>“</w:t>
      </w:r>
      <w:r w:rsidRPr="00FE50A6">
        <w:rPr>
          <w:rFonts w:eastAsia="Cambria" w:cs="System Font Regular"/>
          <w:szCs w:val="20"/>
          <w:lang w:val="en-US"/>
        </w:rPr>
        <w:t>the right of pe</w:t>
      </w:r>
      <w:r w:rsidR="00FD73DC" w:rsidRPr="00FE50A6">
        <w:rPr>
          <w:rFonts w:eastAsia="Cambria" w:cs="System Font Regular"/>
          <w:szCs w:val="20"/>
          <w:lang w:val="en-US"/>
        </w:rPr>
        <w:t>ople</w:t>
      </w:r>
      <w:r w:rsidRPr="00FE50A6">
        <w:rPr>
          <w:rFonts w:eastAsia="Cambria" w:cs="System Font Regular"/>
          <w:szCs w:val="20"/>
          <w:lang w:val="en-US"/>
        </w:rPr>
        <w:t xml:space="preserve"> living in poverty to participate fully in society and in decision-making </w:t>
      </w:r>
      <w:r w:rsidR="00FD73DC" w:rsidRPr="00FE50A6">
        <w:rPr>
          <w:rFonts w:eastAsia="Cambria" w:cs="System Font Regular"/>
          <w:szCs w:val="20"/>
          <w:lang w:val="en-US"/>
        </w:rPr>
        <w:t>is blocked by multiple compounding</w:t>
      </w:r>
      <w:r w:rsidRPr="00FE50A6">
        <w:rPr>
          <w:rFonts w:eastAsia="Cambria" w:cs="System Font Regular"/>
          <w:szCs w:val="20"/>
          <w:lang w:val="en-US"/>
        </w:rPr>
        <w:t xml:space="preserve"> obstacles </w:t>
      </w:r>
      <w:r w:rsidR="00FD73DC" w:rsidRPr="00FE50A6">
        <w:rPr>
          <w:rFonts w:eastAsia="Cambria" w:cs="System Font Regular"/>
          <w:szCs w:val="20"/>
          <w:lang w:val="en-US"/>
        </w:rPr>
        <w:t>– economic, social, structural, legal and systemic.”</w:t>
      </w:r>
      <w:r w:rsidR="00130785" w:rsidRPr="00FE50A6">
        <w:rPr>
          <w:rFonts w:eastAsia="Cambria" w:cs="Times New Roman"/>
          <w:szCs w:val="20"/>
          <w:vertAlign w:val="superscript"/>
          <w:lang w:val="en-US"/>
        </w:rPr>
        <w:footnoteReference w:id="632"/>
      </w:r>
      <w:r w:rsidR="00130785" w:rsidRPr="00FE50A6">
        <w:rPr>
          <w:rFonts w:eastAsia="Cambria" w:cs="Times"/>
          <w:szCs w:val="20"/>
          <w:lang w:val="en-US"/>
        </w:rPr>
        <w:t xml:space="preserve"> </w:t>
      </w:r>
      <w:r w:rsidR="00FD73DC" w:rsidRPr="00FE50A6">
        <w:rPr>
          <w:rFonts w:eastAsia="Cambria" w:cs="Times"/>
          <w:szCs w:val="20"/>
          <w:lang w:val="en-US"/>
        </w:rPr>
        <w:t xml:space="preserve">And, </w:t>
      </w:r>
      <w:r w:rsidR="00FD73DC" w:rsidRPr="00FE50A6">
        <w:rPr>
          <w:lang w:val="en-US"/>
        </w:rPr>
        <w:t>“even where participatory mechanisms exist, people living in poverty face serious constraints in accessing or exerting influence through them, such as lack of information, low levels of education and illiteracy</w:t>
      </w:r>
      <w:r w:rsidR="00FD73DC" w:rsidRPr="00FE50A6">
        <w:rPr>
          <w:rFonts w:eastAsia="Cambria" w:cs="Times"/>
          <w:szCs w:val="20"/>
          <w:lang w:val="en-US"/>
        </w:rPr>
        <w:t>.”</w:t>
      </w:r>
      <w:r w:rsidR="00130785" w:rsidRPr="00FE50A6">
        <w:rPr>
          <w:rFonts w:eastAsia="Cambria" w:cs="Times New Roman"/>
          <w:szCs w:val="20"/>
          <w:vertAlign w:val="superscript"/>
          <w:lang w:val="en-US"/>
        </w:rPr>
        <w:footnoteReference w:id="633"/>
      </w:r>
      <w:r w:rsidR="00130785" w:rsidRPr="00FE50A6">
        <w:rPr>
          <w:rFonts w:eastAsia="Cambria" w:cs="Times"/>
          <w:szCs w:val="20"/>
          <w:lang w:val="en-US"/>
        </w:rPr>
        <w:t xml:space="preserve"> </w:t>
      </w:r>
      <w:r w:rsidR="00FD73DC" w:rsidRPr="00FE50A6">
        <w:rPr>
          <w:rFonts w:eastAsia="Cambria" w:cs="Times"/>
          <w:szCs w:val="20"/>
          <w:lang w:val="en-US"/>
        </w:rPr>
        <w:t xml:space="preserve">In response to these situations of </w:t>
      </w:r>
      <w:r w:rsidR="00C82C2B" w:rsidRPr="00FE50A6">
        <w:rPr>
          <w:rFonts w:eastAsia="Cambria" w:cs="Times"/>
          <w:szCs w:val="20"/>
          <w:lang w:val="en-US"/>
        </w:rPr>
        <w:t>structural discrimination</w:t>
      </w:r>
      <w:r w:rsidR="00130785" w:rsidRPr="00FE50A6">
        <w:rPr>
          <w:rFonts w:eastAsia="Cambria" w:cs="Times"/>
          <w:szCs w:val="20"/>
          <w:lang w:val="en-US"/>
        </w:rPr>
        <w:t xml:space="preserve">, </w:t>
      </w:r>
      <w:r w:rsidR="00C33B2E" w:rsidRPr="00FE50A6">
        <w:rPr>
          <w:rFonts w:eastAsia="Cambria" w:cs="Times"/>
          <w:szCs w:val="20"/>
          <w:lang w:val="en-US"/>
        </w:rPr>
        <w:t>“</w:t>
      </w:r>
      <w:r w:rsidR="00FD73DC" w:rsidRPr="00FE50A6">
        <w:rPr>
          <w:rFonts w:eastAsia="Cambria" w:cs="Times"/>
          <w:szCs w:val="20"/>
          <w:lang w:val="en-US"/>
        </w:rPr>
        <w:t>i</w:t>
      </w:r>
      <w:r w:rsidR="00130785" w:rsidRPr="00FE50A6">
        <w:rPr>
          <w:rFonts w:eastAsia="Cambria" w:cs="Times"/>
          <w:szCs w:val="20"/>
          <w:lang w:val="en-US"/>
        </w:rPr>
        <w:t>n</w:t>
      </w:r>
      <w:r w:rsidR="00FD73DC" w:rsidRPr="00FE50A6">
        <w:rPr>
          <w:rFonts w:eastAsia="Cambria" w:cs="Times"/>
          <w:szCs w:val="20"/>
          <w:lang w:val="en-US"/>
        </w:rPr>
        <w:t xml:space="preserve"> many jurisdictions the</w:t>
      </w:r>
      <w:r w:rsidR="00C33B2E" w:rsidRPr="00FE50A6">
        <w:rPr>
          <w:rFonts w:eastAsia="Cambria" w:cs="Times"/>
          <w:szCs w:val="20"/>
          <w:lang w:val="en-US"/>
        </w:rPr>
        <w:t xml:space="preserve"> effect</w:t>
      </w:r>
      <w:r w:rsidR="00C33B2E" w:rsidRPr="00FE50A6">
        <w:rPr>
          <w:szCs w:val="20"/>
          <w:lang w:val="en-US"/>
        </w:rPr>
        <w:t xml:space="preserve"> of judgements is limited to those who litigate or bring a claim, even in cases that have a much wider significance</w:t>
      </w:r>
      <w:r w:rsidR="00FD73DC" w:rsidRPr="00FE50A6">
        <w:rPr>
          <w:rFonts w:eastAsia="Cambria" w:cs="Times"/>
          <w:szCs w:val="20"/>
          <w:lang w:val="en-US"/>
        </w:rPr>
        <w:t xml:space="preserve">. This means that only those </w:t>
      </w:r>
      <w:r w:rsidR="00C33B2E" w:rsidRPr="00FE50A6">
        <w:rPr>
          <w:rFonts w:eastAsia="Cambria" w:cs="Times"/>
          <w:szCs w:val="20"/>
          <w:lang w:val="en-US"/>
        </w:rPr>
        <w:t xml:space="preserve">individuals </w:t>
      </w:r>
      <w:r w:rsidR="00FD73DC" w:rsidRPr="00FE50A6">
        <w:rPr>
          <w:rFonts w:eastAsia="Cambria" w:cs="Times"/>
          <w:szCs w:val="20"/>
          <w:lang w:val="en-US"/>
        </w:rPr>
        <w:t>who have the capa</w:t>
      </w:r>
      <w:r w:rsidR="00C33B2E" w:rsidRPr="00FE50A6">
        <w:rPr>
          <w:rFonts w:eastAsia="Cambria" w:cs="Times"/>
          <w:szCs w:val="20"/>
          <w:lang w:val="en-US"/>
        </w:rPr>
        <w:t>cit</w:t>
      </w:r>
      <w:r w:rsidR="00FD73DC" w:rsidRPr="00FE50A6">
        <w:rPr>
          <w:rFonts w:eastAsia="Cambria" w:cs="Times"/>
          <w:szCs w:val="20"/>
          <w:lang w:val="en-US"/>
        </w:rPr>
        <w:t>y or tenacity to overcome</w:t>
      </w:r>
      <w:r w:rsidR="00C33B2E" w:rsidRPr="00FE50A6">
        <w:rPr>
          <w:rFonts w:eastAsia="Cambria" w:cs="Times"/>
          <w:szCs w:val="20"/>
          <w:lang w:val="en-US"/>
        </w:rPr>
        <w:t xml:space="preserve"> all</w:t>
      </w:r>
      <w:r w:rsidR="00FD73DC" w:rsidRPr="00FE50A6">
        <w:rPr>
          <w:rFonts w:eastAsia="Cambria" w:cs="Times"/>
          <w:szCs w:val="20"/>
          <w:lang w:val="en-US"/>
        </w:rPr>
        <w:t xml:space="preserve"> the barriers </w:t>
      </w:r>
      <w:r w:rsidR="00C33B2E" w:rsidRPr="00FE50A6">
        <w:rPr>
          <w:rFonts w:eastAsia="Cambria" w:cs="Times"/>
          <w:szCs w:val="20"/>
          <w:lang w:val="en-US"/>
        </w:rPr>
        <w:t>to</w:t>
      </w:r>
      <w:r w:rsidR="00FD73DC" w:rsidRPr="00FE50A6">
        <w:rPr>
          <w:rFonts w:eastAsia="Cambria" w:cs="Times"/>
          <w:szCs w:val="20"/>
          <w:lang w:val="en-US"/>
        </w:rPr>
        <w:t xml:space="preserve"> access</w:t>
      </w:r>
      <w:r w:rsidR="00C33B2E" w:rsidRPr="00FE50A6">
        <w:rPr>
          <w:rFonts w:eastAsia="Cambria" w:cs="Times"/>
          <w:szCs w:val="20"/>
          <w:lang w:val="en-US"/>
        </w:rPr>
        <w:t>ing</w:t>
      </w:r>
      <w:r w:rsidR="00FD73DC" w:rsidRPr="00FE50A6">
        <w:rPr>
          <w:rFonts w:eastAsia="Cambria" w:cs="Times"/>
          <w:szCs w:val="20"/>
          <w:lang w:val="en-US"/>
        </w:rPr>
        <w:t xml:space="preserve"> justice </w:t>
      </w:r>
      <w:r w:rsidR="00C33B2E" w:rsidRPr="00FE50A6">
        <w:rPr>
          <w:rFonts w:eastAsia="Cambria" w:cs="Times"/>
          <w:szCs w:val="20"/>
          <w:lang w:val="en-US"/>
        </w:rPr>
        <w:t>will</w:t>
      </w:r>
      <w:r w:rsidR="00FD73DC" w:rsidRPr="00FE50A6">
        <w:rPr>
          <w:rFonts w:eastAsia="Cambria" w:cs="Times"/>
          <w:szCs w:val="20"/>
          <w:lang w:val="en-US"/>
        </w:rPr>
        <w:t xml:space="preserve"> benefit from important </w:t>
      </w:r>
      <w:r w:rsidR="00C33B2E" w:rsidRPr="00FE50A6">
        <w:rPr>
          <w:rFonts w:eastAsia="Cambria" w:cs="Times"/>
          <w:szCs w:val="20"/>
          <w:lang w:val="en-US"/>
        </w:rPr>
        <w:t>judgments.”</w:t>
      </w:r>
    </w:p>
    <w:p w14:paraId="2611FD5E" w14:textId="77777777" w:rsidR="00130785" w:rsidRPr="00FE50A6" w:rsidRDefault="00130785" w:rsidP="00130785">
      <w:pPr>
        <w:widowControl w:val="0"/>
        <w:tabs>
          <w:tab w:val="clear" w:pos="4419"/>
          <w:tab w:val="clear" w:pos="8838"/>
        </w:tabs>
        <w:autoSpaceDE w:val="0"/>
        <w:autoSpaceDN w:val="0"/>
        <w:adjustRightInd w:val="0"/>
        <w:spacing w:after="240"/>
        <w:contextualSpacing/>
        <w:jc w:val="both"/>
        <w:rPr>
          <w:rFonts w:eastAsia="Cambria" w:cs="Times"/>
          <w:szCs w:val="20"/>
          <w:lang w:val="en-US"/>
        </w:rPr>
      </w:pPr>
    </w:p>
    <w:p w14:paraId="1B31CA27" w14:textId="77777777" w:rsidR="00130785" w:rsidRPr="00FE50A6" w:rsidRDefault="00C33B2E" w:rsidP="00C33B2E">
      <w:pPr>
        <w:widowControl w:val="0"/>
        <w:numPr>
          <w:ilvl w:val="0"/>
          <w:numId w:val="26"/>
        </w:numPr>
        <w:tabs>
          <w:tab w:val="clear" w:pos="4419"/>
          <w:tab w:val="clear" w:pos="8838"/>
          <w:tab w:val="left" w:pos="720"/>
        </w:tabs>
        <w:autoSpaceDE w:val="0"/>
        <w:autoSpaceDN w:val="0"/>
        <w:adjustRightInd w:val="0"/>
        <w:contextualSpacing/>
        <w:jc w:val="both"/>
        <w:rPr>
          <w:rFonts w:eastAsia="Cambria" w:cs="Times"/>
          <w:szCs w:val="20"/>
          <w:lang w:val="en-US"/>
        </w:rPr>
      </w:pPr>
      <w:r w:rsidRPr="00FE50A6">
        <w:rPr>
          <w:szCs w:val="20"/>
          <w:lang w:val="en-US"/>
        </w:rPr>
        <w:t xml:space="preserve">Often, however, those living in poverty are affected by widespread practices or broad Government measures that generate situations where the rights of many individuals are at stake. Therefore, “in legal systems where courts have the power of judicial review or of issuing </w:t>
      </w:r>
      <w:r w:rsidRPr="00FE50A6">
        <w:rPr>
          <w:i/>
          <w:szCs w:val="20"/>
          <w:lang w:val="en-US"/>
        </w:rPr>
        <w:t>erga omnes</w:t>
      </w:r>
      <w:r w:rsidRPr="00FE50A6">
        <w:rPr>
          <w:szCs w:val="20"/>
          <w:lang w:val="en-US"/>
        </w:rPr>
        <w:t xml:space="preserve"> judgements, which can declare certain laws or a state of affairs unconstitutional, this can have a positive effect in terms of securing justice for persons living in poverty.”</w:t>
      </w:r>
      <w:r w:rsidR="00130785" w:rsidRPr="00FE50A6">
        <w:rPr>
          <w:rFonts w:eastAsia="Cambria" w:cs="Times New Roman"/>
          <w:szCs w:val="20"/>
          <w:vertAlign w:val="superscript"/>
          <w:lang w:val="en-US"/>
        </w:rPr>
        <w:footnoteReference w:id="634"/>
      </w:r>
      <w:r w:rsidR="00130785" w:rsidRPr="00FE50A6">
        <w:rPr>
          <w:rFonts w:eastAsia="Cambria" w:cs="Times"/>
          <w:szCs w:val="20"/>
          <w:lang w:val="en-US"/>
        </w:rPr>
        <w:t xml:space="preserve"> </w:t>
      </w:r>
    </w:p>
    <w:p w14:paraId="60250D30" w14:textId="77777777" w:rsidR="00130785" w:rsidRPr="00FE50A6" w:rsidRDefault="00130785" w:rsidP="00C33B2E">
      <w:pPr>
        <w:widowControl w:val="0"/>
        <w:tabs>
          <w:tab w:val="clear" w:pos="4419"/>
          <w:tab w:val="clear" w:pos="8838"/>
        </w:tabs>
        <w:autoSpaceDE w:val="0"/>
        <w:autoSpaceDN w:val="0"/>
        <w:adjustRightInd w:val="0"/>
        <w:contextualSpacing/>
        <w:jc w:val="both"/>
        <w:rPr>
          <w:rFonts w:eastAsia="Cambria" w:cs="Times"/>
          <w:szCs w:val="20"/>
          <w:lang w:val="en-US"/>
        </w:rPr>
      </w:pPr>
    </w:p>
    <w:p w14:paraId="0877CE2C" w14:textId="77777777" w:rsidR="00C33B2E" w:rsidRPr="00FE50A6" w:rsidRDefault="00C33B2E" w:rsidP="00C33B2E">
      <w:pPr>
        <w:widowControl w:val="0"/>
        <w:numPr>
          <w:ilvl w:val="0"/>
          <w:numId w:val="26"/>
        </w:numPr>
        <w:tabs>
          <w:tab w:val="clear" w:pos="4419"/>
          <w:tab w:val="clear" w:pos="8838"/>
        </w:tabs>
        <w:autoSpaceDE w:val="0"/>
        <w:autoSpaceDN w:val="0"/>
        <w:adjustRightInd w:val="0"/>
        <w:contextualSpacing/>
        <w:jc w:val="both"/>
        <w:rPr>
          <w:rFonts w:eastAsia="Cambria" w:cs="Times"/>
          <w:szCs w:val="20"/>
          <w:lang w:val="en-US"/>
        </w:rPr>
      </w:pPr>
      <w:r w:rsidRPr="00FE50A6">
        <w:rPr>
          <w:rFonts w:eastAsia="Cambria" w:cs="Times"/>
          <w:szCs w:val="20"/>
          <w:lang w:val="en-US"/>
        </w:rPr>
        <w:t xml:space="preserve">Thus, those who suffer from structural poverty are, generally, people who </w:t>
      </w:r>
      <w:r w:rsidR="00043E12" w:rsidRPr="00FE50A6">
        <w:rPr>
          <w:rFonts w:eastAsia="Cambria" w:cs="Times"/>
          <w:szCs w:val="20"/>
          <w:lang w:val="en-US"/>
        </w:rPr>
        <w:t xml:space="preserve">historically </w:t>
      </w:r>
      <w:r w:rsidRPr="00FE50A6">
        <w:rPr>
          <w:rFonts w:eastAsia="Cambria" w:cs="Times"/>
          <w:szCs w:val="20"/>
          <w:lang w:val="en-US"/>
        </w:rPr>
        <w:t>transmit poverty across generations, whose possibilities of political participation are reduced and who are also denied basic services</w:t>
      </w:r>
      <w:r w:rsidR="00203634" w:rsidRPr="00FE50A6">
        <w:rPr>
          <w:rFonts w:eastAsia="Cambria" w:cs="Times"/>
          <w:szCs w:val="20"/>
          <w:lang w:val="en-US"/>
        </w:rPr>
        <w:t>. Their access to justice will depend on them having the capacity to overcome the situation of poverty regardless of whether or not they also belong to groups that, historically, have been marginalized or excluded.</w:t>
      </w:r>
    </w:p>
    <w:p w14:paraId="772D1864" w14:textId="77777777" w:rsidR="00130785" w:rsidRPr="00FE50A6" w:rsidRDefault="00130785" w:rsidP="00130785">
      <w:pPr>
        <w:tabs>
          <w:tab w:val="clear" w:pos="4419"/>
          <w:tab w:val="clear" w:pos="8838"/>
        </w:tabs>
        <w:spacing w:line="360" w:lineRule="auto"/>
        <w:jc w:val="both"/>
        <w:rPr>
          <w:rFonts w:eastAsia="Cambria" w:cs="System Font Regular"/>
          <w:i/>
          <w:sz w:val="16"/>
          <w:szCs w:val="16"/>
          <w:lang w:val="en-US"/>
        </w:rPr>
      </w:pPr>
    </w:p>
    <w:p w14:paraId="180DAD31" w14:textId="77777777" w:rsidR="00130785" w:rsidRPr="00FE50A6" w:rsidRDefault="00130785" w:rsidP="00B44229">
      <w:pPr>
        <w:tabs>
          <w:tab w:val="clear" w:pos="4419"/>
          <w:tab w:val="clear" w:pos="8838"/>
        </w:tabs>
        <w:jc w:val="center"/>
        <w:rPr>
          <w:rFonts w:eastAsia="Cambria" w:cs="System Font Regular"/>
          <w:caps/>
          <w:szCs w:val="20"/>
          <w:lang w:val="en-US"/>
        </w:rPr>
      </w:pPr>
      <w:r w:rsidRPr="00FE50A6">
        <w:rPr>
          <w:rFonts w:eastAsia="Cambria" w:cs="System Font Regular"/>
          <w:caps/>
          <w:szCs w:val="20"/>
          <w:lang w:val="en-US"/>
        </w:rPr>
        <w:t>V.</w:t>
      </w:r>
      <w:r w:rsidR="00230B50" w:rsidRPr="00FE50A6">
        <w:rPr>
          <w:rFonts w:eastAsia="Cambria" w:cs="System Font Regular"/>
          <w:caps/>
          <w:szCs w:val="20"/>
          <w:lang w:val="en-US"/>
        </w:rPr>
        <w:t xml:space="preserve"> </w:t>
      </w:r>
      <w:r w:rsidR="007860B0" w:rsidRPr="00FE50A6">
        <w:rPr>
          <w:rFonts w:eastAsia="Cambria" w:cs="System Font Regular"/>
          <w:iCs/>
          <w:caps/>
          <w:szCs w:val="20"/>
          <w:lang w:val="en-US"/>
        </w:rPr>
        <w:t>INDIRECT</w:t>
      </w:r>
      <w:r w:rsidR="00EF4337" w:rsidRPr="00FE50A6">
        <w:rPr>
          <w:rFonts w:eastAsia="Cambria" w:cs="System Font Regular"/>
          <w:iCs/>
          <w:caps/>
          <w:szCs w:val="20"/>
          <w:lang w:val="en-US"/>
        </w:rPr>
        <w:t xml:space="preserve"> </w:t>
      </w:r>
      <w:r w:rsidR="00230B50" w:rsidRPr="00FE50A6">
        <w:rPr>
          <w:rFonts w:eastAsia="Cambria" w:cs="System Font Regular"/>
          <w:iCs/>
          <w:caps/>
          <w:szCs w:val="20"/>
          <w:lang w:val="en-US"/>
        </w:rPr>
        <w:t xml:space="preserve">or </w:t>
      </w:r>
      <w:r w:rsidR="00230B50" w:rsidRPr="00FE50A6">
        <w:rPr>
          <w:rFonts w:eastAsia="Cambria" w:cs="System Font Regular"/>
          <w:i/>
          <w:iCs/>
          <w:caps/>
          <w:szCs w:val="20"/>
          <w:lang w:val="en-US"/>
        </w:rPr>
        <w:t>DE FACTO</w:t>
      </w:r>
      <w:r w:rsidR="00230B50" w:rsidRPr="00FE50A6">
        <w:rPr>
          <w:rFonts w:eastAsia="Cambria" w:cs="System Font Regular"/>
          <w:caps/>
          <w:szCs w:val="20"/>
          <w:lang w:val="en-US"/>
        </w:rPr>
        <w:t xml:space="preserve"> </w:t>
      </w:r>
      <w:r w:rsidR="00A26FEC" w:rsidRPr="00FE50A6">
        <w:rPr>
          <w:rFonts w:eastAsia="Cambria" w:cs="System Font Regular"/>
          <w:caps/>
          <w:szCs w:val="20"/>
          <w:lang w:val="en-US"/>
        </w:rPr>
        <w:t>Structural discrimination</w:t>
      </w:r>
    </w:p>
    <w:p w14:paraId="5FB9E3D3" w14:textId="77777777" w:rsidR="00130785" w:rsidRPr="00FE50A6" w:rsidRDefault="00EF4337" w:rsidP="00B44229">
      <w:pPr>
        <w:tabs>
          <w:tab w:val="clear" w:pos="4419"/>
          <w:tab w:val="clear" w:pos="8838"/>
        </w:tabs>
        <w:jc w:val="center"/>
        <w:rPr>
          <w:rFonts w:eastAsia="Cambria" w:cs="System Font Regular"/>
          <w:caps/>
          <w:szCs w:val="20"/>
          <w:lang w:val="en-US"/>
        </w:rPr>
      </w:pPr>
      <w:r w:rsidRPr="00FE50A6">
        <w:rPr>
          <w:rFonts w:eastAsia="Cambria" w:cs="System Font Regular"/>
          <w:caps/>
          <w:szCs w:val="20"/>
          <w:lang w:val="en-US"/>
        </w:rPr>
        <w:t>IN THE</w:t>
      </w:r>
      <w:r w:rsidR="00130785" w:rsidRPr="00FE50A6">
        <w:rPr>
          <w:rFonts w:eastAsia="Cambria" w:cs="System Font Regular"/>
          <w:caps/>
          <w:szCs w:val="20"/>
          <w:lang w:val="en-US"/>
        </w:rPr>
        <w:t xml:space="preserve"> jurisprudenc</w:t>
      </w:r>
      <w:r w:rsidRPr="00FE50A6">
        <w:rPr>
          <w:rFonts w:eastAsia="Cambria" w:cs="System Font Regular"/>
          <w:caps/>
          <w:szCs w:val="20"/>
          <w:lang w:val="en-US"/>
        </w:rPr>
        <w:t>E</w:t>
      </w:r>
      <w:r w:rsidR="000228D0" w:rsidRPr="00FE50A6">
        <w:rPr>
          <w:rFonts w:eastAsia="Cambria" w:cs="System Font Regular"/>
          <w:caps/>
          <w:szCs w:val="20"/>
          <w:lang w:val="en-US"/>
        </w:rPr>
        <w:t xml:space="preserve"> of the Inter-American Court</w:t>
      </w:r>
    </w:p>
    <w:p w14:paraId="79660A3D" w14:textId="77777777" w:rsidR="00130785" w:rsidRPr="00FE50A6" w:rsidRDefault="00130785" w:rsidP="00130785">
      <w:pPr>
        <w:tabs>
          <w:tab w:val="clear" w:pos="4419"/>
          <w:tab w:val="clear" w:pos="8838"/>
        </w:tabs>
        <w:jc w:val="both"/>
        <w:rPr>
          <w:rFonts w:eastAsia="Cambria" w:cs="System Font Regular"/>
          <w:szCs w:val="20"/>
          <w:lang w:val="en-US"/>
        </w:rPr>
      </w:pPr>
    </w:p>
    <w:p w14:paraId="5AA3B846" w14:textId="77777777" w:rsidR="00130785" w:rsidRPr="00FE50A6" w:rsidRDefault="007E0E3C" w:rsidP="007E0E3C">
      <w:pPr>
        <w:numPr>
          <w:ilvl w:val="0"/>
          <w:numId w:val="26"/>
        </w:numPr>
        <w:tabs>
          <w:tab w:val="clear" w:pos="4419"/>
          <w:tab w:val="clear" w:pos="8838"/>
        </w:tabs>
        <w:jc w:val="both"/>
        <w:rPr>
          <w:rFonts w:eastAsia="Cambria" w:cs="System Font Regular"/>
          <w:szCs w:val="20"/>
          <w:lang w:val="en-US"/>
        </w:rPr>
      </w:pPr>
      <w:r w:rsidRPr="00FE50A6">
        <w:rPr>
          <w:rFonts w:eastAsia="Cambria" w:cs="System Font Regular"/>
          <w:szCs w:val="20"/>
          <w:lang w:val="en-US"/>
        </w:rPr>
        <w:t xml:space="preserve">The consistent case law of </w:t>
      </w:r>
      <w:r w:rsidR="00CD3CCC" w:rsidRPr="00FE50A6">
        <w:rPr>
          <w:rFonts w:eastAsia="Cambria" w:cs="System Font Regular"/>
          <w:szCs w:val="20"/>
          <w:lang w:val="en-US"/>
        </w:rPr>
        <w:t>the Inter-American Court</w:t>
      </w:r>
      <w:r w:rsidRPr="00FE50A6">
        <w:rPr>
          <w:rFonts w:eastAsia="Cambria" w:cs="System Font Regular"/>
          <w:szCs w:val="20"/>
          <w:lang w:val="en-US"/>
        </w:rPr>
        <w:t xml:space="preserve"> </w:t>
      </w:r>
      <w:r w:rsidR="00130785" w:rsidRPr="00FE50A6">
        <w:rPr>
          <w:rFonts w:eastAsia="Cambria" w:cs="System Font Regular"/>
          <w:szCs w:val="20"/>
          <w:lang w:val="en-US"/>
        </w:rPr>
        <w:t>ha</w:t>
      </w:r>
      <w:r w:rsidRPr="00FE50A6">
        <w:rPr>
          <w:rFonts w:eastAsia="Cambria" w:cs="System Font Regular"/>
          <w:szCs w:val="20"/>
          <w:lang w:val="en-US"/>
        </w:rPr>
        <w:t xml:space="preserve">s mainly referred to and emphasized the direct discrimination </w:t>
      </w:r>
      <w:r w:rsidR="00082F82" w:rsidRPr="00FE50A6">
        <w:rPr>
          <w:rFonts w:eastAsia="Cambria" w:cs="System Font Regular"/>
          <w:szCs w:val="20"/>
          <w:lang w:val="en-US"/>
        </w:rPr>
        <w:t>suffered</w:t>
      </w:r>
      <w:r w:rsidRPr="00FE50A6">
        <w:rPr>
          <w:rFonts w:eastAsia="Cambria" w:cs="System Font Regular"/>
          <w:szCs w:val="20"/>
          <w:lang w:val="en-US"/>
        </w:rPr>
        <w:t xml:space="preserve"> by certain groups of persons within society. However, </w:t>
      </w:r>
      <w:r w:rsidR="00082F82" w:rsidRPr="00FE50A6">
        <w:rPr>
          <w:rFonts w:eastAsia="Cambria" w:cs="System Font Regular"/>
          <w:szCs w:val="20"/>
          <w:lang w:val="en-US"/>
        </w:rPr>
        <w:t xml:space="preserve">at times, </w:t>
      </w:r>
      <w:r w:rsidRPr="00FE50A6">
        <w:rPr>
          <w:rFonts w:eastAsia="Cambria" w:cs="System Font Regular"/>
          <w:szCs w:val="20"/>
          <w:lang w:val="en-US"/>
        </w:rPr>
        <w:t xml:space="preserve">this has not prevented </w:t>
      </w:r>
      <w:r w:rsidR="002071B1" w:rsidRPr="00FE50A6">
        <w:rPr>
          <w:rFonts w:eastAsia="Cambria" w:cs="System Font Regular"/>
          <w:szCs w:val="20"/>
          <w:lang w:val="en-US"/>
        </w:rPr>
        <w:t xml:space="preserve">the </w:t>
      </w:r>
      <w:r w:rsidR="00090C6A" w:rsidRPr="00FE50A6">
        <w:rPr>
          <w:rFonts w:eastAsia="Cambria" w:cs="System Font Regular"/>
          <w:szCs w:val="20"/>
          <w:lang w:val="en-US"/>
        </w:rPr>
        <w:t>Court</w:t>
      </w:r>
      <w:r w:rsidRPr="00FE50A6">
        <w:rPr>
          <w:rFonts w:eastAsia="Cambria" w:cs="System Font Regular"/>
          <w:szCs w:val="20"/>
          <w:lang w:val="en-US"/>
        </w:rPr>
        <w:t xml:space="preserve"> from establishing that, in certain context</w:t>
      </w:r>
      <w:r w:rsidR="00082F82" w:rsidRPr="00FE50A6">
        <w:rPr>
          <w:rFonts w:eastAsia="Cambria" w:cs="System Font Regular"/>
          <w:szCs w:val="20"/>
          <w:lang w:val="en-US"/>
        </w:rPr>
        <w:t>s</w:t>
      </w:r>
      <w:r w:rsidRPr="00FE50A6">
        <w:rPr>
          <w:rFonts w:eastAsia="Cambria" w:cs="System Font Regular"/>
          <w:szCs w:val="20"/>
          <w:lang w:val="en-US"/>
        </w:rPr>
        <w:t xml:space="preserve">, structural discrimination, </w:t>
      </w:r>
      <w:r w:rsidR="00230B50" w:rsidRPr="00FE50A6">
        <w:rPr>
          <w:rFonts w:eastAsia="Cambria" w:cs="System Font Regular"/>
          <w:i/>
          <w:iCs/>
          <w:szCs w:val="20"/>
          <w:lang w:val="en-US"/>
        </w:rPr>
        <w:t>de facto</w:t>
      </w:r>
      <w:r w:rsidR="00945F02" w:rsidRPr="00FE50A6">
        <w:rPr>
          <w:rFonts w:eastAsia="Cambria" w:cs="System Font Regular"/>
          <w:szCs w:val="20"/>
          <w:lang w:val="en-US"/>
        </w:rPr>
        <w:t xml:space="preserve"> </w:t>
      </w:r>
      <w:r w:rsidRPr="00FE50A6">
        <w:rPr>
          <w:rFonts w:eastAsia="Cambria" w:cs="System Font Regular"/>
          <w:szCs w:val="20"/>
          <w:lang w:val="en-US"/>
        </w:rPr>
        <w:t xml:space="preserve">discrimination </w:t>
      </w:r>
      <w:r w:rsidR="00230B50" w:rsidRPr="00FE50A6">
        <w:rPr>
          <w:rFonts w:eastAsia="Cambria" w:cs="System Font Regular"/>
          <w:szCs w:val="20"/>
          <w:lang w:val="en-US"/>
        </w:rPr>
        <w:t>or</w:t>
      </w:r>
      <w:r w:rsidRPr="00FE50A6">
        <w:rPr>
          <w:rFonts w:eastAsia="Cambria" w:cs="System Font Regular"/>
          <w:szCs w:val="20"/>
          <w:lang w:val="en-US"/>
        </w:rPr>
        <w:t xml:space="preserve"> indirect discrimination should be taken into consideration</w:t>
      </w:r>
      <w:r w:rsidR="00130785" w:rsidRPr="00FE50A6">
        <w:rPr>
          <w:rFonts w:eastAsia="Cambria" w:cs="System Font Regular"/>
          <w:szCs w:val="20"/>
          <w:lang w:val="en-US"/>
        </w:rPr>
        <w:t xml:space="preserve">. </w:t>
      </w:r>
    </w:p>
    <w:p w14:paraId="55E147D8" w14:textId="77777777" w:rsidR="00130785" w:rsidRPr="00FE50A6" w:rsidRDefault="00130785" w:rsidP="00130785">
      <w:pPr>
        <w:tabs>
          <w:tab w:val="clear" w:pos="4419"/>
          <w:tab w:val="clear" w:pos="8838"/>
        </w:tabs>
        <w:jc w:val="both"/>
        <w:rPr>
          <w:rFonts w:eastAsia="Cambria" w:cs="System Font Regular"/>
          <w:szCs w:val="20"/>
          <w:lang w:val="en-US"/>
        </w:rPr>
      </w:pPr>
    </w:p>
    <w:p w14:paraId="3E8E1152" w14:textId="77777777" w:rsidR="00130785" w:rsidRPr="00FE50A6" w:rsidRDefault="007E0E3C" w:rsidP="008B0BCC">
      <w:pPr>
        <w:numPr>
          <w:ilvl w:val="0"/>
          <w:numId w:val="26"/>
        </w:numPr>
        <w:tabs>
          <w:tab w:val="clear" w:pos="4419"/>
          <w:tab w:val="clear" w:pos="8838"/>
        </w:tabs>
        <w:jc w:val="both"/>
        <w:rPr>
          <w:rFonts w:eastAsia="Cambria" w:cs="System Font Regular"/>
          <w:szCs w:val="20"/>
          <w:lang w:val="en-US"/>
        </w:rPr>
      </w:pPr>
      <w:r w:rsidRPr="00FE50A6">
        <w:rPr>
          <w:rFonts w:eastAsia="Cambria" w:cs="System Font Regular"/>
          <w:szCs w:val="20"/>
          <w:lang w:val="en-US"/>
        </w:rPr>
        <w:t>In this regard</w:t>
      </w:r>
      <w:r w:rsidR="00130785" w:rsidRPr="00FE50A6">
        <w:rPr>
          <w:rFonts w:eastAsia="Cambria" w:cs="System Font Regular"/>
          <w:szCs w:val="20"/>
          <w:lang w:val="en-US"/>
        </w:rPr>
        <w:t xml:space="preserve">, </w:t>
      </w:r>
      <w:r w:rsidRPr="00FE50A6">
        <w:rPr>
          <w:rFonts w:eastAsia="Cambria" w:cs="System Font Regular"/>
          <w:szCs w:val="20"/>
          <w:lang w:val="en-US"/>
        </w:rPr>
        <w:t xml:space="preserve">in the chapter on reparations of the judgment </w:t>
      </w:r>
      <w:r w:rsidR="006C3699" w:rsidRPr="00FE50A6">
        <w:rPr>
          <w:rFonts w:eastAsia="Cambria" w:cs="System Font Regular"/>
          <w:szCs w:val="20"/>
          <w:lang w:val="en-US"/>
        </w:rPr>
        <w:t xml:space="preserve">in the </w:t>
      </w:r>
      <w:r w:rsidRPr="00FE50A6">
        <w:rPr>
          <w:rFonts w:eastAsia="Cambria" w:cs="System Font Regular"/>
          <w:szCs w:val="20"/>
          <w:lang w:val="en-US"/>
        </w:rPr>
        <w:t xml:space="preserve">2009 </w:t>
      </w:r>
      <w:r w:rsidR="006C3699" w:rsidRPr="00FE50A6">
        <w:rPr>
          <w:rFonts w:eastAsia="Cambria" w:cs="System Font Regular"/>
          <w:szCs w:val="20"/>
          <w:lang w:val="en-US"/>
        </w:rPr>
        <w:t>case of</w:t>
      </w:r>
      <w:r w:rsidR="00130785" w:rsidRPr="00FE50A6">
        <w:rPr>
          <w:rFonts w:eastAsia="Cambria" w:cs="System Font Regular"/>
          <w:szCs w:val="20"/>
          <w:lang w:val="en-US"/>
        </w:rPr>
        <w:t xml:space="preserve"> </w:t>
      </w:r>
      <w:r w:rsidR="00130785" w:rsidRPr="00FE50A6">
        <w:rPr>
          <w:rFonts w:eastAsia="Cambria" w:cs="System Font Regular"/>
          <w:i/>
          <w:szCs w:val="20"/>
          <w:lang w:val="en-US"/>
        </w:rPr>
        <w:t>Gonzále</w:t>
      </w:r>
      <w:r w:rsidR="00082F82" w:rsidRPr="00FE50A6">
        <w:rPr>
          <w:rFonts w:eastAsia="Cambria" w:cs="System Font Regular"/>
          <w:i/>
          <w:szCs w:val="20"/>
          <w:lang w:val="en-US"/>
        </w:rPr>
        <w:t>z</w:t>
      </w:r>
      <w:r w:rsidR="00030C17" w:rsidRPr="00FE50A6">
        <w:rPr>
          <w:rFonts w:eastAsia="Cambria" w:cs="System Font Regular"/>
          <w:i/>
          <w:szCs w:val="20"/>
          <w:lang w:val="en-US"/>
        </w:rPr>
        <w:t xml:space="preserve"> </w:t>
      </w:r>
      <w:r w:rsidRPr="00FE50A6">
        <w:rPr>
          <w:rFonts w:eastAsia="Cambria" w:cs="System Font Regular"/>
          <w:i/>
          <w:szCs w:val="20"/>
          <w:lang w:val="en-US"/>
        </w:rPr>
        <w:t>et al.</w:t>
      </w:r>
      <w:r w:rsidR="00130785" w:rsidRPr="00FE50A6">
        <w:rPr>
          <w:rFonts w:eastAsia="Cambria" w:cs="System Font Regular"/>
          <w:i/>
          <w:szCs w:val="20"/>
          <w:lang w:val="en-US"/>
        </w:rPr>
        <w:t xml:space="preserve"> (</w:t>
      </w:r>
      <w:r w:rsidR="009C48A4" w:rsidRPr="00FE50A6">
        <w:rPr>
          <w:rFonts w:eastAsia="Cambria" w:cs="System Font Regular"/>
          <w:i/>
          <w:szCs w:val="20"/>
          <w:lang w:val="en-US"/>
        </w:rPr>
        <w:t>“</w:t>
      </w:r>
      <w:r w:rsidRPr="00FE50A6">
        <w:rPr>
          <w:rFonts w:eastAsia="Cambria" w:cs="System Font Regular"/>
          <w:i/>
          <w:szCs w:val="20"/>
          <w:lang w:val="en-US"/>
        </w:rPr>
        <w:t>Cotton Field</w:t>
      </w:r>
      <w:r w:rsidR="009C48A4" w:rsidRPr="00FE50A6">
        <w:rPr>
          <w:rFonts w:eastAsia="Cambria" w:cs="System Font Regular"/>
          <w:i/>
          <w:szCs w:val="20"/>
          <w:lang w:val="en-US"/>
        </w:rPr>
        <w:t>”</w:t>
      </w:r>
      <w:r w:rsidR="00130785" w:rsidRPr="00FE50A6">
        <w:rPr>
          <w:rFonts w:eastAsia="Cambria" w:cs="System Font Regular"/>
          <w:i/>
          <w:szCs w:val="20"/>
          <w:lang w:val="en-US"/>
        </w:rPr>
        <w:t xml:space="preserve">) </w:t>
      </w:r>
      <w:r w:rsidR="000228D0" w:rsidRPr="00FE50A6">
        <w:rPr>
          <w:rFonts w:eastAsia="Cambria" w:cs="System Font Regular"/>
          <w:i/>
          <w:szCs w:val="20"/>
          <w:lang w:val="en-US"/>
        </w:rPr>
        <w:t>v.</w:t>
      </w:r>
      <w:r w:rsidR="00130785" w:rsidRPr="00FE50A6">
        <w:rPr>
          <w:rFonts w:eastAsia="Cambria" w:cs="System Font Regular"/>
          <w:i/>
          <w:szCs w:val="20"/>
          <w:lang w:val="en-US"/>
        </w:rPr>
        <w:t xml:space="preserve"> M</w:t>
      </w:r>
      <w:r w:rsidR="0069720A" w:rsidRPr="00FE50A6">
        <w:rPr>
          <w:rFonts w:eastAsia="Cambria" w:cs="System Font Regular"/>
          <w:i/>
          <w:szCs w:val="20"/>
          <w:lang w:val="en-US"/>
        </w:rPr>
        <w:t>e</w:t>
      </w:r>
      <w:r w:rsidR="00130785" w:rsidRPr="00FE50A6">
        <w:rPr>
          <w:rFonts w:eastAsia="Cambria" w:cs="System Font Regular"/>
          <w:i/>
          <w:szCs w:val="20"/>
          <w:lang w:val="en-US"/>
        </w:rPr>
        <w:t>xico</w:t>
      </w:r>
      <w:r w:rsidR="00130785" w:rsidRPr="00FE50A6">
        <w:rPr>
          <w:rFonts w:eastAsia="Cambria" w:cs="System Font Regular"/>
          <w:szCs w:val="20"/>
          <w:lang w:val="en-US"/>
        </w:rPr>
        <w:t xml:space="preserve">, </w:t>
      </w:r>
      <w:r w:rsidRPr="00FE50A6">
        <w:rPr>
          <w:rFonts w:eastAsia="Cambria" w:cs="System Font Regular"/>
          <w:szCs w:val="20"/>
          <w:lang w:val="en-US"/>
        </w:rPr>
        <w:t xml:space="preserve">referring to </w:t>
      </w:r>
      <w:r w:rsidR="00C82C2B" w:rsidRPr="00FE50A6">
        <w:rPr>
          <w:rFonts w:eastAsia="Cambria" w:cs="System Font Regular"/>
          <w:szCs w:val="20"/>
          <w:lang w:val="en-US"/>
        </w:rPr>
        <w:t>structural discrimination</w:t>
      </w:r>
      <w:r w:rsidR="00130785" w:rsidRPr="00FE50A6">
        <w:rPr>
          <w:rFonts w:eastAsia="Cambria" w:cs="System Font Regular"/>
          <w:szCs w:val="20"/>
          <w:lang w:val="en-US"/>
        </w:rPr>
        <w:t xml:space="preserve">, </w:t>
      </w:r>
      <w:r w:rsidR="002071B1" w:rsidRPr="00FE50A6">
        <w:rPr>
          <w:rFonts w:eastAsia="Cambria" w:cs="System Font Regular"/>
          <w:szCs w:val="20"/>
          <w:lang w:val="en-US"/>
        </w:rPr>
        <w:t>the Court</w:t>
      </w:r>
      <w:r w:rsidR="00130785" w:rsidRPr="00FE50A6">
        <w:rPr>
          <w:rFonts w:eastAsia="Cambria" w:cs="System Font Regular"/>
          <w:szCs w:val="20"/>
          <w:lang w:val="en-US"/>
        </w:rPr>
        <w:t xml:space="preserve"> </w:t>
      </w:r>
      <w:r w:rsidRPr="00FE50A6">
        <w:rPr>
          <w:rFonts w:eastAsia="Cambria" w:cs="System Font Regular"/>
          <w:szCs w:val="20"/>
          <w:lang w:val="en-US"/>
        </w:rPr>
        <w:t>indicated that</w:t>
      </w:r>
      <w:r w:rsidR="00130785" w:rsidRPr="00FE50A6">
        <w:rPr>
          <w:rFonts w:eastAsia="Cambria" w:cs="System Font Regular"/>
          <w:szCs w:val="20"/>
          <w:lang w:val="en-US"/>
        </w:rPr>
        <w:t xml:space="preserve">: </w:t>
      </w:r>
    </w:p>
    <w:p w14:paraId="6B3B472F" w14:textId="77777777" w:rsidR="00130785" w:rsidRPr="00FE50A6" w:rsidRDefault="00130785" w:rsidP="00130785">
      <w:pPr>
        <w:tabs>
          <w:tab w:val="clear" w:pos="4419"/>
          <w:tab w:val="clear" w:pos="8838"/>
        </w:tabs>
        <w:spacing w:before="100" w:beforeAutospacing="1" w:after="100" w:afterAutospacing="1"/>
        <w:contextualSpacing/>
        <w:jc w:val="both"/>
        <w:rPr>
          <w:rFonts w:eastAsia="MS Mincho" w:cs="System Font Regular"/>
          <w:sz w:val="24"/>
          <w:szCs w:val="20"/>
          <w:lang w:val="en-US" w:eastAsia="es-ES"/>
        </w:rPr>
      </w:pPr>
    </w:p>
    <w:p w14:paraId="5C26D274" w14:textId="77777777" w:rsidR="00130785" w:rsidRPr="00FE50A6" w:rsidRDefault="00082F82" w:rsidP="00082F82">
      <w:pPr>
        <w:tabs>
          <w:tab w:val="clear" w:pos="4419"/>
          <w:tab w:val="clear" w:pos="8838"/>
        </w:tabs>
        <w:spacing w:after="80"/>
        <w:ind w:left="708" w:right="558"/>
        <w:contextualSpacing/>
        <w:jc w:val="both"/>
        <w:rPr>
          <w:sz w:val="16"/>
          <w:szCs w:val="16"/>
          <w:lang w:val="en-US"/>
        </w:rPr>
      </w:pPr>
      <w:r w:rsidRPr="00FE50A6">
        <w:rPr>
          <w:rFonts w:eastAsia="Cambria" w:cs="Times New Roman"/>
          <w:sz w:val="16"/>
          <w:szCs w:val="16"/>
          <w:lang w:val="en-US"/>
        </w:rPr>
        <w:t>“</w:t>
      </w:r>
      <w:r w:rsidR="00130785" w:rsidRPr="00FE50A6">
        <w:rPr>
          <w:rFonts w:eastAsia="Cambria" w:cs="Times New Roman"/>
          <w:sz w:val="16"/>
          <w:szCs w:val="16"/>
          <w:lang w:val="en-US"/>
        </w:rPr>
        <w:t>450 […].</w:t>
      </w:r>
      <w:r w:rsidR="00130785" w:rsidRPr="00FE50A6">
        <w:rPr>
          <w:rFonts w:eastAsia="Cambria" w:cs="Times New Roman"/>
          <w:i/>
          <w:sz w:val="16"/>
          <w:szCs w:val="16"/>
          <w:lang w:val="en-US"/>
        </w:rPr>
        <w:t xml:space="preserve"> </w:t>
      </w:r>
      <w:r w:rsidR="00EF4337" w:rsidRPr="00FE50A6">
        <w:rPr>
          <w:sz w:val="16"/>
          <w:szCs w:val="16"/>
          <w:lang w:val="en-US"/>
        </w:rPr>
        <w:t xml:space="preserve">However, bearing in mind </w:t>
      </w:r>
      <w:r w:rsidR="00EF4337" w:rsidRPr="00FE50A6">
        <w:rPr>
          <w:sz w:val="16"/>
          <w:szCs w:val="16"/>
          <w:u w:val="single"/>
          <w:lang w:val="en-US"/>
        </w:rPr>
        <w:t>the context of structural discrimination</w:t>
      </w:r>
      <w:r w:rsidR="00EF4337" w:rsidRPr="00FE50A6">
        <w:rPr>
          <w:sz w:val="16"/>
          <w:szCs w:val="16"/>
          <w:lang w:val="en-US"/>
        </w:rPr>
        <w:t xml:space="preserve"> in which the facts of this case occurred, which was acknowledged by the State</w:t>
      </w:r>
      <w:r w:rsidR="007E0E3C" w:rsidRPr="00FE50A6">
        <w:rPr>
          <w:sz w:val="16"/>
          <w:szCs w:val="16"/>
          <w:lang w:val="en-US"/>
        </w:rPr>
        <w:t xml:space="preserve">, </w:t>
      </w:r>
      <w:r w:rsidR="00EF4337" w:rsidRPr="00FE50A6">
        <w:rPr>
          <w:sz w:val="16"/>
          <w:szCs w:val="16"/>
          <w:u w:val="single"/>
          <w:lang w:val="en-US"/>
        </w:rPr>
        <w:t>the reparations must be designed to change this situation</w:t>
      </w:r>
      <w:r w:rsidR="00EF4337" w:rsidRPr="00FE50A6">
        <w:rPr>
          <w:sz w:val="16"/>
          <w:szCs w:val="16"/>
          <w:lang w:val="en-US"/>
        </w:rPr>
        <w:t xml:space="preserve">, so that their effect is not only of restitution, but also of rectification. </w:t>
      </w:r>
      <w:r w:rsidR="00EF4337" w:rsidRPr="00FE50A6">
        <w:rPr>
          <w:sz w:val="16"/>
          <w:szCs w:val="16"/>
          <w:u w:val="single"/>
          <w:lang w:val="en-US"/>
        </w:rPr>
        <w:t xml:space="preserve">In this regard, re-establishment of the same structural context of violence and discrimination is not </w:t>
      </w:r>
      <w:r w:rsidR="007E0E3C" w:rsidRPr="00FE50A6">
        <w:rPr>
          <w:sz w:val="16"/>
          <w:szCs w:val="16"/>
          <w:u w:val="single"/>
          <w:lang w:val="en-US"/>
        </w:rPr>
        <w:t>ac</w:t>
      </w:r>
      <w:r w:rsidRPr="00FE50A6">
        <w:rPr>
          <w:sz w:val="16"/>
          <w:szCs w:val="16"/>
          <w:u w:val="single"/>
          <w:lang w:val="en-US"/>
        </w:rPr>
        <w:t>c</w:t>
      </w:r>
      <w:r w:rsidR="007E0E3C" w:rsidRPr="00FE50A6">
        <w:rPr>
          <w:sz w:val="16"/>
          <w:szCs w:val="16"/>
          <w:u w:val="single"/>
          <w:lang w:val="en-US"/>
        </w:rPr>
        <w:t>eptable</w:t>
      </w:r>
      <w:r w:rsidR="007E0E3C" w:rsidRPr="00FE50A6">
        <w:rPr>
          <w:sz w:val="16"/>
          <w:szCs w:val="16"/>
          <w:lang w:val="en-US"/>
        </w:rPr>
        <w:t>.</w:t>
      </w:r>
      <w:r w:rsidR="00130785" w:rsidRPr="00FE50A6">
        <w:rPr>
          <w:rFonts w:eastAsia="Cambria" w:cs="Times New Roman"/>
          <w:sz w:val="16"/>
          <w:szCs w:val="16"/>
          <w:lang w:val="en-US"/>
        </w:rPr>
        <w:t xml:space="preserve"> […]</w:t>
      </w:r>
      <w:r w:rsidRPr="00FE50A6">
        <w:rPr>
          <w:rFonts w:eastAsia="Cambria" w:cs="Times New Roman"/>
          <w:sz w:val="16"/>
          <w:szCs w:val="16"/>
          <w:lang w:val="en-US"/>
        </w:rPr>
        <w:t>”</w:t>
      </w:r>
      <w:r w:rsidR="00130785" w:rsidRPr="00FE50A6">
        <w:rPr>
          <w:rFonts w:eastAsia="Cambria" w:cs="Times New Roman"/>
          <w:sz w:val="16"/>
          <w:szCs w:val="20"/>
          <w:vertAlign w:val="superscript"/>
          <w:lang w:val="en-US"/>
        </w:rPr>
        <w:footnoteReference w:id="635"/>
      </w:r>
      <w:r w:rsidR="00130785" w:rsidRPr="00FE50A6">
        <w:rPr>
          <w:rFonts w:eastAsia="Cambria" w:cs="Times New Roman"/>
          <w:i/>
          <w:sz w:val="16"/>
          <w:szCs w:val="16"/>
          <w:lang w:val="en-US"/>
        </w:rPr>
        <w:t xml:space="preserve"> </w:t>
      </w:r>
      <w:r w:rsidR="00130785" w:rsidRPr="00FE50A6">
        <w:rPr>
          <w:rFonts w:eastAsia="Cambria" w:cs="Times New Roman"/>
          <w:sz w:val="16"/>
          <w:szCs w:val="16"/>
          <w:lang w:val="en-US"/>
        </w:rPr>
        <w:t>(</w:t>
      </w:r>
      <w:r w:rsidRPr="00FE50A6">
        <w:rPr>
          <w:rFonts w:eastAsia="Cambria" w:cs="Times New Roman"/>
          <w:sz w:val="16"/>
          <w:szCs w:val="16"/>
          <w:lang w:val="en-US"/>
        </w:rPr>
        <w:t>u</w:t>
      </w:r>
      <w:r w:rsidR="007E0E3C" w:rsidRPr="00FE50A6">
        <w:rPr>
          <w:rFonts w:eastAsia="Cambria" w:cs="Times New Roman"/>
          <w:sz w:val="16"/>
          <w:szCs w:val="16"/>
          <w:lang w:val="en-US"/>
        </w:rPr>
        <w:t>nderlining added</w:t>
      </w:r>
      <w:r w:rsidR="00130785" w:rsidRPr="00FE50A6">
        <w:rPr>
          <w:rFonts w:eastAsia="Cambria" w:cs="Times New Roman"/>
          <w:sz w:val="16"/>
          <w:szCs w:val="16"/>
          <w:lang w:val="en-US"/>
        </w:rPr>
        <w:t>)</w:t>
      </w:r>
      <w:r w:rsidRPr="00FE50A6">
        <w:rPr>
          <w:rFonts w:eastAsia="Cambria" w:cs="Times New Roman"/>
          <w:sz w:val="16"/>
          <w:szCs w:val="16"/>
          <w:lang w:val="en-US"/>
        </w:rPr>
        <w:t>.</w:t>
      </w:r>
    </w:p>
    <w:p w14:paraId="58649A0F" w14:textId="77777777" w:rsidR="00130785" w:rsidRPr="00FE50A6" w:rsidRDefault="00130785" w:rsidP="00130785">
      <w:pPr>
        <w:tabs>
          <w:tab w:val="clear" w:pos="4419"/>
          <w:tab w:val="clear" w:pos="8838"/>
        </w:tabs>
        <w:spacing w:before="100" w:beforeAutospacing="1" w:after="100" w:afterAutospacing="1"/>
        <w:ind w:left="708"/>
        <w:contextualSpacing/>
        <w:jc w:val="both"/>
        <w:rPr>
          <w:rFonts w:eastAsia="Cambria" w:cs="Times New Roman"/>
          <w:i/>
          <w:sz w:val="16"/>
          <w:szCs w:val="16"/>
          <w:lang w:val="en-US"/>
        </w:rPr>
      </w:pPr>
    </w:p>
    <w:p w14:paraId="26771D33" w14:textId="77777777" w:rsidR="00130785" w:rsidRPr="00FE50A6" w:rsidRDefault="006C3699" w:rsidP="008B0BCC">
      <w:pPr>
        <w:numPr>
          <w:ilvl w:val="0"/>
          <w:numId w:val="26"/>
        </w:numPr>
        <w:tabs>
          <w:tab w:val="clear" w:pos="4419"/>
          <w:tab w:val="clear" w:pos="8838"/>
        </w:tabs>
        <w:spacing w:before="100" w:beforeAutospacing="1" w:after="100" w:afterAutospacing="1"/>
        <w:contextualSpacing/>
        <w:jc w:val="both"/>
        <w:rPr>
          <w:rFonts w:eastAsia="Cambria" w:cs="Times New Roman"/>
          <w:i/>
          <w:sz w:val="16"/>
          <w:szCs w:val="16"/>
          <w:lang w:val="en-US"/>
        </w:rPr>
      </w:pPr>
      <w:r w:rsidRPr="00FE50A6">
        <w:rPr>
          <w:rFonts w:eastAsia="Cambria" w:cs="Times New Roman"/>
          <w:szCs w:val="20"/>
          <w:lang w:val="en-US"/>
        </w:rPr>
        <w:t xml:space="preserve">In the </w:t>
      </w:r>
      <w:r w:rsidR="007E0E3C" w:rsidRPr="00FE50A6">
        <w:rPr>
          <w:rFonts w:eastAsia="Cambria" w:cs="Times New Roman"/>
          <w:szCs w:val="20"/>
          <w:lang w:val="en-US"/>
        </w:rPr>
        <w:t xml:space="preserve">2010 </w:t>
      </w:r>
      <w:r w:rsidRPr="00FE50A6">
        <w:rPr>
          <w:rFonts w:eastAsia="Cambria" w:cs="Times New Roman"/>
          <w:szCs w:val="20"/>
          <w:lang w:val="en-US"/>
        </w:rPr>
        <w:t>case of</w:t>
      </w:r>
      <w:r w:rsidR="00130785" w:rsidRPr="00FE50A6">
        <w:rPr>
          <w:rFonts w:eastAsia="Cambria" w:cs="Times New Roman"/>
          <w:szCs w:val="20"/>
          <w:lang w:val="en-US"/>
        </w:rPr>
        <w:t xml:space="preserve"> </w:t>
      </w:r>
      <w:r w:rsidR="007E0E3C" w:rsidRPr="00FE50A6">
        <w:rPr>
          <w:rFonts w:eastAsia="Cambria" w:cs="Times New Roman"/>
          <w:szCs w:val="20"/>
          <w:lang w:val="en-US"/>
        </w:rPr>
        <w:t>the</w:t>
      </w:r>
      <w:r w:rsidR="00130785" w:rsidRPr="00FE50A6">
        <w:rPr>
          <w:rFonts w:eastAsia="Cambria" w:cs="Times New Roman"/>
          <w:szCs w:val="20"/>
          <w:lang w:val="en-US"/>
        </w:rPr>
        <w:t xml:space="preserve"> </w:t>
      </w:r>
      <w:r w:rsidR="00130785" w:rsidRPr="00FE50A6">
        <w:rPr>
          <w:rFonts w:eastAsia="Cambria" w:cs="Times New Roman"/>
          <w:i/>
          <w:szCs w:val="20"/>
          <w:lang w:val="en-US"/>
        </w:rPr>
        <w:t>Xákmok Kásek</w:t>
      </w:r>
      <w:r w:rsidR="007E0E3C" w:rsidRPr="00FE50A6">
        <w:rPr>
          <w:rFonts w:eastAsia="Cambria" w:cs="Times New Roman"/>
          <w:i/>
          <w:szCs w:val="20"/>
          <w:lang w:val="en-US"/>
        </w:rPr>
        <w:t xml:space="preserve"> Indigenous Community</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Paraguay</w:t>
      </w:r>
      <w:r w:rsidR="00130785" w:rsidRPr="00FE50A6">
        <w:rPr>
          <w:rFonts w:eastAsia="Cambria" w:cs="Times New Roman"/>
          <w:szCs w:val="20"/>
          <w:lang w:val="en-US"/>
        </w:rPr>
        <w:t>,</w:t>
      </w:r>
      <w:r w:rsidR="007E0E3C" w:rsidRPr="00FE50A6">
        <w:rPr>
          <w:rFonts w:eastAsia="Cambria" w:cs="Times New Roman"/>
          <w:szCs w:val="20"/>
          <w:lang w:val="en-US"/>
        </w:rPr>
        <w:t xml:space="preserve"> referring to</w:t>
      </w:r>
      <w:r w:rsidR="00130785" w:rsidRPr="00FE50A6">
        <w:rPr>
          <w:rFonts w:eastAsia="Cambria" w:cs="Times New Roman"/>
          <w:szCs w:val="20"/>
          <w:lang w:val="en-US"/>
        </w:rPr>
        <w:t xml:space="preserve"> </w:t>
      </w:r>
      <w:r w:rsidR="00130785" w:rsidRPr="00FE50A6">
        <w:rPr>
          <w:rFonts w:eastAsia="Cambria" w:cs="Times New Roman"/>
          <w:i/>
          <w:szCs w:val="20"/>
          <w:lang w:val="en-US"/>
        </w:rPr>
        <w:t>de</w:t>
      </w:r>
      <w:r w:rsidR="00130785" w:rsidRPr="00FE50A6">
        <w:rPr>
          <w:rFonts w:eastAsia="Cambria" w:cs="Times New Roman"/>
          <w:szCs w:val="20"/>
          <w:lang w:val="en-US"/>
        </w:rPr>
        <w:t xml:space="preserve"> </w:t>
      </w:r>
      <w:r w:rsidR="00130785" w:rsidRPr="00FE50A6">
        <w:rPr>
          <w:rFonts w:eastAsia="Cambria" w:cs="Times New Roman"/>
          <w:i/>
          <w:szCs w:val="20"/>
          <w:lang w:val="en-US"/>
        </w:rPr>
        <w:t xml:space="preserve">facto </w:t>
      </w:r>
      <w:r w:rsidR="007E0E3C" w:rsidRPr="00FE50A6">
        <w:rPr>
          <w:rFonts w:eastAsia="Cambria" w:cs="Times New Roman"/>
          <w:szCs w:val="20"/>
          <w:lang w:val="en-US"/>
        </w:rPr>
        <w:t>discrimination, it considered that:</w:t>
      </w:r>
    </w:p>
    <w:p w14:paraId="42A7E8A5" w14:textId="77777777" w:rsidR="00130785" w:rsidRPr="00FE50A6" w:rsidRDefault="00130785" w:rsidP="00130785">
      <w:pPr>
        <w:tabs>
          <w:tab w:val="clear" w:pos="4419"/>
          <w:tab w:val="clear" w:pos="8838"/>
        </w:tabs>
        <w:spacing w:before="100" w:beforeAutospacing="1" w:after="100" w:afterAutospacing="1"/>
        <w:contextualSpacing/>
        <w:jc w:val="both"/>
        <w:rPr>
          <w:rFonts w:eastAsia="Cambria" w:cs="Times New Roman"/>
          <w:i/>
          <w:sz w:val="16"/>
          <w:szCs w:val="16"/>
          <w:lang w:val="en-US"/>
        </w:rPr>
      </w:pPr>
    </w:p>
    <w:p w14:paraId="3E94E7D8" w14:textId="77777777" w:rsidR="002627B0" w:rsidRPr="00FE50A6" w:rsidRDefault="00082F82" w:rsidP="00082F82">
      <w:pPr>
        <w:tabs>
          <w:tab w:val="clear" w:pos="4419"/>
          <w:tab w:val="clear" w:pos="8838"/>
        </w:tabs>
        <w:spacing w:before="100" w:beforeAutospacing="1" w:after="100" w:afterAutospacing="1"/>
        <w:ind w:left="708" w:right="558"/>
        <w:contextualSpacing/>
        <w:jc w:val="both"/>
        <w:rPr>
          <w:rFonts w:cs="Arial"/>
          <w:sz w:val="16"/>
          <w:szCs w:val="16"/>
          <w:u w:val="single"/>
          <w:lang w:val="en-US"/>
        </w:rPr>
      </w:pPr>
      <w:r w:rsidRPr="00FE50A6">
        <w:rPr>
          <w:rFonts w:eastAsia="Cambria" w:cs="Times New Roman"/>
          <w:sz w:val="16"/>
          <w:szCs w:val="16"/>
          <w:lang w:val="en-US"/>
        </w:rPr>
        <w:t>“</w:t>
      </w:r>
      <w:r w:rsidR="00130785" w:rsidRPr="00FE50A6">
        <w:rPr>
          <w:rFonts w:eastAsia="Cambria" w:cs="Times New Roman"/>
          <w:sz w:val="16"/>
          <w:szCs w:val="16"/>
          <w:lang w:val="en-US"/>
        </w:rPr>
        <w:t>273.</w:t>
      </w:r>
      <w:r w:rsidR="00130785" w:rsidRPr="00FE50A6">
        <w:rPr>
          <w:rFonts w:eastAsia="Cambria" w:cs="Times New Roman"/>
          <w:i/>
          <w:sz w:val="16"/>
          <w:szCs w:val="16"/>
          <w:lang w:val="en-US"/>
        </w:rPr>
        <w:t xml:space="preserve"> </w:t>
      </w:r>
      <w:r w:rsidR="002627B0" w:rsidRPr="00FE50A6">
        <w:rPr>
          <w:rFonts w:cs="Arial"/>
          <w:sz w:val="16"/>
          <w:szCs w:val="16"/>
          <w:lang w:val="en-US"/>
        </w:rPr>
        <w:t xml:space="preserve">In this case it has been established that the situation of extreme and special vulnerability of the members of the Community is due, </w:t>
      </w:r>
      <w:r w:rsidR="002627B0" w:rsidRPr="00FE50A6">
        <w:rPr>
          <w:rFonts w:cs="Arial"/>
          <w:i/>
          <w:sz w:val="16"/>
          <w:szCs w:val="16"/>
          <w:lang w:val="en-US"/>
        </w:rPr>
        <w:t>inter alia,</w:t>
      </w:r>
      <w:r w:rsidR="002627B0" w:rsidRPr="00FE50A6">
        <w:rPr>
          <w:rFonts w:cs="Arial"/>
          <w:sz w:val="16"/>
          <w:szCs w:val="16"/>
          <w:lang w:val="en-US"/>
        </w:rPr>
        <w:t xml:space="preserve"> </w:t>
      </w:r>
      <w:r w:rsidR="002627B0" w:rsidRPr="00FE50A6">
        <w:rPr>
          <w:rFonts w:cs="Arial"/>
          <w:sz w:val="16"/>
          <w:szCs w:val="16"/>
          <w:u w:val="single"/>
          <w:lang w:val="en-US"/>
        </w:rPr>
        <w:t>to the lack of adequate and effective remedies that protect the rights of the indigenous peoples in practice and not just formally; [and] the limited presence of the State institutions that are obliged to provide supplies and services to the members of the Community, particularly food, water, health care and education</w:t>
      </w:r>
      <w:r w:rsidR="002627B0" w:rsidRPr="00FE50A6">
        <w:rPr>
          <w:rFonts w:cs="Arial"/>
          <w:sz w:val="16"/>
          <w:szCs w:val="16"/>
          <w:lang w:val="en-US"/>
        </w:rPr>
        <w:t xml:space="preserve"> […],</w:t>
      </w:r>
    </w:p>
    <w:p w14:paraId="718F2481" w14:textId="77777777" w:rsidR="00130785" w:rsidRPr="00FE50A6" w:rsidRDefault="00130785" w:rsidP="00130785">
      <w:pPr>
        <w:tabs>
          <w:tab w:val="clear" w:pos="4419"/>
          <w:tab w:val="clear" w:pos="8838"/>
        </w:tabs>
        <w:spacing w:before="100" w:beforeAutospacing="1" w:after="100" w:afterAutospacing="1"/>
        <w:contextualSpacing/>
        <w:jc w:val="both"/>
        <w:rPr>
          <w:rFonts w:eastAsia="Cambria" w:cs="Times New Roman"/>
          <w:sz w:val="16"/>
          <w:szCs w:val="16"/>
          <w:lang w:val="en-US"/>
        </w:rPr>
      </w:pPr>
    </w:p>
    <w:p w14:paraId="1B785D4E" w14:textId="77777777" w:rsidR="00130785" w:rsidRPr="00FE50A6" w:rsidRDefault="00130785" w:rsidP="008F7FBE">
      <w:pPr>
        <w:tabs>
          <w:tab w:val="clear" w:pos="4419"/>
          <w:tab w:val="clear" w:pos="8838"/>
        </w:tabs>
        <w:ind w:left="708" w:right="558"/>
        <w:contextualSpacing/>
        <w:jc w:val="both"/>
        <w:rPr>
          <w:rFonts w:cs="Arial"/>
          <w:sz w:val="16"/>
          <w:szCs w:val="16"/>
          <w:lang w:val="en-US"/>
        </w:rPr>
      </w:pPr>
      <w:r w:rsidRPr="00FE50A6">
        <w:rPr>
          <w:rFonts w:eastAsia="Cambria" w:cs="Times New Roman"/>
          <w:sz w:val="16"/>
          <w:szCs w:val="16"/>
          <w:lang w:val="en-US"/>
        </w:rPr>
        <w:t>274. […]</w:t>
      </w:r>
      <w:r w:rsidR="002627B0" w:rsidRPr="00FE50A6">
        <w:rPr>
          <w:rFonts w:eastAsia="Cambria" w:cs="Times New Roman"/>
          <w:sz w:val="16"/>
          <w:szCs w:val="16"/>
          <w:lang w:val="en-US"/>
        </w:rPr>
        <w:t xml:space="preserve"> </w:t>
      </w:r>
      <w:r w:rsidR="002627B0" w:rsidRPr="00FE50A6">
        <w:rPr>
          <w:rFonts w:cs="Arial"/>
          <w:sz w:val="16"/>
          <w:szCs w:val="16"/>
          <w:u w:val="single"/>
          <w:lang w:val="en-US"/>
        </w:rPr>
        <w:t xml:space="preserve">reveals </w:t>
      </w:r>
      <w:r w:rsidR="002627B0" w:rsidRPr="00FE50A6">
        <w:rPr>
          <w:rFonts w:cs="Arial"/>
          <w:i/>
          <w:sz w:val="16"/>
          <w:szCs w:val="16"/>
          <w:u w:val="single"/>
          <w:lang w:val="en-US"/>
        </w:rPr>
        <w:t>de facto</w:t>
      </w:r>
      <w:r w:rsidR="002627B0" w:rsidRPr="00FE50A6">
        <w:rPr>
          <w:rFonts w:cs="Arial"/>
          <w:sz w:val="16"/>
          <w:szCs w:val="16"/>
          <w:u w:val="single"/>
          <w:lang w:val="en-US"/>
        </w:rPr>
        <w:t xml:space="preserve"> discrimination against the members of the Xákmok Kásek Community, which has been marginalized in the enjoyment of the rights</w:t>
      </w:r>
      <w:r w:rsidR="002627B0" w:rsidRPr="00FE50A6">
        <w:rPr>
          <w:rFonts w:cs="Arial"/>
          <w:sz w:val="16"/>
          <w:szCs w:val="16"/>
          <w:lang w:val="en-US"/>
        </w:rPr>
        <w:t xml:space="preserve"> that the Court has declared violated in this judgment. </w:t>
      </w:r>
      <w:r w:rsidR="002627B0" w:rsidRPr="00FE50A6">
        <w:rPr>
          <w:rFonts w:cs="Arial"/>
          <w:sz w:val="16"/>
          <w:szCs w:val="16"/>
          <w:u w:val="single"/>
          <w:lang w:val="en-US"/>
        </w:rPr>
        <w:t>In addition, it is evident that the State has not taken the necessary positive measures to reverse that exclusion</w:t>
      </w:r>
      <w:r w:rsidR="00082F82" w:rsidRPr="00FE50A6">
        <w:rPr>
          <w:rFonts w:cs="Arial"/>
          <w:sz w:val="16"/>
          <w:szCs w:val="16"/>
          <w:u w:val="single"/>
          <w:lang w:val="en-US"/>
        </w:rPr>
        <w:t>”</w:t>
      </w:r>
      <w:r w:rsidRPr="00FE50A6">
        <w:rPr>
          <w:rFonts w:eastAsia="Cambria" w:cs="Times New Roman"/>
          <w:i/>
          <w:sz w:val="16"/>
          <w:szCs w:val="20"/>
          <w:vertAlign w:val="superscript"/>
          <w:lang w:val="en-US"/>
        </w:rPr>
        <w:footnoteReference w:id="636"/>
      </w:r>
      <w:r w:rsidRPr="00FE50A6">
        <w:rPr>
          <w:rFonts w:eastAsia="Cambria" w:cs="Times New Roman"/>
          <w:i/>
          <w:sz w:val="16"/>
          <w:szCs w:val="16"/>
          <w:lang w:val="en-US"/>
        </w:rPr>
        <w:t xml:space="preserve"> </w:t>
      </w:r>
      <w:r w:rsidRPr="00FE50A6">
        <w:rPr>
          <w:rFonts w:eastAsia="Cambria" w:cs="Times New Roman"/>
          <w:sz w:val="16"/>
          <w:szCs w:val="16"/>
          <w:lang w:val="en-US"/>
        </w:rPr>
        <w:t>(</w:t>
      </w:r>
      <w:r w:rsidR="00FC6535" w:rsidRPr="00FE50A6">
        <w:rPr>
          <w:rFonts w:eastAsia="Cambria" w:cs="Times New Roman"/>
          <w:sz w:val="16"/>
          <w:szCs w:val="16"/>
          <w:lang w:val="en-US"/>
        </w:rPr>
        <w:t>u</w:t>
      </w:r>
      <w:r w:rsidR="002627B0" w:rsidRPr="00FE50A6">
        <w:rPr>
          <w:rFonts w:eastAsia="Cambria" w:cs="Times New Roman"/>
          <w:sz w:val="16"/>
          <w:szCs w:val="16"/>
          <w:lang w:val="en-US"/>
        </w:rPr>
        <w:t>nderlining added)</w:t>
      </w:r>
      <w:r w:rsidR="00FC6535" w:rsidRPr="00FE50A6">
        <w:rPr>
          <w:rFonts w:eastAsia="Cambria" w:cs="Times New Roman"/>
          <w:sz w:val="16"/>
          <w:szCs w:val="16"/>
          <w:lang w:val="en-US"/>
        </w:rPr>
        <w:t>.</w:t>
      </w:r>
    </w:p>
    <w:p w14:paraId="73A0374C" w14:textId="77777777" w:rsidR="00130785" w:rsidRPr="00FE50A6" w:rsidRDefault="00130785" w:rsidP="00130785">
      <w:pPr>
        <w:tabs>
          <w:tab w:val="clear" w:pos="4419"/>
          <w:tab w:val="clear" w:pos="8838"/>
        </w:tabs>
        <w:rPr>
          <w:rFonts w:eastAsia="MS Mincho" w:cs="Times New Roman"/>
          <w:i/>
          <w:sz w:val="16"/>
          <w:szCs w:val="16"/>
          <w:lang w:val="en-US" w:eastAsia="es-ES"/>
        </w:rPr>
      </w:pPr>
    </w:p>
    <w:p w14:paraId="64766720" w14:textId="77777777" w:rsidR="00130785" w:rsidRPr="00FE50A6" w:rsidRDefault="006C3699" w:rsidP="008B0BCC">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 xml:space="preserve">In the </w:t>
      </w:r>
      <w:r w:rsidR="002627B0" w:rsidRPr="00FE50A6">
        <w:rPr>
          <w:rFonts w:eastAsia="Cambria" w:cs="Times New Roman"/>
          <w:szCs w:val="20"/>
          <w:lang w:val="en-US"/>
        </w:rPr>
        <w:t xml:space="preserve">2012 </w:t>
      </w:r>
      <w:r w:rsidRPr="00FE50A6">
        <w:rPr>
          <w:rFonts w:eastAsia="Cambria" w:cs="Times New Roman"/>
          <w:szCs w:val="20"/>
          <w:lang w:val="en-US"/>
        </w:rPr>
        <w:t>case of</w:t>
      </w:r>
      <w:r w:rsidR="00130785" w:rsidRPr="00FE50A6">
        <w:rPr>
          <w:rFonts w:eastAsia="Cambria" w:cs="Times New Roman"/>
          <w:szCs w:val="20"/>
          <w:lang w:val="en-US"/>
        </w:rPr>
        <w:t xml:space="preserve"> </w:t>
      </w:r>
      <w:r w:rsidR="00130785" w:rsidRPr="00FE50A6">
        <w:rPr>
          <w:rFonts w:eastAsia="Cambria" w:cs="Times New Roman"/>
          <w:i/>
          <w:szCs w:val="20"/>
          <w:lang w:val="en-US"/>
        </w:rPr>
        <w:t>Atala Riffo</w:t>
      </w:r>
      <w:r w:rsidR="00030C17" w:rsidRPr="00FE50A6">
        <w:rPr>
          <w:rFonts w:eastAsia="Cambria" w:cs="Times New Roman"/>
          <w:i/>
          <w:szCs w:val="20"/>
          <w:lang w:val="en-US"/>
        </w:rPr>
        <w:t xml:space="preserve"> and </w:t>
      </w:r>
      <w:r w:rsidR="002627B0" w:rsidRPr="00FE50A6">
        <w:rPr>
          <w:rFonts w:eastAsia="Cambria" w:cs="Times New Roman"/>
          <w:i/>
          <w:szCs w:val="20"/>
          <w:lang w:val="en-US"/>
        </w:rPr>
        <w:t>daughters</w:t>
      </w:r>
      <w:r w:rsidR="00130785" w:rsidRPr="00FE50A6">
        <w:rPr>
          <w:rFonts w:eastAsia="Cambria" w:cs="Times New Roman"/>
          <w:i/>
          <w:szCs w:val="20"/>
          <w:lang w:val="en-US"/>
        </w:rPr>
        <w:t xml:space="preserve"> </w:t>
      </w:r>
      <w:r w:rsidR="000228D0" w:rsidRPr="00FE50A6">
        <w:rPr>
          <w:rFonts w:eastAsia="Cambria" w:cs="Times New Roman"/>
          <w:i/>
          <w:szCs w:val="20"/>
          <w:lang w:val="en-US"/>
        </w:rPr>
        <w:t>v.</w:t>
      </w:r>
      <w:r w:rsidR="00130785" w:rsidRPr="00FE50A6">
        <w:rPr>
          <w:rFonts w:eastAsia="Cambria" w:cs="Times New Roman"/>
          <w:i/>
          <w:szCs w:val="20"/>
          <w:lang w:val="en-US"/>
        </w:rPr>
        <w:t xml:space="preserve"> Chile</w:t>
      </w:r>
      <w:r w:rsidR="00130785" w:rsidRPr="00FE50A6">
        <w:rPr>
          <w:rFonts w:eastAsia="Cambria" w:cs="Times New Roman"/>
          <w:szCs w:val="20"/>
          <w:lang w:val="en-US"/>
        </w:rPr>
        <w:t xml:space="preserve">, </w:t>
      </w:r>
      <w:r w:rsidR="002071B1" w:rsidRPr="00FE50A6">
        <w:rPr>
          <w:rFonts w:eastAsia="Cambria" w:cs="Times New Roman"/>
          <w:szCs w:val="20"/>
          <w:lang w:val="en-US"/>
        </w:rPr>
        <w:t>the Court</w:t>
      </w:r>
      <w:r w:rsidR="00130785" w:rsidRPr="00FE50A6">
        <w:rPr>
          <w:rFonts w:eastAsia="Cambria" w:cs="Times New Roman"/>
          <w:szCs w:val="20"/>
          <w:lang w:val="en-US"/>
        </w:rPr>
        <w:t xml:space="preserve"> </w:t>
      </w:r>
      <w:r w:rsidR="002627B0" w:rsidRPr="00FE50A6">
        <w:rPr>
          <w:rFonts w:eastAsia="Cambria" w:cs="Times New Roman"/>
          <w:szCs w:val="20"/>
          <w:lang w:val="en-US"/>
        </w:rPr>
        <w:t xml:space="preserve">indicated, with regard to </w:t>
      </w:r>
      <w:r w:rsidR="00C82C2B" w:rsidRPr="00FE50A6">
        <w:rPr>
          <w:rFonts w:eastAsia="Cambria" w:cs="Times New Roman"/>
          <w:szCs w:val="20"/>
          <w:lang w:val="en-US"/>
        </w:rPr>
        <w:t>structural discrimination</w:t>
      </w:r>
      <w:r w:rsidR="002627B0" w:rsidRPr="00FE50A6">
        <w:rPr>
          <w:rFonts w:eastAsia="Cambria" w:cs="Times New Roman"/>
          <w:szCs w:val="20"/>
          <w:lang w:val="en-US"/>
        </w:rPr>
        <w:t>, that:</w:t>
      </w:r>
      <w:r w:rsidR="00130785" w:rsidRPr="00FE50A6">
        <w:rPr>
          <w:rFonts w:eastAsia="Cambria" w:cs="Times New Roman"/>
          <w:szCs w:val="20"/>
          <w:lang w:val="en-US"/>
        </w:rPr>
        <w:t xml:space="preserve"> </w:t>
      </w:r>
    </w:p>
    <w:p w14:paraId="2D5F3508" w14:textId="77777777" w:rsidR="00130785" w:rsidRPr="00FE50A6" w:rsidRDefault="00130785" w:rsidP="00130785">
      <w:pPr>
        <w:tabs>
          <w:tab w:val="clear" w:pos="4419"/>
          <w:tab w:val="clear" w:pos="8838"/>
        </w:tabs>
        <w:contextualSpacing/>
        <w:jc w:val="both"/>
        <w:rPr>
          <w:rFonts w:eastAsia="Cambria" w:cs="Times New Roman"/>
          <w:i/>
          <w:sz w:val="16"/>
          <w:szCs w:val="16"/>
          <w:lang w:val="en-US"/>
        </w:rPr>
      </w:pPr>
    </w:p>
    <w:p w14:paraId="388237CB" w14:textId="77777777" w:rsidR="00130785" w:rsidRPr="00FE50A6" w:rsidRDefault="00082F82" w:rsidP="008F7FBE">
      <w:pPr>
        <w:tabs>
          <w:tab w:val="clear" w:pos="4419"/>
          <w:tab w:val="clear" w:pos="8838"/>
        </w:tabs>
        <w:ind w:left="708" w:right="558"/>
        <w:jc w:val="both"/>
        <w:rPr>
          <w:rFonts w:cs="Arial"/>
          <w:sz w:val="25"/>
          <w:szCs w:val="25"/>
          <w:lang w:val="en-US"/>
        </w:rPr>
      </w:pPr>
      <w:r w:rsidRPr="00FE50A6">
        <w:rPr>
          <w:rFonts w:eastAsia="MS Mincho" w:cs="Times New Roman"/>
          <w:sz w:val="16"/>
          <w:szCs w:val="16"/>
          <w:lang w:val="en-US" w:eastAsia="es-ES"/>
        </w:rPr>
        <w:t>“</w:t>
      </w:r>
      <w:r w:rsidR="00130785" w:rsidRPr="00FE50A6">
        <w:rPr>
          <w:rFonts w:eastAsia="MS Mincho" w:cs="Times New Roman"/>
          <w:sz w:val="16"/>
          <w:szCs w:val="16"/>
          <w:lang w:val="en-US" w:eastAsia="es-ES"/>
        </w:rPr>
        <w:t>92.</w:t>
      </w:r>
      <w:r w:rsidR="00130785" w:rsidRPr="00FE50A6">
        <w:rPr>
          <w:rFonts w:eastAsia="MS Mincho" w:cs="Times New Roman"/>
          <w:i/>
          <w:sz w:val="16"/>
          <w:szCs w:val="16"/>
          <w:lang w:val="en-US" w:eastAsia="es-ES"/>
        </w:rPr>
        <w:t xml:space="preserve"> </w:t>
      </w:r>
      <w:r w:rsidR="008F7FBE" w:rsidRPr="00FE50A6">
        <w:rPr>
          <w:rFonts w:cs="Arial"/>
          <w:sz w:val="16"/>
          <w:szCs w:val="16"/>
          <w:lang w:val="en-US"/>
        </w:rPr>
        <w:t>With regard to the State’s argument that, on the date on which the Supreme Court</w:t>
      </w:r>
      <w:r w:rsidRPr="00FE50A6">
        <w:rPr>
          <w:rFonts w:cs="Arial"/>
          <w:sz w:val="16"/>
          <w:szCs w:val="16"/>
          <w:lang w:val="en-US"/>
        </w:rPr>
        <w:t xml:space="preserve"> </w:t>
      </w:r>
      <w:r w:rsidR="008F7FBE" w:rsidRPr="00FE50A6">
        <w:rPr>
          <w:rFonts w:cs="Arial"/>
          <w:sz w:val="16"/>
          <w:szCs w:val="16"/>
          <w:lang w:val="en-US"/>
        </w:rPr>
        <w:t xml:space="preserve">issued its ruling there was a lack of consensus regarding sexual orientation as a prohibited category for discrimination, </w:t>
      </w:r>
      <w:r w:rsidR="008F7FBE" w:rsidRPr="00FE50A6">
        <w:rPr>
          <w:rFonts w:cs="Arial"/>
          <w:sz w:val="16"/>
          <w:szCs w:val="16"/>
          <w:u w:val="single"/>
          <w:lang w:val="en-US"/>
        </w:rPr>
        <w:t>the Court points out that the alleged lack of consensus in some countries regarding full respect for the rights of sexual minorities cannot be considered</w:t>
      </w:r>
      <w:r w:rsidR="008F7FBE" w:rsidRPr="00FE50A6">
        <w:rPr>
          <w:rFonts w:cs="Arial"/>
          <w:sz w:val="16"/>
          <w:szCs w:val="16"/>
          <w:lang w:val="en-US"/>
        </w:rPr>
        <w:t xml:space="preserve"> a valid argument to deny or restrict their human rights or </w:t>
      </w:r>
      <w:r w:rsidR="008F7FBE" w:rsidRPr="00FE50A6">
        <w:rPr>
          <w:rFonts w:cs="Arial"/>
          <w:sz w:val="16"/>
          <w:szCs w:val="16"/>
          <w:u w:val="single"/>
          <w:lang w:val="en-US"/>
        </w:rPr>
        <w:t>to perpetuate and reproduce the historical and structural discrimination that these minorities have suffered</w:t>
      </w:r>
      <w:r w:rsidRPr="00FE50A6">
        <w:rPr>
          <w:rFonts w:cs="Arial"/>
          <w:sz w:val="16"/>
          <w:szCs w:val="16"/>
          <w:u w:val="single"/>
          <w:lang w:val="en-US"/>
        </w:rPr>
        <w:t>”</w:t>
      </w:r>
      <w:r w:rsidR="008F7FBE" w:rsidRPr="00FE50A6">
        <w:rPr>
          <w:rFonts w:cs="Arial"/>
          <w:sz w:val="16"/>
          <w:szCs w:val="16"/>
          <w:lang w:val="en-US"/>
        </w:rPr>
        <w:t xml:space="preserve"> (underlining added).</w:t>
      </w:r>
    </w:p>
    <w:p w14:paraId="76A32FF3" w14:textId="77777777" w:rsidR="00130785" w:rsidRPr="00FE50A6" w:rsidRDefault="00130785" w:rsidP="00130785">
      <w:pPr>
        <w:tabs>
          <w:tab w:val="clear" w:pos="4419"/>
          <w:tab w:val="clear" w:pos="8838"/>
        </w:tabs>
        <w:rPr>
          <w:rFonts w:eastAsia="MS Mincho" w:cs="Times New Roman"/>
          <w:i/>
          <w:szCs w:val="20"/>
          <w:lang w:val="en-US" w:eastAsia="es-ES"/>
        </w:rPr>
      </w:pPr>
    </w:p>
    <w:p w14:paraId="6D7368DF" w14:textId="77777777" w:rsidR="00130785" w:rsidRPr="00FE50A6" w:rsidRDefault="008F7FBE" w:rsidP="008B0BCC">
      <w:pPr>
        <w:numPr>
          <w:ilvl w:val="0"/>
          <w:numId w:val="26"/>
        </w:numPr>
        <w:tabs>
          <w:tab w:val="clear" w:pos="4419"/>
          <w:tab w:val="clear" w:pos="8838"/>
        </w:tabs>
        <w:contextualSpacing/>
        <w:jc w:val="both"/>
        <w:rPr>
          <w:rFonts w:eastAsia="Cambria" w:cs="Times New Roman"/>
          <w:i/>
          <w:szCs w:val="20"/>
          <w:lang w:val="en-US"/>
        </w:rPr>
      </w:pPr>
      <w:r w:rsidRPr="00FE50A6">
        <w:rPr>
          <w:rFonts w:eastAsia="Cambria" w:cs="Times New Roman"/>
          <w:szCs w:val="20"/>
          <w:lang w:val="en-US"/>
        </w:rPr>
        <w:t xml:space="preserve">Regarding reparations in this case,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00130785" w:rsidRPr="00FE50A6">
        <w:rPr>
          <w:rFonts w:eastAsia="Cambria" w:cs="Times New Roman"/>
          <w:szCs w:val="20"/>
          <w:lang w:val="en-US"/>
        </w:rPr>
        <w:t xml:space="preserve"> </w:t>
      </w:r>
      <w:r w:rsidRPr="00FE50A6">
        <w:rPr>
          <w:rFonts w:eastAsia="Cambria" w:cs="Times New Roman"/>
          <w:szCs w:val="20"/>
          <w:lang w:val="en-US"/>
        </w:rPr>
        <w:t>considered that</w:t>
      </w:r>
      <w:r w:rsidR="00130785" w:rsidRPr="00FE50A6">
        <w:rPr>
          <w:rFonts w:eastAsia="Cambria" w:cs="Times New Roman"/>
          <w:szCs w:val="20"/>
          <w:lang w:val="en-US"/>
        </w:rPr>
        <w:t xml:space="preserve">: </w:t>
      </w:r>
    </w:p>
    <w:p w14:paraId="7F8B2CEB" w14:textId="77777777" w:rsidR="00130785" w:rsidRPr="00FE50A6" w:rsidRDefault="00130785" w:rsidP="00130785">
      <w:pPr>
        <w:tabs>
          <w:tab w:val="clear" w:pos="4419"/>
          <w:tab w:val="clear" w:pos="8838"/>
        </w:tabs>
        <w:contextualSpacing/>
        <w:jc w:val="both"/>
        <w:rPr>
          <w:rFonts w:eastAsia="Cambria" w:cs="Times New Roman"/>
          <w:i/>
          <w:sz w:val="16"/>
          <w:szCs w:val="16"/>
          <w:lang w:val="en-US"/>
        </w:rPr>
      </w:pPr>
    </w:p>
    <w:p w14:paraId="19472198" w14:textId="77777777" w:rsidR="00130785" w:rsidRPr="00FE50A6" w:rsidRDefault="00082F82" w:rsidP="008F7FBE">
      <w:pPr>
        <w:tabs>
          <w:tab w:val="clear" w:pos="4419"/>
          <w:tab w:val="clear" w:pos="8838"/>
        </w:tabs>
        <w:ind w:left="708" w:right="558"/>
        <w:jc w:val="both"/>
        <w:rPr>
          <w:rFonts w:eastAsia="MS Mincho" w:cs="Times New Roman"/>
          <w:i/>
          <w:sz w:val="16"/>
          <w:szCs w:val="16"/>
          <w:lang w:val="en-US" w:eastAsia="es-ES"/>
        </w:rPr>
      </w:pPr>
      <w:r w:rsidRPr="00FE50A6">
        <w:rPr>
          <w:rFonts w:eastAsia="MS Mincho" w:cs="Times New Roman"/>
          <w:sz w:val="16"/>
          <w:szCs w:val="16"/>
          <w:lang w:val="en-US" w:eastAsia="es-ES"/>
        </w:rPr>
        <w:t>“</w:t>
      </w:r>
      <w:r w:rsidR="00130785" w:rsidRPr="00FE50A6">
        <w:rPr>
          <w:rFonts w:eastAsia="MS Mincho" w:cs="Times New Roman"/>
          <w:sz w:val="16"/>
          <w:szCs w:val="16"/>
          <w:lang w:val="en-US" w:eastAsia="es-ES"/>
        </w:rPr>
        <w:t>267.</w:t>
      </w:r>
      <w:r w:rsidR="00130785" w:rsidRPr="00FE50A6">
        <w:rPr>
          <w:rFonts w:eastAsia="MS Mincho" w:cs="Times New Roman"/>
          <w:i/>
          <w:sz w:val="16"/>
          <w:szCs w:val="16"/>
          <w:lang w:val="en-US" w:eastAsia="es-ES"/>
        </w:rPr>
        <w:t xml:space="preserve"> </w:t>
      </w:r>
      <w:r w:rsidR="008F7FBE" w:rsidRPr="00FE50A6">
        <w:rPr>
          <w:rFonts w:cs="Arial"/>
          <w:sz w:val="16"/>
          <w:szCs w:val="16"/>
          <w:lang w:val="en-US"/>
        </w:rPr>
        <w:t xml:space="preserve">The Court emphasizes that some discriminatory acts analyzed in the previous chapters </w:t>
      </w:r>
      <w:r w:rsidR="008F7FBE" w:rsidRPr="00FE50A6">
        <w:rPr>
          <w:rFonts w:cs="Arial"/>
          <w:sz w:val="16"/>
          <w:szCs w:val="16"/>
          <w:u w:val="single"/>
          <w:lang w:val="en-US"/>
        </w:rPr>
        <w:t>relate to the perpetuation of stereotypes that are associated with the structural and historical discrimination suffered by sexual minorities</w:t>
      </w:r>
      <w:r w:rsidR="008F7FBE" w:rsidRPr="00FE50A6">
        <w:rPr>
          <w:rFonts w:cs="Arial"/>
          <w:sz w:val="16"/>
          <w:szCs w:val="16"/>
          <w:lang w:val="en-US"/>
        </w:rPr>
        <w:t xml:space="preserve"> […] particularly in matters concerning access to justice and the application of domestic law. Therefore, </w:t>
      </w:r>
      <w:r w:rsidR="008F7FBE" w:rsidRPr="00FE50A6">
        <w:rPr>
          <w:rFonts w:cs="Arial"/>
          <w:sz w:val="16"/>
          <w:szCs w:val="16"/>
          <w:u w:val="single"/>
          <w:lang w:val="en-US"/>
        </w:rPr>
        <w:t>some reparations must have a transformative purpose, in order to produce both a restorative and corrective effect</w:t>
      </w:r>
      <w:r w:rsidR="008F7FBE" w:rsidRPr="00FE50A6">
        <w:rPr>
          <w:rFonts w:cs="Arial"/>
          <w:sz w:val="16"/>
          <w:szCs w:val="16"/>
          <w:lang w:val="en-US"/>
        </w:rPr>
        <w:t xml:space="preserve"> and promote structural changes, dismantling certain stereotypes and practices that perpetuate discrimination against LGBT groups</w:t>
      </w:r>
      <w:r w:rsidRPr="00FE50A6">
        <w:rPr>
          <w:rFonts w:cs="Arial"/>
          <w:sz w:val="16"/>
          <w:szCs w:val="16"/>
          <w:lang w:val="en-US"/>
        </w:rPr>
        <w:t>”</w:t>
      </w:r>
      <w:r w:rsidR="00FC6535" w:rsidRPr="00FE50A6">
        <w:rPr>
          <w:rFonts w:eastAsia="MS Mincho" w:cs="Times New Roman"/>
          <w:sz w:val="16"/>
          <w:szCs w:val="16"/>
          <w:vertAlign w:val="superscript"/>
          <w:lang w:val="en-US" w:eastAsia="es-ES"/>
        </w:rPr>
        <w:footnoteReference w:id="637"/>
      </w:r>
      <w:r w:rsidR="00130785" w:rsidRPr="00FE50A6">
        <w:rPr>
          <w:rFonts w:eastAsia="MS Mincho" w:cs="Times New Roman"/>
          <w:i/>
          <w:sz w:val="16"/>
          <w:szCs w:val="16"/>
          <w:lang w:val="en-US" w:eastAsia="es-ES"/>
        </w:rPr>
        <w:t xml:space="preserve"> (</w:t>
      </w:r>
      <w:r w:rsidR="008F7FBE" w:rsidRPr="00FE50A6">
        <w:rPr>
          <w:rFonts w:eastAsia="MS Mincho" w:cs="Times New Roman"/>
          <w:sz w:val="16"/>
          <w:szCs w:val="16"/>
          <w:lang w:val="en-US" w:eastAsia="es-ES"/>
        </w:rPr>
        <w:t>underlining added</w:t>
      </w:r>
      <w:r w:rsidR="00130785" w:rsidRPr="00FE50A6">
        <w:rPr>
          <w:rFonts w:eastAsia="MS Mincho" w:cs="Times New Roman"/>
          <w:sz w:val="16"/>
          <w:szCs w:val="16"/>
          <w:lang w:val="en-US" w:eastAsia="es-ES"/>
        </w:rPr>
        <w:t>)</w:t>
      </w:r>
      <w:r w:rsidR="008F7FBE" w:rsidRPr="00FE50A6">
        <w:rPr>
          <w:rFonts w:eastAsia="MS Mincho" w:cs="Times New Roman"/>
          <w:sz w:val="16"/>
          <w:szCs w:val="16"/>
          <w:lang w:val="en-US" w:eastAsia="es-ES"/>
        </w:rPr>
        <w:t>.</w:t>
      </w:r>
      <w:r w:rsidR="00130785" w:rsidRPr="00FE50A6">
        <w:rPr>
          <w:rFonts w:eastAsia="MS Mincho" w:cs="Times New Roman"/>
          <w:i/>
          <w:sz w:val="16"/>
          <w:szCs w:val="16"/>
          <w:lang w:val="en-US" w:eastAsia="es-ES"/>
        </w:rPr>
        <w:t xml:space="preserve"> </w:t>
      </w:r>
    </w:p>
    <w:p w14:paraId="58E07F30" w14:textId="77777777" w:rsidR="00130785" w:rsidRPr="00FE50A6" w:rsidRDefault="00130785" w:rsidP="00130785">
      <w:pPr>
        <w:tabs>
          <w:tab w:val="clear" w:pos="4419"/>
          <w:tab w:val="clear" w:pos="8838"/>
        </w:tabs>
        <w:rPr>
          <w:rFonts w:eastAsia="MS Mincho" w:cs="Times New Roman"/>
          <w:sz w:val="16"/>
          <w:szCs w:val="16"/>
          <w:lang w:val="en-US" w:eastAsia="es-ES"/>
        </w:rPr>
      </w:pPr>
    </w:p>
    <w:p w14:paraId="377C2C67" w14:textId="77777777" w:rsidR="00130785" w:rsidRPr="00FE50A6" w:rsidRDefault="008F7FBE" w:rsidP="008B0BCC">
      <w:pPr>
        <w:numPr>
          <w:ilvl w:val="0"/>
          <w:numId w:val="26"/>
        </w:numPr>
        <w:tabs>
          <w:tab w:val="clear" w:pos="4419"/>
          <w:tab w:val="clear" w:pos="8838"/>
        </w:tabs>
        <w:jc w:val="both"/>
        <w:rPr>
          <w:rFonts w:eastAsia="MS Mincho" w:cs="Times New Roman"/>
          <w:szCs w:val="20"/>
          <w:lang w:val="en-US" w:eastAsia="es-ES"/>
        </w:rPr>
      </w:pPr>
      <w:r w:rsidRPr="00FE50A6">
        <w:rPr>
          <w:rFonts w:eastAsia="MS Mincho" w:cs="Times New Roman"/>
          <w:szCs w:val="20"/>
          <w:lang w:val="en-US" w:eastAsia="es-ES"/>
        </w:rPr>
        <w:t xml:space="preserve">Finally, </w:t>
      </w:r>
      <w:r w:rsidR="006C3699" w:rsidRPr="00FE50A6">
        <w:rPr>
          <w:rFonts w:eastAsia="MS Mincho" w:cs="Times New Roman"/>
          <w:szCs w:val="20"/>
          <w:lang w:val="en-US" w:eastAsia="es-ES"/>
        </w:rPr>
        <w:t>in</w:t>
      </w:r>
      <w:r w:rsidRPr="00FE50A6">
        <w:rPr>
          <w:rFonts w:eastAsia="MS Mincho" w:cs="Times New Roman"/>
          <w:szCs w:val="20"/>
          <w:lang w:val="en-US" w:eastAsia="es-ES"/>
        </w:rPr>
        <w:t xml:space="preserve"> 2012, in</w:t>
      </w:r>
      <w:r w:rsidR="006C3699" w:rsidRPr="00FE50A6">
        <w:rPr>
          <w:rFonts w:eastAsia="MS Mincho" w:cs="Times New Roman"/>
          <w:szCs w:val="20"/>
          <w:lang w:val="en-US" w:eastAsia="es-ES"/>
        </w:rPr>
        <w:t xml:space="preserve"> the case of</w:t>
      </w:r>
      <w:r w:rsidR="00130785" w:rsidRPr="00FE50A6">
        <w:rPr>
          <w:rFonts w:eastAsia="MS Mincho" w:cs="Times New Roman"/>
          <w:szCs w:val="20"/>
          <w:lang w:val="en-US" w:eastAsia="es-ES"/>
        </w:rPr>
        <w:t xml:space="preserve"> </w:t>
      </w:r>
      <w:r w:rsidR="00130785" w:rsidRPr="00FE50A6">
        <w:rPr>
          <w:rFonts w:eastAsia="MS Mincho" w:cs="Times New Roman"/>
          <w:i/>
          <w:szCs w:val="20"/>
          <w:lang w:val="en-US" w:eastAsia="es-ES"/>
        </w:rPr>
        <w:t>Nadege Dorzema</w:t>
      </w:r>
      <w:r w:rsidR="00030C17" w:rsidRPr="00FE50A6">
        <w:rPr>
          <w:rFonts w:eastAsia="MS Mincho" w:cs="Times New Roman"/>
          <w:i/>
          <w:szCs w:val="20"/>
          <w:lang w:val="en-US" w:eastAsia="es-ES"/>
        </w:rPr>
        <w:t xml:space="preserve"> </w:t>
      </w:r>
      <w:r w:rsidR="00B44229" w:rsidRPr="00FE50A6">
        <w:rPr>
          <w:rFonts w:eastAsia="MS Mincho" w:cs="Times New Roman"/>
          <w:i/>
          <w:szCs w:val="20"/>
          <w:lang w:val="en-US" w:eastAsia="es-ES"/>
        </w:rPr>
        <w:t>et al. v.</w:t>
      </w:r>
      <w:r w:rsidR="00130785" w:rsidRPr="00FE50A6">
        <w:rPr>
          <w:rFonts w:eastAsia="MS Mincho" w:cs="Times New Roman"/>
          <w:i/>
          <w:szCs w:val="20"/>
          <w:lang w:val="en-US" w:eastAsia="es-ES"/>
        </w:rPr>
        <w:t xml:space="preserve"> </w:t>
      </w:r>
      <w:r w:rsidRPr="00FE50A6">
        <w:rPr>
          <w:rFonts w:eastAsia="MS Mincho" w:cs="Times New Roman"/>
          <w:i/>
          <w:szCs w:val="20"/>
          <w:lang w:val="en-US" w:eastAsia="es-ES"/>
        </w:rPr>
        <w:t xml:space="preserve">Dominican Republic, </w:t>
      </w:r>
      <w:r w:rsidRPr="00FE50A6">
        <w:rPr>
          <w:rFonts w:eastAsia="MS Mincho" w:cs="Times New Roman"/>
          <w:szCs w:val="20"/>
          <w:lang w:val="en-US" w:eastAsia="es-ES"/>
        </w:rPr>
        <w:t>without ruling on</w:t>
      </w:r>
      <w:r w:rsidR="00130785" w:rsidRPr="00FE50A6">
        <w:rPr>
          <w:rFonts w:eastAsia="MS Mincho" w:cs="Times New Roman"/>
          <w:szCs w:val="20"/>
          <w:lang w:val="en-US" w:eastAsia="es-ES"/>
        </w:rPr>
        <w:t xml:space="preserve"> </w:t>
      </w:r>
      <w:r w:rsidR="00C82C2B" w:rsidRPr="00FE50A6">
        <w:rPr>
          <w:rFonts w:eastAsia="MS Mincho" w:cs="Times New Roman"/>
          <w:szCs w:val="20"/>
          <w:lang w:val="en-US" w:eastAsia="es-ES"/>
        </w:rPr>
        <w:t>structural discrimination</w:t>
      </w:r>
      <w:r w:rsidR="00130785" w:rsidRPr="00FE50A6">
        <w:rPr>
          <w:rFonts w:eastAsia="MS Mincho" w:cs="Times New Roman"/>
          <w:szCs w:val="20"/>
          <w:lang w:val="en-US" w:eastAsia="es-ES"/>
        </w:rPr>
        <w:t xml:space="preserve">, </w:t>
      </w:r>
      <w:r w:rsidRPr="00FE50A6">
        <w:rPr>
          <w:rFonts w:eastAsia="MS Mincho" w:cs="Times New Roman"/>
          <w:szCs w:val="20"/>
          <w:lang w:val="en-US" w:eastAsia="es-ES"/>
        </w:rPr>
        <w:t xml:space="preserve">the Court included the following considerations on indirect and </w:t>
      </w:r>
      <w:r w:rsidRPr="00FE50A6">
        <w:rPr>
          <w:rFonts w:eastAsia="MS Mincho" w:cs="Times New Roman"/>
          <w:i/>
          <w:szCs w:val="20"/>
          <w:lang w:val="en-US" w:eastAsia="es-ES"/>
        </w:rPr>
        <w:t>de facto</w:t>
      </w:r>
      <w:r w:rsidRPr="00FE50A6">
        <w:rPr>
          <w:rFonts w:eastAsia="MS Mincho" w:cs="Times New Roman"/>
          <w:szCs w:val="20"/>
          <w:lang w:val="en-US" w:eastAsia="es-ES"/>
        </w:rPr>
        <w:t xml:space="preserve"> </w:t>
      </w:r>
      <w:r w:rsidR="003707E5" w:rsidRPr="00FE50A6">
        <w:rPr>
          <w:rFonts w:eastAsia="MS Mincho" w:cs="Times New Roman"/>
          <w:szCs w:val="20"/>
          <w:lang w:val="en-US" w:eastAsia="es-ES"/>
        </w:rPr>
        <w:t>discrimination</w:t>
      </w:r>
      <w:r w:rsidR="00130785" w:rsidRPr="00FE50A6">
        <w:rPr>
          <w:rFonts w:eastAsia="MS Mincho" w:cs="Times New Roman"/>
          <w:szCs w:val="20"/>
          <w:lang w:val="en-US" w:eastAsia="es-ES"/>
        </w:rPr>
        <w:t xml:space="preserve">: </w:t>
      </w:r>
    </w:p>
    <w:p w14:paraId="31C04EB3" w14:textId="77777777" w:rsidR="00130785" w:rsidRPr="00FE50A6" w:rsidRDefault="00130785" w:rsidP="00130785">
      <w:pPr>
        <w:tabs>
          <w:tab w:val="clear" w:pos="4419"/>
          <w:tab w:val="clear" w:pos="8838"/>
        </w:tabs>
        <w:rPr>
          <w:rFonts w:eastAsia="MS Mincho" w:cs="Times New Roman"/>
          <w:szCs w:val="20"/>
          <w:lang w:val="en-US" w:eastAsia="es-ES"/>
        </w:rPr>
      </w:pPr>
    </w:p>
    <w:p w14:paraId="3997F65B" w14:textId="77777777" w:rsidR="00130785" w:rsidRPr="00FE50A6" w:rsidRDefault="00082F82" w:rsidP="00130785">
      <w:pPr>
        <w:tabs>
          <w:tab w:val="clear" w:pos="4419"/>
          <w:tab w:val="clear" w:pos="8838"/>
        </w:tabs>
        <w:ind w:left="708"/>
        <w:contextualSpacing/>
        <w:jc w:val="both"/>
        <w:rPr>
          <w:rFonts w:eastAsia="Cambria" w:cs="Times New Roman"/>
          <w:sz w:val="16"/>
          <w:szCs w:val="16"/>
          <w:lang w:val="en-US"/>
        </w:rPr>
      </w:pPr>
      <w:r w:rsidRPr="00FE50A6">
        <w:rPr>
          <w:rFonts w:eastAsia="Cambria" w:cs="Times New Roman"/>
          <w:sz w:val="16"/>
          <w:szCs w:val="16"/>
          <w:lang w:val="en-US"/>
        </w:rPr>
        <w:t>“</w:t>
      </w:r>
      <w:r w:rsidR="00130785" w:rsidRPr="00FE50A6">
        <w:rPr>
          <w:rFonts w:eastAsia="Cambria" w:cs="Times New Roman"/>
          <w:sz w:val="16"/>
          <w:szCs w:val="16"/>
          <w:lang w:val="en-US"/>
        </w:rPr>
        <w:t>235.</w:t>
      </w:r>
      <w:r w:rsidR="00130785" w:rsidRPr="00FE50A6">
        <w:rPr>
          <w:rFonts w:eastAsia="Cambria" w:cs="Times New Roman"/>
          <w:i/>
          <w:sz w:val="16"/>
          <w:szCs w:val="16"/>
          <w:lang w:val="en-US"/>
        </w:rPr>
        <w:t xml:space="preserve"> </w:t>
      </w:r>
      <w:r w:rsidR="00FC6535" w:rsidRPr="00FE50A6">
        <w:rPr>
          <w:rFonts w:cs="Arial"/>
          <w:sz w:val="16"/>
          <w:szCs w:val="16"/>
          <w:u w:val="single"/>
          <w:lang w:val="en-US"/>
        </w:rPr>
        <w:t>The Court considers that a violation of the right to equality and non-discrimination also occurs in situations and cases of indirect discrimination</w:t>
      </w:r>
      <w:r w:rsidR="00FC6535" w:rsidRPr="00FE50A6">
        <w:rPr>
          <w:rFonts w:eastAsia="Cambria" w:cs="Times New Roman"/>
          <w:sz w:val="16"/>
          <w:szCs w:val="16"/>
          <w:u w:val="single"/>
          <w:lang w:val="en-US"/>
        </w:rPr>
        <w:t xml:space="preserve"> </w:t>
      </w:r>
      <w:r w:rsidR="00130785" w:rsidRPr="00FE50A6">
        <w:rPr>
          <w:rFonts w:eastAsia="Cambria" w:cs="Times New Roman"/>
          <w:sz w:val="16"/>
          <w:szCs w:val="16"/>
          <w:lang w:val="en-US"/>
        </w:rPr>
        <w:t xml:space="preserve">[…]. </w:t>
      </w:r>
    </w:p>
    <w:p w14:paraId="15D2C5EC" w14:textId="77777777" w:rsidR="00130785" w:rsidRPr="00FE50A6" w:rsidRDefault="00130785" w:rsidP="00130785">
      <w:pPr>
        <w:tabs>
          <w:tab w:val="clear" w:pos="4419"/>
          <w:tab w:val="clear" w:pos="8838"/>
        </w:tabs>
        <w:ind w:left="708"/>
        <w:contextualSpacing/>
        <w:jc w:val="both"/>
        <w:rPr>
          <w:rFonts w:eastAsia="Cambria" w:cs="Times New Roman"/>
          <w:sz w:val="16"/>
          <w:szCs w:val="16"/>
          <w:lang w:val="en-US"/>
        </w:rPr>
      </w:pPr>
    </w:p>
    <w:p w14:paraId="51FF9F70" w14:textId="77777777" w:rsidR="00130785" w:rsidRPr="00FE50A6" w:rsidRDefault="00130785" w:rsidP="00130785">
      <w:pPr>
        <w:tabs>
          <w:tab w:val="clear" w:pos="4419"/>
          <w:tab w:val="clear" w:pos="8838"/>
        </w:tabs>
        <w:ind w:left="708"/>
        <w:contextualSpacing/>
        <w:jc w:val="both"/>
        <w:rPr>
          <w:rFonts w:eastAsia="Cambria" w:cs="Times New Roman"/>
          <w:i/>
          <w:sz w:val="16"/>
          <w:szCs w:val="16"/>
          <w:lang w:val="en-US"/>
        </w:rPr>
      </w:pPr>
      <w:r w:rsidRPr="00FE50A6">
        <w:rPr>
          <w:rFonts w:eastAsia="Cambria" w:cs="Times New Roman"/>
          <w:sz w:val="16"/>
          <w:szCs w:val="16"/>
          <w:lang w:val="en-US"/>
        </w:rPr>
        <w:t>237.</w:t>
      </w:r>
      <w:r w:rsidR="00FC6535" w:rsidRPr="00FE50A6">
        <w:rPr>
          <w:rFonts w:eastAsia="Cambria" w:cs="Times New Roman"/>
          <w:i/>
          <w:sz w:val="16"/>
          <w:szCs w:val="16"/>
          <w:lang w:val="en-US"/>
        </w:rPr>
        <w:t xml:space="preserve"> </w:t>
      </w:r>
      <w:r w:rsidR="00FC6535" w:rsidRPr="00FE50A6">
        <w:rPr>
          <w:rFonts w:cs="Arial"/>
          <w:sz w:val="16"/>
          <w:szCs w:val="16"/>
          <w:lang w:val="en-US"/>
        </w:rPr>
        <w:t>Therefore, the Court observes that, in this case, the situation of special vulnerability of the Haitian migrants was due, inter alia, to: (i) the absence of preventive measures to adequately address situations relating to migratory control on the land border with Haiti and based on their situation of vulnerability; (ii) the violence deployed by the illegal and disproportionate use of force against unarmed migrants; (iii) the failure to investigate the said violence, the absence of testimony by and the participation of the victims in the criminal proceedings, and the impunity of the events; (iv) the detentions and collective expulsion without the due guarantees; (v) the lack of adequate medical care and treatment of the injured victims, and (vi) the demeaning treatment of the corpses and the failure to return them to the next of kin</w:t>
      </w:r>
      <w:r w:rsidR="00230B50" w:rsidRPr="00FE50A6">
        <w:rPr>
          <w:rFonts w:cs="Arial"/>
          <w:sz w:val="16"/>
          <w:szCs w:val="16"/>
          <w:lang w:val="en-US"/>
        </w:rPr>
        <w:t>.</w:t>
      </w:r>
    </w:p>
    <w:p w14:paraId="56946813" w14:textId="77777777" w:rsidR="00130785" w:rsidRPr="00FE50A6" w:rsidRDefault="00130785" w:rsidP="00130785">
      <w:pPr>
        <w:tabs>
          <w:tab w:val="clear" w:pos="4419"/>
          <w:tab w:val="clear" w:pos="8838"/>
        </w:tabs>
        <w:ind w:left="708"/>
        <w:contextualSpacing/>
        <w:jc w:val="both"/>
        <w:rPr>
          <w:rFonts w:eastAsia="Cambria" w:cs="Times New Roman"/>
          <w:i/>
          <w:sz w:val="16"/>
          <w:szCs w:val="16"/>
          <w:lang w:val="en-US"/>
        </w:rPr>
      </w:pPr>
    </w:p>
    <w:p w14:paraId="16697952" w14:textId="77777777" w:rsidR="00130785" w:rsidRPr="00FE50A6" w:rsidRDefault="00130785" w:rsidP="00130785">
      <w:pPr>
        <w:tabs>
          <w:tab w:val="clear" w:pos="4419"/>
          <w:tab w:val="clear" w:pos="8838"/>
        </w:tabs>
        <w:ind w:left="708"/>
        <w:contextualSpacing/>
        <w:jc w:val="both"/>
        <w:rPr>
          <w:rFonts w:eastAsia="Cambria" w:cs="Times New Roman"/>
          <w:i/>
          <w:sz w:val="16"/>
          <w:szCs w:val="16"/>
          <w:lang w:val="en-US"/>
        </w:rPr>
      </w:pPr>
      <w:r w:rsidRPr="00FE50A6">
        <w:rPr>
          <w:rFonts w:eastAsia="Cambria" w:cs="Times New Roman"/>
          <w:sz w:val="16"/>
          <w:szCs w:val="16"/>
          <w:lang w:val="en-US"/>
        </w:rPr>
        <w:t>238.</w:t>
      </w:r>
      <w:r w:rsidRPr="00FE50A6">
        <w:rPr>
          <w:rFonts w:eastAsia="Cambria" w:cs="Times New Roman"/>
          <w:i/>
          <w:sz w:val="16"/>
          <w:szCs w:val="16"/>
          <w:u w:val="single"/>
          <w:lang w:val="en-US"/>
        </w:rPr>
        <w:t xml:space="preserve"> </w:t>
      </w:r>
      <w:r w:rsidR="00FC6535" w:rsidRPr="00FE50A6">
        <w:rPr>
          <w:rFonts w:cs="Arial"/>
          <w:sz w:val="16"/>
          <w:szCs w:val="16"/>
          <w:u w:val="single"/>
          <w:lang w:val="en-US"/>
        </w:rPr>
        <w:t xml:space="preserve">All of the foregoing demonstrates that, in the instant case, there was </w:t>
      </w:r>
      <w:r w:rsidR="00FC6535" w:rsidRPr="00FE50A6">
        <w:rPr>
          <w:rFonts w:cs="Arial"/>
          <w:i/>
          <w:sz w:val="16"/>
          <w:szCs w:val="16"/>
          <w:u w:val="single"/>
          <w:lang w:val="en-US"/>
        </w:rPr>
        <w:t>de facto</w:t>
      </w:r>
      <w:r w:rsidR="00FC6535" w:rsidRPr="00FE50A6">
        <w:rPr>
          <w:rFonts w:cs="Arial"/>
          <w:sz w:val="16"/>
          <w:szCs w:val="16"/>
          <w:u w:val="single"/>
          <w:lang w:val="en-US"/>
        </w:rPr>
        <w:t xml:space="preserve"> discrimination against the victims in the case owing to their condition as migrants, which resulted in preventing them from enjoying the rights that the Court has declared violated in this judgment</w:t>
      </w:r>
      <w:r w:rsidR="00FC6535" w:rsidRPr="00FE50A6">
        <w:rPr>
          <w:rFonts w:cs="Arial"/>
          <w:sz w:val="16"/>
          <w:szCs w:val="16"/>
          <w:lang w:val="en-US"/>
        </w:rPr>
        <w:t>. Therefore, the Court concludes that the State did not respect or ensure the rights of the Haitian migrants without discrimination in violation of Article 1(1) of the American Convention in relation to Articles 2, 4, 5, 7, 8, 22(9) and 25 thereof</w:t>
      </w:r>
      <w:r w:rsidR="00082F82" w:rsidRPr="00FE50A6">
        <w:rPr>
          <w:rFonts w:cs="Arial"/>
          <w:sz w:val="16"/>
          <w:szCs w:val="16"/>
          <w:lang w:val="en-US"/>
        </w:rPr>
        <w:t>”</w:t>
      </w:r>
      <w:r w:rsidRPr="00FE50A6">
        <w:rPr>
          <w:rFonts w:eastAsia="Cambria" w:cs="Times New Roman"/>
          <w:sz w:val="16"/>
          <w:szCs w:val="20"/>
          <w:vertAlign w:val="superscript"/>
          <w:lang w:val="en-US"/>
        </w:rPr>
        <w:footnoteReference w:id="638"/>
      </w:r>
      <w:r w:rsidRPr="00FE50A6">
        <w:rPr>
          <w:rFonts w:eastAsia="Cambria" w:cs="Times New Roman"/>
          <w:i/>
          <w:sz w:val="16"/>
          <w:szCs w:val="16"/>
          <w:lang w:val="en-US"/>
        </w:rPr>
        <w:t xml:space="preserve"> </w:t>
      </w:r>
      <w:r w:rsidRPr="00FE50A6">
        <w:rPr>
          <w:rFonts w:eastAsia="Cambria" w:cs="Times New Roman"/>
          <w:sz w:val="16"/>
          <w:szCs w:val="16"/>
          <w:lang w:val="en-US"/>
        </w:rPr>
        <w:t>(</w:t>
      </w:r>
      <w:r w:rsidR="00FC6535" w:rsidRPr="00FE50A6">
        <w:rPr>
          <w:rFonts w:eastAsia="Cambria" w:cs="Times New Roman"/>
          <w:sz w:val="16"/>
          <w:szCs w:val="16"/>
          <w:lang w:val="en-US"/>
        </w:rPr>
        <w:t>underlining added</w:t>
      </w:r>
      <w:r w:rsidRPr="00FE50A6">
        <w:rPr>
          <w:rFonts w:eastAsia="Cambria" w:cs="Times New Roman"/>
          <w:sz w:val="16"/>
          <w:szCs w:val="16"/>
          <w:lang w:val="en-US"/>
        </w:rPr>
        <w:t>).</w:t>
      </w:r>
    </w:p>
    <w:p w14:paraId="675FFF27" w14:textId="77777777" w:rsidR="00130785" w:rsidRPr="00FE50A6" w:rsidRDefault="00130785" w:rsidP="00130785">
      <w:pPr>
        <w:tabs>
          <w:tab w:val="clear" w:pos="4419"/>
          <w:tab w:val="clear" w:pos="8838"/>
        </w:tabs>
        <w:rPr>
          <w:rFonts w:eastAsia="MS Mincho" w:cs="Times New Roman"/>
          <w:i/>
          <w:sz w:val="16"/>
          <w:szCs w:val="16"/>
          <w:lang w:val="en-US" w:eastAsia="es-ES"/>
        </w:rPr>
      </w:pPr>
    </w:p>
    <w:p w14:paraId="68CC5621" w14:textId="77777777" w:rsidR="00FC6535" w:rsidRPr="00FE50A6" w:rsidRDefault="00230B50"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Arial"/>
          <w:szCs w:val="20"/>
          <w:lang w:val="en-US"/>
        </w:rPr>
        <w:t>In this way</w:t>
      </w:r>
      <w:r w:rsidR="00FC6535" w:rsidRPr="00FE50A6">
        <w:rPr>
          <w:rFonts w:eastAsia="Cambria" w:cs="Arial"/>
          <w:szCs w:val="20"/>
          <w:lang w:val="en-US"/>
        </w:rPr>
        <w:t>,</w:t>
      </w:r>
      <w:r w:rsidR="00130785" w:rsidRPr="00FE50A6">
        <w:rPr>
          <w:rFonts w:eastAsia="Cambria" w:cs="Arial"/>
          <w:szCs w:val="20"/>
          <w:lang w:val="en-US"/>
        </w:rPr>
        <w:t xml:space="preserve"> </w:t>
      </w:r>
      <w:r w:rsidR="00CD3CCC" w:rsidRPr="00FE50A6">
        <w:rPr>
          <w:rFonts w:eastAsia="Cambria" w:cs="Arial"/>
          <w:szCs w:val="20"/>
          <w:lang w:val="en-US"/>
        </w:rPr>
        <w:t>the Inter-American Court</w:t>
      </w:r>
      <w:r w:rsidR="00FC6535" w:rsidRPr="00FE50A6">
        <w:rPr>
          <w:rFonts w:eastAsia="Cambria" w:cs="Arial"/>
          <w:szCs w:val="20"/>
          <w:lang w:val="en-US"/>
        </w:rPr>
        <w:t xml:space="preserve"> </w:t>
      </w:r>
      <w:r w:rsidR="00130785" w:rsidRPr="00FE50A6">
        <w:rPr>
          <w:rFonts w:eastAsia="Cambria" w:cs="Arial"/>
          <w:szCs w:val="20"/>
          <w:lang w:val="en-US"/>
        </w:rPr>
        <w:t>ha</w:t>
      </w:r>
      <w:r w:rsidR="00FC6535" w:rsidRPr="00FE50A6">
        <w:rPr>
          <w:rFonts w:eastAsia="Cambria" w:cs="Arial"/>
          <w:szCs w:val="20"/>
          <w:lang w:val="en-US"/>
        </w:rPr>
        <w:t>s evaluated the impact</w:t>
      </w:r>
      <w:r w:rsidR="00130785" w:rsidRPr="00FE50A6">
        <w:rPr>
          <w:rFonts w:eastAsia="Cambria" w:cs="Arial"/>
          <w:szCs w:val="20"/>
          <w:lang w:val="en-US"/>
        </w:rPr>
        <w:t xml:space="preserve"> </w:t>
      </w:r>
      <w:r w:rsidR="00FC6535" w:rsidRPr="00FE50A6">
        <w:rPr>
          <w:rFonts w:eastAsia="Cambria" w:cs="Arial"/>
          <w:szCs w:val="20"/>
          <w:lang w:val="en-US"/>
        </w:rPr>
        <w:t xml:space="preserve">of indirect </w:t>
      </w:r>
      <w:r w:rsidR="003707E5" w:rsidRPr="00FE50A6">
        <w:rPr>
          <w:rFonts w:eastAsia="Cambria" w:cs="Arial"/>
          <w:szCs w:val="20"/>
          <w:lang w:val="en-US"/>
        </w:rPr>
        <w:t>discrimination</w:t>
      </w:r>
      <w:r w:rsidR="00130785" w:rsidRPr="00FE50A6">
        <w:rPr>
          <w:rFonts w:eastAsia="Cambria" w:cs="Arial"/>
          <w:szCs w:val="20"/>
          <w:lang w:val="en-US"/>
        </w:rPr>
        <w:t xml:space="preserve"> </w:t>
      </w:r>
      <w:r w:rsidR="00FC6535" w:rsidRPr="00FE50A6">
        <w:rPr>
          <w:rFonts w:eastAsia="Cambria" w:cs="Arial"/>
          <w:szCs w:val="20"/>
          <w:lang w:val="en-US"/>
        </w:rPr>
        <w:t xml:space="preserve">in contexts of </w:t>
      </w:r>
      <w:r w:rsidR="00FC6535" w:rsidRPr="00FE50A6">
        <w:rPr>
          <w:rFonts w:eastAsia="Cambria" w:cs="Arial"/>
          <w:i/>
          <w:szCs w:val="20"/>
          <w:lang w:val="en-US"/>
        </w:rPr>
        <w:t>de facto</w:t>
      </w:r>
      <w:r w:rsidR="00FC6535" w:rsidRPr="00FE50A6">
        <w:rPr>
          <w:rFonts w:eastAsia="Cambria" w:cs="Arial"/>
          <w:szCs w:val="20"/>
          <w:lang w:val="en-US"/>
        </w:rPr>
        <w:t xml:space="preserve"> </w:t>
      </w:r>
      <w:r w:rsidR="003707E5" w:rsidRPr="00FE50A6">
        <w:rPr>
          <w:rFonts w:eastAsia="Cambria" w:cs="Arial"/>
          <w:szCs w:val="20"/>
          <w:lang w:val="en-US"/>
        </w:rPr>
        <w:t>discrimination</w:t>
      </w:r>
      <w:r w:rsidR="00FC6535" w:rsidRPr="00FE50A6">
        <w:rPr>
          <w:rFonts w:eastAsia="Cambria" w:cs="Arial"/>
          <w:szCs w:val="20"/>
          <w:lang w:val="en-US"/>
        </w:rPr>
        <w:t>.</w:t>
      </w:r>
      <w:r w:rsidR="00130785" w:rsidRPr="00FE50A6">
        <w:rPr>
          <w:rFonts w:eastAsia="Cambria" w:cs="Times New Roman"/>
          <w:szCs w:val="20"/>
          <w:vertAlign w:val="superscript"/>
          <w:lang w:val="en-US"/>
        </w:rPr>
        <w:footnoteReference w:id="639"/>
      </w:r>
      <w:r w:rsidR="00130785" w:rsidRPr="00FE50A6">
        <w:rPr>
          <w:rFonts w:eastAsia="Cambria" w:cs="Arial"/>
          <w:szCs w:val="20"/>
          <w:lang w:val="en-US"/>
        </w:rPr>
        <w:t xml:space="preserve"> </w:t>
      </w:r>
      <w:r w:rsidRPr="00FE50A6">
        <w:rPr>
          <w:rFonts w:eastAsia="Cambria" w:cs="Arial"/>
          <w:szCs w:val="20"/>
          <w:lang w:val="en-US"/>
        </w:rPr>
        <w:t>Thus</w:t>
      </w:r>
      <w:r w:rsidR="00FC6535" w:rsidRPr="00FE50A6">
        <w:rPr>
          <w:rFonts w:eastAsia="Cambria" w:cs="Arial"/>
          <w:szCs w:val="20"/>
          <w:lang w:val="en-US"/>
        </w:rPr>
        <w:t>,</w:t>
      </w:r>
      <w:r w:rsidRPr="00FE50A6">
        <w:rPr>
          <w:rFonts w:eastAsia="Cambria" w:cs="Arial"/>
          <w:szCs w:val="20"/>
          <w:lang w:val="en-US"/>
        </w:rPr>
        <w:t xml:space="preserve"> there is</w:t>
      </w:r>
      <w:r w:rsidR="00FC6535" w:rsidRPr="00FE50A6">
        <w:rPr>
          <w:rFonts w:eastAsia="Cambria" w:cs="Arial"/>
          <w:szCs w:val="20"/>
          <w:lang w:val="en-US"/>
        </w:rPr>
        <w:t xml:space="preserve"> indirect</w:t>
      </w:r>
      <w:r w:rsidR="00130785" w:rsidRPr="00FE50A6">
        <w:rPr>
          <w:rFonts w:eastAsia="Cambria" w:cs="Arial"/>
          <w:szCs w:val="20"/>
          <w:lang w:val="en-US"/>
        </w:rPr>
        <w:t xml:space="preserve"> </w:t>
      </w:r>
      <w:r w:rsidR="003707E5" w:rsidRPr="00FE50A6">
        <w:rPr>
          <w:rFonts w:eastAsia="Cambria" w:cs="Arial"/>
          <w:szCs w:val="20"/>
          <w:lang w:val="en-US"/>
        </w:rPr>
        <w:t>discrimination</w:t>
      </w:r>
      <w:r w:rsidR="00FC6535" w:rsidRPr="00FE50A6">
        <w:rPr>
          <w:rFonts w:eastAsia="Cambria" w:cs="Arial"/>
          <w:szCs w:val="20"/>
          <w:lang w:val="en-US"/>
        </w:rPr>
        <w:t xml:space="preserve"> (or the result) when the norms and practices appear to be neutral, but the result of their content or application </w:t>
      </w:r>
      <w:r w:rsidR="008C2D7D" w:rsidRPr="00FE50A6">
        <w:rPr>
          <w:rFonts w:eastAsia="Cambria" w:cs="Arial"/>
          <w:szCs w:val="20"/>
          <w:lang w:val="en-US"/>
        </w:rPr>
        <w:t>has a disproportionate impact on individuals or groups of individuals in a situation of historical disadvantage, precisely on account of this disadvantage, without any objective or reasonable justification, which is revealed by the existence of structural and contextual factors that must be analyzed in each case.</w:t>
      </w:r>
    </w:p>
    <w:p w14:paraId="02111D76"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65A3F9CD" w14:textId="77777777" w:rsidR="00130785" w:rsidRPr="00FE50A6" w:rsidRDefault="008C2D7D" w:rsidP="008C2D7D">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 xml:space="preserve">In these four cases, </w:t>
      </w:r>
      <w:r w:rsidR="002071B1" w:rsidRPr="00FE50A6">
        <w:rPr>
          <w:rFonts w:eastAsia="Cambria" w:cs="Times New Roman"/>
          <w:szCs w:val="20"/>
          <w:lang w:val="en-US"/>
        </w:rPr>
        <w:t xml:space="preserve">the </w:t>
      </w:r>
      <w:r w:rsidR="00090C6A" w:rsidRPr="00FE50A6">
        <w:rPr>
          <w:rFonts w:eastAsia="Cambria" w:cs="Times New Roman"/>
          <w:szCs w:val="20"/>
          <w:lang w:val="en-US"/>
        </w:rPr>
        <w:t>Inter-American Court</w:t>
      </w:r>
      <w:r w:rsidRPr="00FE50A6">
        <w:rPr>
          <w:rFonts w:eastAsia="Cambria" w:cs="Times New Roman"/>
          <w:szCs w:val="20"/>
          <w:lang w:val="en-US"/>
        </w:rPr>
        <w:t xml:space="preserve"> recognized the existence of indirect or </w:t>
      </w:r>
      <w:r w:rsidRPr="00FE50A6">
        <w:rPr>
          <w:rFonts w:eastAsia="Cambria" w:cs="Times New Roman"/>
          <w:i/>
          <w:szCs w:val="20"/>
          <w:lang w:val="en-US"/>
        </w:rPr>
        <w:t>de facto</w:t>
      </w:r>
      <w:r w:rsidRPr="00FE50A6">
        <w:rPr>
          <w:rFonts w:eastAsia="Cambria" w:cs="Times New Roman"/>
          <w:szCs w:val="20"/>
          <w:lang w:val="en-US"/>
        </w:rPr>
        <w:t xml:space="preserve"> structural factors </w:t>
      </w:r>
      <w:r w:rsidR="00082F82" w:rsidRPr="00FE50A6">
        <w:rPr>
          <w:rFonts w:eastAsia="Cambria" w:cs="Times New Roman"/>
          <w:szCs w:val="20"/>
          <w:lang w:val="en-US"/>
        </w:rPr>
        <w:t>that impact</w:t>
      </w:r>
      <w:r w:rsidRPr="00FE50A6">
        <w:rPr>
          <w:rFonts w:eastAsia="Cambria" w:cs="Times New Roman"/>
          <w:szCs w:val="20"/>
          <w:lang w:val="en-US"/>
        </w:rPr>
        <w:t xml:space="preserve"> the enjoyment and exercise of some of the rights in the American Convention. In this regard, the principle of equality understood as a prohibition </w:t>
      </w:r>
      <w:r w:rsidR="00230B50" w:rsidRPr="00FE50A6">
        <w:rPr>
          <w:rFonts w:eastAsia="Cambria" w:cs="Times New Roman"/>
          <w:szCs w:val="20"/>
          <w:lang w:val="en-US"/>
        </w:rPr>
        <w:t>of</w:t>
      </w:r>
      <w:r w:rsidRPr="00FE50A6">
        <w:rPr>
          <w:rFonts w:eastAsia="Cambria" w:cs="Times New Roman"/>
          <w:szCs w:val="20"/>
          <w:lang w:val="en-US"/>
        </w:rPr>
        <w:t xml:space="preserve"> discrimination is a limited concept for some situations resulting from indirect discrimination that are based on </w:t>
      </w:r>
      <w:r w:rsidRPr="00FE50A6">
        <w:rPr>
          <w:rFonts w:eastAsia="Cambria" w:cs="Times New Roman"/>
          <w:i/>
          <w:szCs w:val="20"/>
          <w:lang w:val="en-US"/>
        </w:rPr>
        <w:t>de facto</w:t>
      </w:r>
      <w:r w:rsidRPr="00FE50A6">
        <w:rPr>
          <w:rFonts w:eastAsia="Cambria" w:cs="Times New Roman"/>
          <w:szCs w:val="20"/>
          <w:lang w:val="en-US"/>
        </w:rPr>
        <w:t xml:space="preserve"> circumstances. Accordingly, non-discrimination</w:t>
      </w:r>
      <w:r w:rsidR="00082F82" w:rsidRPr="00FE50A6">
        <w:rPr>
          <w:rFonts w:eastAsia="Cambria" w:cs="Times New Roman"/>
          <w:szCs w:val="20"/>
          <w:lang w:val="en-US"/>
        </w:rPr>
        <w:t xml:space="preserve"> should be understood</w:t>
      </w:r>
      <w:r w:rsidRPr="00FE50A6">
        <w:rPr>
          <w:rFonts w:eastAsia="Cambria" w:cs="Times New Roman"/>
          <w:szCs w:val="20"/>
          <w:lang w:val="en-US"/>
        </w:rPr>
        <w:t xml:space="preserve"> </w:t>
      </w:r>
      <w:r w:rsidR="00926AAD" w:rsidRPr="00FE50A6">
        <w:rPr>
          <w:rFonts w:eastAsia="Cambria" w:cs="Times New Roman"/>
          <w:szCs w:val="20"/>
          <w:lang w:val="en-US"/>
        </w:rPr>
        <w:t>as</w:t>
      </w:r>
      <w:r w:rsidRPr="00FE50A6">
        <w:rPr>
          <w:rFonts w:eastAsia="Cambria" w:cs="Times New Roman"/>
          <w:szCs w:val="20"/>
          <w:lang w:val="en-US"/>
        </w:rPr>
        <w:t xml:space="preserve"> a situation of disadvantage in which some groups find themselves</w:t>
      </w:r>
      <w:r w:rsidR="00926AAD" w:rsidRPr="00FE50A6">
        <w:rPr>
          <w:rFonts w:eastAsia="Cambria" w:cs="Times New Roman"/>
          <w:szCs w:val="20"/>
          <w:lang w:val="en-US"/>
        </w:rPr>
        <w:t>, which</w:t>
      </w:r>
      <w:r w:rsidRPr="00FE50A6">
        <w:rPr>
          <w:rFonts w:eastAsia="Cambria" w:cs="Times New Roman"/>
          <w:szCs w:val="20"/>
          <w:lang w:val="en-US"/>
        </w:rPr>
        <w:t xml:space="preserve"> can</w:t>
      </w:r>
      <w:r w:rsidR="00926AAD" w:rsidRPr="00FE50A6">
        <w:rPr>
          <w:rFonts w:eastAsia="Cambria" w:cs="Times New Roman"/>
          <w:szCs w:val="20"/>
          <w:lang w:val="en-US"/>
        </w:rPr>
        <w:t xml:space="preserve"> </w:t>
      </w:r>
      <w:r w:rsidRPr="00FE50A6">
        <w:rPr>
          <w:rFonts w:eastAsia="Cambria" w:cs="Times New Roman"/>
          <w:szCs w:val="20"/>
          <w:lang w:val="en-US"/>
        </w:rPr>
        <w:t>subject them to historical conditions of discrimination</w:t>
      </w:r>
      <w:r w:rsidR="00926AAD" w:rsidRPr="00FE50A6">
        <w:rPr>
          <w:rFonts w:eastAsia="Cambria" w:cs="Times New Roman"/>
          <w:szCs w:val="20"/>
          <w:lang w:val="en-US"/>
        </w:rPr>
        <w:t xml:space="preserve"> that, </w:t>
      </w:r>
      <w:r w:rsidRPr="00FE50A6">
        <w:rPr>
          <w:rFonts w:eastAsia="Cambria" w:cs="Times New Roman"/>
          <w:szCs w:val="20"/>
          <w:lang w:val="en-US"/>
        </w:rPr>
        <w:t>at times</w:t>
      </w:r>
      <w:r w:rsidR="00926AAD" w:rsidRPr="00FE50A6">
        <w:rPr>
          <w:rFonts w:eastAsia="Cambria" w:cs="Times New Roman"/>
          <w:szCs w:val="20"/>
          <w:lang w:val="en-US"/>
        </w:rPr>
        <w:t>,</w:t>
      </w:r>
      <w:r w:rsidRPr="00FE50A6">
        <w:rPr>
          <w:rFonts w:eastAsia="Cambria" w:cs="Times New Roman"/>
          <w:szCs w:val="20"/>
          <w:lang w:val="en-US"/>
        </w:rPr>
        <w:t xml:space="preserve"> are endorsed by society. The structural and contextual elements </w:t>
      </w:r>
      <w:r w:rsidR="00926AAD" w:rsidRPr="00FE50A6">
        <w:rPr>
          <w:rFonts w:eastAsia="Cambria" w:cs="Times New Roman"/>
          <w:szCs w:val="20"/>
          <w:lang w:val="en-US"/>
        </w:rPr>
        <w:t>resulting from</w:t>
      </w:r>
      <w:r w:rsidRPr="00FE50A6">
        <w:rPr>
          <w:rFonts w:eastAsia="Cambria" w:cs="Times New Roman"/>
          <w:szCs w:val="20"/>
          <w:lang w:val="en-US"/>
        </w:rPr>
        <w:t xml:space="preserve"> indirect or </w:t>
      </w:r>
      <w:r w:rsidRPr="00FE50A6">
        <w:rPr>
          <w:rFonts w:eastAsia="Cambria" w:cs="Times New Roman"/>
          <w:i/>
          <w:szCs w:val="20"/>
          <w:lang w:val="en-US"/>
        </w:rPr>
        <w:t>de facto</w:t>
      </w:r>
      <w:r w:rsidRPr="00FE50A6">
        <w:rPr>
          <w:rFonts w:eastAsia="Cambria" w:cs="Times New Roman"/>
          <w:szCs w:val="20"/>
          <w:lang w:val="en-US"/>
        </w:rPr>
        <w:t xml:space="preserve"> discrimination allow determ</w:t>
      </w:r>
      <w:r w:rsidR="00926AAD" w:rsidRPr="00FE50A6">
        <w:rPr>
          <w:rFonts w:eastAsia="Cambria" w:cs="Times New Roman"/>
          <w:szCs w:val="20"/>
          <w:lang w:val="en-US"/>
        </w:rPr>
        <w:t>ination of</w:t>
      </w:r>
      <w:r w:rsidRPr="00FE50A6">
        <w:rPr>
          <w:rFonts w:eastAsia="Cambria" w:cs="Times New Roman"/>
          <w:szCs w:val="20"/>
          <w:lang w:val="en-US"/>
        </w:rPr>
        <w:t xml:space="preserve"> whether, in light </w:t>
      </w:r>
      <w:r w:rsidR="00703850" w:rsidRPr="00FE50A6">
        <w:rPr>
          <w:rFonts w:eastAsia="Cambria" w:cs="Arial"/>
          <w:lang w:val="en-US"/>
        </w:rPr>
        <w:t>of Article</w:t>
      </w:r>
      <w:r w:rsidR="000B587F" w:rsidRPr="00FE50A6">
        <w:rPr>
          <w:rFonts w:eastAsia="Cambria" w:cs="Arial"/>
          <w:lang w:val="en-US"/>
        </w:rPr>
        <w:t xml:space="preserve"> 1(1)</w:t>
      </w:r>
      <w:r w:rsidR="000228D0" w:rsidRPr="00FE50A6">
        <w:rPr>
          <w:rFonts w:eastAsia="Cambria" w:cs="Arial"/>
          <w:lang w:val="en-US"/>
        </w:rPr>
        <w:t xml:space="preserve"> of the American Convention</w:t>
      </w:r>
      <w:r w:rsidRPr="00FE50A6">
        <w:rPr>
          <w:rFonts w:eastAsia="Cambria" w:cs="Arial"/>
          <w:lang w:val="en-US"/>
        </w:rPr>
        <w:t>, a specific group of individuals faces a situation of</w:t>
      </w:r>
      <w:r w:rsidR="00130785" w:rsidRPr="00FE50A6">
        <w:rPr>
          <w:rFonts w:eastAsia="Cambria" w:cs="Arial"/>
          <w:lang w:val="en-US"/>
        </w:rPr>
        <w:t xml:space="preserve"> </w:t>
      </w:r>
      <w:r w:rsidR="00C82C2B" w:rsidRPr="00FE50A6">
        <w:rPr>
          <w:rFonts w:eastAsia="Cambria" w:cs="Arial"/>
          <w:lang w:val="en-US"/>
        </w:rPr>
        <w:t>structural discrimination</w:t>
      </w:r>
      <w:r w:rsidR="00130785" w:rsidRPr="00FE50A6">
        <w:rPr>
          <w:rFonts w:eastAsia="Cambria" w:cs="Arial"/>
          <w:lang w:val="en-US"/>
        </w:rPr>
        <w:t xml:space="preserve">. </w:t>
      </w:r>
    </w:p>
    <w:p w14:paraId="5EB327AE" w14:textId="77777777" w:rsidR="00130785" w:rsidRPr="00FE50A6" w:rsidRDefault="00130785" w:rsidP="00130785">
      <w:pPr>
        <w:tabs>
          <w:tab w:val="clear" w:pos="4419"/>
          <w:tab w:val="clear" w:pos="8838"/>
        </w:tabs>
        <w:rPr>
          <w:rFonts w:eastAsia="MS Mincho" w:cs="Arial"/>
          <w:szCs w:val="20"/>
          <w:lang w:val="en-US" w:eastAsia="es-ES"/>
        </w:rPr>
      </w:pPr>
    </w:p>
    <w:p w14:paraId="1A0638DF" w14:textId="77777777" w:rsidR="00130785" w:rsidRPr="00FE50A6" w:rsidRDefault="008C2D7D" w:rsidP="00130785">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Arial"/>
          <w:lang w:val="en-US"/>
        </w:rPr>
        <w:t>These are some</w:t>
      </w:r>
      <w:r w:rsidR="00926AAD" w:rsidRPr="00FE50A6">
        <w:rPr>
          <w:rFonts w:eastAsia="Cambria" w:cs="Arial"/>
          <w:lang w:val="en-US"/>
        </w:rPr>
        <w:t xml:space="preserve"> but not all the </w:t>
      </w:r>
      <w:r w:rsidRPr="00FE50A6">
        <w:rPr>
          <w:rFonts w:eastAsia="Cambria" w:cs="Arial"/>
          <w:lang w:val="en-US"/>
        </w:rPr>
        <w:t xml:space="preserve">elements that </w:t>
      </w:r>
      <w:r w:rsidR="00926AAD" w:rsidRPr="00FE50A6">
        <w:rPr>
          <w:rFonts w:eastAsia="Cambria" w:cs="Arial"/>
          <w:lang w:val="en-US"/>
        </w:rPr>
        <w:t>must</w:t>
      </w:r>
      <w:r w:rsidRPr="00FE50A6">
        <w:rPr>
          <w:rFonts w:eastAsia="Cambria" w:cs="Arial"/>
          <w:lang w:val="en-US"/>
        </w:rPr>
        <w:t xml:space="preserve"> be taken into consideration</w:t>
      </w:r>
      <w:r w:rsidR="00926AAD" w:rsidRPr="00FE50A6">
        <w:rPr>
          <w:rFonts w:eastAsia="Cambria" w:cs="Arial"/>
          <w:lang w:val="en-US"/>
        </w:rPr>
        <w:t xml:space="preserve"> </w:t>
      </w:r>
      <w:r w:rsidR="000C1109" w:rsidRPr="00FE50A6">
        <w:rPr>
          <w:rFonts w:eastAsia="Cambria" w:cs="Arial"/>
          <w:lang w:val="en-US"/>
        </w:rPr>
        <w:t>to determine whether, derived from the context or collective or massive patterns, we are faced with structural discrimination. In this regard, the cases mentioned have consider</w:t>
      </w:r>
      <w:r w:rsidR="00926AAD" w:rsidRPr="00FE50A6">
        <w:rPr>
          <w:rFonts w:eastAsia="Cambria" w:cs="Arial"/>
          <w:lang w:val="en-US"/>
        </w:rPr>
        <w:t>ed</w:t>
      </w:r>
      <w:r w:rsidR="000C1109" w:rsidRPr="00FE50A6">
        <w:rPr>
          <w:rFonts w:eastAsia="Cambria" w:cs="Arial"/>
          <w:lang w:val="en-US"/>
        </w:rPr>
        <w:t xml:space="preserve"> that th</w:t>
      </w:r>
      <w:r w:rsidR="00926AAD" w:rsidRPr="00FE50A6">
        <w:rPr>
          <w:rFonts w:eastAsia="Cambria" w:cs="Arial"/>
          <w:lang w:val="en-US"/>
        </w:rPr>
        <w:t>is</w:t>
      </w:r>
      <w:r w:rsidR="000C1109" w:rsidRPr="00FE50A6">
        <w:rPr>
          <w:rFonts w:eastAsia="Cambria" w:cs="Arial"/>
          <w:lang w:val="en-US"/>
        </w:rPr>
        <w:t xml:space="preserve"> refer</w:t>
      </w:r>
      <w:r w:rsidR="00926AAD" w:rsidRPr="00FE50A6">
        <w:rPr>
          <w:rFonts w:eastAsia="Cambria" w:cs="Arial"/>
          <w:lang w:val="en-US"/>
        </w:rPr>
        <w:t>s</w:t>
      </w:r>
      <w:r w:rsidR="000C1109" w:rsidRPr="00FE50A6">
        <w:rPr>
          <w:rFonts w:eastAsia="Cambria" w:cs="Arial"/>
          <w:lang w:val="en-US"/>
        </w:rPr>
        <w:t xml:space="preserve"> to: (i) a group or groups of individuals </w:t>
      </w:r>
      <w:r w:rsidR="00926AAD" w:rsidRPr="00FE50A6">
        <w:rPr>
          <w:rFonts w:eastAsia="Cambria" w:cs="Arial"/>
          <w:lang w:val="en-US"/>
        </w:rPr>
        <w:t>with</w:t>
      </w:r>
      <w:r w:rsidR="000C1109" w:rsidRPr="00FE50A6">
        <w:rPr>
          <w:rFonts w:eastAsia="Cambria" w:cs="Arial"/>
          <w:lang w:val="en-US"/>
        </w:rPr>
        <w:t xml:space="preserve"> characteristics that cannot be changed or modified by the will of the individual or that are related to historical discriminatory practices, and this group of individuals may</w:t>
      </w:r>
      <w:r w:rsidR="00926AAD" w:rsidRPr="00FE50A6">
        <w:rPr>
          <w:rFonts w:eastAsia="Cambria" w:cs="Arial"/>
          <w:lang w:val="en-US"/>
        </w:rPr>
        <w:t xml:space="preserve"> </w:t>
      </w:r>
      <w:r w:rsidR="000C1109" w:rsidRPr="00FE50A6">
        <w:rPr>
          <w:rFonts w:eastAsia="Cambria" w:cs="Arial"/>
          <w:lang w:val="en-US"/>
        </w:rPr>
        <w:t>be a minority or a majority</w:t>
      </w:r>
      <w:r w:rsidR="00926AAD" w:rsidRPr="00FE50A6">
        <w:rPr>
          <w:rFonts w:eastAsia="Cambria" w:cs="Arial"/>
          <w:lang w:val="en-US"/>
        </w:rPr>
        <w:t>; and to the fact:</w:t>
      </w:r>
      <w:r w:rsidR="000C1109" w:rsidRPr="00FE50A6">
        <w:rPr>
          <w:rFonts w:eastAsia="Cambria" w:cs="Arial"/>
          <w:lang w:val="en-US"/>
        </w:rPr>
        <w:t xml:space="preserve"> (ii) </w:t>
      </w:r>
      <w:r w:rsidR="00926AAD" w:rsidRPr="00FE50A6">
        <w:rPr>
          <w:rFonts w:eastAsia="Cambria" w:cs="Arial"/>
          <w:lang w:val="en-US"/>
        </w:rPr>
        <w:t xml:space="preserve">that </w:t>
      </w:r>
      <w:r w:rsidR="000C1109" w:rsidRPr="00FE50A6">
        <w:rPr>
          <w:rFonts w:eastAsia="Cambria" w:cs="Arial"/>
          <w:lang w:val="en-US"/>
        </w:rPr>
        <w:t xml:space="preserve">these groups have found themselves in a systematic or historical situation of exclusion, marginalization or subordination that prevents access to </w:t>
      </w:r>
      <w:r w:rsidR="00FB26B7" w:rsidRPr="00FE50A6">
        <w:rPr>
          <w:rFonts w:eastAsia="Cambria" w:cs="Arial"/>
          <w:lang w:val="en-US"/>
        </w:rPr>
        <w:t xml:space="preserve">the </w:t>
      </w:r>
      <w:r w:rsidR="000C1109" w:rsidRPr="00FE50A6">
        <w:rPr>
          <w:rFonts w:eastAsia="Cambria" w:cs="Arial"/>
          <w:lang w:val="en-US"/>
        </w:rPr>
        <w:t xml:space="preserve">basic </w:t>
      </w:r>
      <w:r w:rsidR="00FB26B7" w:rsidRPr="00FE50A6">
        <w:rPr>
          <w:rFonts w:eastAsia="Cambria" w:cs="Arial"/>
          <w:lang w:val="en-US"/>
        </w:rPr>
        <w:t>requirements</w:t>
      </w:r>
      <w:r w:rsidR="000C1109" w:rsidRPr="00FE50A6">
        <w:rPr>
          <w:rFonts w:eastAsia="Cambria" w:cs="Arial"/>
          <w:lang w:val="en-US"/>
        </w:rPr>
        <w:t xml:space="preserve"> for human development; (iii) </w:t>
      </w:r>
      <w:r w:rsidR="00926AAD" w:rsidRPr="00FE50A6">
        <w:rPr>
          <w:rFonts w:eastAsia="Cambria" w:cs="Arial"/>
          <w:lang w:val="en-US"/>
        </w:rPr>
        <w:t xml:space="preserve">that </w:t>
      </w:r>
      <w:r w:rsidR="000C1109" w:rsidRPr="00FE50A6">
        <w:rPr>
          <w:rFonts w:eastAsia="Cambria" w:cs="Arial"/>
          <w:lang w:val="en-US"/>
        </w:rPr>
        <w:t xml:space="preserve">the situation of exclusion, marginalization or subordination is concentrated in a specific geographical area or may be present throughout the territory of a State and, in some cases, may be intergenerational, and (iv) </w:t>
      </w:r>
      <w:r w:rsidR="00926AAD" w:rsidRPr="00FE50A6">
        <w:rPr>
          <w:rFonts w:eastAsia="Cambria" w:cs="Arial"/>
          <w:lang w:val="en-US"/>
        </w:rPr>
        <w:t xml:space="preserve">that </w:t>
      </w:r>
      <w:r w:rsidR="000C1109" w:rsidRPr="00FE50A6">
        <w:rPr>
          <w:rFonts w:eastAsia="Cambria" w:cs="Arial"/>
          <w:lang w:val="en-US"/>
        </w:rPr>
        <w:t xml:space="preserve">members of these groups, despite the </w:t>
      </w:r>
      <w:r w:rsidR="00926AAD" w:rsidRPr="00FE50A6">
        <w:rPr>
          <w:rFonts w:eastAsia="Cambria" w:cs="Arial"/>
          <w:lang w:val="en-US"/>
        </w:rPr>
        <w:t>law</w:t>
      </w:r>
      <w:r w:rsidR="00230B50" w:rsidRPr="00FE50A6">
        <w:rPr>
          <w:rFonts w:eastAsia="Cambria" w:cs="Arial"/>
          <w:lang w:val="en-US"/>
        </w:rPr>
        <w:t>’s intention</w:t>
      </w:r>
      <w:r w:rsidR="000C1109" w:rsidRPr="00FE50A6">
        <w:rPr>
          <w:rFonts w:eastAsia="Cambria" w:cs="Arial"/>
          <w:lang w:val="en-US"/>
        </w:rPr>
        <w:t xml:space="preserve">, </w:t>
      </w:r>
      <w:r w:rsidR="00926AAD" w:rsidRPr="00FE50A6">
        <w:rPr>
          <w:rFonts w:eastAsia="Cambria" w:cs="Arial"/>
          <w:lang w:val="en-US"/>
        </w:rPr>
        <w:t>its</w:t>
      </w:r>
      <w:r w:rsidR="000C1109" w:rsidRPr="00FE50A6">
        <w:rPr>
          <w:rFonts w:eastAsia="Cambria" w:cs="Arial"/>
          <w:lang w:val="en-US"/>
        </w:rPr>
        <w:t xml:space="preserve"> neutrality or the express mention of some distinction or explicit restriction based on the provisions and interpretations</w:t>
      </w:r>
      <w:r w:rsidR="000C1109" w:rsidRPr="00FE50A6">
        <w:rPr>
          <w:rFonts w:eastAsia="Cambria" w:cs="System Font Regular"/>
          <w:szCs w:val="20"/>
          <w:lang w:val="en-US"/>
        </w:rPr>
        <w:t xml:space="preserve"> </w:t>
      </w:r>
      <w:r w:rsidR="00703850" w:rsidRPr="00FE50A6">
        <w:rPr>
          <w:rFonts w:eastAsia="Cambria" w:cs="Arial"/>
          <w:lang w:val="en-US"/>
        </w:rPr>
        <w:t>of Article</w:t>
      </w:r>
      <w:r w:rsidR="000B587F" w:rsidRPr="00FE50A6">
        <w:rPr>
          <w:rFonts w:eastAsia="Cambria" w:cs="Arial"/>
          <w:lang w:val="en-US"/>
        </w:rPr>
        <w:t xml:space="preserve"> 1(1)</w:t>
      </w:r>
      <w:r w:rsidR="000228D0" w:rsidRPr="00FE50A6">
        <w:rPr>
          <w:rFonts w:eastAsia="Cambria" w:cs="Arial"/>
          <w:lang w:val="en-US"/>
        </w:rPr>
        <w:t xml:space="preserve"> of the American Convention</w:t>
      </w:r>
      <w:r w:rsidR="00130785" w:rsidRPr="00FE50A6">
        <w:rPr>
          <w:rFonts w:eastAsia="Cambria" w:cs="Arial"/>
          <w:lang w:val="en-US"/>
        </w:rPr>
        <w:t xml:space="preserve">, </w:t>
      </w:r>
      <w:r w:rsidR="000C1109" w:rsidRPr="00FE50A6">
        <w:rPr>
          <w:rFonts w:eastAsia="Cambria" w:cs="Arial"/>
          <w:lang w:val="en-US"/>
        </w:rPr>
        <w:t xml:space="preserve">are victims of indirect </w:t>
      </w:r>
      <w:r w:rsidR="003707E5" w:rsidRPr="00FE50A6">
        <w:rPr>
          <w:rFonts w:eastAsia="Cambria" w:cs="Arial"/>
          <w:lang w:val="en-US"/>
        </w:rPr>
        <w:t>discrimination</w:t>
      </w:r>
      <w:r w:rsidR="00130785" w:rsidRPr="00FE50A6">
        <w:rPr>
          <w:rFonts w:eastAsia="Cambria" w:cs="Arial"/>
          <w:lang w:val="en-US"/>
        </w:rPr>
        <w:t xml:space="preserve"> </w:t>
      </w:r>
      <w:r w:rsidR="000C1109" w:rsidRPr="00FE50A6">
        <w:rPr>
          <w:rFonts w:eastAsia="Cambria" w:cs="Arial"/>
          <w:lang w:val="en-US"/>
        </w:rPr>
        <w:t>or</w:t>
      </w:r>
      <w:r w:rsidR="00130785" w:rsidRPr="00FE50A6">
        <w:rPr>
          <w:rFonts w:eastAsia="Cambria" w:cs="Arial"/>
          <w:lang w:val="en-US"/>
        </w:rPr>
        <w:t xml:space="preserve"> </w:t>
      </w:r>
      <w:r w:rsidR="000C1109" w:rsidRPr="00FE50A6">
        <w:rPr>
          <w:rFonts w:eastAsia="Cambria" w:cs="Arial"/>
          <w:i/>
          <w:lang w:val="en-US"/>
        </w:rPr>
        <w:t>de</w:t>
      </w:r>
      <w:r w:rsidR="000C1109" w:rsidRPr="00FE50A6">
        <w:rPr>
          <w:rFonts w:eastAsia="Cambria" w:cs="Arial"/>
          <w:lang w:val="en-US"/>
        </w:rPr>
        <w:t xml:space="preserve"> </w:t>
      </w:r>
      <w:r w:rsidR="000C1109" w:rsidRPr="00FE50A6">
        <w:rPr>
          <w:rFonts w:eastAsia="Cambria" w:cs="Arial"/>
          <w:i/>
          <w:lang w:val="en-US"/>
        </w:rPr>
        <w:t>facto</w:t>
      </w:r>
      <w:r w:rsidR="00130785" w:rsidRPr="00FE50A6">
        <w:rPr>
          <w:rFonts w:eastAsia="Cambria" w:cs="Arial"/>
          <w:lang w:val="en-US"/>
        </w:rPr>
        <w:t xml:space="preserve"> </w:t>
      </w:r>
      <w:r w:rsidR="003707E5" w:rsidRPr="00FE50A6">
        <w:rPr>
          <w:rFonts w:eastAsia="Cambria" w:cs="Arial"/>
          <w:lang w:val="en-US"/>
        </w:rPr>
        <w:t>discrimination</w:t>
      </w:r>
      <w:r w:rsidR="00130785" w:rsidRPr="00FE50A6">
        <w:rPr>
          <w:rFonts w:eastAsia="Cambria" w:cs="Arial"/>
          <w:i/>
          <w:lang w:val="en-US"/>
        </w:rPr>
        <w:t>,</w:t>
      </w:r>
      <w:r w:rsidR="00130785" w:rsidRPr="00FE50A6">
        <w:rPr>
          <w:rFonts w:eastAsia="Cambria" w:cs="Arial"/>
          <w:lang w:val="en-US"/>
        </w:rPr>
        <w:t xml:space="preserve"> </w:t>
      </w:r>
      <w:r w:rsidR="000C1109" w:rsidRPr="00FE50A6">
        <w:rPr>
          <w:rFonts w:eastAsia="Cambria" w:cs="Arial"/>
          <w:lang w:val="en-US"/>
        </w:rPr>
        <w:t xml:space="preserve">owing to the </w:t>
      </w:r>
      <w:r w:rsidR="009308B1" w:rsidRPr="00FE50A6">
        <w:rPr>
          <w:rFonts w:eastAsia="Cambria" w:cs="Arial"/>
          <w:lang w:val="en-US"/>
        </w:rPr>
        <w:t>State’s ac</w:t>
      </w:r>
      <w:r w:rsidR="00926AAD" w:rsidRPr="00FE50A6">
        <w:rPr>
          <w:rFonts w:eastAsia="Cambria" w:cs="Arial"/>
          <w:lang w:val="en-US"/>
        </w:rPr>
        <w:t>t</w:t>
      </w:r>
      <w:r w:rsidR="00270B76" w:rsidRPr="00FE50A6">
        <w:rPr>
          <w:rFonts w:eastAsia="Cambria" w:cs="Arial"/>
          <w:lang w:val="en-US"/>
        </w:rPr>
        <w:t>ion</w:t>
      </w:r>
      <w:r w:rsidR="009308B1" w:rsidRPr="00FE50A6">
        <w:rPr>
          <w:rFonts w:eastAsia="Cambria" w:cs="Arial"/>
          <w:lang w:val="en-US"/>
        </w:rPr>
        <w:t xml:space="preserve">s or its application of measures or </w:t>
      </w:r>
      <w:r w:rsidR="00270B76" w:rsidRPr="00FE50A6">
        <w:rPr>
          <w:rFonts w:eastAsia="Cambria" w:cs="Arial"/>
          <w:lang w:val="en-US"/>
        </w:rPr>
        <w:t>laws</w:t>
      </w:r>
      <w:r w:rsidR="009308B1" w:rsidRPr="00FE50A6">
        <w:rPr>
          <w:rFonts w:eastAsia="Cambria" w:cs="Arial"/>
          <w:lang w:val="en-US"/>
        </w:rPr>
        <w:t>.</w:t>
      </w:r>
    </w:p>
    <w:p w14:paraId="7BC083BF" w14:textId="77777777" w:rsidR="00130785" w:rsidRPr="00FE50A6" w:rsidRDefault="00130785" w:rsidP="00130785">
      <w:pPr>
        <w:tabs>
          <w:tab w:val="clear" w:pos="4419"/>
          <w:tab w:val="clear" w:pos="8838"/>
        </w:tabs>
        <w:contextualSpacing/>
        <w:jc w:val="both"/>
        <w:rPr>
          <w:rFonts w:eastAsia="Cambria" w:cs="System Font Regular"/>
          <w:szCs w:val="20"/>
          <w:lang w:val="en-US"/>
        </w:rPr>
      </w:pPr>
    </w:p>
    <w:p w14:paraId="238B3432" w14:textId="77777777" w:rsidR="00270B76" w:rsidRPr="00FE50A6" w:rsidRDefault="00130785" w:rsidP="00B44229">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 xml:space="preserve">VI. </w:t>
      </w:r>
      <w:r w:rsidR="009308B1" w:rsidRPr="00FE50A6">
        <w:rPr>
          <w:rFonts w:eastAsia="Cambria" w:cs="Times New Roman"/>
          <w:szCs w:val="20"/>
          <w:lang w:val="en-US"/>
        </w:rPr>
        <w:t xml:space="preserve">THE SCOPE OF </w:t>
      </w:r>
      <w:r w:rsidR="00311174" w:rsidRPr="00FE50A6">
        <w:rPr>
          <w:rFonts w:eastAsia="Cambria" w:cs="Times New Roman"/>
          <w:szCs w:val="20"/>
          <w:lang w:val="en-US"/>
        </w:rPr>
        <w:t>HISTORIC</w:t>
      </w:r>
      <w:r w:rsidR="009308B1" w:rsidRPr="00FE50A6">
        <w:rPr>
          <w:rFonts w:eastAsia="Cambria" w:cs="Times New Roman"/>
          <w:szCs w:val="20"/>
          <w:lang w:val="en-US"/>
        </w:rPr>
        <w:t>AL</w:t>
      </w:r>
      <w:r w:rsidR="00311174" w:rsidRPr="00FE50A6">
        <w:rPr>
          <w:rFonts w:eastAsia="Cambria" w:cs="Times New Roman"/>
          <w:szCs w:val="20"/>
          <w:lang w:val="en-US"/>
        </w:rPr>
        <w:t xml:space="preserve"> STRUCTURAL DISCRIMINATION</w:t>
      </w:r>
      <w:r w:rsidRPr="00FE50A6">
        <w:rPr>
          <w:rFonts w:eastAsia="Cambria" w:cs="Times New Roman"/>
          <w:szCs w:val="20"/>
          <w:lang w:val="en-US"/>
        </w:rPr>
        <w:t xml:space="preserve"> </w:t>
      </w:r>
      <w:r w:rsidR="006C3699" w:rsidRPr="00FE50A6">
        <w:rPr>
          <w:rFonts w:eastAsia="Cambria" w:cs="Times New Roman"/>
          <w:szCs w:val="20"/>
          <w:lang w:val="en-US"/>
        </w:rPr>
        <w:t xml:space="preserve">IN </w:t>
      </w:r>
    </w:p>
    <w:p w14:paraId="2E5E14BE" w14:textId="77777777" w:rsidR="00130785" w:rsidRPr="00FE50A6" w:rsidRDefault="006C3699" w:rsidP="00B44229">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THE CASE OF</w:t>
      </w:r>
      <w:r w:rsidR="00130785" w:rsidRPr="00FE50A6">
        <w:rPr>
          <w:rFonts w:eastAsia="Cambria" w:cs="Times New Roman"/>
          <w:szCs w:val="20"/>
          <w:lang w:val="en-US"/>
        </w:rPr>
        <w:t xml:space="preserve"> </w:t>
      </w:r>
      <w:r w:rsidR="009308B1" w:rsidRPr="00FE50A6">
        <w:rPr>
          <w:rFonts w:eastAsia="Cambria" w:cs="Times New Roman"/>
          <w:szCs w:val="20"/>
          <w:lang w:val="en-US"/>
        </w:rPr>
        <w:t>THE</w:t>
      </w:r>
      <w:r w:rsidR="00130785" w:rsidRPr="00FE50A6">
        <w:rPr>
          <w:rFonts w:eastAsia="Cambria" w:cs="Times New Roman"/>
          <w:szCs w:val="20"/>
          <w:lang w:val="en-US"/>
        </w:rPr>
        <w:t xml:space="preserve"> </w:t>
      </w:r>
      <w:r w:rsidR="00030C17" w:rsidRPr="00FE50A6">
        <w:rPr>
          <w:rFonts w:eastAsia="Cambria" w:cs="Times New Roman"/>
          <w:szCs w:val="20"/>
          <w:lang w:val="en-US"/>
        </w:rPr>
        <w:t xml:space="preserve">HACIENDA </w:t>
      </w:r>
      <w:r w:rsidR="00322241" w:rsidRPr="00FE50A6">
        <w:rPr>
          <w:rFonts w:eastAsia="Cambria" w:cs="Times New Roman"/>
          <w:szCs w:val="20"/>
          <w:lang w:val="en-US"/>
        </w:rPr>
        <w:t>BRASIL VERDE</w:t>
      </w:r>
      <w:r w:rsidR="00030C17" w:rsidRPr="00FE50A6">
        <w:rPr>
          <w:rFonts w:eastAsia="Cambria" w:cs="Times New Roman"/>
          <w:szCs w:val="20"/>
          <w:lang w:val="en-US"/>
        </w:rPr>
        <w:t xml:space="preserve"> WORKERS</w:t>
      </w:r>
      <w:r w:rsidR="00130785" w:rsidRPr="00FE50A6">
        <w:rPr>
          <w:rFonts w:eastAsia="Cambria" w:cs="Times New Roman"/>
          <w:szCs w:val="20"/>
          <w:lang w:val="en-US"/>
        </w:rPr>
        <w:t xml:space="preserve"> </w:t>
      </w:r>
    </w:p>
    <w:p w14:paraId="6A4E87CD" w14:textId="77777777" w:rsidR="00130785" w:rsidRPr="00FE50A6" w:rsidRDefault="00130785" w:rsidP="00130785">
      <w:pPr>
        <w:tabs>
          <w:tab w:val="clear" w:pos="4419"/>
          <w:tab w:val="clear" w:pos="8838"/>
        </w:tabs>
        <w:rPr>
          <w:rFonts w:eastAsia="MS Mincho" w:cs="System Font Regular"/>
          <w:sz w:val="24"/>
          <w:szCs w:val="24"/>
          <w:lang w:val="en-US" w:eastAsia="es-ES"/>
        </w:rPr>
      </w:pPr>
    </w:p>
    <w:p w14:paraId="61BCA7F3" w14:textId="77777777" w:rsidR="00130785" w:rsidRPr="00FE50A6" w:rsidRDefault="0088467F" w:rsidP="009308B1">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In this case</w:t>
      </w:r>
      <w:r w:rsidR="009308B1" w:rsidRPr="00FE50A6">
        <w:rPr>
          <w:rFonts w:eastAsia="Cambria" w:cs="Times New Roman"/>
          <w:lang w:val="en-US"/>
        </w:rPr>
        <w:t>,</w:t>
      </w:r>
      <w:r w:rsidR="00130785" w:rsidRPr="00FE50A6">
        <w:rPr>
          <w:rFonts w:eastAsia="Cambria" w:cs="Times New Roman"/>
          <w:lang w:val="en-US"/>
        </w:rPr>
        <w:t xml:space="preserve"> </w:t>
      </w:r>
      <w:r w:rsidR="00CD3CCC" w:rsidRPr="00FE50A6">
        <w:rPr>
          <w:rFonts w:eastAsia="Cambria" w:cs="Times New Roman"/>
          <w:lang w:val="en-US"/>
        </w:rPr>
        <w:t>the Inter-American Court</w:t>
      </w:r>
      <w:r w:rsidR="009308B1" w:rsidRPr="00FE50A6">
        <w:rPr>
          <w:rFonts w:eastAsia="Cambria" w:cs="Times New Roman"/>
          <w:lang w:val="en-US"/>
        </w:rPr>
        <w:t xml:space="preserve"> found it proved that the slave trade has been historically linked to </w:t>
      </w:r>
      <w:r w:rsidR="005F1946" w:rsidRPr="00FE50A6">
        <w:rPr>
          <w:rFonts w:eastAsia="Cambria" w:cs="Times New Roman"/>
          <w:lang w:val="en-US"/>
        </w:rPr>
        <w:t>forced labor</w:t>
      </w:r>
      <w:r w:rsidR="00E368FD" w:rsidRPr="00FE50A6">
        <w:rPr>
          <w:rFonts w:eastAsia="Cambria" w:cs="Times New Roman"/>
          <w:lang w:val="en-US"/>
        </w:rPr>
        <w:t xml:space="preserve"> in Brazil</w:t>
      </w:r>
      <w:r w:rsidR="009308B1" w:rsidRPr="00FE50A6">
        <w:rPr>
          <w:rFonts w:eastAsia="Cambria" w:cs="Times New Roman"/>
          <w:lang w:val="en-US"/>
        </w:rPr>
        <w:t>.</w:t>
      </w:r>
      <w:r w:rsidR="00130785" w:rsidRPr="00FE50A6">
        <w:rPr>
          <w:rFonts w:eastAsia="Cambria" w:cs="Times New Roman"/>
          <w:szCs w:val="20"/>
          <w:vertAlign w:val="superscript"/>
          <w:lang w:val="en-US"/>
        </w:rPr>
        <w:footnoteReference w:id="640"/>
      </w:r>
      <w:r w:rsidR="009308B1" w:rsidRPr="00FE50A6">
        <w:rPr>
          <w:rFonts w:eastAsia="Cambria" w:cs="Times New Roman"/>
          <w:lang w:val="en-US"/>
        </w:rPr>
        <w:t xml:space="preserve"> </w:t>
      </w:r>
      <w:r w:rsidR="00270B76" w:rsidRPr="00FE50A6">
        <w:rPr>
          <w:rFonts w:eastAsia="Cambria" w:cs="Times New Roman"/>
          <w:lang w:val="en-US"/>
        </w:rPr>
        <w:t>E</w:t>
      </w:r>
      <w:r w:rsidR="009308B1" w:rsidRPr="00FE50A6">
        <w:rPr>
          <w:rFonts w:eastAsia="Cambria" w:cs="Times New Roman"/>
          <w:lang w:val="en-US"/>
        </w:rPr>
        <w:t xml:space="preserve">ven though slavery has been abolished </w:t>
      </w:r>
      <w:r w:rsidR="00130785" w:rsidRPr="00FE50A6">
        <w:rPr>
          <w:rFonts w:eastAsia="Cambria" w:cs="Times New Roman"/>
          <w:lang w:val="en-US"/>
        </w:rPr>
        <w:t xml:space="preserve">(1888), </w:t>
      </w:r>
      <w:r w:rsidR="009308B1" w:rsidRPr="00FE50A6">
        <w:rPr>
          <w:rFonts w:eastAsia="Cambria" w:cs="Times New Roman"/>
          <w:lang w:val="en-US"/>
        </w:rPr>
        <w:t xml:space="preserve">poverty and the concentration of </w:t>
      </w:r>
      <w:r w:rsidR="00130785" w:rsidRPr="00FE50A6">
        <w:rPr>
          <w:rFonts w:eastAsia="Cambria" w:cs="Times New Roman"/>
          <w:lang w:val="en-US"/>
        </w:rPr>
        <w:t>la</w:t>
      </w:r>
      <w:r w:rsidR="009308B1" w:rsidRPr="00FE50A6">
        <w:rPr>
          <w:rFonts w:eastAsia="Cambria" w:cs="Times New Roman"/>
          <w:lang w:val="en-US"/>
        </w:rPr>
        <w:t xml:space="preserve">nd ownership </w:t>
      </w:r>
      <w:r w:rsidR="00270B76" w:rsidRPr="00FE50A6">
        <w:rPr>
          <w:rFonts w:eastAsia="Cambria" w:cs="Times New Roman"/>
          <w:lang w:val="en-US"/>
        </w:rPr>
        <w:t>have been</w:t>
      </w:r>
      <w:r w:rsidR="009308B1" w:rsidRPr="00FE50A6">
        <w:rPr>
          <w:rFonts w:eastAsia="Cambria" w:cs="Times New Roman"/>
          <w:lang w:val="en-US"/>
        </w:rPr>
        <w:t xml:space="preserve"> structural reasons for the </w:t>
      </w:r>
      <w:r w:rsidR="00270B76" w:rsidRPr="00FE50A6">
        <w:rPr>
          <w:rFonts w:eastAsia="Cambria" w:cs="Times New Roman"/>
          <w:lang w:val="en-US"/>
        </w:rPr>
        <w:t>persistence</w:t>
      </w:r>
      <w:r w:rsidR="009308B1" w:rsidRPr="00FE50A6">
        <w:rPr>
          <w:rFonts w:eastAsia="Cambria" w:cs="Times New Roman"/>
          <w:lang w:val="en-US"/>
        </w:rPr>
        <w:t xml:space="preserve"> of </w:t>
      </w:r>
      <w:r w:rsidR="005F1946" w:rsidRPr="00FE50A6">
        <w:rPr>
          <w:rFonts w:eastAsia="Cambria" w:cs="Times New Roman"/>
          <w:lang w:val="en-US"/>
        </w:rPr>
        <w:t>slave labor</w:t>
      </w:r>
      <w:r w:rsidR="00E368FD" w:rsidRPr="00FE50A6">
        <w:rPr>
          <w:rFonts w:eastAsia="Cambria" w:cs="Times New Roman"/>
          <w:lang w:val="en-US"/>
        </w:rPr>
        <w:t xml:space="preserve"> in Brazil</w:t>
      </w:r>
      <w:r w:rsidR="00270B76" w:rsidRPr="00FE50A6">
        <w:rPr>
          <w:rFonts w:eastAsia="Cambria" w:cs="Times New Roman"/>
          <w:lang w:val="en-US"/>
        </w:rPr>
        <w:t>.</w:t>
      </w:r>
      <w:r w:rsidR="009308B1" w:rsidRPr="00FE50A6">
        <w:rPr>
          <w:rFonts w:eastAsia="Cambria" w:cs="Times New Roman"/>
          <w:lang w:val="en-US"/>
        </w:rPr>
        <w:t xml:space="preserve"> </w:t>
      </w:r>
      <w:r w:rsidR="00270B76" w:rsidRPr="00FE50A6">
        <w:rPr>
          <w:rFonts w:eastAsia="Cambria" w:cs="Times New Roman"/>
          <w:lang w:val="en-US"/>
        </w:rPr>
        <w:t>S</w:t>
      </w:r>
      <w:r w:rsidR="009308B1" w:rsidRPr="00FE50A6">
        <w:rPr>
          <w:rFonts w:eastAsia="Cambria" w:cs="Times New Roman"/>
          <w:lang w:val="en-US"/>
        </w:rPr>
        <w:t>ince the</w:t>
      </w:r>
      <w:r w:rsidR="00270B76" w:rsidRPr="00FE50A6">
        <w:rPr>
          <w:rFonts w:eastAsia="Cambria" w:cs="Times New Roman"/>
          <w:lang w:val="en-US"/>
        </w:rPr>
        <w:t>y</w:t>
      </w:r>
      <w:r w:rsidR="009308B1" w:rsidRPr="00FE50A6">
        <w:rPr>
          <w:rFonts w:eastAsia="Cambria" w:cs="Times New Roman"/>
          <w:lang w:val="en-US"/>
        </w:rPr>
        <w:t xml:space="preserve"> had no land of their own or stable employment, many workers in Brazil submitted to situations of exploitation accepting the risk of falling into </w:t>
      </w:r>
      <w:r w:rsidR="00082508" w:rsidRPr="00FE50A6">
        <w:rPr>
          <w:rFonts w:eastAsia="Cambria" w:cs="Times New Roman"/>
          <w:lang w:val="en-US"/>
        </w:rPr>
        <w:t xml:space="preserve">situations </w:t>
      </w:r>
      <w:r w:rsidR="009308B1" w:rsidRPr="00FE50A6">
        <w:rPr>
          <w:rFonts w:eastAsia="Cambria" w:cs="Times New Roman"/>
          <w:lang w:val="en-US"/>
        </w:rPr>
        <w:t>of inhuman and degrading work. In 2010, the ILO considered that approximately 25,000 individuals were</w:t>
      </w:r>
      <w:r w:rsidR="00082508" w:rsidRPr="00FE50A6">
        <w:rPr>
          <w:rFonts w:eastAsia="Cambria" w:cs="Times New Roman"/>
          <w:lang w:val="en-US"/>
        </w:rPr>
        <w:t xml:space="preserve"> trapped in situations of</w:t>
      </w:r>
      <w:r w:rsidR="009308B1" w:rsidRPr="00FE50A6">
        <w:rPr>
          <w:rFonts w:eastAsia="Cambria" w:cs="Times New Roman"/>
          <w:lang w:val="en-US"/>
        </w:rPr>
        <w:t xml:space="preserve"> forced labor in the territory of Brazil.</w:t>
      </w:r>
      <w:r w:rsidR="00130785" w:rsidRPr="00FE50A6">
        <w:rPr>
          <w:rFonts w:eastAsia="Cambria" w:cs="Times New Roman"/>
          <w:szCs w:val="20"/>
          <w:vertAlign w:val="superscript"/>
          <w:lang w:val="en-US"/>
        </w:rPr>
        <w:footnoteReference w:id="641"/>
      </w:r>
      <w:r w:rsidR="009308B1" w:rsidRPr="00FE50A6">
        <w:rPr>
          <w:rFonts w:eastAsia="Cambria" w:cs="Times New Roman"/>
          <w:lang w:val="en-US"/>
        </w:rPr>
        <w:t xml:space="preserve"> In addition, it has been proved that most victims of slave labor in Brazil are workers from parts of the states that are characterized by </w:t>
      </w:r>
      <w:r w:rsidR="00082508" w:rsidRPr="00FE50A6">
        <w:rPr>
          <w:rFonts w:eastAsia="Cambria" w:cs="Times New Roman"/>
          <w:lang w:val="en-US"/>
        </w:rPr>
        <w:t xml:space="preserve">extreme </w:t>
      </w:r>
      <w:r w:rsidR="009308B1" w:rsidRPr="00FE50A6">
        <w:rPr>
          <w:rFonts w:eastAsia="Cambria" w:cs="Times New Roman"/>
          <w:lang w:val="en-US"/>
        </w:rPr>
        <w:t>po</w:t>
      </w:r>
      <w:r w:rsidR="00082508" w:rsidRPr="00FE50A6">
        <w:rPr>
          <w:rFonts w:eastAsia="Cambria" w:cs="Times New Roman"/>
          <w:lang w:val="en-US"/>
        </w:rPr>
        <w:t>verty</w:t>
      </w:r>
      <w:r w:rsidR="009308B1" w:rsidRPr="00FE50A6">
        <w:rPr>
          <w:rFonts w:eastAsia="Cambria" w:cs="Times New Roman"/>
          <w:lang w:val="en-US"/>
        </w:rPr>
        <w:t xml:space="preserve">, with the highest levels of illiteracy and rural </w:t>
      </w:r>
      <w:r w:rsidR="00082508" w:rsidRPr="00FE50A6">
        <w:rPr>
          <w:rFonts w:eastAsia="Cambria" w:cs="Times New Roman"/>
          <w:lang w:val="en-US"/>
        </w:rPr>
        <w:t>un</w:t>
      </w:r>
      <w:r w:rsidR="009308B1" w:rsidRPr="00FE50A6">
        <w:rPr>
          <w:rFonts w:eastAsia="Cambria" w:cs="Times New Roman"/>
          <w:lang w:val="en-US"/>
        </w:rPr>
        <w:t>employment</w:t>
      </w:r>
      <w:r w:rsidR="00130785" w:rsidRPr="00FE50A6">
        <w:rPr>
          <w:rFonts w:eastAsia="Cambria" w:cs="Times New Roman"/>
          <w:lang w:val="en-US"/>
        </w:rPr>
        <w:t xml:space="preserve"> (</w:t>
      </w:r>
      <w:r w:rsidR="009308B1" w:rsidRPr="00FE50A6">
        <w:rPr>
          <w:rFonts w:eastAsia="Cambria" w:cs="Times New Roman"/>
          <w:lang w:val="en-US"/>
        </w:rPr>
        <w:t xml:space="preserve">such as </w:t>
      </w:r>
      <w:r w:rsidR="00130785" w:rsidRPr="00FE50A6">
        <w:rPr>
          <w:rFonts w:eastAsia="Cambria" w:cs="Times New Roman"/>
          <w:lang w:val="en-US"/>
        </w:rPr>
        <w:t xml:space="preserve">Maranhão, Píauí, Tocatins). </w:t>
      </w:r>
      <w:r w:rsidR="009308B1" w:rsidRPr="00FE50A6">
        <w:rPr>
          <w:rFonts w:eastAsia="Cambria" w:cs="Times New Roman"/>
          <w:lang w:val="en-US"/>
        </w:rPr>
        <w:t xml:space="preserve">Workers from these states </w:t>
      </w:r>
      <w:r w:rsidR="00082508" w:rsidRPr="00FE50A6">
        <w:rPr>
          <w:rFonts w:eastAsia="Cambria" w:cs="Times New Roman"/>
          <w:lang w:val="en-US"/>
        </w:rPr>
        <w:t>migrate</w:t>
      </w:r>
      <w:r w:rsidR="002F0543" w:rsidRPr="00FE50A6">
        <w:rPr>
          <w:rFonts w:eastAsia="Cambria" w:cs="Times New Roman"/>
          <w:lang w:val="en-US"/>
        </w:rPr>
        <w:t xml:space="preserve"> to states with the greatest demand for </w:t>
      </w:r>
      <w:r w:rsidR="005F1946" w:rsidRPr="00FE50A6">
        <w:rPr>
          <w:rFonts w:eastAsia="Cambria" w:cs="Times New Roman"/>
          <w:lang w:val="en-US"/>
        </w:rPr>
        <w:t>slave labor</w:t>
      </w:r>
      <w:r w:rsidR="00130785" w:rsidRPr="00FE50A6">
        <w:rPr>
          <w:rFonts w:eastAsia="Cambria" w:cs="Times New Roman"/>
          <w:lang w:val="en-US"/>
        </w:rPr>
        <w:t>: Pará, Mato Grosso</w:t>
      </w:r>
      <w:r w:rsidR="00030C17" w:rsidRPr="00FE50A6">
        <w:rPr>
          <w:rFonts w:eastAsia="Cambria" w:cs="Times New Roman"/>
          <w:lang w:val="en-US"/>
        </w:rPr>
        <w:t xml:space="preserve"> and </w:t>
      </w:r>
      <w:r w:rsidR="00130785" w:rsidRPr="00FE50A6">
        <w:rPr>
          <w:rFonts w:eastAsia="Cambria" w:cs="Times New Roman"/>
          <w:lang w:val="en-US"/>
        </w:rPr>
        <w:t>Tocantins</w:t>
      </w:r>
      <w:r w:rsidR="002F0543" w:rsidRPr="00FE50A6">
        <w:rPr>
          <w:rFonts w:eastAsia="Cambria" w:cs="Times New Roman"/>
          <w:lang w:val="en-US"/>
        </w:rPr>
        <w:t>.</w:t>
      </w:r>
      <w:r w:rsidR="00130785" w:rsidRPr="00FE50A6">
        <w:rPr>
          <w:rFonts w:eastAsia="Cambria" w:cs="Times New Roman"/>
          <w:szCs w:val="20"/>
          <w:vertAlign w:val="superscript"/>
          <w:lang w:val="en-US"/>
        </w:rPr>
        <w:footnoteReference w:id="642"/>
      </w:r>
      <w:r w:rsidR="002F0543" w:rsidRPr="00FE50A6">
        <w:rPr>
          <w:rFonts w:eastAsia="Cambria" w:cs="Times New Roman"/>
          <w:lang w:val="en-US"/>
        </w:rPr>
        <w:t xml:space="preserve"> The workers, mostly poor Afro</w:t>
      </w:r>
      <w:r w:rsidR="00082508" w:rsidRPr="00FE50A6">
        <w:rPr>
          <w:rFonts w:eastAsia="Cambria" w:cs="Times New Roman"/>
          <w:lang w:val="en-US"/>
        </w:rPr>
        <w:t>-</w:t>
      </w:r>
      <w:r w:rsidR="002F0543" w:rsidRPr="00FE50A6">
        <w:rPr>
          <w:rFonts w:eastAsia="Cambria" w:cs="Times New Roman"/>
          <w:lang w:val="en-US"/>
        </w:rPr>
        <w:t xml:space="preserve">descendant or mulatto men, </w:t>
      </w:r>
      <w:r w:rsidR="00082508" w:rsidRPr="00FE50A6">
        <w:rPr>
          <w:rFonts w:eastAsia="Cambria" w:cs="Times New Roman"/>
          <w:lang w:val="en-US"/>
        </w:rPr>
        <w:t>from</w:t>
      </w:r>
      <w:r w:rsidR="002F0543" w:rsidRPr="00FE50A6">
        <w:rPr>
          <w:rFonts w:eastAsia="Cambria" w:cs="Times New Roman"/>
          <w:lang w:val="en-US"/>
        </w:rPr>
        <w:t xml:space="preserve"> 1</w:t>
      </w:r>
      <w:r w:rsidR="00082508" w:rsidRPr="00FE50A6">
        <w:rPr>
          <w:rFonts w:eastAsia="Cambria" w:cs="Times New Roman"/>
          <w:lang w:val="en-US"/>
        </w:rPr>
        <w:t>5</w:t>
      </w:r>
      <w:r w:rsidR="002F0543" w:rsidRPr="00FE50A6">
        <w:rPr>
          <w:rFonts w:eastAsia="Cambria" w:cs="Times New Roman"/>
          <w:lang w:val="en-US"/>
        </w:rPr>
        <w:t xml:space="preserve"> </w:t>
      </w:r>
      <w:r w:rsidR="00082508" w:rsidRPr="00FE50A6">
        <w:rPr>
          <w:rFonts w:eastAsia="Cambria" w:cs="Times New Roman"/>
          <w:lang w:val="en-US"/>
        </w:rPr>
        <w:t>to</w:t>
      </w:r>
      <w:r w:rsidR="002F0543" w:rsidRPr="00FE50A6">
        <w:rPr>
          <w:rFonts w:eastAsia="Cambria" w:cs="Times New Roman"/>
          <w:lang w:val="en-US"/>
        </w:rPr>
        <w:t xml:space="preserve"> 40</w:t>
      </w:r>
      <w:r w:rsidR="00082508" w:rsidRPr="00FE50A6">
        <w:rPr>
          <w:rFonts w:eastAsia="Cambria" w:cs="Times New Roman"/>
          <w:lang w:val="en-US"/>
        </w:rPr>
        <w:t xml:space="preserve"> years of age</w:t>
      </w:r>
      <w:r w:rsidR="002F0543" w:rsidRPr="00FE50A6">
        <w:rPr>
          <w:rFonts w:eastAsia="Cambria" w:cs="Times New Roman"/>
          <w:lang w:val="en-US"/>
        </w:rPr>
        <w:t>, are recruited</w:t>
      </w:r>
      <w:r w:rsidR="00082508" w:rsidRPr="00FE50A6">
        <w:rPr>
          <w:rFonts w:eastAsia="Cambria" w:cs="Times New Roman"/>
          <w:lang w:val="en-US"/>
        </w:rPr>
        <w:t xml:space="preserve"> </w:t>
      </w:r>
      <w:r w:rsidR="002F0543" w:rsidRPr="00FE50A6">
        <w:rPr>
          <w:rFonts w:eastAsia="Cambria" w:cs="Times New Roman"/>
          <w:lang w:val="en-US"/>
        </w:rPr>
        <w:t xml:space="preserve">by </w:t>
      </w:r>
      <w:r w:rsidR="009C48A4" w:rsidRPr="00FE50A6">
        <w:rPr>
          <w:rFonts w:eastAsia="Cambria" w:cs="Times New Roman"/>
          <w:lang w:val="en-US"/>
        </w:rPr>
        <w:t>“</w:t>
      </w:r>
      <w:r w:rsidR="00130785" w:rsidRPr="00FE50A6">
        <w:rPr>
          <w:rFonts w:eastAsia="Cambria" w:cs="Times New Roman"/>
          <w:i/>
          <w:lang w:val="en-US"/>
        </w:rPr>
        <w:t>gatos</w:t>
      </w:r>
      <w:r w:rsidR="009C48A4" w:rsidRPr="00FE50A6">
        <w:rPr>
          <w:rFonts w:eastAsia="Cambria" w:cs="Times New Roman"/>
          <w:lang w:val="en-US"/>
        </w:rPr>
        <w:t>”</w:t>
      </w:r>
      <w:r w:rsidR="00082508" w:rsidRPr="00FE50A6">
        <w:rPr>
          <w:rFonts w:eastAsia="Cambria" w:cs="Times New Roman"/>
          <w:lang w:val="en-US"/>
        </w:rPr>
        <w:t xml:space="preserve"> in their states of origin </w:t>
      </w:r>
      <w:r w:rsidR="002F0543" w:rsidRPr="00FE50A6">
        <w:rPr>
          <w:rFonts w:eastAsia="Cambria" w:cs="Times New Roman"/>
          <w:lang w:val="en-US"/>
        </w:rPr>
        <w:t xml:space="preserve">to work in </w:t>
      </w:r>
      <w:r w:rsidR="00082508" w:rsidRPr="00FE50A6">
        <w:rPr>
          <w:rFonts w:eastAsia="Cambria" w:cs="Times New Roman"/>
          <w:lang w:val="en-US"/>
        </w:rPr>
        <w:t>distant</w:t>
      </w:r>
      <w:r w:rsidR="002F0543" w:rsidRPr="00FE50A6">
        <w:rPr>
          <w:rFonts w:eastAsia="Cambria" w:cs="Times New Roman"/>
          <w:lang w:val="en-US"/>
        </w:rPr>
        <w:t xml:space="preserve"> states with the promise of attractive salaries.</w:t>
      </w:r>
      <w:r w:rsidR="00130785" w:rsidRPr="00FE50A6">
        <w:rPr>
          <w:rFonts w:eastAsia="Cambria" w:cs="Times New Roman"/>
          <w:szCs w:val="20"/>
          <w:vertAlign w:val="superscript"/>
          <w:lang w:val="en-US"/>
        </w:rPr>
        <w:footnoteReference w:id="643"/>
      </w:r>
      <w:r w:rsidR="00130785" w:rsidRPr="00FE50A6">
        <w:rPr>
          <w:rFonts w:eastAsia="Cambria" w:cs="Times New Roman"/>
          <w:lang w:val="en-US"/>
        </w:rPr>
        <w:t xml:space="preserve"> </w:t>
      </w:r>
    </w:p>
    <w:p w14:paraId="1D84055F" w14:textId="77777777" w:rsidR="00130785" w:rsidRPr="00FE50A6" w:rsidRDefault="00130785" w:rsidP="00130785">
      <w:pPr>
        <w:tabs>
          <w:tab w:val="clear" w:pos="4419"/>
          <w:tab w:val="clear" w:pos="8838"/>
        </w:tabs>
        <w:contextualSpacing/>
        <w:jc w:val="both"/>
        <w:rPr>
          <w:rFonts w:eastAsia="Cambria" w:cs="Times New Roman"/>
          <w:lang w:val="en-US"/>
        </w:rPr>
      </w:pPr>
    </w:p>
    <w:p w14:paraId="6CCEDD28" w14:textId="77777777" w:rsidR="00130785" w:rsidRPr="00FE50A6" w:rsidRDefault="006E2928" w:rsidP="006E2928">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Regarding</w:t>
      </w:r>
      <w:r w:rsidR="00130785" w:rsidRPr="00FE50A6">
        <w:rPr>
          <w:rFonts w:eastAsia="Cambria" w:cs="Times New Roman"/>
          <w:lang w:val="en-US"/>
        </w:rPr>
        <w:t xml:space="preserve"> </w:t>
      </w:r>
      <w:r w:rsidRPr="00FE50A6">
        <w:rPr>
          <w:rFonts w:eastAsia="Cambria" w:cs="Times New Roman"/>
          <w:lang w:val="en-US"/>
        </w:rPr>
        <w:t xml:space="preserve">the geographical location of the </w:t>
      </w:r>
      <w:r w:rsidR="00130785" w:rsidRPr="00FE50A6">
        <w:rPr>
          <w:rFonts w:eastAsia="Cambria" w:cs="Times New Roman"/>
          <w:lang w:val="en-US"/>
        </w:rPr>
        <w:t xml:space="preserve">haciendas, </w:t>
      </w:r>
      <w:r w:rsidR="00CD3CCC" w:rsidRPr="00FE50A6">
        <w:rPr>
          <w:rFonts w:eastAsia="Cambria" w:cs="Times New Roman"/>
          <w:szCs w:val="20"/>
          <w:lang w:val="en-US"/>
        </w:rPr>
        <w:t>the Inter-American Court</w:t>
      </w:r>
      <w:r w:rsidRPr="00FE50A6">
        <w:rPr>
          <w:rFonts w:eastAsia="Cambria" w:cs="Times New Roman"/>
          <w:szCs w:val="20"/>
          <w:lang w:val="en-US"/>
        </w:rPr>
        <w:t xml:space="preserve"> </w:t>
      </w:r>
      <w:r w:rsidR="00130785" w:rsidRPr="00FE50A6">
        <w:rPr>
          <w:rFonts w:eastAsia="Cambria" w:cs="Times New Roman"/>
          <w:szCs w:val="20"/>
          <w:lang w:val="en-US"/>
        </w:rPr>
        <w:t>consider</w:t>
      </w:r>
      <w:r w:rsidRPr="00FE50A6">
        <w:rPr>
          <w:rFonts w:eastAsia="Cambria" w:cs="Times New Roman"/>
          <w:szCs w:val="20"/>
          <w:lang w:val="en-US"/>
        </w:rPr>
        <w:t>ed that the very location was an element that restricted the liberty of the worker</w:t>
      </w:r>
      <w:r w:rsidR="00270B76" w:rsidRPr="00FE50A6">
        <w:rPr>
          <w:rFonts w:eastAsia="Cambria" w:cs="Times New Roman"/>
          <w:szCs w:val="20"/>
          <w:lang w:val="en-US"/>
        </w:rPr>
        <w:t>s</w:t>
      </w:r>
      <w:r w:rsidRPr="00FE50A6">
        <w:rPr>
          <w:rFonts w:eastAsia="Cambria" w:cs="Times New Roman"/>
          <w:szCs w:val="20"/>
          <w:lang w:val="en-US"/>
        </w:rPr>
        <w:t xml:space="preserve">, because </w:t>
      </w:r>
      <w:r w:rsidR="00270B76" w:rsidRPr="00FE50A6">
        <w:rPr>
          <w:rFonts w:eastAsia="Cambria" w:cs="Times New Roman"/>
          <w:szCs w:val="20"/>
          <w:lang w:val="en-US"/>
        </w:rPr>
        <w:t>a</w:t>
      </w:r>
      <w:r w:rsidRPr="00FE50A6">
        <w:rPr>
          <w:rFonts w:eastAsia="Cambria" w:cs="Times New Roman"/>
          <w:szCs w:val="20"/>
          <w:lang w:val="en-US"/>
        </w:rPr>
        <w:t>ccess to urban centers was often almost impossible owing, not only to the distance, but also to the poor condition of the surrounding roads. Likewise, owing to their extreme poverty, their desperation to work and their situation of vulnerability, they accept</w:t>
      </w:r>
      <w:r w:rsidR="00230B50" w:rsidRPr="00FE50A6">
        <w:rPr>
          <w:rFonts w:eastAsia="Cambria" w:cs="Times New Roman"/>
          <w:szCs w:val="20"/>
          <w:lang w:val="en-US"/>
        </w:rPr>
        <w:t xml:space="preserve">ed </w:t>
      </w:r>
      <w:r w:rsidRPr="00FE50A6">
        <w:rPr>
          <w:rFonts w:eastAsia="Cambria" w:cs="Times New Roman"/>
          <w:szCs w:val="20"/>
          <w:lang w:val="en-US"/>
        </w:rPr>
        <w:t>precarious working conditions.</w:t>
      </w:r>
      <w:r w:rsidR="00130785" w:rsidRPr="00FE50A6">
        <w:rPr>
          <w:rFonts w:eastAsia="Cambria" w:cs="Times New Roman"/>
          <w:szCs w:val="20"/>
          <w:vertAlign w:val="superscript"/>
          <w:lang w:val="en-US"/>
        </w:rPr>
        <w:footnoteReference w:id="644"/>
      </w:r>
      <w:r w:rsidRPr="00FE50A6">
        <w:rPr>
          <w:rFonts w:eastAsia="Cambria" w:cs="Times New Roman"/>
          <w:szCs w:val="20"/>
          <w:lang w:val="en-US"/>
        </w:rPr>
        <w:t xml:space="preserve"> In relation to t</w:t>
      </w:r>
      <w:r w:rsidR="00270B76" w:rsidRPr="00FE50A6">
        <w:rPr>
          <w:rFonts w:eastAsia="Cambria" w:cs="Times New Roman"/>
          <w:szCs w:val="20"/>
          <w:lang w:val="en-US"/>
        </w:rPr>
        <w:t>h</w:t>
      </w:r>
      <w:r w:rsidRPr="00FE50A6">
        <w:rPr>
          <w:rFonts w:eastAsia="Cambria" w:cs="Times New Roman"/>
          <w:szCs w:val="20"/>
          <w:lang w:val="en-US"/>
        </w:rPr>
        <w:t xml:space="preserve">e investigation into these facts, </w:t>
      </w:r>
      <w:r w:rsidRPr="00FE50A6">
        <w:rPr>
          <w:rFonts w:cs="Arial"/>
          <w:szCs w:val="20"/>
          <w:lang w:val="en-US"/>
        </w:rPr>
        <w:t>according to the ILO, the roots of the si</w:t>
      </w:r>
      <w:r w:rsidR="00270B76" w:rsidRPr="00FE50A6">
        <w:rPr>
          <w:rFonts w:cs="Arial"/>
          <w:szCs w:val="20"/>
          <w:lang w:val="en-US"/>
        </w:rPr>
        <w:t xml:space="preserve">tuation of impunity </w:t>
      </w:r>
      <w:r w:rsidRPr="00FE50A6">
        <w:rPr>
          <w:rFonts w:cs="Arial"/>
          <w:szCs w:val="20"/>
          <w:lang w:val="en-US"/>
        </w:rPr>
        <w:t>for the use of slave labor lie in the links between landowners and the federal, state and municipal authorities in Brazil. Many landowners exercise power and influence within various national bodies, either directly or indirectly</w:t>
      </w:r>
      <w:r w:rsidRPr="00FE50A6">
        <w:rPr>
          <w:rFonts w:eastAsia="Cambria" w:cs="Times New Roman"/>
          <w:lang w:val="en-US"/>
        </w:rPr>
        <w:t>.</w:t>
      </w:r>
      <w:r w:rsidR="00130785" w:rsidRPr="00FE50A6">
        <w:rPr>
          <w:rFonts w:eastAsia="Cambria" w:cs="Times New Roman"/>
          <w:szCs w:val="20"/>
          <w:vertAlign w:val="superscript"/>
          <w:lang w:val="en-US"/>
        </w:rPr>
        <w:footnoteReference w:id="645"/>
      </w:r>
      <w:r w:rsidR="00130785" w:rsidRPr="00FE50A6">
        <w:rPr>
          <w:rFonts w:eastAsia="Cambria" w:cs="Times New Roman"/>
          <w:b/>
          <w:lang w:val="en-US"/>
        </w:rPr>
        <w:t xml:space="preserve"> </w:t>
      </w:r>
      <w:r w:rsidR="00130785" w:rsidRPr="00FE50A6">
        <w:rPr>
          <w:rFonts w:eastAsia="Cambria" w:cs="Times New Roman"/>
          <w:lang w:val="en-US"/>
        </w:rPr>
        <w:t xml:space="preserve">Hacienda </w:t>
      </w:r>
      <w:r w:rsidR="00322241" w:rsidRPr="00FE50A6">
        <w:rPr>
          <w:rFonts w:eastAsia="Cambria" w:cs="Times New Roman"/>
          <w:lang w:val="en-US"/>
        </w:rPr>
        <w:t>Brasil Verde</w:t>
      </w:r>
      <w:r w:rsidR="00130785" w:rsidRPr="00FE50A6">
        <w:rPr>
          <w:rFonts w:eastAsia="Cambria" w:cs="Times New Roman"/>
          <w:lang w:val="en-US"/>
        </w:rPr>
        <w:t xml:space="preserve"> </w:t>
      </w:r>
      <w:r w:rsidRPr="00FE50A6">
        <w:rPr>
          <w:rFonts w:eastAsia="Cambria" w:cs="Times New Roman"/>
          <w:lang w:val="en-US"/>
        </w:rPr>
        <w:t>was located in</w:t>
      </w:r>
      <w:r w:rsidR="00130785" w:rsidRPr="00FE50A6">
        <w:rPr>
          <w:rFonts w:eastAsia="Cambria" w:cs="Times New Roman"/>
          <w:lang w:val="en-US"/>
        </w:rPr>
        <w:t xml:space="preserve"> </w:t>
      </w:r>
      <w:r w:rsidR="008B65CD" w:rsidRPr="00FE50A6">
        <w:rPr>
          <w:rFonts w:eastAsia="Cambria" w:cs="Times New Roman"/>
          <w:lang w:val="en-US"/>
        </w:rPr>
        <w:t>the state of Pará</w:t>
      </w:r>
      <w:r w:rsidRPr="00FE50A6">
        <w:rPr>
          <w:rFonts w:eastAsia="Cambria" w:cs="Times New Roman"/>
          <w:lang w:val="en-US"/>
        </w:rPr>
        <w:t>.</w:t>
      </w:r>
      <w:r w:rsidR="00130785" w:rsidRPr="00FE50A6">
        <w:rPr>
          <w:rFonts w:eastAsia="Cambria" w:cs="Times New Roman"/>
          <w:szCs w:val="20"/>
          <w:vertAlign w:val="superscript"/>
          <w:lang w:val="en-US"/>
        </w:rPr>
        <w:footnoteReference w:id="646"/>
      </w:r>
      <w:r w:rsidR="00130785" w:rsidRPr="00FE50A6">
        <w:rPr>
          <w:rFonts w:eastAsia="Cambria" w:cs="Times New Roman"/>
          <w:b/>
          <w:lang w:val="en-US"/>
        </w:rPr>
        <w:t xml:space="preserve"> </w:t>
      </w:r>
    </w:p>
    <w:p w14:paraId="57074AF4" w14:textId="77777777" w:rsidR="00130785" w:rsidRPr="00FE50A6" w:rsidRDefault="00130785" w:rsidP="00130785">
      <w:pPr>
        <w:tabs>
          <w:tab w:val="clear" w:pos="4419"/>
          <w:tab w:val="clear" w:pos="8838"/>
        </w:tabs>
        <w:contextualSpacing/>
        <w:jc w:val="both"/>
        <w:rPr>
          <w:rFonts w:eastAsia="Cambria" w:cs="Times New Roman"/>
          <w:lang w:val="en-US"/>
        </w:rPr>
      </w:pPr>
    </w:p>
    <w:p w14:paraId="4DD3638F" w14:textId="77777777" w:rsidR="00130785" w:rsidRPr="00FE50A6" w:rsidRDefault="006E2928" w:rsidP="006E2928">
      <w:pPr>
        <w:numPr>
          <w:ilvl w:val="0"/>
          <w:numId w:val="26"/>
        </w:numPr>
        <w:tabs>
          <w:tab w:val="clear" w:pos="4419"/>
          <w:tab w:val="clear" w:pos="8838"/>
        </w:tabs>
        <w:contextualSpacing/>
        <w:jc w:val="both"/>
        <w:rPr>
          <w:rFonts w:eastAsia="Cambria" w:cs="Times New Roman"/>
          <w:b/>
          <w:lang w:val="en-US"/>
        </w:rPr>
      </w:pPr>
      <w:r w:rsidRPr="00FE50A6">
        <w:rPr>
          <w:rFonts w:eastAsia="Cambria" w:cs="Times New Roman"/>
          <w:lang w:val="en-US"/>
        </w:rPr>
        <w:t>In its judgment, t</w:t>
      </w:r>
      <w:r w:rsidR="000228D0" w:rsidRPr="00FE50A6">
        <w:rPr>
          <w:rFonts w:eastAsia="Cambria" w:cs="Times New Roman"/>
          <w:lang w:val="en-US"/>
        </w:rPr>
        <w:t>he Court</w:t>
      </w:r>
      <w:r w:rsidR="00130785" w:rsidRPr="00FE50A6">
        <w:rPr>
          <w:rFonts w:eastAsia="Cambria" w:cs="Times New Roman"/>
          <w:lang w:val="en-US"/>
        </w:rPr>
        <w:t xml:space="preserve"> declar</w:t>
      </w:r>
      <w:r w:rsidRPr="00FE50A6">
        <w:rPr>
          <w:rFonts w:eastAsia="Cambria" w:cs="Times New Roman"/>
          <w:lang w:val="en-US"/>
        </w:rPr>
        <w:t>ed that the</w:t>
      </w:r>
      <w:r w:rsidR="00130785" w:rsidRPr="00FE50A6">
        <w:rPr>
          <w:rFonts w:eastAsia="Cambria" w:cs="Times New Roman"/>
          <w:lang w:val="en-US"/>
        </w:rPr>
        <w:t xml:space="preserve"> </w:t>
      </w:r>
      <w:r w:rsidR="00AF42D1" w:rsidRPr="00FE50A6">
        <w:rPr>
          <w:rFonts w:eastAsia="Cambria" w:cs="Times New Roman"/>
          <w:lang w:val="en-US"/>
        </w:rPr>
        <w:t>workers rescued</w:t>
      </w:r>
      <w:r w:rsidR="00130785" w:rsidRPr="00FE50A6">
        <w:rPr>
          <w:rFonts w:eastAsia="Cambria" w:cs="Times New Roman"/>
          <w:lang w:val="en-US"/>
        </w:rPr>
        <w:t xml:space="preserve"> </w:t>
      </w:r>
      <w:r w:rsidRPr="00FE50A6">
        <w:rPr>
          <w:rFonts w:eastAsia="Cambria" w:cs="Times New Roman"/>
          <w:lang w:val="en-US"/>
        </w:rPr>
        <w:t xml:space="preserve">from </w:t>
      </w:r>
      <w:r w:rsidR="00130785" w:rsidRPr="00FE50A6">
        <w:rPr>
          <w:rFonts w:eastAsia="Cambria" w:cs="Times New Roman"/>
          <w:lang w:val="en-US"/>
        </w:rPr>
        <w:t xml:space="preserve">Hacienda </w:t>
      </w:r>
      <w:r w:rsidR="00322241" w:rsidRPr="00FE50A6">
        <w:rPr>
          <w:rFonts w:eastAsia="Cambria" w:cs="Times New Roman"/>
          <w:lang w:val="en-US"/>
        </w:rPr>
        <w:t>Brasil Verde</w:t>
      </w:r>
      <w:r w:rsidR="00130785" w:rsidRPr="00FE50A6">
        <w:rPr>
          <w:rFonts w:eastAsia="Cambria" w:cs="Times New Roman"/>
          <w:lang w:val="en-US"/>
        </w:rPr>
        <w:t xml:space="preserve"> </w:t>
      </w:r>
      <w:r w:rsidRPr="00FE50A6">
        <w:rPr>
          <w:rFonts w:eastAsia="Cambria" w:cs="Times New Roman"/>
          <w:lang w:val="en-US"/>
        </w:rPr>
        <w:t>were in a situation of</w:t>
      </w:r>
      <w:r w:rsidR="00130785" w:rsidRPr="00FE50A6">
        <w:rPr>
          <w:rFonts w:eastAsia="Cambria" w:cs="Times New Roman"/>
          <w:lang w:val="en-US"/>
        </w:rPr>
        <w:t xml:space="preserve"> </w:t>
      </w:r>
      <w:r w:rsidR="005F1946" w:rsidRPr="00FE50A6">
        <w:rPr>
          <w:rFonts w:eastAsia="Cambria" w:cs="Times New Roman"/>
          <w:lang w:val="en-US"/>
        </w:rPr>
        <w:t>debt bondage</w:t>
      </w:r>
      <w:r w:rsidRPr="00FE50A6">
        <w:rPr>
          <w:rFonts w:eastAsia="Cambria" w:cs="Times New Roman"/>
          <w:lang w:val="en-US"/>
        </w:rPr>
        <w:t xml:space="preserve"> and subjection to forced labor and that factors existed that made their vulnerability possible.</w:t>
      </w:r>
      <w:r w:rsidR="00130785" w:rsidRPr="00FE50A6">
        <w:rPr>
          <w:rFonts w:eastAsia="Cambria" w:cs="Times New Roman"/>
          <w:szCs w:val="20"/>
          <w:vertAlign w:val="superscript"/>
          <w:lang w:val="en-US"/>
        </w:rPr>
        <w:footnoteReference w:id="647"/>
      </w:r>
      <w:r w:rsidR="00130785" w:rsidRPr="00FE50A6">
        <w:rPr>
          <w:rFonts w:eastAsia="Cambria" w:cs="Times New Roman"/>
          <w:b/>
          <w:lang w:val="en-US"/>
        </w:rPr>
        <w:t xml:space="preserve"> </w:t>
      </w:r>
      <w:r w:rsidR="002071B1" w:rsidRPr="00FE50A6">
        <w:rPr>
          <w:rFonts w:eastAsia="Cambria" w:cs="Times New Roman"/>
          <w:lang w:val="en-US"/>
        </w:rPr>
        <w:t>The Court</w:t>
      </w:r>
      <w:r w:rsidR="00130785" w:rsidRPr="00FE50A6">
        <w:rPr>
          <w:rFonts w:eastAsia="Cambria" w:cs="Times New Roman"/>
          <w:lang w:val="en-US"/>
        </w:rPr>
        <w:t xml:space="preserve"> </w:t>
      </w:r>
      <w:r w:rsidRPr="00FE50A6">
        <w:rPr>
          <w:rFonts w:eastAsia="Cambria" w:cs="Times New Roman"/>
          <w:lang w:val="en-US"/>
        </w:rPr>
        <w:t>also considered that, in view of the facts of th</w:t>
      </w:r>
      <w:r w:rsidR="00B14114" w:rsidRPr="00FE50A6">
        <w:rPr>
          <w:rFonts w:eastAsia="Cambria" w:cs="Times New Roman"/>
          <w:lang w:val="en-US"/>
        </w:rPr>
        <w:t>e</w:t>
      </w:r>
      <w:r w:rsidRPr="00FE50A6">
        <w:rPr>
          <w:rFonts w:eastAsia="Cambria" w:cs="Times New Roman"/>
          <w:lang w:val="en-US"/>
        </w:rPr>
        <w:t xml:space="preserve"> case</w:t>
      </w:r>
      <w:r w:rsidR="006C420D" w:rsidRPr="00FE50A6">
        <w:rPr>
          <w:rFonts w:eastAsia="Cambria" w:cs="Times New Roman"/>
          <w:lang w:val="en-US"/>
        </w:rPr>
        <w:t xml:space="preserve">, </w:t>
      </w:r>
      <w:r w:rsidRPr="00FE50A6">
        <w:rPr>
          <w:rFonts w:eastAsia="Cambria" w:cs="Times New Roman"/>
          <w:lang w:val="en-US"/>
        </w:rPr>
        <w:t>the specific characteristics</w:t>
      </w:r>
      <w:r w:rsidR="006C420D" w:rsidRPr="00FE50A6">
        <w:rPr>
          <w:rFonts w:eastAsia="Cambria" w:cs="Times New Roman"/>
          <w:lang w:val="en-US"/>
        </w:rPr>
        <w:t xml:space="preserve"> of the situation </w:t>
      </w:r>
      <w:r w:rsidR="006C420D" w:rsidRPr="00FE50A6">
        <w:rPr>
          <w:lang w:val="en-US"/>
        </w:rPr>
        <w:t>to which the 85 workers rescued in 2000 were subjected</w:t>
      </w:r>
      <w:r w:rsidR="006C420D" w:rsidRPr="00FE50A6">
        <w:rPr>
          <w:rFonts w:eastAsia="Cambria" w:cs="Times New Roman"/>
          <w:b/>
          <w:lang w:val="en-US"/>
        </w:rPr>
        <w:t xml:space="preserve"> </w:t>
      </w:r>
      <w:r w:rsidRPr="00FE50A6">
        <w:rPr>
          <w:lang w:val="en-US"/>
        </w:rPr>
        <w:t>exceed</w:t>
      </w:r>
      <w:r w:rsidR="006C420D" w:rsidRPr="00FE50A6">
        <w:rPr>
          <w:lang w:val="en-US"/>
        </w:rPr>
        <w:t>ed</w:t>
      </w:r>
      <w:r w:rsidRPr="00FE50A6">
        <w:rPr>
          <w:lang w:val="en-US"/>
        </w:rPr>
        <w:t xml:space="preserve"> the limits of debt bondage and forced labor, and me</w:t>
      </w:r>
      <w:r w:rsidR="006C420D" w:rsidRPr="00FE50A6">
        <w:rPr>
          <w:lang w:val="en-US"/>
        </w:rPr>
        <w:t>t</w:t>
      </w:r>
      <w:r w:rsidRPr="00FE50A6">
        <w:rPr>
          <w:lang w:val="en-US"/>
        </w:rPr>
        <w:t xml:space="preserve"> the strictest criteria of the definition of slavery established by the Cour</w:t>
      </w:r>
      <w:r w:rsidR="006C420D" w:rsidRPr="00FE50A6">
        <w:rPr>
          <w:lang w:val="en-US"/>
        </w:rPr>
        <w:t>t.</w:t>
      </w:r>
      <w:r w:rsidR="00130785" w:rsidRPr="00FE50A6">
        <w:rPr>
          <w:rFonts w:eastAsia="Cambria" w:cs="Times New Roman"/>
          <w:szCs w:val="20"/>
          <w:vertAlign w:val="superscript"/>
          <w:lang w:val="en-US"/>
        </w:rPr>
        <w:footnoteReference w:id="648"/>
      </w:r>
      <w:r w:rsidR="00130785" w:rsidRPr="00FE50A6">
        <w:rPr>
          <w:rFonts w:eastAsia="Cambria" w:cs="Times New Roman"/>
          <w:b/>
          <w:lang w:val="en-US"/>
        </w:rPr>
        <w:t xml:space="preserve"> </w:t>
      </w:r>
    </w:p>
    <w:p w14:paraId="419F3486" w14:textId="77777777" w:rsidR="00130785" w:rsidRPr="00FE50A6" w:rsidRDefault="00130785" w:rsidP="00130785">
      <w:pPr>
        <w:tabs>
          <w:tab w:val="clear" w:pos="4419"/>
          <w:tab w:val="clear" w:pos="8838"/>
        </w:tabs>
        <w:contextualSpacing/>
        <w:jc w:val="both"/>
        <w:rPr>
          <w:rFonts w:eastAsia="MS Mincho" w:cs="System Font Regular"/>
          <w:i/>
          <w:szCs w:val="20"/>
          <w:lang w:val="en-US" w:eastAsia="es-ES"/>
        </w:rPr>
      </w:pPr>
    </w:p>
    <w:p w14:paraId="13AECEC6" w14:textId="77777777" w:rsidR="00130785" w:rsidRPr="00FE50A6" w:rsidRDefault="006C420D" w:rsidP="008B0BCC">
      <w:pPr>
        <w:numPr>
          <w:ilvl w:val="0"/>
          <w:numId w:val="26"/>
        </w:numPr>
        <w:tabs>
          <w:tab w:val="clear" w:pos="4419"/>
          <w:tab w:val="clear" w:pos="8838"/>
        </w:tabs>
        <w:contextualSpacing/>
        <w:jc w:val="both"/>
        <w:rPr>
          <w:rFonts w:eastAsia="MS Mincho" w:cs="System Font Regular"/>
          <w:i/>
          <w:szCs w:val="20"/>
          <w:lang w:val="en-US" w:eastAsia="es-ES"/>
        </w:rPr>
      </w:pPr>
      <w:r w:rsidRPr="00FE50A6">
        <w:rPr>
          <w:rFonts w:eastAsia="MS Mincho" w:cs="System Font Regular"/>
          <w:szCs w:val="20"/>
          <w:lang w:val="en-US" w:eastAsia="es-ES"/>
        </w:rPr>
        <w:t>The case of the</w:t>
      </w:r>
      <w:r w:rsidR="00130785" w:rsidRPr="00FE50A6">
        <w:rPr>
          <w:rFonts w:eastAsia="MS Mincho" w:cs="System Font Regular"/>
          <w:szCs w:val="20"/>
          <w:lang w:val="en-US" w:eastAsia="es-ES"/>
        </w:rPr>
        <w:t xml:space="preserve"> </w:t>
      </w:r>
      <w:r w:rsidR="00030C17" w:rsidRPr="00FE50A6">
        <w:rPr>
          <w:rFonts w:eastAsia="MS Mincho" w:cs="System Font Regular"/>
          <w:i/>
          <w:szCs w:val="20"/>
          <w:lang w:val="en-US" w:eastAsia="es-ES"/>
        </w:rPr>
        <w:t xml:space="preserve">Hacienda </w:t>
      </w:r>
      <w:r w:rsidR="00322241" w:rsidRPr="00FE50A6">
        <w:rPr>
          <w:rFonts w:eastAsia="MS Mincho" w:cs="System Font Regular"/>
          <w:i/>
          <w:szCs w:val="20"/>
          <w:lang w:val="en-US" w:eastAsia="es-ES"/>
        </w:rPr>
        <w:t>Brasil Verde</w:t>
      </w:r>
      <w:r w:rsidR="00030C17" w:rsidRPr="00FE50A6">
        <w:rPr>
          <w:rFonts w:eastAsia="MS Mincho" w:cs="System Font Regular"/>
          <w:i/>
          <w:szCs w:val="20"/>
          <w:lang w:val="en-US" w:eastAsia="es-ES"/>
        </w:rPr>
        <w:t xml:space="preserve"> Workers</w:t>
      </w:r>
      <w:r w:rsidR="00130785" w:rsidRPr="00FE50A6">
        <w:rPr>
          <w:rFonts w:eastAsia="MS Mincho" w:cs="System Font Regular"/>
          <w:i/>
          <w:szCs w:val="20"/>
          <w:lang w:val="en-US" w:eastAsia="es-ES"/>
        </w:rPr>
        <w:t xml:space="preserve"> </w:t>
      </w:r>
      <w:r w:rsidR="000228D0" w:rsidRPr="00FE50A6">
        <w:rPr>
          <w:rFonts w:eastAsia="MS Mincho" w:cs="System Font Regular"/>
          <w:i/>
          <w:szCs w:val="20"/>
          <w:lang w:val="en-US" w:eastAsia="es-ES"/>
        </w:rPr>
        <w:t>v.</w:t>
      </w:r>
      <w:r w:rsidR="00130785" w:rsidRPr="00FE50A6">
        <w:rPr>
          <w:rFonts w:eastAsia="MS Mincho" w:cs="System Font Regular"/>
          <w:i/>
          <w:szCs w:val="20"/>
          <w:lang w:val="en-US" w:eastAsia="es-ES"/>
        </w:rPr>
        <w:t xml:space="preserve"> </w:t>
      </w:r>
      <w:r w:rsidR="000228D0" w:rsidRPr="00FE50A6">
        <w:rPr>
          <w:rFonts w:eastAsia="MS Mincho" w:cs="System Font Regular"/>
          <w:i/>
          <w:szCs w:val="20"/>
          <w:lang w:val="en-US" w:eastAsia="es-ES"/>
        </w:rPr>
        <w:t>Brazil</w:t>
      </w:r>
      <w:r w:rsidR="00130785" w:rsidRPr="00FE50A6">
        <w:rPr>
          <w:rFonts w:eastAsia="MS Mincho" w:cs="System Font Regular"/>
          <w:i/>
          <w:szCs w:val="20"/>
          <w:lang w:val="en-US" w:eastAsia="es-ES"/>
        </w:rPr>
        <w:t xml:space="preserve"> </w:t>
      </w:r>
      <w:r w:rsidRPr="00FE50A6">
        <w:rPr>
          <w:rFonts w:eastAsia="MS Mincho" w:cs="System Font Regular"/>
          <w:szCs w:val="20"/>
          <w:lang w:val="en-US" w:eastAsia="es-ES"/>
        </w:rPr>
        <w:t>represents the first time that the</w:t>
      </w:r>
      <w:r w:rsidR="00130785" w:rsidRPr="00FE50A6">
        <w:rPr>
          <w:rFonts w:eastAsia="MS Mincho" w:cs="System Font Regular"/>
          <w:szCs w:val="20"/>
          <w:lang w:val="en-US" w:eastAsia="es-ES"/>
        </w:rPr>
        <w:t xml:space="preserve"> </w:t>
      </w:r>
      <w:r w:rsidR="009E41ED" w:rsidRPr="00FE50A6">
        <w:rPr>
          <w:rFonts w:eastAsia="MS Mincho" w:cs="System Font Regular"/>
          <w:szCs w:val="20"/>
          <w:lang w:val="en-US" w:eastAsia="es-ES"/>
        </w:rPr>
        <w:t>Inter-American Court</w:t>
      </w:r>
      <w:r w:rsidR="00130785" w:rsidRPr="00FE50A6">
        <w:rPr>
          <w:rFonts w:eastAsia="MS Mincho" w:cs="System Font Regular"/>
          <w:szCs w:val="20"/>
          <w:lang w:val="en-US" w:eastAsia="es-ES"/>
        </w:rPr>
        <w:t xml:space="preserve"> </w:t>
      </w:r>
      <w:r w:rsidRPr="00FE50A6">
        <w:rPr>
          <w:rFonts w:eastAsia="MS Mincho" w:cs="System Font Regular"/>
          <w:szCs w:val="20"/>
          <w:lang w:val="en-US" w:eastAsia="es-ES"/>
        </w:rPr>
        <w:t>has recognized the existence of a situation of</w:t>
      </w:r>
      <w:r w:rsidR="00130785" w:rsidRPr="00FE50A6">
        <w:rPr>
          <w:rFonts w:eastAsia="MS Mincho" w:cs="System Font Regular"/>
          <w:szCs w:val="20"/>
          <w:lang w:val="en-US" w:eastAsia="es-ES"/>
        </w:rPr>
        <w:t xml:space="preserve"> </w:t>
      </w:r>
      <w:r w:rsidR="009308B1" w:rsidRPr="00FE50A6">
        <w:rPr>
          <w:rFonts w:eastAsia="MS Mincho" w:cs="System Font Regular"/>
          <w:i/>
          <w:szCs w:val="20"/>
          <w:lang w:val="en-US" w:eastAsia="es-ES"/>
        </w:rPr>
        <w:t>historical structural</w:t>
      </w:r>
      <w:r w:rsidR="00311174" w:rsidRPr="00FE50A6">
        <w:rPr>
          <w:rFonts w:eastAsia="MS Mincho" w:cs="System Font Regular"/>
          <w:i/>
          <w:szCs w:val="20"/>
          <w:lang w:val="en-US" w:eastAsia="es-ES"/>
        </w:rPr>
        <w:t xml:space="preserve"> discrimination</w:t>
      </w:r>
      <w:r w:rsidR="00130785" w:rsidRPr="00FE50A6">
        <w:rPr>
          <w:rFonts w:eastAsia="MS Mincho" w:cs="System Font Regular"/>
          <w:i/>
          <w:szCs w:val="20"/>
          <w:lang w:val="en-US" w:eastAsia="es-ES"/>
        </w:rPr>
        <w:t xml:space="preserve"> </w:t>
      </w:r>
      <w:r w:rsidRPr="00FE50A6">
        <w:rPr>
          <w:rFonts w:eastAsia="MS Mincho" w:cs="System Font Regular"/>
          <w:szCs w:val="20"/>
          <w:lang w:val="en-US" w:eastAsia="es-ES"/>
        </w:rPr>
        <w:t xml:space="preserve">given the context in which </w:t>
      </w:r>
      <w:r w:rsidR="00EB5CB3" w:rsidRPr="00FE50A6">
        <w:rPr>
          <w:rFonts w:eastAsia="MS Mincho" w:cs="System Font Regular"/>
          <w:szCs w:val="20"/>
          <w:lang w:val="en-US" w:eastAsia="es-ES"/>
        </w:rPr>
        <w:t>the human rights violations</w:t>
      </w:r>
      <w:r w:rsidR="00130785" w:rsidRPr="00FE50A6">
        <w:rPr>
          <w:rFonts w:eastAsia="MS Mincho" w:cs="System Font Regular"/>
          <w:szCs w:val="20"/>
          <w:lang w:val="en-US" w:eastAsia="es-ES"/>
        </w:rPr>
        <w:t xml:space="preserve"> </w:t>
      </w:r>
      <w:r w:rsidRPr="00FE50A6">
        <w:rPr>
          <w:rFonts w:eastAsia="MS Mincho" w:cs="System Font Regular"/>
          <w:szCs w:val="20"/>
          <w:lang w:val="en-US" w:eastAsia="es-ES"/>
        </w:rPr>
        <w:t>of the</w:t>
      </w:r>
      <w:r w:rsidR="00130785" w:rsidRPr="00FE50A6">
        <w:rPr>
          <w:rFonts w:eastAsia="MS Mincho" w:cs="System Font Regular"/>
          <w:szCs w:val="20"/>
          <w:lang w:val="en-US" w:eastAsia="es-ES"/>
        </w:rPr>
        <w:t xml:space="preserve"> 85 v</w:t>
      </w:r>
      <w:r w:rsidRPr="00FE50A6">
        <w:rPr>
          <w:rFonts w:eastAsia="MS Mincho" w:cs="System Font Regular"/>
          <w:szCs w:val="20"/>
          <w:lang w:val="en-US" w:eastAsia="es-ES"/>
        </w:rPr>
        <w:t>i</w:t>
      </w:r>
      <w:r w:rsidR="00130785" w:rsidRPr="00FE50A6">
        <w:rPr>
          <w:rFonts w:eastAsia="MS Mincho" w:cs="System Font Regular"/>
          <w:szCs w:val="20"/>
          <w:lang w:val="en-US" w:eastAsia="es-ES"/>
        </w:rPr>
        <w:t>ctims</w:t>
      </w:r>
      <w:r w:rsidRPr="00FE50A6">
        <w:rPr>
          <w:rFonts w:eastAsia="MS Mincho" w:cs="System Font Regular"/>
          <w:szCs w:val="20"/>
          <w:lang w:val="en-US" w:eastAsia="es-ES"/>
        </w:rPr>
        <w:t xml:space="preserve"> occurred</w:t>
      </w:r>
      <w:r w:rsidR="00130785" w:rsidRPr="00FE50A6">
        <w:rPr>
          <w:rFonts w:eastAsia="MS Mincho" w:cs="System Font Regular"/>
          <w:szCs w:val="20"/>
          <w:lang w:val="en-US" w:eastAsia="es-ES"/>
        </w:rPr>
        <w:t xml:space="preserve">. </w:t>
      </w:r>
      <w:r w:rsidRPr="00FE50A6">
        <w:rPr>
          <w:rFonts w:eastAsia="MS Mincho" w:cs="System Font Regular"/>
          <w:szCs w:val="20"/>
          <w:lang w:val="en-US" w:eastAsia="es-ES"/>
        </w:rPr>
        <w:t>It also cons</w:t>
      </w:r>
      <w:r w:rsidR="00082508" w:rsidRPr="00FE50A6">
        <w:rPr>
          <w:rFonts w:eastAsia="MS Mincho" w:cs="System Font Regular"/>
          <w:szCs w:val="20"/>
          <w:lang w:val="en-US" w:eastAsia="es-ES"/>
        </w:rPr>
        <w:t>t</w:t>
      </w:r>
      <w:r w:rsidRPr="00FE50A6">
        <w:rPr>
          <w:rFonts w:eastAsia="MS Mincho" w:cs="System Font Regular"/>
          <w:szCs w:val="20"/>
          <w:lang w:val="en-US" w:eastAsia="es-ES"/>
        </w:rPr>
        <w:t>itutes the first case in which</w:t>
      </w:r>
      <w:r w:rsidR="00130785" w:rsidRPr="00FE50A6">
        <w:rPr>
          <w:rFonts w:eastAsia="MS Mincho" w:cs="System Font Regular"/>
          <w:szCs w:val="20"/>
          <w:lang w:val="en-US" w:eastAsia="es-ES"/>
        </w:rPr>
        <w:t xml:space="preserve"> </w:t>
      </w:r>
      <w:r w:rsidR="00CD3CCC" w:rsidRPr="00FE50A6">
        <w:rPr>
          <w:rFonts w:eastAsia="MS Mincho" w:cs="System Font Regular"/>
          <w:szCs w:val="20"/>
          <w:lang w:val="en-US" w:eastAsia="es-ES"/>
        </w:rPr>
        <w:t>the</w:t>
      </w:r>
      <w:r w:rsidRPr="00FE50A6">
        <w:rPr>
          <w:rFonts w:eastAsia="MS Mincho" w:cs="System Font Regular"/>
          <w:szCs w:val="20"/>
          <w:lang w:val="en-US" w:eastAsia="es-ES"/>
        </w:rPr>
        <w:t xml:space="preserve"> </w:t>
      </w:r>
      <w:r w:rsidR="00CD3CCC" w:rsidRPr="00FE50A6">
        <w:rPr>
          <w:rFonts w:eastAsia="MS Mincho" w:cs="System Font Regular"/>
          <w:szCs w:val="20"/>
          <w:lang w:val="en-US" w:eastAsia="es-ES"/>
        </w:rPr>
        <w:t>Court</w:t>
      </w:r>
      <w:r w:rsidRPr="00FE50A6">
        <w:rPr>
          <w:rFonts w:eastAsia="MS Mincho" w:cs="System Font Regular"/>
          <w:szCs w:val="20"/>
          <w:lang w:val="en-US" w:eastAsia="es-ES"/>
        </w:rPr>
        <w:t xml:space="preserve"> expressly finds a State internationally responsible for perpetuating this historical structural situation of exclusion. In this regard, the judgment indicates:</w:t>
      </w:r>
    </w:p>
    <w:p w14:paraId="343F5075" w14:textId="77777777" w:rsidR="00130785" w:rsidRPr="00FE50A6" w:rsidRDefault="00130785" w:rsidP="00130785">
      <w:pPr>
        <w:tabs>
          <w:tab w:val="clear" w:pos="4419"/>
          <w:tab w:val="clear" w:pos="8838"/>
        </w:tabs>
        <w:contextualSpacing/>
        <w:jc w:val="both"/>
        <w:rPr>
          <w:rFonts w:eastAsia="MS Mincho" w:cs="System Font Regular"/>
          <w:szCs w:val="20"/>
          <w:lang w:val="en-US" w:eastAsia="es-ES"/>
        </w:rPr>
      </w:pPr>
      <w:r w:rsidRPr="00FE50A6">
        <w:rPr>
          <w:rFonts w:eastAsia="MS Mincho" w:cs="System Font Regular"/>
          <w:szCs w:val="20"/>
          <w:lang w:val="en-US" w:eastAsia="es-ES"/>
        </w:rPr>
        <w:t xml:space="preserve"> </w:t>
      </w:r>
    </w:p>
    <w:p w14:paraId="7BFE59C3" w14:textId="77777777" w:rsidR="001C4D2A" w:rsidRPr="00FE50A6" w:rsidRDefault="00270B76" w:rsidP="00270B76">
      <w:pPr>
        <w:pStyle w:val="Prrafodelista"/>
        <w:ind w:right="558"/>
        <w:contextualSpacing w:val="0"/>
        <w:rPr>
          <w:sz w:val="16"/>
          <w:szCs w:val="16"/>
          <w:lang w:val="en-US"/>
        </w:rPr>
      </w:pPr>
      <w:r w:rsidRPr="00FE50A6">
        <w:rPr>
          <w:rFonts w:eastAsia="MS Mincho" w:cs="Times New Roman"/>
          <w:sz w:val="16"/>
          <w:szCs w:val="16"/>
          <w:lang w:val="en-US" w:eastAsia="es-ES"/>
        </w:rPr>
        <w:t>“</w:t>
      </w:r>
      <w:r w:rsidR="00130785" w:rsidRPr="00FE50A6">
        <w:rPr>
          <w:rFonts w:eastAsia="MS Mincho" w:cs="Times New Roman"/>
          <w:sz w:val="16"/>
          <w:szCs w:val="16"/>
          <w:lang w:val="en-US" w:eastAsia="es-ES"/>
        </w:rPr>
        <w:t xml:space="preserve">343. </w:t>
      </w:r>
      <w:r w:rsidR="001C4D2A" w:rsidRPr="00FE50A6">
        <w:rPr>
          <w:sz w:val="16"/>
          <w:szCs w:val="16"/>
          <w:lang w:val="en-US"/>
        </w:rPr>
        <w:t xml:space="preserve">On this basis, the Court considers that the State violated the right not to be subjected to slavery and trafficking in violation of Article 6(1) of the American Convention on Human Rights, in relation to Articles 1(1), 3, 5, 7, 11 and 22 of this instrument, to the detriment of the 85 workers rescued on March 15, 2000, in Hacienda Brasil Verde, and listed in paragraph 206 of this judgment. Additionally, with regard to Antônio Francisco da Silva, that violation also occurred in relation to Article 19 of the American Convention, since he was a minor at the time of the facts. </w:t>
      </w:r>
      <w:r w:rsidR="001C4D2A" w:rsidRPr="00FE50A6">
        <w:rPr>
          <w:sz w:val="16"/>
          <w:szCs w:val="16"/>
          <w:u w:val="single"/>
          <w:lang w:val="en-US"/>
        </w:rPr>
        <w:t>Lastly, Brazil is responsible for the violation of Article 6(1) of the American Convention, in relation to Article 1(1) of this instrument, that occurred in the context of a situation of historical structural discrimination based on the economic status of the 85 workers identified in paragraph 206 of this judgment</w:t>
      </w:r>
      <w:r w:rsidR="001C4D2A" w:rsidRPr="00FE50A6">
        <w:rPr>
          <w:sz w:val="16"/>
          <w:szCs w:val="16"/>
          <w:lang w:val="en-US"/>
        </w:rPr>
        <w:t>.</w:t>
      </w:r>
    </w:p>
    <w:p w14:paraId="67C6960F" w14:textId="77777777" w:rsidR="00130785" w:rsidRPr="00FE50A6" w:rsidRDefault="00130785" w:rsidP="00270B76">
      <w:pPr>
        <w:tabs>
          <w:tab w:val="clear" w:pos="4419"/>
          <w:tab w:val="clear" w:pos="8838"/>
        </w:tabs>
        <w:ind w:right="558"/>
        <w:contextualSpacing/>
        <w:jc w:val="both"/>
        <w:rPr>
          <w:rFonts w:eastAsia="Cambria" w:cs="Times New Roman"/>
          <w:sz w:val="16"/>
          <w:szCs w:val="16"/>
          <w:lang w:val="en-US"/>
        </w:rPr>
      </w:pPr>
    </w:p>
    <w:p w14:paraId="48779FFB" w14:textId="77777777" w:rsidR="00130785" w:rsidRPr="00FE50A6" w:rsidRDefault="00351E20" w:rsidP="00270B76">
      <w:pPr>
        <w:tabs>
          <w:tab w:val="clear" w:pos="4419"/>
          <w:tab w:val="clear" w:pos="8838"/>
        </w:tabs>
        <w:ind w:right="558" w:firstLine="708"/>
        <w:contextualSpacing/>
        <w:jc w:val="center"/>
        <w:rPr>
          <w:rFonts w:eastAsia="Cambria" w:cs="Times New Roman"/>
          <w:sz w:val="16"/>
          <w:szCs w:val="16"/>
          <w:lang w:val="en-US"/>
        </w:rPr>
      </w:pPr>
      <w:r w:rsidRPr="00FE50A6">
        <w:rPr>
          <w:rFonts w:eastAsia="Cambria" w:cs="Times New Roman"/>
          <w:sz w:val="16"/>
          <w:szCs w:val="16"/>
          <w:lang w:val="en-US"/>
        </w:rPr>
        <w:t>OPERATIVE PARAGRAPHS</w:t>
      </w:r>
    </w:p>
    <w:p w14:paraId="3041348E" w14:textId="77777777" w:rsidR="00130785" w:rsidRPr="00FE50A6" w:rsidRDefault="00130785" w:rsidP="00270B76">
      <w:pPr>
        <w:tabs>
          <w:tab w:val="clear" w:pos="4419"/>
          <w:tab w:val="clear" w:pos="8838"/>
          <w:tab w:val="left" w:pos="720"/>
        </w:tabs>
        <w:ind w:right="558"/>
        <w:contextualSpacing/>
        <w:jc w:val="both"/>
        <w:rPr>
          <w:rFonts w:eastAsia="Cambria" w:cs="Times New Roman"/>
          <w:sz w:val="16"/>
          <w:szCs w:val="16"/>
          <w:lang w:val="en-US" w:eastAsia="es-ES"/>
        </w:rPr>
      </w:pPr>
    </w:p>
    <w:p w14:paraId="5089F34B" w14:textId="77777777" w:rsidR="00130785" w:rsidRPr="00FE50A6" w:rsidRDefault="00130785" w:rsidP="00270B76">
      <w:pPr>
        <w:tabs>
          <w:tab w:val="clear" w:pos="4419"/>
          <w:tab w:val="clear" w:pos="8838"/>
          <w:tab w:val="left" w:pos="720"/>
        </w:tabs>
        <w:ind w:left="708" w:right="558"/>
        <w:contextualSpacing/>
        <w:jc w:val="both"/>
        <w:rPr>
          <w:rFonts w:eastAsia="Cambria" w:cs="Times New Roman"/>
          <w:sz w:val="16"/>
          <w:szCs w:val="16"/>
          <w:lang w:val="en-US"/>
        </w:rPr>
      </w:pPr>
      <w:r w:rsidRPr="00FE50A6">
        <w:rPr>
          <w:rFonts w:eastAsia="Cambria" w:cs="Times New Roman"/>
          <w:sz w:val="16"/>
          <w:szCs w:val="16"/>
          <w:lang w:val="en-US" w:eastAsia="es-ES"/>
        </w:rPr>
        <w:tab/>
        <w:t xml:space="preserve">4. </w:t>
      </w:r>
      <w:r w:rsidR="000228D0" w:rsidRPr="00FE50A6">
        <w:rPr>
          <w:rFonts w:eastAsia="Cambria" w:cs="Times New Roman"/>
          <w:sz w:val="16"/>
          <w:szCs w:val="16"/>
          <w:u w:val="single"/>
          <w:lang w:val="en-US" w:eastAsia="es-ES"/>
        </w:rPr>
        <w:t>The State</w:t>
      </w:r>
      <w:r w:rsidRPr="00FE50A6">
        <w:rPr>
          <w:rFonts w:eastAsia="Cambria" w:cs="Times New Roman"/>
          <w:sz w:val="16"/>
          <w:szCs w:val="16"/>
          <w:u w:val="single"/>
          <w:lang w:val="en-US" w:eastAsia="es-ES"/>
        </w:rPr>
        <w:t xml:space="preserve"> </w:t>
      </w:r>
      <w:r w:rsidR="00351E20" w:rsidRPr="00FE50A6">
        <w:rPr>
          <w:rFonts w:eastAsia="Cambria" w:cs="Times New Roman"/>
          <w:sz w:val="16"/>
          <w:szCs w:val="16"/>
          <w:u w:val="single"/>
          <w:lang w:val="en-US" w:eastAsia="es-ES"/>
        </w:rPr>
        <w:t>is responsible for</w:t>
      </w:r>
      <w:r w:rsidRPr="00FE50A6">
        <w:rPr>
          <w:rFonts w:eastAsia="Cambria" w:cs="Times New Roman"/>
          <w:sz w:val="16"/>
          <w:szCs w:val="16"/>
          <w:u w:val="single"/>
          <w:lang w:val="en-US" w:eastAsia="es-ES"/>
        </w:rPr>
        <w:t xml:space="preserve"> </w:t>
      </w:r>
      <w:r w:rsidR="00700B79" w:rsidRPr="00FE50A6">
        <w:rPr>
          <w:rFonts w:eastAsia="Cambria" w:cs="Times New Roman"/>
          <w:sz w:val="16"/>
          <w:szCs w:val="16"/>
          <w:u w:val="single"/>
          <w:lang w:val="en-US" w:eastAsia="es-ES"/>
        </w:rPr>
        <w:t>the violation</w:t>
      </w:r>
      <w:r w:rsidRPr="00FE50A6">
        <w:rPr>
          <w:rFonts w:eastAsia="Cambria" w:cs="Times New Roman"/>
          <w:sz w:val="16"/>
          <w:szCs w:val="16"/>
          <w:u w:val="single"/>
          <w:lang w:val="en-US" w:eastAsia="es-ES"/>
        </w:rPr>
        <w:t xml:space="preserve"> </w:t>
      </w:r>
      <w:r w:rsidR="00703850" w:rsidRPr="00FE50A6">
        <w:rPr>
          <w:rFonts w:eastAsia="Cambria" w:cs="Times New Roman"/>
          <w:sz w:val="16"/>
          <w:szCs w:val="16"/>
          <w:u w:val="single"/>
          <w:lang w:val="en-US" w:eastAsia="es-ES"/>
        </w:rPr>
        <w:t>of Article</w:t>
      </w:r>
      <w:r w:rsidRPr="00FE50A6">
        <w:rPr>
          <w:rFonts w:eastAsia="Cambria" w:cs="Times New Roman"/>
          <w:sz w:val="16"/>
          <w:szCs w:val="16"/>
          <w:u w:val="single"/>
          <w:lang w:val="en-US" w:eastAsia="es-ES"/>
        </w:rPr>
        <w:t xml:space="preserve"> </w:t>
      </w:r>
      <w:r w:rsidR="00090C6A" w:rsidRPr="00FE50A6">
        <w:rPr>
          <w:rFonts w:eastAsia="Cambria" w:cs="Times New Roman"/>
          <w:sz w:val="16"/>
          <w:szCs w:val="16"/>
          <w:u w:val="single"/>
          <w:lang w:val="en-US" w:eastAsia="es-ES"/>
        </w:rPr>
        <w:t>6(1)</w:t>
      </w:r>
      <w:r w:rsidR="000228D0" w:rsidRPr="00FE50A6">
        <w:rPr>
          <w:rFonts w:eastAsia="Cambria" w:cs="Times New Roman"/>
          <w:sz w:val="16"/>
          <w:szCs w:val="16"/>
          <w:u w:val="single"/>
          <w:lang w:val="en-US" w:eastAsia="es-ES"/>
        </w:rPr>
        <w:t xml:space="preserve"> of the American Convention</w:t>
      </w:r>
      <w:r w:rsidRPr="00FE50A6">
        <w:rPr>
          <w:rFonts w:eastAsia="Cambria" w:cs="Times New Roman"/>
          <w:sz w:val="16"/>
          <w:szCs w:val="16"/>
          <w:u w:val="single"/>
          <w:lang w:val="en-US" w:eastAsia="es-ES"/>
        </w:rPr>
        <w:t xml:space="preserve">, </w:t>
      </w:r>
      <w:r w:rsidR="000B587F" w:rsidRPr="00FE50A6">
        <w:rPr>
          <w:rFonts w:eastAsia="Cambria" w:cs="Times New Roman"/>
          <w:sz w:val="16"/>
          <w:szCs w:val="16"/>
          <w:u w:val="single"/>
          <w:lang w:val="en-US" w:eastAsia="es-ES"/>
        </w:rPr>
        <w:t>in relation to Article 1(1)</w:t>
      </w:r>
      <w:r w:rsidRPr="00FE50A6">
        <w:rPr>
          <w:rFonts w:eastAsia="Cambria" w:cs="Times New Roman"/>
          <w:sz w:val="16"/>
          <w:szCs w:val="16"/>
          <w:u w:val="single"/>
          <w:lang w:val="en-US" w:eastAsia="es-ES"/>
        </w:rPr>
        <w:t xml:space="preserve"> </w:t>
      </w:r>
      <w:r w:rsidR="00D11A9F" w:rsidRPr="00FE50A6">
        <w:rPr>
          <w:rFonts w:eastAsia="Cambria" w:cs="Times New Roman"/>
          <w:sz w:val="16"/>
          <w:szCs w:val="16"/>
          <w:u w:val="single"/>
          <w:lang w:val="en-US" w:eastAsia="es-ES"/>
        </w:rPr>
        <w:t>of this instrument</w:t>
      </w:r>
      <w:r w:rsidRPr="00FE50A6">
        <w:rPr>
          <w:rFonts w:eastAsia="Cambria" w:cs="Times New Roman"/>
          <w:sz w:val="16"/>
          <w:szCs w:val="16"/>
          <w:u w:val="single"/>
          <w:lang w:val="en-US" w:eastAsia="es-ES"/>
        </w:rPr>
        <w:t xml:space="preserve">, </w:t>
      </w:r>
      <w:r w:rsidR="001C4D2A" w:rsidRPr="00FE50A6">
        <w:rPr>
          <w:rFonts w:eastAsia="Cambria" w:cs="Times New Roman"/>
          <w:sz w:val="16"/>
          <w:szCs w:val="16"/>
          <w:u w:val="single"/>
          <w:lang w:val="en-US"/>
        </w:rPr>
        <w:t>which occurred in the context of a situation of historical structural discrimination, based on the economic status of the 85 workers identified</w:t>
      </w:r>
      <w:r w:rsidR="001C4D2A" w:rsidRPr="00FE50A6">
        <w:rPr>
          <w:rFonts w:eastAsia="Cambria" w:cs="Times New Roman"/>
          <w:sz w:val="16"/>
          <w:szCs w:val="16"/>
          <w:lang w:val="en-US"/>
        </w:rPr>
        <w:t xml:space="preserve"> in paragraph 206 of this judgment, in the terms of paragraphs 342 and 343 of this judgment</w:t>
      </w:r>
      <w:r w:rsidR="00270B76" w:rsidRPr="00FE50A6">
        <w:rPr>
          <w:rFonts w:eastAsia="Cambria" w:cs="Times New Roman"/>
          <w:sz w:val="16"/>
          <w:szCs w:val="16"/>
          <w:lang w:val="en-US"/>
        </w:rPr>
        <w:t>”</w:t>
      </w:r>
      <w:r w:rsidRPr="00FE50A6">
        <w:rPr>
          <w:rFonts w:eastAsia="Cambria" w:cs="Times New Roman"/>
          <w:sz w:val="16"/>
          <w:szCs w:val="20"/>
          <w:vertAlign w:val="superscript"/>
          <w:lang w:val="en-US" w:eastAsia="es-ES"/>
        </w:rPr>
        <w:footnoteReference w:id="649"/>
      </w:r>
      <w:r w:rsidR="006C420D" w:rsidRPr="00FE50A6">
        <w:rPr>
          <w:rFonts w:eastAsia="Cambria" w:cs="Times New Roman"/>
          <w:sz w:val="16"/>
          <w:szCs w:val="16"/>
          <w:lang w:val="en-US" w:eastAsia="es-ES"/>
        </w:rPr>
        <w:t xml:space="preserve"> (underlining added). </w:t>
      </w:r>
    </w:p>
    <w:p w14:paraId="57475791" w14:textId="77777777" w:rsidR="00130785" w:rsidRPr="00FE50A6" w:rsidRDefault="00130785" w:rsidP="00130785">
      <w:pPr>
        <w:tabs>
          <w:tab w:val="clear" w:pos="4419"/>
          <w:tab w:val="clear" w:pos="8838"/>
        </w:tabs>
        <w:contextualSpacing/>
        <w:jc w:val="both"/>
        <w:rPr>
          <w:rFonts w:eastAsia="Cambria" w:cs="Times New Roman"/>
          <w:lang w:val="en-US"/>
        </w:rPr>
      </w:pPr>
    </w:p>
    <w:p w14:paraId="66F72EEA" w14:textId="77777777" w:rsidR="00130785" w:rsidRPr="00FE50A6" w:rsidRDefault="006C420D" w:rsidP="006C420D">
      <w:pPr>
        <w:numPr>
          <w:ilvl w:val="0"/>
          <w:numId w:val="26"/>
        </w:numPr>
        <w:tabs>
          <w:tab w:val="clear" w:pos="4419"/>
          <w:tab w:val="clear" w:pos="8838"/>
        </w:tabs>
        <w:contextualSpacing/>
        <w:jc w:val="both"/>
        <w:rPr>
          <w:rFonts w:eastAsia="Cambria" w:cs="Times New Roman"/>
          <w:lang w:val="en-US"/>
        </w:rPr>
      </w:pPr>
      <w:r w:rsidRPr="00FE50A6">
        <w:rPr>
          <w:rFonts w:eastAsia="Cambria" w:cs="Times New Roman"/>
          <w:lang w:val="en-US"/>
        </w:rPr>
        <w:t xml:space="preserve">Even though the problem of the existence of poverty and extreme poverty in the inter-American region concerns all the States that form part of the inter-American system, for the effects of the analysis of this case, it is important to stress the situation of poverty – which could be </w:t>
      </w:r>
      <w:r w:rsidR="00FB26B7" w:rsidRPr="00FE50A6">
        <w:rPr>
          <w:rFonts w:eastAsia="Cambria" w:cs="Times New Roman"/>
          <w:lang w:val="en-US"/>
        </w:rPr>
        <w:t xml:space="preserve">considered to fall within the definition of structural poverty – that was the original reason why the 85 workers were subjected to trafficking, and resulted in the victims being subjected to forced labor and debt bondage. Two essential aspects of this case, which were determinant to constitute discrimination based on economic status arising from poverty, were: (i) </w:t>
      </w:r>
      <w:r w:rsidR="000E72F0" w:rsidRPr="00FE50A6">
        <w:rPr>
          <w:rFonts w:eastAsia="Cambria" w:cs="Times New Roman"/>
          <w:lang w:val="en-US"/>
        </w:rPr>
        <w:t xml:space="preserve">the </w:t>
      </w:r>
      <w:r w:rsidR="00FB26B7" w:rsidRPr="00FE50A6">
        <w:rPr>
          <w:rFonts w:eastAsia="Cambria" w:cs="Times New Roman"/>
          <w:lang w:val="en-US"/>
        </w:rPr>
        <w:t>concentration of the phenomenon of slave labor in a specific geographical area and its historical perpetuation, and (ii) the impossibility of the 85 victims obtaining the basic requirements for human development by their work</w:t>
      </w:r>
      <w:r w:rsidR="00130785" w:rsidRPr="00FE50A6">
        <w:rPr>
          <w:rFonts w:eastAsia="Cambria" w:cs="Times New Roman"/>
          <w:lang w:val="en-US"/>
        </w:rPr>
        <w:t xml:space="preserve">. </w:t>
      </w:r>
    </w:p>
    <w:p w14:paraId="33CFADA9" w14:textId="77777777" w:rsidR="00130785" w:rsidRPr="00FE50A6" w:rsidRDefault="00130785" w:rsidP="00130785">
      <w:pPr>
        <w:tabs>
          <w:tab w:val="clear" w:pos="4419"/>
          <w:tab w:val="clear" w:pos="8838"/>
        </w:tabs>
        <w:contextualSpacing/>
        <w:jc w:val="both"/>
        <w:rPr>
          <w:rFonts w:eastAsia="Cambria" w:cs="Times New Roman"/>
          <w:lang w:val="en-US"/>
        </w:rPr>
      </w:pPr>
    </w:p>
    <w:p w14:paraId="41460064" w14:textId="77777777" w:rsidR="00FB26B7" w:rsidRPr="00FE50A6" w:rsidRDefault="00FB26B7" w:rsidP="008B0BCC">
      <w:pPr>
        <w:numPr>
          <w:ilvl w:val="0"/>
          <w:numId w:val="26"/>
        </w:numPr>
        <w:tabs>
          <w:tab w:val="clear" w:pos="4419"/>
          <w:tab w:val="clear" w:pos="8838"/>
        </w:tabs>
        <w:contextualSpacing/>
        <w:jc w:val="both"/>
        <w:rPr>
          <w:rFonts w:eastAsia="Cambria" w:cs="Times New Roman"/>
          <w:b/>
          <w:szCs w:val="20"/>
          <w:lang w:val="en-US"/>
        </w:rPr>
      </w:pPr>
      <w:r w:rsidRPr="00FE50A6">
        <w:rPr>
          <w:rFonts w:eastAsia="Cambria" w:cs="Times New Roman"/>
          <w:szCs w:val="20"/>
          <w:lang w:val="en-US"/>
        </w:rPr>
        <w:t>It is important to clarify that, in many cases, it is probable that there is no direct intention to confine members of a group to the lowest rungs of the social structure, or to place them in situations of systematic disadvantage. It is probable that it is not even possible to identify clearly what</w:t>
      </w:r>
      <w:r w:rsidR="00E310BF" w:rsidRPr="00FE50A6">
        <w:rPr>
          <w:rFonts w:eastAsia="Cambria" w:cs="Times New Roman"/>
          <w:szCs w:val="20"/>
          <w:lang w:val="en-US"/>
        </w:rPr>
        <w:t xml:space="preserve"> the specific factors, decisions or practices were that contributed to achiev</w:t>
      </w:r>
      <w:r w:rsidR="000E72F0" w:rsidRPr="00FE50A6">
        <w:rPr>
          <w:rFonts w:eastAsia="Cambria" w:cs="Times New Roman"/>
          <w:szCs w:val="20"/>
          <w:lang w:val="en-US"/>
        </w:rPr>
        <w:t>ing</w:t>
      </w:r>
      <w:r w:rsidR="00E310BF" w:rsidRPr="00FE50A6">
        <w:rPr>
          <w:rFonts w:eastAsia="Cambria" w:cs="Times New Roman"/>
          <w:szCs w:val="20"/>
          <w:lang w:val="en-US"/>
        </w:rPr>
        <w:t xml:space="preserve"> this result of systematic disadvantage. In this regard, the relevant point is to determine whether the prohibition of discrimination was </w:t>
      </w:r>
      <w:r w:rsidR="000E72F0" w:rsidRPr="00FE50A6">
        <w:rPr>
          <w:rFonts w:eastAsia="Cambria" w:cs="Times New Roman"/>
          <w:szCs w:val="20"/>
          <w:lang w:val="en-US"/>
        </w:rPr>
        <w:t>violated</w:t>
      </w:r>
      <w:r w:rsidR="00E310BF" w:rsidRPr="00FE50A6">
        <w:rPr>
          <w:rFonts w:eastAsia="Cambria" w:cs="Times New Roman"/>
          <w:szCs w:val="20"/>
          <w:lang w:val="en-US"/>
        </w:rPr>
        <w:t xml:space="preserve">, and whether a group of persons has been continually excluded from relevant and crucial </w:t>
      </w:r>
      <w:r w:rsidR="000E72F0" w:rsidRPr="00FE50A6">
        <w:rPr>
          <w:rFonts w:eastAsia="Cambria" w:cs="Times New Roman"/>
          <w:szCs w:val="20"/>
          <w:lang w:val="en-US"/>
        </w:rPr>
        <w:t>elements</w:t>
      </w:r>
      <w:r w:rsidR="00E310BF" w:rsidRPr="00FE50A6">
        <w:rPr>
          <w:rFonts w:eastAsia="Cambria" w:cs="Times New Roman"/>
          <w:szCs w:val="20"/>
          <w:lang w:val="en-US"/>
        </w:rPr>
        <w:t xml:space="preserve"> for the autonomous development of the individual.</w:t>
      </w:r>
    </w:p>
    <w:p w14:paraId="3589C78F" w14:textId="77777777" w:rsidR="00130785" w:rsidRPr="00FE50A6" w:rsidRDefault="00130785" w:rsidP="00130785">
      <w:pPr>
        <w:tabs>
          <w:tab w:val="clear" w:pos="4419"/>
          <w:tab w:val="clear" w:pos="8838"/>
        </w:tabs>
        <w:rPr>
          <w:rFonts w:eastAsia="MS Mincho" w:cs="Arial"/>
          <w:szCs w:val="20"/>
          <w:lang w:val="en-US" w:eastAsia="es-ES"/>
        </w:rPr>
      </w:pPr>
    </w:p>
    <w:p w14:paraId="01B97A84" w14:textId="77777777" w:rsidR="00130785" w:rsidRPr="00FE50A6" w:rsidRDefault="00130785" w:rsidP="00E310BF">
      <w:pPr>
        <w:numPr>
          <w:ilvl w:val="0"/>
          <w:numId w:val="26"/>
        </w:numPr>
        <w:tabs>
          <w:tab w:val="clear" w:pos="4419"/>
          <w:tab w:val="clear" w:pos="8838"/>
        </w:tabs>
        <w:jc w:val="both"/>
        <w:rPr>
          <w:rFonts w:eastAsia="Cambria" w:cs="Arial"/>
          <w:lang w:val="en-US"/>
        </w:rPr>
      </w:pPr>
      <w:r w:rsidRPr="00FE50A6">
        <w:rPr>
          <w:rFonts w:eastAsia="Cambria" w:cs="Arial"/>
          <w:lang w:val="en-US"/>
        </w:rPr>
        <w:t xml:space="preserve">  </w:t>
      </w:r>
      <w:r w:rsidR="00E310BF" w:rsidRPr="00FE50A6">
        <w:rPr>
          <w:rFonts w:eastAsia="Cambria" w:cs="Arial"/>
          <w:lang w:val="en-US"/>
        </w:rPr>
        <w:t xml:space="preserve">As a result of the context, the 85 victims in this case were subjected to </w:t>
      </w:r>
      <w:r w:rsidR="000C2A19" w:rsidRPr="00FE50A6">
        <w:rPr>
          <w:rFonts w:eastAsia="Cambria" w:cs="Arial"/>
          <w:lang w:val="en-US"/>
        </w:rPr>
        <w:t>trafficking</w:t>
      </w:r>
      <w:r w:rsidR="000E72F0" w:rsidRPr="00FE50A6">
        <w:rPr>
          <w:rFonts w:eastAsia="Cambria" w:cs="Arial"/>
          <w:lang w:val="en-US"/>
        </w:rPr>
        <w:t>, owing</w:t>
      </w:r>
      <w:r w:rsidR="000C2A19" w:rsidRPr="00FE50A6">
        <w:rPr>
          <w:rFonts w:eastAsia="Cambria" w:cs="Arial"/>
          <w:lang w:val="en-US"/>
        </w:rPr>
        <w:t xml:space="preserve"> </w:t>
      </w:r>
      <w:r w:rsidR="00E310BF" w:rsidRPr="00FE50A6">
        <w:rPr>
          <w:rFonts w:eastAsia="Cambria" w:cs="Arial"/>
          <w:lang w:val="en-US"/>
        </w:rPr>
        <w:t>to</w:t>
      </w:r>
      <w:r w:rsidR="000E72F0" w:rsidRPr="00FE50A6">
        <w:rPr>
          <w:rFonts w:eastAsia="Cambria" w:cs="Arial"/>
          <w:lang w:val="en-US"/>
        </w:rPr>
        <w:t xml:space="preserve"> the</w:t>
      </w:r>
      <w:r w:rsidR="00E310BF" w:rsidRPr="00FE50A6">
        <w:rPr>
          <w:rFonts w:eastAsia="Cambria" w:cs="Arial"/>
          <w:lang w:val="en-US"/>
        </w:rPr>
        <w:t xml:space="preserve"> capture and recruit</w:t>
      </w:r>
      <w:r w:rsidR="000E72F0" w:rsidRPr="00FE50A6">
        <w:rPr>
          <w:rFonts w:eastAsia="Cambria" w:cs="Arial"/>
          <w:lang w:val="en-US"/>
        </w:rPr>
        <w:t>ment of</w:t>
      </w:r>
      <w:r w:rsidR="00E310BF" w:rsidRPr="00FE50A6">
        <w:rPr>
          <w:rFonts w:eastAsia="Cambria" w:cs="Arial"/>
          <w:lang w:val="en-US"/>
        </w:rPr>
        <w:t xml:space="preserve"> workers from the poorest regions of the country by fraud, deception and false promises, and the purpose of this recruitment was labor exploitation </w:t>
      </w:r>
      <w:r w:rsidR="00E368FD" w:rsidRPr="00FE50A6">
        <w:rPr>
          <w:rFonts w:eastAsia="Cambria" w:cs="Arial"/>
          <w:lang w:val="en-US"/>
        </w:rPr>
        <w:t>in Brazil</w:t>
      </w:r>
      <w:r w:rsidR="00E310BF" w:rsidRPr="00FE50A6">
        <w:rPr>
          <w:rFonts w:eastAsia="Cambria" w:cs="Arial"/>
          <w:lang w:val="en-US"/>
        </w:rPr>
        <w:t>.</w:t>
      </w:r>
      <w:r w:rsidRPr="00FE50A6">
        <w:rPr>
          <w:rFonts w:eastAsia="Cambria" w:cs="Times New Roman"/>
          <w:szCs w:val="20"/>
          <w:vertAlign w:val="superscript"/>
          <w:lang w:val="en-US"/>
        </w:rPr>
        <w:footnoteReference w:id="650"/>
      </w:r>
      <w:r w:rsidRPr="00FE50A6">
        <w:rPr>
          <w:rFonts w:eastAsia="Cambria" w:cs="Arial"/>
          <w:lang w:val="en-US"/>
        </w:rPr>
        <w:t xml:space="preserve"> </w:t>
      </w:r>
      <w:r w:rsidRPr="00FE50A6">
        <w:rPr>
          <w:rFonts w:eastAsia="Cambria" w:cs="Arial"/>
          <w:b/>
          <w:lang w:val="en-US"/>
        </w:rPr>
        <w:t xml:space="preserve"> </w:t>
      </w:r>
    </w:p>
    <w:p w14:paraId="439DCAF5" w14:textId="77777777" w:rsidR="00130785" w:rsidRPr="00FE50A6" w:rsidRDefault="00130785" w:rsidP="00130785">
      <w:pPr>
        <w:tabs>
          <w:tab w:val="clear" w:pos="4419"/>
          <w:tab w:val="clear" w:pos="8838"/>
        </w:tabs>
        <w:rPr>
          <w:rFonts w:eastAsia="MS Mincho" w:cs="Arial"/>
          <w:szCs w:val="20"/>
          <w:lang w:val="en-US" w:eastAsia="es-ES"/>
        </w:rPr>
      </w:pPr>
    </w:p>
    <w:p w14:paraId="177FEAE8" w14:textId="77777777" w:rsidR="00B844A7" w:rsidRPr="00FE50A6" w:rsidRDefault="00F963AB" w:rsidP="008B0BCC">
      <w:pPr>
        <w:numPr>
          <w:ilvl w:val="0"/>
          <w:numId w:val="26"/>
        </w:numPr>
        <w:tabs>
          <w:tab w:val="clear" w:pos="4419"/>
          <w:tab w:val="clear" w:pos="8838"/>
        </w:tabs>
        <w:jc w:val="both"/>
        <w:rPr>
          <w:rFonts w:eastAsia="Cambria" w:cs="Arial"/>
          <w:lang w:val="en-US"/>
        </w:rPr>
      </w:pPr>
      <w:r w:rsidRPr="00FE50A6">
        <w:rPr>
          <w:rFonts w:eastAsia="Cambria" w:cs="Arial"/>
          <w:lang w:val="en-US"/>
        </w:rPr>
        <w:t xml:space="preserve">In this regard, the Inter-American Court concluded that the 85 Hacienda Brasil Verde workers had been victims of historical structural discrimination </w:t>
      </w:r>
      <w:r w:rsidR="00B844A7" w:rsidRPr="00FE50A6">
        <w:rPr>
          <w:rFonts w:eastAsia="Cambria" w:cs="Arial"/>
          <w:lang w:val="en-US"/>
        </w:rPr>
        <w:t>within the State of Brazil owing to the phenomenon of slavery.</w:t>
      </w:r>
      <w:r w:rsidRPr="00FE50A6">
        <w:rPr>
          <w:rFonts w:eastAsia="Cambria" w:cs="Times New Roman"/>
          <w:szCs w:val="20"/>
          <w:vertAlign w:val="superscript"/>
          <w:lang w:val="en-US"/>
        </w:rPr>
        <w:footnoteReference w:id="651"/>
      </w:r>
      <w:r w:rsidR="00B844A7" w:rsidRPr="00FE50A6">
        <w:rPr>
          <w:rFonts w:eastAsia="Cambria" w:cs="Arial"/>
          <w:lang w:val="en-US"/>
        </w:rPr>
        <w:t xml:space="preserve"> </w:t>
      </w:r>
      <w:r w:rsidR="000E72F0" w:rsidRPr="00FE50A6">
        <w:rPr>
          <w:rFonts w:eastAsia="Cambria" w:cs="Arial"/>
          <w:lang w:val="en-US"/>
        </w:rPr>
        <w:t>The Court reached</w:t>
      </w:r>
      <w:r w:rsidR="00B844A7" w:rsidRPr="00FE50A6">
        <w:rPr>
          <w:rFonts w:eastAsia="Cambria" w:cs="Arial"/>
          <w:lang w:val="en-US"/>
        </w:rPr>
        <w:t xml:space="preserve"> this conclusion </w:t>
      </w:r>
      <w:r w:rsidR="000E72F0" w:rsidRPr="00FE50A6">
        <w:rPr>
          <w:rFonts w:eastAsia="Cambria" w:cs="Arial"/>
          <w:lang w:val="en-US"/>
        </w:rPr>
        <w:t>bearing in mind</w:t>
      </w:r>
      <w:r w:rsidR="00B844A7" w:rsidRPr="00FE50A6">
        <w:rPr>
          <w:rFonts w:eastAsia="Cambria" w:cs="Arial"/>
          <w:lang w:val="en-US"/>
        </w:rPr>
        <w:t xml:space="preserve"> that this case referred to: </w:t>
      </w:r>
      <w:r w:rsidRPr="00FE50A6">
        <w:rPr>
          <w:rFonts w:eastAsia="Cambria" w:cs="Arial"/>
          <w:lang w:val="en-US"/>
        </w:rPr>
        <w:t>(i) a group of individuals who re</w:t>
      </w:r>
      <w:r w:rsidR="00B844A7" w:rsidRPr="00FE50A6">
        <w:rPr>
          <w:rFonts w:eastAsia="Cambria" w:cs="Arial"/>
          <w:lang w:val="en-US"/>
        </w:rPr>
        <w:t>q</w:t>
      </w:r>
      <w:r w:rsidRPr="00FE50A6">
        <w:rPr>
          <w:rFonts w:eastAsia="Cambria" w:cs="Arial"/>
          <w:lang w:val="en-US"/>
        </w:rPr>
        <w:t xml:space="preserve">uired </w:t>
      </w:r>
      <w:r w:rsidR="00B844A7" w:rsidRPr="00FE50A6">
        <w:rPr>
          <w:rFonts w:eastAsia="Cambria" w:cs="Arial"/>
          <w:lang w:val="en-US"/>
        </w:rPr>
        <w:t>special protection because they were workers who had been trafficked using deception and</w:t>
      </w:r>
      <w:r w:rsidR="000E72F0" w:rsidRPr="00FE50A6">
        <w:rPr>
          <w:rFonts w:eastAsia="Cambria" w:cs="Arial"/>
          <w:lang w:val="en-US"/>
        </w:rPr>
        <w:t>,</w:t>
      </w:r>
      <w:r w:rsidR="00B844A7" w:rsidRPr="00FE50A6">
        <w:rPr>
          <w:rFonts w:eastAsia="Cambria" w:cs="Arial"/>
          <w:lang w:val="en-US"/>
        </w:rPr>
        <w:t xml:space="preserve"> given their situation of poverty</w:t>
      </w:r>
      <w:r w:rsidR="000E72F0" w:rsidRPr="00FE50A6">
        <w:rPr>
          <w:rFonts w:eastAsia="Cambria" w:cs="Arial"/>
          <w:lang w:val="en-US"/>
        </w:rPr>
        <w:t>,</w:t>
      </w:r>
      <w:r w:rsidR="00B844A7" w:rsidRPr="00FE50A6">
        <w:rPr>
          <w:rFonts w:eastAsia="Cambria" w:cs="Arial"/>
          <w:lang w:val="en-US"/>
        </w:rPr>
        <w:t xml:space="preserve"> this reached the threshold of slavery; (ii) these individuals were subjected to this historical and systematic practice that kept them in a situation of exclusion and marginalization</w:t>
      </w:r>
      <w:r w:rsidR="000E72F0" w:rsidRPr="00FE50A6">
        <w:rPr>
          <w:rFonts w:eastAsia="Cambria" w:cs="Arial"/>
          <w:lang w:val="en-US"/>
        </w:rPr>
        <w:t>:</w:t>
      </w:r>
      <w:r w:rsidR="00B844A7" w:rsidRPr="00FE50A6">
        <w:rPr>
          <w:rFonts w:eastAsia="Cambria" w:cs="Arial"/>
          <w:lang w:val="en-US"/>
        </w:rPr>
        <w:t xml:space="preserve"> (iii) although this case was circumscribed to the state of Pará and Hacienda Brasil Verde, </w:t>
      </w:r>
      <w:r w:rsidR="00856572" w:rsidRPr="00FE50A6">
        <w:rPr>
          <w:rFonts w:eastAsia="Cambria" w:cs="Arial"/>
          <w:lang w:val="en-US"/>
        </w:rPr>
        <w:t xml:space="preserve">the </w:t>
      </w:r>
      <w:r w:rsidR="00B844A7" w:rsidRPr="00FE50A6">
        <w:rPr>
          <w:rFonts w:eastAsia="Cambria" w:cs="Arial"/>
          <w:lang w:val="en-US"/>
        </w:rPr>
        <w:t xml:space="preserve">thousands of victims </w:t>
      </w:r>
      <w:r w:rsidR="00856572" w:rsidRPr="00FE50A6">
        <w:rPr>
          <w:rFonts w:eastAsia="Cambria" w:cs="Arial"/>
          <w:lang w:val="en-US"/>
        </w:rPr>
        <w:t xml:space="preserve">who </w:t>
      </w:r>
      <w:r w:rsidR="00B844A7" w:rsidRPr="00FE50A6">
        <w:rPr>
          <w:rFonts w:eastAsia="Cambria" w:cs="Arial"/>
          <w:lang w:val="en-US"/>
        </w:rPr>
        <w:t xml:space="preserve">have not </w:t>
      </w:r>
      <w:r w:rsidR="000E72F0" w:rsidRPr="00FE50A6">
        <w:rPr>
          <w:rFonts w:eastAsia="Cambria" w:cs="Arial"/>
          <w:lang w:val="en-US"/>
        </w:rPr>
        <w:t xml:space="preserve">yet </w:t>
      </w:r>
      <w:r w:rsidR="00B844A7" w:rsidRPr="00FE50A6">
        <w:rPr>
          <w:rFonts w:eastAsia="Cambria" w:cs="Arial"/>
          <w:lang w:val="en-US"/>
        </w:rPr>
        <w:t>been liberated by the Brazilia</w:t>
      </w:r>
      <w:r w:rsidR="000E72F0" w:rsidRPr="00FE50A6">
        <w:rPr>
          <w:rFonts w:eastAsia="Cambria" w:cs="Arial"/>
          <w:lang w:val="en-US"/>
        </w:rPr>
        <w:t>n</w:t>
      </w:r>
      <w:r w:rsidR="00B844A7" w:rsidRPr="00FE50A6">
        <w:rPr>
          <w:rFonts w:eastAsia="Cambria" w:cs="Arial"/>
          <w:lang w:val="en-US"/>
        </w:rPr>
        <w:t xml:space="preserve"> authorities, especially in the southern part of the state of Pará</w:t>
      </w:r>
      <w:r w:rsidR="00856572" w:rsidRPr="00FE50A6">
        <w:rPr>
          <w:rFonts w:eastAsia="Cambria" w:cs="Arial"/>
          <w:lang w:val="en-US"/>
        </w:rPr>
        <w:t>,</w:t>
      </w:r>
      <w:r w:rsidR="00B844A7" w:rsidRPr="00FE50A6">
        <w:rPr>
          <w:rFonts w:eastAsia="Cambria" w:cs="Arial"/>
          <w:lang w:val="en-US"/>
        </w:rPr>
        <w:t xml:space="preserve"> were also taken into consideration, and (iv) in this case, the phenomenon of slavery to which the 85 victims were subjected constituted indirect and </w:t>
      </w:r>
      <w:r w:rsidR="00B844A7" w:rsidRPr="00FE50A6">
        <w:rPr>
          <w:rFonts w:eastAsia="Cambria" w:cs="Arial"/>
          <w:i/>
          <w:lang w:val="en-US"/>
        </w:rPr>
        <w:t>de</w:t>
      </w:r>
      <w:r w:rsidR="00B844A7" w:rsidRPr="00FE50A6">
        <w:rPr>
          <w:rFonts w:eastAsia="Cambria" w:cs="Arial"/>
          <w:lang w:val="en-US"/>
        </w:rPr>
        <w:t xml:space="preserve"> </w:t>
      </w:r>
      <w:r w:rsidR="00B844A7" w:rsidRPr="00FE50A6">
        <w:rPr>
          <w:rFonts w:eastAsia="Cambria" w:cs="Arial"/>
          <w:i/>
          <w:lang w:val="en-US"/>
        </w:rPr>
        <w:t>facto</w:t>
      </w:r>
      <w:r w:rsidR="00B844A7" w:rsidRPr="00FE50A6">
        <w:rPr>
          <w:rFonts w:eastAsia="Cambria" w:cs="Arial"/>
          <w:lang w:val="en-US"/>
        </w:rPr>
        <w:t xml:space="preserve"> discrimination owing to the ineffectiveness of the State’s practices to prevent and eradicate it.</w:t>
      </w:r>
    </w:p>
    <w:p w14:paraId="21637EDB" w14:textId="77777777" w:rsidR="00130785" w:rsidRPr="00FE50A6" w:rsidRDefault="00130785" w:rsidP="00130785">
      <w:pPr>
        <w:tabs>
          <w:tab w:val="clear" w:pos="4419"/>
          <w:tab w:val="clear" w:pos="8838"/>
        </w:tabs>
        <w:jc w:val="both"/>
        <w:rPr>
          <w:rFonts w:eastAsia="Cambria" w:cs="Arial"/>
          <w:lang w:val="en-US"/>
        </w:rPr>
      </w:pPr>
    </w:p>
    <w:p w14:paraId="0106505C" w14:textId="77777777" w:rsidR="00130785" w:rsidRPr="00FE50A6" w:rsidRDefault="00C073D8" w:rsidP="00C073D8">
      <w:pPr>
        <w:numPr>
          <w:ilvl w:val="0"/>
          <w:numId w:val="26"/>
        </w:numPr>
        <w:tabs>
          <w:tab w:val="clear" w:pos="4419"/>
          <w:tab w:val="clear" w:pos="8838"/>
        </w:tabs>
        <w:jc w:val="both"/>
        <w:rPr>
          <w:rFonts w:eastAsia="Cambria" w:cs="Arial"/>
          <w:lang w:val="en-US"/>
        </w:rPr>
      </w:pPr>
      <w:r w:rsidRPr="00FE50A6">
        <w:rPr>
          <w:rFonts w:eastAsia="Cambria" w:cs="Arial"/>
          <w:lang w:val="en-US"/>
        </w:rPr>
        <w:t>The recognition of</w:t>
      </w:r>
      <w:r w:rsidR="00130785" w:rsidRPr="00FE50A6">
        <w:rPr>
          <w:rFonts w:eastAsia="Cambria" w:cs="Arial"/>
          <w:lang w:val="en-US"/>
        </w:rPr>
        <w:t xml:space="preserve"> </w:t>
      </w:r>
      <w:r w:rsidR="009308B1" w:rsidRPr="00FE50A6">
        <w:rPr>
          <w:rFonts w:eastAsia="Cambria" w:cs="Arial"/>
          <w:i/>
          <w:lang w:val="en-US"/>
        </w:rPr>
        <w:t>historical structural</w:t>
      </w:r>
      <w:r w:rsidR="00311174" w:rsidRPr="00FE50A6">
        <w:rPr>
          <w:rFonts w:eastAsia="Cambria" w:cs="Arial"/>
          <w:i/>
          <w:lang w:val="en-US"/>
        </w:rPr>
        <w:t xml:space="preserve"> discrimination</w:t>
      </w:r>
      <w:r w:rsidR="00130785" w:rsidRPr="00FE50A6">
        <w:rPr>
          <w:rFonts w:eastAsia="Cambria" w:cs="Arial"/>
          <w:lang w:val="en-US"/>
        </w:rPr>
        <w:t xml:space="preserve"> </w:t>
      </w:r>
      <w:r w:rsidRPr="00FE50A6">
        <w:rPr>
          <w:rFonts w:eastAsia="Cambria" w:cs="Arial"/>
          <w:lang w:val="en-US"/>
        </w:rPr>
        <w:t xml:space="preserve">owing to </w:t>
      </w:r>
      <w:r w:rsidR="005F1946" w:rsidRPr="00FE50A6">
        <w:rPr>
          <w:rFonts w:eastAsia="Cambria" w:cs="Arial"/>
          <w:lang w:val="en-US"/>
        </w:rPr>
        <w:t>slave labor</w:t>
      </w:r>
      <w:r w:rsidR="00130785" w:rsidRPr="00FE50A6">
        <w:rPr>
          <w:rFonts w:eastAsia="Cambria" w:cs="Arial"/>
          <w:lang w:val="en-US"/>
        </w:rPr>
        <w:t xml:space="preserve"> </w:t>
      </w:r>
      <w:r w:rsidRPr="00FE50A6">
        <w:rPr>
          <w:rFonts w:eastAsia="Cambria" w:cs="Arial"/>
          <w:lang w:val="en-US"/>
        </w:rPr>
        <w:t xml:space="preserve">is of vital importance, because it was not just any kind of individuals who were recruited by the </w:t>
      </w:r>
      <w:r w:rsidRPr="00FE50A6">
        <w:rPr>
          <w:rFonts w:eastAsia="Cambria" w:cs="Arial"/>
          <w:i/>
          <w:lang w:val="en-US"/>
        </w:rPr>
        <w:t xml:space="preserve">gatos, </w:t>
      </w:r>
      <w:r w:rsidRPr="00FE50A6">
        <w:rPr>
          <w:rFonts w:eastAsia="Cambria" w:cs="Arial"/>
          <w:lang w:val="en-US"/>
        </w:rPr>
        <w:t>but rather they were individuals with a specific profile, in which the poverty in which they lived was a crucial factor of vulnerability. In the judgment</w:t>
      </w:r>
      <w:r w:rsidR="00130785" w:rsidRPr="00FE50A6">
        <w:rPr>
          <w:rFonts w:eastAsia="Cambria" w:cs="Arial"/>
          <w:lang w:val="en-US"/>
        </w:rPr>
        <w:t xml:space="preserve">, </w:t>
      </w:r>
      <w:r w:rsidR="00CD3CCC" w:rsidRPr="00FE50A6">
        <w:rPr>
          <w:rFonts w:eastAsia="Cambria" w:cs="Arial"/>
          <w:lang w:val="en-US"/>
        </w:rPr>
        <w:t>the Inter-American Court</w:t>
      </w:r>
      <w:r w:rsidRPr="00FE50A6">
        <w:rPr>
          <w:rFonts w:eastAsia="Cambria" w:cs="Arial"/>
          <w:lang w:val="en-US"/>
        </w:rPr>
        <w:t xml:space="preserve"> considered that</w:t>
      </w:r>
      <w:r w:rsidR="00130785" w:rsidRPr="00FE50A6">
        <w:rPr>
          <w:rFonts w:eastAsia="Cambria" w:cs="Arial"/>
          <w:lang w:val="en-US"/>
        </w:rPr>
        <w:t>:</w:t>
      </w:r>
    </w:p>
    <w:p w14:paraId="6A4580C2" w14:textId="77777777" w:rsidR="00130785" w:rsidRPr="00FE50A6" w:rsidRDefault="00130785" w:rsidP="00130785">
      <w:pPr>
        <w:tabs>
          <w:tab w:val="clear" w:pos="4419"/>
          <w:tab w:val="clear" w:pos="8838"/>
        </w:tabs>
        <w:rPr>
          <w:rFonts w:eastAsia="MS Mincho" w:cs="Arial"/>
          <w:sz w:val="24"/>
          <w:szCs w:val="24"/>
          <w:lang w:val="en-US" w:eastAsia="es-ES"/>
        </w:rPr>
      </w:pPr>
    </w:p>
    <w:p w14:paraId="07697A2F" w14:textId="77777777" w:rsidR="00130785" w:rsidRPr="00FE50A6" w:rsidRDefault="00856572" w:rsidP="00856572">
      <w:pPr>
        <w:tabs>
          <w:tab w:val="clear" w:pos="4419"/>
          <w:tab w:val="clear" w:pos="8838"/>
        </w:tabs>
        <w:ind w:left="708" w:right="468"/>
        <w:contextualSpacing/>
        <w:jc w:val="both"/>
        <w:rPr>
          <w:rFonts w:eastAsia="Cambria" w:cs="Times New Roman"/>
          <w:sz w:val="16"/>
          <w:szCs w:val="16"/>
          <w:u w:val="single"/>
          <w:lang w:val="en-US"/>
        </w:rPr>
      </w:pPr>
      <w:r w:rsidRPr="00FE50A6">
        <w:rPr>
          <w:rFonts w:eastAsia="Cambria" w:cs="Times New Roman"/>
          <w:sz w:val="16"/>
          <w:szCs w:val="16"/>
          <w:lang w:val="en-US"/>
        </w:rPr>
        <w:t>“</w:t>
      </w:r>
      <w:r w:rsidR="00130785" w:rsidRPr="00FE50A6">
        <w:rPr>
          <w:rFonts w:eastAsia="Cambria" w:cs="Times New Roman"/>
          <w:sz w:val="16"/>
          <w:szCs w:val="16"/>
          <w:lang w:val="en-US"/>
        </w:rPr>
        <w:t xml:space="preserve">339. […] </w:t>
      </w:r>
      <w:r w:rsidR="0088467F" w:rsidRPr="00FE50A6">
        <w:rPr>
          <w:rFonts w:eastAsia="Cambria" w:cs="Times New Roman"/>
          <w:sz w:val="16"/>
          <w:szCs w:val="16"/>
          <w:lang w:val="en-US"/>
        </w:rPr>
        <w:t>in this case</w:t>
      </w:r>
      <w:r w:rsidR="00130785" w:rsidRPr="00FE50A6">
        <w:rPr>
          <w:rFonts w:eastAsia="Cambria" w:cs="Times New Roman"/>
          <w:sz w:val="16"/>
          <w:szCs w:val="16"/>
          <w:lang w:val="en-US"/>
        </w:rPr>
        <w:t xml:space="preserve"> </w:t>
      </w:r>
      <w:bookmarkStart w:id="405" w:name="_Hlk10369193"/>
      <w:r w:rsidR="001C4D2A" w:rsidRPr="00FE50A6">
        <w:rPr>
          <w:sz w:val="16"/>
          <w:szCs w:val="16"/>
          <w:u w:val="single"/>
          <w:lang w:val="en-US"/>
        </w:rPr>
        <w:t xml:space="preserve">some characteristics of specific victimization </w:t>
      </w:r>
      <w:bookmarkEnd w:id="405"/>
      <w:r w:rsidR="001C4D2A" w:rsidRPr="00FE50A6">
        <w:rPr>
          <w:sz w:val="16"/>
          <w:szCs w:val="16"/>
          <w:u w:val="single"/>
          <w:lang w:val="en-US"/>
        </w:rPr>
        <w:t>shared by the 85 workers rescued</w:t>
      </w:r>
      <w:r w:rsidR="001C4D2A" w:rsidRPr="00FE50A6">
        <w:rPr>
          <w:sz w:val="16"/>
          <w:szCs w:val="16"/>
          <w:lang w:val="en-US"/>
        </w:rPr>
        <w:t xml:space="preserve"> on March 15, 2000:</w:t>
      </w:r>
      <w:r w:rsidR="001C4D2A" w:rsidRPr="00FE50A6">
        <w:rPr>
          <w:rFonts w:eastAsia="Cambria" w:cs="Times New Roman"/>
          <w:b/>
          <w:sz w:val="16"/>
          <w:szCs w:val="16"/>
          <w:lang w:val="en-US"/>
        </w:rPr>
        <w:t xml:space="preserve"> [(i)]</w:t>
      </w:r>
      <w:r w:rsidR="001C4D2A" w:rsidRPr="00FE50A6">
        <w:rPr>
          <w:sz w:val="16"/>
          <w:szCs w:val="16"/>
          <w:lang w:val="en-US"/>
        </w:rPr>
        <w:t xml:space="preserve"> </w:t>
      </w:r>
      <w:r w:rsidR="001C4D2A" w:rsidRPr="00FE50A6">
        <w:rPr>
          <w:b/>
          <w:sz w:val="16"/>
          <w:szCs w:val="16"/>
          <w:lang w:val="en-US"/>
        </w:rPr>
        <w:t xml:space="preserve">they were poor; </w:t>
      </w:r>
      <w:bookmarkStart w:id="406" w:name="_Hlk10369208"/>
      <w:r w:rsidR="001C4D2A" w:rsidRPr="00FE50A6">
        <w:rPr>
          <w:rFonts w:eastAsia="Cambria" w:cs="Times New Roman"/>
          <w:b/>
          <w:sz w:val="16"/>
          <w:szCs w:val="16"/>
          <w:lang w:val="en-US"/>
        </w:rPr>
        <w:t>[(ii)]</w:t>
      </w:r>
      <w:r w:rsidR="001C4D2A" w:rsidRPr="00FE50A6">
        <w:rPr>
          <w:sz w:val="16"/>
          <w:szCs w:val="16"/>
          <w:lang w:val="en-US"/>
        </w:rPr>
        <w:t xml:space="preserve"> </w:t>
      </w:r>
      <w:r w:rsidR="001C4D2A" w:rsidRPr="00FE50A6">
        <w:rPr>
          <w:b/>
          <w:sz w:val="16"/>
          <w:szCs w:val="16"/>
          <w:lang w:val="en-US"/>
        </w:rPr>
        <w:t xml:space="preserve">they came from the poorest regions of the country, </w:t>
      </w:r>
      <w:r w:rsidR="001C4D2A" w:rsidRPr="00FE50A6">
        <w:rPr>
          <w:rFonts w:eastAsia="Cambria" w:cs="Times New Roman"/>
          <w:b/>
          <w:sz w:val="16"/>
          <w:szCs w:val="16"/>
          <w:lang w:val="en-US"/>
        </w:rPr>
        <w:t>[(iii)]</w:t>
      </w:r>
      <w:r w:rsidR="001C4D2A" w:rsidRPr="00FE50A6">
        <w:rPr>
          <w:sz w:val="16"/>
          <w:szCs w:val="16"/>
          <w:lang w:val="en-US"/>
        </w:rPr>
        <w:t xml:space="preserve"> </w:t>
      </w:r>
      <w:r w:rsidR="001C4D2A" w:rsidRPr="00FE50A6">
        <w:rPr>
          <w:b/>
          <w:sz w:val="16"/>
          <w:szCs w:val="16"/>
          <w:lang w:val="en-US"/>
        </w:rPr>
        <w:t xml:space="preserve">with the lowest human development and possibilities of work and employment, and </w:t>
      </w:r>
      <w:r w:rsidR="001C4D2A" w:rsidRPr="00FE50A6">
        <w:rPr>
          <w:rFonts w:eastAsia="Cambria" w:cs="Times New Roman"/>
          <w:b/>
          <w:sz w:val="16"/>
          <w:szCs w:val="16"/>
          <w:lang w:val="en-US"/>
        </w:rPr>
        <w:t>[(iv)]</w:t>
      </w:r>
      <w:r w:rsidR="001C4D2A" w:rsidRPr="00FE50A6">
        <w:rPr>
          <w:sz w:val="16"/>
          <w:szCs w:val="16"/>
          <w:lang w:val="en-US"/>
        </w:rPr>
        <w:t xml:space="preserve"> </w:t>
      </w:r>
      <w:r w:rsidR="001C4D2A" w:rsidRPr="00FE50A6">
        <w:rPr>
          <w:b/>
          <w:sz w:val="16"/>
          <w:szCs w:val="16"/>
          <w:lang w:val="en-US"/>
        </w:rPr>
        <w:t xml:space="preserve"> they were illiterate </w:t>
      </w:r>
      <w:r w:rsidR="001C4D2A" w:rsidRPr="00FE50A6">
        <w:rPr>
          <w:rFonts w:eastAsia="Cambria" w:cs="Times New Roman"/>
          <w:b/>
          <w:sz w:val="16"/>
          <w:szCs w:val="16"/>
          <w:lang w:val="en-US"/>
        </w:rPr>
        <w:t>[(v)]</w:t>
      </w:r>
      <w:r w:rsidR="001C4D2A" w:rsidRPr="00FE50A6">
        <w:rPr>
          <w:sz w:val="16"/>
          <w:szCs w:val="16"/>
          <w:lang w:val="en-US"/>
        </w:rPr>
        <w:t xml:space="preserve"> </w:t>
      </w:r>
      <w:r w:rsidR="001C4D2A" w:rsidRPr="00FE50A6">
        <w:rPr>
          <w:b/>
          <w:sz w:val="16"/>
          <w:szCs w:val="16"/>
          <w:lang w:val="en-US"/>
        </w:rPr>
        <w:t>with little or no schooling</w:t>
      </w:r>
      <w:bookmarkEnd w:id="406"/>
      <w:r w:rsidR="001C4D2A" w:rsidRPr="00FE50A6">
        <w:rPr>
          <w:sz w:val="16"/>
          <w:szCs w:val="16"/>
          <w:lang w:val="en-US"/>
        </w:rPr>
        <w:t xml:space="preserve">. This </w:t>
      </w:r>
      <w:bookmarkStart w:id="407" w:name="_Hlk10369243"/>
      <w:r w:rsidR="001C4D2A" w:rsidRPr="00FE50A6">
        <w:rPr>
          <w:sz w:val="16"/>
          <w:szCs w:val="16"/>
          <w:lang w:val="en-US"/>
        </w:rPr>
        <w:t xml:space="preserve">placed them in a situation that made them more susceptible to recruitment by means of false promises and deception. </w:t>
      </w:r>
      <w:r w:rsidR="001C4D2A" w:rsidRPr="00FE50A6">
        <w:rPr>
          <w:b/>
          <w:sz w:val="16"/>
          <w:szCs w:val="16"/>
          <w:lang w:val="en-US"/>
        </w:rPr>
        <w:t>This situation of imminent risk for a specific group of people with identical characteristics, from the same regions of the country, had historical roots and was known since, at least, 1995</w:t>
      </w:r>
      <w:r w:rsidR="001C4D2A" w:rsidRPr="00FE50A6">
        <w:rPr>
          <w:sz w:val="16"/>
          <w:szCs w:val="16"/>
          <w:lang w:val="en-US"/>
        </w:rPr>
        <w:t xml:space="preserve"> when the Brazilian Government expressly acknowledged the existence of “slave labor” in the country</w:t>
      </w:r>
      <w:bookmarkEnd w:id="407"/>
      <w:r w:rsidRPr="00FE50A6">
        <w:rPr>
          <w:sz w:val="16"/>
          <w:szCs w:val="16"/>
          <w:lang w:val="en-US"/>
        </w:rPr>
        <w:t>”</w:t>
      </w:r>
      <w:r w:rsidR="00130785" w:rsidRPr="00FE50A6">
        <w:rPr>
          <w:rFonts w:eastAsia="Cambria" w:cs="Times New Roman"/>
          <w:sz w:val="16"/>
          <w:szCs w:val="16"/>
          <w:vertAlign w:val="superscript"/>
          <w:lang w:val="en-US"/>
        </w:rPr>
        <w:footnoteReference w:id="652"/>
      </w:r>
      <w:r w:rsidR="00130785" w:rsidRPr="00FE50A6">
        <w:rPr>
          <w:rFonts w:eastAsia="Cambria" w:cs="Times New Roman"/>
          <w:sz w:val="16"/>
          <w:szCs w:val="16"/>
          <w:lang w:val="en-US"/>
        </w:rPr>
        <w:t xml:space="preserve"> (</w:t>
      </w:r>
      <w:r w:rsidR="00C073D8" w:rsidRPr="00FE50A6">
        <w:rPr>
          <w:rFonts w:eastAsia="Cambria" w:cs="Times New Roman"/>
          <w:sz w:val="16"/>
          <w:szCs w:val="16"/>
          <w:lang w:val="en-US"/>
        </w:rPr>
        <w:t>bold and underlining added</w:t>
      </w:r>
      <w:r w:rsidR="00130785" w:rsidRPr="00FE50A6">
        <w:rPr>
          <w:rFonts w:eastAsia="Cambria" w:cs="Times New Roman"/>
          <w:sz w:val="16"/>
          <w:szCs w:val="16"/>
          <w:lang w:val="en-US"/>
        </w:rPr>
        <w:t>)</w:t>
      </w:r>
    </w:p>
    <w:p w14:paraId="748104A2" w14:textId="77777777" w:rsidR="00130785" w:rsidRPr="00FE50A6" w:rsidRDefault="00130785" w:rsidP="00130785">
      <w:pPr>
        <w:tabs>
          <w:tab w:val="clear" w:pos="4419"/>
          <w:tab w:val="clear" w:pos="8838"/>
        </w:tabs>
        <w:jc w:val="both"/>
        <w:rPr>
          <w:rFonts w:eastAsia="Cambria" w:cs="Arial"/>
          <w:lang w:val="en-US"/>
        </w:rPr>
      </w:pPr>
      <w:r w:rsidRPr="00FE50A6">
        <w:rPr>
          <w:rFonts w:eastAsia="Cambria" w:cs="Arial"/>
          <w:lang w:val="en-US"/>
        </w:rPr>
        <w:t xml:space="preserve"> </w:t>
      </w:r>
    </w:p>
    <w:p w14:paraId="149BB776" w14:textId="77777777" w:rsidR="00130785" w:rsidRPr="00FE50A6" w:rsidRDefault="00C073D8"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System Font Regular"/>
          <w:szCs w:val="20"/>
          <w:lang w:val="en-US"/>
        </w:rPr>
        <w:t>In determining international responsibility based on</w:t>
      </w:r>
      <w:r w:rsidR="00130785" w:rsidRPr="00FE50A6">
        <w:rPr>
          <w:rFonts w:eastAsia="Cambria" w:cs="System Font Regular"/>
          <w:szCs w:val="20"/>
          <w:lang w:val="en-US"/>
        </w:rPr>
        <w:t xml:space="preserve"> </w:t>
      </w:r>
      <w:r w:rsidR="00C82C2B" w:rsidRPr="00FE50A6">
        <w:rPr>
          <w:rFonts w:eastAsia="Cambria" w:cs="System Font Regular"/>
          <w:szCs w:val="20"/>
          <w:lang w:val="en-US"/>
        </w:rPr>
        <w:t>structural discrimination</w:t>
      </w:r>
      <w:r w:rsidR="00130785" w:rsidRPr="00FE50A6">
        <w:rPr>
          <w:rFonts w:eastAsia="Cambria" w:cs="System Font Regular"/>
          <w:szCs w:val="20"/>
          <w:lang w:val="en-US"/>
        </w:rPr>
        <w:t>:</w:t>
      </w:r>
    </w:p>
    <w:p w14:paraId="34D9E00B" w14:textId="77777777" w:rsidR="00130785" w:rsidRPr="00FE50A6" w:rsidRDefault="00130785" w:rsidP="00130785">
      <w:pPr>
        <w:tabs>
          <w:tab w:val="clear" w:pos="4419"/>
          <w:tab w:val="clear" w:pos="8838"/>
        </w:tabs>
        <w:contextualSpacing/>
        <w:jc w:val="both"/>
        <w:rPr>
          <w:rFonts w:eastAsia="Cambria" w:cs="System Font Regular"/>
          <w:szCs w:val="20"/>
          <w:lang w:val="en-US"/>
        </w:rPr>
      </w:pPr>
      <w:r w:rsidRPr="00FE50A6">
        <w:rPr>
          <w:rFonts w:eastAsia="Cambria" w:cs="System Font Regular"/>
          <w:szCs w:val="20"/>
          <w:lang w:val="en-US"/>
        </w:rPr>
        <w:t xml:space="preserve"> </w:t>
      </w:r>
    </w:p>
    <w:p w14:paraId="2574C5FD" w14:textId="77777777" w:rsidR="00130785" w:rsidRPr="00FE50A6" w:rsidRDefault="00856572" w:rsidP="00856572">
      <w:pPr>
        <w:tabs>
          <w:tab w:val="clear" w:pos="4419"/>
          <w:tab w:val="clear" w:pos="8838"/>
        </w:tabs>
        <w:ind w:left="708" w:right="468"/>
        <w:contextualSpacing/>
        <w:jc w:val="both"/>
        <w:rPr>
          <w:rFonts w:eastAsia="Cambria" w:cs="Times New Roman"/>
          <w:sz w:val="16"/>
          <w:szCs w:val="16"/>
          <w:lang w:val="en-US"/>
        </w:rPr>
      </w:pPr>
      <w:r w:rsidRPr="00FE50A6">
        <w:rPr>
          <w:rFonts w:eastAsia="MS Mincho" w:cs="System Font Regular"/>
          <w:sz w:val="16"/>
          <w:szCs w:val="16"/>
          <w:lang w:val="en-US" w:eastAsia="es-ES"/>
        </w:rPr>
        <w:t>“</w:t>
      </w:r>
      <w:r w:rsidR="00130785" w:rsidRPr="00FE50A6">
        <w:rPr>
          <w:rFonts w:eastAsia="MS Mincho" w:cs="System Font Regular"/>
          <w:sz w:val="16"/>
          <w:szCs w:val="16"/>
          <w:lang w:val="en-US" w:eastAsia="es-ES"/>
        </w:rPr>
        <w:t xml:space="preserve">338. </w:t>
      </w:r>
      <w:bookmarkStart w:id="408" w:name="_Hlk10369809"/>
      <w:bookmarkStart w:id="409" w:name="_Hlk10370323"/>
      <w:r w:rsidR="001C4D2A" w:rsidRPr="00FE50A6">
        <w:rPr>
          <w:sz w:val="16"/>
          <w:szCs w:val="16"/>
          <w:u w:val="single"/>
          <w:lang w:val="en-US"/>
        </w:rPr>
        <w:t>The Court finds that the State incurs international responsibility when, faced with the existence of structural discrimination, it fails to adopt specific measures with regard to the particular situation of victimization that reveals the vulnerability of a universe of individualized persons</w:t>
      </w:r>
      <w:r w:rsidR="001C4D2A" w:rsidRPr="00FE50A6">
        <w:rPr>
          <w:sz w:val="16"/>
          <w:szCs w:val="16"/>
          <w:lang w:val="en-US"/>
        </w:rPr>
        <w:t xml:space="preserve">. </w:t>
      </w:r>
      <w:bookmarkEnd w:id="408"/>
      <w:r w:rsidR="001C4D2A" w:rsidRPr="00FE50A6">
        <w:rPr>
          <w:sz w:val="16"/>
          <w:szCs w:val="16"/>
          <w:lang w:val="en-US"/>
        </w:rPr>
        <w:t>It is the victimization of such persons that exposes their particular vulnerability, and this calls for specific protective actions that were omitted in the case of the individuals recruited to work in Hacienda Brasil Verde</w:t>
      </w:r>
      <w:r w:rsidRPr="00FE50A6">
        <w:rPr>
          <w:sz w:val="16"/>
          <w:szCs w:val="16"/>
          <w:lang w:val="en-US"/>
        </w:rPr>
        <w:t>”</w:t>
      </w:r>
      <w:r w:rsidR="00130785" w:rsidRPr="00FE50A6">
        <w:rPr>
          <w:rFonts w:eastAsia="Cambria" w:cs="Times New Roman"/>
          <w:sz w:val="16"/>
          <w:szCs w:val="20"/>
          <w:vertAlign w:val="superscript"/>
          <w:lang w:val="en-US"/>
        </w:rPr>
        <w:footnoteReference w:id="653"/>
      </w:r>
      <w:r w:rsidR="00130785" w:rsidRPr="00FE50A6">
        <w:rPr>
          <w:rFonts w:eastAsia="Cambria" w:cs="Times New Roman"/>
          <w:sz w:val="16"/>
          <w:szCs w:val="16"/>
          <w:lang w:val="en-US"/>
        </w:rPr>
        <w:t xml:space="preserve"> (</w:t>
      </w:r>
      <w:r w:rsidR="00C073D8" w:rsidRPr="00FE50A6">
        <w:rPr>
          <w:rFonts w:eastAsia="Cambria" w:cs="Times New Roman"/>
          <w:sz w:val="16"/>
          <w:szCs w:val="16"/>
          <w:lang w:val="en-US"/>
        </w:rPr>
        <w:t>underlining added</w:t>
      </w:r>
      <w:r w:rsidR="00130785" w:rsidRPr="00FE50A6">
        <w:rPr>
          <w:rFonts w:eastAsia="Cambria" w:cs="Times New Roman"/>
          <w:sz w:val="16"/>
          <w:szCs w:val="16"/>
          <w:lang w:val="en-US"/>
        </w:rPr>
        <w:t>).</w:t>
      </w:r>
      <w:bookmarkEnd w:id="409"/>
    </w:p>
    <w:p w14:paraId="0BDC3309" w14:textId="77777777" w:rsidR="00130785" w:rsidRPr="00FE50A6" w:rsidRDefault="00130785" w:rsidP="00130785">
      <w:pPr>
        <w:tabs>
          <w:tab w:val="clear" w:pos="4419"/>
          <w:tab w:val="clear" w:pos="8838"/>
        </w:tabs>
        <w:jc w:val="both"/>
        <w:rPr>
          <w:rFonts w:eastAsia="Cambria" w:cs="Arial"/>
          <w:lang w:val="en-US"/>
        </w:rPr>
      </w:pPr>
    </w:p>
    <w:p w14:paraId="199E959F" w14:textId="77777777" w:rsidR="00E14B3B" w:rsidRPr="00FE50A6" w:rsidRDefault="00E14B3B" w:rsidP="008B0BCC">
      <w:pPr>
        <w:numPr>
          <w:ilvl w:val="0"/>
          <w:numId w:val="26"/>
        </w:numPr>
        <w:tabs>
          <w:tab w:val="clear" w:pos="4419"/>
          <w:tab w:val="clear" w:pos="8838"/>
        </w:tabs>
        <w:jc w:val="both"/>
        <w:rPr>
          <w:rFonts w:eastAsia="Cambria" w:cs="Arial"/>
          <w:lang w:val="en-US"/>
        </w:rPr>
      </w:pPr>
      <w:r w:rsidRPr="00FE50A6">
        <w:rPr>
          <w:rFonts w:eastAsia="Cambria" w:cs="Arial"/>
          <w:lang w:val="en-US"/>
        </w:rPr>
        <w:t xml:space="preserve">In other words, the </w:t>
      </w:r>
      <w:r w:rsidR="00B14114" w:rsidRPr="00FE50A6">
        <w:rPr>
          <w:rFonts w:eastAsia="Cambria" w:cs="Arial"/>
          <w:lang w:val="en-US"/>
        </w:rPr>
        <w:t xml:space="preserve">very </w:t>
      </w:r>
      <w:r w:rsidRPr="00FE50A6">
        <w:rPr>
          <w:rFonts w:eastAsia="Cambria" w:cs="Arial"/>
          <w:lang w:val="en-US"/>
        </w:rPr>
        <w:t xml:space="preserve">existence of </w:t>
      </w:r>
      <w:r w:rsidR="00C82C2B" w:rsidRPr="00FE50A6">
        <w:rPr>
          <w:rFonts w:eastAsia="Cambria" w:cs="Arial"/>
          <w:lang w:val="en-US"/>
        </w:rPr>
        <w:t>structural discrimination</w:t>
      </w:r>
      <w:r w:rsidRPr="00FE50A6">
        <w:rPr>
          <w:rFonts w:eastAsia="Cambria" w:cs="Arial"/>
          <w:lang w:val="en-US"/>
        </w:rPr>
        <w:t xml:space="preserve"> is a situation that can be attributed to the State </w:t>
      </w:r>
      <w:r w:rsidR="00217C55" w:rsidRPr="00FE50A6">
        <w:rPr>
          <w:rFonts w:eastAsia="Cambria" w:cs="Arial"/>
          <w:lang w:val="en-US"/>
        </w:rPr>
        <w:t>if it</w:t>
      </w:r>
      <w:r w:rsidRPr="00FE50A6">
        <w:rPr>
          <w:rFonts w:eastAsia="Cambria" w:cs="Arial"/>
          <w:lang w:val="en-US"/>
        </w:rPr>
        <w:t xml:space="preserve"> maintain</w:t>
      </w:r>
      <w:r w:rsidR="00217C55" w:rsidRPr="00FE50A6">
        <w:rPr>
          <w:rFonts w:eastAsia="Cambria" w:cs="Arial"/>
          <w:lang w:val="en-US"/>
        </w:rPr>
        <w:t>s</w:t>
      </w:r>
      <w:r w:rsidRPr="00FE50A6">
        <w:rPr>
          <w:rFonts w:eastAsia="Cambria" w:cs="Arial"/>
          <w:lang w:val="en-US"/>
        </w:rPr>
        <w:t xml:space="preserve"> large sectors or groups of the population in a situation of social exclusion. However, </w:t>
      </w:r>
      <w:r w:rsidR="00217C55" w:rsidRPr="00FE50A6">
        <w:rPr>
          <w:rFonts w:eastAsia="Cambria" w:cs="Arial"/>
          <w:lang w:val="en-US"/>
        </w:rPr>
        <w:t>regarding</w:t>
      </w:r>
      <w:r w:rsidRPr="00FE50A6">
        <w:rPr>
          <w:rFonts w:eastAsia="Cambria" w:cs="Arial"/>
          <w:lang w:val="en-US"/>
        </w:rPr>
        <w:t xml:space="preserve"> this evident situation of structural discrimination – as exemplified by the facts recognized in this case – if, once </w:t>
      </w:r>
      <w:r w:rsidR="00217C55" w:rsidRPr="00FE50A6">
        <w:rPr>
          <w:rFonts w:eastAsia="Cambria" w:cs="Arial"/>
          <w:lang w:val="en-US"/>
        </w:rPr>
        <w:t>a State</w:t>
      </w:r>
      <w:r w:rsidRPr="00FE50A6">
        <w:rPr>
          <w:rFonts w:eastAsia="Cambria" w:cs="Arial"/>
          <w:lang w:val="en-US"/>
        </w:rPr>
        <w:t xml:space="preserve"> becomes aware of the existence of this problem in its territory with regard to an identifiable group, </w:t>
      </w:r>
      <w:r w:rsidR="00217C55" w:rsidRPr="00FE50A6">
        <w:rPr>
          <w:rFonts w:eastAsia="Cambria" w:cs="Arial"/>
          <w:lang w:val="en-US"/>
        </w:rPr>
        <w:t xml:space="preserve">it </w:t>
      </w:r>
      <w:r w:rsidRPr="00FE50A6">
        <w:rPr>
          <w:rFonts w:eastAsia="Cambria" w:cs="Arial"/>
          <w:lang w:val="en-US"/>
        </w:rPr>
        <w:t>does not take sufficient and effective measures to counteract th</w:t>
      </w:r>
      <w:r w:rsidR="00217C55" w:rsidRPr="00FE50A6">
        <w:rPr>
          <w:rFonts w:eastAsia="Cambria" w:cs="Arial"/>
          <w:lang w:val="en-US"/>
        </w:rPr>
        <w:t>e</w:t>
      </w:r>
      <w:r w:rsidRPr="00FE50A6">
        <w:rPr>
          <w:rFonts w:eastAsia="Cambria" w:cs="Arial"/>
          <w:lang w:val="en-US"/>
        </w:rPr>
        <w:t xml:space="preserve"> specific situation, </w:t>
      </w:r>
      <w:r w:rsidR="00217C55" w:rsidRPr="00FE50A6">
        <w:rPr>
          <w:rFonts w:eastAsia="Cambria" w:cs="Arial"/>
          <w:lang w:val="en-US"/>
        </w:rPr>
        <w:t>this results in</w:t>
      </w:r>
      <w:r w:rsidRPr="00FE50A6">
        <w:rPr>
          <w:rFonts w:eastAsia="Cambria" w:cs="Arial"/>
          <w:lang w:val="en-US"/>
        </w:rPr>
        <w:t xml:space="preserve"> a situation of greater vulnerability for the victims, especially due to the </w:t>
      </w:r>
      <w:r w:rsidR="00217C55" w:rsidRPr="00FE50A6">
        <w:rPr>
          <w:rFonts w:eastAsia="Cambria" w:cs="Arial"/>
          <w:lang w:val="en-US"/>
        </w:rPr>
        <w:t>awareness</w:t>
      </w:r>
      <w:r w:rsidRPr="00FE50A6">
        <w:rPr>
          <w:rFonts w:eastAsia="Cambria" w:cs="Arial"/>
          <w:lang w:val="en-US"/>
        </w:rPr>
        <w:t xml:space="preserve"> of the imminent risk they face; a situation</w:t>
      </w:r>
      <w:r w:rsidR="00325982" w:rsidRPr="00FE50A6">
        <w:rPr>
          <w:rFonts w:eastAsia="Cambria" w:cs="Arial"/>
          <w:lang w:val="en-US"/>
        </w:rPr>
        <w:t xml:space="preserve"> that the Inter-American Court is able to examine.</w:t>
      </w:r>
    </w:p>
    <w:p w14:paraId="73DEB4D3" w14:textId="77777777" w:rsidR="00130785" w:rsidRPr="00FE50A6" w:rsidRDefault="00130785" w:rsidP="00130785">
      <w:pPr>
        <w:tabs>
          <w:tab w:val="clear" w:pos="4419"/>
          <w:tab w:val="clear" w:pos="8838"/>
        </w:tabs>
        <w:rPr>
          <w:rFonts w:eastAsia="MS Mincho" w:cs="Arial"/>
          <w:sz w:val="24"/>
          <w:szCs w:val="24"/>
          <w:lang w:val="en-US" w:eastAsia="es-ES"/>
        </w:rPr>
      </w:pPr>
    </w:p>
    <w:p w14:paraId="41CBE81B" w14:textId="77777777" w:rsidR="00130785" w:rsidRPr="00FE50A6" w:rsidRDefault="00325982" w:rsidP="00325982">
      <w:pPr>
        <w:numPr>
          <w:ilvl w:val="0"/>
          <w:numId w:val="26"/>
        </w:numPr>
        <w:tabs>
          <w:tab w:val="clear" w:pos="4419"/>
          <w:tab w:val="clear" w:pos="8838"/>
        </w:tabs>
        <w:jc w:val="both"/>
        <w:rPr>
          <w:rFonts w:eastAsia="Cambria" w:cs="Arial"/>
          <w:lang w:val="en-US"/>
        </w:rPr>
      </w:pPr>
      <w:r w:rsidRPr="00FE50A6">
        <w:rPr>
          <w:rFonts w:eastAsia="Cambria" w:cs="Arial"/>
          <w:lang w:val="en-US"/>
        </w:rPr>
        <w:t>This does not exempt the State from its obligation to implement actions of a general nature in the domestic sphere. It is important to consider the individual and collective nature of the beneficiaries of certain State obligations to ensure that their rights are effective. Thus, norms that respond to an individual situation will be recognized as positive equalization measures, and those that compensate group inequality will be designated positive equalization actions.</w:t>
      </w:r>
      <w:r w:rsidR="00130785" w:rsidRPr="00FE50A6">
        <w:rPr>
          <w:rFonts w:eastAsia="Cambria" w:cs="Times New Roman"/>
          <w:szCs w:val="20"/>
          <w:vertAlign w:val="superscript"/>
          <w:lang w:val="en-US"/>
        </w:rPr>
        <w:footnoteReference w:id="654"/>
      </w:r>
      <w:r w:rsidR="00130785" w:rsidRPr="00FE50A6">
        <w:rPr>
          <w:rFonts w:eastAsia="Cambria" w:cs="Times New Roman"/>
          <w:lang w:val="en-US"/>
        </w:rPr>
        <w:t xml:space="preserve"> </w:t>
      </w:r>
      <w:r w:rsidR="00217C55" w:rsidRPr="00FE50A6">
        <w:rPr>
          <w:rFonts w:eastAsia="Cambria" w:cs="Times New Roman"/>
          <w:lang w:val="en-US"/>
        </w:rPr>
        <w:t>“</w:t>
      </w:r>
    </w:p>
    <w:p w14:paraId="46942B8D" w14:textId="77777777" w:rsidR="00217C55" w:rsidRPr="00FE50A6" w:rsidRDefault="00217C55" w:rsidP="00217C55">
      <w:pPr>
        <w:pStyle w:val="Prrafodelista"/>
        <w:rPr>
          <w:rFonts w:eastAsia="Cambria" w:cs="Arial"/>
          <w:lang w:val="en-US"/>
        </w:rPr>
      </w:pPr>
    </w:p>
    <w:p w14:paraId="3D578E99" w14:textId="77777777" w:rsidR="00325982" w:rsidRPr="00FE50A6" w:rsidRDefault="0088467F" w:rsidP="00217C55">
      <w:pPr>
        <w:numPr>
          <w:ilvl w:val="0"/>
          <w:numId w:val="26"/>
        </w:numPr>
        <w:tabs>
          <w:tab w:val="clear" w:pos="4419"/>
          <w:tab w:val="clear" w:pos="8838"/>
        </w:tabs>
        <w:jc w:val="both"/>
        <w:rPr>
          <w:rFonts w:eastAsia="Cambria" w:cs="Arial"/>
          <w:lang w:val="en-US"/>
        </w:rPr>
      </w:pPr>
      <w:r w:rsidRPr="00FE50A6">
        <w:rPr>
          <w:rFonts w:eastAsia="Cambria" w:cs="Times New Roman"/>
          <w:lang w:val="en-US"/>
        </w:rPr>
        <w:t>In this case</w:t>
      </w:r>
      <w:r w:rsidR="00130785" w:rsidRPr="00FE50A6">
        <w:rPr>
          <w:rFonts w:eastAsia="Cambria" w:cs="Times New Roman"/>
          <w:lang w:val="en-US"/>
        </w:rPr>
        <w:t xml:space="preserve">, </w:t>
      </w:r>
      <w:r w:rsidR="00CD3CCC" w:rsidRPr="00FE50A6">
        <w:rPr>
          <w:rFonts w:eastAsia="Cambria" w:cs="Times New Roman"/>
          <w:lang w:val="en-US"/>
        </w:rPr>
        <w:t>the Inter-American Court</w:t>
      </w:r>
      <w:r w:rsidR="00325982" w:rsidRPr="00FE50A6">
        <w:rPr>
          <w:rFonts w:eastAsia="Cambria" w:cs="Times New Roman"/>
          <w:lang w:val="en-US"/>
        </w:rPr>
        <w:t xml:space="preserve"> </w:t>
      </w:r>
      <w:r w:rsidR="00130785" w:rsidRPr="00FE50A6">
        <w:rPr>
          <w:rFonts w:eastAsia="Cambria" w:cs="Times New Roman"/>
          <w:lang w:val="en-US"/>
        </w:rPr>
        <w:t>consider</w:t>
      </w:r>
      <w:r w:rsidR="00325982" w:rsidRPr="00FE50A6">
        <w:rPr>
          <w:rFonts w:eastAsia="Cambria" w:cs="Times New Roman"/>
          <w:lang w:val="en-US"/>
        </w:rPr>
        <w:t xml:space="preserve">ed that, at the time of the facts, the actions taken to combat </w:t>
      </w:r>
      <w:r w:rsidR="005F1946" w:rsidRPr="00FE50A6">
        <w:rPr>
          <w:rFonts w:eastAsia="Cambria" w:cs="Times New Roman"/>
          <w:lang w:val="en-US"/>
        </w:rPr>
        <w:t>slave labor</w:t>
      </w:r>
      <w:r w:rsidR="00325982" w:rsidRPr="00FE50A6">
        <w:rPr>
          <w:rFonts w:eastAsia="Cambria" w:cs="Times New Roman"/>
          <w:lang w:val="en-US"/>
        </w:rPr>
        <w:t xml:space="preserve"> – because the existence of the problem of slave labor in Brazil was already known – </w:t>
      </w:r>
      <w:r w:rsidR="00983A9F" w:rsidRPr="00FE50A6">
        <w:rPr>
          <w:rFonts w:eastAsia="Cambria" w:cs="Times New Roman"/>
          <w:lang w:val="en-US"/>
        </w:rPr>
        <w:t xml:space="preserve">and </w:t>
      </w:r>
      <w:r w:rsidR="00325982" w:rsidRPr="00FE50A6">
        <w:rPr>
          <w:rFonts w:eastAsia="Cambria" w:cs="Times New Roman"/>
          <w:lang w:val="en-US"/>
        </w:rPr>
        <w:t xml:space="preserve">that had been implemented between 1995 and 2000, had been neither sufficient </w:t>
      </w:r>
      <w:r w:rsidR="00B14114" w:rsidRPr="00FE50A6">
        <w:rPr>
          <w:rFonts w:eastAsia="Cambria" w:cs="Times New Roman"/>
          <w:lang w:val="en-US"/>
        </w:rPr>
        <w:t>n</w:t>
      </w:r>
      <w:r w:rsidR="00325982" w:rsidRPr="00FE50A6">
        <w:rPr>
          <w:rFonts w:eastAsia="Cambria" w:cs="Times New Roman"/>
          <w:lang w:val="en-US"/>
        </w:rPr>
        <w:t xml:space="preserve">or effective. </w:t>
      </w:r>
      <w:r w:rsidR="00983A9F" w:rsidRPr="00FE50A6">
        <w:rPr>
          <w:rFonts w:eastAsia="Cambria" w:cs="Times New Roman"/>
          <w:lang w:val="en-US"/>
        </w:rPr>
        <w:t>Moreover</w:t>
      </w:r>
      <w:r w:rsidR="00325982" w:rsidRPr="00FE50A6">
        <w:rPr>
          <w:rFonts w:eastAsia="Cambria" w:cs="Times New Roman"/>
          <w:lang w:val="en-US"/>
        </w:rPr>
        <w:t>, when</w:t>
      </w:r>
      <w:r w:rsidR="00217C55" w:rsidRPr="00FE50A6">
        <w:rPr>
          <w:rFonts w:eastAsia="Cambria" w:cs="Times New Roman"/>
          <w:lang w:val="en-US"/>
        </w:rPr>
        <w:t xml:space="preserve"> </w:t>
      </w:r>
      <w:r w:rsidR="004958D6" w:rsidRPr="00FE50A6">
        <w:rPr>
          <w:szCs w:val="20"/>
          <w:lang w:val="en-US"/>
        </w:rPr>
        <w:t xml:space="preserve">regard to the particular </w:t>
      </w:r>
      <w:r w:rsidR="00B14114" w:rsidRPr="00FE50A6">
        <w:rPr>
          <w:rFonts w:eastAsia="Cambria" w:cs="Times New Roman"/>
          <w:lang w:val="en-US"/>
        </w:rPr>
        <w:t>affirm</w:t>
      </w:r>
      <w:r w:rsidR="00217C55" w:rsidRPr="00FE50A6">
        <w:rPr>
          <w:rFonts w:eastAsia="Cambria" w:cs="Times New Roman"/>
          <w:lang w:val="en-US"/>
        </w:rPr>
        <w:t xml:space="preserve">ing that the State </w:t>
      </w:r>
      <w:r w:rsidR="00983A9F" w:rsidRPr="00FE50A6">
        <w:rPr>
          <w:rFonts w:eastAsia="Cambria" w:cs="Times New Roman"/>
          <w:lang w:val="en-US"/>
        </w:rPr>
        <w:t>had “</w:t>
      </w:r>
      <w:r w:rsidR="00217C55" w:rsidRPr="00FE50A6">
        <w:rPr>
          <w:rFonts w:eastAsia="Cambria" w:cs="Times New Roman"/>
          <w:lang w:val="en-US"/>
        </w:rPr>
        <w:t>fail</w:t>
      </w:r>
      <w:r w:rsidR="00983A9F" w:rsidRPr="00FE50A6">
        <w:rPr>
          <w:rFonts w:eastAsia="Cambria" w:cs="Times New Roman"/>
          <w:lang w:val="en-US"/>
        </w:rPr>
        <w:t>[</w:t>
      </w:r>
      <w:r w:rsidR="00217C55" w:rsidRPr="00FE50A6">
        <w:rPr>
          <w:rFonts w:eastAsia="Cambria" w:cs="Times New Roman"/>
          <w:lang w:val="en-US"/>
        </w:rPr>
        <w:t>ed</w:t>
      </w:r>
      <w:r w:rsidR="00983A9F" w:rsidRPr="00FE50A6">
        <w:rPr>
          <w:rFonts w:eastAsia="Cambria" w:cs="Times New Roman"/>
          <w:lang w:val="en-US"/>
        </w:rPr>
        <w:t>]</w:t>
      </w:r>
      <w:r w:rsidR="00217C55" w:rsidRPr="00FE50A6">
        <w:rPr>
          <w:rFonts w:eastAsia="Cambria" w:cs="Times New Roman"/>
          <w:lang w:val="en-US"/>
        </w:rPr>
        <w:t xml:space="preserve"> </w:t>
      </w:r>
      <w:r w:rsidR="00217C55" w:rsidRPr="00FE50A6">
        <w:rPr>
          <w:szCs w:val="20"/>
          <w:lang w:val="en-US"/>
        </w:rPr>
        <w:t xml:space="preserve">to adopt specific measures with situation,” </w:t>
      </w:r>
      <w:r w:rsidR="00325982" w:rsidRPr="00FE50A6">
        <w:rPr>
          <w:rFonts w:eastAsia="Cambria" w:cs="Times New Roman"/>
          <w:lang w:val="en-US"/>
        </w:rPr>
        <w:t>the Inter-American Court did so in the sense that, regardless of the general actions implemented, when a specific se</w:t>
      </w:r>
      <w:r w:rsidR="00217C55" w:rsidRPr="00FE50A6">
        <w:rPr>
          <w:rFonts w:eastAsia="Cambria" w:cs="Times New Roman"/>
          <w:lang w:val="en-US"/>
        </w:rPr>
        <w:t>gment</w:t>
      </w:r>
      <w:r w:rsidR="00325982" w:rsidRPr="00FE50A6">
        <w:rPr>
          <w:rFonts w:eastAsia="Cambria" w:cs="Times New Roman"/>
          <w:lang w:val="en-US"/>
        </w:rPr>
        <w:t xml:space="preserve"> of the group can be identified (for example, geographically), the State </w:t>
      </w:r>
      <w:r w:rsidR="00983A9F" w:rsidRPr="00FE50A6">
        <w:rPr>
          <w:rFonts w:eastAsia="Cambria" w:cs="Times New Roman"/>
          <w:lang w:val="en-US"/>
        </w:rPr>
        <w:t>must</w:t>
      </w:r>
      <w:r w:rsidR="00325982" w:rsidRPr="00FE50A6">
        <w:rPr>
          <w:rFonts w:eastAsia="Cambria" w:cs="Times New Roman"/>
          <w:lang w:val="en-US"/>
        </w:rPr>
        <w:t xml:space="preserve"> implement </w:t>
      </w:r>
      <w:r w:rsidR="00983A9F" w:rsidRPr="00FE50A6">
        <w:rPr>
          <w:rFonts w:eastAsia="Cambria" w:cs="Times New Roman"/>
          <w:lang w:val="en-US"/>
        </w:rPr>
        <w:t xml:space="preserve">additional </w:t>
      </w:r>
      <w:r w:rsidR="00325982" w:rsidRPr="00FE50A6">
        <w:rPr>
          <w:rFonts w:eastAsia="Cambria" w:cs="Times New Roman"/>
          <w:lang w:val="en-US"/>
        </w:rPr>
        <w:t>measures to the general actions</w:t>
      </w:r>
      <w:r w:rsidR="00983A9F" w:rsidRPr="00FE50A6">
        <w:rPr>
          <w:rFonts w:eastAsia="Cambria" w:cs="Times New Roman"/>
          <w:lang w:val="en-US"/>
        </w:rPr>
        <w:t xml:space="preserve"> taken</w:t>
      </w:r>
      <w:r w:rsidR="00325982" w:rsidRPr="00FE50A6">
        <w:rPr>
          <w:rFonts w:eastAsia="Cambria" w:cs="Times New Roman"/>
          <w:lang w:val="en-US"/>
        </w:rPr>
        <w:t xml:space="preserve"> in order to reverse th</w:t>
      </w:r>
      <w:r w:rsidR="00983A9F" w:rsidRPr="00FE50A6">
        <w:rPr>
          <w:rFonts w:eastAsia="Cambria" w:cs="Times New Roman"/>
          <w:lang w:val="en-US"/>
        </w:rPr>
        <w:t>e</w:t>
      </w:r>
      <w:r w:rsidR="00325982" w:rsidRPr="00FE50A6">
        <w:rPr>
          <w:rFonts w:eastAsia="Cambria" w:cs="Times New Roman"/>
          <w:lang w:val="en-US"/>
        </w:rPr>
        <w:t xml:space="preserve"> situation </w:t>
      </w:r>
      <w:r w:rsidR="00983A9F" w:rsidRPr="00FE50A6">
        <w:rPr>
          <w:rFonts w:eastAsia="Cambria" w:cs="Times New Roman"/>
          <w:lang w:val="en-US"/>
        </w:rPr>
        <w:t>that</w:t>
      </w:r>
      <w:r w:rsidR="00325982" w:rsidRPr="00FE50A6">
        <w:rPr>
          <w:rFonts w:eastAsia="Cambria" w:cs="Times New Roman"/>
          <w:lang w:val="en-US"/>
        </w:rPr>
        <w:t xml:space="preserve"> requires </w:t>
      </w:r>
      <w:r w:rsidR="00047F98" w:rsidRPr="00FE50A6">
        <w:rPr>
          <w:rFonts w:eastAsia="Cambria" w:cs="Times New Roman"/>
          <w:lang w:val="en-US"/>
        </w:rPr>
        <w:t>the priority attention of the State apparatus.</w:t>
      </w:r>
    </w:p>
    <w:p w14:paraId="63065D45" w14:textId="77777777" w:rsidR="00130785" w:rsidRPr="00FE50A6" w:rsidRDefault="00032B0E" w:rsidP="00032B0E">
      <w:pPr>
        <w:tabs>
          <w:tab w:val="clear" w:pos="4419"/>
          <w:tab w:val="clear" w:pos="8838"/>
          <w:tab w:val="left" w:pos="6752"/>
        </w:tabs>
        <w:jc w:val="both"/>
        <w:rPr>
          <w:rFonts w:eastAsia="Cambria" w:cs="Arial"/>
          <w:lang w:val="en-US"/>
        </w:rPr>
      </w:pPr>
      <w:r w:rsidRPr="00FE50A6">
        <w:rPr>
          <w:rFonts w:eastAsia="Cambria" w:cs="Arial"/>
          <w:lang w:val="en-US"/>
        </w:rPr>
        <w:tab/>
      </w:r>
    </w:p>
    <w:p w14:paraId="06350A2B" w14:textId="77777777" w:rsidR="00047F98" w:rsidRPr="00FE50A6" w:rsidRDefault="000E0ED6" w:rsidP="008B0BCC">
      <w:pPr>
        <w:numPr>
          <w:ilvl w:val="0"/>
          <w:numId w:val="26"/>
        </w:numPr>
        <w:tabs>
          <w:tab w:val="clear" w:pos="4419"/>
          <w:tab w:val="clear" w:pos="8838"/>
        </w:tabs>
        <w:jc w:val="both"/>
        <w:rPr>
          <w:rFonts w:eastAsia="Cambria" w:cs="Arial"/>
          <w:lang w:val="en-US"/>
        </w:rPr>
      </w:pPr>
      <w:r w:rsidRPr="00FE50A6">
        <w:rPr>
          <w:rFonts w:eastAsia="Cambria" w:cs="System Font Regular"/>
          <w:szCs w:val="20"/>
          <w:lang w:val="en-US"/>
        </w:rPr>
        <w:t>Notwithstanding the foregoing</w:t>
      </w:r>
      <w:r w:rsidR="00047F98" w:rsidRPr="00FE50A6">
        <w:rPr>
          <w:rFonts w:eastAsia="Cambria" w:cs="System Font Regular"/>
          <w:szCs w:val="20"/>
          <w:lang w:val="en-US"/>
        </w:rPr>
        <w:t>, this aspect is of fundamental importance and relevance, because structural discriminations have a component of historical continuity that perpetuates itself systematically in our societies and also because</w:t>
      </w:r>
      <w:r w:rsidR="0067471C" w:rsidRPr="00FE50A6">
        <w:rPr>
          <w:rFonts w:eastAsia="Cambria" w:cs="System Font Regular"/>
          <w:szCs w:val="20"/>
          <w:lang w:val="en-US"/>
        </w:rPr>
        <w:t xml:space="preserve"> it has</w:t>
      </w:r>
      <w:r w:rsidR="00047F98" w:rsidRPr="00FE50A6">
        <w:rPr>
          <w:rFonts w:eastAsia="Cambria" w:cs="System Font Regular"/>
          <w:szCs w:val="20"/>
          <w:lang w:val="en-US"/>
        </w:rPr>
        <w:t xml:space="preserve"> not </w:t>
      </w:r>
      <w:r w:rsidR="0067471C" w:rsidRPr="00FE50A6">
        <w:rPr>
          <w:rFonts w:eastAsia="Cambria" w:cs="System Font Regular"/>
          <w:szCs w:val="20"/>
          <w:lang w:val="en-US"/>
        </w:rPr>
        <w:t>been consolidated</w:t>
      </w:r>
      <w:r w:rsidR="00047F98" w:rsidRPr="00FE50A6">
        <w:rPr>
          <w:rFonts w:eastAsia="Cambria" w:cs="System Font Regular"/>
          <w:szCs w:val="20"/>
          <w:lang w:val="en-US"/>
        </w:rPr>
        <w:t xml:space="preserve"> </w:t>
      </w:r>
      <w:r w:rsidR="0067471C" w:rsidRPr="00FE50A6">
        <w:rPr>
          <w:rFonts w:eastAsia="Cambria" w:cs="System Font Regular"/>
          <w:szCs w:val="20"/>
          <w:lang w:val="en-US"/>
        </w:rPr>
        <w:t xml:space="preserve">by legal doctrine and jurisprudence </w:t>
      </w:r>
      <w:r w:rsidR="00047F98" w:rsidRPr="00FE50A6">
        <w:rPr>
          <w:rFonts w:eastAsia="Cambria" w:cs="System Font Regular"/>
          <w:szCs w:val="20"/>
          <w:lang w:val="en-US"/>
        </w:rPr>
        <w:t>as a fundamental aspect of the discrimination suffered by some groups that have been excluded and marginalized</w:t>
      </w:r>
      <w:r w:rsidR="0067471C" w:rsidRPr="00FE50A6">
        <w:rPr>
          <w:rFonts w:eastAsia="Cambria" w:cs="System Font Regular"/>
          <w:szCs w:val="20"/>
          <w:lang w:val="en-US"/>
        </w:rPr>
        <w:t xml:space="preserve">. </w:t>
      </w:r>
    </w:p>
    <w:p w14:paraId="3BD3CEE4" w14:textId="77777777" w:rsidR="00130785" w:rsidRPr="00FE50A6" w:rsidRDefault="00130785" w:rsidP="00130785">
      <w:pPr>
        <w:tabs>
          <w:tab w:val="clear" w:pos="4419"/>
          <w:tab w:val="clear" w:pos="8838"/>
        </w:tabs>
        <w:contextualSpacing/>
        <w:jc w:val="both"/>
        <w:rPr>
          <w:rFonts w:eastAsia="Cambria" w:cs="System Font Regular"/>
          <w:szCs w:val="20"/>
          <w:lang w:val="en-US"/>
        </w:rPr>
      </w:pPr>
    </w:p>
    <w:p w14:paraId="47B4CE4E" w14:textId="77777777" w:rsidR="00047F98" w:rsidRPr="00FE50A6" w:rsidRDefault="00047F98"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Times New Roman"/>
          <w:szCs w:val="20"/>
          <w:lang w:val="en-US"/>
        </w:rPr>
        <w:t xml:space="preserve">Accordingly, by recognizing the existence of this type of </w:t>
      </w:r>
      <w:r w:rsidR="0067471C" w:rsidRPr="00FE50A6">
        <w:rPr>
          <w:rFonts w:eastAsia="Cambria" w:cs="Times New Roman"/>
          <w:szCs w:val="20"/>
          <w:lang w:val="en-US"/>
        </w:rPr>
        <w:t xml:space="preserve">historical </w:t>
      </w:r>
      <w:r w:rsidRPr="00FE50A6">
        <w:rPr>
          <w:rFonts w:eastAsia="Cambria" w:cs="Times New Roman"/>
          <w:szCs w:val="20"/>
          <w:lang w:val="en-US"/>
        </w:rPr>
        <w:t xml:space="preserve">discrimination, </w:t>
      </w:r>
      <w:r w:rsidR="008B0C92" w:rsidRPr="00FE50A6">
        <w:rPr>
          <w:rFonts w:eastAsia="Cambria" w:cs="Times New Roman"/>
          <w:szCs w:val="20"/>
          <w:lang w:val="en-US"/>
        </w:rPr>
        <w:t xml:space="preserve">the Inter-American Court is emphasizing </w:t>
      </w:r>
      <w:r w:rsidRPr="00FE50A6">
        <w:rPr>
          <w:rFonts w:eastAsia="Cambria" w:cs="Times New Roman"/>
          <w:szCs w:val="20"/>
          <w:lang w:val="en-US"/>
        </w:rPr>
        <w:t xml:space="preserve">that </w:t>
      </w:r>
      <w:r w:rsidR="00EE52F3" w:rsidRPr="00FE50A6">
        <w:rPr>
          <w:rFonts w:eastAsia="Cambria" w:cs="Times New Roman"/>
          <w:szCs w:val="20"/>
          <w:lang w:val="en-US"/>
        </w:rPr>
        <w:t>the</w:t>
      </w:r>
      <w:r w:rsidRPr="00FE50A6">
        <w:rPr>
          <w:rFonts w:eastAsia="Cambria" w:cs="Times New Roman"/>
          <w:szCs w:val="20"/>
          <w:lang w:val="en-US"/>
        </w:rPr>
        <w:t xml:space="preserve"> purpose of the</w:t>
      </w:r>
      <w:r w:rsidR="00EE52F3" w:rsidRPr="00FE50A6">
        <w:rPr>
          <w:rFonts w:eastAsia="Cambria" w:cs="Times New Roman"/>
          <w:szCs w:val="20"/>
          <w:lang w:val="en-US"/>
        </w:rPr>
        <w:t xml:space="preserve"> prohibition of</w:t>
      </w:r>
      <w:r w:rsidR="00130785" w:rsidRPr="00FE50A6">
        <w:rPr>
          <w:rFonts w:eastAsia="Cambria" w:cs="Times New Roman"/>
          <w:szCs w:val="20"/>
          <w:lang w:val="en-US"/>
        </w:rPr>
        <w:t xml:space="preserve"> </w:t>
      </w:r>
      <w:r w:rsidR="003707E5" w:rsidRPr="00FE50A6">
        <w:rPr>
          <w:rFonts w:eastAsia="Cambria" w:cs="Times New Roman"/>
          <w:szCs w:val="20"/>
          <w:lang w:val="en-US"/>
        </w:rPr>
        <w:t>discrimination</w:t>
      </w:r>
      <w:r w:rsidRPr="00FE50A6">
        <w:rPr>
          <w:rFonts w:eastAsia="Cambria" w:cs="Times New Roman"/>
          <w:szCs w:val="20"/>
          <w:lang w:val="en-US"/>
        </w:rPr>
        <w:t xml:space="preserve"> is to avoid the </w:t>
      </w:r>
      <w:r w:rsidR="0067471C" w:rsidRPr="00FE50A6">
        <w:rPr>
          <w:rFonts w:eastAsia="Cambria" w:cs="Times New Roman"/>
          <w:szCs w:val="20"/>
          <w:lang w:val="en-US"/>
        </w:rPr>
        <w:t>emergence</w:t>
      </w:r>
      <w:r w:rsidRPr="00FE50A6">
        <w:rPr>
          <w:rFonts w:eastAsia="Cambria" w:cs="Times New Roman"/>
          <w:szCs w:val="20"/>
          <w:lang w:val="en-US"/>
        </w:rPr>
        <w:t xml:space="preserve"> of groups that are subjugated, excluded or marginalized as a result of social, economic or political policies or public measures. In addition, the </w:t>
      </w:r>
      <w:r w:rsidR="009308B1" w:rsidRPr="00FE50A6">
        <w:rPr>
          <w:rFonts w:eastAsia="Cambria" w:cs="Times New Roman"/>
          <w:szCs w:val="20"/>
          <w:lang w:val="en-US"/>
        </w:rPr>
        <w:t>historical structural</w:t>
      </w:r>
      <w:r w:rsidR="00311174" w:rsidRPr="00FE50A6">
        <w:rPr>
          <w:rFonts w:eastAsia="Cambria" w:cs="Times New Roman"/>
          <w:szCs w:val="20"/>
          <w:lang w:val="en-US"/>
        </w:rPr>
        <w:t xml:space="preserve"> discrimination</w:t>
      </w:r>
      <w:r w:rsidRPr="00FE50A6">
        <w:rPr>
          <w:rFonts w:eastAsia="Cambria" w:cs="Times New Roman"/>
          <w:szCs w:val="20"/>
          <w:lang w:val="en-US"/>
        </w:rPr>
        <w:t xml:space="preserve"> suffered by </w:t>
      </w:r>
      <w:r w:rsidR="0067471C" w:rsidRPr="00FE50A6">
        <w:rPr>
          <w:rFonts w:eastAsia="Cambria" w:cs="Times New Roman"/>
          <w:szCs w:val="20"/>
          <w:lang w:val="en-US"/>
        </w:rPr>
        <w:t>the</w:t>
      </w:r>
      <w:r w:rsidRPr="00FE50A6">
        <w:rPr>
          <w:rFonts w:eastAsia="Cambria" w:cs="Times New Roman"/>
          <w:szCs w:val="20"/>
          <w:lang w:val="en-US"/>
        </w:rPr>
        <w:t xml:space="preserve"> individuals</w:t>
      </w:r>
      <w:r w:rsidR="0067471C" w:rsidRPr="00FE50A6">
        <w:rPr>
          <w:rFonts w:eastAsia="Cambria" w:cs="Times New Roman"/>
          <w:szCs w:val="20"/>
          <w:lang w:val="en-US"/>
        </w:rPr>
        <w:t xml:space="preserve"> in this case</w:t>
      </w:r>
      <w:r w:rsidRPr="00FE50A6">
        <w:rPr>
          <w:rFonts w:eastAsia="Cambria" w:cs="Times New Roman"/>
          <w:szCs w:val="20"/>
          <w:lang w:val="en-US"/>
        </w:rPr>
        <w:t xml:space="preserve"> is not related to the unreasonableness or arbitrariness of a </w:t>
      </w:r>
      <w:r w:rsidR="0067471C" w:rsidRPr="00FE50A6">
        <w:rPr>
          <w:rFonts w:eastAsia="Cambria" w:cs="Times New Roman"/>
          <w:szCs w:val="20"/>
          <w:lang w:val="en-US"/>
        </w:rPr>
        <w:t>provision</w:t>
      </w:r>
      <w:r w:rsidRPr="00FE50A6">
        <w:rPr>
          <w:rFonts w:eastAsia="Cambria" w:cs="Times New Roman"/>
          <w:szCs w:val="20"/>
          <w:lang w:val="en-US"/>
        </w:rPr>
        <w:t xml:space="preserve"> included in the </w:t>
      </w:r>
      <w:r w:rsidR="0067471C" w:rsidRPr="00FE50A6">
        <w:rPr>
          <w:rFonts w:eastAsia="Cambria" w:cs="Times New Roman"/>
          <w:szCs w:val="20"/>
          <w:lang w:val="en-US"/>
        </w:rPr>
        <w:t>law</w:t>
      </w:r>
      <w:r w:rsidRPr="00FE50A6">
        <w:rPr>
          <w:rFonts w:eastAsia="Cambria" w:cs="Times New Roman"/>
          <w:szCs w:val="20"/>
          <w:lang w:val="en-US"/>
        </w:rPr>
        <w:t xml:space="preserve"> or the direct effects </w:t>
      </w:r>
      <w:r w:rsidR="00506436" w:rsidRPr="00FE50A6">
        <w:rPr>
          <w:rFonts w:eastAsia="Cambria" w:cs="Times New Roman"/>
          <w:szCs w:val="20"/>
          <w:lang w:val="en-US"/>
        </w:rPr>
        <w:t>of</w:t>
      </w:r>
      <w:r w:rsidRPr="00FE50A6">
        <w:rPr>
          <w:rFonts w:eastAsia="Cambria" w:cs="Times New Roman"/>
          <w:szCs w:val="20"/>
          <w:lang w:val="en-US"/>
        </w:rPr>
        <w:t xml:space="preserve"> a specific case.</w:t>
      </w:r>
    </w:p>
    <w:p w14:paraId="7E5B5921" w14:textId="77777777" w:rsidR="00130785" w:rsidRPr="00FE50A6" w:rsidRDefault="00130785" w:rsidP="00130785">
      <w:pPr>
        <w:tabs>
          <w:tab w:val="clear" w:pos="4419"/>
          <w:tab w:val="clear" w:pos="8838"/>
        </w:tabs>
        <w:rPr>
          <w:rFonts w:eastAsia="MS Mincho" w:cs="Times New Roman"/>
          <w:szCs w:val="20"/>
          <w:lang w:val="en-US" w:eastAsia="es-ES"/>
        </w:rPr>
      </w:pPr>
    </w:p>
    <w:p w14:paraId="11773C2E" w14:textId="77777777" w:rsidR="00130785" w:rsidRPr="00FE50A6" w:rsidRDefault="00047F98" w:rsidP="008B0BCC">
      <w:pPr>
        <w:numPr>
          <w:ilvl w:val="0"/>
          <w:numId w:val="26"/>
        </w:numPr>
        <w:tabs>
          <w:tab w:val="clear" w:pos="4419"/>
          <w:tab w:val="clear" w:pos="8838"/>
        </w:tabs>
        <w:contextualSpacing/>
        <w:jc w:val="both"/>
        <w:rPr>
          <w:rFonts w:eastAsia="Cambria" w:cs="System Font Regular"/>
          <w:szCs w:val="20"/>
          <w:lang w:val="en-US"/>
        </w:rPr>
      </w:pPr>
      <w:r w:rsidRPr="00FE50A6">
        <w:rPr>
          <w:rFonts w:eastAsia="Cambria" w:cs="Times New Roman"/>
          <w:szCs w:val="20"/>
          <w:lang w:val="en-US"/>
        </w:rPr>
        <w:t>To the contr</w:t>
      </w:r>
      <w:r w:rsidR="00506436" w:rsidRPr="00FE50A6">
        <w:rPr>
          <w:rFonts w:eastAsia="Cambria" w:cs="Times New Roman"/>
          <w:szCs w:val="20"/>
          <w:lang w:val="en-US"/>
        </w:rPr>
        <w:t>ar</w:t>
      </w:r>
      <w:r w:rsidRPr="00FE50A6">
        <w:rPr>
          <w:rFonts w:eastAsia="Cambria" w:cs="Times New Roman"/>
          <w:szCs w:val="20"/>
          <w:lang w:val="en-US"/>
        </w:rPr>
        <w:t>y, the ineffectiveness, incapacity and def</w:t>
      </w:r>
      <w:r w:rsidR="001A046C" w:rsidRPr="00FE50A6">
        <w:rPr>
          <w:rFonts w:eastAsia="Cambria" w:cs="Times New Roman"/>
          <w:szCs w:val="20"/>
          <w:lang w:val="en-US"/>
        </w:rPr>
        <w:t>icient</w:t>
      </w:r>
      <w:r w:rsidRPr="00FE50A6">
        <w:rPr>
          <w:rFonts w:eastAsia="Cambria" w:cs="Times New Roman"/>
          <w:szCs w:val="20"/>
          <w:lang w:val="en-US"/>
        </w:rPr>
        <w:t xml:space="preserve"> implementation of general actions to prevent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Pr="00FE50A6">
        <w:rPr>
          <w:rFonts w:eastAsia="Cambria" w:cs="Times New Roman"/>
          <w:szCs w:val="20"/>
          <w:lang w:val="en-US"/>
        </w:rPr>
        <w:t xml:space="preserve">within a State may produce and perpetuate, for years, the existence of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0068722C" w:rsidRPr="00FE50A6">
        <w:rPr>
          <w:rFonts w:eastAsia="Cambria" w:cs="Times New Roman"/>
          <w:szCs w:val="20"/>
          <w:lang w:val="en-US"/>
        </w:rPr>
        <w:t>towards certain disadvantaged groups, such as individuals subjected to</w:t>
      </w:r>
      <w:r w:rsidR="00130785" w:rsidRPr="00FE50A6">
        <w:rPr>
          <w:rFonts w:eastAsia="Cambria" w:cs="Times New Roman"/>
          <w:szCs w:val="20"/>
          <w:lang w:val="en-US"/>
        </w:rPr>
        <w:t xml:space="preserve"> </w:t>
      </w:r>
      <w:r w:rsidR="005F1946" w:rsidRPr="00FE50A6">
        <w:rPr>
          <w:rFonts w:eastAsia="Cambria" w:cs="Times New Roman"/>
          <w:szCs w:val="20"/>
          <w:lang w:val="en-US"/>
        </w:rPr>
        <w:t>slave labor</w:t>
      </w:r>
      <w:r w:rsidR="00506436" w:rsidRPr="00FE50A6">
        <w:rPr>
          <w:rFonts w:eastAsia="Cambria" w:cs="Times New Roman"/>
          <w:szCs w:val="20"/>
          <w:lang w:val="en-US"/>
        </w:rPr>
        <w:t>; and</w:t>
      </w:r>
      <w:r w:rsidR="0068722C" w:rsidRPr="00FE50A6">
        <w:rPr>
          <w:rFonts w:eastAsia="Cambria" w:cs="Times New Roman"/>
          <w:szCs w:val="20"/>
          <w:lang w:val="en-US"/>
        </w:rPr>
        <w:t>, given their situation of poverty,</w:t>
      </w:r>
      <w:r w:rsidR="00130785" w:rsidRPr="00FE50A6">
        <w:rPr>
          <w:rFonts w:eastAsia="Cambria" w:cs="Times New Roman"/>
          <w:szCs w:val="20"/>
          <w:lang w:val="en-US"/>
        </w:rPr>
        <w:t xml:space="preserve"> </w:t>
      </w:r>
      <w:r w:rsidR="00506436" w:rsidRPr="00FE50A6">
        <w:rPr>
          <w:rFonts w:eastAsia="Cambria" w:cs="Times New Roman"/>
          <w:szCs w:val="20"/>
          <w:lang w:val="en-US"/>
        </w:rPr>
        <w:t xml:space="preserve">they </w:t>
      </w:r>
      <w:r w:rsidR="0068722C" w:rsidRPr="00FE50A6">
        <w:rPr>
          <w:rFonts w:eastAsia="Cambria" w:cs="Times New Roman"/>
          <w:szCs w:val="20"/>
          <w:lang w:val="en-US"/>
        </w:rPr>
        <w:t xml:space="preserve">are </w:t>
      </w:r>
      <w:r w:rsidR="00506436" w:rsidRPr="00FE50A6">
        <w:rPr>
          <w:rFonts w:eastAsia="Cambria" w:cs="Times New Roman"/>
          <w:szCs w:val="20"/>
          <w:lang w:val="en-US"/>
        </w:rPr>
        <w:t xml:space="preserve">particularly vulnerable </w:t>
      </w:r>
      <w:r w:rsidR="0068722C" w:rsidRPr="00FE50A6">
        <w:rPr>
          <w:rFonts w:eastAsia="Cambria" w:cs="Times New Roman"/>
          <w:szCs w:val="20"/>
          <w:lang w:val="en-US"/>
        </w:rPr>
        <w:t>in</w:t>
      </w:r>
      <w:r w:rsidR="00130785" w:rsidRPr="00FE50A6">
        <w:rPr>
          <w:rFonts w:eastAsia="Cambria" w:cs="Times New Roman"/>
          <w:szCs w:val="20"/>
          <w:lang w:val="en-US"/>
        </w:rPr>
        <w:t xml:space="preserve"> </w:t>
      </w:r>
      <w:r w:rsidR="00322241" w:rsidRPr="00FE50A6">
        <w:rPr>
          <w:rFonts w:eastAsia="Cambria" w:cs="Times New Roman"/>
          <w:szCs w:val="20"/>
          <w:lang w:val="en-US"/>
        </w:rPr>
        <w:t>Brazil</w:t>
      </w:r>
      <w:r w:rsidR="00130785" w:rsidRPr="00FE50A6">
        <w:rPr>
          <w:rFonts w:eastAsia="Cambria" w:cs="Times New Roman"/>
          <w:szCs w:val="20"/>
          <w:lang w:val="en-US"/>
        </w:rPr>
        <w:t xml:space="preserve"> </w:t>
      </w:r>
      <w:r w:rsidR="0068722C" w:rsidRPr="00FE50A6">
        <w:rPr>
          <w:rFonts w:eastAsia="Cambria" w:cs="Times New Roman"/>
          <w:szCs w:val="20"/>
          <w:lang w:val="en-US"/>
        </w:rPr>
        <w:t>in light</w:t>
      </w:r>
      <w:r w:rsidR="00130785" w:rsidRPr="00FE50A6">
        <w:rPr>
          <w:rFonts w:eastAsia="Cambria" w:cs="Times New Roman"/>
          <w:szCs w:val="20"/>
          <w:lang w:val="en-US"/>
        </w:rPr>
        <w:t xml:space="preserve"> </w:t>
      </w:r>
      <w:r w:rsidR="00703850" w:rsidRPr="00FE50A6">
        <w:rPr>
          <w:rFonts w:eastAsia="Cambria" w:cs="Times New Roman"/>
          <w:szCs w:val="20"/>
          <w:lang w:val="en-US"/>
        </w:rPr>
        <w:t>of Article</w:t>
      </w:r>
      <w:r w:rsidR="00130785" w:rsidRPr="00FE50A6">
        <w:rPr>
          <w:rFonts w:eastAsia="Cambria" w:cs="Times New Roman"/>
          <w:szCs w:val="20"/>
          <w:lang w:val="en-US"/>
        </w:rPr>
        <w:t xml:space="preserve"> </w:t>
      </w:r>
      <w:r w:rsidR="00090C6A" w:rsidRPr="00FE50A6">
        <w:rPr>
          <w:rFonts w:eastAsia="Cambria" w:cs="Times New Roman"/>
          <w:szCs w:val="20"/>
          <w:lang w:val="en-US"/>
        </w:rPr>
        <w:t>6(1)</w:t>
      </w:r>
      <w:r w:rsidR="000228D0" w:rsidRPr="00FE50A6">
        <w:rPr>
          <w:rFonts w:eastAsia="Cambria" w:cs="Times New Roman"/>
          <w:szCs w:val="20"/>
          <w:lang w:val="en-US"/>
        </w:rPr>
        <w:t xml:space="preserve"> of the American Convention</w:t>
      </w:r>
      <w:r w:rsidR="00130785" w:rsidRPr="00FE50A6">
        <w:rPr>
          <w:rFonts w:eastAsia="Cambria" w:cs="Times New Roman"/>
          <w:szCs w:val="20"/>
          <w:lang w:val="en-US"/>
        </w:rPr>
        <w:t xml:space="preserve"> </w:t>
      </w:r>
      <w:r w:rsidR="0068722C" w:rsidRPr="00FE50A6">
        <w:rPr>
          <w:rFonts w:eastAsia="Cambria" w:cs="Times New Roman"/>
          <w:szCs w:val="20"/>
          <w:lang w:val="en-US"/>
        </w:rPr>
        <w:t>in relation to</w:t>
      </w:r>
      <w:r w:rsidR="00703850" w:rsidRPr="00FE50A6">
        <w:rPr>
          <w:rFonts w:eastAsia="Cambria" w:cs="Times New Roman"/>
          <w:szCs w:val="20"/>
          <w:lang w:val="en-US"/>
        </w:rPr>
        <w:t xml:space="preserve"> Article</w:t>
      </w:r>
      <w:r w:rsidR="000B587F" w:rsidRPr="00FE50A6">
        <w:rPr>
          <w:rFonts w:eastAsia="Cambria" w:cs="Times New Roman"/>
          <w:szCs w:val="20"/>
          <w:lang w:val="en-US"/>
        </w:rPr>
        <w:t xml:space="preserve"> 1(1)</w:t>
      </w:r>
      <w:r w:rsidR="00130785" w:rsidRPr="00FE50A6">
        <w:rPr>
          <w:rFonts w:eastAsia="Cambria" w:cs="Times New Roman"/>
          <w:szCs w:val="20"/>
          <w:lang w:val="en-US"/>
        </w:rPr>
        <w:t xml:space="preserve"> </w:t>
      </w:r>
      <w:r w:rsidR="00D11A9F" w:rsidRPr="00FE50A6">
        <w:rPr>
          <w:rFonts w:eastAsia="Cambria" w:cs="Times New Roman"/>
          <w:szCs w:val="20"/>
          <w:lang w:val="en-US"/>
        </w:rPr>
        <w:t>of this instrument</w:t>
      </w:r>
      <w:r w:rsidR="0068722C" w:rsidRPr="00FE50A6">
        <w:rPr>
          <w:rFonts w:eastAsia="Cambria" w:cs="Times New Roman"/>
          <w:szCs w:val="20"/>
          <w:lang w:val="en-US"/>
        </w:rPr>
        <w:t>.</w:t>
      </w:r>
      <w:r w:rsidR="00130785" w:rsidRPr="00FE50A6">
        <w:rPr>
          <w:rFonts w:eastAsia="Cambria" w:cs="Times New Roman"/>
          <w:szCs w:val="20"/>
          <w:vertAlign w:val="superscript"/>
          <w:lang w:val="en-US"/>
        </w:rPr>
        <w:footnoteReference w:id="655"/>
      </w:r>
    </w:p>
    <w:p w14:paraId="264C677C" w14:textId="77777777" w:rsidR="00130785" w:rsidRPr="00FE50A6" w:rsidRDefault="00130785" w:rsidP="00130785">
      <w:pPr>
        <w:tabs>
          <w:tab w:val="clear" w:pos="4419"/>
          <w:tab w:val="clear" w:pos="8838"/>
        </w:tabs>
        <w:contextualSpacing/>
        <w:jc w:val="both"/>
        <w:rPr>
          <w:rFonts w:eastAsia="Cambria" w:cs="System Font Regular"/>
          <w:szCs w:val="20"/>
          <w:lang w:val="en-US"/>
        </w:rPr>
      </w:pPr>
    </w:p>
    <w:p w14:paraId="5C2AD16B" w14:textId="77777777" w:rsidR="00130785" w:rsidRPr="00FE50A6" w:rsidRDefault="00130785" w:rsidP="00130785">
      <w:pPr>
        <w:tabs>
          <w:tab w:val="clear" w:pos="4419"/>
          <w:tab w:val="clear" w:pos="8838"/>
        </w:tabs>
        <w:contextualSpacing/>
        <w:jc w:val="center"/>
        <w:rPr>
          <w:rFonts w:eastAsia="Cambria" w:cs="Times New Roman"/>
          <w:szCs w:val="20"/>
          <w:lang w:val="en-US"/>
        </w:rPr>
      </w:pPr>
      <w:r w:rsidRPr="00FE50A6">
        <w:rPr>
          <w:rFonts w:eastAsia="Cambria" w:cs="Times New Roman"/>
          <w:szCs w:val="20"/>
          <w:lang w:val="en-US"/>
        </w:rPr>
        <w:t>VII. CONCLUSIONS</w:t>
      </w:r>
    </w:p>
    <w:p w14:paraId="71B0D9BF" w14:textId="77777777" w:rsidR="00130785" w:rsidRPr="00FE50A6" w:rsidRDefault="00130785" w:rsidP="00130785">
      <w:pPr>
        <w:tabs>
          <w:tab w:val="clear" w:pos="4419"/>
          <w:tab w:val="clear" w:pos="8838"/>
        </w:tabs>
        <w:contextualSpacing/>
        <w:jc w:val="both"/>
        <w:rPr>
          <w:rFonts w:eastAsia="Cambria" w:cs="Times New Roman"/>
          <w:szCs w:val="20"/>
          <w:lang w:val="en-US"/>
        </w:rPr>
      </w:pPr>
    </w:p>
    <w:p w14:paraId="289E7976" w14:textId="77777777" w:rsidR="00130785" w:rsidRPr="00FE50A6" w:rsidRDefault="001D26B4" w:rsidP="001D26B4">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 xml:space="preserve">As this opinion has endeavored to show, </w:t>
      </w:r>
      <w:r w:rsidR="00506436" w:rsidRPr="00FE50A6">
        <w:rPr>
          <w:rFonts w:eastAsia="Cambria" w:cs="Times New Roman"/>
          <w:szCs w:val="20"/>
          <w:lang w:val="en-US"/>
        </w:rPr>
        <w:t>unlike</w:t>
      </w:r>
      <w:r w:rsidRPr="00FE50A6">
        <w:rPr>
          <w:rFonts w:eastAsia="Cambria" w:cs="Times New Roman"/>
          <w:szCs w:val="20"/>
          <w:lang w:val="en-US"/>
        </w:rPr>
        <w:t xml:space="preserve"> the European and African human rights systems, the inter-American and the universal systems reveal a tendency to consider that individuals who are in a situation of poverty constitute a group in a situation of vulnerability that differs from the groups traditionally identified</w:t>
      </w:r>
      <w:r w:rsidR="00506436" w:rsidRPr="00FE50A6">
        <w:rPr>
          <w:rFonts w:eastAsia="Cambria" w:cs="Times New Roman"/>
          <w:szCs w:val="20"/>
          <w:lang w:val="en-US"/>
        </w:rPr>
        <w:t xml:space="preserve"> as such</w:t>
      </w:r>
      <w:r w:rsidRPr="00FE50A6">
        <w:rPr>
          <w:rFonts w:eastAsia="Cambria" w:cs="Times New Roman"/>
          <w:szCs w:val="20"/>
          <w:lang w:val="en-US"/>
        </w:rPr>
        <w:t>; this situation is recognize</w:t>
      </w:r>
      <w:r w:rsidR="00506436" w:rsidRPr="00FE50A6">
        <w:rPr>
          <w:rFonts w:eastAsia="Cambria" w:cs="Times New Roman"/>
          <w:szCs w:val="20"/>
          <w:lang w:val="en-US"/>
        </w:rPr>
        <w:t>d</w:t>
      </w:r>
      <w:r w:rsidRPr="00FE50A6">
        <w:rPr>
          <w:rFonts w:eastAsia="Cambria" w:cs="Times New Roman"/>
          <w:szCs w:val="20"/>
          <w:lang w:val="en-US"/>
        </w:rPr>
        <w:t xml:space="preserve"> as </w:t>
      </w:r>
      <w:r w:rsidR="00506436" w:rsidRPr="00FE50A6">
        <w:rPr>
          <w:rFonts w:eastAsia="Cambria" w:cs="Times New Roman"/>
          <w:szCs w:val="20"/>
          <w:lang w:val="en-US"/>
        </w:rPr>
        <w:t>grounds for</w:t>
      </w:r>
      <w:r w:rsidRPr="00FE50A6">
        <w:rPr>
          <w:rFonts w:eastAsia="Cambria" w:cs="Times New Roman"/>
          <w:szCs w:val="20"/>
          <w:lang w:val="en-US"/>
        </w:rPr>
        <w:t xml:space="preserve"> special protection and part </w:t>
      </w:r>
      <w:r w:rsidR="00511962" w:rsidRPr="00FE50A6">
        <w:rPr>
          <w:rFonts w:eastAsia="Cambria" w:cs="Times New Roman"/>
          <w:szCs w:val="20"/>
          <w:lang w:val="en-US"/>
        </w:rPr>
        <w:t xml:space="preserve">of the </w:t>
      </w:r>
      <w:r w:rsidR="00EE52F3" w:rsidRPr="00FE50A6">
        <w:rPr>
          <w:rFonts w:eastAsia="Cambria" w:cs="Times New Roman"/>
          <w:szCs w:val="20"/>
          <w:lang w:val="en-US"/>
        </w:rPr>
        <w:t>prohibition of</w:t>
      </w:r>
      <w:r w:rsidR="00130785" w:rsidRPr="00FE50A6">
        <w:rPr>
          <w:rFonts w:eastAsia="Cambria" w:cs="Times New Roman"/>
          <w:szCs w:val="20"/>
          <w:lang w:val="en-US"/>
        </w:rPr>
        <w:t xml:space="preserve"> </w:t>
      </w:r>
      <w:r w:rsidR="003707E5" w:rsidRPr="00FE50A6">
        <w:rPr>
          <w:rFonts w:eastAsia="Cambria" w:cs="Times New Roman"/>
          <w:szCs w:val="20"/>
          <w:lang w:val="en-US"/>
        </w:rPr>
        <w:t>discrimination</w:t>
      </w:r>
      <w:r w:rsidR="00130785" w:rsidRPr="00FE50A6">
        <w:rPr>
          <w:rFonts w:eastAsia="Cambria" w:cs="Times New Roman"/>
          <w:szCs w:val="20"/>
          <w:lang w:val="en-US"/>
        </w:rPr>
        <w:t xml:space="preserve"> </w:t>
      </w:r>
      <w:r w:rsidR="00506436" w:rsidRPr="00FE50A6">
        <w:rPr>
          <w:rFonts w:eastAsia="Cambria" w:cs="Times New Roman"/>
          <w:szCs w:val="20"/>
          <w:lang w:val="en-US"/>
        </w:rPr>
        <w:t>based on</w:t>
      </w:r>
      <w:r w:rsidR="00130785" w:rsidRPr="00FE50A6">
        <w:rPr>
          <w:rFonts w:eastAsia="Cambria" w:cs="Times New Roman"/>
          <w:szCs w:val="20"/>
          <w:lang w:val="en-US"/>
        </w:rPr>
        <w:t xml:space="preserve"> </w:t>
      </w:r>
      <w:r w:rsidR="009C48A4" w:rsidRPr="00FE50A6">
        <w:rPr>
          <w:rFonts w:eastAsia="Cambria" w:cs="Times New Roman"/>
          <w:szCs w:val="20"/>
          <w:lang w:val="en-US"/>
        </w:rPr>
        <w:t>“</w:t>
      </w:r>
      <w:r w:rsidRPr="00FE50A6">
        <w:rPr>
          <w:rFonts w:eastAsia="Cambria" w:cs="Times New Roman"/>
          <w:szCs w:val="20"/>
          <w:lang w:val="en-US"/>
        </w:rPr>
        <w:t>economic status</w:t>
      </w:r>
      <w:r w:rsidR="009C48A4" w:rsidRPr="00FE50A6">
        <w:rPr>
          <w:rFonts w:eastAsia="Cambria" w:cs="Times New Roman"/>
          <w:szCs w:val="20"/>
          <w:lang w:val="en-US"/>
        </w:rPr>
        <w:t>”</w:t>
      </w:r>
      <w:r w:rsidR="00130785" w:rsidRPr="00FE50A6">
        <w:rPr>
          <w:rFonts w:eastAsia="Cambria" w:cs="Times New Roman"/>
          <w:szCs w:val="20"/>
          <w:lang w:val="en-US"/>
        </w:rPr>
        <w:t xml:space="preserve"> </w:t>
      </w:r>
      <w:r w:rsidRPr="00FE50A6">
        <w:rPr>
          <w:rFonts w:eastAsia="Cambria" w:cs="Times New Roman"/>
          <w:szCs w:val="20"/>
          <w:lang w:val="en-US"/>
        </w:rPr>
        <w:t xml:space="preserve">expressly included in </w:t>
      </w:r>
      <w:r w:rsidR="000B587F" w:rsidRPr="00FE50A6">
        <w:rPr>
          <w:rFonts w:eastAsia="Cambria" w:cs="Times New Roman"/>
          <w:szCs w:val="20"/>
          <w:lang w:val="en-US"/>
        </w:rPr>
        <w:t>Article 1(1)</w:t>
      </w:r>
      <w:r w:rsidR="000228D0" w:rsidRPr="00FE50A6">
        <w:rPr>
          <w:rFonts w:eastAsia="Cambria" w:cs="Times New Roman"/>
          <w:szCs w:val="20"/>
          <w:lang w:val="en-US"/>
        </w:rPr>
        <w:t xml:space="preserve"> of the American Convention</w:t>
      </w:r>
      <w:r w:rsidR="00130785" w:rsidRPr="00FE50A6">
        <w:rPr>
          <w:rFonts w:eastAsia="Cambria" w:cs="Times New Roman"/>
          <w:szCs w:val="20"/>
          <w:lang w:val="en-US"/>
        </w:rPr>
        <w:t>.</w:t>
      </w:r>
    </w:p>
    <w:p w14:paraId="62A66E1F"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25DB7554" w14:textId="77777777" w:rsidR="009A1223" w:rsidRPr="00FE50A6" w:rsidRDefault="0088467F" w:rsidP="008B0BCC">
      <w:pPr>
        <w:numPr>
          <w:ilvl w:val="0"/>
          <w:numId w:val="26"/>
        </w:numPr>
        <w:tabs>
          <w:tab w:val="clear" w:pos="4419"/>
          <w:tab w:val="clear" w:pos="8838"/>
        </w:tabs>
        <w:contextualSpacing/>
        <w:jc w:val="both"/>
        <w:rPr>
          <w:rFonts w:eastAsia="Cambria" w:cs="Times New Roman"/>
          <w:szCs w:val="20"/>
          <w:lang w:val="en-US"/>
        </w:rPr>
      </w:pPr>
      <w:r w:rsidRPr="00FE50A6">
        <w:rPr>
          <w:rFonts w:eastAsia="Cambria" w:cs="Times New Roman"/>
          <w:szCs w:val="20"/>
          <w:lang w:val="en-US"/>
        </w:rPr>
        <w:t>In this case</w:t>
      </w:r>
      <w:r w:rsidR="00130785" w:rsidRPr="00FE50A6">
        <w:rPr>
          <w:rFonts w:eastAsia="Cambria" w:cs="Times New Roman"/>
          <w:szCs w:val="20"/>
          <w:lang w:val="en-US"/>
        </w:rPr>
        <w:t xml:space="preserve">, </w:t>
      </w:r>
      <w:r w:rsidR="001D26B4" w:rsidRPr="00FE50A6">
        <w:rPr>
          <w:rFonts w:eastAsia="Cambria" w:cs="Times New Roman"/>
          <w:szCs w:val="20"/>
          <w:lang w:val="en-US"/>
        </w:rPr>
        <w:t xml:space="preserve">the special vulnerability due to the situation of poverty of the 85 workers condemned them to be victims of trafficking owing to the </w:t>
      </w:r>
      <w:r w:rsidR="00130785" w:rsidRPr="00FE50A6">
        <w:rPr>
          <w:rFonts w:eastAsia="Cambria" w:cs="Times New Roman"/>
          <w:i/>
          <w:szCs w:val="20"/>
          <w:lang w:val="en-US"/>
        </w:rPr>
        <w:t>modus operandi</w:t>
      </w:r>
      <w:r w:rsidR="00130785" w:rsidRPr="00FE50A6">
        <w:rPr>
          <w:rFonts w:eastAsia="Cambria" w:cs="Times New Roman"/>
          <w:szCs w:val="20"/>
          <w:lang w:val="en-US"/>
        </w:rPr>
        <w:t xml:space="preserve"> </w:t>
      </w:r>
      <w:r w:rsidR="001D26B4" w:rsidRPr="00FE50A6">
        <w:rPr>
          <w:rFonts w:eastAsia="Cambria" w:cs="Times New Roman"/>
          <w:szCs w:val="20"/>
          <w:lang w:val="en-US"/>
        </w:rPr>
        <w:t xml:space="preserve">that existed in that region </w:t>
      </w:r>
      <w:r w:rsidR="00703850" w:rsidRPr="00FE50A6">
        <w:rPr>
          <w:rFonts w:eastAsia="Cambria" w:cs="Times New Roman"/>
          <w:szCs w:val="20"/>
          <w:lang w:val="en-US"/>
        </w:rPr>
        <w:t xml:space="preserve">of the </w:t>
      </w:r>
      <w:r w:rsidR="008B65CD" w:rsidRPr="00FE50A6">
        <w:rPr>
          <w:rFonts w:eastAsia="Cambria" w:cs="Times New Roman"/>
          <w:szCs w:val="20"/>
          <w:lang w:val="en-US"/>
        </w:rPr>
        <w:t>state of Pará</w:t>
      </w:r>
      <w:r w:rsidR="00030C17" w:rsidRPr="00FE50A6">
        <w:rPr>
          <w:rFonts w:eastAsia="Cambria" w:cs="Times New Roman"/>
          <w:szCs w:val="20"/>
          <w:lang w:val="en-US"/>
        </w:rPr>
        <w:t xml:space="preserve"> and</w:t>
      </w:r>
      <w:r w:rsidR="001D26B4" w:rsidRPr="00FE50A6">
        <w:rPr>
          <w:rFonts w:eastAsia="Cambria" w:cs="Times New Roman"/>
          <w:szCs w:val="20"/>
          <w:lang w:val="en-US"/>
        </w:rPr>
        <w:t xml:space="preserve"> also</w:t>
      </w:r>
      <w:r w:rsidR="00506436" w:rsidRPr="00FE50A6">
        <w:rPr>
          <w:rFonts w:eastAsia="Cambria" w:cs="Times New Roman"/>
          <w:szCs w:val="20"/>
          <w:lang w:val="en-US"/>
        </w:rPr>
        <w:t>,</w:t>
      </w:r>
      <w:r w:rsidR="001D26B4" w:rsidRPr="00FE50A6">
        <w:rPr>
          <w:rFonts w:eastAsia="Cambria" w:cs="Times New Roman"/>
          <w:szCs w:val="20"/>
          <w:lang w:val="en-US"/>
        </w:rPr>
        <w:t xml:space="preserve"> </w:t>
      </w:r>
      <w:r w:rsidR="00506436" w:rsidRPr="00FE50A6">
        <w:rPr>
          <w:rFonts w:eastAsia="Cambria" w:cs="Times New Roman"/>
          <w:szCs w:val="20"/>
          <w:lang w:val="en-US"/>
        </w:rPr>
        <w:t>owing to</w:t>
      </w:r>
      <w:r w:rsidR="001D26B4" w:rsidRPr="00FE50A6">
        <w:rPr>
          <w:rFonts w:eastAsia="Cambria" w:cs="Times New Roman"/>
          <w:szCs w:val="20"/>
          <w:lang w:val="en-US"/>
        </w:rPr>
        <w:t xml:space="preserve"> other similar characteristics, made them susceptible to </w:t>
      </w:r>
      <w:r w:rsidR="009A1223" w:rsidRPr="00FE50A6">
        <w:rPr>
          <w:rFonts w:eastAsia="Cambria" w:cs="Times New Roman"/>
          <w:szCs w:val="20"/>
          <w:lang w:val="en-US"/>
        </w:rPr>
        <w:t>accepting the offers of work</w:t>
      </w:r>
      <w:r w:rsidR="007D7DA2" w:rsidRPr="00FE50A6">
        <w:rPr>
          <w:rFonts w:eastAsia="Cambria" w:cs="Times New Roman"/>
          <w:szCs w:val="20"/>
          <w:lang w:val="en-US"/>
        </w:rPr>
        <w:t>,</w:t>
      </w:r>
      <w:r w:rsidR="009A1223" w:rsidRPr="00FE50A6">
        <w:rPr>
          <w:rFonts w:eastAsia="Cambria" w:cs="Times New Roman"/>
          <w:szCs w:val="20"/>
          <w:lang w:val="en-US"/>
        </w:rPr>
        <w:t xml:space="preserve"> made on false terms, in Hacienda Brasil Verde that took the form of slave labor. This particular situation did not occur in isolation but</w:t>
      </w:r>
      <w:r w:rsidR="007D7DA2" w:rsidRPr="00FE50A6">
        <w:rPr>
          <w:rFonts w:eastAsia="Cambria" w:cs="Times New Roman"/>
          <w:szCs w:val="20"/>
          <w:lang w:val="en-US"/>
        </w:rPr>
        <w:t>,</w:t>
      </w:r>
      <w:r w:rsidR="009A1223" w:rsidRPr="00FE50A6">
        <w:rPr>
          <w:rFonts w:eastAsia="Cambria" w:cs="Times New Roman"/>
          <w:szCs w:val="20"/>
          <w:lang w:val="en-US"/>
        </w:rPr>
        <w:t xml:space="preserve"> as the judgment described, had a historical background and had per</w:t>
      </w:r>
      <w:r w:rsidR="007D7DA2" w:rsidRPr="00FE50A6">
        <w:rPr>
          <w:rFonts w:eastAsia="Cambria" w:cs="Times New Roman"/>
          <w:szCs w:val="20"/>
          <w:lang w:val="en-US"/>
        </w:rPr>
        <w:t>sisted</w:t>
      </w:r>
      <w:r w:rsidR="009A1223" w:rsidRPr="00FE50A6">
        <w:rPr>
          <w:rFonts w:eastAsia="Cambria" w:cs="Times New Roman"/>
          <w:szCs w:val="20"/>
          <w:lang w:val="en-US"/>
        </w:rPr>
        <w:t xml:space="preserve"> among specific sectors of the population and in determined geographical areas after 1995, the date on which Brazil expressly recognized the existence of “slave labor” in the country. It was on this basis, that the Court also analyzed the situation of poverty as the determinant structural factor for the historical perpetuation of slave labor in Brazil</w:t>
      </w:r>
    </w:p>
    <w:p w14:paraId="6F30D7BA" w14:textId="77777777" w:rsidR="00130785" w:rsidRPr="00FE50A6" w:rsidRDefault="00130785" w:rsidP="00130785">
      <w:pPr>
        <w:tabs>
          <w:tab w:val="clear" w:pos="4419"/>
          <w:tab w:val="clear" w:pos="8838"/>
        </w:tabs>
        <w:rPr>
          <w:rFonts w:eastAsia="MS Mincho" w:cs="Times New Roman"/>
          <w:b/>
          <w:i/>
          <w:szCs w:val="20"/>
          <w:lang w:val="en-US" w:eastAsia="es-ES"/>
        </w:rPr>
      </w:pPr>
    </w:p>
    <w:p w14:paraId="3FD0EDF6" w14:textId="77777777" w:rsidR="001034FA" w:rsidRPr="00FE50A6" w:rsidRDefault="009A1223" w:rsidP="008B0BCC">
      <w:pPr>
        <w:numPr>
          <w:ilvl w:val="0"/>
          <w:numId w:val="26"/>
        </w:numPr>
        <w:tabs>
          <w:tab w:val="clear" w:pos="4419"/>
          <w:tab w:val="clear" w:pos="8838"/>
        </w:tabs>
        <w:contextualSpacing/>
        <w:jc w:val="both"/>
        <w:rPr>
          <w:rFonts w:eastAsia="Cambria" w:cs="Times New Roman"/>
          <w:strike/>
          <w:szCs w:val="20"/>
          <w:lang w:val="en-US"/>
        </w:rPr>
      </w:pPr>
      <w:r w:rsidRPr="00FE50A6">
        <w:rPr>
          <w:rFonts w:eastAsia="Cambria" w:cs="Times New Roman"/>
          <w:lang w:val="en-US"/>
        </w:rPr>
        <w:t xml:space="preserve">As the judgment indicates, </w:t>
      </w:r>
      <w:r w:rsidR="007D7DA2" w:rsidRPr="00FE50A6">
        <w:rPr>
          <w:rFonts w:eastAsia="Cambria" w:cs="Times New Roman"/>
          <w:lang w:val="en-US"/>
        </w:rPr>
        <w:t>“</w:t>
      </w:r>
      <w:r w:rsidR="007D7DA2" w:rsidRPr="00FE50A6">
        <w:rPr>
          <w:lang w:val="en-US"/>
        </w:rPr>
        <w:t>[p]overty, therefore, is the main factor behind modern-day slavery in Brazil, since it increases the vulnerability of a significant portion of the population, making them easy prey for enticers of slave labor</w:t>
      </w:r>
      <w:r w:rsidR="001034FA" w:rsidRPr="00FE50A6">
        <w:rPr>
          <w:rFonts w:eastAsia="Cambria" w:cs="Times New Roman"/>
          <w:lang w:val="en-US"/>
        </w:rPr>
        <w:t>.</w:t>
      </w:r>
      <w:r w:rsidR="009C48A4" w:rsidRPr="00FE50A6">
        <w:rPr>
          <w:rFonts w:eastAsia="Cambria" w:cs="Times New Roman"/>
          <w:lang w:val="en-US"/>
        </w:rPr>
        <w:t>”</w:t>
      </w:r>
      <w:r w:rsidR="00130785" w:rsidRPr="00FE50A6">
        <w:rPr>
          <w:rFonts w:eastAsia="Cambria" w:cs="Times New Roman"/>
          <w:szCs w:val="20"/>
          <w:vertAlign w:val="superscript"/>
          <w:lang w:val="en-US"/>
        </w:rPr>
        <w:footnoteReference w:id="656"/>
      </w:r>
      <w:r w:rsidR="001034FA" w:rsidRPr="00FE50A6">
        <w:rPr>
          <w:rFonts w:eastAsia="Cambria" w:cs="Times New Roman"/>
          <w:lang w:val="en-US"/>
        </w:rPr>
        <w:t xml:space="preserve"> </w:t>
      </w:r>
      <w:r w:rsidR="00130785" w:rsidRPr="00FE50A6">
        <w:rPr>
          <w:rFonts w:eastAsia="Cambria" w:cs="Times New Roman"/>
          <w:lang w:val="en-US"/>
        </w:rPr>
        <w:t xml:space="preserve"> </w:t>
      </w:r>
      <w:r w:rsidR="001034FA" w:rsidRPr="00FE50A6">
        <w:rPr>
          <w:rFonts w:eastAsia="Cambria" w:cs="Times New Roman"/>
          <w:szCs w:val="20"/>
          <w:lang w:val="en-US"/>
        </w:rPr>
        <w:t>Poverty</w:t>
      </w:r>
      <w:r w:rsidR="00130785" w:rsidRPr="00FE50A6">
        <w:rPr>
          <w:rFonts w:eastAsia="Cambria" w:cs="Times New Roman"/>
          <w:szCs w:val="20"/>
          <w:lang w:val="en-US"/>
        </w:rPr>
        <w:t xml:space="preserve">, </w:t>
      </w:r>
      <w:r w:rsidR="006C3699" w:rsidRPr="00FE50A6">
        <w:rPr>
          <w:rFonts w:eastAsia="Cambria" w:cs="Times New Roman"/>
          <w:szCs w:val="20"/>
          <w:lang w:val="en-US"/>
        </w:rPr>
        <w:t>in the case</w:t>
      </w:r>
      <w:r w:rsidR="00130785" w:rsidRPr="00FE50A6">
        <w:rPr>
          <w:rFonts w:eastAsia="Cambria" w:cs="Times New Roman"/>
          <w:szCs w:val="20"/>
          <w:lang w:val="en-US"/>
        </w:rPr>
        <w:t xml:space="preserve"> </w:t>
      </w:r>
      <w:r w:rsidR="00130785" w:rsidRPr="00FE50A6">
        <w:rPr>
          <w:rFonts w:eastAsia="Cambria" w:cs="Times New Roman"/>
          <w:i/>
          <w:szCs w:val="20"/>
          <w:lang w:val="en-US"/>
        </w:rPr>
        <w:t xml:space="preserve">sub judice, </w:t>
      </w:r>
      <w:r w:rsidR="001034FA" w:rsidRPr="00FE50A6">
        <w:rPr>
          <w:rFonts w:eastAsia="Cambria" w:cs="Times New Roman"/>
          <w:szCs w:val="20"/>
          <w:lang w:val="en-US"/>
        </w:rPr>
        <w:t xml:space="preserve">is not considered a </w:t>
      </w:r>
      <w:r w:rsidR="007D7DA2" w:rsidRPr="00FE50A6">
        <w:rPr>
          <w:rFonts w:eastAsia="Cambria" w:cs="Times New Roman"/>
          <w:szCs w:val="20"/>
          <w:lang w:val="en-US"/>
        </w:rPr>
        <w:t>condition</w:t>
      </w:r>
      <w:r w:rsidR="001034FA" w:rsidRPr="00FE50A6">
        <w:rPr>
          <w:rFonts w:eastAsia="Cambria" w:cs="Times New Roman"/>
          <w:szCs w:val="20"/>
          <w:lang w:val="en-US"/>
        </w:rPr>
        <w:t>, but rather a state of special vulnerability where the situation of exclusion and marginalization, added to the structural and systemic denial (with historical grounds in this specific case), had an impact on the 85 workers rescued from Hacienda Brasil Verde.</w:t>
      </w:r>
    </w:p>
    <w:p w14:paraId="4D45C5B7" w14:textId="77777777" w:rsidR="00130785" w:rsidRPr="00FE50A6" w:rsidRDefault="00130785" w:rsidP="00130785">
      <w:pPr>
        <w:tabs>
          <w:tab w:val="clear" w:pos="4419"/>
          <w:tab w:val="clear" w:pos="8838"/>
        </w:tabs>
        <w:contextualSpacing/>
        <w:jc w:val="both"/>
        <w:rPr>
          <w:rFonts w:eastAsia="Cambria" w:cs="Times New Roman"/>
          <w:strike/>
          <w:szCs w:val="20"/>
          <w:lang w:val="en-US"/>
        </w:rPr>
      </w:pPr>
    </w:p>
    <w:p w14:paraId="08BEE509" w14:textId="77777777" w:rsidR="00130785" w:rsidRPr="00FE50A6" w:rsidRDefault="001034FA" w:rsidP="001034FA">
      <w:pPr>
        <w:numPr>
          <w:ilvl w:val="0"/>
          <w:numId w:val="26"/>
        </w:numPr>
        <w:tabs>
          <w:tab w:val="clear" w:pos="4419"/>
          <w:tab w:val="clear" w:pos="8838"/>
        </w:tabs>
        <w:contextualSpacing/>
        <w:jc w:val="both"/>
        <w:rPr>
          <w:rFonts w:eastAsia="Cambria" w:cs="Times New Roman"/>
          <w:b/>
          <w:i/>
          <w:szCs w:val="20"/>
          <w:lang w:val="en-US"/>
        </w:rPr>
      </w:pPr>
      <w:r w:rsidRPr="00FE50A6">
        <w:rPr>
          <w:rFonts w:eastAsia="Cambria" w:cs="Times New Roman"/>
          <w:szCs w:val="20"/>
          <w:lang w:val="en-US"/>
        </w:rPr>
        <w:t>An inter-American judgment cannot ignore the fact that slavery, in its similar and contemporary forms, is rooted and results in poverty, inequality and social exclusion, with repercussions in the substantive democracies of the countries of the region. Accordingly, the analysis of the inter-American experience of protection</w:t>
      </w:r>
      <w:r w:rsidR="00130785" w:rsidRPr="00FE50A6">
        <w:rPr>
          <w:rFonts w:eastAsia="Cambria" w:cs="System Font Regular"/>
          <w:szCs w:val="20"/>
          <w:lang w:val="en-US"/>
        </w:rPr>
        <w:t xml:space="preserve"> </w:t>
      </w:r>
      <w:r w:rsidR="00C82C2B" w:rsidRPr="00FE50A6">
        <w:rPr>
          <w:rFonts w:eastAsia="Cambria" w:cs="System Font Regular"/>
          <w:szCs w:val="20"/>
          <w:lang w:val="en-US"/>
        </w:rPr>
        <w:t xml:space="preserve">of </w:t>
      </w:r>
      <w:r w:rsidRPr="00FE50A6">
        <w:rPr>
          <w:rFonts w:eastAsia="Cambria" w:cs="System Font Regular"/>
          <w:szCs w:val="20"/>
          <w:lang w:val="en-US"/>
        </w:rPr>
        <w:t>h</w:t>
      </w:r>
      <w:r w:rsidR="00C82C2B" w:rsidRPr="00FE50A6">
        <w:rPr>
          <w:rFonts w:eastAsia="Cambria" w:cs="System Font Regular"/>
          <w:szCs w:val="20"/>
          <w:lang w:val="en-US"/>
        </w:rPr>
        <w:t xml:space="preserve">uman </w:t>
      </w:r>
      <w:r w:rsidRPr="00FE50A6">
        <w:rPr>
          <w:rFonts w:eastAsia="Cambria" w:cs="System Font Regular"/>
          <w:szCs w:val="20"/>
          <w:lang w:val="en-US"/>
        </w:rPr>
        <w:t>r</w:t>
      </w:r>
      <w:r w:rsidR="00C82C2B" w:rsidRPr="00FE50A6">
        <w:rPr>
          <w:rFonts w:eastAsia="Cambria" w:cs="System Font Regular"/>
          <w:szCs w:val="20"/>
          <w:lang w:val="en-US"/>
        </w:rPr>
        <w:t>ights</w:t>
      </w:r>
      <w:r w:rsidR="00130785" w:rsidRPr="00FE50A6">
        <w:rPr>
          <w:rFonts w:eastAsia="Cambria" w:cs="System Font Regular"/>
          <w:szCs w:val="20"/>
          <w:lang w:val="en-US"/>
        </w:rPr>
        <w:t xml:space="preserve"> (civil, pol</w:t>
      </w:r>
      <w:r w:rsidRPr="00FE50A6">
        <w:rPr>
          <w:rFonts w:eastAsia="Cambria" w:cs="System Font Regular"/>
          <w:szCs w:val="20"/>
          <w:lang w:val="en-US"/>
        </w:rPr>
        <w:t>itical</w:t>
      </w:r>
      <w:r w:rsidR="00130785" w:rsidRPr="00FE50A6">
        <w:rPr>
          <w:rFonts w:eastAsia="Cambria" w:cs="System Font Regular"/>
          <w:szCs w:val="20"/>
          <w:lang w:val="en-US"/>
        </w:rPr>
        <w:t>, econ</w:t>
      </w:r>
      <w:r w:rsidRPr="00FE50A6">
        <w:rPr>
          <w:rFonts w:eastAsia="Cambria" w:cs="System Font Regular"/>
          <w:szCs w:val="20"/>
          <w:lang w:val="en-US"/>
        </w:rPr>
        <w:t xml:space="preserve">omic, social, cultural and environmental) requires that the region’s </w:t>
      </w:r>
      <w:r w:rsidR="001A046C" w:rsidRPr="00FE50A6">
        <w:rPr>
          <w:rFonts w:eastAsia="Cambria" w:cs="System Font Regular"/>
          <w:szCs w:val="20"/>
          <w:lang w:val="en-US"/>
        </w:rPr>
        <w:t>particularities</w:t>
      </w:r>
      <w:r w:rsidRPr="00FE50A6">
        <w:rPr>
          <w:rFonts w:eastAsia="Cambria" w:cs="System Font Regular"/>
          <w:szCs w:val="20"/>
          <w:lang w:val="en-US"/>
        </w:rPr>
        <w:t xml:space="preserve"> be taken into consideration, because Latin America is the region with the highest level of inequality in the world.</w:t>
      </w:r>
      <w:r w:rsidR="00130785" w:rsidRPr="00FE50A6">
        <w:rPr>
          <w:rFonts w:eastAsia="Cambria" w:cs="Times New Roman"/>
          <w:szCs w:val="20"/>
          <w:vertAlign w:val="superscript"/>
          <w:lang w:val="en-US"/>
        </w:rPr>
        <w:footnoteReference w:id="657"/>
      </w:r>
      <w:r w:rsidR="00130785" w:rsidRPr="00FE50A6">
        <w:rPr>
          <w:rFonts w:eastAsia="Cambria" w:cs="Times New Roman"/>
          <w:b/>
          <w:i/>
          <w:szCs w:val="20"/>
          <w:lang w:val="en-US"/>
        </w:rPr>
        <w:t xml:space="preserve"> </w:t>
      </w:r>
      <w:r w:rsidRPr="00FE50A6">
        <w:rPr>
          <w:rFonts w:eastAsia="Cambria" w:cs="Times New Roman"/>
          <w:szCs w:val="20"/>
          <w:lang w:val="en-US"/>
        </w:rPr>
        <w:t>In this regard, States in the regi</w:t>
      </w:r>
      <w:r w:rsidR="00112246" w:rsidRPr="00FE50A6">
        <w:rPr>
          <w:rFonts w:eastAsia="Cambria" w:cs="Times New Roman"/>
          <w:szCs w:val="20"/>
          <w:lang w:val="en-US"/>
        </w:rPr>
        <w:t>o</w:t>
      </w:r>
      <w:r w:rsidRPr="00FE50A6">
        <w:rPr>
          <w:rFonts w:eastAsia="Cambria" w:cs="Times New Roman"/>
          <w:szCs w:val="20"/>
          <w:lang w:val="en-US"/>
        </w:rPr>
        <w:t xml:space="preserve">n must be consequent with </w:t>
      </w:r>
      <w:r w:rsidR="007D7DA2" w:rsidRPr="00FE50A6">
        <w:rPr>
          <w:rFonts w:eastAsia="Cambria" w:cs="Times New Roman"/>
          <w:szCs w:val="20"/>
          <w:lang w:val="en-US"/>
        </w:rPr>
        <w:t xml:space="preserve">the provisions of </w:t>
      </w:r>
      <w:r w:rsidR="00112246" w:rsidRPr="00FE50A6">
        <w:rPr>
          <w:rFonts w:eastAsia="Cambria" w:cs="Times New Roman"/>
          <w:szCs w:val="20"/>
          <w:lang w:val="en-US"/>
        </w:rPr>
        <w:t>the Social Charter of the Americas</w:t>
      </w:r>
      <w:r w:rsidR="00130785" w:rsidRPr="00FE50A6">
        <w:rPr>
          <w:rFonts w:eastAsia="Cambria" w:cs="Times"/>
          <w:szCs w:val="20"/>
          <w:lang w:val="en-US"/>
        </w:rPr>
        <w:t xml:space="preserve"> (2012)</w:t>
      </w:r>
      <w:r w:rsidR="00130785" w:rsidRPr="00FE50A6">
        <w:rPr>
          <w:rFonts w:eastAsia="Cambria" w:cs="Times New Roman"/>
          <w:szCs w:val="20"/>
          <w:vertAlign w:val="superscript"/>
          <w:lang w:val="en-US"/>
        </w:rPr>
        <w:footnoteReference w:id="658"/>
      </w:r>
      <w:r w:rsidR="00030C17" w:rsidRPr="00FE50A6">
        <w:rPr>
          <w:rFonts w:eastAsia="Cambria" w:cs="Times"/>
          <w:szCs w:val="20"/>
          <w:lang w:val="en-US"/>
        </w:rPr>
        <w:t xml:space="preserve"> and </w:t>
      </w:r>
      <w:r w:rsidR="00112246" w:rsidRPr="00FE50A6">
        <w:rPr>
          <w:rFonts w:eastAsia="Cambria" w:cs="Times"/>
          <w:szCs w:val="20"/>
          <w:lang w:val="en-US"/>
        </w:rPr>
        <w:t>its Plan of Action</w:t>
      </w:r>
      <w:r w:rsidR="00130785" w:rsidRPr="00FE50A6">
        <w:rPr>
          <w:rFonts w:eastAsia="Cambria" w:cs="Times"/>
          <w:szCs w:val="20"/>
          <w:lang w:val="en-US"/>
        </w:rPr>
        <w:t xml:space="preserve"> (2015)</w:t>
      </w:r>
      <w:r w:rsidR="007D7DA2" w:rsidRPr="00FE50A6">
        <w:rPr>
          <w:rFonts w:eastAsia="Cambria" w:cs="Times"/>
          <w:szCs w:val="20"/>
          <w:lang w:val="en-US"/>
        </w:rPr>
        <w:t>,</w:t>
      </w:r>
      <w:r w:rsidR="00130785" w:rsidRPr="00FE50A6">
        <w:rPr>
          <w:rFonts w:eastAsia="Cambria" w:cs="Times New Roman"/>
          <w:szCs w:val="20"/>
          <w:vertAlign w:val="superscript"/>
          <w:lang w:val="en-US"/>
        </w:rPr>
        <w:footnoteReference w:id="659"/>
      </w:r>
      <w:r w:rsidR="00112246" w:rsidRPr="00FE50A6">
        <w:rPr>
          <w:rFonts w:eastAsia="Cambria" w:cs="Times"/>
          <w:szCs w:val="20"/>
          <w:lang w:val="en-US"/>
        </w:rPr>
        <w:t xml:space="preserve"> in order to progressively achieve and ensure the full realization of social justice on our continent.</w:t>
      </w:r>
    </w:p>
    <w:p w14:paraId="1E653ECC" w14:textId="77777777" w:rsidR="00130785" w:rsidRPr="00FE50A6" w:rsidRDefault="00130785" w:rsidP="00130785">
      <w:pPr>
        <w:tabs>
          <w:tab w:val="clear" w:pos="4419"/>
          <w:tab w:val="clear" w:pos="8838"/>
        </w:tabs>
        <w:contextualSpacing/>
        <w:jc w:val="both"/>
        <w:rPr>
          <w:rFonts w:eastAsia="Cambria" w:cs="Times New Roman"/>
          <w:b/>
          <w:i/>
          <w:szCs w:val="20"/>
          <w:lang w:val="en-US"/>
        </w:rPr>
      </w:pPr>
    </w:p>
    <w:p w14:paraId="2D26D840"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4642D54F"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0CFE0B2C"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08FF57CD"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r w:rsidRPr="00FE50A6">
        <w:rPr>
          <w:rFonts w:eastAsia="Calibri" w:cs="Times New Roman"/>
          <w:szCs w:val="20"/>
          <w:lang w:val="en-US"/>
        </w:rPr>
        <w:t>Eduardo Ferrer Mac-Gregor Poisot</w:t>
      </w:r>
    </w:p>
    <w:p w14:paraId="46D80B85" w14:textId="77777777" w:rsidR="00130785" w:rsidRPr="00FE50A6" w:rsidRDefault="000228D0" w:rsidP="00130785">
      <w:pPr>
        <w:tabs>
          <w:tab w:val="clear" w:pos="4419"/>
          <w:tab w:val="clear" w:pos="8838"/>
        </w:tabs>
        <w:ind w:left="3960" w:right="96" w:firstLine="360"/>
        <w:jc w:val="center"/>
        <w:rPr>
          <w:rFonts w:eastAsia="Calibri" w:cs="Times New Roman"/>
          <w:szCs w:val="20"/>
          <w:lang w:val="en-US"/>
        </w:rPr>
      </w:pPr>
      <w:r w:rsidRPr="00FE50A6">
        <w:rPr>
          <w:rFonts w:eastAsia="Calibri" w:cs="Times New Roman"/>
          <w:szCs w:val="20"/>
          <w:lang w:val="en-US"/>
        </w:rPr>
        <w:t>Judge</w:t>
      </w:r>
    </w:p>
    <w:p w14:paraId="693EC20F" w14:textId="77777777" w:rsidR="00130785" w:rsidRPr="00FE50A6" w:rsidRDefault="00130785" w:rsidP="00130785">
      <w:pPr>
        <w:tabs>
          <w:tab w:val="clear" w:pos="4419"/>
          <w:tab w:val="clear" w:pos="8838"/>
        </w:tabs>
        <w:rPr>
          <w:rFonts w:eastAsia="MS Mincho" w:cs="Times New Roman"/>
          <w:szCs w:val="20"/>
          <w:lang w:val="en-US" w:eastAsia="es-ES"/>
        </w:rPr>
      </w:pPr>
    </w:p>
    <w:p w14:paraId="27A7A400" w14:textId="77777777" w:rsidR="00130785" w:rsidRPr="00FE50A6" w:rsidRDefault="00130785" w:rsidP="00130785">
      <w:pPr>
        <w:tabs>
          <w:tab w:val="clear" w:pos="4419"/>
          <w:tab w:val="clear" w:pos="8838"/>
        </w:tabs>
        <w:rPr>
          <w:rFonts w:eastAsia="MS Mincho" w:cs="Times New Roman"/>
          <w:szCs w:val="20"/>
          <w:lang w:val="en-US" w:eastAsia="es-ES"/>
        </w:rPr>
      </w:pPr>
      <w:r w:rsidRPr="00FE50A6">
        <w:rPr>
          <w:rFonts w:eastAsia="MS Mincho" w:cs="Times New Roman"/>
          <w:szCs w:val="20"/>
          <w:lang w:val="en-US" w:eastAsia="es-ES"/>
        </w:rPr>
        <w:t>Pablo Saavedra Alessandri</w:t>
      </w:r>
    </w:p>
    <w:p w14:paraId="654B52B7" w14:textId="77777777" w:rsidR="00130785" w:rsidRPr="00FE50A6" w:rsidRDefault="00130785" w:rsidP="00130785">
      <w:pPr>
        <w:tabs>
          <w:tab w:val="clear" w:pos="4419"/>
          <w:tab w:val="clear" w:pos="8838"/>
        </w:tabs>
        <w:rPr>
          <w:rFonts w:eastAsia="MS Mincho" w:cs="Times New Roman"/>
          <w:szCs w:val="20"/>
          <w:lang w:val="en-US" w:eastAsia="es-ES"/>
        </w:rPr>
      </w:pPr>
      <w:r w:rsidRPr="00FE50A6">
        <w:rPr>
          <w:rFonts w:eastAsia="MS Mincho" w:cs="Times New Roman"/>
          <w:szCs w:val="20"/>
          <w:lang w:val="en-US" w:eastAsia="es-ES"/>
        </w:rPr>
        <w:tab/>
      </w:r>
      <w:r w:rsidR="008D0905" w:rsidRPr="00FE50A6">
        <w:rPr>
          <w:rFonts w:eastAsia="MS Mincho" w:cs="Times New Roman"/>
          <w:szCs w:val="20"/>
          <w:lang w:val="en-US" w:eastAsia="es-ES"/>
        </w:rPr>
        <w:t>Secretary</w:t>
      </w:r>
    </w:p>
    <w:p w14:paraId="15B11199" w14:textId="77777777" w:rsidR="00130785" w:rsidRPr="00FE50A6" w:rsidRDefault="00130785" w:rsidP="00F74CCF">
      <w:pPr>
        <w:tabs>
          <w:tab w:val="left" w:pos="720"/>
        </w:tabs>
        <w:ind w:right="-90"/>
        <w:contextualSpacing/>
        <w:rPr>
          <w:bCs/>
          <w:szCs w:val="20"/>
          <w:lang w:val="en-US"/>
        </w:rPr>
        <w:sectPr w:rsidR="00130785" w:rsidRPr="00FE50A6" w:rsidSect="00130785">
          <w:footerReference w:type="even" r:id="rId10"/>
          <w:footerReference w:type="default" r:id="rId11"/>
          <w:footnotePr>
            <w:numRestart w:val="eachSect"/>
          </w:footnotePr>
          <w:pgSz w:w="12240" w:h="15840"/>
          <w:pgMar w:top="1417" w:right="1701" w:bottom="1417" w:left="1701" w:header="708" w:footer="708" w:gutter="0"/>
          <w:pgNumType w:start="1"/>
          <w:cols w:space="708"/>
          <w:titlePg/>
          <w:docGrid w:linePitch="360"/>
        </w:sectPr>
      </w:pPr>
    </w:p>
    <w:p w14:paraId="44FCC943" w14:textId="77777777" w:rsidR="00130785" w:rsidRPr="00FE50A6" w:rsidRDefault="00130785" w:rsidP="00130785">
      <w:pPr>
        <w:tabs>
          <w:tab w:val="clear" w:pos="4419"/>
          <w:tab w:val="clear" w:pos="8838"/>
        </w:tabs>
        <w:jc w:val="center"/>
        <w:rPr>
          <w:rFonts w:eastAsia="Calibri" w:cs="Times New Roman"/>
          <w:b/>
          <w:szCs w:val="20"/>
          <w:lang w:val="en-US"/>
        </w:rPr>
      </w:pPr>
    </w:p>
    <w:p w14:paraId="30C1EF66" w14:textId="77777777" w:rsidR="00130785" w:rsidRPr="00FE50A6" w:rsidRDefault="00130785" w:rsidP="00130785">
      <w:pPr>
        <w:tabs>
          <w:tab w:val="clear" w:pos="4419"/>
          <w:tab w:val="clear" w:pos="8838"/>
        </w:tabs>
        <w:jc w:val="center"/>
        <w:rPr>
          <w:rFonts w:eastAsia="Calibri" w:cs="Times New Roman"/>
          <w:b/>
          <w:szCs w:val="20"/>
          <w:lang w:val="en-US"/>
        </w:rPr>
      </w:pPr>
    </w:p>
    <w:p w14:paraId="1B09F0A7" w14:textId="77777777" w:rsidR="00130785" w:rsidRPr="00FE50A6" w:rsidRDefault="00130785" w:rsidP="00130785">
      <w:pPr>
        <w:tabs>
          <w:tab w:val="clear" w:pos="4419"/>
          <w:tab w:val="clear" w:pos="8838"/>
        </w:tabs>
        <w:jc w:val="center"/>
        <w:rPr>
          <w:rFonts w:eastAsia="Calibri" w:cs="Times New Roman"/>
          <w:b/>
          <w:szCs w:val="20"/>
          <w:lang w:val="en-US"/>
        </w:rPr>
      </w:pPr>
    </w:p>
    <w:p w14:paraId="6761ECEA" w14:textId="77777777" w:rsidR="00130785" w:rsidRPr="00FE50A6" w:rsidRDefault="00130785" w:rsidP="00130785">
      <w:pPr>
        <w:tabs>
          <w:tab w:val="clear" w:pos="4419"/>
          <w:tab w:val="clear" w:pos="8838"/>
        </w:tabs>
        <w:jc w:val="center"/>
        <w:rPr>
          <w:rFonts w:eastAsia="Calibri" w:cs="Times New Roman"/>
          <w:b/>
          <w:szCs w:val="20"/>
          <w:lang w:val="en-US"/>
        </w:rPr>
      </w:pPr>
    </w:p>
    <w:p w14:paraId="32CABA54" w14:textId="77777777" w:rsidR="00130785" w:rsidRPr="00FE50A6" w:rsidRDefault="00130785" w:rsidP="00130785">
      <w:pPr>
        <w:tabs>
          <w:tab w:val="clear" w:pos="4419"/>
          <w:tab w:val="clear" w:pos="8838"/>
        </w:tabs>
        <w:jc w:val="center"/>
        <w:rPr>
          <w:rFonts w:eastAsia="Calibri" w:cs="Times New Roman"/>
          <w:b/>
          <w:szCs w:val="20"/>
          <w:lang w:val="en-US"/>
        </w:rPr>
      </w:pPr>
    </w:p>
    <w:p w14:paraId="265B02E2" w14:textId="77777777" w:rsidR="00130785" w:rsidRPr="00FE50A6" w:rsidRDefault="00130785" w:rsidP="00130785">
      <w:pPr>
        <w:tabs>
          <w:tab w:val="clear" w:pos="4419"/>
          <w:tab w:val="clear" w:pos="8838"/>
        </w:tabs>
        <w:jc w:val="center"/>
        <w:rPr>
          <w:rFonts w:eastAsia="Calibri" w:cs="Times New Roman"/>
          <w:b/>
          <w:szCs w:val="20"/>
          <w:lang w:val="en-US"/>
        </w:rPr>
      </w:pPr>
    </w:p>
    <w:p w14:paraId="0C8A4DD4" w14:textId="77777777" w:rsidR="00130785" w:rsidRPr="00FE50A6" w:rsidRDefault="00E12A06" w:rsidP="00130785">
      <w:pPr>
        <w:tabs>
          <w:tab w:val="clear" w:pos="4419"/>
          <w:tab w:val="clear" w:pos="8838"/>
        </w:tabs>
        <w:jc w:val="center"/>
        <w:rPr>
          <w:rFonts w:eastAsia="Calibri" w:cs="Times New Roman"/>
          <w:b/>
          <w:szCs w:val="20"/>
          <w:lang w:val="en-US"/>
        </w:rPr>
      </w:pPr>
      <w:r w:rsidRPr="00FE50A6">
        <w:rPr>
          <w:rFonts w:eastAsia="Calibri" w:cs="Times New Roman"/>
          <w:b/>
          <w:szCs w:val="20"/>
          <w:lang w:val="en-US"/>
        </w:rPr>
        <w:t xml:space="preserve">CONCURRING OPINION OF </w:t>
      </w:r>
      <w:r w:rsidR="000228D0" w:rsidRPr="00FE50A6">
        <w:rPr>
          <w:rFonts w:eastAsia="Calibri" w:cs="Times New Roman"/>
          <w:b/>
          <w:szCs w:val="20"/>
          <w:lang w:val="en-US"/>
        </w:rPr>
        <w:t>JUDGE</w:t>
      </w:r>
      <w:r w:rsidR="00130785" w:rsidRPr="00FE50A6">
        <w:rPr>
          <w:rFonts w:eastAsia="Calibri" w:cs="Times New Roman"/>
          <w:b/>
          <w:szCs w:val="20"/>
          <w:lang w:val="en-US"/>
        </w:rPr>
        <w:t xml:space="preserve"> EDUARDO VIO GROSSI,</w:t>
      </w:r>
    </w:p>
    <w:p w14:paraId="30D87A8F"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p>
    <w:p w14:paraId="7BE290CB"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INTER-AMERICAN COURT OF HUMAN RIGHTS</w:t>
      </w:r>
    </w:p>
    <w:p w14:paraId="3DD9BB93" w14:textId="77777777" w:rsidR="00E12A06" w:rsidRPr="00FE50A6" w:rsidRDefault="00E12A06" w:rsidP="00E12A06">
      <w:pPr>
        <w:tabs>
          <w:tab w:val="clear" w:pos="4419"/>
          <w:tab w:val="clear" w:pos="8838"/>
        </w:tabs>
        <w:ind w:right="-138"/>
        <w:jc w:val="center"/>
        <w:rPr>
          <w:rFonts w:eastAsia="MS Mincho" w:cs="Times New Roman"/>
          <w:b/>
          <w:sz w:val="16"/>
          <w:szCs w:val="20"/>
          <w:lang w:val="en-US"/>
        </w:rPr>
      </w:pPr>
      <w:r w:rsidRPr="00FE50A6">
        <w:rPr>
          <w:rFonts w:eastAsia="MS Mincho" w:cs="Times New Roman"/>
          <w:b/>
          <w:szCs w:val="20"/>
          <w:lang w:val="en-US"/>
        </w:rPr>
        <w:t xml:space="preserve">CASE OF THE HACIENDA BRASIL VERDE WORKERS </w:t>
      </w:r>
      <w:r w:rsidRPr="00FE50A6">
        <w:rPr>
          <w:rFonts w:eastAsia="MS Mincho" w:cs="Times New Roman"/>
          <w:b/>
          <w:i/>
          <w:szCs w:val="20"/>
          <w:lang w:val="en-US"/>
        </w:rPr>
        <w:t>V</w:t>
      </w:r>
      <w:r w:rsidRPr="00FE50A6">
        <w:rPr>
          <w:rFonts w:eastAsia="MS Mincho" w:cs="Times New Roman"/>
          <w:b/>
          <w:szCs w:val="20"/>
          <w:lang w:val="en-US"/>
        </w:rPr>
        <w:t>. BRAZIL</w:t>
      </w:r>
    </w:p>
    <w:p w14:paraId="64FDCBBE" w14:textId="77777777" w:rsidR="00E12A06" w:rsidRPr="00FE50A6" w:rsidRDefault="00E12A06" w:rsidP="00E12A06">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JUDGMENT OF OCTOBER 20, 2016</w:t>
      </w:r>
    </w:p>
    <w:p w14:paraId="777E33F4" w14:textId="77777777" w:rsidR="00E12A06" w:rsidRPr="00FE50A6" w:rsidRDefault="00E12A06" w:rsidP="00E12A06">
      <w:pPr>
        <w:tabs>
          <w:tab w:val="clear" w:pos="4419"/>
          <w:tab w:val="clear" w:pos="8838"/>
        </w:tabs>
        <w:ind w:left="-142" w:right="-138"/>
        <w:jc w:val="center"/>
        <w:rPr>
          <w:rFonts w:eastAsia="MS Mincho" w:cs="Times New Roman"/>
          <w:b/>
          <w:i/>
          <w:szCs w:val="20"/>
          <w:lang w:val="en-US"/>
        </w:rPr>
      </w:pPr>
      <w:r w:rsidRPr="00FE50A6">
        <w:rPr>
          <w:rFonts w:eastAsia="MS Mincho" w:cs="Times New Roman"/>
          <w:b/>
          <w:i/>
          <w:szCs w:val="20"/>
          <w:lang w:val="en-US"/>
        </w:rPr>
        <w:t xml:space="preserve"> (Preliminary objections, merits, reparations and costs)</w:t>
      </w:r>
    </w:p>
    <w:p w14:paraId="3F9C021D" w14:textId="77777777" w:rsidR="00130785" w:rsidRPr="00FE50A6" w:rsidRDefault="00130785" w:rsidP="00130785">
      <w:pPr>
        <w:tabs>
          <w:tab w:val="clear" w:pos="4419"/>
          <w:tab w:val="clear" w:pos="8838"/>
        </w:tabs>
        <w:jc w:val="both"/>
        <w:rPr>
          <w:rFonts w:eastAsia="Calibri" w:cs="Times New Roman"/>
          <w:szCs w:val="20"/>
          <w:lang w:val="en-US"/>
        </w:rPr>
      </w:pPr>
    </w:p>
    <w:p w14:paraId="5F09F0B8" w14:textId="77777777" w:rsidR="00130785" w:rsidRPr="00FE50A6" w:rsidRDefault="00CD003F" w:rsidP="00CD003F">
      <w:pPr>
        <w:numPr>
          <w:ilvl w:val="0"/>
          <w:numId w:val="27"/>
        </w:numPr>
        <w:tabs>
          <w:tab w:val="clear" w:pos="4419"/>
          <w:tab w:val="clear" w:pos="8838"/>
        </w:tabs>
        <w:spacing w:after="200"/>
        <w:ind w:left="0" w:firstLine="0"/>
        <w:contextualSpacing/>
        <w:jc w:val="both"/>
        <w:rPr>
          <w:rFonts w:eastAsia="Calibri" w:cs="Times New Roman"/>
          <w:szCs w:val="20"/>
          <w:lang w:val="en-US"/>
        </w:rPr>
      </w:pPr>
      <w:r w:rsidRPr="00FE50A6">
        <w:rPr>
          <w:rFonts w:eastAsia="Calibri" w:cs="Times New Roman"/>
          <w:szCs w:val="20"/>
          <w:lang w:val="en-US"/>
        </w:rPr>
        <w:t>This concurring opinion on th</w:t>
      </w:r>
      <w:r w:rsidR="00DC7D2D" w:rsidRPr="00FE50A6">
        <w:rPr>
          <w:rFonts w:eastAsia="Calibri" w:cs="Times New Roman"/>
          <w:szCs w:val="20"/>
          <w:lang w:val="en-US"/>
        </w:rPr>
        <w:t>e</w:t>
      </w:r>
      <w:r w:rsidRPr="00FE50A6">
        <w:rPr>
          <w:rFonts w:eastAsia="Calibri" w:cs="Times New Roman"/>
          <w:szCs w:val="20"/>
          <w:lang w:val="en-US"/>
        </w:rPr>
        <w:t xml:space="preserve"> judgment</w:t>
      </w:r>
      <w:r w:rsidR="00DC7D2D" w:rsidRPr="00FE50A6">
        <w:rPr>
          <w:rFonts w:eastAsia="Calibri" w:cs="Times New Roman"/>
          <w:szCs w:val="20"/>
          <w:lang w:val="en-US"/>
        </w:rPr>
        <w:t xml:space="preserve"> in reference</w:t>
      </w:r>
      <w:r w:rsidR="00130785" w:rsidRPr="00FE50A6">
        <w:rPr>
          <w:rFonts w:eastAsia="Calibri" w:cs="Times New Roman"/>
          <w:szCs w:val="20"/>
          <w:vertAlign w:val="superscript"/>
          <w:lang w:val="en-US"/>
        </w:rPr>
        <w:footnoteReference w:id="660"/>
      </w:r>
      <w:r w:rsidRPr="00FE50A6">
        <w:rPr>
          <w:rFonts w:eastAsia="Calibri" w:cs="Times New Roman"/>
          <w:szCs w:val="20"/>
          <w:lang w:val="en-US"/>
        </w:rPr>
        <w:t xml:space="preserve"> is issued in order to reiterate that the </w:t>
      </w:r>
      <w:r w:rsidR="00DC7D2D" w:rsidRPr="00FE50A6">
        <w:rPr>
          <w:rFonts w:eastAsia="Calibri" w:cs="Times New Roman"/>
          <w:szCs w:val="20"/>
          <w:lang w:val="en-US"/>
        </w:rPr>
        <w:t xml:space="preserve">allusion </w:t>
      </w:r>
      <w:r w:rsidRPr="00FE50A6">
        <w:rPr>
          <w:rFonts w:eastAsia="Calibri" w:cs="Times New Roman"/>
          <w:szCs w:val="20"/>
          <w:lang w:val="en-US"/>
        </w:rPr>
        <w:t xml:space="preserve">made in the fourth operative paragraph of the judgment to </w:t>
      </w:r>
      <w:r w:rsidR="009C48A4" w:rsidRPr="00FE50A6">
        <w:rPr>
          <w:rFonts w:eastAsia="Calibri" w:cs="Times New Roman"/>
          <w:szCs w:val="20"/>
          <w:lang w:val="en-US"/>
        </w:rPr>
        <w:t>“</w:t>
      </w:r>
      <w:r w:rsidR="009308B1" w:rsidRPr="00FE50A6">
        <w:rPr>
          <w:rFonts w:eastAsia="Calibri" w:cs="Times New Roman"/>
          <w:szCs w:val="20"/>
          <w:lang w:val="en-US"/>
        </w:rPr>
        <w:t>historical structural</w:t>
      </w:r>
      <w:r w:rsidR="00311174" w:rsidRPr="00FE50A6">
        <w:rPr>
          <w:rFonts w:eastAsia="Calibri" w:cs="Times New Roman"/>
          <w:szCs w:val="20"/>
          <w:lang w:val="en-US"/>
        </w:rPr>
        <w:t xml:space="preserve"> discrimination</w:t>
      </w:r>
      <w:r w:rsidR="009C48A4" w:rsidRPr="00FE50A6">
        <w:rPr>
          <w:rFonts w:eastAsia="Calibri" w:cs="Times New Roman"/>
          <w:szCs w:val="20"/>
          <w:lang w:val="en-US"/>
        </w:rPr>
        <w:t>”</w:t>
      </w:r>
      <w:r w:rsidRPr="00FE50A6">
        <w:rPr>
          <w:rFonts w:eastAsia="Calibri" w:cs="Times New Roman"/>
          <w:szCs w:val="20"/>
          <w:lang w:val="en-US"/>
        </w:rPr>
        <w:t xml:space="preserve"> does not </w:t>
      </w:r>
      <w:r w:rsidR="00F53E02" w:rsidRPr="00FE50A6">
        <w:rPr>
          <w:rFonts w:eastAsia="Calibri" w:cs="Times New Roman"/>
          <w:szCs w:val="20"/>
          <w:lang w:val="en-US"/>
        </w:rPr>
        <w:t xml:space="preserve">signify that the Court is declaring </w:t>
      </w:r>
      <w:r w:rsidR="00700B79" w:rsidRPr="00FE50A6">
        <w:rPr>
          <w:rFonts w:eastAsia="Calibri" w:cs="Times New Roman"/>
          <w:szCs w:val="20"/>
          <w:lang w:val="en-US"/>
        </w:rPr>
        <w:t>the international responsibility</w:t>
      </w:r>
      <w:r w:rsidR="00703850" w:rsidRPr="00FE50A6">
        <w:rPr>
          <w:rFonts w:eastAsia="Calibri" w:cs="Times New Roman"/>
          <w:szCs w:val="20"/>
          <w:lang w:val="en-US"/>
        </w:rPr>
        <w:t xml:space="preserve"> of the </w:t>
      </w:r>
      <w:r w:rsidR="000228D0" w:rsidRPr="00FE50A6">
        <w:rPr>
          <w:rFonts w:eastAsia="Calibri" w:cs="Times New Roman"/>
          <w:szCs w:val="20"/>
          <w:lang w:val="en-US"/>
        </w:rPr>
        <w:t>State</w:t>
      </w:r>
      <w:r w:rsidR="00F53E02" w:rsidRPr="00FE50A6">
        <w:rPr>
          <w:rFonts w:eastAsia="Calibri" w:cs="Times New Roman"/>
          <w:szCs w:val="20"/>
          <w:lang w:val="en-US"/>
        </w:rPr>
        <w:t>, in general,</w:t>
      </w:r>
      <w:r w:rsidR="00130785" w:rsidRPr="00FE50A6">
        <w:rPr>
          <w:rFonts w:eastAsia="Calibri" w:cs="Times New Roman"/>
          <w:szCs w:val="20"/>
          <w:lang w:val="en-US"/>
        </w:rPr>
        <w:t xml:space="preserve"> </w:t>
      </w:r>
      <w:r w:rsidR="00F53E02" w:rsidRPr="00FE50A6">
        <w:rPr>
          <w:rFonts w:eastAsia="Calibri" w:cs="Times New Roman"/>
          <w:szCs w:val="20"/>
          <w:lang w:val="en-US"/>
        </w:rPr>
        <w:t>based on this.</w:t>
      </w:r>
    </w:p>
    <w:p w14:paraId="1B64A90C" w14:textId="77777777" w:rsidR="00130785" w:rsidRPr="00FE50A6" w:rsidRDefault="00130785" w:rsidP="00CD003F">
      <w:pPr>
        <w:tabs>
          <w:tab w:val="clear" w:pos="4419"/>
          <w:tab w:val="clear" w:pos="8838"/>
        </w:tabs>
        <w:contextualSpacing/>
        <w:jc w:val="both"/>
        <w:rPr>
          <w:rFonts w:eastAsia="Calibri" w:cs="Times New Roman"/>
          <w:szCs w:val="20"/>
          <w:lang w:val="en-US"/>
        </w:rPr>
      </w:pPr>
    </w:p>
    <w:p w14:paraId="7FB601E7" w14:textId="77777777" w:rsidR="00130785" w:rsidRPr="00FE50A6" w:rsidRDefault="00F53E02" w:rsidP="00CD003F">
      <w:pPr>
        <w:numPr>
          <w:ilvl w:val="0"/>
          <w:numId w:val="27"/>
        </w:numPr>
        <w:tabs>
          <w:tab w:val="clear" w:pos="4419"/>
          <w:tab w:val="clear" w:pos="8838"/>
        </w:tabs>
        <w:spacing w:after="200"/>
        <w:ind w:left="0" w:firstLine="0"/>
        <w:contextualSpacing/>
        <w:jc w:val="both"/>
        <w:rPr>
          <w:rFonts w:eastAsia="Calibri" w:cs="Times New Roman"/>
          <w:szCs w:val="20"/>
          <w:lang w:val="en-US"/>
        </w:rPr>
      </w:pPr>
      <w:r w:rsidRPr="00FE50A6">
        <w:rPr>
          <w:rFonts w:eastAsia="Calibri" w:cs="Times New Roman"/>
          <w:szCs w:val="20"/>
          <w:lang w:val="en-US"/>
        </w:rPr>
        <w:t>Indeed, since the judgment does not make a ruling of any kind on the</w:t>
      </w:r>
      <w:r w:rsidR="00130785" w:rsidRPr="00FE50A6">
        <w:rPr>
          <w:rFonts w:eastAsia="Calibri" w:cs="Times New Roman"/>
          <w:szCs w:val="20"/>
          <w:lang w:val="en-US"/>
        </w:rPr>
        <w:t xml:space="preserve"> </w:t>
      </w:r>
      <w:r w:rsidR="009C48A4" w:rsidRPr="00FE50A6">
        <w:rPr>
          <w:rFonts w:eastAsia="Calibri" w:cs="Times New Roman"/>
          <w:szCs w:val="20"/>
          <w:lang w:val="en-US"/>
        </w:rPr>
        <w:t>“</w:t>
      </w:r>
      <w:r w:rsidR="009308B1" w:rsidRPr="00FE50A6">
        <w:rPr>
          <w:rFonts w:eastAsia="Calibri" w:cs="Times New Roman"/>
          <w:szCs w:val="20"/>
          <w:lang w:val="en-US"/>
        </w:rPr>
        <w:t>historical structural</w:t>
      </w:r>
      <w:r w:rsidR="00311174" w:rsidRPr="00FE50A6">
        <w:rPr>
          <w:rFonts w:eastAsia="Calibri" w:cs="Times New Roman"/>
          <w:szCs w:val="20"/>
          <w:lang w:val="en-US"/>
        </w:rPr>
        <w:t xml:space="preserve"> discrimination</w:t>
      </w:r>
      <w:r w:rsidR="009C48A4" w:rsidRPr="00FE50A6">
        <w:rPr>
          <w:rFonts w:eastAsia="Calibri" w:cs="Times New Roman"/>
          <w:szCs w:val="20"/>
          <w:lang w:val="en-US"/>
        </w:rPr>
        <w:t>”</w:t>
      </w:r>
      <w:r w:rsidR="00130785" w:rsidRPr="00FE50A6">
        <w:rPr>
          <w:rFonts w:eastAsia="Calibri" w:cs="Times New Roman"/>
          <w:szCs w:val="20"/>
          <w:lang w:val="en-US"/>
        </w:rPr>
        <w:t xml:space="preserve"> </w:t>
      </w:r>
      <w:r w:rsidRPr="00FE50A6">
        <w:rPr>
          <w:rFonts w:eastAsia="Calibri" w:cs="Times New Roman"/>
          <w:szCs w:val="20"/>
          <w:lang w:val="en-US"/>
        </w:rPr>
        <w:t>i</w:t>
      </w:r>
      <w:r w:rsidR="00130785" w:rsidRPr="00FE50A6">
        <w:rPr>
          <w:rFonts w:eastAsia="Calibri" w:cs="Times New Roman"/>
          <w:szCs w:val="20"/>
          <w:lang w:val="en-US"/>
        </w:rPr>
        <w:t xml:space="preserve">n </w:t>
      </w:r>
      <w:r w:rsidR="000228D0" w:rsidRPr="00FE50A6">
        <w:rPr>
          <w:rFonts w:eastAsia="Calibri" w:cs="Times New Roman"/>
          <w:szCs w:val="20"/>
          <w:lang w:val="en-US"/>
        </w:rPr>
        <w:t>the State</w:t>
      </w:r>
      <w:r w:rsidR="00030C17" w:rsidRPr="00FE50A6">
        <w:rPr>
          <w:rFonts w:eastAsia="Calibri" w:cs="Times New Roman"/>
          <w:szCs w:val="20"/>
          <w:lang w:val="en-US"/>
        </w:rPr>
        <w:t xml:space="preserve"> and </w:t>
      </w:r>
      <w:r w:rsidRPr="00FE50A6">
        <w:rPr>
          <w:rFonts w:eastAsia="Calibri" w:cs="Times New Roman"/>
          <w:szCs w:val="20"/>
          <w:lang w:val="en-US"/>
        </w:rPr>
        <w:t xml:space="preserve">since, nevertheless, it notes that in </w:t>
      </w:r>
      <w:r w:rsidR="009C48A4" w:rsidRPr="00FE50A6">
        <w:rPr>
          <w:rFonts w:eastAsia="Calibri" w:cs="Times New Roman"/>
          <w:szCs w:val="20"/>
          <w:lang w:val="en-US"/>
        </w:rPr>
        <w:t>“</w:t>
      </w:r>
      <w:r w:rsidR="00130785" w:rsidRPr="00FE50A6">
        <w:rPr>
          <w:rFonts w:eastAsia="Calibri" w:cs="Times New Roman"/>
          <w:szCs w:val="20"/>
          <w:lang w:val="en-US"/>
        </w:rPr>
        <w:t xml:space="preserve">1995 […] </w:t>
      </w:r>
      <w:r w:rsidR="00D03535" w:rsidRPr="00FE50A6">
        <w:rPr>
          <w:rFonts w:eastAsia="Calibri" w:cs="Times New Roman"/>
          <w:szCs w:val="20"/>
          <w:lang w:val="en-US"/>
        </w:rPr>
        <w:t>the Government of Brazil expressly acknowledged the existence of</w:t>
      </w:r>
      <w:r w:rsidR="00130785" w:rsidRPr="00FE50A6">
        <w:rPr>
          <w:rFonts w:eastAsia="Calibri" w:cs="Times New Roman"/>
          <w:szCs w:val="20"/>
          <w:lang w:val="en-US"/>
        </w:rPr>
        <w:t xml:space="preserve"> ‘</w:t>
      </w:r>
      <w:r w:rsidR="005F1946" w:rsidRPr="00FE50A6">
        <w:rPr>
          <w:rFonts w:eastAsia="Calibri" w:cs="Times New Roman"/>
          <w:szCs w:val="20"/>
          <w:lang w:val="en-US"/>
        </w:rPr>
        <w:t>slave labor</w:t>
      </w:r>
      <w:r w:rsidR="00130785" w:rsidRPr="00FE50A6">
        <w:rPr>
          <w:rFonts w:eastAsia="Calibri" w:cs="Times New Roman"/>
          <w:szCs w:val="20"/>
          <w:lang w:val="en-US"/>
        </w:rPr>
        <w:t xml:space="preserve">’ </w:t>
      </w:r>
      <w:r w:rsidR="00D03535" w:rsidRPr="00FE50A6">
        <w:rPr>
          <w:rFonts w:eastAsia="Calibri" w:cs="Times New Roman"/>
          <w:szCs w:val="20"/>
          <w:lang w:val="en-US"/>
        </w:rPr>
        <w:t>in the country,</w:t>
      </w:r>
      <w:r w:rsidR="009C48A4" w:rsidRPr="00FE50A6">
        <w:rPr>
          <w:rFonts w:eastAsia="Calibri" w:cs="Times New Roman"/>
          <w:szCs w:val="20"/>
          <w:lang w:val="en-US"/>
        </w:rPr>
        <w:t>”</w:t>
      </w:r>
      <w:r w:rsidR="00130785" w:rsidRPr="00FE50A6">
        <w:rPr>
          <w:rFonts w:eastAsia="Calibri" w:cs="Times New Roman"/>
          <w:szCs w:val="20"/>
          <w:vertAlign w:val="superscript"/>
          <w:lang w:val="en-US"/>
        </w:rPr>
        <w:footnoteReference w:id="661"/>
      </w:r>
      <w:r w:rsidR="00130785" w:rsidRPr="00FE50A6">
        <w:rPr>
          <w:rFonts w:eastAsia="Calibri" w:cs="Times New Roman"/>
          <w:szCs w:val="20"/>
          <w:lang w:val="en-US"/>
        </w:rPr>
        <w:t xml:space="preserve"> </w:t>
      </w:r>
      <w:r w:rsidRPr="00FE50A6">
        <w:rPr>
          <w:rFonts w:eastAsia="Calibri" w:cs="Times New Roman"/>
          <w:szCs w:val="20"/>
          <w:lang w:val="en-US"/>
        </w:rPr>
        <w:t>and subsequently adopted measures in this regard,</w:t>
      </w:r>
      <w:r w:rsidR="00130785" w:rsidRPr="00FE50A6">
        <w:rPr>
          <w:rFonts w:eastAsia="Calibri" w:cs="Times New Roman"/>
          <w:szCs w:val="20"/>
          <w:vertAlign w:val="superscript"/>
          <w:lang w:val="en-US"/>
        </w:rPr>
        <w:footnoteReference w:id="662"/>
      </w:r>
      <w:r w:rsidR="00030C17" w:rsidRPr="00FE50A6">
        <w:rPr>
          <w:rFonts w:eastAsia="Calibri" w:cs="Times New Roman"/>
          <w:szCs w:val="20"/>
          <w:lang w:val="en-US"/>
        </w:rPr>
        <w:t xml:space="preserve"> and </w:t>
      </w:r>
      <w:r w:rsidRPr="00FE50A6">
        <w:rPr>
          <w:rFonts w:eastAsia="Calibri" w:cs="Times New Roman"/>
          <w:szCs w:val="20"/>
          <w:lang w:val="en-US"/>
        </w:rPr>
        <w:t xml:space="preserve">bearing in mind that </w:t>
      </w:r>
      <w:r w:rsidR="009C48A4" w:rsidRPr="00FE50A6">
        <w:rPr>
          <w:rFonts w:eastAsia="Calibri" w:cs="Times New Roman"/>
          <w:szCs w:val="20"/>
          <w:lang w:val="en-US"/>
        </w:rPr>
        <w:t>“</w:t>
      </w:r>
      <w:r w:rsidR="00130785" w:rsidRPr="00FE50A6">
        <w:rPr>
          <w:rFonts w:eastAsia="Calibri" w:cs="Times New Roman"/>
          <w:szCs w:val="20"/>
          <w:lang w:val="en-US"/>
        </w:rPr>
        <w:t>[</w:t>
      </w:r>
      <w:r w:rsidR="00D03535" w:rsidRPr="00FE50A6">
        <w:rPr>
          <w:rFonts w:eastAsia="Calibri" w:cs="Times New Roman"/>
          <w:szCs w:val="20"/>
          <w:lang w:val="en-US"/>
        </w:rPr>
        <w:t>t]</w:t>
      </w:r>
      <w:r w:rsidR="00D03535" w:rsidRPr="00FE50A6">
        <w:rPr>
          <w:szCs w:val="20"/>
          <w:lang w:val="en-US"/>
        </w:rPr>
        <w:t>he Court finds that the State incurs international responsibility when, faced with the existence of structural discrimination, it fails to adopt specific measures with regard to the particular situation of victimization that reveals the vulnerability of a universe of individualized persons,</w:t>
      </w:r>
      <w:r w:rsidR="009C48A4" w:rsidRPr="00FE50A6">
        <w:rPr>
          <w:rFonts w:eastAsia="Calibri" w:cs="Times New Roman"/>
          <w:szCs w:val="20"/>
          <w:lang w:val="en-US"/>
        </w:rPr>
        <w:t>”</w:t>
      </w:r>
      <w:r w:rsidR="00130785" w:rsidRPr="00FE50A6">
        <w:rPr>
          <w:rFonts w:eastAsia="Calibri" w:cs="Times New Roman"/>
          <w:szCs w:val="20"/>
          <w:vertAlign w:val="superscript"/>
          <w:lang w:val="en-US"/>
        </w:rPr>
        <w:footnoteReference w:id="663"/>
      </w:r>
      <w:r w:rsidR="00130785" w:rsidRPr="00FE50A6">
        <w:rPr>
          <w:rFonts w:eastAsia="Calibri" w:cs="Times New Roman"/>
          <w:szCs w:val="20"/>
          <w:lang w:val="en-US"/>
        </w:rPr>
        <w:t xml:space="preserve"> </w:t>
      </w:r>
      <w:r w:rsidRPr="00FE50A6">
        <w:rPr>
          <w:rFonts w:eastAsia="Calibri" w:cs="Times New Roman"/>
          <w:szCs w:val="20"/>
          <w:lang w:val="en-US"/>
        </w:rPr>
        <w:t>it is logical to conclude, as the Court does in the judgment, that</w:t>
      </w:r>
      <w:r w:rsidR="00130785" w:rsidRPr="00FE50A6">
        <w:rPr>
          <w:rFonts w:eastAsia="Calibri" w:cs="Times New Roman"/>
          <w:szCs w:val="20"/>
          <w:lang w:val="en-US"/>
        </w:rPr>
        <w:t xml:space="preserve"> </w:t>
      </w:r>
      <w:r w:rsidR="009C48A4" w:rsidRPr="00FE50A6">
        <w:rPr>
          <w:rFonts w:eastAsia="Calibri" w:cs="Times New Roman"/>
          <w:szCs w:val="20"/>
          <w:lang w:val="en-US"/>
        </w:rPr>
        <w:t>“</w:t>
      </w:r>
      <w:r w:rsidR="00D03535" w:rsidRPr="00FE50A6">
        <w:rPr>
          <w:lang w:val="en-US"/>
        </w:rPr>
        <w:t>Brazil has not proved that it had taken, with regard to this case and at the time of the facts, the specific measures – in accordance with the circumstances of which it was aware of workers in a situation of slavery and of specific complaints against Hacienda Brasil Verde – to prevent the occurrence of the violation of Article 6(1) verified in this case.</w:t>
      </w:r>
      <w:r w:rsidR="009C48A4" w:rsidRPr="00FE50A6">
        <w:rPr>
          <w:rFonts w:eastAsia="Calibri" w:cs="Times New Roman"/>
          <w:szCs w:val="20"/>
          <w:lang w:val="en-US"/>
        </w:rPr>
        <w:t>”</w:t>
      </w:r>
      <w:r w:rsidR="00130785" w:rsidRPr="00FE50A6">
        <w:rPr>
          <w:rFonts w:eastAsia="Calibri" w:cs="Times New Roman"/>
          <w:szCs w:val="20"/>
          <w:vertAlign w:val="superscript"/>
          <w:lang w:val="en-US"/>
        </w:rPr>
        <w:footnoteReference w:id="664"/>
      </w:r>
      <w:r w:rsidR="00130785" w:rsidRPr="00FE50A6">
        <w:rPr>
          <w:rFonts w:eastAsia="Calibri" w:cs="Times New Roman"/>
          <w:szCs w:val="20"/>
          <w:lang w:val="en-US"/>
        </w:rPr>
        <w:t xml:space="preserve">  </w:t>
      </w:r>
    </w:p>
    <w:p w14:paraId="0474053D" w14:textId="77777777" w:rsidR="00130785" w:rsidRPr="00FE50A6" w:rsidRDefault="00130785" w:rsidP="00CD003F">
      <w:pPr>
        <w:tabs>
          <w:tab w:val="clear" w:pos="4419"/>
          <w:tab w:val="clear" w:pos="8838"/>
        </w:tabs>
        <w:spacing w:after="200"/>
        <w:contextualSpacing/>
        <w:rPr>
          <w:rFonts w:eastAsia="Calibri" w:cs="Times New Roman"/>
          <w:szCs w:val="20"/>
          <w:lang w:val="en-US"/>
        </w:rPr>
      </w:pPr>
    </w:p>
    <w:p w14:paraId="71F9B49F" w14:textId="77777777" w:rsidR="00130785" w:rsidRPr="00FE50A6" w:rsidRDefault="00F53E02" w:rsidP="00CD003F">
      <w:pPr>
        <w:numPr>
          <w:ilvl w:val="0"/>
          <w:numId w:val="27"/>
        </w:numPr>
        <w:tabs>
          <w:tab w:val="clear" w:pos="4419"/>
          <w:tab w:val="clear" w:pos="8838"/>
        </w:tabs>
        <w:spacing w:after="200"/>
        <w:ind w:left="0" w:firstLine="0"/>
        <w:contextualSpacing/>
        <w:jc w:val="both"/>
        <w:rPr>
          <w:rFonts w:eastAsia="Calibri" w:cs="Times New Roman"/>
          <w:szCs w:val="20"/>
          <w:lang w:val="en-US"/>
        </w:rPr>
      </w:pPr>
      <w:r w:rsidRPr="00FE50A6">
        <w:rPr>
          <w:rFonts w:eastAsia="Calibri" w:cs="Times New Roman"/>
          <w:szCs w:val="20"/>
          <w:lang w:val="en-US"/>
        </w:rPr>
        <w:t>Furthermore, it i</w:t>
      </w:r>
      <w:r w:rsidR="00E23533" w:rsidRPr="00FE50A6">
        <w:rPr>
          <w:rFonts w:eastAsia="Calibri" w:cs="Times New Roman"/>
          <w:szCs w:val="20"/>
          <w:lang w:val="en-US"/>
        </w:rPr>
        <w:t>s</w:t>
      </w:r>
      <w:r w:rsidRPr="00FE50A6">
        <w:rPr>
          <w:rFonts w:eastAsia="Calibri" w:cs="Times New Roman"/>
          <w:szCs w:val="20"/>
          <w:lang w:val="en-US"/>
        </w:rPr>
        <w:t xml:space="preserve"> worth emphasizing that the judgment indicates that the “economic status” of the individual is one of the </w:t>
      </w:r>
      <w:r w:rsidR="00E23533" w:rsidRPr="00FE50A6">
        <w:rPr>
          <w:rFonts w:eastAsia="Calibri" w:cs="Times New Roman"/>
          <w:szCs w:val="20"/>
          <w:lang w:val="en-US"/>
        </w:rPr>
        <w:t>grounds</w:t>
      </w:r>
      <w:r w:rsidRPr="00FE50A6">
        <w:rPr>
          <w:rFonts w:eastAsia="Calibri" w:cs="Times New Roman"/>
          <w:szCs w:val="20"/>
          <w:lang w:val="en-US"/>
        </w:rPr>
        <w:t xml:space="preserve"> for </w:t>
      </w:r>
      <w:r w:rsidR="003707E5" w:rsidRPr="00FE50A6">
        <w:rPr>
          <w:rFonts w:eastAsia="Calibri" w:cs="Times New Roman"/>
          <w:szCs w:val="20"/>
          <w:lang w:val="en-US"/>
        </w:rPr>
        <w:t>discrimination</w:t>
      </w:r>
      <w:r w:rsidR="00130785" w:rsidRPr="00FE50A6">
        <w:rPr>
          <w:rFonts w:eastAsia="Calibri" w:cs="Times New Roman"/>
          <w:szCs w:val="20"/>
          <w:lang w:val="en-US"/>
        </w:rPr>
        <w:t xml:space="preserve"> prohibi</w:t>
      </w:r>
      <w:r w:rsidRPr="00FE50A6">
        <w:rPr>
          <w:rFonts w:eastAsia="Calibri" w:cs="Times New Roman"/>
          <w:szCs w:val="20"/>
          <w:lang w:val="en-US"/>
        </w:rPr>
        <w:t xml:space="preserve">ted by </w:t>
      </w:r>
      <w:r w:rsidR="000B587F" w:rsidRPr="00FE50A6">
        <w:rPr>
          <w:rFonts w:eastAsia="Calibri" w:cs="Times New Roman"/>
          <w:szCs w:val="20"/>
          <w:lang w:val="en-US"/>
        </w:rPr>
        <w:t>Article 1(1)</w:t>
      </w:r>
      <w:r w:rsidR="000228D0" w:rsidRPr="00FE50A6">
        <w:rPr>
          <w:rFonts w:eastAsia="Calibri" w:cs="Times New Roman"/>
          <w:szCs w:val="20"/>
          <w:lang w:val="en-US"/>
        </w:rPr>
        <w:t xml:space="preserve"> of the American Convention</w:t>
      </w:r>
      <w:r w:rsidR="009C48A4" w:rsidRPr="00FE50A6">
        <w:rPr>
          <w:rFonts w:eastAsia="Calibri" w:cs="Times New Roman"/>
          <w:szCs w:val="20"/>
          <w:lang w:val="en-US"/>
        </w:rPr>
        <w:t>”</w:t>
      </w:r>
      <w:r w:rsidRPr="00FE50A6">
        <w:rPr>
          <w:rFonts w:eastAsia="Calibri" w:cs="Times New Roman"/>
          <w:szCs w:val="20"/>
          <w:lang w:val="en-US"/>
        </w:rPr>
        <w:t>;</w:t>
      </w:r>
      <w:r w:rsidR="00130785" w:rsidRPr="00FE50A6">
        <w:rPr>
          <w:rFonts w:eastAsia="Calibri" w:cs="Times New Roman"/>
          <w:szCs w:val="20"/>
          <w:vertAlign w:val="superscript"/>
          <w:lang w:val="en-US"/>
        </w:rPr>
        <w:footnoteReference w:id="665"/>
      </w:r>
      <w:r w:rsidR="00130785" w:rsidRPr="00FE50A6">
        <w:rPr>
          <w:rFonts w:eastAsia="Calibri" w:cs="Times New Roman"/>
          <w:szCs w:val="20"/>
          <w:lang w:val="en-US"/>
        </w:rPr>
        <w:t xml:space="preserve"> </w:t>
      </w:r>
      <w:r w:rsidRPr="00FE50A6">
        <w:rPr>
          <w:rFonts w:eastAsia="Calibri" w:cs="Times New Roman"/>
          <w:szCs w:val="20"/>
          <w:lang w:val="en-US"/>
        </w:rPr>
        <w:t>that</w:t>
      </w:r>
      <w:r w:rsidR="00130785" w:rsidRPr="00FE50A6">
        <w:rPr>
          <w:rFonts w:eastAsia="Calibri" w:cs="Times New Roman"/>
          <w:szCs w:val="20"/>
          <w:lang w:val="en-US"/>
        </w:rPr>
        <w:t xml:space="preserve"> </w:t>
      </w:r>
      <w:r w:rsidR="00D03535" w:rsidRPr="00FE50A6">
        <w:rPr>
          <w:rFonts w:eastAsia="Calibri" w:cs="Times New Roman"/>
          <w:szCs w:val="20"/>
          <w:lang w:val="en-US"/>
        </w:rPr>
        <w:t>“</w:t>
      </w:r>
      <w:r w:rsidR="00D03535" w:rsidRPr="00FE50A6">
        <w:rPr>
          <w:lang w:val="en-US"/>
        </w:rPr>
        <w:t>[t]he evidence provided to the case file reveals the existence of a situation that characterized discriminatory treatment based on the economic status of the victims rescued on March 15, 2000</w:t>
      </w:r>
      <w:r w:rsidR="009C48A4" w:rsidRPr="00FE50A6">
        <w:rPr>
          <w:rFonts w:eastAsia="Calibri" w:cs="Times New Roman"/>
          <w:szCs w:val="20"/>
          <w:lang w:val="en-US"/>
        </w:rPr>
        <w:t>”</w:t>
      </w:r>
      <w:r w:rsidR="00130785" w:rsidRPr="00FE50A6">
        <w:rPr>
          <w:rFonts w:eastAsia="Calibri" w:cs="Times New Roman"/>
          <w:szCs w:val="20"/>
          <w:vertAlign w:val="superscript"/>
          <w:lang w:val="en-US"/>
        </w:rPr>
        <w:footnoteReference w:id="666"/>
      </w:r>
      <w:r w:rsidR="00130785" w:rsidRPr="00FE50A6">
        <w:rPr>
          <w:rFonts w:eastAsia="Calibri" w:cs="Times New Roman"/>
          <w:szCs w:val="20"/>
          <w:lang w:val="en-US"/>
        </w:rPr>
        <w:t>,</w:t>
      </w:r>
      <w:r w:rsidR="00030C17" w:rsidRPr="00FE50A6">
        <w:rPr>
          <w:rFonts w:eastAsia="Calibri" w:cs="Times New Roman"/>
          <w:szCs w:val="20"/>
          <w:lang w:val="en-US"/>
        </w:rPr>
        <w:t xml:space="preserve"> and </w:t>
      </w:r>
      <w:r w:rsidRPr="00FE50A6">
        <w:rPr>
          <w:rFonts w:eastAsia="Calibri" w:cs="Times New Roman"/>
          <w:szCs w:val="20"/>
          <w:lang w:val="en-US"/>
        </w:rPr>
        <w:t>that</w:t>
      </w:r>
      <w:r w:rsidR="00130785" w:rsidRPr="00FE50A6">
        <w:rPr>
          <w:rFonts w:eastAsia="Calibri" w:cs="Times New Roman"/>
          <w:szCs w:val="20"/>
          <w:lang w:val="en-US"/>
        </w:rPr>
        <w:t xml:space="preserve"> </w:t>
      </w:r>
      <w:r w:rsidR="009C48A4" w:rsidRPr="00FE50A6">
        <w:rPr>
          <w:rFonts w:eastAsia="Calibri" w:cs="Times New Roman"/>
          <w:szCs w:val="20"/>
          <w:lang w:val="en-US"/>
        </w:rPr>
        <w:t>“</w:t>
      </w:r>
      <w:r w:rsidR="00D03535" w:rsidRPr="00FE50A6">
        <w:rPr>
          <w:rFonts w:eastAsia="Calibri" w:cs="Times New Roman"/>
          <w:szCs w:val="20"/>
          <w:lang w:val="en-US"/>
        </w:rPr>
        <w:t>[p]</w:t>
      </w:r>
      <w:r w:rsidR="00D03535" w:rsidRPr="00FE50A6">
        <w:rPr>
          <w:lang w:val="en-US"/>
        </w:rPr>
        <w:t>overty, therefore, is the main factor behind modern-day slavery in Brazil, since it increases the vulnerability of a significant portion of the population, making them easy prey for enticers of slave labor</w:t>
      </w:r>
      <w:r w:rsidRPr="00FE50A6">
        <w:rPr>
          <w:rFonts w:eastAsia="Calibri" w:cs="Times New Roman"/>
          <w:szCs w:val="20"/>
          <w:lang w:val="en-US"/>
        </w:rPr>
        <w:t>.</w:t>
      </w:r>
      <w:r w:rsidR="009C48A4" w:rsidRPr="00FE50A6">
        <w:rPr>
          <w:rFonts w:eastAsia="Calibri" w:cs="Times New Roman"/>
          <w:szCs w:val="20"/>
          <w:lang w:val="en-US"/>
        </w:rPr>
        <w:t>”</w:t>
      </w:r>
      <w:r w:rsidR="00130785" w:rsidRPr="00FE50A6">
        <w:rPr>
          <w:rFonts w:eastAsia="Calibri" w:cs="Times New Roman"/>
          <w:szCs w:val="20"/>
          <w:vertAlign w:val="superscript"/>
          <w:lang w:val="en-US"/>
        </w:rPr>
        <w:footnoteReference w:id="667"/>
      </w:r>
      <w:r w:rsidRPr="00FE50A6">
        <w:rPr>
          <w:rFonts w:eastAsia="Calibri" w:cs="Times New Roman"/>
          <w:szCs w:val="20"/>
          <w:lang w:val="en-US"/>
        </w:rPr>
        <w:t xml:space="preserve"> Thus, it could be affirmed that the </w:t>
      </w:r>
      <w:r w:rsidR="003707E5" w:rsidRPr="00FE50A6">
        <w:rPr>
          <w:rFonts w:eastAsia="Calibri" w:cs="Times New Roman"/>
          <w:szCs w:val="20"/>
          <w:lang w:val="en-US"/>
        </w:rPr>
        <w:t>discrimination</w:t>
      </w:r>
      <w:r w:rsidR="00130785" w:rsidRPr="00FE50A6">
        <w:rPr>
          <w:rFonts w:eastAsia="Calibri" w:cs="Times New Roman"/>
          <w:szCs w:val="20"/>
          <w:lang w:val="en-US"/>
        </w:rPr>
        <w:t xml:space="preserve"> </w:t>
      </w:r>
      <w:r w:rsidRPr="00FE50A6">
        <w:rPr>
          <w:rFonts w:eastAsia="Calibri" w:cs="Times New Roman"/>
          <w:szCs w:val="20"/>
          <w:lang w:val="en-US"/>
        </w:rPr>
        <w:t>taken into consider</w:t>
      </w:r>
      <w:r w:rsidR="00D03535" w:rsidRPr="00FE50A6">
        <w:rPr>
          <w:rFonts w:eastAsia="Calibri" w:cs="Times New Roman"/>
          <w:szCs w:val="20"/>
          <w:lang w:val="en-US"/>
        </w:rPr>
        <w:t>a</w:t>
      </w:r>
      <w:r w:rsidRPr="00FE50A6">
        <w:rPr>
          <w:rFonts w:eastAsia="Calibri" w:cs="Times New Roman"/>
          <w:szCs w:val="20"/>
          <w:lang w:val="en-US"/>
        </w:rPr>
        <w:t>tion in the judgment has a greater connection to the economic status or the poverty of the victims that to the</w:t>
      </w:r>
      <w:r w:rsidR="00E23533" w:rsidRPr="00FE50A6">
        <w:rPr>
          <w:rFonts w:eastAsia="Calibri" w:cs="Times New Roman"/>
          <w:szCs w:val="20"/>
          <w:lang w:val="en-US"/>
        </w:rPr>
        <w:t>ir</w:t>
      </w:r>
      <w:r w:rsidRPr="00FE50A6">
        <w:rPr>
          <w:rFonts w:eastAsia="Calibri" w:cs="Times New Roman"/>
          <w:szCs w:val="20"/>
          <w:lang w:val="en-US"/>
        </w:rPr>
        <w:t xml:space="preserve"> exploitation </w:t>
      </w:r>
      <w:r w:rsidR="00E23533" w:rsidRPr="00FE50A6">
        <w:rPr>
          <w:rFonts w:eastAsia="Calibri" w:cs="Times New Roman"/>
          <w:szCs w:val="20"/>
          <w:lang w:val="en-US"/>
        </w:rPr>
        <w:t>as</w:t>
      </w:r>
      <w:r w:rsidRPr="00FE50A6">
        <w:rPr>
          <w:rFonts w:eastAsia="Calibri" w:cs="Times New Roman"/>
          <w:szCs w:val="20"/>
          <w:lang w:val="en-US"/>
        </w:rPr>
        <w:t xml:space="preserve"> slave labor, which would be one of the consequences of their economic status or situation of poverty.</w:t>
      </w:r>
      <w:r w:rsidR="00130785" w:rsidRPr="00FE50A6">
        <w:rPr>
          <w:rFonts w:eastAsia="Calibri" w:cs="Times New Roman"/>
          <w:szCs w:val="20"/>
          <w:vertAlign w:val="superscript"/>
          <w:lang w:val="en-US"/>
        </w:rPr>
        <w:footnoteReference w:id="668"/>
      </w:r>
    </w:p>
    <w:p w14:paraId="13933233" w14:textId="77777777" w:rsidR="00130785" w:rsidRPr="00FE50A6" w:rsidRDefault="00130785" w:rsidP="00CD003F">
      <w:pPr>
        <w:tabs>
          <w:tab w:val="clear" w:pos="4419"/>
          <w:tab w:val="clear" w:pos="8838"/>
        </w:tabs>
        <w:spacing w:after="200"/>
        <w:contextualSpacing/>
        <w:rPr>
          <w:rFonts w:eastAsia="Calibri" w:cs="Times New Roman"/>
          <w:szCs w:val="20"/>
          <w:lang w:val="en-US"/>
        </w:rPr>
      </w:pPr>
    </w:p>
    <w:p w14:paraId="10F97A83" w14:textId="77777777" w:rsidR="00130785" w:rsidRPr="00FE50A6" w:rsidRDefault="00F53E02" w:rsidP="002304DD">
      <w:pPr>
        <w:numPr>
          <w:ilvl w:val="0"/>
          <w:numId w:val="27"/>
        </w:numPr>
        <w:tabs>
          <w:tab w:val="clear" w:pos="4419"/>
          <w:tab w:val="clear" w:pos="8838"/>
        </w:tabs>
        <w:spacing w:after="200"/>
        <w:ind w:left="0" w:firstLine="0"/>
        <w:contextualSpacing/>
        <w:jc w:val="both"/>
        <w:rPr>
          <w:rFonts w:eastAsia="Calibri" w:cs="Times New Roman"/>
          <w:szCs w:val="20"/>
          <w:lang w:val="en-US"/>
        </w:rPr>
      </w:pPr>
      <w:r w:rsidRPr="00FE50A6">
        <w:rPr>
          <w:rFonts w:eastAsia="Calibri" w:cs="Times New Roman"/>
          <w:szCs w:val="20"/>
          <w:lang w:val="en-US"/>
        </w:rPr>
        <w:t>It is worth stating</w:t>
      </w:r>
      <w:r w:rsidR="00E23533" w:rsidRPr="00FE50A6">
        <w:rPr>
          <w:rFonts w:eastAsia="Calibri" w:cs="Times New Roman"/>
          <w:szCs w:val="20"/>
          <w:lang w:val="en-US"/>
        </w:rPr>
        <w:t xml:space="preserve"> that</w:t>
      </w:r>
      <w:r w:rsidRPr="00FE50A6">
        <w:rPr>
          <w:rFonts w:eastAsia="Calibri" w:cs="Times New Roman"/>
          <w:szCs w:val="20"/>
          <w:lang w:val="en-US"/>
        </w:rPr>
        <w:t xml:space="preserve">, </w:t>
      </w:r>
      <w:r w:rsidR="00E23533" w:rsidRPr="00FE50A6">
        <w:rPr>
          <w:rFonts w:eastAsia="Calibri" w:cs="Times New Roman"/>
          <w:szCs w:val="20"/>
          <w:lang w:val="en-US"/>
        </w:rPr>
        <w:t>since</w:t>
      </w:r>
      <w:r w:rsidR="002304DD" w:rsidRPr="00FE50A6">
        <w:rPr>
          <w:rFonts w:eastAsia="Calibri" w:cs="Times New Roman"/>
          <w:szCs w:val="20"/>
          <w:lang w:val="en-US"/>
        </w:rPr>
        <w:t xml:space="preserve"> </w:t>
      </w:r>
      <w:r w:rsidR="00E23533" w:rsidRPr="00FE50A6">
        <w:rPr>
          <w:rFonts w:eastAsia="Calibri" w:cs="Times New Roman"/>
          <w:szCs w:val="20"/>
          <w:lang w:val="en-US"/>
        </w:rPr>
        <w:t xml:space="preserve">it </w:t>
      </w:r>
      <w:r w:rsidR="002304DD" w:rsidRPr="00FE50A6">
        <w:rPr>
          <w:rFonts w:eastAsia="Calibri" w:cs="Times New Roman"/>
          <w:szCs w:val="20"/>
          <w:lang w:val="en-US"/>
        </w:rPr>
        <w:t>has only been incumbent on</w:t>
      </w:r>
      <w:r w:rsidRPr="00FE50A6">
        <w:rPr>
          <w:rFonts w:eastAsia="Calibri" w:cs="Times New Roman"/>
          <w:szCs w:val="20"/>
          <w:lang w:val="en-US"/>
        </w:rPr>
        <w:t xml:space="preserve"> the Court to rule</w:t>
      </w:r>
      <w:r w:rsidR="002304DD" w:rsidRPr="00FE50A6">
        <w:rPr>
          <w:rFonts w:eastAsia="Calibri" w:cs="Times New Roman"/>
          <w:szCs w:val="20"/>
          <w:lang w:val="en-US"/>
        </w:rPr>
        <w:t>, based on the information in the case file, on the specific case that has been submitted to its consideration, the international responsibility of the State, declared in the fourth operative paragraph of the judgment, relates only to the special situation of the said workers and not to the</w:t>
      </w:r>
      <w:r w:rsidR="00130785" w:rsidRPr="00FE50A6">
        <w:rPr>
          <w:rFonts w:eastAsia="Calibri" w:cs="Times New Roman"/>
          <w:szCs w:val="20"/>
          <w:lang w:val="en-US"/>
        </w:rPr>
        <w:t xml:space="preserve"> </w:t>
      </w:r>
      <w:r w:rsidR="009C48A4" w:rsidRPr="00FE50A6">
        <w:rPr>
          <w:rFonts w:eastAsia="Calibri" w:cs="Times New Roman"/>
          <w:szCs w:val="20"/>
          <w:lang w:val="en-US"/>
        </w:rPr>
        <w:t>“</w:t>
      </w:r>
      <w:r w:rsidR="009308B1" w:rsidRPr="00FE50A6">
        <w:rPr>
          <w:rFonts w:eastAsia="Calibri" w:cs="Times New Roman"/>
          <w:szCs w:val="20"/>
          <w:lang w:val="en-US"/>
        </w:rPr>
        <w:t>historical structural</w:t>
      </w:r>
      <w:r w:rsidR="00311174" w:rsidRPr="00FE50A6">
        <w:rPr>
          <w:rFonts w:eastAsia="Calibri" w:cs="Times New Roman"/>
          <w:szCs w:val="20"/>
          <w:lang w:val="en-US"/>
        </w:rPr>
        <w:t xml:space="preserve"> discrimination</w:t>
      </w:r>
      <w:r w:rsidR="009C48A4" w:rsidRPr="00FE50A6">
        <w:rPr>
          <w:rFonts w:eastAsia="Calibri" w:cs="Times New Roman"/>
          <w:szCs w:val="20"/>
          <w:lang w:val="en-US"/>
        </w:rPr>
        <w:t>”</w:t>
      </w:r>
      <w:r w:rsidR="00130785" w:rsidRPr="00FE50A6">
        <w:rPr>
          <w:rFonts w:eastAsia="Calibri" w:cs="Times New Roman"/>
          <w:szCs w:val="20"/>
          <w:lang w:val="en-US"/>
        </w:rPr>
        <w:t xml:space="preserve"> </w:t>
      </w:r>
      <w:r w:rsidR="002304DD" w:rsidRPr="00FE50A6">
        <w:rPr>
          <w:rFonts w:eastAsia="Calibri" w:cs="Times New Roman"/>
          <w:szCs w:val="20"/>
          <w:lang w:val="en-US"/>
        </w:rPr>
        <w:t>that existed at the time of the facts of the case</w:t>
      </w:r>
      <w:r w:rsidR="00E23533" w:rsidRPr="00FE50A6">
        <w:rPr>
          <w:rFonts w:eastAsia="Calibri" w:cs="Times New Roman"/>
          <w:szCs w:val="20"/>
          <w:lang w:val="en-US"/>
        </w:rPr>
        <w:t>.</w:t>
      </w:r>
      <w:r w:rsidR="002304DD" w:rsidRPr="00FE50A6">
        <w:rPr>
          <w:rFonts w:eastAsia="Calibri" w:cs="Times New Roman"/>
          <w:szCs w:val="20"/>
          <w:lang w:val="en-US"/>
        </w:rPr>
        <w:t xml:space="preserve"> </w:t>
      </w:r>
      <w:r w:rsidR="00E23533" w:rsidRPr="00FE50A6">
        <w:rPr>
          <w:rFonts w:eastAsia="Calibri" w:cs="Times New Roman"/>
          <w:szCs w:val="20"/>
          <w:lang w:val="en-US"/>
        </w:rPr>
        <w:t>H</w:t>
      </w:r>
      <w:r w:rsidR="002304DD" w:rsidRPr="00FE50A6">
        <w:rPr>
          <w:rFonts w:eastAsia="Calibri" w:cs="Times New Roman"/>
          <w:szCs w:val="20"/>
          <w:lang w:val="en-US"/>
        </w:rPr>
        <w:t xml:space="preserve">owever, </w:t>
      </w:r>
      <w:r w:rsidR="00E23533" w:rsidRPr="00FE50A6">
        <w:rPr>
          <w:rFonts w:eastAsia="Calibri" w:cs="Times New Roman"/>
          <w:szCs w:val="20"/>
          <w:lang w:val="en-US"/>
        </w:rPr>
        <w:t xml:space="preserve">this </w:t>
      </w:r>
      <w:r w:rsidR="002304DD" w:rsidRPr="00FE50A6">
        <w:rPr>
          <w:rFonts w:eastAsia="Calibri" w:cs="Times New Roman"/>
          <w:szCs w:val="20"/>
          <w:lang w:val="en-US"/>
        </w:rPr>
        <w:t>constitutes the context in which th</w:t>
      </w:r>
      <w:r w:rsidR="00E23533" w:rsidRPr="00FE50A6">
        <w:rPr>
          <w:rFonts w:eastAsia="Calibri" w:cs="Times New Roman"/>
          <w:szCs w:val="20"/>
          <w:lang w:val="en-US"/>
        </w:rPr>
        <w:t>ose facts</w:t>
      </w:r>
      <w:r w:rsidR="002304DD" w:rsidRPr="00FE50A6">
        <w:rPr>
          <w:rFonts w:eastAsia="Calibri" w:cs="Times New Roman"/>
          <w:szCs w:val="20"/>
          <w:lang w:val="en-US"/>
        </w:rPr>
        <w:t xml:space="preserve"> took place and, consequently and to a certain extent, explains them, even though it does not justify them.</w:t>
      </w:r>
      <w:r w:rsidR="00130785" w:rsidRPr="00FE50A6">
        <w:rPr>
          <w:rFonts w:eastAsia="Calibri" w:cs="Times New Roman"/>
          <w:szCs w:val="20"/>
          <w:vertAlign w:val="superscript"/>
          <w:lang w:val="en-US"/>
        </w:rPr>
        <w:footnoteReference w:id="669"/>
      </w:r>
    </w:p>
    <w:p w14:paraId="4DDDBEF8" w14:textId="77777777" w:rsidR="00130785" w:rsidRPr="00FE50A6" w:rsidRDefault="00130785" w:rsidP="00E12A06">
      <w:pPr>
        <w:tabs>
          <w:tab w:val="clear" w:pos="4419"/>
          <w:tab w:val="clear" w:pos="8838"/>
        </w:tabs>
        <w:jc w:val="both"/>
        <w:rPr>
          <w:rFonts w:eastAsia="Calibri" w:cs="Times New Roman"/>
          <w:szCs w:val="20"/>
          <w:lang w:val="en-US"/>
        </w:rPr>
      </w:pPr>
    </w:p>
    <w:p w14:paraId="4EF3FF98" w14:textId="77777777" w:rsidR="00130785" w:rsidRPr="00FE50A6" w:rsidRDefault="00130785" w:rsidP="00130785">
      <w:pPr>
        <w:tabs>
          <w:tab w:val="clear" w:pos="4419"/>
          <w:tab w:val="clear" w:pos="8838"/>
        </w:tabs>
        <w:jc w:val="both"/>
        <w:rPr>
          <w:rFonts w:eastAsia="Calibri" w:cs="Times New Roman"/>
          <w:szCs w:val="20"/>
          <w:lang w:val="en-US"/>
        </w:rPr>
      </w:pPr>
    </w:p>
    <w:p w14:paraId="01A13959" w14:textId="77777777" w:rsidR="00130785" w:rsidRPr="00FE50A6" w:rsidRDefault="00130785" w:rsidP="00130785">
      <w:pPr>
        <w:tabs>
          <w:tab w:val="clear" w:pos="4419"/>
          <w:tab w:val="clear" w:pos="8838"/>
        </w:tabs>
        <w:jc w:val="right"/>
        <w:rPr>
          <w:rFonts w:eastAsia="Calibri" w:cs="Times New Roman"/>
          <w:szCs w:val="20"/>
          <w:lang w:val="en-US"/>
        </w:rPr>
      </w:pPr>
    </w:p>
    <w:p w14:paraId="2121B79E" w14:textId="77777777" w:rsidR="00130785" w:rsidRPr="00FE50A6" w:rsidRDefault="00130785" w:rsidP="00130785">
      <w:pPr>
        <w:tabs>
          <w:tab w:val="clear" w:pos="4419"/>
          <w:tab w:val="clear" w:pos="8838"/>
        </w:tabs>
        <w:jc w:val="right"/>
        <w:rPr>
          <w:rFonts w:eastAsia="Calibri" w:cs="Times New Roman"/>
          <w:szCs w:val="20"/>
          <w:lang w:val="en-US"/>
        </w:rPr>
      </w:pPr>
    </w:p>
    <w:p w14:paraId="258DE94A" w14:textId="77777777" w:rsidR="00130785" w:rsidRPr="00FE50A6" w:rsidRDefault="00130785" w:rsidP="00130785">
      <w:pPr>
        <w:tabs>
          <w:tab w:val="clear" w:pos="4419"/>
          <w:tab w:val="clear" w:pos="8838"/>
        </w:tabs>
        <w:jc w:val="right"/>
        <w:rPr>
          <w:rFonts w:eastAsia="Calibri" w:cs="Times New Roman"/>
          <w:szCs w:val="20"/>
          <w:lang w:val="en-US"/>
        </w:rPr>
      </w:pPr>
    </w:p>
    <w:p w14:paraId="503B8666" w14:textId="77777777" w:rsidR="00130785" w:rsidRPr="00FE50A6" w:rsidRDefault="00130785" w:rsidP="00130785">
      <w:pPr>
        <w:tabs>
          <w:tab w:val="clear" w:pos="4419"/>
          <w:tab w:val="clear" w:pos="8838"/>
        </w:tabs>
        <w:jc w:val="right"/>
        <w:rPr>
          <w:rFonts w:eastAsia="Calibri" w:cs="Times New Roman"/>
          <w:szCs w:val="20"/>
          <w:lang w:val="en-US"/>
        </w:rPr>
      </w:pPr>
    </w:p>
    <w:p w14:paraId="169FD654" w14:textId="77777777" w:rsidR="00130785" w:rsidRPr="00FE50A6" w:rsidRDefault="00130785" w:rsidP="00130785">
      <w:pPr>
        <w:tabs>
          <w:tab w:val="clear" w:pos="4419"/>
          <w:tab w:val="clear" w:pos="8838"/>
        </w:tabs>
        <w:jc w:val="right"/>
        <w:rPr>
          <w:rFonts w:eastAsia="Calibri" w:cs="Times New Roman"/>
          <w:szCs w:val="20"/>
          <w:lang w:val="en-US"/>
        </w:rPr>
      </w:pPr>
    </w:p>
    <w:p w14:paraId="0CEE1974" w14:textId="77777777" w:rsidR="00130785" w:rsidRPr="00FE50A6" w:rsidRDefault="00130785" w:rsidP="00130785">
      <w:pPr>
        <w:tabs>
          <w:tab w:val="clear" w:pos="4419"/>
          <w:tab w:val="clear" w:pos="8838"/>
        </w:tabs>
        <w:jc w:val="right"/>
        <w:rPr>
          <w:rFonts w:eastAsia="Calibri" w:cs="Times New Roman"/>
          <w:szCs w:val="20"/>
        </w:rPr>
      </w:pPr>
      <w:r w:rsidRPr="00FE50A6">
        <w:rPr>
          <w:rFonts w:eastAsia="Calibri" w:cs="Times New Roman"/>
          <w:szCs w:val="20"/>
        </w:rPr>
        <w:t>Eduardo Vio Grossi</w:t>
      </w:r>
    </w:p>
    <w:p w14:paraId="25532ED0" w14:textId="77777777" w:rsidR="00130785" w:rsidRPr="00FE50A6" w:rsidRDefault="000228D0" w:rsidP="00130785">
      <w:pPr>
        <w:tabs>
          <w:tab w:val="clear" w:pos="4419"/>
          <w:tab w:val="clear" w:pos="8838"/>
        </w:tabs>
        <w:ind w:left="6354" w:firstLine="706"/>
        <w:jc w:val="center"/>
        <w:rPr>
          <w:rFonts w:eastAsia="Calibri" w:cs="Times New Roman"/>
          <w:szCs w:val="20"/>
        </w:rPr>
      </w:pPr>
      <w:r w:rsidRPr="00FE50A6">
        <w:rPr>
          <w:rFonts w:eastAsia="Calibri" w:cs="Times New Roman"/>
          <w:szCs w:val="20"/>
        </w:rPr>
        <w:t>Judge</w:t>
      </w:r>
    </w:p>
    <w:p w14:paraId="0337B9D5" w14:textId="77777777" w:rsidR="00130785" w:rsidRPr="00FE50A6" w:rsidRDefault="00130785" w:rsidP="00130785">
      <w:pPr>
        <w:tabs>
          <w:tab w:val="clear" w:pos="4419"/>
          <w:tab w:val="clear" w:pos="8838"/>
        </w:tabs>
        <w:jc w:val="right"/>
        <w:rPr>
          <w:rFonts w:eastAsia="Calibri" w:cs="Times New Roman"/>
          <w:szCs w:val="20"/>
        </w:rPr>
      </w:pPr>
    </w:p>
    <w:p w14:paraId="0BE0D2CF" w14:textId="77777777" w:rsidR="00130785" w:rsidRPr="00FE50A6" w:rsidRDefault="00130785" w:rsidP="00130785">
      <w:pPr>
        <w:tabs>
          <w:tab w:val="clear" w:pos="4419"/>
          <w:tab w:val="clear" w:pos="8838"/>
        </w:tabs>
        <w:spacing w:after="200" w:line="276" w:lineRule="auto"/>
        <w:ind w:right="4585"/>
        <w:contextualSpacing/>
        <w:rPr>
          <w:rFonts w:eastAsia="Calibri" w:cs="Verdana"/>
          <w:szCs w:val="20"/>
          <w:lang w:eastAsia="es-MX"/>
        </w:rPr>
      </w:pPr>
    </w:p>
    <w:p w14:paraId="4B040C0B" w14:textId="77777777" w:rsidR="00130785" w:rsidRPr="00FE50A6" w:rsidRDefault="00130785" w:rsidP="00130785">
      <w:pPr>
        <w:tabs>
          <w:tab w:val="clear" w:pos="4419"/>
          <w:tab w:val="clear" w:pos="8838"/>
        </w:tabs>
        <w:spacing w:after="200" w:line="276" w:lineRule="auto"/>
        <w:ind w:right="4585"/>
        <w:contextualSpacing/>
        <w:rPr>
          <w:rFonts w:eastAsia="Calibri" w:cs="Verdana"/>
          <w:szCs w:val="20"/>
          <w:lang w:eastAsia="es-MX"/>
        </w:rPr>
      </w:pPr>
    </w:p>
    <w:p w14:paraId="754EDF58" w14:textId="77777777" w:rsidR="00130785" w:rsidRPr="00FE50A6" w:rsidRDefault="00130785" w:rsidP="00130785">
      <w:pPr>
        <w:tabs>
          <w:tab w:val="clear" w:pos="4419"/>
          <w:tab w:val="clear" w:pos="8838"/>
        </w:tabs>
        <w:spacing w:after="200" w:line="276" w:lineRule="auto"/>
        <w:ind w:right="4585"/>
        <w:contextualSpacing/>
        <w:rPr>
          <w:rFonts w:eastAsia="Calibri" w:cs="Verdana"/>
          <w:szCs w:val="20"/>
          <w:lang w:eastAsia="es-MX"/>
        </w:rPr>
      </w:pPr>
      <w:r w:rsidRPr="00FE50A6">
        <w:rPr>
          <w:rFonts w:eastAsia="Calibri" w:cs="Verdana"/>
          <w:szCs w:val="20"/>
          <w:lang w:eastAsia="es-MX"/>
        </w:rPr>
        <w:t>Pablo Saavedra Alessandri</w:t>
      </w:r>
    </w:p>
    <w:p w14:paraId="6DDB3052" w14:textId="77777777" w:rsidR="00130785" w:rsidRPr="00FE50A6" w:rsidRDefault="00130785" w:rsidP="00130785">
      <w:pPr>
        <w:tabs>
          <w:tab w:val="clear" w:pos="4419"/>
          <w:tab w:val="clear" w:pos="8838"/>
        </w:tabs>
        <w:spacing w:after="200" w:line="276" w:lineRule="auto"/>
        <w:ind w:right="4585" w:firstLine="720"/>
        <w:contextualSpacing/>
        <w:rPr>
          <w:rFonts w:eastAsia="Calibri" w:cs="Verdana"/>
          <w:szCs w:val="20"/>
          <w:lang w:val="en-US" w:eastAsia="es-MX"/>
        </w:rPr>
      </w:pPr>
      <w:r w:rsidRPr="00FE50A6">
        <w:rPr>
          <w:rFonts w:eastAsia="Calibri" w:cs="Verdana"/>
          <w:szCs w:val="20"/>
          <w:lang w:eastAsia="es-MX"/>
        </w:rPr>
        <w:t xml:space="preserve">  </w:t>
      </w:r>
      <w:r w:rsidR="008D0905" w:rsidRPr="00FE50A6">
        <w:rPr>
          <w:rFonts w:eastAsia="Calibri" w:cs="Verdana"/>
          <w:szCs w:val="20"/>
          <w:lang w:val="en-US" w:eastAsia="es-MX"/>
        </w:rPr>
        <w:t>Secretary</w:t>
      </w:r>
    </w:p>
    <w:p w14:paraId="0CD9B5A6" w14:textId="77777777" w:rsidR="00130785" w:rsidRPr="00FE50A6" w:rsidRDefault="00130785" w:rsidP="00130785">
      <w:pPr>
        <w:tabs>
          <w:tab w:val="clear" w:pos="4419"/>
          <w:tab w:val="clear" w:pos="8838"/>
        </w:tabs>
        <w:jc w:val="right"/>
        <w:rPr>
          <w:rFonts w:eastAsia="Calibri" w:cs="Times New Roman"/>
          <w:szCs w:val="20"/>
          <w:lang w:val="en-US"/>
        </w:rPr>
      </w:pPr>
    </w:p>
    <w:p w14:paraId="171A5E86" w14:textId="77777777" w:rsidR="00130785" w:rsidRPr="00FE50A6" w:rsidRDefault="00130785" w:rsidP="00F74CCF">
      <w:pPr>
        <w:tabs>
          <w:tab w:val="left" w:pos="720"/>
        </w:tabs>
        <w:ind w:right="-90"/>
        <w:contextualSpacing/>
        <w:rPr>
          <w:bCs/>
          <w:szCs w:val="20"/>
          <w:lang w:val="en-US"/>
        </w:rPr>
        <w:sectPr w:rsidR="00130785" w:rsidRPr="00FE50A6" w:rsidSect="00130785">
          <w:footerReference w:type="default" r:id="rId12"/>
          <w:footnotePr>
            <w:numRestart w:val="eachSect"/>
          </w:footnotePr>
          <w:pgSz w:w="12240" w:h="15840"/>
          <w:pgMar w:top="1417" w:right="1701" w:bottom="1417" w:left="1701" w:header="708" w:footer="708" w:gutter="0"/>
          <w:pgNumType w:start="1"/>
          <w:cols w:space="708"/>
          <w:titlePg/>
          <w:docGrid w:linePitch="360"/>
        </w:sectPr>
      </w:pPr>
    </w:p>
    <w:p w14:paraId="69A8FD83" w14:textId="77777777" w:rsidR="00130785" w:rsidRPr="00FE50A6" w:rsidRDefault="00130785" w:rsidP="00130785">
      <w:pPr>
        <w:tabs>
          <w:tab w:val="clear" w:pos="4419"/>
          <w:tab w:val="clear" w:pos="8838"/>
          <w:tab w:val="left" w:pos="567"/>
          <w:tab w:val="left" w:pos="1134"/>
        </w:tabs>
        <w:ind w:right="29"/>
        <w:jc w:val="center"/>
        <w:rPr>
          <w:rFonts w:eastAsia="Calibri" w:cs="Times New Roman"/>
          <w:b/>
          <w:szCs w:val="20"/>
          <w:lang w:val="en-US"/>
        </w:rPr>
      </w:pPr>
    </w:p>
    <w:p w14:paraId="13128BB2" w14:textId="77777777" w:rsidR="00130785" w:rsidRPr="00FE50A6" w:rsidRDefault="00130785" w:rsidP="00130785">
      <w:pPr>
        <w:tabs>
          <w:tab w:val="clear" w:pos="4419"/>
          <w:tab w:val="clear" w:pos="8838"/>
          <w:tab w:val="left" w:pos="567"/>
          <w:tab w:val="left" w:pos="1134"/>
        </w:tabs>
        <w:ind w:right="29"/>
        <w:jc w:val="center"/>
        <w:rPr>
          <w:rFonts w:eastAsia="Calibri" w:cs="Times New Roman"/>
          <w:b/>
          <w:szCs w:val="20"/>
          <w:lang w:val="en-US"/>
        </w:rPr>
      </w:pPr>
    </w:p>
    <w:p w14:paraId="4985DDDE" w14:textId="77777777" w:rsidR="00130785" w:rsidRPr="00FE50A6" w:rsidRDefault="00130785" w:rsidP="00130785">
      <w:pPr>
        <w:tabs>
          <w:tab w:val="clear" w:pos="4419"/>
          <w:tab w:val="clear" w:pos="8838"/>
          <w:tab w:val="left" w:pos="567"/>
          <w:tab w:val="left" w:pos="1134"/>
        </w:tabs>
        <w:ind w:right="29"/>
        <w:jc w:val="center"/>
        <w:rPr>
          <w:rFonts w:eastAsia="Calibri" w:cs="Times New Roman"/>
          <w:b/>
          <w:szCs w:val="20"/>
          <w:lang w:val="en-US"/>
        </w:rPr>
      </w:pPr>
    </w:p>
    <w:p w14:paraId="2F9D5BF3" w14:textId="77777777" w:rsidR="00130785" w:rsidRPr="00FE50A6" w:rsidRDefault="00130785" w:rsidP="00130785">
      <w:pPr>
        <w:tabs>
          <w:tab w:val="clear" w:pos="4419"/>
          <w:tab w:val="clear" w:pos="8838"/>
          <w:tab w:val="left" w:pos="567"/>
          <w:tab w:val="left" w:pos="1134"/>
        </w:tabs>
        <w:ind w:right="29"/>
        <w:jc w:val="center"/>
        <w:rPr>
          <w:rFonts w:eastAsia="Calibri" w:cs="Times New Roman"/>
          <w:b/>
          <w:szCs w:val="20"/>
          <w:lang w:val="en-US"/>
        </w:rPr>
      </w:pPr>
    </w:p>
    <w:p w14:paraId="42DD4C00" w14:textId="77777777" w:rsidR="00130785" w:rsidRPr="00FE50A6" w:rsidRDefault="00130785" w:rsidP="00130785">
      <w:pPr>
        <w:tabs>
          <w:tab w:val="clear" w:pos="4419"/>
          <w:tab w:val="clear" w:pos="8838"/>
          <w:tab w:val="left" w:pos="567"/>
          <w:tab w:val="left" w:pos="1134"/>
        </w:tabs>
        <w:ind w:right="29"/>
        <w:jc w:val="both"/>
        <w:rPr>
          <w:rFonts w:eastAsia="Calibri" w:cs="Times New Roman"/>
          <w:b/>
          <w:szCs w:val="20"/>
          <w:lang w:val="en-US"/>
        </w:rPr>
      </w:pPr>
    </w:p>
    <w:p w14:paraId="3EB963DB" w14:textId="77777777" w:rsidR="00130785" w:rsidRPr="00FE50A6" w:rsidRDefault="00130785" w:rsidP="00130785">
      <w:pPr>
        <w:tabs>
          <w:tab w:val="clear" w:pos="4419"/>
          <w:tab w:val="clear" w:pos="8838"/>
          <w:tab w:val="left" w:pos="567"/>
          <w:tab w:val="left" w:pos="1134"/>
        </w:tabs>
        <w:ind w:right="29"/>
        <w:jc w:val="both"/>
        <w:rPr>
          <w:rFonts w:eastAsia="Calibri" w:cs="Times New Roman"/>
          <w:b/>
          <w:szCs w:val="20"/>
          <w:lang w:val="en-US"/>
        </w:rPr>
      </w:pPr>
    </w:p>
    <w:p w14:paraId="6938A9D0" w14:textId="77777777" w:rsidR="00130785" w:rsidRPr="00FE50A6" w:rsidRDefault="00130785" w:rsidP="00130785">
      <w:pPr>
        <w:tabs>
          <w:tab w:val="clear" w:pos="4419"/>
          <w:tab w:val="clear" w:pos="8838"/>
          <w:tab w:val="left" w:pos="567"/>
          <w:tab w:val="left" w:pos="1134"/>
        </w:tabs>
        <w:ind w:right="29"/>
        <w:jc w:val="both"/>
        <w:rPr>
          <w:rFonts w:eastAsia="Calibri" w:cs="Times New Roman"/>
          <w:b/>
          <w:szCs w:val="20"/>
          <w:lang w:val="en-US"/>
        </w:rPr>
      </w:pPr>
    </w:p>
    <w:p w14:paraId="3DD787EC" w14:textId="77777777" w:rsidR="00130785" w:rsidRPr="00FE50A6" w:rsidRDefault="008D0905" w:rsidP="00130785">
      <w:pPr>
        <w:tabs>
          <w:tab w:val="clear" w:pos="4419"/>
          <w:tab w:val="clear" w:pos="8838"/>
          <w:tab w:val="left" w:pos="567"/>
          <w:tab w:val="left" w:pos="1134"/>
        </w:tabs>
        <w:ind w:right="29"/>
        <w:jc w:val="both"/>
        <w:rPr>
          <w:rFonts w:eastAsia="Calibri" w:cs="Times New Roman"/>
          <w:b/>
          <w:snapToGrid w:val="0"/>
          <w:szCs w:val="20"/>
          <w:lang w:val="en-US"/>
        </w:rPr>
      </w:pPr>
      <w:r w:rsidRPr="00FE50A6">
        <w:rPr>
          <w:rFonts w:eastAsia="Calibri" w:cs="Times New Roman"/>
          <w:b/>
          <w:szCs w:val="20"/>
          <w:lang w:val="en-US"/>
        </w:rPr>
        <w:t xml:space="preserve">PARTIALLY DISSENTING OPINION OF </w:t>
      </w:r>
      <w:r w:rsidR="000228D0" w:rsidRPr="00FE50A6">
        <w:rPr>
          <w:rFonts w:eastAsia="Calibri" w:cs="Times New Roman"/>
          <w:b/>
          <w:szCs w:val="20"/>
          <w:lang w:val="en-US"/>
        </w:rPr>
        <w:t>JUDGE</w:t>
      </w:r>
      <w:r w:rsidR="00130785" w:rsidRPr="00FE50A6">
        <w:rPr>
          <w:rFonts w:eastAsia="Calibri" w:cs="Times New Roman"/>
          <w:b/>
          <w:szCs w:val="20"/>
          <w:lang w:val="en-US"/>
        </w:rPr>
        <w:t xml:space="preserve"> HUMBERTO ANTONIO SIERRA PORTO</w:t>
      </w:r>
    </w:p>
    <w:p w14:paraId="10865023" w14:textId="77777777" w:rsidR="00130785" w:rsidRPr="00FE50A6" w:rsidRDefault="00130785" w:rsidP="00130785">
      <w:pPr>
        <w:tabs>
          <w:tab w:val="clear" w:pos="4419"/>
          <w:tab w:val="clear" w:pos="8838"/>
          <w:tab w:val="left" w:pos="567"/>
          <w:tab w:val="left" w:pos="1134"/>
        </w:tabs>
        <w:ind w:right="29"/>
        <w:jc w:val="center"/>
        <w:rPr>
          <w:rFonts w:eastAsia="Calibri" w:cs="Times New Roman"/>
          <w:b/>
          <w:snapToGrid w:val="0"/>
          <w:szCs w:val="20"/>
          <w:lang w:val="en-US"/>
        </w:rPr>
      </w:pPr>
    </w:p>
    <w:p w14:paraId="0BBD1BAB" w14:textId="77777777" w:rsidR="008D0905" w:rsidRPr="00FE50A6" w:rsidRDefault="008D0905" w:rsidP="008D0905">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INTER-AMERICAN COURT OF HUMAN RIGHTS</w:t>
      </w:r>
    </w:p>
    <w:p w14:paraId="70DB3780" w14:textId="77777777" w:rsidR="008D0905" w:rsidRPr="00FE50A6" w:rsidRDefault="008D0905" w:rsidP="008D0905">
      <w:pPr>
        <w:tabs>
          <w:tab w:val="clear" w:pos="4419"/>
          <w:tab w:val="clear" w:pos="8838"/>
        </w:tabs>
        <w:ind w:left="-142" w:right="-138"/>
        <w:jc w:val="center"/>
        <w:rPr>
          <w:rFonts w:eastAsia="MS Mincho" w:cs="Times New Roman"/>
          <w:b/>
          <w:sz w:val="16"/>
          <w:szCs w:val="20"/>
          <w:lang w:val="en-US"/>
        </w:rPr>
      </w:pPr>
    </w:p>
    <w:p w14:paraId="24ED152D" w14:textId="77777777" w:rsidR="008D0905" w:rsidRPr="00FE50A6" w:rsidRDefault="008D0905" w:rsidP="008D0905">
      <w:pPr>
        <w:tabs>
          <w:tab w:val="clear" w:pos="4419"/>
          <w:tab w:val="clear" w:pos="8838"/>
        </w:tabs>
        <w:ind w:left="-142" w:right="-138"/>
        <w:jc w:val="center"/>
        <w:rPr>
          <w:rFonts w:eastAsia="MS Mincho" w:cs="Times New Roman"/>
          <w:b/>
          <w:sz w:val="16"/>
          <w:szCs w:val="20"/>
          <w:lang w:val="en-US"/>
        </w:rPr>
      </w:pPr>
      <w:r w:rsidRPr="00FE50A6">
        <w:rPr>
          <w:rFonts w:eastAsia="MS Mincho" w:cs="Times New Roman"/>
          <w:b/>
          <w:szCs w:val="20"/>
          <w:lang w:val="en-US"/>
        </w:rPr>
        <w:t xml:space="preserve">CASE OF THE HACIENDA BRASIL VERDE WORKERS </w:t>
      </w:r>
      <w:r w:rsidRPr="00FE50A6">
        <w:rPr>
          <w:rFonts w:eastAsia="MS Mincho" w:cs="Times New Roman"/>
          <w:b/>
          <w:i/>
          <w:szCs w:val="20"/>
          <w:lang w:val="en-US"/>
        </w:rPr>
        <w:t>V</w:t>
      </w:r>
      <w:r w:rsidRPr="00FE50A6">
        <w:rPr>
          <w:rFonts w:eastAsia="MS Mincho" w:cs="Times New Roman"/>
          <w:b/>
          <w:szCs w:val="20"/>
          <w:lang w:val="en-US"/>
        </w:rPr>
        <w:t>. BRAZIL</w:t>
      </w:r>
    </w:p>
    <w:p w14:paraId="36521393" w14:textId="77777777" w:rsidR="008D0905" w:rsidRPr="00FE50A6" w:rsidRDefault="008D0905" w:rsidP="008D0905">
      <w:pPr>
        <w:tabs>
          <w:tab w:val="clear" w:pos="4419"/>
          <w:tab w:val="clear" w:pos="8838"/>
        </w:tabs>
        <w:ind w:left="-142" w:right="-138"/>
        <w:jc w:val="center"/>
        <w:rPr>
          <w:rFonts w:eastAsia="MS Mincho" w:cs="Times New Roman"/>
          <w:b/>
          <w:szCs w:val="20"/>
          <w:lang w:val="en-US"/>
        </w:rPr>
      </w:pPr>
    </w:p>
    <w:p w14:paraId="05C5B909" w14:textId="77777777" w:rsidR="008D0905" w:rsidRPr="00FE50A6" w:rsidRDefault="008D0905" w:rsidP="008D0905">
      <w:pPr>
        <w:tabs>
          <w:tab w:val="clear" w:pos="4419"/>
          <w:tab w:val="clear" w:pos="8838"/>
        </w:tabs>
        <w:ind w:left="-142" w:right="-138"/>
        <w:jc w:val="center"/>
        <w:rPr>
          <w:rFonts w:eastAsia="MS Mincho" w:cs="Times New Roman"/>
          <w:b/>
          <w:szCs w:val="20"/>
          <w:lang w:val="en-US"/>
        </w:rPr>
      </w:pPr>
      <w:r w:rsidRPr="00FE50A6">
        <w:rPr>
          <w:rFonts w:eastAsia="MS Mincho" w:cs="Times New Roman"/>
          <w:b/>
          <w:szCs w:val="20"/>
          <w:lang w:val="en-US"/>
        </w:rPr>
        <w:t>JUDGMENT OF OCTOBER 20, 2016</w:t>
      </w:r>
    </w:p>
    <w:p w14:paraId="0D583E74" w14:textId="77777777" w:rsidR="008D0905" w:rsidRPr="00FE50A6" w:rsidRDefault="008D0905" w:rsidP="008D0905">
      <w:pPr>
        <w:tabs>
          <w:tab w:val="clear" w:pos="4419"/>
          <w:tab w:val="clear" w:pos="8838"/>
        </w:tabs>
        <w:ind w:left="-142" w:right="-138"/>
        <w:jc w:val="center"/>
        <w:rPr>
          <w:rFonts w:eastAsia="MS Mincho" w:cs="Times New Roman"/>
          <w:b/>
          <w:i/>
          <w:szCs w:val="20"/>
          <w:lang w:val="en-US"/>
        </w:rPr>
      </w:pPr>
      <w:r w:rsidRPr="00FE50A6">
        <w:rPr>
          <w:rFonts w:eastAsia="MS Mincho" w:cs="Times New Roman"/>
          <w:b/>
          <w:i/>
          <w:szCs w:val="20"/>
          <w:lang w:val="en-US"/>
        </w:rPr>
        <w:t xml:space="preserve"> (Preliminary objections, merits, reparations and costs)</w:t>
      </w:r>
    </w:p>
    <w:p w14:paraId="0D6093C1" w14:textId="77777777" w:rsidR="00130785" w:rsidRPr="00FE50A6" w:rsidRDefault="00130785" w:rsidP="00130785">
      <w:pPr>
        <w:tabs>
          <w:tab w:val="clear" w:pos="4419"/>
          <w:tab w:val="clear" w:pos="8838"/>
        </w:tabs>
        <w:jc w:val="both"/>
        <w:rPr>
          <w:rFonts w:eastAsia="Calibri" w:cs="Times New Roman"/>
          <w:snapToGrid w:val="0"/>
          <w:szCs w:val="20"/>
          <w:lang w:val="en-US"/>
        </w:rPr>
      </w:pPr>
    </w:p>
    <w:p w14:paraId="4D10FBA6" w14:textId="77777777" w:rsidR="00130785" w:rsidRPr="00FE50A6" w:rsidRDefault="00130785" w:rsidP="00130785">
      <w:pPr>
        <w:tabs>
          <w:tab w:val="clear" w:pos="4419"/>
          <w:tab w:val="clear" w:pos="8838"/>
        </w:tabs>
        <w:jc w:val="both"/>
        <w:rPr>
          <w:rFonts w:eastAsia="Calibri" w:cs="Times New Roman"/>
          <w:snapToGrid w:val="0"/>
          <w:szCs w:val="20"/>
          <w:lang w:val="en-US"/>
        </w:rPr>
      </w:pPr>
    </w:p>
    <w:p w14:paraId="1F92F369" w14:textId="77777777" w:rsidR="00130785" w:rsidRPr="00FE50A6" w:rsidRDefault="00F35788"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 xml:space="preserve">The purpose of this opinion is to explain the reasons for my partial dissent with the majority decision of the judges </w:t>
      </w:r>
      <w:r w:rsidR="000228D0" w:rsidRPr="00FE50A6">
        <w:rPr>
          <w:rFonts w:eastAsia="Calibri" w:cs="Times New Roman"/>
          <w:snapToGrid w:val="0"/>
          <w:szCs w:val="20"/>
          <w:lang w:val="en-US"/>
        </w:rPr>
        <w:t>of the Inter-American Court of Human Rights</w:t>
      </w:r>
      <w:r w:rsidR="00130785" w:rsidRPr="00FE50A6">
        <w:rPr>
          <w:rFonts w:eastAsia="Calibri" w:cs="Times New Roman"/>
          <w:snapToGrid w:val="0"/>
          <w:szCs w:val="20"/>
          <w:lang w:val="en-US"/>
        </w:rPr>
        <w:t xml:space="preserve"> (</w:t>
      </w:r>
      <w:r w:rsidR="000228D0" w:rsidRPr="00FE50A6">
        <w:rPr>
          <w:rFonts w:eastAsia="Calibri" w:cs="Times New Roman"/>
          <w:snapToGrid w:val="0"/>
          <w:szCs w:val="20"/>
          <w:lang w:val="en-US"/>
        </w:rPr>
        <w:t>hereinafter</w:t>
      </w:r>
      <w:r w:rsidR="00130785" w:rsidRPr="00FE50A6">
        <w:rPr>
          <w:rFonts w:eastAsia="Calibri" w:cs="Times New Roman"/>
          <w:snapToGrid w:val="0"/>
          <w:szCs w:val="20"/>
          <w:lang w:val="en-US"/>
        </w:rPr>
        <w:t xml:space="preserve"> </w:t>
      </w:r>
      <w:r w:rsidR="009C48A4" w:rsidRPr="00FE50A6">
        <w:rPr>
          <w:rFonts w:eastAsia="Calibri" w:cs="Times New Roman"/>
          <w:snapToGrid w:val="0"/>
          <w:szCs w:val="20"/>
          <w:lang w:val="en-US"/>
        </w:rPr>
        <w:t>“</w:t>
      </w:r>
      <w:r w:rsidR="000228D0" w:rsidRPr="00FE50A6">
        <w:rPr>
          <w:rFonts w:eastAsia="Calibri" w:cs="Times New Roman"/>
          <w:snapToGrid w:val="0"/>
          <w:szCs w:val="20"/>
          <w:lang w:val="en-US"/>
        </w:rPr>
        <w:t>the Court</w:t>
      </w:r>
      <w:r w:rsidR="009C48A4" w:rsidRPr="00FE50A6">
        <w:rPr>
          <w:rFonts w:eastAsia="Calibri" w:cs="Times New Roman"/>
          <w:snapToGrid w:val="0"/>
          <w:szCs w:val="20"/>
          <w:lang w:val="en-US"/>
        </w:rPr>
        <w:t>”</w:t>
      </w:r>
      <w:r w:rsidRPr="00FE50A6">
        <w:rPr>
          <w:rFonts w:eastAsia="Calibri" w:cs="Times New Roman"/>
          <w:snapToGrid w:val="0"/>
          <w:szCs w:val="20"/>
          <w:lang w:val="en-US"/>
        </w:rPr>
        <w:t>) in the</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j</w:t>
      </w:r>
      <w:r w:rsidR="005F1946" w:rsidRPr="00FE50A6">
        <w:rPr>
          <w:rFonts w:eastAsia="Calibri" w:cs="Times New Roman"/>
          <w:snapToGrid w:val="0"/>
          <w:szCs w:val="20"/>
          <w:lang w:val="en-US"/>
        </w:rPr>
        <w:t>udgment of</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October 20,</w:t>
      </w:r>
      <w:r w:rsidR="00130785" w:rsidRPr="00FE50A6">
        <w:rPr>
          <w:rFonts w:eastAsia="Calibri" w:cs="Times New Roman"/>
          <w:snapToGrid w:val="0"/>
          <w:szCs w:val="20"/>
          <w:lang w:val="en-US"/>
        </w:rPr>
        <w:t xml:space="preserve"> 2016</w:t>
      </w:r>
      <w:r w:rsidRPr="00FE50A6">
        <w:rPr>
          <w:rFonts w:eastAsia="Calibri" w:cs="Times New Roman"/>
          <w:snapToGrid w:val="0"/>
          <w:szCs w:val="20"/>
          <w:lang w:val="en-US"/>
        </w:rPr>
        <w:t>, in the case of the</w:t>
      </w:r>
      <w:r w:rsidR="00130785" w:rsidRPr="00FE50A6">
        <w:rPr>
          <w:rFonts w:eastAsia="Calibri" w:cs="Times New Roman"/>
          <w:snapToGrid w:val="0"/>
          <w:szCs w:val="20"/>
          <w:lang w:val="en-US"/>
        </w:rPr>
        <w:t xml:space="preserve"> </w:t>
      </w:r>
      <w:r w:rsidR="00030C17" w:rsidRPr="00FE50A6">
        <w:rPr>
          <w:rFonts w:eastAsia="Calibri" w:cs="Times New Roman"/>
          <w:i/>
          <w:snapToGrid w:val="0"/>
          <w:szCs w:val="20"/>
          <w:lang w:val="en-US"/>
        </w:rPr>
        <w:t xml:space="preserve">Hacienda </w:t>
      </w:r>
      <w:r w:rsidR="00322241" w:rsidRPr="00FE50A6">
        <w:rPr>
          <w:rFonts w:eastAsia="Calibri" w:cs="Times New Roman"/>
          <w:i/>
          <w:snapToGrid w:val="0"/>
          <w:szCs w:val="20"/>
          <w:lang w:val="en-US"/>
        </w:rPr>
        <w:t>Brasil Verde</w:t>
      </w:r>
      <w:r w:rsidR="00030C17" w:rsidRPr="00FE50A6">
        <w:rPr>
          <w:rFonts w:eastAsia="Calibri" w:cs="Times New Roman"/>
          <w:i/>
          <w:snapToGrid w:val="0"/>
          <w:szCs w:val="20"/>
          <w:lang w:val="en-US"/>
        </w:rPr>
        <w:t xml:space="preserve"> Workers</w:t>
      </w:r>
      <w:r w:rsidR="00130785" w:rsidRPr="00FE50A6">
        <w:rPr>
          <w:rFonts w:eastAsia="Calibri" w:cs="Times New Roman"/>
          <w:i/>
          <w:snapToGrid w:val="0"/>
          <w:szCs w:val="20"/>
          <w:lang w:val="en-US"/>
        </w:rPr>
        <w:t xml:space="preserve"> </w:t>
      </w:r>
      <w:r w:rsidR="000228D0" w:rsidRPr="00FE50A6">
        <w:rPr>
          <w:rFonts w:eastAsia="Calibri" w:cs="Times New Roman"/>
          <w:i/>
          <w:snapToGrid w:val="0"/>
          <w:szCs w:val="20"/>
          <w:lang w:val="en-US"/>
        </w:rPr>
        <w:t>v.</w:t>
      </w:r>
      <w:r w:rsidR="00130785" w:rsidRPr="00FE50A6">
        <w:rPr>
          <w:rFonts w:eastAsia="Calibri" w:cs="Times New Roman"/>
          <w:i/>
          <w:snapToGrid w:val="0"/>
          <w:szCs w:val="20"/>
          <w:lang w:val="en-US"/>
        </w:rPr>
        <w:t xml:space="preserve"> </w:t>
      </w:r>
      <w:r w:rsidR="000228D0" w:rsidRPr="00FE50A6">
        <w:rPr>
          <w:rFonts w:eastAsia="Calibri" w:cs="Times New Roman"/>
          <w:i/>
          <w:snapToGrid w:val="0"/>
          <w:szCs w:val="20"/>
          <w:lang w:val="en-US"/>
        </w:rPr>
        <w:t>Brazil</w:t>
      </w:r>
      <w:r w:rsidR="00130785" w:rsidRPr="00FE50A6">
        <w:rPr>
          <w:rFonts w:eastAsia="Calibri" w:cs="Times New Roman"/>
          <w:snapToGrid w:val="0"/>
          <w:szCs w:val="20"/>
          <w:lang w:val="en-US"/>
        </w:rPr>
        <w:t>.</w:t>
      </w:r>
    </w:p>
    <w:p w14:paraId="6390D065"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459796F2" w14:textId="77777777" w:rsidR="00130785" w:rsidRPr="00FE50A6" w:rsidRDefault="00130785"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M</w:t>
      </w:r>
      <w:r w:rsidR="00F35788" w:rsidRPr="00FE50A6">
        <w:rPr>
          <w:rFonts w:eastAsia="Calibri" w:cs="Times New Roman"/>
          <w:snapToGrid w:val="0"/>
          <w:szCs w:val="20"/>
          <w:lang w:val="en-US"/>
        </w:rPr>
        <w:t xml:space="preserve">y discrepancy with the position adopted refers to the fourth operative paragraph in which the Court determined </w:t>
      </w:r>
      <w:r w:rsidR="00700B79" w:rsidRPr="00FE50A6">
        <w:rPr>
          <w:rFonts w:eastAsia="Cambria" w:cs="Times New Roman"/>
          <w:lang w:val="en-US"/>
        </w:rPr>
        <w:t>the violation</w:t>
      </w:r>
      <w:r w:rsidRPr="00FE50A6">
        <w:rPr>
          <w:rFonts w:eastAsia="Cambria" w:cs="Times New Roman"/>
          <w:lang w:val="en-US"/>
        </w:rPr>
        <w:t xml:space="preserve"> </w:t>
      </w:r>
      <w:r w:rsidR="00703850" w:rsidRPr="00FE50A6">
        <w:rPr>
          <w:rFonts w:eastAsia="Cambria" w:cs="Times New Roman"/>
          <w:lang w:val="en-US"/>
        </w:rPr>
        <w:t>of Article</w:t>
      </w:r>
      <w:r w:rsidRPr="00FE50A6">
        <w:rPr>
          <w:rFonts w:eastAsia="Cambria" w:cs="Times New Roman"/>
          <w:lang w:val="en-US"/>
        </w:rPr>
        <w:t xml:space="preserve"> </w:t>
      </w:r>
      <w:r w:rsidR="00090C6A" w:rsidRPr="00FE50A6">
        <w:rPr>
          <w:rFonts w:eastAsia="Cambria" w:cs="Times New Roman"/>
          <w:lang w:val="en-US"/>
        </w:rPr>
        <w:t>6(1)</w:t>
      </w:r>
      <w:r w:rsidR="000228D0" w:rsidRPr="00FE50A6">
        <w:rPr>
          <w:rFonts w:eastAsia="Cambria" w:cs="Times New Roman"/>
          <w:lang w:val="en-US"/>
        </w:rPr>
        <w:t xml:space="preserve"> of the American Convention on Human Rights</w:t>
      </w:r>
      <w:r w:rsidRPr="00FE50A6">
        <w:rPr>
          <w:rFonts w:eastAsia="Cambria" w:cs="Times New Roman"/>
          <w:lang w:val="en-US"/>
        </w:rPr>
        <w:t xml:space="preserve">, </w:t>
      </w:r>
      <w:r w:rsidR="000B587F" w:rsidRPr="00FE50A6">
        <w:rPr>
          <w:rFonts w:eastAsia="Cambria" w:cs="Times New Roman"/>
          <w:lang w:val="en-US"/>
        </w:rPr>
        <w:t>in relation to Article 1(1)</w:t>
      </w:r>
      <w:r w:rsidRPr="00FE50A6">
        <w:rPr>
          <w:rFonts w:eastAsia="Cambria" w:cs="Times New Roman"/>
          <w:lang w:val="en-US"/>
        </w:rPr>
        <w:t xml:space="preserve"> </w:t>
      </w:r>
      <w:r w:rsidR="00D11A9F" w:rsidRPr="00FE50A6">
        <w:rPr>
          <w:rFonts w:eastAsia="Cambria" w:cs="Times New Roman"/>
          <w:lang w:val="en-US"/>
        </w:rPr>
        <w:t>of this instrument</w:t>
      </w:r>
      <w:r w:rsidRPr="00FE50A6">
        <w:rPr>
          <w:rFonts w:eastAsia="Cambria" w:cs="Times New Roman"/>
          <w:lang w:val="en-US"/>
        </w:rPr>
        <w:t xml:space="preserve">, </w:t>
      </w:r>
      <w:r w:rsidR="00F35788" w:rsidRPr="00FE50A6">
        <w:rPr>
          <w:rFonts w:eastAsia="Cambria" w:cs="Times New Roman"/>
          <w:lang w:val="en-US"/>
        </w:rPr>
        <w:t xml:space="preserve">that occurred in the context of a </w:t>
      </w:r>
      <w:r w:rsidR="009C48A4" w:rsidRPr="00FE50A6">
        <w:rPr>
          <w:rFonts w:eastAsia="Cambria" w:cs="Times New Roman"/>
          <w:lang w:val="en-US"/>
        </w:rPr>
        <w:t>“</w:t>
      </w:r>
      <w:r w:rsidRPr="00FE50A6">
        <w:rPr>
          <w:rFonts w:eastAsia="Cambria" w:cs="Times New Roman"/>
          <w:lang w:val="en-US"/>
        </w:rPr>
        <w:t>situa</w:t>
      </w:r>
      <w:r w:rsidR="00F35788" w:rsidRPr="00FE50A6">
        <w:rPr>
          <w:rFonts w:eastAsia="Cambria" w:cs="Times New Roman"/>
          <w:lang w:val="en-US"/>
        </w:rPr>
        <w:t>tion of</w:t>
      </w:r>
      <w:r w:rsidRPr="00FE50A6">
        <w:rPr>
          <w:rFonts w:eastAsia="Cambria" w:cs="Times New Roman"/>
          <w:lang w:val="en-US"/>
        </w:rPr>
        <w:t xml:space="preserve"> </w:t>
      </w:r>
      <w:r w:rsidR="009308B1" w:rsidRPr="00FE50A6">
        <w:rPr>
          <w:rFonts w:eastAsia="Cambria" w:cs="Times New Roman"/>
          <w:lang w:val="en-US"/>
        </w:rPr>
        <w:t>historical structural</w:t>
      </w:r>
      <w:r w:rsidR="00311174" w:rsidRPr="00FE50A6">
        <w:rPr>
          <w:rFonts w:eastAsia="Cambria" w:cs="Times New Roman"/>
          <w:lang w:val="en-US"/>
        </w:rPr>
        <w:t xml:space="preserve"> discrimination</w:t>
      </w:r>
      <w:r w:rsidR="00F11C36" w:rsidRPr="00FE50A6">
        <w:rPr>
          <w:rFonts w:eastAsia="Cambria" w:cs="Times New Roman"/>
          <w:lang w:val="en-US"/>
        </w:rPr>
        <w:t>,</w:t>
      </w:r>
      <w:r w:rsidR="009C48A4" w:rsidRPr="00FE50A6">
        <w:rPr>
          <w:rFonts w:eastAsia="Cambria" w:cs="Times New Roman"/>
          <w:lang w:val="en-US"/>
        </w:rPr>
        <w:t>”</w:t>
      </w:r>
      <w:r w:rsidRPr="00FE50A6">
        <w:rPr>
          <w:rFonts w:eastAsia="Cambria" w:cs="Times New Roman"/>
          <w:lang w:val="en-US"/>
        </w:rPr>
        <w:t xml:space="preserve"> as</w:t>
      </w:r>
      <w:r w:rsidR="00F35788" w:rsidRPr="00FE50A6">
        <w:rPr>
          <w:rFonts w:eastAsia="Cambria" w:cs="Times New Roman"/>
          <w:lang w:val="en-US"/>
        </w:rPr>
        <w:t xml:space="preserve"> well as</w:t>
      </w:r>
      <w:r w:rsidR="00F11C36" w:rsidRPr="00FE50A6">
        <w:rPr>
          <w:rFonts w:eastAsia="Cambria" w:cs="Times New Roman"/>
          <w:lang w:val="en-US"/>
        </w:rPr>
        <w:t xml:space="preserve"> to</w:t>
      </w:r>
      <w:r w:rsidR="00F35788" w:rsidRPr="00FE50A6">
        <w:rPr>
          <w:rFonts w:eastAsia="Cambria" w:cs="Times New Roman"/>
          <w:lang w:val="en-US"/>
        </w:rPr>
        <w:t xml:space="preserve"> the sixth operative paragraph in which it determined </w:t>
      </w:r>
      <w:r w:rsidR="00F11C36" w:rsidRPr="00FE50A6">
        <w:rPr>
          <w:rFonts w:eastAsia="Cambria" w:cs="Times New Roman"/>
          <w:lang w:val="en-US"/>
        </w:rPr>
        <w:t>t</w:t>
      </w:r>
      <w:r w:rsidR="00703850" w:rsidRPr="00FE50A6">
        <w:rPr>
          <w:rFonts w:eastAsia="Cambria" w:cs="Times New Roman"/>
          <w:lang w:val="en-US"/>
        </w:rPr>
        <w:t>he violation</w:t>
      </w:r>
      <w:r w:rsidR="00EE52F3" w:rsidRPr="00FE50A6">
        <w:rPr>
          <w:rFonts w:eastAsia="Cambria" w:cs="Times New Roman"/>
          <w:lang w:val="en-US"/>
        </w:rPr>
        <w:t xml:space="preserve"> of </w:t>
      </w:r>
      <w:r w:rsidR="00F35788" w:rsidRPr="00FE50A6">
        <w:rPr>
          <w:rFonts w:eastAsia="Cambria" w:cs="Times New Roman"/>
          <w:szCs w:val="20"/>
          <w:lang w:val="en-US"/>
        </w:rPr>
        <w:t>the right to</w:t>
      </w:r>
      <w:r w:rsidRPr="00FE50A6">
        <w:rPr>
          <w:rFonts w:eastAsia="Cambria" w:cs="Times New Roman"/>
          <w:szCs w:val="20"/>
          <w:lang w:val="en-US"/>
        </w:rPr>
        <w:t xml:space="preserve"> </w:t>
      </w:r>
      <w:r w:rsidR="00D11A9F" w:rsidRPr="00FE50A6">
        <w:rPr>
          <w:rFonts w:eastAsia="Cambria" w:cs="Times New Roman"/>
          <w:szCs w:val="20"/>
          <w:lang w:val="en-US"/>
        </w:rPr>
        <w:t>judicial protection</w:t>
      </w:r>
      <w:r w:rsidRPr="00FE50A6">
        <w:rPr>
          <w:rFonts w:eastAsia="Cambria" w:cs="Times New Roman"/>
          <w:szCs w:val="20"/>
          <w:lang w:val="en-US"/>
        </w:rPr>
        <w:t xml:space="preserve"> </w:t>
      </w:r>
      <w:r w:rsidR="00351E20" w:rsidRPr="00FE50A6">
        <w:rPr>
          <w:rFonts w:eastAsia="Cambria" w:cs="Times New Roman"/>
          <w:szCs w:val="20"/>
          <w:lang w:val="en-US"/>
        </w:rPr>
        <w:t>established in Article</w:t>
      </w:r>
      <w:r w:rsidRPr="00FE50A6">
        <w:rPr>
          <w:rFonts w:eastAsia="Cambria" w:cs="Times New Roman"/>
          <w:szCs w:val="20"/>
          <w:lang w:val="en-US"/>
        </w:rPr>
        <w:t xml:space="preserve"> 25</w:t>
      </w:r>
      <w:r w:rsidR="000228D0" w:rsidRPr="00FE50A6">
        <w:rPr>
          <w:rFonts w:eastAsia="Cambria" w:cs="Times New Roman"/>
          <w:szCs w:val="20"/>
          <w:lang w:val="en-US"/>
        </w:rPr>
        <w:t xml:space="preserve"> of the American Convention</w:t>
      </w:r>
      <w:r w:rsidRPr="00FE50A6">
        <w:rPr>
          <w:rFonts w:eastAsia="Calibri" w:cs="Times New Roman"/>
          <w:snapToGrid w:val="0"/>
          <w:szCs w:val="20"/>
          <w:lang w:val="en-US"/>
        </w:rPr>
        <w:t>.</w:t>
      </w:r>
    </w:p>
    <w:p w14:paraId="63869D1A" w14:textId="77777777" w:rsidR="00130785" w:rsidRPr="00FE50A6" w:rsidRDefault="00130785" w:rsidP="00CD003F">
      <w:pPr>
        <w:tabs>
          <w:tab w:val="clear" w:pos="4419"/>
          <w:tab w:val="clear" w:pos="8838"/>
        </w:tabs>
        <w:contextualSpacing/>
        <w:jc w:val="both"/>
        <w:rPr>
          <w:rFonts w:eastAsia="Calibri" w:cs="Times New Roman"/>
          <w:snapToGrid w:val="0"/>
          <w:szCs w:val="20"/>
          <w:lang w:val="en-US"/>
        </w:rPr>
      </w:pPr>
    </w:p>
    <w:p w14:paraId="3E45CA75" w14:textId="77777777" w:rsidR="00130785" w:rsidRPr="00FE50A6" w:rsidRDefault="00130785" w:rsidP="008B0BCC">
      <w:pPr>
        <w:numPr>
          <w:ilvl w:val="0"/>
          <w:numId w:val="29"/>
        </w:numPr>
        <w:tabs>
          <w:tab w:val="clear" w:pos="4419"/>
          <w:tab w:val="clear" w:pos="8838"/>
        </w:tabs>
        <w:contextualSpacing/>
        <w:jc w:val="both"/>
        <w:rPr>
          <w:rFonts w:eastAsia="Calibri" w:cs="Times New Roman"/>
          <w:b/>
          <w:snapToGrid w:val="0"/>
          <w:szCs w:val="20"/>
          <w:lang w:val="en-US"/>
        </w:rPr>
      </w:pPr>
      <w:r w:rsidRPr="00FE50A6">
        <w:rPr>
          <w:rFonts w:eastAsia="Calibri" w:cs="Times New Roman"/>
          <w:b/>
          <w:snapToGrid w:val="0"/>
          <w:szCs w:val="20"/>
          <w:lang w:val="en-US"/>
        </w:rPr>
        <w:t>Dis</w:t>
      </w:r>
      <w:r w:rsidR="00CD003F" w:rsidRPr="00FE50A6">
        <w:rPr>
          <w:rFonts w:eastAsia="Calibri" w:cs="Times New Roman"/>
          <w:b/>
          <w:snapToGrid w:val="0"/>
          <w:szCs w:val="20"/>
          <w:lang w:val="en-US"/>
        </w:rPr>
        <w:t xml:space="preserve">sent with regard to </w:t>
      </w:r>
      <w:r w:rsidR="007571DF" w:rsidRPr="00FE50A6">
        <w:rPr>
          <w:rFonts w:eastAsia="Calibri" w:cs="Times New Roman"/>
          <w:b/>
          <w:snapToGrid w:val="0"/>
          <w:szCs w:val="20"/>
          <w:lang w:val="en-US"/>
        </w:rPr>
        <w:t xml:space="preserve">the </w:t>
      </w:r>
      <w:r w:rsidR="00700B79" w:rsidRPr="00FE50A6">
        <w:rPr>
          <w:rFonts w:eastAsia="Calibri" w:cs="Times New Roman"/>
          <w:b/>
          <w:snapToGrid w:val="0"/>
          <w:szCs w:val="20"/>
          <w:lang w:val="en-US"/>
        </w:rPr>
        <w:t>violation</w:t>
      </w:r>
      <w:r w:rsidRPr="00FE50A6">
        <w:rPr>
          <w:rFonts w:eastAsia="Cambria" w:cs="Times New Roman"/>
          <w:b/>
          <w:lang w:val="en-US"/>
        </w:rPr>
        <w:t xml:space="preserve"> </w:t>
      </w:r>
      <w:r w:rsidR="00703850" w:rsidRPr="00FE50A6">
        <w:rPr>
          <w:rFonts w:eastAsia="Cambria" w:cs="Times New Roman"/>
          <w:b/>
          <w:lang w:val="en-US"/>
        </w:rPr>
        <w:t>of Article</w:t>
      </w:r>
      <w:r w:rsidRPr="00FE50A6">
        <w:rPr>
          <w:rFonts w:eastAsia="Cambria" w:cs="Times New Roman"/>
          <w:b/>
          <w:lang w:val="en-US"/>
        </w:rPr>
        <w:t xml:space="preserve"> </w:t>
      </w:r>
      <w:r w:rsidR="00090C6A" w:rsidRPr="00FE50A6">
        <w:rPr>
          <w:rFonts w:eastAsia="Cambria" w:cs="Times New Roman"/>
          <w:b/>
          <w:lang w:val="en-US"/>
        </w:rPr>
        <w:t>6(1)</w:t>
      </w:r>
      <w:r w:rsidR="000228D0" w:rsidRPr="00FE50A6">
        <w:rPr>
          <w:rFonts w:eastAsia="Cambria" w:cs="Times New Roman"/>
          <w:b/>
          <w:lang w:val="en-US"/>
        </w:rPr>
        <w:t xml:space="preserve"> of the American Convention on Human Rights</w:t>
      </w:r>
      <w:r w:rsidRPr="00FE50A6">
        <w:rPr>
          <w:rFonts w:eastAsia="Cambria" w:cs="Times New Roman"/>
          <w:b/>
          <w:lang w:val="en-US"/>
        </w:rPr>
        <w:t xml:space="preserve">, </w:t>
      </w:r>
      <w:r w:rsidR="000B587F" w:rsidRPr="00FE50A6">
        <w:rPr>
          <w:rFonts w:eastAsia="Cambria" w:cs="Times New Roman"/>
          <w:b/>
          <w:lang w:val="en-US"/>
        </w:rPr>
        <w:t>in relation to Article 1(1)</w:t>
      </w:r>
      <w:r w:rsidRPr="00FE50A6">
        <w:rPr>
          <w:rFonts w:eastAsia="Cambria" w:cs="Times New Roman"/>
          <w:b/>
          <w:lang w:val="en-US"/>
        </w:rPr>
        <w:t xml:space="preserve"> </w:t>
      </w:r>
      <w:r w:rsidR="00D11A9F" w:rsidRPr="00FE50A6">
        <w:rPr>
          <w:rFonts w:eastAsia="Cambria" w:cs="Times New Roman"/>
          <w:b/>
          <w:lang w:val="en-US"/>
        </w:rPr>
        <w:t>of this instrument</w:t>
      </w:r>
      <w:r w:rsidRPr="00FE50A6">
        <w:rPr>
          <w:rFonts w:eastAsia="Cambria" w:cs="Times New Roman"/>
          <w:b/>
          <w:lang w:val="en-US"/>
        </w:rPr>
        <w:t xml:space="preserve">, </w:t>
      </w:r>
      <w:r w:rsidR="00CD003F" w:rsidRPr="00FE50A6">
        <w:rPr>
          <w:rFonts w:eastAsia="Cambria" w:cs="Times New Roman"/>
          <w:b/>
          <w:lang w:val="en-US"/>
        </w:rPr>
        <w:t>that occurred in the context of a situation</w:t>
      </w:r>
      <w:r w:rsidRPr="00FE50A6">
        <w:rPr>
          <w:rFonts w:eastAsia="Cambria" w:cs="Times New Roman"/>
          <w:b/>
          <w:lang w:val="en-US"/>
        </w:rPr>
        <w:t xml:space="preserve"> </w:t>
      </w:r>
      <w:r w:rsidR="00CD003F" w:rsidRPr="00FE50A6">
        <w:rPr>
          <w:rFonts w:eastAsia="Cambria" w:cs="Times New Roman"/>
          <w:b/>
          <w:lang w:val="en-US"/>
        </w:rPr>
        <w:t>of</w:t>
      </w:r>
      <w:r w:rsidRPr="00FE50A6">
        <w:rPr>
          <w:rFonts w:eastAsia="Cambria" w:cs="Times New Roman"/>
          <w:b/>
          <w:lang w:val="en-US"/>
        </w:rPr>
        <w:t xml:space="preserve"> </w:t>
      </w:r>
      <w:r w:rsidR="009308B1" w:rsidRPr="00FE50A6">
        <w:rPr>
          <w:rFonts w:eastAsia="Cambria" w:cs="Times New Roman"/>
          <w:b/>
          <w:lang w:val="en-US"/>
        </w:rPr>
        <w:t>historical structural</w:t>
      </w:r>
      <w:r w:rsidR="00311174" w:rsidRPr="00FE50A6">
        <w:rPr>
          <w:rFonts w:eastAsia="Cambria" w:cs="Times New Roman"/>
          <w:b/>
          <w:lang w:val="en-US"/>
        </w:rPr>
        <w:t xml:space="preserve"> discrimination</w:t>
      </w:r>
    </w:p>
    <w:p w14:paraId="1674C672" w14:textId="77777777" w:rsidR="00130785" w:rsidRPr="00FE50A6" w:rsidRDefault="00130785" w:rsidP="00CD003F">
      <w:pPr>
        <w:tabs>
          <w:tab w:val="clear" w:pos="4419"/>
          <w:tab w:val="clear" w:pos="8838"/>
        </w:tabs>
        <w:contextualSpacing/>
        <w:jc w:val="both"/>
        <w:rPr>
          <w:rFonts w:eastAsia="Calibri" w:cs="Times New Roman"/>
          <w:snapToGrid w:val="0"/>
          <w:szCs w:val="20"/>
          <w:lang w:val="en-US"/>
        </w:rPr>
      </w:pPr>
    </w:p>
    <w:p w14:paraId="18EDB206" w14:textId="77777777" w:rsidR="00130785" w:rsidRPr="00FE50A6" w:rsidRDefault="000228D0"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mbria" w:cs="Times New Roman"/>
          <w:szCs w:val="20"/>
          <w:lang w:val="en-US"/>
        </w:rPr>
        <w:t>The Court</w:t>
      </w:r>
      <w:r w:rsidR="00130785" w:rsidRPr="00FE50A6">
        <w:rPr>
          <w:rFonts w:eastAsia="Cambria" w:cs="Times New Roman"/>
          <w:szCs w:val="20"/>
          <w:lang w:val="en-US"/>
        </w:rPr>
        <w:t xml:space="preserve"> determin</w:t>
      </w:r>
      <w:r w:rsidR="00F35788" w:rsidRPr="00FE50A6">
        <w:rPr>
          <w:rFonts w:eastAsia="Cambria" w:cs="Times New Roman"/>
          <w:szCs w:val="20"/>
          <w:lang w:val="en-US"/>
        </w:rPr>
        <w:t>ed in</w:t>
      </w:r>
      <w:r w:rsidR="00130785" w:rsidRPr="00FE50A6">
        <w:rPr>
          <w:rFonts w:eastAsia="Cambria" w:cs="Times New Roman"/>
          <w:szCs w:val="20"/>
          <w:lang w:val="en-US"/>
        </w:rPr>
        <w:t xml:space="preserve"> </w:t>
      </w:r>
      <w:r w:rsidR="00CD003F" w:rsidRPr="00FE50A6">
        <w:rPr>
          <w:rFonts w:eastAsia="Cambria" w:cs="Times New Roman"/>
          <w:szCs w:val="20"/>
          <w:lang w:val="en-US"/>
        </w:rPr>
        <w:t>the judgment in this case</w:t>
      </w:r>
      <w:r w:rsidR="00130785" w:rsidRPr="00FE50A6">
        <w:rPr>
          <w:rFonts w:eastAsia="Cambria" w:cs="Times New Roman"/>
          <w:szCs w:val="20"/>
          <w:lang w:val="en-US"/>
        </w:rPr>
        <w:t xml:space="preserve"> </w:t>
      </w:r>
      <w:r w:rsidR="00F35788" w:rsidRPr="00FE50A6">
        <w:rPr>
          <w:rFonts w:eastAsia="Cambria" w:cs="Times New Roman"/>
          <w:szCs w:val="20"/>
          <w:lang w:val="en-US"/>
        </w:rPr>
        <w:t>that</w:t>
      </w:r>
      <w:r w:rsidR="00130785" w:rsidRPr="00FE50A6">
        <w:rPr>
          <w:rFonts w:eastAsia="Cambria" w:cs="Times New Roman"/>
          <w:szCs w:val="20"/>
          <w:lang w:val="en-US"/>
        </w:rPr>
        <w:t xml:space="preserve"> </w:t>
      </w:r>
      <w:r w:rsidR="009C48A4" w:rsidRPr="00FE50A6">
        <w:rPr>
          <w:rFonts w:eastAsia="Cambria" w:cs="Times New Roman"/>
          <w:lang w:val="en-US"/>
        </w:rPr>
        <w:t>“</w:t>
      </w:r>
      <w:r w:rsidR="00E23533" w:rsidRPr="00FE50A6">
        <w:rPr>
          <w:szCs w:val="20"/>
          <w:lang w:val="en-US"/>
        </w:rPr>
        <w:t>the S</w:t>
      </w:r>
      <w:r w:rsidR="007F6E23" w:rsidRPr="00FE50A6">
        <w:rPr>
          <w:szCs w:val="20"/>
          <w:lang w:val="en-US"/>
        </w:rPr>
        <w:t>tate incurs international responsibility when, faced with the existence of structural discrimination, it fails to adopt specific measures with regard to the particular situation of victimization that reveals the vulnerability of a universe of individualized persons. It is the victimization of such persons that exposes their particular vulnerability, and this calls for specific protective actions that were omitted in the case of the individuals recruited to work in</w:t>
      </w:r>
      <w:r w:rsidR="007F6E23" w:rsidRPr="00FE50A6">
        <w:rPr>
          <w:lang w:val="en-US"/>
        </w:rPr>
        <w:t xml:space="preserve"> Hacienda Brasil Verde</w:t>
      </w:r>
      <w:r w:rsidR="00F35788" w:rsidRPr="00FE50A6">
        <w:rPr>
          <w:rFonts w:eastAsia="Calibri" w:cs="Times New Roman"/>
          <w:lang w:val="en-US"/>
        </w:rPr>
        <w:t>.</w:t>
      </w:r>
      <w:r w:rsidR="009C48A4" w:rsidRPr="00FE50A6">
        <w:rPr>
          <w:rFonts w:eastAsia="Calibri" w:cs="Times New Roman"/>
          <w:lang w:val="en-US"/>
        </w:rPr>
        <w:t>”</w:t>
      </w:r>
      <w:r w:rsidR="00130785" w:rsidRPr="00FE50A6">
        <w:rPr>
          <w:rFonts w:eastAsia="Calibri" w:cs="Times New Roman"/>
          <w:szCs w:val="20"/>
          <w:vertAlign w:val="superscript"/>
          <w:lang w:val="en-US"/>
        </w:rPr>
        <w:footnoteReference w:id="670"/>
      </w:r>
      <w:r w:rsidR="00130785" w:rsidRPr="00FE50A6">
        <w:rPr>
          <w:rFonts w:eastAsia="Calibri" w:cs="Times New Roman"/>
          <w:lang w:val="en-US"/>
        </w:rPr>
        <w:t xml:space="preserve"> </w:t>
      </w:r>
    </w:p>
    <w:p w14:paraId="71D342E7"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50BA96FF" w14:textId="77777777" w:rsidR="00130785" w:rsidRPr="00FE50A6" w:rsidRDefault="00F35788"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lang w:val="en-US"/>
        </w:rPr>
        <w:t xml:space="preserve">In addition, the Court established that the </w:t>
      </w:r>
      <w:r w:rsidR="00130785" w:rsidRPr="00FE50A6">
        <w:rPr>
          <w:rFonts w:eastAsia="Calibri" w:cs="Times New Roman"/>
          <w:lang w:val="en-US"/>
        </w:rPr>
        <w:t xml:space="preserve">85 </w:t>
      </w:r>
      <w:r w:rsidR="00AF42D1" w:rsidRPr="00FE50A6">
        <w:rPr>
          <w:rFonts w:eastAsia="Calibri" w:cs="Times New Roman"/>
          <w:lang w:val="en-US"/>
        </w:rPr>
        <w:t>workers rescued</w:t>
      </w:r>
      <w:r w:rsidR="00130785" w:rsidRPr="00FE50A6">
        <w:rPr>
          <w:rFonts w:eastAsia="Calibri" w:cs="Times New Roman"/>
          <w:lang w:val="en-US"/>
        </w:rPr>
        <w:t xml:space="preserve"> </w:t>
      </w:r>
      <w:r w:rsidR="00A67F6B" w:rsidRPr="00FE50A6">
        <w:rPr>
          <w:rFonts w:eastAsia="Calibri" w:cs="Times New Roman"/>
          <w:lang w:val="en-US"/>
        </w:rPr>
        <w:t>on March 15,</w:t>
      </w:r>
      <w:r w:rsidR="00130785" w:rsidRPr="00FE50A6">
        <w:rPr>
          <w:rFonts w:eastAsia="Calibri" w:cs="Times New Roman"/>
          <w:lang w:val="en-US"/>
        </w:rPr>
        <w:t xml:space="preserve"> 2000</w:t>
      </w:r>
      <w:r w:rsidRPr="00FE50A6">
        <w:rPr>
          <w:rFonts w:eastAsia="Calibri" w:cs="Times New Roman"/>
          <w:lang w:val="en-US"/>
        </w:rPr>
        <w:t>, shared “</w:t>
      </w:r>
      <w:r w:rsidR="007F6E23" w:rsidRPr="00FE50A6">
        <w:rPr>
          <w:lang w:val="en-US"/>
        </w:rPr>
        <w:t>some characteristics of specific victimization</w:t>
      </w:r>
      <w:r w:rsidRPr="00FE50A6">
        <w:rPr>
          <w:rFonts w:eastAsia="Calibri" w:cs="Times New Roman"/>
          <w:lang w:val="en-US"/>
        </w:rPr>
        <w:t>,</w:t>
      </w:r>
      <w:r w:rsidR="009C48A4" w:rsidRPr="00FE50A6">
        <w:rPr>
          <w:rFonts w:eastAsia="Calibri" w:cs="Times New Roman"/>
          <w:lang w:val="en-US"/>
        </w:rPr>
        <w:t>”</w:t>
      </w:r>
      <w:r w:rsidRPr="00FE50A6">
        <w:rPr>
          <w:rFonts w:eastAsia="Calibri" w:cs="Times New Roman"/>
          <w:lang w:val="en-US"/>
        </w:rPr>
        <w:t xml:space="preserve"> such as that “</w:t>
      </w:r>
      <w:r w:rsidR="007F6E23" w:rsidRPr="00FE50A6">
        <w:rPr>
          <w:lang w:val="en-US"/>
        </w:rPr>
        <w:t>they came from the poorest regions of the country, with the lowest human development and possibilities of work and employment, and they were illiterate with little or no schooling</w:t>
      </w:r>
      <w:r w:rsidR="007F6E23" w:rsidRPr="00FE50A6">
        <w:rPr>
          <w:rFonts w:eastAsia="Calibri" w:cs="Times New Roman"/>
          <w:lang w:val="en-US"/>
        </w:rPr>
        <w:t>.</w:t>
      </w:r>
      <w:r w:rsidR="009C48A4" w:rsidRPr="00FE50A6">
        <w:rPr>
          <w:rFonts w:eastAsia="Calibri" w:cs="Times New Roman"/>
          <w:lang w:val="en-US"/>
        </w:rPr>
        <w:t>”</w:t>
      </w:r>
      <w:r w:rsidR="00130785" w:rsidRPr="00FE50A6">
        <w:rPr>
          <w:rFonts w:eastAsia="Calibri" w:cs="Times New Roman"/>
          <w:lang w:val="en-US"/>
        </w:rPr>
        <w:t xml:space="preserve"> </w:t>
      </w:r>
      <w:r w:rsidRPr="00FE50A6">
        <w:rPr>
          <w:rFonts w:eastAsia="Calibri" w:cs="Times New Roman"/>
          <w:lang w:val="en-US"/>
        </w:rPr>
        <w:t>The Court also indicated that “[t]</w:t>
      </w:r>
      <w:r w:rsidR="007F6E23" w:rsidRPr="00FE50A6">
        <w:rPr>
          <w:rFonts w:eastAsia="Calibri" w:cs="Times New Roman"/>
          <w:lang w:val="en-US"/>
        </w:rPr>
        <w:t>his</w:t>
      </w:r>
      <w:r w:rsidR="007F6E23" w:rsidRPr="00FE50A6">
        <w:rPr>
          <w:lang w:val="en-US"/>
        </w:rPr>
        <w:t xml:space="preserve"> placed them in a situation that made them more susceptible to recruitment by means of false promises and deception. This situation of imminent risk for a specific group of people with identical characteristics, from the same regions of the country, had historical roots and </w:t>
      </w:r>
      <w:r w:rsidR="00F11C36" w:rsidRPr="00FE50A6">
        <w:rPr>
          <w:lang w:val="en-US"/>
        </w:rPr>
        <w:t>had been</w:t>
      </w:r>
      <w:r w:rsidR="007F6E23" w:rsidRPr="00FE50A6">
        <w:rPr>
          <w:lang w:val="en-US"/>
        </w:rPr>
        <w:t xml:space="preserve"> known since, at least, 1995 when the Brazilian Government expressly acknowledged the existence of “slave labor” in the country</w:t>
      </w:r>
      <w:r w:rsidR="007F6E23" w:rsidRPr="00FE50A6">
        <w:rPr>
          <w:rFonts w:eastAsia="Calibri" w:cs="Times New Roman"/>
          <w:lang w:val="en-US"/>
        </w:rPr>
        <w:t>.</w:t>
      </w:r>
      <w:r w:rsidR="009C48A4" w:rsidRPr="00FE50A6">
        <w:rPr>
          <w:rFonts w:eastAsia="Calibri" w:cs="Times New Roman"/>
          <w:lang w:val="en-US"/>
        </w:rPr>
        <w:t>”</w:t>
      </w:r>
      <w:r w:rsidR="00130785" w:rsidRPr="00FE50A6">
        <w:rPr>
          <w:rFonts w:eastAsia="Calibri" w:cs="Times New Roman"/>
          <w:szCs w:val="20"/>
          <w:vertAlign w:val="superscript"/>
          <w:lang w:val="en-US"/>
        </w:rPr>
        <w:footnoteReference w:id="671"/>
      </w:r>
      <w:r w:rsidR="00130785" w:rsidRPr="00FE50A6">
        <w:rPr>
          <w:rFonts w:eastAsia="Calibri" w:cs="Times New Roman"/>
          <w:lang w:val="en-US"/>
        </w:rPr>
        <w:t xml:space="preserve"> </w:t>
      </w:r>
    </w:p>
    <w:p w14:paraId="213F90E0" w14:textId="77777777" w:rsidR="00130785" w:rsidRPr="00FE50A6" w:rsidRDefault="00F11C36"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lang w:val="en-US"/>
        </w:rPr>
        <w:t>Final</w:t>
      </w:r>
      <w:r w:rsidR="00F35788" w:rsidRPr="00FE50A6">
        <w:rPr>
          <w:rFonts w:eastAsia="Calibri" w:cs="Times New Roman"/>
          <w:lang w:val="en-US"/>
        </w:rPr>
        <w:t>ly</w:t>
      </w:r>
      <w:r w:rsidR="00130785" w:rsidRPr="00FE50A6">
        <w:rPr>
          <w:rFonts w:eastAsia="Calibri" w:cs="Times New Roman"/>
          <w:lang w:val="en-US"/>
        </w:rPr>
        <w:t xml:space="preserve">, </w:t>
      </w:r>
      <w:r w:rsidR="000228D0" w:rsidRPr="00FE50A6">
        <w:rPr>
          <w:rFonts w:eastAsia="Calibri" w:cs="Times New Roman"/>
          <w:lang w:val="en-US"/>
        </w:rPr>
        <w:t>the Court</w:t>
      </w:r>
      <w:r w:rsidR="00130785" w:rsidRPr="00FE50A6">
        <w:rPr>
          <w:rFonts w:eastAsia="Calibri" w:cs="Times New Roman"/>
          <w:lang w:val="en-US"/>
        </w:rPr>
        <w:t xml:space="preserve"> </w:t>
      </w:r>
      <w:r w:rsidR="00F35788" w:rsidRPr="00FE50A6">
        <w:rPr>
          <w:rFonts w:eastAsia="Calibri" w:cs="Times New Roman"/>
          <w:lang w:val="en-US"/>
        </w:rPr>
        <w:t>found that</w:t>
      </w:r>
      <w:r w:rsidR="00130785" w:rsidRPr="00FE50A6">
        <w:rPr>
          <w:rFonts w:eastAsia="Calibri" w:cs="Times New Roman"/>
          <w:lang w:val="en-US"/>
        </w:rPr>
        <w:t xml:space="preserve"> </w:t>
      </w:r>
      <w:r w:rsidR="009C48A4" w:rsidRPr="00FE50A6">
        <w:rPr>
          <w:rFonts w:eastAsia="Calibri" w:cs="Times New Roman"/>
          <w:lang w:val="en-US"/>
        </w:rPr>
        <w:t>“</w:t>
      </w:r>
      <w:r w:rsidR="000228D0" w:rsidRPr="00FE50A6">
        <w:rPr>
          <w:rFonts w:eastAsia="Calibri" w:cs="Times New Roman"/>
          <w:lang w:val="en-US"/>
        </w:rPr>
        <w:t xml:space="preserve">the </w:t>
      </w:r>
      <w:r w:rsidR="007F6E23" w:rsidRPr="00FE50A6">
        <w:rPr>
          <w:lang w:val="en-US"/>
        </w:rPr>
        <w:t>State failed to take into account the vulnerability of the 85 workers rescued on March 15, 2000, owing to discrimination based on their economic status.</w:t>
      </w:r>
      <w:r w:rsidR="009C48A4" w:rsidRPr="00FE50A6">
        <w:rPr>
          <w:rFonts w:eastAsia="Calibri" w:cs="Times New Roman"/>
          <w:lang w:val="en-US"/>
        </w:rPr>
        <w:t>”</w:t>
      </w:r>
      <w:r w:rsidR="00130785" w:rsidRPr="00FE50A6">
        <w:rPr>
          <w:rFonts w:eastAsia="Calibri" w:cs="Times New Roman"/>
          <w:szCs w:val="20"/>
          <w:vertAlign w:val="superscript"/>
          <w:lang w:val="en-US"/>
        </w:rPr>
        <w:footnoteReference w:id="672"/>
      </w:r>
      <w:r w:rsidR="00130785" w:rsidRPr="00FE50A6">
        <w:rPr>
          <w:rFonts w:eastAsia="Calibri" w:cs="Times New Roman"/>
          <w:lang w:val="en-US"/>
        </w:rPr>
        <w:t xml:space="preserve"> </w:t>
      </w:r>
      <w:r w:rsidR="00F35788" w:rsidRPr="00FE50A6">
        <w:rPr>
          <w:rFonts w:eastAsia="Calibri" w:cs="Times New Roman"/>
          <w:lang w:val="en-US"/>
        </w:rPr>
        <w:t xml:space="preserve">Consequently, it was responsible for </w:t>
      </w:r>
      <w:r w:rsidR="00700B79" w:rsidRPr="00FE50A6">
        <w:rPr>
          <w:rFonts w:eastAsia="Calibri" w:cs="Times New Roman"/>
          <w:lang w:val="en-US"/>
        </w:rPr>
        <w:t>the violation</w:t>
      </w:r>
      <w:r w:rsidR="00130785" w:rsidRPr="00FE50A6">
        <w:rPr>
          <w:rFonts w:eastAsia="Calibri" w:cs="Times New Roman"/>
          <w:lang w:val="en-US"/>
        </w:rPr>
        <w:t xml:space="preserve"> </w:t>
      </w:r>
      <w:r w:rsidR="00703850" w:rsidRPr="00FE50A6">
        <w:rPr>
          <w:rFonts w:eastAsia="Calibri" w:cs="Times New Roman"/>
          <w:lang w:val="en-US"/>
        </w:rPr>
        <w:t>of Article</w:t>
      </w:r>
      <w:r w:rsidR="00130785" w:rsidRPr="00FE50A6">
        <w:rPr>
          <w:rFonts w:eastAsia="Calibri" w:cs="Times New Roman"/>
          <w:lang w:val="en-US"/>
        </w:rPr>
        <w:t xml:space="preserve"> </w:t>
      </w:r>
      <w:r w:rsidR="00090C6A" w:rsidRPr="00FE50A6">
        <w:rPr>
          <w:rFonts w:eastAsia="Calibri" w:cs="Times New Roman"/>
          <w:lang w:val="en-US"/>
        </w:rPr>
        <w:t>6(1)</w:t>
      </w:r>
      <w:r w:rsidR="000228D0" w:rsidRPr="00FE50A6">
        <w:rPr>
          <w:rFonts w:eastAsia="Calibri" w:cs="Times New Roman"/>
          <w:lang w:val="en-US"/>
        </w:rPr>
        <w:t xml:space="preserve"> of the American Convention</w:t>
      </w:r>
      <w:r w:rsidR="00130785" w:rsidRPr="00FE50A6">
        <w:rPr>
          <w:rFonts w:eastAsia="Calibri" w:cs="Times New Roman"/>
          <w:lang w:val="en-US"/>
        </w:rPr>
        <w:t xml:space="preserve">, </w:t>
      </w:r>
      <w:r w:rsidR="000B587F" w:rsidRPr="00FE50A6">
        <w:rPr>
          <w:rFonts w:eastAsia="Calibri" w:cs="Times New Roman"/>
          <w:lang w:val="en-US"/>
        </w:rPr>
        <w:t>in relation to Article 1(1)</w:t>
      </w:r>
      <w:r w:rsidR="00130785" w:rsidRPr="00FE50A6">
        <w:rPr>
          <w:rFonts w:eastAsia="Calibri" w:cs="Times New Roman"/>
          <w:lang w:val="en-US"/>
        </w:rPr>
        <w:t xml:space="preserve"> </w:t>
      </w:r>
      <w:r w:rsidR="00D11A9F" w:rsidRPr="00FE50A6">
        <w:rPr>
          <w:rFonts w:eastAsia="Calibri" w:cs="Times New Roman"/>
          <w:lang w:val="en-US"/>
        </w:rPr>
        <w:t>of this instrument</w:t>
      </w:r>
      <w:r w:rsidR="00130785" w:rsidRPr="00FE50A6">
        <w:rPr>
          <w:rFonts w:eastAsia="Calibri" w:cs="Times New Roman"/>
          <w:lang w:val="en-US"/>
        </w:rPr>
        <w:t xml:space="preserve">, </w:t>
      </w:r>
      <w:r w:rsidR="00F35788" w:rsidRPr="00FE50A6">
        <w:rPr>
          <w:rFonts w:eastAsia="Calibri" w:cs="Times New Roman"/>
          <w:lang w:val="en-US"/>
        </w:rPr>
        <w:t xml:space="preserve">that occurred in the context of a situation of </w:t>
      </w:r>
      <w:r w:rsidR="009308B1" w:rsidRPr="00FE50A6">
        <w:rPr>
          <w:rFonts w:eastAsia="Calibri" w:cs="Times New Roman"/>
          <w:lang w:val="en-US"/>
        </w:rPr>
        <w:t>historical structural</w:t>
      </w:r>
      <w:r w:rsidR="00311174" w:rsidRPr="00FE50A6">
        <w:rPr>
          <w:rFonts w:eastAsia="Calibri" w:cs="Times New Roman"/>
          <w:lang w:val="en-US"/>
        </w:rPr>
        <w:t xml:space="preserve"> discrimination</w:t>
      </w:r>
      <w:r w:rsidR="00130785" w:rsidRPr="00FE50A6">
        <w:rPr>
          <w:rFonts w:eastAsia="Calibri" w:cs="Times New Roman"/>
          <w:lang w:val="en-US"/>
        </w:rPr>
        <w:t xml:space="preserve"> </w:t>
      </w:r>
      <w:r w:rsidRPr="00FE50A6">
        <w:rPr>
          <w:rFonts w:eastAsia="Calibri" w:cs="Times New Roman"/>
          <w:lang w:val="en-US"/>
        </w:rPr>
        <w:t>based on</w:t>
      </w:r>
      <w:r w:rsidR="00F35788" w:rsidRPr="00FE50A6">
        <w:rPr>
          <w:rFonts w:eastAsia="Calibri" w:cs="Times New Roman"/>
          <w:lang w:val="en-US"/>
        </w:rPr>
        <w:t xml:space="preserve"> the economic status of the 85 workers identified in the judgment.</w:t>
      </w:r>
      <w:r w:rsidR="00130785" w:rsidRPr="00FE50A6">
        <w:rPr>
          <w:rFonts w:eastAsia="Calibri" w:cs="Times New Roman"/>
          <w:szCs w:val="20"/>
          <w:vertAlign w:val="superscript"/>
          <w:lang w:val="en-US"/>
        </w:rPr>
        <w:footnoteReference w:id="673"/>
      </w:r>
    </w:p>
    <w:p w14:paraId="1EA5ABDB"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54BEB92A" w14:textId="77777777" w:rsidR="00F35788" w:rsidRPr="00FE50A6" w:rsidRDefault="00F35788"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I di</w:t>
      </w:r>
      <w:r w:rsidR="00B93669" w:rsidRPr="00FE50A6">
        <w:rPr>
          <w:rFonts w:eastAsia="Calibri" w:cs="Times New Roman"/>
          <w:snapToGrid w:val="0"/>
          <w:szCs w:val="20"/>
          <w:lang w:val="en-US"/>
        </w:rPr>
        <w:t>s</w:t>
      </w:r>
      <w:r w:rsidRPr="00FE50A6">
        <w:rPr>
          <w:rFonts w:eastAsia="Calibri" w:cs="Times New Roman"/>
          <w:snapToGrid w:val="0"/>
          <w:szCs w:val="20"/>
          <w:lang w:val="en-US"/>
        </w:rPr>
        <w:t>agree with the decision reached by the majority for three reasons.</w:t>
      </w:r>
      <w:r w:rsidR="00B93669" w:rsidRPr="00FE50A6">
        <w:rPr>
          <w:rFonts w:eastAsia="Calibri" w:cs="Times New Roman"/>
          <w:snapToGrid w:val="0"/>
          <w:szCs w:val="20"/>
          <w:lang w:val="en-US"/>
        </w:rPr>
        <w:t xml:space="preserve"> F</w:t>
      </w:r>
      <w:r w:rsidRPr="00FE50A6">
        <w:rPr>
          <w:rFonts w:eastAsia="Calibri" w:cs="Times New Roman"/>
          <w:snapToGrid w:val="0"/>
          <w:szCs w:val="20"/>
          <w:lang w:val="en-US"/>
        </w:rPr>
        <w:t>irst</w:t>
      </w:r>
      <w:r w:rsidR="00B93669" w:rsidRPr="00FE50A6">
        <w:rPr>
          <w:rFonts w:eastAsia="Calibri" w:cs="Times New Roman"/>
          <w:snapToGrid w:val="0"/>
          <w:szCs w:val="20"/>
          <w:lang w:val="en-US"/>
        </w:rPr>
        <w:t xml:space="preserve">, I consider that </w:t>
      </w:r>
      <w:r w:rsidR="006726A6" w:rsidRPr="00FE50A6">
        <w:rPr>
          <w:rFonts w:eastAsia="Calibri" w:cs="Times New Roman"/>
          <w:snapToGrid w:val="0"/>
          <w:szCs w:val="20"/>
          <w:lang w:val="en-US"/>
        </w:rPr>
        <w:t>determi</w:t>
      </w:r>
      <w:r w:rsidR="000A5FC6" w:rsidRPr="00FE50A6">
        <w:rPr>
          <w:rFonts w:eastAsia="Calibri" w:cs="Times New Roman"/>
          <w:snapToGrid w:val="0"/>
          <w:szCs w:val="20"/>
          <w:lang w:val="en-US"/>
        </w:rPr>
        <w:t>nation of</w:t>
      </w:r>
      <w:r w:rsidR="00B93669" w:rsidRPr="00FE50A6">
        <w:rPr>
          <w:rFonts w:eastAsia="Calibri" w:cs="Times New Roman"/>
          <w:snapToGrid w:val="0"/>
          <w:szCs w:val="20"/>
          <w:lang w:val="en-US"/>
        </w:rPr>
        <w:t xml:space="preserve"> the existence of “historical structural discrimination” would require an in-depth analysis, which was not made in the judgment in this case. When determining the violation, the Court </w:t>
      </w:r>
      <w:r w:rsidR="006726A6" w:rsidRPr="00FE50A6">
        <w:rPr>
          <w:rFonts w:eastAsia="Calibri" w:cs="Times New Roman"/>
          <w:snapToGrid w:val="0"/>
          <w:szCs w:val="20"/>
          <w:lang w:val="en-US"/>
        </w:rPr>
        <w:t>did not</w:t>
      </w:r>
      <w:r w:rsidR="00B93669" w:rsidRPr="00FE50A6">
        <w:rPr>
          <w:rFonts w:eastAsia="Calibri" w:cs="Times New Roman"/>
          <w:snapToGrid w:val="0"/>
          <w:szCs w:val="20"/>
          <w:lang w:val="en-US"/>
        </w:rPr>
        <w:t xml:space="preserve"> make a detailed analysis that took into </w:t>
      </w:r>
      <w:r w:rsidR="000A5FC6" w:rsidRPr="00FE50A6">
        <w:rPr>
          <w:rFonts w:eastAsia="Calibri" w:cs="Times New Roman"/>
          <w:snapToGrid w:val="0"/>
          <w:szCs w:val="20"/>
          <w:lang w:val="en-US"/>
        </w:rPr>
        <w:t>account</w:t>
      </w:r>
      <w:r w:rsidR="00B93669" w:rsidRPr="00FE50A6">
        <w:rPr>
          <w:rFonts w:eastAsia="Calibri" w:cs="Times New Roman"/>
          <w:snapToGrid w:val="0"/>
          <w:szCs w:val="20"/>
          <w:lang w:val="en-US"/>
        </w:rPr>
        <w:t xml:space="preserve"> economic and social aspects of Brazil’s public polic</w:t>
      </w:r>
      <w:r w:rsidR="006726A6" w:rsidRPr="00FE50A6">
        <w:rPr>
          <w:rFonts w:eastAsia="Calibri" w:cs="Times New Roman"/>
          <w:snapToGrid w:val="0"/>
          <w:szCs w:val="20"/>
          <w:lang w:val="en-US"/>
        </w:rPr>
        <w:t>ies</w:t>
      </w:r>
      <w:r w:rsidR="000A5FC6" w:rsidRPr="00FE50A6">
        <w:rPr>
          <w:rFonts w:eastAsia="Calibri" w:cs="Times New Roman"/>
          <w:snapToGrid w:val="0"/>
          <w:szCs w:val="20"/>
          <w:lang w:val="en-US"/>
        </w:rPr>
        <w:t>; it</w:t>
      </w:r>
      <w:r w:rsidR="00B93669" w:rsidRPr="00FE50A6">
        <w:rPr>
          <w:rFonts w:eastAsia="Calibri" w:cs="Times New Roman"/>
          <w:snapToGrid w:val="0"/>
          <w:szCs w:val="20"/>
          <w:lang w:val="en-US"/>
        </w:rPr>
        <w:t xml:space="preserve"> merely </w:t>
      </w:r>
      <w:r w:rsidR="000A5FC6" w:rsidRPr="00FE50A6">
        <w:rPr>
          <w:rFonts w:eastAsia="Calibri" w:cs="Times New Roman"/>
          <w:snapToGrid w:val="0"/>
          <w:szCs w:val="20"/>
          <w:lang w:val="en-US"/>
        </w:rPr>
        <w:t xml:space="preserve">considered </w:t>
      </w:r>
      <w:r w:rsidR="00B93669" w:rsidRPr="00FE50A6">
        <w:rPr>
          <w:rFonts w:eastAsia="Calibri" w:cs="Times New Roman"/>
          <w:snapToGrid w:val="0"/>
          <w:szCs w:val="20"/>
          <w:lang w:val="en-US"/>
        </w:rPr>
        <w:t>that the individuals shared some living conditions (poverty and lack of education).</w:t>
      </w:r>
    </w:p>
    <w:p w14:paraId="33D25A79"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27E5A21C" w14:textId="77777777" w:rsidR="00130785" w:rsidRPr="00FE50A6" w:rsidRDefault="00B93669"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In this regard, I consider that, from the evidence available in this case, it could not be concluded that the</w:t>
      </w:r>
      <w:r w:rsidR="000A5FC6" w:rsidRPr="00FE50A6">
        <w:rPr>
          <w:rFonts w:eastAsia="Calibri" w:cs="Times New Roman"/>
          <w:snapToGrid w:val="0"/>
          <w:szCs w:val="20"/>
          <w:lang w:val="en-US"/>
        </w:rPr>
        <w:t>re had been any discrimination against the</w:t>
      </w:r>
      <w:r w:rsidR="00130785" w:rsidRPr="00FE50A6">
        <w:rPr>
          <w:rFonts w:eastAsia="Calibri" w:cs="Times New Roman"/>
          <w:snapToGrid w:val="0"/>
          <w:szCs w:val="20"/>
          <w:lang w:val="en-US"/>
        </w:rPr>
        <w:t xml:space="preserve"> 85 </w:t>
      </w:r>
      <w:r w:rsidR="00AF42D1" w:rsidRPr="00FE50A6">
        <w:rPr>
          <w:rFonts w:eastAsia="Calibri" w:cs="Times New Roman"/>
          <w:snapToGrid w:val="0"/>
          <w:szCs w:val="20"/>
          <w:lang w:val="en-US"/>
        </w:rPr>
        <w:t>workers rescued</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 xml:space="preserve">during the 2000 inspection. The Court did not have reliable evidence </w:t>
      </w:r>
      <w:r w:rsidR="000A5FC6" w:rsidRPr="00FE50A6">
        <w:rPr>
          <w:rFonts w:eastAsia="Calibri" w:cs="Times New Roman"/>
          <w:snapToGrid w:val="0"/>
          <w:szCs w:val="20"/>
          <w:lang w:val="en-US"/>
        </w:rPr>
        <w:t>on</w:t>
      </w:r>
      <w:r w:rsidRPr="00FE50A6">
        <w:rPr>
          <w:rFonts w:eastAsia="Calibri" w:cs="Times New Roman"/>
          <w:snapToGrid w:val="0"/>
          <w:szCs w:val="20"/>
          <w:lang w:val="en-US"/>
        </w:rPr>
        <w:t xml:space="preserve"> the circumstances of the workers in relation to the other inhabitants of that </w:t>
      </w:r>
      <w:r w:rsidR="000A5FC6" w:rsidRPr="00FE50A6">
        <w:rPr>
          <w:rFonts w:eastAsia="Calibri" w:cs="Times New Roman"/>
          <w:snapToGrid w:val="0"/>
          <w:szCs w:val="20"/>
          <w:lang w:val="en-US"/>
        </w:rPr>
        <w:t>part</w:t>
      </w:r>
      <w:r w:rsidRPr="00FE50A6">
        <w:rPr>
          <w:rFonts w:eastAsia="Calibri" w:cs="Times New Roman"/>
          <w:snapToGrid w:val="0"/>
          <w:szCs w:val="20"/>
          <w:lang w:val="en-US"/>
        </w:rPr>
        <w:t xml:space="preserve"> of Piauï. Furthermore, there was no evidence of the living conditions of the inhabitants of Piauí in general, especially before the recruitment to work in </w:t>
      </w:r>
      <w:r w:rsidR="00130785" w:rsidRPr="00FE50A6">
        <w:rPr>
          <w:rFonts w:eastAsia="Calibri" w:cs="Times New Roman"/>
          <w:snapToGrid w:val="0"/>
          <w:szCs w:val="20"/>
          <w:lang w:val="en-US"/>
        </w:rPr>
        <w:t xml:space="preserve">Hacienda </w:t>
      </w:r>
      <w:r w:rsidR="00322241" w:rsidRPr="00FE50A6">
        <w:rPr>
          <w:rFonts w:eastAsia="Calibri" w:cs="Times New Roman"/>
          <w:snapToGrid w:val="0"/>
          <w:szCs w:val="20"/>
          <w:lang w:val="en-US"/>
        </w:rPr>
        <w:t>Brasil Verde</w:t>
      </w:r>
      <w:r w:rsidR="00130785" w:rsidRPr="00FE50A6">
        <w:rPr>
          <w:rFonts w:eastAsia="Calibri" w:cs="Times New Roman"/>
          <w:snapToGrid w:val="0"/>
          <w:szCs w:val="20"/>
          <w:lang w:val="en-US"/>
        </w:rPr>
        <w:t>.</w:t>
      </w:r>
    </w:p>
    <w:p w14:paraId="2F88D0F5"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2EC5171B" w14:textId="77777777" w:rsidR="00130785" w:rsidRPr="00FE50A6" w:rsidRDefault="00B93669"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Even though poverty</w:t>
      </w:r>
      <w:r w:rsidR="000A5FC6" w:rsidRPr="00FE50A6">
        <w:rPr>
          <w:rFonts w:eastAsia="Calibri" w:cs="Times New Roman"/>
          <w:snapToGrid w:val="0"/>
          <w:szCs w:val="20"/>
          <w:lang w:val="en-US"/>
        </w:rPr>
        <w:t xml:space="preserve"> may be considered</w:t>
      </w:r>
      <w:r w:rsidRPr="00FE50A6">
        <w:rPr>
          <w:rFonts w:eastAsia="Calibri" w:cs="Times New Roman"/>
          <w:snapToGrid w:val="0"/>
          <w:szCs w:val="20"/>
          <w:lang w:val="en-US"/>
        </w:rPr>
        <w:t xml:space="preserve"> a condition that </w:t>
      </w:r>
      <w:r w:rsidR="000A5FC6" w:rsidRPr="00FE50A6">
        <w:rPr>
          <w:rFonts w:eastAsia="Calibri" w:cs="Times New Roman"/>
          <w:snapToGrid w:val="0"/>
          <w:szCs w:val="20"/>
          <w:lang w:val="en-US"/>
        </w:rPr>
        <w:t>could</w:t>
      </w:r>
      <w:r w:rsidRPr="00FE50A6">
        <w:rPr>
          <w:rFonts w:eastAsia="Calibri" w:cs="Times New Roman"/>
          <w:snapToGrid w:val="0"/>
          <w:szCs w:val="20"/>
          <w:lang w:val="en-US"/>
        </w:rPr>
        <w:t xml:space="preserve"> potentially place victims in a situation of vulnerability, an analysis must be made that determines that discrimination effectively existed against a specific population. The mere presumption of the impact of poverty cannot have the automatic consequence that discrimination existed against a specific group. In this case, the Court did not have evidence to consider that the whole population of Piauí was subject to </w:t>
      </w:r>
      <w:r w:rsidR="009C48A4" w:rsidRPr="00FE50A6">
        <w:rPr>
          <w:rFonts w:eastAsia="Calibri" w:cs="Times New Roman"/>
          <w:snapToGrid w:val="0"/>
          <w:szCs w:val="20"/>
          <w:lang w:val="en-US"/>
        </w:rPr>
        <w:t>“</w:t>
      </w:r>
      <w:r w:rsidR="009308B1" w:rsidRPr="00FE50A6">
        <w:rPr>
          <w:rFonts w:eastAsia="Calibri" w:cs="Times New Roman"/>
          <w:snapToGrid w:val="0"/>
          <w:szCs w:val="20"/>
          <w:lang w:val="en-US"/>
        </w:rPr>
        <w:t>historical structural</w:t>
      </w:r>
      <w:r w:rsidR="00311174" w:rsidRPr="00FE50A6">
        <w:rPr>
          <w:rFonts w:eastAsia="Calibri" w:cs="Times New Roman"/>
          <w:snapToGrid w:val="0"/>
          <w:szCs w:val="20"/>
          <w:lang w:val="en-US"/>
        </w:rPr>
        <w:t xml:space="preserve"> discrimination</w:t>
      </w:r>
      <w:r w:rsidR="009C48A4" w:rsidRPr="00FE50A6">
        <w:rPr>
          <w:rFonts w:eastAsia="Calibri" w:cs="Times New Roman"/>
          <w:snapToGrid w:val="0"/>
          <w:szCs w:val="20"/>
          <w:lang w:val="en-US"/>
        </w:rPr>
        <w:t>”</w:t>
      </w:r>
      <w:r w:rsidR="000A5FC6" w:rsidRPr="00FE50A6">
        <w:rPr>
          <w:rFonts w:eastAsia="Calibri" w:cs="Times New Roman"/>
          <w:snapToGrid w:val="0"/>
          <w:szCs w:val="20"/>
          <w:lang w:val="en-US"/>
        </w:rPr>
        <w:t xml:space="preserve">; </w:t>
      </w:r>
      <w:r w:rsidRPr="00FE50A6">
        <w:rPr>
          <w:rFonts w:eastAsia="Calibri" w:cs="Times New Roman"/>
          <w:snapToGrid w:val="0"/>
          <w:szCs w:val="20"/>
          <w:lang w:val="en-US"/>
        </w:rPr>
        <w:t xml:space="preserve">nor was their evidence to determine that the </w:t>
      </w:r>
      <w:r w:rsidR="00130785" w:rsidRPr="00FE50A6">
        <w:rPr>
          <w:rFonts w:eastAsia="Calibri" w:cs="Times New Roman"/>
          <w:snapToGrid w:val="0"/>
          <w:szCs w:val="20"/>
          <w:lang w:val="en-US"/>
        </w:rPr>
        <w:t xml:space="preserve">85 </w:t>
      </w:r>
      <w:r w:rsidRPr="00FE50A6">
        <w:rPr>
          <w:rFonts w:eastAsia="Calibri" w:cs="Times New Roman"/>
          <w:snapToGrid w:val="0"/>
          <w:szCs w:val="20"/>
          <w:lang w:val="en-US"/>
        </w:rPr>
        <w:t xml:space="preserve">workers were subject to </w:t>
      </w:r>
      <w:r w:rsidR="000A5FC6" w:rsidRPr="00FE50A6">
        <w:rPr>
          <w:rFonts w:eastAsia="Calibri" w:cs="Times New Roman"/>
          <w:snapToGrid w:val="0"/>
          <w:szCs w:val="20"/>
          <w:lang w:val="en-US"/>
        </w:rPr>
        <w:t>such discrimination.</w:t>
      </w:r>
    </w:p>
    <w:p w14:paraId="5A1420F4"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514108AE" w14:textId="77777777" w:rsidR="00130785" w:rsidRPr="00FE50A6" w:rsidRDefault="000A5FC6"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 xml:space="preserve">Notwithstanding </w:t>
      </w:r>
      <w:r w:rsidR="00B93669" w:rsidRPr="00FE50A6">
        <w:rPr>
          <w:rFonts w:eastAsia="Calibri" w:cs="Times New Roman"/>
          <w:snapToGrid w:val="0"/>
          <w:szCs w:val="20"/>
          <w:lang w:val="en-US"/>
        </w:rPr>
        <w:t xml:space="preserve">the fact that </w:t>
      </w:r>
      <w:r w:rsidRPr="00FE50A6">
        <w:rPr>
          <w:rFonts w:eastAsia="Calibri" w:cs="Times New Roman"/>
          <w:snapToGrid w:val="0"/>
          <w:szCs w:val="20"/>
          <w:lang w:val="en-US"/>
        </w:rPr>
        <w:t xml:space="preserve">the determination of </w:t>
      </w:r>
      <w:r w:rsidR="00B93669" w:rsidRPr="00FE50A6">
        <w:rPr>
          <w:rFonts w:eastAsia="Calibri" w:cs="Times New Roman"/>
          <w:snapToGrid w:val="0"/>
          <w:szCs w:val="20"/>
          <w:lang w:val="en-US"/>
        </w:rPr>
        <w:t xml:space="preserve">a violation was </w:t>
      </w:r>
      <w:r w:rsidRPr="00FE50A6">
        <w:rPr>
          <w:rFonts w:eastAsia="Calibri" w:cs="Times New Roman"/>
          <w:snapToGrid w:val="0"/>
          <w:szCs w:val="20"/>
          <w:lang w:val="en-US"/>
        </w:rPr>
        <w:t>made</w:t>
      </w:r>
      <w:r w:rsidR="00B93669" w:rsidRPr="00FE50A6">
        <w:rPr>
          <w:rFonts w:eastAsia="Calibri" w:cs="Times New Roman"/>
          <w:snapToGrid w:val="0"/>
          <w:szCs w:val="20"/>
          <w:lang w:val="en-US"/>
        </w:rPr>
        <w:t xml:space="preserve"> with regard to the 85 workers, it is </w:t>
      </w:r>
      <w:r w:rsidR="00F42EDE" w:rsidRPr="00FE50A6">
        <w:rPr>
          <w:rFonts w:eastAsia="Calibri" w:cs="Times New Roman"/>
          <w:snapToGrid w:val="0"/>
          <w:szCs w:val="20"/>
          <w:lang w:val="en-US"/>
        </w:rPr>
        <w:t>un</w:t>
      </w:r>
      <w:r w:rsidR="00B93669" w:rsidRPr="00FE50A6">
        <w:rPr>
          <w:rFonts w:eastAsia="Calibri" w:cs="Times New Roman"/>
          <w:snapToGrid w:val="0"/>
          <w:szCs w:val="20"/>
          <w:lang w:val="en-US"/>
        </w:rPr>
        <w:t>clear whether</w:t>
      </w:r>
      <w:r w:rsidR="00AE0B8E" w:rsidRPr="00FE50A6">
        <w:rPr>
          <w:rFonts w:eastAsia="Calibri" w:cs="Times New Roman"/>
          <w:snapToGrid w:val="0"/>
          <w:szCs w:val="20"/>
          <w:lang w:val="en-US"/>
        </w:rPr>
        <w:t xml:space="preserve">, for </w:t>
      </w:r>
      <w:r w:rsidR="009C48A4" w:rsidRPr="00FE50A6">
        <w:rPr>
          <w:rFonts w:eastAsia="Calibri" w:cs="Times New Roman"/>
          <w:snapToGrid w:val="0"/>
          <w:szCs w:val="20"/>
          <w:lang w:val="en-US"/>
        </w:rPr>
        <w:t>“</w:t>
      </w:r>
      <w:r w:rsidR="009308B1" w:rsidRPr="00FE50A6">
        <w:rPr>
          <w:rFonts w:eastAsia="Calibri" w:cs="Times New Roman"/>
          <w:snapToGrid w:val="0"/>
          <w:szCs w:val="20"/>
          <w:lang w:val="en-US"/>
        </w:rPr>
        <w:t>historical structural</w:t>
      </w:r>
      <w:r w:rsidR="00311174" w:rsidRPr="00FE50A6">
        <w:rPr>
          <w:rFonts w:eastAsia="Calibri" w:cs="Times New Roman"/>
          <w:snapToGrid w:val="0"/>
          <w:szCs w:val="20"/>
          <w:lang w:val="en-US"/>
        </w:rPr>
        <w:t xml:space="preserve"> discrimination</w:t>
      </w:r>
      <w:r w:rsidR="009C48A4" w:rsidRPr="00FE50A6">
        <w:rPr>
          <w:rFonts w:eastAsia="Calibri" w:cs="Times New Roman"/>
          <w:snapToGrid w:val="0"/>
          <w:szCs w:val="20"/>
          <w:lang w:val="en-US"/>
        </w:rPr>
        <w:t>”</w:t>
      </w:r>
      <w:r w:rsidR="00F42EDE" w:rsidRPr="00FE50A6">
        <w:rPr>
          <w:rFonts w:eastAsia="Calibri" w:cs="Times New Roman"/>
          <w:snapToGrid w:val="0"/>
          <w:szCs w:val="20"/>
          <w:lang w:val="en-US"/>
        </w:rPr>
        <w:t xml:space="preserve"> to exist against them</w:t>
      </w:r>
      <w:r w:rsidR="00130785" w:rsidRPr="00FE50A6">
        <w:rPr>
          <w:rFonts w:eastAsia="Calibri" w:cs="Times New Roman"/>
          <w:snapToGrid w:val="0"/>
          <w:szCs w:val="20"/>
          <w:lang w:val="en-US"/>
        </w:rPr>
        <w:t xml:space="preserve"> </w:t>
      </w:r>
      <w:r w:rsidR="00AE0B8E" w:rsidRPr="00FE50A6">
        <w:rPr>
          <w:rFonts w:eastAsia="Calibri" w:cs="Times New Roman"/>
          <w:i/>
          <w:snapToGrid w:val="0"/>
          <w:szCs w:val="20"/>
          <w:lang w:val="en-US"/>
        </w:rPr>
        <w:t>i</w:t>
      </w:r>
      <w:r w:rsidR="00130785" w:rsidRPr="00FE50A6">
        <w:rPr>
          <w:rFonts w:eastAsia="Calibri" w:cs="Times New Roman"/>
          <w:i/>
          <w:snapToGrid w:val="0"/>
          <w:szCs w:val="20"/>
          <w:lang w:val="en-US"/>
        </w:rPr>
        <w:t>n particular</w:t>
      </w:r>
      <w:r w:rsidR="00AE0B8E" w:rsidRPr="00FE50A6">
        <w:rPr>
          <w:rFonts w:eastAsia="Calibri" w:cs="Times New Roman"/>
          <w:snapToGrid w:val="0"/>
          <w:szCs w:val="20"/>
          <w:lang w:val="en-US"/>
        </w:rPr>
        <w:t xml:space="preserve">, </w:t>
      </w:r>
      <w:r w:rsidR="00F42EDE" w:rsidRPr="00FE50A6">
        <w:rPr>
          <w:rFonts w:eastAsia="Calibri" w:cs="Times New Roman"/>
          <w:snapToGrid w:val="0"/>
          <w:szCs w:val="20"/>
          <w:lang w:val="en-US"/>
        </w:rPr>
        <w:t xml:space="preserve">it is necessary that </w:t>
      </w:r>
      <w:r w:rsidR="00AE0B8E" w:rsidRPr="00FE50A6">
        <w:rPr>
          <w:rFonts w:eastAsia="Calibri" w:cs="Times New Roman"/>
          <w:snapToGrid w:val="0"/>
          <w:szCs w:val="20"/>
          <w:lang w:val="en-US"/>
        </w:rPr>
        <w:t xml:space="preserve">a </w:t>
      </w:r>
      <w:r w:rsidR="00AE0B8E" w:rsidRPr="00FE50A6">
        <w:rPr>
          <w:rFonts w:eastAsia="Calibri" w:cs="Times New Roman"/>
          <w:i/>
          <w:snapToGrid w:val="0"/>
          <w:szCs w:val="20"/>
          <w:lang w:val="en-US"/>
        </w:rPr>
        <w:t>general</w:t>
      </w:r>
      <w:r w:rsidR="00AE0B8E" w:rsidRPr="00FE50A6">
        <w:rPr>
          <w:rFonts w:eastAsia="Calibri" w:cs="Times New Roman"/>
          <w:snapToGrid w:val="0"/>
          <w:szCs w:val="20"/>
          <w:lang w:val="en-US"/>
        </w:rPr>
        <w:t xml:space="preserve"> </w:t>
      </w:r>
      <w:r w:rsidR="009C48A4" w:rsidRPr="00FE50A6">
        <w:rPr>
          <w:rFonts w:eastAsia="Calibri" w:cs="Times New Roman"/>
          <w:snapToGrid w:val="0"/>
          <w:szCs w:val="20"/>
          <w:lang w:val="en-US"/>
        </w:rPr>
        <w:t>“</w:t>
      </w:r>
      <w:r w:rsidR="009308B1" w:rsidRPr="00FE50A6">
        <w:rPr>
          <w:rFonts w:eastAsia="Calibri" w:cs="Times New Roman"/>
          <w:snapToGrid w:val="0"/>
          <w:szCs w:val="20"/>
          <w:lang w:val="en-US"/>
        </w:rPr>
        <w:t>historical structural</w:t>
      </w:r>
      <w:r w:rsidR="00311174" w:rsidRPr="00FE50A6">
        <w:rPr>
          <w:rFonts w:eastAsia="Calibri" w:cs="Times New Roman"/>
          <w:snapToGrid w:val="0"/>
          <w:szCs w:val="20"/>
          <w:lang w:val="en-US"/>
        </w:rPr>
        <w:t xml:space="preserve"> discrimination</w:t>
      </w:r>
      <w:r w:rsidR="009C48A4" w:rsidRPr="00FE50A6">
        <w:rPr>
          <w:rFonts w:eastAsia="Calibri" w:cs="Times New Roman"/>
          <w:snapToGrid w:val="0"/>
          <w:szCs w:val="20"/>
          <w:lang w:val="en-US"/>
        </w:rPr>
        <w:t>”</w:t>
      </w:r>
      <w:r w:rsidR="00F42EDE" w:rsidRPr="00FE50A6">
        <w:rPr>
          <w:rFonts w:eastAsia="Calibri" w:cs="Times New Roman"/>
          <w:snapToGrid w:val="0"/>
          <w:szCs w:val="20"/>
          <w:lang w:val="en-US"/>
        </w:rPr>
        <w:t xml:space="preserve"> existed</w:t>
      </w:r>
      <w:r w:rsidR="00130785" w:rsidRPr="00FE50A6">
        <w:rPr>
          <w:rFonts w:eastAsia="Calibri" w:cs="Times New Roman"/>
          <w:snapToGrid w:val="0"/>
          <w:szCs w:val="20"/>
          <w:lang w:val="en-US"/>
        </w:rPr>
        <w:t xml:space="preserve"> </w:t>
      </w:r>
      <w:r w:rsidR="00AE0B8E" w:rsidRPr="00FE50A6">
        <w:rPr>
          <w:rFonts w:eastAsia="Calibri" w:cs="Times New Roman"/>
          <w:snapToGrid w:val="0"/>
          <w:szCs w:val="20"/>
          <w:lang w:val="en-US"/>
        </w:rPr>
        <w:t xml:space="preserve">against everyone living in poverty in Piauí. The Court’s argument would appear to indicate that, </w:t>
      </w:r>
      <w:r w:rsidR="00F42EDE" w:rsidRPr="00FE50A6">
        <w:rPr>
          <w:rFonts w:eastAsia="Calibri" w:cs="Times New Roman"/>
          <w:snapToGrid w:val="0"/>
          <w:szCs w:val="20"/>
          <w:lang w:val="en-US"/>
        </w:rPr>
        <w:t>whenever</w:t>
      </w:r>
      <w:r w:rsidR="00AE0B8E" w:rsidRPr="00FE50A6">
        <w:rPr>
          <w:rFonts w:eastAsia="Calibri" w:cs="Times New Roman"/>
          <w:snapToGrid w:val="0"/>
          <w:szCs w:val="20"/>
          <w:lang w:val="en-US"/>
        </w:rPr>
        <w:t xml:space="preserve"> victims shared a common characteristic (which could place them in a situation of vulnerability), </w:t>
      </w:r>
      <w:r w:rsidR="00C82C2B" w:rsidRPr="00FE50A6">
        <w:rPr>
          <w:rFonts w:eastAsia="Calibri" w:cs="Times New Roman"/>
          <w:snapToGrid w:val="0"/>
          <w:szCs w:val="20"/>
          <w:lang w:val="en-US"/>
        </w:rPr>
        <w:t>structural discrimination</w:t>
      </w:r>
      <w:r w:rsidR="00AE0B8E" w:rsidRPr="00FE50A6">
        <w:rPr>
          <w:rFonts w:eastAsia="Calibri" w:cs="Times New Roman"/>
          <w:snapToGrid w:val="0"/>
          <w:szCs w:val="20"/>
          <w:lang w:val="en-US"/>
        </w:rPr>
        <w:t xml:space="preserve"> would automatically exist</w:t>
      </w:r>
      <w:r w:rsidR="00F42EDE" w:rsidRPr="00FE50A6">
        <w:rPr>
          <w:rFonts w:eastAsia="Calibri" w:cs="Times New Roman"/>
          <w:snapToGrid w:val="0"/>
          <w:szCs w:val="20"/>
          <w:lang w:val="en-US"/>
        </w:rPr>
        <w:t xml:space="preserve"> based on this fact alone. </w:t>
      </w:r>
    </w:p>
    <w:p w14:paraId="46F6E576"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08CDA913" w14:textId="77777777" w:rsidR="00130785" w:rsidRPr="00FE50A6" w:rsidRDefault="00AE0B8E"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Second, I consider that the common characteristics shared by the workers in this case d</w:t>
      </w:r>
      <w:r w:rsidR="00F42EDE" w:rsidRPr="00FE50A6">
        <w:rPr>
          <w:rFonts w:eastAsia="Calibri" w:cs="Times New Roman"/>
          <w:snapToGrid w:val="0"/>
          <w:szCs w:val="20"/>
          <w:lang w:val="en-US"/>
        </w:rPr>
        <w:t>id</w:t>
      </w:r>
      <w:r w:rsidRPr="00FE50A6">
        <w:rPr>
          <w:rFonts w:eastAsia="Calibri" w:cs="Times New Roman"/>
          <w:snapToGrid w:val="0"/>
          <w:szCs w:val="20"/>
          <w:lang w:val="en-US"/>
        </w:rPr>
        <w:t xml:space="preserve"> not constitute sufficient factors to declare the existence of </w:t>
      </w:r>
      <w:r w:rsidR="00C82C2B" w:rsidRPr="00FE50A6">
        <w:rPr>
          <w:rFonts w:eastAsia="Calibri" w:cs="Times New Roman"/>
          <w:snapToGrid w:val="0"/>
          <w:szCs w:val="20"/>
          <w:lang w:val="en-US"/>
        </w:rPr>
        <w:t>structural discrimination</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 xml:space="preserve">against them. Although it is true that, in general, the workers subjected to conditions similar to slavery shared some </w:t>
      </w:r>
      <w:r w:rsidR="00F42EDE" w:rsidRPr="00FE50A6">
        <w:rPr>
          <w:rFonts w:eastAsia="Calibri" w:cs="Times New Roman"/>
          <w:snapToGrid w:val="0"/>
          <w:szCs w:val="20"/>
          <w:lang w:val="en-US"/>
        </w:rPr>
        <w:t>characteristics</w:t>
      </w:r>
      <w:r w:rsidRPr="00FE50A6">
        <w:rPr>
          <w:rFonts w:eastAsia="Calibri" w:cs="Times New Roman"/>
          <w:snapToGrid w:val="0"/>
          <w:szCs w:val="20"/>
          <w:lang w:val="en-US"/>
        </w:rPr>
        <w:t xml:space="preserve">, these characteristics </w:t>
      </w:r>
      <w:r w:rsidR="00F42EDE" w:rsidRPr="00FE50A6">
        <w:rPr>
          <w:rFonts w:eastAsia="Calibri" w:cs="Times New Roman"/>
          <w:snapToGrid w:val="0"/>
          <w:szCs w:val="20"/>
          <w:lang w:val="en-US"/>
        </w:rPr>
        <w:t>a</w:t>
      </w:r>
      <w:r w:rsidRPr="00FE50A6">
        <w:rPr>
          <w:rFonts w:eastAsia="Calibri" w:cs="Times New Roman"/>
          <w:snapToGrid w:val="0"/>
          <w:szCs w:val="20"/>
          <w:lang w:val="en-US"/>
        </w:rPr>
        <w:t xml:space="preserve">re also shared by a large number of people </w:t>
      </w:r>
      <w:r w:rsidR="00E368FD" w:rsidRPr="00FE50A6">
        <w:rPr>
          <w:rFonts w:eastAsia="Calibri" w:cs="Times New Roman"/>
          <w:lang w:val="en-US"/>
        </w:rPr>
        <w:t>in Brazil</w:t>
      </w:r>
      <w:r w:rsidR="00130785" w:rsidRPr="00FE50A6">
        <w:rPr>
          <w:rFonts w:eastAsia="Calibri" w:cs="Times New Roman"/>
          <w:lang w:val="en-US"/>
        </w:rPr>
        <w:t xml:space="preserve">, </w:t>
      </w:r>
      <w:r w:rsidRPr="00FE50A6">
        <w:rPr>
          <w:rFonts w:eastAsia="Calibri" w:cs="Times New Roman"/>
          <w:lang w:val="en-US"/>
        </w:rPr>
        <w:t xml:space="preserve">who are living in poverty and have low levels of schooling. In this regard, it </w:t>
      </w:r>
      <w:r w:rsidR="00F42EDE" w:rsidRPr="00FE50A6">
        <w:rPr>
          <w:rFonts w:eastAsia="Calibri" w:cs="Times New Roman"/>
          <w:lang w:val="en-US"/>
        </w:rPr>
        <w:t>was</w:t>
      </w:r>
      <w:r w:rsidRPr="00FE50A6">
        <w:rPr>
          <w:rFonts w:eastAsia="Calibri" w:cs="Times New Roman"/>
          <w:lang w:val="en-US"/>
        </w:rPr>
        <w:t xml:space="preserve"> not correct to conclude the existence of </w:t>
      </w:r>
      <w:r w:rsidR="009308B1" w:rsidRPr="00FE50A6">
        <w:rPr>
          <w:rFonts w:eastAsia="Calibri" w:cs="Times New Roman"/>
          <w:lang w:val="en-US"/>
        </w:rPr>
        <w:t>historical structural</w:t>
      </w:r>
      <w:r w:rsidR="00311174" w:rsidRPr="00FE50A6">
        <w:rPr>
          <w:rFonts w:eastAsia="Calibri" w:cs="Times New Roman"/>
          <w:lang w:val="en-US"/>
        </w:rPr>
        <w:t xml:space="preserve"> discrimination</w:t>
      </w:r>
      <w:r w:rsidR="00130785" w:rsidRPr="00FE50A6">
        <w:rPr>
          <w:rFonts w:eastAsia="Calibri" w:cs="Times New Roman"/>
          <w:lang w:val="en-US"/>
        </w:rPr>
        <w:t xml:space="preserve"> </w:t>
      </w:r>
      <w:r w:rsidRPr="00FE50A6">
        <w:rPr>
          <w:rFonts w:eastAsia="Calibri" w:cs="Times New Roman"/>
          <w:lang w:val="en-US"/>
        </w:rPr>
        <w:t>against the</w:t>
      </w:r>
      <w:r w:rsidR="00130785" w:rsidRPr="00FE50A6">
        <w:rPr>
          <w:rFonts w:eastAsia="Calibri" w:cs="Times New Roman"/>
          <w:lang w:val="en-US"/>
        </w:rPr>
        <w:t xml:space="preserve"> </w:t>
      </w:r>
      <w:r w:rsidR="00030C17" w:rsidRPr="00FE50A6">
        <w:rPr>
          <w:rFonts w:eastAsia="Calibri" w:cs="Times New Roman"/>
          <w:lang w:val="en-US"/>
        </w:rPr>
        <w:t xml:space="preserve">Hacienda </w:t>
      </w:r>
      <w:r w:rsidR="00322241" w:rsidRPr="00FE50A6">
        <w:rPr>
          <w:rFonts w:eastAsia="Calibri" w:cs="Times New Roman"/>
          <w:lang w:val="en-US"/>
        </w:rPr>
        <w:t>Brasil Verde</w:t>
      </w:r>
      <w:r w:rsidR="00030C17" w:rsidRPr="00FE50A6">
        <w:rPr>
          <w:rFonts w:eastAsia="Calibri" w:cs="Times New Roman"/>
          <w:lang w:val="en-US"/>
        </w:rPr>
        <w:t xml:space="preserve"> </w:t>
      </w:r>
      <w:r w:rsidRPr="00FE50A6">
        <w:rPr>
          <w:rFonts w:eastAsia="Calibri" w:cs="Times New Roman"/>
          <w:lang w:val="en-US"/>
        </w:rPr>
        <w:t>w</w:t>
      </w:r>
      <w:r w:rsidR="00030C17" w:rsidRPr="00FE50A6">
        <w:rPr>
          <w:rFonts w:eastAsia="Calibri" w:cs="Times New Roman"/>
          <w:lang w:val="en-US"/>
        </w:rPr>
        <w:t>orkers</w:t>
      </w:r>
      <w:r w:rsidR="00130785" w:rsidRPr="00FE50A6">
        <w:rPr>
          <w:rFonts w:eastAsia="Calibri" w:cs="Times New Roman"/>
          <w:lang w:val="en-US"/>
        </w:rPr>
        <w:t xml:space="preserve"> </w:t>
      </w:r>
      <w:r w:rsidR="0088467F" w:rsidRPr="00FE50A6">
        <w:rPr>
          <w:rFonts w:eastAsia="Calibri" w:cs="Times New Roman"/>
          <w:lang w:val="en-US"/>
        </w:rPr>
        <w:t>in this case</w:t>
      </w:r>
      <w:r w:rsidR="00130785" w:rsidRPr="00FE50A6">
        <w:rPr>
          <w:rFonts w:eastAsia="Calibri" w:cs="Times New Roman"/>
          <w:lang w:val="en-US"/>
        </w:rPr>
        <w:t>.</w:t>
      </w:r>
    </w:p>
    <w:p w14:paraId="54DC0323" w14:textId="77777777" w:rsidR="00130785" w:rsidRPr="00FE50A6" w:rsidRDefault="00130785" w:rsidP="00130785">
      <w:pPr>
        <w:tabs>
          <w:tab w:val="clear" w:pos="4419"/>
          <w:tab w:val="clear" w:pos="8838"/>
        </w:tabs>
        <w:ind w:left="720"/>
        <w:contextualSpacing/>
        <w:jc w:val="both"/>
        <w:rPr>
          <w:rFonts w:eastAsia="Calibri" w:cs="Times New Roman"/>
          <w:lang w:val="en-US"/>
        </w:rPr>
      </w:pPr>
    </w:p>
    <w:p w14:paraId="17712943" w14:textId="77777777" w:rsidR="00130785" w:rsidRPr="00FE50A6" w:rsidRDefault="00940BF7"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Third, the judgment did not</w:t>
      </w:r>
      <w:r w:rsidR="00F42EDE" w:rsidRPr="00FE50A6">
        <w:rPr>
          <w:rFonts w:eastAsia="Calibri" w:cs="Times New Roman"/>
          <w:snapToGrid w:val="0"/>
          <w:szCs w:val="20"/>
          <w:lang w:val="en-US"/>
        </w:rPr>
        <w:t xml:space="preserve"> adequately</w:t>
      </w:r>
      <w:r w:rsidRPr="00FE50A6">
        <w:rPr>
          <w:rFonts w:eastAsia="Calibri" w:cs="Times New Roman"/>
          <w:snapToGrid w:val="0"/>
          <w:szCs w:val="20"/>
          <w:lang w:val="en-US"/>
        </w:rPr>
        <w:t xml:space="preserve"> take into consideration the measures</w:t>
      </w:r>
      <w:r w:rsidR="006E27EA" w:rsidRPr="00FE50A6">
        <w:rPr>
          <w:rFonts w:eastAsia="Calibri" w:cs="Times New Roman"/>
          <w:snapToGrid w:val="0"/>
          <w:szCs w:val="20"/>
          <w:lang w:val="en-US"/>
        </w:rPr>
        <w:t xml:space="preserve"> adopted by</w:t>
      </w:r>
      <w:r w:rsidR="00130785" w:rsidRPr="00FE50A6">
        <w:rPr>
          <w:rFonts w:eastAsia="Calibri" w:cs="Times New Roman"/>
          <w:snapToGrid w:val="0"/>
          <w:szCs w:val="20"/>
          <w:lang w:val="en-US"/>
        </w:rPr>
        <w:t xml:space="preserve"> </w:t>
      </w:r>
      <w:r w:rsidR="000228D0" w:rsidRPr="00FE50A6">
        <w:rPr>
          <w:rFonts w:eastAsia="Calibri" w:cs="Times New Roman"/>
          <w:snapToGrid w:val="0"/>
          <w:szCs w:val="20"/>
          <w:lang w:val="en-US"/>
        </w:rPr>
        <w:t>the State</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 xml:space="preserve">to prevent and punish slavery, particularly in rural </w:t>
      </w:r>
      <w:r w:rsidR="00F42EDE" w:rsidRPr="00FE50A6">
        <w:rPr>
          <w:rFonts w:eastAsia="Calibri" w:cs="Times New Roman"/>
          <w:snapToGrid w:val="0"/>
          <w:szCs w:val="20"/>
          <w:lang w:val="en-US"/>
        </w:rPr>
        <w:t>areas</w:t>
      </w:r>
      <w:r w:rsidRPr="00FE50A6">
        <w:rPr>
          <w:rFonts w:eastAsia="Calibri" w:cs="Times New Roman"/>
          <w:snapToGrid w:val="0"/>
          <w:szCs w:val="20"/>
          <w:lang w:val="en-US"/>
        </w:rPr>
        <w:t xml:space="preserve">. Despite the State’s efforts, the determination of the existence of </w:t>
      </w:r>
      <w:r w:rsidR="009308B1" w:rsidRPr="00FE50A6">
        <w:rPr>
          <w:rFonts w:eastAsia="Calibri" w:cs="Times New Roman"/>
          <w:lang w:val="en-US"/>
        </w:rPr>
        <w:t>historical structural</w:t>
      </w:r>
      <w:r w:rsidR="00311174" w:rsidRPr="00FE50A6">
        <w:rPr>
          <w:rFonts w:eastAsia="Calibri" w:cs="Times New Roman"/>
          <w:lang w:val="en-US"/>
        </w:rPr>
        <w:t xml:space="preserve"> discrimination</w:t>
      </w:r>
      <w:r w:rsidR="00130785" w:rsidRPr="00FE50A6">
        <w:rPr>
          <w:rFonts w:eastAsia="Calibri" w:cs="Times New Roman"/>
          <w:lang w:val="en-US"/>
        </w:rPr>
        <w:t xml:space="preserve"> </w:t>
      </w:r>
      <w:r w:rsidRPr="00FE50A6">
        <w:rPr>
          <w:rFonts w:eastAsia="Calibri" w:cs="Times New Roman"/>
          <w:lang w:val="en-US"/>
        </w:rPr>
        <w:t>against the</w:t>
      </w:r>
      <w:r w:rsidR="00130785" w:rsidRPr="00FE50A6">
        <w:rPr>
          <w:rFonts w:eastAsia="Calibri" w:cs="Times New Roman"/>
          <w:lang w:val="en-US"/>
        </w:rPr>
        <w:t xml:space="preserve"> </w:t>
      </w:r>
      <w:r w:rsidR="00030C17" w:rsidRPr="00FE50A6">
        <w:rPr>
          <w:rFonts w:eastAsia="Calibri" w:cs="Times New Roman"/>
          <w:lang w:val="en-US"/>
        </w:rPr>
        <w:t xml:space="preserve">Hacienda </w:t>
      </w:r>
      <w:r w:rsidR="00322241" w:rsidRPr="00FE50A6">
        <w:rPr>
          <w:rFonts w:eastAsia="Calibri" w:cs="Times New Roman"/>
          <w:lang w:val="en-US"/>
        </w:rPr>
        <w:t>Brasil Verde</w:t>
      </w:r>
      <w:r w:rsidR="00030C17" w:rsidRPr="00FE50A6">
        <w:rPr>
          <w:rFonts w:eastAsia="Calibri" w:cs="Times New Roman"/>
          <w:lang w:val="en-US"/>
        </w:rPr>
        <w:t xml:space="preserve"> </w:t>
      </w:r>
      <w:r w:rsidRPr="00FE50A6">
        <w:rPr>
          <w:rFonts w:eastAsia="Calibri" w:cs="Times New Roman"/>
          <w:lang w:val="en-US"/>
        </w:rPr>
        <w:t>w</w:t>
      </w:r>
      <w:r w:rsidR="00030C17" w:rsidRPr="00FE50A6">
        <w:rPr>
          <w:rFonts w:eastAsia="Calibri" w:cs="Times New Roman"/>
          <w:lang w:val="en-US"/>
        </w:rPr>
        <w:t>orkers</w:t>
      </w:r>
      <w:r w:rsidR="00130785" w:rsidRPr="00FE50A6">
        <w:rPr>
          <w:rFonts w:eastAsia="Calibri" w:cs="Times New Roman"/>
          <w:lang w:val="en-US"/>
        </w:rPr>
        <w:t xml:space="preserve"> </w:t>
      </w:r>
      <w:r w:rsidRPr="00FE50A6">
        <w:rPr>
          <w:rFonts w:eastAsia="Calibri" w:cs="Times New Roman"/>
          <w:lang w:val="en-US"/>
        </w:rPr>
        <w:t xml:space="preserve">would appear to be the result of the existence of people living in poverty and also in a situation of slavery </w:t>
      </w:r>
      <w:r w:rsidR="00E368FD" w:rsidRPr="00FE50A6">
        <w:rPr>
          <w:rFonts w:eastAsia="Calibri" w:cs="Times New Roman"/>
          <w:lang w:val="en-US"/>
        </w:rPr>
        <w:t>in Brazil</w:t>
      </w:r>
      <w:r w:rsidR="00130785" w:rsidRPr="00FE50A6">
        <w:rPr>
          <w:rFonts w:eastAsia="Calibri" w:cs="Times New Roman"/>
          <w:lang w:val="en-US"/>
        </w:rPr>
        <w:t>,</w:t>
      </w:r>
      <w:r w:rsidR="00030C17" w:rsidRPr="00FE50A6">
        <w:rPr>
          <w:rFonts w:eastAsia="Calibri" w:cs="Times New Roman"/>
          <w:lang w:val="en-US"/>
        </w:rPr>
        <w:t xml:space="preserve"> and</w:t>
      </w:r>
      <w:r w:rsidRPr="00FE50A6">
        <w:rPr>
          <w:rFonts w:eastAsia="Calibri" w:cs="Times New Roman"/>
          <w:lang w:val="en-US"/>
        </w:rPr>
        <w:t xml:space="preserve"> the corresponding </w:t>
      </w:r>
      <w:r w:rsidR="00A62124" w:rsidRPr="00FE50A6">
        <w:rPr>
          <w:rFonts w:eastAsia="Calibri" w:cs="Times New Roman"/>
          <w:lang w:val="en-US"/>
        </w:rPr>
        <w:t>condemnation</w:t>
      </w:r>
      <w:r w:rsidRPr="00FE50A6">
        <w:rPr>
          <w:rFonts w:eastAsia="Calibri" w:cs="Times New Roman"/>
          <w:lang w:val="en-US"/>
        </w:rPr>
        <w:t xml:space="preserve"> of the State on that basis. The existence of structural social problems does not automatically give rise to </w:t>
      </w:r>
      <w:r w:rsidR="00700B79" w:rsidRPr="00FE50A6">
        <w:rPr>
          <w:rFonts w:eastAsia="Calibri" w:cs="Times New Roman"/>
          <w:lang w:val="en-US"/>
        </w:rPr>
        <w:t>the international responsibility</w:t>
      </w:r>
      <w:r w:rsidR="00130785" w:rsidRPr="00FE50A6">
        <w:rPr>
          <w:rFonts w:eastAsia="Calibri" w:cs="Times New Roman"/>
          <w:lang w:val="en-US"/>
        </w:rPr>
        <w:t xml:space="preserve"> </w:t>
      </w:r>
      <w:r w:rsidRPr="00FE50A6">
        <w:rPr>
          <w:rFonts w:eastAsia="Calibri" w:cs="Times New Roman"/>
          <w:lang w:val="en-US"/>
        </w:rPr>
        <w:t>of</w:t>
      </w:r>
      <w:r w:rsidR="00130785" w:rsidRPr="00FE50A6">
        <w:rPr>
          <w:rFonts w:eastAsia="Calibri" w:cs="Times New Roman"/>
          <w:lang w:val="en-US"/>
        </w:rPr>
        <w:t xml:space="preserve"> </w:t>
      </w:r>
      <w:r w:rsidR="000228D0" w:rsidRPr="00FE50A6">
        <w:rPr>
          <w:rFonts w:eastAsia="Calibri" w:cs="Times New Roman"/>
          <w:lang w:val="en-US"/>
        </w:rPr>
        <w:t>Brazil</w:t>
      </w:r>
      <w:r w:rsidR="00130785" w:rsidRPr="00FE50A6">
        <w:rPr>
          <w:rFonts w:eastAsia="Calibri" w:cs="Times New Roman"/>
          <w:lang w:val="en-US"/>
        </w:rPr>
        <w:t>.</w:t>
      </w:r>
    </w:p>
    <w:p w14:paraId="6B48B71E"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5FA5FA8C" w14:textId="77777777" w:rsidR="00130785" w:rsidRPr="00FE50A6" w:rsidRDefault="00A62124"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I</w:t>
      </w:r>
      <w:r w:rsidR="00130785" w:rsidRPr="00FE50A6">
        <w:rPr>
          <w:rFonts w:eastAsia="Calibri" w:cs="Times New Roman"/>
          <w:snapToGrid w:val="0"/>
          <w:szCs w:val="20"/>
          <w:lang w:val="en-US"/>
        </w:rPr>
        <w:t xml:space="preserve">n </w:t>
      </w:r>
      <w:r w:rsidR="00AF42D1" w:rsidRPr="00FE50A6">
        <w:rPr>
          <w:rFonts w:eastAsia="Calibri" w:cs="Times New Roman"/>
          <w:snapToGrid w:val="0"/>
          <w:szCs w:val="20"/>
          <w:lang w:val="en-US"/>
        </w:rPr>
        <w:t>conclusion</w:t>
      </w:r>
      <w:r w:rsidR="00130785" w:rsidRPr="00FE50A6">
        <w:rPr>
          <w:rFonts w:eastAsia="Calibri" w:cs="Times New Roman"/>
          <w:snapToGrid w:val="0"/>
          <w:szCs w:val="20"/>
          <w:lang w:val="en-US"/>
        </w:rPr>
        <w:t xml:space="preserve">, </w:t>
      </w:r>
      <w:r w:rsidR="00940BF7" w:rsidRPr="00FE50A6">
        <w:rPr>
          <w:rFonts w:eastAsia="Calibri" w:cs="Times New Roman"/>
          <w:snapToGrid w:val="0"/>
          <w:szCs w:val="20"/>
          <w:lang w:val="en-US"/>
        </w:rPr>
        <w:t xml:space="preserve">I consider that the </w:t>
      </w:r>
      <w:r w:rsidRPr="00FE50A6">
        <w:rPr>
          <w:rFonts w:eastAsia="Calibri" w:cs="Times New Roman"/>
          <w:snapToGrid w:val="0"/>
          <w:szCs w:val="20"/>
          <w:lang w:val="en-US"/>
        </w:rPr>
        <w:t xml:space="preserve">Court’s </w:t>
      </w:r>
      <w:r w:rsidR="00940BF7" w:rsidRPr="00FE50A6">
        <w:rPr>
          <w:rFonts w:eastAsia="Calibri" w:cs="Times New Roman"/>
          <w:snapToGrid w:val="0"/>
          <w:szCs w:val="20"/>
          <w:lang w:val="en-US"/>
        </w:rPr>
        <w:t>determination of the existence of a situation of</w:t>
      </w:r>
      <w:r w:rsidR="00130785" w:rsidRPr="00FE50A6">
        <w:rPr>
          <w:rFonts w:eastAsia="Calibri" w:cs="Times New Roman"/>
          <w:lang w:val="en-US"/>
        </w:rPr>
        <w:t xml:space="preserve"> </w:t>
      </w:r>
      <w:r w:rsidR="009308B1" w:rsidRPr="00FE50A6">
        <w:rPr>
          <w:rFonts w:eastAsia="Calibri" w:cs="Times New Roman"/>
          <w:lang w:val="en-US"/>
        </w:rPr>
        <w:t>historical structural</w:t>
      </w:r>
      <w:r w:rsidR="00311174" w:rsidRPr="00FE50A6">
        <w:rPr>
          <w:rFonts w:eastAsia="Calibri" w:cs="Times New Roman"/>
          <w:lang w:val="en-US"/>
        </w:rPr>
        <w:t xml:space="preserve"> discrimination</w:t>
      </w:r>
      <w:r w:rsidR="00E368FD" w:rsidRPr="00FE50A6">
        <w:rPr>
          <w:rFonts w:eastAsia="Calibri" w:cs="Times New Roman"/>
          <w:lang w:val="en-US"/>
        </w:rPr>
        <w:t xml:space="preserve"> in Brazil</w:t>
      </w:r>
      <w:r w:rsidR="00940BF7" w:rsidRPr="00FE50A6">
        <w:rPr>
          <w:rFonts w:eastAsia="Calibri" w:cs="Times New Roman"/>
          <w:lang w:val="en-US"/>
        </w:rPr>
        <w:t xml:space="preserve"> was </w:t>
      </w:r>
      <w:r w:rsidRPr="00FE50A6">
        <w:rPr>
          <w:rFonts w:eastAsia="Calibri" w:cs="Times New Roman"/>
          <w:lang w:val="en-US"/>
        </w:rPr>
        <w:t>in</w:t>
      </w:r>
      <w:r w:rsidR="00940BF7" w:rsidRPr="00FE50A6">
        <w:rPr>
          <w:rFonts w:eastAsia="Calibri" w:cs="Times New Roman"/>
          <w:lang w:val="en-US"/>
        </w:rPr>
        <w:t>correct. The Court’s decision lacks the necessary detailed analysis and a</w:t>
      </w:r>
      <w:r w:rsidRPr="00FE50A6">
        <w:rPr>
          <w:rFonts w:eastAsia="Calibri" w:cs="Times New Roman"/>
          <w:lang w:val="en-US"/>
        </w:rPr>
        <w:t xml:space="preserve"> substantiation</w:t>
      </w:r>
      <w:r w:rsidR="00940BF7" w:rsidRPr="00FE50A6">
        <w:rPr>
          <w:rFonts w:eastAsia="Calibri" w:cs="Times New Roman"/>
          <w:lang w:val="en-US"/>
        </w:rPr>
        <w:t xml:space="preserve"> that is consequent with the general characteristics of the population and the specific causes and consequences of a situation of discrimination, in particular when this refers to elements</w:t>
      </w:r>
      <w:r w:rsidRPr="00FE50A6">
        <w:rPr>
          <w:rFonts w:eastAsia="Calibri" w:cs="Times New Roman"/>
          <w:lang w:val="en-US"/>
        </w:rPr>
        <w:t>, such as poverty,</w:t>
      </w:r>
      <w:r w:rsidR="00940BF7" w:rsidRPr="00FE50A6">
        <w:rPr>
          <w:rFonts w:eastAsia="Calibri" w:cs="Times New Roman"/>
          <w:lang w:val="en-US"/>
        </w:rPr>
        <w:t xml:space="preserve"> that may </w:t>
      </w:r>
      <w:r w:rsidR="007526C2" w:rsidRPr="00FE50A6">
        <w:rPr>
          <w:rFonts w:eastAsia="Calibri" w:cs="Times New Roman"/>
          <w:lang w:val="en-US"/>
        </w:rPr>
        <w:t>allow for</w:t>
      </w:r>
      <w:r w:rsidR="00940BF7" w:rsidRPr="00FE50A6">
        <w:rPr>
          <w:rFonts w:eastAsia="Calibri" w:cs="Times New Roman"/>
          <w:lang w:val="en-US"/>
        </w:rPr>
        <w:t xml:space="preserve"> different interpretations. Furthermore, I consider that the majority decision disregards the measures taken by the State in recent decades and the reality</w:t>
      </w:r>
      <w:r w:rsidR="007526C2" w:rsidRPr="00FE50A6">
        <w:rPr>
          <w:rFonts w:eastAsia="Calibri" w:cs="Times New Roman"/>
          <w:lang w:val="en-US"/>
        </w:rPr>
        <w:t xml:space="preserve"> of Brazil</w:t>
      </w:r>
      <w:r w:rsidR="00940BF7" w:rsidRPr="00FE50A6">
        <w:rPr>
          <w:rFonts w:eastAsia="Calibri" w:cs="Times New Roman"/>
          <w:lang w:val="en-US"/>
        </w:rPr>
        <w:t xml:space="preserve">, and is based on a reductionist analysis, according to which the existence of a situation of vulnerability gives rise directly, without further analysis, to </w:t>
      </w:r>
      <w:r w:rsidR="00700B79" w:rsidRPr="00FE50A6">
        <w:rPr>
          <w:rFonts w:eastAsia="Calibri" w:cs="Times New Roman"/>
          <w:lang w:val="en-US"/>
        </w:rPr>
        <w:t>the international responsibility</w:t>
      </w:r>
      <w:r w:rsidR="00703850" w:rsidRPr="00FE50A6">
        <w:rPr>
          <w:rFonts w:eastAsia="Calibri" w:cs="Times New Roman"/>
          <w:lang w:val="en-US"/>
        </w:rPr>
        <w:t xml:space="preserve"> of the </w:t>
      </w:r>
      <w:r w:rsidR="000228D0" w:rsidRPr="00FE50A6">
        <w:rPr>
          <w:rFonts w:eastAsia="Calibri" w:cs="Times New Roman"/>
          <w:lang w:val="en-US"/>
        </w:rPr>
        <w:t>State</w:t>
      </w:r>
      <w:r w:rsidR="00130785" w:rsidRPr="00FE50A6">
        <w:rPr>
          <w:rFonts w:eastAsia="Calibri" w:cs="Times New Roman"/>
          <w:lang w:val="en-US"/>
        </w:rPr>
        <w:t>.</w:t>
      </w:r>
    </w:p>
    <w:p w14:paraId="7D89C86A" w14:textId="77777777" w:rsidR="00130785" w:rsidRPr="00FE50A6" w:rsidRDefault="00130785" w:rsidP="00130785">
      <w:pPr>
        <w:tabs>
          <w:tab w:val="clear" w:pos="4419"/>
          <w:tab w:val="clear" w:pos="8838"/>
        </w:tabs>
        <w:ind w:left="720"/>
        <w:contextualSpacing/>
        <w:jc w:val="both"/>
        <w:rPr>
          <w:rFonts w:eastAsia="Calibri" w:cs="Times New Roman"/>
          <w:b/>
          <w:snapToGrid w:val="0"/>
          <w:szCs w:val="20"/>
          <w:lang w:val="en-US"/>
        </w:rPr>
      </w:pPr>
    </w:p>
    <w:p w14:paraId="29DA7881" w14:textId="77777777" w:rsidR="00130785" w:rsidRPr="00FE50A6" w:rsidRDefault="00130785" w:rsidP="008B0BCC">
      <w:pPr>
        <w:numPr>
          <w:ilvl w:val="0"/>
          <w:numId w:val="29"/>
        </w:numPr>
        <w:tabs>
          <w:tab w:val="clear" w:pos="4419"/>
          <w:tab w:val="clear" w:pos="8838"/>
        </w:tabs>
        <w:contextualSpacing/>
        <w:jc w:val="both"/>
        <w:rPr>
          <w:rFonts w:eastAsia="Calibri" w:cs="Times New Roman"/>
          <w:b/>
          <w:snapToGrid w:val="0"/>
          <w:szCs w:val="20"/>
          <w:lang w:val="en-US"/>
        </w:rPr>
      </w:pPr>
      <w:r w:rsidRPr="00FE50A6">
        <w:rPr>
          <w:rFonts w:eastAsia="Calibri" w:cs="Times New Roman"/>
          <w:b/>
          <w:snapToGrid w:val="0"/>
          <w:szCs w:val="20"/>
          <w:lang w:val="en-US"/>
        </w:rPr>
        <w:t>Dis</w:t>
      </w:r>
      <w:r w:rsidR="00CD003F" w:rsidRPr="00FE50A6">
        <w:rPr>
          <w:rFonts w:eastAsia="Calibri" w:cs="Times New Roman"/>
          <w:b/>
          <w:snapToGrid w:val="0"/>
          <w:szCs w:val="20"/>
          <w:lang w:val="en-US"/>
        </w:rPr>
        <w:t xml:space="preserve">sent regarding </w:t>
      </w:r>
      <w:r w:rsidR="00703850" w:rsidRPr="00FE50A6">
        <w:rPr>
          <w:rFonts w:eastAsia="Calibri" w:cs="Times New Roman"/>
          <w:b/>
          <w:snapToGrid w:val="0"/>
          <w:szCs w:val="20"/>
          <w:lang w:val="en-US"/>
        </w:rPr>
        <w:t>the violation</w:t>
      </w:r>
      <w:r w:rsidR="00EE52F3" w:rsidRPr="00FE50A6">
        <w:rPr>
          <w:rFonts w:eastAsia="Calibri" w:cs="Times New Roman"/>
          <w:b/>
          <w:snapToGrid w:val="0"/>
          <w:szCs w:val="20"/>
          <w:lang w:val="en-US"/>
        </w:rPr>
        <w:t xml:space="preserve"> of </w:t>
      </w:r>
      <w:r w:rsidR="00CD003F" w:rsidRPr="00FE50A6">
        <w:rPr>
          <w:rFonts w:eastAsia="Cambria" w:cs="Times New Roman"/>
          <w:b/>
          <w:szCs w:val="20"/>
          <w:lang w:val="en-US"/>
        </w:rPr>
        <w:t>the right to</w:t>
      </w:r>
      <w:r w:rsidRPr="00FE50A6">
        <w:rPr>
          <w:rFonts w:eastAsia="Cambria" w:cs="Times New Roman"/>
          <w:b/>
          <w:szCs w:val="20"/>
          <w:lang w:val="en-US"/>
        </w:rPr>
        <w:t xml:space="preserve"> </w:t>
      </w:r>
      <w:r w:rsidR="00D11A9F" w:rsidRPr="00FE50A6">
        <w:rPr>
          <w:rFonts w:eastAsia="Cambria" w:cs="Times New Roman"/>
          <w:b/>
          <w:szCs w:val="20"/>
          <w:lang w:val="en-US"/>
        </w:rPr>
        <w:t>judicial protection</w:t>
      </w:r>
      <w:r w:rsidRPr="00FE50A6">
        <w:rPr>
          <w:rFonts w:eastAsia="Cambria" w:cs="Times New Roman"/>
          <w:b/>
          <w:szCs w:val="20"/>
          <w:lang w:val="en-US"/>
        </w:rPr>
        <w:t xml:space="preserve"> </w:t>
      </w:r>
      <w:r w:rsidR="00351E20" w:rsidRPr="00FE50A6">
        <w:rPr>
          <w:rFonts w:eastAsia="Cambria" w:cs="Times New Roman"/>
          <w:b/>
          <w:szCs w:val="20"/>
          <w:lang w:val="en-US"/>
        </w:rPr>
        <w:t>established in Article</w:t>
      </w:r>
      <w:r w:rsidRPr="00FE50A6">
        <w:rPr>
          <w:rFonts w:eastAsia="Cambria" w:cs="Times New Roman"/>
          <w:b/>
          <w:szCs w:val="20"/>
          <w:lang w:val="en-US"/>
        </w:rPr>
        <w:t xml:space="preserve"> 25</w:t>
      </w:r>
      <w:r w:rsidR="000228D0" w:rsidRPr="00FE50A6">
        <w:rPr>
          <w:rFonts w:eastAsia="Cambria" w:cs="Times New Roman"/>
          <w:b/>
          <w:szCs w:val="20"/>
          <w:lang w:val="en-US"/>
        </w:rPr>
        <w:t xml:space="preserve"> of the American Convention</w:t>
      </w:r>
    </w:p>
    <w:p w14:paraId="3D4DB937" w14:textId="77777777" w:rsidR="00130785" w:rsidRPr="00FE50A6" w:rsidRDefault="00130785" w:rsidP="00CD003F">
      <w:pPr>
        <w:tabs>
          <w:tab w:val="clear" w:pos="4419"/>
          <w:tab w:val="clear" w:pos="8838"/>
        </w:tabs>
        <w:contextualSpacing/>
        <w:jc w:val="both"/>
        <w:rPr>
          <w:rFonts w:eastAsia="Calibri" w:cs="Times New Roman"/>
          <w:snapToGrid w:val="0"/>
          <w:szCs w:val="20"/>
          <w:lang w:val="en-US"/>
        </w:rPr>
      </w:pPr>
    </w:p>
    <w:p w14:paraId="69C75057" w14:textId="77777777" w:rsidR="00130785" w:rsidRPr="00FE50A6" w:rsidRDefault="000228D0"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The Court</w:t>
      </w:r>
      <w:r w:rsidR="00130785" w:rsidRPr="00FE50A6">
        <w:rPr>
          <w:rFonts w:eastAsia="Calibri" w:cs="Times New Roman"/>
          <w:snapToGrid w:val="0"/>
          <w:szCs w:val="20"/>
          <w:lang w:val="en-US"/>
        </w:rPr>
        <w:t xml:space="preserve"> </w:t>
      </w:r>
      <w:r w:rsidR="00940BF7" w:rsidRPr="00FE50A6">
        <w:rPr>
          <w:rFonts w:eastAsia="Calibri" w:cs="Times New Roman"/>
          <w:snapToGrid w:val="0"/>
          <w:szCs w:val="20"/>
          <w:lang w:val="en-US"/>
        </w:rPr>
        <w:t>determined in</w:t>
      </w:r>
      <w:r w:rsidR="00130785" w:rsidRPr="00FE50A6">
        <w:rPr>
          <w:rFonts w:eastAsia="Calibri" w:cs="Times New Roman"/>
          <w:snapToGrid w:val="0"/>
          <w:szCs w:val="20"/>
          <w:lang w:val="en-US"/>
        </w:rPr>
        <w:t xml:space="preserve"> </w:t>
      </w:r>
      <w:r w:rsidR="00CD003F" w:rsidRPr="00FE50A6">
        <w:rPr>
          <w:rFonts w:eastAsia="Calibri" w:cs="Times New Roman"/>
          <w:snapToGrid w:val="0"/>
          <w:szCs w:val="20"/>
          <w:lang w:val="en-US"/>
        </w:rPr>
        <w:t>the judgment in this case</w:t>
      </w:r>
      <w:r w:rsidR="00130785" w:rsidRPr="00FE50A6">
        <w:rPr>
          <w:rFonts w:eastAsia="Calibri" w:cs="Times New Roman"/>
          <w:snapToGrid w:val="0"/>
          <w:szCs w:val="20"/>
          <w:lang w:val="en-US"/>
        </w:rPr>
        <w:t xml:space="preserve"> </w:t>
      </w:r>
      <w:r w:rsidR="00940BF7" w:rsidRPr="00FE50A6">
        <w:rPr>
          <w:rFonts w:eastAsia="Calibri" w:cs="Times New Roman"/>
          <w:snapToGrid w:val="0"/>
          <w:szCs w:val="20"/>
          <w:lang w:val="en-US"/>
        </w:rPr>
        <w:t>that</w:t>
      </w:r>
      <w:r w:rsidR="00130785" w:rsidRPr="00FE50A6">
        <w:rPr>
          <w:rFonts w:eastAsia="Calibri" w:cs="Times New Roman"/>
          <w:snapToGrid w:val="0"/>
          <w:szCs w:val="20"/>
          <w:lang w:val="en-US"/>
        </w:rPr>
        <w:t xml:space="preserve"> </w:t>
      </w:r>
      <w:r w:rsidRPr="00FE50A6">
        <w:rPr>
          <w:rFonts w:eastAsia="Cambria" w:cs="Times New Roman"/>
          <w:szCs w:val="20"/>
          <w:lang w:val="en-US"/>
        </w:rPr>
        <w:t>the State</w:t>
      </w:r>
      <w:r w:rsidR="00130785" w:rsidRPr="00FE50A6">
        <w:rPr>
          <w:rFonts w:eastAsia="Cambria" w:cs="Times New Roman"/>
          <w:szCs w:val="20"/>
          <w:lang w:val="en-US"/>
        </w:rPr>
        <w:t xml:space="preserve"> </w:t>
      </w:r>
      <w:r w:rsidR="00351E20" w:rsidRPr="00FE50A6">
        <w:rPr>
          <w:rFonts w:eastAsia="Cambria" w:cs="Times New Roman"/>
          <w:szCs w:val="20"/>
          <w:lang w:val="en-US"/>
        </w:rPr>
        <w:t>is responsible for violating the right to</w:t>
      </w:r>
      <w:r w:rsidR="00130785" w:rsidRPr="00FE50A6">
        <w:rPr>
          <w:rFonts w:eastAsia="Cambria" w:cs="Times New Roman"/>
          <w:szCs w:val="20"/>
          <w:lang w:val="en-US"/>
        </w:rPr>
        <w:t xml:space="preserve"> </w:t>
      </w:r>
      <w:r w:rsidR="00D11A9F" w:rsidRPr="00FE50A6">
        <w:rPr>
          <w:rFonts w:eastAsia="Cambria" w:cs="Times New Roman"/>
          <w:szCs w:val="20"/>
          <w:lang w:val="en-US"/>
        </w:rPr>
        <w:t>judicial protection</w:t>
      </w:r>
      <w:r w:rsidR="00130785" w:rsidRPr="00FE50A6">
        <w:rPr>
          <w:rFonts w:eastAsia="Cambria" w:cs="Times New Roman"/>
          <w:szCs w:val="20"/>
          <w:lang w:val="en-US"/>
        </w:rPr>
        <w:t xml:space="preserve">, </w:t>
      </w:r>
      <w:r w:rsidR="00351E20" w:rsidRPr="00FE50A6">
        <w:rPr>
          <w:rFonts w:eastAsia="Cambria" w:cs="Times New Roman"/>
          <w:szCs w:val="20"/>
          <w:lang w:val="en-US"/>
        </w:rPr>
        <w:t>established in Article</w:t>
      </w:r>
      <w:r w:rsidR="00130785" w:rsidRPr="00FE50A6">
        <w:rPr>
          <w:rFonts w:eastAsia="Cambria" w:cs="Times New Roman"/>
          <w:szCs w:val="20"/>
          <w:lang w:val="en-US"/>
        </w:rPr>
        <w:t xml:space="preserve"> 25</w:t>
      </w:r>
      <w:r w:rsidRPr="00FE50A6">
        <w:rPr>
          <w:rFonts w:eastAsia="Cambria" w:cs="Times New Roman"/>
          <w:szCs w:val="20"/>
          <w:lang w:val="en-US"/>
        </w:rPr>
        <w:t xml:space="preserve"> of the American Convention on Human Rights</w:t>
      </w:r>
      <w:r w:rsidR="00130785" w:rsidRPr="00FE50A6">
        <w:rPr>
          <w:rFonts w:eastAsia="Cambria" w:cs="Times New Roman"/>
          <w:szCs w:val="20"/>
          <w:lang w:val="en-US"/>
        </w:rPr>
        <w:t xml:space="preserve">, </w:t>
      </w:r>
      <w:r w:rsidR="000B587F" w:rsidRPr="00FE50A6">
        <w:rPr>
          <w:rFonts w:eastAsia="Cambria" w:cs="Times New Roman"/>
          <w:szCs w:val="20"/>
          <w:lang w:val="en-US"/>
        </w:rPr>
        <w:t>in relation to Articles 1(1)</w:t>
      </w:r>
      <w:r w:rsidR="00030C17" w:rsidRPr="00FE50A6">
        <w:rPr>
          <w:rFonts w:eastAsia="Cambria" w:cs="Times New Roman"/>
          <w:szCs w:val="20"/>
          <w:lang w:val="en-US"/>
        </w:rPr>
        <w:t xml:space="preserve"> and </w:t>
      </w:r>
      <w:r w:rsidR="00130785" w:rsidRPr="00FE50A6">
        <w:rPr>
          <w:rFonts w:eastAsia="Cambria" w:cs="Times New Roman"/>
          <w:szCs w:val="20"/>
          <w:lang w:val="en-US"/>
        </w:rPr>
        <w:t xml:space="preserve">2 </w:t>
      </w:r>
      <w:r w:rsidR="00D11A9F" w:rsidRPr="00FE50A6">
        <w:rPr>
          <w:rFonts w:eastAsia="Cambria" w:cs="Times New Roman"/>
          <w:szCs w:val="20"/>
          <w:lang w:val="en-US"/>
        </w:rPr>
        <w:t>of this instrument</w:t>
      </w:r>
      <w:r w:rsidR="00130785" w:rsidRPr="00FE50A6">
        <w:rPr>
          <w:rFonts w:eastAsia="Cambria" w:cs="Times New Roman"/>
          <w:szCs w:val="20"/>
          <w:lang w:val="en-US"/>
        </w:rPr>
        <w:t>.</w:t>
      </w:r>
      <w:r w:rsidR="00130785" w:rsidRPr="00FE50A6">
        <w:rPr>
          <w:rFonts w:eastAsia="Calibri" w:cs="Times New Roman"/>
          <w:snapToGrid w:val="0"/>
          <w:szCs w:val="20"/>
          <w:lang w:val="en-US"/>
        </w:rPr>
        <w:t xml:space="preserve"> </w:t>
      </w:r>
      <w:r w:rsidR="00940BF7" w:rsidRPr="00FE50A6">
        <w:rPr>
          <w:rFonts w:eastAsia="Calibri" w:cs="Times New Roman"/>
          <w:snapToGrid w:val="0"/>
          <w:szCs w:val="20"/>
          <w:lang w:val="en-US"/>
        </w:rPr>
        <w:t xml:space="preserve">To reach this determination, the Court used the same arguments that it had used previously to determine </w:t>
      </w:r>
      <w:r w:rsidR="00700B79" w:rsidRPr="00FE50A6">
        <w:rPr>
          <w:rFonts w:eastAsia="Cambria" w:cs="Times New Roman"/>
          <w:szCs w:val="20"/>
          <w:lang w:val="en-US"/>
        </w:rPr>
        <w:t>the violation</w:t>
      </w:r>
      <w:r w:rsidR="00130785" w:rsidRPr="00FE50A6">
        <w:rPr>
          <w:rFonts w:eastAsia="Cambria" w:cs="Times New Roman"/>
          <w:szCs w:val="20"/>
          <w:lang w:val="en-US"/>
        </w:rPr>
        <w:t xml:space="preserve"> </w:t>
      </w:r>
      <w:r w:rsidR="00703850" w:rsidRPr="00FE50A6">
        <w:rPr>
          <w:rFonts w:eastAsia="Cambria" w:cs="Times New Roman"/>
          <w:szCs w:val="20"/>
          <w:lang w:val="en-US"/>
        </w:rPr>
        <w:t>of Article</w:t>
      </w:r>
      <w:r w:rsidR="00130785" w:rsidRPr="00FE50A6">
        <w:rPr>
          <w:rFonts w:eastAsia="Cambria" w:cs="Times New Roman"/>
          <w:szCs w:val="20"/>
          <w:lang w:val="en-US"/>
        </w:rPr>
        <w:t xml:space="preserve"> 8</w:t>
      </w:r>
      <w:r w:rsidRPr="00FE50A6">
        <w:rPr>
          <w:rFonts w:eastAsia="Cambria" w:cs="Times New Roman"/>
          <w:szCs w:val="20"/>
          <w:lang w:val="en-US"/>
        </w:rPr>
        <w:t xml:space="preserve"> of the American Convention</w:t>
      </w:r>
      <w:r w:rsidR="00130785" w:rsidRPr="00FE50A6">
        <w:rPr>
          <w:rFonts w:eastAsia="Cambria" w:cs="Times New Roman"/>
          <w:szCs w:val="20"/>
          <w:lang w:val="en-US"/>
        </w:rPr>
        <w:t xml:space="preserve">, </w:t>
      </w:r>
      <w:r w:rsidR="00940BF7" w:rsidRPr="00FE50A6">
        <w:rPr>
          <w:rFonts w:eastAsia="Cambria" w:cs="Times New Roman"/>
          <w:szCs w:val="20"/>
          <w:lang w:val="en-US"/>
        </w:rPr>
        <w:t xml:space="preserve">such as the duration of the proceedings and the authorities’ lack of diligence. </w:t>
      </w:r>
    </w:p>
    <w:p w14:paraId="1E61FFE3"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30A2589E" w14:textId="77777777" w:rsidR="00130785" w:rsidRPr="00FE50A6" w:rsidRDefault="00940BF7"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mbria" w:cs="Times New Roman"/>
          <w:szCs w:val="20"/>
          <w:lang w:val="en-US"/>
        </w:rPr>
        <w:t>In this regard, I disagree with the majority decision because I consider that the analysis of</w:t>
      </w:r>
      <w:r w:rsidR="00130785" w:rsidRPr="00FE50A6">
        <w:rPr>
          <w:rFonts w:eastAsia="Cambria" w:cs="Times New Roman"/>
          <w:szCs w:val="20"/>
          <w:lang w:val="en-US"/>
        </w:rPr>
        <w:t xml:space="preserve"> </w:t>
      </w:r>
      <w:r w:rsidR="00351E20" w:rsidRPr="00FE50A6">
        <w:rPr>
          <w:rFonts w:eastAsia="Cambria" w:cs="Times New Roman"/>
          <w:szCs w:val="20"/>
          <w:lang w:val="en-US"/>
        </w:rPr>
        <w:t>the violation</w:t>
      </w:r>
      <w:r w:rsidR="00130785" w:rsidRPr="00FE50A6">
        <w:rPr>
          <w:rFonts w:eastAsia="Cambria" w:cs="Times New Roman"/>
          <w:szCs w:val="20"/>
          <w:lang w:val="en-US"/>
        </w:rPr>
        <w:t xml:space="preserve"> </w:t>
      </w:r>
      <w:r w:rsidRPr="00FE50A6">
        <w:rPr>
          <w:rFonts w:eastAsia="Cambria" w:cs="Times New Roman"/>
          <w:szCs w:val="20"/>
          <w:lang w:val="en-US"/>
        </w:rPr>
        <w:t>of</w:t>
      </w:r>
      <w:r w:rsidR="00130785" w:rsidRPr="00FE50A6">
        <w:rPr>
          <w:rFonts w:eastAsia="Cambria" w:cs="Times New Roman"/>
          <w:szCs w:val="20"/>
          <w:lang w:val="en-US"/>
        </w:rPr>
        <w:t xml:space="preserve"> </w:t>
      </w:r>
      <w:r w:rsidR="000228D0" w:rsidRPr="00FE50A6">
        <w:rPr>
          <w:rFonts w:eastAsia="Cambria" w:cs="Times New Roman"/>
          <w:szCs w:val="20"/>
          <w:lang w:val="en-US"/>
        </w:rPr>
        <w:t>Articles</w:t>
      </w:r>
      <w:r w:rsidR="00130785" w:rsidRPr="00FE50A6">
        <w:rPr>
          <w:rFonts w:eastAsia="Cambria" w:cs="Times New Roman"/>
          <w:szCs w:val="20"/>
          <w:lang w:val="en-US"/>
        </w:rPr>
        <w:t xml:space="preserve"> 8</w:t>
      </w:r>
      <w:r w:rsidR="00030C17" w:rsidRPr="00FE50A6">
        <w:rPr>
          <w:rFonts w:eastAsia="Cambria" w:cs="Times New Roman"/>
          <w:szCs w:val="20"/>
          <w:lang w:val="en-US"/>
        </w:rPr>
        <w:t xml:space="preserve"> and </w:t>
      </w:r>
      <w:r w:rsidR="00130785" w:rsidRPr="00FE50A6">
        <w:rPr>
          <w:rFonts w:eastAsia="Cambria" w:cs="Times New Roman"/>
          <w:szCs w:val="20"/>
          <w:lang w:val="en-US"/>
        </w:rPr>
        <w:t>25</w:t>
      </w:r>
      <w:r w:rsidR="000228D0" w:rsidRPr="00FE50A6">
        <w:rPr>
          <w:rFonts w:eastAsia="Cambria" w:cs="Times New Roman"/>
          <w:szCs w:val="20"/>
          <w:lang w:val="en-US"/>
        </w:rPr>
        <w:t xml:space="preserve"> of the Convention</w:t>
      </w:r>
      <w:r w:rsidR="00130785" w:rsidRPr="00FE50A6">
        <w:rPr>
          <w:rFonts w:eastAsia="Cambria" w:cs="Times New Roman"/>
          <w:szCs w:val="20"/>
          <w:lang w:val="en-US"/>
        </w:rPr>
        <w:t xml:space="preserve"> </w:t>
      </w:r>
      <w:r w:rsidRPr="00FE50A6">
        <w:rPr>
          <w:rFonts w:eastAsia="Cambria" w:cs="Times New Roman"/>
          <w:szCs w:val="20"/>
          <w:lang w:val="en-US"/>
        </w:rPr>
        <w:t xml:space="preserve">should be differentiated and made with arguments analyzed independently. I find it very relevant that the Court </w:t>
      </w:r>
      <w:r w:rsidR="007526C2" w:rsidRPr="00FE50A6">
        <w:rPr>
          <w:rFonts w:eastAsia="Cambria" w:cs="Times New Roman"/>
          <w:szCs w:val="20"/>
          <w:lang w:val="en-US"/>
        </w:rPr>
        <w:t>makes a distinction</w:t>
      </w:r>
      <w:r w:rsidRPr="00FE50A6">
        <w:rPr>
          <w:rFonts w:eastAsia="Cambria" w:cs="Times New Roman"/>
          <w:szCs w:val="20"/>
          <w:lang w:val="en-US"/>
        </w:rPr>
        <w:t xml:space="preserve"> between the two articles and the reasons </w:t>
      </w:r>
      <w:r w:rsidR="00B80F15" w:rsidRPr="00FE50A6">
        <w:rPr>
          <w:rFonts w:eastAsia="Cambria" w:cs="Times New Roman"/>
          <w:szCs w:val="20"/>
          <w:lang w:val="en-US"/>
        </w:rPr>
        <w:t>why it may be considered that they have been violated.</w:t>
      </w:r>
    </w:p>
    <w:p w14:paraId="5F2E853B" w14:textId="77777777" w:rsidR="00130785" w:rsidRPr="00FE50A6" w:rsidRDefault="00130785" w:rsidP="00E23533">
      <w:pPr>
        <w:tabs>
          <w:tab w:val="clear" w:pos="4419"/>
          <w:tab w:val="clear" w:pos="8838"/>
        </w:tabs>
        <w:contextualSpacing/>
        <w:jc w:val="both"/>
        <w:rPr>
          <w:rFonts w:eastAsia="Calibri" w:cs="Times New Roman"/>
          <w:snapToGrid w:val="0"/>
          <w:szCs w:val="20"/>
          <w:lang w:val="en-US"/>
        </w:rPr>
      </w:pPr>
    </w:p>
    <w:p w14:paraId="16BA0E7D" w14:textId="77777777" w:rsidR="00130785" w:rsidRPr="00FE50A6" w:rsidRDefault="00B80F15"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 xml:space="preserve">In this regard, I share the consideration of the former judge of the Court, </w:t>
      </w:r>
      <w:r w:rsidR="00130785" w:rsidRPr="00FE50A6">
        <w:rPr>
          <w:rFonts w:eastAsia="Calibri" w:cs="Times New Roman"/>
          <w:snapToGrid w:val="0"/>
          <w:szCs w:val="20"/>
          <w:lang w:val="en-US"/>
        </w:rPr>
        <w:t xml:space="preserve">Cecilia Medina Quiroga, </w:t>
      </w:r>
      <w:r w:rsidRPr="00FE50A6">
        <w:rPr>
          <w:rFonts w:eastAsia="Calibri" w:cs="Times New Roman"/>
          <w:snapToGrid w:val="0"/>
          <w:szCs w:val="20"/>
          <w:lang w:val="en-US"/>
        </w:rPr>
        <w:t>that</w:t>
      </w:r>
      <w:r w:rsidR="00130785" w:rsidRPr="00FE50A6">
        <w:rPr>
          <w:rFonts w:eastAsia="Calibri" w:cs="Times New Roman"/>
          <w:snapToGrid w:val="0"/>
          <w:szCs w:val="20"/>
          <w:lang w:val="en-US"/>
        </w:rPr>
        <w:t xml:space="preserve"> </w:t>
      </w:r>
      <w:r w:rsidR="000228D0" w:rsidRPr="00FE50A6">
        <w:rPr>
          <w:rFonts w:eastAsia="Calibri" w:cs="Times New Roman"/>
          <w:lang w:val="en-US"/>
        </w:rPr>
        <w:t>Article</w:t>
      </w:r>
      <w:r w:rsidR="00130785" w:rsidRPr="00FE50A6">
        <w:rPr>
          <w:rFonts w:eastAsia="Calibri" w:cs="Times New Roman"/>
          <w:lang w:val="en-US"/>
        </w:rPr>
        <w:t xml:space="preserve"> 25 </w:t>
      </w:r>
      <w:r w:rsidRPr="00FE50A6">
        <w:rPr>
          <w:rFonts w:eastAsia="Calibri" w:cs="Times New Roman"/>
          <w:lang w:val="en-US"/>
        </w:rPr>
        <w:t xml:space="preserve">recognizes the right of the individual to have his human rights protected in the domestic sphere in a simple, prompt and effective manner; while Article 8 does not establish the right to a remedy, but rather to due process of law; in other words, the series of requirements that </w:t>
      </w:r>
      <w:r w:rsidR="009F22EC" w:rsidRPr="00FE50A6">
        <w:rPr>
          <w:rFonts w:eastAsia="Calibri" w:cs="Times New Roman"/>
          <w:lang w:val="en-US"/>
        </w:rPr>
        <w:t>must</w:t>
      </w:r>
      <w:r w:rsidRPr="00FE50A6">
        <w:rPr>
          <w:rFonts w:eastAsia="Calibri" w:cs="Times New Roman"/>
          <w:lang w:val="en-US"/>
        </w:rPr>
        <w:t xml:space="preserve"> be met </w:t>
      </w:r>
      <w:r w:rsidR="007526C2" w:rsidRPr="00FE50A6">
        <w:rPr>
          <w:rFonts w:eastAsia="Calibri" w:cs="Times New Roman"/>
          <w:lang w:val="en-US"/>
        </w:rPr>
        <w:t>by</w:t>
      </w:r>
      <w:r w:rsidRPr="00FE50A6">
        <w:rPr>
          <w:rFonts w:eastAsia="Calibri" w:cs="Times New Roman"/>
          <w:lang w:val="en-US"/>
        </w:rPr>
        <w:t xml:space="preserve"> the procedural </w:t>
      </w:r>
      <w:r w:rsidR="007526C2" w:rsidRPr="00FE50A6">
        <w:rPr>
          <w:rFonts w:eastAsia="Calibri" w:cs="Times New Roman"/>
          <w:lang w:val="en-US"/>
        </w:rPr>
        <w:t>instances</w:t>
      </w:r>
      <w:r w:rsidRPr="00FE50A6">
        <w:rPr>
          <w:rFonts w:eastAsia="Calibri" w:cs="Times New Roman"/>
          <w:lang w:val="en-US"/>
        </w:rPr>
        <w:t xml:space="preserve"> to protect </w:t>
      </w:r>
      <w:r w:rsidR="007526C2" w:rsidRPr="00FE50A6">
        <w:rPr>
          <w:rFonts w:eastAsia="Calibri" w:cs="Times New Roman"/>
          <w:lang w:val="en-US"/>
        </w:rPr>
        <w:t>an individual’s</w:t>
      </w:r>
      <w:r w:rsidRPr="00FE50A6">
        <w:rPr>
          <w:rFonts w:eastAsia="Calibri" w:cs="Times New Roman"/>
          <w:lang w:val="en-US"/>
        </w:rPr>
        <w:t xml:space="preserve"> right that judicial proceedings </w:t>
      </w:r>
      <w:r w:rsidR="009F22EC" w:rsidRPr="00FE50A6">
        <w:rPr>
          <w:rFonts w:eastAsia="Calibri" w:cs="Times New Roman"/>
          <w:lang w:val="en-US"/>
        </w:rPr>
        <w:t>are</w:t>
      </w:r>
      <w:r w:rsidRPr="00FE50A6">
        <w:rPr>
          <w:rFonts w:eastAsia="Calibri" w:cs="Times New Roman"/>
          <w:lang w:val="en-US"/>
        </w:rPr>
        <w:t xml:space="preserve"> decided with the </w:t>
      </w:r>
      <w:r w:rsidR="00CF6FA5" w:rsidRPr="00FE50A6">
        <w:rPr>
          <w:rFonts w:eastAsia="Calibri" w:cs="Times New Roman"/>
          <w:lang w:val="en-US"/>
        </w:rPr>
        <w:t xml:space="preserve">maximum </w:t>
      </w:r>
      <w:r w:rsidRPr="00FE50A6">
        <w:rPr>
          <w:rFonts w:eastAsia="Calibri" w:cs="Times New Roman"/>
          <w:lang w:val="en-US"/>
        </w:rPr>
        <w:t>justice</w:t>
      </w:r>
      <w:r w:rsidR="00CF6FA5" w:rsidRPr="00FE50A6">
        <w:rPr>
          <w:rFonts w:eastAsia="Calibri" w:cs="Times New Roman"/>
          <w:lang w:val="en-US"/>
        </w:rPr>
        <w:t xml:space="preserve"> possible</w:t>
      </w:r>
      <w:r w:rsidRPr="00FE50A6">
        <w:rPr>
          <w:rFonts w:eastAsia="Calibri" w:cs="Times New Roman"/>
          <w:lang w:val="en-US"/>
        </w:rPr>
        <w:t>.</w:t>
      </w:r>
      <w:r w:rsidR="00130785" w:rsidRPr="00FE50A6">
        <w:rPr>
          <w:rFonts w:eastAsia="Calibri" w:cs="Times New Roman"/>
          <w:szCs w:val="20"/>
          <w:vertAlign w:val="superscript"/>
          <w:lang w:val="en-US"/>
        </w:rPr>
        <w:footnoteReference w:id="674"/>
      </w:r>
      <w:r w:rsidRPr="00FE50A6">
        <w:rPr>
          <w:rFonts w:eastAsia="Calibri" w:cs="Times New Roman"/>
          <w:lang w:val="en-US"/>
        </w:rPr>
        <w:t xml:space="preserve"> These two rights are different </w:t>
      </w:r>
      <w:r w:rsidR="00CF6FA5" w:rsidRPr="00FE50A6">
        <w:rPr>
          <w:rFonts w:eastAsia="Calibri" w:cs="Times New Roman"/>
          <w:lang w:val="en-US"/>
        </w:rPr>
        <w:t xml:space="preserve">in </w:t>
      </w:r>
      <w:r w:rsidRPr="00FE50A6">
        <w:rPr>
          <w:rFonts w:eastAsia="Calibri" w:cs="Times New Roman"/>
          <w:lang w:val="en-US"/>
        </w:rPr>
        <w:t>nature</w:t>
      </w:r>
      <w:r w:rsidR="00130785" w:rsidRPr="00FE50A6">
        <w:rPr>
          <w:rFonts w:eastAsia="Calibri" w:cs="Times New Roman"/>
          <w:lang w:val="en-US"/>
        </w:rPr>
        <w:t xml:space="preserve"> </w:t>
      </w:r>
      <w:r w:rsidRPr="00FE50A6">
        <w:rPr>
          <w:rFonts w:eastAsia="Calibri" w:cs="Times New Roman"/>
          <w:lang w:val="en-US"/>
        </w:rPr>
        <w:t xml:space="preserve">and their relationship is one of substance to form, as this Court has </w:t>
      </w:r>
      <w:r w:rsidR="00CF6FA5" w:rsidRPr="00FE50A6">
        <w:rPr>
          <w:rFonts w:eastAsia="Calibri" w:cs="Times New Roman"/>
          <w:lang w:val="en-US"/>
        </w:rPr>
        <w:t>indicated</w:t>
      </w:r>
      <w:r w:rsidRPr="00FE50A6">
        <w:rPr>
          <w:rFonts w:eastAsia="Calibri" w:cs="Times New Roman"/>
          <w:lang w:val="en-US"/>
        </w:rPr>
        <w:t xml:space="preserve">, because </w:t>
      </w:r>
      <w:r w:rsidR="000228D0" w:rsidRPr="00FE50A6">
        <w:rPr>
          <w:rFonts w:eastAsia="Calibri" w:cs="Times New Roman"/>
          <w:lang w:val="en-US"/>
        </w:rPr>
        <w:t>Article</w:t>
      </w:r>
      <w:r w:rsidR="00130785" w:rsidRPr="00FE50A6">
        <w:rPr>
          <w:rFonts w:eastAsia="Calibri" w:cs="Times New Roman"/>
          <w:lang w:val="en-US"/>
        </w:rPr>
        <w:t xml:space="preserve"> 25 </w:t>
      </w:r>
      <w:r w:rsidRPr="00FE50A6">
        <w:rPr>
          <w:rFonts w:eastAsia="Calibri" w:cs="Times New Roman"/>
          <w:lang w:val="en-US"/>
        </w:rPr>
        <w:t xml:space="preserve">recognizes the right to a judicial remedy, while </w:t>
      </w:r>
      <w:r w:rsidR="000228D0" w:rsidRPr="00FE50A6">
        <w:rPr>
          <w:rFonts w:eastAsia="Calibri" w:cs="Times New Roman"/>
          <w:szCs w:val="20"/>
          <w:lang w:val="en-US"/>
        </w:rPr>
        <w:t>Article</w:t>
      </w:r>
      <w:r w:rsidR="00130785" w:rsidRPr="00FE50A6">
        <w:rPr>
          <w:rFonts w:eastAsia="Calibri" w:cs="Times New Roman"/>
          <w:szCs w:val="20"/>
          <w:lang w:val="en-US"/>
        </w:rPr>
        <w:t xml:space="preserve"> 8 establ</w:t>
      </w:r>
      <w:r w:rsidRPr="00FE50A6">
        <w:rPr>
          <w:rFonts w:eastAsia="Calibri" w:cs="Times New Roman"/>
          <w:szCs w:val="20"/>
          <w:lang w:val="en-US"/>
        </w:rPr>
        <w:t>is</w:t>
      </w:r>
      <w:r w:rsidR="007526C2" w:rsidRPr="00FE50A6">
        <w:rPr>
          <w:rFonts w:eastAsia="Calibri" w:cs="Times New Roman"/>
          <w:szCs w:val="20"/>
          <w:lang w:val="en-US"/>
        </w:rPr>
        <w:t>h</w:t>
      </w:r>
      <w:r w:rsidRPr="00FE50A6">
        <w:rPr>
          <w:rFonts w:eastAsia="Calibri" w:cs="Times New Roman"/>
          <w:szCs w:val="20"/>
          <w:lang w:val="en-US"/>
        </w:rPr>
        <w:t>es how this should be processed.</w:t>
      </w:r>
      <w:r w:rsidR="00130785" w:rsidRPr="00FE50A6">
        <w:rPr>
          <w:rFonts w:eastAsia="Calibri" w:cs="Times New Roman"/>
          <w:szCs w:val="20"/>
          <w:vertAlign w:val="superscript"/>
          <w:lang w:val="en-US"/>
        </w:rPr>
        <w:footnoteReference w:id="675"/>
      </w:r>
    </w:p>
    <w:p w14:paraId="7ACA9405" w14:textId="77777777" w:rsidR="00130785" w:rsidRPr="00FE50A6" w:rsidRDefault="00130785" w:rsidP="00CF6FA5">
      <w:pPr>
        <w:tabs>
          <w:tab w:val="clear" w:pos="4419"/>
          <w:tab w:val="clear" w:pos="8838"/>
        </w:tabs>
        <w:contextualSpacing/>
        <w:jc w:val="both"/>
        <w:rPr>
          <w:rFonts w:eastAsia="Calibri" w:cs="Times New Roman"/>
          <w:szCs w:val="20"/>
          <w:lang w:val="en-US"/>
        </w:rPr>
      </w:pPr>
    </w:p>
    <w:p w14:paraId="489D7003" w14:textId="77777777" w:rsidR="00B80F15" w:rsidRPr="00FE50A6" w:rsidRDefault="00703850"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zCs w:val="20"/>
          <w:lang w:val="en-US"/>
        </w:rPr>
        <w:t>Article</w:t>
      </w:r>
      <w:r w:rsidR="00130785" w:rsidRPr="00FE50A6">
        <w:rPr>
          <w:rFonts w:eastAsia="Calibri" w:cs="Times New Roman"/>
          <w:szCs w:val="20"/>
          <w:lang w:val="en-US"/>
        </w:rPr>
        <w:t xml:space="preserve"> 25 </w:t>
      </w:r>
      <w:r w:rsidR="00CF6FA5" w:rsidRPr="00FE50A6">
        <w:rPr>
          <w:rFonts w:eastAsia="Calibri" w:cs="Times New Roman"/>
          <w:szCs w:val="20"/>
          <w:lang w:val="en-US"/>
        </w:rPr>
        <w:t>is violated</w:t>
      </w:r>
      <w:r w:rsidR="00130785" w:rsidRPr="00FE50A6">
        <w:rPr>
          <w:rFonts w:eastAsia="Calibri" w:cs="Times New Roman"/>
          <w:szCs w:val="20"/>
          <w:lang w:val="en-US"/>
        </w:rPr>
        <w:t xml:space="preserve">: </w:t>
      </w:r>
      <w:r w:rsidR="00B80F15" w:rsidRPr="00FE50A6">
        <w:rPr>
          <w:rFonts w:eastAsia="Calibri" w:cs="Times New Roman"/>
          <w:szCs w:val="20"/>
          <w:lang w:val="en-US"/>
        </w:rPr>
        <w:t>(</w:t>
      </w:r>
      <w:r w:rsidR="00130785" w:rsidRPr="00FE50A6">
        <w:rPr>
          <w:rFonts w:eastAsia="Calibri" w:cs="Times New Roman"/>
          <w:szCs w:val="20"/>
          <w:lang w:val="en-US"/>
        </w:rPr>
        <w:t>i)</w:t>
      </w:r>
      <w:r w:rsidR="00B80F15" w:rsidRPr="00FE50A6">
        <w:rPr>
          <w:rFonts w:eastAsia="Calibri" w:cs="Times New Roman"/>
          <w:szCs w:val="20"/>
          <w:lang w:val="en-US"/>
        </w:rPr>
        <w:t xml:space="preserve"> when no remedy is established in </w:t>
      </w:r>
      <w:r w:rsidR="00CF6FA5" w:rsidRPr="00FE50A6">
        <w:rPr>
          <w:rFonts w:eastAsia="Calibri" w:cs="Times New Roman"/>
          <w:szCs w:val="20"/>
          <w:lang w:val="en-US"/>
        </w:rPr>
        <w:t>a State’s</w:t>
      </w:r>
      <w:r w:rsidR="00B80F15" w:rsidRPr="00FE50A6">
        <w:rPr>
          <w:rFonts w:eastAsia="Calibri" w:cs="Times New Roman"/>
          <w:szCs w:val="20"/>
          <w:lang w:val="en-US"/>
        </w:rPr>
        <w:t xml:space="preserve"> laws, or the law defines this remedy</w:t>
      </w:r>
      <w:r w:rsidR="00CF6FA5" w:rsidRPr="00FE50A6">
        <w:rPr>
          <w:rFonts w:eastAsia="Calibri" w:cs="Times New Roman"/>
          <w:szCs w:val="20"/>
          <w:lang w:val="en-US"/>
        </w:rPr>
        <w:t xml:space="preserve"> inadequately</w:t>
      </w:r>
      <w:r w:rsidR="00130785" w:rsidRPr="00FE50A6">
        <w:rPr>
          <w:rFonts w:eastAsia="Calibri" w:cs="Times New Roman"/>
          <w:szCs w:val="20"/>
          <w:lang w:val="en-US"/>
        </w:rPr>
        <w:t>,</w:t>
      </w:r>
      <w:r w:rsidR="00030C17" w:rsidRPr="00FE50A6">
        <w:rPr>
          <w:rFonts w:eastAsia="Calibri" w:cs="Times New Roman"/>
          <w:szCs w:val="20"/>
          <w:lang w:val="en-US"/>
        </w:rPr>
        <w:t xml:space="preserve"> and </w:t>
      </w:r>
      <w:r w:rsidR="00B80F15" w:rsidRPr="00FE50A6">
        <w:rPr>
          <w:rFonts w:eastAsia="Calibri" w:cs="Times New Roman"/>
          <w:szCs w:val="20"/>
          <w:lang w:val="en-US"/>
        </w:rPr>
        <w:t>(</w:t>
      </w:r>
      <w:r w:rsidR="00130785" w:rsidRPr="00FE50A6">
        <w:rPr>
          <w:rFonts w:eastAsia="Calibri" w:cs="Times New Roman"/>
          <w:szCs w:val="20"/>
          <w:lang w:val="en-US"/>
        </w:rPr>
        <w:t xml:space="preserve">ii) </w:t>
      </w:r>
      <w:r w:rsidR="00B80F15" w:rsidRPr="00FE50A6">
        <w:rPr>
          <w:rFonts w:eastAsia="Calibri" w:cs="Times New Roman"/>
          <w:szCs w:val="20"/>
          <w:lang w:val="en-US"/>
        </w:rPr>
        <w:t xml:space="preserve">when judges fail to apply the said remedy correctly. I consider that when the concepts behind the two articles are confused, it makes it difficult to identify the </w:t>
      </w:r>
      <w:r w:rsidR="00D15F37" w:rsidRPr="00FE50A6">
        <w:rPr>
          <w:rFonts w:eastAsia="Calibri" w:cs="Times New Roman"/>
          <w:szCs w:val="20"/>
          <w:lang w:val="en-US"/>
        </w:rPr>
        <w:t xml:space="preserve">precise </w:t>
      </w:r>
      <w:r w:rsidR="00B80F15" w:rsidRPr="00FE50A6">
        <w:rPr>
          <w:rFonts w:eastAsia="Calibri" w:cs="Times New Roman"/>
          <w:szCs w:val="20"/>
          <w:lang w:val="en-US"/>
        </w:rPr>
        <w:t>reasons why they have been violated</w:t>
      </w:r>
      <w:r w:rsidR="00D15F37" w:rsidRPr="00FE50A6">
        <w:rPr>
          <w:rFonts w:eastAsia="Calibri" w:cs="Times New Roman"/>
          <w:szCs w:val="20"/>
          <w:lang w:val="en-US"/>
        </w:rPr>
        <w:t>.</w:t>
      </w:r>
      <w:r w:rsidR="00B80F15" w:rsidRPr="00FE50A6">
        <w:rPr>
          <w:rFonts w:eastAsia="Calibri" w:cs="Times New Roman"/>
          <w:szCs w:val="20"/>
          <w:lang w:val="en-US"/>
        </w:rPr>
        <w:t xml:space="preserve"> </w:t>
      </w:r>
      <w:r w:rsidR="00D15F37" w:rsidRPr="00FE50A6">
        <w:rPr>
          <w:rFonts w:eastAsia="Calibri" w:cs="Times New Roman"/>
          <w:szCs w:val="20"/>
          <w:lang w:val="en-US"/>
        </w:rPr>
        <w:t>In the end</w:t>
      </w:r>
      <w:r w:rsidR="00B80F15" w:rsidRPr="00FE50A6">
        <w:rPr>
          <w:rFonts w:eastAsia="Calibri" w:cs="Times New Roman"/>
          <w:szCs w:val="20"/>
          <w:lang w:val="en-US"/>
        </w:rPr>
        <w:t xml:space="preserve">, </w:t>
      </w:r>
      <w:r w:rsidR="00D15F37" w:rsidRPr="00FE50A6">
        <w:rPr>
          <w:rFonts w:eastAsia="Calibri" w:cs="Times New Roman"/>
          <w:szCs w:val="20"/>
          <w:lang w:val="en-US"/>
        </w:rPr>
        <w:t xml:space="preserve">for example, </w:t>
      </w:r>
      <w:r w:rsidR="00B80F15" w:rsidRPr="00FE50A6">
        <w:rPr>
          <w:rFonts w:eastAsia="Calibri" w:cs="Times New Roman"/>
          <w:szCs w:val="20"/>
          <w:lang w:val="en-US"/>
        </w:rPr>
        <w:t xml:space="preserve">elements corresponding to the “reasonable time” of Article 8 are used to </w:t>
      </w:r>
      <w:r w:rsidR="00D15F37" w:rsidRPr="00FE50A6">
        <w:rPr>
          <w:rFonts w:eastAsia="Calibri" w:cs="Times New Roman"/>
          <w:szCs w:val="20"/>
          <w:lang w:val="en-US"/>
        </w:rPr>
        <w:t>make considerations</w:t>
      </w:r>
      <w:r w:rsidR="00B80F15" w:rsidRPr="00FE50A6">
        <w:rPr>
          <w:rFonts w:eastAsia="Calibri" w:cs="Times New Roman"/>
          <w:szCs w:val="20"/>
          <w:lang w:val="en-US"/>
        </w:rPr>
        <w:t xml:space="preserve"> </w:t>
      </w:r>
      <w:r w:rsidR="00D15F37" w:rsidRPr="00FE50A6">
        <w:rPr>
          <w:rFonts w:eastAsia="Calibri" w:cs="Times New Roman"/>
          <w:szCs w:val="20"/>
          <w:lang w:val="en-US"/>
        </w:rPr>
        <w:t>on</w:t>
      </w:r>
      <w:r w:rsidR="00B80F15" w:rsidRPr="00FE50A6">
        <w:rPr>
          <w:rFonts w:eastAsia="Calibri" w:cs="Times New Roman"/>
          <w:szCs w:val="20"/>
          <w:lang w:val="en-US"/>
        </w:rPr>
        <w:t xml:space="preserve"> the prompt</w:t>
      </w:r>
      <w:r w:rsidR="00563552" w:rsidRPr="00FE50A6">
        <w:rPr>
          <w:rFonts w:eastAsia="Calibri" w:cs="Times New Roman"/>
          <w:szCs w:val="20"/>
          <w:lang w:val="en-US"/>
        </w:rPr>
        <w:t xml:space="preserve"> nature</w:t>
      </w:r>
      <w:r w:rsidR="00B80F15" w:rsidRPr="00FE50A6">
        <w:rPr>
          <w:rFonts w:eastAsia="Calibri" w:cs="Times New Roman"/>
          <w:szCs w:val="20"/>
          <w:lang w:val="en-US"/>
        </w:rPr>
        <w:t xml:space="preserve"> of the remedy required by Article 25.</w:t>
      </w:r>
    </w:p>
    <w:p w14:paraId="5ADF0804" w14:textId="77777777" w:rsidR="00130785" w:rsidRPr="00FE50A6" w:rsidRDefault="00130785" w:rsidP="00A155FD">
      <w:pPr>
        <w:tabs>
          <w:tab w:val="clear" w:pos="4419"/>
          <w:tab w:val="clear" w:pos="8838"/>
        </w:tabs>
        <w:contextualSpacing/>
        <w:jc w:val="both"/>
        <w:rPr>
          <w:rFonts w:eastAsia="Calibri" w:cs="Times New Roman"/>
          <w:snapToGrid w:val="0"/>
          <w:szCs w:val="20"/>
          <w:lang w:val="en-US"/>
        </w:rPr>
      </w:pPr>
    </w:p>
    <w:p w14:paraId="394374FE" w14:textId="77777777" w:rsidR="00130785" w:rsidRPr="00FE50A6" w:rsidRDefault="00A155FD" w:rsidP="00E23533">
      <w:pPr>
        <w:numPr>
          <w:ilvl w:val="0"/>
          <w:numId w:val="28"/>
        </w:numPr>
        <w:tabs>
          <w:tab w:val="clear" w:pos="4419"/>
          <w:tab w:val="clear" w:pos="8838"/>
        </w:tabs>
        <w:ind w:left="0" w:firstLine="0"/>
        <w:contextualSpacing/>
        <w:jc w:val="both"/>
        <w:rPr>
          <w:rFonts w:eastAsia="Calibri" w:cs="Times New Roman"/>
          <w:snapToGrid w:val="0"/>
          <w:szCs w:val="20"/>
          <w:lang w:val="en-US"/>
        </w:rPr>
      </w:pPr>
      <w:r w:rsidRPr="00FE50A6">
        <w:rPr>
          <w:rFonts w:eastAsia="Calibri" w:cs="Times New Roman"/>
          <w:snapToGrid w:val="0"/>
          <w:szCs w:val="20"/>
          <w:lang w:val="en-US"/>
        </w:rPr>
        <w:t xml:space="preserve">Based on the above, I </w:t>
      </w:r>
      <w:r w:rsidR="00D15F37" w:rsidRPr="00FE50A6">
        <w:rPr>
          <w:rFonts w:eastAsia="Calibri" w:cs="Times New Roman"/>
          <w:snapToGrid w:val="0"/>
          <w:szCs w:val="20"/>
          <w:lang w:val="en-US"/>
        </w:rPr>
        <w:t>am able to</w:t>
      </w:r>
      <w:r w:rsidRPr="00FE50A6">
        <w:rPr>
          <w:rFonts w:eastAsia="Calibri" w:cs="Times New Roman"/>
          <w:snapToGrid w:val="0"/>
          <w:szCs w:val="20"/>
          <w:lang w:val="en-US"/>
        </w:rPr>
        <w:t xml:space="preserve"> conclude that the Court has not analyzed</w:t>
      </w:r>
      <w:r w:rsidR="00130785" w:rsidRPr="00FE50A6">
        <w:rPr>
          <w:rFonts w:eastAsia="Calibri" w:cs="Times New Roman"/>
          <w:snapToGrid w:val="0"/>
          <w:szCs w:val="20"/>
          <w:lang w:val="en-US"/>
        </w:rPr>
        <w:t xml:space="preserve"> </w:t>
      </w:r>
      <w:r w:rsidR="00351E20" w:rsidRPr="00FE50A6">
        <w:rPr>
          <w:rFonts w:eastAsia="Calibri" w:cs="Times New Roman"/>
          <w:snapToGrid w:val="0"/>
          <w:szCs w:val="20"/>
          <w:lang w:val="en-US"/>
        </w:rPr>
        <w:t>the violation</w:t>
      </w:r>
      <w:r w:rsidR="00130785" w:rsidRPr="00FE50A6">
        <w:rPr>
          <w:rFonts w:eastAsia="Calibri" w:cs="Times New Roman"/>
          <w:snapToGrid w:val="0"/>
          <w:szCs w:val="20"/>
          <w:lang w:val="en-US"/>
        </w:rPr>
        <w:t xml:space="preserve"> </w:t>
      </w:r>
      <w:r w:rsidRPr="00FE50A6">
        <w:rPr>
          <w:rFonts w:eastAsia="Calibri" w:cs="Times New Roman"/>
          <w:snapToGrid w:val="0"/>
          <w:szCs w:val="20"/>
          <w:lang w:val="en-US"/>
        </w:rPr>
        <w:t xml:space="preserve">of </w:t>
      </w:r>
      <w:r w:rsidR="000228D0" w:rsidRPr="00FE50A6">
        <w:rPr>
          <w:rFonts w:eastAsia="Calibri" w:cs="Times New Roman"/>
          <w:snapToGrid w:val="0"/>
          <w:szCs w:val="20"/>
          <w:lang w:val="en-US"/>
        </w:rPr>
        <w:t>Articles</w:t>
      </w:r>
      <w:r w:rsidR="00130785" w:rsidRPr="00FE50A6">
        <w:rPr>
          <w:rFonts w:eastAsia="Calibri" w:cs="Times New Roman"/>
          <w:snapToGrid w:val="0"/>
          <w:szCs w:val="20"/>
          <w:lang w:val="en-US"/>
        </w:rPr>
        <w:t xml:space="preserve"> 8</w:t>
      </w:r>
      <w:r w:rsidR="00030C17" w:rsidRPr="00FE50A6">
        <w:rPr>
          <w:rFonts w:eastAsia="Calibri" w:cs="Times New Roman"/>
          <w:snapToGrid w:val="0"/>
          <w:szCs w:val="20"/>
          <w:lang w:val="en-US"/>
        </w:rPr>
        <w:t xml:space="preserve"> and </w:t>
      </w:r>
      <w:r w:rsidR="00130785" w:rsidRPr="00FE50A6">
        <w:rPr>
          <w:rFonts w:eastAsia="Calibri" w:cs="Times New Roman"/>
          <w:snapToGrid w:val="0"/>
          <w:szCs w:val="20"/>
          <w:lang w:val="en-US"/>
        </w:rPr>
        <w:t>25</w:t>
      </w:r>
      <w:r w:rsidR="000228D0" w:rsidRPr="00FE50A6">
        <w:rPr>
          <w:rFonts w:eastAsia="Calibri" w:cs="Times New Roman"/>
          <w:snapToGrid w:val="0"/>
          <w:szCs w:val="20"/>
          <w:lang w:val="en-US"/>
        </w:rPr>
        <w:t xml:space="preserve"> of the American Convention</w:t>
      </w:r>
      <w:r w:rsidRPr="00FE50A6">
        <w:rPr>
          <w:rFonts w:eastAsia="Calibri" w:cs="Times New Roman"/>
          <w:snapToGrid w:val="0"/>
          <w:szCs w:val="20"/>
          <w:lang w:val="en-US"/>
        </w:rPr>
        <w:t xml:space="preserve"> correctly, confusing their content, and failing to differentiate the actions that constitute violations of one and the other. This has resulted in a lack of clarity in the Court’s analysis</w:t>
      </w:r>
      <w:r w:rsidR="00130785" w:rsidRPr="00FE50A6">
        <w:rPr>
          <w:rFonts w:eastAsia="Calibri" w:cs="Times New Roman"/>
          <w:snapToGrid w:val="0"/>
          <w:szCs w:val="20"/>
          <w:lang w:val="en-US"/>
        </w:rPr>
        <w:t>.</w:t>
      </w:r>
    </w:p>
    <w:p w14:paraId="6BEC118F"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5A6A7A42"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41E1119D"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726D937E"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70C03258" w14:textId="77777777" w:rsidR="00130785" w:rsidRPr="00FE50A6" w:rsidRDefault="00130785" w:rsidP="00130785">
      <w:pPr>
        <w:tabs>
          <w:tab w:val="clear" w:pos="4419"/>
          <w:tab w:val="clear" w:pos="8838"/>
        </w:tabs>
        <w:ind w:left="3600" w:right="96" w:firstLine="720"/>
        <w:jc w:val="center"/>
        <w:rPr>
          <w:rFonts w:eastAsia="Calibri" w:cs="Times New Roman"/>
          <w:szCs w:val="20"/>
          <w:lang w:val="en-US"/>
        </w:rPr>
      </w:pPr>
    </w:p>
    <w:p w14:paraId="185857A0" w14:textId="77777777" w:rsidR="00130785" w:rsidRPr="00FE50A6" w:rsidRDefault="00130785" w:rsidP="00130785">
      <w:pPr>
        <w:tabs>
          <w:tab w:val="clear" w:pos="4419"/>
          <w:tab w:val="clear" w:pos="8838"/>
        </w:tabs>
        <w:ind w:left="3600" w:right="96" w:firstLine="720"/>
        <w:rPr>
          <w:rFonts w:eastAsia="Calibri" w:cs="Times New Roman"/>
          <w:szCs w:val="20"/>
        </w:rPr>
      </w:pPr>
      <w:r w:rsidRPr="00FE50A6">
        <w:rPr>
          <w:rFonts w:eastAsia="Calibri" w:cs="Times New Roman"/>
          <w:szCs w:val="20"/>
          <w:lang w:val="en-US"/>
        </w:rPr>
        <w:t xml:space="preserve">          </w:t>
      </w:r>
      <w:r w:rsidRPr="00FE50A6">
        <w:rPr>
          <w:rFonts w:eastAsia="Calibri" w:cs="Times New Roman"/>
          <w:szCs w:val="20"/>
        </w:rPr>
        <w:t>Humberto Antonio Sierra Porto</w:t>
      </w:r>
    </w:p>
    <w:p w14:paraId="10266022" w14:textId="77777777" w:rsidR="00130785" w:rsidRPr="00FE50A6" w:rsidRDefault="000228D0" w:rsidP="00130785">
      <w:pPr>
        <w:tabs>
          <w:tab w:val="clear" w:pos="4419"/>
          <w:tab w:val="clear" w:pos="8838"/>
        </w:tabs>
        <w:ind w:left="3960" w:right="96" w:firstLine="360"/>
        <w:jc w:val="center"/>
        <w:rPr>
          <w:rFonts w:eastAsia="Calibri" w:cs="Times New Roman"/>
          <w:szCs w:val="20"/>
        </w:rPr>
      </w:pPr>
      <w:r w:rsidRPr="00FE50A6">
        <w:rPr>
          <w:rFonts w:eastAsia="Calibri" w:cs="Times New Roman"/>
          <w:szCs w:val="20"/>
        </w:rPr>
        <w:t>Judge</w:t>
      </w:r>
    </w:p>
    <w:p w14:paraId="2B42A503" w14:textId="77777777" w:rsidR="00130785" w:rsidRPr="00FE50A6" w:rsidRDefault="00130785" w:rsidP="00130785">
      <w:pPr>
        <w:tabs>
          <w:tab w:val="clear" w:pos="4419"/>
          <w:tab w:val="clear" w:pos="8838"/>
        </w:tabs>
        <w:jc w:val="both"/>
        <w:rPr>
          <w:rFonts w:eastAsia="Calibri" w:cs="Times New Roman"/>
          <w:szCs w:val="20"/>
        </w:rPr>
      </w:pPr>
    </w:p>
    <w:p w14:paraId="36C12175" w14:textId="77777777" w:rsidR="00130785" w:rsidRPr="00FE50A6" w:rsidRDefault="00130785" w:rsidP="00130785">
      <w:pPr>
        <w:tabs>
          <w:tab w:val="clear" w:pos="4419"/>
          <w:tab w:val="clear" w:pos="8838"/>
        </w:tabs>
        <w:jc w:val="both"/>
        <w:rPr>
          <w:rFonts w:eastAsia="Calibri" w:cs="Times New Roman"/>
          <w:szCs w:val="20"/>
        </w:rPr>
      </w:pPr>
    </w:p>
    <w:p w14:paraId="2A2D5647" w14:textId="77777777" w:rsidR="00130785" w:rsidRPr="00FE50A6" w:rsidRDefault="00130785" w:rsidP="00130785">
      <w:pPr>
        <w:tabs>
          <w:tab w:val="clear" w:pos="4419"/>
          <w:tab w:val="clear" w:pos="8838"/>
        </w:tabs>
        <w:jc w:val="both"/>
        <w:rPr>
          <w:rFonts w:eastAsia="Calibri" w:cs="Times New Roman"/>
          <w:szCs w:val="20"/>
        </w:rPr>
      </w:pPr>
    </w:p>
    <w:p w14:paraId="2853B44A" w14:textId="77777777" w:rsidR="00130785" w:rsidRPr="00FE50A6" w:rsidRDefault="00130785" w:rsidP="00130785">
      <w:pPr>
        <w:tabs>
          <w:tab w:val="clear" w:pos="4419"/>
          <w:tab w:val="clear" w:pos="8838"/>
        </w:tabs>
        <w:jc w:val="both"/>
        <w:rPr>
          <w:rFonts w:eastAsia="Calibri" w:cs="Times New Roman"/>
          <w:szCs w:val="20"/>
        </w:rPr>
      </w:pPr>
      <w:r w:rsidRPr="00FE50A6">
        <w:rPr>
          <w:rFonts w:eastAsia="Calibri" w:cs="Times New Roman"/>
          <w:szCs w:val="20"/>
        </w:rPr>
        <w:t>Pablo Saavedra Alessandri</w:t>
      </w:r>
    </w:p>
    <w:p w14:paraId="2E385433" w14:textId="77777777" w:rsidR="00130785" w:rsidRPr="00D84065" w:rsidRDefault="00130785" w:rsidP="00130785">
      <w:pPr>
        <w:tabs>
          <w:tab w:val="clear" w:pos="4419"/>
          <w:tab w:val="clear" w:pos="8838"/>
        </w:tabs>
        <w:jc w:val="both"/>
        <w:rPr>
          <w:rFonts w:eastAsia="Calibri" w:cs="Times New Roman"/>
          <w:szCs w:val="20"/>
          <w:lang w:val="en-US"/>
        </w:rPr>
      </w:pPr>
      <w:r w:rsidRPr="00FE50A6">
        <w:rPr>
          <w:rFonts w:eastAsia="Calibri" w:cs="Times New Roman"/>
          <w:szCs w:val="20"/>
        </w:rPr>
        <w:tab/>
      </w:r>
      <w:r w:rsidR="008D0905" w:rsidRPr="00FE50A6">
        <w:rPr>
          <w:rFonts w:eastAsia="Calibri" w:cs="Times New Roman"/>
          <w:szCs w:val="20"/>
          <w:lang w:val="en-US"/>
        </w:rPr>
        <w:t>Secretary</w:t>
      </w:r>
    </w:p>
    <w:p w14:paraId="4202EFC9" w14:textId="77777777" w:rsidR="00130785" w:rsidRPr="00D84065" w:rsidRDefault="00130785" w:rsidP="00130785">
      <w:pPr>
        <w:tabs>
          <w:tab w:val="clear" w:pos="4419"/>
          <w:tab w:val="clear" w:pos="8838"/>
        </w:tabs>
        <w:jc w:val="both"/>
        <w:rPr>
          <w:rFonts w:eastAsia="Calibri" w:cs="Times New Roman"/>
          <w:snapToGrid w:val="0"/>
          <w:szCs w:val="20"/>
          <w:lang w:val="en-US"/>
        </w:rPr>
      </w:pPr>
    </w:p>
    <w:p w14:paraId="05B5C1E6" w14:textId="77777777" w:rsidR="001156BC" w:rsidRPr="00D84065" w:rsidRDefault="001156BC" w:rsidP="00F74CCF">
      <w:pPr>
        <w:tabs>
          <w:tab w:val="left" w:pos="720"/>
        </w:tabs>
        <w:ind w:right="-90"/>
        <w:contextualSpacing/>
        <w:rPr>
          <w:bCs/>
          <w:szCs w:val="20"/>
          <w:lang w:val="en-US"/>
        </w:rPr>
      </w:pPr>
    </w:p>
    <w:sectPr w:rsidR="001156BC" w:rsidRPr="00D84065" w:rsidSect="00130785">
      <w:footerReference w:type="default" r:id="rId13"/>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67D1E" w14:textId="77777777" w:rsidR="00C36FE9" w:rsidRDefault="00C36FE9" w:rsidP="00BA1ACF">
      <w:r>
        <w:separator/>
      </w:r>
    </w:p>
  </w:endnote>
  <w:endnote w:type="continuationSeparator" w:id="0">
    <w:p w14:paraId="169DF3AF" w14:textId="77777777" w:rsidR="00C36FE9" w:rsidRDefault="00C36FE9" w:rsidP="00BA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18dgiyl">
    <w:panose1 w:val="00000000000000000000"/>
    <w:charset w:val="00"/>
    <w:family w:val="swiss"/>
    <w:notTrueType/>
    <w:pitch w:val="default"/>
    <w:sig w:usb0="00000003" w:usb1="00000000" w:usb2="00000000" w:usb3="00000000" w:csb0="00000001" w:csb1="00000000"/>
  </w:font>
  <w:font w:name="19efu">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ystem Font Regular">
    <w:charset w:val="00"/>
    <w:family w:val="auto"/>
    <w:pitch w:val="variable"/>
    <w:sig w:usb0="2000028F" w:usb1="00000003" w:usb2="00000000" w:usb3="00000000" w:csb0="0000019F" w:csb1="00000000"/>
  </w:font>
  <w:font w:name="Optima">
    <w:charset w:val="00"/>
    <w:family w:val="roman"/>
    <w:pitch w:val="variable"/>
    <w:sig w:usb0="20000A87" w:usb1="08000000" w:usb2="00000008" w:usb3="00000000" w:csb0="000001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687599"/>
      <w:docPartObj>
        <w:docPartGallery w:val="Page Numbers (Bottom of Page)"/>
        <w:docPartUnique/>
      </w:docPartObj>
    </w:sdtPr>
    <w:sdtEndPr>
      <w:rPr>
        <w:szCs w:val="20"/>
      </w:rPr>
    </w:sdtEndPr>
    <w:sdtContent>
      <w:p w14:paraId="1C005EF4" w14:textId="77777777" w:rsidR="00E70935" w:rsidRPr="00A00142" w:rsidRDefault="00E70935">
        <w:pPr>
          <w:pStyle w:val="Piedepgina"/>
          <w:jc w:val="center"/>
          <w:rPr>
            <w:szCs w:val="20"/>
          </w:rPr>
        </w:pPr>
        <w:r>
          <w:fldChar w:fldCharType="begin"/>
        </w:r>
        <w:r>
          <w:instrText>PAGE   \* MERGEFORMAT</w:instrText>
        </w:r>
        <w:r>
          <w:fldChar w:fldCharType="separate"/>
        </w:r>
        <w:r w:rsidR="00066439" w:rsidRPr="00066439">
          <w:rPr>
            <w:noProof/>
            <w:szCs w:val="20"/>
            <w:lang w:val="es-ES"/>
          </w:rPr>
          <w:t>122</w:t>
        </w:r>
        <w:r>
          <w:rPr>
            <w:noProof/>
            <w:szCs w:val="20"/>
            <w:lang w:val="es-ES"/>
          </w:rPr>
          <w:fldChar w:fldCharType="end"/>
        </w:r>
      </w:p>
    </w:sdtContent>
  </w:sdt>
  <w:p w14:paraId="55477A3A" w14:textId="77777777" w:rsidR="00E70935" w:rsidRDefault="00E709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F2EB" w14:textId="77777777" w:rsidR="00E70935" w:rsidRDefault="00E70935" w:rsidP="000D4C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19C7" w14:textId="77777777" w:rsidR="00E70935" w:rsidRDefault="00E709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D6BD0" w14:textId="77777777" w:rsidR="00E70935" w:rsidRPr="007005DD" w:rsidRDefault="00E70935" w:rsidP="000D4C30">
    <w:pPr>
      <w:pStyle w:val="Piedepgina"/>
      <w:framePr w:wrap="around" w:vAnchor="text" w:hAnchor="margin" w:xAlign="center" w:y="1"/>
      <w:rPr>
        <w:rStyle w:val="Nmerodepgina"/>
      </w:rPr>
    </w:pPr>
    <w:r w:rsidRPr="007005DD">
      <w:rPr>
        <w:rStyle w:val="Nmerodepgina"/>
      </w:rPr>
      <w:fldChar w:fldCharType="begin"/>
    </w:r>
    <w:r w:rsidRPr="007005DD">
      <w:rPr>
        <w:rStyle w:val="Nmerodepgina"/>
      </w:rPr>
      <w:instrText xml:space="preserve">PAGE  </w:instrText>
    </w:r>
    <w:r w:rsidRPr="007005DD">
      <w:rPr>
        <w:rStyle w:val="Nmerodepgina"/>
      </w:rPr>
      <w:fldChar w:fldCharType="separate"/>
    </w:r>
    <w:r w:rsidR="00066439">
      <w:rPr>
        <w:rStyle w:val="Nmerodepgina"/>
        <w:noProof/>
      </w:rPr>
      <w:t>30</w:t>
    </w:r>
    <w:r w:rsidRPr="007005DD">
      <w:rPr>
        <w:rStyle w:val="Nmerodepgina"/>
      </w:rPr>
      <w:fldChar w:fldCharType="end"/>
    </w:r>
  </w:p>
  <w:p w14:paraId="6E0DE61F" w14:textId="77777777" w:rsidR="00E70935" w:rsidRDefault="00E7093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645119"/>
      <w:docPartObj>
        <w:docPartGallery w:val="Page Numbers (Bottom of Page)"/>
        <w:docPartUnique/>
      </w:docPartObj>
    </w:sdtPr>
    <w:sdtEndPr>
      <w:rPr>
        <w:noProof/>
      </w:rPr>
    </w:sdtEndPr>
    <w:sdtContent>
      <w:p w14:paraId="5489704E" w14:textId="77777777" w:rsidR="00E70935" w:rsidRDefault="00E70935" w:rsidP="00130785">
        <w:pPr>
          <w:pStyle w:val="Piedepgina"/>
          <w:jc w:val="center"/>
        </w:pPr>
        <w:r>
          <w:fldChar w:fldCharType="begin"/>
        </w:r>
        <w:r>
          <w:instrText xml:space="preserve"> PAGE   \* MERGEFORMAT </w:instrText>
        </w:r>
        <w:r>
          <w:fldChar w:fldCharType="separate"/>
        </w:r>
        <w:r w:rsidR="00066439">
          <w:rPr>
            <w:noProof/>
          </w:rPr>
          <w:t>2</w:t>
        </w:r>
        <w:r>
          <w:rPr>
            <w:noProof/>
          </w:rPr>
          <w:fldChar w:fldCharType="end"/>
        </w:r>
      </w:p>
    </w:sdtContent>
  </w:sdt>
  <w:p w14:paraId="37A63E26" w14:textId="77777777" w:rsidR="00E70935" w:rsidRDefault="00E7093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641882"/>
      <w:docPartObj>
        <w:docPartGallery w:val="Page Numbers (Bottom of Page)"/>
        <w:docPartUnique/>
      </w:docPartObj>
    </w:sdtPr>
    <w:sdtEndPr>
      <w:rPr>
        <w:noProof/>
      </w:rPr>
    </w:sdtEndPr>
    <w:sdtContent>
      <w:p w14:paraId="5D725F69" w14:textId="77777777" w:rsidR="00E70935" w:rsidRDefault="00E70935">
        <w:pPr>
          <w:pStyle w:val="Piedepgina"/>
          <w:jc w:val="center"/>
        </w:pPr>
        <w:r>
          <w:fldChar w:fldCharType="begin"/>
        </w:r>
        <w:r>
          <w:instrText xml:space="preserve"> PAGE   \* MERGEFORMAT </w:instrText>
        </w:r>
        <w:r>
          <w:fldChar w:fldCharType="separate"/>
        </w:r>
        <w:r w:rsidR="00066439">
          <w:rPr>
            <w:noProof/>
          </w:rPr>
          <w:t>4</w:t>
        </w:r>
        <w:r>
          <w:rPr>
            <w:noProof/>
          </w:rPr>
          <w:fldChar w:fldCharType="end"/>
        </w:r>
      </w:p>
    </w:sdtContent>
  </w:sdt>
  <w:p w14:paraId="07C32161" w14:textId="77777777" w:rsidR="00E70935" w:rsidRDefault="00E70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C39CC" w14:textId="77777777" w:rsidR="00C36FE9" w:rsidRDefault="00C36FE9" w:rsidP="00BA1ACF">
      <w:r>
        <w:separator/>
      </w:r>
    </w:p>
  </w:footnote>
  <w:footnote w:type="continuationSeparator" w:id="0">
    <w:p w14:paraId="19AC6BEF" w14:textId="77777777" w:rsidR="00C36FE9" w:rsidRDefault="00C36FE9" w:rsidP="00BA1ACF">
      <w:r>
        <w:continuationSeparator/>
      </w:r>
    </w:p>
  </w:footnote>
  <w:footnote w:id="1">
    <w:p w14:paraId="4198AF3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Judge Roberto F. Caldas, a Brazilian national, did not take part in the deliberation of this judgment, in accordance with the provisions of Articles 19(2) of the Court’s Statute and 19(1) of its Rules of Procedure.</w:t>
      </w:r>
    </w:p>
  </w:footnote>
  <w:footnote w:id="2">
    <w:p w14:paraId="198751C3"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rStyle w:val="Refdenotaalpie"/>
          <w:sz w:val="16"/>
          <w:szCs w:val="16"/>
          <w:lang w:val="en-US"/>
        </w:rPr>
        <w:footnoteRef/>
      </w:r>
      <w:r w:rsidRPr="00FE50A6">
        <w:rPr>
          <w:sz w:val="16"/>
          <w:szCs w:val="16"/>
          <w:lang w:val="en-US" w:eastAsia="es-ES"/>
        </w:rPr>
        <w:t xml:space="preserve"> The Inter-American Commission designated Commissioner Felipe González and Executive Secretary, Emilio Álvarez Icaza L., as delegates and Deputy Executive Secretary, Elizabeth Abi-Mershed, and Silvia Serrano Guzmán, an Executive Secretariat lawyer, as legal advisers.</w:t>
      </w:r>
    </w:p>
  </w:footnote>
  <w:footnote w:id="3">
    <w:p w14:paraId="77586BD2"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These acts and omissions include: (1) The situation of forced labor and debt bondage, similar to slavery, after December 10, 1998; (2) The acts and omissions that have led to the impunity of all the facts of the case. This impunity continued on the date that the State accepted the jurisdiction of the Court and persists to date, and (3) The disappearance of Iron Canuto da Silva and Luis Ferreira da Cruz, which subsisted following the date on which the State accepted the Court’s jurisdiction. </w:t>
      </w:r>
    </w:p>
  </w:footnote>
  <w:footnote w:id="4">
    <w:p w14:paraId="162D4A2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representatives asked the Court to declare the international responsibility of the State for the following: (1) violation of the obligation to ensure the prohibition of slavery, servitude and trafficking in persons established in Article 6 of the Convention, in relation to the rights to juridical personality, personal integrity, personal liberty and safety, privacy, honor and dignity, and freedom of movement and residence established in Articles 3, 5, 7, 11 and 22 of the Convention, to the detriment of those individuals who were working in Hacienda Brasil Verde following the acceptance of the Court’s contentious jurisdiction. This responsibility is increased owing to the violation of the principle of non-discrimination and the rights of the child established in Articles 1(1) and 19 of this instrument; (2) violation of the rights to judicial protection and judicial guarantees established in Articles 25 and 8, in relation to Article 1(1) of the Convention, of those individuals who were working in Hacienda Brasil Verde following the acceptance of the Court’s contentious jurisdiction; (3) failure to comply with the obligation to ensure the rights to juridical personality, life, personal integrity and liberty of Luis Ferreira da Cruz established in Articles 3, 4, 5 and 7 of the Convention, in relation to Articles 1(1), 8 and 25 of this instrument; (4) violation of the rights to judicial guarantees, judicial protection and personal integrity of the next of kin of Luis Ferreira da Cruz established in Articles 8, 25 and 5 of the Convention, in relation to Article 1(1) of this instrument, and (5) the continuing violation of the rights to judicial guarantees and judicial protection established in Articles 8 and 25 of the Convention, of those who were working in Hacienda Brasil Verde prior to 1998. </w:t>
      </w:r>
    </w:p>
  </w:footnote>
  <w:footnote w:id="5">
    <w:p w14:paraId="6282A58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 briefs dated June 8 and 30, and August 10, 2015, the State appointed Maria Dulce Silva Barros, Boni de Moraes Soares, Pedro Marcos de Castro Saldanha, João Guilherme Fernandes Maranhão, Rodrigo de Oliveira Morais, Luciana Peres, Fabiola de Nazaré Oliveira and Hélia Alves Girão as its Agents. </w:t>
      </w:r>
    </w:p>
  </w:footnote>
  <w:footnote w:id="6">
    <w:p w14:paraId="4915842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Order of the President of the Court of December 11, 2015, available at: </w:t>
      </w:r>
      <w:hyperlink r:id="rId1" w:history="1">
        <w:r w:rsidRPr="00FE50A6">
          <w:rPr>
            <w:rStyle w:val="Hipervnculo"/>
          </w:rPr>
          <w:t>http://www.corteidh.or.cr/docs/asuntos/ trabajadores_11_12_15.pdf</w:t>
        </w:r>
      </w:hyperlink>
      <w:r w:rsidRPr="00FE50A6">
        <w:t>.</w:t>
      </w:r>
    </w:p>
  </w:footnote>
  <w:footnote w:id="7">
    <w:p w14:paraId="597B06D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Order of the Court of February 15, 2016, available at: </w:t>
      </w:r>
      <w:hyperlink r:id="rId2" w:history="1">
        <w:r w:rsidRPr="00FE50A6">
          <w:rPr>
            <w:rStyle w:val="Hipervnculo"/>
          </w:rPr>
          <w:t>http://www.corteidh.or.cr/docs/asuntos/ trabajadores_15_02_16_por.pdf</w:t>
        </w:r>
      </w:hyperlink>
      <w:r w:rsidRPr="00FE50A6">
        <w:t>.</w:t>
      </w:r>
    </w:p>
  </w:footnote>
  <w:footnote w:id="8">
    <w:p w14:paraId="5FC2FF1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There appeared at this hearing: (a) For the Inter-American Commission: </w:t>
      </w:r>
      <w:r w:rsidRPr="00FE50A6">
        <w:rPr>
          <w:lang w:eastAsia="es-ES"/>
        </w:rPr>
        <w:t>Francisco Eguiguren Praeli</w:t>
      </w:r>
      <w:r w:rsidRPr="00FE50A6">
        <w:t xml:space="preserve">, Commissioner, and Silvia Serrano Guzmán, adviser to the Executive Secretariat; (b) for the representatives: </w:t>
      </w:r>
      <w:r w:rsidRPr="00FE50A6">
        <w:rPr>
          <w:lang w:eastAsia="es-ES"/>
        </w:rPr>
        <w:t>Viviana Krsticevic, Helena de Souza Rocha, Beatriz Affonso, Elsa Meany, Xavier Plassat, Ricardo Rezende Figueira and Ana Batista de Souza</w:t>
      </w:r>
      <w:r w:rsidRPr="00FE50A6">
        <w:t xml:space="preserve">, and (c) for the State: </w:t>
      </w:r>
      <w:r w:rsidRPr="00FE50A6">
        <w:rPr>
          <w:lang w:eastAsia="es-ES"/>
        </w:rPr>
        <w:t>Maria Dulce Silva Barros, Boni de Moraes Soares, João Guilherme Fernandes Maranhão, Luciana Peres, Hélida Alves Girão, Giordano da Silva Rosseto, Maria Cristina M. dos Anjos, Gustavo Guimarães, Nilma Lino Gomes, Cecilia Bizerra Souza and Claudio Fachel.</w:t>
      </w:r>
      <w:r w:rsidRPr="00FE50A6">
        <w:rPr>
          <w:b/>
          <w:lang w:eastAsia="es-ES"/>
        </w:rPr>
        <w:t xml:space="preserve"> </w:t>
      </w:r>
    </w:p>
  </w:footnote>
  <w:footnote w:id="9">
    <w:p w14:paraId="56C0CEA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tab/>
        <w:t xml:space="preserve">Regarding these </w:t>
      </w:r>
      <w:r w:rsidRPr="00FE50A6">
        <w:rPr>
          <w:i/>
        </w:rPr>
        <w:t>amici curiae</w:t>
      </w:r>
      <w:r w:rsidRPr="00FE50A6">
        <w:t xml:space="preserve">, the State objected that the translations of the briefs of the Universidad del Norte de Colombia, </w:t>
      </w:r>
      <w:r w:rsidRPr="00FE50A6">
        <w:rPr>
          <w:rFonts w:eastAsia="Batang" w:cs="Times New Roman"/>
          <w:noProof/>
          <w:szCs w:val="20"/>
        </w:rPr>
        <w:t xml:space="preserve">the Human Rights and Democracy Institute of the </w:t>
      </w:r>
      <w:r w:rsidRPr="00FE50A6">
        <w:t xml:space="preserve">Pontificia Universidad Católica del Peru, and Human Rights in Practice were not submitted within the corresponding time frame and, consequently, requested that the Court declare them inadmissible. It also alleged that the </w:t>
      </w:r>
      <w:r w:rsidRPr="00FE50A6">
        <w:rPr>
          <w:i/>
        </w:rPr>
        <w:t>amicus curiae</w:t>
      </w:r>
      <w:r w:rsidRPr="00FE50A6">
        <w:t xml:space="preserve"> of Tara Melish, associate professor at the State University of New York, expressly referred to the State’s answering brief despite the fact that this is for the exclusive use of the parties and the Inter-American Court during the processing of the case, so that it should also be declared inadmissible. In this regard, the Court noted that the translation into Portuguese of the brief of the Universidad del Norte de Colombia was presented on March 14, 2016, while the translations of the briefs of</w:t>
      </w:r>
      <w:r w:rsidRPr="00FE50A6">
        <w:rPr>
          <w:rFonts w:eastAsia="Batang" w:cs="Times New Roman"/>
          <w:noProof/>
          <w:szCs w:val="20"/>
        </w:rPr>
        <w:t xml:space="preserve"> the Human Rights and Democracy Institute of the</w:t>
      </w:r>
      <w:r w:rsidRPr="00FE50A6">
        <w:t xml:space="preserve"> Pontificia Universidad Católica del Peru, and of Human Rights in Practice were presented on March 17, 2016. Consequently, the Court will not take into consideration the briefs presented as </w:t>
      </w:r>
      <w:r w:rsidRPr="00FE50A6">
        <w:rPr>
          <w:i/>
        </w:rPr>
        <w:t>amici curiae</w:t>
      </w:r>
      <w:r w:rsidRPr="00FE50A6">
        <w:t xml:space="preserve"> by the</w:t>
      </w:r>
      <w:r w:rsidRPr="00FE50A6">
        <w:rPr>
          <w:rFonts w:eastAsia="Batang" w:cs="Times New Roman"/>
          <w:noProof/>
          <w:szCs w:val="20"/>
        </w:rPr>
        <w:t xml:space="preserve"> Human Rights and Democracy Institute of the</w:t>
      </w:r>
      <w:r w:rsidRPr="00FE50A6">
        <w:t xml:space="preserve"> Universidad Católica del Peru, and by Human Rights in Practice, due to their late presentation. Nevertheless, the brief of the Universidad del Norte de Colombia was submitted within the time frame granted by the Court. In the case of the State’s objection to the brief presented by Tara Melish, the Court points out that the State of Brazil’s answering brief in this case had not been made public; however, it notes that this document is not confidential in nature and did not contain sensitive information that the State might have requested be kept confidential; therefore, the State’s request that it be declared inadmissible is denied.</w:t>
      </w:r>
    </w:p>
  </w:footnote>
  <w:footnote w:id="10">
    <w:p w14:paraId="3DC59AF7"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rPr>
          <w:lang w:val="es-CR"/>
        </w:rPr>
        <w:t xml:space="preserve"> The brief was signed by Valena Jacob Chaves Mesquita, </w:t>
      </w:r>
      <w:r w:rsidRPr="00FE50A6">
        <w:rPr>
          <w:noProof/>
          <w:lang w:val="es-CR"/>
        </w:rPr>
        <w:t xml:space="preserve">Cristina Figueiredo Terezo Ribeiro, Manoel Maurício Ramos Neto, Caio César Dias Santos, Raysa Antonia Alves Alves and Tamires da Silva Lima. </w:t>
      </w:r>
    </w:p>
  </w:footnote>
  <w:footnote w:id="11">
    <w:p w14:paraId="60D6C095"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rPr>
          <w:lang w:val="es-CR"/>
        </w:rPr>
        <w:t xml:space="preserve"> The brief was signed by Elizabeth Salmón Gárate, Cristina Blanco Vizarreta, Alessandra Enrico Headrington and Adrián Lengua Parra. (evidence file, folio 1.</w:t>
      </w:r>
    </w:p>
  </w:footnote>
  <w:footnote w:id="12">
    <w:p w14:paraId="29A6FF9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brief was signed by Sharan Burrow. </w:t>
      </w:r>
    </w:p>
  </w:footnote>
  <w:footnote w:id="13">
    <w:p w14:paraId="06A7966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brief was signed by Cindy Hawkins Rada, Maira Kleber Sierra, ShirLaw Llain Arenilla and Andrea Alejandra Ariza Lascarro. </w:t>
      </w:r>
    </w:p>
  </w:footnote>
  <w:footnote w:id="14">
    <w:p w14:paraId="6640B0E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brief was signed by Hellen Duffy.</w:t>
      </w:r>
      <w:r w:rsidRPr="00FE50A6">
        <w:rPr>
          <w:b/>
        </w:rPr>
        <w:t xml:space="preserve"> </w:t>
      </w:r>
    </w:p>
  </w:footnote>
  <w:footnote w:id="15">
    <w:p w14:paraId="5ACF411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brief was signed by Sheldon Leader and Anil Yilmaz-Vastardis. </w:t>
      </w:r>
    </w:p>
  </w:footnote>
  <w:footnote w:id="16">
    <w:p w14:paraId="5C0111E1" w14:textId="77777777" w:rsidR="00E70935" w:rsidRPr="00FE50A6" w:rsidRDefault="00E70935" w:rsidP="00CD003F">
      <w:pPr>
        <w:spacing w:after="80"/>
        <w:jc w:val="both"/>
        <w:rPr>
          <w:b/>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Style w:val="Textoennegrita"/>
          <w:b w:val="0"/>
          <w:color w:val="000000"/>
          <w:sz w:val="16"/>
          <w:szCs w:val="16"/>
          <w:shd w:val="clear" w:color="auto" w:fill="FFFFFF"/>
          <w:lang w:val="en-US"/>
        </w:rPr>
        <w:t xml:space="preserve">Order concerning the on-site procedure of February 23, 2016, available at: </w:t>
      </w:r>
      <w:hyperlink r:id="rId3" w:history="1">
        <w:r w:rsidRPr="00FE50A6">
          <w:rPr>
            <w:rStyle w:val="Hipervnculo"/>
            <w:sz w:val="16"/>
            <w:szCs w:val="16"/>
            <w:shd w:val="clear" w:color="auto" w:fill="FFFFFF"/>
            <w:lang w:val="en-US"/>
          </w:rPr>
          <w:t>http://www.corteidh.or.cr/docs/ asuntos/ trabajadores_23_02_16.pdf</w:t>
        </w:r>
      </w:hyperlink>
    </w:p>
  </w:footnote>
  <w:footnote w:id="17">
    <w:p w14:paraId="3017CE9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Court’s delegation that conducted the on-site procedure consisted of Judge Eduardo Ferrer Mac-Gregor Poisot, acting President in this case, and Judges Eugenio Raul Zaffaroni and Patricio Pazmiño Freire; Pablo Saavedra Alessandri, Secretary of the Court, and Carlos E. Gaio, a lawyer from the Court’s Secretariat. </w:t>
      </w:r>
    </w:p>
  </w:footnote>
  <w:footnote w:id="18">
    <w:p w14:paraId="1C5E29C4"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 Case of Cepeda Vargas v. Colombia. Preliminary objections, merits, reparations and costs.</w:t>
      </w:r>
      <w:r w:rsidRPr="00FE50A6">
        <w:rPr>
          <w:sz w:val="16"/>
          <w:szCs w:val="16"/>
          <w:lang w:val="en-US"/>
        </w:rPr>
        <w:t xml:space="preserve"> Judgment of May 26, 2010, Series C No. 213, para. 35, and </w:t>
      </w:r>
      <w:r w:rsidRPr="00FE50A6">
        <w:rPr>
          <w:rStyle w:val="Textoennegrita"/>
          <w:b w:val="0"/>
          <w:i/>
          <w:color w:val="000000"/>
          <w:sz w:val="16"/>
          <w:shd w:val="clear" w:color="auto" w:fill="FFFFFF"/>
          <w:lang w:val="en-US"/>
        </w:rPr>
        <w:t>Case of Maldonado Ordoñez v. Guatemala. Preliminary objection, merits, reparations and costs</w:t>
      </w:r>
      <w:r w:rsidRPr="00FE50A6">
        <w:rPr>
          <w:rStyle w:val="Textoennegrita"/>
          <w:b w:val="0"/>
          <w:color w:val="000000"/>
          <w:sz w:val="16"/>
          <w:shd w:val="clear" w:color="auto" w:fill="FFFFFF"/>
          <w:lang w:val="en-US"/>
        </w:rPr>
        <w:t>. Judgment of May 3, 2016. Series C No. 311, para. 20.</w:t>
      </w:r>
    </w:p>
  </w:footnote>
  <w:footnote w:id="19">
    <w:p w14:paraId="6374F7AD"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i/>
          <w:iCs/>
          <w:sz w:val="16"/>
          <w:szCs w:val="16"/>
          <w:lang w:val="en-US" w:eastAsia="es-ES_tradnl"/>
        </w:rPr>
        <w:t>Case of Las Palmeras v. Colombia. Preliminary objections.</w:t>
      </w:r>
      <w:r w:rsidRPr="00FE50A6">
        <w:rPr>
          <w:iCs/>
          <w:sz w:val="16"/>
          <w:szCs w:val="16"/>
          <w:lang w:val="en-US" w:eastAsia="es-ES_tradnl"/>
        </w:rPr>
        <w:t xml:space="preserve"> </w:t>
      </w:r>
      <w:r w:rsidRPr="00FE50A6">
        <w:rPr>
          <w:sz w:val="16"/>
          <w:szCs w:val="16"/>
          <w:lang w:val="en-US" w:eastAsia="es-ES_tradnl"/>
        </w:rPr>
        <w:t xml:space="preserve">Judgment of February 4, 2000, Series C No. 67, para. 34, and </w:t>
      </w:r>
      <w:r w:rsidRPr="00FE50A6">
        <w:rPr>
          <w:rStyle w:val="Textoennegrita"/>
          <w:b w:val="0"/>
          <w:i/>
          <w:color w:val="000000"/>
          <w:sz w:val="16"/>
          <w:szCs w:val="16"/>
          <w:shd w:val="clear" w:color="auto" w:fill="FFFFFF"/>
          <w:lang w:val="en-US"/>
        </w:rPr>
        <w:t xml:space="preserve">Case of </w:t>
      </w:r>
      <w:r w:rsidRPr="00FE50A6">
        <w:rPr>
          <w:rStyle w:val="Textoennegrita"/>
          <w:b w:val="0"/>
          <w:i/>
          <w:color w:val="000000"/>
          <w:sz w:val="16"/>
          <w:shd w:val="clear" w:color="auto" w:fill="FFFFFF"/>
          <w:lang w:val="en-US"/>
        </w:rPr>
        <w:t>Maldonado Ordoñez</w:t>
      </w:r>
      <w:r w:rsidRPr="00FE50A6">
        <w:rPr>
          <w:rStyle w:val="Textoennegrita"/>
          <w:b w:val="0"/>
          <w:i/>
          <w:color w:val="000000"/>
          <w:sz w:val="16"/>
          <w:szCs w:val="16"/>
          <w:shd w:val="clear" w:color="auto" w:fill="FFFFFF"/>
          <w:lang w:val="en-US"/>
        </w:rPr>
        <w:t xml:space="preserve">, </w:t>
      </w:r>
      <w:r w:rsidRPr="00FE50A6">
        <w:rPr>
          <w:rStyle w:val="Textoennegrita"/>
          <w:b w:val="0"/>
          <w:color w:val="000000"/>
          <w:sz w:val="16"/>
          <w:szCs w:val="16"/>
          <w:shd w:val="clear" w:color="auto" w:fill="FFFFFF"/>
          <w:lang w:val="en-US"/>
        </w:rPr>
        <w:t>para. 20.</w:t>
      </w:r>
    </w:p>
  </w:footnote>
  <w:footnote w:id="20">
    <w:p w14:paraId="194E9FE3"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rFonts w:eastAsia="Times New Roman" w:cs="Times New Roman"/>
          <w:i/>
          <w:sz w:val="16"/>
          <w:szCs w:val="16"/>
          <w:lang w:val="en-US" w:eastAsia="es-ES"/>
        </w:rPr>
        <w:t>Certain attributes of the Inter-American Commission on Human Rights (Arts. 41, 42, 44, 46, 47, 50 and 51 of the American Convention on Human Rights),</w:t>
      </w:r>
      <w:r w:rsidRPr="00FE50A6">
        <w:rPr>
          <w:rFonts w:eastAsia="Times New Roman" w:cs="Times New Roman"/>
          <w:sz w:val="16"/>
          <w:szCs w:val="16"/>
          <w:lang w:val="en-US" w:eastAsia="es-ES"/>
        </w:rPr>
        <w:t xml:space="preserve"> </w:t>
      </w:r>
      <w:r w:rsidRPr="00FE50A6">
        <w:rPr>
          <w:rFonts w:cs="Times New Roman"/>
          <w:noProof/>
          <w:sz w:val="16"/>
          <w:szCs w:val="16"/>
          <w:lang w:val="en-US"/>
        </w:rPr>
        <w:t xml:space="preserve">Advisory Opinion OC-13/93 </w:t>
      </w:r>
      <w:r w:rsidRPr="00FE50A6">
        <w:rPr>
          <w:rFonts w:eastAsia="Times New Roman" w:cs="Times New Roman"/>
          <w:sz w:val="16"/>
          <w:szCs w:val="16"/>
          <w:lang w:val="en-US" w:eastAsia="es-ES"/>
        </w:rPr>
        <w:t xml:space="preserve">of July 16, </w:t>
      </w:r>
      <w:r w:rsidRPr="00FE50A6">
        <w:rPr>
          <w:rFonts w:cs="Times New Roman"/>
          <w:noProof/>
          <w:sz w:val="16"/>
          <w:szCs w:val="16"/>
          <w:lang w:val="en-US"/>
        </w:rPr>
        <w:t xml:space="preserve">1993, para. </w:t>
      </w:r>
      <w:r w:rsidRPr="00FE50A6">
        <w:rPr>
          <w:rFonts w:eastAsia="Times New Roman" w:cs="Times New Roman"/>
          <w:sz w:val="16"/>
          <w:szCs w:val="16"/>
          <w:lang w:val="en-US" w:eastAsia="es-ES"/>
        </w:rPr>
        <w:t>53.</w:t>
      </w:r>
      <w:r w:rsidRPr="00FE50A6">
        <w:rPr>
          <w:rFonts w:cs="Times New Roman"/>
          <w:noProof/>
          <w:sz w:val="16"/>
          <w:szCs w:val="16"/>
          <w:lang w:val="en-US"/>
        </w:rPr>
        <w:t xml:space="preserve"> </w:t>
      </w:r>
    </w:p>
  </w:footnote>
  <w:footnote w:id="21">
    <w:p w14:paraId="78587A7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Fonts w:eastAsia="Times New Roman" w:cs="Times New Roman"/>
          <w:i/>
          <w:lang w:eastAsia="es-ES"/>
        </w:rPr>
        <w:t>Certain attributes of the Inter-American Commission on Human Rights</w:t>
      </w:r>
      <w:r w:rsidRPr="00FE50A6">
        <w:rPr>
          <w:noProof/>
        </w:rPr>
        <w:t>,</w:t>
      </w:r>
      <w:r w:rsidRPr="00FE50A6">
        <w:t xml:space="preserve"> para. 48.</w:t>
      </w:r>
    </w:p>
  </w:footnote>
  <w:footnote w:id="22">
    <w:p w14:paraId="756001FF"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t xml:space="preserve"> </w:t>
      </w:r>
      <w:r w:rsidRPr="00FE50A6">
        <w:rPr>
          <w:i/>
        </w:rPr>
        <w:t xml:space="preserve">Cf. </w:t>
      </w:r>
      <w:r w:rsidRPr="00FE50A6">
        <w:rPr>
          <w:rFonts w:eastAsia="Times New Roman" w:cs="Times New Roman"/>
          <w:i/>
          <w:lang w:eastAsia="es-ES"/>
        </w:rPr>
        <w:t>Certain attributes of the Inter-American Commission on Human Rights</w:t>
      </w:r>
      <w:r w:rsidRPr="00FE50A6">
        <w:rPr>
          <w:noProof/>
        </w:rPr>
        <w:t>,</w:t>
      </w:r>
      <w:r w:rsidRPr="00FE50A6">
        <w:t xml:space="preserve"> para. </w:t>
      </w:r>
      <w:r w:rsidRPr="00FE50A6">
        <w:rPr>
          <w:lang w:val="es-CR"/>
        </w:rPr>
        <w:t>50.</w:t>
      </w:r>
    </w:p>
  </w:footnote>
  <w:footnote w:id="23">
    <w:p w14:paraId="7F3985C0" w14:textId="77777777" w:rsidR="00E70935" w:rsidRPr="00E70935" w:rsidRDefault="00E70935" w:rsidP="00CD003F">
      <w:pPr>
        <w:pStyle w:val="Textonotapie"/>
        <w:tabs>
          <w:tab w:val="clear" w:pos="4419"/>
          <w:tab w:val="clear" w:pos="8838"/>
          <w:tab w:val="right" w:pos="0"/>
        </w:tabs>
        <w:spacing w:after="80"/>
      </w:pPr>
      <w:r w:rsidRPr="00FE50A6">
        <w:rPr>
          <w:rStyle w:val="Refdenotaalpie"/>
          <w:szCs w:val="16"/>
        </w:rPr>
        <w:footnoteRef/>
      </w:r>
      <w:r w:rsidRPr="00FE50A6">
        <w:rPr>
          <w:lang w:val="es-CR"/>
        </w:rPr>
        <w:t xml:space="preserve"> 1. Alfredo Rodrigues; 2. Antônio Bento da Silva; 3. Antônio Damas Filho; 4. Antônio Fernandes Costa; 5. Antônio Francisco da Silva; 6. Antônio Ivaldo Rodrigues da Silva; 7. Carlito Bastos Gonçalves; 8. Carlos Ferreira Lopes; 9. Erimar Lima da Silva; 10. Firmino da Silva; 11. Francisco Mariano da Silva; 12. Francisco das Chagas Bastos Sousa; 13. Francisco das Chagas Cardoso Carvalho; 14. Francisco das Chagas Diogo; 15. Francisco de Assis Felix; 16. Francisco de Assis Pereira da Silva; 17. Francisco de Sousa Brígido; 18. Francisco Fabiano Leandro; 19. Francisco Ferreira da Silva; 20. Francisco Teodoro Diogo; 21. Gonçalo Constancio da Silva; 22. Gonçalo Firmino de Sousa; 23. José Cordeiro Ramos; 24. José Francisco Furtado de Sousa; 25. José Leandro da Silva; 26. Luiz Sicinato de Menezes; 27. Marcos Antônio Lima; 28. Pedro Fernandes da Silva; 29. Raimundo de Sousa Leandro; 30. Raimundo Nonato da Silva; 31. Roberto Alves Nascimento; 32. </w:t>
      </w:r>
      <w:r w:rsidRPr="00E70935">
        <w:t>Rogerio Felix Silva, and 33. Vicentina Maria da Conceição.</w:t>
      </w:r>
    </w:p>
  </w:footnote>
  <w:footnote w:id="24">
    <w:p w14:paraId="5CCD092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1. Firmino da Silva (supposedly deceased and represented by his supposed wife Maria da Silva Santos); Gonçalo Constancio da Silva (supposedly deceased and represented by his supposed wife Lucilene Alves da Silva), and José Cordeiro Ramos (supposedly deceased and represented by his wife Elizete Mendes Lima).</w:t>
      </w:r>
      <w:r w:rsidRPr="00FE50A6">
        <w:rPr>
          <w:b/>
        </w:rPr>
        <w:t xml:space="preserve"> </w:t>
      </w:r>
    </w:p>
  </w:footnote>
  <w:footnote w:id="25">
    <w:p w14:paraId="40E5782F"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rPr>
          <w:lang w:val="es-CR"/>
        </w:rPr>
        <w:t xml:space="preserve"> 1. Antônio Bento da Silva; 2. Antônio Francisco da Silva; 3. Carlos Ferreira Lopes; 4. Firmino da Silva; 5. Francisco das Chagas Bastos Souza; 6. Francisco das Chagas Cardoso Carvalho; 7. Francisco Fabiano Leandro; 8. Francisco Ferreira da Silva; 9. Francisco Mariano da Silva; 10. Gonçalo Firmino de Souza; 11. Raimundo Nonato da Silva and 12. Vicentina Maria da Conceição.</w:t>
      </w:r>
    </w:p>
  </w:footnote>
  <w:footnote w:id="26">
    <w:p w14:paraId="3E407A71" w14:textId="77777777" w:rsidR="00E70935" w:rsidRPr="009F2A41"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rPr>
          <w:lang w:val="es-CR"/>
        </w:rPr>
        <w:t xml:space="preserve"> They are: 1. Alfredo Rodrigues; 2. Antônio Damas Filho; 3. Antônio Fernandes Costa; 4. Antônio Ivaldo Rodrigues da Silva; 5. Carlito Bastos Gonçalves; 6. Erimar Lima da Silva; 7. Francisco das Chagas Diogo; 8. Francisco de Assis Felix; 9. Francisco de Assis Pereira da Silva; 10. Francisco de Sousa Brígido; 11. Francisco Teodoro Diogo; 12. José Leandro da Silva; 13. Luiz Sicinato de Menezes; 14. Marcos Antônio Lima; 15. Pedro Fernandes da Silva; 16. Raimundo de Sousa Leandro; 17. Roberto Alves Nascimento and 18. </w:t>
      </w:r>
      <w:r w:rsidRPr="009F2A41">
        <w:rPr>
          <w:lang w:val="es-CR"/>
        </w:rPr>
        <w:t>Rogerio Felix Silva.</w:t>
      </w:r>
    </w:p>
  </w:footnote>
  <w:footnote w:id="27">
    <w:p w14:paraId="4AA612F2" w14:textId="77777777" w:rsidR="00E70935" w:rsidRPr="00FE50A6" w:rsidRDefault="00E70935" w:rsidP="00CD003F">
      <w:pPr>
        <w:tabs>
          <w:tab w:val="clear" w:pos="4419"/>
          <w:tab w:val="clear" w:pos="8838"/>
          <w:tab w:val="right" w:pos="0"/>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rStyle w:val="Textoennegrita"/>
          <w:b w:val="0"/>
          <w:i/>
          <w:color w:val="000000"/>
          <w:sz w:val="16"/>
          <w:shd w:val="clear" w:color="auto" w:fill="FFFFFF"/>
          <w:lang w:val="en-US"/>
        </w:rPr>
        <w:t>Case of the Plan de Sánchez Massacre v. Guatemala. Merits</w:t>
      </w:r>
      <w:r w:rsidRPr="00FE50A6">
        <w:rPr>
          <w:rStyle w:val="Textoennegrita"/>
          <w:b w:val="0"/>
          <w:color w:val="000000"/>
          <w:sz w:val="16"/>
          <w:shd w:val="clear" w:color="auto" w:fill="FFFFFF"/>
          <w:lang w:val="en-US"/>
        </w:rPr>
        <w:t xml:space="preserve">. Judgment of April 29, 2004. Series C No. 105, para. 48, and </w:t>
      </w:r>
      <w:r w:rsidRPr="00FE50A6">
        <w:rPr>
          <w:i/>
          <w:sz w:val="16"/>
          <w:szCs w:val="16"/>
          <w:lang w:val="en-US"/>
        </w:rPr>
        <w:t xml:space="preserve">Case of the Ituango Massacres v. Colombia. </w:t>
      </w:r>
      <w:r w:rsidRPr="00FE50A6">
        <w:rPr>
          <w:sz w:val="16"/>
          <w:szCs w:val="16"/>
          <w:lang w:val="en-US"/>
        </w:rPr>
        <w:t>Judgment of July 1, 2006, Series C No. 148, para. 91</w:t>
      </w:r>
      <w:r w:rsidRPr="00FE50A6">
        <w:rPr>
          <w:rFonts w:cs="Verdana"/>
          <w:sz w:val="16"/>
          <w:szCs w:val="16"/>
          <w:lang w:val="en-US"/>
        </w:rPr>
        <w:t>.</w:t>
      </w:r>
    </w:p>
  </w:footnote>
  <w:footnote w:id="28">
    <w:p w14:paraId="6031BC3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 the Massacres of El Mozote and neighboring places v. El Salvador. Merits, reparations and costs</w:t>
      </w:r>
      <w:r w:rsidRPr="00FE50A6">
        <w:t xml:space="preserve">. Judgment of October 25, 2012. Series C No. 252, para. 51. </w:t>
      </w:r>
    </w:p>
  </w:footnote>
  <w:footnote w:id="29">
    <w:p w14:paraId="6F0E257A"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rStyle w:val="Textoennegrita"/>
          <w:b w:val="0"/>
          <w:i/>
          <w:color w:val="000000"/>
          <w:shd w:val="clear" w:color="auto" w:fill="FFFFFF"/>
        </w:rPr>
        <w:t>Case of the Río Negro Massacres v. Guatemala. Preliminary objection, merits, reparations and costs</w:t>
      </w:r>
      <w:r w:rsidRPr="00FE50A6">
        <w:rPr>
          <w:rStyle w:val="Textoennegrita"/>
          <w:b w:val="0"/>
          <w:color w:val="000000"/>
          <w:shd w:val="clear" w:color="auto" w:fill="FFFFFF"/>
        </w:rPr>
        <w:t xml:space="preserve">. Judgment of September 4, 2012. Series C No. 250, para. 48, and </w:t>
      </w:r>
      <w:r w:rsidRPr="00FE50A6">
        <w:rPr>
          <w:rStyle w:val="Textoennegrita"/>
          <w:b w:val="0"/>
          <w:i/>
          <w:color w:val="000000"/>
          <w:shd w:val="clear" w:color="auto" w:fill="FFFFFF"/>
        </w:rPr>
        <w:t>Case of the Massacres of El Mozote and neighboring places</w:t>
      </w:r>
      <w:r w:rsidRPr="00FE50A6">
        <w:rPr>
          <w:rStyle w:val="Textoennegrita"/>
          <w:b w:val="0"/>
          <w:color w:val="000000"/>
          <w:shd w:val="clear" w:color="auto" w:fill="FFFFFF"/>
        </w:rPr>
        <w:t>, para. 50.</w:t>
      </w:r>
    </w:p>
  </w:footnote>
  <w:footnote w:id="30">
    <w:p w14:paraId="0CC0AC90"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It should be pointed out that the Court has applied Article 35(2) of its Rules of Procedure in the following cases: </w:t>
      </w:r>
      <w:r w:rsidRPr="00FE50A6">
        <w:rPr>
          <w:i/>
        </w:rPr>
        <w:t>Case of the Río Negro Massacres v. Guatemala</w:t>
      </w:r>
      <w:r w:rsidRPr="00FE50A6">
        <w:t xml:space="preserve">; </w:t>
      </w:r>
      <w:r w:rsidRPr="00FE50A6">
        <w:rPr>
          <w:i/>
        </w:rPr>
        <w:t>Case of Nadege Dorzema et al. v. Dominican Republic. Merits, reparations and costs.</w:t>
      </w:r>
      <w:r w:rsidRPr="00FE50A6">
        <w:t xml:space="preserve"> Judgment of October 24, 2012. Series C No. 251; </w:t>
      </w:r>
      <w:r w:rsidRPr="00FE50A6">
        <w:rPr>
          <w:i/>
        </w:rPr>
        <w:t>Case of the Massacres of El Mozote and neighboring places v. El Salvador;</w:t>
      </w:r>
      <w:r w:rsidRPr="00FE50A6">
        <w:t xml:space="preserve"> </w:t>
      </w:r>
      <w:r w:rsidRPr="00FE50A6">
        <w:rPr>
          <w:i/>
        </w:rPr>
        <w:t>Case of the Afrodescendant Communities Displaced from the Río Cacarica Basin (Operation Genesis) v. Colombia. Preliminary objections, merits, reparations and costs.</w:t>
      </w:r>
      <w:r w:rsidRPr="00FE50A6">
        <w:t xml:space="preserve"> Judgment of November 20, 2013. Series C No. 270, and </w:t>
      </w:r>
      <w:r w:rsidRPr="00FE50A6">
        <w:rPr>
          <w:rStyle w:val="Textoennegrita"/>
          <w:b w:val="0"/>
          <w:i/>
          <w:color w:val="000000"/>
          <w:shd w:val="clear" w:color="auto" w:fill="FFFFFF"/>
        </w:rPr>
        <w:t>Case of the Campesina Community of Santa Bárbara v. Peru. Preliminary objections, merits, reparations and costs</w:t>
      </w:r>
      <w:r w:rsidRPr="00FE50A6">
        <w:rPr>
          <w:rStyle w:val="Textoennegrita"/>
          <w:b w:val="0"/>
          <w:color w:val="000000"/>
          <w:shd w:val="clear" w:color="auto" w:fill="FFFFFF"/>
        </w:rPr>
        <w:t>. Judgment of September 1, 2015. Series C No. 299</w:t>
      </w:r>
      <w:r w:rsidRPr="00FE50A6">
        <w:t xml:space="preserve">. In addition, it has rejected its application in the following cases: </w:t>
      </w:r>
      <w:r w:rsidRPr="00FE50A6">
        <w:rPr>
          <w:i/>
        </w:rPr>
        <w:t>Case of Barbani Duarte et al. v. Uruguay. Merits, reparations and costs.</w:t>
      </w:r>
      <w:r w:rsidRPr="00FE50A6">
        <w:t xml:space="preserve"> Judgment of October 13, 2011. Series C No. 234; </w:t>
      </w:r>
      <w:r w:rsidRPr="00FE50A6">
        <w:rPr>
          <w:i/>
        </w:rPr>
        <w:t>Case of the Human Rights Defender et al. v. Guatemala. Preliminary objections, merits, reparations and costs.</w:t>
      </w:r>
      <w:r w:rsidRPr="00FE50A6">
        <w:t xml:space="preserve"> Judgment of August 28, 2014. Series C No. 283; </w:t>
      </w:r>
      <w:r w:rsidRPr="00FE50A6">
        <w:rPr>
          <w:i/>
        </w:rPr>
        <w:t>Case of García and family members v. Guatemala. Merits, reparations and costs.</w:t>
      </w:r>
      <w:r w:rsidRPr="00FE50A6">
        <w:t xml:space="preserve"> Judgment of November 29, 2012. Series C No. 258; </w:t>
      </w:r>
      <w:r w:rsidRPr="00FE50A6">
        <w:rPr>
          <w:i/>
        </w:rPr>
        <w:t>Case of Suárez Peralta v. Ecuador. Preliminary objections, merits, reparations and costs.</w:t>
      </w:r>
      <w:r w:rsidRPr="00FE50A6">
        <w:t xml:space="preserve"> Judgment of May 21, 2013. Series C No. 261; </w:t>
      </w:r>
      <w:r w:rsidRPr="00FE50A6">
        <w:rPr>
          <w:i/>
        </w:rPr>
        <w:t>Case of J. v. Peru. Preliminary objection, merits, reparations and costs</w:t>
      </w:r>
      <w:r w:rsidRPr="00FE50A6">
        <w:t xml:space="preserve">. Judgment of November 27, 2013. Series C No. 275; </w:t>
      </w:r>
      <w:r w:rsidRPr="00FE50A6">
        <w:rPr>
          <w:i/>
        </w:rPr>
        <w:t>Case of Rochac Hernández et al. v. El Salvador. Merits, reparations and costs.</w:t>
      </w:r>
      <w:r w:rsidRPr="00FE50A6">
        <w:t xml:space="preserve"> Judgment of October 14, 2014. Series C No. 285, and </w:t>
      </w:r>
      <w:r w:rsidRPr="00FE50A6">
        <w:rPr>
          <w:i/>
        </w:rPr>
        <w:t>Case of Argüelles et al. v. Argentina. Preliminary objections, merits, reparations and costs</w:t>
      </w:r>
      <w:r w:rsidRPr="00FE50A6">
        <w:t>. Judgment of November 20, 2014. Series C No. 288.</w:t>
      </w:r>
    </w:p>
  </w:footnote>
  <w:footnote w:id="31">
    <w:p w14:paraId="56A8D1E0"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Río Negro Massacres, </w:t>
      </w:r>
      <w:r w:rsidRPr="00FE50A6">
        <w:t xml:space="preserve">para. 48, and </w:t>
      </w:r>
      <w:r w:rsidRPr="00FE50A6">
        <w:rPr>
          <w:i/>
        </w:rPr>
        <w:t xml:space="preserve">Case of the Afrodescendant Communities Displaced from the Río Cacarica Basin (Operation Genesis), </w:t>
      </w:r>
      <w:r w:rsidRPr="00FE50A6">
        <w:t>para. 41.</w:t>
      </w:r>
    </w:p>
  </w:footnote>
  <w:footnote w:id="32">
    <w:p w14:paraId="258855BE"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Nadege Dorzema et al., </w:t>
      </w:r>
      <w:r w:rsidRPr="00FE50A6">
        <w:t xml:space="preserve">para. 30, and </w:t>
      </w:r>
      <w:r w:rsidRPr="00FE50A6">
        <w:rPr>
          <w:i/>
        </w:rPr>
        <w:t xml:space="preserve">Case of the Afrodescendant Communities Displaced from the Río Cacarica Basin (Operation Genesis), </w:t>
      </w:r>
      <w:r w:rsidRPr="00FE50A6">
        <w:t>para. 41.</w:t>
      </w:r>
    </w:p>
  </w:footnote>
  <w:footnote w:id="33">
    <w:p w14:paraId="7A4E2BE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Massacres of El Mozote and neighboring places, </w:t>
      </w:r>
      <w:r w:rsidRPr="00FE50A6">
        <w:t xml:space="preserve">para. 30. </w:t>
      </w:r>
    </w:p>
  </w:footnote>
  <w:footnote w:id="34">
    <w:p w14:paraId="23F7C4A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Río Negro Massacres, </w:t>
      </w:r>
      <w:r w:rsidRPr="00FE50A6">
        <w:t xml:space="preserve">para. 48. </w:t>
      </w:r>
    </w:p>
  </w:footnote>
  <w:footnote w:id="35">
    <w:p w14:paraId="734095F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Afrodescendant Communities Displaced from the Río Cacarica Basin (Operation Genesis), </w:t>
      </w:r>
      <w:r w:rsidRPr="00FE50A6">
        <w:t>para. 41.</w:t>
      </w:r>
    </w:p>
  </w:footnote>
  <w:footnote w:id="36">
    <w:p w14:paraId="0FC6B16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Massacres of El Mozote and neighboring places, </w:t>
      </w:r>
      <w:r w:rsidRPr="00FE50A6">
        <w:t xml:space="preserve">para. 30, and </w:t>
      </w:r>
      <w:r w:rsidRPr="00FE50A6">
        <w:rPr>
          <w:i/>
        </w:rPr>
        <w:t xml:space="preserve">Case of the Río Negro Massacres, </w:t>
      </w:r>
      <w:r w:rsidRPr="00FE50A6">
        <w:t>para. 48.</w:t>
      </w:r>
    </w:p>
  </w:footnote>
  <w:footnote w:id="37">
    <w:p w14:paraId="54916429"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Río Negro Massacres, </w:t>
      </w:r>
      <w:r w:rsidRPr="00FE50A6">
        <w:t xml:space="preserve">para. 51, and </w:t>
      </w:r>
      <w:r w:rsidRPr="00FE50A6">
        <w:rPr>
          <w:i/>
        </w:rPr>
        <w:t xml:space="preserve">Case of the Afrodescendant Communities Displaced from the Río Cacarica Basin (Operation Genesis), </w:t>
      </w:r>
      <w:r w:rsidRPr="00FE50A6">
        <w:t>para. 41.</w:t>
      </w:r>
    </w:p>
  </w:footnote>
  <w:footnote w:id="38">
    <w:p w14:paraId="68BC5042"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Río Negro Massacres, </w:t>
      </w:r>
      <w:r w:rsidRPr="00FE50A6">
        <w:t>para. 48.</w:t>
      </w:r>
    </w:p>
  </w:footnote>
  <w:footnote w:id="39">
    <w:p w14:paraId="1B5FEC3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Nadege Dorzema et al., </w:t>
      </w:r>
      <w:r w:rsidRPr="00FE50A6">
        <w:t>para. 30.</w:t>
      </w:r>
    </w:p>
  </w:footnote>
  <w:footnote w:id="40">
    <w:p w14:paraId="49F6A81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 xml:space="preserve">Cf. Case of the Río Negro Massacres, </w:t>
      </w:r>
      <w:r w:rsidRPr="00FE50A6">
        <w:t xml:space="preserve">para. 48, and </w:t>
      </w:r>
      <w:r w:rsidRPr="00FE50A6">
        <w:rPr>
          <w:i/>
        </w:rPr>
        <w:t xml:space="preserve">Case of the Massacres of El Mozote and neighboring places, </w:t>
      </w:r>
      <w:r w:rsidRPr="00FE50A6">
        <w:t>para. 50.</w:t>
      </w:r>
    </w:p>
  </w:footnote>
  <w:footnote w:id="41">
    <w:p w14:paraId="169B6295"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sz w:val="16"/>
          <w:szCs w:val="16"/>
          <w:vertAlign w:val="superscript"/>
          <w:lang w:val="en-US"/>
        </w:rPr>
        <w:footnoteRef/>
      </w:r>
      <w:r w:rsidRPr="00FE50A6">
        <w:rPr>
          <w:sz w:val="16"/>
          <w:szCs w:val="16"/>
          <w:vertAlign w:val="superscript"/>
          <w:lang w:val="en-US"/>
        </w:rPr>
        <w:t xml:space="preserve"> </w:t>
      </w:r>
      <w:r w:rsidRPr="00FE50A6">
        <w:rPr>
          <w:i/>
          <w:sz w:val="16"/>
          <w:szCs w:val="16"/>
          <w:lang w:val="en-US"/>
        </w:rPr>
        <w:t xml:space="preserve">Cf. Case of Ticona Estrada et al. v. Bolivia. Merits, reparations and costs. </w:t>
      </w:r>
      <w:r w:rsidRPr="00FE50A6">
        <w:rPr>
          <w:sz w:val="16"/>
          <w:szCs w:val="16"/>
          <w:lang w:val="en-US"/>
        </w:rPr>
        <w:t xml:space="preserve">Judgment of November 27, 2008. Series C No. 191, para. 110, and </w:t>
      </w:r>
      <w:r w:rsidRPr="00FE50A6">
        <w:rPr>
          <w:bCs/>
          <w:i/>
          <w:sz w:val="16"/>
          <w:szCs w:val="16"/>
          <w:lang w:val="en-US"/>
        </w:rPr>
        <w:t xml:space="preserve">Case of López Lone et al. v. Honduras. </w:t>
      </w:r>
      <w:r w:rsidRPr="00FE50A6">
        <w:rPr>
          <w:rStyle w:val="Textoennegrita"/>
          <w:b w:val="0"/>
          <w:i/>
          <w:color w:val="000000"/>
          <w:sz w:val="16"/>
          <w:shd w:val="clear" w:color="auto" w:fill="FFFFFF"/>
          <w:lang w:val="en-US"/>
        </w:rPr>
        <w:t>Preliminary objection, merits, reparations and costs</w:t>
      </w:r>
      <w:r w:rsidRPr="00FE50A6">
        <w:rPr>
          <w:rStyle w:val="Textoennegrita"/>
          <w:b w:val="0"/>
          <w:color w:val="000000"/>
          <w:sz w:val="16"/>
          <w:shd w:val="clear" w:color="auto" w:fill="FFFFFF"/>
          <w:lang w:val="en-US"/>
        </w:rPr>
        <w:t>. Judgment of October 5, 2015. Series C No. 302</w:t>
      </w:r>
      <w:r w:rsidRPr="00FE50A6">
        <w:rPr>
          <w:i/>
          <w:sz w:val="16"/>
          <w:szCs w:val="16"/>
          <w:lang w:val="en-US"/>
        </w:rPr>
        <w:t xml:space="preserve">, </w:t>
      </w:r>
      <w:r w:rsidRPr="00FE50A6">
        <w:rPr>
          <w:sz w:val="16"/>
          <w:szCs w:val="16"/>
          <w:lang w:val="en-US"/>
        </w:rPr>
        <w:t>para. 288.</w:t>
      </w:r>
    </w:p>
  </w:footnote>
  <w:footnote w:id="42">
    <w:p w14:paraId="6221BB0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Style w:val="Textoennegrita"/>
          <w:b w:val="0"/>
          <w:i/>
          <w:color w:val="000000"/>
          <w:shd w:val="clear" w:color="auto" w:fill="FFFFFF"/>
        </w:rPr>
        <w:t>Case of Velásquez Rodríguez v. Honduras. Preliminary objections</w:t>
      </w:r>
      <w:r w:rsidRPr="00FE50A6">
        <w:rPr>
          <w:rStyle w:val="Textoennegrita"/>
          <w:b w:val="0"/>
          <w:color w:val="000000"/>
          <w:shd w:val="clear" w:color="auto" w:fill="FFFFFF"/>
        </w:rPr>
        <w:t xml:space="preserve">. Judgment of June 26, 1987. Series C No. 1, para. 96, and </w:t>
      </w:r>
      <w:r w:rsidRPr="00FE50A6">
        <w:rPr>
          <w:i/>
        </w:rPr>
        <w:t xml:space="preserve">Case of Quispialaya Vilcapoma v. Peru. Preliminary objections, merits, reparations and costs. </w:t>
      </w:r>
      <w:r w:rsidRPr="00FE50A6">
        <w:t>Judgment of November 23, 2015, Series C No. 308, paras. 30 and 32</w:t>
      </w:r>
      <w:r w:rsidRPr="00FE50A6">
        <w:rPr>
          <w:rStyle w:val="Textoennegrita"/>
          <w:b w:val="0"/>
        </w:rPr>
        <w:t>.</w:t>
      </w:r>
    </w:p>
  </w:footnote>
  <w:footnote w:id="43">
    <w:p w14:paraId="430FFD24" w14:textId="77777777" w:rsidR="00E70935" w:rsidRPr="00FE50A6" w:rsidRDefault="00E70935" w:rsidP="00CD003F">
      <w:pPr>
        <w:pStyle w:val="Textonotapie"/>
        <w:tabs>
          <w:tab w:val="left" w:pos="720"/>
        </w:tabs>
        <w:spacing w:after="80"/>
      </w:pPr>
      <w:r w:rsidRPr="00FE50A6">
        <w:rPr>
          <w:rStyle w:val="Refdenotaalpie"/>
          <w:szCs w:val="16"/>
        </w:rPr>
        <w:footnoteRef/>
      </w:r>
      <w:r w:rsidRPr="00FE50A6">
        <w:t xml:space="preserve"> Brazil’s acceptance of jurisdiction on December 10, 1998, indicated that “[t]he Government of the Federative Republic of Brazil declares its recognition as binding, for an indefinite period of time, </w:t>
      </w:r>
      <w:r w:rsidRPr="00FE50A6">
        <w:rPr>
          <w:i/>
        </w:rPr>
        <w:t xml:space="preserve">ipso jure, </w:t>
      </w:r>
      <w:r w:rsidRPr="00FE50A6">
        <w:t xml:space="preserve">of the jurisdiction of the Inter-American Court of Human Rights, on all matters relating to the interpretation or application of the American Convention on Human Rights, according to Article 62 of that Convention, on the condition of reciprocity and for matters arising after the time of this Declaration.” </w:t>
      </w:r>
      <w:r w:rsidRPr="00FE50A6">
        <w:rPr>
          <w:i/>
        </w:rPr>
        <w:t xml:space="preserve">Cf. </w:t>
      </w:r>
      <w:r w:rsidRPr="00FE50A6">
        <w:t xml:space="preserve">General information of the Treaty: American Convention on Human Rights. Brazil, acceptance of jurisdiction. Available at: </w:t>
      </w:r>
      <w:hyperlink r:id="rId4" w:history="1">
        <w:r w:rsidRPr="00FE50A6">
          <w:rPr>
            <w:rStyle w:val="Hipervnculo"/>
          </w:rPr>
          <w:t>https://www.oas.org/dil/treaties_B-32 _American_Convention_on_ Human_Rights_sign.htm</w:t>
        </w:r>
      </w:hyperlink>
      <w:r w:rsidRPr="00FE50A6">
        <w:rPr>
          <w:rFonts w:cs="Times New Roman"/>
        </w:rPr>
        <w:t>.</w:t>
      </w:r>
    </w:p>
  </w:footnote>
  <w:footnote w:id="44">
    <w:p w14:paraId="576F1782" w14:textId="77777777" w:rsidR="00E70935" w:rsidRPr="00FE50A6" w:rsidRDefault="00E70935" w:rsidP="00CD003F">
      <w:pPr>
        <w:pStyle w:val="Textonotapie"/>
        <w:tabs>
          <w:tab w:val="left" w:pos="360"/>
          <w:tab w:val="left" w:pos="720"/>
        </w:tabs>
        <w:spacing w:after="80"/>
      </w:pPr>
      <w:r w:rsidRPr="00FE50A6">
        <w:rPr>
          <w:rStyle w:val="Refdenotaalpie"/>
          <w:szCs w:val="16"/>
        </w:rPr>
        <w:footnoteRef/>
      </w:r>
      <w:r w:rsidRPr="00FE50A6">
        <w:t xml:space="preserve"> </w:t>
      </w:r>
      <w:r w:rsidRPr="00FE50A6">
        <w:rPr>
          <w:i/>
        </w:rPr>
        <w:t xml:space="preserve">Cf. Case of Gomes Lund et al. </w:t>
      </w:r>
      <w:r w:rsidRPr="00FE50A6">
        <w:rPr>
          <w:i/>
          <w:lang w:val="es-CR"/>
        </w:rPr>
        <w:t>(“Guerrilha do Araguaia”) v. Brazil</w:t>
      </w:r>
      <w:r w:rsidRPr="00FE50A6">
        <w:rPr>
          <w:lang w:val="es-CR"/>
        </w:rPr>
        <w:t xml:space="preserve">. </w:t>
      </w:r>
      <w:r w:rsidRPr="00FE50A6">
        <w:t xml:space="preserve">Preliminary objections, merits, reparations and costs. Judgment of November 24, 2010. Series C No. 219, para. 16. </w:t>
      </w:r>
    </w:p>
  </w:footnote>
  <w:footnote w:id="45">
    <w:p w14:paraId="5BE5B05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Gomes Lund et al. (“Guerrilha do Araguaia”)</w:t>
      </w:r>
      <w:r w:rsidRPr="00FE50A6">
        <w:t xml:space="preserve">, para. 17. </w:t>
      </w:r>
    </w:p>
  </w:footnote>
  <w:footnote w:id="46">
    <w:p w14:paraId="15ABCD5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bookmarkStart w:id="109" w:name="_Hlk10733660"/>
      <w:r w:rsidRPr="00FE50A6">
        <w:t xml:space="preserve">The Preamble to the American Convention states that the international protection should be considered as </w:t>
      </w:r>
      <w:r w:rsidRPr="00FE50A6">
        <w:rPr>
          <w:spacing w:val="-3"/>
        </w:rPr>
        <w:t xml:space="preserve">“reinforcing or complementing the protection provided by the domestic law of the American states.” See also, </w:t>
      </w:r>
      <w:r w:rsidRPr="00FE50A6">
        <w:rPr>
          <w:i/>
          <w:spacing w:val="-3"/>
        </w:rPr>
        <w:t>The Effect of Reservations on the Entry into Force</w:t>
      </w:r>
      <w:r w:rsidRPr="00FE50A6">
        <w:t xml:space="preserve"> </w:t>
      </w:r>
      <w:r w:rsidRPr="00FE50A6">
        <w:rPr>
          <w:i/>
        </w:rPr>
        <w:t xml:space="preserve">of the American Convention on Human Rights </w:t>
      </w:r>
      <w:r w:rsidRPr="00FE50A6">
        <w:t xml:space="preserve">(Arts. 74 and 75). Advisory Opinion OC-2/82 of September 24, 1982. Series A No. 2, para. 31; </w:t>
      </w:r>
      <w:r w:rsidRPr="00FE50A6">
        <w:rPr>
          <w:i/>
        </w:rPr>
        <w:t>The Word “Laws” in Article 30 of the American Convention on Human Rights</w:t>
      </w:r>
      <w:r w:rsidRPr="00FE50A6">
        <w:t xml:space="preserve">. Advisory Opinion OC-6/86 of May 9, 1986. </w:t>
      </w:r>
      <w:bookmarkEnd w:id="109"/>
      <w:r w:rsidRPr="00FE50A6">
        <w:t xml:space="preserve">Series A No. 6, para. 26; </w:t>
      </w:r>
      <w:r w:rsidRPr="00FE50A6">
        <w:rPr>
          <w:i/>
        </w:rPr>
        <w:t>Case of Velásquez Rodríguez v. Honduras</w:t>
      </w:r>
      <w:r w:rsidRPr="00FE50A6">
        <w:t xml:space="preserve">. </w:t>
      </w:r>
      <w:r w:rsidRPr="00FE50A6">
        <w:rPr>
          <w:i/>
        </w:rPr>
        <w:t>Merits</w:t>
      </w:r>
      <w:r w:rsidRPr="00FE50A6">
        <w:t xml:space="preserve">. Judgment of July 29, 1988. </w:t>
      </w:r>
      <w:r w:rsidRPr="00E70935">
        <w:rPr>
          <w:lang w:val="es-CR"/>
        </w:rPr>
        <w:t xml:space="preserve">Series C No. 4, para. 61, and </w:t>
      </w:r>
      <w:r w:rsidRPr="00E70935">
        <w:rPr>
          <w:i/>
          <w:lang w:val="es-CR"/>
        </w:rPr>
        <w:t xml:space="preserve">Case of García Ibarra et al. v. Ecuador. </w:t>
      </w:r>
      <w:r w:rsidRPr="00FE50A6">
        <w:rPr>
          <w:i/>
        </w:rPr>
        <w:t xml:space="preserve">Preliminary objections, merits, reparations and costs. </w:t>
      </w:r>
      <w:r w:rsidRPr="00FE50A6">
        <w:t>Judgment of November 17, 2015, para.17.</w:t>
      </w:r>
    </w:p>
  </w:footnote>
  <w:footnote w:id="47">
    <w:p w14:paraId="7AF0FEC8" w14:textId="77777777" w:rsidR="00E70935" w:rsidRPr="00FE50A6" w:rsidRDefault="00E70935" w:rsidP="00CD003F">
      <w:pPr>
        <w:tabs>
          <w:tab w:val="clear" w:pos="4419"/>
          <w:tab w:val="clear" w:pos="8838"/>
          <w:tab w:val="right" w:pos="0"/>
          <w:tab w:val="left" w:pos="720"/>
        </w:tabs>
        <w:spacing w:after="80"/>
        <w:jc w:val="both"/>
        <w:rPr>
          <w:rFonts w:cs="Verdana"/>
          <w:bCs/>
          <w:i/>
          <w:iCs/>
          <w:snapToGrid w:val="0"/>
          <w:color w:val="FF0000"/>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 Case of Cabrera García and Montiel Flores v. Mexico. Preliminary objection, merits, reparations and costs</w:t>
      </w:r>
      <w:r w:rsidRPr="00FE50A6">
        <w:rPr>
          <w:sz w:val="16"/>
          <w:szCs w:val="16"/>
          <w:lang w:val="en-US"/>
        </w:rPr>
        <w:t xml:space="preserve">. Judgment of </w:t>
      </w:r>
      <w:bookmarkStart w:id="110" w:name="_Hlk10733780"/>
      <w:r w:rsidRPr="00FE50A6">
        <w:rPr>
          <w:sz w:val="16"/>
          <w:szCs w:val="16"/>
          <w:lang w:val="en-US"/>
        </w:rPr>
        <w:t xml:space="preserve">November 26, </w:t>
      </w:r>
      <w:bookmarkEnd w:id="110"/>
      <w:r w:rsidRPr="00FE50A6">
        <w:rPr>
          <w:sz w:val="16"/>
          <w:szCs w:val="16"/>
          <w:lang w:val="en-US"/>
        </w:rPr>
        <w:t xml:space="preserve">2010. Series C No. 220, para. 16, and </w:t>
      </w:r>
      <w:r w:rsidRPr="00FE50A6">
        <w:rPr>
          <w:i/>
          <w:sz w:val="16"/>
          <w:szCs w:val="16"/>
          <w:lang w:val="en-US"/>
        </w:rPr>
        <w:t xml:space="preserve">Case of García Ibarra et al., </w:t>
      </w:r>
      <w:r w:rsidRPr="00FE50A6">
        <w:rPr>
          <w:sz w:val="16"/>
          <w:szCs w:val="16"/>
          <w:lang w:val="en-US"/>
        </w:rPr>
        <w:t>para. 17</w:t>
      </w:r>
      <w:r w:rsidRPr="00FE50A6">
        <w:rPr>
          <w:rFonts w:cs="Verdana"/>
          <w:bCs/>
          <w:snapToGrid w:val="0"/>
          <w:sz w:val="16"/>
          <w:szCs w:val="16"/>
          <w:lang w:val="en-US"/>
        </w:rPr>
        <w:t>.</w:t>
      </w:r>
    </w:p>
  </w:footnote>
  <w:footnote w:id="48">
    <w:p w14:paraId="0A6B34BF"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Castañeda Gutman v. Mexico. Preliminary objections, merits, reparations and costs. </w:t>
      </w:r>
      <w:r w:rsidRPr="00FE50A6">
        <w:rPr>
          <w:sz w:val="16"/>
          <w:szCs w:val="16"/>
          <w:lang w:val="en-US"/>
        </w:rPr>
        <w:t xml:space="preserve">Judgment of August 6, 2008. Series C No. 184, para. 39, and </w:t>
      </w:r>
      <w:r w:rsidRPr="00FE50A6">
        <w:rPr>
          <w:i/>
          <w:sz w:val="16"/>
          <w:szCs w:val="16"/>
          <w:lang w:val="en-US"/>
        </w:rPr>
        <w:t xml:space="preserve">Case of García Ibarra et al., </w:t>
      </w:r>
      <w:r w:rsidRPr="00FE50A6">
        <w:rPr>
          <w:sz w:val="16"/>
          <w:szCs w:val="16"/>
          <w:lang w:val="en-US"/>
        </w:rPr>
        <w:t>para. 17.</w:t>
      </w:r>
    </w:p>
  </w:footnote>
  <w:footnote w:id="49">
    <w:p w14:paraId="4DD3410D" w14:textId="77777777" w:rsidR="00E70935" w:rsidRPr="00FE50A6" w:rsidRDefault="00E70935" w:rsidP="00CD003F">
      <w:pPr>
        <w:pStyle w:val="Textonotapie"/>
        <w:tabs>
          <w:tab w:val="clear" w:pos="4419"/>
          <w:tab w:val="clear" w:pos="8838"/>
          <w:tab w:val="right" w:pos="0"/>
        </w:tabs>
        <w:spacing w:after="80"/>
        <w:rPr>
          <w:i/>
        </w:rPr>
      </w:pPr>
      <w:r w:rsidRPr="00FE50A6">
        <w:rPr>
          <w:rStyle w:val="Refdenotaalpie"/>
          <w:szCs w:val="16"/>
        </w:rPr>
        <w:footnoteRef/>
      </w:r>
      <w:r w:rsidRPr="00FE50A6">
        <w:t xml:space="preserve"> </w:t>
      </w:r>
      <w:r w:rsidRPr="00FE50A6">
        <w:rPr>
          <w:rStyle w:val="Textoennegrita"/>
          <w:b w:val="0"/>
          <w:i/>
          <w:color w:val="000000"/>
          <w:shd w:val="clear" w:color="auto" w:fill="FFFFFF"/>
        </w:rPr>
        <w:t>Case of the “Street Children” (Villagrán Morales et al.) v. Guatemala. Merits</w:t>
      </w:r>
      <w:r w:rsidRPr="00FE50A6">
        <w:rPr>
          <w:rStyle w:val="Textoennegrita"/>
          <w:b w:val="0"/>
          <w:color w:val="000000"/>
          <w:shd w:val="clear" w:color="auto" w:fill="FFFFFF"/>
        </w:rPr>
        <w:t xml:space="preserve">. Judgment of November 19, 1999. Series C No. 63, para. 222, and </w:t>
      </w:r>
      <w:r w:rsidRPr="00FE50A6">
        <w:rPr>
          <w:i/>
        </w:rPr>
        <w:t xml:space="preserve">Case of García Ibarra et al., </w:t>
      </w:r>
      <w:r w:rsidRPr="00FE50A6">
        <w:t>paras. 19 and 20.</w:t>
      </w:r>
    </w:p>
  </w:footnote>
  <w:footnote w:id="50">
    <w:p w14:paraId="3C737C5F" w14:textId="77777777" w:rsidR="00E70935" w:rsidRPr="00FE50A6" w:rsidRDefault="00E70935" w:rsidP="00CD003F">
      <w:pPr>
        <w:spacing w:after="80"/>
        <w:jc w:val="both"/>
        <w:rPr>
          <w:b/>
          <w:lang w:val="en-US"/>
        </w:rPr>
      </w:pPr>
      <w:r w:rsidRPr="00FE50A6">
        <w:rPr>
          <w:sz w:val="16"/>
          <w:szCs w:val="16"/>
          <w:vertAlign w:val="superscript"/>
          <w:lang w:val="en-US"/>
        </w:rPr>
        <w:footnoteRef/>
      </w:r>
      <w:r w:rsidRPr="00FE50A6">
        <w:rPr>
          <w:sz w:val="16"/>
          <w:szCs w:val="16"/>
          <w:lang w:val="en-US"/>
        </w:rPr>
        <w:t xml:space="preserve"> </w:t>
      </w:r>
      <w:r w:rsidRPr="00FE50A6">
        <w:rPr>
          <w:i/>
          <w:sz w:val="16"/>
          <w:szCs w:val="16"/>
          <w:lang w:val="en-US"/>
        </w:rPr>
        <w:t>Cf. Case of the Mayagna (Sumo) Awas Tingni Community v. Nicaragua</w:t>
      </w:r>
      <w:r w:rsidRPr="00FE50A6">
        <w:rPr>
          <w:sz w:val="16"/>
          <w:szCs w:val="16"/>
          <w:lang w:val="en-US"/>
        </w:rPr>
        <w:t>.</w:t>
      </w:r>
      <w:r w:rsidRPr="00FE50A6">
        <w:rPr>
          <w:rStyle w:val="apple-converted-space"/>
          <w:color w:val="000000"/>
          <w:sz w:val="16"/>
          <w:szCs w:val="16"/>
          <w:lang w:val="en-US"/>
        </w:rPr>
        <w:t> </w:t>
      </w:r>
      <w:r w:rsidRPr="00FE50A6">
        <w:rPr>
          <w:i/>
          <w:sz w:val="16"/>
          <w:szCs w:val="16"/>
          <w:lang w:val="en-US"/>
        </w:rPr>
        <w:t>Merits, reparations and costs.</w:t>
      </w:r>
      <w:r w:rsidRPr="00FE50A6">
        <w:rPr>
          <w:rStyle w:val="apple-converted-space"/>
          <w:i/>
          <w:color w:val="000000"/>
          <w:sz w:val="16"/>
          <w:szCs w:val="16"/>
          <w:lang w:val="en-US"/>
        </w:rPr>
        <w:t> </w:t>
      </w:r>
      <w:r w:rsidRPr="00FE50A6">
        <w:rPr>
          <w:sz w:val="16"/>
          <w:szCs w:val="16"/>
          <w:lang w:val="en-US"/>
        </w:rPr>
        <w:t xml:space="preserve">Judgment of August 31, 2001. Series C No. 79, para. 148, and </w:t>
      </w:r>
      <w:r w:rsidRPr="00FE50A6">
        <w:rPr>
          <w:i/>
          <w:sz w:val="16"/>
          <w:szCs w:val="16"/>
          <w:lang w:val="en-US"/>
        </w:rPr>
        <w:t>Case of</w:t>
      </w:r>
      <w:r w:rsidRPr="00FE50A6">
        <w:rPr>
          <w:sz w:val="16"/>
          <w:szCs w:val="16"/>
          <w:lang w:val="en-US"/>
        </w:rPr>
        <w:t xml:space="preserve"> </w:t>
      </w:r>
      <w:r w:rsidRPr="00FE50A6">
        <w:rPr>
          <w:i/>
          <w:sz w:val="16"/>
          <w:szCs w:val="16"/>
          <w:lang w:val="en-US"/>
        </w:rPr>
        <w:t>Rodríguez Vera et al.</w:t>
      </w:r>
      <w:r w:rsidRPr="00FE50A6">
        <w:rPr>
          <w:rStyle w:val="Textoennegrita"/>
          <w:b w:val="0"/>
          <w:i/>
          <w:color w:val="000000"/>
          <w:sz w:val="16"/>
          <w:szCs w:val="16"/>
          <w:shd w:val="clear" w:color="auto" w:fill="FFFFFF"/>
          <w:lang w:val="en-US"/>
        </w:rPr>
        <w:t xml:space="preserve"> (Disappeared from the Palace of Justice) v. Colombia. Preliminary objections, merits, reparations and costs</w:t>
      </w:r>
      <w:r w:rsidRPr="00FE50A6">
        <w:rPr>
          <w:rStyle w:val="Textoennegrita"/>
          <w:b w:val="0"/>
          <w:color w:val="000000"/>
          <w:sz w:val="16"/>
          <w:szCs w:val="16"/>
          <w:shd w:val="clear" w:color="auto" w:fill="FFFFFF"/>
          <w:lang w:val="en-US"/>
        </w:rPr>
        <w:t>. Judgment of November 14, 2014. Series C No. 287</w:t>
      </w:r>
      <w:r w:rsidRPr="00FE50A6">
        <w:rPr>
          <w:sz w:val="16"/>
          <w:szCs w:val="16"/>
          <w:lang w:val="en-US"/>
        </w:rPr>
        <w:t>, para. 39. In this regard, Article 31.3.c of the said Vienna Convention establishes as a rule of interpretation that: “[t]</w:t>
      </w:r>
      <w:r w:rsidRPr="00FE50A6">
        <w:rPr>
          <w:rFonts w:cs="Times New Roman"/>
          <w:sz w:val="16"/>
          <w:szCs w:val="16"/>
          <w:lang w:val="en-US"/>
        </w:rPr>
        <w:t>here shall be taken into account, together with the context</w:t>
      </w:r>
      <w:r w:rsidRPr="00FE50A6">
        <w:rPr>
          <w:sz w:val="16"/>
          <w:szCs w:val="16"/>
          <w:lang w:val="en-US"/>
        </w:rPr>
        <w:t xml:space="preserve">: […] c) </w:t>
      </w:r>
      <w:r w:rsidRPr="00FE50A6">
        <w:rPr>
          <w:rFonts w:cs="Times New Roman"/>
          <w:sz w:val="16"/>
          <w:szCs w:val="16"/>
          <w:lang w:val="en-US"/>
        </w:rPr>
        <w:t>any relevant rules of international law applicable in the relations between the parties</w:t>
      </w:r>
      <w:r w:rsidRPr="00FE50A6">
        <w:rPr>
          <w:sz w:val="16"/>
          <w:szCs w:val="16"/>
          <w:lang w:val="en-US"/>
        </w:rPr>
        <w:t>.”</w:t>
      </w:r>
    </w:p>
  </w:footnote>
  <w:footnote w:id="51">
    <w:p w14:paraId="35770A86" w14:textId="77777777" w:rsidR="00E70935" w:rsidRPr="00FE50A6" w:rsidRDefault="00E70935" w:rsidP="00CD003F">
      <w:pPr>
        <w:pStyle w:val="Footnotes"/>
        <w:tabs>
          <w:tab w:val="right" w:pos="0"/>
        </w:tabs>
        <w:spacing w:after="80"/>
        <w:rPr>
          <w:lang w:val="en-US"/>
        </w:rPr>
      </w:pPr>
      <w:r w:rsidRPr="00FE50A6">
        <w:rPr>
          <w:rStyle w:val="Refdenotaalpie"/>
          <w:szCs w:val="16"/>
          <w:lang w:val="en-US"/>
        </w:rPr>
        <w:footnoteRef/>
      </w:r>
      <w:r w:rsidRPr="00FE50A6">
        <w:rPr>
          <w:lang w:val="en-US"/>
        </w:rPr>
        <w:t xml:space="preserve"> </w:t>
      </w:r>
      <w:r w:rsidRPr="00FE50A6">
        <w:rPr>
          <w:i/>
          <w:lang w:val="en-US"/>
        </w:rPr>
        <w:t>Cf. Case of the Santo Domingo Massacre v. Colombia. Preliminary objections, merits and reparations</w:t>
      </w:r>
      <w:r w:rsidRPr="00FE50A6">
        <w:rPr>
          <w:lang w:val="en-US"/>
        </w:rPr>
        <w:t xml:space="preserve">. Judgment of November 30, 2012. Series C No. 259, para. 24, and </w:t>
      </w:r>
      <w:r w:rsidRPr="00FE50A6">
        <w:rPr>
          <w:i/>
          <w:color w:val="000000"/>
          <w:lang w:val="en-US"/>
        </w:rPr>
        <w:t xml:space="preserve">Case of Rodríguez Vera et al. </w:t>
      </w:r>
      <w:r w:rsidRPr="00FE50A6">
        <w:rPr>
          <w:bCs w:val="0"/>
          <w:i/>
          <w:lang w:val="en-US"/>
        </w:rPr>
        <w:t>(Disappeared from the Palace of Justice)</w:t>
      </w:r>
      <w:r w:rsidRPr="00FE50A6">
        <w:rPr>
          <w:color w:val="000000"/>
          <w:lang w:val="en-US"/>
        </w:rPr>
        <w:t>, para. 39.</w:t>
      </w:r>
    </w:p>
  </w:footnote>
  <w:footnote w:id="52">
    <w:p w14:paraId="32DB917E" w14:textId="77777777" w:rsidR="00E70935" w:rsidRPr="00FE50A6" w:rsidRDefault="00E70935" w:rsidP="00CD003F">
      <w:pPr>
        <w:spacing w:after="80"/>
        <w:jc w:val="both"/>
        <w:rPr>
          <w:b/>
          <w:sz w:val="2"/>
          <w:lang w:val="en-US"/>
        </w:rPr>
      </w:pPr>
      <w:r w:rsidRPr="00FE50A6">
        <w:rPr>
          <w:rStyle w:val="Refdenotaalpie"/>
          <w:sz w:val="16"/>
          <w:szCs w:val="16"/>
          <w:lang w:val="en-US"/>
        </w:rPr>
        <w:footnoteRef/>
      </w:r>
      <w:r w:rsidRPr="00FE50A6">
        <w:rPr>
          <w:sz w:val="16"/>
          <w:szCs w:val="16"/>
          <w:lang w:val="en-US"/>
        </w:rPr>
        <w:t xml:space="preserve"> </w:t>
      </w:r>
      <w:r w:rsidRPr="00FE50A6">
        <w:rPr>
          <w:rFonts w:cs="Verdana"/>
          <w:i/>
          <w:iCs/>
          <w:sz w:val="16"/>
          <w:szCs w:val="16"/>
          <w:lang w:val="en-US"/>
        </w:rPr>
        <w:t>Cf. Case of Velásquez Rodríguez v. Honduras</w:t>
      </w:r>
      <w:r w:rsidRPr="00FE50A6">
        <w:rPr>
          <w:rFonts w:cs="Verdana"/>
          <w:sz w:val="16"/>
          <w:szCs w:val="16"/>
          <w:lang w:val="en-US"/>
        </w:rPr>
        <w:t xml:space="preserve">. </w:t>
      </w:r>
      <w:r w:rsidRPr="00FE50A6">
        <w:rPr>
          <w:rFonts w:cs="Verdana"/>
          <w:i/>
          <w:iCs/>
          <w:sz w:val="16"/>
          <w:szCs w:val="16"/>
          <w:lang w:val="en-US"/>
        </w:rPr>
        <w:t>Preliminary objections</w:t>
      </w:r>
      <w:r w:rsidRPr="00FE50A6">
        <w:rPr>
          <w:rFonts w:cs="Verdana"/>
          <w:sz w:val="16"/>
          <w:szCs w:val="16"/>
          <w:lang w:val="en-US"/>
        </w:rPr>
        <w:t xml:space="preserve">, para. 88, and </w:t>
      </w:r>
      <w:r w:rsidRPr="00FE50A6">
        <w:rPr>
          <w:rStyle w:val="Textoennegrita"/>
          <w:b w:val="0"/>
          <w:i/>
          <w:color w:val="000000"/>
          <w:sz w:val="16"/>
          <w:shd w:val="clear" w:color="auto" w:fill="FFFFFF"/>
          <w:lang w:val="en-US"/>
        </w:rPr>
        <w:t>Case of Herrera Espinoza et al. v. Ecuador. Preliminary objections, merits, reparations and costs</w:t>
      </w:r>
      <w:r w:rsidRPr="00FE50A6">
        <w:rPr>
          <w:rStyle w:val="Textoennegrita"/>
          <w:b w:val="0"/>
          <w:color w:val="000000"/>
          <w:sz w:val="16"/>
          <w:shd w:val="clear" w:color="auto" w:fill="FFFFFF"/>
          <w:lang w:val="en-US"/>
        </w:rPr>
        <w:t>. Judgment of September 1, 2016. Series C No. 316, paras. 25 and 26</w:t>
      </w:r>
      <w:r w:rsidRPr="00FE50A6">
        <w:rPr>
          <w:rFonts w:cs="Verdana"/>
          <w:sz w:val="16"/>
          <w:szCs w:val="16"/>
          <w:lang w:val="en-US"/>
        </w:rPr>
        <w:t>.</w:t>
      </w:r>
    </w:p>
  </w:footnote>
  <w:footnote w:id="53">
    <w:p w14:paraId="2C696E4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Fonts w:cs="Verdana"/>
          <w:i/>
          <w:iCs/>
        </w:rPr>
        <w:t>Case of Velásquez Rodríguez v. Honduras</w:t>
      </w:r>
      <w:r w:rsidRPr="00FE50A6">
        <w:rPr>
          <w:rFonts w:cs="Verdana"/>
        </w:rPr>
        <w:t xml:space="preserve">. </w:t>
      </w:r>
      <w:r w:rsidRPr="00FE50A6">
        <w:rPr>
          <w:rFonts w:cs="Verdana"/>
          <w:i/>
          <w:iCs/>
        </w:rPr>
        <w:t>Preliminary objections</w:t>
      </w:r>
      <w:r w:rsidRPr="00FE50A6">
        <w:rPr>
          <w:rFonts w:cs="Verdana"/>
        </w:rPr>
        <w:t xml:space="preserve">, para. 85, and </w:t>
      </w:r>
      <w:r w:rsidRPr="00FE50A6">
        <w:rPr>
          <w:rStyle w:val="Textoennegrita"/>
          <w:b w:val="0"/>
          <w:i/>
          <w:color w:val="000000"/>
          <w:shd w:val="clear" w:color="auto" w:fill="FFFFFF"/>
        </w:rPr>
        <w:t>Case of Herrera Espinoza et al.</w:t>
      </w:r>
      <w:r w:rsidRPr="00FE50A6">
        <w:rPr>
          <w:rStyle w:val="Textoennegrita"/>
          <w:b w:val="0"/>
          <w:color w:val="000000"/>
          <w:shd w:val="clear" w:color="auto" w:fill="FFFFFF"/>
        </w:rPr>
        <w:t xml:space="preserve">, para. 24. </w:t>
      </w:r>
    </w:p>
  </w:footnote>
  <w:footnote w:id="54">
    <w:p w14:paraId="63B996E0" w14:textId="77777777" w:rsidR="00E70935" w:rsidRPr="00FE50A6" w:rsidRDefault="00E70935" w:rsidP="00CD003F">
      <w:pPr>
        <w:spacing w:after="80"/>
        <w:jc w:val="both"/>
        <w:rPr>
          <w:b/>
          <w:sz w:val="2"/>
          <w:lang w:val="en-US"/>
        </w:rPr>
      </w:pPr>
      <w:r w:rsidRPr="00FE50A6">
        <w:rPr>
          <w:rStyle w:val="Refdenotaalpie"/>
          <w:sz w:val="16"/>
          <w:szCs w:val="16"/>
          <w:lang w:val="en-US"/>
        </w:rPr>
        <w:footnoteRef/>
      </w:r>
      <w:r w:rsidRPr="00E70935">
        <w:rPr>
          <w:sz w:val="16"/>
          <w:szCs w:val="16"/>
          <w:lang w:val="en-US"/>
        </w:rPr>
        <w:t xml:space="preserve"> </w:t>
      </w:r>
      <w:r w:rsidRPr="00E70935">
        <w:rPr>
          <w:i/>
          <w:sz w:val="16"/>
          <w:szCs w:val="16"/>
          <w:lang w:val="en-US"/>
        </w:rPr>
        <w:t xml:space="preserve">Cf. </w:t>
      </w:r>
      <w:r w:rsidRPr="00E70935">
        <w:rPr>
          <w:rStyle w:val="Textoennegrita"/>
          <w:b w:val="0"/>
          <w:i/>
          <w:color w:val="000000"/>
          <w:sz w:val="16"/>
          <w:szCs w:val="16"/>
          <w:shd w:val="clear" w:color="auto" w:fill="FFFFFF"/>
          <w:lang w:val="en-US"/>
        </w:rPr>
        <w:t xml:space="preserve">Case of Gonzales Lluy et al. v. Ecuador. </w:t>
      </w:r>
      <w:r w:rsidRPr="00FE50A6">
        <w:rPr>
          <w:rStyle w:val="Textoennegrita"/>
          <w:b w:val="0"/>
          <w:i/>
          <w:color w:val="000000"/>
          <w:sz w:val="16"/>
          <w:szCs w:val="16"/>
          <w:shd w:val="clear" w:color="auto" w:fill="FFFFFF"/>
          <w:lang w:val="en-US"/>
        </w:rPr>
        <w:t>Preliminary objections, merits, reparations and costs</w:t>
      </w:r>
      <w:r w:rsidRPr="00FE50A6">
        <w:rPr>
          <w:rStyle w:val="Textoennegrita"/>
          <w:b w:val="0"/>
          <w:color w:val="000000"/>
          <w:sz w:val="16"/>
          <w:szCs w:val="16"/>
          <w:shd w:val="clear" w:color="auto" w:fill="FFFFFF"/>
          <w:lang w:val="en-US"/>
        </w:rPr>
        <w:t xml:space="preserve">. Judgment of September 1, 2015. Series C No. 298, para. 28, and </w:t>
      </w:r>
      <w:r w:rsidRPr="00FE50A6">
        <w:rPr>
          <w:rStyle w:val="Textoennegrita"/>
          <w:b w:val="0"/>
          <w:i/>
          <w:color w:val="000000"/>
          <w:sz w:val="16"/>
          <w:shd w:val="clear" w:color="auto" w:fill="FFFFFF"/>
          <w:lang w:val="en-US"/>
        </w:rPr>
        <w:t>Case of Chinchilla Sandoval v. Guatemala. Preliminary objection, merits, reparations and costs</w:t>
      </w:r>
      <w:r w:rsidRPr="00FE50A6">
        <w:rPr>
          <w:rStyle w:val="Textoennegrita"/>
          <w:b w:val="0"/>
          <w:color w:val="000000"/>
          <w:sz w:val="16"/>
          <w:shd w:val="clear" w:color="auto" w:fill="FFFFFF"/>
          <w:lang w:val="en-US"/>
        </w:rPr>
        <w:t>. Judgment of February 29, 2016. Series C No. 312, para. 21.</w:t>
      </w:r>
    </w:p>
  </w:footnote>
  <w:footnote w:id="55">
    <w:p w14:paraId="61DE08D5"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rStyle w:val="Textoennegrita"/>
          <w:b w:val="0"/>
          <w:i/>
          <w:color w:val="000000"/>
          <w:sz w:val="16"/>
          <w:shd w:val="clear" w:color="auto" w:fill="FFFFFF"/>
          <w:lang w:val="en-US"/>
        </w:rPr>
        <w:t>Case of Reverón Trujillo v. Venezuela. Preliminary objection, merits, reparations and costs</w:t>
      </w:r>
      <w:r w:rsidRPr="00FE50A6">
        <w:rPr>
          <w:rStyle w:val="Textoennegrita"/>
          <w:b w:val="0"/>
          <w:color w:val="000000"/>
          <w:sz w:val="16"/>
          <w:shd w:val="clear" w:color="auto" w:fill="FFFFFF"/>
          <w:lang w:val="en-US"/>
        </w:rPr>
        <w:t xml:space="preserve">. Judgment of June 30, 2009. Series C No. 197, para. 23, and </w:t>
      </w:r>
      <w:r w:rsidRPr="00FE50A6">
        <w:rPr>
          <w:rStyle w:val="Textoennegrita"/>
          <w:b w:val="0"/>
          <w:i/>
          <w:color w:val="000000"/>
          <w:sz w:val="16"/>
          <w:shd w:val="clear" w:color="auto" w:fill="FFFFFF"/>
          <w:lang w:val="en-US"/>
        </w:rPr>
        <w:t>Case of Tenorio Roca et al. v. Peru. Preliminary objections, merits, reparations and costs</w:t>
      </w:r>
      <w:r w:rsidRPr="00FE50A6">
        <w:rPr>
          <w:rStyle w:val="Textoennegrita"/>
          <w:b w:val="0"/>
          <w:color w:val="000000"/>
          <w:sz w:val="16"/>
          <w:shd w:val="clear" w:color="auto" w:fill="FFFFFF"/>
          <w:lang w:val="en-US"/>
        </w:rPr>
        <w:t xml:space="preserve">. Judgment of June 22, 2016. Series C No. 314, para. 21. </w:t>
      </w:r>
    </w:p>
  </w:footnote>
  <w:footnote w:id="56">
    <w:p w14:paraId="1E05BE14"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t xml:space="preserve"> </w:t>
      </w:r>
      <w:r w:rsidRPr="00FE50A6">
        <w:rPr>
          <w:i/>
        </w:rPr>
        <w:t xml:space="preserve">Cf. </w:t>
      </w:r>
      <w:r w:rsidRPr="00FE50A6">
        <w:rPr>
          <w:rStyle w:val="Textoennegrita"/>
          <w:b w:val="0"/>
          <w:i/>
          <w:color w:val="000000"/>
          <w:shd w:val="clear" w:color="auto" w:fill="FFFFFF"/>
        </w:rPr>
        <w:t>Case of Furlan and family v. Argentina. Preliminary objections, merits, reparations and costs</w:t>
      </w:r>
      <w:r w:rsidRPr="00FE50A6">
        <w:rPr>
          <w:rStyle w:val="Textoennegrita"/>
          <w:b w:val="0"/>
          <w:color w:val="000000"/>
          <w:shd w:val="clear" w:color="auto" w:fill="FFFFFF"/>
        </w:rPr>
        <w:t xml:space="preserve">. Judgment of August 31, 2012. Series C No. 246, para. 29, and </w:t>
      </w:r>
      <w:r w:rsidRPr="00FE50A6">
        <w:rPr>
          <w:rStyle w:val="Textoennegrita"/>
          <w:b w:val="0"/>
          <w:i/>
          <w:color w:val="000000"/>
          <w:shd w:val="clear" w:color="auto" w:fill="FFFFFF"/>
        </w:rPr>
        <w:t>Case of Herrera Espinoza et al.</w:t>
      </w:r>
      <w:r w:rsidRPr="00FE50A6">
        <w:rPr>
          <w:rStyle w:val="Textoennegrita"/>
          <w:b w:val="0"/>
          <w:color w:val="000000"/>
          <w:shd w:val="clear" w:color="auto" w:fill="FFFFFF"/>
        </w:rPr>
        <w:t xml:space="preserve">, para. </w:t>
      </w:r>
      <w:r w:rsidRPr="00FE50A6">
        <w:rPr>
          <w:rStyle w:val="Textoennegrita"/>
          <w:b w:val="0"/>
          <w:color w:val="000000"/>
          <w:shd w:val="clear" w:color="auto" w:fill="FFFFFF"/>
          <w:lang w:val="es-CR"/>
        </w:rPr>
        <w:t xml:space="preserve">28. </w:t>
      </w:r>
    </w:p>
  </w:footnote>
  <w:footnote w:id="57">
    <w:p w14:paraId="5D59D1E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rPr>
          <w:i/>
          <w:lang w:val="es-CR"/>
        </w:rPr>
        <w:t xml:space="preserve"> Cf. Case of Velásquez Rodríguez v. Honduras. Merits</w:t>
      </w:r>
      <w:r w:rsidRPr="00FE50A6">
        <w:rPr>
          <w:lang w:val="es-CR"/>
        </w:rPr>
        <w:t xml:space="preserve">, para. 140, and </w:t>
      </w:r>
      <w:r w:rsidRPr="00FE50A6">
        <w:rPr>
          <w:rStyle w:val="Textoennegrita"/>
          <w:b w:val="0"/>
          <w:i/>
          <w:color w:val="000000"/>
          <w:shd w:val="clear" w:color="auto" w:fill="FFFFFF"/>
          <w:lang w:val="es-CR"/>
        </w:rPr>
        <w:t>Case of Herrera Espinoza et al.</w:t>
      </w:r>
      <w:r w:rsidRPr="00FE50A6">
        <w:rPr>
          <w:rStyle w:val="Textoennegrita"/>
          <w:b w:val="0"/>
          <w:color w:val="000000"/>
          <w:shd w:val="clear" w:color="auto" w:fill="FFFFFF"/>
          <w:lang w:val="es-CR"/>
        </w:rPr>
        <w:t xml:space="preserve">, para. </w:t>
      </w:r>
      <w:r w:rsidRPr="00FE50A6">
        <w:rPr>
          <w:rStyle w:val="Textoennegrita"/>
          <w:b w:val="0"/>
          <w:color w:val="000000"/>
          <w:shd w:val="clear" w:color="auto" w:fill="FFFFFF"/>
        </w:rPr>
        <w:t xml:space="preserve">44. </w:t>
      </w:r>
    </w:p>
  </w:footnote>
  <w:footnote w:id="58">
    <w:p w14:paraId="59D6F73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rPr>
          <w:i/>
        </w:rPr>
        <w:t xml:space="preserve"> Cf. Case of Escué Zapata v. Colombia. Merits, reparations and costs</w:t>
      </w:r>
      <w:r w:rsidRPr="00FE50A6">
        <w:t xml:space="preserve">. Judgment of July 4, 2007. Series C No. 165, para. 26, and </w:t>
      </w:r>
      <w:r w:rsidRPr="00FE50A6">
        <w:rPr>
          <w:rStyle w:val="Textoennegrita"/>
          <w:b w:val="0"/>
          <w:i/>
          <w:color w:val="000000"/>
          <w:shd w:val="clear" w:color="auto" w:fill="FFFFFF"/>
        </w:rPr>
        <w:t>Case of Herrera Espinoza et al.</w:t>
      </w:r>
      <w:r w:rsidRPr="00FE50A6">
        <w:rPr>
          <w:rStyle w:val="Textoennegrita"/>
          <w:b w:val="0"/>
          <w:color w:val="000000"/>
          <w:shd w:val="clear" w:color="auto" w:fill="FFFFFF"/>
        </w:rPr>
        <w:t>, para. 45.</w:t>
      </w:r>
    </w:p>
  </w:footnote>
  <w:footnote w:id="59">
    <w:p w14:paraId="26D7DB51"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sz w:val="16"/>
          <w:szCs w:val="16"/>
          <w:vertAlign w:val="superscript"/>
          <w:lang w:val="en-US"/>
        </w:rPr>
        <w:footnoteRef/>
      </w:r>
      <w:r w:rsidRPr="00FE50A6">
        <w:rPr>
          <w:sz w:val="16"/>
          <w:szCs w:val="16"/>
          <w:vertAlign w:val="superscript"/>
          <w:lang w:val="en-US"/>
        </w:rPr>
        <w:t xml:space="preserve"> </w:t>
      </w:r>
      <w:r w:rsidRPr="00FE50A6">
        <w:rPr>
          <w:i/>
          <w:sz w:val="16"/>
          <w:szCs w:val="16"/>
          <w:lang w:val="en-US"/>
        </w:rPr>
        <w:t>Cf. Case of Maldonado Ordoñez</w:t>
      </w:r>
      <w:r w:rsidRPr="00FE50A6">
        <w:rPr>
          <w:sz w:val="16"/>
          <w:szCs w:val="16"/>
          <w:lang w:val="en-US"/>
        </w:rPr>
        <w:t>, para. 29.</w:t>
      </w:r>
    </w:p>
  </w:footnote>
  <w:footnote w:id="60">
    <w:p w14:paraId="42058B71"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sz w:val="16"/>
          <w:szCs w:val="16"/>
          <w:vertAlign w:val="superscript"/>
          <w:lang w:val="en-US"/>
        </w:rPr>
        <w:footnoteRef/>
      </w:r>
      <w:r w:rsidRPr="00FE50A6">
        <w:rPr>
          <w:sz w:val="16"/>
          <w:szCs w:val="16"/>
          <w:lang w:val="en-US"/>
        </w:rPr>
        <w:t xml:space="preserve"> </w:t>
      </w:r>
      <w:r w:rsidRPr="00FE50A6">
        <w:rPr>
          <w:i/>
          <w:sz w:val="16"/>
          <w:szCs w:val="16"/>
          <w:lang w:val="en-US"/>
        </w:rPr>
        <w:t>Cf. Case of Quispialaya Vilcapoma</w:t>
      </w:r>
      <w:r w:rsidRPr="00FE50A6">
        <w:rPr>
          <w:sz w:val="16"/>
          <w:szCs w:val="16"/>
          <w:lang w:val="en-US"/>
        </w:rPr>
        <w:t>, para. 40.</w:t>
      </w:r>
    </w:p>
  </w:footnote>
  <w:footnote w:id="61">
    <w:p w14:paraId="69C33FCC" w14:textId="77777777" w:rsidR="00E70935" w:rsidRPr="00FE50A6" w:rsidRDefault="00E70935" w:rsidP="00CD003F">
      <w:pPr>
        <w:spacing w:after="80"/>
        <w:jc w:val="both"/>
        <w:rPr>
          <w:b/>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the “White Van” (Paniagua Morales et al.) v. Guatemala. </w:t>
      </w:r>
      <w:r w:rsidRPr="00FE50A6">
        <w:rPr>
          <w:rStyle w:val="Textoennegrita"/>
          <w:b w:val="0"/>
          <w:i/>
          <w:color w:val="000000"/>
          <w:sz w:val="16"/>
          <w:szCs w:val="16"/>
          <w:shd w:val="clear" w:color="auto" w:fill="FFFFFF"/>
          <w:lang w:val="en-US"/>
        </w:rPr>
        <w:t>Merits</w:t>
      </w:r>
      <w:r w:rsidRPr="00FE50A6">
        <w:rPr>
          <w:rStyle w:val="Textoennegrita"/>
          <w:b w:val="0"/>
          <w:color w:val="000000"/>
          <w:sz w:val="16"/>
          <w:szCs w:val="16"/>
          <w:shd w:val="clear" w:color="auto" w:fill="FFFFFF"/>
          <w:lang w:val="en-US"/>
        </w:rPr>
        <w:t>. Judgment of March 8, 1998. Series C No. 37</w:t>
      </w:r>
      <w:r w:rsidRPr="00FE50A6">
        <w:rPr>
          <w:sz w:val="16"/>
          <w:szCs w:val="16"/>
          <w:lang w:val="en-US"/>
        </w:rPr>
        <w:t xml:space="preserve">, para. 76, and </w:t>
      </w:r>
      <w:r w:rsidRPr="00FE50A6">
        <w:rPr>
          <w:rStyle w:val="Textoennegrita"/>
          <w:b w:val="0"/>
          <w:i/>
          <w:color w:val="000000"/>
          <w:sz w:val="16"/>
          <w:szCs w:val="16"/>
          <w:shd w:val="clear" w:color="auto" w:fill="FFFFFF"/>
          <w:lang w:val="en-US"/>
        </w:rPr>
        <w:t>Case of Tenorio Roca</w:t>
      </w:r>
      <w:r w:rsidRPr="00FE50A6">
        <w:rPr>
          <w:rStyle w:val="Textoennegrita"/>
          <w:b w:val="0"/>
          <w:color w:val="000000"/>
          <w:sz w:val="16"/>
          <w:szCs w:val="16"/>
          <w:shd w:val="clear" w:color="auto" w:fill="FFFFFF"/>
          <w:lang w:val="en-US"/>
        </w:rPr>
        <w:t>, para. 45</w:t>
      </w:r>
      <w:r w:rsidRPr="00FE50A6">
        <w:rPr>
          <w:sz w:val="16"/>
          <w:szCs w:val="16"/>
          <w:lang w:val="en-US"/>
        </w:rPr>
        <w:t>.</w:t>
      </w:r>
    </w:p>
  </w:footnote>
  <w:footnote w:id="62">
    <w:p w14:paraId="02735579" w14:textId="77777777" w:rsidR="00E70935" w:rsidRPr="00FE50A6" w:rsidRDefault="00E70935" w:rsidP="00CD003F">
      <w:pPr>
        <w:pStyle w:val="Textonotapie"/>
        <w:tabs>
          <w:tab w:val="clear" w:pos="4419"/>
          <w:tab w:val="clear" w:pos="8838"/>
          <w:tab w:val="right" w:pos="0"/>
        </w:tabs>
        <w:spacing w:after="80"/>
        <w:rPr>
          <w:i/>
        </w:rPr>
      </w:pPr>
      <w:r w:rsidRPr="00FE50A6">
        <w:rPr>
          <w:rStyle w:val="Refdenotaalpie"/>
          <w:szCs w:val="16"/>
        </w:rPr>
        <w:footnoteRef/>
      </w:r>
      <w:r w:rsidRPr="00FE50A6">
        <w:t xml:space="preserve"> </w:t>
      </w:r>
      <w:r w:rsidRPr="00FE50A6">
        <w:rPr>
          <w:i/>
        </w:rPr>
        <w:t xml:space="preserve">Cf. Case of Loayza Tamayo v. Peru. Merits. </w:t>
      </w:r>
      <w:r w:rsidRPr="00FE50A6">
        <w:t xml:space="preserve">Judgment of September 17, 1997. Series C No. 33, para. 43, and </w:t>
      </w:r>
      <w:r w:rsidRPr="00FE50A6">
        <w:rPr>
          <w:rStyle w:val="Textoennegrita"/>
          <w:b w:val="0"/>
          <w:i/>
          <w:color w:val="000000"/>
          <w:shd w:val="clear" w:color="auto" w:fill="FFFFFF"/>
        </w:rPr>
        <w:t>Case of Tenorio Roca</w:t>
      </w:r>
      <w:r w:rsidRPr="00FE50A6">
        <w:rPr>
          <w:rStyle w:val="Textoennegrita"/>
          <w:b w:val="0"/>
          <w:color w:val="000000"/>
          <w:shd w:val="clear" w:color="auto" w:fill="FFFFFF"/>
        </w:rPr>
        <w:t>, para. 46</w:t>
      </w:r>
      <w:r w:rsidRPr="00FE50A6">
        <w:t xml:space="preserve">. </w:t>
      </w:r>
    </w:p>
  </w:footnote>
  <w:footnote w:id="63">
    <w:p w14:paraId="1DA2A6B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Special Rapporteur on contemporary forms of slavery, including its causes and consequences, </w:t>
      </w:r>
      <w:r w:rsidRPr="00FE50A6">
        <w:rPr>
          <w:rFonts w:cs="Arial"/>
        </w:rPr>
        <w:t>Gulnara Shahinian. Mission to Brazil, August 30, 2010, para. 23 (evidence file, folio 163).</w:t>
      </w:r>
    </w:p>
  </w:footnote>
  <w:footnote w:id="64">
    <w:p w14:paraId="03E1ED29"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Report of the Special Rapporteur on contemporary forms of slavery, including its causes and consequences, </w:t>
      </w:r>
      <w:r w:rsidRPr="00FE50A6">
        <w:rPr>
          <w:rFonts w:cs="Arial"/>
          <w:sz w:val="16"/>
          <w:szCs w:val="16"/>
          <w:lang w:val="en-US"/>
        </w:rPr>
        <w:t>Gulnara Shahinian. Mission to Brazil, August 30,</w:t>
      </w:r>
      <w:r w:rsidRPr="00FE50A6">
        <w:rPr>
          <w:rFonts w:cs="Arial"/>
          <w:lang w:val="en-US"/>
        </w:rPr>
        <w:t xml:space="preserve"> </w:t>
      </w:r>
      <w:r w:rsidRPr="00FE50A6">
        <w:rPr>
          <w:rFonts w:cs="Arial"/>
          <w:sz w:val="16"/>
          <w:szCs w:val="16"/>
          <w:lang w:val="en-US"/>
        </w:rPr>
        <w:t>2010, paras. 24 and 25 (evidence file, folio 163).</w:t>
      </w:r>
    </w:p>
  </w:footnote>
  <w:footnote w:id="65">
    <w:p w14:paraId="0D53F6FE"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cs="Arial"/>
          <w:sz w:val="16"/>
          <w:szCs w:val="16"/>
          <w:lang w:val="en-US"/>
        </w:rPr>
        <w:t>International Labour Organization (ILO). Fighting forced labour: the example of Brazil. Brasilia, 2010, p. 38 (evidence file, folio 364).</w:t>
      </w:r>
    </w:p>
  </w:footnote>
  <w:footnote w:id="66">
    <w:p w14:paraId="6937317B"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cs="Arial"/>
          <w:sz w:val="16"/>
          <w:szCs w:val="16"/>
          <w:lang w:val="en-US"/>
        </w:rPr>
        <w:t>International Labour Organization (ILO). Fighting forced labour: the example of Brazil. Brasilia, 2010, p. 39 (evidence file, folio 366).</w:t>
      </w:r>
    </w:p>
  </w:footnote>
  <w:footnote w:id="67">
    <w:p w14:paraId="05723944"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cs="Arial"/>
          <w:sz w:val="16"/>
          <w:szCs w:val="16"/>
          <w:lang w:val="en-US"/>
        </w:rPr>
        <w:t>International Labour Organization (ILO). Fighting forced labour: the example of Brazil. Brasilia, 2010, p.40 (evidence file, folio 366).</w:t>
      </w:r>
    </w:p>
  </w:footnote>
  <w:footnote w:id="68">
    <w:p w14:paraId="0A0BA9A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folio 9991), and International Labour Organization (ILO). Fighting forced labour: the example of Brazil. Brasilia, 2010, p. 31 (evidence file, folio 334).</w:t>
      </w:r>
    </w:p>
  </w:footnote>
  <w:footnote w:id="69">
    <w:p w14:paraId="7C78AEE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Labour Organization (ILO). Fighting forced labour: the example of Brazil. Brasilia, 2010, p. 2 (evidence file, folio 359).</w:t>
      </w:r>
    </w:p>
  </w:footnote>
  <w:footnote w:id="70">
    <w:p w14:paraId="3CDBC7F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Special Rapporteur on contemporary forms of slavery, including its causes and consequences, Gulnara Shahinian. Mission to Brazil, August 30,</w:t>
      </w:r>
      <w:r w:rsidRPr="00FE50A6">
        <w:rPr>
          <w:rFonts w:cs="Arial"/>
        </w:rPr>
        <w:t xml:space="preserve"> 2010, para. 28 (evidence file, folio 163).</w:t>
      </w:r>
    </w:p>
  </w:footnote>
  <w:footnote w:id="71">
    <w:p w14:paraId="5692162E"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Written expert opinion of Raquel Elias Ferreira Dodge of February 18, 2016 (evidence file folio 15365). Report of the Special Rapporteur on contemporary forms of slavery, including its causes and consequences, Gulnara Shahinian. Mission to Brazil, August 30,</w:t>
      </w:r>
      <w:r w:rsidRPr="00FE50A6">
        <w:rPr>
          <w:rFonts w:cs="Arial"/>
          <w:sz w:val="16"/>
          <w:szCs w:val="16"/>
          <w:lang w:val="en-US"/>
        </w:rPr>
        <w:t xml:space="preserve"> 2010, para. 28 (evidence file, folio 163).</w:t>
      </w:r>
    </w:p>
  </w:footnote>
  <w:footnote w:id="72">
    <w:p w14:paraId="3D69D44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Written expert opinion of Raquel Elias Ferreira Dodge of February 18, 2016 (evidence file folio 15365). </w:t>
      </w:r>
    </w:p>
  </w:footnote>
  <w:footnote w:id="73">
    <w:p w14:paraId="200275E7" w14:textId="77777777" w:rsidR="00E70935" w:rsidRPr="00FE50A6" w:rsidRDefault="00E70935" w:rsidP="00CD003F">
      <w:pPr>
        <w:pStyle w:val="Textonotapie"/>
        <w:spacing w:after="80"/>
      </w:pPr>
      <w:r w:rsidRPr="00FE50A6">
        <w:rPr>
          <w:rStyle w:val="Refdenotaalpie"/>
          <w:szCs w:val="16"/>
        </w:rPr>
        <w:footnoteRef/>
      </w:r>
      <w:r w:rsidRPr="00FE50A6">
        <w:t xml:space="preserve"> Report of the Special Rapporteur on contemporary forms of slavery, including its causes and consequences, Gulnara Shahinian. Mission to Brazil, August 30,</w:t>
      </w:r>
      <w:r w:rsidRPr="00FE50A6">
        <w:rPr>
          <w:rFonts w:cs="Arial"/>
        </w:rPr>
        <w:t xml:space="preserve"> 2010, para. 29 (evidence file, folio 163).</w:t>
      </w:r>
    </w:p>
  </w:footnote>
  <w:footnote w:id="74">
    <w:p w14:paraId="1971CFE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of Leonardo Sakamoto at the public hearing. Written expert opinion of Raquel Elias Ferreira Dodge of February 18, 2016 (evidence file folio 15368). Report of the Special Rapporteur on contemporary forms of slavery, including its causes and consequences, Gulnara Shahinian. Mission to Brazil, August 30,</w:t>
      </w:r>
      <w:r w:rsidRPr="00FE50A6">
        <w:rPr>
          <w:rFonts w:cs="Arial"/>
        </w:rPr>
        <w:t xml:space="preserve"> 2010, paras. 15 to 40 (evidence file, folio 163).</w:t>
      </w:r>
    </w:p>
  </w:footnote>
  <w:footnote w:id="75">
    <w:p w14:paraId="3E4262A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This is the word used for the individuals who contact, recruit, transfer and, in some cases also, supervise the workers from their states of origin to the haciendas. See, among others, the testimony before the Court of Leonardo Sakamoto, Ana Paula de Sousa and Raquel Dodge. </w:t>
      </w:r>
    </w:p>
  </w:footnote>
  <w:footnote w:id="76">
    <w:p w14:paraId="13CEA8C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xml:space="preserve">, folio 10003). </w:t>
      </w:r>
      <w:r w:rsidRPr="00FE50A6">
        <w:t>Written expert opinion of Raquel Elias Ferreira Dodge of February 18, 2016 (evidence file folio 15366). Testimony of Ana Paula de Souza at the public hearing. Report of the Special Rapporteur on contemporary forms of slavery, including its causes and consequences, Gulnara Shahinian. Mission to Brazil, August 30,</w:t>
      </w:r>
      <w:r w:rsidRPr="00FE50A6">
        <w:rPr>
          <w:rFonts w:cs="Arial"/>
        </w:rPr>
        <w:t xml:space="preserve"> 2010, para. 31 (evidence file, folio 164).</w:t>
      </w:r>
    </w:p>
  </w:footnote>
  <w:footnote w:id="77">
    <w:p w14:paraId="7A2DE8E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xml:space="preserve">, folios 10006 and 10007). </w:t>
      </w:r>
      <w:r w:rsidRPr="00FE50A6">
        <w:t>Testimony of Ana Paula de Souza at the public hearing</w:t>
      </w:r>
      <w:r w:rsidRPr="00FE50A6">
        <w:rPr>
          <w:rFonts w:cs="Arial"/>
        </w:rPr>
        <w:t xml:space="preserve"> </w:t>
      </w:r>
      <w:r w:rsidRPr="00FE50A6">
        <w:t>Report of the Special Rapporteur on contemporary forms of slavery, including its causes and consequences, Gulnara Shahinian. Mission to Brazil, August 30,</w:t>
      </w:r>
      <w:r w:rsidRPr="00FE50A6">
        <w:rPr>
          <w:rFonts w:cs="Arial"/>
        </w:rPr>
        <w:t xml:space="preserve"> 2010, para. 31 (evidence file, folio 164).</w:t>
      </w:r>
    </w:p>
  </w:footnote>
  <w:footnote w:id="78">
    <w:p w14:paraId="4E4BF2F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xml:space="preserve">, folio 10004). </w:t>
      </w:r>
      <w:r w:rsidRPr="00FE50A6">
        <w:t>Testimony of Ana Paula de Souza at the public hearing Written expert opinion of Raquel Elias Ferreira Dodge of February 18, 2016 (evidence file folio 15368). Report of the Special Rapporteur on contemporary forms of slavery, including its causes and consequences, Gulnara Shahinian. Mission to Brazil, August 30,</w:t>
      </w:r>
      <w:r w:rsidRPr="00FE50A6">
        <w:rPr>
          <w:rFonts w:cs="Arial"/>
        </w:rPr>
        <w:t xml:space="preserve"> 2010, para. 32 (evidence file, folio 164).</w:t>
      </w:r>
    </w:p>
  </w:footnote>
  <w:footnote w:id="79">
    <w:p w14:paraId="52B548B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folio 10005).</w:t>
      </w:r>
    </w:p>
  </w:footnote>
  <w:footnote w:id="80">
    <w:p w14:paraId="0FB49EC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xml:space="preserve">, folio 10004). </w:t>
      </w:r>
      <w:r w:rsidRPr="00FE50A6">
        <w:t>Written expert opinion of Raquel Elias Ferreira Dodge of February 18, 2016 (evidence file folios 15372 and 15373). Testimony of Ana Paula de Souza at the public hearing. Report of the Special Rapporteur on contemporary forms of slavery, including its causes and consequences, Gulnara Shahinian. Mission to Brazil, August 30,</w:t>
      </w:r>
      <w:r w:rsidRPr="00FE50A6">
        <w:rPr>
          <w:rFonts w:cs="Arial"/>
        </w:rPr>
        <w:t xml:space="preserve"> 2010, para. 33 (evidence file, folio 164).</w:t>
      </w:r>
    </w:p>
  </w:footnote>
  <w:footnote w:id="81">
    <w:p w14:paraId="1F3B240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of Leonardo Sakamoto at the public hearing Report of the Special Rapporteur on contemporary forms of slavery, including its causes and consequences, Gulnara Shahinian. Mission to Brazil, August 30,</w:t>
      </w:r>
      <w:r w:rsidRPr="00FE50A6">
        <w:rPr>
          <w:rFonts w:cs="Arial"/>
        </w:rPr>
        <w:t xml:space="preserve"> 2010, para. 35 (evidence file, folio 164). </w:t>
      </w:r>
    </w:p>
  </w:footnote>
  <w:footnote w:id="82">
    <w:p w14:paraId="3AE14F0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of Leonardo Sakamoto at the public hearing. International Labour Organization (ILO). Fighting forced labour: the example of Brazil. Brasilia, 2010, p. 42 (evidence file, folio 371).</w:t>
      </w:r>
    </w:p>
  </w:footnote>
  <w:footnote w:id="83">
    <w:p w14:paraId="70A15B0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Manual to combat work in conditions similar to those of slavery. November 2011 (evidence file</w:t>
      </w:r>
      <w:r w:rsidRPr="00FE50A6">
        <w:rPr>
          <w:rFonts w:cs="Arial"/>
        </w:rPr>
        <w:t xml:space="preserve">, folio 9991). See, </w:t>
      </w:r>
      <w:r w:rsidRPr="00FE50A6">
        <w:rPr>
          <w:rFonts w:cs="Arial"/>
          <w:i/>
        </w:rPr>
        <w:t>inter alia</w:t>
      </w:r>
      <w:r w:rsidRPr="00FE50A6">
        <w:rPr>
          <w:rFonts w:cs="Arial"/>
        </w:rPr>
        <w:t xml:space="preserve">, </w:t>
      </w:r>
      <w:r w:rsidRPr="00FE50A6">
        <w:t xml:space="preserve">Declaration of the President of the Republic, Fernando Henrique Cardoso, of June 27, 1995: “There are still Brazilians who work without freedom. But, in former times, slaves had an owner. The slaves of modern Brazil change owners and never know what is awaiting them the following day. […] Slave labor is work that deprives workers of freedom of movement. This occurs, mainly, in the southern part of Pará. More than 80% of the complaints that reach the Ministry of Labor are from Pará. For example, in haciendas that carry out deforestation, the slave worker is supervised 24 hours a day, by well-armed gunmen. […] his debt increases, he receives nothing at the end of the month and is obliged to continue working to pay off his debt […]. Today, I am signing a decree to create an executive group for the elimination of forced labor […] The first task will be to define sanctions that are truly rigorous for those persons who convert Brazilians into slaves. […] In Brazil, the problem of slave labor and of degrading work is very, but very serious. Fortunately, the Government is not alone in taking action to combat it. Several civil society organizations, such as the </w:t>
      </w:r>
      <w:r w:rsidRPr="00FE50A6">
        <w:rPr>
          <w:i/>
        </w:rPr>
        <w:t>Comisión Pastoral de la Tierra</w:t>
      </w:r>
      <w:r w:rsidRPr="00FE50A6">
        <w:t xml:space="preserve">, are also acting. The problem must be addressed in this way: combining efforts and setting aside political or religious interests […] I call out to those Brazilians who are enslaved and to their families: denounce this situation! […] We need to make a national effort to comply with the </w:t>
      </w:r>
      <w:r w:rsidRPr="00FE50A6">
        <w:rPr>
          <w:i/>
        </w:rPr>
        <w:t>Lei Aurea</w:t>
      </w:r>
      <w:r w:rsidRPr="00FE50A6">
        <w:t xml:space="preserve"> [Note: the 1888 Golden Law that abolished slavery in Brazil] (evidence file, folio 7108).</w:t>
      </w:r>
    </w:p>
  </w:footnote>
  <w:footnote w:id="84">
    <w:p w14:paraId="792E81D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of José Armando Fraga Diniz Guerra on January 28, 2016 (evidence file</w:t>
      </w:r>
      <w:r w:rsidRPr="00FE50A6">
        <w:rPr>
          <w:rFonts w:cs="Arial"/>
        </w:rPr>
        <w:t xml:space="preserve">, folio 13314). </w:t>
      </w:r>
    </w:p>
  </w:footnote>
  <w:footnote w:id="85">
    <w:p w14:paraId="08392FF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Labour Organization (ILO). Fighting forced labour: the example of Brazil. Brasilia, 2010, p. 1 (evidence file, folio 427).</w:t>
      </w:r>
    </w:p>
  </w:footnote>
  <w:footnote w:id="86">
    <w:p w14:paraId="14F0E1A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by Jonas Ratier Moreno on January 29, 2016 (evidence file</w:t>
      </w:r>
      <w:r w:rsidRPr="00FE50A6">
        <w:rPr>
          <w:rFonts w:cs="Arial"/>
        </w:rPr>
        <w:t>, folio 13327).</w:t>
      </w:r>
    </w:p>
  </w:footnote>
  <w:footnote w:id="87">
    <w:p w14:paraId="780CB65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Ministry of Labor and Employment of Brazil. Slave labor in Brazil in retrospective: research references. January 2012 (evidence file</w:t>
      </w:r>
      <w:r w:rsidRPr="00FE50A6">
        <w:rPr>
          <w:rFonts w:cs="Arial"/>
        </w:rPr>
        <w:t xml:space="preserve">, folio 9958). International Labour Organization (ILO). Fighting forced labour: the example of Brazil. Brasilia, 2010, p. 126 (evidence file, folio 427). </w:t>
      </w:r>
    </w:p>
  </w:footnote>
  <w:footnote w:id="88">
    <w:p w14:paraId="1ABC84D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by Jonas Ratier Moreno on January 29, 2016 (evidence file</w:t>
      </w:r>
      <w:r w:rsidRPr="00FE50A6">
        <w:rPr>
          <w:rFonts w:cs="Arial"/>
        </w:rPr>
        <w:t>, folio 13327).</w:t>
      </w:r>
    </w:p>
  </w:footnote>
  <w:footnote w:id="89">
    <w:p w14:paraId="4D42215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by Jonas Ratier Moreno on January 29, 2016 (evidence file</w:t>
      </w:r>
      <w:r w:rsidRPr="00FE50A6">
        <w:rPr>
          <w:rFonts w:cs="Arial"/>
        </w:rPr>
        <w:t>, folio 13327).</w:t>
      </w:r>
    </w:p>
  </w:footnote>
  <w:footnote w:id="90">
    <w:p w14:paraId="7D053D7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of Leonardo Sakamoto at the public hearing. International Labour Organization (ILO). Fighting forced labour: the example of Brazil. Brasilia, 2010, p. 3 (evidence file, folio 447). The publication of the “dirty list” was suspended on December 23, 2015, as a result of the ruling on direct action for unconstitutionality No. 5,209 (evidence file, folio 7301). It was subsequently reinstated by Interministerial Decision No. 2 of March 31, 2015 (evidence file, folio 7409). Testimony provided by affidavit by Jonas Ratier Moreno on January 29, 2016 (evidence file</w:t>
      </w:r>
      <w:r w:rsidRPr="00FE50A6">
        <w:rPr>
          <w:rFonts w:cs="Arial"/>
        </w:rPr>
        <w:t>, folio 13328).</w:t>
      </w:r>
    </w:p>
  </w:footnote>
  <w:footnote w:id="91">
    <w:p w14:paraId="4D14405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rFonts w:cs="Arial"/>
          <w:bCs/>
        </w:rPr>
        <w:t xml:space="preserve">Second </w:t>
      </w:r>
      <w:r w:rsidRPr="00FE50A6">
        <w:rPr>
          <w:rFonts w:cs="Arial"/>
        </w:rPr>
        <w:t xml:space="preserve">National Plan for the Eradication of Slavery (evidence file, folio 7189). </w:t>
      </w:r>
      <w:r w:rsidRPr="00FE50A6">
        <w:t>Ministry of Labor and Employment of Brazil. Slave labor in Brazil in retrospective: research references. January 2012 (evidence file</w:t>
      </w:r>
      <w:r w:rsidRPr="00FE50A6">
        <w:rPr>
          <w:rFonts w:cs="Arial"/>
        </w:rPr>
        <w:t xml:space="preserve">, folio 9961). </w:t>
      </w:r>
      <w:r w:rsidRPr="00FE50A6">
        <w:t>Testimony provided by affidavit by Jonas Ratier Moreno on January 29, 2016 (evidence file</w:t>
      </w:r>
      <w:r w:rsidRPr="00FE50A6">
        <w:rPr>
          <w:rFonts w:cs="Arial"/>
        </w:rPr>
        <w:t>, folio 13329).</w:t>
      </w:r>
    </w:p>
  </w:footnote>
  <w:footnote w:id="92">
    <w:p w14:paraId="1CF6484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by Michael Freitas Mohallem on February 4, 2016 (evidence file</w:t>
      </w:r>
      <w:r w:rsidRPr="00FE50A6">
        <w:rPr>
          <w:rFonts w:cs="Arial"/>
        </w:rPr>
        <w:t>, folio 14089).</w:t>
      </w:r>
    </w:p>
  </w:footnote>
  <w:footnote w:id="93">
    <w:p w14:paraId="2F3F24A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Testimony provided by affidavit by Jonas Ratier Moreno on January 29, 2016 (evidence file</w:t>
      </w:r>
      <w:r w:rsidRPr="00FE50A6">
        <w:rPr>
          <w:rFonts w:cs="Arial"/>
        </w:rPr>
        <w:t>, folio 13329).</w:t>
      </w:r>
    </w:p>
  </w:footnote>
  <w:footnote w:id="94">
    <w:p w14:paraId="246F081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Labour Organization (ILO). Fighting forced labour: the example of Brazil. Brasilia, 2010, p. 100 (evidence file, folio 446).</w:t>
      </w:r>
    </w:p>
  </w:footnote>
  <w:footnote w:id="95">
    <w:p w14:paraId="5296553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Decree Law No. 5,452 of May 1, 1943 (evidence file, folio 6188).</w:t>
      </w:r>
    </w:p>
  </w:footnote>
  <w:footnote w:id="96">
    <w:p w14:paraId="6C50DAC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Law No. 5,889 of June 8, 1973 (evidence file, folio 6316).</w:t>
      </w:r>
    </w:p>
  </w:footnote>
  <w:footnote w:id="97">
    <w:p w14:paraId="74E6DBE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7 of the 1988 Constitution of the Federative Republic of Brazil.</w:t>
      </w:r>
    </w:p>
  </w:footnote>
  <w:footnote w:id="98">
    <w:p w14:paraId="578F7A2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149 of the 1940 Brazilian Penal Code. </w:t>
      </w:r>
    </w:p>
  </w:footnote>
  <w:footnote w:id="99">
    <w:p w14:paraId="364DCB1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197 of the 1940 Brazilian Penal Code: To force someone by violence or serious threat: I. to execute or not to execute a job, profession or trade, or to work or not to work during a certain period or on certain days: </w:t>
      </w:r>
      <w:r w:rsidRPr="00FE50A6">
        <w:rPr>
          <w:rFonts w:cs="Arial"/>
          <w:szCs w:val="20"/>
        </w:rPr>
        <w:t>Penalty</w:t>
      </w:r>
      <w:r w:rsidRPr="00FE50A6">
        <w:t xml:space="preserve"> – one month to one year’s imprisonment and a fine, in addition to the </w:t>
      </w:r>
      <w:r w:rsidRPr="00FE50A6">
        <w:rPr>
          <w:rFonts w:cs="Arial"/>
          <w:szCs w:val="20"/>
        </w:rPr>
        <w:t>penalty</w:t>
      </w:r>
      <w:r w:rsidRPr="00FE50A6">
        <w:t xml:space="preserve"> corresponding to violence; II. to open or close their place of work or to take part in a stoppage of the economic activity: </w:t>
      </w:r>
      <w:r w:rsidRPr="00FE50A6">
        <w:rPr>
          <w:rFonts w:cs="Arial"/>
          <w:szCs w:val="20"/>
        </w:rPr>
        <w:t>Penalty</w:t>
      </w:r>
      <w:r w:rsidRPr="00FE50A6">
        <w:t xml:space="preserve"> - three months to one year’s imprisonment and a fine, in addition to the </w:t>
      </w:r>
      <w:r w:rsidRPr="00FE50A6">
        <w:rPr>
          <w:rFonts w:cs="Arial"/>
          <w:szCs w:val="20"/>
        </w:rPr>
        <w:t>penalty</w:t>
      </w:r>
      <w:r w:rsidRPr="00FE50A6">
        <w:t xml:space="preserve"> corresponding to violence.</w:t>
      </w:r>
    </w:p>
  </w:footnote>
  <w:footnote w:id="100">
    <w:p w14:paraId="6173F4A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207 of the Brazilian Penal Code: To attract workers from one part of national territory to another. To recruit workers, in order to take them from one part of national territory to another: </w:t>
      </w:r>
      <w:r w:rsidRPr="00FE50A6">
        <w:rPr>
          <w:rFonts w:cs="Arial"/>
          <w:szCs w:val="20"/>
        </w:rPr>
        <w:t>Penalty</w:t>
      </w:r>
      <w:r w:rsidRPr="00FE50A6">
        <w:t xml:space="preserve"> – one to three years’ imprisonment and a fine. § 1. The same penalty shall be applied to the person who recruits workers to work in another part of national territory by fraud or by charging the worker any amount, or even by failing to guarantee the conditions for his return to his place of origin. § 2. The penalty shall be increased by a sixth to a third part if the victims is under 18 years of age, elderly, a </w:t>
      </w:r>
      <w:proofErr w:type="gramStart"/>
      <w:r w:rsidRPr="00FE50A6">
        <w:t>pregnant women</w:t>
      </w:r>
      <w:proofErr w:type="gramEnd"/>
      <w:r w:rsidRPr="00FE50A6">
        <w:t>, indigenous, or physically or mentally disabled.</w:t>
      </w:r>
    </w:p>
  </w:footnote>
  <w:footnote w:id="101">
    <w:p w14:paraId="387ECF8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Interministerial Normative Instruction No. 1 of March 24, 1994 (evidence file, folio 6427).</w:t>
      </w:r>
    </w:p>
  </w:footnote>
  <w:footnote w:id="102">
    <w:p w14:paraId="73ECC58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Interministerial Normative Instruction No. 65 of July 31, 2006 (evidence file, folio 6432).</w:t>
      </w:r>
    </w:p>
  </w:footnote>
  <w:footnote w:id="103">
    <w:p w14:paraId="5D6301E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Pará Regional Superintendence, Federal Police (evidence file, folio 550).</w:t>
      </w:r>
    </w:p>
  </w:footnote>
  <w:footnote w:id="104">
    <w:p w14:paraId="3A4C820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Inspection order (evidence file, folio 548).</w:t>
      </w:r>
    </w:p>
  </w:footnote>
  <w:footnote w:id="105">
    <w:p w14:paraId="242576E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Mission order 018/89 (evidence file, folio 554).</w:t>
      </w:r>
    </w:p>
  </w:footnote>
  <w:footnote w:id="106">
    <w:p w14:paraId="4C502BE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filed with the Federal Police on December 21, 1988 (evidence file, folio 7428).</w:t>
      </w:r>
    </w:p>
  </w:footnote>
  <w:footnote w:id="107">
    <w:p w14:paraId="3AB1138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filed with the Federal Police on December 21, 1988 (evidence file, folio 7428).</w:t>
      </w:r>
    </w:p>
  </w:footnote>
  <w:footnote w:id="108">
    <w:p w14:paraId="364747B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Dense vegetation that grows on the cropland and must be cleared before planting a new crop.</w:t>
      </w:r>
    </w:p>
  </w:footnote>
  <w:footnote w:id="109">
    <w:p w14:paraId="6796DBE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w:t>
      </w:r>
      <w:r w:rsidRPr="00FE50A6">
        <w:rPr>
          <w:rFonts w:cs="Arial"/>
        </w:rPr>
        <w:t>Adailton Martins dos Reis</w:t>
      </w:r>
      <w:r w:rsidRPr="00FE50A6">
        <w:t xml:space="preserve"> of December 21, 1988 (evidence file, folio 558).</w:t>
      </w:r>
    </w:p>
  </w:footnote>
  <w:footnote w:id="110">
    <w:p w14:paraId="217EC4A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w:t>
      </w:r>
      <w:r w:rsidRPr="00FE50A6">
        <w:rPr>
          <w:rFonts w:cs="Arial"/>
        </w:rPr>
        <w:t>Maria Madalena Vindoura dos Santos</w:t>
      </w:r>
      <w:r w:rsidRPr="00FE50A6">
        <w:t xml:space="preserve"> of December 27, 1988 (evidence file, folio 7432).</w:t>
      </w:r>
    </w:p>
  </w:footnote>
  <w:footnote w:id="111">
    <w:p w14:paraId="174BC43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January 25, 1989, filed with the</w:t>
      </w:r>
      <w:r w:rsidRPr="00FE50A6">
        <w:rPr>
          <w:rFonts w:cs="Arial"/>
        </w:rPr>
        <w:t xml:space="preserve"> Office of the Ombudsman in Brasilia</w:t>
      </w:r>
      <w:r w:rsidRPr="00FE50A6">
        <w:t xml:space="preserve"> (evidence file, folio 7434).</w:t>
      </w:r>
    </w:p>
  </w:footnote>
  <w:footnote w:id="112">
    <w:p w14:paraId="50B341A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Mission order No. 018/89 of February 9, 1989 (evidence file, folio 7436).</w:t>
      </w:r>
    </w:p>
  </w:footnote>
  <w:footnote w:id="113">
    <w:p w14:paraId="07E99A8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Federal Police Agent’s report of February 24, 1989 (evidence file, folio 7439).</w:t>
      </w:r>
    </w:p>
  </w:footnote>
  <w:footnote w:id="114">
    <w:p w14:paraId="27DADDA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Federal Police Agent’s report of February 24, 1989 (evidence file, folio 7439).</w:t>
      </w:r>
    </w:p>
  </w:footnote>
  <w:footnote w:id="115">
    <w:p w14:paraId="12752B2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sent to the Assistant Prosecutor General of the Republic dated March 18, 1992 (evidence file, folio 7471).</w:t>
      </w:r>
    </w:p>
  </w:footnote>
  <w:footnote w:id="116">
    <w:p w14:paraId="340448F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706 of the Prosecutor General of the Republic of June 4, 1992 (evidence file, folio 7473).</w:t>
      </w:r>
    </w:p>
  </w:footnote>
  <w:footnote w:id="117">
    <w:p w14:paraId="236FD32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707 of the Prosecutor General of the Republic of June 4, 1992 (evidence file, folio 7474).</w:t>
      </w:r>
    </w:p>
  </w:footnote>
  <w:footnote w:id="118">
    <w:p w14:paraId="1403FAC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1556 of the Prosecutor General of the Republic of September 22, 1992 (evidence file, folio 7476).</w:t>
      </w:r>
    </w:p>
  </w:footnote>
  <w:footnote w:id="119">
    <w:p w14:paraId="77B7561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096/92 of the Central Coordination </w:t>
      </w:r>
      <w:r w:rsidRPr="00FE50A6">
        <w:rPr>
          <w:rFonts w:cs="Arial"/>
        </w:rPr>
        <w:t>Department</w:t>
      </w:r>
      <w:r w:rsidRPr="00FE50A6">
        <w:t xml:space="preserve"> </w:t>
      </w:r>
      <w:r w:rsidRPr="00FE50A6">
        <w:rPr>
          <w:rFonts w:cs="Arial"/>
        </w:rPr>
        <w:t>of the Federal Police</w:t>
      </w:r>
      <w:r w:rsidRPr="00FE50A6">
        <w:t xml:space="preserve"> of December 7, 1992 (evidence file, folio 7478).</w:t>
      </w:r>
    </w:p>
  </w:footnote>
  <w:footnote w:id="120">
    <w:p w14:paraId="4F6E8EF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096/92 of the Central Coordination </w:t>
      </w:r>
      <w:r w:rsidRPr="00FE50A6">
        <w:rPr>
          <w:rFonts w:cs="Arial"/>
        </w:rPr>
        <w:t>Department</w:t>
      </w:r>
      <w:r w:rsidRPr="00FE50A6">
        <w:t xml:space="preserve"> </w:t>
      </w:r>
      <w:r w:rsidRPr="00FE50A6">
        <w:rPr>
          <w:rFonts w:cs="Arial"/>
        </w:rPr>
        <w:t>of the Federal Police</w:t>
      </w:r>
      <w:r w:rsidRPr="00FE50A6">
        <w:t xml:space="preserve"> of December 7, 1992 (evidence file, folio 7479).</w:t>
      </w:r>
    </w:p>
  </w:footnote>
  <w:footnote w:id="121">
    <w:p w14:paraId="5F7069A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370/93 of the Regional Labor Delegation of</w:t>
      </w:r>
      <w:r w:rsidRPr="00FE50A6">
        <w:rPr>
          <w:rFonts w:cs="Arial"/>
        </w:rPr>
        <w:t xml:space="preserve"> Pará</w:t>
      </w:r>
      <w:r w:rsidRPr="00FE50A6">
        <w:t xml:space="preserve"> of August 2, 1993 (evidence file, folio 7494).</w:t>
      </w:r>
    </w:p>
  </w:footnote>
  <w:footnote w:id="122">
    <w:p w14:paraId="7691510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370/93 of the Regional Labor Delegation of</w:t>
      </w:r>
      <w:r w:rsidRPr="00FE50A6">
        <w:rPr>
          <w:rFonts w:cs="Arial"/>
        </w:rPr>
        <w:t xml:space="preserve"> Pará</w:t>
      </w:r>
      <w:r w:rsidRPr="00FE50A6">
        <w:t xml:space="preserve"> of August 2, 1993 (evidence file, folio 7494).</w:t>
      </w:r>
    </w:p>
  </w:footnote>
  <w:footnote w:id="123">
    <w:p w14:paraId="3FDD757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006 of the Assistant Prosecutor General of the Republic of April 25, 1994 (evidence file, folio 566).</w:t>
      </w:r>
    </w:p>
  </w:footnote>
  <w:footnote w:id="124">
    <w:p w14:paraId="2DEF676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March 29, 1994 (evidence file, folio 568).</w:t>
      </w:r>
    </w:p>
  </w:footnote>
  <w:footnote w:id="125">
    <w:p w14:paraId="545F0E8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March 29, 1994 (evidence file, folios 568 and 569).</w:t>
      </w:r>
    </w:p>
  </w:footnote>
  <w:footnote w:id="126">
    <w:p w14:paraId="5DBDDDC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Record of inspection of November 29, 1996 (evidence file, folio 7523).</w:t>
      </w:r>
    </w:p>
  </w:footnote>
  <w:footnote w:id="127">
    <w:p w14:paraId="57F33CF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Record of inspection of November 29, 1996 (evidence file, folio 7523).</w:t>
      </w:r>
    </w:p>
  </w:footnote>
  <w:footnote w:id="128">
    <w:p w14:paraId="2975D53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José da Costa Oliveira and </w:t>
      </w:r>
      <w:r w:rsidRPr="00FE50A6">
        <w:rPr>
          <w:rFonts w:cs="Arial"/>
        </w:rPr>
        <w:t>José Ferreira dos Santos</w:t>
      </w:r>
      <w:r w:rsidRPr="00FE50A6">
        <w:t xml:space="preserve"> of March 10, 1997 (evidence file, folios 845 to 847).</w:t>
      </w:r>
    </w:p>
  </w:footnote>
  <w:footnote w:id="129">
    <w:p w14:paraId="2881C63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José da Costa Oliveira and </w:t>
      </w:r>
      <w:r w:rsidRPr="00FE50A6">
        <w:rPr>
          <w:rFonts w:cs="Arial"/>
        </w:rPr>
        <w:t>José Ferreira dos Santos</w:t>
      </w:r>
      <w:r w:rsidRPr="00FE50A6">
        <w:t xml:space="preserve"> of March 10, 1997 (evidence file, folios 845 and 846).</w:t>
      </w:r>
    </w:p>
  </w:footnote>
  <w:footnote w:id="130">
    <w:p w14:paraId="159E3C5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José da Costa Oliveira and </w:t>
      </w:r>
      <w:r w:rsidRPr="00FE50A6">
        <w:rPr>
          <w:rFonts w:cs="Arial"/>
        </w:rPr>
        <w:t>José Ferreira dos Santos</w:t>
      </w:r>
      <w:r w:rsidRPr="00FE50A6">
        <w:t xml:space="preserve"> of March 10, 1997 (evidence file, folio 846).</w:t>
      </w:r>
    </w:p>
  </w:footnote>
  <w:footnote w:id="131">
    <w:p w14:paraId="727EBCC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visit to Hacienda Brasil Verde, Labor Mobile Group, April 23, 28 and 29, 1997 (evidence file, folios 4629 to 4638).</w:t>
      </w:r>
    </w:p>
  </w:footnote>
  <w:footnote w:id="132">
    <w:p w14:paraId="031E492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visits to Hacienda Brasil Verde, Labor Mobile Group, April 23, 28 and 29, 1997 (evidence file, folios 4629 and 4630).</w:t>
      </w:r>
    </w:p>
  </w:footnote>
  <w:footnote w:id="133">
    <w:p w14:paraId="3BE97C6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visits to Hacienda Brasil Verde, Labor Mobile Group, April 23, 28 and 29, 1997 (evidence file, folio 4637).</w:t>
      </w:r>
    </w:p>
  </w:footnote>
  <w:footnote w:id="134">
    <w:p w14:paraId="0755E1A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visits to Hacienda Brasil Verde, Labor Mobile Group, April 23, 28 and 29, 1997 (evidence file, folio 4637).</w:t>
      </w:r>
    </w:p>
  </w:footnote>
  <w:footnote w:id="135">
    <w:p w14:paraId="04BE553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Complaint of the Federal Public Prosecution Service of June 30, 1997 (evidence file, folios 4623 and 4625 to 4628).</w:t>
      </w:r>
    </w:p>
  </w:footnote>
  <w:footnote w:id="136">
    <w:p w14:paraId="14D772B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Complaint of the Federal Public Prosecution Service of June 30, 1997 (evidence file, folios 4623 to 4626).</w:t>
      </w:r>
    </w:p>
  </w:footnote>
  <w:footnote w:id="137">
    <w:p w14:paraId="2858097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Complaint of the Federal Public Prosecution Service of June 30, 1997 (evidence file, folio 4627).</w:t>
      </w:r>
    </w:p>
  </w:footnote>
  <w:footnote w:id="138">
    <w:p w14:paraId="546F8B7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1183 of the Marabá Federal Judge of July 14, 1997 (evidence file, folio 4711).</w:t>
      </w:r>
    </w:p>
  </w:footnote>
  <w:footnote w:id="139">
    <w:p w14:paraId="56465CC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Decision of the Marabá Federal Judge of September 17, 1997 (evidence file, folio 4719).</w:t>
      </w:r>
    </w:p>
  </w:footnote>
  <w:footnote w:id="140">
    <w:p w14:paraId="646109A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Communications of the Marabá Judiciary (evidence file, folios 4722, 4724, 4727, 4728, 4730, 4731, 4732 and 4735).</w:t>
      </w:r>
    </w:p>
  </w:footnote>
  <w:footnote w:id="141">
    <w:p w14:paraId="79BBB4E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of the Labor Public Prosecutor of June 21, 2001 (evidence file, folio 7525).</w:t>
      </w:r>
    </w:p>
  </w:footnote>
  <w:footnote w:id="142">
    <w:p w14:paraId="3117604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7525). </w:t>
      </w:r>
    </w:p>
  </w:footnote>
  <w:footnote w:id="143">
    <w:p w14:paraId="68D5485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44">
    <w:p w14:paraId="5945864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45">
    <w:p w14:paraId="5B3C321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46">
    <w:p w14:paraId="2F5BA62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47">
    <w:p w14:paraId="6A03012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48">
    <w:p w14:paraId="1050628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Preliminary hearing of September 13, 1999 (evidence file, folio 4765).</w:t>
      </w:r>
    </w:p>
  </w:footnote>
  <w:footnote w:id="149">
    <w:p w14:paraId="76E1A13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Brief of João Luiz Quagliato Neto of September 14, 1999 (evidence file, folio 4767).</w:t>
      </w:r>
    </w:p>
  </w:footnote>
  <w:footnote w:id="150">
    <w:p w14:paraId="48F2038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Decision of the Marabá substitute federal judge of September 23, 1999 (evidence file, folio 4768).</w:t>
      </w:r>
    </w:p>
  </w:footnote>
  <w:footnote w:id="151">
    <w:p w14:paraId="077E68B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Communications of the Marabá Judiciary (evidence file, folios 4723, 4725, 4729, 4730, 4732, 4733, 4737 and 4739).</w:t>
      </w:r>
    </w:p>
  </w:footnote>
  <w:footnote w:id="152">
    <w:p w14:paraId="178465C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Brief of </w:t>
      </w:r>
      <w:r w:rsidRPr="00FE50A6">
        <w:rPr>
          <w:rFonts w:cs="Arial"/>
        </w:rPr>
        <w:t>Raimundo Alves de Rocha (evidence file</w:t>
      </w:r>
      <w:r w:rsidRPr="00FE50A6">
        <w:t xml:space="preserve">, folio 4750); brief of </w:t>
      </w:r>
      <w:r w:rsidRPr="00FE50A6">
        <w:rPr>
          <w:rFonts w:cs="Arial"/>
        </w:rPr>
        <w:t>Antônio Vieira (evidence file</w:t>
      </w:r>
      <w:r w:rsidRPr="00FE50A6">
        <w:t>, folio 4752).</w:t>
      </w:r>
    </w:p>
  </w:footnote>
  <w:footnote w:id="153">
    <w:p w14:paraId="4D40BA8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Testimonial statements (evidence file, folios 4784 to 4791).</w:t>
      </w:r>
    </w:p>
  </w:footnote>
  <w:footnote w:id="154">
    <w:p w14:paraId="47410BA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Decision of the Marabá substitute federal judge of March 16, 2001 (evidence file, folio 4813 to 4816).</w:t>
      </w:r>
    </w:p>
  </w:footnote>
  <w:footnote w:id="155">
    <w:p w14:paraId="25692FD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Decision of the Marabá substitute federal judge of March 16, 2001 (evidence file, folio 4816).</w:t>
      </w:r>
    </w:p>
  </w:footnote>
  <w:footnote w:id="156">
    <w:p w14:paraId="4F5CC54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Ratification of the complaint (evidence file, folio 4824 to 4826).</w:t>
      </w:r>
    </w:p>
  </w:footnote>
  <w:footnote w:id="157">
    <w:p w14:paraId="35086EB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Request of May 28, 2002, to declare the criminal proceedings terminated (evidence file, folio 4900).</w:t>
      </w:r>
    </w:p>
  </w:footnote>
  <w:footnote w:id="158">
    <w:p w14:paraId="1F8D028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Ruling of the state judge of August 5, 2003 (evidence file, folio 5523).</w:t>
      </w:r>
    </w:p>
  </w:footnote>
  <w:footnote w:id="159">
    <w:p w14:paraId="7FA5F16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Hearing to receive testimonial evidence of October 24, 2003 (evidence file, folio 5528), and hearing to receive testimonial evidence of November 18, 2003 (evidence file, folio 5532).</w:t>
      </w:r>
    </w:p>
  </w:footnote>
  <w:footnote w:id="160">
    <w:p w14:paraId="1C2A841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Final arguments of the Pará Public Prosecution Service (evidence file, folio 5544 to 5547).</w:t>
      </w:r>
    </w:p>
  </w:footnote>
  <w:footnote w:id="161">
    <w:p w14:paraId="261921A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on conflict of competences (evidence file, folio 5557 to 5560).</w:t>
      </w:r>
    </w:p>
  </w:footnote>
  <w:footnote w:id="162">
    <w:p w14:paraId="2D2D7E6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Decision of the Superior Court of Justice (evidence file, folio 5588).</w:t>
      </w:r>
    </w:p>
  </w:footnote>
  <w:footnote w:id="163">
    <w:p w14:paraId="4556203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Certification of case file transfer (evidence file, folio 5592).</w:t>
      </w:r>
    </w:p>
  </w:footnote>
  <w:footnote w:id="164">
    <w:p w14:paraId="141F853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Ruling of the federal judge of May 26, 2008 (evidence file, folio 5600).</w:t>
      </w:r>
    </w:p>
  </w:footnote>
  <w:footnote w:id="165">
    <w:p w14:paraId="1845C27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Final arguments of the Federal Public Prosecution Service (evidence file, folio 5616 to 5621).</w:t>
      </w:r>
    </w:p>
  </w:footnote>
  <w:footnote w:id="166">
    <w:p w14:paraId="4742B11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Final arguments of the Federal Public Prosecution Service (evidence file, folios 5619 to 5621).</w:t>
      </w:r>
    </w:p>
  </w:footnote>
  <w:footnote w:id="167">
    <w:p w14:paraId="648F9E7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Judgment of July 10, 2008 (evidence file, folio 5622).</w:t>
      </w:r>
    </w:p>
  </w:footnote>
  <w:footnote w:id="168">
    <w:p w14:paraId="74BFD58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Judgment of July 10, 2008 (evidence file, folio 5622).</w:t>
      </w:r>
    </w:p>
  </w:footnote>
  <w:footnote w:id="169">
    <w:p w14:paraId="7E70B8F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7526).</w:t>
      </w:r>
    </w:p>
  </w:footnote>
  <w:footnote w:id="170">
    <w:p w14:paraId="4575033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7527).</w:t>
      </w:r>
    </w:p>
  </w:footnote>
  <w:footnote w:id="171">
    <w:p w14:paraId="35086DC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7527).</w:t>
      </w:r>
    </w:p>
  </w:footnote>
  <w:footnote w:id="172">
    <w:p w14:paraId="1F694D1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(evidence file, folio 7527).</w:t>
      </w:r>
    </w:p>
  </w:footnote>
  <w:footnote w:id="173">
    <w:p w14:paraId="25BFD36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Report of March 31, 2000, on the inspection of Hacienda Brasil Verde (evidence file, folios 9571 to 9573); statement by Francisco Fabiano Leandro, received during the on-site procedure carried out on June 6, 2016; statement by Francisco das Chagas Bastos Souza, received during the on-site procedure carried out on June 6, 2016, and statement by Antônio Francisco da Silva, received during the on-site procedure carried out on June 6, 2016.</w:t>
      </w:r>
    </w:p>
  </w:footnote>
  <w:footnote w:id="174">
    <w:p w14:paraId="4B1E2B60" w14:textId="77777777" w:rsidR="00E70935" w:rsidRPr="00FE50A6" w:rsidRDefault="00E70935" w:rsidP="00CD003F">
      <w:pPr>
        <w:pStyle w:val="Textonotapie"/>
        <w:spacing w:after="80"/>
      </w:pPr>
      <w:r w:rsidRPr="00FE50A6">
        <w:rPr>
          <w:rStyle w:val="Refdenotaalpie"/>
        </w:rPr>
        <w:footnoteRef/>
      </w:r>
      <w:r w:rsidRPr="00FE50A6">
        <w:t xml:space="preserve"> “</w:t>
      </w:r>
      <w:r w:rsidRPr="00FE50A6">
        <w:rPr>
          <w:i/>
        </w:rPr>
        <w:t>Alqueire</w:t>
      </w:r>
      <w:r w:rsidRPr="00FE50A6">
        <w:t xml:space="preserve">” is a rural unit of measurement used in certain parts of Brazil. </w:t>
      </w:r>
    </w:p>
  </w:footnote>
  <w:footnote w:id="175">
    <w:p w14:paraId="5F72DF9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Antônio Francisco da Silva, received during the on-site procedure carried out on June 6, 2016; statement by José Batista Gonçalves Afonso, CPT Regional Coordinator, on the situation of Antônio Francisco da Silva and Gonçalo Luiz Furtado, provided on March 8, 2000 (evidence file, folio 1038); affidavit of Francisco de Assis Félix, dated May 8, 2015 (evidence file, folio 7570), and statement by Vanilson Rodrigues Fernandes, Labor Prosecutor, before the Marabá Court regarding the 1997 inspection (evidence file, folio 4787).</w:t>
      </w:r>
    </w:p>
  </w:footnote>
  <w:footnote w:id="176">
    <w:p w14:paraId="54F9466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Communication PRT 8ª 2357/2001, of June 21, 2001, folio 9573.</w:t>
      </w:r>
    </w:p>
  </w:footnote>
  <w:footnote w:id="177">
    <w:p w14:paraId="7A0FACDE"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sz w:val="16"/>
          <w:szCs w:val="16"/>
          <w:lang w:val="en-US"/>
        </w:rPr>
        <w:t>Statement by Marcos Antônio Lima,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Antônio Francisco da Silva, received during the on-site procedure carried out on June 6, 2016; statement by José Batista Gonçalves Afonso, CPT Regional Coordinator, on the situation of Antônio Francisco da Silva and Gonçalo Luiz Furtado, provided on March 8, 2000 (evidence file, folio 1038); affidavit of Antônio Fernandes da Costa, dated May 8, 2015 (evidence file, folio 7565); Affidavit of Francisco de Assis Félix, dated May 8, 2015 (evidence file, folio 7570); Report of March 31, 2000, on the inspection of Hacienda Brasil Verde (evidence file, folios 9573 and 9574), and public civil action filed by the Ministry of Labor against João Luiz Quagliato – Hacienda Brasil Verde, on May 30, 2000 (evidence file, folio 1049).</w:t>
      </w:r>
    </w:p>
  </w:footnote>
  <w:footnote w:id="178">
    <w:p w14:paraId="4667C8B8"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sz w:val="16"/>
          <w:szCs w:val="16"/>
          <w:lang w:val="en-US"/>
        </w:rPr>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Antônio Francisco da Silva, received during the on-site procedure carried out on June 6, 2016; affidavit of Antônio Fernandes da Costa, dated May 8, 2015 (evidence file, folio 7566); Affidavit of Francisco de Assis Félix, dated May 8, 2015 (evidence file, folio 7570), and Report of March 31, 2000, on the inspection of Hacienda Brasil Verde (evidence file, folio 9574).</w:t>
      </w:r>
    </w:p>
  </w:footnote>
  <w:footnote w:id="179">
    <w:p w14:paraId="168C0F4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José Batista Gonçalves Afonso, CPT Regional Coordinator, on the situation of Antônio Francisco da Silva and Gonçalo Luiz Furtado, provided on March 8, 2000 (evidence file, folio 1038); affidavit of Antônio Fernandes da Costa, dated May 8, 2015 (evidence file, folio 7566); Affidavit of Francisco de Assis Félix, dated May 8, 2015 (evidence file, folios 7571 and 7572), and Report of March 31, 2000, on the inspection of Hacienda Brasil Verde (evidence file, folio 9574).</w:t>
      </w:r>
    </w:p>
  </w:footnote>
  <w:footnote w:id="180">
    <w:p w14:paraId="1633588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José Batista Gonçalves Afonso, CPT Regional Coordinator, on the situation of Antônio Francisco da Silva and Gonçalo Luiz Furtado, provided on March 8, 2000 (evidence file, folio 1038); Affidavit of Francisco de Assis Félix, dated May 8, 2015 (evidence file, folio 7570), and Report of March 31, 2000, on the inspection of Hacienda Brasil Verde (evidence file, folio 9573).</w:t>
      </w:r>
    </w:p>
  </w:footnote>
  <w:footnote w:id="181">
    <w:p w14:paraId="4AD9352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Rogerio Félix da Silva, received during the on-site procedure carried out on June 6, 2016; statement by Antônio Francisco da Silva, received during the on-site procedure carried out on June 6, 2016; affidavit of Antônio Fernandes da Costa, dated May 8, 2015 (evidence file, folio 7566), and Affidavit of Francisco de Assis Félix, dated May 8, 2015 (evidence file, folio 7571).</w:t>
      </w:r>
    </w:p>
  </w:footnote>
  <w:footnote w:id="182">
    <w:p w14:paraId="09D8CC6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José Batista Gonçalves Afonso, CPT Regional Coordinator, on the situation of Antônio Francisco da Silva and Gonçalo Luiz Furtado, provided on March 8, 2000 (evidence file, folio 1038); Affidavit of Francisco de Assis Félix, dated May 8, 2015 (evidence file, folio 7571), and Report of March 31, 2000, on the inspection of Hacienda Brasil Verde (evidence file, folio 9573).</w:t>
      </w:r>
    </w:p>
  </w:footnote>
  <w:footnote w:id="183">
    <w:p w14:paraId="5D27080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 xml:space="preserve">Statement by Marcos Antônio Lima, received during the on-site procedure carried out on June 6, 2016; statement by Rogerio Félix da Silva, received during the on-site procedure carried out on June 6, 2016; statement by Antônio Francisco da Silva, received during the on-site procedure carried out on June 6, 2016; statement by José Batista Gonçalves Afonso, CPT Regional Coordinator, on the situation of Antônio Francisco da Silva and Gonçalo Luiz Furtado, provided on March 8, 2000 (evidence file, folio 1038); Affidavit of Francisco de Assis Félix, dated May 8, 2015 (evidence file, folio 7570 a 7572), and Report of March 31, 2000, on the inspection of Hacienda Brasil Verde (evidence file, folio 9572). </w:t>
      </w:r>
    </w:p>
  </w:footnote>
  <w:footnote w:id="184">
    <w:p w14:paraId="3D6ACDC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Rogerio Félix da Silva received during the on-site procedure carried out on June 6, 2016, and Affidavit of Francisco de Assis Félix, dated May 8, 2015 (evidence file, folio 7572).</w:t>
      </w:r>
    </w:p>
  </w:footnote>
  <w:footnote w:id="185">
    <w:p w14:paraId="4564323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Rogerio Félix da Silva, received during the on-site procedure carried out on June 6, 2016; statement by Francisco das Chagas Bastos Souza, received during the on-site procedure carried out on June 6, 2016; statement by Antônio Francisco da Silva, received during the on-site procedure carried out on June 6, 2016; affidavit of Antônio Fernandes da Costa, dated May 8, 2015 (evidence file, folio 7566); Affidavit of Francisco de Assis Félix, dated May 8, 2015 (evidence file, folio 7573), and Report of March 31, 2000, on the inspection of Hacienda Brasil Verde (evidence file, folio 9572).</w:t>
      </w:r>
    </w:p>
  </w:footnote>
  <w:footnote w:id="186">
    <w:p w14:paraId="2FE73E4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Antônio Francisco da Silva, received during the on-site procedure carried out on June 6, 2016; statement by José Batista Gonçalves Afonso, CPT Regional Coordinator, on the situation of Antônio Francisco da Silva and Gonçalo Luiz Furtado, provided on March 8, 2000 (evidence file, folio 1038), and Report of March 31, 2000, on the inspection of Hacienda Brasil Verde (evidence file, folio 9572).</w:t>
      </w:r>
    </w:p>
  </w:footnote>
  <w:footnote w:id="187">
    <w:p w14:paraId="554DCD0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Antônio Francisco da Silva, received during the on-site procedure carried out on June 6, 2016; statement by José Batista Gonçalves Afonso, CPT Regional Coordinator, on the situation of Antônio Francisco da Silva and Gonçalo Luiz Furtado, provided on March 8, 2000 (evidence file, folio 1038), and Report of March 31, 2000, on the inspection of Hacienda Brasil Verde (evidence file, folio 9572).</w:t>
      </w:r>
    </w:p>
  </w:footnote>
  <w:footnote w:id="188">
    <w:p w14:paraId="24BFD3E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Letter to the Ministry of Labor of March 9, 2000 (evidence file, folio 7534).</w:t>
      </w:r>
    </w:p>
  </w:footnote>
  <w:footnote w:id="189">
    <w:p w14:paraId="6E30DB2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Pará Regional Labor Delegation (evidence file, folios 9573 and 9574).</w:t>
      </w:r>
    </w:p>
  </w:footnote>
  <w:footnote w:id="190">
    <w:p w14:paraId="6354FEC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folio 1038); affidavit of Antônio Fernandes da Costa, dated May 8, 2015 (evidence file, folio 7567); Affidavit of Francisco de Assis Félix, dated May 8, 2015 (evidence file, folio 7573), and Report of March 31, 2000, on the inspection of Hacienda Brasil Verde (evidence file, folios 9573 to 9575).</w:t>
      </w:r>
    </w:p>
    <w:p w14:paraId="4EBFD3D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t>Statement by Marcos Antônio Lima, received during the on-site procedure carried out on June 6, 2016; statement by Francisco Fabiano Leandro, received during the on-site procedure carried out on June 6, 2016; statement by Rogerio Félix da Silva, received during the on-site procedure carried out on June 6, 2016; statement by Francisco das Chagas Bastos Souza, received during the on-site procedure carried out on June 6, 2016, folio 1038); affidavit of Antônio Fernandes da Costa, dated May 8, 2015 (evidence file, folio 7567); Affidavit of Francisco de Assis Félix, dated May 8, 2015 (evidence file, folio 7573), and Report of March 31, 2000, on the inspection of Hacienda Brasil Verde (evidence file, folios 9573 to 9575).</w:t>
      </w:r>
    </w:p>
  </w:footnote>
  <w:footnote w:id="191">
    <w:p w14:paraId="302DCE7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Pará Regional Labor Delegation (evidence file, folio 9573).</w:t>
      </w:r>
    </w:p>
  </w:footnote>
  <w:footnote w:id="192">
    <w:p w14:paraId="6857A23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Pará Regional Labor Delegation (evidence file, folio 9574).</w:t>
      </w:r>
    </w:p>
  </w:footnote>
  <w:footnote w:id="193">
    <w:p w14:paraId="04F8290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Public civil action of May 30, 2000 (evidence file, folio 1049).</w:t>
      </w:r>
    </w:p>
  </w:footnote>
  <w:footnote w:id="194">
    <w:p w14:paraId="3F499DD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Public civil action of May 30, 2000 (evidence file, folio 1049).</w:t>
      </w:r>
    </w:p>
  </w:footnote>
  <w:footnote w:id="195">
    <w:p w14:paraId="063A48A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Public civil action of May 30, 2000 (evidence file, folio 1052).</w:t>
      </w:r>
    </w:p>
  </w:footnote>
  <w:footnote w:id="196">
    <w:p w14:paraId="05031EC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Public civil action of May 30, 2000 (evidence file, folio 1053).</w:t>
      </w:r>
    </w:p>
  </w:footnote>
  <w:footnote w:id="197">
    <w:p w14:paraId="63C11495"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Notifications of June 9, 2000 (evidence file, folios 5787 and 5788).</w:t>
      </w:r>
    </w:p>
  </w:footnote>
  <w:footnote w:id="198">
    <w:p w14:paraId="013F72D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Arrangement reached during the hearing of July 20, 2000 (evidence file, folio 5794).</w:t>
      </w:r>
    </w:p>
  </w:footnote>
  <w:footnote w:id="199">
    <w:p w14:paraId="7A26873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of June 21, 2001 (evidence file, folio 1033).</w:t>
      </w:r>
    </w:p>
  </w:footnote>
  <w:footnote w:id="200">
    <w:p w14:paraId="331E174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of June 21, 2001 (evidence file, folio 1033).</w:t>
      </w:r>
    </w:p>
  </w:footnote>
  <w:footnote w:id="201">
    <w:p w14:paraId="2470037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2,357/2001 of June 21, 2001 (evidence file, folio 1031).</w:t>
      </w:r>
    </w:p>
  </w:footnote>
  <w:footnote w:id="202">
    <w:p w14:paraId="7842C68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June 2002 </w:t>
      </w:r>
      <w:proofErr w:type="gramStart"/>
      <w:r w:rsidRPr="00FE50A6">
        <w:t>inspection  (</w:t>
      </w:r>
      <w:proofErr w:type="gramEnd"/>
      <w:r w:rsidRPr="00FE50A6">
        <w:t>evidence file, folio 1056).</w:t>
      </w:r>
    </w:p>
  </w:footnote>
  <w:footnote w:id="203">
    <w:p w14:paraId="34C7D78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June 2002 inspection (evidence file, folio 1056).</w:t>
      </w:r>
    </w:p>
  </w:footnote>
  <w:footnote w:id="204">
    <w:p w14:paraId="71A43AD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June 2002’ inspection (evidence file, folio 1062).</w:t>
      </w:r>
    </w:p>
  </w:footnote>
  <w:footnote w:id="205">
    <w:p w14:paraId="44716FE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June 2002 inspection (evidence file, folio 1063).</w:t>
      </w:r>
    </w:p>
  </w:footnote>
  <w:footnote w:id="206">
    <w:p w14:paraId="4EDE635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State’s brief of June 27, 2016 (merits file, folio 1698).</w:t>
      </w:r>
    </w:p>
  </w:footnote>
  <w:footnote w:id="207">
    <w:p w14:paraId="4496789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Communication No. 1254/2007 of October 29, 2007 (evidence file, folio 1009).</w:t>
      </w:r>
    </w:p>
  </w:footnote>
  <w:footnote w:id="208">
    <w:p w14:paraId="5B9E281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Maria do Socorro Canuto of February 17, 2009 (evidence file, folio 7442) and statement by Raimunda Marcia Azevedo da Silva of July 22, 2007 (evidence file, folio 7445).</w:t>
      </w:r>
    </w:p>
  </w:footnote>
  <w:footnote w:id="209">
    <w:p w14:paraId="5D74699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Raimunda Marcia Azevedo da Silva of July 22, 2007 (evidence file, folio 7445).</w:t>
      </w:r>
    </w:p>
  </w:footnote>
  <w:footnote w:id="210">
    <w:p w14:paraId="5602EBD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Maria do Socorro Canuto of February 17, 2009 (evidence file, folio 7442) and statement by Raimunda Marcia Azevedo da Silva of July 22, 2007 (evidence file, folio 7445). Autopsy report of Iron Canuto da Silva (evidence file, folios 7451 and 7452).</w:t>
      </w:r>
    </w:p>
  </w:footnote>
  <w:footnote w:id="211">
    <w:p w14:paraId="491F77B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Statement by Maria do Socorro Canuto of February 17, 2009 (evidence file, folio 7442).</w:t>
      </w:r>
    </w:p>
  </w:footnote>
  <w:footnote w:id="212">
    <w:p w14:paraId="5740A00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No. 3/2015 of the Federal Police of August 4, 2015 (evidence file, folio 10766).</w:t>
      </w:r>
    </w:p>
  </w:footnote>
  <w:footnote w:id="213">
    <w:p w14:paraId="6548836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No. 3/2015 of the Federal Police of August 4, 2015 (evidence file, folio 10766).</w:t>
      </w:r>
    </w:p>
  </w:footnote>
  <w:footnote w:id="214">
    <w:p w14:paraId="29E7376E" w14:textId="77777777" w:rsidR="00E70935" w:rsidRPr="00FE50A6" w:rsidRDefault="00E70935" w:rsidP="00CD003F">
      <w:pPr>
        <w:tabs>
          <w:tab w:val="left" w:pos="567"/>
        </w:tabs>
        <w:spacing w:after="80"/>
        <w:jc w:val="both"/>
        <w:rPr>
          <w:sz w:val="16"/>
          <w:szCs w:val="16"/>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w:t>
      </w:r>
      <w:r w:rsidRPr="00FE50A6">
        <w:rPr>
          <w:sz w:val="16"/>
          <w:szCs w:val="16"/>
          <w:lang w:val="en-US"/>
        </w:rPr>
        <w:t xml:space="preserve"> </w:t>
      </w:r>
      <w:r w:rsidRPr="00FE50A6">
        <w:rPr>
          <w:i/>
          <w:sz w:val="16"/>
          <w:szCs w:val="16"/>
          <w:lang w:val="en-US"/>
        </w:rPr>
        <w:t>Case of the Massacres of El Mozote and neighboring places</w:t>
      </w:r>
      <w:r w:rsidRPr="00FE50A6">
        <w:rPr>
          <w:sz w:val="16"/>
          <w:szCs w:val="16"/>
          <w:lang w:val="en-US"/>
        </w:rPr>
        <w:t xml:space="preserve">, para. </w:t>
      </w:r>
      <w:r w:rsidRPr="00FE50A6">
        <w:rPr>
          <w:sz w:val="16"/>
          <w:szCs w:val="16"/>
        </w:rPr>
        <w:t>54.</w:t>
      </w:r>
    </w:p>
  </w:footnote>
  <w:footnote w:id="215">
    <w:p w14:paraId="26464556" w14:textId="77777777" w:rsidR="00E70935" w:rsidRPr="00FE50A6" w:rsidRDefault="00E70935" w:rsidP="00CD003F">
      <w:pPr>
        <w:tabs>
          <w:tab w:val="left" w:pos="567"/>
        </w:tabs>
        <w:spacing w:after="80"/>
        <w:jc w:val="both"/>
        <w:rPr>
          <w:sz w:val="16"/>
          <w:szCs w:val="16"/>
        </w:rPr>
      </w:pPr>
      <w:r w:rsidRPr="00FE50A6">
        <w:rPr>
          <w:rStyle w:val="Refdenotaalpie"/>
          <w:sz w:val="16"/>
          <w:szCs w:val="16"/>
          <w:lang w:val="en-US"/>
        </w:rPr>
        <w:footnoteRef/>
      </w:r>
      <w:r w:rsidRPr="009F2A41">
        <w:rPr>
          <w:sz w:val="16"/>
          <w:szCs w:val="16"/>
          <w:lang w:val="en-US"/>
        </w:rPr>
        <w:t xml:space="preserve"> Namely: </w:t>
      </w:r>
      <w:r w:rsidRPr="009F2A41">
        <w:rPr>
          <w:rFonts w:cs="Helvetica"/>
          <w:sz w:val="16"/>
          <w:szCs w:val="16"/>
          <w:lang w:val="en-US"/>
        </w:rPr>
        <w:t xml:space="preserve">1. João Luiz “illegible” (or Mendonça); 2. </w:t>
      </w:r>
      <w:r w:rsidRPr="00FE50A6">
        <w:rPr>
          <w:rFonts w:cs="Helvetica"/>
          <w:sz w:val="16"/>
          <w:szCs w:val="16"/>
        </w:rPr>
        <w:t>Raimundo; 3. Antônio Pereira; 4. Hilario dos SS; 5. Claudio Peres “illegible”; 6. Raimundo A. P. Moura; 7. José Fernandes Silva; 8. Carlos Pereira Silva; 9. Francisco “illegible” (or Rodrigues) Souza; 10. Antônio Ribeiro; 11. Antônio “illegible” (or P.) Silva; 12. Angelo Marcio A. Silva; 13. Antônio “Caititu”; 14. Antônio “Capixaba”; 15. Benedito Ferreira; 16. Claudeci Nunes; 17. Cosme (or Cosmi) Rodrigues; 18. Domingos Mendes; 19. Edilson Fernandes; 20. José da Costa Oliveira; 21. Osnar (or Osmar) Ribeiro; 22. Virma Firmino di Paulo; 23. “illegible” Francisco; 24. “Índio”; 25. “Mato Grosso”, and 26. “Pará.”</w:t>
      </w:r>
      <w:r w:rsidRPr="00FE50A6">
        <w:rPr>
          <w:sz w:val="16"/>
          <w:szCs w:val="16"/>
        </w:rPr>
        <w:t xml:space="preserve"> </w:t>
      </w:r>
    </w:p>
  </w:footnote>
  <w:footnote w:id="216">
    <w:p w14:paraId="70DECDEE" w14:textId="77777777" w:rsidR="00E70935" w:rsidRPr="00FE50A6" w:rsidRDefault="00E70935" w:rsidP="00CD003F">
      <w:pPr>
        <w:tabs>
          <w:tab w:val="left" w:pos="567"/>
        </w:tabs>
        <w:spacing w:after="80"/>
        <w:jc w:val="both"/>
        <w:rPr>
          <w:sz w:val="16"/>
          <w:szCs w:val="16"/>
        </w:rPr>
      </w:pPr>
      <w:r w:rsidRPr="00FE50A6">
        <w:rPr>
          <w:rStyle w:val="Refdenotaalpie"/>
          <w:sz w:val="16"/>
          <w:szCs w:val="16"/>
          <w:lang w:val="en-US"/>
        </w:rPr>
        <w:footnoteRef/>
      </w:r>
      <w:r w:rsidRPr="00FE50A6">
        <w:rPr>
          <w:sz w:val="16"/>
          <w:szCs w:val="16"/>
        </w:rPr>
        <w:t xml:space="preserve"> Namely: </w:t>
      </w:r>
      <w:r w:rsidRPr="00FE50A6">
        <w:rPr>
          <w:rFonts w:cs="Times New Roman"/>
          <w:sz w:val="16"/>
          <w:szCs w:val="16"/>
        </w:rPr>
        <w:t xml:space="preserve">1. José Cano; 2. </w:t>
      </w:r>
      <w:r w:rsidRPr="00FE50A6">
        <w:rPr>
          <w:rFonts w:cs="Helvetica"/>
          <w:sz w:val="16"/>
          <w:szCs w:val="16"/>
        </w:rPr>
        <w:t>Francisco das Chagas Marques de Souza; 3. Carlos da Silva; 4. Dovalino (or Davalino) Barbosa; 5. Edivaldo dos Santos; 6. João Monteiro; 7. Juarez Silva; 8. Luiz Barbosa; 9. Valdir Alves; 10. “Parazinho”.</w:t>
      </w:r>
    </w:p>
  </w:footnote>
  <w:footnote w:id="217">
    <w:p w14:paraId="2E8F0D90" w14:textId="77777777" w:rsidR="00E70935" w:rsidRPr="00FE50A6" w:rsidRDefault="00E70935" w:rsidP="00CD003F">
      <w:pPr>
        <w:tabs>
          <w:tab w:val="left" w:pos="567"/>
        </w:tabs>
        <w:spacing w:after="80"/>
        <w:jc w:val="both"/>
        <w:rPr>
          <w:rFonts w:cs="Helvetica"/>
          <w:sz w:val="16"/>
          <w:szCs w:val="16"/>
        </w:rPr>
      </w:pPr>
      <w:r w:rsidRPr="00FE50A6">
        <w:rPr>
          <w:rStyle w:val="Refdenotaalpie"/>
          <w:sz w:val="16"/>
          <w:szCs w:val="16"/>
          <w:lang w:val="en-US"/>
        </w:rPr>
        <w:footnoteRef/>
      </w:r>
      <w:r w:rsidRPr="00FE50A6">
        <w:rPr>
          <w:sz w:val="16"/>
          <w:szCs w:val="16"/>
        </w:rPr>
        <w:t xml:space="preserve"> Namely: </w:t>
      </w:r>
      <w:r w:rsidRPr="00FE50A6">
        <w:rPr>
          <w:rFonts w:cs="Helvetica"/>
          <w:sz w:val="16"/>
          <w:szCs w:val="16"/>
        </w:rPr>
        <w:t xml:space="preserve">1. Antônio Alves in relation to Antônio Alves de Souza; 2. Antônio Renato in relation to Antônio Renato Barros; 3. Dijalma Santos in relation to Dijalma Santos Batista; 4. </w:t>
      </w:r>
      <w:r w:rsidRPr="00E70935">
        <w:rPr>
          <w:rFonts w:cs="Helvetica"/>
          <w:sz w:val="16"/>
          <w:szCs w:val="16"/>
          <w:lang w:val="en-US"/>
        </w:rPr>
        <w:t xml:space="preserve">Irineu in relation to Irineu Inácio da Silva; 5. </w:t>
      </w:r>
      <w:r w:rsidRPr="00FE50A6">
        <w:rPr>
          <w:rFonts w:cs="Helvetica"/>
          <w:sz w:val="16"/>
          <w:szCs w:val="16"/>
          <w:lang w:val="en-US"/>
        </w:rPr>
        <w:t xml:space="preserve">João Germano in relation to João Germano da Silva; 6. João Pereira in relation to João Pereira Marinho; 7. Joaquim Francisco in relation to Joaquim Francisco Xavier; 8. </w:t>
      </w:r>
      <w:r w:rsidRPr="00FE50A6">
        <w:rPr>
          <w:rFonts w:cs="Helvetica"/>
          <w:sz w:val="16"/>
          <w:szCs w:val="16"/>
        </w:rPr>
        <w:t>José Carlos in relation to José Carlos Alves dos Santos; 9. José Francisco in relation to José Francisco de Lima; 10. Manoel Alves in relation to Manoel Alves de Oliveira; 11. Pedro P. Andrade in relation to Pedro Pereira de Andrade; 12. Raimundo Gonçalves in relation to Raimundo Gonçalves Lima; 13. Raimundo Nonato in relation to Raimundo Nonato da Silva, 14. Sebastião Rodrigues in relation to Sebastião Rodrigues da Silva.</w:t>
      </w:r>
    </w:p>
  </w:footnote>
  <w:footnote w:id="218">
    <w:p w14:paraId="41080895" w14:textId="77777777" w:rsidR="00E70935" w:rsidRPr="00E70935" w:rsidRDefault="00E70935" w:rsidP="00CD003F">
      <w:pPr>
        <w:pStyle w:val="Textonotapie"/>
        <w:tabs>
          <w:tab w:val="left" w:pos="567"/>
        </w:tabs>
        <w:spacing w:after="80"/>
        <w:rPr>
          <w:lang w:val="es-CR"/>
        </w:rPr>
      </w:pPr>
      <w:r w:rsidRPr="00FE50A6">
        <w:rPr>
          <w:rStyle w:val="Refdenotaalpie"/>
          <w:szCs w:val="16"/>
        </w:rPr>
        <w:footnoteRef/>
      </w:r>
      <w:r w:rsidRPr="00E70935">
        <w:rPr>
          <w:lang w:val="es-CR"/>
        </w:rPr>
        <w:t xml:space="preserve"> </w:t>
      </w:r>
      <w:r w:rsidRPr="00E70935">
        <w:rPr>
          <w:i/>
          <w:lang w:val="es-CR"/>
        </w:rPr>
        <w:t>Cf.</w:t>
      </w:r>
      <w:r w:rsidRPr="00E70935">
        <w:rPr>
          <w:lang w:val="es-CR"/>
        </w:rPr>
        <w:t xml:space="preserve"> RI (evidence file, folio 1255); RE (evidence file, folio 1752); TC (evidence file, folio 1753), and PP (evidence file, folio 600).</w:t>
      </w:r>
    </w:p>
  </w:footnote>
  <w:footnote w:id="219">
    <w:p w14:paraId="6C3E099A"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1756); TC (evidence file, folio 1757), and PP (evidence file, folio 600).</w:t>
      </w:r>
    </w:p>
  </w:footnote>
  <w:footnote w:id="220">
    <w:p w14:paraId="2303521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1754); TC (evidence file, folio 1755), and PP (evidence file, folio 600).</w:t>
      </w:r>
    </w:p>
  </w:footnote>
  <w:footnote w:id="221">
    <w:p w14:paraId="5171A4B5"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VF (evidence file, folio 1226); RE (evidence file, folio 1758); TC (evidence file, folio 1759), and PP (evidence file, folio 600).</w:t>
      </w:r>
    </w:p>
  </w:footnote>
  <w:footnote w:id="222">
    <w:p w14:paraId="0FC897D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1760); TC (evidence file, folio 1761), and PP (evidence file, folio 600).</w:t>
      </w:r>
    </w:p>
  </w:footnote>
  <w:footnote w:id="223">
    <w:p w14:paraId="1D76A02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RE (evidence file, folio 1738) and PP (evidence file, folio 600).</w:t>
      </w:r>
    </w:p>
  </w:footnote>
  <w:footnote w:id="224">
    <w:p w14:paraId="6AEB9C3C"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 RE (evidence file, folio 1762); TC (evidence file, folio 1763), and PP (evidence file, folio 600).</w:t>
      </w:r>
    </w:p>
  </w:footnote>
  <w:footnote w:id="225">
    <w:p w14:paraId="6BD5AB58"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1764); TC (evidence file, folio 1765), and PP (evidence file, folio 600).</w:t>
      </w:r>
    </w:p>
  </w:footnote>
  <w:footnote w:id="226">
    <w:p w14:paraId="7F1B516A"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1766); TC (evidence file, folio 1767), and PP (evidence file, folio 600).</w:t>
      </w:r>
    </w:p>
  </w:footnote>
  <w:footnote w:id="227">
    <w:p w14:paraId="560F58DA"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w:t>
      </w:r>
    </w:p>
  </w:footnote>
  <w:footnote w:id="228">
    <w:p w14:paraId="25D07B1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1768); TC (evidence file, folio 1769), and PP (evidence file, folio 600).</w:t>
      </w:r>
    </w:p>
  </w:footnote>
  <w:footnote w:id="229">
    <w:p w14:paraId="4A0ED74E"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Who also appears as </w:t>
      </w:r>
      <w:r w:rsidRPr="00FE50A6">
        <w:rPr>
          <w:rFonts w:cs="Times New Roman"/>
        </w:rPr>
        <w:t xml:space="preserve">Edson </w:t>
      </w:r>
      <w:proofErr w:type="gramStart"/>
      <w:r w:rsidRPr="00FE50A6">
        <w:rPr>
          <w:rFonts w:cs="Times New Roman"/>
        </w:rPr>
        <w:t>Possidonio</w:t>
      </w:r>
      <w:r w:rsidRPr="00FE50A6">
        <w:rPr>
          <w:rFonts w:cs="Helvetica"/>
        </w:rPr>
        <w:t>.</w:t>
      </w:r>
      <w:proofErr w:type="gramEnd"/>
      <w:r w:rsidRPr="00FE50A6">
        <w:rPr>
          <w:rFonts w:cs="Helvetica"/>
        </w:rPr>
        <w:t xml:space="preserve"> </w:t>
      </w:r>
      <w:r w:rsidRPr="00FE50A6">
        <w:rPr>
          <w:i/>
        </w:rPr>
        <w:t>Cf.</w:t>
      </w:r>
      <w:r w:rsidRPr="00FE50A6">
        <w:t xml:space="preserve"> RI (evidence file, folio 1255); RE (evidence file, folio 1770); TC (evidence file, folio 1771), and PP (evidence file, folio 600).</w:t>
      </w:r>
    </w:p>
  </w:footnote>
  <w:footnote w:id="230">
    <w:p w14:paraId="36669CC9"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RI (evidence file, folio 1255).</w:t>
      </w:r>
    </w:p>
  </w:footnote>
  <w:footnote w:id="231">
    <w:p w14:paraId="19998F82"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RE (evidence file, folio 1740), and PP (evidence file, folio 600).</w:t>
      </w:r>
    </w:p>
  </w:footnote>
  <w:footnote w:id="232">
    <w:p w14:paraId="33232274"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w:t>
      </w:r>
    </w:p>
  </w:footnote>
  <w:footnote w:id="233">
    <w:p w14:paraId="65ED86C4"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RE (evidence file, folio 1772); TC (evidence file, folio 1773), and PP (evidence file, folio 600).</w:t>
      </w:r>
    </w:p>
  </w:footnote>
  <w:footnote w:id="234">
    <w:p w14:paraId="64580A1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VF (evidence file, folio 1230); RE (evidence file, folio 1742); TC (evidence file, folio 1743), and PP (evidence file, folio 600).</w:t>
      </w:r>
    </w:p>
  </w:footnote>
  <w:footnote w:id="235">
    <w:p w14:paraId="2088A625"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1774); TC (evidence file, folio 1775), and PP (evidence file, folio 600).</w:t>
      </w:r>
    </w:p>
  </w:footnote>
  <w:footnote w:id="236">
    <w:p w14:paraId="355AA858"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RE (evidence file, folio 1776); TC (evidence file, folio 1777), and PP (evidence file, folio 600).</w:t>
      </w:r>
    </w:p>
  </w:footnote>
  <w:footnote w:id="237">
    <w:p w14:paraId="71F8F5B5"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 RE (evidence file, folio 1778); TC (evidence file, folio 1779), and PP (evidence file, folio 600).</w:t>
      </w:r>
    </w:p>
  </w:footnote>
  <w:footnote w:id="238">
    <w:p w14:paraId="76F7145E"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w:t>
      </w:r>
    </w:p>
  </w:footnote>
  <w:footnote w:id="239">
    <w:p w14:paraId="7FD53E79"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RE (evidence file, folio 1780); TC (evidence file, folio 1781), and PP (evidence file, folio 600).</w:t>
      </w:r>
    </w:p>
  </w:footnote>
  <w:footnote w:id="240">
    <w:p w14:paraId="32CAB08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1782); TC (evidence file, folio 1783), and PP (evidence file, folio 600).</w:t>
      </w:r>
    </w:p>
  </w:footnote>
  <w:footnote w:id="241">
    <w:p w14:paraId="24E3F029"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 RE (evidence file, folio 1784); TC (evidence file, folio 1785), and PP (evidence file, folio 600).</w:t>
      </w:r>
    </w:p>
  </w:footnote>
  <w:footnote w:id="242">
    <w:p w14:paraId="57810DB0"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1786); TC (evidence file, folio 1787), and PP (evidence file, folio 600).</w:t>
      </w:r>
    </w:p>
  </w:footnote>
  <w:footnote w:id="243">
    <w:p w14:paraId="0CF70D01"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RE (evidence file, folio 1791); TC (evidence file, folio 1790), and PP (evidence file, folio 600).</w:t>
      </w:r>
    </w:p>
  </w:footnote>
  <w:footnote w:id="244">
    <w:p w14:paraId="7CBAA0B3"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1792); TC (evidence file, folio 1793), and PP (evidence file, folio 600).</w:t>
      </w:r>
    </w:p>
  </w:footnote>
  <w:footnote w:id="245">
    <w:p w14:paraId="1EB3DBDB"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 RE (evidence file, folio 1788); TC (evidence file, folio 1789), and PP (evidence file, folio 600).</w:t>
      </w:r>
    </w:p>
  </w:footnote>
  <w:footnote w:id="246">
    <w:p w14:paraId="7506188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Who also appears as </w:t>
      </w:r>
      <w:r w:rsidRPr="00FE50A6">
        <w:rPr>
          <w:rFonts w:cs="Times New Roman"/>
        </w:rPr>
        <w:t xml:space="preserve">Manuel Fernandes dos </w:t>
      </w:r>
      <w:proofErr w:type="gramStart"/>
      <w:r w:rsidRPr="00FE50A6">
        <w:rPr>
          <w:rFonts w:cs="Times New Roman"/>
        </w:rPr>
        <w:t>Santos.</w:t>
      </w:r>
      <w:proofErr w:type="gramEnd"/>
      <w:r w:rsidRPr="00FE50A6">
        <w:rPr>
          <w:rFonts w:cs="Times New Roman"/>
        </w:rPr>
        <w:t xml:space="preserve"> </w:t>
      </w:r>
      <w:r w:rsidRPr="00FE50A6">
        <w:rPr>
          <w:i/>
        </w:rPr>
        <w:t>Cf.</w:t>
      </w:r>
      <w:r w:rsidRPr="00FE50A6">
        <w:t xml:space="preserve"> RE (evidence file, folio 1744); TC (evidence file, folio 1745), and PP (evidence file, folio 600).</w:t>
      </w:r>
    </w:p>
  </w:footnote>
  <w:footnote w:id="247">
    <w:p w14:paraId="05E7E730"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RE (evidence file, folio 1794); TC (evidence file, folio 1795), and PP (evidence file, folio 600).</w:t>
      </w:r>
    </w:p>
  </w:footnote>
  <w:footnote w:id="248">
    <w:p w14:paraId="2C9CBE88"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1257); VF (evidence file, folio 1231); RE (evidence file, folio 1796); TC (evidence file, folio 1797), and PP (evidence file, folio 600).</w:t>
      </w:r>
    </w:p>
  </w:footnote>
  <w:footnote w:id="249">
    <w:p w14:paraId="144633B0"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w:t>
      </w:r>
    </w:p>
  </w:footnote>
  <w:footnote w:id="250">
    <w:p w14:paraId="643996F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Who also appears as </w:t>
      </w:r>
      <w:r w:rsidRPr="00FE50A6">
        <w:rPr>
          <w:rFonts w:cs="Times New Roman"/>
        </w:rPr>
        <w:t xml:space="preserve">Raimundo Amaro </w:t>
      </w:r>
      <w:proofErr w:type="gramStart"/>
      <w:r w:rsidRPr="00FE50A6">
        <w:rPr>
          <w:rFonts w:cs="Times New Roman"/>
        </w:rPr>
        <w:t>Ferreira.</w:t>
      </w:r>
      <w:proofErr w:type="gramEnd"/>
      <w:r w:rsidRPr="00FE50A6">
        <w:rPr>
          <w:rFonts w:cs="Times New Roman"/>
        </w:rPr>
        <w:t xml:space="preserve"> </w:t>
      </w:r>
      <w:r w:rsidRPr="00FE50A6">
        <w:rPr>
          <w:i/>
        </w:rPr>
        <w:t>Cf.</w:t>
      </w:r>
      <w:r w:rsidRPr="00FE50A6">
        <w:t xml:space="preserve"> RE (evidence file, folio 1746); TC (evidence file, folio 1747), and PP (evidence file, folio 600).</w:t>
      </w:r>
    </w:p>
  </w:footnote>
  <w:footnote w:id="251">
    <w:p w14:paraId="10616C22"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1798); TC (evidence file, folio 1799), and PP (evidence file, folio 600).</w:t>
      </w:r>
    </w:p>
  </w:footnote>
  <w:footnote w:id="252">
    <w:p w14:paraId="047E0522"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1255); RE (evidence file, folio 1800); TC (evidence file, folio 1801), and PP (evidence file, folio 600).</w:t>
      </w:r>
    </w:p>
  </w:footnote>
  <w:footnote w:id="253">
    <w:p w14:paraId="7197A65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1258); RE (evidence file, folio 1802); TC (evidence file, folio 1803), and PP (evidence file, folio 601).</w:t>
      </w:r>
    </w:p>
  </w:footnote>
  <w:footnote w:id="254">
    <w:p w14:paraId="61D55243"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 RE (evidence file, folio 1804); TC (evidence file, folio 1805), and PP (evidence file, folio 601).</w:t>
      </w:r>
    </w:p>
  </w:footnote>
  <w:footnote w:id="255">
    <w:p w14:paraId="4FC1BB84"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1254).</w:t>
      </w:r>
    </w:p>
  </w:footnote>
  <w:footnote w:id="256">
    <w:p w14:paraId="5643955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TC (evidence file, folio 1749) and PP (evidence file, folio 601).</w:t>
      </w:r>
    </w:p>
  </w:footnote>
  <w:footnote w:id="257">
    <w:p w14:paraId="79C5E587"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TC (evidence file, folio 1751) and PP (evidence file, folio 601).</w:t>
      </w:r>
    </w:p>
  </w:footnote>
  <w:footnote w:id="258">
    <w:p w14:paraId="38035698"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RI (evidence file, folio 1256); RE (evidence file, folio 1806); TC (evidence file, folio 1807), and PP (evidence file, folio 601).</w:t>
      </w:r>
    </w:p>
  </w:footnote>
  <w:footnote w:id="259">
    <w:p w14:paraId="731DC415"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Who also appears as </w:t>
      </w:r>
      <w:r w:rsidRPr="00FE50A6">
        <w:rPr>
          <w:rFonts w:cs="Helvetica"/>
        </w:rPr>
        <w:t xml:space="preserve">Valdiná Veloso </w:t>
      </w:r>
      <w:proofErr w:type="gramStart"/>
      <w:r w:rsidRPr="00FE50A6">
        <w:rPr>
          <w:rFonts w:cs="Helvetica"/>
        </w:rPr>
        <w:t>Silva.</w:t>
      </w:r>
      <w:proofErr w:type="gramEnd"/>
      <w:r w:rsidRPr="00FE50A6">
        <w:rPr>
          <w:rFonts w:cs="Helvetica"/>
        </w:rPr>
        <w:t xml:space="preserve"> </w:t>
      </w:r>
      <w:r w:rsidRPr="00FE50A6">
        <w:rPr>
          <w:i/>
        </w:rPr>
        <w:t>Cf.</w:t>
      </w:r>
      <w:r w:rsidRPr="00FE50A6">
        <w:t xml:space="preserve"> RI (evidence file, folio 1257); VF (evidence file, folio 1228); RE (evidence file, folio 1808); TC (evidence file, folio 1809), and PP (evidence file, folio 601).</w:t>
      </w:r>
    </w:p>
  </w:footnote>
  <w:footnote w:id="260">
    <w:p w14:paraId="57F842AD"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Who also appears as Zeno Gomes </w:t>
      </w:r>
      <w:proofErr w:type="gramStart"/>
      <w:r w:rsidRPr="00FE50A6">
        <w:t>Feitoza.</w:t>
      </w:r>
      <w:proofErr w:type="gramEnd"/>
      <w:r w:rsidRPr="00FE50A6">
        <w:t xml:space="preserve"> </w:t>
      </w:r>
      <w:r w:rsidRPr="00FE50A6">
        <w:rPr>
          <w:i/>
        </w:rPr>
        <w:t>Cf.</w:t>
      </w:r>
      <w:r w:rsidRPr="00FE50A6">
        <w:t xml:space="preserve"> RI (evidence file, folio 1256); VF (evidence file, folio 1227); RE (evidence file, folio 1810); TC (evidence file, folio 1811), and PP (evidence file, folio 601).</w:t>
      </w:r>
    </w:p>
  </w:footnote>
  <w:footnote w:id="261">
    <w:p w14:paraId="6A22DA29" w14:textId="77777777" w:rsidR="00E70935" w:rsidRPr="00FE50A6" w:rsidRDefault="00E70935" w:rsidP="00CD003F">
      <w:pPr>
        <w:pStyle w:val="Textonotapie"/>
        <w:tabs>
          <w:tab w:val="left" w:pos="567"/>
        </w:tabs>
        <w:spacing w:after="80"/>
      </w:pPr>
      <w:r w:rsidRPr="00FE50A6">
        <w:rPr>
          <w:rStyle w:val="Refdenotaalpie"/>
          <w:szCs w:val="16"/>
        </w:rPr>
        <w:footnoteRef/>
      </w:r>
      <w:r w:rsidRPr="00FE50A6">
        <w:t xml:space="preserve"> </w:t>
      </w:r>
      <w:r w:rsidRPr="00FE50A6">
        <w:rPr>
          <w:i/>
        </w:rPr>
        <w:t>Cf.</w:t>
      </w:r>
      <w:r w:rsidRPr="00FE50A6">
        <w:t xml:space="preserve"> Report of March 31, 2000, on the inspection of Hacienda Brasil Verde (evidence file, folios 9571 and 9573); Report of October 20, 1999, on the inspection of Hacienda Brasil Verde (evidence file, folio 7546); statement by Francisco Fabiano Leandro, received during the on-site procedure, carried out on June 6, 2016; statement by Francisco das Chagas Bastos Souza, received during the on-site procedure, carried out on June 6, 2016, and statement by Antônio Francisco da Silva, received during the on-site procedure, carried out on June 6, 2016.</w:t>
      </w:r>
    </w:p>
  </w:footnote>
  <w:footnote w:id="262">
    <w:p w14:paraId="561845A3" w14:textId="77777777" w:rsidR="00E70935" w:rsidRPr="00FE50A6" w:rsidRDefault="00E70935" w:rsidP="00CD003F">
      <w:pPr>
        <w:tabs>
          <w:tab w:val="left" w:pos="567"/>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w:t>
      </w:r>
      <w:r w:rsidRPr="00FE50A6">
        <w:rPr>
          <w:sz w:val="16"/>
          <w:szCs w:val="16"/>
          <w:lang w:val="en-US"/>
        </w:rPr>
        <w:t xml:space="preserve"> </w:t>
      </w:r>
      <w:r w:rsidRPr="00FE50A6">
        <w:rPr>
          <w:i/>
          <w:sz w:val="16"/>
          <w:szCs w:val="16"/>
          <w:lang w:val="en-US"/>
        </w:rPr>
        <w:t>Case of the Massacres of El Mozote and neighboring places</w:t>
      </w:r>
      <w:r w:rsidRPr="00FE50A6">
        <w:rPr>
          <w:sz w:val="16"/>
          <w:szCs w:val="16"/>
          <w:lang w:val="en-US"/>
        </w:rPr>
        <w:t>, para. 54.</w:t>
      </w:r>
    </w:p>
  </w:footnote>
  <w:footnote w:id="263">
    <w:p w14:paraId="7C3469E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607); TC (evidence file, folio 608), and PP (evidence file, folio 602).</w:t>
      </w:r>
    </w:p>
  </w:footnote>
  <w:footnote w:id="264">
    <w:p w14:paraId="01CF03FB"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609); TC (evidence file, folio 610), and PP (evidence file, folio 602).</w:t>
      </w:r>
    </w:p>
  </w:footnote>
  <w:footnote w:id="265">
    <w:p w14:paraId="7DD877D7"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611); TC (evidence file, folio 612), and PP (evidence file, folio 602).</w:t>
      </w:r>
    </w:p>
  </w:footnote>
  <w:footnote w:id="266">
    <w:p w14:paraId="747A742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613); TC (629), and PP (evidence file, folio 602).</w:t>
      </w:r>
    </w:p>
  </w:footnote>
  <w:footnote w:id="267">
    <w:p w14:paraId="18C62507"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614); TC (evidence file, folio 615), and PP (evidence file, folio 602).</w:t>
      </w:r>
    </w:p>
  </w:footnote>
  <w:footnote w:id="268">
    <w:p w14:paraId="04874DF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616); TC (evidence file, folio 617), and PP (evidence file, folio 602).</w:t>
      </w:r>
    </w:p>
  </w:footnote>
  <w:footnote w:id="269">
    <w:p w14:paraId="55C5EC91"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630); TC (evidence file, folio 631), and PP (evidence file, folio 602).</w:t>
      </w:r>
    </w:p>
  </w:footnote>
  <w:footnote w:id="270">
    <w:p w14:paraId="25116499"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Antônio de Paula Rodrigues de </w:t>
      </w:r>
      <w:proofErr w:type="gramStart"/>
      <w:r w:rsidRPr="00FE50A6">
        <w:rPr>
          <w:rFonts w:cs="Times New Roman"/>
        </w:rPr>
        <w:t>Souza.</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9615); RE (evidence file, folio 644); TC (evidence file, folio 647), and PP (evidence file, folio 602).</w:t>
      </w:r>
    </w:p>
  </w:footnote>
  <w:footnote w:id="271">
    <w:p w14:paraId="274D06F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634); TC (evidence file, folio 635) and PP (evidence file, folio 602).</w:t>
      </w:r>
    </w:p>
  </w:footnote>
  <w:footnote w:id="272">
    <w:p w14:paraId="51111336"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636); TC (evidence file, folio 637), and PP (evidence file, folio 602).</w:t>
      </w:r>
    </w:p>
  </w:footnote>
  <w:footnote w:id="273">
    <w:p w14:paraId="171AE486"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638); TC (evidence file, folio 639), and PP (evidence file, folio 602).</w:t>
      </w:r>
    </w:p>
  </w:footnote>
  <w:footnote w:id="274">
    <w:p w14:paraId="7DBD9D5A"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Antônio Francisco da S. </w:t>
      </w:r>
      <w:proofErr w:type="gramStart"/>
      <w:r w:rsidRPr="00FE50A6">
        <w:rPr>
          <w:rFonts w:cs="Times New Roman"/>
        </w:rPr>
        <w:t>Fernandes.</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RE (evidence file, folio 640); TC (evidence file, folio 641), and PP (evidence file, folio 602).</w:t>
      </w:r>
    </w:p>
  </w:footnote>
  <w:footnote w:id="275">
    <w:p w14:paraId="6E4A7A2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642), and PP (evidence file, folio 602).</w:t>
      </w:r>
    </w:p>
  </w:footnote>
  <w:footnote w:id="276">
    <w:p w14:paraId="3A3C4EA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632); TC (evidence file, folio 633), and PP (evidence file, folio 603).</w:t>
      </w:r>
    </w:p>
  </w:footnote>
  <w:footnote w:id="277">
    <w:p w14:paraId="36A34B71"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rFonts w:cs="Times New Roman"/>
          <w:i/>
        </w:rPr>
        <w:t>Cf.</w:t>
      </w:r>
      <w:r w:rsidRPr="00FE50A6">
        <w:rPr>
          <w:rFonts w:cs="Times New Roman"/>
        </w:rPr>
        <w:t xml:space="preserve"> </w:t>
      </w:r>
      <w:r w:rsidRPr="00FE50A6">
        <w:t>RI (evidence file, folio 9616); RE (evidence file, folio 648); TC (evidence file, folio 665), and PP (evidence file, folio 603).</w:t>
      </w:r>
    </w:p>
  </w:footnote>
  <w:footnote w:id="278">
    <w:p w14:paraId="31920CE9"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w:t>
      </w:r>
    </w:p>
  </w:footnote>
  <w:footnote w:id="279">
    <w:p w14:paraId="4B061ED6"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666); TC (evidence file, folio 667), and PP (evidence file, folio 603).</w:t>
      </w:r>
    </w:p>
  </w:footnote>
  <w:footnote w:id="280">
    <w:p w14:paraId="44D9C990"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668); TC (evidence file, folio 669), and PP (evidence file, folio 603).</w:t>
      </w:r>
    </w:p>
  </w:footnote>
  <w:footnote w:id="281">
    <w:p w14:paraId="721680A3"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Carlos André da C. </w:t>
      </w:r>
      <w:proofErr w:type="gramStart"/>
      <w:r w:rsidRPr="00FE50A6">
        <w:rPr>
          <w:rFonts w:cs="Times New Roman"/>
        </w:rPr>
        <w:t>Pereira.</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9615); RE (evidence file, folio 670); TC (evidence file, folio 671), and PP (evidence file, folio 603).</w:t>
      </w:r>
    </w:p>
  </w:footnote>
  <w:footnote w:id="282">
    <w:p w14:paraId="6451D98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672); TC (evidence file, folio 673), and PP (evidence file, folio 603).</w:t>
      </w:r>
    </w:p>
  </w:footnote>
  <w:footnote w:id="283">
    <w:p w14:paraId="331435F7"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674); TC (evidence file, folio 675), and PP (evidence file, folio 603).</w:t>
      </w:r>
    </w:p>
  </w:footnote>
  <w:footnote w:id="284">
    <w:p w14:paraId="2967179A"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676); TC (evidence file, folio 677), and PP (evidence file, folio 603).</w:t>
      </w:r>
    </w:p>
  </w:footnote>
  <w:footnote w:id="285">
    <w:p w14:paraId="730144BC"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678); TC (evidence file, folio 679), and PP (evidence file, folio 603).</w:t>
      </w:r>
    </w:p>
  </w:footnote>
  <w:footnote w:id="286">
    <w:p w14:paraId="12B6DFA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680); TC (evidence file, folio 681), and PP (evidence file, folio 603).</w:t>
      </w:r>
    </w:p>
  </w:footnote>
  <w:footnote w:id="287">
    <w:p w14:paraId="0CAFC199"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682); TC (evidence file, folio 683), and PP (evidence file, folio 603).</w:t>
      </w:r>
    </w:p>
  </w:footnote>
  <w:footnote w:id="288">
    <w:p w14:paraId="4DA2C49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684); TC (evidence file, folio 685), and PP (evidence file, folio 603).</w:t>
      </w:r>
    </w:p>
  </w:footnote>
  <w:footnote w:id="289">
    <w:p w14:paraId="785C2BDE"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Francisco das Chagas A. </w:t>
      </w:r>
      <w:proofErr w:type="gramStart"/>
      <w:r w:rsidRPr="00FE50A6">
        <w:rPr>
          <w:rFonts w:cs="Times New Roman"/>
        </w:rPr>
        <w:t>Carvalho.</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9616); RE (evidence file, folio 686); TC (evidence file, folio 687), and PP (evidence file, folio 603).</w:t>
      </w:r>
    </w:p>
  </w:footnote>
  <w:footnote w:id="290">
    <w:p w14:paraId="030BD62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and VF (9656).</w:t>
      </w:r>
    </w:p>
  </w:footnote>
  <w:footnote w:id="291">
    <w:p w14:paraId="7822EB88" w14:textId="77777777" w:rsidR="00E70935" w:rsidRPr="00FE50A6" w:rsidRDefault="00E70935" w:rsidP="00CD003F">
      <w:pPr>
        <w:pStyle w:val="Textonotapie"/>
        <w:spacing w:after="80"/>
        <w:rPr>
          <w:rFonts w:cs="Times New Roman"/>
        </w:rPr>
      </w:pPr>
      <w:r w:rsidRPr="00FE50A6">
        <w:rPr>
          <w:rStyle w:val="Refdenotaalpie"/>
          <w:szCs w:val="16"/>
        </w:rPr>
        <w:footnoteRef/>
      </w:r>
      <w:r w:rsidRPr="00FE50A6">
        <w:t xml:space="preserve"> Who also appears as </w:t>
      </w:r>
      <w:r w:rsidRPr="00FE50A6">
        <w:rPr>
          <w:rFonts w:cs="Times New Roman"/>
        </w:rPr>
        <w:t xml:space="preserve">Francisco das Chagas C. </w:t>
      </w:r>
      <w:proofErr w:type="gramStart"/>
      <w:r w:rsidRPr="00FE50A6">
        <w:rPr>
          <w:rFonts w:cs="Times New Roman"/>
        </w:rPr>
        <w:t>Carvalho.</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9616); RE (evidence file, folio 688); TC (evidence file, folio 689), and PP (evidence file, folio 603).</w:t>
      </w:r>
    </w:p>
  </w:footnote>
  <w:footnote w:id="292">
    <w:p w14:paraId="6EB2B30C"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Francisco das Chagas C. </w:t>
      </w:r>
      <w:proofErr w:type="gramStart"/>
      <w:r w:rsidRPr="00FE50A6">
        <w:rPr>
          <w:rFonts w:cs="Times New Roman"/>
        </w:rPr>
        <w:t>Rabelo.</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9616); RE (evidence file, folio 690); TC (evidence file, folio 691), and PP (evidence file, folio 603).</w:t>
      </w:r>
    </w:p>
  </w:footnote>
  <w:footnote w:id="293">
    <w:p w14:paraId="588BC0D4"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Francisco das Chagas da S. Lira and Francisco das Chagas da Silva </w:t>
      </w:r>
      <w:proofErr w:type="gramStart"/>
      <w:r w:rsidRPr="00FE50A6">
        <w:rPr>
          <w:rFonts w:cs="Times New Roman"/>
        </w:rPr>
        <w:t>Lima.</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 xml:space="preserve">RI (evidence file, folio 9616); RE (evidence file, folio 692), and PP (evidence file, folio 603). </w:t>
      </w:r>
    </w:p>
  </w:footnote>
  <w:footnote w:id="294">
    <w:p w14:paraId="04716D6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rFonts w:cs="Times New Roman"/>
          <w:i/>
        </w:rPr>
        <w:t>Cf.</w:t>
      </w:r>
      <w:r w:rsidRPr="00FE50A6">
        <w:rPr>
          <w:rFonts w:cs="Times New Roman"/>
        </w:rPr>
        <w:t xml:space="preserve"> </w:t>
      </w:r>
      <w:r w:rsidRPr="00FE50A6">
        <w:t>RI (evidence file, folio 9616); RE (evidence file, folio 720); TC (evidence file, folio 721), and PP (evidence file, folio 603).</w:t>
      </w:r>
    </w:p>
  </w:footnote>
  <w:footnote w:id="295">
    <w:p w14:paraId="0E7E702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694); TC (evidence file, folio 695), and PP (evidence file, folio 603).</w:t>
      </w:r>
    </w:p>
  </w:footnote>
  <w:footnote w:id="296">
    <w:p w14:paraId="23A0F49D"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Francisco das Chagas M. </w:t>
      </w:r>
      <w:proofErr w:type="gramStart"/>
      <w:r w:rsidRPr="00FE50A6">
        <w:t>Alves.</w:t>
      </w:r>
      <w:proofErr w:type="gramEnd"/>
      <w:r w:rsidRPr="00FE50A6">
        <w:t xml:space="preserve"> </w:t>
      </w:r>
      <w:r w:rsidRPr="00FE50A6">
        <w:rPr>
          <w:rFonts w:cs="Times New Roman"/>
          <w:i/>
        </w:rPr>
        <w:t>Cf.</w:t>
      </w:r>
      <w:r w:rsidRPr="00FE50A6">
        <w:rPr>
          <w:rFonts w:cs="Times New Roman"/>
        </w:rPr>
        <w:t xml:space="preserve"> </w:t>
      </w:r>
      <w:r w:rsidRPr="00FE50A6">
        <w:t>RI (evidence file, folio 9615); RE (evidence file, folio 696); TC (evidence file, folio 697), and PP (evidence file, folio 603).</w:t>
      </w:r>
    </w:p>
  </w:footnote>
  <w:footnote w:id="297">
    <w:p w14:paraId="70D4F536"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Francisco das Chagas R. de </w:t>
      </w:r>
      <w:proofErr w:type="gramStart"/>
      <w:r w:rsidRPr="00FE50A6">
        <w:rPr>
          <w:rFonts w:cs="Times New Roman"/>
        </w:rPr>
        <w:t>Sousa.</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RE (evidence file, folio 698); TC (evidence file, folio 699), and PP (evidence file, folio 603).</w:t>
      </w:r>
    </w:p>
  </w:footnote>
  <w:footnote w:id="298">
    <w:p w14:paraId="34D01214"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Francisco das Chagas S. </w:t>
      </w:r>
      <w:proofErr w:type="gramStart"/>
      <w:r w:rsidRPr="00FE50A6">
        <w:t>Cardoso.</w:t>
      </w:r>
      <w:proofErr w:type="gramEnd"/>
      <w:r w:rsidRPr="00FE50A6">
        <w:t xml:space="preserve"> </w:t>
      </w:r>
      <w:r w:rsidRPr="00FE50A6">
        <w:rPr>
          <w:i/>
        </w:rPr>
        <w:t>Cf.</w:t>
      </w:r>
      <w:r w:rsidRPr="00FE50A6">
        <w:t xml:space="preserve"> RI (evidence file, folio 9615); RE (evidence file, folio 700); TC (evidence file, folio 701), and PP (evidence file, folio 603).</w:t>
      </w:r>
    </w:p>
  </w:footnote>
  <w:footnote w:id="299">
    <w:p w14:paraId="2D524DA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702); TC (evidence file, folio 703), and PP (evidence file, folio 603).</w:t>
      </w:r>
    </w:p>
  </w:footnote>
  <w:footnote w:id="300">
    <w:p w14:paraId="497AB97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704); TC (evidence file, folio 705), and PP (evidence file, folio 603).</w:t>
      </w:r>
    </w:p>
  </w:footnote>
  <w:footnote w:id="301">
    <w:p w14:paraId="0429FF59"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Francisco de Sousa </w:t>
      </w:r>
      <w:proofErr w:type="gramStart"/>
      <w:r w:rsidRPr="00FE50A6">
        <w:rPr>
          <w:rFonts w:cs="Times New Roman"/>
        </w:rPr>
        <w:t>Brígido.</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9615); RE (evidence file, folio 706); TC (evidence file, folio 707), and PP (evidence file, folio 603).</w:t>
      </w:r>
    </w:p>
  </w:footnote>
  <w:footnote w:id="302">
    <w:p w14:paraId="5A35A92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708), and PP (evidence file, folio 603).</w:t>
      </w:r>
    </w:p>
  </w:footnote>
  <w:footnote w:id="303">
    <w:p w14:paraId="57A6793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710), and PP (evidence file, folio 603).</w:t>
      </w:r>
    </w:p>
  </w:footnote>
  <w:footnote w:id="304">
    <w:p w14:paraId="2884C9C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712); TC (evidence file, folio 713), and PP (evidence file, folio 603).</w:t>
      </w:r>
    </w:p>
  </w:footnote>
  <w:footnote w:id="305">
    <w:p w14:paraId="093CF9B6"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w:t>
      </w:r>
      <w:proofErr w:type="gramStart"/>
      <w:r w:rsidRPr="00FE50A6">
        <w:t>);RE</w:t>
      </w:r>
      <w:proofErr w:type="gramEnd"/>
      <w:r w:rsidRPr="00FE50A6">
        <w:t xml:space="preserve"> (evidence file, folio 714); TC (evidence file, folio 715), and PP (evidence file, folio 603).</w:t>
      </w:r>
    </w:p>
  </w:footnote>
  <w:footnote w:id="306">
    <w:p w14:paraId="0344739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716); TC (evidence file, folio 717), and PP (evidence file, folio 603).</w:t>
      </w:r>
    </w:p>
  </w:footnote>
  <w:footnote w:id="307">
    <w:p w14:paraId="74142639"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718); TC (evidence file, folio 719), and PP (evidence file, folio 603).</w:t>
      </w:r>
    </w:p>
  </w:footnote>
  <w:footnote w:id="308">
    <w:p w14:paraId="440B50E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722); TC (evidence file, folio 723), and PP (evidence file, folio 603).</w:t>
      </w:r>
    </w:p>
  </w:footnote>
  <w:footnote w:id="309">
    <w:p w14:paraId="012B393C"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and VF (f. 9699).</w:t>
      </w:r>
    </w:p>
  </w:footnote>
  <w:footnote w:id="310">
    <w:p w14:paraId="723F76A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724); TC (evidence file, folio 725), and PP (evidence file, folio 603).</w:t>
      </w:r>
    </w:p>
  </w:footnote>
  <w:footnote w:id="311">
    <w:p w14:paraId="07B8E0C9"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726); TC (evidence file, folio 727), and PP (evidence file, folio 603).</w:t>
      </w:r>
    </w:p>
  </w:footnote>
  <w:footnote w:id="312">
    <w:p w14:paraId="5A942981"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728); TC (evidence file, folio 729), and PP (evidence file, folio 603).</w:t>
      </w:r>
    </w:p>
  </w:footnote>
  <w:footnote w:id="313">
    <w:p w14:paraId="0109135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730); TC (evidence file, folio 731), and PP (evidence file, folio 603).</w:t>
      </w:r>
    </w:p>
  </w:footnote>
  <w:footnote w:id="314">
    <w:p w14:paraId="543752B5"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Gonçalo Firmino de </w:t>
      </w:r>
      <w:proofErr w:type="gramStart"/>
      <w:r w:rsidRPr="00FE50A6">
        <w:t>Souza.</w:t>
      </w:r>
      <w:proofErr w:type="gramEnd"/>
      <w:r w:rsidRPr="00FE50A6">
        <w:t xml:space="preserve"> </w:t>
      </w:r>
      <w:r w:rsidRPr="00FE50A6">
        <w:rPr>
          <w:i/>
        </w:rPr>
        <w:t>Cf.</w:t>
      </w:r>
      <w:r w:rsidRPr="00FE50A6">
        <w:t xml:space="preserve"> RI (evidence file, folio 9616); RE (evidence file, folio 732); TC (evidence file, folio 733), and PP (evidence file, folio 603).</w:t>
      </w:r>
    </w:p>
  </w:footnote>
  <w:footnote w:id="315">
    <w:p w14:paraId="696CD7B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734); TC (evidence file, folio 735), and PP (evidence file, folio 603).</w:t>
      </w:r>
    </w:p>
  </w:footnote>
  <w:footnote w:id="316">
    <w:p w14:paraId="0F9DB89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RE (evidence file, folio 736); TC (evidence file, folio 737), and PP (evidence file, folio 603).</w:t>
      </w:r>
    </w:p>
  </w:footnote>
  <w:footnote w:id="317">
    <w:p w14:paraId="30BE6805"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Genival </w:t>
      </w:r>
      <w:proofErr w:type="gramStart"/>
      <w:r w:rsidRPr="00FE50A6">
        <w:rPr>
          <w:rFonts w:cs="Times New Roman"/>
        </w:rPr>
        <w:t>Lopes.</w:t>
      </w:r>
      <w:proofErr w:type="gramEnd"/>
      <w:r w:rsidRPr="00FE50A6">
        <w:rPr>
          <w:rFonts w:cs="Times New Roman"/>
        </w:rPr>
        <w:t xml:space="preserve"> </w:t>
      </w:r>
      <w:r w:rsidRPr="00FE50A6">
        <w:rPr>
          <w:rFonts w:cs="Times New Roman"/>
          <w:i/>
        </w:rPr>
        <w:t>Cf.</w:t>
      </w:r>
      <w:r w:rsidRPr="00FE50A6">
        <w:rPr>
          <w:rFonts w:cs="Times New Roman"/>
        </w:rPr>
        <w:t xml:space="preserve"> </w:t>
      </w:r>
      <w:r w:rsidRPr="00FE50A6">
        <w:t>RI (evidence file, folio 9615); RE (evidence file, folio 738); TC (evidence file, folio 739), and PP (evidence file, folio 603).</w:t>
      </w:r>
    </w:p>
  </w:footnote>
  <w:footnote w:id="318">
    <w:p w14:paraId="13A95D6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740); TC (evidence file, folio 741), and PP (evidence file, folio 603).</w:t>
      </w:r>
    </w:p>
  </w:footnote>
  <w:footnote w:id="319">
    <w:p w14:paraId="6370631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742); TC (evidence file, folio 743), and PP (evidence file, folio 603).</w:t>
      </w:r>
    </w:p>
  </w:footnote>
  <w:footnote w:id="320">
    <w:p w14:paraId="6995AE03"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José de Deus de Jesus </w:t>
      </w:r>
      <w:proofErr w:type="gramStart"/>
      <w:r w:rsidRPr="00FE50A6">
        <w:t>Souza.</w:t>
      </w:r>
      <w:proofErr w:type="gramEnd"/>
      <w:r w:rsidRPr="00FE50A6">
        <w:t xml:space="preserve"> </w:t>
      </w:r>
      <w:r w:rsidRPr="00FE50A6">
        <w:rPr>
          <w:i/>
        </w:rPr>
        <w:t>Cf.</w:t>
      </w:r>
      <w:r w:rsidRPr="00FE50A6">
        <w:t xml:space="preserve"> RI (evidence file, folio 9616); RE (evidence file, folio 744); TC (evidence file, folio 745), and PP (evidence file, folio 603).</w:t>
      </w:r>
    </w:p>
  </w:footnote>
  <w:footnote w:id="321">
    <w:p w14:paraId="2E418853"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w:t>
      </w:r>
      <w:r w:rsidRPr="00FE50A6">
        <w:rPr>
          <w:rFonts w:cs="Times New Roman"/>
        </w:rPr>
        <w:t xml:space="preserve">José de Ribamar </w:t>
      </w:r>
      <w:proofErr w:type="gramStart"/>
      <w:r w:rsidRPr="00FE50A6">
        <w:rPr>
          <w:rFonts w:cs="Times New Roman"/>
        </w:rPr>
        <w:t>Sousa.</w:t>
      </w:r>
      <w:proofErr w:type="gramEnd"/>
      <w:r w:rsidRPr="00FE50A6">
        <w:rPr>
          <w:rFonts w:cs="Times New Roman"/>
        </w:rPr>
        <w:t xml:space="preserve"> </w:t>
      </w:r>
      <w:r w:rsidRPr="00FE50A6">
        <w:rPr>
          <w:rFonts w:cs="Times New Roman"/>
          <w:i/>
        </w:rPr>
        <w:t>Cf.</w:t>
      </w:r>
      <w:r w:rsidRPr="00FE50A6">
        <w:t xml:space="preserve"> RI (evidence file, folio 9615); RE (evidence file, folio 746); TC (evidence file, folio 747), and PP (evidence file, folio 603).</w:t>
      </w:r>
    </w:p>
  </w:footnote>
  <w:footnote w:id="322">
    <w:p w14:paraId="2317ACD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748); TC (evidence file, folio 749), and PP (evidence file, folio 604).</w:t>
      </w:r>
    </w:p>
  </w:footnote>
  <w:footnote w:id="323">
    <w:p w14:paraId="5E4DD7D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750); TC (evidence file, folio 751), and PP (evidence file, folio 604).</w:t>
      </w:r>
    </w:p>
  </w:footnote>
  <w:footnote w:id="324">
    <w:p w14:paraId="6B5F48D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752); TC (evidence file, folio 753), and PP (evidence file, folio 604).</w:t>
      </w:r>
    </w:p>
  </w:footnote>
  <w:footnote w:id="325">
    <w:p w14:paraId="417A879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754); TC (evidence file, folio 755), and PP (evidence file, folio 604).</w:t>
      </w:r>
    </w:p>
  </w:footnote>
  <w:footnote w:id="326">
    <w:p w14:paraId="14AFC4A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756); TC (evidence file, folio 757), and PP (evidence file, folio 604).</w:t>
      </w:r>
    </w:p>
  </w:footnote>
  <w:footnote w:id="327">
    <w:p w14:paraId="36191C7B"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758); TC (evidence file, folio 759), and PP (evidence file, folio 604).</w:t>
      </w:r>
    </w:p>
  </w:footnote>
  <w:footnote w:id="328">
    <w:p w14:paraId="7C66694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760); TC (evidence file, folio 761), and PP (evidence file, folio 604).</w:t>
      </w:r>
    </w:p>
  </w:footnote>
  <w:footnote w:id="329">
    <w:p w14:paraId="7FE1DDB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762), and PP (evidence file, folio 604).</w:t>
      </w:r>
    </w:p>
  </w:footnote>
  <w:footnote w:id="330">
    <w:p w14:paraId="1704EC7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764), and PP (evidence file, folio 604);</w:t>
      </w:r>
    </w:p>
  </w:footnote>
  <w:footnote w:id="331">
    <w:p w14:paraId="32F133E1"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766); TC (evidence file, folio 767), and PP (evidence file, folio 604).</w:t>
      </w:r>
    </w:p>
  </w:footnote>
  <w:footnote w:id="332">
    <w:p w14:paraId="6A60089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768); TC (evidence file, folio 769), and PP (evidence file, folio 604).</w:t>
      </w:r>
    </w:p>
  </w:footnote>
  <w:footnote w:id="333">
    <w:p w14:paraId="013772F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770); TC (evidence file, folio 771), and PP (evidence file, folio 604).</w:t>
      </w:r>
    </w:p>
  </w:footnote>
  <w:footnote w:id="334">
    <w:p w14:paraId="4743025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772); TC (evidence file, folio 773), and PP (evidence file, folio 604).</w:t>
      </w:r>
    </w:p>
  </w:footnote>
  <w:footnote w:id="335">
    <w:p w14:paraId="70BE9B4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774); TC (evidence file, folio 775), and PP (evidence file, folio 604).</w:t>
      </w:r>
    </w:p>
  </w:footnote>
  <w:footnote w:id="336">
    <w:p w14:paraId="5B58C564"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RE (evidence file, folio 776); TC (evidence file, folio 777), and PP (evidence file, folio 604).</w:t>
      </w:r>
    </w:p>
  </w:footnote>
  <w:footnote w:id="337">
    <w:p w14:paraId="7799873C"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778); TC (evidence file, folio 779), and PP (evidence file, folio 604).</w:t>
      </w:r>
    </w:p>
  </w:footnote>
  <w:footnote w:id="338">
    <w:p w14:paraId="57E5F6F1"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780); TC (evidence file, folio 781), and PP (evidence file, folio 604).</w:t>
      </w:r>
    </w:p>
  </w:footnote>
  <w:footnote w:id="339">
    <w:p w14:paraId="2C3F55FE"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782); TC (evidence file, folio 783), and PP (evidence file, folio 604).</w:t>
      </w:r>
    </w:p>
  </w:footnote>
  <w:footnote w:id="340">
    <w:p w14:paraId="14D2ADF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784); TC (evidence file, folio 785), and PP (evidence file, folio 604).</w:t>
      </w:r>
    </w:p>
  </w:footnote>
  <w:footnote w:id="341">
    <w:p w14:paraId="7168BB83"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786); TC (evidence file, folio 787), and PP (evidence file, folio 604).</w:t>
      </w:r>
    </w:p>
  </w:footnote>
  <w:footnote w:id="342">
    <w:p w14:paraId="59EE882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788); TC (evidence file, folio 789), and PP (evidence file, folio 604).</w:t>
      </w:r>
    </w:p>
  </w:footnote>
  <w:footnote w:id="343">
    <w:p w14:paraId="2EEAFC4B"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9615); RE (evidence file, folio 790); TC (evidence file, folio 791), and PP (evidence file, folio 604).</w:t>
      </w:r>
    </w:p>
  </w:footnote>
  <w:footnote w:id="344">
    <w:p w14:paraId="07DD89D7"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Sebastião Pereira de Souza or Sebastião Pereira de S. </w:t>
      </w:r>
      <w:proofErr w:type="gramStart"/>
      <w:r w:rsidRPr="00FE50A6">
        <w:t>Neto.</w:t>
      </w:r>
      <w:proofErr w:type="gramEnd"/>
      <w:r w:rsidRPr="00FE50A6">
        <w:t xml:space="preserve"> </w:t>
      </w:r>
      <w:r w:rsidRPr="00FE50A6">
        <w:rPr>
          <w:i/>
        </w:rPr>
        <w:t>Cf.</w:t>
      </w:r>
      <w:r w:rsidRPr="00FE50A6">
        <w:t xml:space="preserve"> RI (evidence file, folio 9615); RE (evidence file, folio 792); TC (evidence file, folio 793), and PP (evidence file, folio 604).</w:t>
      </w:r>
    </w:p>
  </w:footnote>
  <w:footnote w:id="345">
    <w:p w14:paraId="58FDA03F" w14:textId="77777777" w:rsidR="00E70935" w:rsidRPr="00FE50A6" w:rsidRDefault="00E70935" w:rsidP="00CD003F">
      <w:pPr>
        <w:pStyle w:val="Textonotapie"/>
        <w:spacing w:after="80"/>
      </w:pPr>
      <w:r w:rsidRPr="00FE50A6">
        <w:rPr>
          <w:rStyle w:val="Refdenotaalpie"/>
          <w:szCs w:val="16"/>
        </w:rPr>
        <w:footnoteRef/>
      </w:r>
      <w:r w:rsidRPr="00FE50A6">
        <w:t xml:space="preserve"> Who also appears as Silvestre Moreira de C. </w:t>
      </w:r>
      <w:proofErr w:type="gramStart"/>
      <w:r w:rsidRPr="00FE50A6">
        <w:t>Filho.</w:t>
      </w:r>
      <w:proofErr w:type="gramEnd"/>
      <w:r w:rsidRPr="00FE50A6">
        <w:t xml:space="preserve"> </w:t>
      </w:r>
      <w:r w:rsidRPr="00FE50A6">
        <w:rPr>
          <w:i/>
        </w:rPr>
        <w:t>Cf.</w:t>
      </w:r>
      <w:r w:rsidRPr="00FE50A6">
        <w:t xml:space="preserve"> RI (evidence file, folio 9616); RE (evidence file, folio 794); TC (evidence file, folio 795), and PP (evidence file, folio 604).</w:t>
      </w:r>
    </w:p>
  </w:footnote>
  <w:footnote w:id="346">
    <w:p w14:paraId="14F971F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w:t>
      </w:r>
      <w:r w:rsidRPr="00FE50A6">
        <w:t xml:space="preserve"> RI (evidence file, folio 9616); RE (evidence file, folio 796); TC (evidence file, folio 797), and PP (evidence file, folio 604).</w:t>
      </w:r>
    </w:p>
  </w:footnote>
  <w:footnote w:id="347">
    <w:p w14:paraId="409706B3" w14:textId="77777777" w:rsidR="00E70935" w:rsidRPr="00FE50A6" w:rsidRDefault="00E70935" w:rsidP="00CD003F">
      <w:pPr>
        <w:pStyle w:val="Textonotapie"/>
        <w:spacing w:after="80"/>
      </w:pPr>
      <w:r w:rsidRPr="00FE50A6">
        <w:rPr>
          <w:rStyle w:val="Refdenotaalpie"/>
          <w:szCs w:val="16"/>
        </w:rPr>
        <w:footnoteRef/>
      </w:r>
      <w:r w:rsidRPr="00FE50A6">
        <w:t xml:space="preserve"> Who is also named as Vicentina Mariana da Conceição </w:t>
      </w:r>
      <w:proofErr w:type="gramStart"/>
      <w:r w:rsidRPr="00FE50A6">
        <w:t>Silva.</w:t>
      </w:r>
      <w:proofErr w:type="gramEnd"/>
      <w:r w:rsidRPr="00FE50A6">
        <w:t xml:space="preserve"> </w:t>
      </w:r>
      <w:r w:rsidRPr="00FE50A6">
        <w:rPr>
          <w:i/>
        </w:rPr>
        <w:t>Cf.</w:t>
      </w:r>
      <w:r w:rsidRPr="00FE50A6">
        <w:t xml:space="preserve"> RI (evidence file, folio 9616); RE (evidence file, folio 798); TC (evidence file, folio 799), and PP (evidence file, folio 604).</w:t>
      </w:r>
    </w:p>
  </w:footnote>
  <w:footnote w:id="348">
    <w:p w14:paraId="7CE8CA4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6 of the Convention establishes that: </w:t>
      </w:r>
    </w:p>
    <w:p w14:paraId="09A604E8" w14:textId="77777777" w:rsidR="00E70935" w:rsidRPr="00FE50A6" w:rsidRDefault="00E70935" w:rsidP="00CD003F">
      <w:pPr>
        <w:tabs>
          <w:tab w:val="left" w:pos="480"/>
          <w:tab w:val="left" w:pos="1080"/>
          <w:tab w:val="left" w:pos="1680"/>
          <w:tab w:val="left" w:pos="5400"/>
        </w:tabs>
        <w:suppressAutoHyphens/>
        <w:spacing w:after="80"/>
        <w:jc w:val="both"/>
        <w:rPr>
          <w:spacing w:val="-3"/>
          <w:sz w:val="16"/>
          <w:szCs w:val="16"/>
          <w:lang w:val="en-US"/>
        </w:rPr>
      </w:pPr>
      <w:r w:rsidRPr="00FE50A6">
        <w:rPr>
          <w:sz w:val="16"/>
          <w:szCs w:val="16"/>
          <w:lang w:val="en-US"/>
        </w:rPr>
        <w:t xml:space="preserve">1. </w:t>
      </w:r>
      <w:r w:rsidRPr="00FE50A6">
        <w:rPr>
          <w:spacing w:val="-3"/>
          <w:sz w:val="16"/>
          <w:szCs w:val="16"/>
          <w:lang w:val="en-US"/>
        </w:rPr>
        <w:t>No one shall be subject to slavery or to involuntary servitude, which are prohibited in all their forms, as are the slave trade and traffic in women.</w:t>
      </w:r>
    </w:p>
    <w:p w14:paraId="4116E16B" w14:textId="77777777" w:rsidR="00E70935" w:rsidRPr="00FE50A6" w:rsidRDefault="00E70935" w:rsidP="00CD003F">
      <w:pPr>
        <w:tabs>
          <w:tab w:val="left" w:pos="4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2. No one shall be required to perform forced or compulsory labor. This provision shall not be interpreted to mean that, in those countries in which the penalty established for certain crimes is deprivation of liberty at forced labor, the carrying out of such a sentence imposed by a competent court is prohibited.  Forced labor shall not adversely affect the dignity or the physical or intellectual capacity of the prisoner.</w:t>
      </w:r>
    </w:p>
    <w:p w14:paraId="25D294FF" w14:textId="77777777" w:rsidR="00E70935" w:rsidRPr="00FE50A6" w:rsidRDefault="00E70935" w:rsidP="00CD003F">
      <w:pPr>
        <w:tabs>
          <w:tab w:val="left" w:pos="4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3. For the purposes of this article, the following do not constitute forced or compulsory labor:</w:t>
      </w:r>
    </w:p>
    <w:p w14:paraId="1AAACD49" w14:textId="77777777" w:rsidR="00E70935" w:rsidRPr="00FE50A6" w:rsidRDefault="00E70935" w:rsidP="00CD003F">
      <w:pPr>
        <w:tabs>
          <w:tab w:val="left" w:pos="1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a.</w:t>
      </w:r>
      <w:r w:rsidRPr="00FE50A6">
        <w:rPr>
          <w:spacing w:val="-3"/>
          <w:sz w:val="16"/>
          <w:szCs w:val="16"/>
          <w:lang w:val="en-US"/>
        </w:rPr>
        <w:tab/>
        <w:t>work or service normally required of a person imprisoned in execution of a sentence or formal decision passed by the competent judicial authority.  Such work or service shall be carried out under the supervision and control of public authorities, and any persons performing such work or service shall not be placed at the disposal of any private party, company, or juridical person;</w:t>
      </w:r>
    </w:p>
    <w:p w14:paraId="25922A69" w14:textId="77777777" w:rsidR="00E70935" w:rsidRPr="00FE50A6" w:rsidRDefault="00E70935" w:rsidP="00CD003F">
      <w:pPr>
        <w:tabs>
          <w:tab w:val="left" w:pos="1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b.</w:t>
      </w:r>
      <w:r w:rsidRPr="00FE50A6">
        <w:rPr>
          <w:spacing w:val="-3"/>
          <w:sz w:val="16"/>
          <w:szCs w:val="16"/>
          <w:lang w:val="en-US"/>
        </w:rPr>
        <w:tab/>
        <w:t>military service and, in countries in which conscientious objectors are recognized, national service that the law may provide for in lieu of military service;</w:t>
      </w:r>
    </w:p>
    <w:p w14:paraId="7371BD28" w14:textId="77777777" w:rsidR="00E70935" w:rsidRPr="00FE50A6" w:rsidRDefault="00E70935" w:rsidP="00CD003F">
      <w:pPr>
        <w:tabs>
          <w:tab w:val="left" w:pos="1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c.</w:t>
      </w:r>
      <w:r w:rsidRPr="00FE50A6">
        <w:rPr>
          <w:spacing w:val="-3"/>
          <w:sz w:val="16"/>
          <w:szCs w:val="16"/>
          <w:lang w:val="en-US"/>
        </w:rPr>
        <w:tab/>
        <w:t>service exacted in time of danger or calamity that threatens the existence or the well</w:t>
      </w:r>
      <w:r w:rsidRPr="00FE50A6">
        <w:rPr>
          <w:spacing w:val="-3"/>
          <w:sz w:val="16"/>
          <w:szCs w:val="16"/>
          <w:lang w:val="en-US"/>
        </w:rPr>
        <w:noBreakHyphen/>
        <w:t>being of the community; or</w:t>
      </w:r>
    </w:p>
    <w:p w14:paraId="6D729E84" w14:textId="77777777" w:rsidR="00E70935" w:rsidRPr="00FE50A6" w:rsidRDefault="00E70935" w:rsidP="00CD003F">
      <w:pPr>
        <w:tabs>
          <w:tab w:val="left" w:pos="18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d.</w:t>
      </w:r>
      <w:r w:rsidRPr="00FE50A6">
        <w:rPr>
          <w:spacing w:val="-3"/>
          <w:sz w:val="16"/>
          <w:szCs w:val="16"/>
          <w:lang w:val="en-US"/>
        </w:rPr>
        <w:tab/>
        <w:t>work or service that forms part of normal civic obligations.</w:t>
      </w:r>
    </w:p>
  </w:footnote>
  <w:footnote w:id="349">
    <w:p w14:paraId="613818E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relevant part of Article 22 of the Convention stipulates that:</w:t>
      </w:r>
      <w:r w:rsidRPr="00FE50A6">
        <w:rPr>
          <w:bCs/>
        </w:rPr>
        <w:t xml:space="preserve">  </w:t>
      </w:r>
    </w:p>
    <w:p w14:paraId="401F2B02" w14:textId="77777777" w:rsidR="00E70935" w:rsidRPr="00FE50A6" w:rsidRDefault="00E70935" w:rsidP="00CD003F">
      <w:pPr>
        <w:pStyle w:val="Textonotapie"/>
        <w:tabs>
          <w:tab w:val="clear" w:pos="4419"/>
          <w:tab w:val="clear" w:pos="8838"/>
          <w:tab w:val="right" w:pos="0"/>
        </w:tabs>
        <w:spacing w:after="80"/>
      </w:pPr>
      <w:r w:rsidRPr="00FE50A6">
        <w:t xml:space="preserve">1. </w:t>
      </w:r>
      <w:r w:rsidRPr="00FE50A6">
        <w:rPr>
          <w:spacing w:val="-3"/>
        </w:rPr>
        <w:t>Every person lawfully in the territory of a State Party has the right to move about in it, and to reside in it subject to the provisions of the law.</w:t>
      </w:r>
    </w:p>
  </w:footnote>
  <w:footnote w:id="350">
    <w:p w14:paraId="06C1B935" w14:textId="77777777" w:rsidR="00E70935" w:rsidRPr="00FE50A6" w:rsidRDefault="00E70935" w:rsidP="00CD003F">
      <w:pPr>
        <w:pStyle w:val="Textonotapie"/>
        <w:spacing w:after="80"/>
      </w:pPr>
      <w:r w:rsidRPr="00FE50A6">
        <w:rPr>
          <w:rStyle w:val="Refdenotaalpie"/>
          <w:szCs w:val="16"/>
        </w:rPr>
        <w:footnoteRef/>
      </w:r>
      <w:r w:rsidRPr="00FE50A6">
        <w:t xml:space="preserve"> Article 19 of the Convention establishes that: </w:t>
      </w:r>
      <w:r w:rsidRPr="00FE50A6">
        <w:rPr>
          <w:spacing w:val="-3"/>
        </w:rPr>
        <w:t xml:space="preserve">Every minor child has the right to the measures of protection required by his condition as a minor on the part of his family, society, and the </w:t>
      </w:r>
      <w:r w:rsidRPr="00FE50A6">
        <w:t>State.</w:t>
      </w:r>
    </w:p>
  </w:footnote>
  <w:footnote w:id="351">
    <w:p w14:paraId="50EAD2B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Commission did not include in persons in its Admissibility and Merits Report because the issue was not discussed while it was processing the case. However, in its final observations, it indicated that since the issue had been discussed during the processing of the case before the Court, it would be possible to classify some conducts as trafficking.</w:t>
      </w:r>
    </w:p>
  </w:footnote>
  <w:footnote w:id="352">
    <w:p w14:paraId="5BA178C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Inspection of March 15, 2000, Report of March 31, 2000 (evidence file, folio 9571) and Public civil action of May 30, 2000 (evidence file, folio 1049).</w:t>
      </w:r>
    </w:p>
  </w:footnote>
  <w:footnote w:id="353">
    <w:p w14:paraId="5CA2ADF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 its Admissibility and Merits Report, the Commission argued this violation in relation to the workers identified in the 1993, 1996, 1997 and 2000 inspections. However, owing to the Court’s temporal competence and the Commission’s brief submitting the case, the Court will only take the argument into account in relation to the 2000 inspection. </w:t>
      </w:r>
    </w:p>
  </w:footnote>
  <w:footnote w:id="354">
    <w:p w14:paraId="67F9213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 the </w:t>
      </w:r>
      <w:r w:rsidRPr="00FE50A6">
        <w:rPr>
          <w:i/>
        </w:rPr>
        <w:t>Case of the Río Negro Massacres v. Guatemala</w:t>
      </w:r>
      <w:r w:rsidRPr="00FE50A6">
        <w:t>, the Court ruled on the violation of the prohibition of servitude. However, in that case, the State acknowledged its international responsibility with regard to that violation, among others.</w:t>
      </w:r>
    </w:p>
  </w:footnote>
  <w:footnote w:id="355">
    <w:p w14:paraId="5B7B38AE" w14:textId="77777777" w:rsidR="00E70935" w:rsidRPr="00FE50A6" w:rsidRDefault="00E70935" w:rsidP="00CD003F">
      <w:pPr>
        <w:pStyle w:val="Textonotapie"/>
        <w:spacing w:after="80"/>
      </w:pPr>
      <w:r w:rsidRPr="00FE50A6">
        <w:rPr>
          <w:rStyle w:val="Refdenotaalpie"/>
          <w:szCs w:val="16"/>
        </w:rPr>
        <w:footnoteRef/>
      </w:r>
      <w:r w:rsidRPr="00FE50A6">
        <w:t xml:space="preserve"> In this regard, the Court points out that the preparatory work of the American Convention on Human Rights does not provide a specific interpretation of the scope of the prohibition established in Article 6 of this instrument.  </w:t>
      </w:r>
    </w:p>
  </w:footnote>
  <w:footnote w:id="356">
    <w:p w14:paraId="213A49EC" w14:textId="77777777" w:rsidR="00E70935" w:rsidRPr="00FE50A6" w:rsidRDefault="00E70935" w:rsidP="00CD003F">
      <w:pPr>
        <w:tabs>
          <w:tab w:val="clear" w:pos="4419"/>
          <w:tab w:val="clear" w:pos="8838"/>
          <w:tab w:val="right" w:pos="0"/>
        </w:tabs>
        <w:spacing w:after="80"/>
        <w:jc w:val="both"/>
        <w:rPr>
          <w:b/>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 The Right to Information on Consular Assistance within the Framework of the Guarantees of Due Process of Law.</w:t>
      </w:r>
      <w:r w:rsidRPr="00FE50A6">
        <w:rPr>
          <w:sz w:val="16"/>
          <w:szCs w:val="16"/>
          <w:lang w:val="en-US"/>
        </w:rPr>
        <w:t xml:space="preserve"> Advisory Opinion OC-16/99 of October 14, 1999. Series A No. 16, para. 114; and </w:t>
      </w:r>
      <w:r w:rsidRPr="00FE50A6">
        <w:rPr>
          <w:i/>
          <w:sz w:val="16"/>
          <w:szCs w:val="16"/>
          <w:lang w:val="en-US"/>
        </w:rPr>
        <w:t>Case of Artavia Murillo et al. (“In vitro fertilization”) v. Costa Rica</w:t>
      </w:r>
      <w:r w:rsidRPr="00FE50A6">
        <w:rPr>
          <w:sz w:val="16"/>
          <w:szCs w:val="16"/>
          <w:lang w:val="en-US"/>
        </w:rPr>
        <w:t xml:space="preserve">. Preliminary objections, merits, reparations and costs Judgment of November 28, 2012. Series C No. 257, para. 245. </w:t>
      </w:r>
    </w:p>
  </w:footnote>
  <w:footnote w:id="357">
    <w:p w14:paraId="5432ACFD" w14:textId="77777777" w:rsidR="00E70935" w:rsidRPr="00FE50A6" w:rsidRDefault="00E70935" w:rsidP="00CD003F">
      <w:pPr>
        <w:pStyle w:val="Textonotapie"/>
        <w:tabs>
          <w:tab w:val="clear" w:pos="4419"/>
          <w:tab w:val="clear" w:pos="8838"/>
          <w:tab w:val="right" w:pos="0"/>
        </w:tabs>
        <w:spacing w:after="80"/>
        <w:rPr>
          <w:b/>
        </w:rPr>
      </w:pPr>
      <w:r w:rsidRPr="00FE50A6">
        <w:rPr>
          <w:rStyle w:val="Refdenotaalpie"/>
          <w:szCs w:val="16"/>
        </w:rPr>
        <w:footnoteRef/>
      </w:r>
      <w:r w:rsidRPr="00FE50A6">
        <w:t xml:space="preserve"> </w:t>
      </w:r>
      <w:r w:rsidRPr="00FE50A6">
        <w:rPr>
          <w:i/>
        </w:rPr>
        <w:t xml:space="preserve">Cf. Case of the Ituango Massacres, </w:t>
      </w:r>
      <w:r w:rsidRPr="00FE50A6">
        <w:t>para. 144. See also, ECHR,</w:t>
      </w:r>
      <w:r w:rsidRPr="00FE50A6">
        <w:rPr>
          <w:i/>
        </w:rPr>
        <w:t xml:space="preserve"> Case of Tyrer v. The United Kingdom, </w:t>
      </w:r>
      <w:r w:rsidRPr="00FE50A6">
        <w:t xml:space="preserve">No. 5856/72, Judgment of April 25, 1978, para. 31. </w:t>
      </w:r>
    </w:p>
  </w:footnote>
  <w:footnote w:id="358">
    <w:p w14:paraId="37233FFA"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the Ituango Massacres, </w:t>
      </w:r>
      <w:r w:rsidRPr="00FE50A6">
        <w:rPr>
          <w:sz w:val="16"/>
          <w:szCs w:val="16"/>
          <w:lang w:val="en-US"/>
        </w:rPr>
        <w:t>para. 156.</w:t>
      </w:r>
      <w:r w:rsidRPr="00FE50A6">
        <w:rPr>
          <w:i/>
          <w:sz w:val="16"/>
          <w:szCs w:val="16"/>
          <w:lang w:val="en-US"/>
        </w:rPr>
        <w:t xml:space="preserve"> </w:t>
      </w:r>
      <w:r w:rsidRPr="00FE50A6">
        <w:rPr>
          <w:sz w:val="16"/>
          <w:szCs w:val="16"/>
          <w:lang w:val="en-US"/>
        </w:rPr>
        <w:t xml:space="preserve">Similarly, </w:t>
      </w:r>
      <w:r w:rsidRPr="00FE50A6">
        <w:rPr>
          <w:i/>
          <w:sz w:val="16"/>
          <w:szCs w:val="16"/>
          <w:lang w:val="en-US"/>
        </w:rPr>
        <w:t>The Right to Information on Consular Assistance within the Framework of the Guarantees of Due Process of Law</w:t>
      </w:r>
      <w:r w:rsidRPr="00FE50A6">
        <w:rPr>
          <w:sz w:val="16"/>
          <w:szCs w:val="16"/>
          <w:lang w:val="en-US"/>
        </w:rPr>
        <w:t xml:space="preserve">, para. 113, and </w:t>
      </w:r>
      <w:r w:rsidRPr="00FE50A6">
        <w:rPr>
          <w:i/>
          <w:sz w:val="16"/>
          <w:szCs w:val="16"/>
          <w:lang w:val="en-US"/>
        </w:rPr>
        <w:t>Case of Artavia Murillo et al. (“In vitro fertilization”)</w:t>
      </w:r>
      <w:r w:rsidRPr="00FE50A6">
        <w:rPr>
          <w:sz w:val="16"/>
          <w:szCs w:val="16"/>
          <w:lang w:val="en-US"/>
        </w:rPr>
        <w:t xml:space="preserve">, para. 191. </w:t>
      </w:r>
    </w:p>
  </w:footnote>
  <w:footnote w:id="359">
    <w:p w14:paraId="5E5A1A08" w14:textId="77777777" w:rsidR="00E70935" w:rsidRPr="00FE50A6" w:rsidRDefault="00E70935" w:rsidP="00CD003F">
      <w:pPr>
        <w:pStyle w:val="Numberedparagraphs"/>
        <w:tabs>
          <w:tab w:val="left" w:pos="567"/>
        </w:tabs>
        <w:spacing w:after="80"/>
        <w:rPr>
          <w:color w:val="auto"/>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color w:val="auto"/>
          <w:sz w:val="16"/>
          <w:szCs w:val="16"/>
          <w:lang w:val="en-US"/>
        </w:rPr>
        <w:t>Cf.</w:t>
      </w:r>
      <w:r w:rsidRPr="00FE50A6">
        <w:rPr>
          <w:color w:val="auto"/>
          <w:sz w:val="16"/>
          <w:szCs w:val="16"/>
          <w:lang w:val="en-US"/>
        </w:rPr>
        <w:t xml:space="preserve"> International Court of Justice, </w:t>
      </w:r>
      <w:r w:rsidRPr="00FE50A6">
        <w:rPr>
          <w:i/>
          <w:color w:val="auto"/>
          <w:sz w:val="16"/>
          <w:szCs w:val="16"/>
          <w:lang w:val="en-US"/>
        </w:rPr>
        <w:t>Case concerning sovereignty over Pulau Ligitan and Pulau Sipadan (Indonesia/Malaysia)</w:t>
      </w:r>
      <w:r w:rsidRPr="00FE50A6">
        <w:rPr>
          <w:color w:val="auto"/>
          <w:sz w:val="16"/>
          <w:szCs w:val="16"/>
          <w:lang w:val="en-US"/>
        </w:rPr>
        <w:t xml:space="preserve">, Judgment of December 17, 2002, para. 37, and International Court of Justice, </w:t>
      </w:r>
      <w:r w:rsidRPr="00FE50A6">
        <w:rPr>
          <w:i/>
          <w:color w:val="auto"/>
          <w:sz w:val="16"/>
          <w:szCs w:val="16"/>
          <w:lang w:val="en-US"/>
        </w:rPr>
        <w:t>Case of Avena and Other Mexican Nationals (Mexico v. the United States of America)</w:t>
      </w:r>
      <w:r w:rsidRPr="00FE50A6">
        <w:rPr>
          <w:color w:val="auto"/>
          <w:sz w:val="16"/>
          <w:szCs w:val="16"/>
          <w:lang w:val="en-US"/>
        </w:rPr>
        <w:t>, Judgment of March 31, 2004, para. 83.</w:t>
      </w:r>
    </w:p>
  </w:footnote>
  <w:footnote w:id="360">
    <w:p w14:paraId="41A5984C" w14:textId="77777777" w:rsidR="00E70935" w:rsidRPr="00FE50A6" w:rsidRDefault="00E70935" w:rsidP="00CD003F">
      <w:pPr>
        <w:pStyle w:val="NormalWeb"/>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Vienna Convention on the Law of Treaties, Article 31. </w:t>
      </w:r>
      <w:r w:rsidRPr="00FE50A6">
        <w:rPr>
          <w:bCs/>
          <w:sz w:val="16"/>
          <w:szCs w:val="16"/>
          <w:lang w:val="en-US"/>
        </w:rPr>
        <w:t>General Rule of Interpretation. 1.</w:t>
      </w:r>
      <w:r w:rsidRPr="00FE50A6">
        <w:rPr>
          <w:sz w:val="16"/>
          <w:szCs w:val="16"/>
          <w:lang w:val="en-US"/>
        </w:rPr>
        <w:t xml:space="preserve"> A treaty shall be interpreted in good faith in accordance with the ordinary meaning to be given to the terms of the treaty in their context and in the light of its object and purpose.</w:t>
      </w:r>
    </w:p>
    <w:p w14:paraId="08D06AF6"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2. The context for the purpose of the interpretation of a treaty shall comprise, in addition to the text, including its preamble and annexes:</w:t>
      </w:r>
    </w:p>
    <w:p w14:paraId="3EA4208E"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(a) any agreement relating to the treaty which was made between all the parties in connection with the conclusion of the treaty;</w:t>
      </w:r>
    </w:p>
    <w:p w14:paraId="3981C27A"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(b) any instrument which was made by one or more parties in connection with the conclusion of the treaty and accepted by the other parties as an instrument related to the treaty.</w:t>
      </w:r>
    </w:p>
    <w:p w14:paraId="420E8276"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3. There shall be taken into account, together with the context:</w:t>
      </w:r>
    </w:p>
    <w:p w14:paraId="41AFAEED"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(a) any subsequent agreement between the parties regarding the interpretation of the treaty or the application of its provisions;</w:t>
      </w:r>
    </w:p>
    <w:p w14:paraId="0BD68D92"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(b) any subsequent practice in the application of the treaty which establishes the agreement of the parties regarding its interpretation:</w:t>
      </w:r>
    </w:p>
    <w:p w14:paraId="4101DADA"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(c) any relevant rules of international law applicable in the relations between the parties.</w:t>
      </w:r>
    </w:p>
    <w:p w14:paraId="7F35BB9A" w14:textId="77777777" w:rsidR="00E70935" w:rsidRPr="00FE50A6" w:rsidRDefault="00E70935" w:rsidP="00CD003F">
      <w:pPr>
        <w:pStyle w:val="NormalWeb"/>
        <w:spacing w:before="0" w:beforeAutospacing="0" w:after="80" w:afterAutospacing="0"/>
        <w:jc w:val="both"/>
        <w:rPr>
          <w:sz w:val="16"/>
          <w:szCs w:val="16"/>
          <w:lang w:val="en-US"/>
        </w:rPr>
      </w:pPr>
      <w:r w:rsidRPr="00FE50A6">
        <w:rPr>
          <w:sz w:val="16"/>
          <w:szCs w:val="16"/>
          <w:lang w:val="en-US"/>
        </w:rPr>
        <w:t>4. A special meaning shall be given to a term if it is established that the parties so intended</w:t>
      </w:r>
      <w:r w:rsidRPr="00FE50A6">
        <w:rPr>
          <w:lang w:val="en-US"/>
        </w:rPr>
        <w:t>.</w:t>
      </w:r>
    </w:p>
  </w:footnote>
  <w:footnote w:id="361">
    <w:p w14:paraId="4B6AFE0D" w14:textId="77777777" w:rsidR="00E70935" w:rsidRPr="00FE50A6" w:rsidRDefault="00E70935" w:rsidP="00CD003F">
      <w:pPr>
        <w:pStyle w:val="NormalWeb"/>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Vienna Convention on the Law of Treaties,</w:t>
      </w:r>
      <w:r w:rsidRPr="00FE50A6">
        <w:rPr>
          <w:bCs/>
          <w:sz w:val="16"/>
          <w:szCs w:val="16"/>
          <w:lang w:val="en-US"/>
        </w:rPr>
        <w:t xml:space="preserve"> Article 32. Supplementary means of interpretation. </w:t>
      </w:r>
      <w:r w:rsidRPr="00FE50A6">
        <w:rPr>
          <w:sz w:val="16"/>
          <w:szCs w:val="16"/>
          <w:lang w:val="en-US"/>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62A12358" w14:textId="77777777" w:rsidR="00E70935" w:rsidRPr="00FE50A6" w:rsidRDefault="00E70935" w:rsidP="00CD003F">
      <w:pPr>
        <w:pStyle w:val="NormalWeb"/>
        <w:spacing w:before="0" w:beforeAutospacing="0" w:after="80" w:afterAutospacing="0"/>
        <w:rPr>
          <w:sz w:val="16"/>
          <w:szCs w:val="16"/>
          <w:lang w:val="en-US"/>
        </w:rPr>
      </w:pPr>
      <w:r w:rsidRPr="00FE50A6">
        <w:rPr>
          <w:sz w:val="16"/>
          <w:szCs w:val="16"/>
          <w:lang w:val="en-US"/>
        </w:rPr>
        <w:t>(a) leaves the meaning ambiguous or obscure; or</w:t>
      </w:r>
    </w:p>
    <w:p w14:paraId="5AD5D304" w14:textId="77777777" w:rsidR="00E70935" w:rsidRPr="00FE50A6" w:rsidRDefault="00E70935" w:rsidP="00CD003F">
      <w:pPr>
        <w:tabs>
          <w:tab w:val="left" w:pos="567"/>
        </w:tabs>
        <w:spacing w:after="80"/>
        <w:jc w:val="both"/>
        <w:rPr>
          <w:rFonts w:cs="Times"/>
          <w:lang w:val="en-US"/>
        </w:rPr>
      </w:pPr>
      <w:r w:rsidRPr="00FE50A6">
        <w:rPr>
          <w:rFonts w:cs="Times New Roman"/>
          <w:sz w:val="16"/>
          <w:szCs w:val="16"/>
          <w:lang w:val="en-US"/>
        </w:rPr>
        <w:t>(b) leads to a result which is manifestly absurd or unreasonable.</w:t>
      </w:r>
    </w:p>
  </w:footnote>
  <w:footnote w:id="362">
    <w:p w14:paraId="580D177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rStyle w:val="Textoennegrita"/>
          <w:b w:val="0"/>
          <w:i/>
          <w:color w:val="000000"/>
          <w:shd w:val="clear" w:color="auto" w:fill="FFFFFF"/>
        </w:rPr>
        <w:t>Entitlement of Legal Entities to hold Rights under the Inter-American System of Human Rights (Interpretation and scope of Article 1.2, in relation to Articles 1(1), 8, 11.2, 13, 16, 21, 24, 25, 29, 30, 44, 46, and 62(3) of the American Convention on Human Rights, as well as of Article 8(1)A and B of the Protocol of San Salvador)</w:t>
      </w:r>
      <w:r w:rsidRPr="00FE50A6">
        <w:rPr>
          <w:rStyle w:val="Textoennegrita"/>
          <w:b w:val="0"/>
          <w:color w:val="000000"/>
          <w:shd w:val="clear" w:color="auto" w:fill="FFFFFF"/>
        </w:rPr>
        <w:t>. Advisory Opinion OC-22/16 of February 26, 2016. Series A No. 22, para. 35.</w:t>
      </w:r>
    </w:p>
  </w:footnote>
  <w:footnote w:id="363">
    <w:p w14:paraId="094945D6" w14:textId="77777777" w:rsidR="00E70935" w:rsidRPr="00FE50A6" w:rsidRDefault="00E70935" w:rsidP="00CD003F">
      <w:pPr>
        <w:widowControl w:val="0"/>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In this regard, the Court has indicated that the </w:t>
      </w:r>
      <w:r w:rsidRPr="00FE50A6">
        <w:rPr>
          <w:i/>
          <w:sz w:val="16"/>
          <w:szCs w:val="16"/>
          <w:lang w:val="en-US"/>
        </w:rPr>
        <w:t xml:space="preserve">corpus juris </w:t>
      </w:r>
      <w:r w:rsidRPr="00FE50A6">
        <w:rPr>
          <w:sz w:val="16"/>
          <w:szCs w:val="16"/>
          <w:lang w:val="en-US"/>
        </w:rPr>
        <w:t>of international human rights law comprises a series of international instruments with varied content and juridical effects (treaties, conventions, resolutions and declarations). Its dynamic evolution has had a positive impact on international law, in affirming and building up the latter’s faculty for regulating relations between States and the human beings subject to their respective jurisdictions. This Court, therefore, must adopt the appropriate approach to consider this question in the context of the evolution of the fundamental rights of the human person in contemporary international law.</w:t>
      </w:r>
      <w:r w:rsidRPr="00FE50A6">
        <w:rPr>
          <w:i/>
          <w:sz w:val="16"/>
          <w:szCs w:val="16"/>
          <w:lang w:val="en-US"/>
        </w:rPr>
        <w:t xml:space="preserve"> Cf. The Right to Information on Consular Assistance within the Framework of the Guarantees of Due Process of Law</w:t>
      </w:r>
      <w:r w:rsidRPr="00FE50A6">
        <w:rPr>
          <w:sz w:val="16"/>
          <w:szCs w:val="16"/>
          <w:lang w:val="en-US"/>
        </w:rPr>
        <w:t xml:space="preserve">, para. 115; and </w:t>
      </w:r>
      <w:r w:rsidRPr="00FE50A6">
        <w:rPr>
          <w:i/>
          <w:sz w:val="16"/>
          <w:szCs w:val="16"/>
          <w:lang w:val="en-US"/>
        </w:rPr>
        <w:t xml:space="preserve">Case of the Ituango Massacres, </w:t>
      </w:r>
      <w:r w:rsidRPr="00FE50A6">
        <w:rPr>
          <w:sz w:val="16"/>
          <w:szCs w:val="16"/>
          <w:lang w:val="en-US"/>
        </w:rPr>
        <w:t xml:space="preserve">para. 157. </w:t>
      </w:r>
    </w:p>
  </w:footnote>
  <w:footnote w:id="364">
    <w:p w14:paraId="5B08D8EA" w14:textId="77777777" w:rsidR="00E70935" w:rsidRPr="00FE50A6" w:rsidRDefault="00E70935" w:rsidP="00CD003F">
      <w:pPr>
        <w:pStyle w:val="Textonotapie"/>
        <w:tabs>
          <w:tab w:val="clear" w:pos="4419"/>
          <w:tab w:val="clear" w:pos="8838"/>
          <w:tab w:val="right" w:pos="0"/>
        </w:tabs>
        <w:spacing w:after="80"/>
        <w:rPr>
          <w:rStyle w:val="Refdenotaalpie"/>
          <w:szCs w:val="16"/>
        </w:rPr>
      </w:pPr>
      <w:r w:rsidRPr="00FE50A6">
        <w:rPr>
          <w:rStyle w:val="Refdenotaalpie"/>
          <w:szCs w:val="16"/>
        </w:rPr>
        <w:footnoteRef/>
      </w:r>
      <w:r w:rsidRPr="00FE50A6">
        <w:rPr>
          <w:rStyle w:val="Refdenotaalpie"/>
          <w:szCs w:val="16"/>
        </w:rPr>
        <w:t xml:space="preserve"> </w:t>
      </w:r>
      <w:r w:rsidRPr="00FE50A6">
        <w:t xml:space="preserve"> For example, Universal Declaration of Human Rights, 1948, Art. 4; Supplementary Convention on the Abolition of Slavery, 1956, Art. 1; International Covenant on Civil and Political Rights, 1966, Art. 8; European Convention on Human Rights, 1950, Art. 4; Rome Statute of the International Criminal Court, 1998, Art. 7; Convention No. 182 of the International Labour Organization, 1999, Art. 3; African Charter on Human and Peoples’ Rights, 1981, Art. 5; American Convention on Human Rights, 1969, Art. 6.  </w:t>
      </w:r>
    </w:p>
  </w:footnote>
  <w:footnote w:id="365">
    <w:p w14:paraId="7D766F5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See, </w:t>
      </w:r>
      <w:r w:rsidRPr="00FE50A6">
        <w:rPr>
          <w:i/>
        </w:rPr>
        <w:t>inter alia</w:t>
      </w:r>
      <w:r w:rsidRPr="00FE50A6">
        <w:t xml:space="preserve">, expert opinion of Allain at the public hearing </w:t>
      </w:r>
    </w:p>
  </w:footnote>
  <w:footnote w:id="366">
    <w:p w14:paraId="439AFAE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bCs/>
          <w:i/>
        </w:rPr>
        <w:t>Case of the Río Negro Massacres</w:t>
      </w:r>
      <w:r w:rsidRPr="00FE50A6">
        <w:rPr>
          <w:bCs/>
        </w:rPr>
        <w:t xml:space="preserve">, para. 141, and </w:t>
      </w:r>
      <w:r w:rsidRPr="00FE50A6">
        <w:t xml:space="preserve">International Court of Justice, </w:t>
      </w:r>
      <w:r w:rsidRPr="00FE50A6">
        <w:rPr>
          <w:i/>
        </w:rPr>
        <w:t xml:space="preserve">Case of </w:t>
      </w:r>
      <w:r w:rsidRPr="00FE50A6">
        <w:rPr>
          <w:bCs/>
          <w:i/>
        </w:rPr>
        <w:t>Barcelona Traction, Light and Power Company, Limited (Belgium v. Spain)</w:t>
      </w:r>
      <w:r w:rsidRPr="00FE50A6">
        <w:rPr>
          <w:bCs/>
        </w:rPr>
        <w:t>, Judgment of February 5, 1970,</w:t>
      </w:r>
      <w:r w:rsidRPr="00FE50A6">
        <w:rPr>
          <w:b/>
          <w:bCs/>
        </w:rPr>
        <w:t xml:space="preserve"> </w:t>
      </w:r>
      <w:r w:rsidRPr="00FE50A6">
        <w:t xml:space="preserve">para. 34. </w:t>
      </w:r>
    </w:p>
  </w:footnote>
  <w:footnote w:id="367">
    <w:p w14:paraId="2B98721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 xml:space="preserve">Cf. </w:t>
      </w:r>
      <w:r w:rsidRPr="00FE50A6">
        <w:t xml:space="preserve">Countries that have signed the 1926 Slavery Convention and its Protocol: Antigua and Barbuda, Bahamas, Barbados, Bolivia, Brazil, Canada, Chile, Cuba, Dominica, Ecuador, Guatemala, Jamaica, Mexico, Nicaragua, Paraguay, Santa Lucia, San Vincent and the Grenadines, Trinidad and Tobago, United States of America and Uruguay. Available at: </w:t>
      </w:r>
      <w:hyperlink r:id="rId5" w:history="1">
        <w:r w:rsidRPr="00FE50A6">
          <w:rPr>
            <w:rStyle w:val="Hipervnculo"/>
          </w:rPr>
          <w:t>https://treaties.un.org/Pages/showDetails.aspx?objid=0800000280030bab</w:t>
        </w:r>
      </w:hyperlink>
      <w:r w:rsidRPr="00FE50A6">
        <w:rPr>
          <w:rStyle w:val="Hipervnculo"/>
          <w:u w:val="none"/>
        </w:rPr>
        <w:t xml:space="preserve">; </w:t>
      </w:r>
      <w:r w:rsidRPr="00FE50A6">
        <w:t>and countries of the region that have signed the Supplementary Convention on the Abolition of Slavery of 1956: Antigua and Barbuda, Argentina, Bahamas, Barbados, Bolivia, Brazil, Canada, Chile, Cuba, Dominica, Dominican Republic, Guatemala, Haiti, Jamaica, Mexico, Nicaragua, Paraguay, Santa Lucia, San Vincent and the Grenadines, Trinidad and Tobago, United States of America and Uruguay.</w:t>
      </w:r>
      <w:r w:rsidRPr="00FE50A6">
        <w:rPr>
          <w:b/>
        </w:rPr>
        <w:t xml:space="preserve"> </w:t>
      </w:r>
      <w:r w:rsidRPr="00FE50A6">
        <w:t xml:space="preserve">Available at: </w:t>
      </w:r>
      <w:hyperlink r:id="rId6" w:history="1">
        <w:r w:rsidRPr="00FE50A6">
          <w:rPr>
            <w:rStyle w:val="Hipervnculo"/>
          </w:rPr>
          <w:t>https://treaties.un.org/Pages/showDetails. aspx?objid=080000028003103d</w:t>
        </w:r>
      </w:hyperlink>
      <w:r w:rsidRPr="00FE50A6">
        <w:t>.</w:t>
      </w:r>
    </w:p>
  </w:footnote>
  <w:footnote w:id="368">
    <w:p w14:paraId="125CE393"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bCs/>
          <w:sz w:val="16"/>
          <w:szCs w:val="16"/>
          <w:lang w:val="en-US"/>
        </w:rPr>
        <w:t xml:space="preserve">Supplementary Convention on the Abolition of Slavery, the Slave Trade and Institutions and Practices Similar to Slavery, </w:t>
      </w:r>
      <w:r w:rsidRPr="00FE50A6">
        <w:rPr>
          <w:sz w:val="16"/>
          <w:szCs w:val="16"/>
          <w:lang w:val="en-US"/>
        </w:rPr>
        <w:t>Article</w:t>
      </w:r>
      <w:r w:rsidRPr="00FE50A6">
        <w:rPr>
          <w:rFonts w:eastAsia="Times New Roman" w:cs="Times New Roman"/>
          <w:bCs/>
          <w:iCs/>
          <w:color w:val="303030"/>
          <w:sz w:val="16"/>
          <w:szCs w:val="16"/>
          <w:lang w:val="en-US"/>
        </w:rPr>
        <w:t xml:space="preserve"> 1: </w:t>
      </w:r>
      <w:r w:rsidRPr="00FE50A6">
        <w:rPr>
          <w:sz w:val="16"/>
          <w:szCs w:val="16"/>
          <w:lang w:val="en-US"/>
        </w:rPr>
        <w:t xml:space="preserve">Each of the States Parties to this Convention shall take all practicable and necessary legislative and other measures to bring about progressively and as soon as possible the complete abolition or abandonment of the following institutions and practices, where they still exist and whether or not they are covered by the definition of slavery contained in article 1 of the Slavery Convention signed at Geneva on 25 September 1926: </w:t>
      </w:r>
    </w:p>
    <w:p w14:paraId="10933960" w14:textId="77777777" w:rsidR="00E70935" w:rsidRPr="00FE50A6" w:rsidRDefault="00E70935" w:rsidP="00CD003F">
      <w:pPr>
        <w:spacing w:after="80"/>
        <w:jc w:val="both"/>
        <w:rPr>
          <w:sz w:val="16"/>
          <w:szCs w:val="16"/>
          <w:lang w:val="en-US"/>
        </w:rPr>
      </w:pPr>
      <w:r w:rsidRPr="00FE50A6">
        <w:rPr>
          <w:sz w:val="16"/>
          <w:szCs w:val="16"/>
          <w:lang w:val="en-US"/>
        </w:rPr>
        <w:t xml:space="preserve">(a) Debt bondage, that is to say, the status or condition arising from a pledge by a debtor of his personal services or of those of a person under his control as security for a debt, if the value of those services as reasonably assessed is not applied towards the liquidation of the debt or the length and nature of those services are not respectively limited and defined; </w:t>
      </w:r>
    </w:p>
    <w:p w14:paraId="7B0CC979" w14:textId="77777777" w:rsidR="00E70935" w:rsidRPr="00FE50A6" w:rsidRDefault="00E70935" w:rsidP="00CD003F">
      <w:pPr>
        <w:spacing w:after="80"/>
        <w:jc w:val="both"/>
        <w:rPr>
          <w:sz w:val="16"/>
          <w:szCs w:val="16"/>
          <w:lang w:val="en-US"/>
        </w:rPr>
      </w:pPr>
      <w:r w:rsidRPr="00FE50A6">
        <w:rPr>
          <w:sz w:val="16"/>
          <w:szCs w:val="16"/>
          <w:lang w:val="en-US"/>
        </w:rPr>
        <w:t xml:space="preserve">(b) Serfdom, that is to say, the condition or status of a tenant who is by law, custom or agreement bound to live and labour on land belonging to another person and to render some determinate service to such other person, whether for reward or not, and is not free to change his status; </w:t>
      </w:r>
    </w:p>
    <w:p w14:paraId="349A309A" w14:textId="77777777" w:rsidR="00E70935" w:rsidRPr="00FE50A6" w:rsidRDefault="00E70935" w:rsidP="00CD003F">
      <w:pPr>
        <w:spacing w:after="80"/>
        <w:jc w:val="both"/>
        <w:rPr>
          <w:sz w:val="16"/>
          <w:szCs w:val="16"/>
          <w:lang w:val="en-US"/>
        </w:rPr>
      </w:pPr>
      <w:r w:rsidRPr="00FE50A6">
        <w:rPr>
          <w:sz w:val="16"/>
          <w:szCs w:val="16"/>
          <w:lang w:val="en-US"/>
        </w:rPr>
        <w:t xml:space="preserve">(c) Any institution or practice whereby: </w:t>
      </w:r>
    </w:p>
    <w:p w14:paraId="1A475159" w14:textId="77777777" w:rsidR="00E70935" w:rsidRPr="00FE50A6" w:rsidRDefault="00E70935" w:rsidP="00CD003F">
      <w:pPr>
        <w:spacing w:after="80"/>
        <w:jc w:val="both"/>
        <w:rPr>
          <w:sz w:val="16"/>
          <w:szCs w:val="16"/>
          <w:lang w:val="en-US"/>
        </w:rPr>
      </w:pPr>
      <w:r w:rsidRPr="00FE50A6">
        <w:rPr>
          <w:sz w:val="16"/>
          <w:szCs w:val="16"/>
          <w:lang w:val="en-US"/>
        </w:rPr>
        <w:t xml:space="preserve">(i) A woman, without the right to refuse, is promised or given in marriage on payment of a consideration in money or in kind to her parents, guardian, family or any other person or group; or </w:t>
      </w:r>
    </w:p>
    <w:p w14:paraId="3D088F29" w14:textId="77777777" w:rsidR="00E70935" w:rsidRPr="00FE50A6" w:rsidRDefault="00E70935" w:rsidP="00CD003F">
      <w:pPr>
        <w:spacing w:after="80"/>
        <w:jc w:val="both"/>
        <w:rPr>
          <w:sz w:val="16"/>
          <w:szCs w:val="16"/>
          <w:lang w:val="en-US"/>
        </w:rPr>
      </w:pPr>
      <w:r w:rsidRPr="00FE50A6">
        <w:rPr>
          <w:sz w:val="16"/>
          <w:szCs w:val="16"/>
          <w:lang w:val="en-US"/>
        </w:rPr>
        <w:t xml:space="preserve">(ii) The husband of a woman, his family, or his clan, has the right to transfer her to another person for value received or otherwise; or </w:t>
      </w:r>
    </w:p>
    <w:p w14:paraId="0C68EAD8" w14:textId="77777777" w:rsidR="00E70935" w:rsidRPr="00FE50A6" w:rsidRDefault="00E70935" w:rsidP="00CD003F">
      <w:pPr>
        <w:spacing w:after="80"/>
        <w:jc w:val="both"/>
        <w:rPr>
          <w:sz w:val="16"/>
          <w:szCs w:val="16"/>
          <w:lang w:val="en-US"/>
        </w:rPr>
      </w:pPr>
      <w:r w:rsidRPr="00FE50A6">
        <w:rPr>
          <w:sz w:val="16"/>
          <w:szCs w:val="16"/>
          <w:lang w:val="en-US"/>
        </w:rPr>
        <w:t xml:space="preserve">(iii) A woman on the death of her husband is liable to be inherited by another person; </w:t>
      </w:r>
    </w:p>
    <w:p w14:paraId="300616DE" w14:textId="77777777" w:rsidR="00E70935" w:rsidRPr="00FE50A6" w:rsidRDefault="00E70935" w:rsidP="00CD003F">
      <w:pPr>
        <w:spacing w:after="80"/>
        <w:jc w:val="both"/>
        <w:rPr>
          <w:sz w:val="16"/>
          <w:szCs w:val="16"/>
          <w:lang w:val="en-US"/>
        </w:rPr>
      </w:pPr>
      <w:r w:rsidRPr="00FE50A6">
        <w:rPr>
          <w:sz w:val="16"/>
          <w:szCs w:val="16"/>
          <w:lang w:val="en-US"/>
        </w:rPr>
        <w:t xml:space="preserve">(d) Any institution or practice whereby a child or young person under the age of 18 years, is delivered by either or both of his natural parents or by his guardian to another person, whether for reward or not, with a view to the exploitation of the child or young person or of his labour. </w:t>
      </w:r>
    </w:p>
  </w:footnote>
  <w:footnote w:id="369">
    <w:p w14:paraId="74A8178A"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bCs/>
          <w:sz w:val="16"/>
          <w:szCs w:val="16"/>
          <w:lang w:val="en-US"/>
        </w:rPr>
        <w:t>Supplementary Convention on the Abolition of Slavery, the Slave Trade and Institutions and Practices Similar to Slavery</w:t>
      </w:r>
      <w:r w:rsidRPr="00FE50A6">
        <w:rPr>
          <w:sz w:val="16"/>
          <w:szCs w:val="16"/>
          <w:lang w:val="en-US"/>
        </w:rPr>
        <w:t>, Article</w:t>
      </w:r>
      <w:r w:rsidRPr="00FE50A6">
        <w:rPr>
          <w:bCs/>
          <w:iCs/>
          <w:sz w:val="16"/>
          <w:szCs w:val="16"/>
          <w:lang w:val="en-US"/>
        </w:rPr>
        <w:t xml:space="preserve"> 7: “</w:t>
      </w:r>
      <w:r w:rsidRPr="00FE50A6">
        <w:rPr>
          <w:sz w:val="16"/>
          <w:szCs w:val="16"/>
          <w:lang w:val="en-US"/>
        </w:rPr>
        <w:t>For the purposes of the present Convention: (a) "Slavery" means, as defined in the Slavery Convention of 1926, the status or condition of a person over whom any or all of the powers attaching to the right of ownership are exercised, and "slave" means a person in such condition or status; (b) "A person of servile status" means a person in the condition or status resulting from any of the institutions or practices mentioned in article 1 of this Convention; (c) "Slave trade" means and includes all acts involved in the capture, acquisition or disposal of a person with intent to reduce him to slavery; all acts involved in the acquisition of a slave with a view to selling or exchanging him; all acts of disposal by sale or exchange of a person acquired with a view to being sold or exchanged; and, in general, every act of trade or transport in slaves by whatever means of conveyance.”</w:t>
      </w:r>
    </w:p>
  </w:footnote>
  <w:footnote w:id="370">
    <w:p w14:paraId="6F9C019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Universal Declaration of Human Rights, Article 4: “No one shall be held in slavery or servitude; slavery and the slave trade shall be prohibited in all their forms.”</w:t>
      </w:r>
    </w:p>
  </w:footnote>
  <w:footnote w:id="371">
    <w:p w14:paraId="4EF6E73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Covenant on Civil and Political Rights, Article 8: “1. </w:t>
      </w:r>
      <w:r w:rsidRPr="00FE50A6">
        <w:rPr>
          <w:rFonts w:cs="Arial"/>
        </w:rPr>
        <w:t xml:space="preserve">No one shall be held in slavery; slavery and the slave-trade in all their forms shall be prohibited. </w:t>
      </w:r>
      <w:r w:rsidRPr="00FE50A6">
        <w:t xml:space="preserve">2. </w:t>
      </w:r>
      <w:r w:rsidRPr="00FE50A6">
        <w:rPr>
          <w:rFonts w:cs="Arial"/>
        </w:rPr>
        <w:t>No one shall be held in servitude</w:t>
      </w:r>
      <w:r w:rsidRPr="00FE50A6">
        <w:t xml:space="preserve">. 3. a) </w:t>
      </w:r>
      <w:r w:rsidRPr="00FE50A6">
        <w:rPr>
          <w:rFonts w:cs="Arial"/>
        </w:rPr>
        <w:t>No one shall be required to perform forced or compulsory labour. […]”</w:t>
      </w:r>
    </w:p>
  </w:footnote>
  <w:footnote w:id="372">
    <w:p w14:paraId="7111C4B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European Convention on Human Rights, Article 4: “Prohibition of slavery and forced labor. 1. </w:t>
      </w:r>
      <w:r w:rsidRPr="00FE50A6">
        <w:rPr>
          <w:rFonts w:cs="Arial"/>
        </w:rPr>
        <w:t>No one shall be held in slavery or servitud</w:t>
      </w:r>
      <w:r w:rsidRPr="00FE50A6">
        <w:t xml:space="preserve">e. 2. </w:t>
      </w:r>
      <w:r w:rsidRPr="00FE50A6">
        <w:rPr>
          <w:rFonts w:cs="Arial"/>
        </w:rPr>
        <w:t>No one shall be required to perform forced or compulsory labour</w:t>
      </w:r>
      <w:r w:rsidRPr="00FE50A6">
        <w:t>.”</w:t>
      </w:r>
    </w:p>
  </w:footnote>
  <w:footnote w:id="373">
    <w:p w14:paraId="51B53544"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African Charter on Human and Peoples’ Rights, Article 5: “Every individual shall have the right to the respect of the dignity inherent in a human being and to the recognition of his legal status. All forms of exploitation and degradation of man particularly slavery, slave trade, torture, cruel, inhuman or degrading punishment and treatment shall be prohibited.”</w:t>
      </w:r>
    </w:p>
  </w:footnote>
  <w:footnote w:id="374">
    <w:p w14:paraId="2FC94AF2"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ILO, Convention No. 182 concerning the Prohibition and Immediate Action for the Elimination of the Worst Forms of Child Labour, Article 3: “For the purposes of this Convention, the term</w:t>
      </w:r>
      <w:r w:rsidRPr="00FE50A6">
        <w:rPr>
          <w:bCs/>
          <w:sz w:val="16"/>
          <w:szCs w:val="16"/>
          <w:lang w:val="en-US"/>
        </w:rPr>
        <w:t xml:space="preserve"> “the worst forms of child labour”</w:t>
      </w:r>
      <w:r w:rsidRPr="00FE50A6">
        <w:rPr>
          <w:sz w:val="16"/>
          <w:szCs w:val="16"/>
          <w:lang w:val="en-US"/>
        </w:rPr>
        <w:t xml:space="preserve"> comprises: (a) all forms of slavery or practices similar to slavery, such as the sale and trafficking of children, debt bondage and serfdom and forced or compulsory labour, including forced or compulsory recruitment of children for use in armed conflict; […].”</w:t>
      </w:r>
    </w:p>
  </w:footnote>
  <w:footnote w:id="375">
    <w:p w14:paraId="584CE634" w14:textId="77777777" w:rsidR="00E70935" w:rsidRPr="00FE50A6" w:rsidRDefault="00E70935" w:rsidP="00CD003F">
      <w:pPr>
        <w:pStyle w:val="Textonotapie"/>
        <w:spacing w:after="80"/>
      </w:pPr>
      <w:r w:rsidRPr="00FE50A6">
        <w:rPr>
          <w:rStyle w:val="Refdenotaalpie"/>
          <w:szCs w:val="16"/>
        </w:rPr>
        <w:footnoteRef/>
      </w:r>
      <w:r w:rsidRPr="00FE50A6">
        <w:t xml:space="preserve">  ILO, Convention No. 105 Abolition of Forced Labour Convention, 1957, Preamble</w:t>
      </w:r>
      <w:r w:rsidRPr="00FE50A6">
        <w:rPr>
          <w:shd w:val="clear" w:color="auto" w:fill="FFFFFF"/>
        </w:rPr>
        <w:t>.</w:t>
      </w:r>
    </w:p>
  </w:footnote>
  <w:footnote w:id="376">
    <w:p w14:paraId="19282CE3" w14:textId="77777777" w:rsidR="00E70935" w:rsidRPr="00FE50A6" w:rsidRDefault="00E70935" w:rsidP="00CD003F">
      <w:pPr>
        <w:pStyle w:val="Textonotapie"/>
        <w:tabs>
          <w:tab w:val="clear" w:pos="4419"/>
          <w:tab w:val="clear" w:pos="8838"/>
          <w:tab w:val="right" w:pos="0"/>
        </w:tabs>
        <w:spacing w:after="80"/>
        <w:rPr>
          <w:b/>
        </w:rPr>
      </w:pPr>
      <w:r w:rsidRPr="00FE50A6">
        <w:rPr>
          <w:rStyle w:val="Refdenotaalpie"/>
          <w:szCs w:val="16"/>
        </w:rPr>
        <w:footnoteRef/>
      </w:r>
      <w:r w:rsidRPr="00FE50A6">
        <w:t xml:space="preserve">  Charter of the International Military Tribunal of Nuremberg, October 6, 1945, Article 6.c:</w:t>
      </w:r>
      <w:r w:rsidRPr="00FE50A6">
        <w:rPr>
          <w:b/>
        </w:rPr>
        <w:t xml:space="preserve"> </w:t>
      </w:r>
      <w:r w:rsidRPr="00FE50A6">
        <w:t xml:space="preserve">“The Tribunal established by the Agreement referred to in Article 1 hereof for the trial and punishment of the major war criminals of the European Axis countries shall have the power to try and punish persons who, acting in the interests of the European Axis countries, whether as individuals or as members of organisations, committed any of the following crimes. The following acts, or any of them, are crimes coming within the jurisdiction of the Tribunal for which there shall be individual responsibility: […] (c) </w:t>
      </w:r>
      <w:r w:rsidRPr="00FE50A6">
        <w:rPr>
          <w:i/>
        </w:rPr>
        <w:t>Crimes against humanity</w:t>
      </w:r>
      <w:r w:rsidRPr="00FE50A6">
        <w:t>: namely, murder, extermination, enslavement, deportation, and other inhumane acts committed against any civilian population, before or during the war, or persecutions on political, racial or religious grounds in execution of or in connection with any crime within the jurisdiction of the Tribunal, whether or not in violation of the domestic law of the country where perpetrated.”.</w:t>
      </w:r>
    </w:p>
  </w:footnote>
  <w:footnote w:id="377">
    <w:p w14:paraId="354ECBB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Charter of the International Military Tribunal for the Far East (Tokyo International Military Tribunal), January 19, 1946, Article 5: “</w:t>
      </w:r>
      <w:r w:rsidRPr="00FE50A6">
        <w:rPr>
          <w:i/>
        </w:rPr>
        <w:t>Jurisdiction Over Persons and Offenses</w:t>
      </w:r>
      <w:r w:rsidRPr="00FE50A6">
        <w:t xml:space="preserve">. The Tribunal shall have the power to try and punish Far Eastern war criminals who as individuals or as members of organizations are charged with offenses which include Crimes against Peace. The following acts, or any of them, are crimes coming within the jurisdiction of the Tribunal for which there shall be individual responsibility: […] c. Crimes against Humanity: Namely, murder, extermination, enslavement, deportation, and other inhumane acts committed against any civilian population, before or during the war, or persecutions on political or racial grounds in execution of or in connection with any crime within the jurisdiction of the Tribunal, whether or not in violation of the domestic law of the country where perpetrated. Leaders, organizers, instigators and accomplices participating in the formulation or execution of a common plan or conspiracy to commit any or the foregoing crimes are responsible for all acts performed by any person in execution of such plan.” </w:t>
      </w:r>
    </w:p>
  </w:footnote>
  <w:footnote w:id="378">
    <w:p w14:paraId="2AE92D3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bCs/>
        </w:rPr>
        <w:t>Protocol II Additional to the 1949 Geneva Conventions and Relating to the Protection of Victims of Non-International Armed Conflicts, 1977, Article 4.2.f. Available at:</w:t>
      </w:r>
      <w:r w:rsidRPr="00FE50A6">
        <w:t xml:space="preserve"> </w:t>
      </w:r>
      <w:hyperlink r:id="rId7" w:history="1">
        <w:r w:rsidRPr="00FE50A6">
          <w:rPr>
            <w:rStyle w:val="Hipervnculo"/>
          </w:rPr>
          <w:t>https://www.ohchr.org/EN/ProfessionalInterest/ Pages/ProtocolII.aspx</w:t>
        </w:r>
      </w:hyperlink>
      <w:r w:rsidRPr="00FE50A6">
        <w:t>.</w:t>
      </w:r>
    </w:p>
  </w:footnote>
  <w:footnote w:id="379">
    <w:p w14:paraId="4E78E17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Statute of the Ad hoc International Criminal Tribunal for the prosecution of persons responsible for serious violations of international humanitarian law committed in the territory of the Former Yugoslavia since 1991. Available at: </w:t>
      </w:r>
      <w:hyperlink r:id="rId8" w:history="1">
        <w:r w:rsidRPr="00FE50A6">
          <w:rPr>
            <w:rStyle w:val="Hipervnculo"/>
          </w:rPr>
          <w:t>http://www.icty.org/x/file/Legal%20Library/Statute/statute_sept09_en.pdf</w:t>
        </w:r>
      </w:hyperlink>
      <w:r w:rsidRPr="00FE50A6">
        <w:t>.</w:t>
      </w:r>
    </w:p>
  </w:footnote>
  <w:footnote w:id="380">
    <w:p w14:paraId="0E6D579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Statute of the International Tribunal for Rwanda, art. 3.c. Available </w:t>
      </w:r>
      <w:hyperlink r:id="rId9" w:history="1">
        <w:r w:rsidRPr="00FE50A6">
          <w:rPr>
            <w:rStyle w:val="Hipervnculo"/>
          </w:rPr>
          <w:t>http://legal.un.org/avl/pdf/ha/ictr_EF.pdf</w:t>
        </w:r>
      </w:hyperlink>
      <w:r w:rsidRPr="00FE50A6">
        <w:t>.</w:t>
      </w:r>
    </w:p>
    <w:p w14:paraId="13C5DD6D" w14:textId="77777777" w:rsidR="00E70935" w:rsidRPr="00FE50A6" w:rsidRDefault="00E70935" w:rsidP="00CD003F">
      <w:pPr>
        <w:pStyle w:val="Textonotapie"/>
        <w:tabs>
          <w:tab w:val="clear" w:pos="4419"/>
          <w:tab w:val="clear" w:pos="8838"/>
          <w:tab w:val="right" w:pos="0"/>
        </w:tabs>
        <w:spacing w:after="80"/>
      </w:pPr>
      <w:r w:rsidRPr="00FE50A6">
        <w:t xml:space="preserve">Statute of the Special Court for Sierra Leone, art. 2.c. Available at: </w:t>
      </w:r>
      <w:hyperlink r:id="rId10" w:history="1">
        <w:r w:rsidRPr="00FE50A6">
          <w:rPr>
            <w:rStyle w:val="Hipervnculo"/>
          </w:rPr>
          <w:t>http://www.rscsl.org/Documents/scsl-statute.pdf</w:t>
        </w:r>
      </w:hyperlink>
      <w:r w:rsidRPr="00FE50A6">
        <w:t>.</w:t>
      </w:r>
    </w:p>
  </w:footnote>
  <w:footnote w:id="381">
    <w:p w14:paraId="28CC6076" w14:textId="77777777" w:rsidR="00E70935" w:rsidRPr="00FE50A6" w:rsidRDefault="00E70935" w:rsidP="00CD003F">
      <w:pPr>
        <w:spacing w:after="80"/>
        <w:jc w:val="both"/>
        <w:rPr>
          <w:i/>
          <w:sz w:val="16"/>
          <w:szCs w:val="16"/>
          <w:lang w:val="en-US"/>
        </w:rPr>
      </w:pPr>
      <w:r w:rsidRPr="00FE50A6">
        <w:rPr>
          <w:rStyle w:val="Refdenotaalpie"/>
          <w:sz w:val="16"/>
          <w:szCs w:val="16"/>
          <w:lang w:val="en-US"/>
        </w:rPr>
        <w:footnoteRef/>
      </w:r>
      <w:r w:rsidRPr="00FE50A6">
        <w:rPr>
          <w:sz w:val="16"/>
          <w:szCs w:val="16"/>
          <w:lang w:val="en-US"/>
        </w:rPr>
        <w:t xml:space="preserve"> Rome Statute of the International Criminal Court 1998, Article 7.1: “Crimes against humanity. 1. For the purpose of this Statute, "crime against humanity" means any of the following acts when committed as part of a widespread or systematic attack directed against any civilian population, with knowledge of the attack: […] c) Enslavement […]  Article 7.2: “2. For the purpose of paragraph 1: […] c) "Enslavement" means the exercise of any or all of the powers attaching to the right of ownership over a person and includes the exercise of such power in the course of trafficking in persons, in particular women and children […]”.</w:t>
      </w:r>
    </w:p>
  </w:footnote>
  <w:footnote w:id="382">
    <w:p w14:paraId="439D5BB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Law Commission, Draft Code of Crimes against the Peace and Security of Mankind, art. 18.d. Available at:</w:t>
      </w:r>
      <w:hyperlink r:id="rId11" w:history="1">
        <w:r w:rsidRPr="00FE50A6">
          <w:rPr>
            <w:rStyle w:val="Hipervnculo"/>
          </w:rPr>
          <w:t>http://legal.un.org/docs/?path=../ilc/texts/instruments/english/draft_articles/7_4_1996.pdf&amp;lang=EF</w:t>
        </w:r>
      </w:hyperlink>
      <w:r w:rsidRPr="00FE50A6">
        <w:t>.</w:t>
      </w:r>
    </w:p>
    <w:p w14:paraId="06D56FCE" w14:textId="77777777" w:rsidR="00E70935" w:rsidRPr="00FE50A6" w:rsidRDefault="00E70935" w:rsidP="00CD003F">
      <w:pPr>
        <w:pStyle w:val="Textonotapie"/>
        <w:tabs>
          <w:tab w:val="clear" w:pos="4419"/>
          <w:tab w:val="clear" w:pos="8838"/>
          <w:tab w:val="right" w:pos="0"/>
        </w:tabs>
        <w:spacing w:after="80"/>
      </w:pPr>
    </w:p>
  </w:footnote>
  <w:footnote w:id="383">
    <w:p w14:paraId="452ED4E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International Law Commission, Text of the draft articles on crimes against humanity, art. 3.2.c. Available at: http://legal.un.org/ilc/reports/2017/english/chp4.pdf.</w:t>
      </w:r>
    </w:p>
  </w:footnote>
  <w:footnote w:id="384">
    <w:p w14:paraId="30AA7C0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 xml:space="preserve">Case of Prosecutor v. Dragoljub Kunarac, Radomir Kovac and Zoran Vukovic </w:t>
      </w:r>
      <w:r w:rsidRPr="00FE50A6">
        <w:t xml:space="preserve">(hereinafter </w:t>
      </w:r>
      <w:r w:rsidRPr="00FE50A6">
        <w:rPr>
          <w:i/>
        </w:rPr>
        <w:t>Case of Prosecutor v. Kunarac</w:t>
      </w:r>
      <w:r w:rsidRPr="00FE50A6">
        <w:t>), No. IT-96-23. Trial Chamber, Judgment of February 22, 2001; and No. IT-96-23-A, Appeals Chamber, Judgment of June 12, 2002.</w:t>
      </w:r>
    </w:p>
  </w:footnote>
  <w:footnote w:id="385">
    <w:p w14:paraId="176612A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Case of Prosecutor v. Kunarac</w:t>
      </w:r>
      <w:r w:rsidRPr="00FE50A6">
        <w:t xml:space="preserve">, Judgment of February 22, 2001, para. 542. </w:t>
      </w:r>
    </w:p>
  </w:footnote>
  <w:footnote w:id="386">
    <w:p w14:paraId="41E599C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Case of Prosecutor v. Kunarac</w:t>
      </w:r>
      <w:r w:rsidRPr="00FE50A6">
        <w:t xml:space="preserve">, Judgment of June 12, 2012, para. 117. </w:t>
      </w:r>
    </w:p>
  </w:footnote>
  <w:footnote w:id="387">
    <w:p w14:paraId="2048773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Case of Prosecutor v. Kunarac</w:t>
      </w:r>
      <w:r w:rsidRPr="00FE50A6">
        <w:t xml:space="preserve">, Judgment of June 12, 2012, para. 117.  </w:t>
      </w:r>
    </w:p>
  </w:footnote>
  <w:footnote w:id="388">
    <w:p w14:paraId="1711C38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Case of</w:t>
      </w:r>
      <w:r w:rsidRPr="00FE50A6">
        <w:t xml:space="preserve"> </w:t>
      </w:r>
      <w:r w:rsidRPr="00FE50A6">
        <w:rPr>
          <w:i/>
          <w:iCs/>
        </w:rPr>
        <w:t xml:space="preserve">Prosecutor v. Milorad Krnojelac </w:t>
      </w:r>
      <w:r w:rsidRPr="00FE50A6">
        <w:rPr>
          <w:iCs/>
        </w:rPr>
        <w:t xml:space="preserve">(hereinafter </w:t>
      </w:r>
      <w:r w:rsidRPr="00FE50A6">
        <w:rPr>
          <w:i/>
          <w:iCs/>
        </w:rPr>
        <w:t>Case of Prosecutor v. Krnojelac</w:t>
      </w:r>
      <w:r w:rsidRPr="00FE50A6">
        <w:rPr>
          <w:iCs/>
        </w:rPr>
        <w:t>)</w:t>
      </w:r>
      <w:r w:rsidRPr="00FE50A6">
        <w:rPr>
          <w:i/>
          <w:iCs/>
        </w:rPr>
        <w:t xml:space="preserve">, </w:t>
      </w:r>
      <w:r w:rsidRPr="00FE50A6">
        <w:rPr>
          <w:iCs/>
        </w:rPr>
        <w:t>No.</w:t>
      </w:r>
      <w:r w:rsidRPr="00FE50A6">
        <w:rPr>
          <w:i/>
          <w:iCs/>
        </w:rPr>
        <w:t xml:space="preserve"> </w:t>
      </w:r>
      <w:r w:rsidRPr="00FE50A6">
        <w:t>IT-97-25-T, Trial Chamber,</w:t>
      </w:r>
      <w:r w:rsidRPr="00FE50A6" w:rsidDel="00C7686F">
        <w:t xml:space="preserve"> </w:t>
      </w:r>
      <w:r w:rsidRPr="00FE50A6">
        <w:t>Judgment of March 15, 2002, para. 357.</w:t>
      </w:r>
    </w:p>
  </w:footnote>
  <w:footnote w:id="389">
    <w:p w14:paraId="1F880B3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SCSL, </w:t>
      </w:r>
      <w:r w:rsidRPr="00FE50A6">
        <w:rPr>
          <w:i/>
        </w:rPr>
        <w:t>Case of</w:t>
      </w:r>
      <w:r w:rsidRPr="00FE50A6">
        <w:t xml:space="preserve"> </w:t>
      </w:r>
      <w:r w:rsidRPr="00FE50A6">
        <w:rPr>
          <w:i/>
          <w:iCs/>
        </w:rPr>
        <w:t>Prosecutor v. Sesay, Kallon and Gbao</w:t>
      </w:r>
      <w:r w:rsidRPr="00FE50A6">
        <w:t>, Trial judgment, Case No. TESS-04-15-T, Trial Chamber I, Mach 2, 2009, para. 199.</w:t>
      </w:r>
    </w:p>
  </w:footnote>
  <w:footnote w:id="390">
    <w:p w14:paraId="4123BEC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SCSL, </w:t>
      </w:r>
      <w:r w:rsidRPr="00FE50A6">
        <w:rPr>
          <w:i/>
        </w:rPr>
        <w:t>Case of</w:t>
      </w:r>
      <w:r w:rsidRPr="00FE50A6">
        <w:t xml:space="preserve"> </w:t>
      </w:r>
      <w:r w:rsidRPr="00FE50A6">
        <w:rPr>
          <w:i/>
          <w:iCs/>
        </w:rPr>
        <w:t>Prosecutor v. Brima, Kamara and Kanu</w:t>
      </w:r>
      <w:r w:rsidRPr="00FE50A6">
        <w:t>, No. TESS-04-16-T-628, Trial Court. Judgment of June 20, 2007, paras. 744 to 748.</w:t>
      </w:r>
    </w:p>
  </w:footnote>
  <w:footnote w:id="391">
    <w:p w14:paraId="135BE60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SCSL, </w:t>
      </w:r>
      <w:r w:rsidRPr="00FE50A6">
        <w:rPr>
          <w:i/>
        </w:rPr>
        <w:t>Case of</w:t>
      </w:r>
      <w:r w:rsidRPr="00FE50A6">
        <w:rPr>
          <w:i/>
          <w:iCs/>
        </w:rPr>
        <w:t xml:space="preserve"> Prosecutor v. Charles Taylor</w:t>
      </w:r>
      <w:r w:rsidRPr="00FE50A6">
        <w:t>, No. TESS-03-01-T, Trial Court, Judgment of May 18, 2012, para. 448.</w:t>
      </w:r>
    </w:p>
  </w:footnote>
  <w:footnote w:id="392">
    <w:p w14:paraId="4793E0A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ECOWAS Court of Justice,</w:t>
      </w:r>
      <w:r w:rsidRPr="00FE50A6">
        <w:rPr>
          <w:i/>
        </w:rPr>
        <w:t xml:space="preserve"> Case of</w:t>
      </w:r>
      <w:r w:rsidRPr="00FE50A6">
        <w:t xml:space="preserve"> </w:t>
      </w:r>
      <w:r w:rsidRPr="00FE50A6">
        <w:rPr>
          <w:i/>
        </w:rPr>
        <w:t>Mme Hadijatou Mani Koraou v. Republic of Niger</w:t>
      </w:r>
      <w:r w:rsidRPr="00FE50A6">
        <w:t>, No. ECW/CCJ/JUD/06/08, Judgment of October 27, 2008.</w:t>
      </w:r>
    </w:p>
  </w:footnote>
  <w:footnote w:id="393">
    <w:p w14:paraId="0F1D244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ECOWAS Court of Justice, </w:t>
      </w:r>
      <w:r w:rsidRPr="00FE50A6">
        <w:rPr>
          <w:i/>
        </w:rPr>
        <w:t>Case of Mme Hadijatou Mani Koraou v. Republic of Niger</w:t>
      </w:r>
      <w:r w:rsidRPr="00FE50A6">
        <w:t xml:space="preserve">, Judgment of October 27, 2008, paras. 76 to 79. </w:t>
      </w:r>
    </w:p>
  </w:footnote>
  <w:footnote w:id="394">
    <w:p w14:paraId="6C06976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Cs/>
        </w:rPr>
        <w:t>ECHR,</w:t>
      </w:r>
      <w:r w:rsidRPr="00FE50A6">
        <w:rPr>
          <w:i/>
          <w:iCs/>
        </w:rPr>
        <w:t xml:space="preserve"> Case of Siliadin v. France</w:t>
      </w:r>
      <w:r w:rsidRPr="00FE50A6">
        <w:t xml:space="preserve">, No. 73316/01, Judgment of July 26, 2005, paras. 82 to 149. </w:t>
      </w:r>
    </w:p>
  </w:footnote>
  <w:footnote w:id="395">
    <w:p w14:paraId="53EC41A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Cs/>
        </w:rPr>
        <w:t>ECHR,</w:t>
      </w:r>
      <w:r w:rsidRPr="00FE50A6">
        <w:rPr>
          <w:i/>
          <w:iCs/>
        </w:rPr>
        <w:t xml:space="preserve"> Case of Siliadin v. France</w:t>
      </w:r>
      <w:r w:rsidRPr="00FE50A6">
        <w:t>, paras. 123 and 124.</w:t>
      </w:r>
    </w:p>
  </w:footnote>
  <w:footnote w:id="396">
    <w:p w14:paraId="299FBD0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Cs/>
        </w:rPr>
        <w:t>ECHR,</w:t>
      </w:r>
      <w:r w:rsidRPr="00FE50A6">
        <w:rPr>
          <w:i/>
          <w:iCs/>
        </w:rPr>
        <w:t xml:space="preserve"> Case of Siliadin v. France</w:t>
      </w:r>
      <w:r w:rsidRPr="00FE50A6">
        <w:t>, paras. 126 and 127.</w:t>
      </w:r>
    </w:p>
  </w:footnote>
  <w:footnote w:id="397">
    <w:p w14:paraId="7024483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iCs/>
        </w:rPr>
        <w:t>Case of Rantsev v. Cyprus and Russia</w:t>
      </w:r>
      <w:r w:rsidRPr="00FE50A6">
        <w:t>, No. 25965/04, Judgment of January 7, 2010, paras. 279 and 280.</w:t>
      </w:r>
    </w:p>
  </w:footnote>
  <w:footnote w:id="398">
    <w:p w14:paraId="3AF3D53A" w14:textId="77777777" w:rsidR="00E70935" w:rsidRPr="00FE50A6" w:rsidRDefault="00E70935" w:rsidP="00CD003F">
      <w:pPr>
        <w:pStyle w:val="Textonotapie"/>
        <w:spacing w:after="80"/>
      </w:pPr>
      <w:r w:rsidRPr="00FE50A6">
        <w:rPr>
          <w:rStyle w:val="Refdenotaalpie"/>
          <w:szCs w:val="16"/>
        </w:rPr>
        <w:footnoteRef/>
      </w:r>
      <w:r w:rsidRPr="00FE50A6">
        <w:t xml:space="preserve"> Extraordinary Chambers in the Courts of Cambodia for the Prosecution of Crimes Committed During the Period of Democratic Kampuchea, </w:t>
      </w:r>
      <w:r w:rsidRPr="00FE50A6">
        <w:rPr>
          <w:i/>
        </w:rPr>
        <w:t xml:space="preserve">Case of Duch, </w:t>
      </w:r>
      <w:r w:rsidRPr="00FE50A6">
        <w:t>No. 001/18-07-2007/ECCC/SC, Supreme Court Chamber, Judgment of February 3, 2012, paras. 117 to 167.</w:t>
      </w:r>
    </w:p>
  </w:footnote>
  <w:footnote w:id="399">
    <w:p w14:paraId="3747EB29" w14:textId="77777777" w:rsidR="00E70935" w:rsidRPr="00FE50A6" w:rsidRDefault="00E70935" w:rsidP="00CD003F">
      <w:pPr>
        <w:pStyle w:val="Textonotapie"/>
        <w:tabs>
          <w:tab w:val="clear" w:pos="4419"/>
          <w:tab w:val="clear" w:pos="8838"/>
          <w:tab w:val="right" w:pos="0"/>
        </w:tabs>
        <w:spacing w:after="80"/>
        <w:rPr>
          <w:i/>
          <w:iCs/>
        </w:rPr>
      </w:pPr>
      <w:r w:rsidRPr="00FE50A6">
        <w:rPr>
          <w:rStyle w:val="Refdenotaalpie"/>
          <w:szCs w:val="16"/>
        </w:rPr>
        <w:footnoteRef/>
      </w:r>
      <w:r w:rsidRPr="00FE50A6">
        <w:t xml:space="preserve"> African Commission on Human and Peoples’ Rights, </w:t>
      </w:r>
      <w:r w:rsidRPr="00FE50A6">
        <w:rPr>
          <w:i/>
        </w:rPr>
        <w:t>Case of Malawi African Association</w:t>
      </w:r>
      <w:r w:rsidRPr="00FE50A6">
        <w:t xml:space="preserve"> </w:t>
      </w:r>
      <w:r w:rsidRPr="00FE50A6">
        <w:rPr>
          <w:i/>
        </w:rPr>
        <w:t>and Others v</w:t>
      </w:r>
      <w:r w:rsidRPr="00FE50A6">
        <w:rPr>
          <w:i/>
          <w:iCs/>
        </w:rPr>
        <w:t xml:space="preserve">. Mauritania, </w:t>
      </w:r>
      <w:r w:rsidRPr="00FE50A6">
        <w:t>Communications Nos. 54/91, 61/91, 98/93, 164/97-196/97 and 210/98 (2000), Ruling of May 11, 2000,</w:t>
      </w:r>
      <w:r w:rsidRPr="00FE50A6">
        <w:rPr>
          <w:i/>
          <w:iCs/>
        </w:rPr>
        <w:t xml:space="preserve"> </w:t>
      </w:r>
      <w:r w:rsidRPr="00FE50A6">
        <w:t>paras. 132 to 135.</w:t>
      </w:r>
    </w:p>
  </w:footnote>
  <w:footnote w:id="400">
    <w:p w14:paraId="5D155C9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Article 5: </w:t>
      </w:r>
      <w:r w:rsidRPr="00FE50A6">
        <w:rPr>
          <w:bCs/>
          <w:iCs/>
        </w:rPr>
        <w:t>“[a]</w:t>
      </w:r>
      <w:r w:rsidRPr="00FE50A6">
        <w:t>ll forms of exploitation and degradation of man particularly slavery, slave trade, torture, cruel, inhuman or degrading punishment and treatment shall be prohibited</w:t>
      </w:r>
      <w:r w:rsidRPr="00FE50A6">
        <w:rPr>
          <w:bCs/>
          <w:iCs/>
        </w:rPr>
        <w:t>”.</w:t>
      </w:r>
    </w:p>
  </w:footnote>
  <w:footnote w:id="401">
    <w:p w14:paraId="178EA8E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CEDAW, UN Doc. A/55/38, Part one, May 1, 2000, para. 113: “The Committee considers forced labour of women to be a contemporary form of slavery and a denial of their rights.” CEDAW, UN Doc. A/57/38, Part two, September 15, 2002, para. 383: “The Committee wishes to draw attention to the wide and increasing dimensions of trafficking in women, which constitutes a major part of contemporary trade in persons and is a form of slavery and a violation of article 6 of the Convention.” </w:t>
      </w:r>
    </w:p>
  </w:footnote>
  <w:footnote w:id="402">
    <w:p w14:paraId="56F2BD1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Human Rights Committee, Concluding observations on Croatia, CCPR/CO/71/HRV, of April 30, 2001: “The State party should take appropriate steps to combat this practice [trafficking of women into and through its territory, particularly for purposes of sexual exploitation], which constitutes a violation of several Covenant rights, including the right under article 8 to be free from slavery and servitude.” </w:t>
      </w:r>
    </w:p>
  </w:footnote>
  <w:footnote w:id="403">
    <w:p w14:paraId="394E3D3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United Nations Working Group on Contemporary Forms of Slavery. </w:t>
      </w:r>
      <w:r w:rsidRPr="00FE50A6">
        <w:rPr>
          <w:lang w:val="es-CR"/>
        </w:rPr>
        <w:t xml:space="preserve">Report E/CN.4/Sub.2/1993/30, June 23, 1993, para. 99; Report E/CN.4/Sub.2/1998/14, July 6, 1998, para. </w:t>
      </w:r>
      <w:r w:rsidRPr="00FE50A6">
        <w:t>97.6.</w:t>
      </w:r>
    </w:p>
  </w:footnote>
  <w:footnote w:id="404">
    <w:p w14:paraId="098FDAA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United Nations Special Rapporteur on trafficking in persons, especially</w:t>
      </w:r>
      <w:r w:rsidRPr="00FE50A6">
        <w:rPr>
          <w:sz w:val="20"/>
          <w:szCs w:val="22"/>
        </w:rPr>
        <w:t xml:space="preserve"> </w:t>
      </w:r>
      <w:r w:rsidRPr="00FE50A6">
        <w:t>women and children, Report E/CN.4/2005/71, December 22, 2004, para. 18.</w:t>
      </w:r>
    </w:p>
  </w:footnote>
  <w:footnote w:id="405">
    <w:p w14:paraId="6EC3E07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OHCHR, Abolishing Slavery and its Contemporary Forms, David Weissbrodt and Anti-Slavery International, UN Doc. HR/PUB/02/4, 2002. Available at: </w:t>
      </w:r>
      <w:hyperlink r:id="rId12" w:history="1">
        <w:r w:rsidRPr="00FE50A6">
          <w:rPr>
            <w:rStyle w:val="Hipervnculo"/>
          </w:rPr>
          <w:t>http://www.ohchr.org/Documents/Publications/slaveryen.pdf</w:t>
        </w:r>
      </w:hyperlink>
      <w:r w:rsidRPr="00FE50A6">
        <w:t>.</w:t>
      </w:r>
    </w:p>
  </w:footnote>
  <w:footnote w:id="406">
    <w:p w14:paraId="6B86AD49" w14:textId="77777777" w:rsidR="00E70935" w:rsidRPr="00FE50A6" w:rsidRDefault="00E70935" w:rsidP="00CD003F">
      <w:pPr>
        <w:spacing w:after="80"/>
        <w:rPr>
          <w:sz w:val="16"/>
          <w:szCs w:val="16"/>
          <w:lang w:val="en-US"/>
        </w:rPr>
      </w:pPr>
      <w:r w:rsidRPr="00FE50A6">
        <w:rPr>
          <w:rStyle w:val="Refdenotaalpie"/>
          <w:sz w:val="16"/>
          <w:szCs w:val="16"/>
          <w:lang w:val="en-US"/>
        </w:rPr>
        <w:footnoteRef/>
      </w:r>
      <w:r w:rsidRPr="00FE50A6">
        <w:rPr>
          <w:sz w:val="16"/>
          <w:szCs w:val="16"/>
          <w:lang w:val="en-US"/>
        </w:rPr>
        <w:t xml:space="preserve"> IACHR, </w:t>
      </w:r>
      <w:r w:rsidRPr="00FE50A6">
        <w:rPr>
          <w:rFonts w:cs="Arial"/>
          <w:sz w:val="16"/>
          <w:szCs w:val="16"/>
          <w:lang w:val="en-US"/>
        </w:rPr>
        <w:t>Captive Communities: Situation of the Guaraní Indigenous People and Contemporary Forms of Slavery in the Bolivian Chaco</w:t>
      </w:r>
      <w:r w:rsidRPr="00FE50A6">
        <w:rPr>
          <w:sz w:val="16"/>
          <w:szCs w:val="16"/>
          <w:lang w:val="en-US"/>
        </w:rPr>
        <w:t>, OEA/Ser.L/V/II.Doc. 58, 2009.</w:t>
      </w:r>
    </w:p>
  </w:footnote>
  <w:footnote w:id="407">
    <w:p w14:paraId="28B2C02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“Chattel slavery” </w:t>
      </w:r>
      <w:r w:rsidRPr="00FE50A6">
        <w:rPr>
          <w:iCs/>
        </w:rPr>
        <w:t>refers to traditional slavery or legal slavery, in which one person legally belonged to another. See, written expert opinion of Jean Allain (evidence file, folios 14915 and 14920).</w:t>
      </w:r>
    </w:p>
  </w:footnote>
  <w:footnote w:id="408">
    <w:p w14:paraId="6C81A08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1956 Supplementary Convention, Article 1.</w:t>
      </w:r>
    </w:p>
  </w:footnote>
  <w:footnote w:id="409">
    <w:p w14:paraId="43F771F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Written expert opinion of Jean Allain, folio 14929.</w:t>
      </w:r>
    </w:p>
  </w:footnote>
  <w:footnote w:id="410">
    <w:p w14:paraId="06DD044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Written expert opinion of Jean Allain, folio 14930; International Criminal Court, Assembly of States Parties to the Rome Statute of the International Criminal Court, Elements of Crimes, Document ICC-ASP/1/3, September 9, 2002, p. 117.  </w:t>
      </w:r>
    </w:p>
  </w:footnote>
  <w:footnote w:id="411">
    <w:p w14:paraId="67FACE7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Written expert opinion of Jean Allain, folio 14931; and 2012 Bellagio-Harvard Guidelines on the Legal Parameters of Slavery, Guideline No. 2. </w:t>
      </w:r>
    </w:p>
  </w:footnote>
  <w:footnote w:id="412">
    <w:p w14:paraId="1BCEC86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Case of </w:t>
      </w:r>
      <w:r w:rsidRPr="00FE50A6">
        <w:rPr>
          <w:i/>
        </w:rPr>
        <w:t>Prosecutor v. Kunarac</w:t>
      </w:r>
      <w:r w:rsidRPr="00FE50A6">
        <w:t xml:space="preserve">, Trial Chamber, para. 542. </w:t>
      </w:r>
    </w:p>
  </w:footnote>
  <w:footnote w:id="413">
    <w:p w14:paraId="66EADAD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ICTY, </w:t>
      </w:r>
      <w:r w:rsidRPr="00FE50A6">
        <w:rPr>
          <w:i/>
        </w:rPr>
        <w:t>Case of</w:t>
      </w:r>
      <w:r w:rsidRPr="00FE50A6">
        <w:t xml:space="preserve"> </w:t>
      </w:r>
      <w:r w:rsidRPr="00FE50A6">
        <w:rPr>
          <w:i/>
        </w:rPr>
        <w:t>Prosecutor v. Kunarac</w:t>
      </w:r>
      <w:r w:rsidRPr="00FE50A6">
        <w:t xml:space="preserve">, Appeals Chamber, para. 117; and ECHR, </w:t>
      </w:r>
      <w:r w:rsidRPr="00FE50A6">
        <w:rPr>
          <w:i/>
        </w:rPr>
        <w:t xml:space="preserve">Case of Rantsev v. Cyprus </w:t>
      </w:r>
      <w:proofErr w:type="gramStart"/>
      <w:r w:rsidRPr="00FE50A6">
        <w:rPr>
          <w:i/>
        </w:rPr>
        <w:t>and  Russia</w:t>
      </w:r>
      <w:proofErr w:type="gramEnd"/>
      <w:r w:rsidRPr="00FE50A6">
        <w:t xml:space="preserve">, paras. 280 and 281. </w:t>
      </w:r>
    </w:p>
  </w:footnote>
  <w:footnote w:id="414">
    <w:p w14:paraId="5ADAC95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Siliadin v. France</w:t>
      </w:r>
      <w:r w:rsidRPr="00FE50A6">
        <w:t>, para. 124.</w:t>
      </w:r>
    </w:p>
  </w:footnote>
  <w:footnote w:id="415">
    <w:p w14:paraId="166A066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The Appeals Chamber of the </w:t>
      </w:r>
      <w:r w:rsidRPr="00FE50A6">
        <w:rPr>
          <w:i/>
        </w:rPr>
        <w:t xml:space="preserve">Ad hoc </w:t>
      </w:r>
      <w:r w:rsidRPr="00FE50A6">
        <w:t xml:space="preserve">International Criminal Tribunal for the former Yugoslavia also understood this when it asserted that: “117. The Appeals Chamber accepts the chief thesis of the Trial Chamber that the traditional concept of slavery, as defined in the 1926 Slavery Convention and often referred to as “chattel slavery”, has evolved to encompass various contemporary forms of slavery which are also based on the exercise of any or all of the powers attaching to the right of ownership. In the case of these various contemporary forms of slavery, the victim is not subject to the exercise of the more extreme rights of ownership associated with “chattel slavery”, but in all cases, as a result of the exercise of any or all of the powers attaching to the right of ownership, there is some destruction of the juridical personality; the destruction is greater in the case of “chattel slavery” but the difference is one of degree. The Appeals Chamber considers that, at the time relevant to the alleged crimes, these contemporary forms of slavery formed part of enslavement as a crime against humanity under customary international law.” ICTY, </w:t>
      </w:r>
      <w:r w:rsidRPr="00FE50A6">
        <w:rPr>
          <w:i/>
        </w:rPr>
        <w:t>Case of</w:t>
      </w:r>
      <w:r w:rsidRPr="00FE50A6">
        <w:t xml:space="preserve"> </w:t>
      </w:r>
      <w:r w:rsidRPr="00FE50A6">
        <w:rPr>
          <w:i/>
        </w:rPr>
        <w:t>Prosecutor v. Kunarac</w:t>
      </w:r>
      <w:r w:rsidRPr="00FE50A6">
        <w:t>, Appeals Chamber, para. 117.</w:t>
      </w:r>
    </w:p>
  </w:footnote>
  <w:footnote w:id="416">
    <w:p w14:paraId="7C83D542" w14:textId="77777777" w:rsidR="00E70935" w:rsidRPr="00FE50A6" w:rsidRDefault="00E70935" w:rsidP="00CD003F">
      <w:pPr>
        <w:pStyle w:val="NormalWeb"/>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“Serfdom, that is to say, the condition or status of a tenant who is by law, custom or agreement bound to live and labour on land belonging to another person and to render some determinate service to such other person, whether for reward or not, and is not free to change his status. 1956 Convention, Article 1.</w:t>
      </w:r>
    </w:p>
  </w:footnote>
  <w:footnote w:id="417">
    <w:p w14:paraId="6899484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Debt bondage, that is to say, the status or condition arising from a pledge by a debtor of his personal services or of those of a person under his control as security for a debt, if the value of those services as reasonably assessed is not applied towards the liquidation of the debt or the length and nature of those services are not respectively limited and defined. 1956 Convention, Article 1.</w:t>
      </w:r>
    </w:p>
  </w:footnote>
  <w:footnote w:id="418">
    <w:p w14:paraId="5B75A214" w14:textId="77777777" w:rsidR="00E70935" w:rsidRPr="00FE50A6" w:rsidRDefault="00E70935" w:rsidP="00CD003F">
      <w:pPr>
        <w:pStyle w:val="NormalWeb"/>
        <w:spacing w:before="0" w:beforeAutospacing="0" w:after="80" w:afterAutospacing="0"/>
        <w:rPr>
          <w:sz w:val="16"/>
          <w:szCs w:val="16"/>
          <w:lang w:val="en-US"/>
        </w:rPr>
      </w:pPr>
      <w:r w:rsidRPr="00FE50A6">
        <w:rPr>
          <w:rStyle w:val="Refdenotaalpie"/>
          <w:szCs w:val="16"/>
          <w:lang w:val="en-US"/>
        </w:rPr>
        <w:footnoteRef/>
      </w:r>
      <w:r w:rsidRPr="00FE50A6">
        <w:rPr>
          <w:lang w:val="en-US"/>
        </w:rPr>
        <w:t xml:space="preserve"> </w:t>
      </w:r>
      <w:r w:rsidRPr="00FE50A6">
        <w:rPr>
          <w:sz w:val="16"/>
          <w:szCs w:val="16"/>
          <w:lang w:val="en-US"/>
        </w:rPr>
        <w:t xml:space="preserve">Any institution or practice whereby: </w:t>
      </w:r>
    </w:p>
    <w:p w14:paraId="4AD7C982" w14:textId="77777777" w:rsidR="00E70935" w:rsidRPr="00FE50A6" w:rsidRDefault="00E70935" w:rsidP="00CD003F">
      <w:pPr>
        <w:pStyle w:val="NormalWeb"/>
        <w:spacing w:before="0" w:beforeAutospacing="0" w:after="80" w:afterAutospacing="0"/>
        <w:rPr>
          <w:sz w:val="16"/>
          <w:szCs w:val="16"/>
          <w:lang w:val="en-US"/>
        </w:rPr>
      </w:pPr>
      <w:r w:rsidRPr="00FE50A6">
        <w:rPr>
          <w:sz w:val="16"/>
          <w:szCs w:val="16"/>
          <w:lang w:val="en-US"/>
        </w:rPr>
        <w:t xml:space="preserve">(i) A woman, without the right to refuse, is promised or given in marriage on payment of a consideration in money or in kind to her parents, guardian, family or any other person or group; or </w:t>
      </w:r>
    </w:p>
    <w:p w14:paraId="535A5DD0" w14:textId="77777777" w:rsidR="00E70935" w:rsidRPr="00FE50A6" w:rsidRDefault="00E70935" w:rsidP="00CD003F">
      <w:pPr>
        <w:pStyle w:val="NormalWeb"/>
        <w:spacing w:before="0" w:beforeAutospacing="0" w:after="80" w:afterAutospacing="0"/>
        <w:rPr>
          <w:sz w:val="16"/>
          <w:szCs w:val="16"/>
          <w:lang w:val="en-US"/>
        </w:rPr>
      </w:pPr>
      <w:r w:rsidRPr="00FE50A6">
        <w:rPr>
          <w:sz w:val="16"/>
          <w:szCs w:val="16"/>
          <w:lang w:val="en-US"/>
        </w:rPr>
        <w:t xml:space="preserve">(ii) The husband of a woman, his family, or his clan, has the right to transfer her to another person for value received or otherwise; or </w:t>
      </w:r>
    </w:p>
    <w:p w14:paraId="4CCDC962" w14:textId="77777777" w:rsidR="00E70935" w:rsidRPr="00FE50A6" w:rsidRDefault="00E70935" w:rsidP="00CD003F">
      <w:pPr>
        <w:pStyle w:val="NormalWeb"/>
        <w:spacing w:before="0" w:beforeAutospacing="0" w:after="80" w:afterAutospacing="0"/>
        <w:rPr>
          <w:sz w:val="16"/>
          <w:szCs w:val="16"/>
          <w:lang w:val="en-US"/>
        </w:rPr>
      </w:pPr>
      <w:r w:rsidRPr="00FE50A6">
        <w:rPr>
          <w:sz w:val="16"/>
          <w:szCs w:val="16"/>
          <w:lang w:val="en-US"/>
        </w:rPr>
        <w:t xml:space="preserve">(iii) A woman on the death of her husband is liable to be inherited by another person; </w:t>
      </w:r>
    </w:p>
    <w:p w14:paraId="0DB37FC2" w14:textId="77777777" w:rsidR="00E70935" w:rsidRPr="00FE50A6" w:rsidRDefault="00E70935" w:rsidP="00CD003F">
      <w:pPr>
        <w:pStyle w:val="NormalWeb"/>
        <w:spacing w:before="0" w:beforeAutospacing="0" w:after="80" w:afterAutospacing="0"/>
        <w:rPr>
          <w:sz w:val="16"/>
          <w:szCs w:val="16"/>
          <w:lang w:val="en-US"/>
        </w:rPr>
      </w:pPr>
      <w:r w:rsidRPr="00FE50A6">
        <w:rPr>
          <w:sz w:val="16"/>
          <w:szCs w:val="16"/>
          <w:lang w:val="en-US"/>
        </w:rPr>
        <w:t>(iv) Any institution or practice whereby a child or young person under the age of 18 years, is delivered by either or both of his natural parents or by his guardian to another person, whether for reward or not, with a view to the exploitation of the child or young person or of his labour. 1956 Convention, Article 1.</w:t>
      </w:r>
    </w:p>
  </w:footnote>
  <w:footnote w:id="419">
    <w:p w14:paraId="3A38F01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Siliadin v. France</w:t>
      </w:r>
      <w:r w:rsidRPr="00FE50A6">
        <w:t>, para.  123.</w:t>
      </w:r>
    </w:p>
  </w:footnote>
  <w:footnote w:id="420">
    <w:p w14:paraId="355EBE0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C.N. and V. v. France</w:t>
      </w:r>
      <w:r w:rsidRPr="00FE50A6">
        <w:t>, No. 67724/09, Judgment of October 11, 2012, para. 91.</w:t>
      </w:r>
    </w:p>
  </w:footnote>
  <w:footnote w:id="421">
    <w:p w14:paraId="0EACE41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C.N. v. The United Kingdom</w:t>
      </w:r>
      <w:r w:rsidRPr="00FE50A6">
        <w:t>, No. 4239/08, Judgment of November 13, 2012, para. 80.</w:t>
      </w:r>
    </w:p>
  </w:footnote>
  <w:footnote w:id="422">
    <w:p w14:paraId="19B62BA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See Written expert opinion of Jean Allain, folio 14917.</w:t>
      </w:r>
    </w:p>
  </w:footnote>
  <w:footnote w:id="423">
    <w:p w14:paraId="7CB495F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According to expert witness Jean Allain, “The prohibition of slavery overlaps with the prohibition of the slave trade.” Written expert opinion of Jean Allain, folio 14917.</w:t>
      </w:r>
    </w:p>
  </w:footnote>
  <w:footnote w:id="424">
    <w:p w14:paraId="36E9A302"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International Agreement for the suppression of the "White Slave Traffic" of May 18, 1904, amended by the Protocol adopted by the United Nations General Assembly on December 3, 1948; International Convention of May 4, 1910, for the Suppression of the White Slave Traffic, amended by the Protocol adopted by the United Nations General Assembly on December 3, 1948; International Convention for the Suppression of the Traffic of Women and Children of September 30, 1921, amended by the Protocol adopted by the United Nations General Assembly on October 20, 1947; International Convention for the Suppression of the Traffic in Women of Full Age of October 11, 1933, amended by the Protocol adopted by the United Nations General Assembly on October 20, 1947.</w:t>
      </w:r>
    </w:p>
  </w:footnote>
  <w:footnote w:id="425">
    <w:p w14:paraId="3C1F56D3" w14:textId="77777777" w:rsidR="00E70935" w:rsidRPr="00FE50A6" w:rsidRDefault="00E70935" w:rsidP="00CD003F">
      <w:pPr>
        <w:pStyle w:val="Textonotapie"/>
        <w:spacing w:after="80"/>
      </w:pPr>
      <w:r w:rsidRPr="00FE50A6">
        <w:rPr>
          <w:rStyle w:val="Refdenotaalpie"/>
          <w:szCs w:val="16"/>
        </w:rPr>
        <w:footnoteRef/>
      </w:r>
      <w:r w:rsidRPr="00FE50A6">
        <w:t xml:space="preserve"> See </w:t>
      </w:r>
      <w:r w:rsidRPr="00FE50A6">
        <w:rPr>
          <w:rStyle w:val="e24kjd"/>
          <w:bCs/>
        </w:rPr>
        <w:t>Convention for the Suppression</w:t>
      </w:r>
      <w:r w:rsidRPr="00FE50A6">
        <w:rPr>
          <w:rStyle w:val="e24kjd"/>
        </w:rPr>
        <w:t xml:space="preserve"> of the </w:t>
      </w:r>
      <w:r w:rsidRPr="00FE50A6">
        <w:rPr>
          <w:rStyle w:val="e24kjd"/>
          <w:bCs/>
        </w:rPr>
        <w:t>Traffic in</w:t>
      </w:r>
      <w:r w:rsidRPr="00FE50A6">
        <w:rPr>
          <w:rStyle w:val="e24kjd"/>
        </w:rPr>
        <w:t xml:space="preserve"> Persons and of the </w:t>
      </w:r>
      <w:r w:rsidRPr="00FE50A6">
        <w:rPr>
          <w:rStyle w:val="e24kjd"/>
          <w:bCs/>
        </w:rPr>
        <w:t>Exploitation</w:t>
      </w:r>
      <w:r w:rsidRPr="00FE50A6">
        <w:rPr>
          <w:rStyle w:val="e24kjd"/>
        </w:rPr>
        <w:t xml:space="preserve"> of the </w:t>
      </w:r>
      <w:r w:rsidRPr="00FE50A6">
        <w:rPr>
          <w:rStyle w:val="e24kjd"/>
          <w:bCs/>
        </w:rPr>
        <w:t>Prostitution</w:t>
      </w:r>
      <w:r w:rsidRPr="00FE50A6">
        <w:rPr>
          <w:rStyle w:val="e24kjd"/>
        </w:rPr>
        <w:t xml:space="preserve"> of Others</w:t>
      </w:r>
      <w:r w:rsidRPr="00FE50A6">
        <w:t xml:space="preserve">. Available at: </w:t>
      </w:r>
      <w:hyperlink r:id="rId13" w:history="1">
        <w:r w:rsidRPr="00FE50A6">
          <w:rPr>
            <w:rStyle w:val="Hipervnculo"/>
          </w:rPr>
          <w:t>https://www.ohchr.org/EN/ProfessionalInterest/Pages/TrafficInPersons.aspx</w:t>
        </w:r>
      </w:hyperlink>
      <w:r w:rsidRPr="00FE50A6">
        <w:t>.</w:t>
      </w:r>
    </w:p>
  </w:footnote>
  <w:footnote w:id="426">
    <w:p w14:paraId="1952A0FD" w14:textId="77777777" w:rsidR="00E70935" w:rsidRPr="00FE50A6" w:rsidRDefault="00E70935" w:rsidP="00C43711">
      <w:pPr>
        <w:spacing w:after="80"/>
        <w:jc w:val="both"/>
        <w:outlineLvl w:val="0"/>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eastAsia="Times New Roman" w:cs="Times New Roman"/>
          <w:bCs/>
          <w:kern w:val="36"/>
          <w:sz w:val="16"/>
          <w:szCs w:val="16"/>
          <w:lang w:val="en-US"/>
        </w:rPr>
        <w:t xml:space="preserve">Protocol to Prevent, Suppress and Punish Trafficking in Persons, Especially Women and Children, supplementing the </w:t>
      </w:r>
      <w:r w:rsidRPr="00FE50A6">
        <w:rPr>
          <w:sz w:val="16"/>
          <w:szCs w:val="16"/>
          <w:lang w:val="en-US"/>
        </w:rPr>
        <w:t xml:space="preserve">United Nations Convention against Transnational Organized Crime Article 4. Available at: </w:t>
      </w:r>
      <w:hyperlink w:history="1">
        <w:r w:rsidRPr="00FE50A6">
          <w:rPr>
            <w:rStyle w:val="Hipervnculo"/>
            <w:sz w:val="16"/>
            <w:szCs w:val="16"/>
            <w:lang w:val="en-US"/>
          </w:rPr>
          <w:t>https://www.osce. org/odihr/19223?download=true</w:t>
        </w:r>
      </w:hyperlink>
      <w:r w:rsidRPr="00FE50A6">
        <w:rPr>
          <w:sz w:val="16"/>
          <w:szCs w:val="16"/>
          <w:lang w:val="en-US"/>
        </w:rPr>
        <w:t>.</w:t>
      </w:r>
    </w:p>
  </w:footnote>
  <w:footnote w:id="427">
    <w:p w14:paraId="11F6D691" w14:textId="77777777" w:rsidR="00E70935" w:rsidRPr="00FE50A6" w:rsidRDefault="00E70935" w:rsidP="00CD003F">
      <w:pPr>
        <w:pStyle w:val="NormalWeb"/>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Convention of the Council of Europe on Action against Trafficking in Human Beings. Article 4: </w:t>
      </w:r>
      <w:r w:rsidRPr="00FE50A6">
        <w:rPr>
          <w:rStyle w:val="normal10"/>
          <w:sz w:val="16"/>
          <w:szCs w:val="16"/>
          <w:lang w:val="en-US"/>
        </w:rPr>
        <w:t>For the purposes of this Convention:</w:t>
      </w:r>
      <w:r w:rsidRPr="00FE50A6">
        <w:rPr>
          <w:sz w:val="16"/>
          <w:szCs w:val="16"/>
          <w:lang w:val="en-US"/>
        </w:rPr>
        <w:t xml:space="preserve"> (a) </w:t>
      </w:r>
      <w:r w:rsidRPr="00FE50A6">
        <w:rPr>
          <w:rStyle w:val="normal10"/>
          <w:sz w:val="16"/>
          <w:szCs w:val="16"/>
          <w:lang w:val="en-US"/>
        </w:rPr>
        <w:t xml:space="preserve">"Trafficking in human beings"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w:t>
      </w:r>
      <w:r w:rsidRPr="00FE50A6">
        <w:rPr>
          <w:sz w:val="16"/>
          <w:szCs w:val="16"/>
          <w:lang w:val="en-US"/>
        </w:rPr>
        <w:t>(</w:t>
      </w:r>
      <w:r w:rsidRPr="00FE50A6">
        <w:rPr>
          <w:rFonts w:cs="Arial"/>
          <w:sz w:val="16"/>
          <w:szCs w:val="16"/>
          <w:lang w:val="en-US"/>
        </w:rPr>
        <w:t xml:space="preserve">b) </w:t>
      </w:r>
      <w:r w:rsidRPr="00FE50A6">
        <w:rPr>
          <w:rStyle w:val="normal10"/>
          <w:sz w:val="16"/>
          <w:szCs w:val="16"/>
          <w:lang w:val="en-US"/>
        </w:rPr>
        <w:t>The consent of a victim of “trafficking in human beings” to the intended exploitation set forth in subparagraph (a) of this article shall be irrelevant where any of the means set forth in subparagraph (a) have been used; (c)  The recruitment, transportation, transfer, harbouring or receipt of a child for the purpose of exploitation shall be considered "trafficking in human beings" even if this does not involve any of the means set forth in subparagraph (a) of this article; […].”</w:t>
      </w:r>
    </w:p>
  </w:footnote>
  <w:footnote w:id="428">
    <w:p w14:paraId="4592252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United Nations Working Group on Contemporary Forms of Slavery. Sub-Commission on Prevention of Discrimination and Protection of Minorities. Resolution E/CN.4/Sub2/RES/1998/19, </w:t>
      </w:r>
      <w:r w:rsidRPr="00FE50A6">
        <w:rPr>
          <w:iCs/>
        </w:rPr>
        <w:t>para.</w:t>
      </w:r>
      <w:r w:rsidRPr="00FE50A6">
        <w:rPr>
          <w:i/>
          <w:iCs/>
        </w:rPr>
        <w:t xml:space="preserve"> </w:t>
      </w:r>
      <w:r w:rsidRPr="00FE50A6">
        <w:t>20.</w:t>
      </w:r>
    </w:p>
  </w:footnote>
  <w:footnote w:id="429">
    <w:p w14:paraId="12A951DF"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Special Rapporteur on violence against women, its causes and consequences, UN Doc. E/CN.4/1997/47, February 12, 1997, para. 98: “</w:t>
      </w:r>
      <w:r w:rsidRPr="00FE50A6">
        <w:rPr>
          <w:rFonts w:cs="Courier New"/>
        </w:rPr>
        <w:t>Conditions under which many trafficked women are forced to work […] must be considered, without a doubt, to be within the realm of slavery and slavery-like practices</w:t>
      </w:r>
      <w:r w:rsidRPr="00FE50A6">
        <w:t>.”</w:t>
      </w:r>
    </w:p>
  </w:footnote>
  <w:footnote w:id="430">
    <w:p w14:paraId="04B68AAB" w14:textId="77777777" w:rsidR="00E70935" w:rsidRPr="00FE50A6" w:rsidRDefault="00E70935" w:rsidP="00CD003F">
      <w:pPr>
        <w:pStyle w:val="Textonotapie"/>
        <w:tabs>
          <w:tab w:val="clear" w:pos="4419"/>
          <w:tab w:val="clear" w:pos="8838"/>
          <w:tab w:val="right" w:pos="0"/>
        </w:tabs>
        <w:spacing w:after="80"/>
        <w:rPr>
          <w:i/>
          <w:iCs/>
        </w:rPr>
      </w:pPr>
      <w:r w:rsidRPr="00FE50A6">
        <w:rPr>
          <w:rStyle w:val="Refdenotaalpie"/>
          <w:szCs w:val="16"/>
        </w:rPr>
        <w:footnoteRef/>
      </w:r>
      <w:r w:rsidRPr="00FE50A6">
        <w:t xml:space="preserve"> Report of the Special Rapporteur on contemporary forms of slavery, including its causes and consequences. UN Doc. A/HRC/12/21, July 10, 2009, para. 66.</w:t>
      </w:r>
    </w:p>
  </w:footnote>
  <w:footnote w:id="431">
    <w:p w14:paraId="69F26D81" w14:textId="77777777" w:rsidR="00E70935" w:rsidRPr="00FE50A6" w:rsidRDefault="00E70935" w:rsidP="00CD003F">
      <w:pPr>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Report of the Special Rapporteur on trafficking in persons, especially women and children</w:t>
      </w:r>
      <w:r w:rsidRPr="00FE50A6">
        <w:rPr>
          <w:i/>
          <w:iCs/>
          <w:sz w:val="16"/>
          <w:szCs w:val="16"/>
          <w:lang w:val="en-US"/>
        </w:rPr>
        <w:t xml:space="preserve">. </w:t>
      </w:r>
      <w:r w:rsidRPr="00FE50A6">
        <w:rPr>
          <w:sz w:val="16"/>
          <w:szCs w:val="16"/>
          <w:lang w:val="en-US"/>
        </w:rPr>
        <w:t>UN doc. A/HRC/10/16, February 20, 2009, para. 6: “The world today is confronted with a huge human trafficking problem, driven by the same forces that drive the globalization of markets, as there is no lack of demand and supply. In varying degrees and circumstances, men, women and children all over the world are victims of what has become a modern-day slave trade.”</w:t>
      </w:r>
    </w:p>
  </w:footnote>
  <w:footnote w:id="432">
    <w:p w14:paraId="145FCE3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Report of the Special Rapporteur on trafficking in persons, especially women and children, para.19.</w:t>
      </w:r>
    </w:p>
  </w:footnote>
  <w:footnote w:id="433">
    <w:p w14:paraId="3A772AD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European Convention on Human Rights, Article 4: Prohibition of slavery and forced labour 1. No one shall be held in slavery or servitude. 2. No one shall be required to perform forced or compulsory labour […].</w:t>
      </w:r>
    </w:p>
  </w:footnote>
  <w:footnote w:id="434">
    <w:p w14:paraId="08B239B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Rantsev v. Cyprus and Russia</w:t>
      </w:r>
      <w:r w:rsidRPr="00FE50A6">
        <w:t>, para. 282.</w:t>
      </w:r>
    </w:p>
  </w:footnote>
  <w:footnote w:id="435">
    <w:p w14:paraId="385C03C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Rantsev v. Cyprus and Russia</w:t>
      </w:r>
      <w:r w:rsidRPr="00FE50A6">
        <w:t>, para. 281.</w:t>
      </w:r>
      <w:r w:rsidRPr="00FE50A6">
        <w:tab/>
      </w:r>
    </w:p>
  </w:footnote>
  <w:footnote w:id="436">
    <w:p w14:paraId="3D08F5C1"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ECHR, </w:t>
      </w:r>
      <w:r w:rsidRPr="00FE50A6">
        <w:rPr>
          <w:i/>
        </w:rPr>
        <w:t>Case of Rantsev v. Cyprus and Russia,</w:t>
      </w:r>
      <w:r w:rsidRPr="00FE50A6">
        <w:t xml:space="preserve"> para. 280.</w:t>
      </w:r>
    </w:p>
  </w:footnote>
  <w:footnote w:id="437">
    <w:p w14:paraId="1BC8C38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w:t>
      </w:r>
      <w:r w:rsidRPr="00FE50A6">
        <w:t xml:space="preserve"> </w:t>
      </w:r>
      <w:r w:rsidRPr="00FE50A6">
        <w:rPr>
          <w:i/>
        </w:rPr>
        <w:t>Case of Boyce et al. v. Barbados</w:t>
      </w:r>
      <w:r w:rsidRPr="00FE50A6">
        <w:t xml:space="preserve">, </w:t>
      </w:r>
      <w:r w:rsidRPr="00FE50A6">
        <w:rPr>
          <w:i/>
        </w:rPr>
        <w:t>Preliminary objection, merits, reparations and costs</w:t>
      </w:r>
      <w:r w:rsidRPr="00FE50A6">
        <w:t xml:space="preserve">. Judgment of November 20, 2007. Series C No. 169, para. 52, and </w:t>
      </w:r>
      <w:r w:rsidRPr="00FE50A6">
        <w:rPr>
          <w:i/>
        </w:rPr>
        <w:t>Case of Wong Ho Wing v. Peru</w:t>
      </w:r>
      <w:r w:rsidRPr="00FE50A6">
        <w:t xml:space="preserve">. </w:t>
      </w:r>
      <w:r w:rsidRPr="00FE50A6">
        <w:rPr>
          <w:i/>
        </w:rPr>
        <w:t>Preliminary objections, merits, reparations and costs</w:t>
      </w:r>
      <w:r w:rsidRPr="00FE50A6">
        <w:t>. Judgment of June 30, 2015. Series C No. 297, para. 126.</w:t>
      </w:r>
    </w:p>
  </w:footnote>
  <w:footnote w:id="438">
    <w:p w14:paraId="00011644"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“Exploitation shall include, at a minimum, the exploitation of the prostitution of others or other forms of sexual exploitation, forced labor or services, slavery or practices similar to slavery, servitude and the removal of organs.” Protocol of Palermo, Article 3. Written expert opinion of Jean Allain, evidence file, folios 14986 and 14987.</w:t>
      </w:r>
    </w:p>
  </w:footnote>
  <w:footnote w:id="439">
    <w:p w14:paraId="44BFDF7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 the Ituango Massacres</w:t>
      </w:r>
      <w:r w:rsidRPr="00FE50A6">
        <w:t>, paras. 155 to 160.</w:t>
      </w:r>
    </w:p>
  </w:footnote>
  <w:footnote w:id="440">
    <w:p w14:paraId="0FED550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w:t>
      </w:r>
      <w:r w:rsidRPr="00FE50A6">
        <w:t xml:space="preserve"> </w:t>
      </w:r>
      <w:r w:rsidRPr="00FE50A6">
        <w:rPr>
          <w:i/>
        </w:rPr>
        <w:t>Case of the Ituango Massacres</w:t>
      </w:r>
      <w:r w:rsidRPr="00FE50A6">
        <w:t xml:space="preserve">, para. 160. </w:t>
      </w:r>
    </w:p>
  </w:footnote>
  <w:footnote w:id="441">
    <w:p w14:paraId="1EE442C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w:t>
      </w:r>
      <w:r w:rsidRPr="00FE50A6">
        <w:t xml:space="preserve"> </w:t>
      </w:r>
      <w:r w:rsidRPr="00FE50A6">
        <w:rPr>
          <w:i/>
        </w:rPr>
        <w:t>Case of the Ituango Massacres,</w:t>
      </w:r>
      <w:r w:rsidRPr="00FE50A6">
        <w:t xml:space="preserve"> para. 160.</w:t>
      </w:r>
    </w:p>
  </w:footnote>
  <w:footnote w:id="442">
    <w:p w14:paraId="35E31746" w14:textId="77777777" w:rsidR="00E70935" w:rsidRPr="00FE50A6" w:rsidRDefault="00E70935" w:rsidP="00CD003F">
      <w:pPr>
        <w:pStyle w:val="Textonotapie"/>
        <w:tabs>
          <w:tab w:val="clear" w:pos="4419"/>
          <w:tab w:val="clear" w:pos="8838"/>
          <w:tab w:val="right" w:pos="0"/>
        </w:tabs>
        <w:spacing w:after="80"/>
        <w:rPr>
          <w:b/>
        </w:rPr>
      </w:pPr>
      <w:r w:rsidRPr="00FE50A6">
        <w:rPr>
          <w:rStyle w:val="Refdenotaalpie"/>
          <w:szCs w:val="16"/>
        </w:rPr>
        <w:footnoteRef/>
      </w:r>
      <w:r w:rsidRPr="00FE50A6">
        <w:t xml:space="preserve"> </w:t>
      </w:r>
      <w:r w:rsidRPr="00FE50A6">
        <w:rPr>
          <w:i/>
        </w:rPr>
        <w:t xml:space="preserve">Cf. Case of the Ituango Massacres, </w:t>
      </w:r>
      <w:r w:rsidRPr="00FE50A6">
        <w:t>para. 161.</w:t>
      </w:r>
    </w:p>
  </w:footnote>
  <w:footnote w:id="443">
    <w:p w14:paraId="6400B4BD"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Case of the Ituango Massacres, </w:t>
      </w:r>
      <w:r w:rsidRPr="00FE50A6">
        <w:t>para. 164.</w:t>
      </w:r>
    </w:p>
  </w:footnote>
  <w:footnote w:id="444">
    <w:p w14:paraId="0A22AE7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Inter alia</w:t>
      </w:r>
      <w:r w:rsidRPr="00FE50A6">
        <w:t>, Communication PRT 8ª 2357/2001, of June 21, 2001, (evidence file, folios 1031 to 1036).</w:t>
      </w:r>
    </w:p>
  </w:footnote>
  <w:footnote w:id="445">
    <w:p w14:paraId="6F8C1C70" w14:textId="77777777" w:rsidR="00E70935" w:rsidRPr="00FE50A6" w:rsidRDefault="00E70935" w:rsidP="00CD003F">
      <w:pPr>
        <w:pStyle w:val="Textonotapie"/>
        <w:spacing w:after="80"/>
      </w:pPr>
      <w:r w:rsidRPr="00FE50A6">
        <w:rPr>
          <w:rStyle w:val="Refdenotaalpie"/>
          <w:szCs w:val="16"/>
        </w:rPr>
        <w:footnoteRef/>
      </w:r>
      <w:r w:rsidRPr="00FE50A6">
        <w:rPr>
          <w:lang w:val="es-CR"/>
        </w:rPr>
        <w:t xml:space="preserve"> </w:t>
      </w:r>
      <w:r w:rsidRPr="00FE50A6">
        <w:rPr>
          <w:i/>
          <w:lang w:val="es-CR"/>
        </w:rPr>
        <w:t>Cf. Case of Fernández Ortega et al. v. Mexico</w:t>
      </w:r>
      <w:r w:rsidRPr="00FE50A6">
        <w:rPr>
          <w:lang w:val="es-CR"/>
        </w:rPr>
        <w:t xml:space="preserve">. </w:t>
      </w:r>
      <w:r w:rsidRPr="00FE50A6">
        <w:rPr>
          <w:i/>
        </w:rPr>
        <w:t>Preliminary objections, merits, reparations and costs</w:t>
      </w:r>
      <w:r w:rsidRPr="00FE50A6">
        <w:t xml:space="preserve">. Judgment of August 30, 2010. Series C No. 215, paras. 132, 150 and 202, and </w:t>
      </w:r>
      <w:r w:rsidRPr="00FE50A6">
        <w:rPr>
          <w:i/>
        </w:rPr>
        <w:t>Case of Canales Huapaya et al. v. Peru. Preliminary objections, merits, reparations and costs</w:t>
      </w:r>
      <w:r w:rsidRPr="00FE50A6">
        <w:t xml:space="preserve">. Judgment of June 24, 2015. Series C No. 296, para. 114. </w:t>
      </w:r>
    </w:p>
  </w:footnote>
  <w:footnote w:id="446">
    <w:p w14:paraId="6D2BF5A3"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b/>
          <w:bCs/>
        </w:rPr>
        <w:t> </w:t>
      </w:r>
      <w:r w:rsidRPr="00FE50A6">
        <w:rPr>
          <w:bCs/>
        </w:rPr>
        <w:t>Reduction to a condition similar to that of a slave:</w:t>
      </w:r>
    </w:p>
    <w:p w14:paraId="4A7B5F48" w14:textId="77777777" w:rsidR="00E70935" w:rsidRPr="00FE50A6" w:rsidRDefault="00E70935" w:rsidP="00EB731A">
      <w:pPr>
        <w:autoSpaceDE w:val="0"/>
        <w:autoSpaceDN w:val="0"/>
        <w:adjustRightInd w:val="0"/>
        <w:spacing w:after="80"/>
        <w:ind w:right="22"/>
        <w:jc w:val="both"/>
        <w:rPr>
          <w:rFonts w:cs="Times New Roman"/>
          <w:sz w:val="16"/>
          <w:szCs w:val="20"/>
          <w:lang w:val="en-US"/>
        </w:rPr>
      </w:pPr>
      <w:bookmarkStart w:id="324" w:name="_Hlk10355683"/>
      <w:r w:rsidRPr="00FE50A6">
        <w:rPr>
          <w:rFonts w:cs="Arial"/>
          <w:sz w:val="16"/>
          <w:szCs w:val="20"/>
          <w:lang w:val="en-US"/>
        </w:rPr>
        <w:t xml:space="preserve">Art. 149. To reduce someone to a condition analogous to that of a slave, or to subject that person to forced labor or to arduous working days, or to subject them to degrading working conditions, or to restrict, in any manner whatsoever, their mobility by reason of a debt contracted in respect of the employer or a representative of that employer. </w:t>
      </w:r>
    </w:p>
    <w:p w14:paraId="7A032ABD" w14:textId="77777777" w:rsidR="00E70935" w:rsidRPr="00FE50A6" w:rsidRDefault="00E70935" w:rsidP="00EB731A">
      <w:pPr>
        <w:autoSpaceDE w:val="0"/>
        <w:autoSpaceDN w:val="0"/>
        <w:adjustRightInd w:val="0"/>
        <w:spacing w:after="80"/>
        <w:ind w:right="22"/>
        <w:jc w:val="both"/>
        <w:rPr>
          <w:rFonts w:cs="Times New Roman"/>
          <w:sz w:val="16"/>
          <w:szCs w:val="20"/>
          <w:lang w:val="en-US"/>
        </w:rPr>
      </w:pPr>
      <w:r w:rsidRPr="00FE50A6">
        <w:rPr>
          <w:rFonts w:cs="Arial"/>
          <w:sz w:val="16"/>
          <w:szCs w:val="20"/>
          <w:lang w:val="en-US"/>
        </w:rPr>
        <w:t>Penalty – two to eight years’ imprisonment and a fine, in addition to the penalty corresponding to violence.</w:t>
      </w:r>
    </w:p>
    <w:p w14:paraId="668B8FD7"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 xml:space="preserve">1. The same penalty is applicable to those who: </w:t>
      </w:r>
    </w:p>
    <w:p w14:paraId="131A1CA0"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 xml:space="preserve">I. prevent employees from using any means of transportation in order to retain them at the place of work. </w:t>
      </w:r>
    </w:p>
    <w:p w14:paraId="6BC8E0B7"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 xml:space="preserve">II. maintain constant surveillance in the place of work, or appropriate workers’ personal papers or property in order to retain them at the place of work. </w:t>
      </w:r>
    </w:p>
    <w:p w14:paraId="1461CE56"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 xml:space="preserve">2. The penalty shall be increased by half if the offense is committed: </w:t>
      </w:r>
    </w:p>
    <w:p w14:paraId="0735647B"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 xml:space="preserve">I.  against a child or adolescent; </w:t>
      </w:r>
    </w:p>
    <w:p w14:paraId="265C6EBE" w14:textId="77777777" w:rsidR="00E70935" w:rsidRPr="00FE50A6" w:rsidRDefault="00E70935" w:rsidP="00EB731A">
      <w:pPr>
        <w:autoSpaceDE w:val="0"/>
        <w:autoSpaceDN w:val="0"/>
        <w:adjustRightInd w:val="0"/>
        <w:spacing w:after="80"/>
        <w:ind w:right="22"/>
        <w:jc w:val="both"/>
        <w:rPr>
          <w:rFonts w:cs="Arial"/>
          <w:sz w:val="16"/>
          <w:szCs w:val="20"/>
          <w:lang w:val="en-US"/>
        </w:rPr>
      </w:pPr>
      <w:r w:rsidRPr="00FE50A6">
        <w:rPr>
          <w:rFonts w:cs="Arial"/>
          <w:sz w:val="16"/>
          <w:szCs w:val="20"/>
          <w:lang w:val="en-US"/>
        </w:rPr>
        <w:t>II. based on race, color, ethnicity, religion or origin.</w:t>
      </w:r>
      <w:bookmarkEnd w:id="324"/>
    </w:p>
  </w:footnote>
  <w:footnote w:id="447">
    <w:p w14:paraId="4311415F"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t xml:space="preserve"> </w:t>
      </w:r>
      <w:r w:rsidRPr="00FE50A6">
        <w:rPr>
          <w:i/>
        </w:rPr>
        <w:t>Cf. Case of Apitz Barbera et al. (“</w:t>
      </w:r>
      <w:proofErr w:type="gramStart"/>
      <w:r w:rsidRPr="00FE50A6">
        <w:rPr>
          <w:i/>
        </w:rPr>
        <w:t>First  Administrative</w:t>
      </w:r>
      <w:proofErr w:type="gramEnd"/>
      <w:r w:rsidRPr="00FE50A6">
        <w:rPr>
          <w:i/>
        </w:rPr>
        <w:t xml:space="preserve"> Contentious Court”) v. Venezuela. Preliminary objection, merits, reparations and costs. </w:t>
      </w:r>
      <w:r w:rsidRPr="00FE50A6">
        <w:t xml:space="preserve">Judgment of August 5, 2008. Series C No. 182, para. </w:t>
      </w:r>
      <w:r w:rsidRPr="00E70935">
        <w:rPr>
          <w:lang w:val="es-CR"/>
        </w:rPr>
        <w:t xml:space="preserve">218, and </w:t>
      </w:r>
      <w:r w:rsidRPr="00E70935">
        <w:rPr>
          <w:i/>
          <w:lang w:val="es-CR"/>
        </w:rPr>
        <w:t xml:space="preserve">Case of Ruano Torres et al. v. El Salvador. </w:t>
      </w:r>
      <w:r w:rsidRPr="00FE50A6">
        <w:rPr>
          <w:i/>
        </w:rPr>
        <w:t xml:space="preserve">Merits, reparations and costs. </w:t>
      </w:r>
      <w:r w:rsidRPr="00FE50A6">
        <w:t xml:space="preserve">Judgment of October 5, 2015. Series C No. 303, para. </w:t>
      </w:r>
      <w:r w:rsidRPr="00FE50A6">
        <w:rPr>
          <w:lang w:val="es-CR"/>
        </w:rPr>
        <w:t>29.</w:t>
      </w:r>
    </w:p>
  </w:footnote>
  <w:footnote w:id="448">
    <w:p w14:paraId="0805A4E5" w14:textId="77777777" w:rsidR="00E70935" w:rsidRPr="00FE50A6" w:rsidRDefault="00E70935" w:rsidP="00CD003F">
      <w:pPr>
        <w:pStyle w:val="Textonotapie"/>
        <w:spacing w:after="80"/>
        <w:rPr>
          <w:lang w:val="es-CR"/>
        </w:rPr>
      </w:pPr>
      <w:r w:rsidRPr="00FE50A6">
        <w:rPr>
          <w:rStyle w:val="Refdenotaalpie"/>
        </w:rPr>
        <w:footnoteRef/>
      </w:r>
      <w:r w:rsidRPr="00FE50A6">
        <w:rPr>
          <w:lang w:val="es-CR"/>
        </w:rPr>
        <w:t xml:space="preserve"> Original: “</w:t>
      </w:r>
      <w:r w:rsidRPr="00FE50A6">
        <w:rPr>
          <w:i/>
          <w:lang w:val="es-CR"/>
        </w:rPr>
        <w:t>Por óbvio, nem toda violação dos direitos trabalhistas configura trabalho escravo. Contudo, se a afronta aos direitos assegurados pela legislação regente do trabalho é intensa and persistente, se atinge níveis gritantes and se os trabalhadores são submetidos a trabalhos forçados, jornadas exaustivas ou a condições degradantes, é possível, em tese, o enquadramento no crime do art. 149 do Penal Code, pois conferido aos trabalhadores tratamento análogo ao de escravos, com a privação de sua liberdade and sobretudo de sua dignidade, mesmo na ausência de coação direta contra a liberdade de ir and vir</w:t>
      </w:r>
      <w:r w:rsidRPr="00FE50A6">
        <w:rPr>
          <w:lang w:val="es-CR"/>
        </w:rPr>
        <w:t>.”</w:t>
      </w:r>
    </w:p>
  </w:footnote>
  <w:footnote w:id="449">
    <w:p w14:paraId="5B938E53" w14:textId="77777777" w:rsidR="00E70935" w:rsidRPr="00FE50A6" w:rsidRDefault="00E70935" w:rsidP="00CD003F">
      <w:pPr>
        <w:pStyle w:val="Textonotapie"/>
        <w:tabs>
          <w:tab w:val="clear" w:pos="4419"/>
          <w:tab w:val="clear" w:pos="8838"/>
          <w:tab w:val="right" w:pos="0"/>
        </w:tabs>
        <w:spacing w:after="80"/>
        <w:rPr>
          <w:b/>
          <w:i/>
        </w:rPr>
      </w:pPr>
      <w:r w:rsidRPr="00FE50A6">
        <w:rPr>
          <w:rStyle w:val="Refdenotaalpie"/>
          <w:szCs w:val="16"/>
        </w:rPr>
        <w:footnoteRef/>
      </w:r>
      <w:r w:rsidRPr="00FE50A6">
        <w:t xml:space="preserve"> </w:t>
      </w:r>
      <w:r w:rsidRPr="00FE50A6">
        <w:rPr>
          <w:i/>
        </w:rPr>
        <w:t>Case of the Pueblo Bello Massacre v. Colombia</w:t>
      </w:r>
      <w:r w:rsidRPr="00FE50A6">
        <w:t xml:space="preserve">. </w:t>
      </w:r>
      <w:r w:rsidRPr="00FE50A6">
        <w:rPr>
          <w:i/>
          <w:color w:val="000000"/>
        </w:rPr>
        <w:t>Merits, reparations and costs.</w:t>
      </w:r>
      <w:r w:rsidRPr="00FE50A6">
        <w:rPr>
          <w:color w:val="000000"/>
        </w:rPr>
        <w:t xml:space="preserve"> Judgment of January 31, 2006. Series C No. 140</w:t>
      </w:r>
      <w:r w:rsidRPr="00FE50A6">
        <w:t xml:space="preserve">, para. 111, and </w:t>
      </w:r>
      <w:r w:rsidRPr="00FE50A6">
        <w:rPr>
          <w:bCs/>
          <w:i/>
        </w:rPr>
        <w:t xml:space="preserve">Case of Wong Ho Wing v. Peru. Preliminary objection, merits, reparations and costs. </w:t>
      </w:r>
      <w:r w:rsidRPr="00FE50A6">
        <w:rPr>
          <w:bCs/>
        </w:rPr>
        <w:t>Judgment of June 30, 2015. Series C No. 297, para.</w:t>
      </w:r>
      <w:r w:rsidRPr="00FE50A6">
        <w:t xml:space="preserve"> 128.</w:t>
      </w:r>
    </w:p>
  </w:footnote>
  <w:footnote w:id="450">
    <w:p w14:paraId="46C7FBA4" w14:textId="77777777" w:rsidR="00E70935" w:rsidRPr="00FE50A6" w:rsidRDefault="00E70935" w:rsidP="00CD003F">
      <w:pPr>
        <w:pStyle w:val="Textonotapie"/>
        <w:tabs>
          <w:tab w:val="clear" w:pos="4419"/>
          <w:tab w:val="clear" w:pos="8838"/>
          <w:tab w:val="right" w:pos="0"/>
        </w:tabs>
        <w:spacing w:after="80"/>
        <w:ind w:right="18"/>
      </w:pPr>
      <w:r w:rsidRPr="00FE50A6">
        <w:rPr>
          <w:rStyle w:val="Refdenotaalpie"/>
          <w:szCs w:val="16"/>
        </w:rPr>
        <w:footnoteRef/>
      </w:r>
      <w:r w:rsidRPr="00FE50A6">
        <w:t xml:space="preserve"> </w:t>
      </w:r>
      <w:r w:rsidRPr="00FE50A6">
        <w:rPr>
          <w:i/>
        </w:rPr>
        <w:t>Cf. Case of the Pueblo Bello Massacre</w:t>
      </w:r>
      <w:r w:rsidRPr="00FE50A6">
        <w:t xml:space="preserve">, para. 120, and </w:t>
      </w:r>
      <w:r w:rsidRPr="00FE50A6">
        <w:rPr>
          <w:bCs/>
          <w:i/>
        </w:rPr>
        <w:t>Case of Rodríguez Vera et al. (Disappeared from the Palace of Justice)</w:t>
      </w:r>
      <w:r w:rsidRPr="00FE50A6">
        <w:rPr>
          <w:bCs/>
        </w:rPr>
        <w:t>, para. 518.</w:t>
      </w:r>
      <w:r w:rsidRPr="00FE50A6">
        <w:t xml:space="preserve"> </w:t>
      </w:r>
    </w:p>
  </w:footnote>
  <w:footnote w:id="451">
    <w:p w14:paraId="010D953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See expert opinion of Jean Allain, (evidence file, folio 14921).</w:t>
      </w:r>
    </w:p>
  </w:footnote>
  <w:footnote w:id="452">
    <w:p w14:paraId="012292F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In this regard, see the United Nations Guiding Principles on Business and </w:t>
      </w:r>
      <w:r w:rsidRPr="00FE50A6">
        <w:rPr>
          <w:iCs/>
        </w:rPr>
        <w:t>Human Rights, Human Rights Council, U.N. Doc. A/HRC/17/31, of March 21, 2011.</w:t>
      </w:r>
    </w:p>
  </w:footnote>
  <w:footnote w:id="453">
    <w:p w14:paraId="266CA663" w14:textId="77777777" w:rsidR="00E70935" w:rsidRPr="00FE50A6" w:rsidRDefault="00E70935" w:rsidP="00CD003F">
      <w:pPr>
        <w:pStyle w:val="Textonotapie"/>
        <w:tabs>
          <w:tab w:val="clear" w:pos="4419"/>
          <w:tab w:val="clear" w:pos="8838"/>
          <w:tab w:val="right" w:pos="0"/>
        </w:tabs>
        <w:spacing w:after="80"/>
        <w:ind w:right="18"/>
        <w:rPr>
          <w:b/>
        </w:rPr>
      </w:pPr>
      <w:r w:rsidRPr="00FE50A6">
        <w:rPr>
          <w:rStyle w:val="Refdenotaalpie"/>
          <w:szCs w:val="16"/>
        </w:rPr>
        <w:footnoteRef/>
      </w:r>
      <w:r w:rsidRPr="00FE50A6">
        <w:t xml:space="preserve"> </w:t>
      </w:r>
      <w:r w:rsidRPr="00FE50A6">
        <w:rPr>
          <w:i/>
        </w:rPr>
        <w:t xml:space="preserve">Cf. </w:t>
      </w:r>
      <w:r w:rsidRPr="00FE50A6">
        <w:rPr>
          <w:rFonts w:cs="Verdana"/>
          <w:i/>
          <w:iCs/>
        </w:rPr>
        <w:t>Case of Velásquez Rodríguez v. Honduras</w:t>
      </w:r>
      <w:r w:rsidRPr="00FE50A6">
        <w:rPr>
          <w:rFonts w:cs="Verdana"/>
          <w:i/>
        </w:rPr>
        <w:t xml:space="preserve">. </w:t>
      </w:r>
      <w:r w:rsidRPr="00FE50A6">
        <w:rPr>
          <w:rFonts w:cs="Verdana"/>
          <w:i/>
          <w:iCs/>
        </w:rPr>
        <w:t xml:space="preserve">Merits, </w:t>
      </w:r>
      <w:r w:rsidRPr="00FE50A6">
        <w:rPr>
          <w:rFonts w:cs="Verdana"/>
        </w:rPr>
        <w:t xml:space="preserve">para. 166; </w:t>
      </w:r>
      <w:r w:rsidRPr="00FE50A6">
        <w:rPr>
          <w:rFonts w:cs="Verdana"/>
          <w:i/>
          <w:iCs/>
        </w:rPr>
        <w:t xml:space="preserve">Case of Velásquez Paiz et al. v. Guatemala. Preliminary objections, merits, reparations and costs. </w:t>
      </w:r>
      <w:r w:rsidRPr="00FE50A6">
        <w:rPr>
          <w:rFonts w:cs="Verdana"/>
          <w:iCs/>
        </w:rPr>
        <w:t>Judgment of November 19, 2015. Series C No. 307</w:t>
      </w:r>
      <w:r w:rsidRPr="00FE50A6">
        <w:rPr>
          <w:i/>
        </w:rPr>
        <w:t xml:space="preserve">, </w:t>
      </w:r>
      <w:r w:rsidRPr="00FE50A6">
        <w:rPr>
          <w:color w:val="000000"/>
        </w:rPr>
        <w:t>para. 107.</w:t>
      </w:r>
    </w:p>
  </w:footnote>
  <w:footnote w:id="454">
    <w:p w14:paraId="3137D9BA" w14:textId="77777777" w:rsidR="00E70935" w:rsidRPr="00FE50A6" w:rsidRDefault="00E70935" w:rsidP="00CD003F">
      <w:pPr>
        <w:pStyle w:val="Textonotapie"/>
        <w:tabs>
          <w:tab w:val="clear" w:pos="4419"/>
          <w:tab w:val="clear" w:pos="8838"/>
          <w:tab w:val="right" w:pos="0"/>
        </w:tabs>
        <w:spacing w:after="80"/>
        <w:ind w:right="18"/>
        <w:rPr>
          <w:b/>
        </w:rPr>
      </w:pPr>
      <w:r w:rsidRPr="00FE50A6">
        <w:rPr>
          <w:rStyle w:val="Refdenotaalpie"/>
          <w:szCs w:val="16"/>
        </w:rPr>
        <w:footnoteRef/>
      </w:r>
      <w:r w:rsidRPr="00FE50A6">
        <w:t xml:space="preserve"> </w:t>
      </w:r>
      <w:r w:rsidRPr="00FE50A6">
        <w:rPr>
          <w:i/>
        </w:rPr>
        <w:t xml:space="preserve">Cf. Case of the Pueblo Bello Massacre, </w:t>
      </w:r>
      <w:r w:rsidRPr="00FE50A6">
        <w:t xml:space="preserve">para. 123, and </w:t>
      </w:r>
      <w:r w:rsidRPr="00FE50A6">
        <w:rPr>
          <w:rFonts w:cs="Verdana"/>
          <w:i/>
          <w:iCs/>
        </w:rPr>
        <w:t>Case of Velásquez Paiz et al.</w:t>
      </w:r>
      <w:r w:rsidRPr="00FE50A6">
        <w:rPr>
          <w:bCs/>
        </w:rPr>
        <w:t>, para. 109.</w:t>
      </w:r>
      <w:r w:rsidRPr="00FE50A6">
        <w:t xml:space="preserve"> See also, ECHR, </w:t>
      </w:r>
      <w:r w:rsidRPr="00FE50A6">
        <w:rPr>
          <w:i/>
        </w:rPr>
        <w:t xml:space="preserve">Case of Kiliç v. Turkey, </w:t>
      </w:r>
      <w:r w:rsidRPr="00FE50A6">
        <w:t>No. 22492/93, Judgment of March 28, 2000, paras. 62 and 63, and ECHR,</w:t>
      </w:r>
      <w:r w:rsidRPr="00FE50A6">
        <w:rPr>
          <w:i/>
        </w:rPr>
        <w:t xml:space="preserve"> Case of Osman v. The United Kingdom</w:t>
      </w:r>
      <w:r w:rsidRPr="00FE50A6">
        <w:t>, No. 23452/94, Judgment of October 28, 1998,</w:t>
      </w:r>
      <w:r w:rsidRPr="00FE50A6">
        <w:rPr>
          <w:i/>
        </w:rPr>
        <w:t xml:space="preserve"> </w:t>
      </w:r>
      <w:r w:rsidRPr="00FE50A6">
        <w:t xml:space="preserve">paras. 115 and 116. </w:t>
      </w:r>
    </w:p>
  </w:footnote>
  <w:footnote w:id="455">
    <w:p w14:paraId="46A870C6" w14:textId="77777777" w:rsidR="00E70935" w:rsidRPr="00FE50A6" w:rsidRDefault="00E70935" w:rsidP="00CD003F">
      <w:pPr>
        <w:pStyle w:val="Textonotapie"/>
        <w:spacing w:after="80"/>
      </w:pPr>
      <w:r w:rsidRPr="00FE50A6">
        <w:rPr>
          <w:rStyle w:val="Refdenotaalpie"/>
          <w:szCs w:val="16"/>
        </w:rPr>
        <w:footnoteRef/>
      </w:r>
      <w:r w:rsidRPr="00FE50A6">
        <w:t xml:space="preserve"> The detailed analysis of these proceedings will be made in the following chapter; for now, the Court notes that these initiatives were insufficient and did not lead to identifying anyone’s responsibility.</w:t>
      </w:r>
    </w:p>
  </w:footnote>
  <w:footnote w:id="456">
    <w:p w14:paraId="46FB46F7" w14:textId="77777777" w:rsidR="00E70935" w:rsidRPr="00FE50A6" w:rsidRDefault="00E70935" w:rsidP="00CD003F">
      <w:pPr>
        <w:pStyle w:val="Textonotapie"/>
        <w:spacing w:after="80"/>
      </w:pPr>
      <w:r w:rsidRPr="00FE50A6">
        <w:rPr>
          <w:rStyle w:val="Refdenotaalpie"/>
          <w:szCs w:val="16"/>
        </w:rPr>
        <w:footnoteRef/>
      </w:r>
      <w:r w:rsidRPr="00FE50A6">
        <w:t xml:space="preserve"> See, </w:t>
      </w:r>
      <w:r w:rsidRPr="00FE50A6">
        <w:rPr>
          <w:i/>
        </w:rPr>
        <w:t>inter alia</w:t>
      </w:r>
      <w:r w:rsidRPr="00FE50A6">
        <w:t>, Statement by the President of the Republic, Fernando Henrique Cardoso, of June 27, 1995 (evidence file, folio 7108).</w:t>
      </w:r>
    </w:p>
  </w:footnote>
  <w:footnote w:id="457">
    <w:p w14:paraId="30DE4A99" w14:textId="77777777" w:rsidR="00E70935" w:rsidRPr="00FE50A6" w:rsidRDefault="00E70935" w:rsidP="00CD003F">
      <w:pPr>
        <w:pStyle w:val="Textonotapie"/>
        <w:spacing w:after="80"/>
      </w:pPr>
      <w:r w:rsidRPr="00FE50A6">
        <w:rPr>
          <w:rStyle w:val="Refdenotaalpie"/>
          <w:szCs w:val="16"/>
        </w:rPr>
        <w:footnoteRef/>
      </w:r>
      <w:r w:rsidRPr="00FE50A6">
        <w:t xml:space="preserve"> See, communication No. 2,357/2001 of the Head Prosecutor of the Eighth Regional Labor Prosecution Service of June 21, 2001 (evidence file, folios 1031 to 1036). </w:t>
      </w:r>
    </w:p>
  </w:footnote>
  <w:footnote w:id="458">
    <w:p w14:paraId="5AE09364"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bCs/>
          <w:i/>
          <w:color w:val="000000"/>
        </w:rPr>
        <w:t xml:space="preserve">Case of Gelman v. Uruguay. Merits and reparations. </w:t>
      </w:r>
      <w:r w:rsidRPr="00FE50A6">
        <w:rPr>
          <w:bCs/>
          <w:color w:val="000000"/>
        </w:rPr>
        <w:t>Judgment of February 24, 2011. Series C No. 221</w:t>
      </w:r>
      <w:r w:rsidRPr="00FE50A6">
        <w:rPr>
          <w:color w:val="000000"/>
        </w:rPr>
        <w:t xml:space="preserve">, para. 121, and </w:t>
      </w:r>
      <w:r w:rsidRPr="00FE50A6">
        <w:rPr>
          <w:i/>
          <w:color w:val="000000"/>
        </w:rPr>
        <w:t xml:space="preserve">Case of Expelled Dominicans and Haitians v. Dominican Republic. Preliminary objections, merits, reparations and costs. </w:t>
      </w:r>
      <w:r w:rsidRPr="00FE50A6">
        <w:rPr>
          <w:color w:val="000000"/>
        </w:rPr>
        <w:t xml:space="preserve">Judgment of August 28, 2014. Series C No. 282, para. 269.  </w:t>
      </w:r>
    </w:p>
  </w:footnote>
  <w:footnote w:id="459">
    <w:p w14:paraId="74834BED" w14:textId="77777777" w:rsidR="00E70935" w:rsidRPr="00FE50A6" w:rsidRDefault="00E70935" w:rsidP="00CD003F">
      <w:pPr>
        <w:pStyle w:val="Textonotapie"/>
        <w:tabs>
          <w:tab w:val="left" w:pos="567"/>
        </w:tabs>
        <w:spacing w:after="80"/>
        <w:rPr>
          <w:b/>
        </w:rPr>
      </w:pPr>
      <w:r w:rsidRPr="00FE50A6">
        <w:rPr>
          <w:rStyle w:val="Refdenotaalpie"/>
          <w:szCs w:val="16"/>
        </w:rPr>
        <w:footnoteRef/>
      </w:r>
      <w:r w:rsidRPr="00FE50A6">
        <w:rPr>
          <w:bCs/>
          <w:i/>
        </w:rPr>
        <w:t xml:space="preserve"> Cf.</w:t>
      </w:r>
      <w:r w:rsidRPr="00FE50A6">
        <w:rPr>
          <w:bCs/>
        </w:rPr>
        <w:t xml:space="preserve"> </w:t>
      </w:r>
      <w:r w:rsidRPr="00FE50A6">
        <w:rPr>
          <w:rFonts w:eastAsia="Batang"/>
          <w:i/>
        </w:rPr>
        <w:t xml:space="preserve">Juridical Status and Human Rights of the Child. </w:t>
      </w:r>
      <w:r w:rsidRPr="00FE50A6">
        <w:rPr>
          <w:rFonts w:eastAsia="Batang"/>
        </w:rPr>
        <w:t xml:space="preserve">Advisory Opinion OC-17/02 of August 28, 2002. Series A No. 17, para. 61; </w:t>
      </w:r>
      <w:r w:rsidRPr="00FE50A6">
        <w:rPr>
          <w:rFonts w:eastAsia="Batang"/>
          <w:bCs/>
          <w:i/>
        </w:rPr>
        <w:t xml:space="preserve">Rights and Guarantees of Children in the Context of Migration and/or in Need of International Protection. </w:t>
      </w:r>
      <w:r w:rsidRPr="00FE50A6">
        <w:rPr>
          <w:rFonts w:eastAsia="Batang"/>
          <w:bCs/>
        </w:rPr>
        <w:t>Advisory Opinion OC-21/14 of August 19, 2014. Series A No. 21</w:t>
      </w:r>
      <w:r w:rsidRPr="00FE50A6">
        <w:rPr>
          <w:rFonts w:eastAsia="Batang"/>
          <w:bCs/>
          <w:i/>
        </w:rPr>
        <w:t xml:space="preserve">, </w:t>
      </w:r>
      <w:r w:rsidRPr="00FE50A6">
        <w:t xml:space="preserve">para. 66, and </w:t>
      </w:r>
      <w:r w:rsidRPr="00FE50A6">
        <w:rPr>
          <w:i/>
        </w:rPr>
        <w:t>Case of</w:t>
      </w:r>
      <w:r w:rsidRPr="00FE50A6">
        <w:t xml:space="preserve"> </w:t>
      </w:r>
      <w:r w:rsidRPr="00FE50A6">
        <w:rPr>
          <w:i/>
        </w:rPr>
        <w:t>Rochac Hernández</w:t>
      </w:r>
      <w:r w:rsidRPr="00FE50A6">
        <w:t>, para. 106.</w:t>
      </w:r>
    </w:p>
  </w:footnote>
  <w:footnote w:id="460">
    <w:p w14:paraId="6C04B2D0" w14:textId="77777777" w:rsidR="00E70935" w:rsidRPr="00FE50A6" w:rsidRDefault="00E70935" w:rsidP="00CD003F">
      <w:pPr>
        <w:tabs>
          <w:tab w:val="left" w:pos="567"/>
        </w:tabs>
        <w:spacing w:after="80"/>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eastAsia="Batang"/>
          <w:i/>
          <w:sz w:val="16"/>
          <w:szCs w:val="16"/>
          <w:lang w:val="en-US"/>
        </w:rPr>
        <w:t>Cf. Case of the “Street Children” (Villagrán Morales et al.) v. Guatemala. Merits</w:t>
      </w:r>
      <w:r w:rsidRPr="00FE50A6">
        <w:rPr>
          <w:rFonts w:eastAsia="Batang"/>
          <w:sz w:val="16"/>
          <w:szCs w:val="16"/>
          <w:lang w:val="en-US"/>
        </w:rPr>
        <w:t xml:space="preserve">, para. 194, and </w:t>
      </w:r>
      <w:r w:rsidRPr="00FE50A6">
        <w:rPr>
          <w:rFonts w:eastAsia="Batang"/>
          <w:i/>
          <w:sz w:val="16"/>
          <w:szCs w:val="16"/>
          <w:lang w:val="en-US"/>
        </w:rPr>
        <w:t xml:space="preserve">Case of </w:t>
      </w:r>
      <w:r w:rsidRPr="00FE50A6">
        <w:rPr>
          <w:i/>
          <w:sz w:val="16"/>
          <w:szCs w:val="16"/>
          <w:lang w:val="en-US"/>
        </w:rPr>
        <w:t>Rochac Hernández et al.</w:t>
      </w:r>
      <w:r w:rsidRPr="00FE50A6">
        <w:rPr>
          <w:sz w:val="16"/>
          <w:szCs w:val="16"/>
          <w:lang w:val="en-US"/>
        </w:rPr>
        <w:t>, para. 106.</w:t>
      </w:r>
    </w:p>
  </w:footnote>
  <w:footnote w:id="461">
    <w:p w14:paraId="0B4CCF2D" w14:textId="77777777" w:rsidR="00E70935" w:rsidRPr="00FE50A6" w:rsidRDefault="00E70935" w:rsidP="00CD003F">
      <w:pPr>
        <w:pStyle w:val="Textonotapie"/>
        <w:spacing w:after="80"/>
      </w:pPr>
      <w:r w:rsidRPr="00FE50A6">
        <w:rPr>
          <w:rStyle w:val="Refdenotaalpie"/>
          <w:szCs w:val="16"/>
        </w:rPr>
        <w:footnoteRef/>
      </w:r>
      <w:r w:rsidRPr="00FE50A6">
        <w:t xml:space="preserve">  ILO, Convention No. 138 concerning Minimum Age for Admission to Employment (Entry into force: June 19, 1976); Convention No. 182, Preamble and Article 3.</w:t>
      </w:r>
    </w:p>
  </w:footnote>
  <w:footnote w:id="462">
    <w:p w14:paraId="1CB49D55" w14:textId="77777777" w:rsidR="00E70935" w:rsidRPr="00FE50A6" w:rsidRDefault="00E70935" w:rsidP="00CD003F">
      <w:pPr>
        <w:pStyle w:val="Textonotapie"/>
        <w:spacing w:after="80"/>
      </w:pPr>
      <w:r w:rsidRPr="00FE50A6">
        <w:rPr>
          <w:rStyle w:val="Refdenotaalpie"/>
          <w:szCs w:val="16"/>
        </w:rPr>
        <w:footnoteRef/>
      </w:r>
      <w:r w:rsidRPr="00FE50A6">
        <w:t xml:space="preserve"> ILO, Convention No. 182, Article 3.</w:t>
      </w:r>
    </w:p>
  </w:footnote>
  <w:footnote w:id="463">
    <w:p w14:paraId="58049141" w14:textId="77777777" w:rsidR="00E70935" w:rsidRPr="00FE50A6" w:rsidRDefault="00E70935" w:rsidP="00CD003F">
      <w:pPr>
        <w:pStyle w:val="Textonotapie"/>
        <w:tabs>
          <w:tab w:val="left" w:pos="567"/>
          <w:tab w:val="left" w:pos="720"/>
        </w:tabs>
        <w:spacing w:after="80"/>
      </w:pPr>
      <w:r w:rsidRPr="00FE50A6">
        <w:rPr>
          <w:rStyle w:val="Refdenotaalpie"/>
          <w:szCs w:val="16"/>
        </w:rPr>
        <w:footnoteRef/>
      </w:r>
      <w:r w:rsidRPr="00FE50A6">
        <w:t xml:space="preserve"> </w:t>
      </w:r>
      <w:r w:rsidRPr="00FE50A6">
        <w:rPr>
          <w:i/>
        </w:rPr>
        <w:t xml:space="preserve">Cf. </w:t>
      </w:r>
      <w:r w:rsidRPr="00FE50A6">
        <w:rPr>
          <w:rFonts w:eastAsia="Batang"/>
          <w:bCs/>
        </w:rPr>
        <w:t xml:space="preserve">Convention on the Rights of the Child, </w:t>
      </w:r>
      <w:r w:rsidRPr="00FE50A6">
        <w:rPr>
          <w:rFonts w:eastAsia="Batang"/>
        </w:rPr>
        <w:t>Article</w:t>
      </w:r>
      <w:r w:rsidRPr="00FE50A6">
        <w:rPr>
          <w:rFonts w:eastAsia="Batang"/>
          <w:bCs/>
        </w:rPr>
        <w:t>s 7, 8, 9, 11, 16, 18 and 32.</w:t>
      </w:r>
    </w:p>
  </w:footnote>
  <w:footnote w:id="464">
    <w:p w14:paraId="4245607A" w14:textId="77777777" w:rsidR="00E70935" w:rsidRPr="00FE50A6" w:rsidRDefault="00E70935" w:rsidP="00CD003F">
      <w:pPr>
        <w:pStyle w:val="Textonotapie"/>
        <w:spacing w:after="80"/>
      </w:pPr>
      <w:r w:rsidRPr="00FE50A6">
        <w:rPr>
          <w:rStyle w:val="Refdenotaalpie"/>
          <w:szCs w:val="16"/>
        </w:rPr>
        <w:footnoteRef/>
      </w:r>
      <w:r w:rsidRPr="00FE50A6">
        <w:t xml:space="preserve"> ILO, Convention No. 182, Article 7.</w:t>
      </w:r>
    </w:p>
  </w:footnote>
  <w:footnote w:id="465">
    <w:p w14:paraId="7A92F771" w14:textId="77777777" w:rsidR="00E70935" w:rsidRPr="00FE50A6" w:rsidRDefault="00E70935" w:rsidP="00CD003F">
      <w:pPr>
        <w:pStyle w:val="Textonotapie"/>
        <w:tabs>
          <w:tab w:val="clear" w:pos="4419"/>
          <w:tab w:val="clear" w:pos="8838"/>
          <w:tab w:val="right" w:pos="0"/>
        </w:tabs>
        <w:spacing w:after="80"/>
        <w:rPr>
          <w:i/>
        </w:rPr>
      </w:pPr>
      <w:r w:rsidRPr="00FE50A6">
        <w:rPr>
          <w:rStyle w:val="Refdenotaalpie"/>
          <w:szCs w:val="16"/>
        </w:rPr>
        <w:footnoteRef/>
      </w:r>
      <w:r w:rsidRPr="00FE50A6">
        <w:t xml:space="preserve"> </w:t>
      </w:r>
      <w:r w:rsidRPr="00FE50A6">
        <w:rPr>
          <w:i/>
        </w:rPr>
        <w:t>Cf. Proposed Amendments to the Naturalization Provision of the Constitution of Costa Rica</w:t>
      </w:r>
      <w:r w:rsidRPr="00FE50A6">
        <w:t xml:space="preserve">. Advisory Opinion OC-4/84 of January 19, 1984. Series A No. 4, paras. 53 and 54, and </w:t>
      </w:r>
      <w:r w:rsidRPr="00FE50A6">
        <w:rPr>
          <w:bCs/>
          <w:i/>
        </w:rPr>
        <w:t>Case of Duque v. Colombia</w:t>
      </w:r>
      <w:r w:rsidRPr="00FE50A6">
        <w:rPr>
          <w:bCs/>
        </w:rPr>
        <w:t xml:space="preserve">. </w:t>
      </w:r>
      <w:r w:rsidRPr="00FE50A6">
        <w:rPr>
          <w:bCs/>
          <w:i/>
        </w:rPr>
        <w:t>Preliminary objections, merits, reparations and costs</w:t>
      </w:r>
      <w:r w:rsidRPr="00FE50A6">
        <w:rPr>
          <w:bCs/>
        </w:rPr>
        <w:t>. Judgment of February 26, 2016. Series C No. 310, para. 94.</w:t>
      </w:r>
      <w:r w:rsidRPr="00FE50A6">
        <w:t xml:space="preserve"> </w:t>
      </w:r>
    </w:p>
  </w:footnote>
  <w:footnote w:id="466">
    <w:p w14:paraId="732BA30F" w14:textId="77777777" w:rsidR="00E70935" w:rsidRPr="00FE50A6" w:rsidRDefault="00E70935" w:rsidP="00CD003F">
      <w:pPr>
        <w:pStyle w:val="Textonotapie"/>
        <w:tabs>
          <w:tab w:val="clear" w:pos="4419"/>
          <w:tab w:val="clear" w:pos="8838"/>
          <w:tab w:val="right" w:pos="0"/>
        </w:tabs>
        <w:spacing w:after="80"/>
        <w:rPr>
          <w:rFonts w:cs="Vrinda"/>
        </w:rPr>
      </w:pPr>
      <w:r w:rsidRPr="00FE50A6">
        <w:rPr>
          <w:rStyle w:val="Refdenotaalpie"/>
          <w:rFonts w:cs="Vrinda"/>
          <w:szCs w:val="16"/>
        </w:rPr>
        <w:footnoteRef/>
      </w:r>
      <w:r w:rsidRPr="00FE50A6">
        <w:rPr>
          <w:rFonts w:cs="Vrinda"/>
        </w:rPr>
        <w:t xml:space="preserve"> </w:t>
      </w:r>
      <w:r w:rsidRPr="00FE50A6">
        <w:rPr>
          <w:rFonts w:cs="Vrinda"/>
          <w:i/>
        </w:rPr>
        <w:t xml:space="preserve">Cf. Case of Yatama v. </w:t>
      </w:r>
      <w:r w:rsidRPr="00FE50A6">
        <w:rPr>
          <w:i/>
        </w:rPr>
        <w:t>Nicaragua</w:t>
      </w:r>
      <w:r w:rsidRPr="00FE50A6">
        <w:rPr>
          <w:rStyle w:val="Textoennegrita"/>
          <w:rFonts w:cs="Vrinda"/>
          <w:b w:val="0"/>
          <w:i/>
        </w:rPr>
        <w:t>. Preliminary objections, merits, reparations and costs.</w:t>
      </w:r>
      <w:r w:rsidRPr="00FE50A6">
        <w:rPr>
          <w:rFonts w:cs="Vrinda"/>
        </w:rPr>
        <w:t xml:space="preserve"> Judgment of June 23, 2005.</w:t>
      </w:r>
      <w:r w:rsidRPr="00FE50A6">
        <w:rPr>
          <w:rStyle w:val="Textoennegrita"/>
          <w:rFonts w:cs="Vrinda"/>
        </w:rPr>
        <w:t xml:space="preserve"> </w:t>
      </w:r>
      <w:r w:rsidRPr="00FE50A6">
        <w:rPr>
          <w:rStyle w:val="Textoennegrita"/>
          <w:rFonts w:cs="Vrinda"/>
          <w:b w:val="0"/>
        </w:rPr>
        <w:t>Series C No. 127</w:t>
      </w:r>
      <w:r w:rsidRPr="00FE50A6">
        <w:rPr>
          <w:rFonts w:cs="Vrinda"/>
        </w:rPr>
        <w:t xml:space="preserve">, para. 186, and </w:t>
      </w:r>
      <w:r w:rsidRPr="00FE50A6">
        <w:rPr>
          <w:rFonts w:cs="Vrinda"/>
          <w:i/>
        </w:rPr>
        <w:t>Case of Duque</w:t>
      </w:r>
      <w:r w:rsidRPr="00FE50A6">
        <w:rPr>
          <w:rFonts w:cs="Vrinda"/>
        </w:rPr>
        <w:t>,</w:t>
      </w:r>
      <w:r w:rsidRPr="00FE50A6">
        <w:rPr>
          <w:rStyle w:val="Textoennegrita"/>
          <w:rFonts w:cs="Vrinda"/>
          <w:b w:val="0"/>
          <w:i/>
        </w:rPr>
        <w:t xml:space="preserve"> </w:t>
      </w:r>
      <w:r w:rsidRPr="00FE50A6">
        <w:rPr>
          <w:rStyle w:val="Textoennegrita"/>
          <w:rFonts w:cs="Vrinda"/>
          <w:b w:val="0"/>
        </w:rPr>
        <w:t>para. 94.</w:t>
      </w:r>
      <w:r w:rsidRPr="00FE50A6">
        <w:rPr>
          <w:rStyle w:val="Textoennegrita"/>
          <w:rFonts w:cs="Vrinda"/>
        </w:rPr>
        <w:t xml:space="preserve"> </w:t>
      </w:r>
    </w:p>
  </w:footnote>
  <w:footnote w:id="467">
    <w:p w14:paraId="6C1B5DC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 Apitz Barbera et al. (“</w:t>
      </w:r>
      <w:proofErr w:type="gramStart"/>
      <w:r w:rsidRPr="00FE50A6">
        <w:rPr>
          <w:i/>
        </w:rPr>
        <w:t>First  Administrative</w:t>
      </w:r>
      <w:proofErr w:type="gramEnd"/>
      <w:r w:rsidRPr="00FE50A6">
        <w:rPr>
          <w:i/>
        </w:rPr>
        <w:t xml:space="preserve"> Contentious Court”)</w:t>
      </w:r>
      <w:r w:rsidRPr="00FE50A6">
        <w:t xml:space="preserve">, para. 209, and </w:t>
      </w:r>
      <w:r w:rsidRPr="00FE50A6">
        <w:rPr>
          <w:i/>
        </w:rPr>
        <w:t>Case of Duque,</w:t>
      </w:r>
      <w:r w:rsidRPr="00FE50A6">
        <w:t xml:space="preserve"> para. 94. </w:t>
      </w:r>
    </w:p>
  </w:footnote>
  <w:footnote w:id="468">
    <w:p w14:paraId="70E96159" w14:textId="77777777" w:rsidR="00E70935" w:rsidRPr="00FE50A6" w:rsidRDefault="00E70935" w:rsidP="00CD003F">
      <w:pPr>
        <w:pStyle w:val="Textonotapie"/>
        <w:tabs>
          <w:tab w:val="clear" w:pos="4419"/>
          <w:tab w:val="clear" w:pos="8838"/>
          <w:tab w:val="right" w:pos="0"/>
        </w:tabs>
        <w:spacing w:after="80"/>
        <w:rPr>
          <w:i/>
        </w:rPr>
      </w:pPr>
      <w:r w:rsidRPr="00FE50A6">
        <w:rPr>
          <w:rStyle w:val="Refdenotaalpie"/>
          <w:szCs w:val="16"/>
        </w:rPr>
        <w:footnoteRef/>
      </w:r>
      <w:r w:rsidRPr="00FE50A6">
        <w:t xml:space="preserve"> </w:t>
      </w:r>
      <w:r w:rsidRPr="00FE50A6">
        <w:rPr>
          <w:i/>
        </w:rPr>
        <w:t>Cf. Proposed Amendments to the Naturalization Provision of the Constitution of Costa Rica</w:t>
      </w:r>
      <w:r w:rsidRPr="00FE50A6">
        <w:t xml:space="preserve">, para. 53; and </w:t>
      </w:r>
      <w:r w:rsidRPr="00FE50A6">
        <w:rPr>
          <w:i/>
        </w:rPr>
        <w:t>Case of Duque,</w:t>
      </w:r>
      <w:r w:rsidRPr="00FE50A6">
        <w:t xml:space="preserve"> para. 94. </w:t>
      </w:r>
    </w:p>
  </w:footnote>
  <w:footnote w:id="469">
    <w:p w14:paraId="44488D3E" w14:textId="77777777" w:rsidR="00E70935" w:rsidRPr="00FE50A6" w:rsidRDefault="00E70935" w:rsidP="00CD003F">
      <w:pPr>
        <w:pStyle w:val="Textonotapie"/>
        <w:tabs>
          <w:tab w:val="clear" w:pos="4419"/>
          <w:tab w:val="clear" w:pos="8838"/>
          <w:tab w:val="right" w:pos="0"/>
        </w:tabs>
        <w:spacing w:after="80"/>
        <w:rPr>
          <w:rFonts w:cs="Arial"/>
          <w:i/>
          <w:iCs/>
        </w:rPr>
      </w:pPr>
      <w:r w:rsidRPr="00FE50A6">
        <w:rPr>
          <w:rStyle w:val="Refdenotaalpie"/>
          <w:szCs w:val="16"/>
        </w:rPr>
        <w:footnoteRef/>
      </w:r>
      <w:r w:rsidRPr="00FE50A6">
        <w:t xml:space="preserve"> </w:t>
      </w:r>
      <w:r w:rsidRPr="00FE50A6">
        <w:rPr>
          <w:i/>
        </w:rPr>
        <w:t xml:space="preserve">Cf. </w:t>
      </w:r>
      <w:r w:rsidRPr="00FE50A6">
        <w:rPr>
          <w:rFonts w:cs="Arial"/>
          <w:bCs/>
          <w:i/>
        </w:rPr>
        <w:t xml:space="preserve">Juridical Status and Rights of Undocumented Migrants. </w:t>
      </w:r>
      <w:r w:rsidRPr="00FE50A6">
        <w:rPr>
          <w:rStyle w:val="Textoennegrita"/>
          <w:b w:val="0"/>
          <w:color w:val="000000"/>
          <w:shd w:val="clear" w:color="auto" w:fill="FFFFFF"/>
        </w:rPr>
        <w:t>Advisory Opinion OC-18/03 of September 17, 2003. Series A No. 18</w:t>
      </w:r>
      <w:r w:rsidRPr="00FE50A6">
        <w:rPr>
          <w:rFonts w:cs="Arial"/>
        </w:rPr>
        <w:t>, para. 85</w:t>
      </w:r>
      <w:r w:rsidRPr="00FE50A6">
        <w:rPr>
          <w:rFonts w:cs="Arial"/>
          <w:i/>
          <w:iCs/>
        </w:rPr>
        <w:t xml:space="preserve">; and </w:t>
      </w:r>
      <w:r w:rsidRPr="00FE50A6">
        <w:rPr>
          <w:i/>
        </w:rPr>
        <w:t>Case of Duque,</w:t>
      </w:r>
      <w:r w:rsidRPr="00FE50A6">
        <w:t xml:space="preserve"> para. 94.</w:t>
      </w:r>
    </w:p>
  </w:footnote>
  <w:footnote w:id="470">
    <w:p w14:paraId="2E5F4B62"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Fonts w:cs="Arial"/>
          <w:bCs/>
          <w:i/>
        </w:rPr>
        <w:t>Juridical Status and Rights of Undocumented Migrants</w:t>
      </w:r>
      <w:r w:rsidRPr="00FE50A6">
        <w:rPr>
          <w:rFonts w:cs="Arial"/>
        </w:rPr>
        <w:t xml:space="preserve">, para. 85; and </w:t>
      </w:r>
      <w:r w:rsidRPr="00FE50A6">
        <w:rPr>
          <w:i/>
        </w:rPr>
        <w:t>Case of Duque,</w:t>
      </w:r>
      <w:r w:rsidRPr="00FE50A6">
        <w:t xml:space="preserve"> para. 94.</w:t>
      </w:r>
    </w:p>
  </w:footnote>
  <w:footnote w:id="471">
    <w:p w14:paraId="18DBA97F" w14:textId="77777777" w:rsidR="00E70935" w:rsidRPr="00FE50A6" w:rsidRDefault="00E70935" w:rsidP="00CD003F">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eastAsia="Times New Roman"/>
          <w:i/>
          <w:sz w:val="16"/>
          <w:szCs w:val="16"/>
          <w:lang w:val="en-US"/>
        </w:rPr>
        <w:t xml:space="preserve">Juridical Status and Rights of Undocumented Migrants, </w:t>
      </w:r>
      <w:r w:rsidRPr="00FE50A6">
        <w:rPr>
          <w:rFonts w:eastAsia="Times New Roman"/>
          <w:sz w:val="16"/>
          <w:szCs w:val="16"/>
          <w:lang w:val="en-US"/>
        </w:rPr>
        <w:t xml:space="preserve">para. 103, and </w:t>
      </w:r>
      <w:r w:rsidRPr="00FE50A6">
        <w:rPr>
          <w:rFonts w:eastAsia="Times New Roman"/>
          <w:i/>
          <w:sz w:val="16"/>
          <w:szCs w:val="16"/>
          <w:lang w:val="en-US"/>
        </w:rPr>
        <w:t>Case of Duque</w:t>
      </w:r>
      <w:r w:rsidRPr="00FE50A6">
        <w:rPr>
          <w:sz w:val="16"/>
          <w:szCs w:val="16"/>
          <w:lang w:val="en-US"/>
        </w:rPr>
        <w:t>, para. 92.</w:t>
      </w:r>
    </w:p>
  </w:footnote>
  <w:footnote w:id="472">
    <w:p w14:paraId="3E023E22" w14:textId="77777777" w:rsidR="00E70935" w:rsidRPr="00FE50A6" w:rsidRDefault="00E70935" w:rsidP="00CD003F">
      <w:pPr>
        <w:pStyle w:val="Textonotapie"/>
        <w:tabs>
          <w:tab w:val="left" w:pos="284"/>
        </w:tabs>
        <w:spacing w:after="80"/>
      </w:pPr>
      <w:r w:rsidRPr="00FE50A6">
        <w:rPr>
          <w:rStyle w:val="Refdenotaalpie"/>
          <w:szCs w:val="16"/>
        </w:rPr>
        <w:footnoteRef/>
      </w:r>
      <w:r w:rsidRPr="00FE50A6">
        <w:t xml:space="preserve"> </w:t>
      </w:r>
      <w:r w:rsidRPr="00FE50A6">
        <w:tab/>
      </w:r>
      <w:r w:rsidRPr="00FE50A6">
        <w:rPr>
          <w:i/>
        </w:rPr>
        <w:t>Cf.</w:t>
      </w:r>
      <w:r w:rsidRPr="00FE50A6">
        <w:t xml:space="preserve"> </w:t>
      </w:r>
      <w:r w:rsidRPr="00FE50A6">
        <w:rPr>
          <w:rStyle w:val="apple-style-span"/>
          <w:rFonts w:eastAsia="Calibri"/>
          <w:bCs/>
          <w:i/>
        </w:rPr>
        <w:t xml:space="preserve">Juridical Status and Rights of Undocumented Migrants, </w:t>
      </w:r>
      <w:r w:rsidRPr="00FE50A6">
        <w:t xml:space="preserve">para. 104, and </w:t>
      </w:r>
      <w:r w:rsidRPr="00FE50A6">
        <w:rPr>
          <w:bCs/>
          <w:i/>
        </w:rPr>
        <w:t xml:space="preserve">Case of </w:t>
      </w:r>
      <w:r w:rsidRPr="00FE50A6">
        <w:rPr>
          <w:bCs/>
        </w:rPr>
        <w:t>Duque</w:t>
      </w:r>
      <w:r w:rsidRPr="00FE50A6">
        <w:t xml:space="preserve">, para. 92. </w:t>
      </w:r>
    </w:p>
  </w:footnote>
  <w:footnote w:id="473">
    <w:p w14:paraId="771685C0" w14:textId="77777777" w:rsidR="00E70935" w:rsidRPr="00FE50A6" w:rsidRDefault="00E70935" w:rsidP="00CD003F">
      <w:pPr>
        <w:pStyle w:val="Textonotapie"/>
        <w:spacing w:after="80"/>
        <w:rPr>
          <w:rFonts w:cs="Verdana"/>
          <w:bCs/>
        </w:rPr>
      </w:pPr>
      <w:r w:rsidRPr="00FE50A6">
        <w:rPr>
          <w:rStyle w:val="Refdenotaalpie"/>
          <w:szCs w:val="16"/>
        </w:rPr>
        <w:footnoteRef/>
      </w:r>
      <w:r w:rsidRPr="00FE50A6">
        <w:t xml:space="preserve"> </w:t>
      </w:r>
      <w:r w:rsidRPr="00FE50A6">
        <w:rPr>
          <w:i/>
        </w:rPr>
        <w:tab/>
        <w:t>Cf.</w:t>
      </w:r>
      <w:r w:rsidRPr="00FE50A6">
        <w:t xml:space="preserve"> </w:t>
      </w:r>
      <w:r w:rsidRPr="00FE50A6">
        <w:rPr>
          <w:rFonts w:cs="Verdana"/>
          <w:bCs/>
          <w:i/>
        </w:rPr>
        <w:t>Case of the “Mapiripán Massacre” v. Colombia</w:t>
      </w:r>
      <w:r w:rsidRPr="00FE50A6">
        <w:rPr>
          <w:rFonts w:cs="Verdana"/>
          <w:bCs/>
        </w:rPr>
        <w:t xml:space="preserve">. Judgment of September 15, 2005. Series C No. 134, paras. 111 and 113, and </w:t>
      </w:r>
      <w:r w:rsidRPr="00FE50A6">
        <w:rPr>
          <w:rFonts w:cs="Verdana"/>
          <w:bCs/>
          <w:i/>
        </w:rPr>
        <w:t>Case of Chinchilla Sandoval</w:t>
      </w:r>
      <w:r w:rsidRPr="00FE50A6">
        <w:rPr>
          <w:rFonts w:cs="Verdana"/>
          <w:bCs/>
        </w:rPr>
        <w:t>, para. 168</w:t>
      </w:r>
      <w:r w:rsidRPr="00FE50A6">
        <w:t>.</w:t>
      </w:r>
    </w:p>
  </w:footnote>
  <w:footnote w:id="474">
    <w:p w14:paraId="36160A11" w14:textId="77777777" w:rsidR="00E70935" w:rsidRPr="00FE50A6" w:rsidRDefault="00E70935" w:rsidP="00CD003F">
      <w:pPr>
        <w:widowControl w:val="0"/>
        <w:autoSpaceDE w:val="0"/>
        <w:autoSpaceDN w:val="0"/>
        <w:adjustRightInd w:val="0"/>
        <w:spacing w:after="80"/>
        <w:jc w:val="both"/>
        <w:rPr>
          <w:rFonts w:cs="Verdana"/>
          <w:bCs/>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sz w:val="16"/>
          <w:szCs w:val="16"/>
          <w:lang w:val="en-US"/>
        </w:rPr>
        <w:t xml:space="preserve"> Cf.</w:t>
      </w:r>
      <w:r w:rsidRPr="00FE50A6">
        <w:rPr>
          <w:sz w:val="16"/>
          <w:szCs w:val="16"/>
          <w:lang w:val="en-US"/>
        </w:rPr>
        <w:t xml:space="preserve"> </w:t>
      </w:r>
      <w:r w:rsidRPr="00FE50A6">
        <w:rPr>
          <w:rFonts w:cs="Verdana"/>
          <w:bCs/>
          <w:i/>
          <w:sz w:val="16"/>
          <w:szCs w:val="16"/>
          <w:lang w:val="en-US"/>
        </w:rPr>
        <w:t>Case of the Sawhoyamaxa Indigenous Community v. Paraguay. Merits, reparations and costs</w:t>
      </w:r>
      <w:r w:rsidRPr="00FE50A6">
        <w:rPr>
          <w:rFonts w:cs="Verdana"/>
          <w:bCs/>
          <w:sz w:val="16"/>
          <w:szCs w:val="16"/>
          <w:lang w:val="en-US"/>
        </w:rPr>
        <w:t>. Judgment of March 29, 2006. Series C No. 146, para. 154. The Court has also indicated that “States must take into account that the groups of individuals who live in adverse circumstances and with less resources, such as those who live in conditions of extreme poverty, at-risk children and adolescents, and indigenous peoples, face an increased risk of suffering from mental disabilities […]. The connection that exists between disability, on the one hand, and poverty and social exclusion, on the other, is direct and significant. Consequently, among the positive measures that the State should take are those required to prevent all preventable forms of disability and provide those who suffer from mental disabilities with the appropriate preferential treatment.</w:t>
      </w:r>
      <w:r w:rsidRPr="00FE50A6">
        <w:rPr>
          <w:rFonts w:cs="Times New Roman"/>
          <w:sz w:val="16"/>
          <w:szCs w:val="16"/>
          <w:lang w:val="en-US"/>
        </w:rPr>
        <w:t xml:space="preserve">” </w:t>
      </w:r>
      <w:r w:rsidRPr="00FE50A6">
        <w:rPr>
          <w:rFonts w:cs="Verdana"/>
          <w:bCs/>
          <w:i/>
          <w:sz w:val="16"/>
          <w:szCs w:val="16"/>
          <w:lang w:val="en-US"/>
        </w:rPr>
        <w:t>Case of Ximenes Lopes v. Brazil</w:t>
      </w:r>
      <w:r w:rsidRPr="00FE50A6">
        <w:rPr>
          <w:rFonts w:cs="Verdana"/>
          <w:bCs/>
          <w:sz w:val="16"/>
          <w:szCs w:val="16"/>
          <w:lang w:val="en-US"/>
        </w:rPr>
        <w:t>. Judgment of July 4, 2006. Series C No. 149, para. 104</w:t>
      </w:r>
      <w:r w:rsidRPr="00FE50A6">
        <w:rPr>
          <w:rFonts w:cs="Times New Roman"/>
          <w:sz w:val="16"/>
          <w:szCs w:val="16"/>
          <w:lang w:val="en-US"/>
        </w:rPr>
        <w:t>. In the case of</w:t>
      </w:r>
      <w:r w:rsidRPr="00FE50A6">
        <w:rPr>
          <w:rFonts w:cs="Times New Roman"/>
          <w:i/>
          <w:sz w:val="16"/>
          <w:szCs w:val="16"/>
          <w:lang w:val="en-US"/>
        </w:rPr>
        <w:t xml:space="preserve"> Xákmok Kásek</w:t>
      </w:r>
      <w:r w:rsidRPr="00FE50A6">
        <w:rPr>
          <w:rFonts w:cs="Times New Roman"/>
          <w:sz w:val="16"/>
          <w:szCs w:val="16"/>
          <w:lang w:val="en-US"/>
        </w:rPr>
        <w:t xml:space="preserve"> the Court considered that “extreme poverty and lack of adequate medical care for pregnant and post-partum women are the causes of high maternal mortality and morbidity.” </w:t>
      </w:r>
      <w:r w:rsidRPr="00FE50A6">
        <w:rPr>
          <w:rFonts w:cs="Verdana"/>
          <w:bCs/>
          <w:i/>
          <w:sz w:val="16"/>
          <w:szCs w:val="16"/>
          <w:lang w:val="en-US"/>
        </w:rPr>
        <w:t>Case of the Xákmok Kásek Indigenous Community v. Paraguay. Merits, reparations and costs</w:t>
      </w:r>
      <w:r w:rsidRPr="00FE50A6">
        <w:rPr>
          <w:rFonts w:cs="Verdana"/>
          <w:bCs/>
          <w:sz w:val="16"/>
          <w:szCs w:val="16"/>
          <w:lang w:val="en-US"/>
        </w:rPr>
        <w:t>. Judgment of August 24, 2010. Series C No. 214, para.</w:t>
      </w:r>
      <w:r w:rsidRPr="00FE50A6">
        <w:rPr>
          <w:rFonts w:cs="Times New Roman"/>
          <w:sz w:val="16"/>
          <w:szCs w:val="16"/>
          <w:lang w:val="en-US"/>
        </w:rPr>
        <w:t xml:space="preserve"> 233.</w:t>
      </w:r>
      <w:r w:rsidRPr="00FE50A6">
        <w:rPr>
          <w:sz w:val="16"/>
          <w:szCs w:val="16"/>
          <w:lang w:val="en-US"/>
        </w:rPr>
        <w:tab/>
      </w:r>
    </w:p>
  </w:footnote>
  <w:footnote w:id="475">
    <w:p w14:paraId="068CF6A3" w14:textId="77777777" w:rsidR="00E70935" w:rsidRPr="00FE50A6" w:rsidRDefault="00E70935" w:rsidP="00CD003F">
      <w:pPr>
        <w:pStyle w:val="Textonotapie"/>
        <w:spacing w:after="80"/>
      </w:pPr>
      <w:r w:rsidRPr="00FE50A6">
        <w:rPr>
          <w:rStyle w:val="Refdenotaalpie"/>
          <w:szCs w:val="16"/>
        </w:rPr>
        <w:footnoteRef/>
      </w:r>
      <w:r w:rsidRPr="00FE50A6">
        <w:t xml:space="preserve"> Ministry of Labor and Employment. Manual to combat work in conditions similar to those of slavery. November 2011, p. 13 (evidence file, folio 6714).</w:t>
      </w:r>
    </w:p>
  </w:footnote>
  <w:footnote w:id="476">
    <w:p w14:paraId="68DE712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ILO – Brazil. </w:t>
      </w:r>
      <w:r w:rsidRPr="00FE50A6">
        <w:rPr>
          <w:i/>
        </w:rPr>
        <w:t>Fighting forced labour: the example of Brazil</w:t>
      </w:r>
      <w:r w:rsidRPr="00FE50A6">
        <w:t>, 2010, p. 34 (evidence file, folio 8529).</w:t>
      </w:r>
    </w:p>
  </w:footnote>
  <w:footnote w:id="477">
    <w:p w14:paraId="38A6D562"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bCs/>
          <w:sz w:val="16"/>
          <w:szCs w:val="16"/>
          <w:lang w:val="en-US"/>
        </w:rPr>
        <w:t xml:space="preserve">Article 8.  Right to a Fair Trial: </w:t>
      </w:r>
      <w:r w:rsidRPr="00FE50A6">
        <w:rPr>
          <w:sz w:val="16"/>
          <w:szCs w:val="16"/>
          <w:lang w:val="en-US"/>
        </w:rPr>
        <w:t xml:space="preserve">1. </w:t>
      </w:r>
      <w:r w:rsidRPr="00FE50A6">
        <w:rPr>
          <w:spacing w:val="-3"/>
          <w:sz w:val="16"/>
          <w:szCs w:val="16"/>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7354D4A2"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2.</w:t>
      </w:r>
      <w:r w:rsidRPr="00FE50A6">
        <w:rPr>
          <w:spacing w:val="-3"/>
          <w:sz w:val="16"/>
          <w:szCs w:val="16"/>
          <w:lang w:val="en-US"/>
        </w:rPr>
        <w:tab/>
        <w:t>Every person accused of a criminal offense has the right to be presumed innocent so long as his guilt has not been proven according to law.  During the proceedings, every person is entitled, with full equality, to the following minimum guarantees:</w:t>
      </w:r>
    </w:p>
    <w:p w14:paraId="186E485C"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a.</w:t>
      </w:r>
      <w:r w:rsidRPr="00FE50A6">
        <w:rPr>
          <w:spacing w:val="-3"/>
          <w:sz w:val="16"/>
          <w:szCs w:val="16"/>
          <w:lang w:val="en-US"/>
        </w:rPr>
        <w:tab/>
        <w:t>the right of the accused to be assisted without charge by a translator or interpreter, if he does not understand or does not speak the language of the tribunal or court;</w:t>
      </w:r>
    </w:p>
    <w:p w14:paraId="59DAAE7D"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b.</w:t>
      </w:r>
      <w:r w:rsidRPr="00FE50A6">
        <w:rPr>
          <w:spacing w:val="-3"/>
          <w:sz w:val="16"/>
          <w:szCs w:val="16"/>
          <w:lang w:val="en-US"/>
        </w:rPr>
        <w:tab/>
        <w:t>prior notification in detail to the accused of the charges against him;</w:t>
      </w:r>
    </w:p>
    <w:p w14:paraId="3564CCAC"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c.</w:t>
      </w:r>
      <w:r w:rsidRPr="00FE50A6">
        <w:rPr>
          <w:spacing w:val="-3"/>
          <w:sz w:val="16"/>
          <w:szCs w:val="16"/>
          <w:lang w:val="en-US"/>
        </w:rPr>
        <w:tab/>
        <w:t>adequate time and means for the preparation of his defense;</w:t>
      </w:r>
    </w:p>
    <w:p w14:paraId="770CC576"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d.</w:t>
      </w:r>
      <w:r w:rsidRPr="00FE50A6">
        <w:rPr>
          <w:spacing w:val="-3"/>
          <w:sz w:val="16"/>
          <w:szCs w:val="16"/>
          <w:lang w:val="en-US"/>
        </w:rPr>
        <w:tab/>
        <w:t>the right of the accused to defend himself personally or to be assisted by legal counsel of his own choosing, and to communicate freely and privately with his counsel;</w:t>
      </w:r>
    </w:p>
    <w:p w14:paraId="40003E0C"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e.</w:t>
      </w:r>
      <w:r w:rsidRPr="00FE50A6">
        <w:rPr>
          <w:spacing w:val="-3"/>
          <w:sz w:val="16"/>
          <w:szCs w:val="16"/>
          <w:lang w:val="en-US"/>
        </w:rPr>
        <w:tab/>
        <w:t>the inalienable right to be assisted by counsel provided by the state, paid or not as the domestic law provides, if the accused does not defend himself personally or engage his own counsel within the time period established by law;</w:t>
      </w:r>
    </w:p>
    <w:p w14:paraId="645927B3"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f.</w:t>
      </w:r>
      <w:r w:rsidRPr="00FE50A6">
        <w:rPr>
          <w:spacing w:val="-3"/>
          <w:sz w:val="16"/>
          <w:szCs w:val="16"/>
          <w:lang w:val="en-US"/>
        </w:rPr>
        <w:tab/>
        <w:t>the right of the defense to examine witnesses present in the court and to obtain the appearance, as witnesses, of experts or other persons who may throw light on the facts;</w:t>
      </w:r>
    </w:p>
    <w:p w14:paraId="4B54F9F5"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g.</w:t>
      </w:r>
      <w:r w:rsidRPr="00FE50A6">
        <w:rPr>
          <w:spacing w:val="-3"/>
          <w:sz w:val="16"/>
          <w:szCs w:val="16"/>
          <w:lang w:val="en-US"/>
        </w:rPr>
        <w:tab/>
        <w:t>the right not to be compelled to be a witness against himself or to plead guilty; and</w:t>
      </w:r>
    </w:p>
    <w:p w14:paraId="1606167B"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h.</w:t>
      </w:r>
      <w:r w:rsidRPr="00FE50A6">
        <w:rPr>
          <w:spacing w:val="-3"/>
          <w:sz w:val="16"/>
          <w:szCs w:val="16"/>
          <w:lang w:val="en-US"/>
        </w:rPr>
        <w:tab/>
        <w:t>the right to appeal the judgment to a higher court.</w:t>
      </w:r>
    </w:p>
    <w:p w14:paraId="0299246F"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3.</w:t>
      </w:r>
      <w:r w:rsidRPr="00FE50A6">
        <w:rPr>
          <w:spacing w:val="-3"/>
          <w:sz w:val="16"/>
          <w:szCs w:val="16"/>
          <w:lang w:val="en-US"/>
        </w:rPr>
        <w:tab/>
        <w:t>A confession of guilt by the accused shall be valid only if it is made without coercion of any kind.</w:t>
      </w:r>
    </w:p>
    <w:p w14:paraId="48176F32"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4.</w:t>
      </w:r>
      <w:r w:rsidRPr="00FE50A6">
        <w:rPr>
          <w:spacing w:val="-3"/>
          <w:sz w:val="16"/>
          <w:szCs w:val="16"/>
          <w:lang w:val="en-US"/>
        </w:rPr>
        <w:tab/>
        <w:t>An accused person acquitted by a non-appealable judgment shall not be subjected to a new trial for the same cause.</w:t>
      </w:r>
    </w:p>
    <w:p w14:paraId="4611A5D6"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5.</w:t>
      </w:r>
      <w:r w:rsidRPr="00FE50A6">
        <w:rPr>
          <w:spacing w:val="-3"/>
          <w:sz w:val="16"/>
          <w:szCs w:val="16"/>
          <w:lang w:val="en-US"/>
        </w:rPr>
        <w:tab/>
        <w:t>Criminal proceedings shall be public, except insofar as may be necessary to protect the interests of justice.</w:t>
      </w:r>
    </w:p>
  </w:footnote>
  <w:footnote w:id="478">
    <w:p w14:paraId="2E13D6F7"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bCs/>
          <w:sz w:val="16"/>
          <w:szCs w:val="16"/>
          <w:lang w:val="en-US"/>
        </w:rPr>
        <w:t xml:space="preserve">Article 25.  Judicial Protection. </w:t>
      </w:r>
      <w:r w:rsidRPr="00FE50A6">
        <w:rPr>
          <w:sz w:val="16"/>
          <w:szCs w:val="16"/>
          <w:lang w:val="en-US"/>
        </w:rPr>
        <w:t xml:space="preserve">1. </w:t>
      </w:r>
      <w:r w:rsidRPr="00FE50A6">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4A2A7B80"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2.</w:t>
      </w:r>
      <w:r w:rsidRPr="00FE50A6">
        <w:rPr>
          <w:spacing w:val="-3"/>
          <w:sz w:val="16"/>
          <w:szCs w:val="16"/>
          <w:lang w:val="en-US"/>
        </w:rPr>
        <w:tab/>
        <w:t>The States Parties undertake:</w:t>
      </w:r>
    </w:p>
    <w:p w14:paraId="5AD0B910"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a.</w:t>
      </w:r>
      <w:r w:rsidRPr="00FE50A6">
        <w:rPr>
          <w:spacing w:val="-3"/>
          <w:sz w:val="16"/>
          <w:szCs w:val="16"/>
          <w:lang w:val="en-US"/>
        </w:rPr>
        <w:tab/>
        <w:t>to ensure that any person claiming such remedy shall have his rights determined by the competent authority provided for by the legal system of the state;</w:t>
      </w:r>
    </w:p>
    <w:p w14:paraId="1458734E" w14:textId="77777777" w:rsidR="00E70935" w:rsidRPr="00FE50A6" w:rsidRDefault="00E70935" w:rsidP="00CD003F">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b.</w:t>
      </w:r>
      <w:r w:rsidRPr="00FE50A6">
        <w:rPr>
          <w:spacing w:val="-3"/>
          <w:sz w:val="16"/>
          <w:szCs w:val="16"/>
          <w:lang w:val="en-US"/>
        </w:rPr>
        <w:tab/>
        <w:t>to develop the possibilities of judicial remedy; and</w:t>
      </w:r>
    </w:p>
    <w:p w14:paraId="204C3EAC" w14:textId="77777777" w:rsidR="00E70935" w:rsidRPr="00FE50A6" w:rsidRDefault="00E70935" w:rsidP="00567F9D">
      <w:pPr>
        <w:tabs>
          <w:tab w:val="left" w:pos="270"/>
          <w:tab w:val="left" w:pos="1080"/>
          <w:tab w:val="left" w:pos="1680"/>
          <w:tab w:val="left" w:pos="5400"/>
        </w:tabs>
        <w:suppressAutoHyphens/>
        <w:spacing w:after="80"/>
        <w:jc w:val="both"/>
        <w:rPr>
          <w:spacing w:val="-3"/>
          <w:sz w:val="16"/>
          <w:szCs w:val="16"/>
          <w:lang w:val="en-US"/>
        </w:rPr>
      </w:pPr>
      <w:r w:rsidRPr="00FE50A6">
        <w:rPr>
          <w:spacing w:val="-3"/>
          <w:sz w:val="16"/>
          <w:szCs w:val="16"/>
          <w:lang w:val="en-US"/>
        </w:rPr>
        <w:t>c.</w:t>
      </w:r>
      <w:r w:rsidRPr="00FE50A6">
        <w:rPr>
          <w:spacing w:val="-3"/>
          <w:sz w:val="16"/>
          <w:szCs w:val="16"/>
          <w:lang w:val="en-US"/>
        </w:rPr>
        <w:tab/>
        <w:t>to ensure that the competent authorities shall enforce such remedies when granted.</w:t>
      </w:r>
    </w:p>
  </w:footnote>
  <w:footnote w:id="479">
    <w:p w14:paraId="280CFCF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w:t>
      </w:r>
      <w:r w:rsidRPr="00FE50A6">
        <w:t xml:space="preserve"> </w:t>
      </w:r>
      <w:r w:rsidRPr="00FE50A6">
        <w:rPr>
          <w:i/>
        </w:rPr>
        <w:t>Case of the Río Negro Massacres</w:t>
      </w:r>
      <w:r w:rsidRPr="00FE50A6">
        <w:t>, para. 225.</w:t>
      </w:r>
    </w:p>
  </w:footnote>
  <w:footnote w:id="480">
    <w:p w14:paraId="15515737"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 Gonzales Lluy et al.</w:t>
      </w:r>
      <w:r w:rsidRPr="00FE50A6">
        <w:t>, para. 311.</w:t>
      </w:r>
    </w:p>
  </w:footnote>
  <w:footnote w:id="481">
    <w:p w14:paraId="6C8B9765"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ECHR, </w:t>
      </w:r>
      <w:r w:rsidRPr="00FE50A6">
        <w:rPr>
          <w:i/>
          <w:sz w:val="16"/>
          <w:szCs w:val="16"/>
          <w:lang w:val="en-US"/>
        </w:rPr>
        <w:t>Case of</w:t>
      </w:r>
      <w:r w:rsidRPr="00FE50A6">
        <w:rPr>
          <w:sz w:val="16"/>
          <w:szCs w:val="16"/>
          <w:lang w:val="en-US"/>
        </w:rPr>
        <w:t xml:space="preserve"> </w:t>
      </w:r>
      <w:r w:rsidRPr="00FE50A6">
        <w:rPr>
          <w:i/>
          <w:sz w:val="16"/>
          <w:szCs w:val="16"/>
          <w:lang w:val="en-US"/>
        </w:rPr>
        <w:t xml:space="preserve">Siliadin v. France. </w:t>
      </w:r>
      <w:r w:rsidRPr="00FE50A6">
        <w:rPr>
          <w:sz w:val="16"/>
          <w:szCs w:val="16"/>
          <w:lang w:val="en-US"/>
        </w:rPr>
        <w:t xml:space="preserve">No. 73316/01. Judgment of July 26, 2005, para. 112, and </w:t>
      </w:r>
      <w:r w:rsidRPr="00FE50A6">
        <w:rPr>
          <w:i/>
          <w:sz w:val="16"/>
          <w:szCs w:val="16"/>
          <w:lang w:val="en-US"/>
        </w:rPr>
        <w:t xml:space="preserve">Case of Rantsev v. Cyprus and Russia. </w:t>
      </w:r>
      <w:r w:rsidRPr="00FE50A6">
        <w:rPr>
          <w:sz w:val="16"/>
          <w:szCs w:val="16"/>
          <w:lang w:val="en-US"/>
        </w:rPr>
        <w:t>No. 25965/04. Judgment of January 7, 2010, para. 285.</w:t>
      </w:r>
    </w:p>
  </w:footnote>
  <w:footnote w:id="482">
    <w:p w14:paraId="423BE34B"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ECHR, </w:t>
      </w:r>
      <w:r w:rsidRPr="00FE50A6">
        <w:rPr>
          <w:i/>
          <w:sz w:val="16"/>
          <w:szCs w:val="16"/>
          <w:lang w:val="en-US"/>
        </w:rPr>
        <w:t xml:space="preserve">Rantsev v. Cyprus and Russia. </w:t>
      </w:r>
      <w:r w:rsidRPr="00FE50A6">
        <w:rPr>
          <w:sz w:val="16"/>
          <w:szCs w:val="16"/>
          <w:lang w:val="en-US"/>
        </w:rPr>
        <w:t xml:space="preserve">No. 25965/04. Judgment of January 7, 2010, para. 288, and </w:t>
      </w:r>
      <w:r w:rsidRPr="00FE50A6">
        <w:rPr>
          <w:i/>
          <w:sz w:val="16"/>
          <w:szCs w:val="16"/>
          <w:lang w:val="en-US"/>
        </w:rPr>
        <w:t>C.N. v. The United Kingdom.</w:t>
      </w:r>
      <w:r w:rsidRPr="00FE50A6">
        <w:rPr>
          <w:sz w:val="16"/>
          <w:szCs w:val="16"/>
          <w:lang w:val="en-US"/>
        </w:rPr>
        <w:t xml:space="preserve"> No. 4239/08. Judgment of November 13, 2012, para. 69. </w:t>
      </w:r>
    </w:p>
  </w:footnote>
  <w:footnote w:id="483">
    <w:p w14:paraId="0E8B99C7"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t xml:space="preserve"> </w:t>
      </w:r>
      <w:r w:rsidRPr="00FE50A6">
        <w:rPr>
          <w:i/>
        </w:rPr>
        <w:t xml:space="preserve">Cf. </w:t>
      </w:r>
      <w:r w:rsidRPr="00FE50A6">
        <w:rPr>
          <w:bCs/>
          <w:i/>
        </w:rPr>
        <w:t xml:space="preserve">Case of Suárez Rosero v. Ecuador. </w:t>
      </w:r>
      <w:r w:rsidRPr="00FE50A6">
        <w:rPr>
          <w:i/>
        </w:rPr>
        <w:t>Merits</w:t>
      </w:r>
      <w:r w:rsidRPr="00FE50A6">
        <w:t xml:space="preserve">. Judgment of November 12, 1997. </w:t>
      </w:r>
      <w:r w:rsidRPr="00FE50A6">
        <w:rPr>
          <w:lang w:val="es-CR"/>
        </w:rPr>
        <w:t xml:space="preserve">Series C No. 35, para. 71, and </w:t>
      </w:r>
      <w:r w:rsidRPr="00FE50A6">
        <w:rPr>
          <w:i/>
          <w:lang w:val="es-CR"/>
        </w:rPr>
        <w:t xml:space="preserve">Case of Quispialaya Vilcapoma, </w:t>
      </w:r>
      <w:r w:rsidRPr="00FE50A6">
        <w:rPr>
          <w:lang w:val="es-CR"/>
        </w:rPr>
        <w:t>para. 176.</w:t>
      </w:r>
    </w:p>
  </w:footnote>
  <w:footnote w:id="484">
    <w:p w14:paraId="1C971F7E" w14:textId="77777777" w:rsidR="00E70935" w:rsidRPr="00FE50A6" w:rsidRDefault="00E70935" w:rsidP="00CD003F">
      <w:pPr>
        <w:tabs>
          <w:tab w:val="clear" w:pos="4419"/>
          <w:tab w:val="clear" w:pos="8838"/>
          <w:tab w:val="right" w:pos="0"/>
        </w:tabs>
        <w:spacing w:after="80"/>
        <w:ind w:right="4"/>
        <w:jc w:val="both"/>
        <w:rPr>
          <w:sz w:val="16"/>
          <w:szCs w:val="16"/>
          <w:lang w:val="en-US"/>
        </w:rPr>
      </w:pPr>
      <w:r w:rsidRPr="00FE50A6">
        <w:rPr>
          <w:rStyle w:val="Refdenotaalpie"/>
          <w:sz w:val="16"/>
          <w:szCs w:val="16"/>
          <w:lang w:val="en-US"/>
        </w:rPr>
        <w:footnoteRef/>
      </w:r>
      <w:r w:rsidRPr="00FE50A6">
        <w:rPr>
          <w:sz w:val="16"/>
          <w:szCs w:val="16"/>
        </w:rPr>
        <w:t xml:space="preserve"> </w:t>
      </w:r>
      <w:r w:rsidRPr="00FE50A6">
        <w:rPr>
          <w:i/>
          <w:sz w:val="16"/>
          <w:szCs w:val="16"/>
        </w:rPr>
        <w:t xml:space="preserve">Cf. </w:t>
      </w:r>
      <w:r w:rsidRPr="00FE50A6">
        <w:rPr>
          <w:bCs/>
          <w:i/>
          <w:sz w:val="16"/>
          <w:szCs w:val="16"/>
        </w:rPr>
        <w:t xml:space="preserve">Case of Suárez Rosero v. Ecuador. </w:t>
      </w:r>
      <w:r w:rsidRPr="00FE50A6">
        <w:rPr>
          <w:i/>
          <w:sz w:val="16"/>
          <w:szCs w:val="16"/>
        </w:rPr>
        <w:t xml:space="preserve">Merits, </w:t>
      </w:r>
      <w:r w:rsidRPr="00FE50A6">
        <w:rPr>
          <w:sz w:val="16"/>
          <w:szCs w:val="16"/>
        </w:rPr>
        <w:t xml:space="preserve">para. 71, and </w:t>
      </w:r>
      <w:r w:rsidRPr="00FE50A6">
        <w:rPr>
          <w:i/>
          <w:sz w:val="16"/>
        </w:rPr>
        <w:t>Quispialaya Vilcapoma</w:t>
      </w:r>
      <w:r w:rsidRPr="00FE50A6">
        <w:rPr>
          <w:i/>
          <w:sz w:val="16"/>
          <w:szCs w:val="16"/>
        </w:rPr>
        <w:t xml:space="preserve">, </w:t>
      </w:r>
      <w:r w:rsidRPr="00FE50A6">
        <w:rPr>
          <w:sz w:val="16"/>
          <w:szCs w:val="16"/>
        </w:rPr>
        <w:t xml:space="preserve">para. </w:t>
      </w:r>
      <w:r w:rsidRPr="00FE50A6">
        <w:rPr>
          <w:sz w:val="16"/>
          <w:szCs w:val="16"/>
          <w:lang w:val="en-US"/>
        </w:rPr>
        <w:t>176.</w:t>
      </w:r>
    </w:p>
  </w:footnote>
  <w:footnote w:id="485">
    <w:p w14:paraId="6C9FE117" w14:textId="77777777" w:rsidR="00E70935" w:rsidRPr="00FE50A6" w:rsidRDefault="00E70935" w:rsidP="00CD003F">
      <w:pPr>
        <w:spacing w:after="80"/>
        <w:jc w:val="both"/>
        <w:rPr>
          <w:b/>
          <w:sz w:val="2"/>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bCs/>
          <w:i/>
          <w:sz w:val="16"/>
          <w:szCs w:val="16"/>
          <w:lang w:val="en-US"/>
        </w:rPr>
        <w:t xml:space="preserve">Case of Hilaire, Constantine and Benjamin et al. v. Trinidad and Tobago. </w:t>
      </w:r>
      <w:r w:rsidRPr="00FE50A6">
        <w:rPr>
          <w:rStyle w:val="Textoennegrita"/>
          <w:b w:val="0"/>
          <w:i/>
          <w:color w:val="000000"/>
          <w:sz w:val="16"/>
          <w:shd w:val="clear" w:color="auto" w:fill="FFFFFF"/>
          <w:lang w:val="en-US"/>
        </w:rPr>
        <w:t>Merits, reparations and costs</w:t>
      </w:r>
      <w:r w:rsidRPr="00FE50A6">
        <w:rPr>
          <w:rStyle w:val="Textoennegrita"/>
          <w:b w:val="0"/>
          <w:color w:val="000000"/>
          <w:sz w:val="16"/>
          <w:shd w:val="clear" w:color="auto" w:fill="FFFFFF"/>
          <w:lang w:val="en-US"/>
        </w:rPr>
        <w:t>. Judgment of June 21, 2002. Series C No. 94</w:t>
      </w:r>
      <w:r w:rsidRPr="00FE50A6">
        <w:rPr>
          <w:bCs/>
          <w:i/>
          <w:sz w:val="16"/>
          <w:szCs w:val="16"/>
          <w:lang w:val="en-US"/>
        </w:rPr>
        <w:t xml:space="preserve">, </w:t>
      </w:r>
      <w:r w:rsidRPr="00FE50A6">
        <w:rPr>
          <w:sz w:val="16"/>
          <w:szCs w:val="16"/>
          <w:lang w:val="en-US"/>
        </w:rPr>
        <w:t xml:space="preserve">para. 145, and </w:t>
      </w:r>
      <w:r w:rsidRPr="00FE50A6">
        <w:rPr>
          <w:i/>
          <w:sz w:val="16"/>
          <w:szCs w:val="16"/>
          <w:lang w:val="en-US"/>
        </w:rPr>
        <w:t xml:space="preserve">Case of Tenorio Roca, </w:t>
      </w:r>
      <w:r w:rsidRPr="00FE50A6">
        <w:rPr>
          <w:sz w:val="16"/>
          <w:szCs w:val="16"/>
          <w:lang w:val="en-US"/>
        </w:rPr>
        <w:t xml:space="preserve">para. 237. </w:t>
      </w:r>
    </w:p>
  </w:footnote>
  <w:footnote w:id="486">
    <w:p w14:paraId="4C8B11A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Case of Valle Jaramillo et al. v. Colombia. Merits, reparations and costs. </w:t>
      </w:r>
      <w:r w:rsidRPr="00FE50A6">
        <w:t xml:space="preserve">Judgment of November 27, 2008. Series C No. 192, para. 155, and </w:t>
      </w:r>
      <w:r w:rsidRPr="00FE50A6">
        <w:rPr>
          <w:i/>
        </w:rPr>
        <w:t>Case of Tenorio Roca</w:t>
      </w:r>
      <w:r w:rsidRPr="00FE50A6">
        <w:t>, para. 238.</w:t>
      </w:r>
      <w:r w:rsidRPr="00FE50A6">
        <w:rPr>
          <w:i/>
        </w:rPr>
        <w:t xml:space="preserve"> </w:t>
      </w:r>
    </w:p>
  </w:footnote>
  <w:footnote w:id="487">
    <w:p w14:paraId="0E31663A"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Style w:val="Textoennegrita"/>
          <w:b w:val="0"/>
          <w:i/>
        </w:rPr>
        <w:t xml:space="preserve">Case of Anzualdo Castro v. Peru. Preliminary objection, merits, reparations and costs. </w:t>
      </w:r>
      <w:r w:rsidRPr="00FE50A6">
        <w:rPr>
          <w:rStyle w:val="Textoennegrita"/>
          <w:b w:val="0"/>
        </w:rPr>
        <w:t xml:space="preserve">Judgment of September 22, 2009. Series C No. 202, para. 156, and </w:t>
      </w:r>
      <w:r w:rsidRPr="00FE50A6">
        <w:rPr>
          <w:i/>
        </w:rPr>
        <w:t>Case of Quispialaya Vilcapoma</w:t>
      </w:r>
      <w:r w:rsidRPr="00FE50A6">
        <w:t>, para. 178.</w:t>
      </w:r>
    </w:p>
  </w:footnote>
  <w:footnote w:id="488">
    <w:p w14:paraId="182B6CC8"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inter alia, Case of Genie Lacayo v. Nicaragua. Preliminary objections. </w:t>
      </w:r>
      <w:r w:rsidRPr="00FE50A6">
        <w:rPr>
          <w:sz w:val="16"/>
          <w:szCs w:val="16"/>
          <w:lang w:val="en-US"/>
        </w:rPr>
        <w:t xml:space="preserve">Judgment of January 27, 1995. Series C No. 21, para. 78, and </w:t>
      </w:r>
      <w:r w:rsidRPr="00FE50A6">
        <w:rPr>
          <w:i/>
          <w:sz w:val="16"/>
          <w:szCs w:val="16"/>
          <w:lang w:val="en-US"/>
        </w:rPr>
        <w:t xml:space="preserve">Case of </w:t>
      </w:r>
      <w:r w:rsidRPr="00FE50A6">
        <w:rPr>
          <w:i/>
          <w:sz w:val="16"/>
          <w:lang w:val="en-US"/>
        </w:rPr>
        <w:t>Quispialaya Vilcapoma</w:t>
      </w:r>
      <w:r w:rsidRPr="00FE50A6">
        <w:rPr>
          <w:sz w:val="16"/>
          <w:szCs w:val="16"/>
          <w:lang w:val="en-US"/>
        </w:rPr>
        <w:t>, para. 179.</w:t>
      </w:r>
    </w:p>
  </w:footnote>
  <w:footnote w:id="489">
    <w:p w14:paraId="54F8E07D" w14:textId="77777777" w:rsidR="00E70935" w:rsidRPr="00FE50A6" w:rsidRDefault="00E70935" w:rsidP="00CD003F">
      <w:pPr>
        <w:pStyle w:val="Textonotapie"/>
        <w:tabs>
          <w:tab w:val="clear" w:pos="4419"/>
          <w:tab w:val="clear" w:pos="8838"/>
          <w:tab w:val="right" w:pos="0"/>
        </w:tabs>
        <w:spacing w:after="80"/>
        <w:rPr>
          <w:rFonts w:cs="Tahoma"/>
          <w:color w:val="000000"/>
        </w:rPr>
      </w:pPr>
      <w:r w:rsidRPr="00FE50A6">
        <w:rPr>
          <w:rStyle w:val="Refdenotaalpie"/>
          <w:rFonts w:cs="Tahoma"/>
          <w:szCs w:val="16"/>
        </w:rPr>
        <w:footnoteRef/>
      </w:r>
      <w:r w:rsidRPr="00FE50A6">
        <w:rPr>
          <w:rFonts w:cs="Tahoma"/>
        </w:rPr>
        <w:t xml:space="preserve"> </w:t>
      </w:r>
      <w:r w:rsidRPr="00FE50A6">
        <w:rPr>
          <w:rFonts w:cs="Tahoma"/>
          <w:i/>
        </w:rPr>
        <w:t>Cf. Judicial Guarantees in States of Emergency (Arts. 27.2, 25 and 8 American Convention on Human Rights). Advisory Opinion</w:t>
      </w:r>
      <w:r w:rsidRPr="00FE50A6">
        <w:rPr>
          <w:rFonts w:cs="Tahoma"/>
        </w:rPr>
        <w:t xml:space="preserve"> OC-9/87 of October 6, 1987. Series A No. 9, para. 28, and </w:t>
      </w:r>
      <w:r w:rsidRPr="00FE50A6">
        <w:rPr>
          <w:rFonts w:cs="Tahoma"/>
          <w:i/>
        </w:rPr>
        <w:t>Case of J</w:t>
      </w:r>
      <w:r w:rsidRPr="00FE50A6">
        <w:rPr>
          <w:rFonts w:cs="Tahoma"/>
        </w:rPr>
        <w:t xml:space="preserve">, para. 258. </w:t>
      </w:r>
    </w:p>
  </w:footnote>
  <w:footnote w:id="490">
    <w:p w14:paraId="6AC8FF3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Case of the “Street Children” (Villagrán Morales et al.) v. Guatemala. Merits, </w:t>
      </w:r>
      <w:r w:rsidRPr="00FE50A6">
        <w:t xml:space="preserve">para. 246, and </w:t>
      </w:r>
      <w:r w:rsidRPr="00FE50A6">
        <w:rPr>
          <w:i/>
        </w:rPr>
        <w:t xml:space="preserve">Case of the Río Negro Massacres, </w:t>
      </w:r>
      <w:r w:rsidRPr="00FE50A6">
        <w:t>para. 193.</w:t>
      </w:r>
    </w:p>
  </w:footnote>
  <w:footnote w:id="491">
    <w:p w14:paraId="3BF3B8B9" w14:textId="77777777" w:rsidR="00E70935" w:rsidRPr="00FE50A6" w:rsidRDefault="00E70935" w:rsidP="00CD003F">
      <w:pPr>
        <w:tabs>
          <w:tab w:val="clear" w:pos="4419"/>
          <w:tab w:val="clear" w:pos="8838"/>
          <w:tab w:val="right" w:pos="0"/>
        </w:tabs>
        <w:autoSpaceDE w:val="0"/>
        <w:autoSpaceDN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rFonts w:eastAsia="Calibri" w:cs="Verdana"/>
          <w:i/>
          <w:iCs/>
          <w:sz w:val="16"/>
          <w:szCs w:val="16"/>
          <w:lang w:val="en-US"/>
        </w:rPr>
        <w:t xml:space="preserve">Cf. Case of Valle Jaramillo et al., </w:t>
      </w:r>
      <w:r w:rsidRPr="00FE50A6">
        <w:rPr>
          <w:rFonts w:eastAsia="Calibri" w:cs="Verdana"/>
          <w:sz w:val="16"/>
          <w:szCs w:val="16"/>
          <w:lang w:val="en-US"/>
        </w:rPr>
        <w:t xml:space="preserve">para. 233, and </w:t>
      </w:r>
      <w:r w:rsidRPr="00FE50A6">
        <w:rPr>
          <w:bCs/>
          <w:i/>
          <w:sz w:val="16"/>
          <w:szCs w:val="16"/>
          <w:lang w:val="en-US"/>
        </w:rPr>
        <w:t xml:space="preserve">Case of the Río Negro Massacres, </w:t>
      </w:r>
      <w:r w:rsidRPr="00FE50A6">
        <w:rPr>
          <w:bCs/>
          <w:sz w:val="16"/>
          <w:szCs w:val="16"/>
          <w:lang w:val="en-US"/>
        </w:rPr>
        <w:t>para. 193.</w:t>
      </w:r>
    </w:p>
  </w:footnote>
  <w:footnote w:id="492">
    <w:p w14:paraId="10025FA9"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rFonts w:eastAsia="Calibri" w:cs="Verdana"/>
          <w:i/>
          <w:iCs/>
        </w:rPr>
        <w:t>Cf. Case of Velásquez Rodríguez v. Honduras</w:t>
      </w:r>
      <w:r w:rsidRPr="00FE50A6">
        <w:rPr>
          <w:rFonts w:eastAsia="Calibri" w:cs="Verdana"/>
          <w:i/>
        </w:rPr>
        <w:t xml:space="preserve">. </w:t>
      </w:r>
      <w:r w:rsidRPr="00FE50A6">
        <w:rPr>
          <w:rFonts w:eastAsia="Calibri" w:cs="Verdana"/>
          <w:i/>
          <w:iCs/>
        </w:rPr>
        <w:t xml:space="preserve">Merits, </w:t>
      </w:r>
      <w:r w:rsidRPr="00FE50A6">
        <w:rPr>
          <w:rFonts w:eastAsia="Calibri" w:cs="Verdana"/>
        </w:rPr>
        <w:t xml:space="preserve">para. 177, and </w:t>
      </w:r>
      <w:r w:rsidRPr="00FE50A6">
        <w:rPr>
          <w:bCs/>
          <w:i/>
        </w:rPr>
        <w:t>Case of the Río Negro Massacres</w:t>
      </w:r>
      <w:r w:rsidRPr="00FE50A6">
        <w:t>, para. 193.</w:t>
      </w:r>
    </w:p>
  </w:footnote>
  <w:footnote w:id="493">
    <w:p w14:paraId="461C90B0"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 Ximenes Lópes</w:t>
      </w:r>
      <w:r w:rsidRPr="00FE50A6">
        <w:t xml:space="preserve">, para. 199, and </w:t>
      </w:r>
      <w:r w:rsidRPr="00FE50A6">
        <w:rPr>
          <w:rStyle w:val="Textoennegrita"/>
          <w:b w:val="0"/>
          <w:i/>
          <w:shd w:val="clear" w:color="auto" w:fill="FFFFFF"/>
        </w:rPr>
        <w:t>Case of Gonzales Lluy et al.</w:t>
      </w:r>
      <w:r w:rsidRPr="00FE50A6">
        <w:rPr>
          <w:rStyle w:val="Textoennegrita"/>
          <w:b w:val="0"/>
          <w:shd w:val="clear" w:color="auto" w:fill="FFFFFF"/>
        </w:rPr>
        <w:t>, para. 306.</w:t>
      </w:r>
      <w:r w:rsidRPr="00FE50A6">
        <w:t xml:space="preserve"> </w:t>
      </w:r>
    </w:p>
  </w:footnote>
  <w:footnote w:id="494">
    <w:p w14:paraId="50E795EA" w14:textId="77777777" w:rsidR="00E70935" w:rsidRPr="00FE50A6" w:rsidRDefault="00E70935" w:rsidP="00CD003F">
      <w:pPr>
        <w:tabs>
          <w:tab w:val="clear" w:pos="4419"/>
          <w:tab w:val="clear" w:pos="8838"/>
          <w:tab w:val="right" w:pos="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bCs/>
          <w:i/>
          <w:iCs/>
          <w:sz w:val="16"/>
          <w:szCs w:val="16"/>
          <w:lang w:val="en-US"/>
        </w:rPr>
        <w:t>Case of Valle Jaramillo et al.</w:t>
      </w:r>
      <w:r w:rsidRPr="00FE50A6">
        <w:rPr>
          <w:sz w:val="16"/>
          <w:szCs w:val="16"/>
          <w:lang w:val="en-US"/>
        </w:rPr>
        <w:t xml:space="preserve">, para. 155, and </w:t>
      </w:r>
      <w:r w:rsidRPr="00FE50A6">
        <w:rPr>
          <w:i/>
          <w:sz w:val="16"/>
          <w:szCs w:val="16"/>
          <w:lang w:val="en-US"/>
        </w:rPr>
        <w:t>Case of Gonzales Lluy et al.</w:t>
      </w:r>
      <w:r w:rsidRPr="00FE50A6">
        <w:rPr>
          <w:sz w:val="16"/>
          <w:szCs w:val="16"/>
          <w:lang w:val="en-US"/>
        </w:rPr>
        <w:t>, para. 309</w:t>
      </w:r>
      <w:r w:rsidRPr="00FE50A6">
        <w:rPr>
          <w:rFonts w:cs="Verdana"/>
          <w:sz w:val="16"/>
          <w:szCs w:val="16"/>
          <w:lang w:val="en-US"/>
        </w:rPr>
        <w:t>.</w:t>
      </w:r>
    </w:p>
  </w:footnote>
  <w:footnote w:id="495">
    <w:p w14:paraId="5F6F1403" w14:textId="77777777" w:rsidR="00E70935" w:rsidRPr="00FE50A6" w:rsidRDefault="00E70935" w:rsidP="00CD003F">
      <w:pPr>
        <w:pStyle w:val="Textonotapie"/>
        <w:spacing w:after="80"/>
      </w:pPr>
      <w:r w:rsidRPr="00FE50A6">
        <w:rPr>
          <w:rStyle w:val="Refdenotaalpie"/>
          <w:szCs w:val="16"/>
        </w:rPr>
        <w:footnoteRef/>
      </w:r>
      <w:r w:rsidRPr="00FE50A6">
        <w:t xml:space="preserve"> Website of the Pará Federal Justice Department: </w:t>
      </w:r>
      <w:hyperlink r:id="rId14" w:history="1">
        <w:r w:rsidRPr="00FE50A6">
          <w:rPr>
            <w:rStyle w:val="Hipervnculo"/>
          </w:rPr>
          <w:t>https://processual.trf1.jus.br/consultaProcessual/processo. php?proc=200139010002700&amp;secao=MBA&amp;pg=1&amp;trf1_captcha_id=2dc48777b78e795a538b3aa440996f7b&amp;trf1_captcha=f4gj&amp;enviar=Pesquisar</w:t>
        </w:r>
      </w:hyperlink>
      <w:r w:rsidRPr="00FE50A6">
        <w:t>, consulted on October 10, 2016.</w:t>
      </w:r>
    </w:p>
  </w:footnote>
  <w:footnote w:id="496">
    <w:p w14:paraId="435FA768"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rPr>
          <w:lang w:val="es-CR"/>
        </w:rPr>
        <w:t xml:space="preserve"> </w:t>
      </w:r>
      <w:r w:rsidRPr="00FE50A6">
        <w:rPr>
          <w:i/>
          <w:lang w:val="es-CR"/>
        </w:rPr>
        <w:t>Cf.</w:t>
      </w:r>
      <w:r w:rsidRPr="00FE50A6">
        <w:rPr>
          <w:lang w:val="es-CR"/>
        </w:rPr>
        <w:t xml:space="preserve"> </w:t>
      </w:r>
      <w:r w:rsidRPr="00FE50A6">
        <w:rPr>
          <w:i/>
          <w:lang w:val="es-CR"/>
        </w:rPr>
        <w:t xml:space="preserve">Case of Velásquez Rodríguez v. Honduras. </w:t>
      </w:r>
      <w:r w:rsidRPr="00FE50A6">
        <w:rPr>
          <w:i/>
        </w:rPr>
        <w:t>Preliminary objections</w:t>
      </w:r>
      <w:r w:rsidRPr="00FE50A6">
        <w:t xml:space="preserve">, para. 91, and </w:t>
      </w:r>
      <w:r w:rsidRPr="00FE50A6">
        <w:rPr>
          <w:rStyle w:val="Textoennegrita"/>
          <w:b w:val="0"/>
          <w:i/>
          <w:color w:val="000000"/>
          <w:shd w:val="clear" w:color="auto" w:fill="FFFFFF"/>
        </w:rPr>
        <w:t>Case of Maldonado Ordoñez</w:t>
      </w:r>
      <w:r w:rsidRPr="00FE50A6">
        <w:t>, para. 108.</w:t>
      </w:r>
    </w:p>
  </w:footnote>
  <w:footnote w:id="497">
    <w:p w14:paraId="47A62556"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Cf. Case of</w:t>
      </w:r>
      <w:r w:rsidRPr="00FE50A6">
        <w:t xml:space="preserve"> </w:t>
      </w:r>
      <w:r w:rsidRPr="00FE50A6">
        <w:rPr>
          <w:i/>
        </w:rPr>
        <w:t>López Álvarez v. Honduras. Merits, reparations and costs</w:t>
      </w:r>
      <w:r w:rsidRPr="00FE50A6">
        <w:t xml:space="preserve">. Judgment of February 1, 2006. Series C No. 141, para. 96, and </w:t>
      </w:r>
      <w:r w:rsidRPr="00FE50A6">
        <w:rPr>
          <w:rStyle w:val="Textoennegrita"/>
          <w:b w:val="0"/>
          <w:i/>
          <w:color w:val="000000"/>
          <w:shd w:val="clear" w:color="auto" w:fill="FFFFFF"/>
        </w:rPr>
        <w:t>Case of Maldonado Ordoñez</w:t>
      </w:r>
      <w:r w:rsidRPr="00FE50A6">
        <w:rPr>
          <w:color w:val="000000"/>
        </w:rPr>
        <w:t xml:space="preserve">, </w:t>
      </w:r>
      <w:r w:rsidRPr="00FE50A6">
        <w:t>para. 109.</w:t>
      </w:r>
    </w:p>
  </w:footnote>
  <w:footnote w:id="498">
    <w:p w14:paraId="4BF324F1"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rFonts w:cs="Verdana"/>
          <w:i/>
          <w:sz w:val="16"/>
          <w:szCs w:val="16"/>
          <w:lang w:val="en-US" w:bidi="en-US"/>
        </w:rPr>
        <w:t>Case of Ivcher Bronstein v. Peru. Merits, reparations and costs.</w:t>
      </w:r>
      <w:r w:rsidRPr="00FE50A6">
        <w:rPr>
          <w:rFonts w:cs="Verdana"/>
          <w:sz w:val="16"/>
          <w:szCs w:val="16"/>
          <w:lang w:val="en-US" w:bidi="en-US"/>
        </w:rPr>
        <w:t xml:space="preserve"> Judgment of February 6, 2001. Series C No. 7, para. 137, and </w:t>
      </w:r>
      <w:r w:rsidRPr="00FE50A6">
        <w:rPr>
          <w:rStyle w:val="Textoennegrita"/>
          <w:b w:val="0"/>
          <w:i/>
          <w:color w:val="000000"/>
          <w:sz w:val="16"/>
          <w:szCs w:val="16"/>
          <w:shd w:val="clear" w:color="auto" w:fill="FFFFFF"/>
          <w:lang w:val="en-US"/>
        </w:rPr>
        <w:t xml:space="preserve">Case of </w:t>
      </w:r>
      <w:r w:rsidRPr="00FE50A6">
        <w:rPr>
          <w:rStyle w:val="Textoennegrita"/>
          <w:b w:val="0"/>
          <w:i/>
          <w:color w:val="000000"/>
          <w:sz w:val="16"/>
          <w:shd w:val="clear" w:color="auto" w:fill="FFFFFF"/>
          <w:lang w:val="en-US"/>
        </w:rPr>
        <w:t>Maldonado Ordoñez</w:t>
      </w:r>
      <w:r w:rsidRPr="00FE50A6">
        <w:rPr>
          <w:color w:val="000000"/>
          <w:sz w:val="16"/>
          <w:szCs w:val="16"/>
          <w:lang w:val="en-US"/>
        </w:rPr>
        <w:t xml:space="preserve">, </w:t>
      </w:r>
      <w:r w:rsidRPr="00FE50A6">
        <w:rPr>
          <w:sz w:val="16"/>
          <w:szCs w:val="16"/>
          <w:lang w:val="en-US"/>
        </w:rPr>
        <w:t>para. 109.</w:t>
      </w:r>
    </w:p>
  </w:footnote>
  <w:footnote w:id="499">
    <w:p w14:paraId="49DCFD14" w14:textId="77777777" w:rsidR="00E70935" w:rsidRPr="00FE50A6" w:rsidRDefault="00E70935" w:rsidP="00CD003F">
      <w:pPr>
        <w:tabs>
          <w:tab w:val="clear" w:pos="4419"/>
          <w:tab w:val="clear" w:pos="8838"/>
          <w:tab w:val="right" w:pos="0"/>
          <w:tab w:val="left" w:pos="567"/>
        </w:tabs>
        <w:spacing w:after="80"/>
        <w:jc w:val="both"/>
        <w:rPr>
          <w:sz w:val="16"/>
          <w:szCs w:val="16"/>
          <w:lang w:val="en-US"/>
        </w:rPr>
      </w:pPr>
      <w:r w:rsidRPr="00FE50A6">
        <w:rPr>
          <w:rStyle w:val="Refdenotaalpie1"/>
          <w:sz w:val="16"/>
          <w:szCs w:val="16"/>
          <w:lang w:val="en-US"/>
        </w:rPr>
        <w:footnoteRef/>
      </w:r>
      <w:r w:rsidRPr="00FE50A6">
        <w:rPr>
          <w:sz w:val="16"/>
          <w:szCs w:val="16"/>
          <w:lang w:val="en-US"/>
        </w:rPr>
        <w:t xml:space="preserve"> </w:t>
      </w:r>
      <w:r w:rsidRPr="00FE50A6">
        <w:rPr>
          <w:i/>
          <w:sz w:val="16"/>
          <w:szCs w:val="16"/>
          <w:lang w:val="en-US"/>
        </w:rPr>
        <w:t>Cf. Case of Las Palmeras v. Colombia. Reparations and costs.</w:t>
      </w:r>
      <w:r w:rsidRPr="00FE50A6">
        <w:rPr>
          <w:sz w:val="16"/>
          <w:szCs w:val="16"/>
          <w:lang w:val="en-US"/>
        </w:rPr>
        <w:t xml:space="preserve"> Judgment of November 26, 2002. Series C No. 96, para. 58, and </w:t>
      </w:r>
      <w:r w:rsidRPr="00FE50A6">
        <w:rPr>
          <w:rStyle w:val="Textoennegrita"/>
          <w:b w:val="0"/>
          <w:i/>
          <w:color w:val="000000"/>
          <w:sz w:val="16"/>
          <w:szCs w:val="16"/>
          <w:shd w:val="clear" w:color="auto" w:fill="FFFFFF"/>
          <w:lang w:val="en-US"/>
        </w:rPr>
        <w:t xml:space="preserve">Case of </w:t>
      </w:r>
      <w:r w:rsidRPr="00FE50A6">
        <w:rPr>
          <w:rStyle w:val="Textoennegrita"/>
          <w:b w:val="0"/>
          <w:i/>
          <w:color w:val="000000"/>
          <w:sz w:val="16"/>
          <w:shd w:val="clear" w:color="auto" w:fill="FFFFFF"/>
          <w:lang w:val="en-US"/>
        </w:rPr>
        <w:t>Maldonado Ordoñez</w:t>
      </w:r>
      <w:r w:rsidRPr="00FE50A6">
        <w:rPr>
          <w:rStyle w:val="Textoennegrita"/>
          <w:b w:val="0"/>
          <w:color w:val="000000"/>
          <w:sz w:val="16"/>
          <w:szCs w:val="16"/>
          <w:shd w:val="clear" w:color="auto" w:fill="FFFFFF"/>
          <w:lang w:val="en-US"/>
        </w:rPr>
        <w:t>, para. 109</w:t>
      </w:r>
      <w:r w:rsidRPr="00FE50A6">
        <w:rPr>
          <w:rFonts w:cs="Verdana"/>
          <w:sz w:val="16"/>
          <w:szCs w:val="16"/>
          <w:lang w:val="en-US" w:bidi="en-US"/>
        </w:rPr>
        <w:t>.</w:t>
      </w:r>
    </w:p>
  </w:footnote>
  <w:footnote w:id="500">
    <w:p w14:paraId="3DE5C5B4" w14:textId="77777777" w:rsidR="00E70935" w:rsidRPr="00FE50A6" w:rsidRDefault="00E70935" w:rsidP="00CD003F">
      <w:pPr>
        <w:pStyle w:val="Textonotapie"/>
        <w:tabs>
          <w:tab w:val="clear" w:pos="4419"/>
          <w:tab w:val="clear" w:pos="8838"/>
          <w:tab w:val="right" w:pos="0"/>
          <w:tab w:val="left" w:pos="567"/>
        </w:tabs>
        <w:spacing w:after="80"/>
        <w:rPr>
          <w:i/>
        </w:rPr>
      </w:pPr>
      <w:r w:rsidRPr="00FE50A6">
        <w:rPr>
          <w:rStyle w:val="Refdenotaalpie"/>
          <w:szCs w:val="16"/>
        </w:rPr>
        <w:footnoteRef/>
      </w:r>
      <w:r w:rsidRPr="00FE50A6">
        <w:t xml:space="preserve"> </w:t>
      </w:r>
      <w:r w:rsidRPr="00FE50A6">
        <w:rPr>
          <w:i/>
        </w:rPr>
        <w:t xml:space="preserve">Cf. Case of Baena Ricardo et al. v. Panama. Jurisdiction. </w:t>
      </w:r>
      <w:r w:rsidRPr="00FE50A6">
        <w:t xml:space="preserve">Judgment of November 28, 2003. Series C No. 104, para. 73, and </w:t>
      </w:r>
      <w:r w:rsidRPr="00FE50A6">
        <w:rPr>
          <w:rStyle w:val="Textoennegrita"/>
          <w:b w:val="0"/>
          <w:i/>
          <w:color w:val="000000"/>
          <w:shd w:val="clear" w:color="auto" w:fill="FFFFFF"/>
        </w:rPr>
        <w:t>Case of Maldonado Ordoñez</w:t>
      </w:r>
      <w:r w:rsidRPr="00FE50A6">
        <w:t>, para. 109</w:t>
      </w:r>
      <w:r w:rsidRPr="00FE50A6">
        <w:rPr>
          <w:rFonts w:cs="Verdana"/>
          <w:lang w:bidi="en-US"/>
        </w:rPr>
        <w:t>.</w:t>
      </w:r>
    </w:p>
  </w:footnote>
  <w:footnote w:id="501">
    <w:p w14:paraId="32DE5146" w14:textId="77777777" w:rsidR="00E70935" w:rsidRPr="00FE50A6" w:rsidRDefault="00E70935" w:rsidP="00CD003F">
      <w:pPr>
        <w:tabs>
          <w:tab w:val="clear" w:pos="4419"/>
          <w:tab w:val="clear" w:pos="8838"/>
          <w:tab w:val="right" w:pos="0"/>
        </w:tabs>
        <w:spacing w:after="80"/>
        <w:jc w:val="both"/>
        <w:rPr>
          <w:bCs/>
          <w:color w:val="000000"/>
          <w:sz w:val="16"/>
          <w:szCs w:val="16"/>
          <w:shd w:val="clear" w:color="auto" w:fill="FFFFFF"/>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 Case of the “Street Children” (Villagrán Morales et al.) v. Guatemala. Merits</w:t>
      </w:r>
      <w:r w:rsidRPr="00FE50A6">
        <w:rPr>
          <w:sz w:val="16"/>
          <w:szCs w:val="16"/>
          <w:lang w:val="en-US"/>
        </w:rPr>
        <w:t xml:space="preserve">, para. 237, and </w:t>
      </w:r>
      <w:r w:rsidRPr="00FE50A6">
        <w:rPr>
          <w:rStyle w:val="Textoennegrita"/>
          <w:b w:val="0"/>
          <w:i/>
          <w:color w:val="000000"/>
          <w:sz w:val="16"/>
          <w:szCs w:val="16"/>
          <w:shd w:val="clear" w:color="auto" w:fill="FFFFFF"/>
          <w:lang w:val="en-US"/>
        </w:rPr>
        <w:t xml:space="preserve">Case of </w:t>
      </w:r>
      <w:r w:rsidRPr="00FE50A6">
        <w:rPr>
          <w:rStyle w:val="Textoennegrita"/>
          <w:b w:val="0"/>
          <w:i/>
          <w:color w:val="000000"/>
          <w:sz w:val="16"/>
          <w:shd w:val="clear" w:color="auto" w:fill="FFFFFF"/>
          <w:lang w:val="en-US"/>
        </w:rPr>
        <w:t>Maldonado Ordoñez</w:t>
      </w:r>
      <w:r w:rsidRPr="00FE50A6">
        <w:rPr>
          <w:rStyle w:val="Textoennegrita"/>
          <w:b w:val="0"/>
          <w:color w:val="000000"/>
          <w:sz w:val="16"/>
          <w:szCs w:val="16"/>
          <w:shd w:val="clear" w:color="auto" w:fill="FFFFFF"/>
          <w:lang w:val="en-US"/>
        </w:rPr>
        <w:t>, para. 110</w:t>
      </w:r>
      <w:r w:rsidRPr="00FE50A6">
        <w:rPr>
          <w:sz w:val="16"/>
          <w:szCs w:val="16"/>
          <w:lang w:val="en-US"/>
        </w:rPr>
        <w:t>.</w:t>
      </w:r>
    </w:p>
  </w:footnote>
  <w:footnote w:id="502">
    <w:p w14:paraId="15E0BDD4" w14:textId="77777777" w:rsidR="00E70935" w:rsidRPr="00FE50A6" w:rsidRDefault="00E70935" w:rsidP="00CD003F">
      <w:pPr>
        <w:tabs>
          <w:tab w:val="clear" w:pos="4419"/>
          <w:tab w:val="clear" w:pos="8838"/>
          <w:tab w:val="right" w:pos="0"/>
        </w:tabs>
        <w:spacing w:after="80"/>
        <w:jc w:val="both"/>
        <w:rPr>
          <w:bCs/>
          <w:color w:val="000000"/>
          <w:sz w:val="16"/>
          <w:szCs w:val="16"/>
          <w:shd w:val="clear" w:color="auto" w:fill="FFFFFF"/>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 Case of Castillo Páez v. Peru. Merits.</w:t>
      </w:r>
      <w:r w:rsidRPr="00FE50A6">
        <w:rPr>
          <w:sz w:val="16"/>
          <w:szCs w:val="16"/>
          <w:lang w:val="en-US"/>
        </w:rPr>
        <w:t xml:space="preserve"> Judgment of November 3, 1997. Series C No. 34, para. 83, and </w:t>
      </w:r>
      <w:r w:rsidRPr="00FE50A6">
        <w:rPr>
          <w:rStyle w:val="Textoennegrita"/>
          <w:b w:val="0"/>
          <w:i/>
          <w:color w:val="000000"/>
          <w:sz w:val="16"/>
          <w:szCs w:val="16"/>
          <w:shd w:val="clear" w:color="auto" w:fill="FFFFFF"/>
          <w:lang w:val="en-US"/>
        </w:rPr>
        <w:t xml:space="preserve">Case of </w:t>
      </w:r>
      <w:r w:rsidRPr="00FE50A6">
        <w:rPr>
          <w:rStyle w:val="Textoennegrita"/>
          <w:b w:val="0"/>
          <w:i/>
          <w:color w:val="000000"/>
          <w:sz w:val="16"/>
          <w:shd w:val="clear" w:color="auto" w:fill="FFFFFF"/>
          <w:lang w:val="en-US"/>
        </w:rPr>
        <w:t>Maldonado Ordoñez</w:t>
      </w:r>
      <w:r w:rsidRPr="00FE50A6">
        <w:rPr>
          <w:rStyle w:val="Textoennegrita"/>
          <w:b w:val="0"/>
          <w:color w:val="000000"/>
          <w:sz w:val="16"/>
          <w:szCs w:val="16"/>
          <w:shd w:val="clear" w:color="auto" w:fill="FFFFFF"/>
          <w:lang w:val="en-US"/>
        </w:rPr>
        <w:t>, para. 110.</w:t>
      </w:r>
    </w:p>
  </w:footnote>
  <w:footnote w:id="503">
    <w:p w14:paraId="69DF27DC" w14:textId="77777777" w:rsidR="00E70935" w:rsidRPr="00FE50A6" w:rsidRDefault="00E70935" w:rsidP="00CD003F">
      <w:pPr>
        <w:pStyle w:val="Textonotapie"/>
        <w:tabs>
          <w:tab w:val="clear" w:pos="4419"/>
          <w:tab w:val="clear" w:pos="8838"/>
          <w:tab w:val="right" w:pos="0"/>
          <w:tab w:val="left" w:pos="567"/>
        </w:tabs>
        <w:spacing w:after="80"/>
      </w:pPr>
      <w:r w:rsidRPr="00FE50A6">
        <w:rPr>
          <w:rStyle w:val="Refdenotaalpie"/>
          <w:szCs w:val="16"/>
        </w:rPr>
        <w:footnoteRef/>
      </w:r>
      <w:r w:rsidRPr="00FE50A6">
        <w:t xml:space="preserve"> </w:t>
      </w:r>
      <w:r w:rsidRPr="00FE50A6">
        <w:rPr>
          <w:i/>
        </w:rPr>
        <w:t>Cf. Case of the “Street Children” (Villagrán Morales et al.) v. Guatemala. Merits</w:t>
      </w:r>
      <w:r w:rsidRPr="00FE50A6">
        <w:t xml:space="preserve">, para. 237, and </w:t>
      </w:r>
      <w:r w:rsidRPr="00FE50A6">
        <w:rPr>
          <w:rStyle w:val="Textoennegrita"/>
          <w:b w:val="0"/>
          <w:i/>
          <w:color w:val="000000"/>
          <w:shd w:val="clear" w:color="auto" w:fill="FFFFFF"/>
        </w:rPr>
        <w:t>Case of Maldonado Ordoñez</w:t>
      </w:r>
      <w:r w:rsidRPr="00FE50A6">
        <w:rPr>
          <w:color w:val="000000"/>
        </w:rPr>
        <w:t xml:space="preserve">, </w:t>
      </w:r>
      <w:r w:rsidRPr="00FE50A6">
        <w:t>para. 110.</w:t>
      </w:r>
    </w:p>
  </w:footnote>
  <w:footnote w:id="504">
    <w:p w14:paraId="31090574" w14:textId="77777777" w:rsidR="00E70935" w:rsidRPr="00FE50A6" w:rsidRDefault="00E70935" w:rsidP="00CD003F">
      <w:pPr>
        <w:pStyle w:val="Textonotapie"/>
        <w:spacing w:after="80"/>
      </w:pPr>
      <w:r w:rsidRPr="00FE50A6">
        <w:rPr>
          <w:rStyle w:val="Refdenotaalpie"/>
        </w:rPr>
        <w:footnoteRef/>
      </w:r>
      <w:r w:rsidRPr="00FE50A6">
        <w:t xml:space="preserve"> Judgment of July 10, 2008 (evidence file, folio 5622).</w:t>
      </w:r>
    </w:p>
  </w:footnote>
  <w:footnote w:id="505">
    <w:p w14:paraId="42230783" w14:textId="77777777" w:rsidR="00E70935" w:rsidRPr="00FE50A6" w:rsidRDefault="00E70935" w:rsidP="00CD003F">
      <w:pPr>
        <w:spacing w:after="80"/>
        <w:jc w:val="both"/>
        <w:rPr>
          <w:bCs/>
          <w:i/>
          <w:color w:val="000000"/>
          <w:shd w:val="clear" w:color="auto" w:fill="FFFFFF"/>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w:t>
      </w:r>
      <w:r w:rsidRPr="00FE50A6">
        <w:rPr>
          <w:rStyle w:val="Textoennegrita"/>
          <w:b w:val="0"/>
          <w:i/>
          <w:color w:val="000000"/>
          <w:sz w:val="16"/>
          <w:szCs w:val="16"/>
          <w:shd w:val="clear" w:color="auto" w:fill="FFFFFF"/>
          <w:lang w:val="en-US"/>
        </w:rPr>
        <w:t>Case of Fornerón and daughter v. Argentina. Merits, reparations and costs</w:t>
      </w:r>
      <w:r w:rsidRPr="00FE50A6">
        <w:rPr>
          <w:rStyle w:val="Textoennegrita"/>
          <w:b w:val="0"/>
          <w:color w:val="000000"/>
          <w:sz w:val="16"/>
          <w:szCs w:val="16"/>
          <w:shd w:val="clear" w:color="auto" w:fill="FFFFFF"/>
          <w:lang w:val="en-US"/>
        </w:rPr>
        <w:t xml:space="preserve">. Judgment of April 27, 2012. Series C No. 242, para. 44, and </w:t>
      </w:r>
      <w:r w:rsidRPr="00FE50A6">
        <w:rPr>
          <w:rStyle w:val="Textoennegrita"/>
          <w:b w:val="0"/>
          <w:i/>
          <w:color w:val="000000"/>
          <w:sz w:val="16"/>
          <w:shd w:val="clear" w:color="auto" w:fill="FFFFFF"/>
          <w:lang w:val="en-US"/>
        </w:rPr>
        <w:t>Case of the Campesina Community of Santa Bárbara</w:t>
      </w:r>
      <w:r w:rsidRPr="00FE50A6">
        <w:rPr>
          <w:sz w:val="16"/>
          <w:szCs w:val="16"/>
          <w:lang w:val="en-US"/>
        </w:rPr>
        <w:t xml:space="preserve">, para. </w:t>
      </w:r>
      <w:proofErr w:type="gramStart"/>
      <w:r w:rsidRPr="00FE50A6">
        <w:rPr>
          <w:sz w:val="16"/>
          <w:szCs w:val="16"/>
          <w:lang w:val="en-US"/>
        </w:rPr>
        <w:t>491</w:t>
      </w:r>
      <w:r w:rsidRPr="00FE50A6" w:rsidDel="009E6E31">
        <w:rPr>
          <w:i/>
          <w:sz w:val="16"/>
          <w:szCs w:val="16"/>
          <w:lang w:val="en-US"/>
        </w:rPr>
        <w:t xml:space="preserve"> </w:t>
      </w:r>
      <w:r w:rsidRPr="00FE50A6">
        <w:rPr>
          <w:sz w:val="16"/>
          <w:szCs w:val="16"/>
          <w:lang w:val="en-US"/>
        </w:rPr>
        <w:t>.</w:t>
      </w:r>
      <w:proofErr w:type="gramEnd"/>
    </w:p>
  </w:footnote>
  <w:footnote w:id="506">
    <w:p w14:paraId="54E3F44C" w14:textId="77777777" w:rsidR="00E70935" w:rsidRPr="00FE50A6" w:rsidRDefault="00E70935" w:rsidP="00CD003F">
      <w:pPr>
        <w:tabs>
          <w:tab w:val="clear" w:pos="4419"/>
          <w:tab w:val="clear" w:pos="8838"/>
          <w:tab w:val="right" w:pos="0"/>
          <w:tab w:val="left" w:pos="567"/>
          <w:tab w:val="left" w:pos="709"/>
        </w:tabs>
        <w:autoSpaceDE w:val="0"/>
        <w:autoSpaceDN w:val="0"/>
        <w:adjustRightInd w:val="0"/>
        <w:spacing w:after="80"/>
        <w:jc w:val="both"/>
        <w:rPr>
          <w:rFonts w:cs="Verdana"/>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Almonacid Arellano et al. v. Chile. Preliminary objections, merits, reparations and costs. </w:t>
      </w:r>
      <w:r w:rsidRPr="00FE50A6">
        <w:rPr>
          <w:sz w:val="16"/>
          <w:szCs w:val="16"/>
          <w:lang w:val="en-US"/>
        </w:rPr>
        <w:t xml:space="preserve">Judgment of September 26, 2006. Series C No. 154, para. 124, and </w:t>
      </w:r>
      <w:r w:rsidRPr="00FE50A6">
        <w:rPr>
          <w:i/>
          <w:sz w:val="16"/>
          <w:szCs w:val="16"/>
          <w:lang w:val="en-US"/>
        </w:rPr>
        <w:t>Case of</w:t>
      </w:r>
      <w:r w:rsidRPr="00FE50A6">
        <w:rPr>
          <w:sz w:val="16"/>
          <w:szCs w:val="16"/>
          <w:lang w:val="en-US"/>
        </w:rPr>
        <w:t xml:space="preserve"> the </w:t>
      </w:r>
      <w:r w:rsidRPr="00FE50A6">
        <w:rPr>
          <w:rStyle w:val="Textoennegrita"/>
          <w:b w:val="0"/>
          <w:i/>
          <w:color w:val="000000"/>
          <w:sz w:val="16"/>
          <w:szCs w:val="16"/>
          <w:shd w:val="clear" w:color="auto" w:fill="FFFFFF"/>
          <w:lang w:val="en-US"/>
        </w:rPr>
        <w:t>Punta Piedra Garífuna Community and its members v. Honduras. Preliminary objections, merits, reparations and costs</w:t>
      </w:r>
      <w:r w:rsidRPr="00FE50A6">
        <w:rPr>
          <w:rStyle w:val="Textoennegrita"/>
          <w:b w:val="0"/>
          <w:color w:val="000000"/>
          <w:sz w:val="16"/>
          <w:szCs w:val="16"/>
          <w:shd w:val="clear" w:color="auto" w:fill="FFFFFF"/>
          <w:lang w:val="en-US"/>
        </w:rPr>
        <w:t>. Judgment of October 8, 2015. Series C No. 304</w:t>
      </w:r>
      <w:r w:rsidRPr="00FE50A6">
        <w:rPr>
          <w:bCs/>
          <w:i/>
          <w:sz w:val="16"/>
          <w:szCs w:val="16"/>
          <w:lang w:val="en-US"/>
        </w:rPr>
        <w:t xml:space="preserve">, </w:t>
      </w:r>
      <w:r w:rsidRPr="00FE50A6">
        <w:rPr>
          <w:sz w:val="16"/>
          <w:szCs w:val="16"/>
          <w:lang w:val="en-US"/>
        </w:rPr>
        <w:t>para. 346.</w:t>
      </w:r>
    </w:p>
  </w:footnote>
  <w:footnote w:id="507">
    <w:p w14:paraId="481FDAEE"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i/>
        </w:rPr>
        <w:t xml:space="preserve">Cf. </w:t>
      </w:r>
      <w:r w:rsidRPr="00FE50A6">
        <w:rPr>
          <w:rFonts w:cs="Verdana"/>
          <w:i/>
          <w:iCs/>
        </w:rPr>
        <w:t>Case of Garrido and Baigorria. Reparations and costs</w:t>
      </w:r>
      <w:r w:rsidRPr="00FE50A6">
        <w:rPr>
          <w:rFonts w:cs="Verdana"/>
        </w:rPr>
        <w:t xml:space="preserve">. </w:t>
      </w:r>
      <w:r w:rsidRPr="00FE50A6">
        <w:rPr>
          <w:rFonts w:cs="Arial"/>
        </w:rPr>
        <w:t xml:space="preserve">Judgment of August 27, 1998. Series C No. 39, para. 68, and </w:t>
      </w:r>
      <w:r w:rsidRPr="00FE50A6">
        <w:rPr>
          <w:rStyle w:val="Textoennegrita"/>
          <w:b w:val="0"/>
          <w:i/>
          <w:color w:val="000000"/>
          <w:shd w:val="clear" w:color="auto" w:fill="FFFFFF"/>
        </w:rPr>
        <w:t>Case of Maldonado Ordoñez</w:t>
      </w:r>
      <w:r w:rsidRPr="00FE50A6">
        <w:rPr>
          <w:rStyle w:val="Textoennegrita"/>
          <w:b w:val="0"/>
          <w:color w:val="000000"/>
          <w:shd w:val="clear" w:color="auto" w:fill="FFFFFF"/>
        </w:rPr>
        <w:t>, para. 111.</w:t>
      </w:r>
    </w:p>
  </w:footnote>
  <w:footnote w:id="508">
    <w:p w14:paraId="091EB5B4" w14:textId="77777777" w:rsidR="00E70935" w:rsidRPr="00FE50A6" w:rsidRDefault="00E70935" w:rsidP="00CD003F">
      <w:pPr>
        <w:pStyle w:val="Textonotapie"/>
        <w:tabs>
          <w:tab w:val="clear" w:pos="4419"/>
          <w:tab w:val="clear" w:pos="8838"/>
          <w:tab w:val="right" w:pos="0"/>
        </w:tabs>
        <w:spacing w:after="80"/>
        <w:rPr>
          <w:rFonts w:eastAsia="MS Mincho" w:cs="Arial"/>
        </w:rPr>
      </w:pPr>
      <w:r w:rsidRPr="00FE50A6">
        <w:rPr>
          <w:rStyle w:val="Refdenotaalpie"/>
          <w:szCs w:val="16"/>
        </w:rPr>
        <w:footnoteRef/>
      </w:r>
      <w:r w:rsidRPr="00FE50A6">
        <w:t xml:space="preserve"> </w:t>
      </w:r>
      <w:r w:rsidRPr="00FE50A6">
        <w:rPr>
          <w:i/>
        </w:rPr>
        <w:t>Cf. Case of Garrido and Baigorria. Reparations and costs</w:t>
      </w:r>
      <w:r w:rsidRPr="00FE50A6">
        <w:t>, para. 68</w:t>
      </w:r>
      <w:r w:rsidRPr="00FE50A6">
        <w:rPr>
          <w:i/>
        </w:rPr>
        <w:t xml:space="preserve"> and </w:t>
      </w:r>
      <w:r w:rsidRPr="00FE50A6">
        <w:rPr>
          <w:rStyle w:val="Textoennegrita"/>
          <w:b w:val="0"/>
          <w:i/>
          <w:color w:val="000000"/>
          <w:shd w:val="clear" w:color="auto" w:fill="FFFFFF"/>
        </w:rPr>
        <w:t>Case of Maldonado Ordoñez</w:t>
      </w:r>
      <w:r w:rsidRPr="00FE50A6">
        <w:rPr>
          <w:rStyle w:val="Textoennegrita"/>
          <w:b w:val="0"/>
          <w:color w:val="000000"/>
          <w:shd w:val="clear" w:color="auto" w:fill="FFFFFF"/>
        </w:rPr>
        <w:t>, para. 111.</w:t>
      </w:r>
    </w:p>
  </w:footnote>
  <w:footnote w:id="509">
    <w:p w14:paraId="7A2D7AAD"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t xml:space="preserve"> </w:t>
      </w:r>
      <w:r w:rsidRPr="00FE50A6">
        <w:rPr>
          <w:i/>
        </w:rPr>
        <w:t xml:space="preserve">Cf. </w:t>
      </w:r>
      <w:r w:rsidRPr="00FE50A6">
        <w:rPr>
          <w:rFonts w:cs="Arial"/>
          <w:i/>
        </w:rPr>
        <w:t xml:space="preserve">Case of </w:t>
      </w:r>
      <w:r w:rsidRPr="00FE50A6">
        <w:rPr>
          <w:i/>
        </w:rPr>
        <w:t>Ivcher Bronstein.</w:t>
      </w:r>
      <w:r w:rsidRPr="00FE50A6">
        <w:t xml:space="preserve"> </w:t>
      </w:r>
      <w:r w:rsidRPr="00FE50A6">
        <w:rPr>
          <w:i/>
        </w:rPr>
        <w:t>Jurisdiction.</w:t>
      </w:r>
      <w:r w:rsidRPr="00FE50A6">
        <w:t xml:space="preserve"> Judgment of September 24, 1999. Series C No. 54, para. </w:t>
      </w:r>
      <w:r w:rsidRPr="00FE50A6">
        <w:rPr>
          <w:lang w:val="es-CR"/>
        </w:rPr>
        <w:t xml:space="preserve">37, and </w:t>
      </w:r>
      <w:r w:rsidRPr="00FE50A6">
        <w:rPr>
          <w:rStyle w:val="Textoennegrita"/>
          <w:b w:val="0"/>
          <w:i/>
          <w:color w:val="000000"/>
          <w:shd w:val="clear" w:color="auto" w:fill="FFFFFF"/>
          <w:lang w:val="es-CR"/>
        </w:rPr>
        <w:t>Case of Maldonado Ordoñez</w:t>
      </w:r>
      <w:r w:rsidRPr="00FE50A6">
        <w:rPr>
          <w:rStyle w:val="Textoennegrita"/>
          <w:b w:val="0"/>
          <w:color w:val="000000"/>
          <w:shd w:val="clear" w:color="auto" w:fill="FFFFFF"/>
          <w:lang w:val="es-CR"/>
        </w:rPr>
        <w:t>, para. 111.</w:t>
      </w:r>
    </w:p>
  </w:footnote>
  <w:footnote w:id="510">
    <w:p w14:paraId="3DC83935" w14:textId="77777777" w:rsidR="00E70935" w:rsidRPr="00FE50A6" w:rsidRDefault="00E70935" w:rsidP="00CD003F">
      <w:pPr>
        <w:pStyle w:val="Textonotapie"/>
        <w:tabs>
          <w:tab w:val="clear" w:pos="4419"/>
          <w:tab w:val="clear" w:pos="8838"/>
          <w:tab w:val="right" w:pos="0"/>
        </w:tabs>
        <w:spacing w:after="80"/>
        <w:rPr>
          <w:lang w:val="es-CR"/>
        </w:rPr>
      </w:pPr>
      <w:r w:rsidRPr="00FE50A6">
        <w:rPr>
          <w:rStyle w:val="Refdenotaalpie"/>
          <w:szCs w:val="16"/>
        </w:rPr>
        <w:footnoteRef/>
      </w:r>
      <w:r w:rsidRPr="00FE50A6">
        <w:rPr>
          <w:lang w:val="es-CR"/>
        </w:rPr>
        <w:t xml:space="preserve"> </w:t>
      </w:r>
      <w:r w:rsidRPr="00FE50A6">
        <w:rPr>
          <w:i/>
          <w:lang w:val="es-CR"/>
        </w:rPr>
        <w:t xml:space="preserve">Cf. Case of Zambrano Vélez et al. v. Ecuador. </w:t>
      </w:r>
      <w:r w:rsidRPr="00FE50A6">
        <w:rPr>
          <w:rStyle w:val="Textoennegrita"/>
          <w:b w:val="0"/>
          <w:i/>
        </w:rPr>
        <w:t>Merits, reparations and costs</w:t>
      </w:r>
      <w:r w:rsidRPr="00FE50A6">
        <w:rPr>
          <w:rStyle w:val="Textoennegrita"/>
          <w:b w:val="0"/>
        </w:rPr>
        <w:t xml:space="preserve">. Judgment of July 4, 2007. </w:t>
      </w:r>
      <w:r w:rsidRPr="00FE50A6">
        <w:rPr>
          <w:rStyle w:val="Textoennegrita"/>
          <w:b w:val="0"/>
          <w:lang w:val="es-CR"/>
        </w:rPr>
        <w:t>Series C No. 166</w:t>
      </w:r>
      <w:r w:rsidRPr="00FE50A6">
        <w:rPr>
          <w:rStyle w:val="Textoennegrita"/>
          <w:b w:val="0"/>
          <w:i/>
          <w:lang w:val="es-CR"/>
        </w:rPr>
        <w:t>,</w:t>
      </w:r>
      <w:r w:rsidRPr="00FE50A6">
        <w:rPr>
          <w:i/>
          <w:lang w:val="es-CR"/>
        </w:rPr>
        <w:t xml:space="preserve"> </w:t>
      </w:r>
      <w:r w:rsidRPr="00FE50A6">
        <w:rPr>
          <w:lang w:val="es-CR"/>
        </w:rPr>
        <w:t>para. 56</w:t>
      </w:r>
      <w:r w:rsidRPr="00FE50A6">
        <w:rPr>
          <w:rFonts w:cs="Arial"/>
          <w:lang w:val="es-CR"/>
        </w:rPr>
        <w:t xml:space="preserve">, and </w:t>
      </w:r>
      <w:r w:rsidRPr="00FE50A6">
        <w:rPr>
          <w:rStyle w:val="Textoennegrita"/>
          <w:b w:val="0"/>
          <w:i/>
          <w:color w:val="000000"/>
          <w:shd w:val="clear" w:color="auto" w:fill="FFFFFF"/>
          <w:lang w:val="es-CR"/>
        </w:rPr>
        <w:t>Case of Maldonado Ordoñez</w:t>
      </w:r>
      <w:r w:rsidRPr="00FE50A6">
        <w:rPr>
          <w:rStyle w:val="Textoennegrita"/>
          <w:b w:val="0"/>
          <w:color w:val="000000"/>
          <w:shd w:val="clear" w:color="auto" w:fill="FFFFFF"/>
          <w:lang w:val="es-CR"/>
        </w:rPr>
        <w:t>, para. 111.</w:t>
      </w:r>
    </w:p>
  </w:footnote>
  <w:footnote w:id="511">
    <w:p w14:paraId="4547718F" w14:textId="77777777" w:rsidR="00E70935" w:rsidRPr="00FE50A6" w:rsidRDefault="00E70935" w:rsidP="00CD003F">
      <w:pPr>
        <w:pStyle w:val="Textonotapie"/>
        <w:tabs>
          <w:tab w:val="clear" w:pos="4419"/>
          <w:tab w:val="clear" w:pos="8838"/>
          <w:tab w:val="right" w:pos="0"/>
        </w:tabs>
        <w:spacing w:after="80"/>
        <w:rPr>
          <w:rFonts w:eastAsia="MS Mincho" w:cs="Arial"/>
        </w:rPr>
      </w:pPr>
      <w:r w:rsidRPr="00FE50A6">
        <w:rPr>
          <w:rStyle w:val="Refdenotaalpie"/>
          <w:szCs w:val="16"/>
        </w:rPr>
        <w:footnoteRef/>
      </w:r>
      <w:r w:rsidRPr="00FE50A6">
        <w:rPr>
          <w:lang w:val="es-CR"/>
        </w:rPr>
        <w:t xml:space="preserve"> </w:t>
      </w:r>
      <w:r w:rsidRPr="00FE50A6">
        <w:rPr>
          <w:i/>
          <w:lang w:val="es-CR"/>
        </w:rPr>
        <w:t>Cf. Case of Zambrano Vélez et al.</w:t>
      </w:r>
      <w:r w:rsidRPr="00FE50A6">
        <w:rPr>
          <w:rStyle w:val="Textoennegrita"/>
          <w:b w:val="0"/>
          <w:i/>
          <w:lang w:val="es-CR"/>
        </w:rPr>
        <w:t>,</w:t>
      </w:r>
      <w:r w:rsidRPr="00FE50A6">
        <w:rPr>
          <w:i/>
          <w:lang w:val="es-CR"/>
        </w:rPr>
        <w:t xml:space="preserve"> </w:t>
      </w:r>
      <w:r w:rsidRPr="00FE50A6">
        <w:rPr>
          <w:lang w:val="es-CR"/>
        </w:rPr>
        <w:t xml:space="preserve">para. </w:t>
      </w:r>
      <w:r w:rsidRPr="00FE50A6">
        <w:t>56,</w:t>
      </w:r>
      <w:r w:rsidRPr="00FE50A6">
        <w:rPr>
          <w:i/>
        </w:rPr>
        <w:t xml:space="preserve"> and </w:t>
      </w:r>
      <w:r w:rsidRPr="00FE50A6">
        <w:rPr>
          <w:rStyle w:val="Textoennegrita"/>
          <w:b w:val="0"/>
          <w:i/>
          <w:color w:val="000000"/>
          <w:shd w:val="clear" w:color="auto" w:fill="FFFFFF"/>
        </w:rPr>
        <w:t>Case of Maldonado Ordoñez</w:t>
      </w:r>
      <w:r w:rsidRPr="00FE50A6">
        <w:rPr>
          <w:rStyle w:val="Textoennegrita"/>
          <w:b w:val="0"/>
          <w:color w:val="000000"/>
          <w:shd w:val="clear" w:color="auto" w:fill="FFFFFF"/>
        </w:rPr>
        <w:t>, para. 111</w:t>
      </w:r>
      <w:r w:rsidRPr="00FE50A6">
        <w:rPr>
          <w:i/>
        </w:rPr>
        <w:t>.</w:t>
      </w:r>
    </w:p>
  </w:footnote>
  <w:footnote w:id="512">
    <w:p w14:paraId="60DC437A" w14:textId="77777777" w:rsidR="00E70935" w:rsidRPr="00FE50A6" w:rsidRDefault="00E70935" w:rsidP="00CD003F">
      <w:pPr>
        <w:tabs>
          <w:tab w:val="clear" w:pos="4419"/>
          <w:tab w:val="clear" w:pos="8838"/>
          <w:tab w:val="right" w:pos="0"/>
        </w:tabs>
        <w:autoSpaceDE w:val="0"/>
        <w:autoSpaceDN w:val="0"/>
        <w:adjustRightInd w:val="0"/>
        <w:spacing w:after="80"/>
        <w:jc w:val="both"/>
        <w:rPr>
          <w:rFonts w:cs="Arial"/>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Cf.</w:t>
      </w:r>
      <w:r w:rsidRPr="00FE50A6">
        <w:rPr>
          <w:sz w:val="16"/>
          <w:szCs w:val="16"/>
          <w:lang w:val="en-US"/>
        </w:rPr>
        <w:t xml:space="preserve"> </w:t>
      </w:r>
      <w:r w:rsidRPr="00FE50A6">
        <w:rPr>
          <w:rFonts w:cs="Arial"/>
          <w:i/>
          <w:iCs/>
          <w:sz w:val="16"/>
          <w:szCs w:val="16"/>
          <w:lang w:val="en-US"/>
        </w:rPr>
        <w:t xml:space="preserve">Case of Barrios Altos v. Peru. Merits. </w:t>
      </w:r>
      <w:r w:rsidRPr="00FE50A6">
        <w:rPr>
          <w:rFonts w:cs="Arial"/>
          <w:sz w:val="16"/>
          <w:szCs w:val="16"/>
          <w:lang w:val="en-US"/>
        </w:rPr>
        <w:t xml:space="preserve">Judgment of March 14, 2001. Series C No. 75, para. 41; </w:t>
      </w:r>
      <w:r w:rsidRPr="00FE50A6">
        <w:rPr>
          <w:rFonts w:cs="Arial"/>
          <w:i/>
          <w:iCs/>
          <w:sz w:val="16"/>
          <w:szCs w:val="16"/>
          <w:lang w:val="en-US"/>
        </w:rPr>
        <w:t>Case of Almonacid Arellano</w:t>
      </w:r>
      <w:r w:rsidRPr="00FE50A6">
        <w:rPr>
          <w:rFonts w:cs="Arial"/>
          <w:sz w:val="16"/>
          <w:szCs w:val="16"/>
          <w:lang w:val="en-US"/>
        </w:rPr>
        <w:t>, para. 110.</w:t>
      </w:r>
    </w:p>
  </w:footnote>
  <w:footnote w:id="513">
    <w:p w14:paraId="7D1598ED"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rStyle w:val="Textoennegrita"/>
          <w:b w:val="0"/>
          <w:i/>
          <w:color w:val="000000"/>
          <w:shd w:val="clear" w:color="auto" w:fill="FFFFFF"/>
        </w:rPr>
        <w:t>Case of the La Rochela Massacre v. Colombia. Merits, reparations and costs</w:t>
      </w:r>
      <w:r w:rsidRPr="00FE50A6">
        <w:rPr>
          <w:rStyle w:val="Textoennegrita"/>
          <w:b w:val="0"/>
          <w:color w:val="000000"/>
          <w:shd w:val="clear" w:color="auto" w:fill="FFFFFF"/>
        </w:rPr>
        <w:t>. Judgment of May 11, 2007. Series C No. 163, para. 193.</w:t>
      </w:r>
    </w:p>
  </w:footnote>
  <w:footnote w:id="514">
    <w:p w14:paraId="4098B4BC"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rFonts w:cs="Arial"/>
          <w:bCs/>
          <w:i/>
        </w:rPr>
        <w:t>Juridical Status and Rights of Undocumented Migrants</w:t>
      </w:r>
      <w:r w:rsidRPr="00FE50A6">
        <w:rPr>
          <w:rFonts w:cs="Arial"/>
          <w:i/>
          <w:iCs/>
        </w:rPr>
        <w:t xml:space="preserve">, </w:t>
      </w:r>
      <w:r w:rsidRPr="00FE50A6">
        <w:rPr>
          <w:rFonts w:cs="Arial"/>
        </w:rPr>
        <w:t xml:space="preserve">para. 85; and </w:t>
      </w:r>
      <w:r w:rsidRPr="00FE50A6">
        <w:rPr>
          <w:i/>
        </w:rPr>
        <w:t>Case of Duque,</w:t>
      </w:r>
      <w:r w:rsidRPr="00FE50A6">
        <w:t xml:space="preserve"> para. 93.</w:t>
      </w:r>
    </w:p>
  </w:footnote>
  <w:footnote w:id="515">
    <w:p w14:paraId="3D5A54DB" w14:textId="77777777" w:rsidR="00E70935" w:rsidRPr="00FE50A6" w:rsidRDefault="00E70935" w:rsidP="00CD003F">
      <w:pPr>
        <w:pStyle w:val="Textonotapie"/>
        <w:tabs>
          <w:tab w:val="clear" w:pos="4419"/>
          <w:tab w:val="clear" w:pos="8838"/>
          <w:tab w:val="right" w:pos="0"/>
        </w:tabs>
        <w:spacing w:after="80"/>
      </w:pPr>
      <w:r w:rsidRPr="00FE50A6">
        <w:rPr>
          <w:rStyle w:val="Refdenotaalpie"/>
          <w:szCs w:val="16"/>
        </w:rPr>
        <w:footnoteRef/>
      </w:r>
      <w:r w:rsidRPr="00FE50A6">
        <w:t xml:space="preserve"> </w:t>
      </w:r>
      <w:r w:rsidRPr="00FE50A6">
        <w:rPr>
          <w:rFonts w:cs="Arial"/>
          <w:bCs/>
          <w:i/>
        </w:rPr>
        <w:t>Juridical Status and Rights of Undocumented Migrants</w:t>
      </w:r>
      <w:r w:rsidRPr="00FE50A6">
        <w:rPr>
          <w:rFonts w:cs="Arial"/>
          <w:i/>
          <w:iCs/>
        </w:rPr>
        <w:t xml:space="preserve">, </w:t>
      </w:r>
      <w:r w:rsidRPr="00FE50A6">
        <w:rPr>
          <w:rFonts w:cs="Arial"/>
        </w:rPr>
        <w:t xml:space="preserve">para. 101; and </w:t>
      </w:r>
      <w:r w:rsidRPr="00FE50A6">
        <w:rPr>
          <w:i/>
        </w:rPr>
        <w:t>Case of Duque,</w:t>
      </w:r>
      <w:r w:rsidRPr="00FE50A6">
        <w:t xml:space="preserve"> para. 91.</w:t>
      </w:r>
    </w:p>
  </w:footnote>
  <w:footnote w:id="516">
    <w:p w14:paraId="4D76371D" w14:textId="77777777" w:rsidR="00E70935" w:rsidRPr="00FE50A6" w:rsidRDefault="00E70935" w:rsidP="00CD003F">
      <w:pPr>
        <w:spacing w:after="80"/>
        <w:jc w:val="both"/>
        <w:rPr>
          <w:b/>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Radilla Pacheco v. Mexico. </w:t>
      </w:r>
      <w:r w:rsidRPr="00FE50A6">
        <w:rPr>
          <w:rStyle w:val="Textoennegrita"/>
          <w:b w:val="0"/>
          <w:i/>
          <w:color w:val="000000"/>
          <w:sz w:val="16"/>
          <w:szCs w:val="16"/>
          <w:shd w:val="clear" w:color="auto" w:fill="FFFFFF"/>
          <w:lang w:val="en-US"/>
        </w:rPr>
        <w:t>Preliminary objections, merits, reparations and costs</w:t>
      </w:r>
      <w:r w:rsidRPr="00FE50A6">
        <w:rPr>
          <w:rStyle w:val="Textoennegrita"/>
          <w:b w:val="0"/>
          <w:color w:val="000000"/>
          <w:sz w:val="16"/>
          <w:szCs w:val="16"/>
          <w:shd w:val="clear" w:color="auto" w:fill="FFFFFF"/>
          <w:lang w:val="en-US"/>
        </w:rPr>
        <w:t>. Judgment of November 23, 2009. Series C No. 209</w:t>
      </w:r>
      <w:r w:rsidRPr="00FE50A6">
        <w:rPr>
          <w:i/>
          <w:sz w:val="16"/>
          <w:szCs w:val="16"/>
          <w:lang w:val="en-US"/>
        </w:rPr>
        <w:t xml:space="preserve">, </w:t>
      </w:r>
      <w:r w:rsidRPr="00FE50A6">
        <w:rPr>
          <w:sz w:val="16"/>
          <w:szCs w:val="16"/>
          <w:lang w:val="en-US"/>
        </w:rPr>
        <w:t xml:space="preserve">para. 145, and </w:t>
      </w:r>
      <w:r w:rsidRPr="00FE50A6">
        <w:rPr>
          <w:i/>
          <w:sz w:val="16"/>
          <w:szCs w:val="16"/>
          <w:lang w:val="en-US"/>
        </w:rPr>
        <w:t xml:space="preserve">Case of the Campesina Community of Santa Bárbara, </w:t>
      </w:r>
      <w:r w:rsidRPr="00FE50A6">
        <w:rPr>
          <w:sz w:val="16"/>
          <w:szCs w:val="16"/>
          <w:lang w:val="en-US"/>
        </w:rPr>
        <w:t>para. 161.</w:t>
      </w:r>
    </w:p>
  </w:footnote>
  <w:footnote w:id="517">
    <w:p w14:paraId="4B2D4068" w14:textId="77777777" w:rsidR="00E70935" w:rsidRPr="00FE50A6" w:rsidRDefault="00E70935" w:rsidP="00CD003F">
      <w:pPr>
        <w:spacing w:after="80"/>
        <w:jc w:val="both"/>
        <w:rPr>
          <w:b/>
          <w:lang w:val="en-US"/>
        </w:rPr>
      </w:pPr>
      <w:r w:rsidRPr="00FE50A6">
        <w:rPr>
          <w:rStyle w:val="Refdenotaalpie"/>
          <w:sz w:val="16"/>
          <w:szCs w:val="16"/>
          <w:lang w:val="en-US"/>
        </w:rPr>
        <w:footnoteRef/>
      </w:r>
      <w:r w:rsidRPr="00FE50A6">
        <w:rPr>
          <w:sz w:val="16"/>
          <w:szCs w:val="16"/>
          <w:lang w:val="en-US"/>
        </w:rPr>
        <w:t xml:space="preserve"> </w:t>
      </w:r>
      <w:r w:rsidRPr="00FE50A6">
        <w:rPr>
          <w:i/>
          <w:sz w:val="16"/>
          <w:szCs w:val="16"/>
          <w:lang w:val="en-US"/>
        </w:rPr>
        <w:t xml:space="preserve">Cf. Case of González et al. (“Cotton Field”) v. Mexico. </w:t>
      </w:r>
      <w:r w:rsidRPr="00FE50A6">
        <w:rPr>
          <w:rStyle w:val="Textoennegrita"/>
          <w:b w:val="0"/>
          <w:i/>
          <w:color w:val="000000"/>
          <w:sz w:val="16"/>
          <w:szCs w:val="16"/>
          <w:shd w:val="clear" w:color="auto" w:fill="FFFFFF"/>
          <w:lang w:val="en-US"/>
        </w:rPr>
        <w:t>Preliminary objection, merits, reparations and costs</w:t>
      </w:r>
      <w:r w:rsidRPr="00FE50A6">
        <w:rPr>
          <w:rStyle w:val="Textoennegrita"/>
          <w:b w:val="0"/>
          <w:color w:val="000000"/>
          <w:sz w:val="16"/>
          <w:szCs w:val="16"/>
          <w:shd w:val="clear" w:color="auto" w:fill="FFFFFF"/>
          <w:lang w:val="en-US"/>
        </w:rPr>
        <w:t>. Judgment of November 16, 2009. Series C No. 205</w:t>
      </w:r>
      <w:r w:rsidRPr="00FE50A6">
        <w:rPr>
          <w:i/>
          <w:sz w:val="16"/>
          <w:szCs w:val="16"/>
          <w:lang w:val="en-US"/>
        </w:rPr>
        <w:t xml:space="preserve">, </w:t>
      </w:r>
      <w:r w:rsidRPr="00FE50A6">
        <w:rPr>
          <w:sz w:val="16"/>
          <w:szCs w:val="16"/>
          <w:lang w:val="en-US"/>
        </w:rPr>
        <w:t xml:space="preserve">para. 283, and </w:t>
      </w:r>
      <w:r w:rsidRPr="00FE50A6">
        <w:rPr>
          <w:i/>
          <w:sz w:val="16"/>
          <w:szCs w:val="16"/>
          <w:lang w:val="en-US"/>
        </w:rPr>
        <w:t xml:space="preserve">Case of Velásquez Paiz et al., </w:t>
      </w:r>
      <w:r w:rsidRPr="00FE50A6">
        <w:rPr>
          <w:sz w:val="16"/>
          <w:szCs w:val="16"/>
          <w:lang w:val="en-US"/>
        </w:rPr>
        <w:t>para. 122.</w:t>
      </w:r>
    </w:p>
  </w:footnote>
  <w:footnote w:id="518">
    <w:p w14:paraId="220CACB3" w14:textId="77777777" w:rsidR="00E70935" w:rsidRPr="00FE50A6" w:rsidRDefault="00E70935" w:rsidP="00CD003F">
      <w:pPr>
        <w:pStyle w:val="Textonotapie"/>
        <w:spacing w:after="80"/>
        <w:rPr>
          <w:spacing w:val="-3"/>
        </w:rPr>
      </w:pPr>
      <w:r w:rsidRPr="00FE50A6">
        <w:rPr>
          <w:rStyle w:val="Refdenotaalpie"/>
          <w:rFonts w:eastAsia="Calibri"/>
          <w:szCs w:val="16"/>
        </w:rPr>
        <w:footnoteRef/>
      </w:r>
      <w:r w:rsidRPr="00FE50A6">
        <w:t xml:space="preserve"> </w:t>
      </w:r>
      <w:bookmarkStart w:id="366" w:name="_Hlk10736086"/>
      <w:r w:rsidRPr="00FE50A6">
        <w:t>Article 63(1) of the American Convention establishes that: “[i]</w:t>
      </w:r>
      <w:r w:rsidRPr="00FE50A6">
        <w:rPr>
          <w:spacing w:val="-3"/>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bookmarkEnd w:id="366"/>
    </w:p>
  </w:footnote>
  <w:footnote w:id="519">
    <w:p w14:paraId="5B4A1D7A" w14:textId="77777777" w:rsidR="00E70935" w:rsidRPr="00FE50A6" w:rsidRDefault="00E70935" w:rsidP="00CD003F">
      <w:pPr>
        <w:pStyle w:val="Textonotapie"/>
        <w:spacing w:after="80"/>
        <w:rPr>
          <w:lang w:val="es-CR"/>
        </w:rPr>
      </w:pPr>
      <w:r w:rsidRPr="00FE50A6">
        <w:rPr>
          <w:rStyle w:val="Refdenotaalpie"/>
          <w:rFonts w:eastAsia="Calibri"/>
          <w:szCs w:val="16"/>
        </w:rPr>
        <w:footnoteRef/>
      </w:r>
      <w:r w:rsidRPr="00FE50A6">
        <w:rPr>
          <w:lang w:val="es-CR"/>
        </w:rPr>
        <w:t xml:space="preserve"> </w:t>
      </w:r>
      <w:r w:rsidRPr="00FE50A6">
        <w:rPr>
          <w:i/>
          <w:lang w:val="es-CR"/>
        </w:rPr>
        <w:t>Cf. Case of Velásquez Rodríguez v. Hondur</w:t>
      </w:r>
      <w:r w:rsidRPr="00FE50A6">
        <w:rPr>
          <w:lang w:val="es-CR"/>
        </w:rPr>
        <w:t xml:space="preserve">as. </w:t>
      </w:r>
      <w:r w:rsidRPr="00FE50A6">
        <w:rPr>
          <w:i/>
        </w:rPr>
        <w:t>Reparations and costs</w:t>
      </w:r>
      <w:r w:rsidRPr="00FE50A6">
        <w:t xml:space="preserve">. Judgment of July 21, 1989. </w:t>
      </w:r>
      <w:r w:rsidRPr="00FE50A6">
        <w:rPr>
          <w:lang w:val="es-CR"/>
        </w:rPr>
        <w:t xml:space="preserve">Series C No. 7,  para. 25, and </w:t>
      </w:r>
      <w:r w:rsidRPr="00FE50A6">
        <w:rPr>
          <w:rStyle w:val="Textoennegrita"/>
          <w:b w:val="0"/>
          <w:i/>
          <w:color w:val="000000"/>
          <w:shd w:val="clear" w:color="auto" w:fill="FFFFFF"/>
          <w:lang w:val="es-CR"/>
        </w:rPr>
        <w:t>Case of Herrera Espinoza et al.</w:t>
      </w:r>
      <w:r w:rsidRPr="00FE50A6">
        <w:rPr>
          <w:color w:val="000000"/>
          <w:lang w:val="es-CR"/>
        </w:rPr>
        <w:t xml:space="preserve">, </w:t>
      </w:r>
      <w:r w:rsidRPr="00FE50A6">
        <w:rPr>
          <w:lang w:val="es-CR"/>
        </w:rPr>
        <w:t>para. 210.</w:t>
      </w:r>
    </w:p>
  </w:footnote>
  <w:footnote w:id="520">
    <w:p w14:paraId="4559B1FA" w14:textId="77777777" w:rsidR="00E70935" w:rsidRPr="00E70935" w:rsidRDefault="00E70935" w:rsidP="00CD003F">
      <w:pPr>
        <w:pStyle w:val="Textonotapie"/>
        <w:spacing w:after="80"/>
      </w:pPr>
      <w:r w:rsidRPr="00FE50A6">
        <w:rPr>
          <w:rStyle w:val="Refdenotaalpie"/>
          <w:rFonts w:eastAsia="Calibri"/>
          <w:szCs w:val="16"/>
        </w:rPr>
        <w:footnoteRef/>
      </w:r>
      <w:r w:rsidRPr="00FE50A6">
        <w:rPr>
          <w:lang w:val="es-CR"/>
        </w:rPr>
        <w:t xml:space="preserve"> </w:t>
      </w:r>
      <w:r w:rsidRPr="00FE50A6">
        <w:rPr>
          <w:i/>
          <w:lang w:val="es-CR"/>
        </w:rPr>
        <w:t xml:space="preserve">Cf. Case of Velásquez Rodríguez v. Honduras. </w:t>
      </w:r>
      <w:r w:rsidRPr="00E70935">
        <w:rPr>
          <w:i/>
        </w:rPr>
        <w:t>Reparations and costs</w:t>
      </w:r>
      <w:r w:rsidRPr="00E70935">
        <w:t xml:space="preserve">, para. 25, and </w:t>
      </w:r>
      <w:r w:rsidRPr="00E70935">
        <w:rPr>
          <w:rStyle w:val="Textoennegrita"/>
          <w:b w:val="0"/>
          <w:i/>
          <w:color w:val="000000"/>
          <w:shd w:val="clear" w:color="auto" w:fill="FFFFFF"/>
        </w:rPr>
        <w:t>Case of Herrera Espinoza et al.</w:t>
      </w:r>
      <w:r w:rsidRPr="00E70935">
        <w:rPr>
          <w:color w:val="000000"/>
        </w:rPr>
        <w:t xml:space="preserve">, </w:t>
      </w:r>
      <w:r w:rsidRPr="00E70935">
        <w:t>para. 210.</w:t>
      </w:r>
    </w:p>
  </w:footnote>
  <w:footnote w:id="521">
    <w:p w14:paraId="1D0DA9CD" w14:textId="77777777" w:rsidR="00E70935" w:rsidRPr="00E70935" w:rsidRDefault="00E70935" w:rsidP="00CD003F">
      <w:pPr>
        <w:tabs>
          <w:tab w:val="left" w:pos="567"/>
        </w:tabs>
        <w:spacing w:after="80"/>
        <w:ind w:right="-90"/>
        <w:jc w:val="both"/>
        <w:rPr>
          <w:sz w:val="16"/>
          <w:szCs w:val="16"/>
          <w:lang w:val="en-US"/>
        </w:rPr>
      </w:pPr>
      <w:r w:rsidRPr="00FE50A6">
        <w:rPr>
          <w:rStyle w:val="Refdenotaalpie"/>
          <w:rFonts w:eastAsia="MS Mincho"/>
          <w:sz w:val="16"/>
          <w:szCs w:val="16"/>
          <w:lang w:val="en-US"/>
        </w:rPr>
        <w:footnoteRef/>
      </w:r>
      <w:r w:rsidRPr="00E70935">
        <w:rPr>
          <w:sz w:val="16"/>
          <w:szCs w:val="16"/>
          <w:lang w:val="en-US"/>
        </w:rPr>
        <w:t xml:space="preserve"> </w:t>
      </w:r>
      <w:r w:rsidRPr="00E70935">
        <w:rPr>
          <w:i/>
          <w:iCs/>
          <w:sz w:val="16"/>
          <w:szCs w:val="16"/>
          <w:lang w:val="en-US"/>
        </w:rPr>
        <w:t xml:space="preserve">Cf. Case of Velásquez Rodríguez v. Honduras. </w:t>
      </w:r>
      <w:r w:rsidRPr="00FE50A6">
        <w:rPr>
          <w:i/>
          <w:iCs/>
          <w:sz w:val="16"/>
          <w:szCs w:val="16"/>
          <w:lang w:val="en-US"/>
        </w:rPr>
        <w:t xml:space="preserve">Reparations and costs, </w:t>
      </w:r>
      <w:r w:rsidRPr="00FE50A6">
        <w:rPr>
          <w:iCs/>
          <w:sz w:val="16"/>
          <w:szCs w:val="16"/>
          <w:lang w:val="en-US"/>
        </w:rPr>
        <w:t>para. 26</w:t>
      </w:r>
      <w:r w:rsidRPr="00FE50A6">
        <w:rPr>
          <w:rFonts w:cs="Calibri"/>
          <w:sz w:val="16"/>
          <w:szCs w:val="16"/>
          <w:lang w:val="en-US"/>
        </w:rPr>
        <w:t xml:space="preserve">, and </w:t>
      </w:r>
      <w:r w:rsidRPr="00FE50A6">
        <w:rPr>
          <w:rStyle w:val="Textoennegrita"/>
          <w:b w:val="0"/>
          <w:i/>
          <w:color w:val="000000"/>
          <w:sz w:val="16"/>
          <w:szCs w:val="16"/>
          <w:shd w:val="clear" w:color="auto" w:fill="FFFFFF"/>
          <w:lang w:val="en-US"/>
        </w:rPr>
        <w:t>Case of Herrera Espinoza et al.</w:t>
      </w:r>
      <w:r w:rsidRPr="00FE50A6">
        <w:rPr>
          <w:color w:val="000000"/>
          <w:sz w:val="16"/>
          <w:szCs w:val="16"/>
          <w:lang w:val="en-US"/>
        </w:rPr>
        <w:t>,</w:t>
      </w:r>
      <w:r w:rsidRPr="00FE50A6">
        <w:rPr>
          <w:b/>
          <w:color w:val="000000"/>
          <w:sz w:val="16"/>
          <w:szCs w:val="16"/>
          <w:lang w:val="en-US"/>
        </w:rPr>
        <w:t xml:space="preserve"> </w:t>
      </w:r>
      <w:r w:rsidRPr="00FE50A6">
        <w:rPr>
          <w:sz w:val="16"/>
          <w:szCs w:val="16"/>
          <w:lang w:val="en-US"/>
        </w:rPr>
        <w:t xml:space="preserve">para. </w:t>
      </w:r>
      <w:r w:rsidRPr="00E70935">
        <w:rPr>
          <w:sz w:val="16"/>
          <w:szCs w:val="16"/>
          <w:lang w:val="en-US"/>
        </w:rPr>
        <w:t>210</w:t>
      </w:r>
      <w:r w:rsidRPr="00E70935">
        <w:rPr>
          <w:rFonts w:cs="Calibri"/>
          <w:sz w:val="16"/>
          <w:szCs w:val="16"/>
          <w:lang w:val="en-US"/>
        </w:rPr>
        <w:t>.</w:t>
      </w:r>
    </w:p>
  </w:footnote>
  <w:footnote w:id="522">
    <w:p w14:paraId="3037D91E" w14:textId="77777777" w:rsidR="00E70935" w:rsidRPr="00E70935" w:rsidRDefault="00E70935" w:rsidP="00CD003F">
      <w:pPr>
        <w:pStyle w:val="Textonotapie"/>
        <w:tabs>
          <w:tab w:val="left" w:pos="720"/>
        </w:tabs>
        <w:spacing w:after="80"/>
        <w:ind w:right="-90"/>
        <w:rPr>
          <w:bCs/>
          <w:i/>
        </w:rPr>
      </w:pPr>
      <w:r w:rsidRPr="00FE50A6">
        <w:rPr>
          <w:rStyle w:val="Refdenotaalpie"/>
          <w:rFonts w:eastAsia="Calibri"/>
          <w:szCs w:val="16"/>
        </w:rPr>
        <w:footnoteRef/>
      </w:r>
      <w:r w:rsidRPr="00E70935">
        <w:rPr>
          <w:i/>
        </w:rPr>
        <w:t xml:space="preserve"> </w:t>
      </w:r>
      <w:r w:rsidRPr="00E70935">
        <w:rPr>
          <w:rFonts w:cs="Calibri"/>
          <w:i/>
        </w:rPr>
        <w:t xml:space="preserve">Cf. </w:t>
      </w:r>
      <w:r w:rsidRPr="00E70935">
        <w:rPr>
          <w:rFonts w:eastAsia="Calibri" w:cs="Calibri"/>
          <w:i/>
        </w:rPr>
        <w:t>Case of Ticona Estrada et al.</w:t>
      </w:r>
      <w:r w:rsidRPr="00E70935">
        <w:rPr>
          <w:rFonts w:eastAsia="Calibri" w:cs="Calibri"/>
        </w:rPr>
        <w:t xml:space="preserve">, para. 110, and </w:t>
      </w:r>
      <w:r w:rsidRPr="00E70935">
        <w:rPr>
          <w:bCs/>
          <w:i/>
          <w:color w:val="000000"/>
          <w:shd w:val="clear" w:color="auto" w:fill="FFFFFF"/>
        </w:rPr>
        <w:t>Case of Herrera Espinoza et al.</w:t>
      </w:r>
      <w:r w:rsidRPr="00E70935">
        <w:rPr>
          <w:color w:val="000000"/>
        </w:rPr>
        <w:t xml:space="preserve">, </w:t>
      </w:r>
      <w:r w:rsidRPr="00E70935">
        <w:t>para. 211.</w:t>
      </w:r>
    </w:p>
  </w:footnote>
  <w:footnote w:id="523">
    <w:p w14:paraId="69911DDA" w14:textId="77777777" w:rsidR="00E70935" w:rsidRPr="00FE50A6" w:rsidRDefault="00E70935" w:rsidP="00CD003F">
      <w:pPr>
        <w:pStyle w:val="Textonotapie"/>
        <w:tabs>
          <w:tab w:val="left" w:pos="720"/>
        </w:tabs>
        <w:spacing w:after="80"/>
        <w:ind w:right="-90"/>
      </w:pPr>
      <w:r w:rsidRPr="00FE50A6">
        <w:rPr>
          <w:rStyle w:val="Refdenotaalpie"/>
          <w:rFonts w:eastAsia="Calibri"/>
          <w:szCs w:val="16"/>
        </w:rPr>
        <w:footnoteRef/>
      </w:r>
      <w:r w:rsidRPr="00E70935">
        <w:t xml:space="preserve"> </w:t>
      </w:r>
      <w:r w:rsidRPr="00E70935">
        <w:rPr>
          <w:i/>
          <w:iCs/>
        </w:rPr>
        <w:t xml:space="preserve">Cf. </w:t>
      </w:r>
      <w:r w:rsidRPr="00E70935">
        <w:rPr>
          <w:rFonts w:cs="Calibri"/>
          <w:i/>
        </w:rPr>
        <w:t xml:space="preserve">Case of Velásquez Rodríguez v. Honduras. </w:t>
      </w:r>
      <w:r w:rsidRPr="00FE50A6">
        <w:rPr>
          <w:rFonts w:cs="Calibri"/>
          <w:i/>
        </w:rPr>
        <w:t>Reparations and costs</w:t>
      </w:r>
      <w:r w:rsidRPr="00FE50A6">
        <w:rPr>
          <w:rFonts w:cs="Calibri"/>
        </w:rPr>
        <w:t>, paras. 25 to 27</w:t>
      </w:r>
      <w:r w:rsidRPr="00FE50A6">
        <w:rPr>
          <w:iCs/>
        </w:rPr>
        <w:t xml:space="preserve">, and </w:t>
      </w:r>
      <w:r w:rsidRPr="00FE50A6">
        <w:rPr>
          <w:rStyle w:val="Textoennegrita"/>
          <w:b w:val="0"/>
          <w:i/>
          <w:color w:val="000000"/>
          <w:shd w:val="clear" w:color="auto" w:fill="FFFFFF"/>
        </w:rPr>
        <w:t xml:space="preserve">Case of Flor Freire v. Ecuador. Preliminary objection, merits, reparations and costs. </w:t>
      </w:r>
      <w:r w:rsidRPr="00FE50A6">
        <w:rPr>
          <w:rStyle w:val="Textoennegrita"/>
          <w:b w:val="0"/>
          <w:color w:val="000000"/>
          <w:shd w:val="clear" w:color="auto" w:fill="FFFFFF"/>
        </w:rPr>
        <w:t>Judgment of August 31, 2016. Series C No. 315</w:t>
      </w:r>
      <w:r w:rsidRPr="00FE50A6">
        <w:rPr>
          <w:color w:val="000000"/>
        </w:rPr>
        <w:t xml:space="preserve">, </w:t>
      </w:r>
      <w:r w:rsidRPr="00FE50A6">
        <w:t>para. 215</w:t>
      </w:r>
      <w:r w:rsidRPr="00FE50A6">
        <w:rPr>
          <w:iCs/>
        </w:rPr>
        <w:t>.</w:t>
      </w:r>
    </w:p>
  </w:footnote>
  <w:footnote w:id="524">
    <w:p w14:paraId="7F3318BF" w14:textId="77777777" w:rsidR="00E70935" w:rsidRPr="00FE50A6" w:rsidRDefault="00E70935" w:rsidP="00CD003F">
      <w:pPr>
        <w:pStyle w:val="Textonotapie"/>
        <w:spacing w:after="80"/>
      </w:pPr>
      <w:r w:rsidRPr="00FE50A6">
        <w:rPr>
          <w:rStyle w:val="Refdenotaalpie"/>
          <w:rFonts w:eastAsia="Calibri"/>
          <w:szCs w:val="16"/>
        </w:rPr>
        <w:footnoteRef/>
      </w:r>
      <w:r w:rsidRPr="00FE50A6">
        <w:rPr>
          <w:i/>
        </w:rPr>
        <w:t xml:space="preserve"> Cf. Case of the La Rochela Massacre</w:t>
      </w:r>
      <w:r w:rsidRPr="00FE50A6">
        <w:t xml:space="preserve">, para. 233, and </w:t>
      </w:r>
      <w:r w:rsidRPr="00FE50A6">
        <w:rPr>
          <w:bCs/>
          <w:i/>
          <w:color w:val="000000"/>
          <w:shd w:val="clear" w:color="auto" w:fill="FFFFFF"/>
        </w:rPr>
        <w:t>Case of Herrera Espinoza et al.</w:t>
      </w:r>
      <w:r w:rsidRPr="00FE50A6">
        <w:rPr>
          <w:color w:val="000000"/>
        </w:rPr>
        <w:t xml:space="preserve">, </w:t>
      </w:r>
      <w:r w:rsidRPr="00FE50A6">
        <w:t>para. 212.</w:t>
      </w:r>
    </w:p>
  </w:footnote>
  <w:footnote w:id="525">
    <w:p w14:paraId="66494E72" w14:textId="77777777" w:rsidR="00E70935" w:rsidRPr="00FE50A6" w:rsidRDefault="00E70935" w:rsidP="00CD003F">
      <w:pPr>
        <w:pStyle w:val="Textonotapie"/>
        <w:spacing w:after="80"/>
      </w:pPr>
      <w:r w:rsidRPr="00FE50A6">
        <w:rPr>
          <w:rStyle w:val="Refdenotaalpie"/>
          <w:szCs w:val="16"/>
        </w:rPr>
        <w:footnoteRef/>
      </w:r>
      <w:r w:rsidRPr="00FE50A6">
        <w:t xml:space="preserve"> Among others, </w:t>
      </w:r>
      <w:r w:rsidRPr="00FE50A6">
        <w:rPr>
          <w:i/>
        </w:rPr>
        <w:t>Case of Quispialaya Vilcapoma</w:t>
      </w:r>
      <w:r w:rsidRPr="00FE50A6">
        <w:t>, para. 262,</w:t>
      </w:r>
      <w:r w:rsidRPr="00FE50A6">
        <w:rPr>
          <w:i/>
        </w:rPr>
        <w:t xml:space="preserve"> and Case of Tenorio Roca et al., </w:t>
      </w:r>
      <w:r w:rsidRPr="00FE50A6">
        <w:t xml:space="preserve">para. 268. </w:t>
      </w:r>
    </w:p>
  </w:footnote>
  <w:footnote w:id="526">
    <w:p w14:paraId="25535D62"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the Caracazo v. Venezuela. Reparations and costs</w:t>
      </w:r>
      <w:r w:rsidRPr="00FE50A6">
        <w:t xml:space="preserve">. Judgment of August 29, 2002. Series C No. 95, para. 118, and </w:t>
      </w:r>
      <w:r w:rsidRPr="00FE50A6">
        <w:rPr>
          <w:i/>
        </w:rPr>
        <w:t>Case of Tenorio Roca et al.</w:t>
      </w:r>
      <w:r w:rsidRPr="00FE50A6">
        <w:rPr>
          <w:bCs/>
          <w:lang w:bidi="en-US"/>
        </w:rPr>
        <w:t>,</w:t>
      </w:r>
      <w:r w:rsidRPr="00FE50A6">
        <w:rPr>
          <w:lang w:bidi="en-US"/>
        </w:rPr>
        <w:t xml:space="preserve"> para. 269.</w:t>
      </w:r>
    </w:p>
  </w:footnote>
  <w:footnote w:id="527">
    <w:p w14:paraId="0A3236A5"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Cabrera García and Montiel Flores v. Mexico</w:t>
      </w:r>
      <w:r w:rsidRPr="00FE50A6">
        <w:t xml:space="preserve">, para. 215, and </w:t>
      </w:r>
      <w:r w:rsidRPr="00FE50A6">
        <w:rPr>
          <w:i/>
        </w:rPr>
        <w:t>Case of</w:t>
      </w:r>
      <w:r w:rsidRPr="00FE50A6">
        <w:t xml:space="preserve"> </w:t>
      </w:r>
      <w:r w:rsidRPr="00FE50A6">
        <w:rPr>
          <w:i/>
        </w:rPr>
        <w:t>Velásquez Paiz</w:t>
      </w:r>
      <w:r w:rsidRPr="00FE50A6">
        <w:t xml:space="preserve">, para. 230. </w:t>
      </w:r>
    </w:p>
  </w:footnote>
  <w:footnote w:id="528">
    <w:p w14:paraId="43671AB4"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the “Street Children” (Villagrán Morales et al.) v. Guatemala. Reparations and costs</w:t>
      </w:r>
      <w:r w:rsidRPr="00FE50A6">
        <w:t xml:space="preserve">. Judgment of May 26, 2001. Series C No. 77, para. 84, and </w:t>
      </w:r>
      <w:r w:rsidRPr="00FE50A6">
        <w:rPr>
          <w:i/>
        </w:rPr>
        <w:t xml:space="preserve">Case of Herrera Espinoza et al., </w:t>
      </w:r>
      <w:r w:rsidRPr="00FE50A6">
        <w:t xml:space="preserve">para. 220. </w:t>
      </w:r>
    </w:p>
  </w:footnote>
  <w:footnote w:id="529">
    <w:p w14:paraId="65783F29"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Neira Alegría et al. v. Peru. Reparations and costs</w:t>
      </w:r>
      <w:r w:rsidRPr="00FE50A6">
        <w:t xml:space="preserve">. Judgment of September 19, 1996. Series C No. 29, para. 56, and </w:t>
      </w:r>
      <w:r w:rsidRPr="00FE50A6">
        <w:rPr>
          <w:i/>
        </w:rPr>
        <w:t xml:space="preserve">Case of Herrera Espinoza et al., </w:t>
      </w:r>
      <w:r w:rsidRPr="00FE50A6">
        <w:t>para. 220.</w:t>
      </w:r>
    </w:p>
  </w:footnote>
  <w:footnote w:id="530">
    <w:p w14:paraId="511BE495" w14:textId="77777777" w:rsidR="00E70935" w:rsidRPr="00FE50A6" w:rsidRDefault="00E70935" w:rsidP="00CD003F">
      <w:pPr>
        <w:pStyle w:val="Textonotapie"/>
        <w:tabs>
          <w:tab w:val="left" w:pos="720"/>
        </w:tabs>
        <w:spacing w:after="80"/>
      </w:pPr>
      <w:r w:rsidRPr="00FE50A6">
        <w:rPr>
          <w:rStyle w:val="Refdenotaalpie"/>
          <w:szCs w:val="16"/>
        </w:rPr>
        <w:footnoteRef/>
      </w:r>
      <w:r w:rsidRPr="00FE50A6">
        <w:t xml:space="preserve"> </w:t>
      </w:r>
      <w:r w:rsidRPr="00FE50A6">
        <w:rPr>
          <w:i/>
          <w:iCs/>
        </w:rPr>
        <w:t xml:space="preserve">Cf. </w:t>
      </w:r>
      <w:r w:rsidRPr="00FE50A6">
        <w:rPr>
          <w:bCs/>
          <w:i/>
        </w:rPr>
        <w:t xml:space="preserve">Case of Cantoral Benavides v. Peru. </w:t>
      </w:r>
      <w:r w:rsidRPr="00FE50A6">
        <w:rPr>
          <w:i/>
        </w:rPr>
        <w:t>Reparations and costs</w:t>
      </w:r>
      <w:r w:rsidRPr="00FE50A6">
        <w:t>. Judgment of December 3, 2001. Series C No. 88</w:t>
      </w:r>
      <w:r w:rsidRPr="00FE50A6">
        <w:rPr>
          <w:i/>
        </w:rPr>
        <w:t xml:space="preserve">, </w:t>
      </w:r>
      <w:r w:rsidRPr="00FE50A6">
        <w:t xml:space="preserve">para. 79, and </w:t>
      </w:r>
      <w:r w:rsidRPr="00FE50A6">
        <w:rPr>
          <w:bCs/>
          <w:i/>
          <w:color w:val="000000"/>
        </w:rPr>
        <w:t xml:space="preserve">Case of Herrera Espinoza et al., </w:t>
      </w:r>
      <w:r w:rsidRPr="00FE50A6">
        <w:rPr>
          <w:color w:val="000000"/>
        </w:rPr>
        <w:t>para. 227</w:t>
      </w:r>
      <w:r w:rsidRPr="00FE50A6">
        <w:t>.</w:t>
      </w:r>
    </w:p>
  </w:footnote>
  <w:footnote w:id="531">
    <w:p w14:paraId="361CF60E" w14:textId="77777777" w:rsidR="00E70935" w:rsidRPr="00FE50A6" w:rsidRDefault="00E70935" w:rsidP="00CD003F">
      <w:pPr>
        <w:pStyle w:val="Textonotapie"/>
        <w:spacing w:after="80"/>
      </w:pPr>
      <w:r w:rsidRPr="00FE50A6">
        <w:rPr>
          <w:rStyle w:val="Refdenotaalpie"/>
          <w:szCs w:val="16"/>
        </w:rPr>
        <w:footnoteRef/>
      </w:r>
      <w:r w:rsidRPr="00FE50A6">
        <w:t xml:space="preserve"> See, </w:t>
      </w:r>
      <w:r w:rsidRPr="00FE50A6">
        <w:rPr>
          <w:i/>
        </w:rPr>
        <w:t>inter alia,</w:t>
      </w:r>
      <w:r w:rsidRPr="00FE50A6">
        <w:t xml:space="preserve"> </w:t>
      </w:r>
      <w:r w:rsidRPr="00FE50A6">
        <w:rPr>
          <w:i/>
        </w:rPr>
        <w:t>Case of Barrios Altos v. Peru. Merits</w:t>
      </w:r>
      <w:r w:rsidRPr="00FE50A6">
        <w:t xml:space="preserve">, para. 41; </w:t>
      </w:r>
      <w:r w:rsidRPr="00FE50A6">
        <w:rPr>
          <w:i/>
        </w:rPr>
        <w:t xml:space="preserve">Case of Trujillo Oroza v. Bolivia. </w:t>
      </w:r>
      <w:r w:rsidRPr="00FE50A6">
        <w:rPr>
          <w:bCs/>
          <w:i/>
        </w:rPr>
        <w:t xml:space="preserve">Reparations and costs. </w:t>
      </w:r>
      <w:r w:rsidRPr="00FE50A6">
        <w:rPr>
          <w:bCs/>
        </w:rPr>
        <w:t>Judgment of February 27, 2002. Series C No. 92</w:t>
      </w:r>
      <w:r w:rsidRPr="00FE50A6">
        <w:t xml:space="preserve">, para. 106; </w:t>
      </w:r>
      <w:r w:rsidRPr="00FE50A6">
        <w:rPr>
          <w:i/>
        </w:rPr>
        <w:t>Case of Almonacid Arellano et al.</w:t>
      </w:r>
      <w:r w:rsidRPr="00FE50A6">
        <w:t xml:space="preserve">, para. 112, and </w:t>
      </w:r>
      <w:r w:rsidRPr="00FE50A6">
        <w:rPr>
          <w:i/>
        </w:rPr>
        <w:t>Case of Albán Cornejo et al. v. Ecuador</w:t>
      </w:r>
      <w:r w:rsidRPr="00FE50A6">
        <w:t xml:space="preserve">. </w:t>
      </w:r>
      <w:r w:rsidRPr="00FE50A6">
        <w:rPr>
          <w:i/>
        </w:rPr>
        <w:t>Merits, reparations and costs</w:t>
      </w:r>
      <w:r w:rsidRPr="00FE50A6">
        <w:t xml:space="preserve">. Judgment of November 22, 2007. Series C No. 171, para. 111. </w:t>
      </w:r>
    </w:p>
  </w:footnote>
  <w:footnote w:id="532">
    <w:p w14:paraId="10184D55" w14:textId="77777777" w:rsidR="00E70935" w:rsidRPr="00FE50A6" w:rsidRDefault="00E70935" w:rsidP="00CD003F">
      <w:pPr>
        <w:pStyle w:val="Textonotapie"/>
        <w:spacing w:after="80"/>
      </w:pPr>
      <w:r w:rsidRPr="00FE50A6">
        <w:rPr>
          <w:rStyle w:val="Refdenotaalpie"/>
          <w:szCs w:val="16"/>
        </w:rPr>
        <w:footnoteRef/>
      </w:r>
      <w:r w:rsidRPr="00FE50A6">
        <w:t xml:space="preserve"> Thus, for example, </w:t>
      </w:r>
      <w:r w:rsidRPr="00FE50A6">
        <w:rPr>
          <w:iCs/>
        </w:rPr>
        <w:t xml:space="preserve">the Court recalls that, in the case of </w:t>
      </w:r>
      <w:r w:rsidRPr="00FE50A6">
        <w:rPr>
          <w:i/>
          <w:iCs/>
        </w:rPr>
        <w:t>Almonacid Arellano</w:t>
      </w:r>
      <w:r w:rsidRPr="00FE50A6">
        <w:rPr>
          <w:iCs/>
        </w:rPr>
        <w:t>, it did not declare that murder was an imprescriptible crime in Chile in all circumstances.</w:t>
      </w:r>
    </w:p>
  </w:footnote>
  <w:footnote w:id="533">
    <w:p w14:paraId="0F5B6BFB"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 xml:space="preserve">Cf. Case of Bámaca Velásquez v. Guatemala. Reparations and costs. </w:t>
      </w:r>
      <w:r w:rsidRPr="00FE50A6">
        <w:t xml:space="preserve">Judgment of February 22, 2002. Series C No. 91, para. 43, and </w:t>
      </w:r>
      <w:r w:rsidRPr="00FE50A6">
        <w:rPr>
          <w:i/>
        </w:rPr>
        <w:t>Case of Flor Freire</w:t>
      </w:r>
      <w:r w:rsidRPr="00FE50A6">
        <w:t>, para. 251.</w:t>
      </w:r>
    </w:p>
  </w:footnote>
  <w:footnote w:id="534">
    <w:p w14:paraId="414A3534"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the “Street Children” (Villagrán Morales et al.) v. Guatemala. Reparations and costs</w:t>
      </w:r>
      <w:r w:rsidRPr="00FE50A6">
        <w:t xml:space="preserve">, para. 84, and </w:t>
      </w:r>
      <w:r w:rsidRPr="00FE50A6">
        <w:rPr>
          <w:i/>
        </w:rPr>
        <w:t>Case of Herrera Espinoza et al.</w:t>
      </w:r>
      <w:r w:rsidRPr="00FE50A6">
        <w:t>, para. 241.</w:t>
      </w:r>
    </w:p>
  </w:footnote>
  <w:footnote w:id="535">
    <w:p w14:paraId="56E7EE7F"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Cantoral Benavides v. Peru. Reparations and costs</w:t>
      </w:r>
      <w:r w:rsidRPr="00FE50A6">
        <w:t xml:space="preserve">. para. 53, and </w:t>
      </w:r>
      <w:r w:rsidRPr="00FE50A6">
        <w:rPr>
          <w:i/>
        </w:rPr>
        <w:t>Case of Chinchilla Sandoval</w:t>
      </w:r>
      <w:r w:rsidRPr="00FE50A6">
        <w:t>, para. 308.</w:t>
      </w:r>
    </w:p>
  </w:footnote>
  <w:footnote w:id="536">
    <w:p w14:paraId="1AB5597A"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Garrido and Baigorria v. Argentina. Reparations and costs</w:t>
      </w:r>
      <w:r w:rsidRPr="00FE50A6">
        <w:t xml:space="preserve">. Judgment of August 27, 1998. Series C No. 39, para. 82, and </w:t>
      </w:r>
      <w:r w:rsidRPr="00FE50A6">
        <w:rPr>
          <w:i/>
        </w:rPr>
        <w:t>Case of Flor Freire,</w:t>
      </w:r>
      <w:r w:rsidRPr="00FE50A6">
        <w:t xml:space="preserve"> para. 261 and 262.</w:t>
      </w:r>
    </w:p>
  </w:footnote>
  <w:footnote w:id="537">
    <w:p w14:paraId="3A3660E8" w14:textId="77777777" w:rsidR="00E70935" w:rsidRPr="00FE50A6" w:rsidRDefault="00E70935" w:rsidP="00CD003F">
      <w:pPr>
        <w:pStyle w:val="Textonotapie"/>
        <w:spacing w:after="80"/>
      </w:pPr>
      <w:r w:rsidRPr="00FE50A6">
        <w:rPr>
          <w:rStyle w:val="Refdenotaalpie"/>
          <w:szCs w:val="16"/>
        </w:rPr>
        <w:footnoteRef/>
      </w:r>
      <w:r w:rsidRPr="00FE50A6">
        <w:t xml:space="preserve"> </w:t>
      </w:r>
      <w:r w:rsidRPr="00FE50A6">
        <w:rPr>
          <w:i/>
        </w:rPr>
        <w:t>Cf. Case of Chaparro Álvarez and Lapo Íñiguez. v. Ecuador. Preliminary objections, merits, reparations and costs</w:t>
      </w:r>
      <w:r w:rsidRPr="00FE50A6">
        <w:t xml:space="preserve">. Judgment of November 21, 2007. Series C No. 170, para. 275, and </w:t>
      </w:r>
      <w:r w:rsidRPr="00FE50A6">
        <w:rPr>
          <w:i/>
        </w:rPr>
        <w:t>Case of Herrera Espinoza et al.</w:t>
      </w:r>
      <w:r w:rsidRPr="00FE50A6">
        <w:t>, para. 248.</w:t>
      </w:r>
    </w:p>
  </w:footnote>
  <w:footnote w:id="538">
    <w:p w14:paraId="533077FA" w14:textId="77777777" w:rsidR="00E70935" w:rsidRPr="00FE50A6" w:rsidRDefault="00E70935" w:rsidP="007860B0">
      <w:pPr>
        <w:tabs>
          <w:tab w:val="left" w:pos="72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System Font Regular"/>
          <w:sz w:val="16"/>
          <w:szCs w:val="16"/>
          <w:lang w:val="en-US"/>
        </w:rPr>
        <w:t>According to the Economic Commission for Latin America and the Caribbean (ECLAC): “</w:t>
      </w:r>
      <w:r w:rsidRPr="00FE50A6">
        <w:rPr>
          <w:rFonts w:cs="Arial"/>
          <w:sz w:val="16"/>
          <w:szCs w:val="16"/>
          <w:lang w:val="en-US"/>
        </w:rPr>
        <w:t>The number of poor in the region increased by about 2 million between 2013 and 2014</w:t>
      </w:r>
      <w:r w:rsidRPr="00FE50A6">
        <w:rPr>
          <w:rFonts w:cs="System Font Regular"/>
          <w:sz w:val="16"/>
          <w:szCs w:val="16"/>
          <w:lang w:val="en-US"/>
        </w:rPr>
        <w:t xml:space="preserve">.” According to ECLAC projections, the “poverty rate </w:t>
      </w:r>
      <w:r w:rsidRPr="00FE50A6">
        <w:rPr>
          <w:rFonts w:cs="Arial"/>
          <w:sz w:val="16"/>
          <w:szCs w:val="16"/>
          <w:lang w:val="en-US"/>
        </w:rPr>
        <w:t>is expected to be 29.2% and the extreme poverty rate 12.4%, representing increases of 1.0 and 0.6 percentage points, respectively. If borne out, these projections mean a figure of 175 million income-poor in 2015, with 75 million indigent.</w:t>
      </w:r>
      <w:r w:rsidRPr="00FE50A6">
        <w:rPr>
          <w:rFonts w:cs="System Font Regular"/>
          <w:sz w:val="16"/>
          <w:szCs w:val="16"/>
          <w:lang w:val="en-US"/>
        </w:rPr>
        <w:t xml:space="preserve">” </w:t>
      </w:r>
      <w:r w:rsidRPr="00FE50A6">
        <w:rPr>
          <w:i/>
          <w:sz w:val="16"/>
          <w:szCs w:val="16"/>
          <w:lang w:val="en-US"/>
        </w:rPr>
        <w:t>Cf.</w:t>
      </w:r>
      <w:r w:rsidRPr="00FE50A6">
        <w:rPr>
          <w:sz w:val="16"/>
          <w:szCs w:val="16"/>
          <w:lang w:val="en-US"/>
        </w:rPr>
        <w:t xml:space="preserve"> UN, </w:t>
      </w:r>
      <w:r w:rsidRPr="00FE50A6">
        <w:rPr>
          <w:rFonts w:cs="Optima"/>
          <w:sz w:val="16"/>
          <w:szCs w:val="16"/>
          <w:lang w:val="en-US"/>
        </w:rPr>
        <w:t xml:space="preserve">Economic Commission for Latin America and the Caribbean (ECLAC), </w:t>
      </w:r>
      <w:r w:rsidRPr="00FE50A6">
        <w:rPr>
          <w:rFonts w:cs="Optima"/>
          <w:i/>
          <w:iCs/>
          <w:sz w:val="16"/>
          <w:szCs w:val="16"/>
          <w:lang w:val="en-US"/>
        </w:rPr>
        <w:t>Social Panorama of Latin America, 2015</w:t>
      </w:r>
      <w:r w:rsidRPr="00FE50A6">
        <w:rPr>
          <w:rFonts w:cs="Optima"/>
          <w:sz w:val="16"/>
          <w:szCs w:val="16"/>
          <w:lang w:val="en-US"/>
        </w:rPr>
        <w:t>, (LC/G.2691-P), Santiago, 2016, p. 18.</w:t>
      </w:r>
    </w:p>
  </w:footnote>
  <w:footnote w:id="539">
    <w:p w14:paraId="0577878B" w14:textId="77777777" w:rsidR="00E70935" w:rsidRPr="00FE50A6" w:rsidRDefault="00E70935" w:rsidP="00CD003F">
      <w:pPr>
        <w:pStyle w:val="Textonotapie"/>
        <w:tabs>
          <w:tab w:val="left" w:pos="709"/>
        </w:tabs>
        <w:spacing w:after="80"/>
      </w:pPr>
      <w:r w:rsidRPr="00FE50A6">
        <w:rPr>
          <w:rStyle w:val="Refdenotaalpie"/>
          <w:szCs w:val="16"/>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Judgment of October 20, 2016, Series C No. 318, paras. 341 to 343, and Operative Paragraph 4.</w:t>
      </w:r>
    </w:p>
  </w:footnote>
  <w:footnote w:id="540">
    <w:p w14:paraId="55978B2E" w14:textId="77777777" w:rsidR="00E70935" w:rsidRPr="00FE50A6" w:rsidRDefault="00E70935" w:rsidP="00CD003F">
      <w:pPr>
        <w:tabs>
          <w:tab w:val="left" w:pos="720"/>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sz w:val="16"/>
          <w:szCs w:val="16"/>
          <w:lang w:val="en-US"/>
        </w:rPr>
        <w:tab/>
        <w:t xml:space="preserve">In this regard, the Inter-American Court has considered that: “This guidance is particularly relevant in the case of international human rights law, which has made great headway thanks to an evolutive interpretation of international instruments of protection. That evolutive interpretation is consistent with the general rules of treaty interpretation established in the 1969 Vienna Convention. Both this Court, in the Advisory Opinion on the Interpretation of the American Declaration of the Rights and Duties of Man (1989), and the European Court of Human Rights, in </w:t>
      </w:r>
      <w:r w:rsidRPr="00FE50A6">
        <w:rPr>
          <w:i/>
          <w:sz w:val="16"/>
          <w:szCs w:val="16"/>
          <w:lang w:val="en-US"/>
        </w:rPr>
        <w:t>Tyrer v. The United Kingdom</w:t>
      </w:r>
      <w:r w:rsidRPr="00FE50A6">
        <w:rPr>
          <w:sz w:val="16"/>
          <w:szCs w:val="16"/>
          <w:lang w:val="en-US"/>
        </w:rPr>
        <w:t xml:space="preserve"> (1978), </w:t>
      </w:r>
      <w:r w:rsidRPr="00FE50A6">
        <w:rPr>
          <w:i/>
          <w:sz w:val="16"/>
          <w:szCs w:val="16"/>
          <w:lang w:val="en-US"/>
        </w:rPr>
        <w:t>Marckx v. Belgium</w:t>
      </w:r>
      <w:r w:rsidRPr="00FE50A6">
        <w:rPr>
          <w:sz w:val="16"/>
          <w:szCs w:val="16"/>
          <w:lang w:val="en-US"/>
        </w:rPr>
        <w:t xml:space="preserve"> (1979), </w:t>
      </w:r>
      <w:r w:rsidRPr="00FE50A6">
        <w:rPr>
          <w:i/>
          <w:sz w:val="16"/>
          <w:szCs w:val="16"/>
          <w:lang w:val="en-US"/>
        </w:rPr>
        <w:t xml:space="preserve">Loizidou v. Turkey </w:t>
      </w:r>
      <w:r w:rsidRPr="00FE50A6">
        <w:rPr>
          <w:sz w:val="16"/>
          <w:szCs w:val="16"/>
          <w:lang w:val="en-US"/>
        </w:rPr>
        <w:t xml:space="preserve">(1995), among others, have held that human rights treaties are living instruments whose interpretation must consider the changes over time and present-day conditions.” </w:t>
      </w:r>
      <w:r w:rsidRPr="00FE50A6">
        <w:rPr>
          <w:i/>
          <w:sz w:val="16"/>
          <w:szCs w:val="16"/>
          <w:lang w:val="en-US"/>
        </w:rPr>
        <w:t xml:space="preserve">Cf. </w:t>
      </w:r>
      <w:r w:rsidRPr="00FE50A6">
        <w:rPr>
          <w:rFonts w:cs="Verdana"/>
          <w:bCs/>
          <w:sz w:val="16"/>
          <w:szCs w:val="16"/>
          <w:lang w:val="en-US"/>
        </w:rPr>
        <w:t xml:space="preserve">I/A Court HR. </w:t>
      </w:r>
      <w:r w:rsidRPr="00FE50A6">
        <w:rPr>
          <w:rFonts w:cs="Verdana"/>
          <w:bCs/>
          <w:i/>
          <w:sz w:val="16"/>
          <w:szCs w:val="16"/>
          <w:lang w:val="en-US"/>
        </w:rPr>
        <w:t>The Right to Information on Consular Assistance within the Framework of the Guarantees of Due Process of Law.</w:t>
      </w:r>
      <w:r w:rsidRPr="00FE50A6">
        <w:rPr>
          <w:rFonts w:cs="Verdana"/>
          <w:bCs/>
          <w:sz w:val="16"/>
          <w:szCs w:val="16"/>
          <w:lang w:val="en-US"/>
        </w:rPr>
        <w:t xml:space="preserve"> Advisory Opinion OC-16/99 of October 1, 1999. Series A No. 16, para. 114. </w:t>
      </w:r>
    </w:p>
  </w:footnote>
  <w:footnote w:id="541">
    <w:p w14:paraId="31C33994" w14:textId="77777777" w:rsidR="00E70935" w:rsidRPr="00FE50A6" w:rsidRDefault="00E70935" w:rsidP="00CD003F">
      <w:pPr>
        <w:pStyle w:val="NormalWeb"/>
        <w:tabs>
          <w:tab w:val="left" w:pos="709"/>
        </w:tabs>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iCs/>
          <w:sz w:val="16"/>
          <w:szCs w:val="16"/>
          <w:lang w:val="en-US"/>
        </w:rPr>
        <w:t xml:space="preserve">Cf. </w:t>
      </w:r>
      <w:r w:rsidRPr="00FE50A6">
        <w:rPr>
          <w:iCs/>
          <w:sz w:val="16"/>
          <w:szCs w:val="16"/>
          <w:lang w:val="en-US"/>
        </w:rPr>
        <w:t xml:space="preserve">I/A Court HR. </w:t>
      </w:r>
      <w:r w:rsidRPr="00FE50A6">
        <w:rPr>
          <w:rFonts w:cs="Verdana"/>
          <w:bCs/>
          <w:i/>
          <w:sz w:val="16"/>
          <w:szCs w:val="16"/>
          <w:lang w:val="en-US"/>
        </w:rPr>
        <w:t>Case of Atala Riffo and daughters v. Chile. Merits, reparations and costs</w:t>
      </w:r>
      <w:r w:rsidRPr="00FE50A6">
        <w:rPr>
          <w:rFonts w:cs="Verdana"/>
          <w:bCs/>
          <w:sz w:val="16"/>
          <w:szCs w:val="16"/>
          <w:lang w:val="en-US"/>
        </w:rPr>
        <w:t>. Judgment of February 24, 2012. Series C No. 239, para. 84</w:t>
      </w:r>
      <w:r w:rsidRPr="00FE50A6">
        <w:rPr>
          <w:sz w:val="16"/>
          <w:szCs w:val="16"/>
          <w:lang w:val="en-US"/>
        </w:rPr>
        <w:t xml:space="preserve">; </w:t>
      </w:r>
      <w:r w:rsidRPr="00FE50A6">
        <w:rPr>
          <w:rFonts w:cs="Verdana"/>
          <w:bCs/>
          <w:i/>
          <w:sz w:val="16"/>
          <w:szCs w:val="16"/>
          <w:lang w:val="en-US"/>
        </w:rPr>
        <w:t>Case of the “Mapiripán Massacre” v. Colombia.</w:t>
      </w:r>
      <w:r w:rsidRPr="00FE50A6">
        <w:rPr>
          <w:rFonts w:cs="Verdana"/>
          <w:bCs/>
          <w:sz w:val="16"/>
          <w:szCs w:val="16"/>
          <w:lang w:val="en-US"/>
        </w:rPr>
        <w:t xml:space="preserve"> Judgment of September 15, 2005. Series C No. 134, para. 106;</w:t>
      </w:r>
      <w:r w:rsidRPr="00FE50A6">
        <w:rPr>
          <w:rFonts w:cs="Verdana"/>
          <w:b/>
          <w:bCs/>
          <w:sz w:val="16"/>
          <w:szCs w:val="16"/>
          <w:lang w:val="en-US"/>
        </w:rPr>
        <w:t xml:space="preserve"> </w:t>
      </w:r>
      <w:r w:rsidRPr="00FE50A6">
        <w:rPr>
          <w:i/>
          <w:iCs/>
          <w:sz w:val="16"/>
          <w:szCs w:val="16"/>
          <w:lang w:val="en-US"/>
        </w:rPr>
        <w:t>Case of Ricardo Canese</w:t>
      </w:r>
      <w:r w:rsidRPr="00FE50A6">
        <w:rPr>
          <w:sz w:val="16"/>
          <w:szCs w:val="16"/>
          <w:lang w:val="en-US"/>
        </w:rPr>
        <w:t xml:space="preserve">. </w:t>
      </w:r>
      <w:r w:rsidRPr="00FE50A6">
        <w:rPr>
          <w:i/>
          <w:sz w:val="16"/>
          <w:szCs w:val="16"/>
          <w:lang w:val="en-US"/>
        </w:rPr>
        <w:t xml:space="preserve">Merits, reparations and costs. </w:t>
      </w:r>
      <w:r w:rsidRPr="00FE50A6">
        <w:rPr>
          <w:sz w:val="16"/>
          <w:szCs w:val="16"/>
          <w:lang w:val="en-US"/>
        </w:rPr>
        <w:t xml:space="preserve">Judgment of August 31, 2004. Series C No. 111, para. 181, and </w:t>
      </w:r>
      <w:r w:rsidRPr="00FE50A6">
        <w:rPr>
          <w:i/>
          <w:iCs/>
          <w:sz w:val="16"/>
          <w:szCs w:val="16"/>
          <w:lang w:val="en-US"/>
        </w:rPr>
        <w:t>Case of Herrera Ulloa</w:t>
      </w:r>
      <w:r w:rsidRPr="00FE50A6">
        <w:rPr>
          <w:sz w:val="16"/>
          <w:szCs w:val="16"/>
          <w:lang w:val="en-US"/>
        </w:rPr>
        <w:t xml:space="preserve">. </w:t>
      </w:r>
      <w:r w:rsidRPr="00FE50A6">
        <w:rPr>
          <w:i/>
          <w:sz w:val="16"/>
          <w:szCs w:val="16"/>
          <w:lang w:val="en-US"/>
        </w:rPr>
        <w:t xml:space="preserve">Preliminary objections, merits, reparations and costs. </w:t>
      </w:r>
      <w:r w:rsidRPr="00FE50A6">
        <w:rPr>
          <w:sz w:val="16"/>
          <w:szCs w:val="16"/>
          <w:lang w:val="en-US"/>
        </w:rPr>
        <w:t xml:space="preserve"> Judgment of July 2, 2004. Series C No. 107, para. 184. </w:t>
      </w:r>
    </w:p>
  </w:footnote>
  <w:footnote w:id="542">
    <w:p w14:paraId="2984C2C0" w14:textId="77777777" w:rsidR="00E70935" w:rsidRPr="00FE50A6" w:rsidRDefault="00E70935" w:rsidP="00CD003F">
      <w:pPr>
        <w:pStyle w:val="Prrafodelista"/>
        <w:tabs>
          <w:tab w:val="left" w:pos="709"/>
        </w:tabs>
        <w:spacing w:after="80"/>
        <w:ind w:left="0"/>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sz w:val="16"/>
          <w:szCs w:val="16"/>
          <w:lang w:val="en-US"/>
        </w:rPr>
        <w:t xml:space="preserve">Cf. </w:t>
      </w:r>
      <w:r w:rsidRPr="00FE50A6">
        <w:rPr>
          <w:sz w:val="16"/>
          <w:szCs w:val="16"/>
          <w:lang w:val="en-US"/>
        </w:rPr>
        <w:t xml:space="preserve">I/A Court HR. </w:t>
      </w:r>
      <w:r w:rsidRPr="00FE50A6">
        <w:rPr>
          <w:rFonts w:cs="Verdana"/>
          <w:bCs/>
          <w:i/>
          <w:sz w:val="16"/>
          <w:szCs w:val="16"/>
          <w:lang w:val="en-US"/>
        </w:rPr>
        <w:t xml:space="preserve">Case of Gonzales Lluy et al. v. Ecuador. Preliminary objections, merits, reparations and costs. </w:t>
      </w:r>
      <w:r w:rsidRPr="00FE50A6">
        <w:rPr>
          <w:rFonts w:cs="Verdana"/>
          <w:bCs/>
          <w:sz w:val="16"/>
          <w:szCs w:val="16"/>
          <w:lang w:val="en-US"/>
        </w:rPr>
        <w:t>Judgment of September 1, 2015. Series C No. 298, para. 253;</w:t>
      </w:r>
      <w:r w:rsidRPr="00FE50A6">
        <w:rPr>
          <w:rFonts w:cs="Verdana"/>
          <w:bCs/>
          <w:i/>
          <w:sz w:val="16"/>
          <w:szCs w:val="16"/>
          <w:lang w:val="en-US"/>
        </w:rPr>
        <w:t xml:space="preserve"> and Case of Atala Riffo and daughters v. Chile. Merits, reparations and costs</w:t>
      </w:r>
      <w:r w:rsidRPr="00FE50A6">
        <w:rPr>
          <w:rFonts w:cs="Verdana"/>
          <w:bCs/>
          <w:sz w:val="16"/>
          <w:szCs w:val="16"/>
          <w:lang w:val="en-US"/>
        </w:rPr>
        <w:t xml:space="preserve">. Judgment of February 24, 2012. Series C No. 239, para. 81. United Nations, </w:t>
      </w:r>
      <w:r w:rsidRPr="00FE50A6">
        <w:rPr>
          <w:sz w:val="16"/>
          <w:szCs w:val="16"/>
          <w:lang w:val="en-US"/>
        </w:rPr>
        <w:t xml:space="preserve">Human Rights Committee of the International Covenant on Civil and Political Rights. United Nations, Human Rights Committee, General Comment No. 18, Non-discrimination, November 10, 1989, CCPR/C/37, para. 6. This Committee drew up that definition, in the universal sphere, based on definitions of discrimination in Article 1(1) of the International Convention on the Elimination of All Forms of Racial Discrimination and Article 1(1) of the Convention on the Elimination of All Forms of Discrimination against Women. </w:t>
      </w:r>
    </w:p>
  </w:footnote>
  <w:footnote w:id="543">
    <w:p w14:paraId="65300D60"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European Convention on Human Rights, adopted in 1951, Art. 14.</w:t>
      </w:r>
    </w:p>
  </w:footnote>
  <w:footnote w:id="544">
    <w:p w14:paraId="7F7DFC9B"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Additional Protocol to the European Convention on Human Rights, of November 4, 2000, Art. 1. </w:t>
      </w:r>
    </w:p>
  </w:footnote>
  <w:footnote w:id="545">
    <w:p w14:paraId="1F50B342" w14:textId="77777777" w:rsidR="00E70935" w:rsidRPr="00FE50A6" w:rsidRDefault="00E70935" w:rsidP="00CD003F">
      <w:pPr>
        <w:pStyle w:val="Textonotapie"/>
        <w:tabs>
          <w:tab w:val="left" w:pos="709"/>
        </w:tabs>
        <w:spacing w:after="80"/>
        <w:rPr>
          <w:rFonts w:cs="Arial"/>
          <w:color w:val="000000"/>
        </w:rPr>
      </w:pPr>
      <w:r w:rsidRPr="00FE50A6">
        <w:rPr>
          <w:rStyle w:val="Refdenotaalpie"/>
        </w:rPr>
        <w:footnoteRef/>
      </w:r>
      <w:r w:rsidRPr="00FE50A6">
        <w:t xml:space="preserve"> </w:t>
      </w:r>
      <w:r w:rsidRPr="00FE50A6">
        <w:tab/>
      </w:r>
      <w:r w:rsidRPr="00FE50A6">
        <w:rPr>
          <w:rStyle w:val="sb8d990e2"/>
          <w:rFonts w:cs="Arial"/>
          <w:i/>
          <w:color w:val="000000"/>
        </w:rPr>
        <w:t>Cf.</w:t>
      </w:r>
      <w:r w:rsidRPr="00FE50A6">
        <w:rPr>
          <w:rStyle w:val="sb8d990e2"/>
          <w:rFonts w:cs="Arial"/>
          <w:color w:val="000000"/>
        </w:rPr>
        <w:t xml:space="preserve"> ECHR.</w:t>
      </w:r>
      <w:r w:rsidRPr="00FE50A6">
        <w:rPr>
          <w:rStyle w:val="sb8d990e2"/>
          <w:rFonts w:cs="Arial"/>
          <w:i/>
          <w:color w:val="000000"/>
        </w:rPr>
        <w:t xml:space="preserve"> Case of Zornic v. Bosnia and Herzegovina</w:t>
      </w:r>
      <w:r w:rsidRPr="00FE50A6">
        <w:rPr>
          <w:rStyle w:val="sb8d990e2"/>
          <w:rFonts w:cs="Arial"/>
          <w:color w:val="000000"/>
        </w:rPr>
        <w:t>, No. 3681/06, Judgment of July 15, 2014, para. 27.</w:t>
      </w:r>
    </w:p>
  </w:footnote>
  <w:footnote w:id="546">
    <w:p w14:paraId="75F9A2A5"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 xml:space="preserve">Cf. </w:t>
      </w:r>
      <w:r w:rsidRPr="00FE50A6">
        <w:t xml:space="preserve">ECHR. </w:t>
      </w:r>
      <w:r w:rsidRPr="00FE50A6">
        <w:rPr>
          <w:i/>
        </w:rPr>
        <w:t>Nencheva v. Bulgaria</w:t>
      </w:r>
      <w:r w:rsidRPr="00FE50A6">
        <w:t>, No. 48609/</w:t>
      </w:r>
      <w:proofErr w:type="gramStart"/>
      <w:r w:rsidRPr="00FE50A6">
        <w:t>06  Judgment</w:t>
      </w:r>
      <w:proofErr w:type="gramEnd"/>
      <w:r w:rsidRPr="00FE50A6">
        <w:t xml:space="preserve"> of June 18, 2013. </w:t>
      </w:r>
    </w:p>
  </w:footnote>
  <w:footnote w:id="547">
    <w:p w14:paraId="04E19293"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 xml:space="preserve">Cf. </w:t>
      </w:r>
      <w:r w:rsidRPr="00FE50A6">
        <w:t>ECHR.</w:t>
      </w:r>
      <w:r w:rsidRPr="00FE50A6">
        <w:rPr>
          <w:i/>
        </w:rPr>
        <w:t xml:space="preserve"> Moldovan and Others v. Romania</w:t>
      </w:r>
      <w:r w:rsidRPr="00FE50A6">
        <w:t xml:space="preserve">, No. 41138/98, Judgment of July 12, 2005 and </w:t>
      </w:r>
      <w:r w:rsidRPr="00FE50A6">
        <w:rPr>
          <w:i/>
        </w:rPr>
        <w:t>O’Rourke v. The United Kingdom</w:t>
      </w:r>
      <w:r w:rsidRPr="00FE50A6">
        <w:t>, No. 39022/97, Judgment of June 26, 2001.</w:t>
      </w:r>
    </w:p>
  </w:footnote>
  <w:footnote w:id="548">
    <w:p w14:paraId="5CC0C3FA" w14:textId="77777777" w:rsidR="00E70935" w:rsidRPr="00FE50A6" w:rsidRDefault="00E70935" w:rsidP="00CD003F">
      <w:pPr>
        <w:pStyle w:val="Textonotapie"/>
        <w:tabs>
          <w:tab w:val="clear" w:pos="4419"/>
          <w:tab w:val="left" w:pos="567"/>
          <w:tab w:val="left" w:pos="709"/>
        </w:tabs>
        <w:spacing w:after="80"/>
      </w:pPr>
      <w:r w:rsidRPr="00FE50A6">
        <w:rPr>
          <w:rStyle w:val="Refdenotaalpie"/>
        </w:rPr>
        <w:footnoteRef/>
      </w:r>
      <w:r w:rsidRPr="00FE50A6">
        <w:t xml:space="preserve"> </w:t>
      </w:r>
      <w:r w:rsidRPr="00FE50A6">
        <w:tab/>
        <w:t xml:space="preserve">  </w:t>
      </w:r>
      <w:r w:rsidRPr="00FE50A6">
        <w:rPr>
          <w:i/>
        </w:rPr>
        <w:t xml:space="preserve">Cf. </w:t>
      </w:r>
      <w:r w:rsidRPr="00FE50A6">
        <w:t>ECHR.</w:t>
      </w:r>
      <w:r w:rsidRPr="00FE50A6">
        <w:rPr>
          <w:i/>
        </w:rPr>
        <w:t xml:space="preserve"> Case of Wallova and Wallov v. Czech Republic</w:t>
      </w:r>
      <w:r w:rsidRPr="00FE50A6">
        <w:t xml:space="preserve">, No 23848/04, Judgment </w:t>
      </w:r>
      <w:proofErr w:type="gramStart"/>
      <w:r w:rsidRPr="00FE50A6">
        <w:t>of  October</w:t>
      </w:r>
      <w:proofErr w:type="gramEnd"/>
      <w:r w:rsidRPr="00FE50A6">
        <w:t xml:space="preserve"> 26, 2006. </w:t>
      </w:r>
    </w:p>
  </w:footnote>
  <w:footnote w:id="549">
    <w:p w14:paraId="6A2B3EF6"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Cf.</w:t>
      </w:r>
      <w:r w:rsidRPr="00FE50A6">
        <w:t xml:space="preserve"> ECHR. </w:t>
      </w:r>
      <w:r w:rsidRPr="00FE50A6">
        <w:rPr>
          <w:i/>
        </w:rPr>
        <w:t>Öneryildiz v. Turkey</w:t>
      </w:r>
      <w:r w:rsidRPr="00FE50A6">
        <w:t xml:space="preserve">, No. 48939/99, Judgment of November 20, 2004. </w:t>
      </w:r>
    </w:p>
  </w:footnote>
  <w:footnote w:id="550">
    <w:p w14:paraId="181B47D9"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European Social Charter</w:t>
      </w:r>
      <w:r w:rsidRPr="00FE50A6">
        <w:t xml:space="preserve">, adopted on October 18, 1961, and revised in 1996, Art. 30. </w:t>
      </w:r>
    </w:p>
  </w:footnote>
  <w:footnote w:id="551">
    <w:p w14:paraId="69A0198F" w14:textId="77777777" w:rsidR="00E70935" w:rsidRPr="00FE50A6" w:rsidRDefault="00E70935" w:rsidP="00CD003F">
      <w:pPr>
        <w:pStyle w:val="Textonotapie"/>
        <w:tabs>
          <w:tab w:val="left" w:pos="709"/>
        </w:tabs>
        <w:spacing w:after="80"/>
        <w:rPr>
          <w:i/>
        </w:rPr>
      </w:pPr>
      <w:r w:rsidRPr="00FE50A6">
        <w:rPr>
          <w:rStyle w:val="Refdenotaalpie"/>
        </w:rPr>
        <w:footnoteRef/>
      </w:r>
      <w:r w:rsidRPr="00FE50A6">
        <w:t xml:space="preserve"> </w:t>
      </w:r>
      <w:r w:rsidRPr="00FE50A6">
        <w:tab/>
        <w:t xml:space="preserve">Khaliq, Urfan and Churchill, Robín </w:t>
      </w:r>
      <w:r w:rsidRPr="00FE50A6">
        <w:rPr>
          <w:i/>
        </w:rPr>
        <w:t xml:space="preserve">The European Committee on Social Rights: putting flesh on the bare bones of the European Social Charter, </w:t>
      </w:r>
      <w:r w:rsidRPr="00FE50A6">
        <w:rPr>
          <w:rStyle w:val="st"/>
        </w:rPr>
        <w:t>in Malcolm Langford (ed.) Social Rights Jurisprudence: Emerging Trends in International and Comparative Law (New York: Cambridge University Press, 2006).</w:t>
      </w:r>
    </w:p>
  </w:footnote>
  <w:footnote w:id="552">
    <w:p w14:paraId="3E0178F6" w14:textId="77777777" w:rsidR="00E70935" w:rsidRPr="00FE50A6" w:rsidRDefault="00E70935" w:rsidP="00CD003F">
      <w:pPr>
        <w:pStyle w:val="NormalWeb"/>
        <w:tabs>
          <w:tab w:val="left" w:pos="709"/>
        </w:tabs>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eastAsia="Cambria" w:cs="System Font Regular"/>
          <w:sz w:val="16"/>
          <w:szCs w:val="16"/>
          <w:lang w:val="en-US"/>
        </w:rPr>
        <w:t>African Commission on Human and Peoples’ Rights</w:t>
      </w:r>
      <w:r w:rsidRPr="00FE50A6">
        <w:rPr>
          <w:sz w:val="16"/>
          <w:szCs w:val="16"/>
          <w:lang w:val="en-US"/>
        </w:rPr>
        <w:t xml:space="preserve">, Case of </w:t>
      </w:r>
      <w:r w:rsidRPr="00FE50A6">
        <w:rPr>
          <w:rFonts w:cs="Arial"/>
          <w:sz w:val="16"/>
          <w:szCs w:val="16"/>
          <w:lang w:val="en-US"/>
        </w:rPr>
        <w:t xml:space="preserve">276/03: Centre for Minority Rights Development (Kenya) and Minority Rights Group (on behalf of Endorois Welfare Council) v. Kenya, November 25, 2009. </w:t>
      </w:r>
    </w:p>
  </w:footnote>
  <w:footnote w:id="553">
    <w:p w14:paraId="598A526D" w14:textId="77777777" w:rsidR="00E70935" w:rsidRPr="00FE50A6" w:rsidRDefault="00E70935" w:rsidP="00DC4D2B">
      <w:pPr>
        <w:tabs>
          <w:tab w:val="left" w:pos="720"/>
        </w:tabs>
        <w:spacing w:after="80"/>
        <w:ind w:right="18"/>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sz w:val="16"/>
          <w:szCs w:val="16"/>
          <w:lang w:val="en-US"/>
        </w:rPr>
        <w:tab/>
      </w:r>
      <w:r w:rsidRPr="00FE50A6">
        <w:rPr>
          <w:rFonts w:cs="Verdana"/>
          <w:bCs/>
          <w:sz w:val="16"/>
          <w:szCs w:val="16"/>
          <w:lang w:val="en-US"/>
        </w:rPr>
        <w:t xml:space="preserve">Article 22 of the African Charter on Human and Peoples’ Rights stipulates that: 1. </w:t>
      </w:r>
      <w:r w:rsidRPr="00FE50A6">
        <w:rPr>
          <w:sz w:val="16"/>
          <w:szCs w:val="16"/>
          <w:lang w:val="en-US"/>
        </w:rPr>
        <w:t xml:space="preserve">All peoples shall have the right to their economic, social and cultural development with due regard to their freedom and identity and in the equal enjoyment of the common heritage of mankind. 2. States shall have the duty, individually or collectively, to ensure the exercise of the right to development.” The African human rights system has fewer problems when implementing the rights of an economic, social and cultural nature. As mentioned above, the 1981 African </w:t>
      </w:r>
      <w:r w:rsidRPr="00FE50A6">
        <w:rPr>
          <w:rFonts w:cs="Verdana"/>
          <w:bCs/>
          <w:sz w:val="16"/>
          <w:szCs w:val="16"/>
          <w:lang w:val="en-US"/>
        </w:rPr>
        <w:t xml:space="preserve">Charter on Human and Peoples’ Rights includes both civil and political rights and rights of an economic, social and cultural nature. </w:t>
      </w:r>
      <w:r w:rsidRPr="00FE50A6">
        <w:rPr>
          <w:sz w:val="16"/>
          <w:szCs w:val="16"/>
          <w:lang w:val="en-US"/>
        </w:rPr>
        <w:t>Ssenyonjo, Manisuli, Economic,</w:t>
      </w:r>
      <w:r w:rsidRPr="00FE50A6">
        <w:rPr>
          <w:i/>
          <w:sz w:val="16"/>
          <w:szCs w:val="16"/>
          <w:lang w:val="en-US"/>
        </w:rPr>
        <w:t xml:space="preserve"> “</w:t>
      </w:r>
      <w:r w:rsidRPr="00FE50A6">
        <w:rPr>
          <w:sz w:val="16"/>
          <w:szCs w:val="16"/>
          <w:lang w:val="en-US"/>
        </w:rPr>
        <w:t xml:space="preserve">Social and Cultural Rights in the African Charter”, in Ssenyonjo, Manisuli (edited), </w:t>
      </w:r>
      <w:r w:rsidRPr="00FE50A6">
        <w:rPr>
          <w:i/>
          <w:sz w:val="16"/>
          <w:szCs w:val="16"/>
          <w:lang w:val="en-US"/>
        </w:rPr>
        <w:t xml:space="preserve">The African Regional Human Rights System: 30 years after the African Charter on Human and Peoples’ Rights, </w:t>
      </w:r>
      <w:r w:rsidRPr="00FE50A6">
        <w:rPr>
          <w:sz w:val="16"/>
          <w:szCs w:val="16"/>
          <w:lang w:val="en-US"/>
        </w:rPr>
        <w:t xml:space="preserve">Leiden-Boston, Martinus Nijhoff Publishers, 2012, p. 57. Similarly, see: Alemahu Yeshanew, Sisay, </w:t>
      </w:r>
      <w:r w:rsidRPr="00FE50A6">
        <w:rPr>
          <w:i/>
          <w:sz w:val="16"/>
          <w:szCs w:val="16"/>
          <w:lang w:val="en-US"/>
        </w:rPr>
        <w:t xml:space="preserve">The Justiciability of Economic, Social and Cultural Rights in the African Regional Human Rights System, </w:t>
      </w:r>
      <w:r w:rsidRPr="00FE50A6">
        <w:rPr>
          <w:sz w:val="16"/>
          <w:szCs w:val="16"/>
          <w:lang w:val="en-US"/>
        </w:rPr>
        <w:t xml:space="preserve">Cambridge, Intersentia, 2013, p. 241. </w:t>
      </w:r>
    </w:p>
  </w:footnote>
  <w:footnote w:id="554">
    <w:p w14:paraId="2A89105E" w14:textId="77777777" w:rsidR="00E70935" w:rsidRPr="00FE50A6" w:rsidRDefault="00E70935" w:rsidP="00C45B9B">
      <w:pPr>
        <w:widowControl w:val="0"/>
        <w:tabs>
          <w:tab w:val="left" w:pos="709"/>
        </w:tabs>
        <w:autoSpaceDE w:val="0"/>
        <w:autoSpaceDN w:val="0"/>
        <w:adjustRightInd w:val="0"/>
        <w:spacing w:after="80"/>
        <w:jc w:val="both"/>
        <w:rPr>
          <w:rFonts w:cs="Georgia"/>
          <w:color w:val="262626"/>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Georgia"/>
          <w:bCs/>
          <w:iCs/>
          <w:color w:val="262626"/>
          <w:sz w:val="16"/>
          <w:szCs w:val="16"/>
          <w:lang w:val="en-US"/>
        </w:rPr>
        <w:t>Article 1(1)</w:t>
      </w:r>
      <w:r w:rsidRPr="00FE50A6">
        <w:rPr>
          <w:rFonts w:cs="Georgia"/>
          <w:color w:val="262626"/>
          <w:sz w:val="16"/>
          <w:szCs w:val="16"/>
          <w:lang w:val="en-US"/>
        </w:rPr>
        <w:t xml:space="preserve"> of Convention 111 indicates: “</w:t>
      </w:r>
      <w:r w:rsidRPr="00FE50A6">
        <w:rPr>
          <w:rFonts w:cs="Arial"/>
          <w:sz w:val="16"/>
          <w:szCs w:val="16"/>
          <w:lang w:val="en-US"/>
        </w:rPr>
        <w:t>For the purpose of this Convention the term discrimination includes: (a) any distinction, exclusion or preference made on the basis of race, colour, sex, religion, political opinion, national extraction or social origin, which has the effect of nullifying or impairing equality of opportunity or treatment in employment or occupation, [and] (b) such other distinction, exclusion or preference which has the effect of nullifying or impairing equality of opportunity or treatment in employment or occupation as may be determined by the Member concerned after consultation with representative employers' and workers' organisations, where such exist, and with other appropriate bodies.</w:t>
      </w:r>
      <w:r w:rsidRPr="00FE50A6">
        <w:rPr>
          <w:rFonts w:cs="Georgia"/>
          <w:color w:val="262626"/>
          <w:sz w:val="16"/>
          <w:szCs w:val="16"/>
          <w:lang w:val="en-US"/>
        </w:rPr>
        <w:t>”</w:t>
      </w:r>
    </w:p>
  </w:footnote>
  <w:footnote w:id="555">
    <w:p w14:paraId="6745A7C9" w14:textId="77777777" w:rsidR="00E70935" w:rsidRPr="00FE50A6" w:rsidRDefault="00E70935" w:rsidP="004E5BC7">
      <w:pPr>
        <w:tabs>
          <w:tab w:val="left" w:pos="709"/>
        </w:tabs>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 xml:space="preserve">Article </w:t>
      </w:r>
      <w:r w:rsidRPr="00FE50A6">
        <w:rPr>
          <w:rFonts w:cs="Georgia"/>
          <w:bCs/>
          <w:iCs/>
          <w:color w:val="262626"/>
          <w:sz w:val="16"/>
          <w:szCs w:val="16"/>
          <w:lang w:val="en-US"/>
        </w:rPr>
        <w:t>1(1)</w:t>
      </w:r>
      <w:r w:rsidRPr="00FE50A6">
        <w:rPr>
          <w:rFonts w:cs="Georgia"/>
          <w:color w:val="262626"/>
          <w:sz w:val="16"/>
          <w:szCs w:val="16"/>
          <w:lang w:val="en-US"/>
        </w:rPr>
        <w:t xml:space="preserve"> </w:t>
      </w:r>
      <w:r w:rsidRPr="00FE50A6">
        <w:rPr>
          <w:rFonts w:cs="Verdana"/>
          <w:bCs/>
          <w:sz w:val="16"/>
          <w:szCs w:val="16"/>
          <w:lang w:val="en-US"/>
        </w:rPr>
        <w:t>of the Convention establishes: “</w:t>
      </w:r>
      <w:r w:rsidRPr="00FE50A6">
        <w:rPr>
          <w:rStyle w:val="longdesc"/>
          <w:sz w:val="16"/>
          <w:szCs w:val="16"/>
          <w:lang w:val="en-US"/>
        </w:rPr>
        <w:t>For the purposes of this Convention, the term `discrimination' includes any distinction, exclusion, limitation or preference which, being based on race, colour, sex, language, religion, political or other opinion, national or social origin, economic condition or birth, has the purpose or effect of nullifying or impairing equality of treatment in education […].”</w:t>
      </w:r>
    </w:p>
  </w:footnote>
  <w:footnote w:id="556">
    <w:p w14:paraId="7642A85A" w14:textId="77777777" w:rsidR="00E70935" w:rsidRPr="00FE50A6" w:rsidRDefault="00E70935" w:rsidP="00151B6B">
      <w:pPr>
        <w:tabs>
          <w:tab w:val="left" w:pos="720"/>
        </w:tabs>
        <w:spacing w:after="80"/>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Article 1(1) of the Convention stipulates: “</w:t>
      </w:r>
      <w:r w:rsidRPr="00FE50A6">
        <w:rPr>
          <w:sz w:val="16"/>
          <w:szCs w:val="16"/>
          <w:lang w:val="en-US"/>
        </w:rPr>
        <w:t>In this Convention,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Pr="00FE50A6">
        <w:rPr>
          <w:rFonts w:cs="Verdana"/>
          <w:sz w:val="16"/>
          <w:szCs w:val="16"/>
          <w:lang w:val="en-US"/>
        </w:rPr>
        <w:t>”</w:t>
      </w:r>
    </w:p>
  </w:footnote>
  <w:footnote w:id="557">
    <w:p w14:paraId="764178D5" w14:textId="77777777" w:rsidR="00E70935" w:rsidRPr="00FE50A6" w:rsidRDefault="00E70935" w:rsidP="002507AD">
      <w:pPr>
        <w:tabs>
          <w:tab w:val="left" w:pos="709"/>
        </w:tabs>
        <w:spacing w:after="80"/>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Article 1 of the Convention indicates that: “</w:t>
      </w:r>
      <w:r w:rsidRPr="00FE50A6">
        <w:rPr>
          <w:sz w:val="16"/>
          <w:szCs w:val="16"/>
          <w:lang w:val="en-US"/>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Pr="00FE50A6">
        <w:rPr>
          <w:rFonts w:cs="Times"/>
          <w:sz w:val="16"/>
          <w:szCs w:val="16"/>
          <w:lang w:val="en-US"/>
        </w:rPr>
        <w:t xml:space="preserve"> […].”</w:t>
      </w:r>
    </w:p>
  </w:footnote>
  <w:footnote w:id="558">
    <w:p w14:paraId="48C57233" w14:textId="77777777" w:rsidR="00E70935" w:rsidRPr="00FE50A6" w:rsidRDefault="00E70935" w:rsidP="002507AD">
      <w:pPr>
        <w:tabs>
          <w:tab w:val="left" w:pos="720"/>
        </w:tabs>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Article 2(1) of the International Covenant on Civil and Political Rights establishes that:</w:t>
      </w:r>
      <w:r w:rsidRPr="00FE50A6">
        <w:rPr>
          <w:rFonts w:cs="Verdana"/>
          <w:sz w:val="16"/>
          <w:szCs w:val="16"/>
          <w:lang w:val="en-US"/>
        </w:rPr>
        <w:t xml:space="preserve"> “</w:t>
      </w:r>
      <w:r w:rsidRPr="00FE50A6">
        <w:rPr>
          <w:sz w:val="16"/>
          <w:szCs w:val="16"/>
          <w:lang w:val="en-US"/>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r w:rsidRPr="00FE50A6">
        <w:rPr>
          <w:rFonts w:cs="Verdana"/>
          <w:sz w:val="16"/>
          <w:szCs w:val="16"/>
          <w:lang w:val="en-US"/>
        </w:rPr>
        <w:t xml:space="preserve">” </w:t>
      </w:r>
    </w:p>
    <w:p w14:paraId="59BADAE1" w14:textId="77777777" w:rsidR="00E70935" w:rsidRPr="00FE50A6" w:rsidRDefault="00E70935" w:rsidP="002507AD">
      <w:pPr>
        <w:tabs>
          <w:tab w:val="left" w:pos="720"/>
        </w:tabs>
        <w:spacing w:after="80"/>
        <w:jc w:val="both"/>
        <w:rPr>
          <w:i/>
          <w:sz w:val="16"/>
          <w:szCs w:val="16"/>
          <w:lang w:val="en-US"/>
        </w:rPr>
      </w:pPr>
      <w:r w:rsidRPr="00FE50A6">
        <w:rPr>
          <w:rFonts w:cs="Verdana"/>
          <w:sz w:val="16"/>
          <w:szCs w:val="16"/>
          <w:lang w:val="en-US"/>
        </w:rPr>
        <w:tab/>
        <w:t>Article</w:t>
      </w:r>
      <w:r w:rsidRPr="00FE50A6">
        <w:rPr>
          <w:rFonts w:cs="Verdana"/>
          <w:bCs/>
          <w:color w:val="242424"/>
          <w:sz w:val="16"/>
          <w:szCs w:val="16"/>
          <w:lang w:val="en-US"/>
        </w:rPr>
        <w:t xml:space="preserve"> </w:t>
      </w:r>
      <w:r w:rsidRPr="00FE50A6">
        <w:rPr>
          <w:rFonts w:cs="Verdana"/>
          <w:sz w:val="16"/>
          <w:szCs w:val="16"/>
          <w:lang w:val="en-US"/>
        </w:rPr>
        <w:t>2(2) of the International Covenant on Economic, Social and Cultural Rights establishes that: “</w:t>
      </w:r>
      <w:r w:rsidRPr="00FE50A6">
        <w:rPr>
          <w:sz w:val="16"/>
          <w:szCs w:val="16"/>
          <w:lang w:val="en-US"/>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Pr="00FE50A6">
        <w:rPr>
          <w:rFonts w:cs="Verdana"/>
          <w:sz w:val="16"/>
          <w:szCs w:val="16"/>
          <w:lang w:val="en-US"/>
        </w:rPr>
        <w:t>”</w:t>
      </w:r>
    </w:p>
  </w:footnote>
  <w:footnote w:id="559">
    <w:p w14:paraId="706BC719" w14:textId="77777777" w:rsidR="00E70935" w:rsidRPr="00FE50A6" w:rsidRDefault="00E70935" w:rsidP="00CD003F">
      <w:pPr>
        <w:pStyle w:val="Textonotapie"/>
        <w:tabs>
          <w:tab w:val="left" w:pos="709"/>
        </w:tabs>
        <w:spacing w:after="80"/>
      </w:pPr>
      <w:r w:rsidRPr="00FE50A6">
        <w:rPr>
          <w:rStyle w:val="Refdenotaalpie"/>
        </w:rPr>
        <w:footnoteRef/>
      </w:r>
      <w:r w:rsidRPr="00FE50A6">
        <w:rPr>
          <w:i/>
        </w:rPr>
        <w:t xml:space="preserve"> </w:t>
      </w:r>
      <w:r w:rsidRPr="00FE50A6">
        <w:rPr>
          <w:i/>
        </w:rPr>
        <w:tab/>
        <w:t xml:space="preserve">Cf. </w:t>
      </w:r>
      <w:r w:rsidRPr="00FE50A6">
        <w:t xml:space="preserve">Committee on Economic, Social and Cultural Rights, General Comment No. 20, </w:t>
      </w:r>
      <w:r w:rsidRPr="00FE50A6">
        <w:rPr>
          <w:i/>
        </w:rPr>
        <w:t>Non-discrimination in economic, social and cultural rights (art. 2, para. 2, of the International Covenant on Economic, Social and Cultural Rights,</w:t>
      </w:r>
      <w:r w:rsidRPr="00FE50A6">
        <w:t xml:space="preserve"> July 2, 2009, E/C.12/GC/20, </w:t>
      </w:r>
      <w:r w:rsidRPr="00FE50A6">
        <w:rPr>
          <w:rFonts w:cs="System Font Regular"/>
          <w:color w:val="16191F"/>
        </w:rPr>
        <w:t xml:space="preserve">para. 1. </w:t>
      </w:r>
      <w:r w:rsidRPr="00FE50A6">
        <w:t xml:space="preserve"> </w:t>
      </w:r>
    </w:p>
  </w:footnote>
  <w:footnote w:id="560">
    <w:p w14:paraId="71C1F05B"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 xml:space="preserve">Cf. </w:t>
      </w:r>
      <w:r w:rsidRPr="00FE50A6">
        <w:t xml:space="preserve">Committee on Economic, Social and Cultural Rights, General Comment No. 20, </w:t>
      </w:r>
      <w:r w:rsidRPr="00FE50A6">
        <w:rPr>
          <w:i/>
        </w:rPr>
        <w:t>Non-discrimination in economic, social and cultural rights (art. 2, para. 2, of the International Covenant on Economic, Social and Cultural Rights,</w:t>
      </w:r>
      <w:r w:rsidRPr="00FE50A6">
        <w:t xml:space="preserve"> July 2, 2009, E/C.12/GC/20, </w:t>
      </w:r>
      <w:r w:rsidRPr="00FE50A6">
        <w:rPr>
          <w:rFonts w:cs="System Font Regular"/>
          <w:color w:val="16191F"/>
        </w:rPr>
        <w:t>para. 12.</w:t>
      </w:r>
    </w:p>
  </w:footnote>
  <w:footnote w:id="561">
    <w:p w14:paraId="382ED104"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 xml:space="preserve">Cf. </w:t>
      </w:r>
      <w:r w:rsidRPr="00FE50A6">
        <w:t xml:space="preserve">Committee on Economic, Social and Cultural Rights, General Comment No. 20, </w:t>
      </w:r>
      <w:r w:rsidRPr="00FE50A6">
        <w:rPr>
          <w:i/>
        </w:rPr>
        <w:t>Non-discrimination in economic, social and cultural rights (art. 2, para. 2, of the International Covenant on Economic, Social and Cultural Rights,</w:t>
      </w:r>
      <w:r w:rsidRPr="00FE50A6">
        <w:t xml:space="preserve"> July 2, 2009, E/C.12/GC/20, </w:t>
      </w:r>
      <w:r w:rsidRPr="00FE50A6">
        <w:rPr>
          <w:rFonts w:cs="System Font Regular"/>
          <w:color w:val="16191F"/>
        </w:rPr>
        <w:t xml:space="preserve">para. </w:t>
      </w:r>
      <w:r w:rsidRPr="00FE50A6">
        <w:t>25.</w:t>
      </w:r>
    </w:p>
  </w:footnote>
  <w:footnote w:id="562">
    <w:p w14:paraId="771546F7" w14:textId="77777777" w:rsidR="00E70935" w:rsidRPr="00FE50A6" w:rsidRDefault="00E70935" w:rsidP="00CD003F">
      <w:pPr>
        <w:pStyle w:val="Textonotapie"/>
        <w:tabs>
          <w:tab w:val="left" w:pos="709"/>
        </w:tabs>
        <w:spacing w:after="80"/>
        <w:rPr>
          <w:rFonts w:cs="Times"/>
        </w:rPr>
      </w:pPr>
      <w:r w:rsidRPr="00FE50A6">
        <w:rPr>
          <w:rStyle w:val="Refdenotaalpie"/>
        </w:rPr>
        <w:footnoteRef/>
      </w:r>
      <w:r w:rsidRPr="00FE50A6">
        <w:t xml:space="preserve"> </w:t>
      </w:r>
      <w:r w:rsidRPr="00FE50A6">
        <w:tab/>
        <w:t xml:space="preserve">UN, Economic and Social Council, Committee on Economic, Social and Cultural Rights, </w:t>
      </w:r>
      <w:r w:rsidRPr="00FE50A6">
        <w:rPr>
          <w:i/>
        </w:rPr>
        <w:t xml:space="preserve">Substantive issues arising in the implementation of the International Covenant on Economic, Social and Cultural Rights: Poverty and the International Covenant on Economic, Social and Cultural Rights, </w:t>
      </w:r>
      <w:r w:rsidRPr="00FE50A6">
        <w:t xml:space="preserve">May 10, </w:t>
      </w:r>
      <w:proofErr w:type="gramStart"/>
      <w:r w:rsidRPr="00FE50A6">
        <w:t xml:space="preserve">2001, </w:t>
      </w:r>
      <w:r w:rsidRPr="00FE50A6">
        <w:rPr>
          <w:i/>
        </w:rPr>
        <w:t xml:space="preserve"> </w:t>
      </w:r>
      <w:r w:rsidRPr="00FE50A6">
        <w:rPr>
          <w:rFonts w:cs="Times"/>
        </w:rPr>
        <w:t>E</w:t>
      </w:r>
      <w:proofErr w:type="gramEnd"/>
      <w:r w:rsidRPr="00FE50A6">
        <w:rPr>
          <w:rFonts w:cs="Times"/>
        </w:rPr>
        <w:t>/C.12/2001/10, para. 8.</w:t>
      </w:r>
      <w:r w:rsidRPr="00FE50A6">
        <w:rPr>
          <w:rFonts w:cs="Times"/>
          <w:b/>
        </w:rPr>
        <w:t xml:space="preserve"> </w:t>
      </w:r>
    </w:p>
  </w:footnote>
  <w:footnote w:id="563">
    <w:p w14:paraId="06505AA2" w14:textId="77777777" w:rsidR="00E70935" w:rsidRPr="00FE50A6" w:rsidRDefault="00E70935" w:rsidP="00CD003F">
      <w:pPr>
        <w:pStyle w:val="Textonotapie"/>
        <w:tabs>
          <w:tab w:val="left" w:pos="709"/>
        </w:tabs>
        <w:spacing w:after="80"/>
        <w:rPr>
          <w:rFonts w:cs="Times"/>
        </w:rPr>
      </w:pPr>
      <w:r w:rsidRPr="00FE50A6">
        <w:rPr>
          <w:rStyle w:val="Refdenotaalpie"/>
        </w:rPr>
        <w:footnoteRef/>
      </w:r>
      <w:r w:rsidRPr="00FE50A6">
        <w:t xml:space="preserve">  </w:t>
      </w:r>
      <w:r w:rsidRPr="00FE50A6">
        <w:tab/>
      </w:r>
      <w:bookmarkStart w:id="403" w:name="_Hlk9954037"/>
      <w:r w:rsidRPr="00FE50A6">
        <w:t xml:space="preserve">UN, The </w:t>
      </w:r>
      <w:r w:rsidRPr="00FE50A6">
        <w:rPr>
          <w:rFonts w:eastAsia="Cambria" w:cs="Times"/>
          <w:szCs w:val="20"/>
        </w:rPr>
        <w:t>Guiding Principles on extreme poverty and human rights</w:t>
      </w:r>
      <w:r w:rsidRPr="00FE50A6">
        <w:t xml:space="preserve">, adopted by the Human Rights Council on September 27, 2012, Resolution 21/11, Preface, para. </w:t>
      </w:r>
      <w:r w:rsidRPr="00FE50A6">
        <w:rPr>
          <w:rFonts w:cs="Times"/>
        </w:rPr>
        <w:t xml:space="preserve">2. </w:t>
      </w:r>
      <w:bookmarkEnd w:id="403"/>
    </w:p>
  </w:footnote>
  <w:footnote w:id="564">
    <w:p w14:paraId="53B1B7B7" w14:textId="77777777" w:rsidR="00E70935" w:rsidRPr="00FE50A6" w:rsidRDefault="00E70935" w:rsidP="00CD003F">
      <w:pPr>
        <w:pStyle w:val="Textonotapie"/>
        <w:tabs>
          <w:tab w:val="left" w:pos="709"/>
        </w:tabs>
        <w:spacing w:after="80"/>
        <w:rPr>
          <w:rFonts w:cs="Times"/>
        </w:rPr>
      </w:pPr>
      <w:r w:rsidRPr="00FE50A6">
        <w:rPr>
          <w:rStyle w:val="Refdenotaalpie"/>
        </w:rPr>
        <w:footnoteRef/>
      </w:r>
      <w:r w:rsidRPr="00FE50A6">
        <w:t xml:space="preserve"> </w:t>
      </w:r>
      <w:r w:rsidRPr="00FE50A6">
        <w:tab/>
      </w:r>
      <w:bookmarkStart w:id="404" w:name="_Hlk9954145"/>
      <w:r w:rsidRPr="00FE50A6">
        <w:rPr>
          <w:rFonts w:cs="Times"/>
        </w:rPr>
        <w:t xml:space="preserve">UN, Commission on Human Rights, Sub-Commission on Prevention of Discrimination and Protection of Minorities, </w:t>
      </w:r>
      <w:r w:rsidRPr="00FE50A6">
        <w:rPr>
          <w:rFonts w:cs="Times"/>
          <w:i/>
        </w:rPr>
        <w:t>The realization of economic, social and cultural rights. Final report of the Special Rapporteur, Mr. Leandro Despouy</w:t>
      </w:r>
      <w:r w:rsidRPr="00FE50A6">
        <w:rPr>
          <w:rFonts w:cs="Times"/>
        </w:rPr>
        <w:t>, June 28, 1996, E/CN.4/ Sub.2/1996/13, p. 58.</w:t>
      </w:r>
      <w:bookmarkEnd w:id="404"/>
    </w:p>
  </w:footnote>
  <w:footnote w:id="565">
    <w:p w14:paraId="63E1D087"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UN, The Guiding Principles on Extreme Poverty and Human Rights, adopted by the Human Rights Council, September 27, 2012, Resolution 21/11, Preface, paras. 3 and 4.</w:t>
      </w:r>
    </w:p>
  </w:footnote>
  <w:footnote w:id="566">
    <w:p w14:paraId="6909BE35" w14:textId="77777777" w:rsidR="00E70935" w:rsidRPr="00FE50A6" w:rsidRDefault="00E70935" w:rsidP="00CD003F">
      <w:pPr>
        <w:pStyle w:val="Prrafodelista"/>
        <w:widowControl w:val="0"/>
        <w:tabs>
          <w:tab w:val="left" w:pos="709"/>
        </w:tabs>
        <w:autoSpaceDE w:val="0"/>
        <w:autoSpaceDN w:val="0"/>
        <w:adjustRightInd w:val="0"/>
        <w:spacing w:after="80"/>
        <w:ind w:left="0"/>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Human Rights Council, Report of the Special Rapporteur on extreme poverty and human rights, </w:t>
      </w:r>
      <w:r w:rsidRPr="00FE50A6">
        <w:rPr>
          <w:rFonts w:cs="Times"/>
          <w:sz w:val="16"/>
          <w:szCs w:val="16"/>
          <w:lang w:val="en-US"/>
        </w:rPr>
        <w:t>March 11, 2013</w:t>
      </w:r>
      <w:r w:rsidRPr="00FE50A6">
        <w:rPr>
          <w:sz w:val="16"/>
          <w:szCs w:val="16"/>
          <w:lang w:val="en-US"/>
        </w:rPr>
        <w:t xml:space="preserve">, </w:t>
      </w:r>
      <w:r w:rsidRPr="00FE50A6">
        <w:rPr>
          <w:rFonts w:cs="Times"/>
          <w:sz w:val="16"/>
          <w:szCs w:val="16"/>
          <w:lang w:val="en-US"/>
        </w:rPr>
        <w:t xml:space="preserve">A/HRC/23/36 para. 42. </w:t>
      </w:r>
    </w:p>
  </w:footnote>
  <w:footnote w:id="567">
    <w:p w14:paraId="35D2D810" w14:textId="77777777" w:rsidR="00E70935" w:rsidRPr="00FE50A6" w:rsidRDefault="00E70935" w:rsidP="00CD003F">
      <w:pPr>
        <w:widowControl w:val="0"/>
        <w:tabs>
          <w:tab w:val="left" w:pos="709"/>
        </w:tabs>
        <w:autoSpaceDE w:val="0"/>
        <w:autoSpaceDN w:val="0"/>
        <w:adjustRightInd w:val="0"/>
        <w:spacing w:after="80"/>
        <w:jc w:val="both"/>
        <w:rPr>
          <w:rFonts w:cs="Times"/>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Times New Roman"/>
          <w:sz w:val="16"/>
          <w:szCs w:val="16"/>
          <w:lang w:val="en-US"/>
        </w:rPr>
        <w:t xml:space="preserve">The Special Rapporteur </w:t>
      </w:r>
      <w:r w:rsidRPr="00FE50A6">
        <w:rPr>
          <w:rFonts w:eastAsia="Cambria" w:cs="Times New Roman"/>
          <w:sz w:val="16"/>
          <w:szCs w:val="16"/>
          <w:lang w:val="en-US"/>
        </w:rPr>
        <w:t>on trafficking in persons, especially women and children</w:t>
      </w:r>
      <w:r w:rsidRPr="00FE50A6">
        <w:rPr>
          <w:rFonts w:cs="Times New Roman"/>
          <w:sz w:val="16"/>
          <w:szCs w:val="16"/>
          <w:lang w:val="en-US"/>
        </w:rPr>
        <w:t xml:space="preserve"> has indicated that poverty is a significant vulnerability factor in the case of persons victims of trafficking.</w:t>
      </w:r>
      <w:r w:rsidRPr="00FE50A6">
        <w:rPr>
          <w:sz w:val="16"/>
          <w:szCs w:val="16"/>
          <w:lang w:val="en-US"/>
        </w:rPr>
        <w:t xml:space="preserve"> </w:t>
      </w:r>
      <w:r w:rsidRPr="00FE50A6">
        <w:rPr>
          <w:i/>
          <w:sz w:val="16"/>
          <w:szCs w:val="16"/>
          <w:lang w:val="en-US"/>
        </w:rPr>
        <w:t>Cf.</w:t>
      </w:r>
      <w:r w:rsidRPr="00FE50A6">
        <w:rPr>
          <w:sz w:val="16"/>
          <w:szCs w:val="16"/>
          <w:lang w:val="en-US"/>
        </w:rPr>
        <w:t xml:space="preserve"> UN</w:t>
      </w:r>
      <w:r w:rsidRPr="00FE50A6">
        <w:rPr>
          <w:i/>
          <w:sz w:val="16"/>
          <w:szCs w:val="16"/>
          <w:lang w:val="en-US"/>
        </w:rPr>
        <w:t xml:space="preserve">, </w:t>
      </w:r>
      <w:r w:rsidRPr="00FE50A6">
        <w:rPr>
          <w:rFonts w:cs="Times New Roman"/>
          <w:sz w:val="16"/>
          <w:szCs w:val="16"/>
          <w:lang w:val="en-US"/>
        </w:rPr>
        <w:t xml:space="preserve">Special Rapporteur </w:t>
      </w:r>
      <w:r w:rsidRPr="00FE50A6">
        <w:rPr>
          <w:rFonts w:eastAsia="Cambria" w:cs="Times New Roman"/>
          <w:sz w:val="16"/>
          <w:szCs w:val="16"/>
          <w:lang w:val="en-US"/>
        </w:rPr>
        <w:t>on trafficking in persons, especially women and children,</w:t>
      </w:r>
      <w:r w:rsidRPr="00FE50A6">
        <w:rPr>
          <w:rFonts w:cs="Times New Roman"/>
          <w:sz w:val="16"/>
          <w:szCs w:val="16"/>
          <w:lang w:val="en-US"/>
        </w:rPr>
        <w:t xml:space="preserve"> Joy Ngozi Ezeilo, August 6, 2014, A/69/269, para. 12.</w:t>
      </w:r>
    </w:p>
  </w:footnote>
  <w:footnote w:id="568">
    <w:p w14:paraId="74B7AB5C" w14:textId="77777777" w:rsidR="00E70935" w:rsidRPr="00FE50A6" w:rsidRDefault="00E70935" w:rsidP="00CD003F">
      <w:pPr>
        <w:widowControl w:val="0"/>
        <w:tabs>
          <w:tab w:val="left" w:pos="709"/>
        </w:tabs>
        <w:autoSpaceDE w:val="0"/>
        <w:autoSpaceDN w:val="0"/>
        <w:adjustRightInd w:val="0"/>
        <w:spacing w:after="80"/>
        <w:jc w:val="both"/>
        <w:rPr>
          <w:rFonts w:cs="Times New Roman"/>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In the case of the independent expert on the right to water, she has asserted that “States must realize their human rights obligations related to sanitation in a non-discriminatory manner. They are obliged to pay special attention to groups particularly vulnerable to exclusion and discrimination in relation to sanitation, </w:t>
      </w:r>
      <w:r w:rsidRPr="00FE50A6">
        <w:rPr>
          <w:sz w:val="16"/>
          <w:szCs w:val="16"/>
          <w:u w:val="single"/>
          <w:lang w:val="en-US"/>
        </w:rPr>
        <w:t>including people living in poverty</w:t>
      </w:r>
      <w:r w:rsidRPr="00FE50A6">
        <w:rPr>
          <w:sz w:val="16"/>
          <w:szCs w:val="16"/>
          <w:lang w:val="en-US"/>
        </w:rPr>
        <w:t xml:space="preserve"> […]. Priority should be given to meeting the needs of these groups and, where necessary, positive measures should be adopted to redress existing discrimination and to ensure their access to sanitation. States are obliged to eliminate both </w:t>
      </w:r>
      <w:r w:rsidRPr="00FE50A6">
        <w:rPr>
          <w:i/>
          <w:sz w:val="16"/>
          <w:szCs w:val="16"/>
          <w:lang w:val="en-US"/>
        </w:rPr>
        <w:t xml:space="preserve">de jure </w:t>
      </w:r>
      <w:r w:rsidRPr="00FE50A6">
        <w:rPr>
          <w:sz w:val="16"/>
          <w:szCs w:val="16"/>
          <w:lang w:val="en-US"/>
        </w:rPr>
        <w:t>and</w:t>
      </w:r>
      <w:r w:rsidRPr="00FE50A6">
        <w:rPr>
          <w:i/>
          <w:sz w:val="16"/>
          <w:szCs w:val="16"/>
          <w:lang w:val="en-US"/>
        </w:rPr>
        <w:t xml:space="preserve"> de facto</w:t>
      </w:r>
      <w:r w:rsidRPr="00FE50A6">
        <w:rPr>
          <w:sz w:val="16"/>
          <w:szCs w:val="16"/>
          <w:lang w:val="en-US"/>
        </w:rPr>
        <w:t xml:space="preserve"> discrimination on [different] grounds.” </w:t>
      </w:r>
      <w:r w:rsidRPr="00FE50A6">
        <w:rPr>
          <w:i/>
          <w:sz w:val="16"/>
          <w:szCs w:val="16"/>
          <w:lang w:val="en-US"/>
        </w:rPr>
        <w:t xml:space="preserve">Cf. UN, Human Rights Council, Report of the independent expert on the issue of human rights obligations related to access to safe drinking water and sanitation, </w:t>
      </w:r>
      <w:r w:rsidRPr="00FE50A6">
        <w:rPr>
          <w:sz w:val="16"/>
          <w:szCs w:val="16"/>
          <w:lang w:val="en-US"/>
        </w:rPr>
        <w:t xml:space="preserve">Catarina Albuquerque, July 1, 2009, </w:t>
      </w:r>
      <w:r w:rsidRPr="00FE50A6">
        <w:rPr>
          <w:rFonts w:cs="Times"/>
          <w:sz w:val="16"/>
          <w:szCs w:val="16"/>
          <w:lang w:val="en-US"/>
        </w:rPr>
        <w:t xml:space="preserve">A/HRC/12/24, para. 65. </w:t>
      </w:r>
    </w:p>
  </w:footnote>
  <w:footnote w:id="569">
    <w:p w14:paraId="4535E88D"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Times New Roman"/>
        </w:rPr>
        <w:t>The Special Rapporteur on the situation of human rights defenders has reported on the “extraordinary risks faced by those defending the rights of local communities, including indigenous peoples, minorities, and people living in poverty</w:t>
      </w:r>
      <w:r w:rsidRPr="00FE50A6">
        <w:rPr>
          <w:rFonts w:cs="Times New Roman"/>
          <w:i/>
        </w:rPr>
        <w:t xml:space="preserve">.” </w:t>
      </w:r>
      <w:r w:rsidRPr="00FE50A6">
        <w:t>UN,</w:t>
      </w:r>
      <w:r w:rsidRPr="00FE50A6">
        <w:rPr>
          <w:i/>
        </w:rPr>
        <w:t xml:space="preserve"> Report of the Special Rapporteur on the situation of human rights defenders, Margaret Sekkagya</w:t>
      </w:r>
      <w:r w:rsidRPr="00FE50A6">
        <w:t>, August 5, 2013, A/68/262, para. 15.</w:t>
      </w:r>
    </w:p>
  </w:footnote>
  <w:footnote w:id="570">
    <w:p w14:paraId="40273414"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Times New Roman"/>
        </w:rPr>
        <w:t xml:space="preserve">The Special Rapporteur on the right to education has stated that </w:t>
      </w:r>
      <w:r w:rsidRPr="00FE50A6">
        <w:t>specific resources must be ensured to address the root causes of the exclusion from education of girls, those living in poverty or with disabilities, ethnic and linguistic minorities, migrants, and other marginalized and disadvantaged groups</w:t>
      </w:r>
      <w:r w:rsidRPr="00FE50A6">
        <w:rPr>
          <w:rFonts w:cs="Times New Roman"/>
        </w:rPr>
        <w:t>.</w:t>
      </w:r>
      <w:r w:rsidRPr="00FE50A6">
        <w:t xml:space="preserve"> UN, </w:t>
      </w:r>
      <w:r w:rsidRPr="00FE50A6">
        <w:rPr>
          <w:i/>
        </w:rPr>
        <w:t xml:space="preserve">Report of the Special Rapporteur on the right to education, </w:t>
      </w:r>
      <w:r w:rsidRPr="00FE50A6">
        <w:t xml:space="preserve">Kishore Singh, August 5, 2011, A/66/269, para. 47. </w:t>
      </w:r>
    </w:p>
  </w:footnote>
  <w:footnote w:id="571">
    <w:p w14:paraId="3B05A85A" w14:textId="77777777" w:rsidR="00E70935" w:rsidRPr="00FE50A6" w:rsidRDefault="00E70935" w:rsidP="00CD003F">
      <w:pPr>
        <w:widowControl w:val="0"/>
        <w:tabs>
          <w:tab w:val="left" w:pos="709"/>
        </w:tabs>
        <w:autoSpaceDE w:val="0"/>
        <w:autoSpaceDN w:val="0"/>
        <w:adjustRightInd w:val="0"/>
        <w:spacing w:after="80"/>
        <w:jc w:val="both"/>
        <w:rPr>
          <w:rFonts w:cs="Times New Roman"/>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Times New Roman"/>
          <w:sz w:val="16"/>
          <w:szCs w:val="16"/>
          <w:lang w:val="en-US"/>
        </w:rPr>
        <w:t xml:space="preserve">The Special Rapporteur </w:t>
      </w:r>
      <w:r w:rsidRPr="00FE50A6">
        <w:rPr>
          <w:sz w:val="16"/>
          <w:szCs w:val="16"/>
          <w:lang w:val="en-US"/>
        </w:rPr>
        <w:t>on</w:t>
      </w:r>
      <w:r w:rsidRPr="00FE50A6">
        <w:rPr>
          <w:rFonts w:cs="Arial"/>
          <w:sz w:val="16"/>
          <w:szCs w:val="16"/>
          <w:lang w:val="en-US"/>
        </w:rPr>
        <w:t xml:space="preserve"> the issue of human rights obligations relating to the enjoyment of a safe, clean, healthy and sustainable environment has indicated that, “as the Human Rights Council has recognized, the worst effects of climate change are felt by those who are already vulnerable because of factors such as geography, poverty, gender, age, indigenous or minority status, national or social origin, birth or other status and disability.”</w:t>
      </w:r>
      <w:r w:rsidRPr="00FE50A6">
        <w:rPr>
          <w:rFonts w:cs="Times New Roman"/>
          <w:sz w:val="16"/>
          <w:szCs w:val="16"/>
          <w:lang w:val="en-US"/>
        </w:rPr>
        <w:t xml:space="preserve"> </w:t>
      </w:r>
      <w:r w:rsidRPr="00FE50A6">
        <w:rPr>
          <w:sz w:val="16"/>
          <w:szCs w:val="16"/>
          <w:lang w:val="en-US"/>
        </w:rPr>
        <w:t xml:space="preserve">UN, </w:t>
      </w:r>
      <w:r w:rsidRPr="00FE50A6">
        <w:rPr>
          <w:i/>
          <w:sz w:val="16"/>
          <w:szCs w:val="16"/>
          <w:lang w:val="en-US"/>
        </w:rPr>
        <w:t>Report of the Special Rapporteur on</w:t>
      </w:r>
      <w:r w:rsidRPr="00FE50A6">
        <w:rPr>
          <w:rFonts w:cs="Arial"/>
          <w:sz w:val="16"/>
          <w:szCs w:val="16"/>
          <w:lang w:val="en-US"/>
        </w:rPr>
        <w:t xml:space="preserve"> the issue of human rights obligations relating to the enjoyment of a safe, clean, healthy and sustainable environment,</w:t>
      </w:r>
      <w:r w:rsidRPr="00FE50A6">
        <w:rPr>
          <w:rFonts w:cs="Times New Roman"/>
          <w:i/>
          <w:sz w:val="16"/>
          <w:szCs w:val="16"/>
          <w:lang w:val="en-US"/>
        </w:rPr>
        <w:t xml:space="preserve"> </w:t>
      </w:r>
      <w:r w:rsidRPr="00FE50A6">
        <w:rPr>
          <w:rFonts w:cs="Times New Roman"/>
          <w:sz w:val="16"/>
          <w:szCs w:val="16"/>
          <w:lang w:val="en-US"/>
        </w:rPr>
        <w:t>John H. Knox</w:t>
      </w:r>
      <w:r w:rsidRPr="00FE50A6">
        <w:rPr>
          <w:sz w:val="16"/>
          <w:szCs w:val="16"/>
          <w:lang w:val="en-US"/>
        </w:rPr>
        <w:t>, February 1, 2016.</w:t>
      </w:r>
      <w:r w:rsidRPr="00FE50A6">
        <w:rPr>
          <w:rFonts w:cs="Times New Roman"/>
          <w:sz w:val="16"/>
          <w:szCs w:val="16"/>
          <w:lang w:val="en-US"/>
        </w:rPr>
        <w:t xml:space="preserve"> A/HRC/31/52</w:t>
      </w:r>
      <w:r w:rsidRPr="00FE50A6">
        <w:rPr>
          <w:sz w:val="16"/>
          <w:szCs w:val="16"/>
          <w:lang w:val="en-US"/>
        </w:rPr>
        <w:t>, para. 27.</w:t>
      </w:r>
    </w:p>
  </w:footnote>
  <w:footnote w:id="572">
    <w:p w14:paraId="63184A4D"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rPr>
          <w:rFonts w:cs="Times New Roman"/>
        </w:rPr>
        <w:tab/>
      </w:r>
      <w:r w:rsidRPr="00FE50A6">
        <w:rPr>
          <w:rFonts w:cs="Times New Roman"/>
        </w:rPr>
        <w:tab/>
        <w:t xml:space="preserve">The Special Rapporteur on </w:t>
      </w:r>
      <w:r w:rsidRPr="00FE50A6">
        <w:rPr>
          <w:rFonts w:cs="Arial"/>
        </w:rPr>
        <w:t>adequate housing as a component of the right to an adequate standard of living</w:t>
      </w:r>
      <w:r w:rsidRPr="00FE50A6">
        <w:rPr>
          <w:rFonts w:cs="Times New Roman"/>
        </w:rPr>
        <w:t xml:space="preserve"> has indicated that </w:t>
      </w:r>
      <w:r w:rsidRPr="00FE50A6">
        <w:rPr>
          <w:rFonts w:cs="Arial"/>
        </w:rPr>
        <w:t>“inequality in access to land and property, affecting marginalized groups including women, migrants and all those living in poverty, has become embedded in housing inequality and spatial segregation, dividing cities between those who own land and property and have access to basic services and infrastructure and those who do not</w:t>
      </w:r>
      <w:r w:rsidRPr="00FE50A6">
        <w:rPr>
          <w:rFonts w:cs="Times New Roman"/>
        </w:rPr>
        <w:t xml:space="preserve">.” </w:t>
      </w:r>
      <w:r w:rsidRPr="00FE50A6">
        <w:rPr>
          <w:i/>
        </w:rPr>
        <w:t>UN, Report of the Special Rapporteur o</w:t>
      </w:r>
      <w:r w:rsidRPr="00FE50A6">
        <w:rPr>
          <w:rFonts w:cs="Arial"/>
        </w:rPr>
        <w:t xml:space="preserve">n </w:t>
      </w:r>
      <w:r w:rsidRPr="00FE50A6">
        <w:rPr>
          <w:rFonts w:cs="Arial"/>
          <w:i/>
        </w:rPr>
        <w:t>adequate housing as a component of the right to an adequate standard of living, and on the right to non-discrimination in this context</w:t>
      </w:r>
      <w:r w:rsidRPr="00FE50A6">
        <w:t>, Leilani Farha, August 2, 2015, A/70/270, para. 54</w:t>
      </w:r>
    </w:p>
  </w:footnote>
  <w:footnote w:id="573">
    <w:p w14:paraId="35E7625C"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Times New Roman"/>
        </w:rPr>
        <w:t xml:space="preserve"> </w:t>
      </w:r>
      <w:r w:rsidRPr="00FE50A6">
        <w:rPr>
          <w:rFonts w:cs="Times New Roman"/>
        </w:rPr>
        <w:tab/>
        <w:t xml:space="preserve"> The Special Rapporteur on the right to food has considered that, for example, </w:t>
      </w:r>
      <w:r w:rsidRPr="00FE50A6">
        <w:t>“[a]gricultural workers are in a particularly vulnerable position, 60 per cent of them living in poverty in many countries.”</w:t>
      </w:r>
      <w:r w:rsidRPr="00FE50A6">
        <w:rPr>
          <w:rFonts w:cs="Times New Roman"/>
        </w:rPr>
        <w:t xml:space="preserve"> </w:t>
      </w:r>
      <w:r w:rsidRPr="00FE50A6">
        <w:rPr>
          <w:i/>
        </w:rPr>
        <w:t xml:space="preserve">UN, Report of </w:t>
      </w:r>
      <w:r w:rsidRPr="00FE50A6">
        <w:rPr>
          <w:rFonts w:cs="Times New Roman"/>
        </w:rPr>
        <w:t xml:space="preserve">the </w:t>
      </w:r>
      <w:r w:rsidRPr="00FE50A6">
        <w:rPr>
          <w:rFonts w:cs="Times New Roman"/>
          <w:i/>
        </w:rPr>
        <w:t>Special Rapporteur on the right to food</w:t>
      </w:r>
      <w:r w:rsidRPr="00FE50A6">
        <w:rPr>
          <w:rFonts w:cs="Times New Roman"/>
        </w:rPr>
        <w:t xml:space="preserve">, Olivier De Schutter, September 8, 2008, A/HRC/9/23, para. </w:t>
      </w:r>
      <w:r w:rsidRPr="00FE50A6">
        <w:t xml:space="preserve">16. </w:t>
      </w:r>
    </w:p>
  </w:footnote>
  <w:footnote w:id="574">
    <w:p w14:paraId="08B53CF7"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rPr>
          <w:rFonts w:cs="Times New Roman"/>
        </w:rPr>
        <w:t xml:space="preserve"> </w:t>
      </w:r>
      <w:r w:rsidRPr="00FE50A6">
        <w:rPr>
          <w:rFonts w:cs="Times New Roman"/>
        </w:rPr>
        <w:tab/>
      </w:r>
      <w:r w:rsidRPr="00FE50A6">
        <w:rPr>
          <w:rFonts w:cs="Verdana"/>
          <w:bCs/>
        </w:rPr>
        <w:t xml:space="preserve">I/A Court HR. </w:t>
      </w:r>
      <w:r w:rsidRPr="00FE50A6">
        <w:rPr>
          <w:rFonts w:cs="Verdana"/>
          <w:bCs/>
          <w:i/>
        </w:rPr>
        <w:t>Case of the “</w:t>
      </w:r>
      <w:r w:rsidRPr="00FE50A6">
        <w:rPr>
          <w:rFonts w:eastAsia="Cambria" w:cs="Times New Roman"/>
          <w:i/>
          <w:szCs w:val="20"/>
        </w:rPr>
        <w:t>Juvenile Re-education Institute</w:t>
      </w:r>
      <w:r w:rsidRPr="00FE50A6">
        <w:rPr>
          <w:rFonts w:cs="Verdana"/>
          <w:bCs/>
          <w:i/>
        </w:rPr>
        <w:t>” v. Paraguay. Preliminary objections, merits, reparations and costs</w:t>
      </w:r>
      <w:r w:rsidRPr="00FE50A6">
        <w:rPr>
          <w:rFonts w:cs="Verdana"/>
          <w:bCs/>
        </w:rPr>
        <w:t>. Judgment of September 2, 2004. Series C No. 112, para. 262.</w:t>
      </w:r>
    </w:p>
  </w:footnote>
  <w:footnote w:id="575">
    <w:p w14:paraId="2BF08588"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rPr>
        <w:t>Case of the Moiwana Community v. Suriname. Preliminary objections, merits, reparations and costs.</w:t>
      </w:r>
      <w:r w:rsidRPr="00FE50A6">
        <w:rPr>
          <w:rFonts w:cs="Verdana"/>
          <w:bCs/>
        </w:rPr>
        <w:t xml:space="preserve"> Judgment of June 15, 2005. Series C No. 124, para. </w:t>
      </w:r>
      <w:r w:rsidRPr="00FE50A6">
        <w:rPr>
          <w:rFonts w:cs="Times New Roman"/>
        </w:rPr>
        <w:t xml:space="preserve">186. </w:t>
      </w:r>
    </w:p>
  </w:footnote>
  <w:footnote w:id="576">
    <w:p w14:paraId="453F75EB" w14:textId="77777777" w:rsidR="00E70935" w:rsidRPr="00FE50A6" w:rsidRDefault="00E70935" w:rsidP="00CD003F">
      <w:pPr>
        <w:pStyle w:val="Prrafodelista"/>
        <w:tabs>
          <w:tab w:val="left" w:pos="709"/>
        </w:tabs>
        <w:spacing w:after="80"/>
        <w:ind w:left="0"/>
        <w:rPr>
          <w:rFonts w:cs="Times New Roman"/>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 xml:space="preserve">I/A Court HR. </w:t>
      </w:r>
      <w:r w:rsidRPr="00FE50A6">
        <w:rPr>
          <w:rFonts w:cs="Verdana"/>
          <w:bCs/>
          <w:i/>
          <w:sz w:val="16"/>
          <w:szCs w:val="16"/>
        </w:rPr>
        <w:t>Case of Servellón García et al. v. Honduras</w:t>
      </w:r>
      <w:r w:rsidRPr="00FE50A6">
        <w:rPr>
          <w:rFonts w:cs="Verdana"/>
          <w:bCs/>
          <w:sz w:val="16"/>
          <w:szCs w:val="16"/>
        </w:rPr>
        <w:t xml:space="preserve">. </w:t>
      </w:r>
      <w:r w:rsidRPr="00FE50A6">
        <w:rPr>
          <w:rFonts w:cs="Verdana"/>
          <w:bCs/>
          <w:sz w:val="16"/>
          <w:szCs w:val="16"/>
          <w:lang w:val="en-US"/>
        </w:rPr>
        <w:t>Judgment of September 21, 2006. Series C No. 152, para.</w:t>
      </w:r>
      <w:r w:rsidRPr="00FE50A6">
        <w:rPr>
          <w:rFonts w:cs="Times New Roman"/>
          <w:sz w:val="16"/>
          <w:szCs w:val="16"/>
          <w:lang w:val="en-US"/>
        </w:rPr>
        <w:t xml:space="preserve"> 116. </w:t>
      </w:r>
    </w:p>
  </w:footnote>
  <w:footnote w:id="577">
    <w:p w14:paraId="2E9B8519"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tab/>
      </w:r>
      <w:r w:rsidRPr="00FE50A6">
        <w:rPr>
          <w:rFonts w:cs="Verdana"/>
          <w:bCs/>
        </w:rPr>
        <w:t xml:space="preserve">I/A Court HR. </w:t>
      </w:r>
      <w:r w:rsidRPr="00FE50A6">
        <w:t xml:space="preserve">Opinion of Judge </w:t>
      </w:r>
      <w:r w:rsidRPr="00FE50A6">
        <w:rPr>
          <w:i/>
        </w:rPr>
        <w:t xml:space="preserve">Ad Hoc </w:t>
      </w:r>
      <w:r w:rsidRPr="00FE50A6">
        <w:t xml:space="preserve">Ramón Foguel Pedroso in the </w:t>
      </w:r>
      <w:r w:rsidRPr="00FE50A6">
        <w:rPr>
          <w:rFonts w:cs="Verdana"/>
          <w:bCs/>
          <w:i/>
        </w:rPr>
        <w:t>Case of the Yakye Axa Indigenous Community v. Paraguay. Merits, reparations and costs</w:t>
      </w:r>
      <w:r w:rsidRPr="00FE50A6">
        <w:rPr>
          <w:rFonts w:cs="Verdana"/>
          <w:bCs/>
        </w:rPr>
        <w:t xml:space="preserve">. Judgment of June 17, 2005. Series C No. 125, </w:t>
      </w:r>
      <w:r w:rsidRPr="00FE50A6">
        <w:rPr>
          <w:rFonts w:cs="Times New Roman"/>
        </w:rPr>
        <w:t>para. 28.</w:t>
      </w:r>
    </w:p>
  </w:footnote>
  <w:footnote w:id="578">
    <w:p w14:paraId="1F4DE9EC"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Verdana"/>
          <w:bCs/>
        </w:rPr>
        <w:t xml:space="preserve">I/A Court HR. </w:t>
      </w:r>
      <w:r w:rsidRPr="00FE50A6">
        <w:t xml:space="preserve">Opinion of Judge </w:t>
      </w:r>
      <w:r w:rsidRPr="00FE50A6">
        <w:rPr>
          <w:i/>
        </w:rPr>
        <w:t xml:space="preserve">Ad Hoc </w:t>
      </w:r>
      <w:r w:rsidRPr="00FE50A6">
        <w:t xml:space="preserve">Ramón Foguel Pedroso in the </w:t>
      </w:r>
      <w:r w:rsidRPr="00FE50A6">
        <w:rPr>
          <w:rFonts w:cs="Verdana"/>
          <w:bCs/>
          <w:i/>
        </w:rPr>
        <w:t>Case of the Yakye Axa Indigenous Community v. Paraguay. Merits, reparations and costs</w:t>
      </w:r>
      <w:r w:rsidRPr="00FE50A6">
        <w:rPr>
          <w:rFonts w:cs="Verdana"/>
          <w:bCs/>
        </w:rPr>
        <w:t xml:space="preserve">. Judgment of June 17, 2005. Series C No. 125, </w:t>
      </w:r>
      <w:r w:rsidRPr="00FE50A6">
        <w:rPr>
          <w:rFonts w:cs="Times New Roman"/>
        </w:rPr>
        <w:t xml:space="preserve">para. 32. </w:t>
      </w:r>
    </w:p>
    <w:p w14:paraId="0B13D469" w14:textId="77777777" w:rsidR="00E70935" w:rsidRPr="00FE50A6" w:rsidRDefault="00E70935" w:rsidP="00CD003F">
      <w:pPr>
        <w:pStyle w:val="Textonotapie"/>
        <w:tabs>
          <w:tab w:val="left" w:pos="709"/>
        </w:tabs>
        <w:spacing w:after="80"/>
      </w:pPr>
    </w:p>
  </w:footnote>
  <w:footnote w:id="579">
    <w:p w14:paraId="12C8732C"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ab/>
        <w:t>I/A Court HR.</w:t>
      </w:r>
      <w:r w:rsidRPr="00FE50A6">
        <w:rPr>
          <w:rFonts w:cs="Verdana"/>
          <w:bCs/>
        </w:rPr>
        <w:t xml:space="preserve"> </w:t>
      </w:r>
      <w:r w:rsidRPr="00FE50A6">
        <w:t xml:space="preserve">Opinion of Judge </w:t>
      </w:r>
      <w:r w:rsidRPr="00FE50A6">
        <w:rPr>
          <w:i/>
        </w:rPr>
        <w:t xml:space="preserve">Ad Hoc </w:t>
      </w:r>
      <w:r w:rsidRPr="00FE50A6">
        <w:t xml:space="preserve">Ramón Foguel Pedroso in the </w:t>
      </w:r>
      <w:r w:rsidRPr="00FE50A6">
        <w:rPr>
          <w:rFonts w:cs="Verdana"/>
          <w:bCs/>
          <w:i/>
        </w:rPr>
        <w:t>Case of the Yakye Axa Indigenous Community v. Paraguay. Merits, reparations and costs</w:t>
      </w:r>
      <w:r w:rsidRPr="00FE50A6">
        <w:rPr>
          <w:rFonts w:cs="Verdana"/>
          <w:bCs/>
        </w:rPr>
        <w:t xml:space="preserve">. Judgment of June 17, 2005. Series C No. 125, </w:t>
      </w:r>
      <w:r w:rsidRPr="00FE50A6">
        <w:rPr>
          <w:rFonts w:cs="Times New Roman"/>
        </w:rPr>
        <w:t>para. 33.</w:t>
      </w:r>
    </w:p>
  </w:footnote>
  <w:footnote w:id="580">
    <w:p w14:paraId="2EF72D36"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Verdana"/>
          <w:bCs/>
        </w:rPr>
        <w:t xml:space="preserve">I/A Court HR. </w:t>
      </w:r>
      <w:r w:rsidRPr="00FE50A6">
        <w:t xml:space="preserve">Opinion of Judge </w:t>
      </w:r>
      <w:r w:rsidRPr="00FE50A6">
        <w:rPr>
          <w:i/>
        </w:rPr>
        <w:t xml:space="preserve">Ad Hoc </w:t>
      </w:r>
      <w:r w:rsidRPr="00FE50A6">
        <w:t xml:space="preserve">Ramón Foguel Pedroso in the </w:t>
      </w:r>
      <w:r w:rsidRPr="00FE50A6">
        <w:rPr>
          <w:rFonts w:cs="Verdana"/>
          <w:bCs/>
          <w:i/>
        </w:rPr>
        <w:t>Case of the Yakye Axa Indigenous Community v. Paraguay. Merits, reparations and costs</w:t>
      </w:r>
      <w:r w:rsidRPr="00FE50A6">
        <w:rPr>
          <w:rFonts w:cs="Verdana"/>
          <w:bCs/>
        </w:rPr>
        <w:t xml:space="preserve">. Judgment of June 17, 2005. Series C No. 125, </w:t>
      </w:r>
      <w:r w:rsidRPr="00FE50A6">
        <w:rPr>
          <w:rFonts w:cs="Times New Roman"/>
        </w:rPr>
        <w:t>para. 36.</w:t>
      </w:r>
    </w:p>
  </w:footnote>
  <w:footnote w:id="581">
    <w:p w14:paraId="5B8E3C5E" w14:textId="77777777" w:rsidR="00E70935" w:rsidRPr="00FE50A6" w:rsidRDefault="00E70935" w:rsidP="00CD003F">
      <w:pPr>
        <w:pStyle w:val="Textonotapie"/>
        <w:tabs>
          <w:tab w:val="left" w:pos="709"/>
        </w:tabs>
        <w:spacing w:after="80"/>
        <w:rPr>
          <w:rFonts w:cs="Times New Roman"/>
          <w:b/>
        </w:rPr>
      </w:pPr>
      <w:r w:rsidRPr="00FE50A6">
        <w:rPr>
          <w:rStyle w:val="Refdenotaalpie"/>
        </w:rPr>
        <w:footnoteRef/>
      </w:r>
      <w:r w:rsidRPr="00FE50A6">
        <w:rPr>
          <w:i/>
        </w:rPr>
        <w:t xml:space="preserve"> </w:t>
      </w:r>
      <w:r w:rsidRPr="00FE50A6">
        <w:rPr>
          <w:i/>
        </w:rPr>
        <w:tab/>
      </w:r>
      <w:r w:rsidRPr="00FE50A6">
        <w:rPr>
          <w:rFonts w:cs="Times New Roman"/>
          <w:i/>
        </w:rPr>
        <w:t xml:space="preserve">Cf. </w:t>
      </w:r>
      <w:r w:rsidRPr="00FE50A6">
        <w:rPr>
          <w:rFonts w:cs="Verdana"/>
          <w:bCs/>
        </w:rPr>
        <w:t xml:space="preserve">I/A Court HR. </w:t>
      </w:r>
      <w:r w:rsidRPr="00FE50A6">
        <w:rPr>
          <w:rFonts w:cs="Verdana"/>
          <w:bCs/>
          <w:i/>
        </w:rPr>
        <w:t>Case of the “Mapiripán Massacre” v. Colombia</w:t>
      </w:r>
      <w:r w:rsidRPr="00FE50A6">
        <w:rPr>
          <w:rFonts w:cs="Verdana"/>
          <w:bCs/>
        </w:rPr>
        <w:t>. Judgment of September 15, 2005. Series C No. 134, para. 180.</w:t>
      </w:r>
    </w:p>
  </w:footnote>
  <w:footnote w:id="582">
    <w:p w14:paraId="7AAED47C"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Times New Roman"/>
        </w:rPr>
        <w:t xml:space="preserve"> </w:t>
      </w:r>
      <w:r w:rsidRPr="00FE50A6">
        <w:rPr>
          <w:rFonts w:cs="Times New Roman"/>
        </w:rPr>
        <w:tab/>
      </w:r>
      <w:r w:rsidRPr="00FE50A6">
        <w:rPr>
          <w:rFonts w:cs="Verdana"/>
          <w:bCs/>
        </w:rPr>
        <w:t xml:space="preserve">I/A Court HR. </w:t>
      </w:r>
      <w:r w:rsidRPr="00FE50A6">
        <w:rPr>
          <w:rFonts w:cs="Verdana"/>
          <w:bCs/>
          <w:i/>
        </w:rPr>
        <w:t>Case of the Sawhoyamaxa Indigenous Community v. Paraguay. Merits, reparations and costs.</w:t>
      </w:r>
      <w:r w:rsidRPr="00FE50A6">
        <w:rPr>
          <w:rFonts w:cs="Verdana"/>
          <w:bCs/>
        </w:rPr>
        <w:t xml:space="preserve"> Judgment of March 29, 2006. Series C No. 146, para.</w:t>
      </w:r>
      <w:r w:rsidRPr="00FE50A6">
        <w:rPr>
          <w:rFonts w:cs="Times New Roman"/>
        </w:rPr>
        <w:t xml:space="preserve"> 154. </w:t>
      </w:r>
      <w:r w:rsidRPr="00FE50A6">
        <w:t xml:space="preserve"> </w:t>
      </w:r>
    </w:p>
  </w:footnote>
  <w:footnote w:id="583">
    <w:p w14:paraId="201AA04B"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Verdana"/>
          <w:bCs/>
        </w:rPr>
        <w:t xml:space="preserve"> </w:t>
      </w:r>
      <w:r w:rsidRPr="00FE50A6">
        <w:rPr>
          <w:rFonts w:cs="Verdana"/>
          <w:bCs/>
        </w:rPr>
        <w:tab/>
      </w:r>
      <w:r w:rsidRPr="00FE50A6">
        <w:rPr>
          <w:rFonts w:cs="Verdana"/>
          <w:bCs/>
          <w:spacing w:val="-2"/>
        </w:rPr>
        <w:t>I/A Court HR.</w:t>
      </w:r>
      <w:r w:rsidRPr="00FE50A6">
        <w:rPr>
          <w:rFonts w:cs="Verdana"/>
          <w:bCs/>
        </w:rPr>
        <w:t xml:space="preserve"> </w:t>
      </w:r>
      <w:r w:rsidRPr="00FE50A6">
        <w:rPr>
          <w:rFonts w:cs="Verdana"/>
          <w:bCs/>
          <w:i/>
        </w:rPr>
        <w:t>Case of Ximenes Lopes v. Brazil. Merits, reparations and costs</w:t>
      </w:r>
      <w:r w:rsidRPr="00FE50A6">
        <w:rPr>
          <w:rFonts w:cs="Verdana"/>
          <w:bCs/>
        </w:rPr>
        <w:t xml:space="preserve">. </w:t>
      </w:r>
      <w:r w:rsidRPr="00FE50A6">
        <w:rPr>
          <w:rFonts w:cs="Verdana"/>
          <w:bCs/>
          <w:spacing w:val="-2"/>
        </w:rPr>
        <w:t>Judgment of July 4, 2006. Series C No. 149, para.</w:t>
      </w:r>
      <w:r w:rsidRPr="00FE50A6">
        <w:rPr>
          <w:rFonts w:cs="Times New Roman"/>
          <w:spacing w:val="-2"/>
        </w:rPr>
        <w:t xml:space="preserve"> 104.</w:t>
      </w:r>
    </w:p>
  </w:footnote>
  <w:footnote w:id="584">
    <w:p w14:paraId="388431D7"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rPr>
        <w:t>Case of the Xákmok Kásek Indigenous Community v. Paraguay. Merits, reparations and costs.</w:t>
      </w:r>
      <w:r w:rsidRPr="00FE50A6">
        <w:rPr>
          <w:rFonts w:cs="Verdana"/>
          <w:bCs/>
        </w:rPr>
        <w:t xml:space="preserve"> Judgment of August 24, 2010. Series C No. 214, para. </w:t>
      </w:r>
      <w:r w:rsidRPr="00FE50A6">
        <w:rPr>
          <w:rFonts w:cs="Times New Roman"/>
        </w:rPr>
        <w:t xml:space="preserve">233. </w:t>
      </w:r>
    </w:p>
  </w:footnote>
  <w:footnote w:id="585">
    <w:p w14:paraId="4278E1B8"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Verdana"/>
          <w:bCs/>
        </w:rPr>
        <w:tab/>
        <w:t>I/A Court HR.</w:t>
      </w:r>
      <w:r w:rsidRPr="00FE50A6">
        <w:rPr>
          <w:rFonts w:cs="Verdana"/>
          <w:bCs/>
          <w:i/>
        </w:rPr>
        <w:t xml:space="preserve"> Case of Rosendo Cantú et al. v. Mexico. Preliminary objection, merits, reparations and costs</w:t>
      </w:r>
      <w:r w:rsidRPr="00FE50A6">
        <w:rPr>
          <w:rFonts w:cs="Verdana"/>
          <w:bCs/>
        </w:rPr>
        <w:t xml:space="preserve">. Judgment of August 31, 2010. Series C No. 216, para. </w:t>
      </w:r>
      <w:r w:rsidRPr="00FE50A6">
        <w:rPr>
          <w:rFonts w:cs="Times New Roman"/>
        </w:rPr>
        <w:t xml:space="preserve">201. </w:t>
      </w:r>
    </w:p>
  </w:footnote>
  <w:footnote w:id="586">
    <w:p w14:paraId="327816CD"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Times New Roman"/>
        </w:rPr>
        <w:t xml:space="preserve"> </w:t>
      </w:r>
      <w:r w:rsidRPr="00FE50A6">
        <w:rPr>
          <w:rFonts w:cs="Times New Roman"/>
        </w:rPr>
        <w:tab/>
        <w:t xml:space="preserve">I/A Court HR. </w:t>
      </w:r>
      <w:r w:rsidRPr="00FE50A6">
        <w:rPr>
          <w:rFonts w:cs="Verdana"/>
          <w:bCs/>
        </w:rPr>
        <w:t>Case of</w:t>
      </w:r>
      <w:r w:rsidRPr="00FE50A6">
        <w:rPr>
          <w:rFonts w:cs="Verdana"/>
          <w:bCs/>
          <w:i/>
        </w:rPr>
        <w:t xml:space="preserve"> Furlan and family v. Argentina. Preliminary objections, merits, reparations and costs.</w:t>
      </w:r>
      <w:r w:rsidRPr="00FE50A6">
        <w:rPr>
          <w:rFonts w:cs="Verdana"/>
          <w:bCs/>
        </w:rPr>
        <w:t xml:space="preserve"> Judgment of August 31, 2012. Series C No. 246, para.</w:t>
      </w:r>
      <w:r w:rsidRPr="00FE50A6">
        <w:rPr>
          <w:rFonts w:cs="Times New Roman"/>
        </w:rPr>
        <w:t xml:space="preserve"> 201. </w:t>
      </w:r>
    </w:p>
  </w:footnote>
  <w:footnote w:id="587">
    <w:p w14:paraId="440F90D6"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Times New Roman"/>
        </w:rPr>
        <w:t xml:space="preserve">I/A Court HR. </w:t>
      </w:r>
      <w:r w:rsidRPr="00FE50A6">
        <w:rPr>
          <w:rFonts w:cs="Verdana"/>
          <w:bCs/>
          <w:i/>
        </w:rPr>
        <w:t xml:space="preserve">Case of Furlan and family v. Argentina. Preliminary objections, merits, reparations and costs. </w:t>
      </w:r>
      <w:r w:rsidRPr="00FE50A6">
        <w:rPr>
          <w:rFonts w:cs="Verdana"/>
          <w:bCs/>
        </w:rPr>
        <w:t>Judgment of August 31, 2012. Series C No. 246, para.</w:t>
      </w:r>
      <w:r w:rsidRPr="00FE50A6">
        <w:rPr>
          <w:rFonts w:cs="Times New Roman"/>
        </w:rPr>
        <w:t xml:space="preserve"> </w:t>
      </w:r>
      <w:r w:rsidRPr="00FE50A6">
        <w:t>243.</w:t>
      </w:r>
    </w:p>
  </w:footnote>
  <w:footnote w:id="588">
    <w:p w14:paraId="24343DD5"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rPr>
          <w:rFonts w:cs="Times New Roman"/>
        </w:rPr>
        <w:t xml:space="preserve"> </w:t>
      </w:r>
      <w:r w:rsidRPr="00FE50A6">
        <w:rPr>
          <w:rFonts w:cs="Times New Roman"/>
        </w:rPr>
        <w:tab/>
      </w:r>
      <w:r w:rsidRPr="00FE50A6">
        <w:rPr>
          <w:rFonts w:cs="Verdana"/>
          <w:bCs/>
        </w:rPr>
        <w:t xml:space="preserve">I/A Court HR. </w:t>
      </w:r>
      <w:r w:rsidRPr="00FE50A6">
        <w:rPr>
          <w:rFonts w:cs="Verdana"/>
          <w:bCs/>
          <w:i/>
        </w:rPr>
        <w:t>Case of Uzcátegui et al. v. Venezuela. Merits and Reparations</w:t>
      </w:r>
      <w:r w:rsidRPr="00FE50A6">
        <w:rPr>
          <w:rFonts w:cs="Verdana"/>
          <w:bCs/>
        </w:rPr>
        <w:t xml:space="preserve">. Judgment of September 3, 2012. Series C No. 249, para. </w:t>
      </w:r>
      <w:r w:rsidRPr="00FE50A6">
        <w:rPr>
          <w:rFonts w:cs="Times New Roman"/>
        </w:rPr>
        <w:t>204.</w:t>
      </w:r>
    </w:p>
  </w:footnote>
  <w:footnote w:id="589">
    <w:p w14:paraId="0334D0ED"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Times New Roman"/>
          <w:i/>
        </w:rPr>
        <w:t>Cf.</w:t>
      </w:r>
      <w:r w:rsidRPr="00FE50A6">
        <w:rPr>
          <w:rFonts w:cs="Times New Roman"/>
        </w:rPr>
        <w:t xml:space="preserve"> </w:t>
      </w:r>
      <w:r w:rsidRPr="00FE50A6">
        <w:rPr>
          <w:rFonts w:cs="Verdana"/>
          <w:bCs/>
        </w:rPr>
        <w:t xml:space="preserve">I/A Court HR. </w:t>
      </w:r>
      <w:r w:rsidRPr="00FE50A6">
        <w:rPr>
          <w:rFonts w:cs="Verdana"/>
          <w:bCs/>
          <w:i/>
        </w:rPr>
        <w:t>Case of the Santo Domingo Massacre v. Colombia. Preliminary objections, merits and reparations.</w:t>
      </w:r>
      <w:r w:rsidRPr="00FE50A6">
        <w:rPr>
          <w:rFonts w:cs="Verdana"/>
          <w:bCs/>
        </w:rPr>
        <w:t xml:space="preserve"> Judgment of November 30, 2012. Series C No. 259, para.</w:t>
      </w:r>
      <w:r w:rsidRPr="00FE50A6">
        <w:rPr>
          <w:rFonts w:cs="Times New Roman"/>
        </w:rPr>
        <w:t xml:space="preserve"> 273.   </w:t>
      </w:r>
    </w:p>
  </w:footnote>
  <w:footnote w:id="590">
    <w:p w14:paraId="1C3FBE96" w14:textId="77777777" w:rsidR="00E70935" w:rsidRPr="00FE50A6" w:rsidRDefault="00E70935" w:rsidP="00CD003F">
      <w:pPr>
        <w:pStyle w:val="Prrafodelista"/>
        <w:tabs>
          <w:tab w:val="left" w:pos="709"/>
        </w:tabs>
        <w:spacing w:after="80"/>
        <w:ind w:left="0"/>
        <w:rPr>
          <w:rFonts w:cs="Times New Roman"/>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 xml:space="preserve">I/A Court HR. </w:t>
      </w:r>
      <w:r w:rsidRPr="00FE50A6">
        <w:rPr>
          <w:rFonts w:cs="Verdana"/>
          <w:bCs/>
          <w:i/>
          <w:sz w:val="16"/>
          <w:szCs w:val="16"/>
          <w:lang w:val="en-US"/>
        </w:rPr>
        <w:t>Case of the Santo Domingo Massacre v. Colombia. Preliminary objections, merits and reparations.</w:t>
      </w:r>
      <w:r w:rsidRPr="00FE50A6">
        <w:rPr>
          <w:rFonts w:cs="Verdana"/>
          <w:bCs/>
          <w:sz w:val="16"/>
          <w:szCs w:val="16"/>
          <w:lang w:val="en-US"/>
        </w:rPr>
        <w:t xml:space="preserve"> Judgment of November 30, 2012. Series C No. 259, para.</w:t>
      </w:r>
      <w:r w:rsidRPr="00FE50A6">
        <w:rPr>
          <w:rFonts w:cs="Times New Roman"/>
          <w:sz w:val="16"/>
          <w:szCs w:val="16"/>
          <w:lang w:val="en-US"/>
        </w:rPr>
        <w:t xml:space="preserve"> 274.</w:t>
      </w:r>
    </w:p>
  </w:footnote>
  <w:footnote w:id="591">
    <w:p w14:paraId="547F3398"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rPr>
        <w:t>Case of Artavia Murillo et al. (“In vitro fertilization”) v. Costa Rica. Preliminary objections, merits, reparations and costs.</w:t>
      </w:r>
      <w:r w:rsidRPr="00FE50A6">
        <w:rPr>
          <w:rFonts w:cs="Verdana"/>
          <w:bCs/>
        </w:rPr>
        <w:t xml:space="preserve"> </w:t>
      </w:r>
      <w:r w:rsidRPr="00FE50A6">
        <w:rPr>
          <w:rFonts w:cs="Verdana"/>
          <w:bCs/>
          <w:spacing w:val="-2"/>
        </w:rPr>
        <w:t xml:space="preserve">Judgment of November 28, 2012. Series C No. 257, para. </w:t>
      </w:r>
      <w:r w:rsidRPr="00FE50A6">
        <w:rPr>
          <w:spacing w:val="-2"/>
        </w:rPr>
        <w:t>303.</w:t>
      </w:r>
    </w:p>
  </w:footnote>
  <w:footnote w:id="592">
    <w:p w14:paraId="2EEB3A6B"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Verdana"/>
          <w:bCs/>
        </w:rPr>
        <w:t xml:space="preserve">I/A Court HR. </w:t>
      </w:r>
      <w:r w:rsidRPr="00E70935">
        <w:rPr>
          <w:rFonts w:cs="Verdana"/>
          <w:bCs/>
          <w:i/>
        </w:rPr>
        <w:t xml:space="preserve">Case of Artavia Murillo et al. </w:t>
      </w:r>
      <w:r w:rsidRPr="00FE50A6">
        <w:rPr>
          <w:rFonts w:cs="Verdana"/>
          <w:bCs/>
          <w:i/>
        </w:rPr>
        <w:t>(“In vitro fertilization”) v. Costa Rica. Preliminary objections, merits, reparations and costs.</w:t>
      </w:r>
      <w:r w:rsidRPr="00FE50A6">
        <w:rPr>
          <w:rFonts w:cs="Verdana"/>
          <w:bCs/>
        </w:rPr>
        <w:t xml:space="preserve"> </w:t>
      </w:r>
      <w:r w:rsidRPr="00FE50A6">
        <w:rPr>
          <w:rFonts w:cs="Verdana"/>
          <w:bCs/>
          <w:spacing w:val="-2"/>
        </w:rPr>
        <w:t>Judgment of November 28, 2012. Series C No. 257, para. 288 a 302</w:t>
      </w:r>
      <w:r w:rsidRPr="00FE50A6">
        <w:rPr>
          <w:rFonts w:cs="Verdana"/>
          <w:bCs/>
        </w:rPr>
        <w:t xml:space="preserve">. </w:t>
      </w:r>
    </w:p>
  </w:footnote>
  <w:footnote w:id="593">
    <w:p w14:paraId="112CD970" w14:textId="77777777" w:rsidR="00E70935" w:rsidRPr="00FE50A6" w:rsidRDefault="00E70935" w:rsidP="00CD003F">
      <w:pPr>
        <w:pStyle w:val="Prrafodelista"/>
        <w:tabs>
          <w:tab w:val="left" w:pos="709"/>
        </w:tabs>
        <w:spacing w:after="80"/>
        <w:ind w:left="0"/>
        <w:rPr>
          <w:rFonts w:cs="Times New Roman"/>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Verdana"/>
          <w:bCs/>
          <w:sz w:val="16"/>
          <w:szCs w:val="16"/>
          <w:lang w:val="en-US"/>
        </w:rPr>
        <w:t xml:space="preserve">I/A Court HR. </w:t>
      </w:r>
      <w:r w:rsidRPr="00FE50A6">
        <w:rPr>
          <w:rFonts w:cs="Verdana"/>
          <w:bCs/>
          <w:i/>
          <w:sz w:val="16"/>
          <w:szCs w:val="16"/>
          <w:lang w:val="en-US"/>
        </w:rPr>
        <w:t>Case of the Yean and Bosico Girls v. Dominican Republic</w:t>
      </w:r>
      <w:r w:rsidRPr="00FE50A6">
        <w:rPr>
          <w:rFonts w:cs="Verdana"/>
          <w:bCs/>
          <w:sz w:val="16"/>
          <w:szCs w:val="16"/>
          <w:lang w:val="en-US"/>
        </w:rPr>
        <w:t xml:space="preserve">. Judgment of September 8, 2005. Series C No. 130, para. </w:t>
      </w:r>
      <w:r w:rsidRPr="00FE50A6">
        <w:rPr>
          <w:rFonts w:cs="Times New Roman"/>
          <w:sz w:val="16"/>
          <w:szCs w:val="16"/>
          <w:lang w:val="en-US"/>
        </w:rPr>
        <w:t xml:space="preserve">139, and </w:t>
      </w:r>
      <w:r w:rsidRPr="00FE50A6">
        <w:rPr>
          <w:rFonts w:cs="Verdana"/>
          <w:bCs/>
          <w:i/>
          <w:sz w:val="16"/>
          <w:szCs w:val="16"/>
          <w:lang w:val="en-US"/>
        </w:rPr>
        <w:t>Case of Expelled Dominicans and Haitians v. Dominican Republic. Preliminary objections, merits, reparations and costs</w:t>
      </w:r>
      <w:r w:rsidRPr="00FE50A6">
        <w:rPr>
          <w:rFonts w:cs="Verdana"/>
          <w:bCs/>
          <w:sz w:val="16"/>
          <w:szCs w:val="16"/>
          <w:lang w:val="en-US"/>
        </w:rPr>
        <w:t xml:space="preserve">. Judgment of August 28, 2014. Series C No. 282, para. </w:t>
      </w:r>
      <w:r w:rsidRPr="00FE50A6">
        <w:rPr>
          <w:rFonts w:cs="Times New Roman"/>
          <w:sz w:val="16"/>
          <w:szCs w:val="16"/>
          <w:lang w:val="en-US"/>
        </w:rPr>
        <w:t>158.</w:t>
      </w:r>
    </w:p>
    <w:p w14:paraId="009E6ADE" w14:textId="77777777" w:rsidR="00E70935" w:rsidRPr="00FE50A6" w:rsidRDefault="00E70935" w:rsidP="00CD003F">
      <w:pPr>
        <w:pStyle w:val="Textonotapie"/>
        <w:tabs>
          <w:tab w:val="left" w:pos="709"/>
        </w:tabs>
        <w:spacing w:after="80"/>
      </w:pPr>
    </w:p>
  </w:footnote>
  <w:footnote w:id="594">
    <w:p w14:paraId="58767D92"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rPr>
        <w:t>Case of Gonzales Lluy et al. v. Ecuador. Preliminary objections, merits, reparations and costs</w:t>
      </w:r>
      <w:r w:rsidRPr="00FE50A6">
        <w:rPr>
          <w:rFonts w:cs="Verdana"/>
          <w:bCs/>
        </w:rPr>
        <w:t xml:space="preserve">. Judgment of September 1,2015. Series C No. 298, para. </w:t>
      </w:r>
      <w:r w:rsidRPr="00FE50A6">
        <w:rPr>
          <w:rFonts w:cs="Times New Roman"/>
        </w:rPr>
        <w:t>193.</w:t>
      </w:r>
    </w:p>
  </w:footnote>
  <w:footnote w:id="595">
    <w:p w14:paraId="54BC2959"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lang w:val="es-CR"/>
        </w:rPr>
        <w:t xml:space="preserve">Case of Gonzales Lluy et al. v. Ecuador. </w:t>
      </w:r>
      <w:r w:rsidRPr="00FE50A6">
        <w:rPr>
          <w:rFonts w:cs="Verdana"/>
          <w:bCs/>
          <w:i/>
        </w:rPr>
        <w:t>Preliminary objections, merits, reparations and costs</w:t>
      </w:r>
      <w:r w:rsidRPr="00FE50A6">
        <w:rPr>
          <w:rFonts w:cs="Verdana"/>
          <w:bCs/>
        </w:rPr>
        <w:t xml:space="preserve">. Judgment of September 1,2015. Series C No. 298, para. </w:t>
      </w:r>
      <w:r w:rsidRPr="00FE50A6">
        <w:rPr>
          <w:rFonts w:cs="Times New Roman"/>
        </w:rPr>
        <w:t>290.</w:t>
      </w:r>
    </w:p>
  </w:footnote>
  <w:footnote w:id="596">
    <w:p w14:paraId="518B226F"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rFonts w:cs="Verdana"/>
          <w:bCs/>
        </w:rPr>
        <w:t xml:space="preserve">I/A Court HR. </w:t>
      </w:r>
      <w:r w:rsidRPr="00FE50A6">
        <w:rPr>
          <w:rFonts w:cs="Verdana"/>
          <w:bCs/>
          <w:i/>
          <w:lang w:val="es-CR"/>
        </w:rPr>
        <w:t xml:space="preserve">Case of Gonzales Lluy et al. v. Ecuador. </w:t>
      </w:r>
      <w:r w:rsidRPr="00FE50A6">
        <w:rPr>
          <w:rFonts w:cs="Verdana"/>
          <w:bCs/>
          <w:i/>
        </w:rPr>
        <w:t>Preliminary objections, merits, reparations and costs</w:t>
      </w:r>
      <w:r w:rsidRPr="00FE50A6">
        <w:rPr>
          <w:rFonts w:cs="Verdana"/>
          <w:bCs/>
        </w:rPr>
        <w:t xml:space="preserve">. Judgment of September 1,2015. Series C No. 298, para. </w:t>
      </w:r>
      <w:r w:rsidRPr="00FE50A6">
        <w:rPr>
          <w:rFonts w:cs="Times New Roman"/>
        </w:rPr>
        <w:t xml:space="preserve">291. </w:t>
      </w:r>
    </w:p>
  </w:footnote>
  <w:footnote w:id="597">
    <w:p w14:paraId="61B4D3C4" w14:textId="77777777" w:rsidR="00E70935" w:rsidRPr="00FE50A6" w:rsidRDefault="00E70935" w:rsidP="003B2CB1">
      <w:pPr>
        <w:pStyle w:val="Textonotapie"/>
        <w:tabs>
          <w:tab w:val="left" w:pos="709"/>
        </w:tabs>
        <w:spacing w:after="80"/>
      </w:pPr>
      <w:r w:rsidRPr="00FE50A6">
        <w:rPr>
          <w:rStyle w:val="Refdenotaalpie"/>
        </w:rPr>
        <w:footnoteRef/>
      </w:r>
      <w:r w:rsidRPr="00FE50A6">
        <w:t xml:space="preserve"> </w:t>
      </w:r>
      <w:r w:rsidRPr="00FE50A6">
        <w:tab/>
        <w:t xml:space="preserve">See: </w:t>
      </w:r>
      <w:r w:rsidRPr="00FE50A6">
        <w:rPr>
          <w:rFonts w:cs="Verdana"/>
          <w:bCs/>
        </w:rPr>
        <w:t xml:space="preserve">I/A Court HR. </w:t>
      </w:r>
      <w:r w:rsidRPr="00FE50A6">
        <w:rPr>
          <w:rFonts w:cs="Verdana"/>
          <w:bCs/>
          <w:i/>
          <w:lang w:val="es-CR"/>
        </w:rPr>
        <w:t xml:space="preserve">Case of Artavia Murillo et al. </w:t>
      </w:r>
      <w:r w:rsidRPr="00FE50A6">
        <w:rPr>
          <w:rFonts w:cs="Verdana"/>
          <w:bCs/>
          <w:i/>
        </w:rPr>
        <w:t>(“In vitro fertilization”) v. Costa Rica. Preliminary objections, merits, reparations and costs.</w:t>
      </w:r>
      <w:r w:rsidRPr="00FE50A6">
        <w:rPr>
          <w:rFonts w:cs="Verdana"/>
          <w:bCs/>
        </w:rPr>
        <w:t xml:space="preserve"> Judgment of November 28, 2012. Series C No. 257.</w:t>
      </w:r>
    </w:p>
  </w:footnote>
  <w:footnote w:id="598">
    <w:p w14:paraId="712CDF11" w14:textId="77777777" w:rsidR="00E70935" w:rsidRPr="00FE50A6" w:rsidRDefault="00E70935" w:rsidP="003B2CB1">
      <w:pPr>
        <w:pStyle w:val="Textonotapie"/>
        <w:tabs>
          <w:tab w:val="left" w:pos="709"/>
        </w:tabs>
        <w:spacing w:after="80"/>
      </w:pPr>
      <w:r w:rsidRPr="00FE50A6">
        <w:rPr>
          <w:rStyle w:val="Refdenotaalpie"/>
        </w:rPr>
        <w:footnoteRef/>
      </w:r>
      <w:r w:rsidRPr="00FE50A6">
        <w:t xml:space="preserve"> </w:t>
      </w:r>
      <w:r w:rsidRPr="00FE50A6">
        <w:tab/>
        <w:t xml:space="preserve">See: </w:t>
      </w:r>
      <w:r w:rsidRPr="00FE50A6">
        <w:rPr>
          <w:rFonts w:cs="Verdana"/>
          <w:bCs/>
        </w:rPr>
        <w:t xml:space="preserve">I/A Court HR. </w:t>
      </w:r>
      <w:r w:rsidRPr="00FE50A6">
        <w:rPr>
          <w:rFonts w:cs="Verdana"/>
          <w:bCs/>
          <w:i/>
          <w:lang w:val="es-CR"/>
        </w:rPr>
        <w:t xml:space="preserve">Case of Gonzales Lluy et al. v. Ecuador. </w:t>
      </w:r>
      <w:r w:rsidRPr="00FE50A6">
        <w:rPr>
          <w:rFonts w:cs="Verdana"/>
          <w:bCs/>
          <w:i/>
        </w:rPr>
        <w:t>Preliminary objections, merits, reparations and costs</w:t>
      </w:r>
      <w:r w:rsidRPr="00FE50A6">
        <w:rPr>
          <w:rFonts w:cs="Verdana"/>
          <w:bCs/>
        </w:rPr>
        <w:t>. Judgment of September 1,2015. Series C No. 298.</w:t>
      </w:r>
    </w:p>
  </w:footnote>
  <w:footnote w:id="599">
    <w:p w14:paraId="61767959" w14:textId="77777777" w:rsidR="00E70935" w:rsidRPr="00FE50A6" w:rsidRDefault="00E70935" w:rsidP="00505E66">
      <w:pPr>
        <w:pStyle w:val="Textonotapie"/>
        <w:tabs>
          <w:tab w:val="left" w:pos="709"/>
        </w:tabs>
        <w:spacing w:after="80"/>
        <w:rPr>
          <w:rFonts w:cs="Times New Roman"/>
          <w:b/>
        </w:rPr>
      </w:pPr>
      <w:r w:rsidRPr="00FE50A6">
        <w:rPr>
          <w:rStyle w:val="Refdenotaalpie"/>
        </w:rPr>
        <w:footnoteRef/>
      </w:r>
      <w:r w:rsidRPr="00FE50A6">
        <w:t xml:space="preserve"> </w:t>
      </w:r>
      <w:r w:rsidRPr="00FE50A6">
        <w:tab/>
        <w:t xml:space="preserve">See: </w:t>
      </w:r>
      <w:r w:rsidRPr="00FE50A6">
        <w:rPr>
          <w:rFonts w:cs="Verdana"/>
          <w:bCs/>
        </w:rPr>
        <w:t xml:space="preserve">I/A Court HR. </w:t>
      </w:r>
      <w:r w:rsidRPr="00FE50A6">
        <w:rPr>
          <w:rFonts w:cs="Verdana"/>
          <w:bCs/>
          <w:i/>
        </w:rPr>
        <w:t>Case of Uzcátegui et al. v. Venezuela. Merits and Reparations</w:t>
      </w:r>
      <w:r w:rsidRPr="00FE50A6">
        <w:rPr>
          <w:rFonts w:cs="Verdana"/>
          <w:bCs/>
        </w:rPr>
        <w:t xml:space="preserve">. Judgment of September 3, 2012. Series C No. 249. </w:t>
      </w:r>
    </w:p>
  </w:footnote>
  <w:footnote w:id="600">
    <w:p w14:paraId="191A3402"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Judgment of October 20, 2016, Series C No. 318, para. 341.</w:t>
      </w:r>
    </w:p>
  </w:footnote>
  <w:footnote w:id="601">
    <w:p w14:paraId="1D4A010D"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rPr>
          <w:rFonts w:cs="Times New Roman"/>
          <w:b/>
        </w:rPr>
        <w:t xml:space="preserve"> </w:t>
      </w:r>
      <w:r w:rsidRPr="00FE50A6">
        <w:rPr>
          <w:rFonts w:cs="Times New Roman"/>
          <w:b/>
        </w:rPr>
        <w:tab/>
        <w:t xml:space="preserve"> </w:t>
      </w:r>
      <w:r w:rsidRPr="00FE50A6">
        <w:rPr>
          <w:rFonts w:cs="Times New Roman"/>
        </w:rPr>
        <w:t xml:space="preserve">For example, the Inter-American Court has indicated that, with the inclusion of the expression “any other social condition,” the wording of Article 1(1) leaves these criteria open to the incorporation of other categories that were not explicitly indicated. Thus, the Court should interpret the expression “any other social condition” in Article 1(1) of the Convention accordingly, from the perspective of the most favorable alternative for the person and for the evolution of the fundamental rights in contemporary international law. </w:t>
      </w:r>
      <w:r w:rsidRPr="00FE50A6">
        <w:rPr>
          <w:rFonts w:cs="Times New Roman"/>
          <w:i/>
        </w:rPr>
        <w:t>Cf.</w:t>
      </w:r>
      <w:r w:rsidRPr="00FE50A6">
        <w:rPr>
          <w:rFonts w:cs="Times New Roman"/>
        </w:rPr>
        <w:t xml:space="preserve"> </w:t>
      </w:r>
      <w:r w:rsidRPr="00FE50A6">
        <w:rPr>
          <w:rFonts w:cs="Verdana"/>
          <w:bCs/>
          <w:i/>
        </w:rPr>
        <w:t>Case of Atala Riffo and daughters v. Chile. Merits, reparations and costs</w:t>
      </w:r>
      <w:r w:rsidRPr="00FE50A6">
        <w:rPr>
          <w:rFonts w:cs="Verdana"/>
          <w:bCs/>
        </w:rPr>
        <w:t xml:space="preserve">. Judgment of February 24, 2012. Series C No. 239, para. 85. </w:t>
      </w:r>
    </w:p>
  </w:footnote>
  <w:footnote w:id="602">
    <w:p w14:paraId="3B171EC6" w14:textId="77777777" w:rsidR="00E70935" w:rsidRPr="00FE50A6" w:rsidRDefault="00E70935" w:rsidP="00CD003F">
      <w:pPr>
        <w:pStyle w:val="Prrafodelista"/>
        <w:tabs>
          <w:tab w:val="left" w:pos="709"/>
        </w:tabs>
        <w:spacing w:after="80"/>
        <w:ind w:left="0"/>
        <w:rPr>
          <w:rFonts w:cs="System Font Regular"/>
          <w:color w:val="16191F"/>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Previously, the Court has expanded the list of special protection categories included in </w:t>
      </w:r>
      <w:r w:rsidRPr="00FE50A6">
        <w:rPr>
          <w:rFonts w:cs="System Font Regular"/>
          <w:color w:val="16191F"/>
          <w:sz w:val="16"/>
          <w:szCs w:val="16"/>
          <w:lang w:val="en-US"/>
        </w:rPr>
        <w:t xml:space="preserve">Article 1(1) of the American Convention which was adopted in 1969. Thus, in the 2003 </w:t>
      </w:r>
      <w:r w:rsidRPr="00FE50A6">
        <w:rPr>
          <w:rFonts w:cs="System Font Regular"/>
          <w:i/>
          <w:color w:val="16191F"/>
          <w:sz w:val="16"/>
          <w:szCs w:val="16"/>
          <w:lang w:val="en-US"/>
        </w:rPr>
        <w:t xml:space="preserve">Advisory Opinion No. 18, on the Juridical Status and Rights of Undocumented Migrants, </w:t>
      </w:r>
      <w:r w:rsidRPr="00FE50A6">
        <w:rPr>
          <w:rFonts w:cs="System Font Regular"/>
          <w:color w:val="16191F"/>
          <w:sz w:val="16"/>
          <w:szCs w:val="16"/>
          <w:lang w:val="en-US"/>
        </w:rPr>
        <w:t>in addition to “</w:t>
      </w:r>
      <w:r w:rsidRPr="00FE50A6">
        <w:rPr>
          <w:spacing w:val="-3"/>
          <w:sz w:val="16"/>
          <w:szCs w:val="16"/>
          <w:lang w:val="en-US"/>
        </w:rPr>
        <w:t xml:space="preserve">race, color, sex, language, religion, political or other opinion, national or social origin, economic status, birth, or any other social condition,” it also considered “gender, age, patrimony and civil status” to be – implicit – special protection categories in light </w:t>
      </w:r>
      <w:r w:rsidRPr="00FE50A6">
        <w:rPr>
          <w:rFonts w:cs="Tahoma"/>
          <w:sz w:val="16"/>
          <w:szCs w:val="16"/>
          <w:lang w:val="en-US"/>
        </w:rPr>
        <w:t>of Article 1(1) of the American Convention</w:t>
      </w:r>
      <w:r w:rsidRPr="00FE50A6">
        <w:rPr>
          <w:sz w:val="16"/>
          <w:szCs w:val="16"/>
          <w:lang w:val="en-US"/>
        </w:rPr>
        <w:t xml:space="preserve">. </w:t>
      </w:r>
      <w:r w:rsidRPr="00FE50A6">
        <w:rPr>
          <w:i/>
          <w:sz w:val="16"/>
          <w:szCs w:val="16"/>
          <w:lang w:val="en-US"/>
        </w:rPr>
        <w:t xml:space="preserve">Cf. </w:t>
      </w:r>
      <w:r w:rsidRPr="00FE50A6">
        <w:rPr>
          <w:rFonts w:cs="Verdana"/>
          <w:bCs/>
          <w:i/>
          <w:sz w:val="16"/>
          <w:szCs w:val="16"/>
          <w:lang w:val="en-US"/>
        </w:rPr>
        <w:t xml:space="preserve">Juridical Status and Rights of Undocumented Migrants. </w:t>
      </w:r>
      <w:r w:rsidRPr="00FE50A6">
        <w:rPr>
          <w:rFonts w:cs="Verdana"/>
          <w:bCs/>
          <w:sz w:val="16"/>
          <w:szCs w:val="16"/>
          <w:lang w:val="en-US"/>
        </w:rPr>
        <w:t xml:space="preserve">Advisory Opinion OC-18/03 of September 17, 2003. Series A No. 18, </w:t>
      </w:r>
      <w:r w:rsidRPr="00FE50A6">
        <w:rPr>
          <w:rFonts w:cs="Tahoma"/>
          <w:sz w:val="16"/>
          <w:szCs w:val="16"/>
          <w:lang w:val="en-US"/>
        </w:rPr>
        <w:t>para. 101.</w:t>
      </w:r>
    </w:p>
  </w:footnote>
  <w:footnote w:id="603">
    <w:p w14:paraId="01045D9D" w14:textId="77777777" w:rsidR="00E70935" w:rsidRPr="00FE50A6" w:rsidRDefault="00E70935" w:rsidP="00CD003F">
      <w:pPr>
        <w:pStyle w:val="Textonotapie"/>
        <w:tabs>
          <w:tab w:val="left" w:pos="709"/>
        </w:tabs>
        <w:spacing w:after="80"/>
        <w:rPr>
          <w:rFonts w:cs="Verdana"/>
          <w:bCs/>
        </w:rPr>
      </w:pPr>
      <w:r w:rsidRPr="00FE50A6">
        <w:rPr>
          <w:rStyle w:val="Refdenotaalpie"/>
        </w:rPr>
        <w:footnoteRef/>
      </w:r>
      <w:r w:rsidRPr="00FE50A6">
        <w:rPr>
          <w:rFonts w:cs="Times New Roman"/>
        </w:rPr>
        <w:tab/>
        <w:t>In the case of</w:t>
      </w:r>
      <w:r w:rsidRPr="00FE50A6">
        <w:rPr>
          <w:rFonts w:cs="Times New Roman"/>
          <w:i/>
        </w:rPr>
        <w:t xml:space="preserve"> Atala Riffo and daughters v. Chile</w:t>
      </w:r>
      <w:r w:rsidRPr="00FE50A6">
        <w:rPr>
          <w:rFonts w:cs="Times New Roman"/>
        </w:rPr>
        <w:t xml:space="preserve">, based on the expression “any other social condition,” and bearing in mind the general obligations to respect and ensure rights established in Article 1(1) of the American Convention, the interpretation criteria established in Article 29 of this Convention, the provisions of the Vienna Convention on the Law of Treaties, the Resolutions of the OAS General Assembly, the standards established by the European Court and the United Nations treaty bodies, the Inter-American Court established that a person’s sexual orientation and gender identity were categories protected by the Convention. I/A Court HR. </w:t>
      </w:r>
      <w:r w:rsidRPr="00FE50A6">
        <w:rPr>
          <w:rFonts w:cs="Verdana"/>
          <w:bCs/>
          <w:i/>
        </w:rPr>
        <w:t>Case of Atala Riffo and daughters v. Chile. Merits, reparations and costs</w:t>
      </w:r>
      <w:r w:rsidRPr="00FE50A6">
        <w:rPr>
          <w:rFonts w:cs="Verdana"/>
          <w:bCs/>
        </w:rPr>
        <w:t xml:space="preserve">. Judgment of February 24, 2012. Series C No. 239, para. 91. </w:t>
      </w:r>
    </w:p>
  </w:footnote>
  <w:footnote w:id="604">
    <w:p w14:paraId="1F87EEAF" w14:textId="77777777" w:rsidR="00E70935" w:rsidRPr="00FE50A6" w:rsidRDefault="00E70935" w:rsidP="00CD003F">
      <w:pPr>
        <w:pStyle w:val="Prrafodelista"/>
        <w:tabs>
          <w:tab w:val="left" w:pos="709"/>
        </w:tabs>
        <w:spacing w:after="80"/>
        <w:ind w:left="0"/>
        <w:rPr>
          <w:spacing w:val="-2"/>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In the cases of </w:t>
      </w:r>
      <w:r w:rsidRPr="00FE50A6">
        <w:rPr>
          <w:i/>
          <w:sz w:val="16"/>
          <w:szCs w:val="16"/>
          <w:lang w:val="en-US"/>
        </w:rPr>
        <w:t>Ximenes Lopes v. Brazil</w:t>
      </w:r>
      <w:r w:rsidRPr="00FE50A6">
        <w:rPr>
          <w:sz w:val="16"/>
          <w:szCs w:val="16"/>
          <w:lang w:val="en-US"/>
        </w:rPr>
        <w:t xml:space="preserve">; </w:t>
      </w:r>
      <w:r w:rsidRPr="00FE50A6">
        <w:rPr>
          <w:i/>
          <w:sz w:val="16"/>
          <w:szCs w:val="16"/>
          <w:lang w:val="en-US"/>
        </w:rPr>
        <w:t>Furlan and family v. Argentina,</w:t>
      </w:r>
      <w:r w:rsidRPr="00FE50A6">
        <w:rPr>
          <w:sz w:val="16"/>
          <w:szCs w:val="16"/>
          <w:lang w:val="en-US"/>
        </w:rPr>
        <w:t xml:space="preserve"> and </w:t>
      </w:r>
      <w:r w:rsidRPr="00FE50A6">
        <w:rPr>
          <w:i/>
          <w:sz w:val="16"/>
          <w:szCs w:val="16"/>
          <w:lang w:val="en-US"/>
        </w:rPr>
        <w:t>Artavia Murillo et al. (In vitro fertilization) v. Costa Rica</w:t>
      </w:r>
      <w:r w:rsidRPr="00FE50A6">
        <w:rPr>
          <w:sz w:val="16"/>
          <w:szCs w:val="16"/>
          <w:lang w:val="en-US"/>
        </w:rPr>
        <w:t xml:space="preserve">, </w:t>
      </w:r>
      <w:r w:rsidRPr="00FE50A6">
        <w:rPr>
          <w:spacing w:val="-2"/>
          <w:sz w:val="16"/>
          <w:szCs w:val="16"/>
          <w:lang w:val="en-US"/>
        </w:rPr>
        <w:t>without expressly mentioning the phrase “any other social condition,” the Court considered that persons with disabilities are people who, under the provisions of the Convention, warrant special protection based on their condition of vulnerability.</w:t>
      </w:r>
      <w:r w:rsidRPr="00FE50A6">
        <w:rPr>
          <w:b/>
          <w:spacing w:val="-2"/>
          <w:sz w:val="16"/>
          <w:szCs w:val="16"/>
          <w:lang w:val="en-US"/>
        </w:rPr>
        <w:t xml:space="preserve"> </w:t>
      </w:r>
      <w:r w:rsidRPr="00FE50A6">
        <w:rPr>
          <w:spacing w:val="-2"/>
          <w:sz w:val="16"/>
          <w:szCs w:val="16"/>
          <w:lang w:val="en-US"/>
        </w:rPr>
        <w:t>I/A Court HR.</w:t>
      </w:r>
      <w:r w:rsidRPr="00FE50A6">
        <w:rPr>
          <w:b/>
          <w:spacing w:val="-2"/>
          <w:sz w:val="16"/>
          <w:szCs w:val="16"/>
          <w:lang w:val="en-US"/>
        </w:rPr>
        <w:t xml:space="preserve"> </w:t>
      </w:r>
      <w:r w:rsidRPr="00FE50A6">
        <w:rPr>
          <w:rFonts w:cs="Verdana"/>
          <w:bCs/>
          <w:i/>
          <w:spacing w:val="-2"/>
          <w:sz w:val="16"/>
          <w:szCs w:val="16"/>
          <w:lang w:val="en-US"/>
        </w:rPr>
        <w:t>Case of</w:t>
      </w:r>
      <w:r w:rsidRPr="00FE50A6">
        <w:rPr>
          <w:rFonts w:cs="Verdana"/>
          <w:bCs/>
          <w:i/>
          <w:sz w:val="16"/>
          <w:szCs w:val="16"/>
          <w:lang w:val="en-US"/>
        </w:rPr>
        <w:t xml:space="preserve"> Artavia Murillo et al. (“In vitro fertilization”) v. Costa Rica. Preliminary objections, merits, reparations and costs.</w:t>
      </w:r>
      <w:r w:rsidRPr="00FE50A6">
        <w:rPr>
          <w:rFonts w:cs="Verdana"/>
          <w:bCs/>
          <w:sz w:val="16"/>
          <w:szCs w:val="16"/>
          <w:lang w:val="en-US"/>
        </w:rPr>
        <w:t xml:space="preserve"> Judgment of November 28, 2012. </w:t>
      </w:r>
      <w:r w:rsidRPr="00FE50A6">
        <w:rPr>
          <w:rFonts w:cs="Verdana"/>
          <w:bCs/>
          <w:spacing w:val="-2"/>
          <w:sz w:val="16"/>
          <w:szCs w:val="16"/>
          <w:lang w:val="en-US"/>
        </w:rPr>
        <w:t xml:space="preserve">Series C No. 257, paras. 292 and 285; </w:t>
      </w:r>
      <w:r w:rsidRPr="00FE50A6">
        <w:rPr>
          <w:rFonts w:cs="Verdana"/>
          <w:bCs/>
          <w:i/>
          <w:sz w:val="16"/>
          <w:szCs w:val="16"/>
          <w:lang w:val="en-US"/>
        </w:rPr>
        <w:t>Case of Furlan and family v. Argentina. Preliminary objections, merits, reparations and costs</w:t>
      </w:r>
      <w:r w:rsidRPr="00FE50A6">
        <w:rPr>
          <w:rFonts w:cs="Verdana"/>
          <w:bCs/>
          <w:sz w:val="16"/>
          <w:szCs w:val="16"/>
          <w:lang w:val="en-US"/>
        </w:rPr>
        <w:t xml:space="preserve">. </w:t>
      </w:r>
      <w:r w:rsidRPr="00FE50A6">
        <w:rPr>
          <w:rFonts w:cs="Verdana"/>
          <w:bCs/>
          <w:spacing w:val="-2"/>
          <w:sz w:val="16"/>
          <w:szCs w:val="16"/>
          <w:lang w:val="en-US"/>
        </w:rPr>
        <w:t xml:space="preserve">Judgment of August 31, 2012. Series C No. 246, para. 134, and </w:t>
      </w:r>
      <w:r w:rsidRPr="00FE50A6">
        <w:rPr>
          <w:rFonts w:cs="Verdana"/>
          <w:bCs/>
          <w:i/>
          <w:sz w:val="16"/>
          <w:szCs w:val="16"/>
          <w:lang w:val="en-US"/>
        </w:rPr>
        <w:t>Case of Ximenes Lopes v. Brazil</w:t>
      </w:r>
      <w:r w:rsidRPr="00FE50A6">
        <w:rPr>
          <w:rFonts w:cs="Verdana"/>
          <w:bCs/>
          <w:spacing w:val="-2"/>
          <w:sz w:val="16"/>
          <w:szCs w:val="16"/>
          <w:lang w:val="en-US"/>
        </w:rPr>
        <w:t>. Judgment of July 4, 2006. Series C No. 149, para.</w:t>
      </w:r>
      <w:r w:rsidRPr="00FE50A6">
        <w:rPr>
          <w:spacing w:val="-2"/>
          <w:sz w:val="16"/>
          <w:szCs w:val="16"/>
          <w:lang w:val="en-US"/>
        </w:rPr>
        <w:t xml:space="preserve"> 103</w:t>
      </w:r>
      <w:r w:rsidRPr="00FE50A6">
        <w:rPr>
          <w:sz w:val="16"/>
          <w:szCs w:val="16"/>
          <w:lang w:val="en-US"/>
        </w:rPr>
        <w:t>.</w:t>
      </w:r>
    </w:p>
  </w:footnote>
  <w:footnote w:id="605">
    <w:p w14:paraId="3CDC6E37" w14:textId="77777777" w:rsidR="00E70935" w:rsidRPr="00FE50A6" w:rsidRDefault="00E70935" w:rsidP="00CD003F">
      <w:pPr>
        <w:pStyle w:val="Textonotapie"/>
        <w:tabs>
          <w:tab w:val="left" w:pos="709"/>
        </w:tabs>
        <w:spacing w:after="80"/>
        <w:rPr>
          <w:i/>
        </w:rPr>
      </w:pPr>
      <w:r w:rsidRPr="00FE50A6">
        <w:rPr>
          <w:rStyle w:val="Refdenotaalpie"/>
        </w:rPr>
        <w:footnoteRef/>
      </w:r>
      <w:r w:rsidRPr="00FE50A6">
        <w:t xml:space="preserve"> </w:t>
      </w:r>
      <w:r w:rsidRPr="00FE50A6">
        <w:tab/>
        <w:t xml:space="preserve">UN, </w:t>
      </w:r>
      <w:r w:rsidRPr="00FE50A6">
        <w:rPr>
          <w:i/>
        </w:rPr>
        <w:t xml:space="preserve">Report of the Special Rapporteur on extreme poverty and human rights, </w:t>
      </w:r>
      <w:r w:rsidRPr="00FE50A6">
        <w:t xml:space="preserve">Magdalena Sepúlveda Carmona, August 4, 2011, A/66/265, para. 18. </w:t>
      </w:r>
      <w:r w:rsidRPr="00FE50A6">
        <w:rPr>
          <w:i/>
        </w:rPr>
        <w:t xml:space="preserve"> </w:t>
      </w:r>
    </w:p>
  </w:footnote>
  <w:footnote w:id="606">
    <w:p w14:paraId="6F7D13A0" w14:textId="77777777" w:rsidR="00E70935" w:rsidRPr="00FE50A6" w:rsidRDefault="00E70935" w:rsidP="00CD003F">
      <w:pPr>
        <w:pStyle w:val="Textonotapie"/>
        <w:tabs>
          <w:tab w:val="left" w:pos="709"/>
        </w:tabs>
        <w:spacing w:after="80"/>
        <w:rPr>
          <w:i/>
        </w:rPr>
      </w:pPr>
      <w:r w:rsidRPr="00FE50A6">
        <w:rPr>
          <w:rStyle w:val="Refdenotaalpie"/>
        </w:rPr>
        <w:footnoteRef/>
      </w:r>
      <w:r w:rsidRPr="00FE50A6">
        <w:t xml:space="preserve"> </w:t>
      </w:r>
      <w:r w:rsidRPr="00FE50A6">
        <w:tab/>
        <w:t xml:space="preserve">UN, </w:t>
      </w:r>
      <w:r w:rsidRPr="00FE50A6">
        <w:rPr>
          <w:i/>
        </w:rPr>
        <w:t xml:space="preserve">Report of the Special Rapporteur on extreme poverty and human rights, </w:t>
      </w:r>
      <w:r w:rsidRPr="00FE50A6">
        <w:t xml:space="preserve">Magdalena Sepúlveda Carmona, August 4, 2011, A/66/265, footnote 7.  </w:t>
      </w:r>
      <w:r w:rsidRPr="00FE50A6">
        <w:rPr>
          <w:i/>
        </w:rPr>
        <w:t xml:space="preserve"> </w:t>
      </w:r>
    </w:p>
  </w:footnote>
  <w:footnote w:id="607">
    <w:p w14:paraId="2C66C8FA" w14:textId="77777777" w:rsidR="00E70935" w:rsidRPr="00FE50A6" w:rsidRDefault="00E70935" w:rsidP="00CD003F">
      <w:pPr>
        <w:pStyle w:val="Textonotapie"/>
        <w:tabs>
          <w:tab w:val="left" w:pos="709"/>
        </w:tabs>
        <w:spacing w:after="80"/>
        <w:rPr>
          <w:rFonts w:cs="Verdana"/>
          <w:b/>
          <w:bCs/>
        </w:rPr>
      </w:pPr>
      <w:r w:rsidRPr="00FE50A6">
        <w:rPr>
          <w:rStyle w:val="Refdenotaalpie"/>
        </w:rPr>
        <w:footnoteRef/>
      </w:r>
      <w:r w:rsidRPr="00FE50A6">
        <w:t xml:space="preserve"> </w:t>
      </w:r>
      <w:r w:rsidRPr="00FE50A6">
        <w:rPr>
          <w:i/>
        </w:rPr>
        <w:tab/>
        <w:t>Cf.</w:t>
      </w:r>
      <w:r w:rsidRPr="00FE50A6">
        <w:t xml:space="preserve"> I/A Court HR. </w:t>
      </w:r>
      <w:r w:rsidRPr="00FE50A6">
        <w:rPr>
          <w:rFonts w:cs="Verdana"/>
          <w:bCs/>
          <w:i/>
          <w:lang w:val="es-CR"/>
        </w:rPr>
        <w:t xml:space="preserve">Case of Artavia Murillo et al. </w:t>
      </w:r>
      <w:r w:rsidRPr="00FE50A6">
        <w:rPr>
          <w:rFonts w:cs="Verdana"/>
          <w:bCs/>
          <w:i/>
        </w:rPr>
        <w:t>(“In vitro fertilization”) v. Costa Rica. Preliminary objections, merits, reparations and costs</w:t>
      </w:r>
      <w:r w:rsidRPr="00FE50A6">
        <w:rPr>
          <w:rFonts w:cs="Verdana"/>
          <w:bCs/>
        </w:rPr>
        <w:t>. Judgment of November 28, 2012. Series C No. 257, paras.</w:t>
      </w:r>
      <w:r w:rsidRPr="00FE50A6">
        <w:t xml:space="preserve"> 292 and 285; </w:t>
      </w:r>
      <w:r w:rsidRPr="00FE50A6">
        <w:rPr>
          <w:rFonts w:cs="Verdana"/>
          <w:bCs/>
          <w:i/>
        </w:rPr>
        <w:t>Case of Furlan and family v. Argentina. Preliminary objections, merits, reparations and costs</w:t>
      </w:r>
      <w:r w:rsidRPr="00FE50A6">
        <w:rPr>
          <w:rFonts w:cs="Verdana"/>
          <w:bCs/>
        </w:rPr>
        <w:t>. Judgment of August 31, 2012. Series C No. 246, para. 134</w:t>
      </w:r>
      <w:r w:rsidRPr="00FE50A6">
        <w:t xml:space="preserve">; </w:t>
      </w:r>
      <w:r w:rsidRPr="00FE50A6">
        <w:rPr>
          <w:rFonts w:cs="Verdana"/>
          <w:bCs/>
          <w:i/>
        </w:rPr>
        <w:t>Case of the Kichwa Indigenous People of Sarayaku v. Ecuador. Merits and reparations.</w:t>
      </w:r>
      <w:r w:rsidRPr="00FE50A6">
        <w:rPr>
          <w:rFonts w:cs="Verdana"/>
          <w:bCs/>
        </w:rPr>
        <w:t xml:space="preserve"> Judgment of June 27, 2012. Series C No. 245, para. 244</w:t>
      </w:r>
      <w:r w:rsidRPr="00FE50A6">
        <w:t>;</w:t>
      </w:r>
      <w:r w:rsidRPr="00FE50A6">
        <w:rPr>
          <w:rFonts w:cs="Verdana"/>
          <w:bCs/>
        </w:rPr>
        <w:t xml:space="preserve"> </w:t>
      </w:r>
      <w:r w:rsidRPr="00FE50A6">
        <w:rPr>
          <w:rFonts w:cs="Verdana"/>
          <w:bCs/>
          <w:i/>
        </w:rPr>
        <w:t>Case of Ximenes Lopes v. Brazil.</w:t>
      </w:r>
      <w:r w:rsidRPr="00FE50A6">
        <w:rPr>
          <w:rFonts w:cs="Verdana"/>
          <w:bCs/>
        </w:rPr>
        <w:t xml:space="preserve"> Judgment of July 4, 2006. Series C No. 149, para. 103, and </w:t>
      </w:r>
      <w:r w:rsidRPr="00FE50A6">
        <w:rPr>
          <w:rFonts w:cs="Verdana"/>
          <w:bCs/>
          <w:i/>
        </w:rPr>
        <w:t>Case of the “Mapiripán Massacre” v. Colombia</w:t>
      </w:r>
      <w:r w:rsidRPr="00FE50A6">
        <w:rPr>
          <w:rFonts w:cs="Verdana"/>
          <w:bCs/>
        </w:rPr>
        <w:t>. Judgment of September 15, 2005. Series C No. 134, paras. 111 and 113.</w:t>
      </w:r>
      <w:r w:rsidRPr="00FE50A6">
        <w:rPr>
          <w:rFonts w:cs="Verdana"/>
          <w:b/>
          <w:bCs/>
        </w:rPr>
        <w:t xml:space="preserve"> </w:t>
      </w:r>
    </w:p>
  </w:footnote>
  <w:footnote w:id="608">
    <w:p w14:paraId="7E38EF5D" w14:textId="77777777" w:rsidR="00E70935" w:rsidRPr="00FE50A6" w:rsidRDefault="00E70935" w:rsidP="0005421E">
      <w:pPr>
        <w:spacing w:after="80"/>
        <w:jc w:val="both"/>
        <w:rPr>
          <w:rFonts w:cs="Verdana"/>
          <w:bCs/>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sz w:val="16"/>
          <w:szCs w:val="16"/>
          <w:lang w:val="en-US"/>
        </w:rPr>
        <w:t xml:space="preserve"> Cf.</w:t>
      </w:r>
      <w:r w:rsidRPr="00FE50A6">
        <w:rPr>
          <w:sz w:val="16"/>
          <w:szCs w:val="16"/>
          <w:lang w:val="en-US"/>
        </w:rPr>
        <w:t xml:space="preserve"> I/A Court HR. </w:t>
      </w:r>
      <w:r w:rsidRPr="00FE50A6">
        <w:rPr>
          <w:rFonts w:cs="Verdana"/>
          <w:bCs/>
          <w:i/>
          <w:sz w:val="16"/>
          <w:szCs w:val="16"/>
          <w:lang w:val="en-US"/>
        </w:rPr>
        <w:t>Case of the Sawhoyamaxa Indigenous Community v. Paraguay. Merits, reparations and costs</w:t>
      </w:r>
      <w:r w:rsidRPr="00FE50A6">
        <w:rPr>
          <w:rFonts w:cs="Verdana"/>
          <w:bCs/>
          <w:sz w:val="16"/>
          <w:szCs w:val="16"/>
          <w:lang w:val="en-US"/>
        </w:rPr>
        <w:t>. Judgment of March 29, 2006. Series C No. 146, para. 154. In this regard, the Court has also indicated that “States</w:t>
      </w:r>
      <w:r w:rsidRPr="00FE50A6">
        <w:rPr>
          <w:rFonts w:cs="Arial"/>
          <w:sz w:val="16"/>
          <w:szCs w:val="16"/>
          <w:lang w:val="en-US"/>
        </w:rPr>
        <w:t xml:space="preserve"> should take into consideration that the groups of persons who live in adverse conditions and have few resources, such as those who live in extreme poverty, at-risk children and adolescents, and indigenous peoples, are at a higher risk of suffering from mental disabilities […]. The link between the disability, on the one hand, and poverty and social exclusion, on the other, is direct and significant. In view of the foregoing, among the positive measures to be adopted by the States are those required to prevent all types of disabilities that can be prevented, and to give people with mental disabilities the preferential treatment required by their condition.</w:t>
      </w:r>
      <w:r w:rsidRPr="00FE50A6">
        <w:rPr>
          <w:rFonts w:cs="Times New Roman"/>
          <w:sz w:val="16"/>
          <w:szCs w:val="16"/>
          <w:lang w:val="en-US"/>
        </w:rPr>
        <w:t xml:space="preserve">” </w:t>
      </w:r>
      <w:r w:rsidRPr="00FE50A6">
        <w:rPr>
          <w:rFonts w:cs="Verdana"/>
          <w:bCs/>
          <w:i/>
          <w:sz w:val="16"/>
          <w:szCs w:val="16"/>
          <w:lang w:val="en-US"/>
        </w:rPr>
        <w:t>Case of Ximenes Lopes v. Brazil</w:t>
      </w:r>
      <w:r w:rsidRPr="00FE50A6">
        <w:rPr>
          <w:rFonts w:cs="Verdana"/>
          <w:bCs/>
          <w:sz w:val="16"/>
          <w:szCs w:val="16"/>
          <w:lang w:val="en-US"/>
        </w:rPr>
        <w:t>. Judgment of July 4, 2006. Series C No. 149, para. 104</w:t>
      </w:r>
      <w:r w:rsidRPr="00FE50A6">
        <w:rPr>
          <w:rFonts w:cs="Times New Roman"/>
          <w:sz w:val="16"/>
          <w:szCs w:val="16"/>
          <w:lang w:val="en-US"/>
        </w:rPr>
        <w:t xml:space="preserve">. In the </w:t>
      </w:r>
      <w:r w:rsidRPr="00FE50A6">
        <w:rPr>
          <w:rFonts w:cs="Times New Roman"/>
          <w:i/>
          <w:sz w:val="16"/>
          <w:szCs w:val="16"/>
          <w:lang w:val="en-US"/>
        </w:rPr>
        <w:t>Case of Xákmok Kásek</w:t>
      </w:r>
      <w:r w:rsidRPr="00FE50A6">
        <w:rPr>
          <w:rFonts w:cs="Times New Roman"/>
          <w:sz w:val="16"/>
          <w:szCs w:val="16"/>
          <w:lang w:val="en-US"/>
        </w:rPr>
        <w:t xml:space="preserve"> the Court considered that “</w:t>
      </w:r>
      <w:r w:rsidRPr="00FE50A6">
        <w:rPr>
          <w:rFonts w:cs="Times New Roman"/>
          <w:sz w:val="16"/>
          <w:szCs w:val="16"/>
          <w:u w:val="single"/>
          <w:lang w:val="en-US"/>
        </w:rPr>
        <w:t>extreme poverty</w:t>
      </w:r>
      <w:r w:rsidRPr="00FE50A6">
        <w:rPr>
          <w:rFonts w:cs="Times New Roman"/>
          <w:sz w:val="16"/>
          <w:szCs w:val="16"/>
          <w:lang w:val="en-US"/>
        </w:rPr>
        <w:t xml:space="preserve"> and the lack of adequate medical care for pregnant and post-partum women are causes of high maternal mortality and morbidity.” </w:t>
      </w:r>
      <w:r w:rsidRPr="00FE50A6">
        <w:rPr>
          <w:rFonts w:cs="Verdana"/>
          <w:bCs/>
          <w:i/>
          <w:sz w:val="16"/>
          <w:szCs w:val="16"/>
          <w:lang w:val="en-US"/>
        </w:rPr>
        <w:t>Case of the Xákmok Kásek Indigenous Community v. Paraguay. Merits, reparations and costs</w:t>
      </w:r>
      <w:r w:rsidRPr="00FE50A6">
        <w:rPr>
          <w:rFonts w:cs="Verdana"/>
          <w:bCs/>
          <w:sz w:val="16"/>
          <w:szCs w:val="16"/>
          <w:lang w:val="en-US"/>
        </w:rPr>
        <w:t>. Judgment of August 24, 2010. Series C No. 214, para.</w:t>
      </w:r>
      <w:r w:rsidRPr="00FE50A6">
        <w:rPr>
          <w:rFonts w:cs="Times New Roman"/>
          <w:sz w:val="16"/>
          <w:szCs w:val="16"/>
          <w:lang w:val="en-US"/>
        </w:rPr>
        <w:t xml:space="preserve"> 233.</w:t>
      </w:r>
    </w:p>
  </w:footnote>
  <w:footnote w:id="609">
    <w:p w14:paraId="6943CD1A" w14:textId="77777777" w:rsidR="00E70935" w:rsidRPr="00FE50A6" w:rsidRDefault="00E70935" w:rsidP="0005421E">
      <w:pPr>
        <w:tabs>
          <w:tab w:val="left" w:pos="720"/>
        </w:tabs>
        <w:spacing w:after="80"/>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Regarding “the multidimensionality of poverty” see: UN, </w:t>
      </w:r>
      <w:r w:rsidRPr="00FE50A6">
        <w:rPr>
          <w:i/>
          <w:sz w:val="16"/>
          <w:szCs w:val="16"/>
          <w:lang w:val="en-US"/>
        </w:rPr>
        <w:t>Report of the independent expert on the question of human rights and extreme poverty, Arjun Sengupta</w:t>
      </w:r>
      <w:r w:rsidRPr="00FE50A6">
        <w:rPr>
          <w:sz w:val="16"/>
          <w:szCs w:val="16"/>
          <w:lang w:val="en-US"/>
        </w:rPr>
        <w:t xml:space="preserve">, </w:t>
      </w:r>
      <w:r w:rsidRPr="00FE50A6">
        <w:rPr>
          <w:rFonts w:cs="Times"/>
          <w:sz w:val="16"/>
          <w:szCs w:val="16"/>
          <w:lang w:val="en-US"/>
        </w:rPr>
        <w:t xml:space="preserve">A/HRC/5/3, May 31, 2007, </w:t>
      </w:r>
      <w:r w:rsidRPr="00FE50A6">
        <w:rPr>
          <w:sz w:val="16"/>
          <w:szCs w:val="16"/>
          <w:lang w:val="en-US"/>
        </w:rPr>
        <w:t xml:space="preserve">paras. 6 to 11. </w:t>
      </w:r>
    </w:p>
  </w:footnote>
  <w:footnote w:id="610">
    <w:p w14:paraId="69204445" w14:textId="77777777" w:rsidR="00E70935" w:rsidRPr="00FE50A6" w:rsidRDefault="00E70935" w:rsidP="00CD003F">
      <w:pPr>
        <w:pStyle w:val="Prrafodelista"/>
        <w:tabs>
          <w:tab w:val="left" w:pos="709"/>
        </w:tabs>
        <w:spacing w:after="80"/>
        <w:ind w:left="0"/>
        <w:rPr>
          <w:rFonts w:cs="System Font Regula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System Font Regular"/>
          <w:color w:val="16191F"/>
          <w:sz w:val="16"/>
          <w:szCs w:val="16"/>
          <w:lang w:val="en-US"/>
        </w:rPr>
        <w:t>Similarly, the Committee on Economic, Social and Cultural Rights, in its General Comment No. 20, has indicated that the inclusion of</w:t>
      </w:r>
      <w:r w:rsidRPr="00FE50A6">
        <w:rPr>
          <w:sz w:val="16"/>
          <w:szCs w:val="16"/>
          <w:lang w:val="en-US"/>
        </w:rPr>
        <w:t xml:space="preserve"> “other status” indicates that this list is not exhaustive and other grounds may be incorporated [implicitly] in this category.” It has also stated </w:t>
      </w:r>
      <w:proofErr w:type="gramStart"/>
      <w:r w:rsidRPr="00FE50A6">
        <w:rPr>
          <w:sz w:val="16"/>
          <w:szCs w:val="16"/>
          <w:lang w:val="en-US"/>
        </w:rPr>
        <w:t>that  “</w:t>
      </w:r>
      <w:proofErr w:type="gramEnd"/>
      <w:r w:rsidRPr="00FE50A6">
        <w:rPr>
          <w:sz w:val="16"/>
          <w:szCs w:val="16"/>
          <w:lang w:val="en-US"/>
        </w:rPr>
        <w:t xml:space="preserve">the nature of discrimination varies according to context and evolves over time. A flexible approach to the ground of “other status” is thus needed in order to capture other forms of differential treatment that: (i) cannot be reasonably and objectively justified and (ii) </w:t>
      </w:r>
      <w:r w:rsidRPr="00FE50A6">
        <w:rPr>
          <w:i/>
          <w:sz w:val="16"/>
          <w:szCs w:val="16"/>
          <w:lang w:val="en-US"/>
        </w:rPr>
        <w:t>are of a comparable nature</w:t>
      </w:r>
      <w:r w:rsidRPr="00FE50A6">
        <w:rPr>
          <w:sz w:val="16"/>
          <w:szCs w:val="16"/>
          <w:lang w:val="en-US"/>
        </w:rPr>
        <w:t xml:space="preserve"> to the expressly recognized grounds […]. These additional grounds are commonly recognized when they reflect the experience of social groups that are vulnerable and have suffered and continue to suffer marginalization. The </w:t>
      </w:r>
      <w:r w:rsidRPr="00FE50A6">
        <w:rPr>
          <w:rFonts w:cs="System Font Regular"/>
          <w:sz w:val="16"/>
          <w:szCs w:val="16"/>
          <w:lang w:val="en-US"/>
        </w:rPr>
        <w:t xml:space="preserve">CESCR also indicated that “other possible prohibited grounds could include or result from the intersection of two or more prohibited grounds of [explicit or implicit] discrimination.” </w:t>
      </w:r>
      <w:r w:rsidRPr="00FE50A6">
        <w:rPr>
          <w:i/>
          <w:sz w:val="16"/>
          <w:szCs w:val="16"/>
          <w:lang w:val="en-US"/>
        </w:rPr>
        <w:t xml:space="preserve">Cf. </w:t>
      </w:r>
      <w:r w:rsidRPr="00FE50A6">
        <w:rPr>
          <w:sz w:val="16"/>
          <w:szCs w:val="16"/>
          <w:lang w:val="en-US"/>
        </w:rPr>
        <w:t xml:space="preserve">Committee on Economic, Social and Cultural Rights, General Comment No. 20, </w:t>
      </w:r>
      <w:r w:rsidRPr="00FE50A6">
        <w:rPr>
          <w:i/>
          <w:sz w:val="16"/>
          <w:szCs w:val="16"/>
          <w:lang w:val="en-US"/>
        </w:rPr>
        <w:t>Non-discrimination in economic, social and cultural rights (art. 2, para. 2, of the International Covenant on Economic, Social and Cultural Rights</w:t>
      </w:r>
      <w:r w:rsidRPr="00FE50A6">
        <w:rPr>
          <w:sz w:val="16"/>
          <w:szCs w:val="16"/>
          <w:lang w:val="en-US"/>
        </w:rPr>
        <w:t xml:space="preserve"> July 2, 2009, E/C.12/GC/20, </w:t>
      </w:r>
      <w:r w:rsidRPr="00FE50A6">
        <w:rPr>
          <w:rFonts w:cs="System Font Regular"/>
          <w:color w:val="16191F"/>
          <w:sz w:val="16"/>
          <w:szCs w:val="16"/>
          <w:lang w:val="en-US"/>
        </w:rPr>
        <w:t>paras. 15 and 27.</w:t>
      </w:r>
    </w:p>
  </w:footnote>
  <w:footnote w:id="611">
    <w:p w14:paraId="15E80581"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Cf.</w:t>
      </w:r>
      <w:r w:rsidRPr="00FE50A6">
        <w:t xml:space="preserve"> UN, </w:t>
      </w:r>
      <w:r w:rsidRPr="00FE50A6">
        <w:rPr>
          <w:i/>
        </w:rPr>
        <w:t xml:space="preserve">Report of the independent expert on the question of human rights and extreme poverty, Arjun Sengupta, </w:t>
      </w:r>
      <w:r w:rsidRPr="00FE50A6">
        <w:rPr>
          <w:rFonts w:cs="Times"/>
        </w:rPr>
        <w:t>A/HRC/5/3, May 31, 2007</w:t>
      </w:r>
      <w:r w:rsidRPr="00FE50A6">
        <w:t>, para. 9.</w:t>
      </w:r>
    </w:p>
  </w:footnote>
  <w:footnote w:id="612">
    <w:p w14:paraId="0127D1B3" w14:textId="77777777" w:rsidR="00E70935" w:rsidRPr="00FE50A6" w:rsidRDefault="00E70935" w:rsidP="00CD003F">
      <w:pPr>
        <w:widowControl w:val="0"/>
        <w:tabs>
          <w:tab w:val="left" w:pos="709"/>
        </w:tabs>
        <w:autoSpaceDE w:val="0"/>
        <w:autoSpaceDN w:val="0"/>
        <w:adjustRightInd w:val="0"/>
        <w:spacing w:after="80"/>
        <w:jc w:val="both"/>
        <w:rPr>
          <w:rFonts w:cs="Times"/>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sz w:val="16"/>
          <w:szCs w:val="16"/>
          <w:lang w:val="en-US"/>
        </w:rPr>
        <w:t>Cf.</w:t>
      </w:r>
      <w:r w:rsidRPr="00FE50A6">
        <w:rPr>
          <w:sz w:val="16"/>
          <w:szCs w:val="16"/>
          <w:lang w:val="en-US"/>
        </w:rPr>
        <w:t xml:space="preserve"> UN, </w:t>
      </w:r>
      <w:r w:rsidRPr="00FE50A6">
        <w:rPr>
          <w:rFonts w:cs="Times New Roman"/>
          <w:i/>
          <w:sz w:val="16"/>
          <w:szCs w:val="16"/>
          <w:lang w:val="en-US"/>
        </w:rPr>
        <w:t xml:space="preserve">Report of the Special Rapporteur </w:t>
      </w:r>
      <w:r w:rsidRPr="00FE50A6">
        <w:rPr>
          <w:rFonts w:eastAsia="Cambria" w:cs="Times New Roman"/>
          <w:i/>
          <w:sz w:val="16"/>
          <w:szCs w:val="16"/>
          <w:lang w:val="en-US"/>
        </w:rPr>
        <w:t>on trafficking in persons, especially women and children,</w:t>
      </w:r>
      <w:r w:rsidRPr="00FE50A6">
        <w:rPr>
          <w:rFonts w:cs="Times New Roman"/>
          <w:i/>
          <w:sz w:val="16"/>
          <w:szCs w:val="16"/>
          <w:lang w:val="en-US"/>
        </w:rPr>
        <w:t xml:space="preserve"> Joy Ngozi Ezeilo, </w:t>
      </w:r>
      <w:r w:rsidRPr="00FE50A6">
        <w:rPr>
          <w:rFonts w:cs="Times New Roman"/>
          <w:sz w:val="16"/>
          <w:szCs w:val="16"/>
          <w:lang w:val="en-US"/>
        </w:rPr>
        <w:t xml:space="preserve">August 6, 2014, A/69/269, paras. 12 and 17(f); UN, </w:t>
      </w:r>
      <w:r w:rsidRPr="00FE50A6">
        <w:rPr>
          <w:rFonts w:cs="Times"/>
          <w:i/>
          <w:sz w:val="16"/>
          <w:szCs w:val="16"/>
          <w:lang w:val="en-US"/>
        </w:rPr>
        <w:t>Report of the Special Rapporteur on trafficking in persons, especially women and children, Joy Ngozi Ezeilo</w:t>
      </w:r>
      <w:r w:rsidRPr="00FE50A6">
        <w:rPr>
          <w:rFonts w:cs="Times"/>
          <w:sz w:val="16"/>
          <w:szCs w:val="16"/>
          <w:lang w:val="en-US"/>
        </w:rPr>
        <w:t xml:space="preserve">, April 1, 2014, A/HRC/26/37, para. 41, and UN, </w:t>
      </w:r>
      <w:r w:rsidRPr="00FE50A6">
        <w:rPr>
          <w:rFonts w:cs="Times"/>
          <w:i/>
          <w:sz w:val="16"/>
          <w:szCs w:val="16"/>
          <w:lang w:val="en-US"/>
        </w:rPr>
        <w:t>Mandate of the Special Rapporteur on trafficking in persons, especially women and children</w:t>
      </w:r>
      <w:r w:rsidRPr="00FE50A6">
        <w:rPr>
          <w:rFonts w:cs="Times"/>
          <w:sz w:val="16"/>
          <w:szCs w:val="16"/>
          <w:lang w:val="en-US"/>
        </w:rPr>
        <w:t xml:space="preserve">, July 17, 2014 A/HRC/RES/26/8.  </w:t>
      </w:r>
    </w:p>
  </w:footnote>
  <w:footnote w:id="613">
    <w:p w14:paraId="6FA47D77"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UN, The </w:t>
      </w:r>
      <w:r w:rsidRPr="00FE50A6">
        <w:rPr>
          <w:rFonts w:eastAsia="Cambria" w:cs="Times"/>
          <w:szCs w:val="20"/>
        </w:rPr>
        <w:t>Guiding Principles on extreme poverty and human rights</w:t>
      </w:r>
      <w:r w:rsidRPr="00FE50A6">
        <w:t xml:space="preserve">, adopted by the Human Rights Council on September 27, 2012, Resolution 21/11, para. </w:t>
      </w:r>
      <w:r w:rsidRPr="00FE50A6">
        <w:rPr>
          <w:rFonts w:cs="Times"/>
        </w:rPr>
        <w:t>83.</w:t>
      </w:r>
    </w:p>
  </w:footnote>
  <w:footnote w:id="614">
    <w:p w14:paraId="146E3C57" w14:textId="77777777" w:rsidR="00E70935" w:rsidRPr="00FE50A6" w:rsidRDefault="00E70935" w:rsidP="00D85DC4">
      <w:pPr>
        <w:tabs>
          <w:tab w:val="left" w:pos="720"/>
        </w:tabs>
        <w:spacing w:after="80"/>
        <w:ind w:right="18"/>
        <w:jc w:val="both"/>
        <w:rP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w:t>
      </w:r>
      <w:r w:rsidRPr="00FE50A6">
        <w:rPr>
          <w:i/>
          <w:sz w:val="16"/>
          <w:szCs w:val="16"/>
          <w:lang w:val="en-US"/>
        </w:rPr>
        <w:t>Report of the Special Rapporteur on contemporary forms of slavery, including its causes and consequences, Gulnara Shahinian</w:t>
      </w:r>
      <w:r w:rsidRPr="00FE50A6">
        <w:rPr>
          <w:sz w:val="16"/>
          <w:szCs w:val="16"/>
          <w:lang w:val="en-US"/>
        </w:rPr>
        <w:t>. Promotion and protection of all human rights, civil, political, economic, social and cultural rights, including the right to development</w:t>
      </w:r>
      <w:r w:rsidRPr="00FE50A6">
        <w:rPr>
          <w:rFonts w:cs="Arial"/>
          <w:sz w:val="16"/>
          <w:szCs w:val="16"/>
          <w:lang w:val="en-US"/>
        </w:rPr>
        <w:t>.</w:t>
      </w:r>
      <w:r w:rsidRPr="00FE50A6">
        <w:rPr>
          <w:spacing w:val="-2"/>
          <w:sz w:val="16"/>
          <w:szCs w:val="16"/>
          <w:lang w:val="en-US"/>
        </w:rPr>
        <w:t xml:space="preserve">, </w:t>
      </w:r>
      <w:r w:rsidRPr="00FE50A6">
        <w:rPr>
          <w:rFonts w:cs="Times"/>
          <w:spacing w:val="-2"/>
          <w:sz w:val="16"/>
          <w:szCs w:val="16"/>
          <w:lang w:val="en-US"/>
        </w:rPr>
        <w:t>A/HRC/12/21,</w:t>
      </w:r>
      <w:r w:rsidRPr="00FE50A6">
        <w:rPr>
          <w:rFonts w:cs="Times"/>
          <w:sz w:val="16"/>
          <w:szCs w:val="16"/>
          <w:lang w:val="en-US"/>
        </w:rPr>
        <w:t xml:space="preserve"> </w:t>
      </w:r>
      <w:r w:rsidRPr="00FE50A6">
        <w:rPr>
          <w:rFonts w:cs="Times"/>
          <w:spacing w:val="-2"/>
          <w:sz w:val="16"/>
          <w:szCs w:val="16"/>
          <w:lang w:val="en-US"/>
        </w:rPr>
        <w:t>July 10, 2009,</w:t>
      </w:r>
      <w:r w:rsidRPr="00FE50A6">
        <w:rPr>
          <w:rFonts w:cs="Times"/>
          <w:sz w:val="16"/>
          <w:szCs w:val="16"/>
          <w:lang w:val="en-US"/>
        </w:rPr>
        <w:t xml:space="preserve"> para. 48.</w:t>
      </w:r>
    </w:p>
  </w:footnote>
  <w:footnote w:id="615">
    <w:p w14:paraId="640D893B" w14:textId="77777777" w:rsidR="00E70935" w:rsidRPr="00FE50A6" w:rsidRDefault="00E70935" w:rsidP="00D85DC4">
      <w:pPr>
        <w:widowControl w:val="0"/>
        <w:tabs>
          <w:tab w:val="left" w:pos="720"/>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w:t>
      </w:r>
      <w:r w:rsidRPr="00FE50A6">
        <w:rPr>
          <w:i/>
          <w:sz w:val="16"/>
          <w:szCs w:val="16"/>
          <w:lang w:val="en-US"/>
        </w:rPr>
        <w:t>Report of the Special Rapporteur on contemporary forms of slavery, including its causes and consequences, Gulnara Shahinian</w:t>
      </w:r>
      <w:r w:rsidRPr="00FE50A6">
        <w:rPr>
          <w:sz w:val="16"/>
          <w:szCs w:val="16"/>
          <w:lang w:val="en-US"/>
        </w:rPr>
        <w:t xml:space="preserve">. </w:t>
      </w:r>
      <w:r w:rsidRPr="00FE50A6">
        <w:rPr>
          <w:rFonts w:cs="Arial"/>
          <w:sz w:val="16"/>
          <w:szCs w:val="16"/>
          <w:lang w:val="en-US"/>
        </w:rPr>
        <w:t xml:space="preserve">Thematic report on challenges and lessons in combating contemporary forms of </w:t>
      </w:r>
      <w:proofErr w:type="gramStart"/>
      <w:r w:rsidRPr="00FE50A6">
        <w:rPr>
          <w:sz w:val="16"/>
          <w:szCs w:val="16"/>
          <w:lang w:val="en-US"/>
        </w:rPr>
        <w:t>slavery,  July</w:t>
      </w:r>
      <w:proofErr w:type="gramEnd"/>
      <w:r w:rsidRPr="00FE50A6">
        <w:rPr>
          <w:sz w:val="16"/>
          <w:szCs w:val="16"/>
          <w:lang w:val="en-US"/>
        </w:rPr>
        <w:t xml:space="preserve"> 1, 2013, </w:t>
      </w:r>
      <w:r w:rsidRPr="00FE50A6">
        <w:rPr>
          <w:rFonts w:cs="Times"/>
          <w:sz w:val="16"/>
          <w:szCs w:val="16"/>
          <w:lang w:val="en-US"/>
        </w:rPr>
        <w:t>A/HRC/24/43, para.  38.</w:t>
      </w:r>
    </w:p>
  </w:footnote>
  <w:footnote w:id="616">
    <w:p w14:paraId="76567C0A"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rFonts w:cs="Verdana"/>
          <w:bCs/>
          <w:i/>
        </w:rPr>
        <w:t xml:space="preserve">Case of Gonzales Lluy et al. v. Ecuador. Preliminary objections, merits, reparations and costs. </w:t>
      </w:r>
      <w:r w:rsidRPr="00FE50A6">
        <w:rPr>
          <w:rFonts w:cs="Verdana"/>
          <w:bCs/>
        </w:rPr>
        <w:t xml:space="preserve">Judgment of September 1, 2015. Series C No. 298, para. 290. </w:t>
      </w:r>
    </w:p>
  </w:footnote>
  <w:footnote w:id="617">
    <w:p w14:paraId="6EE18324"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See: </w:t>
      </w:r>
      <w:r w:rsidRPr="00FE50A6">
        <w:rPr>
          <w:rFonts w:cs="Verdana"/>
          <w:bCs/>
        </w:rPr>
        <w:t xml:space="preserve">I/A Court HR. </w:t>
      </w:r>
      <w:r w:rsidRPr="00FE50A6">
        <w:rPr>
          <w:rFonts w:cs="Verdana"/>
          <w:bCs/>
          <w:i/>
          <w:lang w:val="es-CR"/>
        </w:rPr>
        <w:t xml:space="preserve">Case of Artavia Murillo et al. </w:t>
      </w:r>
      <w:r w:rsidRPr="00FE50A6">
        <w:rPr>
          <w:rFonts w:cs="Verdana"/>
          <w:bCs/>
          <w:i/>
        </w:rPr>
        <w:t>(“In vitro fertilization”) v. Costa Rica. Preliminary objections, merits, reparations and costs.</w:t>
      </w:r>
      <w:r w:rsidRPr="00FE50A6">
        <w:rPr>
          <w:rFonts w:cs="Verdana"/>
          <w:bCs/>
        </w:rPr>
        <w:t xml:space="preserve"> Judgment of November 28, 2012. Series C No. 257, </w:t>
      </w:r>
      <w:proofErr w:type="gramStart"/>
      <w:r w:rsidRPr="00FE50A6">
        <w:rPr>
          <w:rFonts w:cs="Verdana"/>
          <w:bCs/>
        </w:rPr>
        <w:t xml:space="preserve">and  </w:t>
      </w:r>
      <w:r w:rsidRPr="00FE50A6">
        <w:rPr>
          <w:rFonts w:cs="Verdana"/>
          <w:bCs/>
          <w:i/>
        </w:rPr>
        <w:t>Case</w:t>
      </w:r>
      <w:proofErr w:type="gramEnd"/>
      <w:r w:rsidRPr="00FE50A6">
        <w:rPr>
          <w:rFonts w:cs="Verdana"/>
          <w:bCs/>
          <w:i/>
        </w:rPr>
        <w:t xml:space="preserve"> of Gonzales Lluy et al. v. Ecuador. Preliminary objections, merits, reparations and costs</w:t>
      </w:r>
      <w:r w:rsidRPr="00FE50A6">
        <w:rPr>
          <w:rFonts w:cs="Verdana"/>
          <w:bCs/>
        </w:rPr>
        <w:t>. Judgment of September 1, 2015. Series C No. 298.</w:t>
      </w:r>
    </w:p>
  </w:footnote>
  <w:footnote w:id="618">
    <w:p w14:paraId="5C70F17D" w14:textId="77777777" w:rsidR="00E70935" w:rsidRPr="00FE50A6" w:rsidRDefault="00E70935" w:rsidP="00CD003F">
      <w:pPr>
        <w:pStyle w:val="Textonotapie"/>
        <w:tabs>
          <w:tab w:val="left" w:pos="709"/>
        </w:tabs>
        <w:spacing w:after="80"/>
        <w:rPr>
          <w:lang w:val="es-CR"/>
        </w:rPr>
      </w:pPr>
      <w:r w:rsidRPr="00FE50A6">
        <w:rPr>
          <w:rStyle w:val="Refdenotaalpie"/>
        </w:rPr>
        <w:footnoteRef/>
      </w:r>
      <w:r w:rsidRPr="00FE50A6">
        <w:rPr>
          <w:lang w:val="es-CR"/>
        </w:rPr>
        <w:t xml:space="preserve"> </w:t>
      </w:r>
      <w:r w:rsidRPr="00FE50A6">
        <w:rPr>
          <w:lang w:val="es-CR"/>
        </w:rPr>
        <w:tab/>
      </w:r>
      <w:r w:rsidRPr="00FE50A6">
        <w:rPr>
          <w:spacing w:val="-2"/>
          <w:lang w:val="es-CR"/>
        </w:rPr>
        <w:t>Maurino, Gustavo, “</w:t>
      </w:r>
      <w:r w:rsidRPr="00FE50A6">
        <w:rPr>
          <w:i/>
          <w:lang w:val="es-CR"/>
        </w:rPr>
        <w:t>Pobreza y discriminación: la protección constitucional para los más humildes</w:t>
      </w:r>
      <w:r w:rsidRPr="00FE50A6">
        <w:rPr>
          <w:lang w:val="es-CR"/>
        </w:rPr>
        <w:t>”</w:t>
      </w:r>
      <w:r w:rsidRPr="00FE50A6">
        <w:rPr>
          <w:i/>
          <w:lang w:val="es-CR"/>
        </w:rPr>
        <w:t xml:space="preserve">, </w:t>
      </w:r>
      <w:r w:rsidRPr="00FE50A6">
        <w:rPr>
          <w:spacing w:val="-2"/>
          <w:lang w:val="es-CR"/>
        </w:rPr>
        <w:t>in Alegre, Marcelo and Gargarella, Roberto (Coords.),</w:t>
      </w:r>
      <w:r w:rsidRPr="00FE50A6">
        <w:rPr>
          <w:lang w:val="es-CR"/>
        </w:rPr>
        <w:t xml:space="preserve"> </w:t>
      </w:r>
      <w:r w:rsidRPr="00FE50A6">
        <w:rPr>
          <w:i/>
          <w:lang w:val="es-CR"/>
        </w:rPr>
        <w:t>El derecho a la igualdad. Aportes para un constitucionalismo igualitario</w:t>
      </w:r>
      <w:r w:rsidRPr="00FE50A6">
        <w:rPr>
          <w:i/>
          <w:spacing w:val="-2"/>
          <w:lang w:val="es-CR"/>
        </w:rPr>
        <w:t xml:space="preserve">, </w:t>
      </w:r>
      <w:r w:rsidRPr="00FE50A6">
        <w:rPr>
          <w:spacing w:val="-2"/>
          <w:lang w:val="es-CR"/>
        </w:rPr>
        <w:t>2nd ed., Buenos Aires, Abeledo Perrot-Igualitaria-ACIJ, 2012, pp. 265-295 (on page 284).</w:t>
      </w:r>
    </w:p>
  </w:footnote>
  <w:footnote w:id="619">
    <w:p w14:paraId="73ED3A86"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Cf.</w:t>
      </w:r>
      <w:r w:rsidRPr="00FE50A6">
        <w:t xml:space="preserve"> UN, </w:t>
      </w:r>
      <w:r w:rsidRPr="00FE50A6">
        <w:rPr>
          <w:rFonts w:cs="Optima"/>
        </w:rPr>
        <w:t xml:space="preserve">Economic Commission for Latin America and the Caribbean (ECLAC), </w:t>
      </w:r>
      <w:r w:rsidRPr="00FE50A6">
        <w:rPr>
          <w:rFonts w:cs="Optima"/>
          <w:i/>
          <w:iCs/>
        </w:rPr>
        <w:t>Social Panorama of Latin America, 2015</w:t>
      </w:r>
      <w:r w:rsidRPr="00FE50A6">
        <w:rPr>
          <w:rFonts w:cs="Optima"/>
        </w:rPr>
        <w:t>, (LC/G.2691-P), Santiago, 2016, pp. 20 and 21.</w:t>
      </w:r>
    </w:p>
  </w:footnote>
  <w:footnote w:id="620">
    <w:p w14:paraId="6EEB1905" w14:textId="77777777" w:rsidR="00E70935" w:rsidRPr="00FE50A6" w:rsidRDefault="00E70935" w:rsidP="00CD003F">
      <w:pPr>
        <w:shd w:val="clear" w:color="auto" w:fill="FFFFFF"/>
        <w:tabs>
          <w:tab w:val="left" w:pos="709"/>
        </w:tabs>
        <w:spacing w:after="80"/>
        <w:jc w:val="both"/>
        <w:rPr>
          <w:rFonts w:cs="Times"/>
          <w:i/>
          <w:iCs/>
          <w:sz w:val="16"/>
          <w:szCs w:val="16"/>
          <w:lang w:val="en-US"/>
        </w:rPr>
      </w:pPr>
      <w:r w:rsidRPr="00FE50A6">
        <w:rPr>
          <w:rStyle w:val="Refdenotaalpie"/>
          <w:sz w:val="16"/>
          <w:szCs w:val="16"/>
          <w:lang w:val="en-US"/>
        </w:rPr>
        <w:footnoteRef/>
      </w:r>
      <w:r w:rsidRPr="00FE50A6">
        <w:rPr>
          <w:i/>
          <w:sz w:val="16"/>
          <w:szCs w:val="16"/>
          <w:lang w:val="en-US"/>
        </w:rPr>
        <w:tab/>
        <w:t>Cf.</w:t>
      </w:r>
      <w:r w:rsidRPr="00FE50A6">
        <w:rPr>
          <w:sz w:val="16"/>
          <w:szCs w:val="16"/>
          <w:lang w:val="en-US"/>
        </w:rPr>
        <w:t xml:space="preserve"> ECHR </w:t>
      </w:r>
      <w:r w:rsidRPr="00FE50A6">
        <w:rPr>
          <w:rFonts w:cs="Times"/>
          <w:i/>
          <w:iCs/>
          <w:sz w:val="16"/>
          <w:szCs w:val="16"/>
          <w:lang w:val="en-US"/>
        </w:rPr>
        <w:t>Broniowski v. Poland</w:t>
      </w:r>
      <w:r w:rsidRPr="00FE50A6">
        <w:rPr>
          <w:rFonts w:cs="Times"/>
          <w:i/>
          <w:iCs/>
          <w:spacing w:val="-2"/>
          <w:sz w:val="16"/>
          <w:szCs w:val="16"/>
          <w:lang w:val="en-US"/>
        </w:rPr>
        <w:t xml:space="preserve">, </w:t>
      </w:r>
      <w:r w:rsidRPr="00FE50A6">
        <w:rPr>
          <w:rFonts w:cs="Times"/>
          <w:spacing w:val="-2"/>
          <w:sz w:val="16"/>
          <w:szCs w:val="16"/>
          <w:lang w:val="en-US"/>
        </w:rPr>
        <w:t>No. 31443/96, Judgment of June 22, 2004, paras.</w:t>
      </w:r>
      <w:r w:rsidRPr="00FE50A6">
        <w:rPr>
          <w:rFonts w:cs="Times"/>
          <w:color w:val="FF0000"/>
          <w:spacing w:val="-2"/>
          <w:sz w:val="16"/>
          <w:szCs w:val="16"/>
          <w:lang w:val="en-US"/>
        </w:rPr>
        <w:t xml:space="preserve"> </w:t>
      </w:r>
      <w:r w:rsidRPr="00FE50A6">
        <w:rPr>
          <w:rFonts w:cs="Arial"/>
          <w:color w:val="000000"/>
          <w:spacing w:val="-2"/>
          <w:sz w:val="16"/>
          <w:szCs w:val="16"/>
          <w:lang w:val="en-US"/>
        </w:rPr>
        <w:t>190 and 191</w:t>
      </w:r>
      <w:r w:rsidRPr="00FE50A6">
        <w:rPr>
          <w:rFonts w:cs="Arial"/>
          <w:color w:val="000000"/>
          <w:sz w:val="16"/>
          <w:szCs w:val="16"/>
          <w:lang w:val="en-US"/>
        </w:rPr>
        <w:t>.</w:t>
      </w:r>
    </w:p>
  </w:footnote>
  <w:footnote w:id="621">
    <w:p w14:paraId="4C2BB5D9" w14:textId="77777777" w:rsidR="00E70935" w:rsidRPr="00FE50A6" w:rsidRDefault="00E70935" w:rsidP="00CD003F">
      <w:pPr>
        <w:widowControl w:val="0"/>
        <w:tabs>
          <w:tab w:val="left" w:pos="709"/>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As legal grounds, the European Court has used Article 46(1) according to which States undertake to abide by the final judgment of the Court in any case to which they are parties</w:t>
      </w:r>
      <w:r w:rsidRPr="00FE50A6">
        <w:rPr>
          <w:rFonts w:cs="Times"/>
          <w:sz w:val="16"/>
          <w:szCs w:val="16"/>
          <w:lang w:val="en-US"/>
        </w:rPr>
        <w:t>. Also, Article 1 which establishes the general obligation of the States to respect human rights and Article 19 which establishes that the function of the Court is to ensure that States observe the engagements undertaken under the Convention.</w:t>
      </w:r>
    </w:p>
  </w:footnote>
  <w:footnote w:id="622">
    <w:p w14:paraId="43EC285D" w14:textId="77777777" w:rsidR="00E70935" w:rsidRPr="00FE50A6" w:rsidRDefault="00E70935" w:rsidP="001A046C">
      <w:pPr>
        <w:shd w:val="clear" w:color="auto" w:fill="FFFFFF"/>
        <w:tabs>
          <w:tab w:val="left" w:pos="709"/>
        </w:tabs>
        <w:jc w:val="both"/>
        <w:rPr>
          <w:rFonts w:cs="Arial"/>
          <w:color w:val="000000"/>
          <w:sz w:val="16"/>
          <w:szCs w:val="16"/>
          <w:lang w:val="en-US"/>
        </w:rPr>
      </w:pPr>
      <w:r w:rsidRPr="00FE50A6">
        <w:rPr>
          <w:rStyle w:val="Refdenotaalpie"/>
          <w:sz w:val="16"/>
          <w:szCs w:val="16"/>
        </w:rPr>
        <w:footnoteRef/>
      </w:r>
      <w:r w:rsidRPr="00FE50A6">
        <w:rPr>
          <w:sz w:val="16"/>
          <w:szCs w:val="16"/>
          <w:lang w:val="en-US"/>
        </w:rPr>
        <w:t xml:space="preserve"> </w:t>
      </w:r>
      <w:r w:rsidRPr="00FE50A6">
        <w:rPr>
          <w:sz w:val="16"/>
          <w:szCs w:val="16"/>
          <w:lang w:val="en-US"/>
        </w:rPr>
        <w:tab/>
        <w:t xml:space="preserve">Regarding the implications of a pilot judgment, the ECHR has considered that such judgments are based on the existence of a widespread, systemic problem as a consequence of which a whole class of persons has been adversely affected. Thus, the so-called general measures taken at the national level must take into account all those affected and remedy the systemic underlying the Court’s finding of a violation. In this way, pilot judgments are a judicial approach used by the ECHR to remedy systemic and structural problems in domestic legal systems. </w:t>
      </w:r>
      <w:r w:rsidRPr="00FE50A6">
        <w:rPr>
          <w:i/>
          <w:sz w:val="16"/>
          <w:szCs w:val="16"/>
          <w:lang w:val="en-US"/>
        </w:rPr>
        <w:t>Cf.</w:t>
      </w:r>
      <w:r w:rsidRPr="00FE50A6">
        <w:rPr>
          <w:sz w:val="16"/>
          <w:szCs w:val="16"/>
          <w:lang w:val="en-US"/>
        </w:rPr>
        <w:t xml:space="preserve"> ECHR, </w:t>
      </w:r>
      <w:r w:rsidRPr="00FE50A6">
        <w:rPr>
          <w:rFonts w:cs="Times"/>
          <w:i/>
          <w:iCs/>
          <w:sz w:val="16"/>
          <w:szCs w:val="16"/>
          <w:lang w:val="en-US"/>
        </w:rPr>
        <w:t>Broniowski v. Poland,</w:t>
      </w:r>
      <w:r w:rsidRPr="00FE50A6">
        <w:rPr>
          <w:rFonts w:cs="Times"/>
          <w:iCs/>
          <w:sz w:val="16"/>
          <w:szCs w:val="16"/>
          <w:lang w:val="en-US"/>
        </w:rPr>
        <w:t xml:space="preserve"> No. </w:t>
      </w:r>
      <w:r w:rsidRPr="00FE50A6">
        <w:rPr>
          <w:rFonts w:cs="Times"/>
          <w:sz w:val="16"/>
          <w:szCs w:val="16"/>
          <w:lang w:val="en-US"/>
        </w:rPr>
        <w:t>31443/96, Judgment (Friendly settlement), of September 28, 2005, paras.</w:t>
      </w:r>
      <w:r w:rsidRPr="00FE50A6">
        <w:rPr>
          <w:rFonts w:cs="Times"/>
          <w:color w:val="FF0000"/>
          <w:sz w:val="16"/>
          <w:szCs w:val="16"/>
          <w:lang w:val="en-US"/>
        </w:rPr>
        <w:t xml:space="preserve"> </w:t>
      </w:r>
      <w:r w:rsidRPr="00FE50A6">
        <w:rPr>
          <w:sz w:val="16"/>
          <w:szCs w:val="16"/>
          <w:lang w:val="en-US"/>
        </w:rPr>
        <w:t xml:space="preserve">34 and 35. </w:t>
      </w:r>
    </w:p>
    <w:p w14:paraId="55D54C27" w14:textId="77777777" w:rsidR="00E70935" w:rsidRPr="00FE50A6" w:rsidRDefault="00E70935" w:rsidP="001A046C">
      <w:pPr>
        <w:pStyle w:val="Textonotapie"/>
        <w:tabs>
          <w:tab w:val="left" w:pos="709"/>
        </w:tabs>
        <w:spacing w:after="0"/>
      </w:pPr>
    </w:p>
  </w:footnote>
  <w:footnote w:id="623">
    <w:p w14:paraId="72D7623C" w14:textId="77777777" w:rsidR="00E70935" w:rsidRPr="00FE50A6" w:rsidRDefault="00E70935" w:rsidP="00CD003F">
      <w:pPr>
        <w:shd w:val="clear" w:color="auto" w:fill="FFFFFF"/>
        <w:tabs>
          <w:tab w:val="left" w:pos="709"/>
        </w:tabs>
        <w:spacing w:after="80"/>
        <w:jc w:val="both"/>
        <w:rPr>
          <w:rFonts w:cs="Arial"/>
          <w:color w:val="000000"/>
          <w:sz w:val="16"/>
          <w:szCs w:val="16"/>
          <w:lang w:val="en-US"/>
        </w:rPr>
      </w:pPr>
      <w:r w:rsidRPr="00FE50A6">
        <w:rPr>
          <w:rStyle w:val="Refdenotaalpie"/>
          <w:sz w:val="16"/>
          <w:szCs w:val="16"/>
          <w:lang w:val="en-US"/>
        </w:rPr>
        <w:footnoteRef/>
      </w:r>
      <w:r w:rsidRPr="009F2A41">
        <w:rPr>
          <w:sz w:val="16"/>
          <w:szCs w:val="16"/>
          <w:lang w:val="en-US"/>
        </w:rPr>
        <w:t xml:space="preserve"> </w:t>
      </w:r>
      <w:r w:rsidRPr="009F2A41">
        <w:rPr>
          <w:i/>
          <w:sz w:val="16"/>
          <w:szCs w:val="16"/>
          <w:lang w:val="en-US"/>
        </w:rPr>
        <w:t>Cf.</w:t>
      </w:r>
      <w:r w:rsidRPr="009F2A41">
        <w:rPr>
          <w:sz w:val="16"/>
          <w:szCs w:val="16"/>
          <w:lang w:val="en-US"/>
        </w:rPr>
        <w:t xml:space="preserve"> ECHR </w:t>
      </w:r>
      <w:r w:rsidRPr="009F2A41">
        <w:rPr>
          <w:rFonts w:cs="Times"/>
          <w:i/>
          <w:iCs/>
          <w:sz w:val="16"/>
          <w:szCs w:val="16"/>
          <w:lang w:val="en-US"/>
        </w:rPr>
        <w:t xml:space="preserve">Broniowski v. Poland, </w:t>
      </w:r>
      <w:r w:rsidRPr="009F2A41">
        <w:rPr>
          <w:rFonts w:cs="Times"/>
          <w:sz w:val="16"/>
          <w:szCs w:val="16"/>
          <w:lang w:val="en-US"/>
        </w:rPr>
        <w:t>No. 31443/96, Judgment of June 22, 2004, para.</w:t>
      </w:r>
      <w:r w:rsidRPr="009F2A41">
        <w:rPr>
          <w:rFonts w:cs="Times"/>
          <w:color w:val="FF0000"/>
          <w:sz w:val="16"/>
          <w:szCs w:val="16"/>
          <w:lang w:val="en-US"/>
        </w:rPr>
        <w:t xml:space="preserve"> </w:t>
      </w:r>
      <w:r w:rsidRPr="00FE50A6">
        <w:rPr>
          <w:rFonts w:cs="Arial"/>
          <w:color w:val="000000"/>
          <w:sz w:val="16"/>
          <w:szCs w:val="16"/>
          <w:lang w:val="en-US"/>
        </w:rPr>
        <w:t>189.</w:t>
      </w:r>
    </w:p>
  </w:footnote>
  <w:footnote w:id="624">
    <w:p w14:paraId="4BE0917B" w14:textId="77777777" w:rsidR="00E70935" w:rsidRPr="00FE50A6" w:rsidRDefault="00E70935" w:rsidP="005A0FD9">
      <w:pPr>
        <w:widowControl w:val="0"/>
        <w:autoSpaceDE w:val="0"/>
        <w:autoSpaceDN w:val="0"/>
        <w:adjustRightInd w:val="0"/>
        <w:spacing w:after="80"/>
        <w:jc w:val="both"/>
        <w:rPr>
          <w:rFonts w:ascii="Times" w:hAnsi="Times" w:cs="Times"/>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See, </w:t>
      </w:r>
      <w:r w:rsidRPr="00FE50A6">
        <w:rPr>
          <w:i/>
          <w:sz w:val="16"/>
          <w:szCs w:val="16"/>
          <w:lang w:val="en-US"/>
        </w:rPr>
        <w:t>inter alia</w:t>
      </w:r>
      <w:r w:rsidRPr="00FE50A6">
        <w:rPr>
          <w:sz w:val="16"/>
          <w:szCs w:val="16"/>
          <w:lang w:val="en-US"/>
        </w:rPr>
        <w:t xml:space="preserve">: </w:t>
      </w:r>
      <w:r w:rsidRPr="00FE50A6">
        <w:rPr>
          <w:rFonts w:cs="Times"/>
          <w:i/>
          <w:iCs/>
          <w:sz w:val="16"/>
          <w:szCs w:val="16"/>
          <w:lang w:val="en-US"/>
        </w:rPr>
        <w:t xml:space="preserve">1. Case of Broniowski v. Poland, </w:t>
      </w:r>
      <w:r w:rsidRPr="00FE50A6">
        <w:rPr>
          <w:rFonts w:cs="Times"/>
          <w:sz w:val="16"/>
          <w:szCs w:val="16"/>
          <w:lang w:val="en-US"/>
        </w:rPr>
        <w:t xml:space="preserve">No. 31443/96, Judgment of June 22, 2004; </w:t>
      </w:r>
      <w:r w:rsidRPr="00FE50A6">
        <w:rPr>
          <w:rFonts w:cs="Times"/>
          <w:iCs/>
          <w:sz w:val="16"/>
          <w:szCs w:val="16"/>
          <w:lang w:val="en-US"/>
        </w:rPr>
        <w:t xml:space="preserve">2. </w:t>
      </w:r>
      <w:r w:rsidRPr="00FE50A6">
        <w:rPr>
          <w:rFonts w:cs="Times"/>
          <w:i/>
          <w:iCs/>
          <w:sz w:val="16"/>
          <w:szCs w:val="16"/>
          <w:lang w:val="en-US"/>
        </w:rPr>
        <w:t>Case of Hutten-Czapska v. Poland</w:t>
      </w:r>
      <w:r w:rsidRPr="00FE50A6">
        <w:rPr>
          <w:rFonts w:cs="Times"/>
          <w:sz w:val="16"/>
          <w:szCs w:val="16"/>
          <w:lang w:val="en-US"/>
        </w:rPr>
        <w:t xml:space="preserve">, No. 35014/97, Judgment of June 19, 2006; </w:t>
      </w:r>
      <w:r w:rsidRPr="00FE50A6">
        <w:rPr>
          <w:rFonts w:cs="Times"/>
          <w:iCs/>
          <w:sz w:val="16"/>
          <w:szCs w:val="16"/>
          <w:lang w:val="en-US"/>
        </w:rPr>
        <w:t>3.</w:t>
      </w:r>
      <w:r w:rsidRPr="00FE50A6">
        <w:rPr>
          <w:rFonts w:cs="Times"/>
          <w:i/>
          <w:iCs/>
          <w:sz w:val="16"/>
          <w:szCs w:val="16"/>
          <w:lang w:val="en-US"/>
        </w:rPr>
        <w:t xml:space="preserve"> Case of Sejdovic v. Italy</w:t>
      </w:r>
      <w:r w:rsidRPr="00FE50A6">
        <w:rPr>
          <w:rFonts w:cs="Times"/>
          <w:sz w:val="16"/>
          <w:szCs w:val="16"/>
          <w:lang w:val="en-US"/>
        </w:rPr>
        <w:t xml:space="preserve">, No. 56581/00, Judgment of November 10, 2004; </w:t>
      </w:r>
      <w:r w:rsidRPr="00FE50A6">
        <w:rPr>
          <w:rFonts w:cs="Times"/>
          <w:iCs/>
          <w:sz w:val="16"/>
          <w:szCs w:val="16"/>
          <w:lang w:val="en-US"/>
        </w:rPr>
        <w:t xml:space="preserve">4. </w:t>
      </w:r>
      <w:r w:rsidRPr="00FE50A6">
        <w:rPr>
          <w:rFonts w:cs="Times"/>
          <w:i/>
          <w:iCs/>
          <w:sz w:val="16"/>
          <w:szCs w:val="16"/>
          <w:lang w:val="en-US"/>
        </w:rPr>
        <w:t xml:space="preserve">Case of Burdov (No. 2) v. Russia, </w:t>
      </w:r>
      <w:r w:rsidRPr="00FE50A6">
        <w:rPr>
          <w:rFonts w:cs="Times"/>
          <w:iCs/>
          <w:sz w:val="16"/>
          <w:szCs w:val="16"/>
          <w:lang w:val="en-US"/>
        </w:rPr>
        <w:t>No</w:t>
      </w:r>
      <w:r w:rsidRPr="00FE50A6">
        <w:rPr>
          <w:rFonts w:cs="Times"/>
          <w:sz w:val="16"/>
          <w:szCs w:val="16"/>
          <w:lang w:val="en-US"/>
        </w:rPr>
        <w:t xml:space="preserve">. 33509/04, Judgment of January 15, 2009; </w:t>
      </w:r>
      <w:r w:rsidRPr="00FE50A6">
        <w:rPr>
          <w:bCs/>
          <w:sz w:val="16"/>
          <w:szCs w:val="16"/>
          <w:lang w:val="en-US"/>
        </w:rPr>
        <w:t xml:space="preserve">5. Case of </w:t>
      </w:r>
      <w:r w:rsidRPr="00FE50A6">
        <w:rPr>
          <w:bCs/>
          <w:i/>
          <w:sz w:val="16"/>
          <w:szCs w:val="16"/>
          <w:lang w:val="en-US"/>
        </w:rPr>
        <w:t>Suljagic v. Bosnia and Herzegovina</w:t>
      </w:r>
      <w:r w:rsidRPr="00FE50A6">
        <w:rPr>
          <w:bCs/>
          <w:sz w:val="16"/>
          <w:szCs w:val="16"/>
          <w:lang w:val="en-US"/>
        </w:rPr>
        <w:t xml:space="preserve">, No. </w:t>
      </w:r>
      <w:r w:rsidRPr="00FE50A6">
        <w:rPr>
          <w:rFonts w:cs="Arial"/>
          <w:sz w:val="16"/>
          <w:szCs w:val="16"/>
          <w:lang w:val="en-US"/>
        </w:rPr>
        <w:t>27912/02,</w:t>
      </w:r>
      <w:r w:rsidRPr="00FE50A6">
        <w:rPr>
          <w:bCs/>
          <w:sz w:val="16"/>
          <w:szCs w:val="16"/>
          <w:lang w:val="en-US"/>
        </w:rPr>
        <w:t xml:space="preserve"> Judgment of November 3, 2009; </w:t>
      </w:r>
      <w:r w:rsidRPr="00FE50A6">
        <w:rPr>
          <w:rFonts w:cs="Times"/>
          <w:sz w:val="16"/>
          <w:szCs w:val="16"/>
          <w:lang w:val="en-US"/>
        </w:rPr>
        <w:t xml:space="preserve"> </w:t>
      </w:r>
      <w:r w:rsidRPr="00FE50A6">
        <w:rPr>
          <w:rFonts w:cs="Times"/>
          <w:iCs/>
          <w:sz w:val="16"/>
          <w:szCs w:val="16"/>
          <w:lang w:val="en-US"/>
        </w:rPr>
        <w:t>6.</w:t>
      </w:r>
      <w:r w:rsidRPr="00FE50A6">
        <w:rPr>
          <w:rFonts w:cs="Times"/>
          <w:i/>
          <w:iCs/>
          <w:sz w:val="16"/>
          <w:szCs w:val="16"/>
          <w:lang w:val="en-US"/>
        </w:rPr>
        <w:t xml:space="preserve"> Case of Olaru et al. v. Moldavia</w:t>
      </w:r>
      <w:r w:rsidRPr="00FE50A6">
        <w:rPr>
          <w:rFonts w:cs="Times"/>
          <w:sz w:val="16"/>
          <w:szCs w:val="16"/>
          <w:lang w:val="en-US"/>
        </w:rPr>
        <w:t xml:space="preserve">, No. 476/07, 22539/05, 17911/08 and 13136/07, Judgment of July 28, 2009; </w:t>
      </w:r>
      <w:r w:rsidRPr="00FE50A6">
        <w:rPr>
          <w:rFonts w:cs="Times"/>
          <w:iCs/>
          <w:sz w:val="16"/>
          <w:szCs w:val="16"/>
          <w:lang w:val="en-US"/>
        </w:rPr>
        <w:t>7.</w:t>
      </w:r>
      <w:r w:rsidRPr="00FE50A6">
        <w:rPr>
          <w:rFonts w:cs="Times"/>
          <w:i/>
          <w:iCs/>
          <w:sz w:val="16"/>
          <w:szCs w:val="16"/>
          <w:lang w:val="en-US"/>
        </w:rPr>
        <w:t xml:space="preserve"> Case of Yurig Nikolayevich Ivanov v. Ukraine</w:t>
      </w:r>
      <w:r w:rsidRPr="00FE50A6">
        <w:rPr>
          <w:rFonts w:cs="Times"/>
          <w:sz w:val="16"/>
          <w:szCs w:val="16"/>
          <w:lang w:val="en-US"/>
        </w:rPr>
        <w:t xml:space="preserve">, No. 40450/04, Judgment of October 15, 2009; </w:t>
      </w:r>
      <w:r w:rsidRPr="00FE50A6">
        <w:rPr>
          <w:bCs/>
          <w:sz w:val="16"/>
          <w:szCs w:val="16"/>
          <w:lang w:val="en-US"/>
        </w:rPr>
        <w:t xml:space="preserve">8. Case of </w:t>
      </w:r>
      <w:r w:rsidRPr="00FE50A6">
        <w:rPr>
          <w:bCs/>
          <w:i/>
          <w:sz w:val="16"/>
          <w:szCs w:val="16"/>
          <w:lang w:val="en-US"/>
        </w:rPr>
        <w:t xml:space="preserve">Rumpf v. Germany, </w:t>
      </w:r>
      <w:r w:rsidRPr="00FE50A6">
        <w:rPr>
          <w:bCs/>
          <w:sz w:val="16"/>
          <w:szCs w:val="16"/>
          <w:lang w:val="en-US"/>
        </w:rPr>
        <w:t xml:space="preserve">No. 46344/06, Judgment of September 2, 2010; 9. </w:t>
      </w:r>
      <w:r w:rsidRPr="00FE50A6">
        <w:rPr>
          <w:bCs/>
          <w:i/>
          <w:sz w:val="16"/>
          <w:szCs w:val="16"/>
          <w:lang w:val="en-US"/>
        </w:rPr>
        <w:t>Case of Athanasiou and Others v. Greece</w:t>
      </w:r>
      <w:r w:rsidRPr="00FE50A6">
        <w:rPr>
          <w:bCs/>
          <w:sz w:val="16"/>
          <w:szCs w:val="16"/>
          <w:lang w:val="en-US"/>
        </w:rPr>
        <w:t xml:space="preserve">, No. </w:t>
      </w:r>
      <w:r w:rsidRPr="00FE50A6">
        <w:rPr>
          <w:rFonts w:cs="Verdana"/>
          <w:sz w:val="16"/>
          <w:szCs w:val="16"/>
          <w:lang w:val="en-US"/>
        </w:rPr>
        <w:t>50973/08</w:t>
      </w:r>
      <w:r w:rsidRPr="00FE50A6">
        <w:rPr>
          <w:bCs/>
          <w:sz w:val="16"/>
          <w:szCs w:val="16"/>
          <w:lang w:val="en-US"/>
        </w:rPr>
        <w:t xml:space="preserve">, Judgment of December 21, 2010; 10. </w:t>
      </w:r>
      <w:r w:rsidRPr="00FE50A6">
        <w:rPr>
          <w:bCs/>
          <w:i/>
          <w:sz w:val="16"/>
          <w:szCs w:val="16"/>
          <w:lang w:val="en-US"/>
        </w:rPr>
        <w:t>Case of Greens and M.T. v. the United Kingdom,</w:t>
      </w:r>
      <w:r w:rsidRPr="00FE50A6">
        <w:rPr>
          <w:bCs/>
          <w:sz w:val="16"/>
          <w:szCs w:val="16"/>
          <w:lang w:val="en-US"/>
        </w:rPr>
        <w:t xml:space="preserve"> No. </w:t>
      </w:r>
      <w:r w:rsidRPr="00FE50A6">
        <w:rPr>
          <w:rFonts w:cs="Verdana"/>
          <w:sz w:val="16"/>
          <w:szCs w:val="16"/>
          <w:lang w:val="en-US"/>
        </w:rPr>
        <w:t>60041/08 and 60054/08</w:t>
      </w:r>
      <w:r w:rsidRPr="00FE50A6">
        <w:rPr>
          <w:bCs/>
          <w:sz w:val="16"/>
          <w:szCs w:val="16"/>
          <w:lang w:val="en-US"/>
        </w:rPr>
        <w:t xml:space="preserve">, Judgment of November 23, 2010; 11. </w:t>
      </w:r>
      <w:r w:rsidRPr="00FE50A6">
        <w:rPr>
          <w:rFonts w:cs="Times"/>
          <w:i/>
          <w:iCs/>
          <w:sz w:val="16"/>
          <w:szCs w:val="16"/>
          <w:lang w:val="en-US"/>
        </w:rPr>
        <w:t xml:space="preserve">Case of Maria Atanasiu </w:t>
      </w:r>
      <w:r w:rsidRPr="00FE50A6">
        <w:rPr>
          <w:bCs/>
          <w:i/>
          <w:sz w:val="16"/>
          <w:szCs w:val="16"/>
          <w:lang w:val="en-US"/>
        </w:rPr>
        <w:t xml:space="preserve">and Others </w:t>
      </w:r>
      <w:r w:rsidRPr="00FE50A6">
        <w:rPr>
          <w:rFonts w:cs="Times"/>
          <w:i/>
          <w:iCs/>
          <w:sz w:val="16"/>
          <w:szCs w:val="16"/>
          <w:lang w:val="en-US"/>
        </w:rPr>
        <w:t>v. Romania</w:t>
      </w:r>
      <w:r w:rsidRPr="00FE50A6">
        <w:rPr>
          <w:rFonts w:cs="Times"/>
          <w:sz w:val="16"/>
          <w:szCs w:val="16"/>
          <w:lang w:val="en-US"/>
        </w:rPr>
        <w:t xml:space="preserve">, No. 30767/05 and 33800/06, Judgment of October 12, 2010; 12. </w:t>
      </w:r>
      <w:r w:rsidRPr="00FE50A6">
        <w:rPr>
          <w:rFonts w:cs="Times"/>
          <w:i/>
          <w:sz w:val="16"/>
          <w:szCs w:val="16"/>
          <w:lang w:val="en-US"/>
        </w:rPr>
        <w:t xml:space="preserve">Case of </w:t>
      </w:r>
      <w:r w:rsidRPr="00FE50A6">
        <w:rPr>
          <w:rFonts w:cs="Times"/>
          <w:i/>
          <w:iCs/>
          <w:sz w:val="16"/>
          <w:szCs w:val="16"/>
          <w:lang w:val="en-US"/>
        </w:rPr>
        <w:t>Vassilios Athanasiou v. Greece</w:t>
      </w:r>
      <w:r w:rsidRPr="00FE50A6">
        <w:rPr>
          <w:rFonts w:cs="Times"/>
          <w:sz w:val="16"/>
          <w:szCs w:val="16"/>
          <w:lang w:val="en-US"/>
        </w:rPr>
        <w:t xml:space="preserve">, No. 50973/08, Judgment of December 21, 2010;  13. </w:t>
      </w:r>
      <w:r w:rsidRPr="00FE50A6">
        <w:rPr>
          <w:rFonts w:cs="Times"/>
          <w:i/>
          <w:sz w:val="16"/>
          <w:szCs w:val="16"/>
          <w:lang w:val="en-US"/>
        </w:rPr>
        <w:t xml:space="preserve">Case of </w:t>
      </w:r>
      <w:r w:rsidRPr="00FE50A6">
        <w:rPr>
          <w:rFonts w:cs="Times"/>
          <w:i/>
          <w:iCs/>
          <w:sz w:val="16"/>
          <w:szCs w:val="16"/>
          <w:lang w:val="en-US"/>
        </w:rPr>
        <w:t>Dimitrov and Hamanov v. Bulgaria</w:t>
      </w:r>
      <w:r w:rsidRPr="00FE50A6">
        <w:rPr>
          <w:rFonts w:cs="Times"/>
          <w:sz w:val="16"/>
          <w:szCs w:val="16"/>
          <w:lang w:val="en-US"/>
        </w:rPr>
        <w:t xml:space="preserve">, No. 48059/06, Judgment of May 10, 2011; 14. </w:t>
      </w:r>
      <w:r w:rsidRPr="00FE50A6">
        <w:rPr>
          <w:rFonts w:cs="Times"/>
          <w:i/>
          <w:sz w:val="16"/>
          <w:szCs w:val="16"/>
          <w:lang w:val="en-US"/>
        </w:rPr>
        <w:t xml:space="preserve">Case of </w:t>
      </w:r>
      <w:r w:rsidRPr="00FE50A6">
        <w:rPr>
          <w:rFonts w:cs="Times"/>
          <w:i/>
          <w:iCs/>
          <w:sz w:val="16"/>
          <w:szCs w:val="16"/>
          <w:lang w:val="en-US"/>
        </w:rPr>
        <w:t>Finger v. Bulgaria</w:t>
      </w:r>
      <w:r w:rsidRPr="00FE50A6">
        <w:rPr>
          <w:rFonts w:cs="Times"/>
          <w:sz w:val="16"/>
          <w:szCs w:val="16"/>
          <w:lang w:val="en-US"/>
        </w:rPr>
        <w:t xml:space="preserve">, No. 37346/05, Judgment of May 10, 2011; 15. </w:t>
      </w:r>
      <w:r w:rsidRPr="00FE50A6">
        <w:rPr>
          <w:rFonts w:cs="Times"/>
          <w:i/>
          <w:sz w:val="16"/>
          <w:szCs w:val="16"/>
          <w:lang w:val="en-US"/>
        </w:rPr>
        <w:t xml:space="preserve">Case of </w:t>
      </w:r>
      <w:r w:rsidRPr="00FE50A6">
        <w:rPr>
          <w:bCs/>
          <w:i/>
          <w:sz w:val="16"/>
          <w:szCs w:val="16"/>
          <w:lang w:val="en-US"/>
        </w:rPr>
        <w:t xml:space="preserve">Ümmühan Kaplan v. Turkey, </w:t>
      </w:r>
      <w:r w:rsidRPr="00FE50A6">
        <w:rPr>
          <w:bCs/>
          <w:sz w:val="16"/>
          <w:szCs w:val="16"/>
          <w:lang w:val="en-US"/>
        </w:rPr>
        <w:t xml:space="preserve">No. 24240/07, Judgment of March 20, 2012; 16. </w:t>
      </w:r>
      <w:r w:rsidRPr="00FE50A6">
        <w:rPr>
          <w:bCs/>
          <w:i/>
          <w:sz w:val="16"/>
          <w:szCs w:val="16"/>
          <w:lang w:val="en-US"/>
        </w:rPr>
        <w:t xml:space="preserve">Case of Michelioudakis v. Greece, </w:t>
      </w:r>
      <w:r w:rsidRPr="00FE50A6">
        <w:rPr>
          <w:bCs/>
          <w:sz w:val="16"/>
          <w:szCs w:val="16"/>
          <w:lang w:val="en-US"/>
        </w:rPr>
        <w:t xml:space="preserve">No. 40150/09, Judgment of April 3, 2012; 17. </w:t>
      </w:r>
      <w:r w:rsidRPr="00FE50A6">
        <w:rPr>
          <w:bCs/>
          <w:i/>
          <w:sz w:val="16"/>
          <w:szCs w:val="16"/>
          <w:lang w:val="en-US"/>
        </w:rPr>
        <w:t>Case of Glykantzi v. Greece</w:t>
      </w:r>
      <w:r w:rsidRPr="00FE50A6">
        <w:rPr>
          <w:bCs/>
          <w:sz w:val="16"/>
          <w:szCs w:val="16"/>
          <w:lang w:val="en-US"/>
        </w:rPr>
        <w:t xml:space="preserve">, No. 40150/09, Judgment of October 30, 2012; 18. Case of Kurić </w:t>
      </w:r>
      <w:r w:rsidRPr="00FE50A6">
        <w:rPr>
          <w:bCs/>
          <w:i/>
          <w:sz w:val="16"/>
          <w:szCs w:val="16"/>
          <w:lang w:val="en-US"/>
        </w:rPr>
        <w:t xml:space="preserve">and Others </w:t>
      </w:r>
      <w:r w:rsidRPr="00FE50A6">
        <w:rPr>
          <w:bCs/>
          <w:sz w:val="16"/>
          <w:szCs w:val="16"/>
          <w:lang w:val="en-US"/>
        </w:rPr>
        <w:t>v</w:t>
      </w:r>
      <w:r w:rsidRPr="00FE50A6">
        <w:rPr>
          <w:bCs/>
          <w:i/>
          <w:sz w:val="16"/>
          <w:szCs w:val="16"/>
          <w:lang w:val="en-US"/>
        </w:rPr>
        <w:t>.</w:t>
      </w:r>
      <w:r w:rsidRPr="00FE50A6">
        <w:rPr>
          <w:bCs/>
          <w:sz w:val="16"/>
          <w:szCs w:val="16"/>
          <w:lang w:val="en-US"/>
        </w:rPr>
        <w:t xml:space="preserve"> Slovenia, No. 26828/06, Judgment of June 26,</w:t>
      </w:r>
      <w:r w:rsidRPr="00FE50A6">
        <w:rPr>
          <w:bCs/>
          <w:spacing w:val="-2"/>
          <w:sz w:val="16"/>
          <w:szCs w:val="16"/>
          <w:lang w:val="en-US"/>
        </w:rPr>
        <w:t xml:space="preserve"> </w:t>
      </w:r>
      <w:r w:rsidRPr="00FE50A6">
        <w:rPr>
          <w:spacing w:val="-2"/>
          <w:sz w:val="16"/>
          <w:szCs w:val="16"/>
          <w:lang w:val="en-US"/>
        </w:rPr>
        <w:t xml:space="preserve">2012; </w:t>
      </w:r>
      <w:r w:rsidRPr="00FE50A6">
        <w:rPr>
          <w:bCs/>
          <w:spacing w:val="-2"/>
          <w:sz w:val="16"/>
          <w:szCs w:val="16"/>
          <w:lang w:val="en-US"/>
        </w:rPr>
        <w:t xml:space="preserve">19. </w:t>
      </w:r>
      <w:r w:rsidRPr="00FE50A6">
        <w:rPr>
          <w:bCs/>
          <w:i/>
          <w:spacing w:val="-2"/>
          <w:sz w:val="16"/>
          <w:szCs w:val="16"/>
          <w:lang w:val="en-US"/>
        </w:rPr>
        <w:t xml:space="preserve">Case of </w:t>
      </w:r>
      <w:r w:rsidRPr="00FE50A6">
        <w:rPr>
          <w:bCs/>
          <w:spacing w:val="-2"/>
          <w:sz w:val="16"/>
          <w:szCs w:val="16"/>
          <w:lang w:val="en-US"/>
        </w:rPr>
        <w:t xml:space="preserve">Ananyev </w:t>
      </w:r>
      <w:r w:rsidRPr="00FE50A6">
        <w:rPr>
          <w:bCs/>
          <w:i/>
          <w:sz w:val="16"/>
          <w:szCs w:val="16"/>
          <w:lang w:val="en-US"/>
        </w:rPr>
        <w:t xml:space="preserve">and Others </w:t>
      </w:r>
      <w:r w:rsidRPr="00FE50A6">
        <w:rPr>
          <w:bCs/>
          <w:spacing w:val="-2"/>
          <w:sz w:val="16"/>
          <w:szCs w:val="16"/>
          <w:lang w:val="en-US"/>
        </w:rPr>
        <w:t xml:space="preserve">v. Russia, No. </w:t>
      </w:r>
      <w:r w:rsidRPr="00FE50A6">
        <w:rPr>
          <w:rFonts w:cs="Verdana"/>
          <w:spacing w:val="-2"/>
          <w:sz w:val="16"/>
          <w:szCs w:val="16"/>
          <w:lang w:val="en-US"/>
        </w:rPr>
        <w:t>42525/07 and 60800/08</w:t>
      </w:r>
      <w:r w:rsidRPr="00FE50A6">
        <w:rPr>
          <w:rFonts w:cs="Times"/>
          <w:spacing w:val="-2"/>
          <w:sz w:val="16"/>
          <w:szCs w:val="16"/>
          <w:lang w:val="en-US"/>
        </w:rPr>
        <w:t xml:space="preserve">, </w:t>
      </w:r>
      <w:r w:rsidRPr="00FE50A6">
        <w:rPr>
          <w:bCs/>
          <w:spacing w:val="-2"/>
          <w:sz w:val="16"/>
          <w:szCs w:val="16"/>
          <w:lang w:val="en-US"/>
        </w:rPr>
        <w:t xml:space="preserve">Judgment of January 10, </w:t>
      </w:r>
      <w:r w:rsidRPr="00FE50A6">
        <w:rPr>
          <w:spacing w:val="-2"/>
          <w:sz w:val="16"/>
          <w:szCs w:val="16"/>
          <w:lang w:val="en-US"/>
        </w:rPr>
        <w:t xml:space="preserve">2012; </w:t>
      </w:r>
      <w:r w:rsidRPr="00FE50A6">
        <w:rPr>
          <w:bCs/>
          <w:spacing w:val="-2"/>
          <w:sz w:val="16"/>
          <w:szCs w:val="16"/>
          <w:lang w:val="en-US"/>
        </w:rPr>
        <w:t xml:space="preserve">20. </w:t>
      </w:r>
      <w:r w:rsidRPr="00FE50A6">
        <w:rPr>
          <w:bCs/>
          <w:i/>
          <w:spacing w:val="-2"/>
          <w:sz w:val="16"/>
          <w:szCs w:val="16"/>
          <w:lang w:val="en-US"/>
        </w:rPr>
        <w:t xml:space="preserve">Case of Manushaqe Puto </w:t>
      </w:r>
      <w:r w:rsidRPr="00FE50A6">
        <w:rPr>
          <w:bCs/>
          <w:i/>
          <w:sz w:val="16"/>
          <w:szCs w:val="16"/>
          <w:lang w:val="en-US"/>
        </w:rPr>
        <w:t xml:space="preserve">and Others </w:t>
      </w:r>
      <w:r w:rsidRPr="00FE50A6">
        <w:rPr>
          <w:bCs/>
          <w:i/>
          <w:spacing w:val="-2"/>
          <w:sz w:val="16"/>
          <w:szCs w:val="16"/>
          <w:lang w:val="en-US"/>
        </w:rPr>
        <w:t xml:space="preserve">v. Albania, </w:t>
      </w:r>
      <w:r w:rsidRPr="00FE50A6">
        <w:rPr>
          <w:bCs/>
          <w:spacing w:val="-2"/>
          <w:sz w:val="16"/>
          <w:szCs w:val="16"/>
          <w:lang w:val="en-US"/>
        </w:rPr>
        <w:t xml:space="preserve">No. </w:t>
      </w:r>
      <w:r w:rsidRPr="00FE50A6">
        <w:rPr>
          <w:rFonts w:cs="Verdana"/>
          <w:spacing w:val="-2"/>
          <w:sz w:val="16"/>
          <w:szCs w:val="16"/>
          <w:lang w:val="en-US"/>
        </w:rPr>
        <w:t xml:space="preserve">604/07, 43628/07, 46684/07 and 34770/09; </w:t>
      </w:r>
      <w:r w:rsidRPr="00FE50A6">
        <w:rPr>
          <w:bCs/>
          <w:spacing w:val="-2"/>
          <w:sz w:val="16"/>
          <w:szCs w:val="16"/>
          <w:lang w:val="en-US"/>
        </w:rPr>
        <w:t xml:space="preserve">Judgment of July 31, 2012; 21. </w:t>
      </w:r>
      <w:r w:rsidRPr="00FE50A6">
        <w:rPr>
          <w:bCs/>
          <w:i/>
          <w:spacing w:val="-2"/>
          <w:sz w:val="16"/>
          <w:szCs w:val="16"/>
          <w:lang w:val="en-US"/>
        </w:rPr>
        <w:t xml:space="preserve">Case of Torreggiani </w:t>
      </w:r>
      <w:r w:rsidRPr="00FE50A6">
        <w:rPr>
          <w:bCs/>
          <w:i/>
          <w:sz w:val="16"/>
          <w:szCs w:val="16"/>
          <w:lang w:val="en-US"/>
        </w:rPr>
        <w:t xml:space="preserve">and Others </w:t>
      </w:r>
      <w:r w:rsidRPr="00FE50A6">
        <w:rPr>
          <w:bCs/>
          <w:i/>
          <w:spacing w:val="-2"/>
          <w:sz w:val="16"/>
          <w:szCs w:val="16"/>
          <w:lang w:val="en-US"/>
        </w:rPr>
        <w:t xml:space="preserve">v. Italy, </w:t>
      </w:r>
      <w:r w:rsidRPr="00FE50A6">
        <w:rPr>
          <w:bCs/>
          <w:spacing w:val="-2"/>
          <w:sz w:val="16"/>
          <w:szCs w:val="16"/>
          <w:lang w:val="en-US"/>
        </w:rPr>
        <w:t xml:space="preserve">No. </w:t>
      </w:r>
      <w:r w:rsidRPr="00FE50A6">
        <w:rPr>
          <w:rFonts w:cs="Verdana"/>
          <w:spacing w:val="-2"/>
          <w:sz w:val="16"/>
          <w:szCs w:val="16"/>
          <w:lang w:val="en-US"/>
        </w:rPr>
        <w:t>43517/09</w:t>
      </w:r>
      <w:r w:rsidRPr="00FE50A6">
        <w:rPr>
          <w:bCs/>
          <w:spacing w:val="-2"/>
          <w:sz w:val="16"/>
          <w:szCs w:val="16"/>
          <w:lang w:val="en-US"/>
        </w:rPr>
        <w:t>, Judgment of January 8, 2013; 22</w:t>
      </w:r>
      <w:r w:rsidRPr="00FE50A6">
        <w:rPr>
          <w:bCs/>
          <w:sz w:val="16"/>
          <w:szCs w:val="16"/>
          <w:lang w:val="en-US"/>
        </w:rPr>
        <w:t xml:space="preserve">. </w:t>
      </w:r>
      <w:r w:rsidRPr="00FE50A6">
        <w:rPr>
          <w:bCs/>
          <w:i/>
          <w:sz w:val="16"/>
          <w:szCs w:val="16"/>
          <w:lang w:val="en-US"/>
        </w:rPr>
        <w:t>Case of M.C. and Others v. Italy</w:t>
      </w:r>
      <w:r w:rsidRPr="00FE50A6">
        <w:rPr>
          <w:bCs/>
          <w:sz w:val="16"/>
          <w:szCs w:val="16"/>
          <w:lang w:val="en-US"/>
        </w:rPr>
        <w:t xml:space="preserve">, No. 5376/11, Judgment of September 3, 2013; 23. </w:t>
      </w:r>
      <w:r w:rsidRPr="00FE50A6">
        <w:rPr>
          <w:bCs/>
          <w:i/>
          <w:sz w:val="16"/>
          <w:szCs w:val="16"/>
          <w:lang w:val="en-US"/>
        </w:rPr>
        <w:t xml:space="preserve">Case of Gerasimov and Others v. Russia, </w:t>
      </w:r>
      <w:r w:rsidRPr="00FE50A6">
        <w:rPr>
          <w:bCs/>
          <w:sz w:val="16"/>
          <w:szCs w:val="16"/>
          <w:lang w:val="en-US"/>
        </w:rPr>
        <w:t xml:space="preserve">No. </w:t>
      </w:r>
      <w:r w:rsidRPr="00FE50A6">
        <w:rPr>
          <w:rFonts w:cs="Calibri"/>
          <w:sz w:val="16"/>
          <w:szCs w:val="16"/>
          <w:lang w:val="en-US"/>
        </w:rPr>
        <w:t>29920/05, 3553/06, 18876/10, 61186/10, 21176/11, 36112/11, 36426/11, 40841/11, 45381/11, 55929/11 and 60822/11</w:t>
      </w:r>
      <w:r w:rsidRPr="00FE50A6">
        <w:rPr>
          <w:bCs/>
          <w:sz w:val="16"/>
          <w:szCs w:val="16"/>
          <w:lang w:val="en-US"/>
        </w:rPr>
        <w:t xml:space="preserve">, Judgment of July 1, 2014; 24. </w:t>
      </w:r>
      <w:r w:rsidRPr="00FE50A6">
        <w:rPr>
          <w:bCs/>
          <w:i/>
          <w:sz w:val="16"/>
          <w:szCs w:val="16"/>
          <w:lang w:val="en-US"/>
        </w:rPr>
        <w:t>Case of Ali</w:t>
      </w:r>
      <w:r w:rsidRPr="00FE50A6">
        <w:rPr>
          <w:rFonts w:cs="Arial"/>
          <w:bCs/>
          <w:i/>
          <w:sz w:val="16"/>
          <w:szCs w:val="16"/>
          <w:lang w:val="en-US"/>
        </w:rPr>
        <w:t>š</w:t>
      </w:r>
      <w:r w:rsidRPr="00FE50A6">
        <w:rPr>
          <w:bCs/>
          <w:i/>
          <w:sz w:val="16"/>
          <w:szCs w:val="16"/>
          <w:lang w:val="en-US"/>
        </w:rPr>
        <w:t>i</w:t>
      </w:r>
      <w:r w:rsidRPr="00FE50A6">
        <w:rPr>
          <w:rFonts w:cs="Arial"/>
          <w:bCs/>
          <w:i/>
          <w:sz w:val="16"/>
          <w:szCs w:val="16"/>
          <w:lang w:val="en-US"/>
        </w:rPr>
        <w:t xml:space="preserve">ć </w:t>
      </w:r>
      <w:r w:rsidRPr="00FE50A6">
        <w:rPr>
          <w:bCs/>
          <w:i/>
          <w:sz w:val="16"/>
          <w:szCs w:val="16"/>
          <w:lang w:val="en-US"/>
        </w:rPr>
        <w:t xml:space="preserve">and Others </w:t>
      </w:r>
      <w:r w:rsidRPr="00FE50A6">
        <w:rPr>
          <w:rFonts w:cs="Arial"/>
          <w:bCs/>
          <w:i/>
          <w:sz w:val="16"/>
          <w:szCs w:val="16"/>
          <w:lang w:val="en-US"/>
        </w:rPr>
        <w:t>v</w:t>
      </w:r>
      <w:r w:rsidRPr="00FE50A6">
        <w:rPr>
          <w:bCs/>
          <w:i/>
          <w:sz w:val="16"/>
          <w:szCs w:val="16"/>
          <w:lang w:val="en-US"/>
        </w:rPr>
        <w:t xml:space="preserve">. Bosnia and Herzegovina, Croatia, “the former Yugoslav Republic of Macedonia”, Serbia and Slovenia, </w:t>
      </w:r>
      <w:r w:rsidRPr="00FE50A6">
        <w:rPr>
          <w:bCs/>
          <w:sz w:val="16"/>
          <w:szCs w:val="16"/>
          <w:lang w:val="en-US"/>
        </w:rPr>
        <w:t>No. 60642/08,</w:t>
      </w:r>
      <w:r w:rsidRPr="00FE50A6">
        <w:rPr>
          <w:bCs/>
          <w:i/>
          <w:sz w:val="16"/>
          <w:szCs w:val="16"/>
          <w:lang w:val="en-US"/>
        </w:rPr>
        <w:t xml:space="preserve"> </w:t>
      </w:r>
      <w:r w:rsidRPr="00FE50A6">
        <w:rPr>
          <w:bCs/>
          <w:sz w:val="16"/>
          <w:szCs w:val="16"/>
          <w:lang w:val="en-US"/>
        </w:rPr>
        <w:t xml:space="preserve">Judgment of July 16, 2014;  25. </w:t>
      </w:r>
      <w:r w:rsidRPr="00FE50A6">
        <w:rPr>
          <w:bCs/>
          <w:i/>
          <w:sz w:val="16"/>
          <w:szCs w:val="16"/>
          <w:lang w:val="en-US"/>
        </w:rPr>
        <w:t>Case of Gazsó v. Hungary</w:t>
      </w:r>
      <w:r w:rsidRPr="00FE50A6">
        <w:rPr>
          <w:bCs/>
          <w:sz w:val="16"/>
          <w:szCs w:val="16"/>
          <w:lang w:val="en-US"/>
        </w:rPr>
        <w:t xml:space="preserve">, No. </w:t>
      </w:r>
      <w:r w:rsidRPr="00FE50A6">
        <w:rPr>
          <w:rFonts w:cs="Calibri"/>
          <w:sz w:val="16"/>
          <w:szCs w:val="16"/>
          <w:lang w:val="en-US"/>
        </w:rPr>
        <w:t>48322/12</w:t>
      </w:r>
      <w:r w:rsidRPr="00FE50A6">
        <w:rPr>
          <w:bCs/>
          <w:sz w:val="16"/>
          <w:szCs w:val="16"/>
          <w:lang w:val="en-US"/>
        </w:rPr>
        <w:t xml:space="preserve">, Judgment of July 16, 2015; 26. </w:t>
      </w:r>
      <w:r w:rsidRPr="00FE50A6">
        <w:rPr>
          <w:bCs/>
          <w:i/>
          <w:sz w:val="16"/>
          <w:szCs w:val="16"/>
          <w:lang w:val="en-US"/>
        </w:rPr>
        <w:t>Case of Neshkov and Others v. Bulgaria</w:t>
      </w:r>
      <w:r w:rsidRPr="00FE50A6">
        <w:rPr>
          <w:bCs/>
          <w:sz w:val="16"/>
          <w:szCs w:val="16"/>
          <w:lang w:val="en-US"/>
        </w:rPr>
        <w:t xml:space="preserve">, No. </w:t>
      </w:r>
      <w:r w:rsidRPr="00FE50A6">
        <w:rPr>
          <w:rFonts w:cs="Calibri"/>
          <w:sz w:val="16"/>
          <w:szCs w:val="16"/>
          <w:lang w:val="en-US"/>
        </w:rPr>
        <w:t>36925/10, 21487/12, 72893/12, 73196/12, 77718/12 and 9717/13</w:t>
      </w:r>
      <w:r w:rsidRPr="00FE50A6">
        <w:rPr>
          <w:bCs/>
          <w:sz w:val="16"/>
          <w:szCs w:val="16"/>
          <w:lang w:val="en-US"/>
        </w:rPr>
        <w:t xml:space="preserve">, Judgment of January 27, 2015; 27. </w:t>
      </w:r>
      <w:r w:rsidRPr="00FE50A6">
        <w:rPr>
          <w:bCs/>
          <w:i/>
          <w:sz w:val="16"/>
          <w:szCs w:val="16"/>
          <w:lang w:val="en-US"/>
        </w:rPr>
        <w:t>Case of Varga and Others v. Hungary</w:t>
      </w:r>
      <w:r w:rsidRPr="00FE50A6">
        <w:rPr>
          <w:bCs/>
          <w:sz w:val="16"/>
          <w:szCs w:val="16"/>
          <w:lang w:val="en-US"/>
        </w:rPr>
        <w:t xml:space="preserve">, No. </w:t>
      </w:r>
      <w:r w:rsidRPr="00FE50A6">
        <w:rPr>
          <w:rFonts w:cs="Calibri"/>
          <w:sz w:val="16"/>
          <w:szCs w:val="16"/>
          <w:lang w:val="en-US"/>
        </w:rPr>
        <w:t>14097/12, 45135/12, 73712/12, 34001/13, 44055/13 and 64586/13</w:t>
      </w:r>
      <w:r w:rsidRPr="00FE50A6">
        <w:rPr>
          <w:bCs/>
          <w:sz w:val="16"/>
          <w:szCs w:val="16"/>
          <w:lang w:val="en-US"/>
        </w:rPr>
        <w:t>, Judgment of March 10, 2015; and 28</w:t>
      </w:r>
      <w:r w:rsidRPr="00FE50A6">
        <w:rPr>
          <w:bCs/>
          <w:i/>
          <w:sz w:val="16"/>
          <w:szCs w:val="16"/>
          <w:lang w:val="en-US"/>
        </w:rPr>
        <w:t xml:space="preserve">. Case of </w:t>
      </w:r>
      <w:r w:rsidRPr="00FE50A6">
        <w:rPr>
          <w:rFonts w:cs="Verdana"/>
          <w:bCs/>
          <w:i/>
          <w:sz w:val="16"/>
          <w:szCs w:val="16"/>
          <w:lang w:val="en-US"/>
        </w:rPr>
        <w:t>W.D. v. Belgium</w:t>
      </w:r>
      <w:r w:rsidRPr="00FE50A6">
        <w:rPr>
          <w:rFonts w:cs="Verdana"/>
          <w:bCs/>
          <w:sz w:val="16"/>
          <w:szCs w:val="16"/>
          <w:lang w:val="en-US"/>
        </w:rPr>
        <w:t xml:space="preserve">, No. 73548/13. Judgment of September 6, 2016. </w:t>
      </w:r>
    </w:p>
  </w:footnote>
  <w:footnote w:id="625">
    <w:p w14:paraId="0139F4ED" w14:textId="77777777" w:rsidR="00E70935" w:rsidRPr="00FE50A6" w:rsidRDefault="00E70935" w:rsidP="00CD003F">
      <w:pPr>
        <w:pStyle w:val="Prrafodelista"/>
        <w:tabs>
          <w:tab w:val="left" w:pos="709"/>
        </w:tabs>
        <w:spacing w:after="80"/>
        <w:ind w:left="0"/>
        <w:rPr>
          <w:rFonts w:cs="System Font Regular"/>
          <w:i/>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i/>
          <w:sz w:val="16"/>
          <w:szCs w:val="16"/>
          <w:lang w:val="en-US"/>
        </w:rPr>
        <w:t xml:space="preserve">Cf. </w:t>
      </w:r>
      <w:r w:rsidRPr="00FE50A6">
        <w:rPr>
          <w:sz w:val="16"/>
          <w:szCs w:val="16"/>
          <w:lang w:val="en-US"/>
        </w:rPr>
        <w:t xml:space="preserve">Committee on Economic, Social and Cultural Rights, General Comment No. 20, </w:t>
      </w:r>
      <w:r w:rsidRPr="00FE50A6">
        <w:rPr>
          <w:i/>
          <w:sz w:val="16"/>
          <w:szCs w:val="16"/>
          <w:lang w:val="en-US"/>
        </w:rPr>
        <w:t>Non-discrimination in economic, social and cultural rights (art. 2, para. 2, of the International Covenant on Economic, Social and Cultural Rights</w:t>
      </w:r>
      <w:r w:rsidRPr="00FE50A6">
        <w:rPr>
          <w:sz w:val="16"/>
          <w:szCs w:val="16"/>
          <w:lang w:val="en-US"/>
        </w:rPr>
        <w:t xml:space="preserve"> July 2, 2009, E/C.12/GC/20, </w:t>
      </w:r>
      <w:r w:rsidRPr="00FE50A6">
        <w:rPr>
          <w:rFonts w:cs="System Font Regular"/>
          <w:color w:val="16191F"/>
          <w:sz w:val="16"/>
          <w:szCs w:val="16"/>
          <w:lang w:val="en-US"/>
        </w:rPr>
        <w:t>para. 6.</w:t>
      </w:r>
    </w:p>
  </w:footnote>
  <w:footnote w:id="626">
    <w:p w14:paraId="2775E863" w14:textId="77777777" w:rsidR="00E70935" w:rsidRPr="00FE50A6" w:rsidRDefault="00E70935" w:rsidP="00CD003F">
      <w:pPr>
        <w:pStyle w:val="NormalWeb"/>
        <w:tabs>
          <w:tab w:val="left" w:pos="709"/>
        </w:tabs>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w:t>
      </w:r>
      <w:r w:rsidRPr="00FE50A6">
        <w:rPr>
          <w:rFonts w:eastAsia="Cambria" w:cs="Times"/>
          <w:sz w:val="16"/>
          <w:szCs w:val="16"/>
          <w:lang w:val="en-US"/>
        </w:rPr>
        <w:t xml:space="preserve">Committee for the Elimination of Violence against Women, General Recommendation No. 28 on the core obligations of States parties under article 2 of the Convention on the Elimination of All Forms of Violence against Women, December 16, 2010, </w:t>
      </w:r>
      <w:r w:rsidRPr="00FE50A6">
        <w:rPr>
          <w:sz w:val="16"/>
          <w:szCs w:val="16"/>
          <w:lang w:val="en-US"/>
        </w:rPr>
        <w:t>CEDAW/C/GC/28, para. 16</w:t>
      </w:r>
      <w:r w:rsidRPr="00FE50A6">
        <w:rPr>
          <w:rFonts w:cs="System Font Regular"/>
          <w:color w:val="16191F"/>
          <w:sz w:val="16"/>
          <w:szCs w:val="16"/>
          <w:lang w:val="en-US"/>
        </w:rPr>
        <w:t xml:space="preserve">. The Special Rapporteur on violence against women has expressed similar views on the structural discrimination suffered by women, indicating that: “17. </w:t>
      </w:r>
      <w:r w:rsidRPr="00FE50A6">
        <w:rPr>
          <w:sz w:val="16"/>
          <w:szCs w:val="16"/>
          <w:lang w:val="en-US"/>
        </w:rPr>
        <w:t>The discrimination and violence that is reflected in gender-related killings of women can be understood as multiple concentric circles, each intersecting with the other. These circles include structural, institutional, interpersonal and individual factors. The structural factors include macrolevel social, economic and political systems; institutional factors include formal and informal social networks and institutions; interpersonal factors include personal relationships between partners, among family members and within the community; and individual factors include personality and individual capacities to respond to violence.”</w:t>
      </w:r>
      <w:r w:rsidRPr="00FE50A6">
        <w:rPr>
          <w:i/>
          <w:sz w:val="16"/>
          <w:szCs w:val="16"/>
          <w:lang w:val="en-US"/>
        </w:rPr>
        <w:t xml:space="preserve"> </w:t>
      </w:r>
      <w:r w:rsidRPr="00FE50A6">
        <w:rPr>
          <w:rFonts w:cs="Times"/>
          <w:bCs/>
          <w:i/>
          <w:sz w:val="16"/>
          <w:szCs w:val="16"/>
          <w:lang w:val="en-US"/>
        </w:rPr>
        <w:t>Report of the Special Rapporteur on violence against women, its causes and consequences</w:t>
      </w:r>
      <w:r w:rsidRPr="00FE50A6">
        <w:rPr>
          <w:rFonts w:cs="Times"/>
          <w:bCs/>
          <w:sz w:val="16"/>
          <w:szCs w:val="16"/>
          <w:lang w:val="en-US"/>
        </w:rPr>
        <w:t xml:space="preserve">, Rashida Manjoo, </w:t>
      </w:r>
      <w:r w:rsidRPr="00FE50A6">
        <w:rPr>
          <w:sz w:val="16"/>
          <w:szCs w:val="16"/>
          <w:lang w:val="en-US"/>
        </w:rPr>
        <w:t xml:space="preserve">May 23, 2012, A/HRC/20/16. </w:t>
      </w:r>
    </w:p>
  </w:footnote>
  <w:footnote w:id="627">
    <w:p w14:paraId="7160F1F5" w14:textId="77777777" w:rsidR="00E70935" w:rsidRPr="00FE50A6" w:rsidRDefault="00E70935" w:rsidP="00CD003F">
      <w:pPr>
        <w:pStyle w:val="NormalWeb"/>
        <w:tabs>
          <w:tab w:val="left" w:pos="709"/>
        </w:tabs>
        <w:spacing w:before="0" w:beforeAutospacing="0" w:after="80" w:afterAutospacing="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w:t>
      </w:r>
      <w:r w:rsidRPr="00FE50A6">
        <w:rPr>
          <w:rFonts w:eastAsia="Cambria" w:cs="System Font Regular"/>
          <w:sz w:val="16"/>
          <w:szCs w:val="16"/>
          <w:lang w:val="en-US"/>
        </w:rPr>
        <w:t>Committee for the Elimination of Racial Discrimination, in General Recommendation No. 34 on Racial discrimination against people of African descent</w:t>
      </w:r>
      <w:r w:rsidRPr="00FE50A6">
        <w:rPr>
          <w:sz w:val="16"/>
          <w:szCs w:val="16"/>
          <w:lang w:val="en-US"/>
        </w:rPr>
        <w:t>, October 3, 2011, CERD/C/GC/34, para. 6.</w:t>
      </w:r>
    </w:p>
  </w:footnote>
  <w:footnote w:id="628">
    <w:p w14:paraId="2F2F4119" w14:textId="77777777" w:rsidR="00E70935" w:rsidRPr="00FE50A6" w:rsidRDefault="00E70935" w:rsidP="00CD003F">
      <w:pPr>
        <w:pStyle w:val="Textonotapie"/>
        <w:tabs>
          <w:tab w:val="left" w:pos="709"/>
        </w:tabs>
        <w:spacing w:after="80"/>
      </w:pPr>
      <w:r w:rsidRPr="00FE50A6">
        <w:rPr>
          <w:rStyle w:val="Refdenotaalpie"/>
        </w:rPr>
        <w:footnoteRef/>
      </w:r>
      <w:r w:rsidRPr="00FE50A6">
        <w:tab/>
        <w:t xml:space="preserve">UN, </w:t>
      </w:r>
      <w:r w:rsidRPr="00FE50A6">
        <w:rPr>
          <w:rFonts w:eastAsia="Cambria" w:cs="System Font Regular"/>
          <w:szCs w:val="20"/>
        </w:rPr>
        <w:t xml:space="preserve">Committee on the Rights of Persons with Disabilities in its General Comment No. 3 on the rights of women and girls with disabilities. </w:t>
      </w:r>
      <w:r w:rsidRPr="00FE50A6">
        <w:t xml:space="preserve">September 2, 2016, </w:t>
      </w:r>
      <w:r w:rsidRPr="00FE50A6">
        <w:rPr>
          <w:rFonts w:eastAsia="Times New Roman" w:cs="Times New Roman"/>
        </w:rPr>
        <w:t xml:space="preserve">CRPD/C/GC/3, para. 17(e). </w:t>
      </w:r>
    </w:p>
  </w:footnote>
  <w:footnote w:id="629">
    <w:p w14:paraId="42E12C55" w14:textId="77777777" w:rsidR="00E70935" w:rsidRPr="00FE50A6" w:rsidRDefault="00E70935" w:rsidP="00CD003F">
      <w:pPr>
        <w:pStyle w:val="Textonotapie"/>
        <w:tabs>
          <w:tab w:val="left" w:pos="709"/>
        </w:tabs>
        <w:spacing w:after="80"/>
      </w:pPr>
      <w:r w:rsidRPr="00FE50A6">
        <w:rPr>
          <w:rStyle w:val="Refdenotaalpie"/>
        </w:rPr>
        <w:footnoteRef/>
      </w:r>
      <w:r w:rsidRPr="00FE50A6">
        <w:tab/>
        <w:t xml:space="preserve">UN, </w:t>
      </w:r>
      <w:r w:rsidRPr="00FE50A6">
        <w:rPr>
          <w:i/>
        </w:rPr>
        <w:t>Report of the United Nation</w:t>
      </w:r>
      <w:r w:rsidRPr="00FE50A6">
        <w:t xml:space="preserve">s </w:t>
      </w:r>
      <w:r w:rsidRPr="00FE50A6">
        <w:rPr>
          <w:rFonts w:eastAsia="Cambria" w:cs="System Font Regular"/>
          <w:i/>
          <w:szCs w:val="20"/>
        </w:rPr>
        <w:t>Special Rapporteur on the right to food</w:t>
      </w:r>
      <w:r w:rsidRPr="00FE50A6">
        <w:rPr>
          <w:i/>
        </w:rPr>
        <w:t>, Oliver de Schutter, Crisis into opportunity: reinforcing multilateralism</w:t>
      </w:r>
      <w:r w:rsidRPr="00FE50A6">
        <w:t xml:space="preserve">, July 21, 2009, A/HRC/12/31, para. 30. </w:t>
      </w:r>
    </w:p>
  </w:footnote>
  <w:footnote w:id="630">
    <w:p w14:paraId="536E80F6" w14:textId="77777777" w:rsidR="00E70935" w:rsidRPr="00FE50A6" w:rsidRDefault="00E70935" w:rsidP="00CD003F">
      <w:pPr>
        <w:widowControl w:val="0"/>
        <w:tabs>
          <w:tab w:val="left" w:pos="709"/>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In this regard, Roberto Saba has indicated that it should be emphasized that the condition of structural poverty often</w:t>
      </w:r>
      <w:r w:rsidRPr="00FE50A6">
        <w:rPr>
          <w:i/>
          <w:sz w:val="16"/>
          <w:szCs w:val="16"/>
          <w:lang w:val="en-US"/>
        </w:rPr>
        <w:t xml:space="preserve"> </w:t>
      </w:r>
      <w:r w:rsidRPr="00FE50A6">
        <w:rPr>
          <w:sz w:val="16"/>
          <w:szCs w:val="16"/>
          <w:lang w:val="en-US"/>
        </w:rPr>
        <w:t>– although not necessarily – coincides with other particularities of the identity or the personality that are also characteristic of oppressed or subjugated groups, such as ethnicity or gender, and this, combined with structural poverty, reinforces the characteristic of the group as oppressed or subjugated. He has also indicated that the constitution and the subsequent identification of this group of persons is not a simple task. However, he proposed – by way of an example, but not a limitation – that there are three specific situations that could indicate the existence of an oppressed group characterized by sharing a situation of structural poverty: (i) the geographical concentration of a group of persons in places where only people who are equally poor live; (ii) the second, related to the first, is the difficulty or impossibility of accessing basic public services that are essential for developing a reasonably decent life project, such as safety, education and health, and (iii) the third is the intergenerational transmission and perpetuation of situations such as those revealed by the two previous factors; in other words, children who are unable to leave the community and who will suffer the same deprivations that will prevent them from escaping living conditions that were preordained since their birth</w:t>
      </w:r>
      <w:r w:rsidRPr="00FE50A6">
        <w:rPr>
          <w:rFonts w:cs="Times"/>
          <w:sz w:val="16"/>
          <w:szCs w:val="16"/>
          <w:lang w:val="en-US"/>
        </w:rPr>
        <w:t xml:space="preserve">. </w:t>
      </w:r>
      <w:r w:rsidRPr="00FE50A6">
        <w:rPr>
          <w:rFonts w:cs="Times"/>
          <w:i/>
          <w:sz w:val="16"/>
          <w:szCs w:val="16"/>
          <w:lang w:val="en-US"/>
        </w:rPr>
        <w:t>Cf.</w:t>
      </w:r>
      <w:r w:rsidRPr="00FE50A6">
        <w:rPr>
          <w:rFonts w:cs="Times"/>
          <w:sz w:val="16"/>
          <w:szCs w:val="16"/>
          <w:lang w:val="en-US"/>
        </w:rPr>
        <w:t xml:space="preserve"> Saba, Roberto, </w:t>
      </w:r>
      <w:r w:rsidRPr="00FE50A6">
        <w:rPr>
          <w:rFonts w:cs="Times"/>
          <w:i/>
          <w:sz w:val="16"/>
          <w:szCs w:val="16"/>
          <w:lang w:val="en-US"/>
        </w:rPr>
        <w:t xml:space="preserve">Pobreza, derechos humanos y desigualdad estructural, </w:t>
      </w:r>
      <w:r w:rsidRPr="00FE50A6">
        <w:rPr>
          <w:rFonts w:cs="Times"/>
          <w:sz w:val="16"/>
          <w:szCs w:val="16"/>
          <w:lang w:val="en-US"/>
        </w:rPr>
        <w:t xml:space="preserve">Mexico, Supreme Court of Justice of the Nation-Electoral Tribunal of the Federal Judiciary-Electoral Institute of the Federal District, 2012, p. 46 and </w:t>
      </w:r>
      <w:r w:rsidRPr="00FE50A6">
        <w:rPr>
          <w:rFonts w:cs="Times"/>
          <w:i/>
          <w:sz w:val="16"/>
          <w:szCs w:val="16"/>
          <w:lang w:val="en-US"/>
        </w:rPr>
        <w:t>ff</w:t>
      </w:r>
      <w:r w:rsidRPr="00FE50A6">
        <w:rPr>
          <w:rFonts w:cs="Times"/>
          <w:sz w:val="16"/>
          <w:szCs w:val="16"/>
          <w:lang w:val="en-US"/>
        </w:rPr>
        <w:t xml:space="preserve">. </w:t>
      </w:r>
    </w:p>
  </w:footnote>
  <w:footnote w:id="631">
    <w:p w14:paraId="51562D2A"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UN, The </w:t>
      </w:r>
      <w:r w:rsidRPr="00FE50A6">
        <w:rPr>
          <w:rFonts w:eastAsia="Cambria" w:cs="Times"/>
          <w:szCs w:val="20"/>
        </w:rPr>
        <w:t>Guiding Principles on extreme poverty and human rights</w:t>
      </w:r>
      <w:r w:rsidRPr="00FE50A6">
        <w:t xml:space="preserve">, adopted by the Human Rights Council on September 27, 2012, Resolution 21/11, para. 5. </w:t>
      </w:r>
    </w:p>
  </w:footnote>
  <w:footnote w:id="632">
    <w:p w14:paraId="720F8F41" w14:textId="77777777" w:rsidR="00E70935" w:rsidRPr="00FE50A6" w:rsidRDefault="00E70935" w:rsidP="00CD003F">
      <w:pPr>
        <w:pStyle w:val="Textonotapie"/>
        <w:tabs>
          <w:tab w:val="left" w:pos="709"/>
        </w:tabs>
        <w:spacing w:after="80"/>
        <w:rPr>
          <w:rFonts w:cs="Times"/>
        </w:rPr>
      </w:pPr>
      <w:r w:rsidRPr="00FE50A6">
        <w:rPr>
          <w:rStyle w:val="Refdenotaalpie"/>
        </w:rPr>
        <w:footnoteRef/>
      </w:r>
      <w:r w:rsidRPr="00FE50A6">
        <w:t xml:space="preserve"> </w:t>
      </w:r>
      <w:r w:rsidRPr="00FE50A6">
        <w:tab/>
        <w:t xml:space="preserve">UN, </w:t>
      </w:r>
      <w:r w:rsidRPr="00FE50A6">
        <w:rPr>
          <w:rFonts w:cs="Times"/>
          <w:i/>
        </w:rPr>
        <w:t xml:space="preserve">Report of the Special Rapporteur on extreme poverty and human rights, </w:t>
      </w:r>
      <w:r w:rsidRPr="00FE50A6">
        <w:rPr>
          <w:rFonts w:cs="Times"/>
        </w:rPr>
        <w:t xml:space="preserve">Magdalena Sepúlveda Carmona, March 11, 2013,  A/HRC/23/36, </w:t>
      </w:r>
      <w:r w:rsidRPr="00FE50A6">
        <w:t xml:space="preserve">para. </w:t>
      </w:r>
      <w:r w:rsidRPr="00FE50A6">
        <w:rPr>
          <w:rFonts w:cs="Times"/>
        </w:rPr>
        <w:t>13.</w:t>
      </w:r>
    </w:p>
  </w:footnote>
  <w:footnote w:id="633">
    <w:p w14:paraId="59F79923" w14:textId="77777777" w:rsidR="00E70935" w:rsidRPr="00FE50A6" w:rsidRDefault="00E70935" w:rsidP="00CD003F">
      <w:pPr>
        <w:widowControl w:val="0"/>
        <w:tabs>
          <w:tab w:val="left" w:pos="709"/>
        </w:tabs>
        <w:autoSpaceDE w:val="0"/>
        <w:autoSpaceDN w:val="0"/>
        <w:adjustRightInd w:val="0"/>
        <w:spacing w:after="80"/>
        <w:jc w:val="both"/>
        <w:rPr>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t xml:space="preserve">UN, </w:t>
      </w:r>
      <w:r w:rsidRPr="00FE50A6">
        <w:rPr>
          <w:rFonts w:cs="Times"/>
          <w:i/>
          <w:sz w:val="16"/>
          <w:szCs w:val="16"/>
          <w:lang w:val="en-US"/>
        </w:rPr>
        <w:t>Report of the Special Rapporteur on extreme poverty and human rights</w:t>
      </w:r>
      <w:r w:rsidRPr="00FE50A6">
        <w:rPr>
          <w:rFonts w:cs="Times"/>
          <w:sz w:val="16"/>
          <w:szCs w:val="16"/>
          <w:lang w:val="en-US"/>
        </w:rPr>
        <w:t xml:space="preserve">, Magdalena Sepúlveda Carmona, March 11, 2013,  A/HRC/23/36, </w:t>
      </w:r>
      <w:r w:rsidRPr="00FE50A6">
        <w:rPr>
          <w:sz w:val="16"/>
          <w:szCs w:val="16"/>
          <w:lang w:val="en-US"/>
        </w:rPr>
        <w:t xml:space="preserve">para. 43. </w:t>
      </w:r>
    </w:p>
  </w:footnote>
  <w:footnote w:id="634">
    <w:p w14:paraId="0ABABC8B" w14:textId="77777777" w:rsidR="00E70935" w:rsidRPr="00FE50A6" w:rsidRDefault="00E70935" w:rsidP="00CD003F">
      <w:pPr>
        <w:widowControl w:val="0"/>
        <w:tabs>
          <w:tab w:val="left" w:pos="709"/>
        </w:tabs>
        <w:autoSpaceDE w:val="0"/>
        <w:autoSpaceDN w:val="0"/>
        <w:adjustRightInd w:val="0"/>
        <w:spacing w:after="80"/>
        <w:jc w:val="both"/>
        <w:rPr>
          <w:rFonts w:cs="Times"/>
          <w:sz w:val="16"/>
          <w:szCs w:val="16"/>
          <w:lang w:val="en-US"/>
        </w:rPr>
      </w:pPr>
      <w:r w:rsidRPr="00FE50A6">
        <w:rPr>
          <w:rStyle w:val="Refdenotaalpie"/>
          <w:sz w:val="16"/>
          <w:szCs w:val="16"/>
          <w:lang w:val="en-US"/>
        </w:rPr>
        <w:footnoteRef/>
      </w:r>
      <w:r w:rsidRPr="00FE50A6">
        <w:rPr>
          <w:rFonts w:cs="Times"/>
          <w:sz w:val="16"/>
          <w:szCs w:val="16"/>
          <w:lang w:val="en-US"/>
        </w:rPr>
        <w:t xml:space="preserve"> </w:t>
      </w:r>
      <w:r w:rsidRPr="00FE50A6">
        <w:rPr>
          <w:rFonts w:cs="Times"/>
          <w:i/>
          <w:sz w:val="16"/>
          <w:szCs w:val="16"/>
          <w:lang w:val="en-US"/>
        </w:rPr>
        <w:tab/>
        <w:t xml:space="preserve">Cf. </w:t>
      </w:r>
      <w:r w:rsidRPr="00FE50A6">
        <w:rPr>
          <w:rFonts w:cs="Times"/>
          <w:sz w:val="16"/>
          <w:szCs w:val="16"/>
          <w:lang w:val="en-US"/>
        </w:rPr>
        <w:t xml:space="preserve">UN, </w:t>
      </w:r>
      <w:r w:rsidRPr="00FE50A6">
        <w:rPr>
          <w:rFonts w:cs="Times"/>
          <w:i/>
          <w:sz w:val="16"/>
          <w:szCs w:val="16"/>
          <w:lang w:val="en-US"/>
        </w:rPr>
        <w:t>Report of the Special Rapporteur on extreme poverty and human rights</w:t>
      </w:r>
      <w:r w:rsidRPr="00FE50A6">
        <w:rPr>
          <w:rFonts w:cs="Times"/>
          <w:sz w:val="16"/>
          <w:szCs w:val="16"/>
          <w:lang w:val="en-US"/>
        </w:rPr>
        <w:t xml:space="preserve">, Magdalena Sepúlveda Carmona, </w:t>
      </w:r>
      <w:r w:rsidRPr="00FE50A6">
        <w:rPr>
          <w:rFonts w:cs="Times"/>
          <w:i/>
          <w:sz w:val="16"/>
          <w:szCs w:val="16"/>
          <w:lang w:val="en-US"/>
        </w:rPr>
        <w:t>Extreme poverty and human rights</w:t>
      </w:r>
      <w:r w:rsidRPr="00FE50A6">
        <w:rPr>
          <w:rFonts w:cs="Times"/>
          <w:sz w:val="16"/>
          <w:szCs w:val="16"/>
          <w:lang w:val="en-US"/>
        </w:rPr>
        <w:t>, August 9, 2012, A/67/278, paras. 83 and 84.</w:t>
      </w:r>
    </w:p>
  </w:footnote>
  <w:footnote w:id="635">
    <w:p w14:paraId="38DFD865"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rFonts w:cs="Verdana"/>
          <w:bCs/>
          <w:i/>
        </w:rPr>
        <w:t>Case of González et al. (“Cotton Field”) v. Mexico. Preliminary objection, merits, reparations and costs</w:t>
      </w:r>
      <w:r w:rsidRPr="00FE50A6">
        <w:rPr>
          <w:rFonts w:cs="Verdana"/>
          <w:bCs/>
        </w:rPr>
        <w:t xml:space="preserve">. Judgment of November 16, 2009. Series C No. 205, para. 450.  </w:t>
      </w:r>
    </w:p>
  </w:footnote>
  <w:footnote w:id="636">
    <w:p w14:paraId="7E7D617F" w14:textId="77777777" w:rsidR="00E70935" w:rsidRPr="00FE50A6" w:rsidRDefault="00E70935" w:rsidP="00CD003F">
      <w:pPr>
        <w:pStyle w:val="Textonotapie"/>
        <w:tabs>
          <w:tab w:val="left" w:pos="709"/>
        </w:tabs>
        <w:spacing w:after="80"/>
        <w:rPr>
          <w:rFonts w:cs="Verdana"/>
          <w:bCs/>
        </w:rPr>
      </w:pPr>
      <w:r w:rsidRPr="00FE50A6">
        <w:rPr>
          <w:rStyle w:val="Refdenotaalpie"/>
        </w:rPr>
        <w:footnoteRef/>
      </w:r>
      <w:r w:rsidRPr="00FE50A6">
        <w:rPr>
          <w:rFonts w:cs="Verdana"/>
          <w:bCs/>
          <w:i/>
        </w:rPr>
        <w:tab/>
      </w:r>
      <w:r w:rsidRPr="00FE50A6">
        <w:rPr>
          <w:rFonts w:cs="Verdana"/>
          <w:bCs/>
        </w:rPr>
        <w:t>I/A Court HR.</w:t>
      </w:r>
      <w:r w:rsidRPr="00FE50A6">
        <w:rPr>
          <w:rFonts w:cs="Verdana"/>
          <w:bCs/>
          <w:i/>
        </w:rPr>
        <w:t xml:space="preserve"> Xákmok Kásek v. Paraguay. Merits, reparations and costs</w:t>
      </w:r>
      <w:r w:rsidRPr="00FE50A6">
        <w:rPr>
          <w:rFonts w:cs="Verdana"/>
          <w:bCs/>
        </w:rPr>
        <w:t xml:space="preserve">. Judgment of August 24, 2010. Series C No. 214, </w:t>
      </w:r>
    </w:p>
    <w:p w14:paraId="2B1237EE" w14:textId="77777777" w:rsidR="00E70935" w:rsidRPr="00FE50A6" w:rsidRDefault="00E70935" w:rsidP="00CD003F">
      <w:pPr>
        <w:pStyle w:val="Textonotapie"/>
        <w:tabs>
          <w:tab w:val="left" w:pos="709"/>
        </w:tabs>
        <w:spacing w:after="80"/>
      </w:pPr>
      <w:r w:rsidRPr="00FE50A6">
        <w:rPr>
          <w:rFonts w:cs="Verdana"/>
          <w:bCs/>
        </w:rPr>
        <w:t>. 273 and 274.</w:t>
      </w:r>
    </w:p>
  </w:footnote>
  <w:footnote w:id="637">
    <w:p w14:paraId="74F8636C" w14:textId="77777777" w:rsidR="00E70935" w:rsidRPr="00FE50A6" w:rsidRDefault="00E70935" w:rsidP="00FC6535">
      <w:pPr>
        <w:pStyle w:val="Textonotapie"/>
        <w:tabs>
          <w:tab w:val="left" w:pos="709"/>
        </w:tabs>
        <w:spacing w:after="80"/>
        <w:rPr>
          <w:rFonts w:cs="Verdana"/>
          <w:bCs/>
        </w:rPr>
      </w:pPr>
      <w:r w:rsidRPr="00FE50A6">
        <w:rPr>
          <w:rStyle w:val="Refdenotaalpie"/>
        </w:rPr>
        <w:footnoteRef/>
      </w:r>
      <w:r w:rsidRPr="00FE50A6">
        <w:t xml:space="preserve"> </w:t>
      </w:r>
      <w:r w:rsidRPr="00FE50A6">
        <w:tab/>
        <w:t xml:space="preserve">I/A Court HR. </w:t>
      </w:r>
      <w:r w:rsidRPr="00FE50A6">
        <w:rPr>
          <w:rFonts w:cs="Verdana"/>
          <w:bCs/>
          <w:i/>
        </w:rPr>
        <w:t>Case of Atala Riffo and daughters v. Chile. Merits, reparations and costs</w:t>
      </w:r>
      <w:r w:rsidRPr="00FE50A6">
        <w:rPr>
          <w:rFonts w:cs="Verdana"/>
          <w:bCs/>
        </w:rPr>
        <w:t xml:space="preserve">. Judgment of February 24, 2012. Series C No. 239, paras. 92 and 267. </w:t>
      </w:r>
    </w:p>
  </w:footnote>
  <w:footnote w:id="638">
    <w:p w14:paraId="780B2EC0" w14:textId="77777777" w:rsidR="00E70935" w:rsidRPr="00FE50A6" w:rsidRDefault="00E70935" w:rsidP="00CD003F">
      <w:pPr>
        <w:pStyle w:val="Textonotapie"/>
        <w:tabs>
          <w:tab w:val="left" w:pos="709"/>
        </w:tabs>
        <w:spacing w:after="80"/>
      </w:pPr>
      <w:r w:rsidRPr="00FE50A6">
        <w:rPr>
          <w:rStyle w:val="Refdenotaalpie"/>
        </w:rPr>
        <w:footnoteRef/>
      </w:r>
      <w:r w:rsidRPr="00FE50A6">
        <w:rPr>
          <w:rFonts w:cs="Verdana"/>
          <w:bCs/>
          <w:i/>
        </w:rPr>
        <w:t xml:space="preserve"> </w:t>
      </w:r>
      <w:r w:rsidRPr="00FE50A6">
        <w:rPr>
          <w:rFonts w:cs="Verdana"/>
          <w:bCs/>
          <w:i/>
        </w:rPr>
        <w:tab/>
      </w:r>
      <w:r w:rsidRPr="00FE50A6">
        <w:rPr>
          <w:rFonts w:cs="Verdana"/>
          <w:bCs/>
        </w:rPr>
        <w:t xml:space="preserve">I/A Court HR. </w:t>
      </w:r>
      <w:r w:rsidRPr="00FE50A6">
        <w:rPr>
          <w:rFonts w:cs="Verdana"/>
          <w:bCs/>
          <w:i/>
        </w:rPr>
        <w:t>Case of Nadege Dorzema et al. v. Dominican Republic. Merits, reparations and costs</w:t>
      </w:r>
      <w:r w:rsidRPr="00FE50A6">
        <w:rPr>
          <w:rFonts w:cs="Verdana"/>
          <w:bCs/>
        </w:rPr>
        <w:t>. Judgment of October 24, 2012. Series C No. 251, paras. 235</w:t>
      </w:r>
      <w:r w:rsidRPr="00FE50A6">
        <w:t xml:space="preserve">, 237 and 238. </w:t>
      </w:r>
    </w:p>
  </w:footnote>
  <w:footnote w:id="639">
    <w:p w14:paraId="600D7A27" w14:textId="77777777" w:rsidR="00E70935" w:rsidRPr="00FE50A6" w:rsidRDefault="00E70935" w:rsidP="00CD003F">
      <w:pPr>
        <w:pStyle w:val="Textonotapie"/>
        <w:tabs>
          <w:tab w:val="left" w:pos="709"/>
        </w:tabs>
        <w:spacing w:after="80"/>
        <w:rPr>
          <w:rFonts w:cs="Verdana"/>
          <w:b/>
          <w:bCs/>
        </w:rPr>
      </w:pPr>
      <w:r w:rsidRPr="00FE50A6">
        <w:rPr>
          <w:rStyle w:val="Refdenotaalpie"/>
        </w:rPr>
        <w:footnoteRef/>
      </w:r>
      <w:r w:rsidRPr="00FE50A6">
        <w:t xml:space="preserve"> </w:t>
      </w:r>
      <w:r w:rsidRPr="00FE50A6">
        <w:tab/>
        <w:t xml:space="preserve">I/A Court HR. </w:t>
      </w:r>
      <w:r w:rsidRPr="00FE50A6">
        <w:rPr>
          <w:rFonts w:cs="Verdana"/>
          <w:bCs/>
          <w:i/>
        </w:rPr>
        <w:t>Case of Nadege Dorzema et al. v. Dominican Republic. Merits, reparations and costs</w:t>
      </w:r>
      <w:r w:rsidRPr="00FE50A6">
        <w:rPr>
          <w:rFonts w:cs="Verdana"/>
          <w:bCs/>
        </w:rPr>
        <w:t>. Judgment of October 24, 2012. Series C No. 251, paras. 235</w:t>
      </w:r>
      <w:r w:rsidRPr="00FE50A6">
        <w:t xml:space="preserve">, 237 and 238; </w:t>
      </w:r>
      <w:r w:rsidRPr="00FE50A6">
        <w:rPr>
          <w:rFonts w:cs="Verdana"/>
          <w:bCs/>
          <w:i/>
        </w:rPr>
        <w:t>Case of Atala Riffo and daughters v. Chile. Merits, reparations and costs</w:t>
      </w:r>
      <w:r w:rsidRPr="00FE50A6">
        <w:rPr>
          <w:rFonts w:cs="Verdana"/>
          <w:bCs/>
        </w:rPr>
        <w:t xml:space="preserve">. Judgment of February 24, 2012. Series C No. 239, paras. 92 and 267, </w:t>
      </w:r>
      <w:proofErr w:type="gramStart"/>
      <w:r w:rsidRPr="00FE50A6">
        <w:rPr>
          <w:rFonts w:cs="Verdana"/>
          <w:bCs/>
        </w:rPr>
        <w:t xml:space="preserve">and </w:t>
      </w:r>
      <w:r w:rsidRPr="00FE50A6">
        <w:rPr>
          <w:rFonts w:cs="Verdana"/>
          <w:bCs/>
          <w:i/>
        </w:rPr>
        <w:t xml:space="preserve"> Xákmok</w:t>
      </w:r>
      <w:proofErr w:type="gramEnd"/>
      <w:r w:rsidRPr="00FE50A6">
        <w:rPr>
          <w:rFonts w:cs="Verdana"/>
          <w:bCs/>
          <w:i/>
        </w:rPr>
        <w:t xml:space="preserve"> Kásek v. Paraguay. Merits, reparations and costs</w:t>
      </w:r>
      <w:r w:rsidRPr="00FE50A6">
        <w:rPr>
          <w:rFonts w:cs="Verdana"/>
          <w:bCs/>
        </w:rPr>
        <w:t xml:space="preserve">. Judgment of August 24, 2010. Series C No. 214, paras. 273 and 274. </w:t>
      </w:r>
      <w:r w:rsidRPr="00FE50A6">
        <w:t xml:space="preserve">Similarly: </w:t>
      </w:r>
      <w:r w:rsidRPr="00FE50A6">
        <w:rPr>
          <w:rFonts w:cs="Verdana"/>
          <w:bCs/>
          <w:i/>
        </w:rPr>
        <w:t>Case of González et al. (“Cotton Field”) v. Mexico. Preliminary objection, merits, reparations and costs</w:t>
      </w:r>
      <w:r w:rsidRPr="00FE50A6">
        <w:rPr>
          <w:rFonts w:cs="Verdana"/>
          <w:bCs/>
        </w:rPr>
        <w:t>. Judgment of November 16, 2009. Series C No. 205, para. 450.</w:t>
      </w:r>
      <w:r w:rsidRPr="00FE50A6">
        <w:rPr>
          <w:rFonts w:cs="Verdana"/>
          <w:b/>
          <w:bCs/>
        </w:rPr>
        <w:t xml:space="preserve"> </w:t>
      </w:r>
    </w:p>
  </w:footnote>
  <w:footnote w:id="640">
    <w:p w14:paraId="0014147F"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r>
      <w:r w:rsidRPr="00FE50A6">
        <w:rPr>
          <w:i/>
        </w:rPr>
        <w:t>Cf.</w:t>
      </w:r>
      <w:r w:rsidRPr="00FE50A6">
        <w:t xml:space="preserve"> I/A Court HR. </w:t>
      </w:r>
      <w:r w:rsidRPr="00FE50A6">
        <w:rPr>
          <w:i/>
        </w:rPr>
        <w:t xml:space="preserve">Case of the Hacienda Brasil Verde Workers v. Brazil. Preliminary objections, merits, reparations and costs. </w:t>
      </w:r>
      <w:r w:rsidRPr="00FE50A6">
        <w:t xml:space="preserve">Judgment of October 20, 2016, Series C No. 318, para. </w:t>
      </w:r>
      <w:r w:rsidRPr="00FE50A6">
        <w:rPr>
          <w:rFonts w:cs="Times New Roman"/>
        </w:rPr>
        <w:t xml:space="preserve">110.  </w:t>
      </w:r>
    </w:p>
  </w:footnote>
  <w:footnote w:id="641">
    <w:p w14:paraId="1D62F5F3"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w:t>
      </w:r>
      <w:r w:rsidRPr="00FE50A6">
        <w:rPr>
          <w:rFonts w:cs="Times New Roman"/>
        </w:rPr>
        <w:t>111.</w:t>
      </w:r>
    </w:p>
  </w:footnote>
  <w:footnote w:id="642">
    <w:p w14:paraId="78822C63" w14:textId="77777777" w:rsidR="00E70935" w:rsidRPr="00FE50A6" w:rsidRDefault="00E70935" w:rsidP="00CD003F">
      <w:pPr>
        <w:pStyle w:val="Textonotapie"/>
        <w:tabs>
          <w:tab w:val="left" w:pos="709"/>
        </w:tabs>
        <w:spacing w:after="80"/>
        <w:rPr>
          <w:rFonts w:cs="Times New Roman"/>
          <w:b/>
        </w:rPr>
      </w:pPr>
      <w:r w:rsidRPr="00FE50A6">
        <w:rPr>
          <w:rStyle w:val="Refdenotaalpie"/>
        </w:rPr>
        <w:footnoteRef/>
      </w:r>
      <w:r w:rsidRPr="00FE50A6">
        <w:t xml:space="preserve"> </w:t>
      </w:r>
      <w:r w:rsidRPr="00FE50A6">
        <w:rPr>
          <w:rFonts w:cs="Times New Roman"/>
          <w:b/>
          <w:color w:val="FF0000"/>
        </w:rPr>
        <w:t xml:space="preserve"> </w:t>
      </w:r>
      <w:r w:rsidRPr="00FE50A6">
        <w:rPr>
          <w:rFonts w:cs="Times New Roman"/>
          <w:b/>
          <w:color w:val="FF0000"/>
        </w:rPr>
        <w:tab/>
      </w:r>
      <w:r w:rsidRPr="00FE50A6">
        <w:t xml:space="preserve">I/A Court HR. </w:t>
      </w:r>
      <w:r w:rsidRPr="00FE50A6">
        <w:rPr>
          <w:i/>
        </w:rPr>
        <w:t xml:space="preserve">Case of the Hacienda Brasil Verde Workers v. Brazil. Preliminary objections, merits, reparations and costs. </w:t>
      </w:r>
      <w:r w:rsidRPr="00FE50A6">
        <w:t>Judgment of October 20, 2016, Series C No. 318, para.</w:t>
      </w:r>
      <w:r w:rsidRPr="00FE50A6">
        <w:rPr>
          <w:rFonts w:cs="Times New Roman"/>
        </w:rPr>
        <w:t xml:space="preserve"> 112.</w:t>
      </w:r>
    </w:p>
  </w:footnote>
  <w:footnote w:id="643">
    <w:p w14:paraId="34EDD9E3"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rPr>
          <w:rFonts w:cs="Times New Roman"/>
        </w:rPr>
        <w:t xml:space="preserve"> </w:t>
      </w:r>
      <w:r w:rsidRPr="00FE50A6">
        <w:rPr>
          <w:rFonts w:cs="Times New Roman"/>
        </w:rPr>
        <w:tab/>
      </w:r>
      <w:r w:rsidRPr="00FE50A6">
        <w:t xml:space="preserve">I/A Court HR. </w:t>
      </w:r>
      <w:r w:rsidRPr="00FE50A6">
        <w:rPr>
          <w:i/>
        </w:rPr>
        <w:t xml:space="preserve">Case of the Hacienda Brasil Verde Workers v. Brazil. Preliminary objections, merits, reparations and costs. </w:t>
      </w:r>
      <w:r w:rsidRPr="00FE50A6">
        <w:t>Judgment of October 20, 2016, Series C No. 318, para.</w:t>
      </w:r>
      <w:r w:rsidRPr="00FE50A6">
        <w:rPr>
          <w:rFonts w:cs="Times New Roman"/>
          <w:b/>
        </w:rPr>
        <w:t xml:space="preserve"> </w:t>
      </w:r>
      <w:r w:rsidRPr="00FE50A6">
        <w:rPr>
          <w:rFonts w:cs="Times New Roman"/>
        </w:rPr>
        <w:t xml:space="preserve">113. </w:t>
      </w:r>
    </w:p>
  </w:footnote>
  <w:footnote w:id="644">
    <w:p w14:paraId="23CCA020"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Cf. I/A Court HR. </w:t>
      </w:r>
      <w:r w:rsidRPr="00FE50A6">
        <w:rPr>
          <w:i/>
        </w:rPr>
        <w:t xml:space="preserve">Case of the Hacienda Brasil Verde Workers v. Brazil. Preliminary objections, merits, reparations and costs. </w:t>
      </w:r>
      <w:r w:rsidRPr="00FE50A6">
        <w:t>Judgment of October 20, 2016, Series C No. 318, para. 114.</w:t>
      </w:r>
    </w:p>
  </w:footnote>
  <w:footnote w:id="645">
    <w:p w14:paraId="7C27AA1D"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Judgment of October 20, 2016, Series C No. 318, para. 115</w:t>
      </w:r>
      <w:r w:rsidRPr="00FE50A6">
        <w:rPr>
          <w:rFonts w:cs="Times New Roman"/>
          <w:b/>
        </w:rPr>
        <w:t>.</w:t>
      </w:r>
    </w:p>
  </w:footnote>
  <w:footnote w:id="646">
    <w:p w14:paraId="18B6071C" w14:textId="77777777" w:rsidR="00E70935" w:rsidRPr="00FE50A6" w:rsidRDefault="00E70935" w:rsidP="00CD003F">
      <w:pPr>
        <w:pStyle w:val="Textonotapie"/>
        <w:tabs>
          <w:tab w:val="left" w:pos="709"/>
        </w:tabs>
        <w:spacing w:after="80"/>
        <w:rPr>
          <w:rFonts w:cs="Times New Roman"/>
        </w:rPr>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128. </w:t>
      </w:r>
    </w:p>
  </w:footnote>
  <w:footnote w:id="647">
    <w:p w14:paraId="1A3B784B" w14:textId="77777777" w:rsidR="00E70935" w:rsidRPr="00FE50A6" w:rsidRDefault="00E70935" w:rsidP="00CD003F">
      <w:pPr>
        <w:pStyle w:val="Textonotapie"/>
        <w:tabs>
          <w:tab w:val="left" w:pos="709"/>
        </w:tabs>
        <w:spacing w:after="80"/>
      </w:pPr>
      <w:r w:rsidRPr="00FE50A6">
        <w:rPr>
          <w:rStyle w:val="Refdenotaalpie"/>
        </w:rPr>
        <w:footnoteRef/>
      </w:r>
      <w:r w:rsidRPr="00FE50A6">
        <w:tab/>
        <w:t xml:space="preserve">I/A Court HR. </w:t>
      </w:r>
      <w:r w:rsidRPr="00FE50A6">
        <w:rPr>
          <w:i/>
        </w:rPr>
        <w:t xml:space="preserve">Case of the Hacienda Brasil Verde Workers v. Brazil. Preliminary objections, merits, reparations and costs. </w:t>
      </w:r>
      <w:r w:rsidRPr="00FE50A6">
        <w:t>Judgment of October 20, 2016, Series C No. 318, para. 303.</w:t>
      </w:r>
    </w:p>
  </w:footnote>
  <w:footnote w:id="648">
    <w:p w14:paraId="768294C8"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304.  </w:t>
      </w:r>
    </w:p>
  </w:footnote>
  <w:footnote w:id="649">
    <w:p w14:paraId="0A92BE10"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343 and fourth operative paragraph </w:t>
      </w:r>
    </w:p>
  </w:footnote>
  <w:footnote w:id="650">
    <w:p w14:paraId="3A92139A" w14:textId="77777777" w:rsidR="00E70935" w:rsidRPr="00FE50A6" w:rsidRDefault="00E70935" w:rsidP="00CD003F">
      <w:pPr>
        <w:pStyle w:val="Textonotapie"/>
        <w:tabs>
          <w:tab w:val="left" w:pos="709"/>
        </w:tabs>
        <w:spacing w:after="80"/>
      </w:pPr>
      <w:r w:rsidRPr="00FE50A6">
        <w:rPr>
          <w:rStyle w:val="Refdenotaalpie"/>
        </w:rPr>
        <w:footnoteRef/>
      </w:r>
      <w:r w:rsidRPr="00FE50A6">
        <w:tab/>
        <w:t xml:space="preserve">I/A Court HR. </w:t>
      </w:r>
      <w:r w:rsidRPr="00FE50A6">
        <w:rPr>
          <w:i/>
        </w:rPr>
        <w:t xml:space="preserve">Case of the Hacienda Brasil Verde Workers v. Brazil. Preliminary objections, merits, reparations and costs. </w:t>
      </w:r>
      <w:r w:rsidRPr="00FE50A6">
        <w:rPr>
          <w:spacing w:val="-2"/>
        </w:rPr>
        <w:t>Judgment of October 20, 2016, Series C No. 318, para. 305.</w:t>
      </w:r>
      <w:r w:rsidRPr="00FE50A6">
        <w:t xml:space="preserve"> </w:t>
      </w:r>
    </w:p>
  </w:footnote>
  <w:footnote w:id="651">
    <w:p w14:paraId="1106BFBC" w14:textId="77777777" w:rsidR="00E70935" w:rsidRPr="00FE50A6" w:rsidRDefault="00E70935" w:rsidP="00F963AB">
      <w:pPr>
        <w:pStyle w:val="Prrafodelista"/>
        <w:tabs>
          <w:tab w:val="left" w:pos="709"/>
        </w:tabs>
        <w:spacing w:after="80"/>
        <w:ind w:left="0"/>
        <w:rPr>
          <w:iCs/>
          <w:sz w:val="16"/>
          <w:szCs w:val="16"/>
          <w:lang w:val="en-US"/>
        </w:rPr>
      </w:pPr>
      <w:r w:rsidRPr="00FE50A6">
        <w:rPr>
          <w:rStyle w:val="Refdenotaalpie"/>
          <w:sz w:val="16"/>
          <w:szCs w:val="16"/>
          <w:lang w:val="en-US"/>
        </w:rPr>
        <w:footnoteRef/>
      </w:r>
      <w:r w:rsidRPr="00FE50A6">
        <w:rPr>
          <w:sz w:val="16"/>
          <w:szCs w:val="16"/>
          <w:lang w:val="en-US"/>
        </w:rPr>
        <w:t xml:space="preserve"> </w:t>
      </w:r>
      <w:r w:rsidRPr="00FE50A6">
        <w:rPr>
          <w:sz w:val="16"/>
          <w:szCs w:val="16"/>
          <w:lang w:val="en-US"/>
        </w:rPr>
        <w:tab/>
      </w:r>
      <w:r w:rsidRPr="00FE50A6">
        <w:rPr>
          <w:rFonts w:cs="Times New Roman"/>
          <w:sz w:val="16"/>
          <w:szCs w:val="16"/>
          <w:lang w:val="en-US"/>
        </w:rPr>
        <w:t xml:space="preserve">In addition, with regard to historical structural discrimination, it can be considered that: (i) in view of the elevated number of victims of slavery, trafficking and servitude that continue to be liberated by the Brazilian authorities, and to the change in perspective towards these phenomena and their occurrence “in the lowers links of the supply chains of a globalized economy,” it is important that the State adopt measures to discourage the demand that feeds labor exploitation, by both </w:t>
      </w:r>
      <w:r w:rsidRPr="00FE50A6">
        <w:rPr>
          <w:iCs/>
          <w:sz w:val="16"/>
          <w:szCs w:val="16"/>
          <w:lang w:val="en-US"/>
        </w:rPr>
        <w:t xml:space="preserve">forced labor, and servitude and slavery; (ii) in this regard, in this specific case, the Court noted a series of shortcomings and negligence by the State as regards preventing the occurrence of servitude, trafficking and slavery in its territory prior to 2000, but also following the specific complaint filed by </w:t>
      </w:r>
      <w:r w:rsidRPr="00FE50A6">
        <w:rPr>
          <w:sz w:val="16"/>
          <w:szCs w:val="16"/>
          <w:lang w:val="en-US"/>
        </w:rPr>
        <w:t xml:space="preserve">Antonio Francisco da Silva and Gonçalo Luiz Furtado, and (iii) starting in 1988, several complaints were filed concerning the existence of a situation similar to slavery in the state of Pará, specifically in Hacienda Brasil Verde. These complaints identified a </w:t>
      </w:r>
      <w:r w:rsidRPr="00FE50A6">
        <w:rPr>
          <w:i/>
          <w:sz w:val="16"/>
          <w:szCs w:val="16"/>
          <w:lang w:val="en-US"/>
        </w:rPr>
        <w:t>modus operandi</w:t>
      </w:r>
      <w:r w:rsidRPr="00FE50A6">
        <w:rPr>
          <w:sz w:val="16"/>
          <w:szCs w:val="16"/>
          <w:lang w:val="en-US"/>
        </w:rPr>
        <w:t xml:space="preserve"> for the recruitment and exploitation of workers in that specific part of the south of the state of Pará.  I/A Court HR. </w:t>
      </w:r>
      <w:r w:rsidRPr="00FE50A6">
        <w:rPr>
          <w:i/>
          <w:sz w:val="16"/>
          <w:szCs w:val="16"/>
          <w:lang w:val="en-US"/>
        </w:rPr>
        <w:t xml:space="preserve">Case of the Hacienda Brasil Verde Workers v. Brazil. Preliminary objections, merits, reparations and costs. </w:t>
      </w:r>
      <w:r w:rsidRPr="00FE50A6">
        <w:rPr>
          <w:sz w:val="16"/>
          <w:szCs w:val="16"/>
          <w:lang w:val="en-US"/>
        </w:rPr>
        <w:t xml:space="preserve">Judgment of October 20, 2016, Series C No. 318, paras. 318, 319, 326 and 327. </w:t>
      </w:r>
    </w:p>
  </w:footnote>
  <w:footnote w:id="652">
    <w:p w14:paraId="4AF63908"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339. </w:t>
      </w:r>
    </w:p>
  </w:footnote>
  <w:footnote w:id="653">
    <w:p w14:paraId="62F6C869" w14:textId="77777777" w:rsidR="00E70935" w:rsidRPr="00FE50A6" w:rsidRDefault="00E70935" w:rsidP="00CD003F">
      <w:pPr>
        <w:pStyle w:val="Textonotapie"/>
        <w:tabs>
          <w:tab w:val="left" w:pos="709"/>
        </w:tabs>
        <w:spacing w:after="80"/>
        <w:rPr>
          <w:lang w:val="es-CR"/>
        </w:rPr>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w:t>
      </w:r>
      <w:proofErr w:type="gramStart"/>
      <w:r w:rsidRPr="00FE50A6">
        <w:t>of  October</w:t>
      </w:r>
      <w:proofErr w:type="gramEnd"/>
      <w:r w:rsidRPr="00FE50A6">
        <w:t xml:space="preserve"> 20, 2016, Series C No. 318, para. </w:t>
      </w:r>
      <w:r w:rsidRPr="00FE50A6">
        <w:rPr>
          <w:lang w:val="es-CR"/>
        </w:rPr>
        <w:t>338.</w:t>
      </w:r>
    </w:p>
  </w:footnote>
  <w:footnote w:id="654">
    <w:p w14:paraId="3073628D" w14:textId="77777777" w:rsidR="00E70935" w:rsidRPr="00FE50A6" w:rsidRDefault="00E70935" w:rsidP="00CD003F">
      <w:pPr>
        <w:pStyle w:val="Textonotapie"/>
        <w:tabs>
          <w:tab w:val="left" w:pos="709"/>
        </w:tabs>
        <w:spacing w:after="80"/>
        <w:rPr>
          <w:lang w:val="es-CR"/>
        </w:rPr>
      </w:pPr>
      <w:r w:rsidRPr="00FE50A6">
        <w:rPr>
          <w:rStyle w:val="Refdenotaalpie"/>
        </w:rPr>
        <w:footnoteRef/>
      </w:r>
      <w:r w:rsidRPr="00FE50A6">
        <w:rPr>
          <w:lang w:val="es-CR"/>
        </w:rPr>
        <w:t xml:space="preserve"> </w:t>
      </w:r>
      <w:r w:rsidRPr="00FE50A6">
        <w:rPr>
          <w:lang w:val="es-CR"/>
        </w:rPr>
        <w:tab/>
      </w:r>
      <w:r w:rsidRPr="00FE50A6">
        <w:rPr>
          <w:i/>
          <w:lang w:val="es-CR"/>
        </w:rPr>
        <w:t>Cf.</w:t>
      </w:r>
      <w:r w:rsidRPr="00FE50A6">
        <w:rPr>
          <w:lang w:val="es-CR"/>
        </w:rPr>
        <w:t xml:space="preserve"> Giménez Glück, David, </w:t>
      </w:r>
      <w:r w:rsidRPr="00FE50A6">
        <w:rPr>
          <w:i/>
          <w:lang w:val="es-CR"/>
        </w:rPr>
        <w:t xml:space="preserve">El juicio de igualdad y Tribunal Constitucional, </w:t>
      </w:r>
      <w:r w:rsidRPr="00FE50A6">
        <w:rPr>
          <w:lang w:val="es-CR"/>
        </w:rPr>
        <w:t xml:space="preserve">Barcelona, Bosch, 2004, pp. 311-312 and </w:t>
      </w:r>
      <w:r w:rsidRPr="00FE50A6">
        <w:rPr>
          <w:i/>
          <w:lang w:val="es-CR"/>
        </w:rPr>
        <w:t>ff.</w:t>
      </w:r>
    </w:p>
  </w:footnote>
  <w:footnote w:id="655">
    <w:p w14:paraId="55987F1B" w14:textId="77777777" w:rsidR="00E70935" w:rsidRPr="00FE50A6" w:rsidRDefault="00E70935" w:rsidP="00CD003F">
      <w:pPr>
        <w:pStyle w:val="Textonotapie"/>
        <w:tabs>
          <w:tab w:val="left" w:pos="567"/>
          <w:tab w:val="left" w:pos="709"/>
        </w:tabs>
        <w:spacing w:after="80"/>
        <w:rPr>
          <w:rFonts w:cs="Times New Roman"/>
        </w:rPr>
      </w:pPr>
      <w:r w:rsidRPr="00FE50A6">
        <w:rPr>
          <w:rStyle w:val="Refdenotaalpie"/>
        </w:rPr>
        <w:footnoteRef/>
      </w:r>
      <w:r w:rsidRPr="00FE50A6">
        <w:t xml:space="preserve">  </w:t>
      </w:r>
      <w:r w:rsidRPr="00FE50A6">
        <w:tab/>
      </w:r>
      <w:r w:rsidRPr="00FE50A6">
        <w:tab/>
      </w:r>
      <w:r w:rsidRPr="00FE50A6">
        <w:rPr>
          <w:rFonts w:cs="Times New Roman"/>
        </w:rPr>
        <w:t xml:space="preserve">It should be emphasized that, in this case, the Inter-American Court did not determine measures of non-repetition as part of the reparations, considering that since 1995 the Brazilian State had greatly increased its efforts to avoid the perpetuation of the recruitment of poor individuals who are then subjected to slave labor, an action that the Court assessed positively. Despite this, and without downplaying the efforts that have been implemented to date, </w:t>
      </w:r>
      <w:r w:rsidRPr="00FE50A6">
        <w:rPr>
          <w:rFonts w:eastAsia="Cambria" w:cs="Times New Roman"/>
          <w:szCs w:val="20"/>
        </w:rPr>
        <w:t xml:space="preserve">the Court </w:t>
      </w:r>
      <w:r w:rsidRPr="00FE50A6">
        <w:rPr>
          <w:rFonts w:eastAsia="Cambria" w:cs="Times New Roman"/>
          <w:i/>
          <w:szCs w:val="20"/>
        </w:rPr>
        <w:t>urged</w:t>
      </w:r>
      <w:r w:rsidRPr="00FE50A6">
        <w:rPr>
          <w:rFonts w:eastAsia="Cambria" w:cs="Times New Roman"/>
          <w:szCs w:val="20"/>
        </w:rPr>
        <w:t xml:space="preserve"> the State to continue increasing the effectiveness of its policies and the interaction among the different bodies involved in combating slavery in Brazil, </w:t>
      </w:r>
      <w:r w:rsidRPr="00FE50A6">
        <w:rPr>
          <w:rFonts w:eastAsia="Cambria" w:cs="Times New Roman"/>
          <w:i/>
          <w:szCs w:val="20"/>
        </w:rPr>
        <w:t>without permitting any retrogression in this matter</w:t>
      </w:r>
      <w:r w:rsidRPr="00FE50A6">
        <w:rPr>
          <w:rFonts w:eastAsia="Cambria" w:cs="Times New Roman"/>
          <w:szCs w:val="20"/>
        </w:rPr>
        <w:t>. The mandate of non-retrogression signifies that, although the Court did not order additional actions and measures to those already implemented, since those were sufficient in the Inter-American Court’s opinion, the guarantee of non-repetition is not exhausted merely with the existence of public actions, measures, laws and policies, but this whole range of mechanisms must be implemented effectively and, consequently, ensure that situations of discrimination such as those described in the judgment do not happen again</w:t>
      </w:r>
      <w:r w:rsidRPr="00FE50A6">
        <w:rPr>
          <w:rFonts w:cs="Times New Roman"/>
        </w:rPr>
        <w:t xml:space="preserve">. </w:t>
      </w:r>
      <w:r w:rsidRPr="00FE50A6">
        <w:rPr>
          <w:rFonts w:cs="Times New Roman"/>
          <w:i/>
        </w:rPr>
        <w:t>Cf.</w:t>
      </w:r>
      <w:r w:rsidRPr="00FE50A6">
        <w:rPr>
          <w:rFonts w:cs="Times New Roman"/>
        </w:rPr>
        <w:t xml:space="preserve"> </w:t>
      </w:r>
      <w:r w:rsidRPr="00FE50A6">
        <w:t xml:space="preserve">I/A Court HR. </w:t>
      </w:r>
      <w:r w:rsidRPr="00FE50A6">
        <w:rPr>
          <w:i/>
        </w:rPr>
        <w:t xml:space="preserve">Case of the Hacienda Brasil Verde Workers v. Brazil. Preliminary objections, merits, reparations and costs. </w:t>
      </w:r>
      <w:r w:rsidRPr="00FE50A6">
        <w:t>Judgment of October 20, 2016, Series C No. 318, para. 470.</w:t>
      </w:r>
    </w:p>
  </w:footnote>
  <w:footnote w:id="656">
    <w:p w14:paraId="56511E60"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t xml:space="preserve">I/A Court HR. </w:t>
      </w:r>
      <w:r w:rsidRPr="00FE50A6">
        <w:rPr>
          <w:i/>
        </w:rPr>
        <w:t xml:space="preserve">Case of the Hacienda Brasil Verde Workers v. Brazil. Preliminary objections, merits, reparations and costs. </w:t>
      </w:r>
      <w:r w:rsidRPr="00FE50A6">
        <w:t xml:space="preserve">Judgment of October 20, 2016, Series C No. 318, para. 340. </w:t>
      </w:r>
      <w:r w:rsidRPr="00FE50A6">
        <w:rPr>
          <w:i/>
        </w:rPr>
        <w:t>Cf.</w:t>
      </w:r>
      <w:r w:rsidRPr="00FE50A6">
        <w:t xml:space="preserve"> ILO – Brazil. </w:t>
      </w:r>
      <w:r w:rsidRPr="00FE50A6">
        <w:rPr>
          <w:i/>
        </w:rPr>
        <w:t>Fighting forced labour: the example of Brazil</w:t>
      </w:r>
      <w:r w:rsidRPr="00FE50A6">
        <w:t>, 2010, p. 2010 (evidence file, folio 8529).</w:t>
      </w:r>
    </w:p>
  </w:footnote>
  <w:footnote w:id="657">
    <w:p w14:paraId="0107347A" w14:textId="77777777" w:rsidR="00E70935" w:rsidRPr="00FE50A6" w:rsidRDefault="00E70935" w:rsidP="00CD003F">
      <w:pPr>
        <w:pStyle w:val="Textonotapie"/>
        <w:tabs>
          <w:tab w:val="clear" w:pos="4419"/>
          <w:tab w:val="clear" w:pos="8838"/>
        </w:tabs>
        <w:spacing w:after="80"/>
        <w:rPr>
          <w:lang w:val="es-CR"/>
        </w:rPr>
      </w:pPr>
      <w:r w:rsidRPr="00FE50A6">
        <w:rPr>
          <w:rStyle w:val="Refdenotaalpie"/>
        </w:rPr>
        <w:footnoteRef/>
      </w:r>
      <w:r w:rsidRPr="00FE50A6">
        <w:rPr>
          <w:lang w:val="es-CR"/>
        </w:rPr>
        <w:t xml:space="preserve"> </w:t>
      </w:r>
      <w:r w:rsidRPr="00FE50A6">
        <w:rPr>
          <w:lang w:val="es-CR"/>
        </w:rPr>
        <w:tab/>
      </w:r>
      <w:r w:rsidRPr="00FE50A6">
        <w:rPr>
          <w:i/>
          <w:lang w:val="es-CR"/>
        </w:rPr>
        <w:t>Cf.</w:t>
      </w:r>
      <w:r w:rsidRPr="00FE50A6">
        <w:rPr>
          <w:lang w:val="es-CR"/>
        </w:rPr>
        <w:t xml:space="preserve"> Piovesan, Flávia, “Protección de los derechos sociales: retos de un </w:t>
      </w:r>
      <w:r w:rsidRPr="00FE50A6">
        <w:rPr>
          <w:i/>
          <w:lang w:val="es-CR"/>
        </w:rPr>
        <w:t>ius commune</w:t>
      </w:r>
      <w:r w:rsidRPr="00FE50A6">
        <w:rPr>
          <w:lang w:val="es-CR"/>
        </w:rPr>
        <w:t xml:space="preserve"> para Sudamérica”</w:t>
      </w:r>
      <w:r w:rsidRPr="00FE50A6">
        <w:rPr>
          <w:i/>
          <w:lang w:val="es-CR"/>
        </w:rPr>
        <w:t xml:space="preserve">, </w:t>
      </w:r>
      <w:r w:rsidRPr="00FE50A6">
        <w:rPr>
          <w:lang w:val="es-CR"/>
        </w:rPr>
        <w:t xml:space="preserve">in Bogdandy, Armin von, Fix Fierro, Héctor, Morales Antoniazzi, Mariela, and Ferrer Mac-Gregor, Eduardo (coords.), </w:t>
      </w:r>
      <w:r w:rsidRPr="00FE50A6">
        <w:rPr>
          <w:i/>
          <w:lang w:val="es-CR"/>
        </w:rPr>
        <w:t xml:space="preserve">Construcción y papel de los derechos sociales fundamentales: Hacia un </w:t>
      </w:r>
      <w:r w:rsidRPr="00FE50A6">
        <w:rPr>
          <w:lang w:val="es-CR"/>
        </w:rPr>
        <w:t>Ius Constitutionale Commune</w:t>
      </w:r>
      <w:r w:rsidRPr="00FE50A6">
        <w:rPr>
          <w:i/>
          <w:lang w:val="es-CR"/>
        </w:rPr>
        <w:t xml:space="preserve"> en América Latina, </w:t>
      </w:r>
      <w:r w:rsidRPr="00FE50A6">
        <w:rPr>
          <w:lang w:val="es-CR"/>
        </w:rPr>
        <w:t>Mexico, UNAM/IIJ-Instituto Iberoamericano de Derecho Constitucional-Max Planck Institut für ausländisches öffentliches Recht und Völkerrecht, 2011, pp. 339-380, on p. 369.</w:t>
      </w:r>
      <w:r w:rsidRPr="00FE50A6">
        <w:rPr>
          <w:lang w:val="es-CR"/>
        </w:rPr>
        <w:tab/>
      </w:r>
    </w:p>
  </w:footnote>
  <w:footnote w:id="658">
    <w:p w14:paraId="0C74D981" w14:textId="77777777" w:rsidR="00E70935" w:rsidRPr="00FE50A6" w:rsidRDefault="00E70935" w:rsidP="00CD003F">
      <w:pPr>
        <w:pStyle w:val="CPClassification"/>
        <w:tabs>
          <w:tab w:val="clear" w:pos="2160"/>
          <w:tab w:val="clear" w:pos="7200"/>
        </w:tabs>
        <w:spacing w:after="80"/>
        <w:ind w:left="0" w:right="0"/>
        <w:rPr>
          <w:rFonts w:ascii="Verdana" w:hAnsi="Verdana"/>
          <w:sz w:val="16"/>
          <w:szCs w:val="16"/>
          <w:lang w:val="en-US"/>
        </w:rPr>
      </w:pPr>
      <w:r w:rsidRPr="00FE50A6">
        <w:rPr>
          <w:rStyle w:val="Refdenotaalpie"/>
          <w:rFonts w:ascii="Verdana" w:hAnsi="Verdana"/>
          <w:sz w:val="16"/>
          <w:szCs w:val="16"/>
          <w:lang w:val="en-US"/>
        </w:rPr>
        <w:footnoteRef/>
      </w:r>
      <w:r w:rsidRPr="00FE50A6">
        <w:rPr>
          <w:rFonts w:ascii="Verdana" w:hAnsi="Verdana"/>
          <w:sz w:val="16"/>
          <w:szCs w:val="16"/>
          <w:lang w:val="en-US"/>
        </w:rPr>
        <w:t xml:space="preserve"> </w:t>
      </w:r>
      <w:r w:rsidRPr="00FE50A6">
        <w:rPr>
          <w:rFonts w:ascii="Verdana" w:hAnsi="Verdana"/>
          <w:sz w:val="16"/>
          <w:szCs w:val="16"/>
          <w:lang w:val="en-US"/>
        </w:rPr>
        <w:tab/>
      </w:r>
      <w:r w:rsidRPr="00FE50A6">
        <w:rPr>
          <w:rFonts w:ascii="Verdana" w:hAnsi="Verdana"/>
          <w:i/>
          <w:sz w:val="16"/>
          <w:szCs w:val="16"/>
          <w:lang w:val="en-US"/>
        </w:rPr>
        <w:t xml:space="preserve">Social Charter of the Americas, </w:t>
      </w:r>
      <w:r w:rsidRPr="00FE50A6">
        <w:rPr>
          <w:rFonts w:ascii="Verdana" w:hAnsi="Verdana"/>
          <w:sz w:val="16"/>
          <w:szCs w:val="16"/>
          <w:lang w:val="en-US"/>
        </w:rPr>
        <w:t xml:space="preserve">adopted by the OAS General Assembly on June 4, </w:t>
      </w:r>
      <w:proofErr w:type="gramStart"/>
      <w:r w:rsidRPr="00FE50A6">
        <w:rPr>
          <w:rFonts w:ascii="Verdana" w:hAnsi="Verdana"/>
          <w:sz w:val="16"/>
          <w:szCs w:val="16"/>
          <w:lang w:val="en-US"/>
        </w:rPr>
        <w:t>2012,</w:t>
      </w:r>
      <w:r w:rsidRPr="00FE50A6">
        <w:rPr>
          <w:rFonts w:ascii="Verdana" w:hAnsi="Verdana"/>
          <w:i/>
          <w:sz w:val="16"/>
          <w:szCs w:val="16"/>
          <w:lang w:val="en-US"/>
        </w:rPr>
        <w:t xml:space="preserve">  </w:t>
      </w:r>
      <w:r w:rsidRPr="00FE50A6">
        <w:rPr>
          <w:rFonts w:ascii="Verdana" w:hAnsi="Verdana"/>
          <w:sz w:val="16"/>
          <w:szCs w:val="16"/>
          <w:lang w:val="en-US"/>
        </w:rPr>
        <w:t>OEA</w:t>
      </w:r>
      <w:proofErr w:type="gramEnd"/>
      <w:r w:rsidRPr="00FE50A6">
        <w:rPr>
          <w:rFonts w:ascii="Verdana" w:hAnsi="Verdana"/>
          <w:sz w:val="16"/>
          <w:szCs w:val="16"/>
          <w:lang w:val="en-US"/>
        </w:rPr>
        <w:t>/Ser.P/AG/doc5242/12rev.2</w:t>
      </w:r>
      <w:r w:rsidRPr="00FE50A6">
        <w:rPr>
          <w:rFonts w:ascii="Verdana" w:hAnsi="Verdana"/>
          <w:i/>
          <w:sz w:val="16"/>
          <w:szCs w:val="16"/>
          <w:lang w:val="en-US"/>
        </w:rPr>
        <w:t xml:space="preserve">, </w:t>
      </w:r>
      <w:r w:rsidRPr="00FE50A6">
        <w:rPr>
          <w:rFonts w:ascii="Verdana" w:hAnsi="Verdana"/>
          <w:sz w:val="16"/>
          <w:szCs w:val="16"/>
          <w:lang w:val="en-US"/>
        </w:rPr>
        <w:t xml:space="preserve">Cochabamba, Bolivia. The Preamble of the Charter establishes that: “considering that the Charter of the Organization of American States establishes among its essential purposes to eradicate extreme poverty [and] </w:t>
      </w:r>
      <w:r w:rsidRPr="00FE50A6">
        <w:rPr>
          <w:rFonts w:ascii="Verdana" w:hAnsi="Verdana"/>
          <w:sz w:val="16"/>
          <w:szCs w:val="16"/>
          <w:u w:val="single"/>
          <w:lang w:val="en-US"/>
        </w:rPr>
        <w:t>reaffirming the determination and commitment of Member States to urgently combat the serious problems of poverty, social exclusion, and inequity that affect, in varying degrees, the countries of the hemisphere</w:t>
      </w:r>
      <w:r w:rsidRPr="00FE50A6">
        <w:rPr>
          <w:rFonts w:ascii="Verdana" w:hAnsi="Verdana"/>
          <w:sz w:val="16"/>
          <w:szCs w:val="16"/>
          <w:lang w:val="en-US"/>
        </w:rPr>
        <w:t>; to confront their causes and consequences; and to create more favorable conditions for economic and social development with equity to promote more just societies;</w:t>
      </w:r>
      <w:r w:rsidRPr="00FE50A6">
        <w:rPr>
          <w:rFonts w:ascii="Verdana" w:hAnsi="Verdana"/>
          <w:i/>
          <w:sz w:val="16"/>
          <w:szCs w:val="16"/>
          <w:lang w:val="en-US"/>
        </w:rPr>
        <w:t xml:space="preserve"> </w:t>
      </w:r>
      <w:r w:rsidRPr="00FE50A6">
        <w:rPr>
          <w:rFonts w:ascii="Verdana" w:hAnsi="Verdana"/>
          <w:sz w:val="16"/>
          <w:szCs w:val="16"/>
          <w:lang w:val="en-US"/>
        </w:rPr>
        <w:t xml:space="preserve">[…].  </w:t>
      </w:r>
    </w:p>
  </w:footnote>
  <w:footnote w:id="659">
    <w:p w14:paraId="79C8F1A4" w14:textId="77777777" w:rsidR="00E70935" w:rsidRPr="00FE50A6" w:rsidRDefault="00E70935" w:rsidP="00CD003F">
      <w:pPr>
        <w:pStyle w:val="Textonotapie"/>
        <w:tabs>
          <w:tab w:val="left" w:pos="709"/>
        </w:tabs>
        <w:spacing w:after="80"/>
      </w:pPr>
      <w:r w:rsidRPr="00FE50A6">
        <w:rPr>
          <w:rStyle w:val="Refdenotaalpie"/>
        </w:rPr>
        <w:footnoteRef/>
      </w:r>
      <w:r w:rsidRPr="00FE50A6">
        <w:t xml:space="preserve"> </w:t>
      </w:r>
      <w:r w:rsidRPr="00FE50A6">
        <w:tab/>
      </w:r>
      <w:r w:rsidRPr="00FE50A6">
        <w:rPr>
          <w:i/>
        </w:rPr>
        <w:t xml:space="preserve">Plan of Action of the Social Charter of the Americas, </w:t>
      </w:r>
      <w:r w:rsidRPr="00FE50A6">
        <w:t xml:space="preserve">approved by the Permanent Council, at the joint meeting held on February 11, 2015, </w:t>
      </w:r>
      <w:r w:rsidRPr="00FE50A6">
        <w:rPr>
          <w:i/>
        </w:rPr>
        <w:t>ad referendum</w:t>
      </w:r>
      <w:r w:rsidRPr="00FE50A6">
        <w:t xml:space="preserve"> of the General Assembly at its forty-fifth regular session, </w:t>
      </w:r>
      <w:r w:rsidRPr="00FE50A6">
        <w:rPr>
          <w:rFonts w:eastAsia="Batang"/>
          <w:lang w:eastAsia="es-ES"/>
        </w:rPr>
        <w:t>OEA/Ser.G</w:t>
      </w:r>
      <w:r w:rsidRPr="00FE50A6">
        <w:rPr>
          <w:rFonts w:eastAsia="SimSun"/>
          <w:lang w:eastAsia="es-ES"/>
        </w:rPr>
        <w:t xml:space="preserve"> </w:t>
      </w:r>
      <w:r w:rsidRPr="00FE50A6">
        <w:rPr>
          <w:rFonts w:eastAsia="Batang"/>
          <w:spacing w:val="-2"/>
          <w:lang w:eastAsia="es-ES"/>
        </w:rPr>
        <w:t>CP/doc.5097/15, Washington D.C., United States of America.</w:t>
      </w:r>
    </w:p>
  </w:footnote>
  <w:footnote w:id="660">
    <w:p w14:paraId="2CEB2CBC" w14:textId="77777777" w:rsidR="00E70935" w:rsidRPr="00FE50A6" w:rsidRDefault="00E70935" w:rsidP="00CD003F">
      <w:pPr>
        <w:pStyle w:val="Textonotapie"/>
        <w:spacing w:after="80"/>
      </w:pPr>
      <w:r w:rsidRPr="00FE50A6">
        <w:rPr>
          <w:rStyle w:val="Refdenotaalpie"/>
          <w:szCs w:val="16"/>
        </w:rPr>
        <w:footnoteRef/>
      </w:r>
      <w:r w:rsidRPr="00FE50A6">
        <w:t xml:space="preserve"> Hereinafter, the judgment.</w:t>
      </w:r>
    </w:p>
  </w:footnote>
  <w:footnote w:id="661">
    <w:p w14:paraId="551FE5D0" w14:textId="77777777" w:rsidR="00E70935" w:rsidRPr="00FE50A6" w:rsidRDefault="00E70935" w:rsidP="00CD003F">
      <w:pPr>
        <w:pStyle w:val="Textonotapie"/>
        <w:spacing w:after="80"/>
      </w:pPr>
      <w:r w:rsidRPr="00FE50A6">
        <w:rPr>
          <w:rStyle w:val="Refdenotaalpie"/>
          <w:szCs w:val="16"/>
        </w:rPr>
        <w:footnoteRef/>
      </w:r>
      <w:r w:rsidRPr="00FE50A6">
        <w:t xml:space="preserve"> Paras. 116 and 339 of the judgment. Hereinafter, each time that “para.” Is indicated, it will be understood that this refers to the pertinent paragraph of the judgment.</w:t>
      </w:r>
    </w:p>
  </w:footnote>
  <w:footnote w:id="662">
    <w:p w14:paraId="43C03B46" w14:textId="77777777" w:rsidR="00E70935" w:rsidRPr="00FE50A6" w:rsidRDefault="00E70935" w:rsidP="00CD003F">
      <w:pPr>
        <w:pStyle w:val="Textonotapie"/>
        <w:spacing w:after="80"/>
        <w:rPr>
          <w:lang w:val="es-CR"/>
        </w:rPr>
      </w:pPr>
      <w:r w:rsidRPr="00FE50A6">
        <w:rPr>
          <w:rStyle w:val="Refdenotaalpie"/>
          <w:szCs w:val="16"/>
        </w:rPr>
        <w:footnoteRef/>
      </w:r>
      <w:r w:rsidRPr="00FE50A6">
        <w:rPr>
          <w:lang w:val="es-CR"/>
        </w:rPr>
        <w:t xml:space="preserve"> Paras. 117 to 122.</w:t>
      </w:r>
    </w:p>
  </w:footnote>
  <w:footnote w:id="663">
    <w:p w14:paraId="40AEB6AF" w14:textId="77777777" w:rsidR="00E70935" w:rsidRPr="00FE50A6" w:rsidRDefault="00E70935" w:rsidP="00CD003F">
      <w:pPr>
        <w:pStyle w:val="Textonotapie"/>
        <w:spacing w:after="80"/>
        <w:rPr>
          <w:lang w:val="es-CR"/>
        </w:rPr>
      </w:pPr>
      <w:r w:rsidRPr="00FE50A6">
        <w:rPr>
          <w:rStyle w:val="Refdenotaalpie"/>
          <w:szCs w:val="16"/>
        </w:rPr>
        <w:footnoteRef/>
      </w:r>
      <w:r w:rsidRPr="00FE50A6">
        <w:rPr>
          <w:lang w:val="es-CR"/>
        </w:rPr>
        <w:t xml:space="preserve"> Para. 338.</w:t>
      </w:r>
    </w:p>
  </w:footnote>
  <w:footnote w:id="664">
    <w:p w14:paraId="09A331A4" w14:textId="77777777" w:rsidR="00E70935" w:rsidRPr="00FE50A6" w:rsidRDefault="00E70935" w:rsidP="00CD003F">
      <w:pPr>
        <w:pStyle w:val="Textonotapie"/>
        <w:spacing w:after="80"/>
        <w:rPr>
          <w:lang w:val="es-CR"/>
        </w:rPr>
      </w:pPr>
      <w:r w:rsidRPr="00FE50A6">
        <w:rPr>
          <w:rStyle w:val="Refdenotaalpie"/>
          <w:szCs w:val="16"/>
        </w:rPr>
        <w:footnoteRef/>
      </w:r>
      <w:r w:rsidRPr="00FE50A6">
        <w:rPr>
          <w:lang w:val="es-CR"/>
        </w:rPr>
        <w:t xml:space="preserve"> Para. 342.</w:t>
      </w:r>
    </w:p>
  </w:footnote>
  <w:footnote w:id="665">
    <w:p w14:paraId="54B420CA" w14:textId="77777777" w:rsidR="00E70935" w:rsidRPr="00FE50A6" w:rsidRDefault="00E70935" w:rsidP="00CD003F">
      <w:pPr>
        <w:pStyle w:val="Textonotapie"/>
        <w:spacing w:after="80"/>
        <w:rPr>
          <w:lang w:val="es-CR"/>
        </w:rPr>
      </w:pPr>
      <w:r w:rsidRPr="00FE50A6">
        <w:rPr>
          <w:rStyle w:val="Refdenotaalpie"/>
          <w:szCs w:val="16"/>
        </w:rPr>
        <w:footnoteRef/>
      </w:r>
      <w:r w:rsidRPr="00FE50A6">
        <w:rPr>
          <w:lang w:val="es-CR"/>
        </w:rPr>
        <w:t xml:space="preserve"> Para. 335.</w:t>
      </w:r>
    </w:p>
  </w:footnote>
  <w:footnote w:id="666">
    <w:p w14:paraId="1D5AD8C6" w14:textId="77777777" w:rsidR="00E70935" w:rsidRPr="00FE50A6" w:rsidRDefault="00E70935" w:rsidP="00CD003F">
      <w:pPr>
        <w:pStyle w:val="Textonotapie"/>
        <w:spacing w:after="80"/>
      </w:pPr>
      <w:r w:rsidRPr="00FE50A6">
        <w:rPr>
          <w:rStyle w:val="Refdenotaalpie"/>
          <w:szCs w:val="16"/>
        </w:rPr>
        <w:footnoteRef/>
      </w:r>
      <w:r w:rsidRPr="00FE50A6">
        <w:t xml:space="preserve"> Para. 340.</w:t>
      </w:r>
    </w:p>
  </w:footnote>
  <w:footnote w:id="667">
    <w:p w14:paraId="413AF347" w14:textId="77777777" w:rsidR="00E70935" w:rsidRPr="00FE50A6" w:rsidRDefault="00E70935" w:rsidP="00CD003F">
      <w:pPr>
        <w:pStyle w:val="Textonotapie"/>
        <w:spacing w:after="80"/>
      </w:pPr>
      <w:r w:rsidRPr="00FE50A6">
        <w:rPr>
          <w:rStyle w:val="Refdenotaalpie"/>
          <w:szCs w:val="16"/>
        </w:rPr>
        <w:footnoteRef/>
      </w:r>
      <w:r w:rsidRPr="00FE50A6">
        <w:t xml:space="preserve"> Para. 340.</w:t>
      </w:r>
    </w:p>
  </w:footnote>
  <w:footnote w:id="668">
    <w:p w14:paraId="0D93D259" w14:textId="77777777" w:rsidR="00E70935" w:rsidRPr="00FE50A6" w:rsidRDefault="00E70935" w:rsidP="00CD003F">
      <w:pPr>
        <w:pStyle w:val="Textonotapie"/>
        <w:spacing w:after="80"/>
      </w:pPr>
      <w:r w:rsidRPr="00FE50A6">
        <w:rPr>
          <w:rStyle w:val="Refdenotaalpie"/>
          <w:szCs w:val="16"/>
        </w:rPr>
        <w:footnoteRef/>
      </w:r>
      <w:r w:rsidRPr="00FE50A6">
        <w:t xml:space="preserve"> Para. 343.</w:t>
      </w:r>
    </w:p>
  </w:footnote>
  <w:footnote w:id="669">
    <w:p w14:paraId="7AF954DA" w14:textId="77777777" w:rsidR="00E70935" w:rsidRPr="00FE50A6" w:rsidRDefault="00E70935" w:rsidP="00CD003F">
      <w:pPr>
        <w:pStyle w:val="Textonotapie"/>
        <w:spacing w:after="80"/>
      </w:pPr>
      <w:r w:rsidRPr="00FE50A6">
        <w:rPr>
          <w:rStyle w:val="Refdenotaalpie"/>
          <w:szCs w:val="16"/>
        </w:rPr>
        <w:footnoteRef/>
      </w:r>
      <w:r w:rsidRPr="00FE50A6">
        <w:t xml:space="preserve"> Paras. 110 to 115 of the judgment.</w:t>
      </w:r>
    </w:p>
  </w:footnote>
  <w:footnote w:id="670">
    <w:p w14:paraId="4A393C0F" w14:textId="77777777" w:rsidR="00E70935" w:rsidRPr="00FE50A6" w:rsidRDefault="00E70935" w:rsidP="00CD003F">
      <w:pPr>
        <w:pStyle w:val="Textonotapie"/>
        <w:spacing w:after="80"/>
      </w:pPr>
      <w:r w:rsidRPr="00FE50A6">
        <w:rPr>
          <w:rStyle w:val="Refdenotaalpie"/>
        </w:rPr>
        <w:footnoteRef/>
      </w:r>
      <w:r w:rsidRPr="00FE50A6">
        <w:t xml:space="preserve"> Paragraph 338 of the judgment.</w:t>
      </w:r>
    </w:p>
  </w:footnote>
  <w:footnote w:id="671">
    <w:p w14:paraId="10C1F7E0" w14:textId="77777777" w:rsidR="00E70935" w:rsidRPr="00FE50A6" w:rsidRDefault="00E70935" w:rsidP="00CD003F">
      <w:pPr>
        <w:pStyle w:val="Textonotapie"/>
        <w:spacing w:after="80"/>
      </w:pPr>
      <w:r w:rsidRPr="00FE50A6">
        <w:rPr>
          <w:rStyle w:val="Refdenotaalpie"/>
        </w:rPr>
        <w:footnoteRef/>
      </w:r>
      <w:r w:rsidRPr="00FE50A6">
        <w:t xml:space="preserve"> Paragraph 339 of the judgment.</w:t>
      </w:r>
    </w:p>
  </w:footnote>
  <w:footnote w:id="672">
    <w:p w14:paraId="7C4EF97A" w14:textId="77777777" w:rsidR="00E70935" w:rsidRPr="00FE50A6" w:rsidRDefault="00E70935" w:rsidP="00CD003F">
      <w:pPr>
        <w:pStyle w:val="Textonotapie"/>
        <w:spacing w:after="80"/>
      </w:pPr>
      <w:r w:rsidRPr="00FE50A6">
        <w:rPr>
          <w:rStyle w:val="Refdenotaalpie"/>
        </w:rPr>
        <w:footnoteRef/>
      </w:r>
      <w:r w:rsidRPr="00FE50A6">
        <w:t xml:space="preserve"> Paragraph 341 of the judgment.</w:t>
      </w:r>
    </w:p>
  </w:footnote>
  <w:footnote w:id="673">
    <w:p w14:paraId="7CC5CADB" w14:textId="77777777" w:rsidR="00E70935" w:rsidRPr="00FE50A6" w:rsidRDefault="00E70935" w:rsidP="00CD003F">
      <w:pPr>
        <w:pStyle w:val="Textonotapie"/>
        <w:spacing w:after="80"/>
      </w:pPr>
      <w:r w:rsidRPr="00FE50A6">
        <w:rPr>
          <w:rStyle w:val="Refdenotaalpie"/>
        </w:rPr>
        <w:footnoteRef/>
      </w:r>
      <w:r w:rsidRPr="00FE50A6">
        <w:t xml:space="preserve"> Paragraph 343 of the judgment.</w:t>
      </w:r>
    </w:p>
  </w:footnote>
  <w:footnote w:id="674">
    <w:p w14:paraId="4B043868" w14:textId="77777777" w:rsidR="00E70935" w:rsidRPr="00FE50A6" w:rsidRDefault="00E70935" w:rsidP="00CD003F">
      <w:pPr>
        <w:pStyle w:val="Textonotapie"/>
        <w:spacing w:after="80"/>
        <w:rPr>
          <w:b/>
        </w:rPr>
      </w:pPr>
      <w:r w:rsidRPr="00FE50A6">
        <w:rPr>
          <w:rStyle w:val="Refdenotaalpie"/>
          <w:b/>
        </w:rPr>
        <w:footnoteRef/>
      </w:r>
      <w:r w:rsidRPr="00FE50A6">
        <w:rPr>
          <w:b/>
        </w:rPr>
        <w:t xml:space="preserve"> </w:t>
      </w:r>
      <w:r w:rsidRPr="00FE50A6">
        <w:rPr>
          <w:rStyle w:val="Textoennegrita"/>
          <w:b w:val="0"/>
          <w:color w:val="000000"/>
          <w:shd w:val="clear" w:color="auto" w:fill="FFFFFF"/>
        </w:rPr>
        <w:t xml:space="preserve">Partially dissenting opinion of Judge Medina Quiroga, Case of the 19 Tradesmen v. Colombia. Merits, reparations and costs. Judgment of July 5, 2004. Series C No. 109, paras. 1 and 2. </w:t>
      </w:r>
    </w:p>
  </w:footnote>
  <w:footnote w:id="675">
    <w:p w14:paraId="7BF4C991" w14:textId="77777777" w:rsidR="00E70935" w:rsidRPr="00D84065" w:rsidRDefault="00E70935" w:rsidP="00CD003F">
      <w:pPr>
        <w:pStyle w:val="Textonotapie"/>
        <w:spacing w:after="80"/>
      </w:pPr>
      <w:r w:rsidRPr="00FE50A6">
        <w:rPr>
          <w:rStyle w:val="Refdenotaalpie"/>
          <w:b/>
        </w:rPr>
        <w:footnoteRef/>
      </w:r>
      <w:r w:rsidRPr="00FE50A6">
        <w:rPr>
          <w:b/>
        </w:rPr>
        <w:t xml:space="preserve"> </w:t>
      </w:r>
      <w:r w:rsidRPr="00FE50A6">
        <w:rPr>
          <w:rStyle w:val="Textoennegrita"/>
          <w:b w:val="0"/>
          <w:color w:val="000000"/>
          <w:shd w:val="clear" w:color="auto" w:fill="FFFFFF"/>
        </w:rPr>
        <w:t>Partially dissenting opinion of Judge Medina Quiroga, Case of the Gómez Paquiyauri Brothers v. Peru. Merits, reparations and costs. Judgment of July 8, 2004. Series C No. 110, para.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43DE" w14:textId="77777777" w:rsidR="00E70935" w:rsidRPr="00692D4A" w:rsidRDefault="00E70935" w:rsidP="0094789A">
    <w:pPr>
      <w:pStyle w:val="Encabezado"/>
      <w:jc w:val="right"/>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6DCC"/>
    <w:multiLevelType w:val="hybridMultilevel"/>
    <w:tmpl w:val="B548124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8915B7F"/>
    <w:multiLevelType w:val="hybridMultilevel"/>
    <w:tmpl w:val="0CDA463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CCF06A8"/>
    <w:multiLevelType w:val="hybridMultilevel"/>
    <w:tmpl w:val="E5EE7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1DF8"/>
    <w:multiLevelType w:val="hybridMultilevel"/>
    <w:tmpl w:val="89645466"/>
    <w:lvl w:ilvl="0" w:tplc="6B0ACFF6">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368365B"/>
    <w:multiLevelType w:val="hybridMultilevel"/>
    <w:tmpl w:val="47A26680"/>
    <w:lvl w:ilvl="0" w:tplc="B75CF160">
      <w:start w:val="1"/>
      <w:numFmt w:val="lowerLetter"/>
      <w:pStyle w:val="Ttulo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7A00C47"/>
    <w:multiLevelType w:val="hybridMultilevel"/>
    <w:tmpl w:val="15DAC8BE"/>
    <w:lvl w:ilvl="0" w:tplc="BE50986C">
      <w:start w:val="1"/>
      <w:numFmt w:val="upperLetter"/>
      <w:lvlText w:val="%1."/>
      <w:lvlJc w:val="left"/>
      <w:pPr>
        <w:ind w:left="360" w:hanging="360"/>
      </w:pPr>
      <w:rPr>
        <w:b/>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ADA5183"/>
    <w:multiLevelType w:val="hybridMultilevel"/>
    <w:tmpl w:val="95566B60"/>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17133B4"/>
    <w:multiLevelType w:val="hybridMultilevel"/>
    <w:tmpl w:val="B548124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4AF0CB5"/>
    <w:multiLevelType w:val="multilevel"/>
    <w:tmpl w:val="773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502E6"/>
    <w:multiLevelType w:val="hybridMultilevel"/>
    <w:tmpl w:val="1188E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A2FB6"/>
    <w:multiLevelType w:val="hybridMultilevel"/>
    <w:tmpl w:val="A0A8F61A"/>
    <w:lvl w:ilvl="0" w:tplc="FA0C23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01A81"/>
    <w:multiLevelType w:val="hybridMultilevel"/>
    <w:tmpl w:val="AAB6A05A"/>
    <w:lvl w:ilvl="0" w:tplc="3EA0D982">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D76741"/>
    <w:multiLevelType w:val="hybridMultilevel"/>
    <w:tmpl w:val="9AB6B6A6"/>
    <w:lvl w:ilvl="0" w:tplc="7318EC20">
      <w:start w:val="1"/>
      <w:numFmt w:val="lowerLetter"/>
      <w:lvlText w:val="%1)"/>
      <w:lvlJc w:val="left"/>
      <w:pPr>
        <w:ind w:left="720" w:hanging="360"/>
      </w:pPr>
      <w:rPr>
        <w:rFonts w:hint="default"/>
        <w:b w:val="0"/>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15:restartNumberingAfterBreak="0">
    <w:nsid w:val="54132497"/>
    <w:multiLevelType w:val="hybridMultilevel"/>
    <w:tmpl w:val="AE2C750A"/>
    <w:lvl w:ilvl="0" w:tplc="DF904684">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7" w15:restartNumberingAfterBreak="0">
    <w:nsid w:val="582437F2"/>
    <w:multiLevelType w:val="hybridMultilevel"/>
    <w:tmpl w:val="482891FE"/>
    <w:lvl w:ilvl="0" w:tplc="5FB4F916">
      <w:start w:val="1"/>
      <w:numFmt w:val="decimal"/>
      <w:lvlText w:val="%1."/>
      <w:lvlJc w:val="left"/>
      <w:pPr>
        <w:ind w:left="855" w:hanging="49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DAC4E4A"/>
    <w:multiLevelType w:val="hybridMultilevel"/>
    <w:tmpl w:val="267234DA"/>
    <w:lvl w:ilvl="0" w:tplc="0E424A14">
      <w:start w:val="1"/>
      <w:numFmt w:val="upperLetter"/>
      <w:pStyle w:val="Ttulo9"/>
      <w:lvlText w:val="%1."/>
      <w:lvlJc w:val="left"/>
      <w:pPr>
        <w:ind w:left="360" w:hanging="360"/>
      </w:pPr>
      <w:rPr>
        <w:rFonts w:hint="default"/>
      </w:rPr>
    </w:lvl>
    <w:lvl w:ilvl="1" w:tplc="140A0019" w:tentative="1">
      <w:start w:val="1"/>
      <w:numFmt w:val="lowerLetter"/>
      <w:lvlText w:val="%2."/>
      <w:lvlJc w:val="left"/>
      <w:pPr>
        <w:ind w:left="-720" w:hanging="360"/>
      </w:pPr>
    </w:lvl>
    <w:lvl w:ilvl="2" w:tplc="140A001B" w:tentative="1">
      <w:start w:val="1"/>
      <w:numFmt w:val="lowerRoman"/>
      <w:lvlText w:val="%3."/>
      <w:lvlJc w:val="right"/>
      <w:pPr>
        <w:ind w:left="0" w:hanging="180"/>
      </w:pPr>
    </w:lvl>
    <w:lvl w:ilvl="3" w:tplc="140A000F" w:tentative="1">
      <w:start w:val="1"/>
      <w:numFmt w:val="decimal"/>
      <w:lvlText w:val="%4."/>
      <w:lvlJc w:val="left"/>
      <w:pPr>
        <w:ind w:left="720" w:hanging="360"/>
      </w:pPr>
    </w:lvl>
    <w:lvl w:ilvl="4" w:tplc="140A0019" w:tentative="1">
      <w:start w:val="1"/>
      <w:numFmt w:val="lowerLetter"/>
      <w:lvlText w:val="%5."/>
      <w:lvlJc w:val="left"/>
      <w:pPr>
        <w:ind w:left="1440" w:hanging="360"/>
      </w:pPr>
    </w:lvl>
    <w:lvl w:ilvl="5" w:tplc="140A001B" w:tentative="1">
      <w:start w:val="1"/>
      <w:numFmt w:val="lowerRoman"/>
      <w:lvlText w:val="%6."/>
      <w:lvlJc w:val="right"/>
      <w:pPr>
        <w:ind w:left="2160" w:hanging="180"/>
      </w:pPr>
    </w:lvl>
    <w:lvl w:ilvl="6" w:tplc="140A000F" w:tentative="1">
      <w:start w:val="1"/>
      <w:numFmt w:val="decimal"/>
      <w:lvlText w:val="%7."/>
      <w:lvlJc w:val="left"/>
      <w:pPr>
        <w:ind w:left="2880" w:hanging="360"/>
      </w:pPr>
    </w:lvl>
    <w:lvl w:ilvl="7" w:tplc="140A0019" w:tentative="1">
      <w:start w:val="1"/>
      <w:numFmt w:val="lowerLetter"/>
      <w:lvlText w:val="%8."/>
      <w:lvlJc w:val="left"/>
      <w:pPr>
        <w:ind w:left="3600" w:hanging="360"/>
      </w:pPr>
    </w:lvl>
    <w:lvl w:ilvl="8" w:tplc="140A001B" w:tentative="1">
      <w:start w:val="1"/>
      <w:numFmt w:val="lowerRoman"/>
      <w:lvlText w:val="%9."/>
      <w:lvlJc w:val="right"/>
      <w:pPr>
        <w:ind w:left="4320" w:hanging="180"/>
      </w:pPr>
    </w:lvl>
  </w:abstractNum>
  <w:abstractNum w:abstractNumId="19" w15:restartNumberingAfterBreak="0">
    <w:nsid w:val="5DD86B66"/>
    <w:multiLevelType w:val="hybridMultilevel"/>
    <w:tmpl w:val="31B41EE4"/>
    <w:lvl w:ilvl="0" w:tplc="FA0A065E">
      <w:start w:val="1"/>
      <w:numFmt w:val="lowerRoman"/>
      <w:lvlText w:val="%1)"/>
      <w:lvlJc w:val="left"/>
      <w:pPr>
        <w:ind w:left="1854" w:hanging="720"/>
      </w:pPr>
      <w:rPr>
        <w:rFonts w:hint="default"/>
      </w:rPr>
    </w:lvl>
    <w:lvl w:ilvl="1" w:tplc="140A0019">
      <w:start w:val="1"/>
      <w:numFmt w:val="lowerLetter"/>
      <w:lvlText w:val="%2."/>
      <w:lvlJc w:val="left"/>
      <w:pPr>
        <w:ind w:left="2214" w:hanging="360"/>
      </w:pPr>
    </w:lvl>
    <w:lvl w:ilvl="2" w:tplc="96B89478">
      <w:start w:val="1"/>
      <w:numFmt w:val="upperLetter"/>
      <w:lvlText w:val="%3."/>
      <w:lvlJc w:val="left"/>
      <w:pPr>
        <w:ind w:left="3114" w:hanging="360"/>
      </w:pPr>
      <w:rPr>
        <w:rFonts w:hint="default"/>
      </w:r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20" w15:restartNumberingAfterBreak="0">
    <w:nsid w:val="5F422753"/>
    <w:multiLevelType w:val="hybridMultilevel"/>
    <w:tmpl w:val="653038C2"/>
    <w:lvl w:ilvl="0" w:tplc="67B85738">
      <w:start w:val="508"/>
      <w:numFmt w:val="decimal"/>
      <w:lvlText w:val="%1."/>
      <w:lvlJc w:val="left"/>
      <w:pPr>
        <w:ind w:left="828" w:hanging="46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602661AB"/>
    <w:multiLevelType w:val="hybridMultilevel"/>
    <w:tmpl w:val="FF2A988A"/>
    <w:lvl w:ilvl="0" w:tplc="91F26578">
      <w:start w:val="1"/>
      <w:numFmt w:val="upperLetter"/>
      <w:pStyle w:val="Ttulo2"/>
      <w:lvlText w:val="%1."/>
      <w:lvlJc w:val="left"/>
      <w:pPr>
        <w:ind w:left="360" w:hanging="360"/>
      </w:pPr>
      <w:rPr>
        <w:b/>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67050AD3"/>
    <w:multiLevelType w:val="hybridMultilevel"/>
    <w:tmpl w:val="6F2A1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DA700DA"/>
    <w:multiLevelType w:val="hybridMultilevel"/>
    <w:tmpl w:val="EB466B26"/>
    <w:lvl w:ilvl="0" w:tplc="A9F24D46">
      <w:start w:val="1"/>
      <w:numFmt w:val="decimal"/>
      <w:lvlText w:val="%1."/>
      <w:lvlJc w:val="left"/>
      <w:pPr>
        <w:ind w:left="0" w:firstLine="0"/>
      </w:pPr>
      <w:rPr>
        <w:rFonts w:ascii="Verdana" w:hAnsi="Verdana" w:hint="default"/>
        <w:b w:val="0"/>
        <w:i w:val="0"/>
        <w:strike w:val="0"/>
        <w:color w:val="auto"/>
        <w:sz w:val="20"/>
        <w:szCs w:val="20"/>
        <w:lang w:val="es-AR"/>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5" w15:restartNumberingAfterBreak="0">
    <w:nsid w:val="6EAB68D1"/>
    <w:multiLevelType w:val="hybridMultilevel"/>
    <w:tmpl w:val="CA3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F60DA"/>
    <w:multiLevelType w:val="hybridMultilevel"/>
    <w:tmpl w:val="20745E40"/>
    <w:lvl w:ilvl="0" w:tplc="5A3895D2">
      <w:start w:val="6"/>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6753A80"/>
    <w:multiLevelType w:val="hybridMultilevel"/>
    <w:tmpl w:val="25128B60"/>
    <w:lvl w:ilvl="0" w:tplc="A9F24D46">
      <w:start w:val="1"/>
      <w:numFmt w:val="decimal"/>
      <w:lvlText w:val="%1."/>
      <w:lvlJc w:val="left"/>
      <w:pPr>
        <w:ind w:left="0" w:firstLine="0"/>
      </w:pPr>
      <w:rPr>
        <w:rFonts w:ascii="Verdana" w:hAnsi="Verdana" w:hint="default"/>
        <w:b w:val="0"/>
        <w:i w:val="0"/>
        <w:strike w:val="0"/>
        <w:color w:val="auto"/>
        <w:sz w:val="20"/>
        <w:szCs w:val="20"/>
        <w:lang w:val="es-AR"/>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8" w15:restartNumberingAfterBreak="0">
    <w:nsid w:val="783843C5"/>
    <w:multiLevelType w:val="hybridMultilevel"/>
    <w:tmpl w:val="0CDA463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num w:numId="1">
    <w:abstractNumId w:val="27"/>
  </w:num>
  <w:num w:numId="2">
    <w:abstractNumId w:val="12"/>
  </w:num>
  <w:num w:numId="3">
    <w:abstractNumId w:val="19"/>
  </w:num>
  <w:num w:numId="4">
    <w:abstractNumId w:val="18"/>
  </w:num>
  <w:num w:numId="5">
    <w:abstractNumId w:val="29"/>
  </w:num>
  <w:num w:numId="6">
    <w:abstractNumId w:val="23"/>
  </w:num>
  <w:num w:numId="7">
    <w:abstractNumId w:val="4"/>
  </w:num>
  <w:num w:numId="8">
    <w:abstractNumId w:val="13"/>
  </w:num>
  <w:num w:numId="9">
    <w:abstractNumId w:val="16"/>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4"/>
  </w:num>
  <w:num w:numId="15">
    <w:abstractNumId w:val="28"/>
  </w:num>
  <w:num w:numId="16">
    <w:abstractNumId w:val="21"/>
  </w:num>
  <w:num w:numId="17">
    <w:abstractNumId w:val="5"/>
  </w:num>
  <w:num w:numId="18">
    <w:abstractNumId w:val="1"/>
  </w:num>
  <w:num w:numId="19">
    <w:abstractNumId w:val="6"/>
  </w:num>
  <w:num w:numId="20">
    <w:abstractNumId w:val="0"/>
  </w:num>
  <w:num w:numId="21">
    <w:abstractNumId w:val="7"/>
  </w:num>
  <w:num w:numId="22">
    <w:abstractNumId w:val="26"/>
  </w:num>
  <w:num w:numId="23">
    <w:abstractNumId w:val="15"/>
  </w:num>
  <w:num w:numId="24">
    <w:abstractNumId w:val="11"/>
  </w:num>
  <w:num w:numId="25">
    <w:abstractNumId w:val="20"/>
  </w:num>
  <w:num w:numId="26">
    <w:abstractNumId w:val="24"/>
  </w:num>
  <w:num w:numId="27">
    <w:abstractNumId w:val="25"/>
  </w:num>
  <w:num w:numId="28">
    <w:abstractNumId w:val="17"/>
  </w:num>
  <w:num w:numId="29">
    <w:abstractNumId w:val="22"/>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ACF"/>
    <w:rsid w:val="000003D4"/>
    <w:rsid w:val="00000C65"/>
    <w:rsid w:val="00000E63"/>
    <w:rsid w:val="000012A9"/>
    <w:rsid w:val="00004102"/>
    <w:rsid w:val="00004BD5"/>
    <w:rsid w:val="00004D55"/>
    <w:rsid w:val="00007337"/>
    <w:rsid w:val="000077CB"/>
    <w:rsid w:val="00010D5A"/>
    <w:rsid w:val="00010E27"/>
    <w:rsid w:val="000111D5"/>
    <w:rsid w:val="00015022"/>
    <w:rsid w:val="00015DD9"/>
    <w:rsid w:val="00017131"/>
    <w:rsid w:val="000173A2"/>
    <w:rsid w:val="00017D91"/>
    <w:rsid w:val="00022180"/>
    <w:rsid w:val="0002225D"/>
    <w:rsid w:val="000228D0"/>
    <w:rsid w:val="000233C0"/>
    <w:rsid w:val="0002362B"/>
    <w:rsid w:val="00024FCB"/>
    <w:rsid w:val="0002556D"/>
    <w:rsid w:val="00027127"/>
    <w:rsid w:val="00030C17"/>
    <w:rsid w:val="000323AE"/>
    <w:rsid w:val="00032B0E"/>
    <w:rsid w:val="00033442"/>
    <w:rsid w:val="0003391C"/>
    <w:rsid w:val="00033BDD"/>
    <w:rsid w:val="000348FA"/>
    <w:rsid w:val="00035EA3"/>
    <w:rsid w:val="00043E12"/>
    <w:rsid w:val="000447BA"/>
    <w:rsid w:val="00044CBD"/>
    <w:rsid w:val="000461CD"/>
    <w:rsid w:val="000471F5"/>
    <w:rsid w:val="00047E91"/>
    <w:rsid w:val="00047F98"/>
    <w:rsid w:val="00050992"/>
    <w:rsid w:val="00050AB5"/>
    <w:rsid w:val="00051F39"/>
    <w:rsid w:val="000527E6"/>
    <w:rsid w:val="0005309D"/>
    <w:rsid w:val="0005421E"/>
    <w:rsid w:val="0005490E"/>
    <w:rsid w:val="00055A0D"/>
    <w:rsid w:val="00055CAB"/>
    <w:rsid w:val="00056257"/>
    <w:rsid w:val="00061AB2"/>
    <w:rsid w:val="000631F4"/>
    <w:rsid w:val="00063F7F"/>
    <w:rsid w:val="00064461"/>
    <w:rsid w:val="000652DA"/>
    <w:rsid w:val="00066439"/>
    <w:rsid w:val="00066D91"/>
    <w:rsid w:val="00067C18"/>
    <w:rsid w:val="0007001D"/>
    <w:rsid w:val="000702CF"/>
    <w:rsid w:val="00071696"/>
    <w:rsid w:val="00073CE0"/>
    <w:rsid w:val="0007440B"/>
    <w:rsid w:val="00074929"/>
    <w:rsid w:val="00074964"/>
    <w:rsid w:val="0007524A"/>
    <w:rsid w:val="00075BE8"/>
    <w:rsid w:val="000769EA"/>
    <w:rsid w:val="00076D1D"/>
    <w:rsid w:val="000818B2"/>
    <w:rsid w:val="00081BCB"/>
    <w:rsid w:val="00082508"/>
    <w:rsid w:val="00082F82"/>
    <w:rsid w:val="00083C0B"/>
    <w:rsid w:val="000840EC"/>
    <w:rsid w:val="0008427B"/>
    <w:rsid w:val="00085AF0"/>
    <w:rsid w:val="000864C6"/>
    <w:rsid w:val="000864EF"/>
    <w:rsid w:val="00086A1A"/>
    <w:rsid w:val="00090C6A"/>
    <w:rsid w:val="000916AF"/>
    <w:rsid w:val="00093C8F"/>
    <w:rsid w:val="00093E44"/>
    <w:rsid w:val="000944E7"/>
    <w:rsid w:val="00095852"/>
    <w:rsid w:val="000968FA"/>
    <w:rsid w:val="000A02BB"/>
    <w:rsid w:val="000A10F1"/>
    <w:rsid w:val="000A1E89"/>
    <w:rsid w:val="000A20C1"/>
    <w:rsid w:val="000A24E9"/>
    <w:rsid w:val="000A29BC"/>
    <w:rsid w:val="000A3215"/>
    <w:rsid w:val="000A38B2"/>
    <w:rsid w:val="000A43EA"/>
    <w:rsid w:val="000A463D"/>
    <w:rsid w:val="000A5049"/>
    <w:rsid w:val="000A52D5"/>
    <w:rsid w:val="000A5386"/>
    <w:rsid w:val="000A5FC6"/>
    <w:rsid w:val="000A6C96"/>
    <w:rsid w:val="000A773D"/>
    <w:rsid w:val="000B15B4"/>
    <w:rsid w:val="000B19C0"/>
    <w:rsid w:val="000B2BFA"/>
    <w:rsid w:val="000B4B4B"/>
    <w:rsid w:val="000B587F"/>
    <w:rsid w:val="000B5B8E"/>
    <w:rsid w:val="000B5BAB"/>
    <w:rsid w:val="000B667E"/>
    <w:rsid w:val="000B69E5"/>
    <w:rsid w:val="000B7430"/>
    <w:rsid w:val="000C04E5"/>
    <w:rsid w:val="000C1109"/>
    <w:rsid w:val="000C1F0D"/>
    <w:rsid w:val="000C2402"/>
    <w:rsid w:val="000C297B"/>
    <w:rsid w:val="000C2A19"/>
    <w:rsid w:val="000C3508"/>
    <w:rsid w:val="000C3BE6"/>
    <w:rsid w:val="000C71BD"/>
    <w:rsid w:val="000C7816"/>
    <w:rsid w:val="000C7C5F"/>
    <w:rsid w:val="000C7E30"/>
    <w:rsid w:val="000C7FE4"/>
    <w:rsid w:val="000D14BE"/>
    <w:rsid w:val="000D1639"/>
    <w:rsid w:val="000D2069"/>
    <w:rsid w:val="000D2280"/>
    <w:rsid w:val="000D2B1B"/>
    <w:rsid w:val="000D2F3A"/>
    <w:rsid w:val="000D3FD8"/>
    <w:rsid w:val="000D47F8"/>
    <w:rsid w:val="000D4C30"/>
    <w:rsid w:val="000D4EF8"/>
    <w:rsid w:val="000D52CA"/>
    <w:rsid w:val="000D5600"/>
    <w:rsid w:val="000D6144"/>
    <w:rsid w:val="000D639E"/>
    <w:rsid w:val="000D71E8"/>
    <w:rsid w:val="000D75A3"/>
    <w:rsid w:val="000E0361"/>
    <w:rsid w:val="000E044B"/>
    <w:rsid w:val="000E0858"/>
    <w:rsid w:val="000E0C85"/>
    <w:rsid w:val="000E0ED6"/>
    <w:rsid w:val="000E31BC"/>
    <w:rsid w:val="000E4BB3"/>
    <w:rsid w:val="000E6531"/>
    <w:rsid w:val="000E6B52"/>
    <w:rsid w:val="000E72F0"/>
    <w:rsid w:val="000E77C3"/>
    <w:rsid w:val="000F1F5A"/>
    <w:rsid w:val="000F2F35"/>
    <w:rsid w:val="000F343B"/>
    <w:rsid w:val="000F3526"/>
    <w:rsid w:val="000F4A9C"/>
    <w:rsid w:val="000F4D68"/>
    <w:rsid w:val="000F572B"/>
    <w:rsid w:val="000F5C2D"/>
    <w:rsid w:val="000F685A"/>
    <w:rsid w:val="000F72AF"/>
    <w:rsid w:val="000F7DD8"/>
    <w:rsid w:val="00100481"/>
    <w:rsid w:val="001032EA"/>
    <w:rsid w:val="001034FA"/>
    <w:rsid w:val="00103A50"/>
    <w:rsid w:val="00104264"/>
    <w:rsid w:val="0010427F"/>
    <w:rsid w:val="0010513B"/>
    <w:rsid w:val="00105168"/>
    <w:rsid w:val="00105580"/>
    <w:rsid w:val="00105B31"/>
    <w:rsid w:val="001063EE"/>
    <w:rsid w:val="00106E15"/>
    <w:rsid w:val="001070C5"/>
    <w:rsid w:val="0010774E"/>
    <w:rsid w:val="00107C9E"/>
    <w:rsid w:val="00107D3F"/>
    <w:rsid w:val="00107DA8"/>
    <w:rsid w:val="001113DC"/>
    <w:rsid w:val="00112246"/>
    <w:rsid w:val="001126A8"/>
    <w:rsid w:val="00113871"/>
    <w:rsid w:val="00113D1E"/>
    <w:rsid w:val="001156BC"/>
    <w:rsid w:val="0011599E"/>
    <w:rsid w:val="00117C16"/>
    <w:rsid w:val="001217DE"/>
    <w:rsid w:val="001217FA"/>
    <w:rsid w:val="00122276"/>
    <w:rsid w:val="00122B46"/>
    <w:rsid w:val="00123606"/>
    <w:rsid w:val="00123EDE"/>
    <w:rsid w:val="0012458D"/>
    <w:rsid w:val="00124D0D"/>
    <w:rsid w:val="00125A00"/>
    <w:rsid w:val="0012698E"/>
    <w:rsid w:val="00126C03"/>
    <w:rsid w:val="0012759D"/>
    <w:rsid w:val="00127E5F"/>
    <w:rsid w:val="00130785"/>
    <w:rsid w:val="001307AC"/>
    <w:rsid w:val="001314BC"/>
    <w:rsid w:val="00132192"/>
    <w:rsid w:val="00132B79"/>
    <w:rsid w:val="0013378D"/>
    <w:rsid w:val="0013529C"/>
    <w:rsid w:val="0013590B"/>
    <w:rsid w:val="001379DD"/>
    <w:rsid w:val="00140440"/>
    <w:rsid w:val="001410E6"/>
    <w:rsid w:val="0014139A"/>
    <w:rsid w:val="001425DD"/>
    <w:rsid w:val="001425E4"/>
    <w:rsid w:val="00144A58"/>
    <w:rsid w:val="001450BB"/>
    <w:rsid w:val="0014534A"/>
    <w:rsid w:val="00146AEA"/>
    <w:rsid w:val="00147AC0"/>
    <w:rsid w:val="00147B43"/>
    <w:rsid w:val="00150435"/>
    <w:rsid w:val="00150E9C"/>
    <w:rsid w:val="00150ECA"/>
    <w:rsid w:val="00151B6B"/>
    <w:rsid w:val="001520F3"/>
    <w:rsid w:val="0015324D"/>
    <w:rsid w:val="001532EE"/>
    <w:rsid w:val="0015354F"/>
    <w:rsid w:val="00155B0D"/>
    <w:rsid w:val="00156E7F"/>
    <w:rsid w:val="00160056"/>
    <w:rsid w:val="001603E0"/>
    <w:rsid w:val="001613F2"/>
    <w:rsid w:val="001619BE"/>
    <w:rsid w:val="00163DFF"/>
    <w:rsid w:val="0016402A"/>
    <w:rsid w:val="00164798"/>
    <w:rsid w:val="001647A7"/>
    <w:rsid w:val="00164F75"/>
    <w:rsid w:val="0016518A"/>
    <w:rsid w:val="00166478"/>
    <w:rsid w:val="0016679A"/>
    <w:rsid w:val="00166A54"/>
    <w:rsid w:val="00167305"/>
    <w:rsid w:val="00170062"/>
    <w:rsid w:val="00170A45"/>
    <w:rsid w:val="001725FD"/>
    <w:rsid w:val="00173595"/>
    <w:rsid w:val="00173716"/>
    <w:rsid w:val="00174E05"/>
    <w:rsid w:val="0017587B"/>
    <w:rsid w:val="00176C77"/>
    <w:rsid w:val="00180023"/>
    <w:rsid w:val="0018065A"/>
    <w:rsid w:val="0018080E"/>
    <w:rsid w:val="001812C7"/>
    <w:rsid w:val="00181585"/>
    <w:rsid w:val="001818E3"/>
    <w:rsid w:val="00182275"/>
    <w:rsid w:val="00182F9A"/>
    <w:rsid w:val="00183B2F"/>
    <w:rsid w:val="00184F4E"/>
    <w:rsid w:val="00186219"/>
    <w:rsid w:val="00187158"/>
    <w:rsid w:val="001876EE"/>
    <w:rsid w:val="0019084B"/>
    <w:rsid w:val="00190FF4"/>
    <w:rsid w:val="00191500"/>
    <w:rsid w:val="00192153"/>
    <w:rsid w:val="00192387"/>
    <w:rsid w:val="001927CD"/>
    <w:rsid w:val="00193110"/>
    <w:rsid w:val="00193EC2"/>
    <w:rsid w:val="0019540A"/>
    <w:rsid w:val="00195514"/>
    <w:rsid w:val="00195949"/>
    <w:rsid w:val="00195BE2"/>
    <w:rsid w:val="001A046C"/>
    <w:rsid w:val="001A0AD1"/>
    <w:rsid w:val="001A10D5"/>
    <w:rsid w:val="001A184E"/>
    <w:rsid w:val="001A22AC"/>
    <w:rsid w:val="001A317E"/>
    <w:rsid w:val="001A551D"/>
    <w:rsid w:val="001A552F"/>
    <w:rsid w:val="001A72AC"/>
    <w:rsid w:val="001A77F4"/>
    <w:rsid w:val="001B0BC6"/>
    <w:rsid w:val="001B0D33"/>
    <w:rsid w:val="001B149B"/>
    <w:rsid w:val="001B1554"/>
    <w:rsid w:val="001B2B79"/>
    <w:rsid w:val="001B37CC"/>
    <w:rsid w:val="001B4403"/>
    <w:rsid w:val="001B558B"/>
    <w:rsid w:val="001B6382"/>
    <w:rsid w:val="001B63D0"/>
    <w:rsid w:val="001C0328"/>
    <w:rsid w:val="001C0908"/>
    <w:rsid w:val="001C28EF"/>
    <w:rsid w:val="001C2EC6"/>
    <w:rsid w:val="001C3934"/>
    <w:rsid w:val="001C4D2A"/>
    <w:rsid w:val="001C6B45"/>
    <w:rsid w:val="001D0204"/>
    <w:rsid w:val="001D0A2C"/>
    <w:rsid w:val="001D26B4"/>
    <w:rsid w:val="001D2A88"/>
    <w:rsid w:val="001D3881"/>
    <w:rsid w:val="001D39CF"/>
    <w:rsid w:val="001D45D3"/>
    <w:rsid w:val="001D5B6C"/>
    <w:rsid w:val="001E048E"/>
    <w:rsid w:val="001E1449"/>
    <w:rsid w:val="001E223C"/>
    <w:rsid w:val="001E3513"/>
    <w:rsid w:val="001E3EA5"/>
    <w:rsid w:val="001E4C28"/>
    <w:rsid w:val="001E57D2"/>
    <w:rsid w:val="001E6354"/>
    <w:rsid w:val="001E7900"/>
    <w:rsid w:val="001F336F"/>
    <w:rsid w:val="001F3447"/>
    <w:rsid w:val="001F559F"/>
    <w:rsid w:val="001F57A1"/>
    <w:rsid w:val="001F6719"/>
    <w:rsid w:val="001F6E7E"/>
    <w:rsid w:val="00200C04"/>
    <w:rsid w:val="00201D43"/>
    <w:rsid w:val="00203634"/>
    <w:rsid w:val="002042D6"/>
    <w:rsid w:val="002046BA"/>
    <w:rsid w:val="00204E1F"/>
    <w:rsid w:val="00204E5E"/>
    <w:rsid w:val="002054C6"/>
    <w:rsid w:val="00206132"/>
    <w:rsid w:val="002061C0"/>
    <w:rsid w:val="00207197"/>
    <w:rsid w:val="002071B1"/>
    <w:rsid w:val="0020795E"/>
    <w:rsid w:val="00207CAC"/>
    <w:rsid w:val="00210F35"/>
    <w:rsid w:val="00211DB5"/>
    <w:rsid w:val="00212404"/>
    <w:rsid w:val="00212AFD"/>
    <w:rsid w:val="0021497B"/>
    <w:rsid w:val="002156E6"/>
    <w:rsid w:val="00216F2D"/>
    <w:rsid w:val="002170E1"/>
    <w:rsid w:val="002172CB"/>
    <w:rsid w:val="00217B3E"/>
    <w:rsid w:val="00217C55"/>
    <w:rsid w:val="00217CA8"/>
    <w:rsid w:val="00217F5A"/>
    <w:rsid w:val="0022029E"/>
    <w:rsid w:val="00221539"/>
    <w:rsid w:val="002220F8"/>
    <w:rsid w:val="002223DF"/>
    <w:rsid w:val="002225B4"/>
    <w:rsid w:val="002234D4"/>
    <w:rsid w:val="002246F9"/>
    <w:rsid w:val="002248E2"/>
    <w:rsid w:val="00225486"/>
    <w:rsid w:val="00225FE9"/>
    <w:rsid w:val="00227B3B"/>
    <w:rsid w:val="002304DD"/>
    <w:rsid w:val="00230B50"/>
    <w:rsid w:val="0023110E"/>
    <w:rsid w:val="00231EE9"/>
    <w:rsid w:val="0023255E"/>
    <w:rsid w:val="00232923"/>
    <w:rsid w:val="00232E1D"/>
    <w:rsid w:val="00233001"/>
    <w:rsid w:val="00233178"/>
    <w:rsid w:val="00234505"/>
    <w:rsid w:val="0023571D"/>
    <w:rsid w:val="00235EFA"/>
    <w:rsid w:val="00235FCD"/>
    <w:rsid w:val="00236A9C"/>
    <w:rsid w:val="00236F0B"/>
    <w:rsid w:val="0023778A"/>
    <w:rsid w:val="00240758"/>
    <w:rsid w:val="00240E5A"/>
    <w:rsid w:val="00242CDD"/>
    <w:rsid w:val="0024380B"/>
    <w:rsid w:val="002443D0"/>
    <w:rsid w:val="00244B8D"/>
    <w:rsid w:val="00244BC9"/>
    <w:rsid w:val="00245EDE"/>
    <w:rsid w:val="002465C5"/>
    <w:rsid w:val="00246E8D"/>
    <w:rsid w:val="00247F1A"/>
    <w:rsid w:val="002507AD"/>
    <w:rsid w:val="0025091B"/>
    <w:rsid w:val="002513BF"/>
    <w:rsid w:val="002525C6"/>
    <w:rsid w:val="002540C6"/>
    <w:rsid w:val="002544E7"/>
    <w:rsid w:val="00254603"/>
    <w:rsid w:val="00254703"/>
    <w:rsid w:val="00254F79"/>
    <w:rsid w:val="00255C82"/>
    <w:rsid w:val="002577A8"/>
    <w:rsid w:val="00257BC7"/>
    <w:rsid w:val="00260035"/>
    <w:rsid w:val="002627B0"/>
    <w:rsid w:val="00262E06"/>
    <w:rsid w:val="00263374"/>
    <w:rsid w:val="00263F22"/>
    <w:rsid w:val="00264358"/>
    <w:rsid w:val="0026645F"/>
    <w:rsid w:val="00267AE5"/>
    <w:rsid w:val="00270B76"/>
    <w:rsid w:val="002713C8"/>
    <w:rsid w:val="0027273A"/>
    <w:rsid w:val="0027383F"/>
    <w:rsid w:val="00275027"/>
    <w:rsid w:val="0027503A"/>
    <w:rsid w:val="00275739"/>
    <w:rsid w:val="00275E4E"/>
    <w:rsid w:val="0027773F"/>
    <w:rsid w:val="002813D5"/>
    <w:rsid w:val="00282494"/>
    <w:rsid w:val="00284250"/>
    <w:rsid w:val="002843E8"/>
    <w:rsid w:val="00286DFA"/>
    <w:rsid w:val="002874E7"/>
    <w:rsid w:val="002900B6"/>
    <w:rsid w:val="00292379"/>
    <w:rsid w:val="00292BDE"/>
    <w:rsid w:val="00293807"/>
    <w:rsid w:val="00293FFD"/>
    <w:rsid w:val="002940F9"/>
    <w:rsid w:val="00294435"/>
    <w:rsid w:val="002954E2"/>
    <w:rsid w:val="00295FFE"/>
    <w:rsid w:val="0029601E"/>
    <w:rsid w:val="00297166"/>
    <w:rsid w:val="002974A2"/>
    <w:rsid w:val="002A0215"/>
    <w:rsid w:val="002A0EEC"/>
    <w:rsid w:val="002A125A"/>
    <w:rsid w:val="002A18FD"/>
    <w:rsid w:val="002A2535"/>
    <w:rsid w:val="002A2605"/>
    <w:rsid w:val="002A2B23"/>
    <w:rsid w:val="002A3B9B"/>
    <w:rsid w:val="002A3CA0"/>
    <w:rsid w:val="002A4171"/>
    <w:rsid w:val="002A573D"/>
    <w:rsid w:val="002A5AD6"/>
    <w:rsid w:val="002A617A"/>
    <w:rsid w:val="002A7B4B"/>
    <w:rsid w:val="002B0687"/>
    <w:rsid w:val="002B1D76"/>
    <w:rsid w:val="002B3334"/>
    <w:rsid w:val="002B3561"/>
    <w:rsid w:val="002B3624"/>
    <w:rsid w:val="002B37DB"/>
    <w:rsid w:val="002B4DE5"/>
    <w:rsid w:val="002B57D2"/>
    <w:rsid w:val="002B63C6"/>
    <w:rsid w:val="002B6CF6"/>
    <w:rsid w:val="002B787B"/>
    <w:rsid w:val="002B7D32"/>
    <w:rsid w:val="002B7F4E"/>
    <w:rsid w:val="002B7FA3"/>
    <w:rsid w:val="002C0E4F"/>
    <w:rsid w:val="002C17BD"/>
    <w:rsid w:val="002C2A2A"/>
    <w:rsid w:val="002C2EA9"/>
    <w:rsid w:val="002C34AA"/>
    <w:rsid w:val="002C3E4A"/>
    <w:rsid w:val="002C41D2"/>
    <w:rsid w:val="002C480E"/>
    <w:rsid w:val="002C498A"/>
    <w:rsid w:val="002C4EF6"/>
    <w:rsid w:val="002C545C"/>
    <w:rsid w:val="002C6CC7"/>
    <w:rsid w:val="002C7B8C"/>
    <w:rsid w:val="002D30DF"/>
    <w:rsid w:val="002D3906"/>
    <w:rsid w:val="002D3E93"/>
    <w:rsid w:val="002D51AC"/>
    <w:rsid w:val="002D57E5"/>
    <w:rsid w:val="002D6D95"/>
    <w:rsid w:val="002D7CBD"/>
    <w:rsid w:val="002E02B3"/>
    <w:rsid w:val="002E05C7"/>
    <w:rsid w:val="002E1889"/>
    <w:rsid w:val="002E2608"/>
    <w:rsid w:val="002E2F09"/>
    <w:rsid w:val="002E3B91"/>
    <w:rsid w:val="002E451E"/>
    <w:rsid w:val="002E6D16"/>
    <w:rsid w:val="002E7572"/>
    <w:rsid w:val="002E76F4"/>
    <w:rsid w:val="002E780C"/>
    <w:rsid w:val="002F0543"/>
    <w:rsid w:val="002F0B17"/>
    <w:rsid w:val="002F1FDB"/>
    <w:rsid w:val="002F23E9"/>
    <w:rsid w:val="002F274B"/>
    <w:rsid w:val="002F2C3F"/>
    <w:rsid w:val="002F2CC5"/>
    <w:rsid w:val="002F3C80"/>
    <w:rsid w:val="002F3F8A"/>
    <w:rsid w:val="002F41B3"/>
    <w:rsid w:val="002F6AD8"/>
    <w:rsid w:val="0030021B"/>
    <w:rsid w:val="00300690"/>
    <w:rsid w:val="00300B6F"/>
    <w:rsid w:val="003014DB"/>
    <w:rsid w:val="00301CEF"/>
    <w:rsid w:val="0030288A"/>
    <w:rsid w:val="00302931"/>
    <w:rsid w:val="00303055"/>
    <w:rsid w:val="00303488"/>
    <w:rsid w:val="00303556"/>
    <w:rsid w:val="00303DE2"/>
    <w:rsid w:val="003049F8"/>
    <w:rsid w:val="00305E15"/>
    <w:rsid w:val="00306B7D"/>
    <w:rsid w:val="00307914"/>
    <w:rsid w:val="00307DD9"/>
    <w:rsid w:val="00310620"/>
    <w:rsid w:val="0031089C"/>
    <w:rsid w:val="00310E83"/>
    <w:rsid w:val="00311174"/>
    <w:rsid w:val="0031158B"/>
    <w:rsid w:val="00311FE8"/>
    <w:rsid w:val="00312339"/>
    <w:rsid w:val="00314483"/>
    <w:rsid w:val="00314608"/>
    <w:rsid w:val="00314896"/>
    <w:rsid w:val="00315507"/>
    <w:rsid w:val="00315750"/>
    <w:rsid w:val="003179EE"/>
    <w:rsid w:val="00317C06"/>
    <w:rsid w:val="00317CC0"/>
    <w:rsid w:val="0032018A"/>
    <w:rsid w:val="003204D0"/>
    <w:rsid w:val="00320DCF"/>
    <w:rsid w:val="0032139C"/>
    <w:rsid w:val="00322241"/>
    <w:rsid w:val="00322854"/>
    <w:rsid w:val="00323A15"/>
    <w:rsid w:val="00323FC8"/>
    <w:rsid w:val="00325360"/>
    <w:rsid w:val="00325982"/>
    <w:rsid w:val="003260EB"/>
    <w:rsid w:val="00326161"/>
    <w:rsid w:val="003264B0"/>
    <w:rsid w:val="00326762"/>
    <w:rsid w:val="003305E2"/>
    <w:rsid w:val="00330A0C"/>
    <w:rsid w:val="0033449D"/>
    <w:rsid w:val="003353A2"/>
    <w:rsid w:val="0033599E"/>
    <w:rsid w:val="00335CCC"/>
    <w:rsid w:val="003372C9"/>
    <w:rsid w:val="00337FD7"/>
    <w:rsid w:val="0034193F"/>
    <w:rsid w:val="00341C02"/>
    <w:rsid w:val="00344522"/>
    <w:rsid w:val="00344C5E"/>
    <w:rsid w:val="0034512A"/>
    <w:rsid w:val="003452E0"/>
    <w:rsid w:val="00347B8C"/>
    <w:rsid w:val="00350AD5"/>
    <w:rsid w:val="00351E20"/>
    <w:rsid w:val="0035237D"/>
    <w:rsid w:val="0035422D"/>
    <w:rsid w:val="003545C3"/>
    <w:rsid w:val="00354654"/>
    <w:rsid w:val="00354870"/>
    <w:rsid w:val="003566CA"/>
    <w:rsid w:val="00356B27"/>
    <w:rsid w:val="003607A5"/>
    <w:rsid w:val="003609CD"/>
    <w:rsid w:val="0036131F"/>
    <w:rsid w:val="003635EC"/>
    <w:rsid w:val="00363C19"/>
    <w:rsid w:val="00363C55"/>
    <w:rsid w:val="00363CDD"/>
    <w:rsid w:val="00363F27"/>
    <w:rsid w:val="00365A20"/>
    <w:rsid w:val="00367152"/>
    <w:rsid w:val="00367264"/>
    <w:rsid w:val="003672AA"/>
    <w:rsid w:val="003707E5"/>
    <w:rsid w:val="00370ACF"/>
    <w:rsid w:val="00372EF3"/>
    <w:rsid w:val="00373CD7"/>
    <w:rsid w:val="003750A2"/>
    <w:rsid w:val="003771CF"/>
    <w:rsid w:val="0037776F"/>
    <w:rsid w:val="00380A8D"/>
    <w:rsid w:val="00380C9D"/>
    <w:rsid w:val="0038138B"/>
    <w:rsid w:val="00381411"/>
    <w:rsid w:val="00381860"/>
    <w:rsid w:val="00384506"/>
    <w:rsid w:val="00384CD0"/>
    <w:rsid w:val="00384FEB"/>
    <w:rsid w:val="003852A6"/>
    <w:rsid w:val="003862CF"/>
    <w:rsid w:val="00386419"/>
    <w:rsid w:val="00386FA0"/>
    <w:rsid w:val="00390C09"/>
    <w:rsid w:val="00391B10"/>
    <w:rsid w:val="00391EED"/>
    <w:rsid w:val="0039404C"/>
    <w:rsid w:val="0039497E"/>
    <w:rsid w:val="003949A7"/>
    <w:rsid w:val="003957EA"/>
    <w:rsid w:val="003A041C"/>
    <w:rsid w:val="003A09CC"/>
    <w:rsid w:val="003A1441"/>
    <w:rsid w:val="003A15C2"/>
    <w:rsid w:val="003A2901"/>
    <w:rsid w:val="003A2A8F"/>
    <w:rsid w:val="003A2B1C"/>
    <w:rsid w:val="003A2B32"/>
    <w:rsid w:val="003A2E2C"/>
    <w:rsid w:val="003A3C64"/>
    <w:rsid w:val="003A4705"/>
    <w:rsid w:val="003B1C45"/>
    <w:rsid w:val="003B23FA"/>
    <w:rsid w:val="003B2CB1"/>
    <w:rsid w:val="003B3F30"/>
    <w:rsid w:val="003B56F5"/>
    <w:rsid w:val="003B688C"/>
    <w:rsid w:val="003B79C2"/>
    <w:rsid w:val="003B7B4E"/>
    <w:rsid w:val="003B7D54"/>
    <w:rsid w:val="003C02E6"/>
    <w:rsid w:val="003C0330"/>
    <w:rsid w:val="003C1901"/>
    <w:rsid w:val="003C25CD"/>
    <w:rsid w:val="003C2CE1"/>
    <w:rsid w:val="003C3C9F"/>
    <w:rsid w:val="003C3D81"/>
    <w:rsid w:val="003C73E3"/>
    <w:rsid w:val="003C7FA5"/>
    <w:rsid w:val="003D02ED"/>
    <w:rsid w:val="003D08A4"/>
    <w:rsid w:val="003D2515"/>
    <w:rsid w:val="003D4561"/>
    <w:rsid w:val="003D4FF7"/>
    <w:rsid w:val="003D585E"/>
    <w:rsid w:val="003D6C36"/>
    <w:rsid w:val="003D756E"/>
    <w:rsid w:val="003E0019"/>
    <w:rsid w:val="003E00C1"/>
    <w:rsid w:val="003E0D27"/>
    <w:rsid w:val="003E16F6"/>
    <w:rsid w:val="003E2627"/>
    <w:rsid w:val="003E26D4"/>
    <w:rsid w:val="003E28A5"/>
    <w:rsid w:val="003E3E1E"/>
    <w:rsid w:val="003E4B57"/>
    <w:rsid w:val="003E533F"/>
    <w:rsid w:val="003E5879"/>
    <w:rsid w:val="003E5988"/>
    <w:rsid w:val="003E60BA"/>
    <w:rsid w:val="003E63B3"/>
    <w:rsid w:val="003E71C8"/>
    <w:rsid w:val="003E75BA"/>
    <w:rsid w:val="003E7CCD"/>
    <w:rsid w:val="003F07AA"/>
    <w:rsid w:val="003F1019"/>
    <w:rsid w:val="003F1709"/>
    <w:rsid w:val="003F189E"/>
    <w:rsid w:val="003F2815"/>
    <w:rsid w:val="003F32D2"/>
    <w:rsid w:val="003F36F0"/>
    <w:rsid w:val="003F398D"/>
    <w:rsid w:val="003F4FB8"/>
    <w:rsid w:val="003F5ED1"/>
    <w:rsid w:val="003F5F82"/>
    <w:rsid w:val="003F61FC"/>
    <w:rsid w:val="004019FE"/>
    <w:rsid w:val="00402077"/>
    <w:rsid w:val="00402C0F"/>
    <w:rsid w:val="004048BF"/>
    <w:rsid w:val="00405792"/>
    <w:rsid w:val="00407507"/>
    <w:rsid w:val="00410A30"/>
    <w:rsid w:val="00416610"/>
    <w:rsid w:val="00416700"/>
    <w:rsid w:val="00416F35"/>
    <w:rsid w:val="004176A7"/>
    <w:rsid w:val="00420AB1"/>
    <w:rsid w:val="00420BA4"/>
    <w:rsid w:val="00421BA9"/>
    <w:rsid w:val="00422C0B"/>
    <w:rsid w:val="004233E4"/>
    <w:rsid w:val="004242F3"/>
    <w:rsid w:val="004249DC"/>
    <w:rsid w:val="004255F0"/>
    <w:rsid w:val="004273FB"/>
    <w:rsid w:val="00430530"/>
    <w:rsid w:val="004316C1"/>
    <w:rsid w:val="00431B27"/>
    <w:rsid w:val="00433449"/>
    <w:rsid w:val="00436202"/>
    <w:rsid w:val="004400F3"/>
    <w:rsid w:val="0044118F"/>
    <w:rsid w:val="00441674"/>
    <w:rsid w:val="0044178A"/>
    <w:rsid w:val="004421D2"/>
    <w:rsid w:val="004428B4"/>
    <w:rsid w:val="00445155"/>
    <w:rsid w:val="00445C53"/>
    <w:rsid w:val="00446C55"/>
    <w:rsid w:val="00447E87"/>
    <w:rsid w:val="004506C2"/>
    <w:rsid w:val="0045094F"/>
    <w:rsid w:val="00450AD5"/>
    <w:rsid w:val="00451E9C"/>
    <w:rsid w:val="00452450"/>
    <w:rsid w:val="0045315A"/>
    <w:rsid w:val="0045333C"/>
    <w:rsid w:val="0045550D"/>
    <w:rsid w:val="00457388"/>
    <w:rsid w:val="0046044C"/>
    <w:rsid w:val="0046122E"/>
    <w:rsid w:val="004617F9"/>
    <w:rsid w:val="00461A37"/>
    <w:rsid w:val="0046238F"/>
    <w:rsid w:val="00462B9E"/>
    <w:rsid w:val="00463461"/>
    <w:rsid w:val="00470112"/>
    <w:rsid w:val="0047021C"/>
    <w:rsid w:val="004713F4"/>
    <w:rsid w:val="00471B33"/>
    <w:rsid w:val="00472939"/>
    <w:rsid w:val="00472F1E"/>
    <w:rsid w:val="00474008"/>
    <w:rsid w:val="0047401F"/>
    <w:rsid w:val="004744BA"/>
    <w:rsid w:val="00475557"/>
    <w:rsid w:val="00475F4D"/>
    <w:rsid w:val="004764B2"/>
    <w:rsid w:val="004766BC"/>
    <w:rsid w:val="00476EA4"/>
    <w:rsid w:val="004774FD"/>
    <w:rsid w:val="00477B43"/>
    <w:rsid w:val="0048065D"/>
    <w:rsid w:val="0048084C"/>
    <w:rsid w:val="00480CED"/>
    <w:rsid w:val="00481AA0"/>
    <w:rsid w:val="00481EEC"/>
    <w:rsid w:val="00483F80"/>
    <w:rsid w:val="00483FB6"/>
    <w:rsid w:val="0048562E"/>
    <w:rsid w:val="004858D6"/>
    <w:rsid w:val="004862D8"/>
    <w:rsid w:val="004865E0"/>
    <w:rsid w:val="00487F77"/>
    <w:rsid w:val="00490523"/>
    <w:rsid w:val="004906C3"/>
    <w:rsid w:val="00492FBE"/>
    <w:rsid w:val="0049429A"/>
    <w:rsid w:val="00494ED7"/>
    <w:rsid w:val="004958D6"/>
    <w:rsid w:val="0049704E"/>
    <w:rsid w:val="004A037C"/>
    <w:rsid w:val="004A04C5"/>
    <w:rsid w:val="004A0D5A"/>
    <w:rsid w:val="004A122A"/>
    <w:rsid w:val="004A1C81"/>
    <w:rsid w:val="004A1E3E"/>
    <w:rsid w:val="004A37D6"/>
    <w:rsid w:val="004A418A"/>
    <w:rsid w:val="004A4D76"/>
    <w:rsid w:val="004A515C"/>
    <w:rsid w:val="004B0552"/>
    <w:rsid w:val="004B0842"/>
    <w:rsid w:val="004B0B1B"/>
    <w:rsid w:val="004B112F"/>
    <w:rsid w:val="004B1820"/>
    <w:rsid w:val="004B1FD7"/>
    <w:rsid w:val="004B2FDF"/>
    <w:rsid w:val="004B38CC"/>
    <w:rsid w:val="004B3E54"/>
    <w:rsid w:val="004B4D3E"/>
    <w:rsid w:val="004B4D91"/>
    <w:rsid w:val="004B5267"/>
    <w:rsid w:val="004B71B2"/>
    <w:rsid w:val="004B7A36"/>
    <w:rsid w:val="004C0720"/>
    <w:rsid w:val="004C084F"/>
    <w:rsid w:val="004C2A33"/>
    <w:rsid w:val="004C2D81"/>
    <w:rsid w:val="004C3E14"/>
    <w:rsid w:val="004C4889"/>
    <w:rsid w:val="004C5477"/>
    <w:rsid w:val="004C5B3B"/>
    <w:rsid w:val="004C713B"/>
    <w:rsid w:val="004C722D"/>
    <w:rsid w:val="004C75FC"/>
    <w:rsid w:val="004C7778"/>
    <w:rsid w:val="004D0663"/>
    <w:rsid w:val="004D1263"/>
    <w:rsid w:val="004D156E"/>
    <w:rsid w:val="004D1879"/>
    <w:rsid w:val="004D18B8"/>
    <w:rsid w:val="004D27AE"/>
    <w:rsid w:val="004D310D"/>
    <w:rsid w:val="004D316A"/>
    <w:rsid w:val="004D3DED"/>
    <w:rsid w:val="004D425F"/>
    <w:rsid w:val="004D4500"/>
    <w:rsid w:val="004D46E7"/>
    <w:rsid w:val="004D50FA"/>
    <w:rsid w:val="004D6ABF"/>
    <w:rsid w:val="004E0183"/>
    <w:rsid w:val="004E037E"/>
    <w:rsid w:val="004E078C"/>
    <w:rsid w:val="004E0DFC"/>
    <w:rsid w:val="004E2042"/>
    <w:rsid w:val="004E248F"/>
    <w:rsid w:val="004E3501"/>
    <w:rsid w:val="004E4C98"/>
    <w:rsid w:val="004E598D"/>
    <w:rsid w:val="004E5BC7"/>
    <w:rsid w:val="004E5EE8"/>
    <w:rsid w:val="004E67C0"/>
    <w:rsid w:val="004E708F"/>
    <w:rsid w:val="004E76B1"/>
    <w:rsid w:val="004E79F2"/>
    <w:rsid w:val="004F1874"/>
    <w:rsid w:val="004F1C56"/>
    <w:rsid w:val="004F1E86"/>
    <w:rsid w:val="004F224E"/>
    <w:rsid w:val="004F235B"/>
    <w:rsid w:val="004F3E78"/>
    <w:rsid w:val="004F4F0D"/>
    <w:rsid w:val="004F5863"/>
    <w:rsid w:val="004F5957"/>
    <w:rsid w:val="004F5EFF"/>
    <w:rsid w:val="004F6F03"/>
    <w:rsid w:val="004F7A51"/>
    <w:rsid w:val="00501127"/>
    <w:rsid w:val="005025EF"/>
    <w:rsid w:val="005034A8"/>
    <w:rsid w:val="005037D1"/>
    <w:rsid w:val="005045B1"/>
    <w:rsid w:val="00504E74"/>
    <w:rsid w:val="0050523E"/>
    <w:rsid w:val="0050553E"/>
    <w:rsid w:val="00505E66"/>
    <w:rsid w:val="00506436"/>
    <w:rsid w:val="0050692A"/>
    <w:rsid w:val="00506E25"/>
    <w:rsid w:val="005077BD"/>
    <w:rsid w:val="00507EEF"/>
    <w:rsid w:val="005102CE"/>
    <w:rsid w:val="005107B4"/>
    <w:rsid w:val="00511962"/>
    <w:rsid w:val="00512E9A"/>
    <w:rsid w:val="0051397F"/>
    <w:rsid w:val="00514ABB"/>
    <w:rsid w:val="005156F2"/>
    <w:rsid w:val="00515FC5"/>
    <w:rsid w:val="00516087"/>
    <w:rsid w:val="005200F8"/>
    <w:rsid w:val="005209F4"/>
    <w:rsid w:val="00520D51"/>
    <w:rsid w:val="00522950"/>
    <w:rsid w:val="00523A5B"/>
    <w:rsid w:val="00524926"/>
    <w:rsid w:val="00526541"/>
    <w:rsid w:val="005269CC"/>
    <w:rsid w:val="00527B9D"/>
    <w:rsid w:val="005304C4"/>
    <w:rsid w:val="005312C3"/>
    <w:rsid w:val="00531E42"/>
    <w:rsid w:val="00531E80"/>
    <w:rsid w:val="00531F92"/>
    <w:rsid w:val="005341B3"/>
    <w:rsid w:val="005346AF"/>
    <w:rsid w:val="005371E4"/>
    <w:rsid w:val="00537DBF"/>
    <w:rsid w:val="0054004A"/>
    <w:rsid w:val="005404B3"/>
    <w:rsid w:val="00540CE3"/>
    <w:rsid w:val="00541C46"/>
    <w:rsid w:val="00541C86"/>
    <w:rsid w:val="005428E8"/>
    <w:rsid w:val="00542A7B"/>
    <w:rsid w:val="0054425B"/>
    <w:rsid w:val="00544C53"/>
    <w:rsid w:val="005450DB"/>
    <w:rsid w:val="00545683"/>
    <w:rsid w:val="00547274"/>
    <w:rsid w:val="005504F7"/>
    <w:rsid w:val="00550E57"/>
    <w:rsid w:val="00550EC1"/>
    <w:rsid w:val="005512DA"/>
    <w:rsid w:val="005519C8"/>
    <w:rsid w:val="0055240D"/>
    <w:rsid w:val="00552905"/>
    <w:rsid w:val="00552A30"/>
    <w:rsid w:val="00553E86"/>
    <w:rsid w:val="00554645"/>
    <w:rsid w:val="0055567E"/>
    <w:rsid w:val="00556D8C"/>
    <w:rsid w:val="00556F10"/>
    <w:rsid w:val="0055799A"/>
    <w:rsid w:val="00563552"/>
    <w:rsid w:val="005644E6"/>
    <w:rsid w:val="00565268"/>
    <w:rsid w:val="00565C32"/>
    <w:rsid w:val="00567A0F"/>
    <w:rsid w:val="00567F9D"/>
    <w:rsid w:val="005711FA"/>
    <w:rsid w:val="00572414"/>
    <w:rsid w:val="00572787"/>
    <w:rsid w:val="00573932"/>
    <w:rsid w:val="005742BA"/>
    <w:rsid w:val="0057457A"/>
    <w:rsid w:val="00574E3E"/>
    <w:rsid w:val="00575039"/>
    <w:rsid w:val="005759C6"/>
    <w:rsid w:val="00575B45"/>
    <w:rsid w:val="00576F73"/>
    <w:rsid w:val="00576F80"/>
    <w:rsid w:val="00577388"/>
    <w:rsid w:val="00577A31"/>
    <w:rsid w:val="00581754"/>
    <w:rsid w:val="005821D9"/>
    <w:rsid w:val="00584AC9"/>
    <w:rsid w:val="00584D3E"/>
    <w:rsid w:val="005856BF"/>
    <w:rsid w:val="00585F24"/>
    <w:rsid w:val="005862BF"/>
    <w:rsid w:val="00587B28"/>
    <w:rsid w:val="005916BC"/>
    <w:rsid w:val="00592688"/>
    <w:rsid w:val="00593636"/>
    <w:rsid w:val="00593CB3"/>
    <w:rsid w:val="00594B57"/>
    <w:rsid w:val="005959B7"/>
    <w:rsid w:val="00596519"/>
    <w:rsid w:val="005969CD"/>
    <w:rsid w:val="00596B94"/>
    <w:rsid w:val="00597327"/>
    <w:rsid w:val="00597D51"/>
    <w:rsid w:val="005A0481"/>
    <w:rsid w:val="005A0727"/>
    <w:rsid w:val="005A0FD9"/>
    <w:rsid w:val="005A29DA"/>
    <w:rsid w:val="005A2B68"/>
    <w:rsid w:val="005A5A63"/>
    <w:rsid w:val="005A78C3"/>
    <w:rsid w:val="005B029D"/>
    <w:rsid w:val="005B046D"/>
    <w:rsid w:val="005B1D8F"/>
    <w:rsid w:val="005B230E"/>
    <w:rsid w:val="005B65F5"/>
    <w:rsid w:val="005B71E4"/>
    <w:rsid w:val="005C0338"/>
    <w:rsid w:val="005C04B4"/>
    <w:rsid w:val="005C0661"/>
    <w:rsid w:val="005C2091"/>
    <w:rsid w:val="005C377A"/>
    <w:rsid w:val="005C38AD"/>
    <w:rsid w:val="005C3C46"/>
    <w:rsid w:val="005C43DC"/>
    <w:rsid w:val="005C4BEB"/>
    <w:rsid w:val="005C5865"/>
    <w:rsid w:val="005C58D4"/>
    <w:rsid w:val="005C5F50"/>
    <w:rsid w:val="005C6174"/>
    <w:rsid w:val="005D0370"/>
    <w:rsid w:val="005D06AE"/>
    <w:rsid w:val="005D1062"/>
    <w:rsid w:val="005D1A7E"/>
    <w:rsid w:val="005D1CFD"/>
    <w:rsid w:val="005D2144"/>
    <w:rsid w:val="005D2CE2"/>
    <w:rsid w:val="005D316F"/>
    <w:rsid w:val="005D4739"/>
    <w:rsid w:val="005D52FB"/>
    <w:rsid w:val="005D5509"/>
    <w:rsid w:val="005D558F"/>
    <w:rsid w:val="005D5D36"/>
    <w:rsid w:val="005D6EF6"/>
    <w:rsid w:val="005D7EDC"/>
    <w:rsid w:val="005E1A18"/>
    <w:rsid w:val="005E1A9C"/>
    <w:rsid w:val="005E2C11"/>
    <w:rsid w:val="005E2DE6"/>
    <w:rsid w:val="005E4627"/>
    <w:rsid w:val="005E4E3E"/>
    <w:rsid w:val="005E5A13"/>
    <w:rsid w:val="005E636B"/>
    <w:rsid w:val="005F0182"/>
    <w:rsid w:val="005F1946"/>
    <w:rsid w:val="005F20C4"/>
    <w:rsid w:val="005F2533"/>
    <w:rsid w:val="005F2B32"/>
    <w:rsid w:val="005F39E7"/>
    <w:rsid w:val="005F3FDB"/>
    <w:rsid w:val="005F46DE"/>
    <w:rsid w:val="005F4D01"/>
    <w:rsid w:val="005F5A3A"/>
    <w:rsid w:val="00601268"/>
    <w:rsid w:val="00603049"/>
    <w:rsid w:val="00603AD0"/>
    <w:rsid w:val="006053CF"/>
    <w:rsid w:val="006061AA"/>
    <w:rsid w:val="00606616"/>
    <w:rsid w:val="00606B5F"/>
    <w:rsid w:val="0060726B"/>
    <w:rsid w:val="0061036A"/>
    <w:rsid w:val="006109E5"/>
    <w:rsid w:val="00613336"/>
    <w:rsid w:val="00614A9F"/>
    <w:rsid w:val="00614D09"/>
    <w:rsid w:val="0061547C"/>
    <w:rsid w:val="006156EF"/>
    <w:rsid w:val="00615E39"/>
    <w:rsid w:val="006161D7"/>
    <w:rsid w:val="006174BF"/>
    <w:rsid w:val="00620548"/>
    <w:rsid w:val="00620D1C"/>
    <w:rsid w:val="006210AB"/>
    <w:rsid w:val="00621319"/>
    <w:rsid w:val="00621588"/>
    <w:rsid w:val="00621C6E"/>
    <w:rsid w:val="006243EE"/>
    <w:rsid w:val="00625CCB"/>
    <w:rsid w:val="00625E01"/>
    <w:rsid w:val="00625E0B"/>
    <w:rsid w:val="006277AB"/>
    <w:rsid w:val="00627AAF"/>
    <w:rsid w:val="00630293"/>
    <w:rsid w:val="00630537"/>
    <w:rsid w:val="00630986"/>
    <w:rsid w:val="0063115C"/>
    <w:rsid w:val="00631C18"/>
    <w:rsid w:val="0063254B"/>
    <w:rsid w:val="0063434B"/>
    <w:rsid w:val="006346A8"/>
    <w:rsid w:val="00634AF3"/>
    <w:rsid w:val="0063563C"/>
    <w:rsid w:val="00637262"/>
    <w:rsid w:val="00637B75"/>
    <w:rsid w:val="00637C4B"/>
    <w:rsid w:val="0064024C"/>
    <w:rsid w:val="00640DA8"/>
    <w:rsid w:val="00641440"/>
    <w:rsid w:val="006417F7"/>
    <w:rsid w:val="0064266E"/>
    <w:rsid w:val="00642DCE"/>
    <w:rsid w:val="00645F87"/>
    <w:rsid w:val="00646F93"/>
    <w:rsid w:val="0065098E"/>
    <w:rsid w:val="006513B0"/>
    <w:rsid w:val="00652684"/>
    <w:rsid w:val="00653CC8"/>
    <w:rsid w:val="00653E8C"/>
    <w:rsid w:val="00653F5E"/>
    <w:rsid w:val="0065579B"/>
    <w:rsid w:val="00655EC6"/>
    <w:rsid w:val="00656DDC"/>
    <w:rsid w:val="00660CD5"/>
    <w:rsid w:val="0066368D"/>
    <w:rsid w:val="00664674"/>
    <w:rsid w:val="00664AED"/>
    <w:rsid w:val="00664D4D"/>
    <w:rsid w:val="00665818"/>
    <w:rsid w:val="00665D3A"/>
    <w:rsid w:val="006665F5"/>
    <w:rsid w:val="00667A2B"/>
    <w:rsid w:val="00671170"/>
    <w:rsid w:val="00671E85"/>
    <w:rsid w:val="006726A6"/>
    <w:rsid w:val="0067391F"/>
    <w:rsid w:val="00673942"/>
    <w:rsid w:val="00673B08"/>
    <w:rsid w:val="006741F3"/>
    <w:rsid w:val="0067450B"/>
    <w:rsid w:val="006745A1"/>
    <w:rsid w:val="0067471C"/>
    <w:rsid w:val="00675111"/>
    <w:rsid w:val="00676177"/>
    <w:rsid w:val="006767C5"/>
    <w:rsid w:val="0068177A"/>
    <w:rsid w:val="00681925"/>
    <w:rsid w:val="006823D3"/>
    <w:rsid w:val="006824E5"/>
    <w:rsid w:val="006836B8"/>
    <w:rsid w:val="00684A00"/>
    <w:rsid w:val="006864C6"/>
    <w:rsid w:val="00686BD0"/>
    <w:rsid w:val="0068722C"/>
    <w:rsid w:val="006878A8"/>
    <w:rsid w:val="00687A96"/>
    <w:rsid w:val="00687C31"/>
    <w:rsid w:val="00687E8E"/>
    <w:rsid w:val="00690EFB"/>
    <w:rsid w:val="006912F8"/>
    <w:rsid w:val="00692981"/>
    <w:rsid w:val="00692D4A"/>
    <w:rsid w:val="00693AB2"/>
    <w:rsid w:val="0069414E"/>
    <w:rsid w:val="00694537"/>
    <w:rsid w:val="00694E5B"/>
    <w:rsid w:val="00694EF3"/>
    <w:rsid w:val="00695EC7"/>
    <w:rsid w:val="006965BD"/>
    <w:rsid w:val="00696CD2"/>
    <w:rsid w:val="006970AD"/>
    <w:rsid w:val="0069720A"/>
    <w:rsid w:val="006A00D0"/>
    <w:rsid w:val="006A00D7"/>
    <w:rsid w:val="006A073A"/>
    <w:rsid w:val="006A1701"/>
    <w:rsid w:val="006A3028"/>
    <w:rsid w:val="006A32D7"/>
    <w:rsid w:val="006A4530"/>
    <w:rsid w:val="006A4B25"/>
    <w:rsid w:val="006A6503"/>
    <w:rsid w:val="006A6EC3"/>
    <w:rsid w:val="006B0C55"/>
    <w:rsid w:val="006B1A95"/>
    <w:rsid w:val="006B23C8"/>
    <w:rsid w:val="006B2621"/>
    <w:rsid w:val="006B2842"/>
    <w:rsid w:val="006B2FBA"/>
    <w:rsid w:val="006B49E9"/>
    <w:rsid w:val="006B5654"/>
    <w:rsid w:val="006B6971"/>
    <w:rsid w:val="006B7A68"/>
    <w:rsid w:val="006C009D"/>
    <w:rsid w:val="006C0A52"/>
    <w:rsid w:val="006C1BC2"/>
    <w:rsid w:val="006C1BFB"/>
    <w:rsid w:val="006C25F3"/>
    <w:rsid w:val="006C2FBE"/>
    <w:rsid w:val="006C2FC4"/>
    <w:rsid w:val="006C3699"/>
    <w:rsid w:val="006C3A21"/>
    <w:rsid w:val="006C3CD7"/>
    <w:rsid w:val="006C420D"/>
    <w:rsid w:val="006C5E11"/>
    <w:rsid w:val="006D06A9"/>
    <w:rsid w:val="006D0B96"/>
    <w:rsid w:val="006D0BF7"/>
    <w:rsid w:val="006D390A"/>
    <w:rsid w:val="006D458F"/>
    <w:rsid w:val="006D5DDA"/>
    <w:rsid w:val="006D753C"/>
    <w:rsid w:val="006E1A5C"/>
    <w:rsid w:val="006E1D87"/>
    <w:rsid w:val="006E2220"/>
    <w:rsid w:val="006E27EA"/>
    <w:rsid w:val="006E290B"/>
    <w:rsid w:val="006E2928"/>
    <w:rsid w:val="006E2AEC"/>
    <w:rsid w:val="006E3918"/>
    <w:rsid w:val="006E3A4D"/>
    <w:rsid w:val="006E4CAC"/>
    <w:rsid w:val="006E4CE8"/>
    <w:rsid w:val="006E571A"/>
    <w:rsid w:val="006E5A83"/>
    <w:rsid w:val="006E64FF"/>
    <w:rsid w:val="006E77C8"/>
    <w:rsid w:val="006F0F0A"/>
    <w:rsid w:val="006F1495"/>
    <w:rsid w:val="006F1CC9"/>
    <w:rsid w:val="006F21D6"/>
    <w:rsid w:val="006F33EB"/>
    <w:rsid w:val="006F47BB"/>
    <w:rsid w:val="006F4904"/>
    <w:rsid w:val="006F4FD5"/>
    <w:rsid w:val="0070011D"/>
    <w:rsid w:val="00700B79"/>
    <w:rsid w:val="0070148B"/>
    <w:rsid w:val="00701BB2"/>
    <w:rsid w:val="00702029"/>
    <w:rsid w:val="0070231F"/>
    <w:rsid w:val="00702874"/>
    <w:rsid w:val="00702AE2"/>
    <w:rsid w:val="00702C18"/>
    <w:rsid w:val="00703850"/>
    <w:rsid w:val="00703F32"/>
    <w:rsid w:val="00704BB6"/>
    <w:rsid w:val="00706615"/>
    <w:rsid w:val="00707414"/>
    <w:rsid w:val="007078C6"/>
    <w:rsid w:val="00710204"/>
    <w:rsid w:val="007105B1"/>
    <w:rsid w:val="00710F98"/>
    <w:rsid w:val="00711223"/>
    <w:rsid w:val="00711EC1"/>
    <w:rsid w:val="00712042"/>
    <w:rsid w:val="0071228E"/>
    <w:rsid w:val="007136C4"/>
    <w:rsid w:val="007137FB"/>
    <w:rsid w:val="00714BE8"/>
    <w:rsid w:val="00715A9A"/>
    <w:rsid w:val="007169D0"/>
    <w:rsid w:val="00717021"/>
    <w:rsid w:val="0071714D"/>
    <w:rsid w:val="00717300"/>
    <w:rsid w:val="00721AF6"/>
    <w:rsid w:val="00722536"/>
    <w:rsid w:val="00724BEA"/>
    <w:rsid w:val="00732757"/>
    <w:rsid w:val="00732777"/>
    <w:rsid w:val="00732CE3"/>
    <w:rsid w:val="00732D99"/>
    <w:rsid w:val="0073312C"/>
    <w:rsid w:val="007331BD"/>
    <w:rsid w:val="00733477"/>
    <w:rsid w:val="00733A3C"/>
    <w:rsid w:val="00734415"/>
    <w:rsid w:val="007345F6"/>
    <w:rsid w:val="0073553A"/>
    <w:rsid w:val="0073577A"/>
    <w:rsid w:val="00735CCB"/>
    <w:rsid w:val="0073613A"/>
    <w:rsid w:val="00736356"/>
    <w:rsid w:val="00737867"/>
    <w:rsid w:val="00740AB8"/>
    <w:rsid w:val="00744116"/>
    <w:rsid w:val="0074434F"/>
    <w:rsid w:val="007466DB"/>
    <w:rsid w:val="00746763"/>
    <w:rsid w:val="00747006"/>
    <w:rsid w:val="00750080"/>
    <w:rsid w:val="00752140"/>
    <w:rsid w:val="007526C2"/>
    <w:rsid w:val="00752D4A"/>
    <w:rsid w:val="00753978"/>
    <w:rsid w:val="0075509F"/>
    <w:rsid w:val="0075551F"/>
    <w:rsid w:val="00756CCE"/>
    <w:rsid w:val="007571DF"/>
    <w:rsid w:val="007615A0"/>
    <w:rsid w:val="00761955"/>
    <w:rsid w:val="00762278"/>
    <w:rsid w:val="00762984"/>
    <w:rsid w:val="00762EF0"/>
    <w:rsid w:val="00763F27"/>
    <w:rsid w:val="007641E1"/>
    <w:rsid w:val="00764937"/>
    <w:rsid w:val="007658C9"/>
    <w:rsid w:val="00765C3C"/>
    <w:rsid w:val="00766194"/>
    <w:rsid w:val="0076651D"/>
    <w:rsid w:val="00767151"/>
    <w:rsid w:val="007677DE"/>
    <w:rsid w:val="00770BC5"/>
    <w:rsid w:val="0077111B"/>
    <w:rsid w:val="00771747"/>
    <w:rsid w:val="00772166"/>
    <w:rsid w:val="00772232"/>
    <w:rsid w:val="00773612"/>
    <w:rsid w:val="007739E8"/>
    <w:rsid w:val="00773BBB"/>
    <w:rsid w:val="00773CAB"/>
    <w:rsid w:val="00773F1A"/>
    <w:rsid w:val="0077459B"/>
    <w:rsid w:val="007766BB"/>
    <w:rsid w:val="00776C34"/>
    <w:rsid w:val="00776D92"/>
    <w:rsid w:val="00777F70"/>
    <w:rsid w:val="00781A7F"/>
    <w:rsid w:val="007844FD"/>
    <w:rsid w:val="0078489A"/>
    <w:rsid w:val="007860B0"/>
    <w:rsid w:val="007862D4"/>
    <w:rsid w:val="007869B6"/>
    <w:rsid w:val="00791544"/>
    <w:rsid w:val="007930A2"/>
    <w:rsid w:val="007932F8"/>
    <w:rsid w:val="0079341A"/>
    <w:rsid w:val="007935E8"/>
    <w:rsid w:val="00793665"/>
    <w:rsid w:val="0079367B"/>
    <w:rsid w:val="00793C57"/>
    <w:rsid w:val="00793F92"/>
    <w:rsid w:val="00795189"/>
    <w:rsid w:val="00795B63"/>
    <w:rsid w:val="00795D2F"/>
    <w:rsid w:val="00795FA5"/>
    <w:rsid w:val="00797EEE"/>
    <w:rsid w:val="007A0208"/>
    <w:rsid w:val="007A0689"/>
    <w:rsid w:val="007A0A9F"/>
    <w:rsid w:val="007A1BE9"/>
    <w:rsid w:val="007A20C2"/>
    <w:rsid w:val="007A25F7"/>
    <w:rsid w:val="007A3164"/>
    <w:rsid w:val="007A3720"/>
    <w:rsid w:val="007A3F55"/>
    <w:rsid w:val="007A3F58"/>
    <w:rsid w:val="007A61B7"/>
    <w:rsid w:val="007A680A"/>
    <w:rsid w:val="007A74DC"/>
    <w:rsid w:val="007B005F"/>
    <w:rsid w:val="007B22D7"/>
    <w:rsid w:val="007B42C7"/>
    <w:rsid w:val="007B4B35"/>
    <w:rsid w:val="007B5AFA"/>
    <w:rsid w:val="007B5DF2"/>
    <w:rsid w:val="007B5EB3"/>
    <w:rsid w:val="007B5FB7"/>
    <w:rsid w:val="007B6177"/>
    <w:rsid w:val="007B72F5"/>
    <w:rsid w:val="007B78D5"/>
    <w:rsid w:val="007B7BE5"/>
    <w:rsid w:val="007C0422"/>
    <w:rsid w:val="007C1C2C"/>
    <w:rsid w:val="007C333C"/>
    <w:rsid w:val="007C33F9"/>
    <w:rsid w:val="007C3831"/>
    <w:rsid w:val="007C4DDC"/>
    <w:rsid w:val="007C50BF"/>
    <w:rsid w:val="007C56E5"/>
    <w:rsid w:val="007C5C42"/>
    <w:rsid w:val="007C5FE0"/>
    <w:rsid w:val="007C67C6"/>
    <w:rsid w:val="007D0107"/>
    <w:rsid w:val="007D023F"/>
    <w:rsid w:val="007D0E58"/>
    <w:rsid w:val="007D19A0"/>
    <w:rsid w:val="007D3137"/>
    <w:rsid w:val="007D46D6"/>
    <w:rsid w:val="007D4B5D"/>
    <w:rsid w:val="007D4FBC"/>
    <w:rsid w:val="007D525B"/>
    <w:rsid w:val="007D52C7"/>
    <w:rsid w:val="007D552E"/>
    <w:rsid w:val="007D7577"/>
    <w:rsid w:val="007D79EE"/>
    <w:rsid w:val="007D7D68"/>
    <w:rsid w:val="007D7DA2"/>
    <w:rsid w:val="007E02D6"/>
    <w:rsid w:val="007E0BA3"/>
    <w:rsid w:val="007E0E3C"/>
    <w:rsid w:val="007E1185"/>
    <w:rsid w:val="007E5089"/>
    <w:rsid w:val="007E573C"/>
    <w:rsid w:val="007E729A"/>
    <w:rsid w:val="007E75EB"/>
    <w:rsid w:val="007E763F"/>
    <w:rsid w:val="007E781D"/>
    <w:rsid w:val="007F08BC"/>
    <w:rsid w:val="007F1767"/>
    <w:rsid w:val="007F1B3D"/>
    <w:rsid w:val="007F203E"/>
    <w:rsid w:val="007F28AA"/>
    <w:rsid w:val="007F2A71"/>
    <w:rsid w:val="007F32C3"/>
    <w:rsid w:val="007F4353"/>
    <w:rsid w:val="007F4361"/>
    <w:rsid w:val="007F49A4"/>
    <w:rsid w:val="007F6278"/>
    <w:rsid w:val="007F692E"/>
    <w:rsid w:val="007F6E23"/>
    <w:rsid w:val="007F7542"/>
    <w:rsid w:val="007F7A0A"/>
    <w:rsid w:val="007F7A7E"/>
    <w:rsid w:val="007F7E04"/>
    <w:rsid w:val="008003A7"/>
    <w:rsid w:val="008003B1"/>
    <w:rsid w:val="00800AA2"/>
    <w:rsid w:val="0080319F"/>
    <w:rsid w:val="008036A6"/>
    <w:rsid w:val="00804100"/>
    <w:rsid w:val="008044C2"/>
    <w:rsid w:val="00806B64"/>
    <w:rsid w:val="008104CF"/>
    <w:rsid w:val="00810F6D"/>
    <w:rsid w:val="00812A94"/>
    <w:rsid w:val="0081303A"/>
    <w:rsid w:val="00813B2E"/>
    <w:rsid w:val="0081604B"/>
    <w:rsid w:val="0081671D"/>
    <w:rsid w:val="00816B08"/>
    <w:rsid w:val="0081756E"/>
    <w:rsid w:val="00820620"/>
    <w:rsid w:val="00820FB5"/>
    <w:rsid w:val="00821613"/>
    <w:rsid w:val="00822837"/>
    <w:rsid w:val="0082294B"/>
    <w:rsid w:val="008232F3"/>
    <w:rsid w:val="0082643A"/>
    <w:rsid w:val="00826B86"/>
    <w:rsid w:val="00831CD9"/>
    <w:rsid w:val="008323DF"/>
    <w:rsid w:val="00833BA7"/>
    <w:rsid w:val="00833DD0"/>
    <w:rsid w:val="00834C2B"/>
    <w:rsid w:val="00835F94"/>
    <w:rsid w:val="00836A88"/>
    <w:rsid w:val="00837AC5"/>
    <w:rsid w:val="0084006F"/>
    <w:rsid w:val="00841077"/>
    <w:rsid w:val="008410A9"/>
    <w:rsid w:val="00842A62"/>
    <w:rsid w:val="00845279"/>
    <w:rsid w:val="008455B0"/>
    <w:rsid w:val="00845FE3"/>
    <w:rsid w:val="0084624F"/>
    <w:rsid w:val="00846555"/>
    <w:rsid w:val="00850698"/>
    <w:rsid w:val="00852473"/>
    <w:rsid w:val="00856572"/>
    <w:rsid w:val="008566DF"/>
    <w:rsid w:val="0085686D"/>
    <w:rsid w:val="0086091E"/>
    <w:rsid w:val="00861B21"/>
    <w:rsid w:val="00861D40"/>
    <w:rsid w:val="008621DB"/>
    <w:rsid w:val="008622F3"/>
    <w:rsid w:val="0086259C"/>
    <w:rsid w:val="00863BF9"/>
    <w:rsid w:val="00863C00"/>
    <w:rsid w:val="00864574"/>
    <w:rsid w:val="0086462A"/>
    <w:rsid w:val="00865088"/>
    <w:rsid w:val="00867094"/>
    <w:rsid w:val="00867310"/>
    <w:rsid w:val="008677A8"/>
    <w:rsid w:val="00867B19"/>
    <w:rsid w:val="008705BA"/>
    <w:rsid w:val="00870633"/>
    <w:rsid w:val="00870781"/>
    <w:rsid w:val="00870EB8"/>
    <w:rsid w:val="008710EE"/>
    <w:rsid w:val="008713D0"/>
    <w:rsid w:val="00871B48"/>
    <w:rsid w:val="008720B2"/>
    <w:rsid w:val="008755E0"/>
    <w:rsid w:val="00875798"/>
    <w:rsid w:val="00875D9C"/>
    <w:rsid w:val="008775BD"/>
    <w:rsid w:val="00877676"/>
    <w:rsid w:val="0087798D"/>
    <w:rsid w:val="008829AF"/>
    <w:rsid w:val="00884208"/>
    <w:rsid w:val="0088467F"/>
    <w:rsid w:val="0088571F"/>
    <w:rsid w:val="00887FB4"/>
    <w:rsid w:val="00890644"/>
    <w:rsid w:val="0089101C"/>
    <w:rsid w:val="0089192A"/>
    <w:rsid w:val="00893FCE"/>
    <w:rsid w:val="0089485F"/>
    <w:rsid w:val="008948EA"/>
    <w:rsid w:val="00894BEA"/>
    <w:rsid w:val="00896163"/>
    <w:rsid w:val="0089750D"/>
    <w:rsid w:val="008A0513"/>
    <w:rsid w:val="008A0DDF"/>
    <w:rsid w:val="008A0F6C"/>
    <w:rsid w:val="008A10E3"/>
    <w:rsid w:val="008A1A92"/>
    <w:rsid w:val="008A37EB"/>
    <w:rsid w:val="008A5467"/>
    <w:rsid w:val="008A54F9"/>
    <w:rsid w:val="008A7089"/>
    <w:rsid w:val="008B0077"/>
    <w:rsid w:val="008B075C"/>
    <w:rsid w:val="008B0763"/>
    <w:rsid w:val="008B0A8B"/>
    <w:rsid w:val="008B0BCC"/>
    <w:rsid w:val="008B0C92"/>
    <w:rsid w:val="008B20A2"/>
    <w:rsid w:val="008B21C8"/>
    <w:rsid w:val="008B22F5"/>
    <w:rsid w:val="008B3AAF"/>
    <w:rsid w:val="008B5B9E"/>
    <w:rsid w:val="008B5C42"/>
    <w:rsid w:val="008B5D60"/>
    <w:rsid w:val="008B5E80"/>
    <w:rsid w:val="008B65CD"/>
    <w:rsid w:val="008B711B"/>
    <w:rsid w:val="008C11EE"/>
    <w:rsid w:val="008C14EB"/>
    <w:rsid w:val="008C199A"/>
    <w:rsid w:val="008C2D7D"/>
    <w:rsid w:val="008C4E2D"/>
    <w:rsid w:val="008C698E"/>
    <w:rsid w:val="008C6E70"/>
    <w:rsid w:val="008D0905"/>
    <w:rsid w:val="008D0E1A"/>
    <w:rsid w:val="008D1243"/>
    <w:rsid w:val="008D152D"/>
    <w:rsid w:val="008D2D15"/>
    <w:rsid w:val="008D573C"/>
    <w:rsid w:val="008D6C50"/>
    <w:rsid w:val="008D7855"/>
    <w:rsid w:val="008E0E54"/>
    <w:rsid w:val="008E18B4"/>
    <w:rsid w:val="008E1ECB"/>
    <w:rsid w:val="008E1F41"/>
    <w:rsid w:val="008E31F8"/>
    <w:rsid w:val="008E396F"/>
    <w:rsid w:val="008E3B8D"/>
    <w:rsid w:val="008E4E39"/>
    <w:rsid w:val="008E4E7D"/>
    <w:rsid w:val="008E5198"/>
    <w:rsid w:val="008E602B"/>
    <w:rsid w:val="008E6757"/>
    <w:rsid w:val="008E79CF"/>
    <w:rsid w:val="008F0753"/>
    <w:rsid w:val="008F0A8E"/>
    <w:rsid w:val="008F18C2"/>
    <w:rsid w:val="008F2481"/>
    <w:rsid w:val="008F42A8"/>
    <w:rsid w:val="008F445E"/>
    <w:rsid w:val="008F611E"/>
    <w:rsid w:val="008F651E"/>
    <w:rsid w:val="008F7973"/>
    <w:rsid w:val="008F7FBE"/>
    <w:rsid w:val="00900263"/>
    <w:rsid w:val="009004BA"/>
    <w:rsid w:val="00900A02"/>
    <w:rsid w:val="00902DAA"/>
    <w:rsid w:val="009035E2"/>
    <w:rsid w:val="0090752B"/>
    <w:rsid w:val="0091022F"/>
    <w:rsid w:val="00910379"/>
    <w:rsid w:val="00910615"/>
    <w:rsid w:val="00910F6D"/>
    <w:rsid w:val="00911E30"/>
    <w:rsid w:val="009122A4"/>
    <w:rsid w:val="00912652"/>
    <w:rsid w:val="0091301D"/>
    <w:rsid w:val="00915049"/>
    <w:rsid w:val="0091541A"/>
    <w:rsid w:val="00917270"/>
    <w:rsid w:val="00917795"/>
    <w:rsid w:val="00920D49"/>
    <w:rsid w:val="00921833"/>
    <w:rsid w:val="00921C1F"/>
    <w:rsid w:val="00921DA5"/>
    <w:rsid w:val="00923998"/>
    <w:rsid w:val="00923BDA"/>
    <w:rsid w:val="0092522C"/>
    <w:rsid w:val="0092589F"/>
    <w:rsid w:val="00926AAD"/>
    <w:rsid w:val="00927115"/>
    <w:rsid w:val="009279B4"/>
    <w:rsid w:val="009308B1"/>
    <w:rsid w:val="009311E1"/>
    <w:rsid w:val="0093190B"/>
    <w:rsid w:val="00931A2D"/>
    <w:rsid w:val="00931E2E"/>
    <w:rsid w:val="009329CA"/>
    <w:rsid w:val="00932EC8"/>
    <w:rsid w:val="00933CE0"/>
    <w:rsid w:val="00933F99"/>
    <w:rsid w:val="00937438"/>
    <w:rsid w:val="00940BF7"/>
    <w:rsid w:val="009413AD"/>
    <w:rsid w:val="00941410"/>
    <w:rsid w:val="00941E8D"/>
    <w:rsid w:val="00944C27"/>
    <w:rsid w:val="00944CEE"/>
    <w:rsid w:val="00945779"/>
    <w:rsid w:val="00945F02"/>
    <w:rsid w:val="00946533"/>
    <w:rsid w:val="00946FB9"/>
    <w:rsid w:val="009475A8"/>
    <w:rsid w:val="0094789A"/>
    <w:rsid w:val="00947A7B"/>
    <w:rsid w:val="00947ED0"/>
    <w:rsid w:val="009502A3"/>
    <w:rsid w:val="00950EFD"/>
    <w:rsid w:val="00951161"/>
    <w:rsid w:val="00952C89"/>
    <w:rsid w:val="0095325A"/>
    <w:rsid w:val="00953BFF"/>
    <w:rsid w:val="009557B6"/>
    <w:rsid w:val="009558BB"/>
    <w:rsid w:val="00955CD2"/>
    <w:rsid w:val="0095630F"/>
    <w:rsid w:val="00962082"/>
    <w:rsid w:val="0096263F"/>
    <w:rsid w:val="00963163"/>
    <w:rsid w:val="00963689"/>
    <w:rsid w:val="00963C63"/>
    <w:rsid w:val="00963CA2"/>
    <w:rsid w:val="00964D0C"/>
    <w:rsid w:val="0096613B"/>
    <w:rsid w:val="009662C5"/>
    <w:rsid w:val="009671BC"/>
    <w:rsid w:val="00967440"/>
    <w:rsid w:val="00967F00"/>
    <w:rsid w:val="009707B9"/>
    <w:rsid w:val="00970A16"/>
    <w:rsid w:val="009720B2"/>
    <w:rsid w:val="009731DC"/>
    <w:rsid w:val="0097377C"/>
    <w:rsid w:val="00973A4F"/>
    <w:rsid w:val="00976FE4"/>
    <w:rsid w:val="00977CD5"/>
    <w:rsid w:val="00977EB4"/>
    <w:rsid w:val="0098034B"/>
    <w:rsid w:val="0098140C"/>
    <w:rsid w:val="00981513"/>
    <w:rsid w:val="00981606"/>
    <w:rsid w:val="00982398"/>
    <w:rsid w:val="00983A9F"/>
    <w:rsid w:val="00983CD4"/>
    <w:rsid w:val="009845A1"/>
    <w:rsid w:val="009847F5"/>
    <w:rsid w:val="00984A47"/>
    <w:rsid w:val="00984A55"/>
    <w:rsid w:val="00984AA7"/>
    <w:rsid w:val="00985B24"/>
    <w:rsid w:val="009871B4"/>
    <w:rsid w:val="0098727F"/>
    <w:rsid w:val="0098791B"/>
    <w:rsid w:val="0099000B"/>
    <w:rsid w:val="00990BC8"/>
    <w:rsid w:val="00990DEF"/>
    <w:rsid w:val="009911F2"/>
    <w:rsid w:val="00991C4F"/>
    <w:rsid w:val="00994442"/>
    <w:rsid w:val="00994D6A"/>
    <w:rsid w:val="00996267"/>
    <w:rsid w:val="009A0969"/>
    <w:rsid w:val="009A0BB3"/>
    <w:rsid w:val="009A1223"/>
    <w:rsid w:val="009A4195"/>
    <w:rsid w:val="009A47F0"/>
    <w:rsid w:val="009A4A84"/>
    <w:rsid w:val="009A52F4"/>
    <w:rsid w:val="009A78D9"/>
    <w:rsid w:val="009A7DCB"/>
    <w:rsid w:val="009B088E"/>
    <w:rsid w:val="009B092B"/>
    <w:rsid w:val="009B11CF"/>
    <w:rsid w:val="009B15CC"/>
    <w:rsid w:val="009B22FC"/>
    <w:rsid w:val="009B2C1E"/>
    <w:rsid w:val="009B2CE6"/>
    <w:rsid w:val="009B2EDB"/>
    <w:rsid w:val="009B389E"/>
    <w:rsid w:val="009B5614"/>
    <w:rsid w:val="009B5903"/>
    <w:rsid w:val="009B5CAE"/>
    <w:rsid w:val="009B6E6C"/>
    <w:rsid w:val="009C0555"/>
    <w:rsid w:val="009C0D34"/>
    <w:rsid w:val="009C182B"/>
    <w:rsid w:val="009C27BB"/>
    <w:rsid w:val="009C2C2C"/>
    <w:rsid w:val="009C380B"/>
    <w:rsid w:val="009C38FB"/>
    <w:rsid w:val="009C3D88"/>
    <w:rsid w:val="009C48A4"/>
    <w:rsid w:val="009C49AF"/>
    <w:rsid w:val="009C5BC4"/>
    <w:rsid w:val="009C5C13"/>
    <w:rsid w:val="009C5D54"/>
    <w:rsid w:val="009C67FB"/>
    <w:rsid w:val="009C6F16"/>
    <w:rsid w:val="009C7A59"/>
    <w:rsid w:val="009C7B26"/>
    <w:rsid w:val="009D156B"/>
    <w:rsid w:val="009D177C"/>
    <w:rsid w:val="009D23B3"/>
    <w:rsid w:val="009D2CB0"/>
    <w:rsid w:val="009D2E7D"/>
    <w:rsid w:val="009D4DE3"/>
    <w:rsid w:val="009D4E5C"/>
    <w:rsid w:val="009D555F"/>
    <w:rsid w:val="009D5855"/>
    <w:rsid w:val="009D6614"/>
    <w:rsid w:val="009D7374"/>
    <w:rsid w:val="009E0376"/>
    <w:rsid w:val="009E40B6"/>
    <w:rsid w:val="009E41ED"/>
    <w:rsid w:val="009E68C2"/>
    <w:rsid w:val="009E6E31"/>
    <w:rsid w:val="009E7747"/>
    <w:rsid w:val="009E7C1F"/>
    <w:rsid w:val="009F153F"/>
    <w:rsid w:val="009F22EC"/>
    <w:rsid w:val="009F2A41"/>
    <w:rsid w:val="009F3F5D"/>
    <w:rsid w:val="009F4724"/>
    <w:rsid w:val="009F4C51"/>
    <w:rsid w:val="009F5F31"/>
    <w:rsid w:val="009F616D"/>
    <w:rsid w:val="009F710E"/>
    <w:rsid w:val="009F7F2F"/>
    <w:rsid w:val="00A00142"/>
    <w:rsid w:val="00A0075D"/>
    <w:rsid w:val="00A008CA"/>
    <w:rsid w:val="00A01911"/>
    <w:rsid w:val="00A0296B"/>
    <w:rsid w:val="00A046A2"/>
    <w:rsid w:val="00A054B9"/>
    <w:rsid w:val="00A056D4"/>
    <w:rsid w:val="00A05771"/>
    <w:rsid w:val="00A059A7"/>
    <w:rsid w:val="00A10269"/>
    <w:rsid w:val="00A10656"/>
    <w:rsid w:val="00A1108E"/>
    <w:rsid w:val="00A14638"/>
    <w:rsid w:val="00A147DC"/>
    <w:rsid w:val="00A155FD"/>
    <w:rsid w:val="00A1570F"/>
    <w:rsid w:val="00A1574E"/>
    <w:rsid w:val="00A162E1"/>
    <w:rsid w:val="00A176D7"/>
    <w:rsid w:val="00A17C84"/>
    <w:rsid w:val="00A20647"/>
    <w:rsid w:val="00A21B95"/>
    <w:rsid w:val="00A23245"/>
    <w:rsid w:val="00A235E3"/>
    <w:rsid w:val="00A23843"/>
    <w:rsid w:val="00A239A2"/>
    <w:rsid w:val="00A2680F"/>
    <w:rsid w:val="00A26D6A"/>
    <w:rsid w:val="00A26FEC"/>
    <w:rsid w:val="00A302F4"/>
    <w:rsid w:val="00A30556"/>
    <w:rsid w:val="00A30B7F"/>
    <w:rsid w:val="00A3112D"/>
    <w:rsid w:val="00A3249B"/>
    <w:rsid w:val="00A331F4"/>
    <w:rsid w:val="00A3477B"/>
    <w:rsid w:val="00A34C4F"/>
    <w:rsid w:val="00A3534F"/>
    <w:rsid w:val="00A35AE8"/>
    <w:rsid w:val="00A35E19"/>
    <w:rsid w:val="00A3676F"/>
    <w:rsid w:val="00A4096D"/>
    <w:rsid w:val="00A42171"/>
    <w:rsid w:val="00A43986"/>
    <w:rsid w:val="00A44B28"/>
    <w:rsid w:val="00A45FAE"/>
    <w:rsid w:val="00A4626B"/>
    <w:rsid w:val="00A46292"/>
    <w:rsid w:val="00A4639F"/>
    <w:rsid w:val="00A463CB"/>
    <w:rsid w:val="00A47A97"/>
    <w:rsid w:val="00A47E50"/>
    <w:rsid w:val="00A5026B"/>
    <w:rsid w:val="00A51198"/>
    <w:rsid w:val="00A521FB"/>
    <w:rsid w:val="00A54539"/>
    <w:rsid w:val="00A55268"/>
    <w:rsid w:val="00A55F4F"/>
    <w:rsid w:val="00A56B1B"/>
    <w:rsid w:val="00A56B67"/>
    <w:rsid w:val="00A60D61"/>
    <w:rsid w:val="00A61F35"/>
    <w:rsid w:val="00A62124"/>
    <w:rsid w:val="00A627F6"/>
    <w:rsid w:val="00A63211"/>
    <w:rsid w:val="00A64EF1"/>
    <w:rsid w:val="00A6514C"/>
    <w:rsid w:val="00A66BE0"/>
    <w:rsid w:val="00A66EAF"/>
    <w:rsid w:val="00A670B6"/>
    <w:rsid w:val="00A67683"/>
    <w:rsid w:val="00A67F6B"/>
    <w:rsid w:val="00A723CD"/>
    <w:rsid w:val="00A72EC3"/>
    <w:rsid w:val="00A74771"/>
    <w:rsid w:val="00A748AC"/>
    <w:rsid w:val="00A74F96"/>
    <w:rsid w:val="00A760C9"/>
    <w:rsid w:val="00A76F43"/>
    <w:rsid w:val="00A77667"/>
    <w:rsid w:val="00A7768B"/>
    <w:rsid w:val="00A7777E"/>
    <w:rsid w:val="00A779B8"/>
    <w:rsid w:val="00A80357"/>
    <w:rsid w:val="00A82588"/>
    <w:rsid w:val="00A825EA"/>
    <w:rsid w:val="00A83BCA"/>
    <w:rsid w:val="00A8426B"/>
    <w:rsid w:val="00A843FC"/>
    <w:rsid w:val="00A8450E"/>
    <w:rsid w:val="00A85662"/>
    <w:rsid w:val="00A86055"/>
    <w:rsid w:val="00A862AC"/>
    <w:rsid w:val="00A86E85"/>
    <w:rsid w:val="00A86F86"/>
    <w:rsid w:val="00A87AF5"/>
    <w:rsid w:val="00A90BA3"/>
    <w:rsid w:val="00A916B1"/>
    <w:rsid w:val="00A927F5"/>
    <w:rsid w:val="00A92EF2"/>
    <w:rsid w:val="00A92FDB"/>
    <w:rsid w:val="00A93C97"/>
    <w:rsid w:val="00A95E5E"/>
    <w:rsid w:val="00A96B35"/>
    <w:rsid w:val="00A97675"/>
    <w:rsid w:val="00AA11DB"/>
    <w:rsid w:val="00AA2A62"/>
    <w:rsid w:val="00AA4B2D"/>
    <w:rsid w:val="00AA6982"/>
    <w:rsid w:val="00AB126B"/>
    <w:rsid w:val="00AB1343"/>
    <w:rsid w:val="00AB60EE"/>
    <w:rsid w:val="00AB6557"/>
    <w:rsid w:val="00AB73A9"/>
    <w:rsid w:val="00AB7455"/>
    <w:rsid w:val="00AC27C5"/>
    <w:rsid w:val="00AC28C1"/>
    <w:rsid w:val="00AC382A"/>
    <w:rsid w:val="00AC3FCF"/>
    <w:rsid w:val="00AC492F"/>
    <w:rsid w:val="00AC50D9"/>
    <w:rsid w:val="00AC5810"/>
    <w:rsid w:val="00AC608F"/>
    <w:rsid w:val="00AC769B"/>
    <w:rsid w:val="00AD0B83"/>
    <w:rsid w:val="00AD1412"/>
    <w:rsid w:val="00AD2554"/>
    <w:rsid w:val="00AD2DFF"/>
    <w:rsid w:val="00AD45D8"/>
    <w:rsid w:val="00AD4C88"/>
    <w:rsid w:val="00AD6657"/>
    <w:rsid w:val="00AD6724"/>
    <w:rsid w:val="00AD7C07"/>
    <w:rsid w:val="00AE0B8E"/>
    <w:rsid w:val="00AE1405"/>
    <w:rsid w:val="00AE2300"/>
    <w:rsid w:val="00AE2C60"/>
    <w:rsid w:val="00AE341F"/>
    <w:rsid w:val="00AE4413"/>
    <w:rsid w:val="00AE4701"/>
    <w:rsid w:val="00AE53DD"/>
    <w:rsid w:val="00AE55E2"/>
    <w:rsid w:val="00AE7F19"/>
    <w:rsid w:val="00AE7F99"/>
    <w:rsid w:val="00AF0700"/>
    <w:rsid w:val="00AF3393"/>
    <w:rsid w:val="00AF3CEF"/>
    <w:rsid w:val="00AF42D1"/>
    <w:rsid w:val="00AF4B0C"/>
    <w:rsid w:val="00AF5F50"/>
    <w:rsid w:val="00AF6195"/>
    <w:rsid w:val="00B00265"/>
    <w:rsid w:val="00B01D7D"/>
    <w:rsid w:val="00B01DF7"/>
    <w:rsid w:val="00B02010"/>
    <w:rsid w:val="00B020FC"/>
    <w:rsid w:val="00B02564"/>
    <w:rsid w:val="00B0351D"/>
    <w:rsid w:val="00B0394E"/>
    <w:rsid w:val="00B03B3A"/>
    <w:rsid w:val="00B04A17"/>
    <w:rsid w:val="00B04FD4"/>
    <w:rsid w:val="00B052BA"/>
    <w:rsid w:val="00B066A0"/>
    <w:rsid w:val="00B11237"/>
    <w:rsid w:val="00B11857"/>
    <w:rsid w:val="00B123D3"/>
    <w:rsid w:val="00B127D7"/>
    <w:rsid w:val="00B130B5"/>
    <w:rsid w:val="00B1344A"/>
    <w:rsid w:val="00B13CD7"/>
    <w:rsid w:val="00B14114"/>
    <w:rsid w:val="00B1524E"/>
    <w:rsid w:val="00B1533A"/>
    <w:rsid w:val="00B16982"/>
    <w:rsid w:val="00B16F60"/>
    <w:rsid w:val="00B179C9"/>
    <w:rsid w:val="00B17E5F"/>
    <w:rsid w:val="00B205F1"/>
    <w:rsid w:val="00B20EED"/>
    <w:rsid w:val="00B21658"/>
    <w:rsid w:val="00B22E28"/>
    <w:rsid w:val="00B232D5"/>
    <w:rsid w:val="00B2396C"/>
    <w:rsid w:val="00B23E6B"/>
    <w:rsid w:val="00B260FB"/>
    <w:rsid w:val="00B30223"/>
    <w:rsid w:val="00B30674"/>
    <w:rsid w:val="00B3124F"/>
    <w:rsid w:val="00B31664"/>
    <w:rsid w:val="00B3636E"/>
    <w:rsid w:val="00B36EBC"/>
    <w:rsid w:val="00B37AEE"/>
    <w:rsid w:val="00B37C46"/>
    <w:rsid w:val="00B40811"/>
    <w:rsid w:val="00B4112F"/>
    <w:rsid w:val="00B413CF"/>
    <w:rsid w:val="00B41626"/>
    <w:rsid w:val="00B417EE"/>
    <w:rsid w:val="00B41E7B"/>
    <w:rsid w:val="00B4312B"/>
    <w:rsid w:val="00B43540"/>
    <w:rsid w:val="00B4372E"/>
    <w:rsid w:val="00B44229"/>
    <w:rsid w:val="00B44705"/>
    <w:rsid w:val="00B44E89"/>
    <w:rsid w:val="00B45CF2"/>
    <w:rsid w:val="00B46C31"/>
    <w:rsid w:val="00B471C4"/>
    <w:rsid w:val="00B500D8"/>
    <w:rsid w:val="00B502F2"/>
    <w:rsid w:val="00B508FC"/>
    <w:rsid w:val="00B50DBF"/>
    <w:rsid w:val="00B51F56"/>
    <w:rsid w:val="00B52B46"/>
    <w:rsid w:val="00B52E19"/>
    <w:rsid w:val="00B538FD"/>
    <w:rsid w:val="00B53AFC"/>
    <w:rsid w:val="00B5465B"/>
    <w:rsid w:val="00B549ED"/>
    <w:rsid w:val="00B54FB3"/>
    <w:rsid w:val="00B561E4"/>
    <w:rsid w:val="00B562AE"/>
    <w:rsid w:val="00B565C8"/>
    <w:rsid w:val="00B56BF6"/>
    <w:rsid w:val="00B56FD0"/>
    <w:rsid w:val="00B57789"/>
    <w:rsid w:val="00B60222"/>
    <w:rsid w:val="00B60637"/>
    <w:rsid w:val="00B6138B"/>
    <w:rsid w:val="00B634D2"/>
    <w:rsid w:val="00B63AF9"/>
    <w:rsid w:val="00B64BE7"/>
    <w:rsid w:val="00B64FC9"/>
    <w:rsid w:val="00B653AA"/>
    <w:rsid w:val="00B654E8"/>
    <w:rsid w:val="00B66F20"/>
    <w:rsid w:val="00B70751"/>
    <w:rsid w:val="00B72A32"/>
    <w:rsid w:val="00B7314D"/>
    <w:rsid w:val="00B73594"/>
    <w:rsid w:val="00B73A8A"/>
    <w:rsid w:val="00B7558B"/>
    <w:rsid w:val="00B758B3"/>
    <w:rsid w:val="00B75B4D"/>
    <w:rsid w:val="00B7670F"/>
    <w:rsid w:val="00B77AA1"/>
    <w:rsid w:val="00B77ECB"/>
    <w:rsid w:val="00B80B63"/>
    <w:rsid w:val="00B80F15"/>
    <w:rsid w:val="00B8182F"/>
    <w:rsid w:val="00B81840"/>
    <w:rsid w:val="00B81F17"/>
    <w:rsid w:val="00B82FDF"/>
    <w:rsid w:val="00B83439"/>
    <w:rsid w:val="00B8352A"/>
    <w:rsid w:val="00B839C3"/>
    <w:rsid w:val="00B83BEA"/>
    <w:rsid w:val="00B844A7"/>
    <w:rsid w:val="00B9027E"/>
    <w:rsid w:val="00B91200"/>
    <w:rsid w:val="00B9319F"/>
    <w:rsid w:val="00B93669"/>
    <w:rsid w:val="00B93681"/>
    <w:rsid w:val="00B9532C"/>
    <w:rsid w:val="00B9660E"/>
    <w:rsid w:val="00B967B8"/>
    <w:rsid w:val="00BA13C2"/>
    <w:rsid w:val="00BA1AAE"/>
    <w:rsid w:val="00BA1ACF"/>
    <w:rsid w:val="00BA1D10"/>
    <w:rsid w:val="00BA1DCE"/>
    <w:rsid w:val="00BA25D9"/>
    <w:rsid w:val="00BA3F90"/>
    <w:rsid w:val="00BA4A57"/>
    <w:rsid w:val="00BA5F4E"/>
    <w:rsid w:val="00BB0FDE"/>
    <w:rsid w:val="00BB213E"/>
    <w:rsid w:val="00BB2C18"/>
    <w:rsid w:val="00BB3317"/>
    <w:rsid w:val="00BB4088"/>
    <w:rsid w:val="00BB4320"/>
    <w:rsid w:val="00BB4816"/>
    <w:rsid w:val="00BB55F1"/>
    <w:rsid w:val="00BB6752"/>
    <w:rsid w:val="00BB7553"/>
    <w:rsid w:val="00BB75B9"/>
    <w:rsid w:val="00BB7DF5"/>
    <w:rsid w:val="00BC1C89"/>
    <w:rsid w:val="00BC1D4D"/>
    <w:rsid w:val="00BC2C43"/>
    <w:rsid w:val="00BC2E7B"/>
    <w:rsid w:val="00BC2EBD"/>
    <w:rsid w:val="00BC3239"/>
    <w:rsid w:val="00BC373B"/>
    <w:rsid w:val="00BC54DC"/>
    <w:rsid w:val="00BC5A18"/>
    <w:rsid w:val="00BC5C1E"/>
    <w:rsid w:val="00BC6362"/>
    <w:rsid w:val="00BC69F8"/>
    <w:rsid w:val="00BC6CFA"/>
    <w:rsid w:val="00BC7AD7"/>
    <w:rsid w:val="00BC7CB2"/>
    <w:rsid w:val="00BD1B84"/>
    <w:rsid w:val="00BD2E0C"/>
    <w:rsid w:val="00BD2F76"/>
    <w:rsid w:val="00BD3146"/>
    <w:rsid w:val="00BD39FE"/>
    <w:rsid w:val="00BD49FA"/>
    <w:rsid w:val="00BD5DBF"/>
    <w:rsid w:val="00BD5E2B"/>
    <w:rsid w:val="00BD732F"/>
    <w:rsid w:val="00BD7F63"/>
    <w:rsid w:val="00BE01DA"/>
    <w:rsid w:val="00BE0261"/>
    <w:rsid w:val="00BE068B"/>
    <w:rsid w:val="00BE0C9E"/>
    <w:rsid w:val="00BE113A"/>
    <w:rsid w:val="00BE1E3A"/>
    <w:rsid w:val="00BE2453"/>
    <w:rsid w:val="00BE295E"/>
    <w:rsid w:val="00BE3311"/>
    <w:rsid w:val="00BE5224"/>
    <w:rsid w:val="00BE5EDB"/>
    <w:rsid w:val="00BE5FF2"/>
    <w:rsid w:val="00BE60E8"/>
    <w:rsid w:val="00BE63A6"/>
    <w:rsid w:val="00BE6901"/>
    <w:rsid w:val="00BF0A98"/>
    <w:rsid w:val="00BF0E5E"/>
    <w:rsid w:val="00BF1092"/>
    <w:rsid w:val="00BF1BE6"/>
    <w:rsid w:val="00BF36FB"/>
    <w:rsid w:val="00BF3837"/>
    <w:rsid w:val="00BF3938"/>
    <w:rsid w:val="00BF5F4C"/>
    <w:rsid w:val="00BF60A9"/>
    <w:rsid w:val="00BF659B"/>
    <w:rsid w:val="00BF6CF5"/>
    <w:rsid w:val="00C00809"/>
    <w:rsid w:val="00C0085B"/>
    <w:rsid w:val="00C01F2B"/>
    <w:rsid w:val="00C0298A"/>
    <w:rsid w:val="00C02ABC"/>
    <w:rsid w:val="00C02C35"/>
    <w:rsid w:val="00C033FE"/>
    <w:rsid w:val="00C03BA1"/>
    <w:rsid w:val="00C05DF1"/>
    <w:rsid w:val="00C073D8"/>
    <w:rsid w:val="00C077EA"/>
    <w:rsid w:val="00C10660"/>
    <w:rsid w:val="00C1096E"/>
    <w:rsid w:val="00C10AA6"/>
    <w:rsid w:val="00C11171"/>
    <w:rsid w:val="00C1157B"/>
    <w:rsid w:val="00C1211D"/>
    <w:rsid w:val="00C12173"/>
    <w:rsid w:val="00C1326D"/>
    <w:rsid w:val="00C13373"/>
    <w:rsid w:val="00C134D7"/>
    <w:rsid w:val="00C13D1E"/>
    <w:rsid w:val="00C143A1"/>
    <w:rsid w:val="00C14F62"/>
    <w:rsid w:val="00C16144"/>
    <w:rsid w:val="00C21300"/>
    <w:rsid w:val="00C21BC4"/>
    <w:rsid w:val="00C226DA"/>
    <w:rsid w:val="00C235D3"/>
    <w:rsid w:val="00C23CE5"/>
    <w:rsid w:val="00C25313"/>
    <w:rsid w:val="00C258F6"/>
    <w:rsid w:val="00C25F96"/>
    <w:rsid w:val="00C260BC"/>
    <w:rsid w:val="00C26D5F"/>
    <w:rsid w:val="00C2779D"/>
    <w:rsid w:val="00C278B7"/>
    <w:rsid w:val="00C30FB8"/>
    <w:rsid w:val="00C315C5"/>
    <w:rsid w:val="00C31C0F"/>
    <w:rsid w:val="00C32F8E"/>
    <w:rsid w:val="00C33B2E"/>
    <w:rsid w:val="00C33D8B"/>
    <w:rsid w:val="00C34197"/>
    <w:rsid w:val="00C3479B"/>
    <w:rsid w:val="00C36007"/>
    <w:rsid w:val="00C36F05"/>
    <w:rsid w:val="00C36FE9"/>
    <w:rsid w:val="00C374F2"/>
    <w:rsid w:val="00C37D6A"/>
    <w:rsid w:val="00C413E2"/>
    <w:rsid w:val="00C428B3"/>
    <w:rsid w:val="00C43012"/>
    <w:rsid w:val="00C43711"/>
    <w:rsid w:val="00C43BE8"/>
    <w:rsid w:val="00C44C4F"/>
    <w:rsid w:val="00C45B9B"/>
    <w:rsid w:val="00C4706E"/>
    <w:rsid w:val="00C50E08"/>
    <w:rsid w:val="00C516B1"/>
    <w:rsid w:val="00C516FE"/>
    <w:rsid w:val="00C51743"/>
    <w:rsid w:val="00C519DC"/>
    <w:rsid w:val="00C52D64"/>
    <w:rsid w:val="00C5321B"/>
    <w:rsid w:val="00C53635"/>
    <w:rsid w:val="00C538DB"/>
    <w:rsid w:val="00C5411E"/>
    <w:rsid w:val="00C5456F"/>
    <w:rsid w:val="00C54881"/>
    <w:rsid w:val="00C54C3D"/>
    <w:rsid w:val="00C55C57"/>
    <w:rsid w:val="00C56C06"/>
    <w:rsid w:val="00C57324"/>
    <w:rsid w:val="00C57A19"/>
    <w:rsid w:val="00C57C01"/>
    <w:rsid w:val="00C60214"/>
    <w:rsid w:val="00C61525"/>
    <w:rsid w:val="00C6426B"/>
    <w:rsid w:val="00C64CE5"/>
    <w:rsid w:val="00C651B4"/>
    <w:rsid w:val="00C6536B"/>
    <w:rsid w:val="00C66702"/>
    <w:rsid w:val="00C66C83"/>
    <w:rsid w:val="00C704D7"/>
    <w:rsid w:val="00C7478A"/>
    <w:rsid w:val="00C74E58"/>
    <w:rsid w:val="00C753D4"/>
    <w:rsid w:val="00C75600"/>
    <w:rsid w:val="00C758AD"/>
    <w:rsid w:val="00C75E84"/>
    <w:rsid w:val="00C76677"/>
    <w:rsid w:val="00C7686F"/>
    <w:rsid w:val="00C773A0"/>
    <w:rsid w:val="00C808FB"/>
    <w:rsid w:val="00C81E52"/>
    <w:rsid w:val="00C82C2B"/>
    <w:rsid w:val="00C82FA2"/>
    <w:rsid w:val="00C84B6A"/>
    <w:rsid w:val="00C856D4"/>
    <w:rsid w:val="00C8574B"/>
    <w:rsid w:val="00C858CD"/>
    <w:rsid w:val="00C85A6C"/>
    <w:rsid w:val="00C861A8"/>
    <w:rsid w:val="00C867DD"/>
    <w:rsid w:val="00C90895"/>
    <w:rsid w:val="00C90C6F"/>
    <w:rsid w:val="00C9133F"/>
    <w:rsid w:val="00C93CB4"/>
    <w:rsid w:val="00C9493B"/>
    <w:rsid w:val="00C94E82"/>
    <w:rsid w:val="00C963FF"/>
    <w:rsid w:val="00C96422"/>
    <w:rsid w:val="00C97A06"/>
    <w:rsid w:val="00CA1CA8"/>
    <w:rsid w:val="00CA23AF"/>
    <w:rsid w:val="00CA246A"/>
    <w:rsid w:val="00CA2C6C"/>
    <w:rsid w:val="00CA3F88"/>
    <w:rsid w:val="00CA7E9B"/>
    <w:rsid w:val="00CB0176"/>
    <w:rsid w:val="00CB0264"/>
    <w:rsid w:val="00CB11DE"/>
    <w:rsid w:val="00CB1C59"/>
    <w:rsid w:val="00CB2CC7"/>
    <w:rsid w:val="00CB35E0"/>
    <w:rsid w:val="00CB4C7E"/>
    <w:rsid w:val="00CB4DB0"/>
    <w:rsid w:val="00CB6001"/>
    <w:rsid w:val="00CB64C4"/>
    <w:rsid w:val="00CB689A"/>
    <w:rsid w:val="00CC09B1"/>
    <w:rsid w:val="00CC0C20"/>
    <w:rsid w:val="00CC0C72"/>
    <w:rsid w:val="00CC20FF"/>
    <w:rsid w:val="00CC27AB"/>
    <w:rsid w:val="00CC4509"/>
    <w:rsid w:val="00CC620B"/>
    <w:rsid w:val="00CC673F"/>
    <w:rsid w:val="00CC6A16"/>
    <w:rsid w:val="00CD003F"/>
    <w:rsid w:val="00CD01BD"/>
    <w:rsid w:val="00CD0C01"/>
    <w:rsid w:val="00CD0CDD"/>
    <w:rsid w:val="00CD0E29"/>
    <w:rsid w:val="00CD0EA6"/>
    <w:rsid w:val="00CD1BED"/>
    <w:rsid w:val="00CD1D93"/>
    <w:rsid w:val="00CD3C66"/>
    <w:rsid w:val="00CD3CCC"/>
    <w:rsid w:val="00CD401C"/>
    <w:rsid w:val="00CD5AB8"/>
    <w:rsid w:val="00CD779E"/>
    <w:rsid w:val="00CD79D2"/>
    <w:rsid w:val="00CE22AD"/>
    <w:rsid w:val="00CE3AD4"/>
    <w:rsid w:val="00CE461E"/>
    <w:rsid w:val="00CE49BC"/>
    <w:rsid w:val="00CE5161"/>
    <w:rsid w:val="00CE556A"/>
    <w:rsid w:val="00CE7BF2"/>
    <w:rsid w:val="00CF1004"/>
    <w:rsid w:val="00CF1010"/>
    <w:rsid w:val="00CF13AC"/>
    <w:rsid w:val="00CF26E9"/>
    <w:rsid w:val="00CF3315"/>
    <w:rsid w:val="00CF3C54"/>
    <w:rsid w:val="00CF3FBA"/>
    <w:rsid w:val="00CF4A9B"/>
    <w:rsid w:val="00CF5AA7"/>
    <w:rsid w:val="00CF6621"/>
    <w:rsid w:val="00CF6EC3"/>
    <w:rsid w:val="00CF6FA5"/>
    <w:rsid w:val="00CF7D61"/>
    <w:rsid w:val="00D01BEF"/>
    <w:rsid w:val="00D02DBC"/>
    <w:rsid w:val="00D02F71"/>
    <w:rsid w:val="00D0331C"/>
    <w:rsid w:val="00D03535"/>
    <w:rsid w:val="00D0446B"/>
    <w:rsid w:val="00D04B35"/>
    <w:rsid w:val="00D04F10"/>
    <w:rsid w:val="00D06178"/>
    <w:rsid w:val="00D07171"/>
    <w:rsid w:val="00D1019C"/>
    <w:rsid w:val="00D1095F"/>
    <w:rsid w:val="00D119A4"/>
    <w:rsid w:val="00D11A9F"/>
    <w:rsid w:val="00D12043"/>
    <w:rsid w:val="00D13101"/>
    <w:rsid w:val="00D131BC"/>
    <w:rsid w:val="00D13A2D"/>
    <w:rsid w:val="00D14D34"/>
    <w:rsid w:val="00D152C2"/>
    <w:rsid w:val="00D15AA9"/>
    <w:rsid w:val="00D15F37"/>
    <w:rsid w:val="00D15FDE"/>
    <w:rsid w:val="00D16D70"/>
    <w:rsid w:val="00D172A9"/>
    <w:rsid w:val="00D207C0"/>
    <w:rsid w:val="00D21665"/>
    <w:rsid w:val="00D21AFC"/>
    <w:rsid w:val="00D21C3A"/>
    <w:rsid w:val="00D22394"/>
    <w:rsid w:val="00D22F99"/>
    <w:rsid w:val="00D23D2A"/>
    <w:rsid w:val="00D23DCE"/>
    <w:rsid w:val="00D25255"/>
    <w:rsid w:val="00D2546E"/>
    <w:rsid w:val="00D26428"/>
    <w:rsid w:val="00D26715"/>
    <w:rsid w:val="00D27A98"/>
    <w:rsid w:val="00D30CDA"/>
    <w:rsid w:val="00D3407A"/>
    <w:rsid w:val="00D340FB"/>
    <w:rsid w:val="00D345B1"/>
    <w:rsid w:val="00D34C76"/>
    <w:rsid w:val="00D358F7"/>
    <w:rsid w:val="00D36269"/>
    <w:rsid w:val="00D363E9"/>
    <w:rsid w:val="00D37ADB"/>
    <w:rsid w:val="00D40BEE"/>
    <w:rsid w:val="00D41208"/>
    <w:rsid w:val="00D41D1A"/>
    <w:rsid w:val="00D4212F"/>
    <w:rsid w:val="00D4249C"/>
    <w:rsid w:val="00D43A25"/>
    <w:rsid w:val="00D4410B"/>
    <w:rsid w:val="00D44A01"/>
    <w:rsid w:val="00D45436"/>
    <w:rsid w:val="00D46004"/>
    <w:rsid w:val="00D46CD3"/>
    <w:rsid w:val="00D47213"/>
    <w:rsid w:val="00D47846"/>
    <w:rsid w:val="00D47D19"/>
    <w:rsid w:val="00D508C2"/>
    <w:rsid w:val="00D50DF4"/>
    <w:rsid w:val="00D53175"/>
    <w:rsid w:val="00D56FAC"/>
    <w:rsid w:val="00D570CB"/>
    <w:rsid w:val="00D57137"/>
    <w:rsid w:val="00D57E80"/>
    <w:rsid w:val="00D60654"/>
    <w:rsid w:val="00D608DD"/>
    <w:rsid w:val="00D609BD"/>
    <w:rsid w:val="00D60CA7"/>
    <w:rsid w:val="00D614F2"/>
    <w:rsid w:val="00D62890"/>
    <w:rsid w:val="00D62B29"/>
    <w:rsid w:val="00D63129"/>
    <w:rsid w:val="00D63260"/>
    <w:rsid w:val="00D63AE3"/>
    <w:rsid w:val="00D66FFB"/>
    <w:rsid w:val="00D67209"/>
    <w:rsid w:val="00D67856"/>
    <w:rsid w:val="00D67BBE"/>
    <w:rsid w:val="00D72922"/>
    <w:rsid w:val="00D73177"/>
    <w:rsid w:val="00D7417A"/>
    <w:rsid w:val="00D741C5"/>
    <w:rsid w:val="00D7559C"/>
    <w:rsid w:val="00D761C7"/>
    <w:rsid w:val="00D7650B"/>
    <w:rsid w:val="00D76D70"/>
    <w:rsid w:val="00D77938"/>
    <w:rsid w:val="00D80E86"/>
    <w:rsid w:val="00D81AA1"/>
    <w:rsid w:val="00D82D5D"/>
    <w:rsid w:val="00D82E19"/>
    <w:rsid w:val="00D834D7"/>
    <w:rsid w:val="00D84065"/>
    <w:rsid w:val="00D85486"/>
    <w:rsid w:val="00D85BC5"/>
    <w:rsid w:val="00D85DC4"/>
    <w:rsid w:val="00D8777C"/>
    <w:rsid w:val="00D87E31"/>
    <w:rsid w:val="00D90D1B"/>
    <w:rsid w:val="00D91814"/>
    <w:rsid w:val="00D91CEE"/>
    <w:rsid w:val="00D92104"/>
    <w:rsid w:val="00D92C1E"/>
    <w:rsid w:val="00D9352E"/>
    <w:rsid w:val="00D946D1"/>
    <w:rsid w:val="00D94AC6"/>
    <w:rsid w:val="00D95C49"/>
    <w:rsid w:val="00D970BB"/>
    <w:rsid w:val="00D97A7E"/>
    <w:rsid w:val="00DA040E"/>
    <w:rsid w:val="00DA0E3B"/>
    <w:rsid w:val="00DA0FBF"/>
    <w:rsid w:val="00DA3117"/>
    <w:rsid w:val="00DA3F78"/>
    <w:rsid w:val="00DA447C"/>
    <w:rsid w:val="00DA56A4"/>
    <w:rsid w:val="00DA61F8"/>
    <w:rsid w:val="00DA72D7"/>
    <w:rsid w:val="00DA7A7F"/>
    <w:rsid w:val="00DA7B32"/>
    <w:rsid w:val="00DB1C1D"/>
    <w:rsid w:val="00DB292A"/>
    <w:rsid w:val="00DB3C1B"/>
    <w:rsid w:val="00DB3C53"/>
    <w:rsid w:val="00DB45CA"/>
    <w:rsid w:val="00DB5112"/>
    <w:rsid w:val="00DB5A03"/>
    <w:rsid w:val="00DB5B82"/>
    <w:rsid w:val="00DB5DD7"/>
    <w:rsid w:val="00DB654E"/>
    <w:rsid w:val="00DB67F9"/>
    <w:rsid w:val="00DB7B24"/>
    <w:rsid w:val="00DC18B6"/>
    <w:rsid w:val="00DC19DD"/>
    <w:rsid w:val="00DC1BE8"/>
    <w:rsid w:val="00DC1F12"/>
    <w:rsid w:val="00DC2886"/>
    <w:rsid w:val="00DC2D44"/>
    <w:rsid w:val="00DC398B"/>
    <w:rsid w:val="00DC3A51"/>
    <w:rsid w:val="00DC4927"/>
    <w:rsid w:val="00DC4D2B"/>
    <w:rsid w:val="00DC51F8"/>
    <w:rsid w:val="00DC5E46"/>
    <w:rsid w:val="00DC63F6"/>
    <w:rsid w:val="00DC7D2D"/>
    <w:rsid w:val="00DD0300"/>
    <w:rsid w:val="00DD038D"/>
    <w:rsid w:val="00DD1625"/>
    <w:rsid w:val="00DD37F5"/>
    <w:rsid w:val="00DD3E22"/>
    <w:rsid w:val="00DD4AAB"/>
    <w:rsid w:val="00DD5180"/>
    <w:rsid w:val="00DD7647"/>
    <w:rsid w:val="00DD7CE2"/>
    <w:rsid w:val="00DE1D5D"/>
    <w:rsid w:val="00DE2591"/>
    <w:rsid w:val="00DE2D04"/>
    <w:rsid w:val="00DE4CC9"/>
    <w:rsid w:val="00DE4E7E"/>
    <w:rsid w:val="00DE63D3"/>
    <w:rsid w:val="00DE7AF6"/>
    <w:rsid w:val="00DF022B"/>
    <w:rsid w:val="00DF0650"/>
    <w:rsid w:val="00DF3CB1"/>
    <w:rsid w:val="00DF57D3"/>
    <w:rsid w:val="00DF5F7D"/>
    <w:rsid w:val="00DF7130"/>
    <w:rsid w:val="00DF75AE"/>
    <w:rsid w:val="00DF7B9B"/>
    <w:rsid w:val="00E00671"/>
    <w:rsid w:val="00E006E8"/>
    <w:rsid w:val="00E00C58"/>
    <w:rsid w:val="00E02E9C"/>
    <w:rsid w:val="00E03C1A"/>
    <w:rsid w:val="00E0432D"/>
    <w:rsid w:val="00E05EFB"/>
    <w:rsid w:val="00E0784E"/>
    <w:rsid w:val="00E07A4C"/>
    <w:rsid w:val="00E07DAB"/>
    <w:rsid w:val="00E1067F"/>
    <w:rsid w:val="00E12A06"/>
    <w:rsid w:val="00E12F06"/>
    <w:rsid w:val="00E137D8"/>
    <w:rsid w:val="00E14B3B"/>
    <w:rsid w:val="00E15424"/>
    <w:rsid w:val="00E171D5"/>
    <w:rsid w:val="00E20F74"/>
    <w:rsid w:val="00E226CD"/>
    <w:rsid w:val="00E23533"/>
    <w:rsid w:val="00E26246"/>
    <w:rsid w:val="00E273BC"/>
    <w:rsid w:val="00E27B3F"/>
    <w:rsid w:val="00E3054C"/>
    <w:rsid w:val="00E31002"/>
    <w:rsid w:val="00E310BF"/>
    <w:rsid w:val="00E31790"/>
    <w:rsid w:val="00E343BC"/>
    <w:rsid w:val="00E35960"/>
    <w:rsid w:val="00E368FD"/>
    <w:rsid w:val="00E40A1F"/>
    <w:rsid w:val="00E4123D"/>
    <w:rsid w:val="00E42744"/>
    <w:rsid w:val="00E43004"/>
    <w:rsid w:val="00E433A9"/>
    <w:rsid w:val="00E4374E"/>
    <w:rsid w:val="00E43D55"/>
    <w:rsid w:val="00E4494F"/>
    <w:rsid w:val="00E47E17"/>
    <w:rsid w:val="00E50C15"/>
    <w:rsid w:val="00E50EE5"/>
    <w:rsid w:val="00E535CD"/>
    <w:rsid w:val="00E5406B"/>
    <w:rsid w:val="00E55F90"/>
    <w:rsid w:val="00E56227"/>
    <w:rsid w:val="00E5658C"/>
    <w:rsid w:val="00E56D3A"/>
    <w:rsid w:val="00E57B67"/>
    <w:rsid w:val="00E6005A"/>
    <w:rsid w:val="00E60440"/>
    <w:rsid w:val="00E60648"/>
    <w:rsid w:val="00E6088A"/>
    <w:rsid w:val="00E64498"/>
    <w:rsid w:val="00E65A8E"/>
    <w:rsid w:val="00E65F7D"/>
    <w:rsid w:val="00E66B72"/>
    <w:rsid w:val="00E6727A"/>
    <w:rsid w:val="00E67CEC"/>
    <w:rsid w:val="00E70935"/>
    <w:rsid w:val="00E70EB3"/>
    <w:rsid w:val="00E71C7C"/>
    <w:rsid w:val="00E73720"/>
    <w:rsid w:val="00E76D06"/>
    <w:rsid w:val="00E775A7"/>
    <w:rsid w:val="00E7771C"/>
    <w:rsid w:val="00E80BB8"/>
    <w:rsid w:val="00E83349"/>
    <w:rsid w:val="00E85097"/>
    <w:rsid w:val="00E850DF"/>
    <w:rsid w:val="00E853FC"/>
    <w:rsid w:val="00E855BF"/>
    <w:rsid w:val="00E85E68"/>
    <w:rsid w:val="00E860E6"/>
    <w:rsid w:val="00E86705"/>
    <w:rsid w:val="00E86A1A"/>
    <w:rsid w:val="00E86F7E"/>
    <w:rsid w:val="00E87C06"/>
    <w:rsid w:val="00E87C08"/>
    <w:rsid w:val="00E87F7E"/>
    <w:rsid w:val="00E90245"/>
    <w:rsid w:val="00E90772"/>
    <w:rsid w:val="00E90FA0"/>
    <w:rsid w:val="00E90FCB"/>
    <w:rsid w:val="00E9115E"/>
    <w:rsid w:val="00E91527"/>
    <w:rsid w:val="00E927F3"/>
    <w:rsid w:val="00E93D34"/>
    <w:rsid w:val="00E94340"/>
    <w:rsid w:val="00EA26F4"/>
    <w:rsid w:val="00EA2C70"/>
    <w:rsid w:val="00EA57D6"/>
    <w:rsid w:val="00EA5D5D"/>
    <w:rsid w:val="00EA5DA8"/>
    <w:rsid w:val="00EA6274"/>
    <w:rsid w:val="00EA7875"/>
    <w:rsid w:val="00EA7E3A"/>
    <w:rsid w:val="00EA7E4B"/>
    <w:rsid w:val="00EB07FC"/>
    <w:rsid w:val="00EB1E46"/>
    <w:rsid w:val="00EB244D"/>
    <w:rsid w:val="00EB336D"/>
    <w:rsid w:val="00EB33A4"/>
    <w:rsid w:val="00EB4A55"/>
    <w:rsid w:val="00EB4E04"/>
    <w:rsid w:val="00EB5CB3"/>
    <w:rsid w:val="00EB6536"/>
    <w:rsid w:val="00EB695E"/>
    <w:rsid w:val="00EB72DC"/>
    <w:rsid w:val="00EB731A"/>
    <w:rsid w:val="00EB7E1F"/>
    <w:rsid w:val="00EC0539"/>
    <w:rsid w:val="00EC0B4B"/>
    <w:rsid w:val="00EC100E"/>
    <w:rsid w:val="00EC1DB9"/>
    <w:rsid w:val="00EC29DB"/>
    <w:rsid w:val="00EC2B75"/>
    <w:rsid w:val="00EC2D01"/>
    <w:rsid w:val="00EC39A9"/>
    <w:rsid w:val="00EC535D"/>
    <w:rsid w:val="00EC5C1A"/>
    <w:rsid w:val="00EC5C35"/>
    <w:rsid w:val="00EC622C"/>
    <w:rsid w:val="00EC6FE6"/>
    <w:rsid w:val="00ED1101"/>
    <w:rsid w:val="00ED143D"/>
    <w:rsid w:val="00ED1731"/>
    <w:rsid w:val="00ED18F9"/>
    <w:rsid w:val="00ED229E"/>
    <w:rsid w:val="00ED36B1"/>
    <w:rsid w:val="00ED3AD0"/>
    <w:rsid w:val="00ED3F15"/>
    <w:rsid w:val="00ED46CF"/>
    <w:rsid w:val="00ED47DC"/>
    <w:rsid w:val="00ED54AF"/>
    <w:rsid w:val="00ED68DA"/>
    <w:rsid w:val="00ED71C3"/>
    <w:rsid w:val="00EE0B67"/>
    <w:rsid w:val="00EE2ADA"/>
    <w:rsid w:val="00EE432D"/>
    <w:rsid w:val="00EE4AA3"/>
    <w:rsid w:val="00EE52F3"/>
    <w:rsid w:val="00EE5C0A"/>
    <w:rsid w:val="00EE795B"/>
    <w:rsid w:val="00EE7B58"/>
    <w:rsid w:val="00EF0890"/>
    <w:rsid w:val="00EF0A9F"/>
    <w:rsid w:val="00EF132D"/>
    <w:rsid w:val="00EF30D7"/>
    <w:rsid w:val="00EF4337"/>
    <w:rsid w:val="00EF4431"/>
    <w:rsid w:val="00EF4DFF"/>
    <w:rsid w:val="00EF5CD4"/>
    <w:rsid w:val="00EF7455"/>
    <w:rsid w:val="00EF7699"/>
    <w:rsid w:val="00EF7E42"/>
    <w:rsid w:val="00F00B82"/>
    <w:rsid w:val="00F010FF"/>
    <w:rsid w:val="00F01959"/>
    <w:rsid w:val="00F02CF6"/>
    <w:rsid w:val="00F03F93"/>
    <w:rsid w:val="00F04320"/>
    <w:rsid w:val="00F06A18"/>
    <w:rsid w:val="00F06A54"/>
    <w:rsid w:val="00F1121F"/>
    <w:rsid w:val="00F1172B"/>
    <w:rsid w:val="00F11C36"/>
    <w:rsid w:val="00F12D2D"/>
    <w:rsid w:val="00F1341E"/>
    <w:rsid w:val="00F14277"/>
    <w:rsid w:val="00F144E7"/>
    <w:rsid w:val="00F14C25"/>
    <w:rsid w:val="00F153A8"/>
    <w:rsid w:val="00F15589"/>
    <w:rsid w:val="00F178CD"/>
    <w:rsid w:val="00F17B3F"/>
    <w:rsid w:val="00F207BA"/>
    <w:rsid w:val="00F224DE"/>
    <w:rsid w:val="00F22C27"/>
    <w:rsid w:val="00F25077"/>
    <w:rsid w:val="00F250A5"/>
    <w:rsid w:val="00F252B3"/>
    <w:rsid w:val="00F2604C"/>
    <w:rsid w:val="00F26627"/>
    <w:rsid w:val="00F27346"/>
    <w:rsid w:val="00F30B59"/>
    <w:rsid w:val="00F3170E"/>
    <w:rsid w:val="00F347D9"/>
    <w:rsid w:val="00F353B6"/>
    <w:rsid w:val="00F35788"/>
    <w:rsid w:val="00F36206"/>
    <w:rsid w:val="00F36464"/>
    <w:rsid w:val="00F377DD"/>
    <w:rsid w:val="00F37838"/>
    <w:rsid w:val="00F37DC4"/>
    <w:rsid w:val="00F406EA"/>
    <w:rsid w:val="00F40B3C"/>
    <w:rsid w:val="00F4116A"/>
    <w:rsid w:val="00F41B12"/>
    <w:rsid w:val="00F41B9B"/>
    <w:rsid w:val="00F42EDE"/>
    <w:rsid w:val="00F435A3"/>
    <w:rsid w:val="00F43AAC"/>
    <w:rsid w:val="00F43F03"/>
    <w:rsid w:val="00F4422D"/>
    <w:rsid w:val="00F443BC"/>
    <w:rsid w:val="00F4440F"/>
    <w:rsid w:val="00F452D1"/>
    <w:rsid w:val="00F45885"/>
    <w:rsid w:val="00F46084"/>
    <w:rsid w:val="00F46773"/>
    <w:rsid w:val="00F46FDB"/>
    <w:rsid w:val="00F47633"/>
    <w:rsid w:val="00F51172"/>
    <w:rsid w:val="00F52227"/>
    <w:rsid w:val="00F52FC2"/>
    <w:rsid w:val="00F53C51"/>
    <w:rsid w:val="00F53E02"/>
    <w:rsid w:val="00F54988"/>
    <w:rsid w:val="00F54C34"/>
    <w:rsid w:val="00F54F01"/>
    <w:rsid w:val="00F56674"/>
    <w:rsid w:val="00F57007"/>
    <w:rsid w:val="00F57BCE"/>
    <w:rsid w:val="00F57E54"/>
    <w:rsid w:val="00F61A67"/>
    <w:rsid w:val="00F61B19"/>
    <w:rsid w:val="00F62A06"/>
    <w:rsid w:val="00F638F0"/>
    <w:rsid w:val="00F645FB"/>
    <w:rsid w:val="00F648D9"/>
    <w:rsid w:val="00F6718D"/>
    <w:rsid w:val="00F672B7"/>
    <w:rsid w:val="00F71AB8"/>
    <w:rsid w:val="00F727E4"/>
    <w:rsid w:val="00F72B76"/>
    <w:rsid w:val="00F7394F"/>
    <w:rsid w:val="00F73A91"/>
    <w:rsid w:val="00F74CCF"/>
    <w:rsid w:val="00F74D96"/>
    <w:rsid w:val="00F776BE"/>
    <w:rsid w:val="00F8050A"/>
    <w:rsid w:val="00F80C18"/>
    <w:rsid w:val="00F8114C"/>
    <w:rsid w:val="00F81532"/>
    <w:rsid w:val="00F81710"/>
    <w:rsid w:val="00F8187A"/>
    <w:rsid w:val="00F832C3"/>
    <w:rsid w:val="00F832C8"/>
    <w:rsid w:val="00F83476"/>
    <w:rsid w:val="00F838A3"/>
    <w:rsid w:val="00F83D94"/>
    <w:rsid w:val="00F83FA6"/>
    <w:rsid w:val="00F84A93"/>
    <w:rsid w:val="00F84DE9"/>
    <w:rsid w:val="00F85375"/>
    <w:rsid w:val="00F85826"/>
    <w:rsid w:val="00F861CE"/>
    <w:rsid w:val="00F8638E"/>
    <w:rsid w:val="00F86733"/>
    <w:rsid w:val="00F86BA8"/>
    <w:rsid w:val="00F90A1B"/>
    <w:rsid w:val="00F911B1"/>
    <w:rsid w:val="00F9204B"/>
    <w:rsid w:val="00F928B4"/>
    <w:rsid w:val="00F94BBB"/>
    <w:rsid w:val="00F9541B"/>
    <w:rsid w:val="00F963AB"/>
    <w:rsid w:val="00FA0C14"/>
    <w:rsid w:val="00FA0F9F"/>
    <w:rsid w:val="00FA1124"/>
    <w:rsid w:val="00FA2412"/>
    <w:rsid w:val="00FA2450"/>
    <w:rsid w:val="00FA397E"/>
    <w:rsid w:val="00FA4677"/>
    <w:rsid w:val="00FA54B1"/>
    <w:rsid w:val="00FA5A81"/>
    <w:rsid w:val="00FA62A7"/>
    <w:rsid w:val="00FA6AAF"/>
    <w:rsid w:val="00FA734B"/>
    <w:rsid w:val="00FB03C6"/>
    <w:rsid w:val="00FB26B7"/>
    <w:rsid w:val="00FB27DA"/>
    <w:rsid w:val="00FB2CDE"/>
    <w:rsid w:val="00FB4C3F"/>
    <w:rsid w:val="00FB5B8D"/>
    <w:rsid w:val="00FB626B"/>
    <w:rsid w:val="00FB79B5"/>
    <w:rsid w:val="00FC0F65"/>
    <w:rsid w:val="00FC16D7"/>
    <w:rsid w:val="00FC200D"/>
    <w:rsid w:val="00FC2475"/>
    <w:rsid w:val="00FC3DC7"/>
    <w:rsid w:val="00FC48D7"/>
    <w:rsid w:val="00FC64E3"/>
    <w:rsid w:val="00FC6535"/>
    <w:rsid w:val="00FC69F3"/>
    <w:rsid w:val="00FC7339"/>
    <w:rsid w:val="00FC7F27"/>
    <w:rsid w:val="00FD1A90"/>
    <w:rsid w:val="00FD1ED7"/>
    <w:rsid w:val="00FD226C"/>
    <w:rsid w:val="00FD23DA"/>
    <w:rsid w:val="00FD3A54"/>
    <w:rsid w:val="00FD3EFF"/>
    <w:rsid w:val="00FD547B"/>
    <w:rsid w:val="00FD73DC"/>
    <w:rsid w:val="00FD7C20"/>
    <w:rsid w:val="00FE030D"/>
    <w:rsid w:val="00FE05CD"/>
    <w:rsid w:val="00FE1903"/>
    <w:rsid w:val="00FE1C39"/>
    <w:rsid w:val="00FE2BBA"/>
    <w:rsid w:val="00FE3174"/>
    <w:rsid w:val="00FE50A6"/>
    <w:rsid w:val="00FE522D"/>
    <w:rsid w:val="00FE6C57"/>
    <w:rsid w:val="00FF020F"/>
    <w:rsid w:val="00FF1224"/>
    <w:rsid w:val="00FF13DD"/>
    <w:rsid w:val="00FF1466"/>
    <w:rsid w:val="00FF2618"/>
    <w:rsid w:val="00FF291B"/>
    <w:rsid w:val="00FF2C34"/>
    <w:rsid w:val="00FF41A7"/>
    <w:rsid w:val="00FF5228"/>
    <w:rsid w:val="00FF5B18"/>
    <w:rsid w:val="00FF5DA8"/>
    <w:rsid w:val="00FF606F"/>
    <w:rsid w:val="00FF686C"/>
    <w:rsid w:val="00FF6887"/>
    <w:rsid w:val="00FF6DC0"/>
    <w:rsid w:val="00FF724B"/>
    <w:rsid w:val="00FF79F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67F0D"/>
  <w15:docId w15:val="{29B8B952-4D0F-4C7C-B5C4-BEC69DA1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97"/>
    <w:pPr>
      <w:tabs>
        <w:tab w:val="center" w:pos="4419"/>
        <w:tab w:val="right" w:pos="8838"/>
      </w:tabs>
      <w:spacing w:after="0" w:line="240" w:lineRule="auto"/>
    </w:pPr>
    <w:rPr>
      <w:rFonts w:ascii="Verdana" w:hAnsi="Verdana"/>
      <w:sz w:val="20"/>
    </w:rPr>
  </w:style>
  <w:style w:type="paragraph" w:styleId="Ttulo1">
    <w:name w:val="heading 1"/>
    <w:aliases w:val="Título Verdana"/>
    <w:basedOn w:val="Normal"/>
    <w:next w:val="Normal"/>
    <w:link w:val="Ttulo1Car"/>
    <w:uiPriority w:val="9"/>
    <w:qFormat/>
    <w:rsid w:val="000A52D5"/>
    <w:pPr>
      <w:keepNext/>
      <w:keepLines/>
      <w:tabs>
        <w:tab w:val="clear" w:pos="4419"/>
        <w:tab w:val="clear" w:pos="8838"/>
      </w:tabs>
      <w:spacing w:before="60" w:after="60"/>
      <w:jc w:val="center"/>
      <w:outlineLvl w:val="0"/>
    </w:pPr>
    <w:rPr>
      <w:rFonts w:eastAsia="Times New Roman" w:cs="Verdana"/>
      <w:b/>
      <w:bCs/>
      <w:caps/>
      <w:snapToGrid w:val="0"/>
      <w:szCs w:val="20"/>
      <w:lang w:eastAsia="es-ES"/>
    </w:rPr>
  </w:style>
  <w:style w:type="paragraph" w:styleId="Ttulo2">
    <w:name w:val="heading 2"/>
    <w:basedOn w:val="Normal"/>
    <w:next w:val="Normal"/>
    <w:link w:val="Ttulo2Car"/>
    <w:autoRedefine/>
    <w:uiPriority w:val="9"/>
    <w:qFormat/>
    <w:rsid w:val="00B56BF6"/>
    <w:pPr>
      <w:keepNext/>
      <w:keepLines/>
      <w:numPr>
        <w:numId w:val="16"/>
      </w:numPr>
      <w:tabs>
        <w:tab w:val="clear" w:pos="4419"/>
        <w:tab w:val="clear" w:pos="8838"/>
      </w:tabs>
      <w:jc w:val="both"/>
      <w:outlineLvl w:val="1"/>
    </w:pPr>
    <w:rPr>
      <w:rFonts w:eastAsia="Batang" w:cs="Times New Roman"/>
      <w:b/>
      <w:bCs/>
      <w:i/>
      <w:noProof/>
      <w:szCs w:val="20"/>
      <w:lang w:val="en-US" w:eastAsia="es-ES"/>
    </w:rPr>
  </w:style>
  <w:style w:type="paragraph" w:styleId="Ttulo3">
    <w:name w:val="heading 3"/>
    <w:basedOn w:val="Normal"/>
    <w:next w:val="Normal"/>
    <w:link w:val="Ttulo3Car"/>
    <w:uiPriority w:val="9"/>
    <w:qFormat/>
    <w:rsid w:val="000A20C1"/>
    <w:pPr>
      <w:tabs>
        <w:tab w:val="clear" w:pos="4419"/>
        <w:tab w:val="clear" w:pos="8838"/>
      </w:tabs>
      <w:ind w:left="709"/>
      <w:jc w:val="both"/>
      <w:outlineLvl w:val="2"/>
    </w:pPr>
    <w:rPr>
      <w:rFonts w:eastAsia="Batang" w:cs="Times"/>
      <w:b/>
      <w:i/>
      <w:szCs w:val="24"/>
      <w:lang w:val="es-MX"/>
    </w:rPr>
  </w:style>
  <w:style w:type="paragraph" w:styleId="Ttulo4">
    <w:name w:val="heading 4"/>
    <w:basedOn w:val="Normal"/>
    <w:next w:val="Normal"/>
    <w:link w:val="Ttulo4Car"/>
    <w:uiPriority w:val="9"/>
    <w:qFormat/>
    <w:rsid w:val="000A52D5"/>
    <w:pPr>
      <w:keepNext/>
      <w:keepLines/>
      <w:tabs>
        <w:tab w:val="clear" w:pos="4419"/>
        <w:tab w:val="clear" w:pos="8838"/>
      </w:tabs>
      <w:spacing w:before="60" w:after="60"/>
      <w:ind w:left="567" w:firstLine="709"/>
      <w:outlineLvl w:val="3"/>
    </w:pPr>
    <w:rPr>
      <w:rFonts w:eastAsia="Times New Roman" w:cs="Times New Roman"/>
      <w:bCs/>
      <w:i/>
      <w:iCs/>
      <w:szCs w:val="24"/>
      <w:lang w:val="es-MX"/>
    </w:rPr>
  </w:style>
  <w:style w:type="paragraph" w:styleId="Ttulo5">
    <w:name w:val="heading 5"/>
    <w:basedOn w:val="Normal"/>
    <w:next w:val="Normal"/>
    <w:link w:val="Ttulo5Car"/>
    <w:uiPriority w:val="9"/>
    <w:qFormat/>
    <w:rsid w:val="000A52D5"/>
    <w:pPr>
      <w:keepNext/>
      <w:keepLines/>
      <w:numPr>
        <w:numId w:val="7"/>
      </w:numPr>
      <w:tabs>
        <w:tab w:val="clear" w:pos="4419"/>
        <w:tab w:val="clear" w:pos="8838"/>
      </w:tabs>
      <w:spacing w:before="60" w:after="60"/>
      <w:ind w:left="714" w:hanging="357"/>
      <w:outlineLvl w:val="4"/>
    </w:pPr>
    <w:rPr>
      <w:rFonts w:eastAsia="Times New Roman" w:cs="Times New Roman"/>
      <w:i/>
      <w:szCs w:val="24"/>
      <w:lang w:val="es-MX"/>
    </w:rPr>
  </w:style>
  <w:style w:type="paragraph" w:styleId="Ttulo6">
    <w:name w:val="heading 6"/>
    <w:basedOn w:val="Ttulo5"/>
    <w:next w:val="Normal"/>
    <w:link w:val="Ttulo6Car"/>
    <w:uiPriority w:val="9"/>
    <w:qFormat/>
    <w:rsid w:val="000A52D5"/>
    <w:pPr>
      <w:keepNext w:val="0"/>
      <w:keepLines w:val="0"/>
      <w:numPr>
        <w:numId w:val="0"/>
      </w:numPr>
      <w:tabs>
        <w:tab w:val="num" w:pos="3600"/>
      </w:tabs>
      <w:spacing w:before="0" w:after="0"/>
      <w:ind w:left="3600" w:hanging="360"/>
      <w:outlineLvl w:val="5"/>
    </w:pPr>
    <w:rPr>
      <w:i w:val="0"/>
      <w:spacing w:val="-2"/>
      <w:szCs w:val="20"/>
      <w:lang w:eastAsia="es-CR"/>
    </w:rPr>
  </w:style>
  <w:style w:type="paragraph" w:styleId="Ttulo7">
    <w:name w:val="heading 7"/>
    <w:basedOn w:val="Normal"/>
    <w:next w:val="Normal"/>
    <w:link w:val="Ttulo7Car"/>
    <w:uiPriority w:val="9"/>
    <w:qFormat/>
    <w:rsid w:val="000A52D5"/>
    <w:pPr>
      <w:keepNext/>
      <w:keepLines/>
      <w:tabs>
        <w:tab w:val="clear" w:pos="4419"/>
        <w:tab w:val="clear" w:pos="8838"/>
      </w:tabs>
      <w:spacing w:before="200"/>
      <w:outlineLvl w:val="6"/>
    </w:pPr>
    <w:rPr>
      <w:rFonts w:ascii="Cambria" w:eastAsia="Times New Roman" w:hAnsi="Cambria" w:cs="Times New Roman"/>
      <w:i/>
      <w:iCs/>
      <w:color w:val="404040"/>
      <w:szCs w:val="24"/>
      <w:lang w:val="es-MX"/>
    </w:rPr>
  </w:style>
  <w:style w:type="paragraph" w:styleId="Ttulo8">
    <w:name w:val="heading 8"/>
    <w:basedOn w:val="Normal"/>
    <w:next w:val="Normal"/>
    <w:link w:val="Ttulo8Car"/>
    <w:uiPriority w:val="9"/>
    <w:unhideWhenUsed/>
    <w:qFormat/>
    <w:rsid w:val="000A52D5"/>
    <w:pPr>
      <w:keepNext/>
      <w:tabs>
        <w:tab w:val="clear" w:pos="4419"/>
        <w:tab w:val="clear" w:pos="8838"/>
      </w:tabs>
      <w:contextualSpacing/>
      <w:outlineLvl w:val="7"/>
    </w:pPr>
    <w:rPr>
      <w:rFonts w:eastAsia="Batang" w:cs="Times"/>
      <w:i/>
      <w:szCs w:val="24"/>
      <w:lang w:val="es-MX"/>
    </w:rPr>
  </w:style>
  <w:style w:type="paragraph" w:styleId="Ttulo9">
    <w:name w:val="heading 9"/>
    <w:basedOn w:val="Normal"/>
    <w:next w:val="Normal"/>
    <w:link w:val="Ttulo9Car"/>
    <w:uiPriority w:val="9"/>
    <w:unhideWhenUsed/>
    <w:qFormat/>
    <w:rsid w:val="00721AF6"/>
    <w:pPr>
      <w:keepNext/>
      <w:keepLines/>
      <w:numPr>
        <w:numId w:val="4"/>
      </w:numPr>
      <w:tabs>
        <w:tab w:val="clear" w:pos="4419"/>
        <w:tab w:val="clear" w:pos="8838"/>
      </w:tabs>
      <w:outlineLvl w:val="8"/>
    </w:pPr>
    <w:rPr>
      <w:rFonts w:eastAsia="Times New Roman" w:cs="Times New Roman"/>
      <w:b/>
      <w:bC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TextonotapieCar"/>
    <w:unhideWhenUsed/>
    <w:qFormat/>
    <w:rsid w:val="008003A7"/>
    <w:pPr>
      <w:spacing w:after="40"/>
      <w:jc w:val="both"/>
    </w:pPr>
    <w:rPr>
      <w:sz w:val="16"/>
      <w:szCs w:val="16"/>
      <w:lang w:val="en-US"/>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
    <w:basedOn w:val="Fuentedeprrafopredeter"/>
    <w:link w:val="Textonotapie"/>
    <w:rsid w:val="008003A7"/>
    <w:rPr>
      <w:rFonts w:ascii="Verdana" w:hAnsi="Verdana"/>
      <w:sz w:val="16"/>
      <w:szCs w:val="16"/>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BA1ACF"/>
    <w:rPr>
      <w:rFonts w:cs="Times New Roman"/>
      <w:szCs w:val="20"/>
      <w:vertAlign w:val="superscript"/>
    </w:rPr>
  </w:style>
  <w:style w:type="character" w:styleId="Textoennegrita">
    <w:name w:val="Strong"/>
    <w:uiPriority w:val="22"/>
    <w:qFormat/>
    <w:rsid w:val="00BA1ACF"/>
    <w:rPr>
      <w:b/>
      <w:bCs/>
    </w:rPr>
  </w:style>
  <w:style w:type="paragraph" w:styleId="TDC1">
    <w:name w:val="toc 1"/>
    <w:basedOn w:val="Normal"/>
    <w:next w:val="Normal"/>
    <w:autoRedefine/>
    <w:uiPriority w:val="39"/>
    <w:unhideWhenUsed/>
    <w:qFormat/>
    <w:rsid w:val="005F1946"/>
    <w:pPr>
      <w:tabs>
        <w:tab w:val="clear" w:pos="4419"/>
        <w:tab w:val="clear" w:pos="8838"/>
        <w:tab w:val="center" w:pos="9270"/>
      </w:tabs>
      <w:spacing w:after="40"/>
      <w:jc w:val="both"/>
    </w:pPr>
    <w:rPr>
      <w:b/>
      <w:sz w:val="18"/>
      <w:szCs w:val="18"/>
    </w:rPr>
  </w:style>
  <w:style w:type="paragraph" w:styleId="TDC2">
    <w:name w:val="toc 2"/>
    <w:basedOn w:val="Normal"/>
    <w:next w:val="Normal"/>
    <w:autoRedefine/>
    <w:uiPriority w:val="39"/>
    <w:unhideWhenUsed/>
    <w:qFormat/>
    <w:rsid w:val="007078C6"/>
    <w:pPr>
      <w:tabs>
        <w:tab w:val="clear" w:pos="4419"/>
        <w:tab w:val="clear" w:pos="8838"/>
        <w:tab w:val="right" w:pos="9270"/>
      </w:tabs>
      <w:spacing w:after="40"/>
      <w:ind w:left="432"/>
      <w:jc w:val="both"/>
    </w:pPr>
  </w:style>
  <w:style w:type="paragraph" w:styleId="TDC3">
    <w:name w:val="toc 3"/>
    <w:basedOn w:val="Normal"/>
    <w:next w:val="Normal"/>
    <w:autoRedefine/>
    <w:uiPriority w:val="39"/>
    <w:unhideWhenUsed/>
    <w:qFormat/>
    <w:rsid w:val="00FF2C34"/>
    <w:pPr>
      <w:tabs>
        <w:tab w:val="clear" w:pos="4419"/>
        <w:tab w:val="clear" w:pos="8838"/>
        <w:tab w:val="center" w:pos="0"/>
        <w:tab w:val="right" w:pos="9270"/>
      </w:tabs>
      <w:spacing w:after="40"/>
      <w:ind w:left="482"/>
      <w:jc w:val="both"/>
    </w:pPr>
  </w:style>
  <w:style w:type="character" w:styleId="Hipervnculo">
    <w:name w:val="Hyperlink"/>
    <w:basedOn w:val="Fuentedeprrafopredeter"/>
    <w:uiPriority w:val="99"/>
    <w:unhideWhenUsed/>
    <w:rsid w:val="00BA1ACF"/>
    <w:rPr>
      <w:color w:val="0000FF" w:themeColor="hyperlink"/>
      <w:u w:val="single"/>
    </w:rPr>
  </w:style>
  <w:style w:type="paragraph" w:styleId="Prrafodelista">
    <w:name w:val="List Paragraph"/>
    <w:aliases w:val="Párrafo de lista1,Footnote,List Paragraph2,List Paragraph1,Colorful List - Accent 11,Lista vistosa - Énfasis 11"/>
    <w:basedOn w:val="Normal"/>
    <w:link w:val="PrrafodelistaCar"/>
    <w:uiPriority w:val="34"/>
    <w:qFormat/>
    <w:rsid w:val="00D609BD"/>
    <w:pPr>
      <w:tabs>
        <w:tab w:val="clear" w:pos="4419"/>
        <w:tab w:val="clear" w:pos="8838"/>
      </w:tabs>
      <w:ind w:left="720"/>
      <w:contextualSpacing/>
      <w:jc w:val="both"/>
    </w:pPr>
  </w:style>
  <w:style w:type="character" w:customStyle="1" w:styleId="PrrafodelistaCar">
    <w:name w:val="Párrafo de lista Car"/>
    <w:aliases w:val="Párrafo de lista1 Car,Footnote Car,List Paragraph2 Car,List Paragraph1 Car,Colorful List - Accent 11 Car,Lista vistosa - Énfasis 11 Car"/>
    <w:basedOn w:val="Fuentedeprrafopredeter"/>
    <w:link w:val="Prrafodelista"/>
    <w:uiPriority w:val="34"/>
    <w:locked/>
    <w:rsid w:val="00D609BD"/>
    <w:rPr>
      <w:rFonts w:ascii="Verdana" w:hAnsi="Verdana"/>
      <w:sz w:val="20"/>
    </w:rPr>
  </w:style>
  <w:style w:type="paragraph" w:customStyle="1" w:styleId="Default">
    <w:name w:val="Default"/>
    <w:rsid w:val="001A317E"/>
    <w:pPr>
      <w:autoSpaceDE w:val="0"/>
      <w:autoSpaceDN w:val="0"/>
      <w:adjustRightInd w:val="0"/>
      <w:spacing w:after="0" w:line="240" w:lineRule="auto"/>
    </w:pPr>
    <w:rPr>
      <w:rFonts w:ascii="Verdana" w:eastAsia="Calibri" w:hAnsi="Verdana" w:cs="Verdana"/>
      <w:color w:val="000000"/>
      <w:sz w:val="24"/>
      <w:szCs w:val="24"/>
      <w:lang w:val="en-US"/>
    </w:rPr>
  </w:style>
  <w:style w:type="character" w:styleId="Refdecomentario">
    <w:name w:val="annotation reference"/>
    <w:basedOn w:val="Fuentedeprrafopredeter"/>
    <w:uiPriority w:val="99"/>
    <w:unhideWhenUsed/>
    <w:rsid w:val="008410A9"/>
    <w:rPr>
      <w:sz w:val="16"/>
      <w:szCs w:val="16"/>
    </w:rPr>
  </w:style>
  <w:style w:type="paragraph" w:styleId="Textocomentario">
    <w:name w:val="annotation text"/>
    <w:basedOn w:val="Normal"/>
    <w:link w:val="TextocomentarioCar"/>
    <w:uiPriority w:val="99"/>
    <w:unhideWhenUsed/>
    <w:rsid w:val="008410A9"/>
    <w:rPr>
      <w:szCs w:val="20"/>
    </w:rPr>
  </w:style>
  <w:style w:type="character" w:customStyle="1" w:styleId="TextocomentarioCar">
    <w:name w:val="Texto comentario Car"/>
    <w:basedOn w:val="Fuentedeprrafopredeter"/>
    <w:link w:val="Textocomentario"/>
    <w:uiPriority w:val="99"/>
    <w:rsid w:val="008410A9"/>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unhideWhenUsed/>
    <w:rsid w:val="008410A9"/>
    <w:rPr>
      <w:b/>
      <w:bCs/>
    </w:rPr>
  </w:style>
  <w:style w:type="character" w:customStyle="1" w:styleId="AsuntodelcomentarioCar">
    <w:name w:val="Asunto del comentario Car"/>
    <w:basedOn w:val="TextocomentarioCar"/>
    <w:link w:val="Asuntodelcomentario"/>
    <w:uiPriority w:val="99"/>
    <w:rsid w:val="008410A9"/>
    <w:rPr>
      <w:rFonts w:ascii="Times New Roman" w:hAnsi="Times New Roman"/>
      <w:b/>
      <w:bCs/>
      <w:sz w:val="20"/>
      <w:szCs w:val="20"/>
    </w:rPr>
  </w:style>
  <w:style w:type="paragraph" w:styleId="Textodeglobo">
    <w:name w:val="Balloon Text"/>
    <w:basedOn w:val="Normal"/>
    <w:link w:val="TextodegloboCar"/>
    <w:uiPriority w:val="99"/>
    <w:semiHidden/>
    <w:unhideWhenUsed/>
    <w:rsid w:val="00841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0A9"/>
    <w:rPr>
      <w:rFonts w:ascii="Tahoma" w:hAnsi="Tahoma" w:cs="Tahoma"/>
      <w:sz w:val="16"/>
      <w:szCs w:val="16"/>
    </w:rPr>
  </w:style>
  <w:style w:type="paragraph" w:styleId="Encabezado">
    <w:name w:val="header"/>
    <w:basedOn w:val="Normal"/>
    <w:link w:val="EncabezadoCar"/>
    <w:uiPriority w:val="99"/>
    <w:unhideWhenUsed/>
    <w:rsid w:val="00952C89"/>
  </w:style>
  <w:style w:type="character" w:customStyle="1" w:styleId="EncabezadoCar">
    <w:name w:val="Encabezado Car"/>
    <w:basedOn w:val="Fuentedeprrafopredeter"/>
    <w:link w:val="Encabezado"/>
    <w:uiPriority w:val="99"/>
    <w:rsid w:val="00952C89"/>
    <w:rPr>
      <w:rFonts w:ascii="Times New Roman" w:hAnsi="Times New Roman"/>
      <w:sz w:val="24"/>
    </w:rPr>
  </w:style>
  <w:style w:type="paragraph" w:styleId="Piedepgina">
    <w:name w:val="footer"/>
    <w:basedOn w:val="Normal"/>
    <w:link w:val="PiedepginaCar"/>
    <w:uiPriority w:val="99"/>
    <w:unhideWhenUsed/>
    <w:rsid w:val="00952C89"/>
  </w:style>
  <w:style w:type="character" w:customStyle="1" w:styleId="PiedepginaCar">
    <w:name w:val="Pie de página Car"/>
    <w:basedOn w:val="Fuentedeprrafopredeter"/>
    <w:link w:val="Piedepgina"/>
    <w:uiPriority w:val="99"/>
    <w:rsid w:val="00952C89"/>
    <w:rPr>
      <w:rFonts w:ascii="Times New Roman" w:hAnsi="Times New Roman"/>
      <w:sz w:val="24"/>
    </w:rPr>
  </w:style>
  <w:style w:type="character" w:customStyle="1" w:styleId="Ttulo1Car">
    <w:name w:val="Título 1 Car"/>
    <w:aliases w:val="Título Verdana Car"/>
    <w:basedOn w:val="Fuentedeprrafopredeter"/>
    <w:link w:val="Ttulo1"/>
    <w:uiPriority w:val="9"/>
    <w:rsid w:val="000A52D5"/>
    <w:rPr>
      <w:rFonts w:ascii="Verdana" w:eastAsia="Times New Roman" w:hAnsi="Verdana" w:cs="Verdana"/>
      <w:b/>
      <w:bCs/>
      <w:caps/>
      <w:snapToGrid w:val="0"/>
      <w:sz w:val="20"/>
      <w:szCs w:val="20"/>
      <w:lang w:eastAsia="es-ES"/>
    </w:rPr>
  </w:style>
  <w:style w:type="character" w:customStyle="1" w:styleId="Ttulo2Car">
    <w:name w:val="Título 2 Car"/>
    <w:basedOn w:val="Fuentedeprrafopredeter"/>
    <w:link w:val="Ttulo2"/>
    <w:uiPriority w:val="9"/>
    <w:rsid w:val="00B56BF6"/>
    <w:rPr>
      <w:rFonts w:ascii="Verdana" w:eastAsia="Batang" w:hAnsi="Verdana" w:cs="Times New Roman"/>
      <w:b/>
      <w:bCs/>
      <w:i/>
      <w:noProof/>
      <w:sz w:val="20"/>
      <w:szCs w:val="20"/>
      <w:lang w:val="en-US" w:eastAsia="es-ES"/>
    </w:rPr>
  </w:style>
  <w:style w:type="character" w:customStyle="1" w:styleId="Ttulo3Car">
    <w:name w:val="Título 3 Car"/>
    <w:basedOn w:val="Fuentedeprrafopredeter"/>
    <w:link w:val="Ttulo3"/>
    <w:uiPriority w:val="9"/>
    <w:rsid w:val="000A20C1"/>
    <w:rPr>
      <w:rFonts w:ascii="Verdana" w:eastAsia="Batang" w:hAnsi="Verdana" w:cs="Times"/>
      <w:b/>
      <w:i/>
      <w:sz w:val="20"/>
      <w:szCs w:val="24"/>
      <w:lang w:val="es-MX"/>
    </w:rPr>
  </w:style>
  <w:style w:type="character" w:customStyle="1" w:styleId="Ttulo4Car">
    <w:name w:val="Título 4 Car"/>
    <w:basedOn w:val="Fuentedeprrafopredeter"/>
    <w:link w:val="Ttulo4"/>
    <w:uiPriority w:val="9"/>
    <w:rsid w:val="000A52D5"/>
    <w:rPr>
      <w:rFonts w:ascii="Verdana" w:eastAsia="Times New Roman" w:hAnsi="Verdana" w:cs="Times New Roman"/>
      <w:bCs/>
      <w:i/>
      <w:iCs/>
      <w:sz w:val="20"/>
      <w:szCs w:val="24"/>
      <w:lang w:val="es-MX"/>
    </w:rPr>
  </w:style>
  <w:style w:type="character" w:customStyle="1" w:styleId="Ttulo5Car">
    <w:name w:val="Título 5 Car"/>
    <w:basedOn w:val="Fuentedeprrafopredeter"/>
    <w:link w:val="Ttulo5"/>
    <w:uiPriority w:val="9"/>
    <w:rsid w:val="000A52D5"/>
    <w:rPr>
      <w:rFonts w:ascii="Verdana" w:eastAsia="Times New Roman" w:hAnsi="Verdana" w:cs="Times New Roman"/>
      <w:i/>
      <w:sz w:val="20"/>
      <w:szCs w:val="24"/>
      <w:lang w:val="es-MX"/>
    </w:rPr>
  </w:style>
  <w:style w:type="character" w:customStyle="1" w:styleId="Ttulo6Car">
    <w:name w:val="Título 6 Car"/>
    <w:basedOn w:val="Fuentedeprrafopredeter"/>
    <w:link w:val="Ttulo6"/>
    <w:uiPriority w:val="9"/>
    <w:rsid w:val="000A52D5"/>
    <w:rPr>
      <w:rFonts w:ascii="Verdana" w:eastAsia="Times New Roman" w:hAnsi="Verdana" w:cs="Times New Roman"/>
      <w:spacing w:val="-2"/>
      <w:sz w:val="20"/>
      <w:szCs w:val="20"/>
      <w:lang w:val="es-MX" w:eastAsia="es-CR"/>
    </w:rPr>
  </w:style>
  <w:style w:type="character" w:customStyle="1" w:styleId="Ttulo7Car">
    <w:name w:val="Título 7 Car"/>
    <w:basedOn w:val="Fuentedeprrafopredeter"/>
    <w:link w:val="Ttulo7"/>
    <w:uiPriority w:val="9"/>
    <w:rsid w:val="000A52D5"/>
    <w:rPr>
      <w:rFonts w:ascii="Cambria" w:eastAsia="Times New Roman" w:hAnsi="Cambria" w:cs="Times New Roman"/>
      <w:i/>
      <w:iCs/>
      <w:color w:val="404040"/>
      <w:sz w:val="20"/>
      <w:szCs w:val="24"/>
      <w:lang w:val="es-MX"/>
    </w:rPr>
  </w:style>
  <w:style w:type="character" w:customStyle="1" w:styleId="Ttulo8Car">
    <w:name w:val="Título 8 Car"/>
    <w:basedOn w:val="Fuentedeprrafopredeter"/>
    <w:link w:val="Ttulo8"/>
    <w:uiPriority w:val="9"/>
    <w:rsid w:val="000A52D5"/>
    <w:rPr>
      <w:rFonts w:ascii="Verdana" w:eastAsia="Batang" w:hAnsi="Verdana" w:cs="Times"/>
      <w:i/>
      <w:sz w:val="20"/>
      <w:szCs w:val="24"/>
      <w:lang w:val="es-MX"/>
    </w:rPr>
  </w:style>
  <w:style w:type="paragraph" w:styleId="Ttulo">
    <w:name w:val="Title"/>
    <w:basedOn w:val="Normal"/>
    <w:link w:val="TtuloCar"/>
    <w:qFormat/>
    <w:rsid w:val="000A52D5"/>
    <w:pPr>
      <w:tabs>
        <w:tab w:val="clear" w:pos="4419"/>
        <w:tab w:val="clear" w:pos="8838"/>
      </w:tabs>
      <w:jc w:val="center"/>
    </w:pPr>
    <w:rPr>
      <w:rFonts w:eastAsia="Times New Roman" w:cs="Times New Roman"/>
      <w:b/>
      <w:szCs w:val="20"/>
      <w:lang w:val="es-MX"/>
    </w:rPr>
  </w:style>
  <w:style w:type="character" w:customStyle="1" w:styleId="TtuloCar">
    <w:name w:val="Título Car"/>
    <w:basedOn w:val="Fuentedeprrafopredeter"/>
    <w:link w:val="Ttulo"/>
    <w:rsid w:val="000A52D5"/>
    <w:rPr>
      <w:rFonts w:ascii="Verdana" w:eastAsia="Times New Roman" w:hAnsi="Verdana" w:cs="Times New Roman"/>
      <w:b/>
      <w:sz w:val="20"/>
      <w:szCs w:val="20"/>
      <w:lang w:val="es-MX"/>
    </w:rPr>
  </w:style>
  <w:style w:type="paragraph" w:styleId="Subttulo">
    <w:name w:val="Subtitle"/>
    <w:basedOn w:val="Normal"/>
    <w:next w:val="Normal"/>
    <w:link w:val="SubttuloCar"/>
    <w:qFormat/>
    <w:rsid w:val="000A52D5"/>
    <w:pPr>
      <w:numPr>
        <w:ilvl w:val="1"/>
      </w:numPr>
      <w:tabs>
        <w:tab w:val="clear" w:pos="4419"/>
        <w:tab w:val="clear" w:pos="8838"/>
      </w:tabs>
      <w:jc w:val="center"/>
    </w:pPr>
    <w:rPr>
      <w:rFonts w:eastAsia="Times New Roman" w:cs="Times New Roman"/>
      <w:b/>
      <w:i/>
      <w:iCs/>
      <w:spacing w:val="15"/>
      <w:szCs w:val="24"/>
      <w:lang w:val="es-MX"/>
    </w:rPr>
  </w:style>
  <w:style w:type="character" w:customStyle="1" w:styleId="SubttuloCar">
    <w:name w:val="Subtítulo Car"/>
    <w:basedOn w:val="Fuentedeprrafopredeter"/>
    <w:link w:val="Subttulo"/>
    <w:rsid w:val="000A52D5"/>
    <w:rPr>
      <w:rFonts w:ascii="Verdana" w:eastAsia="Times New Roman" w:hAnsi="Verdana" w:cs="Times New Roman"/>
      <w:b/>
      <w:i/>
      <w:iCs/>
      <w:spacing w:val="15"/>
      <w:sz w:val="20"/>
      <w:szCs w:val="24"/>
      <w:lang w:val="es-MX"/>
    </w:rPr>
  </w:style>
  <w:style w:type="paragraph" w:customStyle="1" w:styleId="citaindirecta">
    <w:name w:val="cita indirecta"/>
    <w:basedOn w:val="Normal"/>
    <w:uiPriority w:val="99"/>
    <w:rsid w:val="000A52D5"/>
    <w:pPr>
      <w:tabs>
        <w:tab w:val="clear" w:pos="4419"/>
        <w:tab w:val="clear" w:pos="8838"/>
      </w:tabs>
      <w:ind w:left="708"/>
    </w:pPr>
    <w:rPr>
      <w:rFonts w:eastAsia="Times New Roman" w:cs="Times New Roman"/>
      <w:szCs w:val="20"/>
      <w:lang w:val="es-MX"/>
    </w:rPr>
  </w:style>
  <w:style w:type="paragraph" w:customStyle="1" w:styleId="Estilo1">
    <w:name w:val="Estilo1"/>
    <w:basedOn w:val="Normal"/>
    <w:link w:val="Estilo1Car"/>
    <w:qFormat/>
    <w:rsid w:val="000A52D5"/>
    <w:pPr>
      <w:tabs>
        <w:tab w:val="clear" w:pos="4419"/>
        <w:tab w:val="clear" w:pos="8838"/>
      </w:tabs>
      <w:spacing w:after="120"/>
      <w:ind w:left="2018" w:right="6" w:hanging="180"/>
    </w:pPr>
    <w:rPr>
      <w:rFonts w:eastAsia="Batang" w:cs="Times"/>
      <w:i/>
      <w:szCs w:val="24"/>
      <w:lang w:val="es-MX"/>
    </w:rPr>
  </w:style>
  <w:style w:type="character" w:customStyle="1" w:styleId="Estilo1Car">
    <w:name w:val="Estilo1 Car"/>
    <w:link w:val="Estilo1"/>
    <w:rsid w:val="000A52D5"/>
    <w:rPr>
      <w:rFonts w:ascii="Verdana" w:eastAsia="Batang" w:hAnsi="Verdana" w:cs="Times"/>
      <w:i/>
      <w:sz w:val="20"/>
      <w:szCs w:val="24"/>
      <w:lang w:val="es-MX"/>
    </w:rPr>
  </w:style>
  <w:style w:type="paragraph" w:customStyle="1" w:styleId="Style1">
    <w:name w:val="Style1"/>
    <w:basedOn w:val="Ttulo1"/>
    <w:link w:val="Style1Char"/>
    <w:qFormat/>
    <w:rsid w:val="000A52D5"/>
    <w:pPr>
      <w:spacing w:before="0"/>
    </w:pPr>
    <w:rPr>
      <w:lang w:val="es-ES"/>
    </w:rPr>
  </w:style>
  <w:style w:type="character" w:customStyle="1" w:styleId="Style1Char">
    <w:name w:val="Style1 Char"/>
    <w:link w:val="Style1"/>
    <w:rsid w:val="000A52D5"/>
    <w:rPr>
      <w:rFonts w:ascii="Verdana" w:eastAsia="Times New Roman" w:hAnsi="Verdana" w:cs="Verdana"/>
      <w:b/>
      <w:bCs/>
      <w:caps/>
      <w:snapToGrid w:val="0"/>
      <w:sz w:val="20"/>
      <w:szCs w:val="20"/>
      <w:lang w:val="es-ES" w:eastAsia="es-ES"/>
    </w:rPr>
  </w:style>
  <w:style w:type="paragraph" w:customStyle="1" w:styleId="Estilo7">
    <w:name w:val="Estilo7"/>
    <w:basedOn w:val="Normal"/>
    <w:qFormat/>
    <w:rsid w:val="000A52D5"/>
    <w:pPr>
      <w:numPr>
        <w:ilvl w:val="2"/>
        <w:numId w:val="5"/>
      </w:numPr>
      <w:tabs>
        <w:tab w:val="clear" w:pos="4419"/>
        <w:tab w:val="clear" w:pos="8838"/>
        <w:tab w:val="left" w:pos="567"/>
        <w:tab w:val="left" w:pos="851"/>
      </w:tabs>
      <w:spacing w:before="120" w:after="120"/>
    </w:pPr>
    <w:rPr>
      <w:rFonts w:eastAsia="Batang" w:cs="Times New Roman"/>
      <w:b/>
      <w:i/>
      <w:szCs w:val="20"/>
      <w:lang w:val="es-MX" w:eastAsia="es-MX"/>
    </w:rPr>
  </w:style>
  <w:style w:type="paragraph" w:customStyle="1" w:styleId="Footnotes">
    <w:name w:val="**. Footnotes"/>
    <w:basedOn w:val="Textonotapie"/>
    <w:link w:val="FootnotesChar"/>
    <w:autoRedefine/>
    <w:qFormat/>
    <w:rsid w:val="00B13CD7"/>
    <w:pPr>
      <w:tabs>
        <w:tab w:val="clear" w:pos="4419"/>
        <w:tab w:val="clear" w:pos="8838"/>
      </w:tabs>
    </w:pPr>
    <w:rPr>
      <w:rFonts w:eastAsia="Times New Roman" w:cs="Times New Roman"/>
      <w:bCs/>
      <w:iCs/>
      <w:lang w:val="pt-BR" w:eastAsia="x-none"/>
    </w:rPr>
  </w:style>
  <w:style w:type="character" w:customStyle="1" w:styleId="FootnotesChar">
    <w:name w:val="**. Footnotes Char"/>
    <w:link w:val="Footnotes"/>
    <w:rsid w:val="00B13CD7"/>
    <w:rPr>
      <w:rFonts w:ascii="Verdana" w:eastAsia="Times New Roman" w:hAnsi="Verdana" w:cs="Times New Roman"/>
      <w:bCs/>
      <w:iCs/>
      <w:sz w:val="16"/>
      <w:szCs w:val="16"/>
      <w:lang w:val="pt-BR" w:eastAsia="x-none"/>
    </w:rPr>
  </w:style>
  <w:style w:type="paragraph" w:customStyle="1" w:styleId="Style2">
    <w:name w:val="Style2"/>
    <w:basedOn w:val="Ttulo2"/>
    <w:link w:val="Style2Char"/>
    <w:autoRedefine/>
    <w:qFormat/>
    <w:rsid w:val="000A52D5"/>
    <w:pPr>
      <w:spacing w:before="360"/>
    </w:pPr>
    <w:rPr>
      <w:lang w:val="es-CR"/>
    </w:rPr>
  </w:style>
  <w:style w:type="character" w:customStyle="1" w:styleId="Style2Char">
    <w:name w:val="Style2 Char"/>
    <w:link w:val="Style2"/>
    <w:rsid w:val="000A52D5"/>
    <w:rPr>
      <w:rFonts w:ascii="Verdana" w:eastAsia="Times New Roman" w:hAnsi="Verdana" w:cs="Times New Roman"/>
      <w:b/>
      <w:bCs/>
      <w:i/>
      <w:sz w:val="20"/>
      <w:szCs w:val="20"/>
    </w:rPr>
  </w:style>
  <w:style w:type="paragraph" w:styleId="TDC4">
    <w:name w:val="toc 4"/>
    <w:basedOn w:val="Normal"/>
    <w:next w:val="Normal"/>
    <w:autoRedefine/>
    <w:uiPriority w:val="39"/>
    <w:unhideWhenUsed/>
    <w:rsid w:val="000A52D5"/>
    <w:pPr>
      <w:tabs>
        <w:tab w:val="clear" w:pos="4419"/>
        <w:tab w:val="clear" w:pos="8838"/>
      </w:tabs>
      <w:spacing w:before="60" w:after="60"/>
      <w:ind w:left="601"/>
      <w:contextualSpacing/>
    </w:pPr>
    <w:rPr>
      <w:rFonts w:eastAsia="Batang" w:cs="Times"/>
      <w:sz w:val="18"/>
      <w:szCs w:val="24"/>
      <w:lang w:val="es-MX"/>
    </w:rPr>
  </w:style>
  <w:style w:type="paragraph" w:styleId="TDC5">
    <w:name w:val="toc 5"/>
    <w:basedOn w:val="Normal"/>
    <w:next w:val="Normal"/>
    <w:autoRedefine/>
    <w:uiPriority w:val="39"/>
    <w:unhideWhenUsed/>
    <w:rsid w:val="000A52D5"/>
    <w:pPr>
      <w:tabs>
        <w:tab w:val="clear" w:pos="4419"/>
        <w:tab w:val="clear" w:pos="8838"/>
      </w:tabs>
      <w:spacing w:before="60" w:after="60"/>
      <w:ind w:left="799"/>
      <w:contextualSpacing/>
    </w:pPr>
    <w:rPr>
      <w:rFonts w:eastAsia="Batang" w:cs="Times"/>
      <w:sz w:val="18"/>
      <w:szCs w:val="24"/>
      <w:lang w:val="es-MX"/>
    </w:rPr>
  </w:style>
  <w:style w:type="paragraph" w:customStyle="1" w:styleId="Encabezadodetabladecontenido">
    <w:name w:val="Encabezado de tabla de contenido"/>
    <w:basedOn w:val="Ttulo1"/>
    <w:next w:val="Normal"/>
    <w:uiPriority w:val="39"/>
    <w:unhideWhenUsed/>
    <w:qFormat/>
    <w:rsid w:val="000A52D5"/>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customStyle="1" w:styleId="PrrafodeSentencia0">
    <w:name w:val="*. Párrafo de Sentencia"/>
    <w:basedOn w:val="Textonotapie"/>
    <w:link w:val="PrrafodeSentenciaChar"/>
    <w:autoRedefine/>
    <w:qFormat/>
    <w:rsid w:val="000A52D5"/>
    <w:pPr>
      <w:widowControl w:val="0"/>
      <w:tabs>
        <w:tab w:val="clear" w:pos="4419"/>
        <w:tab w:val="clear" w:pos="8838"/>
      </w:tabs>
      <w:spacing w:before="240" w:after="240"/>
      <w:ind w:firstLine="720"/>
    </w:pPr>
    <w:rPr>
      <w:rFonts w:eastAsia="Batang" w:cs="Times New Roman"/>
      <w:lang w:eastAsia="es-MX" w:bidi="en-US"/>
    </w:rPr>
  </w:style>
  <w:style w:type="paragraph" w:customStyle="1" w:styleId="Estilo2">
    <w:name w:val="Estilo2"/>
    <w:basedOn w:val="Normal"/>
    <w:link w:val="Estilo2Car"/>
    <w:qFormat/>
    <w:rsid w:val="000A52D5"/>
    <w:pPr>
      <w:tabs>
        <w:tab w:val="clear" w:pos="4419"/>
        <w:tab w:val="clear" w:pos="8838"/>
        <w:tab w:val="left" w:pos="567"/>
        <w:tab w:val="left" w:pos="1134"/>
        <w:tab w:val="num" w:pos="4767"/>
      </w:tabs>
      <w:spacing w:after="120"/>
      <w:ind w:firstLine="357"/>
    </w:pPr>
    <w:rPr>
      <w:rFonts w:eastAsia="Calibri" w:cs="Times New Roman"/>
      <w:szCs w:val="20"/>
      <w:lang w:val="es-MX" w:eastAsia="x-none"/>
    </w:rPr>
  </w:style>
  <w:style w:type="table" w:styleId="Cuadrculaclara-nfasis3">
    <w:name w:val="Light Grid Accent 3"/>
    <w:basedOn w:val="Tablanormal"/>
    <w:uiPriority w:val="99"/>
    <w:rsid w:val="000A52D5"/>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0A52D5"/>
    <w:rPr>
      <w:rFonts w:cs="Times New Roman"/>
    </w:rPr>
  </w:style>
  <w:style w:type="paragraph" w:styleId="Textoindependiente">
    <w:name w:val="Body Text"/>
    <w:basedOn w:val="Normal"/>
    <w:link w:val="TextoindependienteCar"/>
    <w:uiPriority w:val="99"/>
    <w:unhideWhenUsed/>
    <w:rsid w:val="000A52D5"/>
    <w:pPr>
      <w:tabs>
        <w:tab w:val="clear" w:pos="4419"/>
        <w:tab w:val="clear" w:pos="8838"/>
      </w:tabs>
    </w:pPr>
    <w:rPr>
      <w:rFonts w:ascii="Garamond" w:eastAsia="Times" w:hAnsi="Garamond" w:cs="Times New Roman"/>
      <w:sz w:val="22"/>
      <w:szCs w:val="20"/>
      <w:lang w:val="es-MX"/>
    </w:rPr>
  </w:style>
  <w:style w:type="character" w:customStyle="1" w:styleId="TextoindependienteCar">
    <w:name w:val="Texto independiente Car"/>
    <w:basedOn w:val="Fuentedeprrafopredeter"/>
    <w:link w:val="Textoindependiente"/>
    <w:uiPriority w:val="99"/>
    <w:rsid w:val="000A52D5"/>
    <w:rPr>
      <w:rFonts w:ascii="Garamond" w:eastAsia="Times" w:hAnsi="Garamond" w:cs="Times New Roman"/>
      <w:szCs w:val="20"/>
      <w:lang w:val="es-MX"/>
    </w:rPr>
  </w:style>
  <w:style w:type="paragraph" w:customStyle="1" w:styleId="NotasProyectos">
    <w:name w:val="Notas Proyectos"/>
    <w:basedOn w:val="Normal"/>
    <w:link w:val="NotasProyectosChar"/>
    <w:autoRedefine/>
    <w:qFormat/>
    <w:rsid w:val="000A52D5"/>
    <w:pPr>
      <w:tabs>
        <w:tab w:val="clear" w:pos="4419"/>
        <w:tab w:val="clear" w:pos="8838"/>
      </w:tabs>
      <w:spacing w:before="120"/>
      <w:ind w:left="720"/>
    </w:pPr>
    <w:rPr>
      <w:rFonts w:eastAsia="Times New Roman" w:cs="Times New Roman"/>
      <w:szCs w:val="20"/>
      <w:lang w:val="es-MX" w:eastAsia="es-ES"/>
    </w:rPr>
  </w:style>
  <w:style w:type="character" w:customStyle="1" w:styleId="NotasProyectosChar">
    <w:name w:val="Notas Proyectos Char"/>
    <w:link w:val="NotasProyectos"/>
    <w:rsid w:val="000A52D5"/>
    <w:rPr>
      <w:rFonts w:ascii="Verdana" w:eastAsia="Times New Roman" w:hAnsi="Verdana" w:cs="Times New Roman"/>
      <w:sz w:val="20"/>
      <w:szCs w:val="20"/>
      <w:lang w:val="es-MX" w:eastAsia="es-ES"/>
    </w:rPr>
  </w:style>
  <w:style w:type="paragraph" w:customStyle="1" w:styleId="1Prrafosentencia">
    <w:name w:val="1. Párrafo sentencia"/>
    <w:autoRedefine/>
    <w:qFormat/>
    <w:rsid w:val="000A52D5"/>
    <w:pPr>
      <w:spacing w:before="120" w:after="120"/>
      <w:ind w:left="1440" w:hanging="360"/>
      <w:jc w:val="both"/>
    </w:pPr>
    <w:rPr>
      <w:rFonts w:eastAsia="Times New Roman" w:cs="Univers"/>
      <w:color w:val="000000"/>
      <w:sz w:val="24"/>
      <w:lang w:val="en-US"/>
    </w:rPr>
  </w:style>
  <w:style w:type="paragraph" w:styleId="Sangradetextonormal">
    <w:name w:val="Body Text Indent"/>
    <w:basedOn w:val="Normal"/>
    <w:link w:val="SangradetextonormalCar"/>
    <w:uiPriority w:val="99"/>
    <w:unhideWhenUsed/>
    <w:rsid w:val="000A52D5"/>
    <w:pPr>
      <w:tabs>
        <w:tab w:val="clear" w:pos="4419"/>
        <w:tab w:val="clear" w:pos="8838"/>
        <w:tab w:val="left" w:pos="1276"/>
      </w:tabs>
      <w:spacing w:before="120" w:after="120"/>
      <w:ind w:left="1996" w:firstLine="164"/>
    </w:pPr>
    <w:rPr>
      <w:rFonts w:eastAsia="Batang" w:cs="Arial"/>
      <w:i/>
      <w:szCs w:val="20"/>
      <w:lang w:val="es-MX"/>
    </w:rPr>
  </w:style>
  <w:style w:type="character" w:customStyle="1" w:styleId="SangradetextonormalCar">
    <w:name w:val="Sangría de texto normal Car"/>
    <w:basedOn w:val="Fuentedeprrafopredeter"/>
    <w:link w:val="Sangradetextonormal"/>
    <w:uiPriority w:val="99"/>
    <w:rsid w:val="000A52D5"/>
    <w:rPr>
      <w:rFonts w:ascii="Verdana" w:eastAsia="Batang" w:hAnsi="Verdana" w:cs="Arial"/>
      <w:i/>
      <w:sz w:val="20"/>
      <w:szCs w:val="20"/>
      <w:lang w:val="es-MX"/>
    </w:rPr>
  </w:style>
  <w:style w:type="character" w:styleId="nfasis">
    <w:name w:val="Emphasis"/>
    <w:uiPriority w:val="20"/>
    <w:qFormat/>
    <w:rsid w:val="000A52D5"/>
    <w:rPr>
      <w:i/>
      <w:iCs/>
    </w:rPr>
  </w:style>
  <w:style w:type="paragraph" w:customStyle="1" w:styleId="Prrafonumerado">
    <w:name w:val="Párrafo numerado"/>
    <w:basedOn w:val="Normal"/>
    <w:autoRedefine/>
    <w:rsid w:val="000A52D5"/>
    <w:pPr>
      <w:tabs>
        <w:tab w:val="clear" w:pos="4419"/>
        <w:tab w:val="clear" w:pos="8838"/>
      </w:tabs>
      <w:spacing w:before="120" w:after="120"/>
      <w:ind w:left="567" w:right="855"/>
    </w:pPr>
    <w:rPr>
      <w:rFonts w:eastAsia="Times New Roman" w:cs="Times New Roman"/>
      <w:sz w:val="16"/>
      <w:szCs w:val="16"/>
      <w:lang w:val="es-CO" w:eastAsia="es-ES"/>
    </w:rPr>
  </w:style>
  <w:style w:type="paragraph" w:customStyle="1" w:styleId="2Footnotes">
    <w:name w:val="2. Footnotes"/>
    <w:basedOn w:val="Textonotapie"/>
    <w:link w:val="2FootnotesChar"/>
    <w:autoRedefine/>
    <w:qFormat/>
    <w:rsid w:val="000A52D5"/>
    <w:pPr>
      <w:tabs>
        <w:tab w:val="clear" w:pos="4419"/>
        <w:tab w:val="clear" w:pos="8838"/>
      </w:tabs>
      <w:spacing w:before="120" w:after="120"/>
    </w:pPr>
    <w:rPr>
      <w:rFonts w:eastAsia="Times New Roman" w:cs="Palatino-Italic"/>
      <w:iCs/>
      <w:szCs w:val="18"/>
      <w:lang w:val="es-ES"/>
    </w:rPr>
  </w:style>
  <w:style w:type="character" w:customStyle="1" w:styleId="2FootnotesChar">
    <w:name w:val="2. Footnotes Char"/>
    <w:link w:val="2Footnotes"/>
    <w:rsid w:val="000A52D5"/>
    <w:rPr>
      <w:rFonts w:ascii="Verdana" w:eastAsia="Times New Roman" w:hAnsi="Verdana" w:cs="Palatino-Italic"/>
      <w:iCs/>
      <w:sz w:val="16"/>
      <w:szCs w:val="18"/>
      <w:lang w:val="es-ES"/>
    </w:rPr>
  </w:style>
  <w:style w:type="paragraph" w:styleId="Mapadeldocumento">
    <w:name w:val="Document Map"/>
    <w:basedOn w:val="Normal"/>
    <w:link w:val="MapadeldocumentoCar"/>
    <w:uiPriority w:val="99"/>
    <w:semiHidden/>
    <w:unhideWhenUsed/>
    <w:rsid w:val="000A52D5"/>
    <w:pPr>
      <w:tabs>
        <w:tab w:val="clear" w:pos="4419"/>
        <w:tab w:val="clear" w:pos="8838"/>
      </w:tabs>
    </w:pPr>
    <w:rPr>
      <w:rFonts w:ascii="Tahoma" w:eastAsia="Batang" w:hAnsi="Tahoma" w:cs="Tahoma"/>
      <w:sz w:val="16"/>
      <w:szCs w:val="16"/>
      <w:lang w:val="es-MX"/>
    </w:rPr>
  </w:style>
  <w:style w:type="character" w:customStyle="1" w:styleId="MapadeldocumentoCar">
    <w:name w:val="Mapa del documento Car"/>
    <w:basedOn w:val="Fuentedeprrafopredeter"/>
    <w:link w:val="Mapadeldocumento"/>
    <w:uiPriority w:val="99"/>
    <w:semiHidden/>
    <w:rsid w:val="000A52D5"/>
    <w:rPr>
      <w:rFonts w:ascii="Tahoma" w:eastAsia="Batang" w:hAnsi="Tahoma" w:cs="Tahoma"/>
      <w:sz w:val="16"/>
      <w:szCs w:val="16"/>
      <w:lang w:val="es-MX"/>
    </w:rPr>
  </w:style>
  <w:style w:type="paragraph" w:styleId="Textonotaalfinal">
    <w:name w:val="endnote text"/>
    <w:basedOn w:val="Normal"/>
    <w:link w:val="TextonotaalfinalCar"/>
    <w:unhideWhenUsed/>
    <w:rsid w:val="000A52D5"/>
    <w:pPr>
      <w:tabs>
        <w:tab w:val="clear" w:pos="4419"/>
        <w:tab w:val="clear" w:pos="8838"/>
      </w:tabs>
    </w:pPr>
    <w:rPr>
      <w:rFonts w:eastAsia="Batang" w:cs="Times"/>
      <w:szCs w:val="20"/>
      <w:lang w:val="es-MX"/>
    </w:rPr>
  </w:style>
  <w:style w:type="character" w:customStyle="1" w:styleId="TextonotaalfinalCar">
    <w:name w:val="Texto nota al final Car"/>
    <w:basedOn w:val="Fuentedeprrafopredeter"/>
    <w:link w:val="Textonotaalfinal"/>
    <w:rsid w:val="000A52D5"/>
    <w:rPr>
      <w:rFonts w:ascii="Verdana" w:eastAsia="Batang" w:hAnsi="Verdana" w:cs="Times"/>
      <w:sz w:val="20"/>
      <w:szCs w:val="20"/>
      <w:lang w:val="es-MX"/>
    </w:rPr>
  </w:style>
  <w:style w:type="character" w:styleId="Refdenotaalfinal">
    <w:name w:val="endnote reference"/>
    <w:semiHidden/>
    <w:unhideWhenUsed/>
    <w:rsid w:val="000A52D5"/>
    <w:rPr>
      <w:vertAlign w:val="superscript"/>
    </w:rPr>
  </w:style>
  <w:style w:type="paragraph" w:customStyle="1" w:styleId="PrrafodeSentencia">
    <w:name w:val="Párrafo de Sentencia"/>
    <w:autoRedefine/>
    <w:qFormat/>
    <w:rsid w:val="000A52D5"/>
    <w:pPr>
      <w:numPr>
        <w:ilvl w:val="4"/>
        <w:numId w:val="6"/>
      </w:numPr>
      <w:tabs>
        <w:tab w:val="num" w:pos="360"/>
      </w:tabs>
      <w:ind w:left="720" w:firstLine="0"/>
      <w:contextualSpacing/>
      <w:jc w:val="both"/>
    </w:pPr>
    <w:rPr>
      <w:rFonts w:eastAsia="Times New Roman" w:cs="Times New Roman"/>
      <w:szCs w:val="20"/>
      <w:lang w:val="en-US" w:eastAsia="es-ES"/>
    </w:rPr>
  </w:style>
  <w:style w:type="paragraph" w:customStyle="1" w:styleId="Textonotapie1">
    <w:name w:val="Texto nota pie1"/>
    <w:basedOn w:val="Normal"/>
    <w:semiHidden/>
    <w:rsid w:val="000A52D5"/>
    <w:pPr>
      <w:tabs>
        <w:tab w:val="clear" w:pos="4419"/>
        <w:tab w:val="clear" w:pos="8838"/>
      </w:tabs>
    </w:pPr>
    <w:rPr>
      <w:rFonts w:eastAsia="Times New Roman" w:cs="Times New Roman"/>
      <w:szCs w:val="20"/>
      <w:lang w:val="es-MX" w:eastAsia="es-ES"/>
    </w:rPr>
  </w:style>
  <w:style w:type="paragraph" w:styleId="TDC6">
    <w:name w:val="toc 6"/>
    <w:basedOn w:val="Normal"/>
    <w:next w:val="Normal"/>
    <w:autoRedefine/>
    <w:uiPriority w:val="39"/>
    <w:unhideWhenUsed/>
    <w:rsid w:val="000A52D5"/>
    <w:pPr>
      <w:tabs>
        <w:tab w:val="clear" w:pos="4419"/>
        <w:tab w:val="clear" w:pos="8838"/>
      </w:tabs>
      <w:spacing w:after="100" w:line="276" w:lineRule="auto"/>
      <w:ind w:left="1100"/>
    </w:pPr>
    <w:rPr>
      <w:rFonts w:ascii="Calibri" w:eastAsia="Times New Roman" w:hAnsi="Calibri" w:cs="Times New Roman"/>
      <w:sz w:val="22"/>
      <w:lang w:eastAsia="es-CR"/>
    </w:rPr>
  </w:style>
  <w:style w:type="paragraph" w:styleId="TDC7">
    <w:name w:val="toc 7"/>
    <w:basedOn w:val="Normal"/>
    <w:next w:val="Normal"/>
    <w:autoRedefine/>
    <w:uiPriority w:val="39"/>
    <w:unhideWhenUsed/>
    <w:rsid w:val="000A52D5"/>
    <w:pPr>
      <w:tabs>
        <w:tab w:val="clear" w:pos="4419"/>
        <w:tab w:val="clear" w:pos="8838"/>
      </w:tabs>
      <w:spacing w:after="100" w:line="276" w:lineRule="auto"/>
      <w:ind w:left="1320"/>
    </w:pPr>
    <w:rPr>
      <w:rFonts w:ascii="Calibri" w:eastAsia="Times New Roman" w:hAnsi="Calibri" w:cs="Times New Roman"/>
      <w:sz w:val="22"/>
      <w:lang w:eastAsia="es-CR"/>
    </w:rPr>
  </w:style>
  <w:style w:type="paragraph" w:styleId="TDC8">
    <w:name w:val="toc 8"/>
    <w:basedOn w:val="Normal"/>
    <w:next w:val="Normal"/>
    <w:autoRedefine/>
    <w:uiPriority w:val="39"/>
    <w:unhideWhenUsed/>
    <w:rsid w:val="000A52D5"/>
    <w:pPr>
      <w:tabs>
        <w:tab w:val="clear" w:pos="4419"/>
        <w:tab w:val="clear" w:pos="8838"/>
      </w:tabs>
      <w:spacing w:after="100" w:line="276" w:lineRule="auto"/>
      <w:ind w:left="1540"/>
    </w:pPr>
    <w:rPr>
      <w:rFonts w:ascii="Calibri" w:eastAsia="Times New Roman" w:hAnsi="Calibri" w:cs="Times New Roman"/>
      <w:sz w:val="22"/>
      <w:lang w:eastAsia="es-CR"/>
    </w:rPr>
  </w:style>
  <w:style w:type="paragraph" w:styleId="TDC9">
    <w:name w:val="toc 9"/>
    <w:basedOn w:val="Normal"/>
    <w:next w:val="Normal"/>
    <w:autoRedefine/>
    <w:uiPriority w:val="39"/>
    <w:unhideWhenUsed/>
    <w:rsid w:val="000A52D5"/>
    <w:pPr>
      <w:tabs>
        <w:tab w:val="clear" w:pos="4419"/>
        <w:tab w:val="clear" w:pos="8838"/>
      </w:tabs>
      <w:spacing w:after="100" w:line="276" w:lineRule="auto"/>
      <w:ind w:left="1760"/>
    </w:pPr>
    <w:rPr>
      <w:rFonts w:ascii="Calibri" w:eastAsia="Times New Roman" w:hAnsi="Calibri" w:cs="Times New Roman"/>
      <w:sz w:val="22"/>
      <w:lang w:eastAsia="es-CR"/>
    </w:rPr>
  </w:style>
  <w:style w:type="character" w:customStyle="1" w:styleId="normalchar">
    <w:name w:val="normal__char"/>
    <w:basedOn w:val="Fuentedeprrafopredeter"/>
    <w:rsid w:val="000A52D5"/>
  </w:style>
  <w:style w:type="character" w:customStyle="1" w:styleId="apple-converted-space">
    <w:name w:val="apple-converted-space"/>
    <w:basedOn w:val="Fuentedeprrafopredeter"/>
    <w:rsid w:val="000A52D5"/>
  </w:style>
  <w:style w:type="paragraph" w:styleId="NormalWeb">
    <w:name w:val="Normal (Web)"/>
    <w:aliases w:val="Normal (Web) Char1,Normal (Web) Char Char,Normal (Web) Char1 Char,Normal (Web) Char Char Char"/>
    <w:basedOn w:val="Normal"/>
    <w:uiPriority w:val="99"/>
    <w:unhideWhenUsed/>
    <w:rsid w:val="000A52D5"/>
    <w:pPr>
      <w:tabs>
        <w:tab w:val="clear" w:pos="4419"/>
        <w:tab w:val="clear" w:pos="8838"/>
      </w:tabs>
      <w:spacing w:before="100" w:beforeAutospacing="1" w:after="100" w:afterAutospacing="1"/>
    </w:pPr>
    <w:rPr>
      <w:rFonts w:eastAsia="Times New Roman" w:cs="Times New Roman"/>
      <w:szCs w:val="24"/>
      <w:lang w:eastAsia="es-CR"/>
    </w:rPr>
  </w:style>
  <w:style w:type="character" w:styleId="Nmerodelnea">
    <w:name w:val="line number"/>
    <w:basedOn w:val="Fuentedeprrafopredeter"/>
    <w:uiPriority w:val="99"/>
    <w:semiHidden/>
    <w:unhideWhenUsed/>
    <w:rsid w:val="000A52D5"/>
  </w:style>
  <w:style w:type="character" w:customStyle="1" w:styleId="PrrafodeSentenciaChar">
    <w:name w:val="*. Párrafo de Sentencia Char"/>
    <w:link w:val="PrrafodeSentencia0"/>
    <w:rsid w:val="000A52D5"/>
    <w:rPr>
      <w:rFonts w:ascii="Verdana" w:eastAsia="Batang" w:hAnsi="Verdana" w:cs="Times New Roman"/>
      <w:sz w:val="20"/>
      <w:szCs w:val="20"/>
      <w:lang w:eastAsia="es-MX" w:bidi="en-US"/>
    </w:rPr>
  </w:style>
  <w:style w:type="character" w:customStyle="1" w:styleId="Caracteresdenotafinal">
    <w:name w:val="Caracteres de nota final"/>
    <w:rsid w:val="000A52D5"/>
    <w:rPr>
      <w:vertAlign w:val="superscript"/>
    </w:rPr>
  </w:style>
  <w:style w:type="character" w:customStyle="1" w:styleId="FootnoteRef">
    <w:name w:val="Footnote Ref"/>
    <w:rsid w:val="000A52D5"/>
    <w:rPr>
      <w:rFonts w:cs="Times New Roman"/>
      <w:vertAlign w:val="superscript"/>
    </w:rPr>
  </w:style>
  <w:style w:type="paragraph" w:styleId="Textosinformato">
    <w:name w:val="Plain Text"/>
    <w:basedOn w:val="Normal"/>
    <w:link w:val="TextosinformatoCar"/>
    <w:uiPriority w:val="99"/>
    <w:unhideWhenUsed/>
    <w:rsid w:val="000A52D5"/>
    <w:pPr>
      <w:tabs>
        <w:tab w:val="clear" w:pos="4419"/>
        <w:tab w:val="clear" w:pos="8838"/>
      </w:tabs>
    </w:pPr>
    <w:rPr>
      <w:rFonts w:ascii="Consolas" w:eastAsia="Calibri" w:hAnsi="Consolas" w:cs="Consolas"/>
      <w:sz w:val="21"/>
      <w:szCs w:val="21"/>
      <w:lang w:eastAsia="es-CR"/>
    </w:rPr>
  </w:style>
  <w:style w:type="character" w:customStyle="1" w:styleId="TextosinformatoCar">
    <w:name w:val="Texto sin formato Car"/>
    <w:basedOn w:val="Fuentedeprrafopredeter"/>
    <w:link w:val="Textosinformato"/>
    <w:uiPriority w:val="99"/>
    <w:rsid w:val="000A52D5"/>
    <w:rPr>
      <w:rFonts w:ascii="Consolas" w:eastAsia="Calibri" w:hAnsi="Consolas" w:cs="Consolas"/>
      <w:sz w:val="21"/>
      <w:szCs w:val="21"/>
      <w:lang w:eastAsia="es-CR"/>
    </w:rPr>
  </w:style>
  <w:style w:type="character" w:styleId="Hipervnculovisitado">
    <w:name w:val="FollowedHyperlink"/>
    <w:uiPriority w:val="99"/>
    <w:semiHidden/>
    <w:unhideWhenUsed/>
    <w:rsid w:val="000A52D5"/>
    <w:rPr>
      <w:color w:val="800080"/>
      <w:u w:val="single"/>
    </w:rPr>
  </w:style>
  <w:style w:type="paragraph" w:customStyle="1" w:styleId="CM15">
    <w:name w:val="CM15"/>
    <w:basedOn w:val="Default"/>
    <w:next w:val="Default"/>
    <w:uiPriority w:val="99"/>
    <w:rsid w:val="000A52D5"/>
    <w:pPr>
      <w:spacing w:line="276" w:lineRule="atLeast"/>
    </w:pPr>
    <w:rPr>
      <w:rFonts w:ascii="Arial" w:hAnsi="Arial" w:cs="Arial"/>
      <w:color w:val="auto"/>
    </w:rPr>
  </w:style>
  <w:style w:type="character" w:customStyle="1" w:styleId="longtext1">
    <w:name w:val="long_text1"/>
    <w:rsid w:val="000A52D5"/>
    <w:rPr>
      <w:sz w:val="14"/>
      <w:szCs w:val="14"/>
    </w:rPr>
  </w:style>
  <w:style w:type="character" w:customStyle="1" w:styleId="ListParagraphChar1">
    <w:name w:val="List Paragraph Char1"/>
    <w:aliases w:val="Footnote Char2"/>
    <w:uiPriority w:val="99"/>
    <w:rsid w:val="000A52D5"/>
    <w:rPr>
      <w:rFonts w:ascii="Verdana" w:eastAsia="Times New Roman" w:hAnsi="Verdana"/>
      <w:lang w:val="es-ES_tradnl" w:eastAsia="en-US"/>
    </w:rPr>
  </w:style>
  <w:style w:type="character" w:customStyle="1" w:styleId="apple-style-span">
    <w:name w:val="apple-style-span"/>
    <w:basedOn w:val="Fuentedeprrafopredeter"/>
    <w:rsid w:val="000A52D5"/>
  </w:style>
  <w:style w:type="character" w:customStyle="1" w:styleId="Refdenotaalpie2">
    <w:name w:val="Ref. de nota al pie2"/>
    <w:rsid w:val="000A52D5"/>
    <w:rPr>
      <w:vertAlign w:val="superscript"/>
    </w:rPr>
  </w:style>
  <w:style w:type="paragraph" w:customStyle="1" w:styleId="xl66">
    <w:name w:val="xl66"/>
    <w:basedOn w:val="Normal"/>
    <w:rsid w:val="000A52D5"/>
    <w:pPr>
      <w:pBdr>
        <w:top w:val="single" w:sz="8" w:space="0" w:color="auto"/>
        <w:left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67">
    <w:name w:val="xl67"/>
    <w:basedOn w:val="Normal"/>
    <w:rsid w:val="000A52D5"/>
    <w:pPr>
      <w:pBdr>
        <w:top w:val="single" w:sz="8" w:space="0" w:color="auto"/>
        <w:left w:val="single" w:sz="8" w:space="0" w:color="auto"/>
        <w:right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68">
    <w:name w:val="xl68"/>
    <w:basedOn w:val="Normal"/>
    <w:rsid w:val="000A52D5"/>
    <w:pPr>
      <w:pBdr>
        <w:top w:val="single" w:sz="8"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70">
    <w:name w:val="xl70"/>
    <w:basedOn w:val="Normal"/>
    <w:rsid w:val="000A52D5"/>
    <w:pPr>
      <w:pBdr>
        <w:top w:val="single" w:sz="4" w:space="0" w:color="auto"/>
        <w:left w:val="single" w:sz="8" w:space="0" w:color="auto"/>
        <w:bottom w:val="single" w:sz="4" w:space="0" w:color="auto"/>
      </w:pBdr>
      <w:tabs>
        <w:tab w:val="clear" w:pos="4419"/>
        <w:tab w:val="clear" w:pos="8838"/>
      </w:tabs>
      <w:spacing w:before="100" w:beforeAutospacing="1" w:after="100" w:afterAutospacing="1"/>
      <w:jc w:val="center"/>
      <w:textAlignment w:val="center"/>
    </w:pPr>
    <w:rPr>
      <w:rFonts w:ascii="Book Antiqua" w:eastAsia="Times New Roman" w:hAnsi="Book Antiqua" w:cs="Times New Roman"/>
      <w:b/>
      <w:bCs/>
      <w:color w:val="000000"/>
      <w:szCs w:val="24"/>
      <w:lang w:eastAsia="es-CR"/>
    </w:rPr>
  </w:style>
  <w:style w:type="paragraph" w:customStyle="1" w:styleId="xl71">
    <w:name w:val="xl71"/>
    <w:basedOn w:val="Normal"/>
    <w:rsid w:val="000A52D5"/>
    <w:pPr>
      <w:pBdr>
        <w:top w:val="single" w:sz="4" w:space="0" w:color="auto"/>
        <w:left w:val="single" w:sz="8" w:space="0" w:color="auto"/>
        <w:bottom w:val="single" w:sz="4"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2">
    <w:name w:val="xl72"/>
    <w:basedOn w:val="Normal"/>
    <w:rsid w:val="000A52D5"/>
    <w:pPr>
      <w:pBdr>
        <w:top w:val="single" w:sz="4" w:space="0" w:color="auto"/>
        <w:bottom w:val="single" w:sz="4"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3">
    <w:name w:val="xl73"/>
    <w:basedOn w:val="Normal"/>
    <w:rsid w:val="000A52D5"/>
    <w:pPr>
      <w:pBdr>
        <w:top w:val="single" w:sz="4" w:space="0" w:color="auto"/>
        <w:left w:val="single" w:sz="8" w:space="0" w:color="auto"/>
        <w:bottom w:val="single" w:sz="4"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4">
    <w:name w:val="xl74"/>
    <w:basedOn w:val="Normal"/>
    <w:rsid w:val="000A52D5"/>
    <w:pPr>
      <w:pBdr>
        <w:top w:val="single" w:sz="4" w:space="0" w:color="auto"/>
        <w:left w:val="single" w:sz="8" w:space="0" w:color="auto"/>
        <w:right w:val="single" w:sz="8" w:space="0" w:color="auto"/>
      </w:pBdr>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5">
    <w:name w:val="xl75"/>
    <w:basedOn w:val="Normal"/>
    <w:rsid w:val="000A52D5"/>
    <w:pPr>
      <w:pBdr>
        <w:top w:val="single" w:sz="4" w:space="0" w:color="auto"/>
        <w:left w:val="single" w:sz="8" w:space="0" w:color="auto"/>
        <w:bottom w:val="single" w:sz="4" w:space="0" w:color="auto"/>
        <w:right w:val="single" w:sz="8"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6">
    <w:name w:val="xl76"/>
    <w:basedOn w:val="Normal"/>
    <w:rsid w:val="000A52D5"/>
    <w:pPr>
      <w:pBdr>
        <w:top w:val="single" w:sz="4" w:space="0" w:color="auto"/>
        <w:bottom w:val="single" w:sz="4"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77">
    <w:name w:val="xl77"/>
    <w:basedOn w:val="Normal"/>
    <w:rsid w:val="000A52D5"/>
    <w:pPr>
      <w:pBdr>
        <w:top w:val="single" w:sz="4" w:space="0" w:color="auto"/>
        <w:left w:val="single" w:sz="8" w:space="0" w:color="auto"/>
        <w:bottom w:val="single" w:sz="4" w:space="0" w:color="auto"/>
        <w:right w:val="single" w:sz="8" w:space="0" w:color="auto"/>
      </w:pBdr>
      <w:shd w:val="clear" w:color="000000" w:fill="E6B9B8"/>
      <w:tabs>
        <w:tab w:val="clear" w:pos="4419"/>
        <w:tab w:val="clear" w:pos="8838"/>
      </w:tabs>
      <w:spacing w:before="100" w:beforeAutospacing="1" w:after="100" w:afterAutospacing="1"/>
      <w:textAlignment w:val="center"/>
    </w:pPr>
    <w:rPr>
      <w:rFonts w:ascii="Book Antiqua" w:eastAsia="Times New Roman" w:hAnsi="Book Antiqua" w:cs="Times New Roman"/>
      <w:color w:val="000000"/>
      <w:szCs w:val="24"/>
      <w:lang w:eastAsia="es-CR"/>
    </w:rPr>
  </w:style>
  <w:style w:type="paragraph" w:customStyle="1" w:styleId="xl69">
    <w:name w:val="xl69"/>
    <w:basedOn w:val="Normal"/>
    <w:rsid w:val="000A52D5"/>
    <w:pPr>
      <w:pBdr>
        <w:top w:val="single" w:sz="4" w:space="0" w:color="auto"/>
        <w:left w:val="single" w:sz="4" w:space="0" w:color="auto"/>
        <w:bottom w:val="single" w:sz="4" w:space="0" w:color="auto"/>
        <w:right w:val="single" w:sz="4" w:space="0" w:color="auto"/>
      </w:pBdr>
      <w:tabs>
        <w:tab w:val="clear" w:pos="4419"/>
        <w:tab w:val="clear" w:pos="8838"/>
      </w:tabs>
      <w:spacing w:before="100" w:beforeAutospacing="1" w:after="100" w:afterAutospacing="1"/>
      <w:jc w:val="center"/>
      <w:textAlignment w:val="center"/>
    </w:pPr>
    <w:rPr>
      <w:rFonts w:eastAsia="Times New Roman" w:cs="Times New Roman"/>
      <w:szCs w:val="24"/>
      <w:lang w:eastAsia="es-CR"/>
    </w:rPr>
  </w:style>
  <w:style w:type="paragraph" w:styleId="Sangra2detindependiente">
    <w:name w:val="Body Text Indent 2"/>
    <w:basedOn w:val="Normal"/>
    <w:link w:val="Sangra2detindependienteCar"/>
    <w:uiPriority w:val="99"/>
    <w:semiHidden/>
    <w:unhideWhenUsed/>
    <w:rsid w:val="000A52D5"/>
    <w:pPr>
      <w:tabs>
        <w:tab w:val="clear" w:pos="4419"/>
        <w:tab w:val="clear" w:pos="8838"/>
      </w:tabs>
      <w:spacing w:after="120" w:line="480" w:lineRule="auto"/>
      <w:ind w:left="283"/>
    </w:pPr>
    <w:rPr>
      <w:rFonts w:eastAsia="Batang" w:cs="Times"/>
      <w:szCs w:val="24"/>
      <w:lang w:val="es-MX"/>
    </w:rPr>
  </w:style>
  <w:style w:type="character" w:customStyle="1" w:styleId="Sangra2detindependienteCar">
    <w:name w:val="Sangría 2 de t. independiente Car"/>
    <w:basedOn w:val="Fuentedeprrafopredeter"/>
    <w:link w:val="Sangra2detindependiente"/>
    <w:uiPriority w:val="99"/>
    <w:semiHidden/>
    <w:rsid w:val="000A52D5"/>
    <w:rPr>
      <w:rFonts w:ascii="Verdana" w:eastAsia="Batang" w:hAnsi="Verdana" w:cs="Times"/>
      <w:sz w:val="20"/>
      <w:szCs w:val="24"/>
      <w:lang w:val="es-MX"/>
    </w:rPr>
  </w:style>
  <w:style w:type="paragraph" w:customStyle="1" w:styleId="NotasProyectos0">
    <w:name w:val="***. Notas Proyectos"/>
    <w:basedOn w:val="Normal"/>
    <w:link w:val="NotasProyectosChar0"/>
    <w:autoRedefine/>
    <w:qFormat/>
    <w:rsid w:val="000A52D5"/>
    <w:pPr>
      <w:tabs>
        <w:tab w:val="clear" w:pos="4419"/>
        <w:tab w:val="clear" w:pos="8838"/>
      </w:tabs>
      <w:spacing w:before="120"/>
      <w:ind w:left="720"/>
    </w:pPr>
    <w:rPr>
      <w:rFonts w:eastAsia="Times New Roman" w:cs="Times New Roman"/>
      <w:szCs w:val="20"/>
      <w:lang w:val="es-MX" w:eastAsia="es-ES"/>
    </w:rPr>
  </w:style>
  <w:style w:type="character" w:customStyle="1" w:styleId="NotasProyectosChar0">
    <w:name w:val="***. Notas Proyectos Char"/>
    <w:link w:val="NotasProyectos0"/>
    <w:rsid w:val="000A52D5"/>
    <w:rPr>
      <w:rFonts w:ascii="Verdana" w:eastAsia="Times New Roman" w:hAnsi="Verdana" w:cs="Times New Roman"/>
      <w:sz w:val="20"/>
      <w:szCs w:val="20"/>
      <w:lang w:val="es-MX" w:eastAsia="es-ES"/>
    </w:rPr>
  </w:style>
  <w:style w:type="character" w:customStyle="1" w:styleId="Smbolodenotaalpie">
    <w:name w:val="Símbolo de nota al pie"/>
    <w:rsid w:val="000A52D5"/>
    <w:rPr>
      <w:vertAlign w:val="superscript"/>
    </w:rPr>
  </w:style>
  <w:style w:type="table" w:styleId="Tablaconcuadrcula">
    <w:name w:val="Table Grid"/>
    <w:basedOn w:val="Tablanormal"/>
    <w:uiPriority w:val="59"/>
    <w:rsid w:val="000A52D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1">
    <w:name w:val="Body Text 31"/>
    <w:basedOn w:val="Normal"/>
    <w:rsid w:val="000A52D5"/>
    <w:pPr>
      <w:tabs>
        <w:tab w:val="clear" w:pos="4419"/>
        <w:tab w:val="clear" w:pos="8838"/>
      </w:tabs>
      <w:overflowPunct w:val="0"/>
      <w:autoSpaceDE w:val="0"/>
      <w:autoSpaceDN w:val="0"/>
      <w:adjustRightInd w:val="0"/>
      <w:textAlignment w:val="baseline"/>
    </w:pPr>
    <w:rPr>
      <w:rFonts w:ascii="Times" w:eastAsia="Times New Roman" w:hAnsi="Times" w:cs="Times New Roman"/>
      <w:b/>
      <w:caps/>
      <w:szCs w:val="20"/>
      <w:lang w:val="en-US" w:eastAsia="es-ES"/>
    </w:rPr>
  </w:style>
  <w:style w:type="character" w:customStyle="1" w:styleId="Estilo2Car">
    <w:name w:val="Estilo2 Car"/>
    <w:link w:val="Estilo2"/>
    <w:rsid w:val="000A52D5"/>
    <w:rPr>
      <w:rFonts w:ascii="Verdana" w:eastAsia="Calibri" w:hAnsi="Verdana" w:cs="Times New Roman"/>
      <w:sz w:val="20"/>
      <w:szCs w:val="20"/>
      <w:lang w:val="es-MX" w:eastAsia="x-none"/>
    </w:rPr>
  </w:style>
  <w:style w:type="paragraph" w:customStyle="1" w:styleId="Textoindependiente1">
    <w:name w:val="Texto independiente1"/>
    <w:basedOn w:val="Normal"/>
    <w:rsid w:val="000A52D5"/>
    <w:pPr>
      <w:widowControl w:val="0"/>
      <w:tabs>
        <w:tab w:val="clear" w:pos="4419"/>
        <w:tab w:val="clear" w:pos="8838"/>
      </w:tabs>
    </w:pPr>
    <w:rPr>
      <w:rFonts w:eastAsia="MS Mincho" w:cs="Times New Roman"/>
      <w:szCs w:val="20"/>
      <w:lang w:val="es-ES"/>
    </w:rPr>
  </w:style>
  <w:style w:type="paragraph" w:customStyle="1" w:styleId="xmsonormal">
    <w:name w:val="x_msonormal"/>
    <w:basedOn w:val="Normal"/>
    <w:rsid w:val="000A52D5"/>
    <w:pPr>
      <w:tabs>
        <w:tab w:val="clear" w:pos="4419"/>
        <w:tab w:val="clear" w:pos="8838"/>
      </w:tabs>
      <w:spacing w:before="100" w:beforeAutospacing="1" w:after="100" w:afterAutospacing="1"/>
    </w:pPr>
    <w:rPr>
      <w:rFonts w:eastAsia="Times New Roman" w:cs="Times New Roman"/>
      <w:szCs w:val="24"/>
      <w:lang w:eastAsia="es-CR"/>
    </w:rPr>
  </w:style>
  <w:style w:type="character" w:customStyle="1" w:styleId="normal--char">
    <w:name w:val="normal--char"/>
    <w:basedOn w:val="Fuentedeprrafopredeter"/>
    <w:rsid w:val="000A52D5"/>
  </w:style>
  <w:style w:type="character" w:customStyle="1" w:styleId="ju-005fpara-002cleft-002cfirst-0020line-003a-0020-00200-0020cm--char">
    <w:name w:val="ju-005fpara-002cleft-002cfirst-0020line-003a-0020-00200-0020cm--char"/>
    <w:basedOn w:val="Fuentedeprrafopredeter"/>
    <w:rsid w:val="000A52D5"/>
  </w:style>
  <w:style w:type="character" w:customStyle="1" w:styleId="skypepnhprintcontainer">
    <w:name w:val="skype_pnh_print_container"/>
    <w:basedOn w:val="Fuentedeprrafopredeter"/>
    <w:rsid w:val="000A52D5"/>
  </w:style>
  <w:style w:type="character" w:customStyle="1" w:styleId="s6b621b36">
    <w:name w:val="s6b621b36"/>
    <w:basedOn w:val="Fuentedeprrafopredeter"/>
    <w:rsid w:val="000A52D5"/>
  </w:style>
  <w:style w:type="paragraph" w:customStyle="1" w:styleId="ng-scope1">
    <w:name w:val="ng-scope1"/>
    <w:basedOn w:val="Normal"/>
    <w:rsid w:val="000A52D5"/>
    <w:pPr>
      <w:tabs>
        <w:tab w:val="clear" w:pos="4419"/>
        <w:tab w:val="clear" w:pos="8838"/>
      </w:tabs>
      <w:spacing w:before="100" w:beforeAutospacing="1" w:after="100" w:afterAutospacing="1"/>
    </w:pPr>
    <w:rPr>
      <w:rFonts w:eastAsia="Times New Roman" w:cs="Times New Roman"/>
      <w:szCs w:val="24"/>
      <w:lang w:val="en-US"/>
    </w:rPr>
  </w:style>
  <w:style w:type="character" w:customStyle="1" w:styleId="nfasissutil1">
    <w:name w:val="Énfasis sutil1"/>
    <w:uiPriority w:val="19"/>
    <w:qFormat/>
    <w:rsid w:val="000A52D5"/>
    <w:rPr>
      <w:rFonts w:ascii="Verdana" w:hAnsi="Verdana"/>
      <w:i/>
      <w:iCs/>
      <w:color w:val="auto"/>
      <w:sz w:val="20"/>
    </w:rPr>
  </w:style>
  <w:style w:type="character" w:customStyle="1" w:styleId="CarCar">
    <w:name w:val="Car Car"/>
    <w:rsid w:val="000A52D5"/>
    <w:rPr>
      <w:rFonts w:ascii="Times New Roman" w:eastAsia="Times New Roman" w:hAnsi="Times New Roman" w:cs="Times New Roman"/>
      <w:sz w:val="20"/>
      <w:szCs w:val="20"/>
      <w:lang w:val="es-ES_tradnl"/>
    </w:rPr>
  </w:style>
  <w:style w:type="character" w:customStyle="1" w:styleId="skypepnhcontainer">
    <w:name w:val="skype_pnh_container"/>
    <w:rsid w:val="000A52D5"/>
    <w:rPr>
      <w:rFonts w:cs="Times New Roman"/>
    </w:rPr>
  </w:style>
  <w:style w:type="paragraph" w:customStyle="1" w:styleId="TextoArtculo">
    <w:name w:val="Texto Artículo"/>
    <w:next w:val="Normal"/>
    <w:rsid w:val="000A52D5"/>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0A52D5"/>
  </w:style>
  <w:style w:type="paragraph" w:customStyle="1" w:styleId="s32b251d">
    <w:name w:val="s32b251d"/>
    <w:basedOn w:val="Normal"/>
    <w:rsid w:val="000A52D5"/>
    <w:pPr>
      <w:tabs>
        <w:tab w:val="clear" w:pos="4419"/>
        <w:tab w:val="clear" w:pos="8838"/>
      </w:tabs>
      <w:spacing w:before="100" w:beforeAutospacing="1" w:after="100" w:afterAutospacing="1"/>
    </w:pPr>
    <w:rPr>
      <w:rFonts w:eastAsia="Times New Roman" w:cs="Times New Roman"/>
      <w:szCs w:val="24"/>
      <w:lang w:val="es-EC" w:eastAsia="es-EC"/>
    </w:rPr>
  </w:style>
  <w:style w:type="paragraph" w:customStyle="1" w:styleId="Prrafodelista4">
    <w:name w:val="Párrafo de lista4"/>
    <w:basedOn w:val="Normal"/>
    <w:uiPriority w:val="99"/>
    <w:qFormat/>
    <w:rsid w:val="000A52D5"/>
    <w:pPr>
      <w:tabs>
        <w:tab w:val="clear" w:pos="4419"/>
        <w:tab w:val="clear" w:pos="8838"/>
      </w:tabs>
      <w:ind w:left="720"/>
    </w:pPr>
    <w:rPr>
      <w:rFonts w:eastAsia="Times New Roman" w:cs="Times New Roman"/>
      <w:szCs w:val="20"/>
      <w:lang w:val="es-MX"/>
    </w:rPr>
  </w:style>
  <w:style w:type="character" w:customStyle="1" w:styleId="MediumGrid2-Accent2Char">
    <w:name w:val="Medium Grid 2 - Accent 2 Char"/>
    <w:link w:val="Cuadrculamedia2-nfasis2"/>
    <w:uiPriority w:val="29"/>
    <w:rsid w:val="000A52D5"/>
    <w:rPr>
      <w:rFonts w:ascii="Calibri" w:hAnsi="Calibri" w:cs="Times New Roman"/>
      <w:i/>
      <w:iCs/>
      <w:color w:val="000000"/>
      <w:sz w:val="20"/>
    </w:rPr>
  </w:style>
  <w:style w:type="paragraph" w:customStyle="1" w:styleId="Style8">
    <w:name w:val="Style 8"/>
    <w:basedOn w:val="Normal"/>
    <w:rsid w:val="000A52D5"/>
    <w:pPr>
      <w:widowControl w:val="0"/>
      <w:tabs>
        <w:tab w:val="clear" w:pos="4419"/>
        <w:tab w:val="clear" w:pos="8838"/>
      </w:tabs>
      <w:autoSpaceDE w:val="0"/>
      <w:autoSpaceDN w:val="0"/>
      <w:ind w:left="1440"/>
    </w:pPr>
    <w:rPr>
      <w:rFonts w:eastAsia="Times New Roman" w:cs="Times New Roman"/>
      <w:szCs w:val="24"/>
      <w:lang w:val="es-MX" w:eastAsia="es-ES_tradnl"/>
    </w:rPr>
  </w:style>
  <w:style w:type="paragraph" w:customStyle="1" w:styleId="Style16">
    <w:name w:val="Style 16"/>
    <w:basedOn w:val="Normal"/>
    <w:rsid w:val="000A52D5"/>
    <w:pPr>
      <w:widowControl w:val="0"/>
      <w:tabs>
        <w:tab w:val="clear" w:pos="4419"/>
        <w:tab w:val="clear" w:pos="8838"/>
      </w:tabs>
      <w:autoSpaceDE w:val="0"/>
      <w:autoSpaceDN w:val="0"/>
      <w:spacing w:before="108" w:line="288" w:lineRule="atLeast"/>
      <w:ind w:left="1080"/>
    </w:pPr>
    <w:rPr>
      <w:rFonts w:eastAsia="Times New Roman" w:cs="Times New Roman"/>
      <w:szCs w:val="24"/>
      <w:lang w:val="es-MX" w:eastAsia="es-ES_tradnl"/>
    </w:rPr>
  </w:style>
  <w:style w:type="character" w:customStyle="1" w:styleId="Listavistosa-nfasis1Car">
    <w:name w:val="Lista vistosa - Énfasis 1 Car"/>
    <w:uiPriority w:val="99"/>
    <w:locked/>
    <w:rsid w:val="000A52D5"/>
    <w:rPr>
      <w:rFonts w:ascii="Verdana" w:eastAsia="Calibri" w:hAnsi="Verdana" w:cs="Times"/>
      <w:sz w:val="20"/>
      <w:szCs w:val="24"/>
      <w:lang w:val="es-ES_tradnl" w:eastAsia="es-ES"/>
    </w:rPr>
  </w:style>
  <w:style w:type="paragraph" w:customStyle="1" w:styleId="Encabezadodetabladecontenido1">
    <w:name w:val="Encabezado de tabla de contenido1"/>
    <w:basedOn w:val="Ttulo1"/>
    <w:next w:val="Normal"/>
    <w:uiPriority w:val="39"/>
    <w:semiHidden/>
    <w:unhideWhenUsed/>
    <w:qFormat/>
    <w:rsid w:val="000A52D5"/>
    <w:pPr>
      <w:spacing w:before="120" w:after="0" w:line="276" w:lineRule="auto"/>
      <w:jc w:val="left"/>
      <w:outlineLvl w:val="9"/>
    </w:pPr>
    <w:rPr>
      <w:rFonts w:ascii="Cambria" w:hAnsi="Cambria" w:cs="Times New Roman"/>
      <w:caps w:val="0"/>
      <w:snapToGrid/>
      <w:color w:val="365F91"/>
      <w:szCs w:val="28"/>
      <w:lang w:val="en-US" w:eastAsia="en-US"/>
    </w:rPr>
  </w:style>
  <w:style w:type="paragraph" w:customStyle="1" w:styleId="Style10">
    <w:name w:val="Style 1"/>
    <w:basedOn w:val="Normal"/>
    <w:rsid w:val="000A52D5"/>
    <w:pPr>
      <w:widowControl w:val="0"/>
      <w:tabs>
        <w:tab w:val="clear" w:pos="4419"/>
        <w:tab w:val="clear" w:pos="8838"/>
      </w:tabs>
      <w:autoSpaceDE w:val="0"/>
      <w:autoSpaceDN w:val="0"/>
      <w:spacing w:line="288" w:lineRule="atLeast"/>
      <w:ind w:left="720" w:hanging="360"/>
    </w:pPr>
    <w:rPr>
      <w:rFonts w:eastAsia="Times New Roman" w:cs="Times New Roman"/>
      <w:szCs w:val="24"/>
      <w:lang w:val="es-MX" w:eastAsia="es-ES_tradnl"/>
    </w:rPr>
  </w:style>
  <w:style w:type="paragraph" w:customStyle="1" w:styleId="Style22">
    <w:name w:val="Style 22"/>
    <w:basedOn w:val="Normal"/>
    <w:rsid w:val="000A52D5"/>
    <w:pPr>
      <w:widowControl w:val="0"/>
      <w:tabs>
        <w:tab w:val="clear" w:pos="4419"/>
        <w:tab w:val="clear" w:pos="8838"/>
      </w:tabs>
      <w:autoSpaceDE w:val="0"/>
      <w:autoSpaceDN w:val="0"/>
      <w:spacing w:before="180" w:line="288" w:lineRule="atLeast"/>
      <w:ind w:left="360" w:right="72" w:hanging="360"/>
    </w:pPr>
    <w:rPr>
      <w:rFonts w:eastAsia="Times New Roman" w:cs="Times New Roman"/>
      <w:szCs w:val="24"/>
      <w:lang w:val="es-MX" w:eastAsia="es-ES_tradnl"/>
    </w:rPr>
  </w:style>
  <w:style w:type="paragraph" w:customStyle="1" w:styleId="Style20">
    <w:name w:val="Style 20"/>
    <w:basedOn w:val="Normal"/>
    <w:rsid w:val="000A52D5"/>
    <w:pPr>
      <w:widowControl w:val="0"/>
      <w:tabs>
        <w:tab w:val="clear" w:pos="4419"/>
        <w:tab w:val="clear" w:pos="8838"/>
      </w:tabs>
      <w:autoSpaceDE w:val="0"/>
      <w:autoSpaceDN w:val="0"/>
      <w:ind w:left="360" w:hanging="360"/>
    </w:pPr>
    <w:rPr>
      <w:rFonts w:eastAsia="Times New Roman" w:cs="Times New Roman"/>
      <w:szCs w:val="24"/>
      <w:lang w:val="es-MX" w:eastAsia="es-ES_tradnl"/>
    </w:rPr>
  </w:style>
  <w:style w:type="paragraph" w:customStyle="1" w:styleId="Style17">
    <w:name w:val="Style 17"/>
    <w:basedOn w:val="Normal"/>
    <w:rsid w:val="000A52D5"/>
    <w:pPr>
      <w:widowControl w:val="0"/>
      <w:tabs>
        <w:tab w:val="clear" w:pos="4419"/>
        <w:tab w:val="clear" w:pos="8838"/>
      </w:tabs>
      <w:autoSpaceDE w:val="0"/>
      <w:autoSpaceDN w:val="0"/>
      <w:spacing w:line="288" w:lineRule="atLeast"/>
      <w:ind w:left="1080"/>
    </w:pPr>
    <w:rPr>
      <w:rFonts w:eastAsia="Times New Roman" w:cs="Times New Roman"/>
      <w:szCs w:val="24"/>
      <w:lang w:val="es-MX" w:eastAsia="es-ES_tradnl"/>
    </w:rPr>
  </w:style>
  <w:style w:type="paragraph" w:customStyle="1" w:styleId="Style13">
    <w:name w:val="Style 13"/>
    <w:basedOn w:val="Normal"/>
    <w:rsid w:val="000A52D5"/>
    <w:pPr>
      <w:widowControl w:val="0"/>
      <w:tabs>
        <w:tab w:val="clear" w:pos="4419"/>
        <w:tab w:val="clear" w:pos="8838"/>
      </w:tabs>
      <w:autoSpaceDE w:val="0"/>
      <w:autoSpaceDN w:val="0"/>
      <w:spacing w:before="288" w:line="288" w:lineRule="atLeast"/>
      <w:ind w:left="720" w:hanging="360"/>
    </w:pPr>
    <w:rPr>
      <w:rFonts w:eastAsia="Times New Roman" w:cs="Times New Roman"/>
      <w:szCs w:val="24"/>
      <w:lang w:val="es-MX" w:eastAsia="es-ES_tradnl"/>
    </w:rPr>
  </w:style>
  <w:style w:type="paragraph" w:customStyle="1" w:styleId="Style11">
    <w:name w:val="Style 11"/>
    <w:basedOn w:val="Normal"/>
    <w:rsid w:val="000A52D5"/>
    <w:pPr>
      <w:widowControl w:val="0"/>
      <w:tabs>
        <w:tab w:val="clear" w:pos="4419"/>
        <w:tab w:val="clear" w:pos="8838"/>
      </w:tabs>
      <w:autoSpaceDE w:val="0"/>
      <w:autoSpaceDN w:val="0"/>
      <w:ind w:left="720" w:right="72" w:hanging="432"/>
    </w:pPr>
    <w:rPr>
      <w:rFonts w:eastAsia="Times New Roman" w:cs="Times New Roman"/>
      <w:szCs w:val="24"/>
      <w:lang w:val="es-MX" w:eastAsia="es-ES_tradnl"/>
    </w:rPr>
  </w:style>
  <w:style w:type="paragraph" w:customStyle="1" w:styleId="Style15">
    <w:name w:val="Style 15"/>
    <w:basedOn w:val="Normal"/>
    <w:rsid w:val="000A52D5"/>
    <w:pPr>
      <w:widowControl w:val="0"/>
      <w:tabs>
        <w:tab w:val="clear" w:pos="4419"/>
        <w:tab w:val="clear" w:pos="8838"/>
      </w:tabs>
      <w:autoSpaceDE w:val="0"/>
      <w:autoSpaceDN w:val="0"/>
      <w:spacing w:before="108" w:line="288" w:lineRule="atLeast"/>
      <w:ind w:left="1440"/>
    </w:pPr>
    <w:rPr>
      <w:rFonts w:eastAsia="Times New Roman" w:cs="Times New Roman"/>
      <w:szCs w:val="24"/>
      <w:lang w:val="es-MX" w:eastAsia="es-ES_tradnl"/>
    </w:rPr>
  </w:style>
  <w:style w:type="paragraph" w:customStyle="1" w:styleId="Style26">
    <w:name w:val="Style 26"/>
    <w:basedOn w:val="Normal"/>
    <w:rsid w:val="000A52D5"/>
    <w:pPr>
      <w:widowControl w:val="0"/>
      <w:tabs>
        <w:tab w:val="clear" w:pos="4419"/>
        <w:tab w:val="clear" w:pos="8838"/>
      </w:tabs>
      <w:autoSpaceDE w:val="0"/>
      <w:autoSpaceDN w:val="0"/>
      <w:spacing w:line="288" w:lineRule="atLeast"/>
      <w:ind w:left="1872" w:hanging="432"/>
    </w:pPr>
    <w:rPr>
      <w:rFonts w:eastAsia="Times New Roman" w:cs="Times New Roman"/>
      <w:szCs w:val="24"/>
      <w:lang w:val="es-MX" w:eastAsia="es-ES_tradnl"/>
    </w:rPr>
  </w:style>
  <w:style w:type="paragraph" w:customStyle="1" w:styleId="Style27">
    <w:name w:val="Style 27"/>
    <w:basedOn w:val="Normal"/>
    <w:rsid w:val="000A52D5"/>
    <w:pPr>
      <w:widowControl w:val="0"/>
      <w:tabs>
        <w:tab w:val="clear" w:pos="4419"/>
        <w:tab w:val="clear" w:pos="8838"/>
      </w:tabs>
      <w:autoSpaceDE w:val="0"/>
      <w:autoSpaceDN w:val="0"/>
      <w:spacing w:line="288" w:lineRule="atLeast"/>
      <w:ind w:left="1440"/>
    </w:pPr>
    <w:rPr>
      <w:rFonts w:eastAsia="Times New Roman" w:cs="Times New Roman"/>
      <w:szCs w:val="24"/>
      <w:lang w:val="es-MX" w:eastAsia="es-ES_tradnl"/>
    </w:rPr>
  </w:style>
  <w:style w:type="paragraph" w:customStyle="1" w:styleId="Style14">
    <w:name w:val="Style 14"/>
    <w:basedOn w:val="Normal"/>
    <w:rsid w:val="000A52D5"/>
    <w:pPr>
      <w:widowControl w:val="0"/>
      <w:tabs>
        <w:tab w:val="clear" w:pos="4419"/>
        <w:tab w:val="clear" w:pos="8838"/>
      </w:tabs>
      <w:autoSpaceDE w:val="0"/>
      <w:autoSpaceDN w:val="0"/>
      <w:spacing w:before="180" w:line="288" w:lineRule="atLeast"/>
      <w:ind w:left="720" w:hanging="360"/>
    </w:pPr>
    <w:rPr>
      <w:rFonts w:eastAsia="Times New Roman" w:cs="Times New Roman"/>
      <w:szCs w:val="24"/>
      <w:lang w:val="es-MX" w:eastAsia="es-ES_tradnl"/>
    </w:rPr>
  </w:style>
  <w:style w:type="paragraph" w:customStyle="1" w:styleId="Style19">
    <w:name w:val="Style 19"/>
    <w:basedOn w:val="Normal"/>
    <w:rsid w:val="000A52D5"/>
    <w:pPr>
      <w:widowControl w:val="0"/>
      <w:tabs>
        <w:tab w:val="clear" w:pos="4419"/>
        <w:tab w:val="clear" w:pos="8838"/>
      </w:tabs>
      <w:autoSpaceDE w:val="0"/>
      <w:autoSpaceDN w:val="0"/>
      <w:jc w:val="center"/>
    </w:pPr>
    <w:rPr>
      <w:rFonts w:eastAsia="Times New Roman" w:cs="Times New Roman"/>
      <w:szCs w:val="24"/>
      <w:lang w:val="es-MX" w:eastAsia="es-ES_tradnl"/>
    </w:rPr>
  </w:style>
  <w:style w:type="paragraph" w:customStyle="1" w:styleId="Univers">
    <w:name w:val="Univers"/>
    <w:basedOn w:val="Normal"/>
    <w:rsid w:val="000A52D5"/>
    <w:pPr>
      <w:tabs>
        <w:tab w:val="clear" w:pos="4419"/>
        <w:tab w:val="clear" w:pos="8838"/>
      </w:tabs>
      <w:spacing w:line="480" w:lineRule="auto"/>
    </w:pPr>
    <w:rPr>
      <w:rFonts w:ascii="Univers" w:eastAsia="Times New Roman" w:hAnsi="Univers" w:cs="Times New Roman"/>
      <w:szCs w:val="32"/>
      <w:lang w:val="es-AR"/>
    </w:rPr>
  </w:style>
  <w:style w:type="paragraph" w:customStyle="1" w:styleId="Estilo4">
    <w:name w:val="Estilo4"/>
    <w:link w:val="Estilo4Car"/>
    <w:qFormat/>
    <w:rsid w:val="000A52D5"/>
    <w:pPr>
      <w:numPr>
        <w:ilvl w:val="1"/>
        <w:numId w:val="8"/>
      </w:numPr>
      <w:spacing w:after="120"/>
      <w:ind w:left="0" w:firstLine="357"/>
      <w:jc w:val="both"/>
    </w:pPr>
    <w:rPr>
      <w:rFonts w:eastAsia="Times New Roman" w:cs="Times New Roman"/>
      <w:spacing w:val="-2"/>
      <w:szCs w:val="20"/>
    </w:rPr>
  </w:style>
  <w:style w:type="paragraph" w:customStyle="1" w:styleId="Footnotes0">
    <w:name w:val="Footnotes"/>
    <w:basedOn w:val="Textonotapie"/>
    <w:autoRedefine/>
    <w:qFormat/>
    <w:rsid w:val="000A52D5"/>
    <w:pPr>
      <w:tabs>
        <w:tab w:val="clear" w:pos="4419"/>
        <w:tab w:val="clear" w:pos="8838"/>
      </w:tabs>
      <w:spacing w:after="120"/>
      <w:ind w:firstLine="709"/>
    </w:pPr>
    <w:rPr>
      <w:rFonts w:ascii="Cambria" w:eastAsia="Times New Roman" w:hAnsi="Cambria" w:cs="Times New Roman"/>
      <w:szCs w:val="18"/>
      <w:lang w:val="es-MX"/>
    </w:rPr>
  </w:style>
  <w:style w:type="character" w:customStyle="1" w:styleId="user-highlighted-active">
    <w:name w:val="user-highlighted-active"/>
    <w:basedOn w:val="Fuentedeprrafopredeter"/>
    <w:rsid w:val="000A52D5"/>
  </w:style>
  <w:style w:type="character" w:customStyle="1" w:styleId="highlighted">
    <w:name w:val="highlighted"/>
    <w:basedOn w:val="Fuentedeprrafopredeter"/>
    <w:rsid w:val="000A52D5"/>
  </w:style>
  <w:style w:type="numbering" w:customStyle="1" w:styleId="NoList1">
    <w:name w:val="No List1"/>
    <w:next w:val="Sinlista"/>
    <w:uiPriority w:val="99"/>
    <w:semiHidden/>
    <w:unhideWhenUsed/>
    <w:rsid w:val="000A52D5"/>
  </w:style>
  <w:style w:type="table" w:customStyle="1" w:styleId="TableGrid1">
    <w:name w:val="Table Grid1"/>
    <w:basedOn w:val="Tablanormal"/>
    <w:next w:val="Tablaconcuadrcula"/>
    <w:uiPriority w:val="59"/>
    <w:rsid w:val="000A52D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0A52D5"/>
    <w:pPr>
      <w:tabs>
        <w:tab w:val="clear" w:pos="4419"/>
        <w:tab w:val="clear" w:pos="8838"/>
      </w:tabs>
    </w:pPr>
    <w:rPr>
      <w:rFonts w:ascii="Calibri" w:eastAsia="Calibri" w:hAnsi="Calibri" w:cs="Times New Roman"/>
      <w:i/>
      <w:iCs/>
      <w:color w:val="000000"/>
      <w:lang w:val="en-US"/>
    </w:rPr>
  </w:style>
  <w:style w:type="character" w:customStyle="1" w:styleId="QuoteChar1">
    <w:name w:val="Quote Char1"/>
    <w:uiPriority w:val="29"/>
    <w:rsid w:val="000A52D5"/>
    <w:rPr>
      <w:i/>
      <w:iCs/>
      <w:color w:val="000000"/>
    </w:rPr>
  </w:style>
  <w:style w:type="paragraph" w:customStyle="1" w:styleId="Estilo3">
    <w:name w:val="Estilo3"/>
    <w:basedOn w:val="Prrafodelista"/>
    <w:qFormat/>
    <w:rsid w:val="000A52D5"/>
    <w:pPr>
      <w:contextualSpacing w:val="0"/>
    </w:pPr>
    <w:rPr>
      <w:rFonts w:eastAsia="Batang" w:cs="Times"/>
      <w:szCs w:val="24"/>
      <w:lang w:val="es-MX"/>
    </w:rPr>
  </w:style>
  <w:style w:type="paragraph" w:customStyle="1" w:styleId="Estilo5">
    <w:name w:val="Estilo5"/>
    <w:basedOn w:val="Estilo2"/>
    <w:link w:val="Estilo5Car"/>
    <w:qFormat/>
    <w:rsid w:val="000A52D5"/>
    <w:pPr>
      <w:numPr>
        <w:numId w:val="9"/>
      </w:numPr>
      <w:tabs>
        <w:tab w:val="clear" w:pos="567"/>
        <w:tab w:val="clear" w:pos="1134"/>
      </w:tabs>
      <w:spacing w:line="259" w:lineRule="auto"/>
      <w:ind w:left="0" w:firstLine="720"/>
    </w:pPr>
    <w:rPr>
      <w:rFonts w:ascii="Times New Roman" w:hAnsi="Times New Roman"/>
      <w:i/>
      <w:sz w:val="24"/>
      <w:szCs w:val="24"/>
      <w:lang w:val="es-UY" w:eastAsia="en-US"/>
    </w:rPr>
  </w:style>
  <w:style w:type="character" w:customStyle="1" w:styleId="Estilo4Car">
    <w:name w:val="Estilo4 Car"/>
    <w:link w:val="Estilo4"/>
    <w:rsid w:val="000A52D5"/>
    <w:rPr>
      <w:rFonts w:eastAsia="Times New Roman" w:cs="Times New Roman"/>
      <w:spacing w:val="-2"/>
      <w:szCs w:val="20"/>
    </w:rPr>
  </w:style>
  <w:style w:type="character" w:customStyle="1" w:styleId="Estilo5Car">
    <w:name w:val="Estilo5 Car"/>
    <w:link w:val="Estilo5"/>
    <w:rsid w:val="000A52D5"/>
    <w:rPr>
      <w:rFonts w:ascii="Times New Roman" w:eastAsia="Calibri" w:hAnsi="Times New Roman" w:cs="Times New Roman"/>
      <w:i/>
      <w:sz w:val="24"/>
      <w:szCs w:val="24"/>
      <w:lang w:val="es-UY"/>
    </w:rPr>
  </w:style>
  <w:style w:type="table" w:styleId="Cuadrculamedia1-nfasis2">
    <w:name w:val="Medium Grid 1 Accent 2"/>
    <w:basedOn w:val="Tablanormal"/>
    <w:rsid w:val="000A52D5"/>
    <w:pPr>
      <w:spacing w:after="0" w:line="240" w:lineRule="auto"/>
    </w:pPr>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2-nfasis2">
    <w:name w:val="Medium Grid 2 Accent 2"/>
    <w:basedOn w:val="Tablanormal"/>
    <w:link w:val="MediumGrid2-Accent2Char"/>
    <w:uiPriority w:val="29"/>
    <w:rsid w:val="000A52D5"/>
    <w:pPr>
      <w:spacing w:after="0" w:line="240" w:lineRule="auto"/>
    </w:pPr>
    <w:rPr>
      <w:rFonts w:ascii="Calibri" w:hAnsi="Calibri" w:cs="Times New Roman"/>
      <w:i/>
      <w:iCs/>
      <w:color w:val="000000"/>
      <w:sz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Sinespaciado">
    <w:name w:val="No Spacing"/>
    <w:uiPriority w:val="1"/>
    <w:qFormat/>
    <w:rsid w:val="000A52D5"/>
    <w:pPr>
      <w:spacing w:after="0" w:line="240" w:lineRule="auto"/>
    </w:pPr>
    <w:rPr>
      <w:rFonts w:ascii="Calibri" w:eastAsia="Calibri" w:hAnsi="Calibri" w:cs="Times New Roman"/>
      <w:lang w:val="en-US"/>
    </w:rPr>
  </w:style>
  <w:style w:type="character" w:customStyle="1" w:styleId="Refdenotaalpie1">
    <w:name w:val="Ref. de nota al pie1"/>
    <w:rsid w:val="000A52D5"/>
    <w:rPr>
      <w:sz w:val="20"/>
      <w:vertAlign w:val="superscript"/>
    </w:rPr>
  </w:style>
  <w:style w:type="paragraph" w:styleId="Textoindependiente2">
    <w:name w:val="Body Text 2"/>
    <w:basedOn w:val="Normal"/>
    <w:link w:val="Textoindependiente2Car"/>
    <w:uiPriority w:val="99"/>
    <w:unhideWhenUsed/>
    <w:rsid w:val="000A52D5"/>
    <w:pPr>
      <w:tabs>
        <w:tab w:val="clear" w:pos="4419"/>
        <w:tab w:val="clear" w:pos="8838"/>
        <w:tab w:val="left" w:pos="709"/>
      </w:tabs>
      <w:contextualSpacing/>
    </w:pPr>
    <w:rPr>
      <w:rFonts w:eastAsia="Batang" w:cs="Times"/>
      <w:b/>
      <w:spacing w:val="-2"/>
      <w:szCs w:val="20"/>
      <w:lang w:val="es-ES"/>
    </w:rPr>
  </w:style>
  <w:style w:type="character" w:customStyle="1" w:styleId="Textoindependiente2Car">
    <w:name w:val="Texto independiente 2 Car"/>
    <w:basedOn w:val="Fuentedeprrafopredeter"/>
    <w:link w:val="Textoindependiente2"/>
    <w:uiPriority w:val="99"/>
    <w:rsid w:val="000A52D5"/>
    <w:rPr>
      <w:rFonts w:ascii="Verdana" w:eastAsia="Batang" w:hAnsi="Verdana" w:cs="Times"/>
      <w:b/>
      <w:spacing w:val="-2"/>
      <w:sz w:val="20"/>
      <w:szCs w:val="20"/>
      <w:lang w:val="es-ES"/>
    </w:rPr>
  </w:style>
  <w:style w:type="paragraph" w:customStyle="1" w:styleId="Sangradetindependiente">
    <w:name w:val="SangrÃa de t. independiente"/>
    <w:basedOn w:val="Normal"/>
    <w:rsid w:val="000A52D5"/>
    <w:pPr>
      <w:tabs>
        <w:tab w:val="clear" w:pos="4419"/>
        <w:tab w:val="clear" w:pos="8838"/>
      </w:tabs>
      <w:spacing w:line="360" w:lineRule="atLeast"/>
    </w:pPr>
    <w:rPr>
      <w:rFonts w:ascii="Arial" w:eastAsia="Batang" w:hAnsi="Arial" w:cs="Times New Roman"/>
      <w:szCs w:val="20"/>
      <w:lang w:val="es-ES_tradnl"/>
    </w:rPr>
  </w:style>
  <w:style w:type="paragraph" w:customStyle="1" w:styleId="MediumGrid1-Accent22">
    <w:name w:val="Medium Grid 1 - Accent 22"/>
    <w:basedOn w:val="Normal"/>
    <w:qFormat/>
    <w:rsid w:val="000A52D5"/>
    <w:pPr>
      <w:tabs>
        <w:tab w:val="clear" w:pos="4419"/>
        <w:tab w:val="clear" w:pos="8838"/>
      </w:tabs>
      <w:ind w:left="708"/>
    </w:pPr>
    <w:rPr>
      <w:rFonts w:eastAsia="Batang" w:cs="Times"/>
      <w:sz w:val="16"/>
      <w:szCs w:val="24"/>
      <w:lang w:val="es-ES_tradnl"/>
    </w:rPr>
  </w:style>
  <w:style w:type="character" w:customStyle="1" w:styleId="ColorfulList-Accent1Char">
    <w:name w:val="Colorful List - Accent 1 Char"/>
    <w:link w:val="Listavistosa-nfasis1"/>
    <w:uiPriority w:val="99"/>
    <w:locked/>
    <w:rsid w:val="000A52D5"/>
    <w:rPr>
      <w:rFonts w:ascii="Verdana" w:eastAsia="Times New Roman" w:hAnsi="Verdana"/>
      <w:lang w:val="es-ES_tradnl" w:eastAsia="en-US"/>
    </w:rPr>
  </w:style>
  <w:style w:type="character" w:customStyle="1" w:styleId="xs6b621b36">
    <w:name w:val="x_s6b621b36"/>
    <w:basedOn w:val="Fuentedeprrafopredeter"/>
    <w:rsid w:val="000A52D5"/>
  </w:style>
  <w:style w:type="character" w:customStyle="1" w:styleId="xsb8d990e2">
    <w:name w:val="x_sb8d990e2"/>
    <w:basedOn w:val="Fuentedeprrafopredeter"/>
    <w:rsid w:val="000A52D5"/>
  </w:style>
  <w:style w:type="table" w:styleId="Listavistosa-nfasis1">
    <w:name w:val="Colorful List Accent 1"/>
    <w:basedOn w:val="Tablanormal"/>
    <w:link w:val="ColorfulList-Accent1Char"/>
    <w:uiPriority w:val="99"/>
    <w:rsid w:val="000A52D5"/>
    <w:pPr>
      <w:spacing w:after="0" w:line="240" w:lineRule="auto"/>
    </w:pPr>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tulo9Car">
    <w:name w:val="Título 9 Car"/>
    <w:basedOn w:val="Fuentedeprrafopredeter"/>
    <w:link w:val="Ttulo9"/>
    <w:uiPriority w:val="9"/>
    <w:rsid w:val="00721AF6"/>
    <w:rPr>
      <w:rFonts w:ascii="Verdana" w:eastAsia="Times New Roman" w:hAnsi="Verdana" w:cs="Times New Roman"/>
      <w:b/>
      <w:bCs/>
      <w:sz w:val="20"/>
      <w:szCs w:val="20"/>
      <w:lang w:val="es-ES_tradnl"/>
    </w:rPr>
  </w:style>
  <w:style w:type="paragraph" w:styleId="Textoindependiente3">
    <w:name w:val="Body Text 3"/>
    <w:basedOn w:val="Normal"/>
    <w:link w:val="Textoindependiente3Car"/>
    <w:uiPriority w:val="99"/>
    <w:unhideWhenUsed/>
    <w:rsid w:val="0008427B"/>
    <w:pPr>
      <w:autoSpaceDE w:val="0"/>
      <w:autoSpaceDN w:val="0"/>
      <w:adjustRightInd w:val="0"/>
    </w:pPr>
    <w:rPr>
      <w:rFonts w:cs="Arial"/>
      <w:i/>
      <w:iCs/>
      <w:szCs w:val="20"/>
      <w:lang w:val="es-ES"/>
    </w:rPr>
  </w:style>
  <w:style w:type="character" w:customStyle="1" w:styleId="Textoindependiente3Car">
    <w:name w:val="Texto independiente 3 Car"/>
    <w:basedOn w:val="Fuentedeprrafopredeter"/>
    <w:link w:val="Textoindependiente3"/>
    <w:uiPriority w:val="99"/>
    <w:rsid w:val="0008427B"/>
    <w:rPr>
      <w:rFonts w:ascii="Verdana" w:hAnsi="Verdana" w:cs="Arial"/>
      <w:i/>
      <w:iCs/>
      <w:sz w:val="20"/>
      <w:szCs w:val="20"/>
      <w:lang w:val="es-ES"/>
    </w:rPr>
  </w:style>
  <w:style w:type="paragraph" w:styleId="Textodebloque">
    <w:name w:val="Block Text"/>
    <w:basedOn w:val="Normal"/>
    <w:uiPriority w:val="99"/>
    <w:semiHidden/>
    <w:unhideWhenUsed/>
    <w:rsid w:val="00207197"/>
    <w:pPr>
      <w:tabs>
        <w:tab w:val="clear" w:pos="4419"/>
        <w:tab w:val="clear" w:pos="8838"/>
      </w:tabs>
      <w:ind w:left="851" w:right="946"/>
    </w:pPr>
    <w:rPr>
      <w:sz w:val="16"/>
      <w:szCs w:val="16"/>
      <w:lang w:val="es-ES_tradnl"/>
    </w:rPr>
  </w:style>
  <w:style w:type="paragraph" w:customStyle="1" w:styleId="Numberedparagraphs">
    <w:name w:val="Numbered paragraphs"/>
    <w:basedOn w:val="Normal"/>
    <w:qFormat/>
    <w:rsid w:val="00EF30D7"/>
    <w:pPr>
      <w:tabs>
        <w:tab w:val="clear" w:pos="4419"/>
        <w:tab w:val="clear" w:pos="8838"/>
      </w:tabs>
      <w:spacing w:after="200"/>
      <w:jc w:val="both"/>
    </w:pPr>
    <w:rPr>
      <w:rFonts w:eastAsia="MS Mincho" w:cs="Times New Roman"/>
      <w:color w:val="000000"/>
      <w:szCs w:val="20"/>
      <w:lang w:val="es-ES_tradnl"/>
    </w:rPr>
  </w:style>
  <w:style w:type="paragraph" w:styleId="Revisin">
    <w:name w:val="Revision"/>
    <w:hidden/>
    <w:uiPriority w:val="99"/>
    <w:semiHidden/>
    <w:rsid w:val="007932F8"/>
    <w:pPr>
      <w:spacing w:after="0" w:line="240" w:lineRule="auto"/>
    </w:pPr>
    <w:rPr>
      <w:rFonts w:ascii="Verdana" w:hAnsi="Verdana"/>
      <w:sz w:val="20"/>
    </w:rPr>
  </w:style>
  <w:style w:type="paragraph" w:customStyle="1" w:styleId="Prrafodelista2">
    <w:name w:val="Párrafo de lista2"/>
    <w:basedOn w:val="Normal"/>
    <w:uiPriority w:val="99"/>
    <w:rsid w:val="006878A8"/>
    <w:pPr>
      <w:tabs>
        <w:tab w:val="clear" w:pos="4419"/>
        <w:tab w:val="clear" w:pos="8838"/>
      </w:tabs>
      <w:ind w:left="720"/>
    </w:pPr>
    <w:rPr>
      <w:rFonts w:eastAsia="MS Mincho" w:cs="Times New Roman"/>
      <w:szCs w:val="20"/>
      <w:lang w:val="es-ES_tradnl" w:bidi="en-US"/>
    </w:rPr>
  </w:style>
  <w:style w:type="paragraph" w:styleId="TtuloTDC">
    <w:name w:val="TOC Heading"/>
    <w:basedOn w:val="Ttulo1"/>
    <w:next w:val="Normal"/>
    <w:uiPriority w:val="39"/>
    <w:semiHidden/>
    <w:unhideWhenUsed/>
    <w:qFormat/>
    <w:rsid w:val="00EC622C"/>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eastAsia="es-CR"/>
    </w:rPr>
  </w:style>
  <w:style w:type="numbering" w:customStyle="1" w:styleId="NoList2">
    <w:name w:val="No List2"/>
    <w:next w:val="Sinlista"/>
    <w:uiPriority w:val="99"/>
    <w:semiHidden/>
    <w:unhideWhenUsed/>
    <w:rsid w:val="00130785"/>
  </w:style>
  <w:style w:type="paragraph" w:customStyle="1" w:styleId="s30eec3f8">
    <w:name w:val="s30eec3f8"/>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b8d990e2">
    <w:name w:val="sb8d990e2"/>
    <w:basedOn w:val="Fuentedeprrafopredeter"/>
    <w:rsid w:val="00130785"/>
  </w:style>
  <w:style w:type="character" w:styleId="Nmerodepgina">
    <w:name w:val="page number"/>
    <w:basedOn w:val="Fuentedeprrafopredeter"/>
    <w:uiPriority w:val="99"/>
    <w:semiHidden/>
    <w:unhideWhenUsed/>
    <w:rsid w:val="00130785"/>
  </w:style>
  <w:style w:type="paragraph" w:customStyle="1" w:styleId="sb223ea02">
    <w:name w:val="sb223ea02"/>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7d2086b4">
    <w:name w:val="s7d2086b4"/>
    <w:basedOn w:val="Fuentedeprrafopredeter"/>
    <w:rsid w:val="00130785"/>
  </w:style>
  <w:style w:type="paragraph" w:customStyle="1" w:styleId="s6704e5c3">
    <w:name w:val="s6704e5c3"/>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sfbbfee58">
    <w:name w:val="sfbbfee58"/>
    <w:basedOn w:val="Fuentedeprrafopredeter"/>
    <w:rsid w:val="00130785"/>
  </w:style>
  <w:style w:type="paragraph" w:customStyle="1" w:styleId="scc90dede">
    <w:name w:val="scc90dede"/>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character" w:customStyle="1" w:styleId="wordhighlighted">
    <w:name w:val="wordhighlighted"/>
    <w:basedOn w:val="Fuentedeprrafopredeter"/>
    <w:rsid w:val="00130785"/>
  </w:style>
  <w:style w:type="paragraph" w:customStyle="1" w:styleId="sd5b7d322">
    <w:name w:val="sd5b7d322"/>
    <w:basedOn w:val="Normal"/>
    <w:rsid w:val="00130785"/>
    <w:pPr>
      <w:tabs>
        <w:tab w:val="clear" w:pos="4419"/>
        <w:tab w:val="clear" w:pos="8838"/>
      </w:tabs>
      <w:spacing w:before="100" w:beforeAutospacing="1" w:after="100" w:afterAutospacing="1"/>
    </w:pPr>
    <w:rPr>
      <w:rFonts w:ascii="Times" w:eastAsia="MS Mincho" w:hAnsi="Times"/>
      <w:szCs w:val="20"/>
      <w:lang w:val="es-MX" w:eastAsia="es-ES"/>
    </w:rPr>
  </w:style>
  <w:style w:type="paragraph" w:customStyle="1" w:styleId="CPClassification">
    <w:name w:val="CP Classification"/>
    <w:basedOn w:val="Normal"/>
    <w:rsid w:val="00130785"/>
    <w:pPr>
      <w:tabs>
        <w:tab w:val="clear" w:pos="4419"/>
        <w:tab w:val="clear" w:pos="8838"/>
        <w:tab w:val="center" w:pos="2160"/>
        <w:tab w:val="left" w:pos="7200"/>
      </w:tabs>
      <w:ind w:left="7200" w:right="-360"/>
      <w:jc w:val="both"/>
    </w:pPr>
    <w:rPr>
      <w:rFonts w:ascii="Times New Roman" w:eastAsia="Times New Roman" w:hAnsi="Times New Roman" w:cs="Times New Roman"/>
      <w:sz w:val="22"/>
      <w:szCs w:val="20"/>
      <w:lang w:val="pt-PT"/>
    </w:rPr>
  </w:style>
  <w:style w:type="character" w:customStyle="1" w:styleId="Mencinsinresolver1">
    <w:name w:val="Mención sin resolver1"/>
    <w:basedOn w:val="Fuentedeprrafopredeter"/>
    <w:uiPriority w:val="99"/>
    <w:semiHidden/>
    <w:unhideWhenUsed/>
    <w:rsid w:val="00C428B3"/>
    <w:rPr>
      <w:color w:val="605E5C"/>
      <w:shd w:val="clear" w:color="auto" w:fill="E1DFDD"/>
    </w:rPr>
  </w:style>
  <w:style w:type="character" w:customStyle="1" w:styleId="highlight">
    <w:name w:val="highlight"/>
    <w:basedOn w:val="Fuentedeprrafopredeter"/>
    <w:rsid w:val="00FB27DA"/>
  </w:style>
  <w:style w:type="character" w:customStyle="1" w:styleId="e24kjd">
    <w:name w:val="e24kjd"/>
    <w:basedOn w:val="Fuentedeprrafopredeter"/>
    <w:rsid w:val="002A3B9B"/>
  </w:style>
  <w:style w:type="character" w:customStyle="1" w:styleId="normal10">
    <w:name w:val="normal10"/>
    <w:basedOn w:val="Fuentedeprrafopredeter"/>
    <w:rsid w:val="00573932"/>
  </w:style>
  <w:style w:type="character" w:customStyle="1" w:styleId="longdesc">
    <w:name w:val="long_desc"/>
    <w:basedOn w:val="Fuentedeprrafopredeter"/>
    <w:rsid w:val="004E5BC7"/>
  </w:style>
  <w:style w:type="character" w:styleId="Mencinsinresolver">
    <w:name w:val="Unresolved Mention"/>
    <w:basedOn w:val="Fuentedeprrafopredeter"/>
    <w:uiPriority w:val="99"/>
    <w:semiHidden/>
    <w:unhideWhenUsed/>
    <w:rsid w:val="00B5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0243">
      <w:bodyDiv w:val="1"/>
      <w:marLeft w:val="0"/>
      <w:marRight w:val="0"/>
      <w:marTop w:val="0"/>
      <w:marBottom w:val="0"/>
      <w:divBdr>
        <w:top w:val="none" w:sz="0" w:space="0" w:color="auto"/>
        <w:left w:val="none" w:sz="0" w:space="0" w:color="auto"/>
        <w:bottom w:val="none" w:sz="0" w:space="0" w:color="auto"/>
        <w:right w:val="none" w:sz="0" w:space="0" w:color="auto"/>
      </w:divBdr>
    </w:div>
    <w:div w:id="70272273">
      <w:bodyDiv w:val="1"/>
      <w:marLeft w:val="0"/>
      <w:marRight w:val="0"/>
      <w:marTop w:val="0"/>
      <w:marBottom w:val="0"/>
      <w:divBdr>
        <w:top w:val="none" w:sz="0" w:space="0" w:color="auto"/>
        <w:left w:val="none" w:sz="0" w:space="0" w:color="auto"/>
        <w:bottom w:val="none" w:sz="0" w:space="0" w:color="auto"/>
        <w:right w:val="none" w:sz="0" w:space="0" w:color="auto"/>
      </w:divBdr>
    </w:div>
    <w:div w:id="103815067">
      <w:bodyDiv w:val="1"/>
      <w:marLeft w:val="0"/>
      <w:marRight w:val="0"/>
      <w:marTop w:val="0"/>
      <w:marBottom w:val="0"/>
      <w:divBdr>
        <w:top w:val="none" w:sz="0" w:space="0" w:color="auto"/>
        <w:left w:val="none" w:sz="0" w:space="0" w:color="auto"/>
        <w:bottom w:val="none" w:sz="0" w:space="0" w:color="auto"/>
        <w:right w:val="none" w:sz="0" w:space="0" w:color="auto"/>
      </w:divBdr>
      <w:divsChild>
        <w:div w:id="1158693153">
          <w:marLeft w:val="0"/>
          <w:marRight w:val="0"/>
          <w:marTop w:val="0"/>
          <w:marBottom w:val="0"/>
          <w:divBdr>
            <w:top w:val="none" w:sz="0" w:space="0" w:color="auto"/>
            <w:left w:val="none" w:sz="0" w:space="0" w:color="auto"/>
            <w:bottom w:val="none" w:sz="0" w:space="0" w:color="auto"/>
            <w:right w:val="none" w:sz="0" w:space="0" w:color="auto"/>
          </w:divBdr>
          <w:divsChild>
            <w:div w:id="1232077345">
              <w:marLeft w:val="0"/>
              <w:marRight w:val="60"/>
              <w:marTop w:val="0"/>
              <w:marBottom w:val="0"/>
              <w:divBdr>
                <w:top w:val="none" w:sz="0" w:space="0" w:color="auto"/>
                <w:left w:val="none" w:sz="0" w:space="0" w:color="auto"/>
                <w:bottom w:val="none" w:sz="0" w:space="0" w:color="auto"/>
                <w:right w:val="none" w:sz="0" w:space="0" w:color="auto"/>
              </w:divBdr>
              <w:divsChild>
                <w:div w:id="1588539354">
                  <w:marLeft w:val="0"/>
                  <w:marRight w:val="0"/>
                  <w:marTop w:val="0"/>
                  <w:marBottom w:val="120"/>
                  <w:divBdr>
                    <w:top w:val="single" w:sz="6" w:space="0" w:color="C0C0C0"/>
                    <w:left w:val="single" w:sz="6" w:space="0" w:color="D9D9D9"/>
                    <w:bottom w:val="single" w:sz="6" w:space="0" w:color="D9D9D9"/>
                    <w:right w:val="single" w:sz="6" w:space="0" w:color="D9D9D9"/>
                  </w:divBdr>
                  <w:divsChild>
                    <w:div w:id="3132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8260">
          <w:marLeft w:val="0"/>
          <w:marRight w:val="0"/>
          <w:marTop w:val="0"/>
          <w:marBottom w:val="0"/>
          <w:divBdr>
            <w:top w:val="none" w:sz="0" w:space="0" w:color="auto"/>
            <w:left w:val="none" w:sz="0" w:space="0" w:color="auto"/>
            <w:bottom w:val="none" w:sz="0" w:space="0" w:color="auto"/>
            <w:right w:val="none" w:sz="0" w:space="0" w:color="auto"/>
          </w:divBdr>
          <w:divsChild>
            <w:div w:id="1393037426">
              <w:marLeft w:val="60"/>
              <w:marRight w:val="0"/>
              <w:marTop w:val="0"/>
              <w:marBottom w:val="0"/>
              <w:divBdr>
                <w:top w:val="none" w:sz="0" w:space="0" w:color="auto"/>
                <w:left w:val="none" w:sz="0" w:space="0" w:color="auto"/>
                <w:bottom w:val="none" w:sz="0" w:space="0" w:color="auto"/>
                <w:right w:val="none" w:sz="0" w:space="0" w:color="auto"/>
              </w:divBdr>
              <w:divsChild>
                <w:div w:id="1286618675">
                  <w:marLeft w:val="0"/>
                  <w:marRight w:val="0"/>
                  <w:marTop w:val="0"/>
                  <w:marBottom w:val="0"/>
                  <w:divBdr>
                    <w:top w:val="none" w:sz="0" w:space="0" w:color="auto"/>
                    <w:left w:val="none" w:sz="0" w:space="0" w:color="auto"/>
                    <w:bottom w:val="none" w:sz="0" w:space="0" w:color="auto"/>
                    <w:right w:val="none" w:sz="0" w:space="0" w:color="auto"/>
                  </w:divBdr>
                  <w:divsChild>
                    <w:div w:id="544483476">
                      <w:marLeft w:val="0"/>
                      <w:marRight w:val="0"/>
                      <w:marTop w:val="0"/>
                      <w:marBottom w:val="120"/>
                      <w:divBdr>
                        <w:top w:val="single" w:sz="6" w:space="0" w:color="F5F5F5"/>
                        <w:left w:val="single" w:sz="6" w:space="0" w:color="F5F5F5"/>
                        <w:bottom w:val="single" w:sz="6" w:space="0" w:color="F5F5F5"/>
                        <w:right w:val="single" w:sz="6" w:space="0" w:color="F5F5F5"/>
                      </w:divBdr>
                      <w:divsChild>
                        <w:div w:id="745109106">
                          <w:marLeft w:val="0"/>
                          <w:marRight w:val="0"/>
                          <w:marTop w:val="0"/>
                          <w:marBottom w:val="0"/>
                          <w:divBdr>
                            <w:top w:val="none" w:sz="0" w:space="0" w:color="auto"/>
                            <w:left w:val="none" w:sz="0" w:space="0" w:color="auto"/>
                            <w:bottom w:val="none" w:sz="0" w:space="0" w:color="auto"/>
                            <w:right w:val="none" w:sz="0" w:space="0" w:color="auto"/>
                          </w:divBdr>
                          <w:divsChild>
                            <w:div w:id="682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81291">
      <w:bodyDiv w:val="1"/>
      <w:marLeft w:val="0"/>
      <w:marRight w:val="0"/>
      <w:marTop w:val="0"/>
      <w:marBottom w:val="0"/>
      <w:divBdr>
        <w:top w:val="none" w:sz="0" w:space="0" w:color="auto"/>
        <w:left w:val="none" w:sz="0" w:space="0" w:color="auto"/>
        <w:bottom w:val="none" w:sz="0" w:space="0" w:color="auto"/>
        <w:right w:val="none" w:sz="0" w:space="0" w:color="auto"/>
      </w:divBdr>
    </w:div>
    <w:div w:id="349533233">
      <w:bodyDiv w:val="1"/>
      <w:marLeft w:val="0"/>
      <w:marRight w:val="0"/>
      <w:marTop w:val="0"/>
      <w:marBottom w:val="0"/>
      <w:divBdr>
        <w:top w:val="none" w:sz="0" w:space="0" w:color="auto"/>
        <w:left w:val="none" w:sz="0" w:space="0" w:color="auto"/>
        <w:bottom w:val="none" w:sz="0" w:space="0" w:color="auto"/>
        <w:right w:val="none" w:sz="0" w:space="0" w:color="auto"/>
      </w:divBdr>
    </w:div>
    <w:div w:id="441220179">
      <w:bodyDiv w:val="1"/>
      <w:marLeft w:val="0"/>
      <w:marRight w:val="0"/>
      <w:marTop w:val="0"/>
      <w:marBottom w:val="0"/>
      <w:divBdr>
        <w:top w:val="none" w:sz="0" w:space="0" w:color="auto"/>
        <w:left w:val="none" w:sz="0" w:space="0" w:color="auto"/>
        <w:bottom w:val="none" w:sz="0" w:space="0" w:color="auto"/>
        <w:right w:val="none" w:sz="0" w:space="0" w:color="auto"/>
      </w:divBdr>
    </w:div>
    <w:div w:id="445733205">
      <w:bodyDiv w:val="1"/>
      <w:marLeft w:val="0"/>
      <w:marRight w:val="0"/>
      <w:marTop w:val="0"/>
      <w:marBottom w:val="0"/>
      <w:divBdr>
        <w:top w:val="none" w:sz="0" w:space="0" w:color="auto"/>
        <w:left w:val="none" w:sz="0" w:space="0" w:color="auto"/>
        <w:bottom w:val="none" w:sz="0" w:space="0" w:color="auto"/>
        <w:right w:val="none" w:sz="0" w:space="0" w:color="auto"/>
      </w:divBdr>
    </w:div>
    <w:div w:id="486944552">
      <w:bodyDiv w:val="1"/>
      <w:marLeft w:val="0"/>
      <w:marRight w:val="0"/>
      <w:marTop w:val="0"/>
      <w:marBottom w:val="0"/>
      <w:divBdr>
        <w:top w:val="none" w:sz="0" w:space="0" w:color="auto"/>
        <w:left w:val="none" w:sz="0" w:space="0" w:color="auto"/>
        <w:bottom w:val="none" w:sz="0" w:space="0" w:color="auto"/>
        <w:right w:val="none" w:sz="0" w:space="0" w:color="auto"/>
      </w:divBdr>
    </w:div>
    <w:div w:id="580792018">
      <w:bodyDiv w:val="1"/>
      <w:marLeft w:val="0"/>
      <w:marRight w:val="0"/>
      <w:marTop w:val="0"/>
      <w:marBottom w:val="0"/>
      <w:divBdr>
        <w:top w:val="none" w:sz="0" w:space="0" w:color="auto"/>
        <w:left w:val="none" w:sz="0" w:space="0" w:color="auto"/>
        <w:bottom w:val="none" w:sz="0" w:space="0" w:color="auto"/>
        <w:right w:val="none" w:sz="0" w:space="0" w:color="auto"/>
      </w:divBdr>
    </w:div>
    <w:div w:id="723867573">
      <w:bodyDiv w:val="1"/>
      <w:marLeft w:val="0"/>
      <w:marRight w:val="0"/>
      <w:marTop w:val="0"/>
      <w:marBottom w:val="0"/>
      <w:divBdr>
        <w:top w:val="none" w:sz="0" w:space="0" w:color="auto"/>
        <w:left w:val="none" w:sz="0" w:space="0" w:color="auto"/>
        <w:bottom w:val="none" w:sz="0" w:space="0" w:color="auto"/>
        <w:right w:val="none" w:sz="0" w:space="0" w:color="auto"/>
      </w:divBdr>
    </w:div>
    <w:div w:id="878585614">
      <w:bodyDiv w:val="1"/>
      <w:marLeft w:val="0"/>
      <w:marRight w:val="0"/>
      <w:marTop w:val="0"/>
      <w:marBottom w:val="0"/>
      <w:divBdr>
        <w:top w:val="none" w:sz="0" w:space="0" w:color="auto"/>
        <w:left w:val="none" w:sz="0" w:space="0" w:color="auto"/>
        <w:bottom w:val="none" w:sz="0" w:space="0" w:color="auto"/>
        <w:right w:val="none" w:sz="0" w:space="0" w:color="auto"/>
      </w:divBdr>
    </w:div>
    <w:div w:id="919217106">
      <w:bodyDiv w:val="1"/>
      <w:marLeft w:val="0"/>
      <w:marRight w:val="0"/>
      <w:marTop w:val="0"/>
      <w:marBottom w:val="0"/>
      <w:divBdr>
        <w:top w:val="none" w:sz="0" w:space="0" w:color="auto"/>
        <w:left w:val="none" w:sz="0" w:space="0" w:color="auto"/>
        <w:bottom w:val="none" w:sz="0" w:space="0" w:color="auto"/>
        <w:right w:val="none" w:sz="0" w:space="0" w:color="auto"/>
      </w:divBdr>
    </w:div>
    <w:div w:id="1070805506">
      <w:bodyDiv w:val="1"/>
      <w:marLeft w:val="0"/>
      <w:marRight w:val="0"/>
      <w:marTop w:val="0"/>
      <w:marBottom w:val="0"/>
      <w:divBdr>
        <w:top w:val="none" w:sz="0" w:space="0" w:color="auto"/>
        <w:left w:val="none" w:sz="0" w:space="0" w:color="auto"/>
        <w:bottom w:val="none" w:sz="0" w:space="0" w:color="auto"/>
        <w:right w:val="none" w:sz="0" w:space="0" w:color="auto"/>
      </w:divBdr>
    </w:div>
    <w:div w:id="1101026509">
      <w:bodyDiv w:val="1"/>
      <w:marLeft w:val="0"/>
      <w:marRight w:val="0"/>
      <w:marTop w:val="0"/>
      <w:marBottom w:val="0"/>
      <w:divBdr>
        <w:top w:val="none" w:sz="0" w:space="0" w:color="auto"/>
        <w:left w:val="none" w:sz="0" w:space="0" w:color="auto"/>
        <w:bottom w:val="none" w:sz="0" w:space="0" w:color="auto"/>
        <w:right w:val="none" w:sz="0" w:space="0" w:color="auto"/>
      </w:divBdr>
    </w:div>
    <w:div w:id="1122311105">
      <w:bodyDiv w:val="1"/>
      <w:marLeft w:val="0"/>
      <w:marRight w:val="0"/>
      <w:marTop w:val="0"/>
      <w:marBottom w:val="0"/>
      <w:divBdr>
        <w:top w:val="none" w:sz="0" w:space="0" w:color="auto"/>
        <w:left w:val="none" w:sz="0" w:space="0" w:color="auto"/>
        <w:bottom w:val="none" w:sz="0" w:space="0" w:color="auto"/>
        <w:right w:val="none" w:sz="0" w:space="0" w:color="auto"/>
      </w:divBdr>
    </w:div>
    <w:div w:id="1228498466">
      <w:bodyDiv w:val="1"/>
      <w:marLeft w:val="0"/>
      <w:marRight w:val="0"/>
      <w:marTop w:val="0"/>
      <w:marBottom w:val="0"/>
      <w:divBdr>
        <w:top w:val="none" w:sz="0" w:space="0" w:color="auto"/>
        <w:left w:val="none" w:sz="0" w:space="0" w:color="auto"/>
        <w:bottom w:val="none" w:sz="0" w:space="0" w:color="auto"/>
        <w:right w:val="none" w:sz="0" w:space="0" w:color="auto"/>
      </w:divBdr>
    </w:div>
    <w:div w:id="1284459416">
      <w:bodyDiv w:val="1"/>
      <w:marLeft w:val="0"/>
      <w:marRight w:val="0"/>
      <w:marTop w:val="0"/>
      <w:marBottom w:val="0"/>
      <w:divBdr>
        <w:top w:val="none" w:sz="0" w:space="0" w:color="auto"/>
        <w:left w:val="none" w:sz="0" w:space="0" w:color="auto"/>
        <w:bottom w:val="none" w:sz="0" w:space="0" w:color="auto"/>
        <w:right w:val="none" w:sz="0" w:space="0" w:color="auto"/>
      </w:divBdr>
    </w:div>
    <w:div w:id="1341545474">
      <w:bodyDiv w:val="1"/>
      <w:marLeft w:val="0"/>
      <w:marRight w:val="0"/>
      <w:marTop w:val="0"/>
      <w:marBottom w:val="0"/>
      <w:divBdr>
        <w:top w:val="none" w:sz="0" w:space="0" w:color="auto"/>
        <w:left w:val="none" w:sz="0" w:space="0" w:color="auto"/>
        <w:bottom w:val="none" w:sz="0" w:space="0" w:color="auto"/>
        <w:right w:val="none" w:sz="0" w:space="0" w:color="auto"/>
      </w:divBdr>
    </w:div>
    <w:div w:id="1418750773">
      <w:bodyDiv w:val="1"/>
      <w:marLeft w:val="0"/>
      <w:marRight w:val="0"/>
      <w:marTop w:val="0"/>
      <w:marBottom w:val="0"/>
      <w:divBdr>
        <w:top w:val="none" w:sz="0" w:space="0" w:color="auto"/>
        <w:left w:val="none" w:sz="0" w:space="0" w:color="auto"/>
        <w:bottom w:val="none" w:sz="0" w:space="0" w:color="auto"/>
        <w:right w:val="none" w:sz="0" w:space="0" w:color="auto"/>
      </w:divBdr>
    </w:div>
    <w:div w:id="1493256220">
      <w:bodyDiv w:val="1"/>
      <w:marLeft w:val="0"/>
      <w:marRight w:val="0"/>
      <w:marTop w:val="0"/>
      <w:marBottom w:val="0"/>
      <w:divBdr>
        <w:top w:val="none" w:sz="0" w:space="0" w:color="auto"/>
        <w:left w:val="none" w:sz="0" w:space="0" w:color="auto"/>
        <w:bottom w:val="none" w:sz="0" w:space="0" w:color="auto"/>
        <w:right w:val="none" w:sz="0" w:space="0" w:color="auto"/>
      </w:divBdr>
    </w:div>
    <w:div w:id="1548444508">
      <w:bodyDiv w:val="1"/>
      <w:marLeft w:val="0"/>
      <w:marRight w:val="0"/>
      <w:marTop w:val="0"/>
      <w:marBottom w:val="0"/>
      <w:divBdr>
        <w:top w:val="none" w:sz="0" w:space="0" w:color="auto"/>
        <w:left w:val="none" w:sz="0" w:space="0" w:color="auto"/>
        <w:bottom w:val="none" w:sz="0" w:space="0" w:color="auto"/>
        <w:right w:val="none" w:sz="0" w:space="0" w:color="auto"/>
      </w:divBdr>
    </w:div>
    <w:div w:id="1596205678">
      <w:bodyDiv w:val="1"/>
      <w:marLeft w:val="0"/>
      <w:marRight w:val="0"/>
      <w:marTop w:val="0"/>
      <w:marBottom w:val="0"/>
      <w:divBdr>
        <w:top w:val="none" w:sz="0" w:space="0" w:color="auto"/>
        <w:left w:val="none" w:sz="0" w:space="0" w:color="auto"/>
        <w:bottom w:val="none" w:sz="0" w:space="0" w:color="auto"/>
        <w:right w:val="none" w:sz="0" w:space="0" w:color="auto"/>
      </w:divBdr>
    </w:div>
    <w:div w:id="1601595868">
      <w:bodyDiv w:val="1"/>
      <w:marLeft w:val="0"/>
      <w:marRight w:val="0"/>
      <w:marTop w:val="0"/>
      <w:marBottom w:val="0"/>
      <w:divBdr>
        <w:top w:val="none" w:sz="0" w:space="0" w:color="auto"/>
        <w:left w:val="none" w:sz="0" w:space="0" w:color="auto"/>
        <w:bottom w:val="none" w:sz="0" w:space="0" w:color="auto"/>
        <w:right w:val="none" w:sz="0" w:space="0" w:color="auto"/>
      </w:divBdr>
    </w:div>
    <w:div w:id="1650862315">
      <w:bodyDiv w:val="1"/>
      <w:marLeft w:val="0"/>
      <w:marRight w:val="0"/>
      <w:marTop w:val="0"/>
      <w:marBottom w:val="0"/>
      <w:divBdr>
        <w:top w:val="none" w:sz="0" w:space="0" w:color="auto"/>
        <w:left w:val="none" w:sz="0" w:space="0" w:color="auto"/>
        <w:bottom w:val="none" w:sz="0" w:space="0" w:color="auto"/>
        <w:right w:val="none" w:sz="0" w:space="0" w:color="auto"/>
      </w:divBdr>
    </w:div>
    <w:div w:id="1688099738">
      <w:bodyDiv w:val="1"/>
      <w:marLeft w:val="0"/>
      <w:marRight w:val="0"/>
      <w:marTop w:val="0"/>
      <w:marBottom w:val="0"/>
      <w:divBdr>
        <w:top w:val="none" w:sz="0" w:space="0" w:color="auto"/>
        <w:left w:val="none" w:sz="0" w:space="0" w:color="auto"/>
        <w:bottom w:val="none" w:sz="0" w:space="0" w:color="auto"/>
        <w:right w:val="none" w:sz="0" w:space="0" w:color="auto"/>
      </w:divBdr>
    </w:div>
    <w:div w:id="1873415352">
      <w:bodyDiv w:val="1"/>
      <w:marLeft w:val="0"/>
      <w:marRight w:val="0"/>
      <w:marTop w:val="0"/>
      <w:marBottom w:val="0"/>
      <w:divBdr>
        <w:top w:val="none" w:sz="0" w:space="0" w:color="auto"/>
        <w:left w:val="none" w:sz="0" w:space="0" w:color="auto"/>
        <w:bottom w:val="none" w:sz="0" w:space="0" w:color="auto"/>
        <w:right w:val="none" w:sz="0" w:space="0" w:color="auto"/>
      </w:divBdr>
    </w:div>
    <w:div w:id="1888837948">
      <w:bodyDiv w:val="1"/>
      <w:marLeft w:val="0"/>
      <w:marRight w:val="0"/>
      <w:marTop w:val="0"/>
      <w:marBottom w:val="0"/>
      <w:divBdr>
        <w:top w:val="none" w:sz="0" w:space="0" w:color="auto"/>
        <w:left w:val="none" w:sz="0" w:space="0" w:color="auto"/>
        <w:bottom w:val="none" w:sz="0" w:space="0" w:color="auto"/>
        <w:right w:val="none" w:sz="0" w:space="0" w:color="auto"/>
      </w:divBdr>
    </w:div>
    <w:div w:id="1912739742">
      <w:bodyDiv w:val="1"/>
      <w:marLeft w:val="0"/>
      <w:marRight w:val="0"/>
      <w:marTop w:val="0"/>
      <w:marBottom w:val="0"/>
      <w:divBdr>
        <w:top w:val="none" w:sz="0" w:space="0" w:color="auto"/>
        <w:left w:val="none" w:sz="0" w:space="0" w:color="auto"/>
        <w:bottom w:val="none" w:sz="0" w:space="0" w:color="auto"/>
        <w:right w:val="none" w:sz="0" w:space="0" w:color="auto"/>
      </w:divBdr>
    </w:div>
    <w:div w:id="1970820322">
      <w:bodyDiv w:val="1"/>
      <w:marLeft w:val="0"/>
      <w:marRight w:val="0"/>
      <w:marTop w:val="0"/>
      <w:marBottom w:val="0"/>
      <w:divBdr>
        <w:top w:val="none" w:sz="0" w:space="0" w:color="auto"/>
        <w:left w:val="none" w:sz="0" w:space="0" w:color="auto"/>
        <w:bottom w:val="none" w:sz="0" w:space="0" w:color="auto"/>
        <w:right w:val="none" w:sz="0" w:space="0" w:color="auto"/>
      </w:divBdr>
    </w:div>
    <w:div w:id="2048873347">
      <w:bodyDiv w:val="1"/>
      <w:marLeft w:val="0"/>
      <w:marRight w:val="0"/>
      <w:marTop w:val="0"/>
      <w:marBottom w:val="0"/>
      <w:divBdr>
        <w:top w:val="none" w:sz="0" w:space="0" w:color="auto"/>
        <w:left w:val="none" w:sz="0" w:space="0" w:color="auto"/>
        <w:bottom w:val="none" w:sz="0" w:space="0" w:color="auto"/>
        <w:right w:val="none" w:sz="0" w:space="0" w:color="auto"/>
      </w:divBdr>
      <w:divsChild>
        <w:div w:id="28729474">
          <w:marLeft w:val="0"/>
          <w:marRight w:val="0"/>
          <w:marTop w:val="0"/>
          <w:marBottom w:val="0"/>
          <w:divBdr>
            <w:top w:val="none" w:sz="0" w:space="0" w:color="auto"/>
            <w:left w:val="none" w:sz="0" w:space="0" w:color="auto"/>
            <w:bottom w:val="none" w:sz="0" w:space="0" w:color="auto"/>
            <w:right w:val="none" w:sz="0" w:space="0" w:color="auto"/>
          </w:divBdr>
          <w:divsChild>
            <w:div w:id="855315024">
              <w:marLeft w:val="0"/>
              <w:marRight w:val="60"/>
              <w:marTop w:val="0"/>
              <w:marBottom w:val="0"/>
              <w:divBdr>
                <w:top w:val="none" w:sz="0" w:space="0" w:color="auto"/>
                <w:left w:val="none" w:sz="0" w:space="0" w:color="auto"/>
                <w:bottom w:val="none" w:sz="0" w:space="0" w:color="auto"/>
                <w:right w:val="none" w:sz="0" w:space="0" w:color="auto"/>
              </w:divBdr>
              <w:divsChild>
                <w:div w:id="2005206785">
                  <w:marLeft w:val="0"/>
                  <w:marRight w:val="0"/>
                  <w:marTop w:val="0"/>
                  <w:marBottom w:val="120"/>
                  <w:divBdr>
                    <w:top w:val="single" w:sz="6" w:space="0" w:color="C0C0C0"/>
                    <w:left w:val="single" w:sz="6" w:space="0" w:color="D9D9D9"/>
                    <w:bottom w:val="single" w:sz="6" w:space="0" w:color="D9D9D9"/>
                    <w:right w:val="single" w:sz="6" w:space="0" w:color="D9D9D9"/>
                  </w:divBdr>
                  <w:divsChild>
                    <w:div w:id="18486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9560">
          <w:marLeft w:val="0"/>
          <w:marRight w:val="0"/>
          <w:marTop w:val="0"/>
          <w:marBottom w:val="0"/>
          <w:divBdr>
            <w:top w:val="none" w:sz="0" w:space="0" w:color="auto"/>
            <w:left w:val="none" w:sz="0" w:space="0" w:color="auto"/>
            <w:bottom w:val="none" w:sz="0" w:space="0" w:color="auto"/>
            <w:right w:val="none" w:sz="0" w:space="0" w:color="auto"/>
          </w:divBdr>
          <w:divsChild>
            <w:div w:id="407574678">
              <w:marLeft w:val="60"/>
              <w:marRight w:val="0"/>
              <w:marTop w:val="0"/>
              <w:marBottom w:val="0"/>
              <w:divBdr>
                <w:top w:val="none" w:sz="0" w:space="0" w:color="auto"/>
                <w:left w:val="none" w:sz="0" w:space="0" w:color="auto"/>
                <w:bottom w:val="none" w:sz="0" w:space="0" w:color="auto"/>
                <w:right w:val="none" w:sz="0" w:space="0" w:color="auto"/>
              </w:divBdr>
              <w:divsChild>
                <w:div w:id="640815576">
                  <w:marLeft w:val="0"/>
                  <w:marRight w:val="0"/>
                  <w:marTop w:val="0"/>
                  <w:marBottom w:val="0"/>
                  <w:divBdr>
                    <w:top w:val="none" w:sz="0" w:space="0" w:color="auto"/>
                    <w:left w:val="none" w:sz="0" w:space="0" w:color="auto"/>
                    <w:bottom w:val="none" w:sz="0" w:space="0" w:color="auto"/>
                    <w:right w:val="none" w:sz="0" w:space="0" w:color="auto"/>
                  </w:divBdr>
                  <w:divsChild>
                    <w:div w:id="649021903">
                      <w:marLeft w:val="0"/>
                      <w:marRight w:val="0"/>
                      <w:marTop w:val="0"/>
                      <w:marBottom w:val="120"/>
                      <w:divBdr>
                        <w:top w:val="single" w:sz="6" w:space="0" w:color="F5F5F5"/>
                        <w:left w:val="single" w:sz="6" w:space="0" w:color="F5F5F5"/>
                        <w:bottom w:val="single" w:sz="6" w:space="0" w:color="F5F5F5"/>
                        <w:right w:val="single" w:sz="6" w:space="0" w:color="F5F5F5"/>
                      </w:divBdr>
                      <w:divsChild>
                        <w:div w:id="677467620">
                          <w:marLeft w:val="0"/>
                          <w:marRight w:val="0"/>
                          <w:marTop w:val="0"/>
                          <w:marBottom w:val="0"/>
                          <w:divBdr>
                            <w:top w:val="none" w:sz="0" w:space="0" w:color="auto"/>
                            <w:left w:val="none" w:sz="0" w:space="0" w:color="auto"/>
                            <w:bottom w:val="none" w:sz="0" w:space="0" w:color="auto"/>
                            <w:right w:val="none" w:sz="0" w:space="0" w:color="auto"/>
                          </w:divBdr>
                          <w:divsChild>
                            <w:div w:id="2867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ty.org/x/file/Legal%20Library/Statute/statute_sept09_en.pdf" TargetMode="External"/><Relationship Id="rId13" Type="http://schemas.openxmlformats.org/officeDocument/2006/relationships/hyperlink" Target="https://www.ohchr.org/EN/ProfessionalInterest/Pages/TrafficInPersons.aspx" TargetMode="External"/><Relationship Id="rId3" Type="http://schemas.openxmlformats.org/officeDocument/2006/relationships/hyperlink" Target="http://www.corteidh.or.cr/docs/%20asuntos/%20trabajadores_23_02_16.pdf" TargetMode="External"/><Relationship Id="rId7" Type="http://schemas.openxmlformats.org/officeDocument/2006/relationships/hyperlink" Target="https://www.ohchr.org/EN/ProfessionalInterest/%20Pages/ProtocolII.aspx" TargetMode="External"/><Relationship Id="rId12" Type="http://schemas.openxmlformats.org/officeDocument/2006/relationships/hyperlink" Target="http://www.ohchr.org/Documents/Publications/slaveryen.pdf" TargetMode="External"/><Relationship Id="rId2" Type="http://schemas.openxmlformats.org/officeDocument/2006/relationships/hyperlink" Target="http://www.corteidh.or.cr/docs/asuntos/%20trabajadores_15_02_16_por.pdf" TargetMode="External"/><Relationship Id="rId1" Type="http://schemas.openxmlformats.org/officeDocument/2006/relationships/hyperlink" Target="http://www.corteidh.or.cr/docs/asuntos/%20trabajadores_11_12_15.pdf" TargetMode="External"/><Relationship Id="rId6" Type="http://schemas.openxmlformats.org/officeDocument/2006/relationships/hyperlink" Target="https://treaties.un.org/Pages/showDetails.%20aspx?objid=080000028003103d" TargetMode="External"/><Relationship Id="rId11" Type="http://schemas.openxmlformats.org/officeDocument/2006/relationships/hyperlink" Target="http://legal.un.org/docs/?path=../ilc/texts/instruments/english/draft_articles/7_4_1996.pdf&amp;lang=EF" TargetMode="External"/><Relationship Id="rId5" Type="http://schemas.openxmlformats.org/officeDocument/2006/relationships/hyperlink" Target="https://treaties.un.org/Pages/showDetails.aspx?objid=0800000280030bab" TargetMode="External"/><Relationship Id="rId10" Type="http://schemas.openxmlformats.org/officeDocument/2006/relationships/hyperlink" Target="http://www.rscsl.org/Documents/scsl-statute.pdf" TargetMode="External"/><Relationship Id="rId4" Type="http://schemas.openxmlformats.org/officeDocument/2006/relationships/hyperlink" Target="https://www.oas.org/dil/treaties_B-32%20_American_Convention_on_%20Human_Rights_sign.htm" TargetMode="External"/><Relationship Id="rId9" Type="http://schemas.openxmlformats.org/officeDocument/2006/relationships/hyperlink" Target="http://legal.un.org/avl/pdf/ha/ictr_EF.pdf" TargetMode="External"/><Relationship Id="rId14" Type="http://schemas.openxmlformats.org/officeDocument/2006/relationships/hyperlink" Target="https://processual.trf1.jus.br/consultaProcessual/processo.%20php?proc=200139010002700&amp;secao=MBA&amp;pg=1&amp;trf1_captcha_id=2dc48777b78e795a538b3aa440996f7b&amp;trf1_captcha=f4gj&amp;enviar=Pesquis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7C49-CEC4-4CC3-9A04-7D043F15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68261</Words>
  <Characters>375440</Characters>
  <Application>Microsoft Office Word</Application>
  <DocSecurity>0</DocSecurity>
  <Lines>3128</Lines>
  <Paragraphs>885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3</cp:revision>
  <cp:lastPrinted>2016-12-15T18:15:00Z</cp:lastPrinted>
  <dcterms:created xsi:type="dcterms:W3CDTF">2020-06-05T19:27:00Z</dcterms:created>
  <dcterms:modified xsi:type="dcterms:W3CDTF">2020-06-24T17:24:00Z</dcterms:modified>
</cp:coreProperties>
</file>