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B1" w:rsidRDefault="000435B1" w:rsidP="00665167">
      <w:pPr>
        <w:spacing w:line="240" w:lineRule="auto"/>
        <w:jc w:val="center"/>
        <w:rPr>
          <w:rFonts w:ascii="Verdana" w:hAnsi="Verdana"/>
          <w:b/>
          <w:sz w:val="20"/>
          <w:szCs w:val="20"/>
          <w:lang w:val="es-MX"/>
        </w:rPr>
      </w:pPr>
      <w:bookmarkStart w:id="0" w:name="_GoBack"/>
      <w:bookmarkEnd w:id="0"/>
    </w:p>
    <w:p w:rsidR="000435B1" w:rsidRDefault="000435B1" w:rsidP="00665167">
      <w:pPr>
        <w:spacing w:line="240" w:lineRule="auto"/>
        <w:jc w:val="center"/>
        <w:rPr>
          <w:rFonts w:ascii="Verdana" w:hAnsi="Verdana"/>
          <w:b/>
          <w:sz w:val="20"/>
          <w:szCs w:val="20"/>
          <w:lang w:val="es-MX"/>
        </w:rPr>
      </w:pPr>
    </w:p>
    <w:p w:rsidR="000435B1" w:rsidRDefault="000435B1" w:rsidP="00665167">
      <w:pPr>
        <w:spacing w:line="240" w:lineRule="auto"/>
        <w:jc w:val="center"/>
        <w:rPr>
          <w:rFonts w:ascii="Verdana" w:hAnsi="Verdana"/>
          <w:b/>
          <w:sz w:val="20"/>
          <w:szCs w:val="20"/>
          <w:lang w:val="es-MX"/>
        </w:rPr>
      </w:pPr>
    </w:p>
    <w:p w:rsidR="000435B1" w:rsidRDefault="000435B1" w:rsidP="00665167">
      <w:pPr>
        <w:spacing w:line="240" w:lineRule="auto"/>
        <w:jc w:val="center"/>
        <w:rPr>
          <w:rFonts w:ascii="Verdana" w:hAnsi="Verdana"/>
          <w:b/>
          <w:sz w:val="20"/>
          <w:szCs w:val="20"/>
          <w:lang w:val="es-MX"/>
        </w:rPr>
      </w:pPr>
    </w:p>
    <w:p w:rsidR="000435B1" w:rsidRDefault="000435B1" w:rsidP="00665167">
      <w:pPr>
        <w:spacing w:line="240" w:lineRule="auto"/>
        <w:jc w:val="center"/>
        <w:rPr>
          <w:rFonts w:ascii="Verdana" w:hAnsi="Verdana"/>
          <w:b/>
          <w:sz w:val="20"/>
          <w:szCs w:val="20"/>
          <w:lang w:val="es-MX"/>
        </w:rPr>
      </w:pPr>
    </w:p>
    <w:p w:rsidR="000435B1" w:rsidRDefault="000435B1" w:rsidP="00665167">
      <w:pPr>
        <w:spacing w:line="240" w:lineRule="auto"/>
        <w:jc w:val="center"/>
        <w:rPr>
          <w:rFonts w:ascii="Verdana" w:hAnsi="Verdana"/>
          <w:b/>
          <w:sz w:val="20"/>
          <w:szCs w:val="20"/>
          <w:lang w:val="es-MX"/>
        </w:rPr>
      </w:pPr>
    </w:p>
    <w:p w:rsidR="00665167" w:rsidRDefault="00665167" w:rsidP="00665167">
      <w:pPr>
        <w:spacing w:line="240" w:lineRule="auto"/>
        <w:jc w:val="center"/>
        <w:rPr>
          <w:rFonts w:ascii="Verdana" w:hAnsi="Verdana"/>
          <w:b/>
          <w:sz w:val="20"/>
          <w:szCs w:val="20"/>
          <w:lang w:val="es-MX"/>
        </w:rPr>
      </w:pPr>
      <w:r>
        <w:rPr>
          <w:rFonts w:ascii="Verdana" w:hAnsi="Verdana"/>
          <w:b/>
          <w:sz w:val="20"/>
          <w:szCs w:val="20"/>
          <w:lang w:val="es-MX"/>
        </w:rPr>
        <w:t>CORTE INTERAMERICANA DE DERECHOS HUMANOS</w:t>
      </w:r>
    </w:p>
    <w:p w:rsidR="00665167" w:rsidRDefault="00665167" w:rsidP="00665167">
      <w:pPr>
        <w:spacing w:after="0" w:line="240" w:lineRule="auto"/>
        <w:jc w:val="center"/>
        <w:rPr>
          <w:rFonts w:ascii="Verdana" w:hAnsi="Verdana"/>
          <w:b/>
          <w:sz w:val="20"/>
          <w:szCs w:val="20"/>
          <w:lang w:val="es-MX"/>
        </w:rPr>
      </w:pPr>
      <w:r>
        <w:rPr>
          <w:rFonts w:ascii="Verdana" w:hAnsi="Verdana"/>
          <w:b/>
          <w:sz w:val="20"/>
          <w:szCs w:val="20"/>
          <w:lang w:val="es-MX"/>
        </w:rPr>
        <w:t>CASO GALINDO CÁRDENAS Y OTROS VS. PERÚ</w:t>
      </w:r>
    </w:p>
    <w:p w:rsidR="00665167" w:rsidRDefault="00665167" w:rsidP="00F317D8">
      <w:pPr>
        <w:spacing w:after="0" w:line="240" w:lineRule="auto"/>
        <w:rPr>
          <w:rFonts w:ascii="Verdana" w:hAnsi="Verdana"/>
          <w:b/>
          <w:sz w:val="20"/>
          <w:szCs w:val="20"/>
          <w:lang w:val="es-MX"/>
        </w:rPr>
      </w:pPr>
    </w:p>
    <w:p w:rsidR="00665167" w:rsidRDefault="000442AD" w:rsidP="00665167">
      <w:pPr>
        <w:spacing w:after="0" w:line="240" w:lineRule="auto"/>
        <w:jc w:val="center"/>
        <w:rPr>
          <w:rFonts w:ascii="Verdana" w:hAnsi="Verdana"/>
          <w:b/>
          <w:sz w:val="20"/>
          <w:szCs w:val="20"/>
          <w:lang w:val="es-MX"/>
        </w:rPr>
      </w:pPr>
      <w:r>
        <w:rPr>
          <w:rFonts w:ascii="Verdana" w:hAnsi="Verdana"/>
          <w:b/>
          <w:sz w:val="20"/>
          <w:szCs w:val="20"/>
          <w:lang w:val="es-MX"/>
        </w:rPr>
        <w:t xml:space="preserve">SENTENCIA DE </w:t>
      </w:r>
      <w:r w:rsidR="004152CF">
        <w:rPr>
          <w:rFonts w:ascii="Verdana" w:hAnsi="Verdana"/>
          <w:b/>
          <w:sz w:val="20"/>
          <w:szCs w:val="20"/>
          <w:lang w:val="es-MX"/>
        </w:rPr>
        <w:t>21</w:t>
      </w:r>
      <w:r>
        <w:rPr>
          <w:rFonts w:ascii="Verdana" w:hAnsi="Verdana"/>
          <w:b/>
          <w:sz w:val="20"/>
          <w:szCs w:val="20"/>
          <w:lang w:val="es-MX"/>
        </w:rPr>
        <w:t xml:space="preserve"> DE </w:t>
      </w:r>
      <w:r w:rsidR="004152CF">
        <w:rPr>
          <w:rFonts w:ascii="Verdana" w:hAnsi="Verdana"/>
          <w:b/>
          <w:sz w:val="20"/>
          <w:szCs w:val="20"/>
          <w:lang w:val="es-MX"/>
        </w:rPr>
        <w:t>NOVIEMBRE</w:t>
      </w:r>
      <w:r>
        <w:rPr>
          <w:rFonts w:ascii="Verdana" w:hAnsi="Verdana"/>
          <w:b/>
          <w:sz w:val="20"/>
          <w:szCs w:val="20"/>
          <w:lang w:val="es-MX"/>
        </w:rPr>
        <w:t xml:space="preserve"> </w:t>
      </w:r>
      <w:r w:rsidR="00665167">
        <w:rPr>
          <w:rFonts w:ascii="Verdana" w:hAnsi="Verdana"/>
          <w:b/>
          <w:sz w:val="20"/>
          <w:szCs w:val="20"/>
          <w:lang w:val="es-MX"/>
        </w:rPr>
        <w:t>DE 2016</w:t>
      </w:r>
    </w:p>
    <w:p w:rsidR="00665167" w:rsidRDefault="00665167" w:rsidP="00665167">
      <w:pPr>
        <w:spacing w:after="0" w:line="240" w:lineRule="auto"/>
        <w:jc w:val="center"/>
        <w:rPr>
          <w:rFonts w:ascii="Verdana" w:hAnsi="Verdana"/>
          <w:b/>
          <w:sz w:val="20"/>
          <w:szCs w:val="20"/>
          <w:lang w:val="es-MX"/>
        </w:rPr>
      </w:pPr>
    </w:p>
    <w:p w:rsidR="00665167" w:rsidRDefault="00665167" w:rsidP="00665167">
      <w:pPr>
        <w:spacing w:after="0" w:line="240" w:lineRule="auto"/>
        <w:jc w:val="center"/>
        <w:rPr>
          <w:rFonts w:ascii="Verdana" w:hAnsi="Verdana"/>
          <w:b/>
          <w:i/>
          <w:sz w:val="20"/>
          <w:szCs w:val="20"/>
          <w:lang w:val="es-MX"/>
        </w:rPr>
      </w:pPr>
      <w:r w:rsidRPr="006D2002">
        <w:rPr>
          <w:rFonts w:ascii="Verdana" w:hAnsi="Verdana"/>
          <w:b/>
          <w:i/>
          <w:sz w:val="20"/>
          <w:szCs w:val="20"/>
          <w:lang w:val="es-MX"/>
        </w:rPr>
        <w:t>(</w:t>
      </w:r>
      <w:r>
        <w:rPr>
          <w:rFonts w:ascii="Verdana" w:hAnsi="Verdana"/>
          <w:b/>
          <w:i/>
          <w:sz w:val="20"/>
          <w:szCs w:val="20"/>
          <w:lang w:val="es-MX"/>
        </w:rPr>
        <w:t>Interpretación de la Sentencia de</w:t>
      </w:r>
      <w:r w:rsidRPr="006D2002">
        <w:rPr>
          <w:lang w:val="es-MX"/>
        </w:rPr>
        <w:t xml:space="preserve"> </w:t>
      </w:r>
      <w:r w:rsidR="00D83888">
        <w:rPr>
          <w:rFonts w:ascii="Verdana" w:hAnsi="Verdana"/>
          <w:b/>
          <w:i/>
          <w:sz w:val="20"/>
          <w:szCs w:val="20"/>
          <w:lang w:val="es-MX"/>
        </w:rPr>
        <w:t>Excepciones Preliminares, F</w:t>
      </w:r>
      <w:r w:rsidRPr="006D2002">
        <w:rPr>
          <w:rFonts w:ascii="Verdana" w:hAnsi="Verdana"/>
          <w:b/>
          <w:i/>
          <w:sz w:val="20"/>
          <w:szCs w:val="20"/>
          <w:lang w:val="es-MX"/>
        </w:rPr>
        <w:t xml:space="preserve">ondo, </w:t>
      </w:r>
    </w:p>
    <w:p w:rsidR="00665167" w:rsidRDefault="00D83888" w:rsidP="00665167">
      <w:pPr>
        <w:spacing w:after="0" w:line="240" w:lineRule="auto"/>
        <w:jc w:val="center"/>
        <w:rPr>
          <w:rFonts w:ascii="Verdana" w:hAnsi="Verdana"/>
          <w:b/>
          <w:i/>
          <w:sz w:val="20"/>
          <w:szCs w:val="20"/>
          <w:lang w:val="es-MX"/>
        </w:rPr>
      </w:pPr>
      <w:r>
        <w:rPr>
          <w:rFonts w:ascii="Verdana" w:hAnsi="Verdana"/>
          <w:b/>
          <w:i/>
          <w:sz w:val="20"/>
          <w:szCs w:val="20"/>
          <w:lang w:val="es-MX"/>
        </w:rPr>
        <w:t>Reparaciones y C</w:t>
      </w:r>
      <w:r w:rsidR="00665167" w:rsidRPr="006D2002">
        <w:rPr>
          <w:rFonts w:ascii="Verdana" w:hAnsi="Verdana"/>
          <w:b/>
          <w:i/>
          <w:sz w:val="20"/>
          <w:szCs w:val="20"/>
          <w:lang w:val="es-MX"/>
        </w:rPr>
        <w:t>ostas</w:t>
      </w:r>
      <w:r w:rsidR="00665167">
        <w:rPr>
          <w:rFonts w:ascii="Verdana" w:hAnsi="Verdana"/>
          <w:b/>
          <w:i/>
          <w:sz w:val="20"/>
          <w:szCs w:val="20"/>
          <w:lang w:val="es-MX"/>
        </w:rPr>
        <w:t>)</w:t>
      </w:r>
    </w:p>
    <w:p w:rsidR="00665167" w:rsidRDefault="00665167" w:rsidP="00665167">
      <w:pPr>
        <w:spacing w:line="240" w:lineRule="auto"/>
        <w:jc w:val="center"/>
        <w:rPr>
          <w:rFonts w:ascii="Verdana" w:hAnsi="Verdana"/>
          <w:b/>
          <w:i/>
          <w:sz w:val="20"/>
          <w:szCs w:val="20"/>
          <w:lang w:val="es-MX"/>
        </w:rPr>
      </w:pPr>
    </w:p>
    <w:p w:rsidR="00665167" w:rsidRDefault="00665167" w:rsidP="00665167">
      <w:pPr>
        <w:spacing w:line="240" w:lineRule="auto"/>
        <w:jc w:val="center"/>
        <w:rPr>
          <w:rFonts w:ascii="Verdana" w:hAnsi="Verdana"/>
          <w:b/>
          <w:i/>
          <w:sz w:val="20"/>
          <w:szCs w:val="20"/>
          <w:lang w:val="es-MX"/>
        </w:rPr>
      </w:pPr>
    </w:p>
    <w:p w:rsidR="00665167" w:rsidRDefault="00665167" w:rsidP="00665167">
      <w:pPr>
        <w:spacing w:line="240" w:lineRule="auto"/>
        <w:jc w:val="both"/>
        <w:rPr>
          <w:rFonts w:ascii="Verdana" w:hAnsi="Verdana"/>
          <w:sz w:val="20"/>
          <w:szCs w:val="20"/>
          <w:lang w:val="es-MX"/>
        </w:rPr>
      </w:pPr>
      <w:r>
        <w:rPr>
          <w:rFonts w:ascii="Verdana" w:hAnsi="Verdana"/>
          <w:sz w:val="20"/>
          <w:szCs w:val="20"/>
          <w:lang w:val="es-MX"/>
        </w:rPr>
        <w:t xml:space="preserve">En el caso </w:t>
      </w:r>
      <w:r>
        <w:rPr>
          <w:rFonts w:ascii="Verdana" w:hAnsi="Verdana"/>
          <w:i/>
          <w:sz w:val="20"/>
          <w:szCs w:val="20"/>
          <w:lang w:val="es-MX"/>
        </w:rPr>
        <w:t xml:space="preserve">Galindo Cárdenas y Otros Vs. Perú, </w:t>
      </w:r>
    </w:p>
    <w:p w:rsidR="00665167" w:rsidRPr="00162CCB" w:rsidRDefault="00665167" w:rsidP="00665167">
      <w:pPr>
        <w:spacing w:line="240" w:lineRule="auto"/>
        <w:jc w:val="both"/>
        <w:rPr>
          <w:rFonts w:ascii="Verdana" w:hAnsi="Verdana"/>
          <w:sz w:val="20"/>
          <w:szCs w:val="20"/>
          <w:lang w:val="es-MX"/>
        </w:rPr>
      </w:pPr>
      <w:r>
        <w:rPr>
          <w:rFonts w:ascii="Verdana" w:hAnsi="Verdana"/>
          <w:sz w:val="20"/>
          <w:szCs w:val="20"/>
          <w:lang w:val="es-MX"/>
        </w:rPr>
        <w:t xml:space="preserve">La Corte Interamericana de Derechos Humanos (en adelante “la Corte Interamericana”, “la </w:t>
      </w:r>
      <w:r w:rsidRPr="00162CCB">
        <w:rPr>
          <w:rFonts w:ascii="Verdana" w:hAnsi="Verdana"/>
          <w:sz w:val="20"/>
          <w:szCs w:val="20"/>
          <w:lang w:val="es-MX"/>
        </w:rPr>
        <w:t>Corte” o “el Tribunal”), integrada por los siguientes jueces</w:t>
      </w:r>
      <w:r w:rsidR="00D83888" w:rsidRPr="00D83888">
        <w:rPr>
          <w:rStyle w:val="FootnoteReference"/>
          <w:rFonts w:ascii="Verdana" w:hAnsi="Verdana"/>
          <w:sz w:val="20"/>
          <w:szCs w:val="20"/>
          <w:lang w:val="es-CR"/>
        </w:rPr>
        <w:footnoteReference w:customMarkFollows="1" w:id="1"/>
        <w:t>*</w:t>
      </w:r>
      <w:r w:rsidRPr="00162CCB">
        <w:rPr>
          <w:rFonts w:ascii="Verdana" w:hAnsi="Verdana"/>
          <w:sz w:val="20"/>
          <w:szCs w:val="20"/>
          <w:lang w:val="es-MX"/>
        </w:rPr>
        <w:t>:</w:t>
      </w:r>
    </w:p>
    <w:p w:rsidR="00665167" w:rsidRPr="00162CCB" w:rsidRDefault="0040704F" w:rsidP="00665167">
      <w:pPr>
        <w:spacing w:after="0" w:line="240" w:lineRule="auto"/>
        <w:jc w:val="both"/>
        <w:rPr>
          <w:rFonts w:ascii="Verdana" w:hAnsi="Verdana"/>
          <w:sz w:val="20"/>
          <w:szCs w:val="20"/>
          <w:lang w:val="es-MX"/>
        </w:rPr>
      </w:pPr>
      <w:r w:rsidRPr="00162CCB">
        <w:rPr>
          <w:rFonts w:ascii="Verdana" w:hAnsi="Verdana"/>
          <w:sz w:val="20"/>
          <w:szCs w:val="20"/>
          <w:lang w:val="es-MX"/>
        </w:rPr>
        <w:t>Roberto F. Caldas</w:t>
      </w:r>
      <w:r w:rsidR="00665167" w:rsidRPr="00162CCB">
        <w:rPr>
          <w:rFonts w:ascii="Verdana" w:hAnsi="Verdana"/>
          <w:sz w:val="20"/>
          <w:szCs w:val="20"/>
          <w:lang w:val="es-MX"/>
        </w:rPr>
        <w:t>, Presidente;</w:t>
      </w:r>
    </w:p>
    <w:p w:rsidR="0040704F" w:rsidRPr="00162CCB" w:rsidRDefault="0040704F" w:rsidP="0040704F">
      <w:pPr>
        <w:spacing w:after="0" w:line="240" w:lineRule="auto"/>
        <w:jc w:val="both"/>
        <w:rPr>
          <w:rFonts w:ascii="Verdana" w:hAnsi="Verdana"/>
          <w:sz w:val="20"/>
          <w:szCs w:val="20"/>
          <w:lang w:val="es-MX"/>
        </w:rPr>
      </w:pPr>
      <w:r w:rsidRPr="00162CCB">
        <w:rPr>
          <w:rFonts w:ascii="Verdana" w:hAnsi="Verdana"/>
          <w:sz w:val="20"/>
          <w:szCs w:val="20"/>
          <w:lang w:val="es-MX"/>
        </w:rPr>
        <w:t>Eduardo</w:t>
      </w:r>
      <w:r w:rsidR="00AE78F7">
        <w:rPr>
          <w:rFonts w:ascii="Verdana" w:hAnsi="Verdana"/>
          <w:sz w:val="20"/>
          <w:szCs w:val="20"/>
          <w:lang w:val="es-MX"/>
        </w:rPr>
        <w:t xml:space="preserve"> Ferrer Mac-Gregor Poisot, Vicepresidente</w:t>
      </w:r>
      <w:r w:rsidR="00162CCB">
        <w:rPr>
          <w:rFonts w:ascii="Verdana" w:hAnsi="Verdana"/>
          <w:sz w:val="20"/>
          <w:szCs w:val="20"/>
          <w:lang w:val="es-MX"/>
        </w:rPr>
        <w:t>;</w:t>
      </w:r>
    </w:p>
    <w:p w:rsidR="00665167" w:rsidRPr="00162CCB" w:rsidRDefault="00665167" w:rsidP="00665167">
      <w:pPr>
        <w:spacing w:after="0" w:line="240" w:lineRule="auto"/>
        <w:jc w:val="both"/>
        <w:rPr>
          <w:rFonts w:ascii="Verdana" w:hAnsi="Verdana"/>
          <w:sz w:val="20"/>
          <w:szCs w:val="20"/>
          <w:lang w:val="es-MX"/>
        </w:rPr>
      </w:pPr>
      <w:r w:rsidRPr="00162CCB">
        <w:rPr>
          <w:rFonts w:ascii="Verdana" w:hAnsi="Verdana"/>
          <w:sz w:val="20"/>
          <w:szCs w:val="20"/>
          <w:lang w:val="es-MX"/>
        </w:rPr>
        <w:t>Manuel E. Ventura Robles, Juez;</w:t>
      </w:r>
    </w:p>
    <w:p w:rsidR="00665167" w:rsidRPr="00162CCB" w:rsidRDefault="00665167" w:rsidP="00665167">
      <w:pPr>
        <w:spacing w:after="0" w:line="240" w:lineRule="auto"/>
        <w:jc w:val="both"/>
        <w:rPr>
          <w:rFonts w:ascii="Verdana" w:hAnsi="Verdana"/>
          <w:sz w:val="20"/>
          <w:szCs w:val="20"/>
          <w:lang w:val="es-MX"/>
        </w:rPr>
      </w:pPr>
      <w:r w:rsidRPr="00162CCB">
        <w:rPr>
          <w:rFonts w:ascii="Verdana" w:hAnsi="Verdana"/>
          <w:sz w:val="20"/>
          <w:szCs w:val="20"/>
          <w:lang w:val="es-MX"/>
        </w:rPr>
        <w:t>Alberto Pérez Pérez, Juez;</w:t>
      </w:r>
    </w:p>
    <w:p w:rsidR="00665167" w:rsidRPr="00162CCB" w:rsidRDefault="00665167" w:rsidP="00665167">
      <w:pPr>
        <w:spacing w:after="0" w:line="240" w:lineRule="auto"/>
        <w:jc w:val="both"/>
        <w:rPr>
          <w:rFonts w:ascii="Verdana" w:hAnsi="Verdana"/>
          <w:sz w:val="20"/>
          <w:szCs w:val="20"/>
          <w:lang w:val="es-MX"/>
        </w:rPr>
      </w:pPr>
      <w:r w:rsidRPr="00162CCB">
        <w:rPr>
          <w:rFonts w:ascii="Verdana" w:hAnsi="Verdana"/>
          <w:sz w:val="20"/>
          <w:szCs w:val="20"/>
          <w:lang w:val="es-MX"/>
        </w:rPr>
        <w:t>Eduardo Vio Grossi, Juez, y</w:t>
      </w:r>
    </w:p>
    <w:p w:rsidR="00665167" w:rsidRDefault="0040704F" w:rsidP="00665167">
      <w:pPr>
        <w:spacing w:after="0" w:line="240" w:lineRule="auto"/>
        <w:jc w:val="both"/>
        <w:rPr>
          <w:rFonts w:ascii="Verdana" w:hAnsi="Verdana"/>
          <w:sz w:val="20"/>
          <w:szCs w:val="20"/>
          <w:lang w:val="es-MX"/>
        </w:rPr>
      </w:pPr>
      <w:r w:rsidRPr="00162CCB">
        <w:rPr>
          <w:rFonts w:ascii="Verdana" w:hAnsi="Verdana"/>
          <w:sz w:val="20"/>
          <w:szCs w:val="20"/>
          <w:lang w:val="es-MX"/>
        </w:rPr>
        <w:t>Humberto Antonio Sierra Porto</w:t>
      </w:r>
      <w:r w:rsidR="00162CCB">
        <w:rPr>
          <w:rFonts w:ascii="Verdana" w:hAnsi="Verdana"/>
          <w:sz w:val="20"/>
          <w:szCs w:val="20"/>
          <w:lang w:val="es-MX"/>
        </w:rPr>
        <w:t>, y</w:t>
      </w:r>
      <w:r w:rsidR="00665167" w:rsidRPr="006727E1">
        <w:rPr>
          <w:rFonts w:ascii="Verdana" w:hAnsi="Verdana"/>
          <w:sz w:val="20"/>
          <w:szCs w:val="20"/>
          <w:lang w:val="es-MX"/>
        </w:rPr>
        <w:cr/>
      </w:r>
    </w:p>
    <w:p w:rsidR="00C06355" w:rsidRDefault="00C06355" w:rsidP="00665167">
      <w:pPr>
        <w:spacing w:after="0" w:line="240" w:lineRule="auto"/>
        <w:jc w:val="both"/>
        <w:rPr>
          <w:rFonts w:ascii="Verdana" w:hAnsi="Verdana"/>
          <w:sz w:val="20"/>
          <w:szCs w:val="20"/>
          <w:lang w:val="es-MX"/>
        </w:rPr>
      </w:pPr>
    </w:p>
    <w:p w:rsidR="00665167" w:rsidRDefault="00665167" w:rsidP="00665167">
      <w:pPr>
        <w:spacing w:after="0" w:line="240" w:lineRule="auto"/>
        <w:jc w:val="both"/>
        <w:rPr>
          <w:rFonts w:ascii="Verdana" w:hAnsi="Verdana"/>
          <w:sz w:val="20"/>
          <w:szCs w:val="20"/>
          <w:lang w:val="es-MX"/>
        </w:rPr>
      </w:pPr>
      <w:r>
        <w:rPr>
          <w:rFonts w:ascii="Verdana" w:hAnsi="Verdana"/>
          <w:sz w:val="20"/>
          <w:szCs w:val="20"/>
          <w:lang w:val="es-MX"/>
        </w:rPr>
        <w:t>Presentes, además,</w:t>
      </w:r>
    </w:p>
    <w:p w:rsidR="00665167" w:rsidRDefault="00665167" w:rsidP="00665167">
      <w:pPr>
        <w:spacing w:after="0" w:line="240" w:lineRule="auto"/>
        <w:jc w:val="both"/>
        <w:rPr>
          <w:rFonts w:ascii="Verdana" w:hAnsi="Verdana"/>
          <w:sz w:val="20"/>
          <w:szCs w:val="20"/>
          <w:lang w:val="es-MX"/>
        </w:rPr>
      </w:pPr>
    </w:p>
    <w:p w:rsidR="00665167" w:rsidRDefault="00665167" w:rsidP="00665167">
      <w:pPr>
        <w:spacing w:after="0" w:line="240" w:lineRule="auto"/>
        <w:jc w:val="both"/>
        <w:rPr>
          <w:rFonts w:ascii="Verdana" w:hAnsi="Verdana"/>
          <w:sz w:val="20"/>
          <w:szCs w:val="20"/>
          <w:lang w:val="es-MX"/>
        </w:rPr>
      </w:pPr>
      <w:r>
        <w:rPr>
          <w:rFonts w:ascii="Verdana" w:hAnsi="Verdana"/>
          <w:sz w:val="20"/>
          <w:szCs w:val="20"/>
          <w:lang w:val="es-MX"/>
        </w:rPr>
        <w:t>Pablo Saavedra Alessandri, Secretario, y</w:t>
      </w:r>
    </w:p>
    <w:p w:rsidR="00665167" w:rsidRDefault="00665167" w:rsidP="00665167">
      <w:pPr>
        <w:spacing w:after="0" w:line="240" w:lineRule="auto"/>
        <w:jc w:val="both"/>
        <w:rPr>
          <w:rFonts w:ascii="Verdana" w:hAnsi="Verdana"/>
          <w:sz w:val="20"/>
          <w:szCs w:val="20"/>
          <w:lang w:val="es-MX"/>
        </w:rPr>
      </w:pPr>
      <w:r>
        <w:rPr>
          <w:rFonts w:ascii="Verdana" w:hAnsi="Verdana"/>
          <w:sz w:val="20"/>
          <w:szCs w:val="20"/>
          <w:lang w:val="es-MX"/>
        </w:rPr>
        <w:t>Emilia Segares Rodríguez, Secretaria Adjunta,</w:t>
      </w:r>
    </w:p>
    <w:p w:rsidR="00665167" w:rsidRDefault="00665167" w:rsidP="00665167">
      <w:pPr>
        <w:spacing w:line="240" w:lineRule="auto"/>
        <w:jc w:val="both"/>
        <w:rPr>
          <w:rFonts w:ascii="Verdana" w:hAnsi="Verdana"/>
          <w:sz w:val="20"/>
          <w:szCs w:val="20"/>
          <w:lang w:val="es-MX"/>
        </w:rPr>
      </w:pPr>
    </w:p>
    <w:p w:rsidR="00665167" w:rsidRDefault="00CB1575" w:rsidP="00665167">
      <w:pPr>
        <w:spacing w:line="240" w:lineRule="auto"/>
        <w:jc w:val="both"/>
        <w:rPr>
          <w:rFonts w:ascii="Verdana" w:hAnsi="Verdana"/>
          <w:sz w:val="20"/>
          <w:szCs w:val="20"/>
          <w:lang w:val="es-MX"/>
        </w:rPr>
      </w:pPr>
      <w:r>
        <w:rPr>
          <w:rFonts w:ascii="Verdana" w:hAnsi="Verdana"/>
          <w:sz w:val="20"/>
          <w:szCs w:val="20"/>
          <w:lang w:val="es-MX"/>
        </w:rPr>
        <w:t>d</w:t>
      </w:r>
      <w:r w:rsidR="00665167">
        <w:rPr>
          <w:rFonts w:ascii="Verdana" w:hAnsi="Verdana"/>
          <w:sz w:val="20"/>
          <w:szCs w:val="20"/>
          <w:lang w:val="es-MX"/>
        </w:rPr>
        <w:t>e conformidad con el artículo 67 de la Convención Americana sobre Derechos Humanos (en adelante también “la Convención Americana o “la Convención”) y el artículo 68 del Reglamento de la Corte (en adelante “el Reglamento”), resuelve la solicitud de interpretación de la Sentencia de excepciones preliminares, fondo, reparaciones y costas emitida por este Tribunal el 2 de octubre de 2015 en el presente caso (en adelante también “la Sentencia”), interpuesta el 11 de marzo de 2016 por el representante de las víctimas (en adelante</w:t>
      </w:r>
      <w:r w:rsidR="00D20766">
        <w:rPr>
          <w:rFonts w:ascii="Verdana" w:hAnsi="Verdana"/>
          <w:sz w:val="20"/>
          <w:szCs w:val="20"/>
          <w:lang w:val="es-MX"/>
        </w:rPr>
        <w:t xml:space="preserve"> también</w:t>
      </w:r>
      <w:r w:rsidR="00665167">
        <w:rPr>
          <w:rFonts w:ascii="Verdana" w:hAnsi="Verdana"/>
          <w:sz w:val="20"/>
          <w:szCs w:val="20"/>
          <w:lang w:val="es-MX"/>
        </w:rPr>
        <w:t xml:space="preserve"> “el representante”). </w:t>
      </w:r>
    </w:p>
    <w:p w:rsidR="00665167" w:rsidRDefault="00665167" w:rsidP="00665167">
      <w:pPr>
        <w:rPr>
          <w:rFonts w:ascii="Verdana" w:hAnsi="Verdana"/>
          <w:sz w:val="20"/>
          <w:szCs w:val="20"/>
          <w:lang w:val="es-MX"/>
        </w:rPr>
      </w:pPr>
    </w:p>
    <w:p w:rsidR="00665167" w:rsidRDefault="00665167" w:rsidP="003F6A62">
      <w:pPr>
        <w:spacing w:after="0" w:line="240" w:lineRule="auto"/>
        <w:jc w:val="center"/>
        <w:rPr>
          <w:rFonts w:ascii="Verdana" w:hAnsi="Verdana"/>
          <w:b/>
          <w:sz w:val="20"/>
          <w:szCs w:val="20"/>
          <w:lang w:val="es-MX"/>
        </w:rPr>
      </w:pPr>
      <w:r>
        <w:rPr>
          <w:rFonts w:ascii="Verdana" w:hAnsi="Verdana"/>
          <w:b/>
          <w:sz w:val="20"/>
          <w:szCs w:val="20"/>
          <w:lang w:val="es-MX"/>
        </w:rPr>
        <w:lastRenderedPageBreak/>
        <w:t>I</w:t>
      </w:r>
    </w:p>
    <w:p w:rsidR="00665167" w:rsidRDefault="00665167" w:rsidP="003F6A62">
      <w:pPr>
        <w:spacing w:after="0" w:line="240" w:lineRule="auto"/>
        <w:jc w:val="center"/>
        <w:rPr>
          <w:rFonts w:ascii="Verdana" w:hAnsi="Verdana"/>
          <w:b/>
          <w:sz w:val="20"/>
          <w:szCs w:val="20"/>
          <w:lang w:val="es-MX"/>
        </w:rPr>
      </w:pPr>
      <w:r>
        <w:rPr>
          <w:rFonts w:ascii="Verdana" w:hAnsi="Verdana"/>
          <w:b/>
          <w:sz w:val="20"/>
          <w:szCs w:val="20"/>
          <w:lang w:val="es-MX"/>
        </w:rPr>
        <w:t xml:space="preserve">SOLICITUD DE INTERPRETACIÓN </w:t>
      </w:r>
    </w:p>
    <w:p w:rsidR="00665167" w:rsidRDefault="00665167" w:rsidP="003F6A62">
      <w:pPr>
        <w:spacing w:after="0" w:line="240" w:lineRule="auto"/>
        <w:jc w:val="center"/>
        <w:rPr>
          <w:rFonts w:ascii="Verdana" w:hAnsi="Verdana"/>
          <w:b/>
          <w:sz w:val="20"/>
          <w:szCs w:val="20"/>
          <w:lang w:val="es-MX"/>
        </w:rPr>
      </w:pPr>
      <w:r>
        <w:rPr>
          <w:rFonts w:ascii="Verdana" w:hAnsi="Verdana"/>
          <w:b/>
          <w:sz w:val="20"/>
          <w:szCs w:val="20"/>
          <w:lang w:val="es-MX"/>
        </w:rPr>
        <w:t>Y PROCEDIMIENTO ANTE LA CORTE</w:t>
      </w:r>
    </w:p>
    <w:p w:rsidR="00665167" w:rsidRDefault="00665167" w:rsidP="003F6A62">
      <w:pPr>
        <w:spacing w:after="0" w:line="240" w:lineRule="auto"/>
        <w:jc w:val="center"/>
        <w:rPr>
          <w:rFonts w:ascii="Verdana" w:hAnsi="Verdana"/>
          <w:b/>
          <w:sz w:val="20"/>
          <w:szCs w:val="20"/>
          <w:lang w:val="es-MX"/>
        </w:rPr>
      </w:pPr>
    </w:p>
    <w:p w:rsidR="005551A1" w:rsidRDefault="00665167" w:rsidP="003F6A62">
      <w:pPr>
        <w:pStyle w:val="ListParagraph"/>
        <w:numPr>
          <w:ilvl w:val="0"/>
          <w:numId w:val="7"/>
        </w:numPr>
        <w:spacing w:after="0" w:line="240" w:lineRule="auto"/>
        <w:ind w:left="0" w:firstLine="0"/>
        <w:jc w:val="both"/>
        <w:rPr>
          <w:rFonts w:ascii="Verdana" w:hAnsi="Verdana"/>
          <w:sz w:val="20"/>
          <w:szCs w:val="20"/>
          <w:lang w:val="es-MX"/>
        </w:rPr>
      </w:pPr>
      <w:r w:rsidRPr="005551A1">
        <w:rPr>
          <w:rFonts w:ascii="Verdana" w:hAnsi="Verdana"/>
          <w:sz w:val="20"/>
          <w:szCs w:val="20"/>
          <w:lang w:val="es-MX"/>
        </w:rPr>
        <w:t xml:space="preserve">El 2 de octubre de 2015 la Corte emitió la Sentencia de excepciones preliminares, fondo, reparaciones y costas en el caso </w:t>
      </w:r>
      <w:r w:rsidRPr="005551A1">
        <w:rPr>
          <w:rFonts w:ascii="Verdana" w:hAnsi="Verdana"/>
          <w:i/>
          <w:sz w:val="20"/>
          <w:szCs w:val="20"/>
          <w:lang w:val="es-MX"/>
        </w:rPr>
        <w:t>Galindo Cárdenas y Otros Vs. Perú</w:t>
      </w:r>
      <w:r w:rsidRPr="005551A1">
        <w:rPr>
          <w:rFonts w:ascii="Verdana" w:hAnsi="Verdana"/>
          <w:sz w:val="20"/>
          <w:szCs w:val="20"/>
          <w:lang w:val="es-MX"/>
        </w:rPr>
        <w:t xml:space="preserve">, la cual fue notificada a las partes y a la Comisión Interamericana de Derechos Humanos (en adelante </w:t>
      </w:r>
      <w:r w:rsidR="00D20766" w:rsidRPr="005551A1">
        <w:rPr>
          <w:rFonts w:ascii="Verdana" w:hAnsi="Verdana"/>
          <w:sz w:val="20"/>
          <w:szCs w:val="20"/>
          <w:lang w:val="es-MX"/>
        </w:rPr>
        <w:t xml:space="preserve">también </w:t>
      </w:r>
      <w:r w:rsidRPr="005551A1">
        <w:rPr>
          <w:rFonts w:ascii="Verdana" w:hAnsi="Verdana"/>
          <w:sz w:val="20"/>
          <w:szCs w:val="20"/>
          <w:lang w:val="es-MX"/>
        </w:rPr>
        <w:t>“la Comisión Interamericana</w:t>
      </w:r>
      <w:r w:rsidR="00616494">
        <w:rPr>
          <w:rFonts w:ascii="Verdana" w:hAnsi="Verdana"/>
          <w:sz w:val="20"/>
          <w:szCs w:val="20"/>
          <w:lang w:val="es-MX"/>
        </w:rPr>
        <w:t>”</w:t>
      </w:r>
      <w:r w:rsidRPr="005551A1">
        <w:rPr>
          <w:rFonts w:ascii="Verdana" w:hAnsi="Verdana"/>
          <w:sz w:val="20"/>
          <w:szCs w:val="20"/>
          <w:lang w:val="es-MX"/>
        </w:rPr>
        <w:t xml:space="preserve"> o “la Comisión”) el 18 de diciembre de 2015. </w:t>
      </w:r>
    </w:p>
    <w:p w:rsidR="005551A1" w:rsidRDefault="005551A1" w:rsidP="005551A1">
      <w:pPr>
        <w:pStyle w:val="ListParagraph"/>
        <w:spacing w:before="240" w:line="240" w:lineRule="auto"/>
        <w:ind w:left="0"/>
        <w:jc w:val="both"/>
        <w:rPr>
          <w:rFonts w:ascii="Verdana" w:hAnsi="Verdana"/>
          <w:sz w:val="20"/>
          <w:szCs w:val="20"/>
          <w:lang w:val="es-MX"/>
        </w:rPr>
      </w:pPr>
    </w:p>
    <w:p w:rsidR="005551A1" w:rsidRDefault="00661BDA" w:rsidP="005551A1">
      <w:pPr>
        <w:pStyle w:val="ListParagraph"/>
        <w:numPr>
          <w:ilvl w:val="0"/>
          <w:numId w:val="7"/>
        </w:numPr>
        <w:spacing w:before="240" w:line="240" w:lineRule="auto"/>
        <w:ind w:left="0" w:firstLine="0"/>
        <w:jc w:val="both"/>
        <w:rPr>
          <w:rFonts w:ascii="Verdana" w:hAnsi="Verdana"/>
          <w:sz w:val="20"/>
          <w:szCs w:val="20"/>
          <w:lang w:val="es-MX"/>
        </w:rPr>
      </w:pPr>
      <w:r>
        <w:rPr>
          <w:rFonts w:ascii="Verdana" w:hAnsi="Verdana"/>
          <w:sz w:val="20"/>
          <w:szCs w:val="20"/>
          <w:lang w:val="es-MX"/>
        </w:rPr>
        <w:t>El 15</w:t>
      </w:r>
      <w:r w:rsidR="00665167" w:rsidRPr="005551A1">
        <w:rPr>
          <w:rFonts w:ascii="Verdana" w:hAnsi="Verdana"/>
          <w:sz w:val="20"/>
          <w:szCs w:val="20"/>
          <w:lang w:val="es-MX"/>
        </w:rPr>
        <w:t xml:space="preserve"> de marzo de 2016 el representante de las víctimas sometió a la Corte una solicitud de</w:t>
      </w:r>
      <w:r w:rsidR="00CB1575">
        <w:rPr>
          <w:rFonts w:ascii="Verdana" w:hAnsi="Verdana"/>
          <w:sz w:val="20"/>
          <w:szCs w:val="20"/>
          <w:lang w:val="es-MX"/>
        </w:rPr>
        <w:t xml:space="preserve"> interpretación, sobre</w:t>
      </w:r>
      <w:r w:rsidR="00665167" w:rsidRPr="005551A1">
        <w:rPr>
          <w:rFonts w:ascii="Verdana" w:hAnsi="Verdana"/>
          <w:sz w:val="20"/>
          <w:szCs w:val="20"/>
          <w:lang w:val="es-MX"/>
        </w:rPr>
        <w:t xml:space="preserve"> cuatro aspectos de la sentencia, a saber: </w:t>
      </w:r>
      <w:r w:rsidR="00CB1575">
        <w:rPr>
          <w:rFonts w:ascii="Verdana" w:hAnsi="Verdana"/>
          <w:sz w:val="20"/>
          <w:szCs w:val="20"/>
          <w:lang w:val="es-MX"/>
        </w:rPr>
        <w:t>a) la anulación de las Resoluciones Fiscales de 4 y 9 de noviembre de 1994; b) los alcances de la investigación sobre la alegada “tortura psicológica”; c) las medidas de rehabilitación, y d) las indemnizaciones compensatorias del daño material e inmaterial.</w:t>
      </w:r>
    </w:p>
    <w:p w:rsidR="005551A1" w:rsidRPr="005551A1" w:rsidRDefault="005551A1" w:rsidP="005551A1">
      <w:pPr>
        <w:pStyle w:val="ListParagraph"/>
        <w:rPr>
          <w:rFonts w:ascii="Verdana" w:hAnsi="Verdana"/>
          <w:sz w:val="20"/>
          <w:szCs w:val="20"/>
          <w:lang w:val="es-MX"/>
        </w:rPr>
      </w:pPr>
    </w:p>
    <w:p w:rsidR="005551A1" w:rsidRDefault="00665167" w:rsidP="00665167">
      <w:pPr>
        <w:pStyle w:val="ListParagraph"/>
        <w:numPr>
          <w:ilvl w:val="0"/>
          <w:numId w:val="7"/>
        </w:numPr>
        <w:spacing w:before="240" w:line="240" w:lineRule="auto"/>
        <w:ind w:left="0" w:firstLine="0"/>
        <w:jc w:val="both"/>
        <w:rPr>
          <w:rFonts w:ascii="Verdana" w:hAnsi="Verdana"/>
          <w:sz w:val="20"/>
          <w:szCs w:val="20"/>
          <w:lang w:val="es-MX"/>
        </w:rPr>
      </w:pPr>
      <w:r w:rsidRPr="005551A1">
        <w:rPr>
          <w:rFonts w:ascii="Verdana" w:hAnsi="Verdana"/>
          <w:sz w:val="20"/>
          <w:szCs w:val="20"/>
          <w:lang w:val="es-MX"/>
        </w:rPr>
        <w:t xml:space="preserve">El 18 de marzo de 2016, siguiendo instrucciones del Presidente de la Corte, la Secretaría de este Tribunal transmitió </w:t>
      </w:r>
      <w:r w:rsidR="00CE54EF">
        <w:rPr>
          <w:rFonts w:ascii="Verdana" w:hAnsi="Verdana"/>
          <w:sz w:val="20"/>
          <w:szCs w:val="20"/>
          <w:lang w:val="es-MX"/>
        </w:rPr>
        <w:t xml:space="preserve">la </w:t>
      </w:r>
      <w:r w:rsidR="00D20766" w:rsidRPr="005551A1">
        <w:rPr>
          <w:rFonts w:ascii="Verdana" w:hAnsi="Verdana"/>
          <w:sz w:val="20"/>
          <w:szCs w:val="20"/>
          <w:lang w:val="es-MX"/>
        </w:rPr>
        <w:t xml:space="preserve">solicitud de interpretación </w:t>
      </w:r>
      <w:r w:rsidRPr="005551A1">
        <w:rPr>
          <w:rFonts w:ascii="Verdana" w:hAnsi="Verdana"/>
          <w:sz w:val="20"/>
          <w:szCs w:val="20"/>
          <w:lang w:val="es-MX"/>
        </w:rPr>
        <w:t xml:space="preserve">al Estado y </w:t>
      </w:r>
      <w:r w:rsidR="00CE54EF">
        <w:rPr>
          <w:rFonts w:ascii="Verdana" w:hAnsi="Verdana"/>
          <w:sz w:val="20"/>
          <w:szCs w:val="20"/>
          <w:lang w:val="es-MX"/>
        </w:rPr>
        <w:t>a la Comisión Interamericana y</w:t>
      </w:r>
      <w:r w:rsidRPr="005551A1">
        <w:rPr>
          <w:rFonts w:ascii="Verdana" w:hAnsi="Verdana"/>
          <w:sz w:val="20"/>
          <w:szCs w:val="20"/>
          <w:lang w:val="es-MX"/>
        </w:rPr>
        <w:t xml:space="preserve"> les otorgó un plazo hasta el 12 de abril de 2016 para que present</w:t>
      </w:r>
      <w:r w:rsidR="00D20766" w:rsidRPr="005551A1">
        <w:rPr>
          <w:rFonts w:ascii="Verdana" w:hAnsi="Verdana"/>
          <w:sz w:val="20"/>
          <w:szCs w:val="20"/>
          <w:lang w:val="es-MX"/>
        </w:rPr>
        <w:t>aran</w:t>
      </w:r>
      <w:r w:rsidR="00CB1575">
        <w:rPr>
          <w:rFonts w:ascii="Verdana" w:hAnsi="Verdana"/>
          <w:sz w:val="20"/>
          <w:szCs w:val="20"/>
          <w:lang w:val="es-MX"/>
        </w:rPr>
        <w:t>,</w:t>
      </w:r>
      <w:r w:rsidRPr="005551A1">
        <w:rPr>
          <w:rFonts w:ascii="Verdana" w:hAnsi="Verdana"/>
          <w:sz w:val="20"/>
          <w:szCs w:val="20"/>
          <w:lang w:val="es-MX"/>
        </w:rPr>
        <w:t xml:space="preserve"> </w:t>
      </w:r>
      <w:r w:rsidR="00CE54EF">
        <w:rPr>
          <w:rFonts w:ascii="Verdana" w:hAnsi="Verdana"/>
          <w:sz w:val="20"/>
          <w:szCs w:val="20"/>
          <w:lang w:val="es-MX"/>
        </w:rPr>
        <w:t>si lo estimaban pertinente</w:t>
      </w:r>
      <w:r w:rsidR="00CB1575">
        <w:rPr>
          <w:rFonts w:ascii="Verdana" w:hAnsi="Verdana"/>
          <w:sz w:val="20"/>
          <w:szCs w:val="20"/>
          <w:lang w:val="es-MX"/>
        </w:rPr>
        <w:t>,</w:t>
      </w:r>
      <w:r w:rsidR="00CE54EF">
        <w:rPr>
          <w:rFonts w:ascii="Verdana" w:hAnsi="Verdana"/>
          <w:sz w:val="20"/>
          <w:szCs w:val="20"/>
          <w:lang w:val="es-MX"/>
        </w:rPr>
        <w:t xml:space="preserve"> </w:t>
      </w:r>
      <w:r w:rsidRPr="005551A1">
        <w:rPr>
          <w:rFonts w:ascii="Verdana" w:hAnsi="Verdana"/>
          <w:sz w:val="20"/>
          <w:szCs w:val="20"/>
          <w:lang w:val="es-MX"/>
        </w:rPr>
        <w:t>sus r</w:t>
      </w:r>
      <w:r w:rsidR="00CE54EF">
        <w:rPr>
          <w:rFonts w:ascii="Verdana" w:hAnsi="Verdana"/>
          <w:sz w:val="20"/>
          <w:szCs w:val="20"/>
          <w:lang w:val="es-MX"/>
        </w:rPr>
        <w:t>espectivos alegatos escritos</w:t>
      </w:r>
      <w:r w:rsidRPr="005551A1">
        <w:rPr>
          <w:rFonts w:ascii="Verdana" w:hAnsi="Verdana"/>
          <w:sz w:val="20"/>
          <w:szCs w:val="20"/>
          <w:lang w:val="es-MX"/>
        </w:rPr>
        <w:t xml:space="preserve">. </w:t>
      </w:r>
    </w:p>
    <w:p w:rsidR="005551A1" w:rsidRPr="005551A1" w:rsidRDefault="005551A1" w:rsidP="005551A1">
      <w:pPr>
        <w:pStyle w:val="ListParagraph"/>
        <w:rPr>
          <w:rFonts w:ascii="Verdana" w:hAnsi="Verdana"/>
          <w:sz w:val="20"/>
          <w:szCs w:val="20"/>
          <w:lang w:val="es-MX"/>
        </w:rPr>
      </w:pPr>
    </w:p>
    <w:p w:rsidR="00665167" w:rsidRPr="005551A1" w:rsidRDefault="00665167" w:rsidP="00665167">
      <w:pPr>
        <w:pStyle w:val="ListParagraph"/>
        <w:numPr>
          <w:ilvl w:val="0"/>
          <w:numId w:val="7"/>
        </w:numPr>
        <w:spacing w:before="240" w:line="240" w:lineRule="auto"/>
        <w:ind w:left="0" w:firstLine="0"/>
        <w:jc w:val="both"/>
        <w:rPr>
          <w:rFonts w:ascii="Verdana" w:hAnsi="Verdana"/>
          <w:sz w:val="20"/>
          <w:szCs w:val="20"/>
          <w:lang w:val="es-MX"/>
        </w:rPr>
      </w:pPr>
      <w:r w:rsidRPr="005551A1">
        <w:rPr>
          <w:rFonts w:ascii="Verdana" w:hAnsi="Verdana"/>
          <w:sz w:val="20"/>
          <w:szCs w:val="20"/>
          <w:lang w:val="es-MX"/>
        </w:rPr>
        <w:t xml:space="preserve">El </w:t>
      </w:r>
      <w:r w:rsidR="00D20766" w:rsidRPr="005551A1">
        <w:rPr>
          <w:rFonts w:ascii="Verdana" w:hAnsi="Verdana"/>
          <w:sz w:val="20"/>
          <w:szCs w:val="20"/>
          <w:lang w:val="es-MX"/>
        </w:rPr>
        <w:t>12</w:t>
      </w:r>
      <w:r w:rsidRPr="005551A1">
        <w:rPr>
          <w:rFonts w:ascii="Verdana" w:hAnsi="Verdana"/>
          <w:sz w:val="20"/>
          <w:szCs w:val="20"/>
          <w:lang w:val="es-MX"/>
        </w:rPr>
        <w:t xml:space="preserve"> de </w:t>
      </w:r>
      <w:r w:rsidR="00D20766" w:rsidRPr="005551A1">
        <w:rPr>
          <w:rFonts w:ascii="Verdana" w:hAnsi="Verdana"/>
          <w:sz w:val="20"/>
          <w:szCs w:val="20"/>
          <w:lang w:val="es-MX"/>
        </w:rPr>
        <w:t xml:space="preserve">abril </w:t>
      </w:r>
      <w:r w:rsidRPr="005551A1">
        <w:rPr>
          <w:rFonts w:ascii="Verdana" w:hAnsi="Verdana"/>
          <w:sz w:val="20"/>
          <w:szCs w:val="20"/>
          <w:lang w:val="es-MX"/>
        </w:rPr>
        <w:t xml:space="preserve">de 2016 </w:t>
      </w:r>
      <w:r w:rsidR="004A3267" w:rsidRPr="005551A1">
        <w:rPr>
          <w:rFonts w:ascii="Verdana" w:hAnsi="Verdana"/>
          <w:sz w:val="20"/>
          <w:szCs w:val="20"/>
          <w:lang w:val="es-MX"/>
        </w:rPr>
        <w:t xml:space="preserve">el Estado </w:t>
      </w:r>
      <w:r w:rsidR="00D20766" w:rsidRPr="005551A1">
        <w:rPr>
          <w:rFonts w:ascii="Verdana" w:hAnsi="Verdana"/>
          <w:sz w:val="20"/>
          <w:szCs w:val="20"/>
          <w:lang w:val="es-MX"/>
        </w:rPr>
        <w:t xml:space="preserve">y </w:t>
      </w:r>
      <w:r w:rsidR="004A3267" w:rsidRPr="005551A1">
        <w:rPr>
          <w:rFonts w:ascii="Verdana" w:hAnsi="Verdana"/>
          <w:sz w:val="20"/>
          <w:szCs w:val="20"/>
          <w:lang w:val="es-MX"/>
        </w:rPr>
        <w:t xml:space="preserve">la Comisión </w:t>
      </w:r>
      <w:r w:rsidR="00D20766" w:rsidRPr="005551A1">
        <w:rPr>
          <w:rFonts w:ascii="Verdana" w:hAnsi="Verdana"/>
          <w:sz w:val="20"/>
          <w:szCs w:val="20"/>
          <w:lang w:val="es-MX"/>
        </w:rPr>
        <w:t>presentaron, respectivamente</w:t>
      </w:r>
      <w:r w:rsidR="00A0491C" w:rsidRPr="005551A1">
        <w:rPr>
          <w:rFonts w:ascii="Verdana" w:hAnsi="Verdana"/>
          <w:sz w:val="20"/>
          <w:szCs w:val="20"/>
          <w:lang w:val="es-MX"/>
        </w:rPr>
        <w:t>,</w:t>
      </w:r>
      <w:r w:rsidR="00CE54EF">
        <w:rPr>
          <w:rFonts w:ascii="Verdana" w:hAnsi="Verdana"/>
          <w:sz w:val="20"/>
          <w:szCs w:val="20"/>
          <w:lang w:val="es-MX"/>
        </w:rPr>
        <w:t xml:space="preserve"> sus alegatos escritos</w:t>
      </w:r>
      <w:r w:rsidR="00D20766" w:rsidRPr="005551A1">
        <w:rPr>
          <w:rFonts w:ascii="Verdana" w:hAnsi="Verdana"/>
          <w:sz w:val="20"/>
          <w:szCs w:val="20"/>
          <w:lang w:val="es-MX"/>
        </w:rPr>
        <w:t>.</w:t>
      </w:r>
    </w:p>
    <w:p w:rsidR="00665167" w:rsidRDefault="00665167" w:rsidP="000C194D">
      <w:pPr>
        <w:spacing w:after="0" w:line="240" w:lineRule="auto"/>
        <w:jc w:val="center"/>
        <w:rPr>
          <w:rFonts w:ascii="Verdana" w:hAnsi="Verdana"/>
          <w:b/>
          <w:sz w:val="20"/>
          <w:szCs w:val="20"/>
          <w:lang w:val="es-MX"/>
        </w:rPr>
      </w:pPr>
      <w:r>
        <w:rPr>
          <w:rFonts w:ascii="Verdana" w:hAnsi="Verdana"/>
          <w:b/>
          <w:sz w:val="20"/>
          <w:szCs w:val="20"/>
          <w:lang w:val="es-MX"/>
        </w:rPr>
        <w:t xml:space="preserve">II </w:t>
      </w:r>
    </w:p>
    <w:p w:rsidR="00665167" w:rsidRDefault="00665167" w:rsidP="000C194D">
      <w:pPr>
        <w:spacing w:after="0" w:line="240" w:lineRule="auto"/>
        <w:jc w:val="center"/>
        <w:rPr>
          <w:rFonts w:ascii="Verdana" w:hAnsi="Verdana"/>
          <w:b/>
          <w:sz w:val="20"/>
          <w:szCs w:val="20"/>
          <w:lang w:val="es-MX"/>
        </w:rPr>
      </w:pPr>
      <w:r>
        <w:rPr>
          <w:rFonts w:ascii="Verdana" w:hAnsi="Verdana"/>
          <w:b/>
          <w:sz w:val="20"/>
          <w:szCs w:val="20"/>
          <w:lang w:val="es-MX"/>
        </w:rPr>
        <w:t>COMPETENCIA</w:t>
      </w:r>
    </w:p>
    <w:p w:rsidR="003F6A62" w:rsidRDefault="003F6A62" w:rsidP="000C194D">
      <w:pPr>
        <w:spacing w:after="0" w:line="240" w:lineRule="auto"/>
        <w:jc w:val="center"/>
        <w:rPr>
          <w:rFonts w:ascii="Verdana" w:hAnsi="Verdana"/>
          <w:b/>
          <w:sz w:val="20"/>
          <w:szCs w:val="20"/>
          <w:lang w:val="es-MX"/>
        </w:rPr>
      </w:pPr>
    </w:p>
    <w:p w:rsidR="00665167" w:rsidRPr="005551A1" w:rsidRDefault="00665167" w:rsidP="005551A1">
      <w:pPr>
        <w:pStyle w:val="ListParagraph"/>
        <w:numPr>
          <w:ilvl w:val="0"/>
          <w:numId w:val="7"/>
        </w:numPr>
        <w:spacing w:line="240" w:lineRule="auto"/>
        <w:ind w:left="0" w:firstLine="0"/>
        <w:jc w:val="both"/>
        <w:rPr>
          <w:rFonts w:ascii="Verdana" w:hAnsi="Verdana"/>
          <w:sz w:val="20"/>
          <w:szCs w:val="20"/>
          <w:lang w:val="es-MX"/>
        </w:rPr>
      </w:pPr>
      <w:r w:rsidRPr="005551A1">
        <w:rPr>
          <w:rFonts w:ascii="Verdana" w:hAnsi="Verdana"/>
          <w:sz w:val="20"/>
          <w:szCs w:val="20"/>
          <w:lang w:val="es-MX"/>
        </w:rPr>
        <w:t>El artículo 67 de la Convención establece que:</w:t>
      </w:r>
    </w:p>
    <w:p w:rsidR="00665167" w:rsidRDefault="00665167" w:rsidP="00D44DA9">
      <w:pPr>
        <w:spacing w:line="240" w:lineRule="auto"/>
        <w:ind w:left="720" w:right="720"/>
        <w:jc w:val="both"/>
        <w:rPr>
          <w:rFonts w:ascii="Verdana" w:hAnsi="Verdana"/>
          <w:sz w:val="16"/>
          <w:szCs w:val="16"/>
          <w:lang w:val="es-MX"/>
        </w:rPr>
      </w:pPr>
      <w:r w:rsidRPr="007C75B1">
        <w:rPr>
          <w:rFonts w:ascii="Verdana" w:hAnsi="Verdana"/>
          <w:sz w:val="16"/>
          <w:szCs w:val="16"/>
          <w:lang w:val="es-MX"/>
        </w:rPr>
        <w:t>[</w:t>
      </w:r>
      <w:proofErr w:type="gramStart"/>
      <w:r w:rsidRPr="007C75B1">
        <w:rPr>
          <w:rFonts w:ascii="Verdana" w:hAnsi="Verdana"/>
          <w:sz w:val="16"/>
          <w:szCs w:val="16"/>
          <w:lang w:val="es-MX"/>
        </w:rPr>
        <w:t>e]</w:t>
      </w:r>
      <w:proofErr w:type="gramEnd"/>
      <w:r w:rsidRPr="007C75B1">
        <w:rPr>
          <w:rFonts w:ascii="Verdana" w:hAnsi="Verdana"/>
          <w:sz w:val="16"/>
          <w:szCs w:val="16"/>
          <w:lang w:val="es-MX"/>
        </w:rPr>
        <w:t xml:space="preserve">l fallo de la Corte será definitivo e inapelable. En caso de desacuerdo sobre el sentido o alcance del fallo, la Corte lo interpretará a solicitud de cualquiera de las partes, siempre que dicha solicitud se presente dentro de los noventa días a partir de la fecha de notificación del fallo. </w:t>
      </w:r>
    </w:p>
    <w:p w:rsidR="003F6A62" w:rsidRPr="000C194D" w:rsidRDefault="00665167" w:rsidP="000C194D">
      <w:pPr>
        <w:pStyle w:val="ListParagraph"/>
        <w:numPr>
          <w:ilvl w:val="0"/>
          <w:numId w:val="7"/>
        </w:numPr>
        <w:spacing w:line="240" w:lineRule="auto"/>
        <w:ind w:left="0" w:firstLine="0"/>
        <w:jc w:val="both"/>
        <w:rPr>
          <w:rFonts w:ascii="Verdana" w:hAnsi="Verdana"/>
          <w:sz w:val="20"/>
          <w:szCs w:val="20"/>
          <w:lang w:val="es-MX"/>
        </w:rPr>
      </w:pPr>
      <w:r w:rsidRPr="005551A1">
        <w:rPr>
          <w:rFonts w:ascii="Verdana" w:hAnsi="Verdana"/>
          <w:sz w:val="20"/>
          <w:szCs w:val="20"/>
          <w:lang w:val="es-MX"/>
        </w:rPr>
        <w:t>De conformidad con el artículo citado, e</w:t>
      </w:r>
      <w:r w:rsidR="00D20766" w:rsidRPr="005551A1">
        <w:rPr>
          <w:rFonts w:ascii="Verdana" w:hAnsi="Verdana"/>
          <w:sz w:val="20"/>
          <w:szCs w:val="20"/>
          <w:lang w:val="es-MX"/>
        </w:rPr>
        <w:t>ste</w:t>
      </w:r>
      <w:r w:rsidRPr="005551A1">
        <w:rPr>
          <w:rFonts w:ascii="Verdana" w:hAnsi="Verdana"/>
          <w:sz w:val="20"/>
          <w:szCs w:val="20"/>
          <w:lang w:val="es-MX"/>
        </w:rPr>
        <w:t xml:space="preserve"> Tribunal es competente para interpretar sus fallos. Para realizar el referido examen de solicitud de interpretación y de esta manera, resolver lo que corresponda, la Corte debe tener, si es posible, la misma composición que tenía al momento de dictar la respectiva Sentencia, de conformidad con el artículo 68.3 del Reglamento. En la presente ocasión, e</w:t>
      </w:r>
      <w:r w:rsidR="00D20766" w:rsidRPr="005551A1">
        <w:rPr>
          <w:rFonts w:ascii="Verdana" w:hAnsi="Verdana"/>
          <w:sz w:val="20"/>
          <w:szCs w:val="20"/>
          <w:lang w:val="es-MX"/>
        </w:rPr>
        <w:t>ste</w:t>
      </w:r>
      <w:r w:rsidRPr="005551A1">
        <w:rPr>
          <w:rFonts w:ascii="Verdana" w:hAnsi="Verdana"/>
          <w:sz w:val="20"/>
          <w:szCs w:val="20"/>
          <w:lang w:val="es-MX"/>
        </w:rPr>
        <w:t xml:space="preserve"> Tribunal se integra </w:t>
      </w:r>
      <w:r w:rsidR="0040704F">
        <w:rPr>
          <w:rFonts w:ascii="Verdana" w:hAnsi="Verdana"/>
          <w:sz w:val="20"/>
          <w:szCs w:val="20"/>
          <w:lang w:val="es-MX"/>
        </w:rPr>
        <w:t>por</w:t>
      </w:r>
      <w:r w:rsidR="00162CCB">
        <w:rPr>
          <w:rFonts w:ascii="Verdana" w:hAnsi="Verdana"/>
          <w:sz w:val="20"/>
          <w:szCs w:val="20"/>
          <w:lang w:val="es-MX"/>
        </w:rPr>
        <w:t xml:space="preserve"> </w:t>
      </w:r>
      <w:r w:rsidRPr="005551A1">
        <w:rPr>
          <w:rFonts w:ascii="Verdana" w:hAnsi="Verdana"/>
          <w:sz w:val="20"/>
          <w:szCs w:val="20"/>
          <w:lang w:val="es-MX"/>
        </w:rPr>
        <w:t xml:space="preserve">los </w:t>
      </w:r>
      <w:r w:rsidR="0040704F">
        <w:rPr>
          <w:rFonts w:ascii="Verdana" w:hAnsi="Verdana"/>
          <w:sz w:val="20"/>
          <w:szCs w:val="20"/>
          <w:lang w:val="es-MX"/>
        </w:rPr>
        <w:t xml:space="preserve">mismos </w:t>
      </w:r>
      <w:r w:rsidRPr="005551A1">
        <w:rPr>
          <w:rFonts w:ascii="Verdana" w:hAnsi="Verdana"/>
          <w:sz w:val="20"/>
          <w:szCs w:val="20"/>
          <w:lang w:val="es-MX"/>
        </w:rPr>
        <w:t xml:space="preserve">jueces que dictaron la Sentencia. </w:t>
      </w:r>
    </w:p>
    <w:p w:rsidR="00665167" w:rsidRDefault="00665167" w:rsidP="000C194D">
      <w:pPr>
        <w:spacing w:after="0" w:line="240" w:lineRule="auto"/>
        <w:jc w:val="center"/>
        <w:rPr>
          <w:rFonts w:ascii="Verdana" w:hAnsi="Verdana"/>
          <w:b/>
          <w:sz w:val="20"/>
          <w:szCs w:val="20"/>
          <w:lang w:val="es-MX"/>
        </w:rPr>
      </w:pPr>
      <w:r>
        <w:rPr>
          <w:rFonts w:ascii="Verdana" w:hAnsi="Verdana"/>
          <w:b/>
          <w:sz w:val="20"/>
          <w:szCs w:val="20"/>
          <w:lang w:val="es-MX"/>
        </w:rPr>
        <w:t>III</w:t>
      </w:r>
    </w:p>
    <w:p w:rsidR="00665167" w:rsidRDefault="00665167" w:rsidP="000C194D">
      <w:pPr>
        <w:spacing w:after="0" w:line="240" w:lineRule="auto"/>
        <w:jc w:val="center"/>
        <w:rPr>
          <w:rFonts w:ascii="Verdana" w:hAnsi="Verdana"/>
          <w:b/>
          <w:sz w:val="20"/>
          <w:szCs w:val="20"/>
          <w:lang w:val="es-MX"/>
        </w:rPr>
      </w:pPr>
      <w:r>
        <w:rPr>
          <w:rFonts w:ascii="Verdana" w:hAnsi="Verdana"/>
          <w:b/>
          <w:sz w:val="20"/>
          <w:szCs w:val="20"/>
          <w:lang w:val="es-MX"/>
        </w:rPr>
        <w:t>ADMISIBILIDAD</w:t>
      </w:r>
    </w:p>
    <w:p w:rsidR="000C194D" w:rsidRDefault="000C194D" w:rsidP="000C194D">
      <w:pPr>
        <w:spacing w:after="0" w:line="240" w:lineRule="auto"/>
        <w:jc w:val="center"/>
        <w:rPr>
          <w:rFonts w:ascii="Verdana" w:hAnsi="Verdana"/>
          <w:b/>
          <w:sz w:val="20"/>
          <w:szCs w:val="20"/>
          <w:lang w:val="es-MX"/>
        </w:rPr>
      </w:pPr>
    </w:p>
    <w:p w:rsidR="00665167" w:rsidRPr="005551A1" w:rsidRDefault="00665167" w:rsidP="005551A1">
      <w:pPr>
        <w:pStyle w:val="ListParagraph"/>
        <w:numPr>
          <w:ilvl w:val="0"/>
          <w:numId w:val="7"/>
        </w:numPr>
        <w:spacing w:line="240" w:lineRule="auto"/>
        <w:ind w:left="0" w:firstLine="0"/>
        <w:jc w:val="both"/>
        <w:rPr>
          <w:rFonts w:ascii="Verdana" w:hAnsi="Verdana"/>
          <w:sz w:val="20"/>
          <w:szCs w:val="20"/>
          <w:lang w:val="es-MX"/>
        </w:rPr>
      </w:pPr>
      <w:r w:rsidRPr="005551A1">
        <w:rPr>
          <w:rFonts w:ascii="Verdana" w:hAnsi="Verdana"/>
          <w:sz w:val="20"/>
          <w:szCs w:val="20"/>
          <w:lang w:val="es-MX"/>
        </w:rPr>
        <w:t xml:space="preserve">Corresponde a esta Corte confirmar que la solicitud presentada por </w:t>
      </w:r>
      <w:r w:rsidR="00D20766" w:rsidRPr="005551A1">
        <w:rPr>
          <w:rFonts w:ascii="Verdana" w:hAnsi="Verdana"/>
          <w:sz w:val="20"/>
          <w:szCs w:val="20"/>
          <w:lang w:val="es-MX"/>
        </w:rPr>
        <w:t>el</w:t>
      </w:r>
      <w:r w:rsidRPr="005551A1">
        <w:rPr>
          <w:rFonts w:ascii="Verdana" w:hAnsi="Verdana"/>
          <w:sz w:val="20"/>
          <w:szCs w:val="20"/>
          <w:lang w:val="es-MX"/>
        </w:rPr>
        <w:t xml:space="preserve"> representante efectivamente cumple con los requisitos contenidos en las normas aplicables a una solicitud de interpretación de Sentencia, es decir, el artículo 67 de la Convención, así como el artículo 68 del Reglamento, el cual dispone:</w:t>
      </w:r>
    </w:p>
    <w:p w:rsidR="00665167" w:rsidRDefault="00665167" w:rsidP="00196ED3">
      <w:pPr>
        <w:spacing w:line="240" w:lineRule="auto"/>
        <w:ind w:left="720" w:right="720"/>
        <w:jc w:val="both"/>
        <w:rPr>
          <w:rFonts w:ascii="Verdana" w:hAnsi="Verdana"/>
          <w:sz w:val="16"/>
          <w:szCs w:val="16"/>
          <w:lang w:val="es-MX"/>
        </w:rPr>
      </w:pPr>
      <w:r>
        <w:rPr>
          <w:rFonts w:ascii="Verdana" w:hAnsi="Verdana"/>
          <w:sz w:val="16"/>
          <w:szCs w:val="16"/>
          <w:lang w:val="es-MX"/>
        </w:rPr>
        <w:t xml:space="preserve">1. 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 </w:t>
      </w:r>
    </w:p>
    <w:p w:rsidR="00665167" w:rsidRDefault="00665167" w:rsidP="00196ED3">
      <w:pPr>
        <w:spacing w:line="240" w:lineRule="auto"/>
        <w:ind w:left="720" w:right="720"/>
        <w:rPr>
          <w:rFonts w:ascii="Verdana" w:hAnsi="Verdana"/>
          <w:sz w:val="16"/>
          <w:szCs w:val="16"/>
          <w:lang w:val="es-MX"/>
        </w:rPr>
      </w:pPr>
      <w:r>
        <w:rPr>
          <w:rFonts w:ascii="Verdana" w:hAnsi="Verdana"/>
          <w:sz w:val="16"/>
          <w:szCs w:val="16"/>
          <w:lang w:val="es-MX"/>
        </w:rPr>
        <w:t xml:space="preserve">[…] </w:t>
      </w:r>
    </w:p>
    <w:p w:rsidR="00665167" w:rsidRDefault="00665167" w:rsidP="00196ED3">
      <w:pPr>
        <w:spacing w:line="240" w:lineRule="auto"/>
        <w:ind w:left="720" w:right="720"/>
        <w:jc w:val="both"/>
        <w:rPr>
          <w:rFonts w:ascii="Verdana" w:hAnsi="Verdana"/>
          <w:sz w:val="16"/>
          <w:szCs w:val="16"/>
          <w:lang w:val="es-MX"/>
        </w:rPr>
      </w:pPr>
      <w:r>
        <w:rPr>
          <w:rFonts w:ascii="Verdana" w:hAnsi="Verdana"/>
          <w:sz w:val="16"/>
          <w:szCs w:val="16"/>
          <w:lang w:val="es-MX"/>
        </w:rPr>
        <w:t>4. La solicitud de interpretación no suspenderá la ejecución de la sentencia.</w:t>
      </w:r>
    </w:p>
    <w:p w:rsidR="00665167" w:rsidRDefault="005E69D4" w:rsidP="00196ED3">
      <w:pPr>
        <w:spacing w:line="240" w:lineRule="auto"/>
        <w:ind w:left="720" w:right="720"/>
        <w:jc w:val="both"/>
        <w:rPr>
          <w:rFonts w:ascii="Verdana" w:hAnsi="Verdana"/>
          <w:sz w:val="16"/>
          <w:szCs w:val="16"/>
          <w:lang w:val="es-MX"/>
        </w:rPr>
      </w:pPr>
      <w:r>
        <w:rPr>
          <w:rFonts w:ascii="Verdana" w:hAnsi="Verdana"/>
          <w:sz w:val="16"/>
          <w:szCs w:val="16"/>
          <w:lang w:val="es-MX"/>
        </w:rPr>
        <w:lastRenderedPageBreak/>
        <w:t xml:space="preserve">5. </w:t>
      </w:r>
      <w:r w:rsidR="00665167">
        <w:rPr>
          <w:rFonts w:ascii="Verdana" w:hAnsi="Verdana"/>
          <w:sz w:val="16"/>
          <w:szCs w:val="16"/>
          <w:lang w:val="es-MX"/>
        </w:rPr>
        <w:t xml:space="preserve">La Corte determinará el procedimiento que se seguirá y resolverá mediante una sentencia. </w:t>
      </w:r>
    </w:p>
    <w:p w:rsidR="00665167" w:rsidRDefault="00665167" w:rsidP="005551A1">
      <w:pPr>
        <w:pStyle w:val="ListParagraph"/>
        <w:numPr>
          <w:ilvl w:val="0"/>
          <w:numId w:val="7"/>
        </w:numPr>
        <w:spacing w:line="240" w:lineRule="auto"/>
        <w:ind w:left="0" w:firstLine="0"/>
        <w:jc w:val="both"/>
        <w:rPr>
          <w:rFonts w:ascii="Verdana" w:hAnsi="Verdana"/>
          <w:sz w:val="20"/>
          <w:szCs w:val="20"/>
          <w:lang w:val="es-MX"/>
        </w:rPr>
      </w:pPr>
      <w:r w:rsidRPr="005551A1">
        <w:rPr>
          <w:rFonts w:ascii="Verdana" w:hAnsi="Verdana"/>
          <w:sz w:val="20"/>
          <w:szCs w:val="20"/>
          <w:lang w:val="es-MX"/>
        </w:rPr>
        <w:t>De igual forma, el artículo</w:t>
      </w:r>
      <w:r w:rsidR="00D44DA9">
        <w:rPr>
          <w:rFonts w:ascii="Verdana" w:hAnsi="Verdana"/>
          <w:sz w:val="20"/>
          <w:szCs w:val="20"/>
          <w:lang w:val="es-MX"/>
        </w:rPr>
        <w:t xml:space="preserve"> 31.3 del Reglamento</w:t>
      </w:r>
      <w:r w:rsidRPr="005551A1">
        <w:rPr>
          <w:rFonts w:ascii="Verdana" w:hAnsi="Verdana"/>
          <w:sz w:val="20"/>
          <w:szCs w:val="20"/>
          <w:lang w:val="es-MX"/>
        </w:rPr>
        <w:t xml:space="preserve"> establece que “[c]ontra las sentencias y resoluciones de la Corte no procede ningún medio de impugnación”.</w:t>
      </w:r>
    </w:p>
    <w:p w:rsidR="005551A1" w:rsidRPr="005551A1" w:rsidRDefault="005551A1" w:rsidP="005551A1">
      <w:pPr>
        <w:pStyle w:val="ListParagraph"/>
        <w:spacing w:line="240" w:lineRule="auto"/>
        <w:ind w:left="0"/>
        <w:jc w:val="both"/>
        <w:rPr>
          <w:rFonts w:ascii="Verdana" w:hAnsi="Verdana"/>
          <w:sz w:val="20"/>
          <w:szCs w:val="20"/>
          <w:lang w:val="es-MX"/>
        </w:rPr>
      </w:pPr>
    </w:p>
    <w:p w:rsidR="00665167" w:rsidRPr="005551A1" w:rsidRDefault="00665167" w:rsidP="005551A1">
      <w:pPr>
        <w:pStyle w:val="ListParagraph"/>
        <w:numPr>
          <w:ilvl w:val="0"/>
          <w:numId w:val="7"/>
        </w:numPr>
        <w:spacing w:line="240" w:lineRule="auto"/>
        <w:ind w:left="0" w:firstLine="0"/>
        <w:jc w:val="both"/>
        <w:rPr>
          <w:rFonts w:ascii="Verdana" w:hAnsi="Verdana"/>
          <w:sz w:val="20"/>
          <w:szCs w:val="20"/>
          <w:lang w:val="es-MX"/>
        </w:rPr>
      </w:pPr>
      <w:r w:rsidRPr="005551A1">
        <w:rPr>
          <w:rFonts w:ascii="Verdana" w:hAnsi="Verdana"/>
          <w:sz w:val="20"/>
          <w:szCs w:val="20"/>
          <w:lang w:val="es-MX"/>
        </w:rPr>
        <w:t>La Corte observa que el representante present</w:t>
      </w:r>
      <w:r w:rsidR="00D20766" w:rsidRPr="005551A1">
        <w:rPr>
          <w:rFonts w:ascii="Verdana" w:hAnsi="Verdana"/>
          <w:sz w:val="20"/>
          <w:szCs w:val="20"/>
          <w:lang w:val="es-MX"/>
        </w:rPr>
        <w:t>ó</w:t>
      </w:r>
      <w:r w:rsidRPr="005551A1">
        <w:rPr>
          <w:rFonts w:ascii="Verdana" w:hAnsi="Verdana"/>
          <w:sz w:val="20"/>
          <w:szCs w:val="20"/>
          <w:lang w:val="es-MX"/>
        </w:rPr>
        <w:t xml:space="preserve"> su solicitud de interpretación de la Sentencia en el plazo de noventa días contenido en el artículo 67 de la Convención Americana, debido a que dicha Sentencia fue notificada el 18 de diciembre de 2015. Por ello, la solicitud es admisible en cuanto al plazo de su presentación. </w:t>
      </w:r>
    </w:p>
    <w:p w:rsidR="00665167" w:rsidRDefault="00665167" w:rsidP="000C194D">
      <w:pPr>
        <w:spacing w:after="0" w:line="240" w:lineRule="auto"/>
        <w:jc w:val="center"/>
        <w:rPr>
          <w:rFonts w:ascii="Verdana" w:hAnsi="Verdana"/>
          <w:b/>
          <w:sz w:val="20"/>
          <w:szCs w:val="20"/>
          <w:lang w:val="es-MX"/>
        </w:rPr>
      </w:pPr>
      <w:r>
        <w:rPr>
          <w:rFonts w:ascii="Verdana" w:hAnsi="Verdana"/>
          <w:b/>
          <w:sz w:val="20"/>
          <w:szCs w:val="20"/>
          <w:lang w:val="es-MX"/>
        </w:rPr>
        <w:t>IV</w:t>
      </w:r>
    </w:p>
    <w:p w:rsidR="00665167" w:rsidRDefault="00665167" w:rsidP="000C194D">
      <w:pPr>
        <w:spacing w:after="0" w:line="240" w:lineRule="auto"/>
        <w:jc w:val="both"/>
        <w:rPr>
          <w:rFonts w:ascii="Verdana" w:hAnsi="Verdana"/>
          <w:b/>
          <w:sz w:val="20"/>
          <w:szCs w:val="20"/>
          <w:lang w:val="es-MX"/>
        </w:rPr>
      </w:pPr>
      <w:r>
        <w:rPr>
          <w:rFonts w:ascii="Verdana" w:hAnsi="Verdana"/>
          <w:b/>
          <w:sz w:val="20"/>
          <w:szCs w:val="20"/>
          <w:lang w:val="es-MX"/>
        </w:rPr>
        <w:tab/>
        <w:t>ANÁLISIS DE LA PROCEDENCIA DE LA SOLICITUD DE INTERPRETACIÓN</w:t>
      </w:r>
    </w:p>
    <w:p w:rsidR="003F6A62" w:rsidRDefault="003F6A62" w:rsidP="000C194D">
      <w:pPr>
        <w:spacing w:after="0" w:line="240" w:lineRule="auto"/>
        <w:jc w:val="both"/>
        <w:rPr>
          <w:rFonts w:ascii="Verdana" w:hAnsi="Verdana"/>
          <w:b/>
          <w:sz w:val="20"/>
          <w:szCs w:val="20"/>
          <w:lang w:val="es-MX"/>
        </w:rPr>
      </w:pPr>
    </w:p>
    <w:p w:rsidR="003F6A62" w:rsidRDefault="003F6A62" w:rsidP="000C194D">
      <w:pPr>
        <w:pStyle w:val="ListParagraph"/>
        <w:numPr>
          <w:ilvl w:val="0"/>
          <w:numId w:val="7"/>
        </w:numPr>
        <w:spacing w:after="0" w:line="240" w:lineRule="auto"/>
        <w:ind w:left="0" w:firstLine="0"/>
        <w:jc w:val="both"/>
        <w:rPr>
          <w:rFonts w:ascii="Verdana" w:hAnsi="Verdana"/>
          <w:sz w:val="20"/>
          <w:szCs w:val="20"/>
          <w:lang w:val="es-MX"/>
        </w:rPr>
      </w:pPr>
      <w:r>
        <w:rPr>
          <w:rFonts w:ascii="Verdana" w:hAnsi="Verdana"/>
          <w:sz w:val="20"/>
          <w:szCs w:val="20"/>
          <w:lang w:val="es-MX"/>
        </w:rPr>
        <w:t xml:space="preserve">En primer término, debe señalarse que </w:t>
      </w:r>
      <w:r w:rsidRPr="005551A1">
        <w:rPr>
          <w:rFonts w:ascii="Verdana" w:hAnsi="Verdana"/>
          <w:sz w:val="20"/>
          <w:szCs w:val="20"/>
          <w:lang w:val="es-MX"/>
        </w:rPr>
        <w:t xml:space="preserve">el representante hizo referencia a la supervisión del cumplimiento de sentencia. Solicitó que </w:t>
      </w:r>
      <w:r w:rsidR="0040704F">
        <w:rPr>
          <w:rFonts w:ascii="Verdana" w:hAnsi="Verdana"/>
          <w:sz w:val="20"/>
          <w:szCs w:val="20"/>
          <w:lang w:val="es-MX"/>
        </w:rPr>
        <w:t xml:space="preserve">se </w:t>
      </w:r>
      <w:r w:rsidRPr="005551A1">
        <w:rPr>
          <w:rFonts w:ascii="Verdana" w:hAnsi="Verdana"/>
          <w:sz w:val="20"/>
          <w:szCs w:val="20"/>
          <w:lang w:val="es-MX"/>
        </w:rPr>
        <w:t>re</w:t>
      </w:r>
      <w:r w:rsidR="006A4A56">
        <w:rPr>
          <w:rFonts w:ascii="Verdana" w:hAnsi="Verdana"/>
          <w:sz w:val="20"/>
          <w:szCs w:val="20"/>
          <w:lang w:val="es-MX"/>
        </w:rPr>
        <w:t xml:space="preserve">quiriera información al Estado </w:t>
      </w:r>
      <w:r w:rsidRPr="005551A1">
        <w:rPr>
          <w:rFonts w:ascii="Verdana" w:hAnsi="Verdana"/>
          <w:sz w:val="20"/>
          <w:szCs w:val="20"/>
          <w:lang w:val="es-MX"/>
        </w:rPr>
        <w:t xml:space="preserve">sobre lo actuado por el Ministerio Público sobre la investigación del delito de “tortura psicológica”, mismo que fuera archivado y sobre las investigaciones referentes al delito de Falsificación de Documento Público contra dos fiscales que intervinieron en la emisión de las Actas de Solicitud de Arrepentimiento de 1994. La Comisión no se pronunció al respecto. Sin embargo, el Estado argumentó que su “obligación de informar del cumplimiento de la misma [Sentencia] se producirá un año después de notificada […] y no antes ni a través de un pedido de interpretación de sentencia que posee un sentido, alcance y procedimiento de diferente naturaleza y efectos”. Este Tribunal recuerda que las referidas solicitudes tienen vinculación con </w:t>
      </w:r>
      <w:r>
        <w:rPr>
          <w:rFonts w:ascii="Verdana" w:hAnsi="Verdana"/>
          <w:sz w:val="20"/>
          <w:szCs w:val="20"/>
          <w:lang w:val="es-MX"/>
        </w:rPr>
        <w:t xml:space="preserve">la </w:t>
      </w:r>
      <w:r w:rsidRPr="005551A1">
        <w:rPr>
          <w:rFonts w:ascii="Verdana" w:hAnsi="Verdana"/>
          <w:sz w:val="20"/>
          <w:szCs w:val="20"/>
          <w:lang w:val="es-MX"/>
        </w:rPr>
        <w:t>supervisión de cumplimiento de la Sentencia, por lo que no serán abordados por este Tribunal en la presente Sentencia, sino en dicho momento.</w:t>
      </w:r>
    </w:p>
    <w:p w:rsidR="003F6A62" w:rsidRDefault="003F6A62" w:rsidP="000C194D">
      <w:pPr>
        <w:spacing w:after="0" w:line="240" w:lineRule="auto"/>
        <w:jc w:val="both"/>
        <w:rPr>
          <w:rFonts w:ascii="Verdana" w:hAnsi="Verdana"/>
          <w:b/>
          <w:sz w:val="20"/>
          <w:szCs w:val="20"/>
          <w:lang w:val="es-MX"/>
        </w:rPr>
      </w:pPr>
    </w:p>
    <w:p w:rsidR="0011117E" w:rsidRDefault="00665167" w:rsidP="000C194D">
      <w:pPr>
        <w:pStyle w:val="ListParagraph"/>
        <w:numPr>
          <w:ilvl w:val="0"/>
          <w:numId w:val="7"/>
        </w:numPr>
        <w:spacing w:after="0" w:line="240" w:lineRule="auto"/>
        <w:ind w:left="0" w:firstLine="0"/>
        <w:jc w:val="both"/>
        <w:rPr>
          <w:rFonts w:ascii="Verdana" w:hAnsi="Verdana"/>
          <w:sz w:val="20"/>
          <w:szCs w:val="20"/>
          <w:lang w:val="es-MX"/>
        </w:rPr>
      </w:pPr>
      <w:r w:rsidRPr="003E0CF8">
        <w:rPr>
          <w:rFonts w:ascii="Verdana" w:hAnsi="Verdana"/>
          <w:sz w:val="20"/>
          <w:szCs w:val="20"/>
          <w:lang w:val="es-MX"/>
        </w:rPr>
        <w:t xml:space="preserve">Este Tribunal analizará la solicitud </w:t>
      </w:r>
      <w:r w:rsidR="00380525" w:rsidRPr="003E0CF8">
        <w:rPr>
          <w:rFonts w:ascii="Verdana" w:hAnsi="Verdana"/>
          <w:sz w:val="20"/>
          <w:szCs w:val="20"/>
          <w:lang w:val="es-MX"/>
        </w:rPr>
        <w:t xml:space="preserve">de interpretación presentada por </w:t>
      </w:r>
      <w:r w:rsidRPr="003E0CF8">
        <w:rPr>
          <w:rFonts w:ascii="Verdana" w:hAnsi="Verdana"/>
          <w:sz w:val="20"/>
          <w:szCs w:val="20"/>
          <w:lang w:val="es-MX"/>
        </w:rPr>
        <w:t>el representante con la finalidad de determinar si</w:t>
      </w:r>
      <w:r w:rsidR="00CB1575">
        <w:rPr>
          <w:rFonts w:ascii="Verdana" w:hAnsi="Verdana"/>
          <w:sz w:val="20"/>
          <w:szCs w:val="20"/>
          <w:lang w:val="es-MX"/>
        </w:rPr>
        <w:t>,</w:t>
      </w:r>
      <w:r w:rsidRPr="003E0CF8">
        <w:rPr>
          <w:rFonts w:ascii="Verdana" w:hAnsi="Verdana"/>
          <w:sz w:val="20"/>
          <w:szCs w:val="20"/>
          <w:lang w:val="es-MX"/>
        </w:rPr>
        <w:t xml:space="preserve"> de conformidad con los estándares desarrollados en su jurisprudencia, así como con la normativa correspondiente, es procedente aclarar el alcance o sentido de alguno de los puntos de la Sentencia. </w:t>
      </w:r>
      <w:r w:rsidR="007F5240" w:rsidRPr="003E0CF8">
        <w:rPr>
          <w:rFonts w:ascii="Verdana" w:hAnsi="Verdana"/>
          <w:sz w:val="20"/>
          <w:szCs w:val="20"/>
          <w:lang w:val="es-MX"/>
        </w:rPr>
        <w:t xml:space="preserve">Para efectos del examen de solicitud de interpretación, la Corte lo analizará en </w:t>
      </w:r>
      <w:r w:rsidR="003F6A62">
        <w:rPr>
          <w:rFonts w:ascii="Verdana" w:hAnsi="Verdana"/>
          <w:sz w:val="20"/>
          <w:szCs w:val="20"/>
          <w:lang w:val="es-MX"/>
        </w:rPr>
        <w:t xml:space="preserve">relación con los aspectos </w:t>
      </w:r>
      <w:r w:rsidR="00D44DA9">
        <w:rPr>
          <w:rFonts w:ascii="Verdana" w:hAnsi="Verdana"/>
          <w:sz w:val="20"/>
          <w:szCs w:val="20"/>
          <w:lang w:val="es-MX"/>
        </w:rPr>
        <w:t>planteados por el representante</w:t>
      </w:r>
      <w:r w:rsidR="003F6A62">
        <w:rPr>
          <w:rFonts w:ascii="Verdana" w:hAnsi="Verdana"/>
          <w:sz w:val="20"/>
          <w:szCs w:val="20"/>
          <w:lang w:val="es-MX"/>
        </w:rPr>
        <w:t>, referidos a</w:t>
      </w:r>
      <w:r w:rsidR="00380525" w:rsidRPr="003E0CF8">
        <w:rPr>
          <w:rFonts w:ascii="Verdana" w:hAnsi="Verdana"/>
          <w:sz w:val="20"/>
          <w:szCs w:val="20"/>
          <w:lang w:val="es-MX"/>
        </w:rPr>
        <w:t>: a)</w:t>
      </w:r>
      <w:r w:rsidR="00866D9F" w:rsidRPr="003E0CF8">
        <w:rPr>
          <w:rFonts w:ascii="Verdana" w:hAnsi="Verdana"/>
          <w:sz w:val="20"/>
          <w:szCs w:val="20"/>
          <w:lang w:val="es-MX"/>
        </w:rPr>
        <w:t xml:space="preserve"> la anulación de las</w:t>
      </w:r>
      <w:r w:rsidR="00866D9F" w:rsidRPr="003E0CF8">
        <w:rPr>
          <w:rFonts w:ascii="Verdana" w:hAnsi="Verdana"/>
          <w:i/>
          <w:sz w:val="20"/>
          <w:szCs w:val="20"/>
          <w:lang w:val="es-MX"/>
        </w:rPr>
        <w:t xml:space="preserve"> </w:t>
      </w:r>
      <w:r w:rsidR="00866D9F" w:rsidRPr="003E0CF8">
        <w:rPr>
          <w:rFonts w:ascii="Verdana" w:hAnsi="Verdana"/>
          <w:sz w:val="20"/>
          <w:szCs w:val="20"/>
          <w:lang w:val="es-MX"/>
        </w:rPr>
        <w:t>Resoluciones Fiscales de 4</w:t>
      </w:r>
      <w:r w:rsidR="00380525" w:rsidRPr="003E0CF8">
        <w:rPr>
          <w:rFonts w:ascii="Verdana" w:hAnsi="Verdana"/>
          <w:sz w:val="20"/>
          <w:szCs w:val="20"/>
          <w:lang w:val="es-MX"/>
        </w:rPr>
        <w:t xml:space="preserve"> y 9 de noviembre de 1994; b) </w:t>
      </w:r>
      <w:r w:rsidR="00866D9F" w:rsidRPr="003E0CF8">
        <w:rPr>
          <w:rFonts w:ascii="Verdana" w:hAnsi="Verdana"/>
          <w:sz w:val="20"/>
          <w:szCs w:val="20"/>
          <w:lang w:val="es-MX"/>
        </w:rPr>
        <w:t xml:space="preserve">los alcances de la investigación sobre la alegada “tortura psicológica”; c) las medidas de rehabilitación, y d) </w:t>
      </w:r>
      <w:r w:rsidR="0011117E" w:rsidRPr="003E0CF8">
        <w:rPr>
          <w:rFonts w:ascii="Verdana" w:hAnsi="Verdana"/>
          <w:sz w:val="20"/>
          <w:szCs w:val="20"/>
          <w:lang w:val="es-MX"/>
        </w:rPr>
        <w:t>las indemnizaciones compensatorias del daño material e inmaterial.</w:t>
      </w:r>
    </w:p>
    <w:p w:rsidR="003F6A62" w:rsidRPr="003E0CF8" w:rsidRDefault="003F6A62" w:rsidP="000C194D">
      <w:pPr>
        <w:pStyle w:val="ListParagraph"/>
        <w:spacing w:after="0" w:line="240" w:lineRule="auto"/>
        <w:ind w:left="0"/>
        <w:jc w:val="both"/>
        <w:rPr>
          <w:rFonts w:ascii="Verdana" w:hAnsi="Verdana"/>
          <w:sz w:val="20"/>
          <w:szCs w:val="20"/>
          <w:lang w:val="es-MX"/>
        </w:rPr>
      </w:pPr>
    </w:p>
    <w:p w:rsidR="00665167" w:rsidRPr="000C194D" w:rsidRDefault="003F6A62" w:rsidP="000C194D">
      <w:pPr>
        <w:spacing w:line="240" w:lineRule="auto"/>
        <w:ind w:left="284"/>
        <w:rPr>
          <w:rFonts w:ascii="Verdana" w:hAnsi="Verdana"/>
          <w:b/>
          <w:i/>
          <w:sz w:val="20"/>
          <w:szCs w:val="20"/>
          <w:lang w:val="es-MX"/>
        </w:rPr>
      </w:pPr>
      <w:r w:rsidRPr="000C194D">
        <w:rPr>
          <w:rFonts w:ascii="Verdana" w:hAnsi="Verdana"/>
          <w:b/>
          <w:i/>
          <w:sz w:val="20"/>
          <w:szCs w:val="20"/>
          <w:lang w:val="es-MX"/>
        </w:rPr>
        <w:t>A</w:t>
      </w:r>
      <w:r w:rsidR="00665167" w:rsidRPr="000C194D">
        <w:rPr>
          <w:rFonts w:ascii="Verdana" w:hAnsi="Verdana"/>
          <w:b/>
          <w:i/>
          <w:sz w:val="20"/>
          <w:szCs w:val="20"/>
          <w:lang w:val="es-MX"/>
        </w:rPr>
        <w:t xml:space="preserve">. Argumentos de las partes y la Comisión </w:t>
      </w:r>
    </w:p>
    <w:p w:rsidR="00665167" w:rsidRPr="003E0CF8" w:rsidRDefault="00380525" w:rsidP="00AB0590">
      <w:pPr>
        <w:spacing w:line="240" w:lineRule="auto"/>
        <w:ind w:firstLine="720"/>
        <w:rPr>
          <w:rFonts w:ascii="Verdana" w:hAnsi="Verdana"/>
          <w:i/>
          <w:sz w:val="20"/>
          <w:szCs w:val="20"/>
          <w:lang w:val="es-MX"/>
        </w:rPr>
      </w:pPr>
      <w:r w:rsidRPr="003E0CF8">
        <w:rPr>
          <w:rFonts w:ascii="Verdana" w:hAnsi="Verdana"/>
          <w:i/>
          <w:sz w:val="20"/>
          <w:szCs w:val="20"/>
          <w:lang w:val="es-MX"/>
        </w:rPr>
        <w:t>A.</w:t>
      </w:r>
      <w:r w:rsidR="003F6A62">
        <w:rPr>
          <w:rFonts w:ascii="Verdana" w:hAnsi="Verdana"/>
          <w:i/>
          <w:sz w:val="20"/>
          <w:szCs w:val="20"/>
          <w:lang w:val="es-MX"/>
        </w:rPr>
        <w:t>1</w:t>
      </w:r>
      <w:r w:rsidR="002C1C08">
        <w:rPr>
          <w:rFonts w:ascii="Verdana" w:hAnsi="Verdana"/>
          <w:i/>
          <w:sz w:val="20"/>
          <w:szCs w:val="20"/>
          <w:lang w:val="es-MX"/>
        </w:rPr>
        <w:t>.</w:t>
      </w:r>
      <w:r w:rsidRPr="003E0CF8">
        <w:rPr>
          <w:rFonts w:ascii="Verdana" w:hAnsi="Verdana"/>
          <w:i/>
          <w:sz w:val="20"/>
          <w:szCs w:val="20"/>
          <w:lang w:val="es-MX"/>
        </w:rPr>
        <w:t xml:space="preserve"> L</w:t>
      </w:r>
      <w:r w:rsidR="00665167" w:rsidRPr="003E0CF8">
        <w:rPr>
          <w:rFonts w:ascii="Verdana" w:hAnsi="Verdana"/>
          <w:i/>
          <w:sz w:val="20"/>
          <w:szCs w:val="20"/>
          <w:lang w:val="es-MX"/>
        </w:rPr>
        <w:t>a</w:t>
      </w:r>
      <w:r w:rsidR="00866D9F" w:rsidRPr="003E0CF8">
        <w:rPr>
          <w:rFonts w:ascii="Verdana" w:hAnsi="Verdana"/>
          <w:i/>
          <w:sz w:val="20"/>
          <w:szCs w:val="20"/>
          <w:lang w:val="es-MX"/>
        </w:rPr>
        <w:t xml:space="preserve"> anulación de las</w:t>
      </w:r>
      <w:r w:rsidR="00665167" w:rsidRPr="003E0CF8">
        <w:rPr>
          <w:rFonts w:ascii="Verdana" w:hAnsi="Verdana"/>
          <w:i/>
          <w:sz w:val="20"/>
          <w:szCs w:val="20"/>
          <w:lang w:val="es-MX"/>
        </w:rPr>
        <w:t xml:space="preserve"> Resoluciones Fiscales de 4 y 9 de noviembre de 1994</w:t>
      </w:r>
    </w:p>
    <w:p w:rsidR="00665167" w:rsidRPr="003E0CF8" w:rsidRDefault="00665167" w:rsidP="005551A1">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 xml:space="preserve">El </w:t>
      </w:r>
      <w:r w:rsidRPr="000C194D">
        <w:rPr>
          <w:rFonts w:ascii="Verdana" w:hAnsi="Verdana"/>
          <w:b/>
          <w:i/>
          <w:sz w:val="20"/>
          <w:szCs w:val="20"/>
          <w:lang w:val="es-MX"/>
        </w:rPr>
        <w:t>representante</w:t>
      </w:r>
      <w:r w:rsidRPr="003E0CF8">
        <w:rPr>
          <w:rFonts w:ascii="Verdana" w:hAnsi="Verdana"/>
          <w:sz w:val="20"/>
          <w:szCs w:val="20"/>
          <w:lang w:val="es-MX"/>
        </w:rPr>
        <w:t xml:space="preserve"> solicitó que “se declare a las Resoluciones Fiscales de fechas 04 y 09 de Noviembre de 1994, sin valor ni efectos jurídicos</w:t>
      </w:r>
      <w:r w:rsidR="006A4A56">
        <w:rPr>
          <w:rFonts w:ascii="Verdana" w:hAnsi="Verdana"/>
          <w:sz w:val="20"/>
          <w:szCs w:val="20"/>
          <w:lang w:val="es-MX"/>
        </w:rPr>
        <w:t>,</w:t>
      </w:r>
      <w:r w:rsidRPr="003E0CF8">
        <w:rPr>
          <w:rFonts w:ascii="Verdana" w:hAnsi="Verdana"/>
          <w:sz w:val="20"/>
          <w:szCs w:val="20"/>
          <w:lang w:val="es-MX"/>
        </w:rPr>
        <w:t xml:space="preserve"> disponiendo sus anulaciones, conforme a las normas internas del Estado Peruano”, en relación a las “</w:t>
      </w:r>
      <w:r w:rsidR="00920133">
        <w:rPr>
          <w:rFonts w:ascii="Verdana" w:hAnsi="Verdana"/>
          <w:sz w:val="20"/>
          <w:szCs w:val="20"/>
          <w:lang w:val="es-MX"/>
        </w:rPr>
        <w:t>[a]</w:t>
      </w:r>
      <w:r w:rsidRPr="003E0CF8">
        <w:rPr>
          <w:rFonts w:ascii="Verdana" w:hAnsi="Verdana"/>
          <w:sz w:val="20"/>
          <w:szCs w:val="20"/>
          <w:lang w:val="es-MX"/>
        </w:rPr>
        <w:t>cta</w:t>
      </w:r>
      <w:r w:rsidR="006A4A56">
        <w:rPr>
          <w:rFonts w:ascii="Verdana" w:hAnsi="Verdana"/>
          <w:sz w:val="20"/>
          <w:szCs w:val="20"/>
          <w:lang w:val="es-MX"/>
        </w:rPr>
        <w:t>[</w:t>
      </w:r>
      <w:r w:rsidRPr="003E0CF8">
        <w:rPr>
          <w:rFonts w:ascii="Verdana" w:hAnsi="Verdana"/>
          <w:sz w:val="20"/>
          <w:szCs w:val="20"/>
          <w:lang w:val="es-MX"/>
        </w:rPr>
        <w:t>s</w:t>
      </w:r>
      <w:r w:rsidR="006A4A56">
        <w:rPr>
          <w:rFonts w:ascii="Verdana" w:hAnsi="Verdana"/>
          <w:sz w:val="20"/>
          <w:szCs w:val="20"/>
          <w:lang w:val="es-MX"/>
        </w:rPr>
        <w:t>]</w:t>
      </w:r>
      <w:r w:rsidRPr="003E0CF8">
        <w:rPr>
          <w:rFonts w:ascii="Verdana" w:hAnsi="Verdana"/>
          <w:sz w:val="20"/>
          <w:szCs w:val="20"/>
          <w:lang w:val="es-MX"/>
        </w:rPr>
        <w:t xml:space="preserve"> de arrepentimiento”. </w:t>
      </w:r>
    </w:p>
    <w:p w:rsidR="005551A1" w:rsidRPr="003E0CF8" w:rsidRDefault="005551A1" w:rsidP="005551A1">
      <w:pPr>
        <w:pStyle w:val="ListParagraph"/>
        <w:spacing w:line="240" w:lineRule="auto"/>
        <w:ind w:left="0"/>
        <w:jc w:val="both"/>
        <w:rPr>
          <w:rFonts w:ascii="Verdana" w:hAnsi="Verdana"/>
          <w:sz w:val="20"/>
          <w:szCs w:val="20"/>
          <w:lang w:val="es-MX"/>
        </w:rPr>
      </w:pPr>
    </w:p>
    <w:p w:rsidR="005551A1" w:rsidRDefault="00D20766" w:rsidP="005551A1">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L</w:t>
      </w:r>
      <w:r w:rsidR="00665167" w:rsidRPr="003E0CF8">
        <w:rPr>
          <w:rFonts w:ascii="Verdana" w:hAnsi="Verdana"/>
          <w:sz w:val="20"/>
          <w:szCs w:val="20"/>
          <w:lang w:val="es-MX"/>
        </w:rPr>
        <w:t xml:space="preserve">a </w:t>
      </w:r>
      <w:r w:rsidR="00665167" w:rsidRPr="000C194D">
        <w:rPr>
          <w:rFonts w:ascii="Verdana" w:hAnsi="Verdana"/>
          <w:b/>
          <w:i/>
          <w:sz w:val="20"/>
          <w:szCs w:val="20"/>
          <w:lang w:val="es-MX"/>
        </w:rPr>
        <w:t>Comisión</w:t>
      </w:r>
      <w:r w:rsidR="00665167" w:rsidRPr="003E0CF8">
        <w:rPr>
          <w:rFonts w:ascii="Verdana" w:hAnsi="Verdana"/>
          <w:sz w:val="20"/>
          <w:szCs w:val="20"/>
          <w:lang w:val="es-MX"/>
        </w:rPr>
        <w:t xml:space="preserve"> consideró </w:t>
      </w:r>
      <w:r w:rsidR="004A3267">
        <w:rPr>
          <w:rFonts w:ascii="Verdana" w:hAnsi="Verdana"/>
          <w:sz w:val="20"/>
          <w:szCs w:val="20"/>
          <w:lang w:val="es-MX"/>
        </w:rPr>
        <w:t>‘</w:t>
      </w:r>
      <w:r w:rsidR="00665167" w:rsidRPr="003E0CF8">
        <w:rPr>
          <w:rFonts w:ascii="Verdana" w:hAnsi="Verdana"/>
          <w:sz w:val="20"/>
          <w:szCs w:val="20"/>
          <w:lang w:val="es-MX"/>
        </w:rPr>
        <w:t>que la Corte det</w:t>
      </w:r>
      <w:r w:rsidR="00AC4A2F" w:rsidRPr="003E0CF8">
        <w:rPr>
          <w:rFonts w:ascii="Verdana" w:hAnsi="Verdana"/>
          <w:sz w:val="20"/>
          <w:szCs w:val="20"/>
          <w:lang w:val="es-MX"/>
        </w:rPr>
        <w:t xml:space="preserve">erminó </w:t>
      </w:r>
      <w:r w:rsidR="00920133" w:rsidRPr="003E0CF8">
        <w:rPr>
          <w:rFonts w:ascii="Verdana" w:hAnsi="Verdana"/>
          <w:sz w:val="20"/>
          <w:szCs w:val="20"/>
          <w:lang w:val="es-MX"/>
        </w:rPr>
        <w:t>en la Sentencia</w:t>
      </w:r>
      <w:r w:rsidR="00920133">
        <w:rPr>
          <w:rFonts w:ascii="Verdana" w:hAnsi="Verdana"/>
          <w:sz w:val="20"/>
          <w:szCs w:val="20"/>
          <w:lang w:val="es-MX"/>
        </w:rPr>
        <w:t xml:space="preserve"> que</w:t>
      </w:r>
      <w:r w:rsidR="00920133" w:rsidRPr="003E0CF8">
        <w:rPr>
          <w:rFonts w:ascii="Verdana" w:hAnsi="Verdana"/>
          <w:sz w:val="20"/>
          <w:szCs w:val="20"/>
          <w:lang w:val="es-MX"/>
        </w:rPr>
        <w:t xml:space="preserve"> </w:t>
      </w:r>
      <w:r w:rsidR="00920133">
        <w:rPr>
          <w:rFonts w:ascii="Verdana" w:hAnsi="Verdana"/>
          <w:sz w:val="20"/>
          <w:szCs w:val="20"/>
          <w:lang w:val="es-MX"/>
        </w:rPr>
        <w:t>las resoluciones de 4 y 9 de noviembre “no han tenido efectos directos sobre los derechos, obligaciones, o en general la situ</w:t>
      </w:r>
      <w:r w:rsidR="00920133" w:rsidRPr="00162CCB">
        <w:rPr>
          <w:rFonts w:ascii="Verdana" w:hAnsi="Verdana"/>
          <w:sz w:val="20"/>
          <w:szCs w:val="20"/>
          <w:lang w:val="es-MX"/>
        </w:rPr>
        <w:t>ación jurídica del señor Galindo</w:t>
      </w:r>
      <w:r w:rsidR="00301B2D" w:rsidRPr="00162CCB">
        <w:rPr>
          <w:rFonts w:ascii="Verdana" w:hAnsi="Verdana"/>
          <w:sz w:val="20"/>
          <w:szCs w:val="20"/>
          <w:lang w:val="es-MX"/>
        </w:rPr>
        <w:t>”</w:t>
      </w:r>
      <w:r w:rsidR="006A4A56">
        <w:rPr>
          <w:rFonts w:ascii="Verdana" w:hAnsi="Verdana"/>
          <w:sz w:val="20"/>
          <w:szCs w:val="20"/>
          <w:lang w:val="es-MX"/>
        </w:rPr>
        <w:t>’</w:t>
      </w:r>
      <w:r w:rsidR="00920133" w:rsidRPr="00162CCB">
        <w:rPr>
          <w:rFonts w:ascii="Verdana" w:hAnsi="Verdana"/>
          <w:sz w:val="20"/>
          <w:szCs w:val="20"/>
          <w:lang w:val="es-MX"/>
        </w:rPr>
        <w:t xml:space="preserve"> y estableció </w:t>
      </w:r>
      <w:r w:rsidR="0040704F" w:rsidRPr="00162CCB">
        <w:rPr>
          <w:rFonts w:ascii="Verdana" w:hAnsi="Verdana"/>
          <w:sz w:val="20"/>
          <w:szCs w:val="20"/>
          <w:lang w:val="es-MX"/>
        </w:rPr>
        <w:t>que</w:t>
      </w:r>
      <w:r w:rsidR="00AC4A2F" w:rsidRPr="00162CCB">
        <w:rPr>
          <w:rFonts w:ascii="Verdana" w:hAnsi="Verdana"/>
          <w:sz w:val="20"/>
          <w:szCs w:val="20"/>
          <w:lang w:val="es-MX"/>
        </w:rPr>
        <w:t xml:space="preserve"> las “actas de arrepentimiento </w:t>
      </w:r>
      <w:r w:rsidR="00665167" w:rsidRPr="00162CCB">
        <w:rPr>
          <w:rFonts w:ascii="Verdana" w:hAnsi="Verdana"/>
          <w:sz w:val="20"/>
          <w:szCs w:val="20"/>
          <w:lang w:val="es-MX"/>
        </w:rPr>
        <w:t xml:space="preserve">no pueden encontrar sustento </w:t>
      </w:r>
      <w:r w:rsidR="00AC4A2F" w:rsidRPr="00162CCB">
        <w:rPr>
          <w:rFonts w:ascii="Verdana" w:hAnsi="Verdana"/>
          <w:sz w:val="20"/>
          <w:szCs w:val="20"/>
          <w:lang w:val="es-MX"/>
        </w:rPr>
        <w:t>alguno</w:t>
      </w:r>
      <w:r w:rsidR="0040704F" w:rsidRPr="00162CCB">
        <w:rPr>
          <w:rFonts w:ascii="Verdana" w:hAnsi="Verdana"/>
          <w:sz w:val="20"/>
          <w:szCs w:val="20"/>
          <w:lang w:val="es-MX"/>
        </w:rPr>
        <w:t>”.</w:t>
      </w:r>
      <w:r w:rsidR="00665167" w:rsidRPr="00162CCB">
        <w:rPr>
          <w:rFonts w:ascii="Verdana" w:hAnsi="Verdana"/>
          <w:sz w:val="20"/>
          <w:szCs w:val="20"/>
          <w:lang w:val="es-MX"/>
        </w:rPr>
        <w:t xml:space="preserve"> </w:t>
      </w:r>
      <w:r w:rsidR="0040704F" w:rsidRPr="00162CCB">
        <w:rPr>
          <w:rFonts w:ascii="Verdana" w:hAnsi="Verdana"/>
          <w:sz w:val="20"/>
          <w:szCs w:val="20"/>
          <w:lang w:val="es-MX"/>
        </w:rPr>
        <w:t xml:space="preserve">Por lo que la Comisión consideró que </w:t>
      </w:r>
      <w:r w:rsidR="00920133" w:rsidRPr="00162CCB">
        <w:rPr>
          <w:rFonts w:ascii="Verdana" w:hAnsi="Verdana"/>
          <w:sz w:val="20"/>
          <w:szCs w:val="20"/>
          <w:lang w:val="es-MX"/>
        </w:rPr>
        <w:t xml:space="preserve">como </w:t>
      </w:r>
      <w:r w:rsidR="00665167" w:rsidRPr="00162CCB">
        <w:rPr>
          <w:rFonts w:ascii="Verdana" w:hAnsi="Verdana"/>
          <w:sz w:val="20"/>
          <w:szCs w:val="20"/>
          <w:lang w:val="es-MX"/>
        </w:rPr>
        <w:t xml:space="preserve">parte de </w:t>
      </w:r>
      <w:r w:rsidR="00162CCB">
        <w:rPr>
          <w:rFonts w:ascii="Verdana" w:hAnsi="Verdana"/>
          <w:sz w:val="20"/>
          <w:szCs w:val="20"/>
          <w:lang w:val="es-MX"/>
        </w:rPr>
        <w:t xml:space="preserve">dicha obligación </w:t>
      </w:r>
      <w:r w:rsidR="00665167" w:rsidRPr="00162CCB">
        <w:rPr>
          <w:rFonts w:ascii="Verdana" w:hAnsi="Verdana"/>
          <w:sz w:val="20"/>
          <w:szCs w:val="20"/>
          <w:lang w:val="es-MX"/>
        </w:rPr>
        <w:t>“el Estado debería dejar sin efectos las citadas resolucion</w:t>
      </w:r>
      <w:r w:rsidR="00AC4A2F" w:rsidRPr="00162CCB">
        <w:rPr>
          <w:rFonts w:ascii="Verdana" w:hAnsi="Verdana"/>
          <w:sz w:val="20"/>
          <w:szCs w:val="20"/>
          <w:lang w:val="es-MX"/>
        </w:rPr>
        <w:t xml:space="preserve">es fiscales”. </w:t>
      </w:r>
      <w:r w:rsidR="00115AFF" w:rsidRPr="00162CCB">
        <w:rPr>
          <w:rFonts w:ascii="Verdana" w:hAnsi="Verdana"/>
          <w:sz w:val="20"/>
          <w:szCs w:val="20"/>
          <w:lang w:val="es-MX"/>
        </w:rPr>
        <w:t>Adujo</w:t>
      </w:r>
      <w:r w:rsidR="00162CCB">
        <w:rPr>
          <w:rFonts w:ascii="Verdana" w:hAnsi="Verdana"/>
          <w:sz w:val="20"/>
          <w:szCs w:val="20"/>
          <w:lang w:val="es-MX"/>
        </w:rPr>
        <w:t xml:space="preserve"> </w:t>
      </w:r>
      <w:r w:rsidR="00AC4A2F" w:rsidRPr="00162CCB">
        <w:rPr>
          <w:rFonts w:ascii="Verdana" w:hAnsi="Verdana"/>
          <w:sz w:val="20"/>
          <w:szCs w:val="20"/>
          <w:lang w:val="es-MX"/>
        </w:rPr>
        <w:t>que</w:t>
      </w:r>
      <w:r w:rsidR="00AC4A2F" w:rsidRPr="003E0CF8">
        <w:rPr>
          <w:rFonts w:ascii="Verdana" w:hAnsi="Verdana"/>
          <w:sz w:val="20"/>
          <w:szCs w:val="20"/>
          <w:lang w:val="es-MX"/>
        </w:rPr>
        <w:t xml:space="preserve"> un pronunciamiento </w:t>
      </w:r>
      <w:r w:rsidR="00665167" w:rsidRPr="003E0CF8">
        <w:rPr>
          <w:rFonts w:ascii="Verdana" w:hAnsi="Verdana"/>
          <w:sz w:val="20"/>
          <w:szCs w:val="20"/>
          <w:lang w:val="es-MX"/>
        </w:rPr>
        <w:t xml:space="preserve">por parte de la Corte </w:t>
      </w:r>
      <w:r w:rsidR="00AC4A2F" w:rsidRPr="003E0CF8">
        <w:rPr>
          <w:rFonts w:ascii="Verdana" w:hAnsi="Verdana"/>
          <w:sz w:val="20"/>
          <w:szCs w:val="20"/>
          <w:lang w:val="es-MX"/>
        </w:rPr>
        <w:t xml:space="preserve">en respuesta de la solicitud de interpretación </w:t>
      </w:r>
      <w:r w:rsidR="00665167" w:rsidRPr="003E0CF8">
        <w:rPr>
          <w:rFonts w:ascii="Verdana" w:hAnsi="Verdana"/>
          <w:sz w:val="20"/>
          <w:szCs w:val="20"/>
          <w:lang w:val="es-MX"/>
        </w:rPr>
        <w:t>“</w:t>
      </w:r>
      <w:proofErr w:type="gramStart"/>
      <w:r w:rsidR="00665167" w:rsidRPr="003E0CF8">
        <w:rPr>
          <w:rFonts w:ascii="Verdana" w:hAnsi="Verdana"/>
          <w:sz w:val="20"/>
          <w:szCs w:val="20"/>
          <w:lang w:val="es-MX"/>
        </w:rPr>
        <w:t>p</w:t>
      </w:r>
      <w:r w:rsidR="006A4A56">
        <w:rPr>
          <w:rFonts w:ascii="Verdana" w:hAnsi="Verdana"/>
          <w:sz w:val="20"/>
          <w:szCs w:val="20"/>
          <w:lang w:val="es-MX"/>
        </w:rPr>
        <w:t>[</w:t>
      </w:r>
      <w:proofErr w:type="gramEnd"/>
      <w:r w:rsidR="00665167" w:rsidRPr="003E0CF8">
        <w:rPr>
          <w:rFonts w:ascii="Verdana" w:hAnsi="Verdana"/>
          <w:sz w:val="20"/>
          <w:szCs w:val="20"/>
          <w:lang w:val="es-MX"/>
        </w:rPr>
        <w:t>odría</w:t>
      </w:r>
      <w:r w:rsidR="006A4A56">
        <w:rPr>
          <w:rFonts w:ascii="Verdana" w:hAnsi="Verdana"/>
          <w:sz w:val="20"/>
          <w:szCs w:val="20"/>
          <w:lang w:val="es-MX"/>
        </w:rPr>
        <w:t>]</w:t>
      </w:r>
      <w:r w:rsidR="00665167" w:rsidRPr="003E0CF8">
        <w:rPr>
          <w:rFonts w:ascii="Verdana" w:hAnsi="Verdana"/>
          <w:sz w:val="20"/>
          <w:szCs w:val="20"/>
          <w:lang w:val="es-MX"/>
        </w:rPr>
        <w:t xml:space="preserve"> favorecer el cumplimiento del objeto y fin de la reparación ordenada por la Corte en el párrafo 297 y el punto resolutivo 10 de la Sentencia”. </w:t>
      </w:r>
    </w:p>
    <w:p w:rsidR="0026667E" w:rsidRPr="00535E50" w:rsidRDefault="0026667E" w:rsidP="0026667E">
      <w:pPr>
        <w:pStyle w:val="ListParagraph"/>
        <w:spacing w:line="240" w:lineRule="auto"/>
        <w:ind w:left="0"/>
        <w:jc w:val="both"/>
        <w:rPr>
          <w:rFonts w:ascii="Verdana" w:hAnsi="Verdana"/>
          <w:sz w:val="20"/>
          <w:szCs w:val="20"/>
          <w:lang w:val="es-MX"/>
        </w:rPr>
      </w:pPr>
    </w:p>
    <w:p w:rsidR="00665167" w:rsidRPr="003E0CF8" w:rsidRDefault="00FD4EA7" w:rsidP="005551A1">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lastRenderedPageBreak/>
        <w:t>E</w:t>
      </w:r>
      <w:r w:rsidR="00665167" w:rsidRPr="003E0CF8">
        <w:rPr>
          <w:rFonts w:ascii="Verdana" w:hAnsi="Verdana"/>
          <w:sz w:val="20"/>
          <w:szCs w:val="20"/>
          <w:lang w:val="es-MX"/>
        </w:rPr>
        <w:t xml:space="preserve">l </w:t>
      </w:r>
      <w:r w:rsidR="00665167" w:rsidRPr="000C194D">
        <w:rPr>
          <w:rFonts w:ascii="Verdana" w:hAnsi="Verdana"/>
          <w:b/>
          <w:i/>
          <w:sz w:val="20"/>
          <w:szCs w:val="20"/>
          <w:lang w:val="es-MX"/>
        </w:rPr>
        <w:t>Estado</w:t>
      </w:r>
      <w:r w:rsidR="00665167" w:rsidRPr="003E0CF8">
        <w:rPr>
          <w:rFonts w:ascii="Verdana" w:hAnsi="Verdana"/>
          <w:sz w:val="20"/>
          <w:szCs w:val="20"/>
          <w:lang w:val="es-MX"/>
        </w:rPr>
        <w:t xml:space="preserve"> expuso que e</w:t>
      </w:r>
      <w:r w:rsidRPr="003E0CF8">
        <w:rPr>
          <w:rFonts w:ascii="Verdana" w:hAnsi="Verdana"/>
          <w:sz w:val="20"/>
          <w:szCs w:val="20"/>
          <w:lang w:val="es-MX"/>
        </w:rPr>
        <w:t xml:space="preserve">l representante de las víctimas, por un la lado, </w:t>
      </w:r>
      <w:r w:rsidR="00665167" w:rsidRPr="003E0CF8">
        <w:rPr>
          <w:rFonts w:ascii="Verdana" w:hAnsi="Verdana"/>
          <w:sz w:val="20"/>
          <w:szCs w:val="20"/>
          <w:lang w:val="es-MX"/>
        </w:rPr>
        <w:t>basó su solicitud en la supuesta afectación a la honra y buen nombre del señor Galindo</w:t>
      </w:r>
      <w:r w:rsidR="00380525" w:rsidRPr="003E0CF8">
        <w:rPr>
          <w:rFonts w:ascii="Verdana" w:hAnsi="Verdana"/>
          <w:sz w:val="20"/>
          <w:szCs w:val="20"/>
          <w:lang w:val="es-MX"/>
        </w:rPr>
        <w:t xml:space="preserve"> y su familia, causada por las r</w:t>
      </w:r>
      <w:r w:rsidR="00665167" w:rsidRPr="003E0CF8">
        <w:rPr>
          <w:rFonts w:ascii="Verdana" w:hAnsi="Verdana"/>
          <w:sz w:val="20"/>
          <w:szCs w:val="20"/>
          <w:lang w:val="es-MX"/>
        </w:rPr>
        <w:t>esoluciones</w:t>
      </w:r>
      <w:r w:rsidR="00380525" w:rsidRPr="003E0CF8">
        <w:rPr>
          <w:rFonts w:ascii="Verdana" w:hAnsi="Verdana"/>
          <w:sz w:val="20"/>
          <w:szCs w:val="20"/>
          <w:lang w:val="es-MX"/>
        </w:rPr>
        <w:t xml:space="preserve"> y</w:t>
      </w:r>
      <w:r w:rsidRPr="003E0CF8">
        <w:rPr>
          <w:rFonts w:ascii="Verdana" w:hAnsi="Verdana"/>
          <w:sz w:val="20"/>
          <w:szCs w:val="20"/>
          <w:lang w:val="es-MX"/>
        </w:rPr>
        <w:t xml:space="preserve"> señal</w:t>
      </w:r>
      <w:r w:rsidR="00665167" w:rsidRPr="003E0CF8">
        <w:rPr>
          <w:rFonts w:ascii="Verdana" w:hAnsi="Verdana"/>
          <w:sz w:val="20"/>
          <w:szCs w:val="20"/>
          <w:lang w:val="es-MX"/>
        </w:rPr>
        <w:t>ó que la Corte no declaró vulneraciones a dichos derechos,</w:t>
      </w:r>
      <w:r w:rsidR="00380525" w:rsidRPr="003E0CF8">
        <w:rPr>
          <w:rFonts w:ascii="Verdana" w:hAnsi="Verdana"/>
          <w:sz w:val="20"/>
          <w:szCs w:val="20"/>
          <w:lang w:val="es-MX"/>
        </w:rPr>
        <w:t xml:space="preserve"> </w:t>
      </w:r>
      <w:r w:rsidR="00665167" w:rsidRPr="003E0CF8">
        <w:rPr>
          <w:rFonts w:ascii="Verdana" w:hAnsi="Verdana"/>
          <w:sz w:val="20"/>
          <w:szCs w:val="20"/>
          <w:lang w:val="es-MX"/>
        </w:rPr>
        <w:t xml:space="preserve"> por lo que el representante solicita “reparar derechos que no se han considerado </w:t>
      </w:r>
      <w:r w:rsidRPr="003E0CF8">
        <w:rPr>
          <w:rFonts w:ascii="Verdana" w:hAnsi="Verdana"/>
          <w:sz w:val="20"/>
          <w:szCs w:val="20"/>
          <w:lang w:val="es-MX"/>
        </w:rPr>
        <w:t>violados”. Por otro lado, indicó que la Sentencia no concluyó ni consideró necesario adoptar medida alguna sobre las resoluciones de 4 y 9 de noviembre de 1994. En consecuencia</w:t>
      </w:r>
      <w:r w:rsidR="00380525" w:rsidRPr="003E0CF8">
        <w:rPr>
          <w:rFonts w:ascii="Verdana" w:hAnsi="Verdana"/>
          <w:sz w:val="20"/>
          <w:szCs w:val="20"/>
          <w:lang w:val="es-MX"/>
        </w:rPr>
        <w:t>, el Estado concluyó que</w:t>
      </w:r>
      <w:r w:rsidRPr="003E0CF8">
        <w:rPr>
          <w:rFonts w:ascii="Verdana" w:hAnsi="Verdana"/>
          <w:sz w:val="20"/>
          <w:szCs w:val="20"/>
          <w:lang w:val="es-MX"/>
        </w:rPr>
        <w:t xml:space="preserve"> </w:t>
      </w:r>
      <w:r w:rsidR="00665167" w:rsidRPr="003E0CF8">
        <w:rPr>
          <w:rFonts w:ascii="Verdana" w:hAnsi="Verdana"/>
          <w:sz w:val="20"/>
          <w:szCs w:val="20"/>
          <w:lang w:val="es-MX"/>
        </w:rPr>
        <w:t>la solicitud busca am</w:t>
      </w:r>
      <w:r w:rsidR="00380525" w:rsidRPr="003E0CF8">
        <w:rPr>
          <w:rFonts w:ascii="Verdana" w:hAnsi="Verdana"/>
          <w:sz w:val="20"/>
          <w:szCs w:val="20"/>
          <w:lang w:val="es-MX"/>
        </w:rPr>
        <w:t>pliar y modificar la Sentencia, por lo que</w:t>
      </w:r>
      <w:r w:rsidR="00D20766" w:rsidRPr="003E0CF8">
        <w:rPr>
          <w:rFonts w:ascii="Verdana" w:hAnsi="Verdana"/>
          <w:sz w:val="20"/>
          <w:szCs w:val="20"/>
          <w:lang w:val="es-MX"/>
        </w:rPr>
        <w:t xml:space="preserve"> </w:t>
      </w:r>
      <w:r w:rsidR="00665167" w:rsidRPr="003E0CF8">
        <w:rPr>
          <w:rFonts w:ascii="Verdana" w:hAnsi="Verdana"/>
          <w:sz w:val="20"/>
          <w:szCs w:val="20"/>
          <w:lang w:val="es-MX"/>
        </w:rPr>
        <w:t>solicit</w:t>
      </w:r>
      <w:r w:rsidR="00D20766" w:rsidRPr="003E0CF8">
        <w:rPr>
          <w:rFonts w:ascii="Verdana" w:hAnsi="Verdana"/>
          <w:sz w:val="20"/>
          <w:szCs w:val="20"/>
          <w:lang w:val="es-MX"/>
        </w:rPr>
        <w:t>ó</w:t>
      </w:r>
      <w:r w:rsidR="00665167" w:rsidRPr="003E0CF8">
        <w:rPr>
          <w:rFonts w:ascii="Verdana" w:hAnsi="Verdana"/>
          <w:sz w:val="20"/>
          <w:szCs w:val="20"/>
          <w:lang w:val="es-MX"/>
        </w:rPr>
        <w:t xml:space="preserve"> que se declare inadmisible. </w:t>
      </w:r>
    </w:p>
    <w:p w:rsidR="00665167" w:rsidRPr="003E0CF8" w:rsidRDefault="003F6A62" w:rsidP="00AB0590">
      <w:pPr>
        <w:spacing w:line="240" w:lineRule="auto"/>
        <w:ind w:firstLine="720"/>
        <w:jc w:val="both"/>
        <w:rPr>
          <w:rFonts w:ascii="Verdana" w:hAnsi="Verdana"/>
          <w:i/>
          <w:sz w:val="20"/>
          <w:szCs w:val="20"/>
          <w:lang w:val="es-MX"/>
        </w:rPr>
      </w:pPr>
      <w:r>
        <w:rPr>
          <w:rFonts w:ascii="Verdana" w:hAnsi="Verdana"/>
          <w:i/>
          <w:sz w:val="20"/>
          <w:szCs w:val="20"/>
          <w:lang w:val="es-MX"/>
        </w:rPr>
        <w:t>A.2</w:t>
      </w:r>
      <w:r w:rsidR="00380525" w:rsidRPr="003E0CF8">
        <w:rPr>
          <w:rFonts w:ascii="Verdana" w:hAnsi="Verdana"/>
          <w:i/>
          <w:sz w:val="20"/>
          <w:szCs w:val="20"/>
          <w:lang w:val="es-MX"/>
        </w:rPr>
        <w:t>. L</w:t>
      </w:r>
      <w:r w:rsidR="00665167" w:rsidRPr="003E0CF8">
        <w:rPr>
          <w:rFonts w:ascii="Verdana" w:hAnsi="Verdana"/>
          <w:i/>
          <w:sz w:val="20"/>
          <w:szCs w:val="20"/>
          <w:lang w:val="es-MX"/>
        </w:rPr>
        <w:t>os alcances de la investigación sobre la alegada “tortura psicológica”</w:t>
      </w:r>
    </w:p>
    <w:p w:rsidR="00665167" w:rsidRPr="003E0CF8" w:rsidRDefault="00665167" w:rsidP="005551A1">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 xml:space="preserve">El </w:t>
      </w:r>
      <w:r w:rsidRPr="000C194D">
        <w:rPr>
          <w:rFonts w:ascii="Verdana" w:hAnsi="Verdana"/>
          <w:b/>
          <w:i/>
          <w:sz w:val="20"/>
          <w:szCs w:val="20"/>
          <w:lang w:val="es-MX"/>
        </w:rPr>
        <w:t>representante</w:t>
      </w:r>
      <w:r w:rsidRPr="003E0CF8">
        <w:rPr>
          <w:rFonts w:ascii="Verdana" w:hAnsi="Verdana"/>
          <w:sz w:val="20"/>
          <w:szCs w:val="20"/>
          <w:lang w:val="es-MX"/>
        </w:rPr>
        <w:t xml:space="preserve"> solicitó a</w:t>
      </w:r>
      <w:r w:rsidR="00D20766" w:rsidRPr="003E0CF8">
        <w:rPr>
          <w:rFonts w:ascii="Verdana" w:hAnsi="Verdana"/>
          <w:sz w:val="20"/>
          <w:szCs w:val="20"/>
          <w:lang w:val="es-MX"/>
        </w:rPr>
        <w:t xml:space="preserve"> la Corte</w:t>
      </w:r>
      <w:r w:rsidRPr="003E0CF8">
        <w:rPr>
          <w:rFonts w:ascii="Verdana" w:hAnsi="Verdana"/>
          <w:sz w:val="20"/>
          <w:szCs w:val="20"/>
          <w:lang w:val="es-MX"/>
        </w:rPr>
        <w:t xml:space="preserve"> que se “amplíen los alcances de la investigación que en</w:t>
      </w:r>
      <w:r w:rsidR="00380525" w:rsidRPr="003E0CF8">
        <w:rPr>
          <w:rFonts w:ascii="Verdana" w:hAnsi="Verdana"/>
          <w:sz w:val="20"/>
          <w:szCs w:val="20"/>
          <w:lang w:val="es-MX"/>
        </w:rPr>
        <w:t xml:space="preserve"> </w:t>
      </w:r>
      <w:r w:rsidRPr="003E0CF8">
        <w:rPr>
          <w:rFonts w:ascii="Verdana" w:hAnsi="Verdana"/>
          <w:sz w:val="20"/>
          <w:szCs w:val="20"/>
          <w:lang w:val="es-MX"/>
        </w:rPr>
        <w:t xml:space="preserve">sede interna se vienen llevando a cabo por el delito de </w:t>
      </w:r>
      <w:r w:rsidR="00920133">
        <w:rPr>
          <w:rFonts w:ascii="Verdana" w:hAnsi="Verdana"/>
          <w:sz w:val="20"/>
          <w:szCs w:val="20"/>
          <w:lang w:val="es-MX"/>
        </w:rPr>
        <w:t>[t]</w:t>
      </w:r>
      <w:r w:rsidRPr="003E0CF8">
        <w:rPr>
          <w:rFonts w:ascii="Verdana" w:hAnsi="Verdana"/>
          <w:sz w:val="20"/>
          <w:szCs w:val="20"/>
          <w:lang w:val="es-MX"/>
        </w:rPr>
        <w:t xml:space="preserve">ortura </w:t>
      </w:r>
      <w:r w:rsidR="00920133">
        <w:rPr>
          <w:rFonts w:ascii="Verdana" w:hAnsi="Verdana"/>
          <w:sz w:val="20"/>
          <w:szCs w:val="20"/>
          <w:lang w:val="es-MX"/>
        </w:rPr>
        <w:t>[p]</w:t>
      </w:r>
      <w:r w:rsidRPr="003E0CF8">
        <w:rPr>
          <w:rFonts w:ascii="Verdana" w:hAnsi="Verdana"/>
          <w:sz w:val="20"/>
          <w:szCs w:val="20"/>
          <w:lang w:val="es-MX"/>
        </w:rPr>
        <w:t xml:space="preserve">sicológica, disponiéndose que en ella se comprenda y apertura investigación por el delito de </w:t>
      </w:r>
      <w:r w:rsidR="00920133">
        <w:rPr>
          <w:rFonts w:ascii="Verdana" w:hAnsi="Verdana"/>
          <w:sz w:val="20"/>
          <w:szCs w:val="20"/>
          <w:lang w:val="es-MX"/>
        </w:rPr>
        <w:t>[v]</w:t>
      </w:r>
      <w:r w:rsidRPr="003E0CF8">
        <w:rPr>
          <w:rFonts w:ascii="Verdana" w:hAnsi="Verdana"/>
          <w:sz w:val="20"/>
          <w:szCs w:val="20"/>
          <w:lang w:val="es-MX"/>
        </w:rPr>
        <w:t xml:space="preserve">iolación de la </w:t>
      </w:r>
      <w:r w:rsidR="00920133">
        <w:rPr>
          <w:rFonts w:ascii="Verdana" w:hAnsi="Verdana"/>
          <w:sz w:val="20"/>
          <w:szCs w:val="20"/>
          <w:lang w:val="es-MX"/>
        </w:rPr>
        <w:t>[l]</w:t>
      </w:r>
      <w:r w:rsidRPr="003E0CF8">
        <w:rPr>
          <w:rFonts w:ascii="Verdana" w:hAnsi="Verdana"/>
          <w:sz w:val="20"/>
          <w:szCs w:val="20"/>
          <w:lang w:val="es-MX"/>
        </w:rPr>
        <w:t xml:space="preserve">ibertad </w:t>
      </w:r>
      <w:r w:rsidR="00920133">
        <w:rPr>
          <w:rFonts w:ascii="Verdana" w:hAnsi="Verdana"/>
          <w:sz w:val="20"/>
          <w:szCs w:val="20"/>
          <w:lang w:val="es-MX"/>
        </w:rPr>
        <w:t>[p]</w:t>
      </w:r>
      <w:r w:rsidRPr="003E0CF8">
        <w:rPr>
          <w:rFonts w:ascii="Verdana" w:hAnsi="Verdana"/>
          <w:sz w:val="20"/>
          <w:szCs w:val="20"/>
          <w:lang w:val="es-MX"/>
        </w:rPr>
        <w:t xml:space="preserve">ersonal, en la modalidad de </w:t>
      </w:r>
      <w:r w:rsidR="00920133">
        <w:rPr>
          <w:rFonts w:ascii="Verdana" w:hAnsi="Verdana"/>
          <w:sz w:val="20"/>
          <w:szCs w:val="20"/>
          <w:lang w:val="es-MX"/>
        </w:rPr>
        <w:t>[s]</w:t>
      </w:r>
      <w:r w:rsidR="003B3EEC" w:rsidRPr="003E0CF8">
        <w:rPr>
          <w:rFonts w:ascii="Verdana" w:hAnsi="Verdana"/>
          <w:sz w:val="20"/>
          <w:szCs w:val="20"/>
          <w:lang w:val="es-MX"/>
        </w:rPr>
        <w:t xml:space="preserve">ecuestro </w:t>
      </w:r>
      <w:r w:rsidR="00920133">
        <w:rPr>
          <w:rFonts w:ascii="Verdana" w:hAnsi="Verdana"/>
          <w:sz w:val="20"/>
          <w:szCs w:val="20"/>
          <w:lang w:val="es-MX"/>
        </w:rPr>
        <w:t>[a]</w:t>
      </w:r>
      <w:r w:rsidR="003B3EEC" w:rsidRPr="003E0CF8">
        <w:rPr>
          <w:rFonts w:ascii="Verdana" w:hAnsi="Verdana"/>
          <w:sz w:val="20"/>
          <w:szCs w:val="20"/>
          <w:lang w:val="es-MX"/>
        </w:rPr>
        <w:t>gravado” en contra de</w:t>
      </w:r>
      <w:r w:rsidRPr="003E0CF8">
        <w:rPr>
          <w:rFonts w:ascii="Verdana" w:hAnsi="Verdana"/>
          <w:sz w:val="20"/>
          <w:szCs w:val="20"/>
          <w:lang w:val="es-MX"/>
        </w:rPr>
        <w:t xml:space="preserve"> “los presuntos autores intelectuales y materiales”, en perjuicio del señor Galindo. </w:t>
      </w:r>
    </w:p>
    <w:p w:rsidR="00C2450C" w:rsidRPr="003E0CF8" w:rsidRDefault="00C2450C" w:rsidP="00C2450C">
      <w:pPr>
        <w:pStyle w:val="ListParagraph"/>
        <w:spacing w:line="240" w:lineRule="auto"/>
        <w:ind w:left="0"/>
        <w:jc w:val="both"/>
        <w:rPr>
          <w:rFonts w:ascii="Verdana" w:hAnsi="Verdana"/>
          <w:sz w:val="20"/>
          <w:szCs w:val="20"/>
          <w:lang w:val="es-MX"/>
        </w:rPr>
      </w:pPr>
    </w:p>
    <w:p w:rsidR="00C2450C" w:rsidRPr="003E0CF8" w:rsidRDefault="00D20766" w:rsidP="00665167">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L</w:t>
      </w:r>
      <w:r w:rsidR="00665167" w:rsidRPr="003E0CF8">
        <w:rPr>
          <w:rFonts w:ascii="Verdana" w:hAnsi="Verdana"/>
          <w:sz w:val="20"/>
          <w:szCs w:val="20"/>
          <w:lang w:val="es-MX"/>
        </w:rPr>
        <w:t xml:space="preserve">a </w:t>
      </w:r>
      <w:r w:rsidR="00665167" w:rsidRPr="000C194D">
        <w:rPr>
          <w:rFonts w:ascii="Verdana" w:hAnsi="Verdana"/>
          <w:b/>
          <w:i/>
          <w:sz w:val="20"/>
          <w:szCs w:val="20"/>
          <w:lang w:val="es-MX"/>
        </w:rPr>
        <w:t>Comisión</w:t>
      </w:r>
      <w:r w:rsidR="00665167" w:rsidRPr="003E0CF8">
        <w:rPr>
          <w:rFonts w:ascii="Verdana" w:hAnsi="Verdana"/>
          <w:sz w:val="20"/>
          <w:szCs w:val="20"/>
          <w:lang w:val="es-MX"/>
        </w:rPr>
        <w:t xml:space="preserve"> manifestó que la investigación ordenada al Estado sobre la presunta “tortura psicológica” del señor Galindo, debe ser </w:t>
      </w:r>
      <w:r w:rsidR="003B3EEC" w:rsidRPr="003E0CF8">
        <w:rPr>
          <w:rFonts w:ascii="Verdana" w:hAnsi="Verdana"/>
          <w:sz w:val="20"/>
          <w:szCs w:val="20"/>
          <w:lang w:val="es-MX"/>
        </w:rPr>
        <w:t xml:space="preserve">entendida </w:t>
      </w:r>
      <w:r w:rsidR="00174DB3" w:rsidRPr="003E0CF8">
        <w:rPr>
          <w:rFonts w:ascii="Verdana" w:hAnsi="Verdana"/>
          <w:sz w:val="20"/>
          <w:szCs w:val="20"/>
          <w:lang w:val="es-MX"/>
        </w:rPr>
        <w:t>“</w:t>
      </w:r>
      <w:r w:rsidR="003B3EEC" w:rsidRPr="003E0CF8">
        <w:rPr>
          <w:rFonts w:ascii="Verdana" w:hAnsi="Verdana"/>
          <w:sz w:val="20"/>
          <w:szCs w:val="20"/>
          <w:lang w:val="es-MX"/>
        </w:rPr>
        <w:t>de una forma comprensiva  que conforme a la obligación de investigar las violaciones ocurridas a la víctima</w:t>
      </w:r>
      <w:r w:rsidR="006A4A56">
        <w:rPr>
          <w:rFonts w:ascii="Verdana" w:hAnsi="Verdana"/>
          <w:sz w:val="20"/>
          <w:szCs w:val="20"/>
          <w:lang w:val="es-MX"/>
        </w:rPr>
        <w:t>,</w:t>
      </w:r>
      <w:r w:rsidR="00174DB3" w:rsidRPr="003E0CF8">
        <w:rPr>
          <w:rFonts w:ascii="Verdana" w:hAnsi="Verdana"/>
          <w:sz w:val="20"/>
          <w:szCs w:val="20"/>
          <w:lang w:val="es-MX"/>
        </w:rPr>
        <w:t xml:space="preserve"> involucre</w:t>
      </w:r>
      <w:r w:rsidR="006A4A56">
        <w:rPr>
          <w:rFonts w:ascii="Verdana" w:hAnsi="Verdana"/>
          <w:sz w:val="20"/>
          <w:szCs w:val="20"/>
          <w:lang w:val="es-MX"/>
        </w:rPr>
        <w:t xml:space="preserve"> bajo las</w:t>
      </w:r>
      <w:r w:rsidR="003B3EEC" w:rsidRPr="003E0CF8">
        <w:rPr>
          <w:rFonts w:ascii="Verdana" w:hAnsi="Verdana"/>
          <w:sz w:val="20"/>
          <w:szCs w:val="20"/>
          <w:lang w:val="es-MX"/>
        </w:rPr>
        <w:t xml:space="preserve"> </w:t>
      </w:r>
      <w:r w:rsidR="00174DB3" w:rsidRPr="003E0CF8">
        <w:rPr>
          <w:rFonts w:ascii="Verdana" w:hAnsi="Verdana"/>
          <w:sz w:val="20"/>
          <w:szCs w:val="20"/>
          <w:lang w:val="es-MX"/>
        </w:rPr>
        <w:t>categorías que correspondan</w:t>
      </w:r>
      <w:r w:rsidR="00665167" w:rsidRPr="003E0CF8">
        <w:rPr>
          <w:rFonts w:ascii="Verdana" w:hAnsi="Verdana"/>
          <w:sz w:val="20"/>
          <w:szCs w:val="20"/>
          <w:lang w:val="es-MX"/>
        </w:rPr>
        <w:t xml:space="preserve"> en el proceso penal interno</w:t>
      </w:r>
      <w:r w:rsidR="00174DB3" w:rsidRPr="003E0CF8">
        <w:rPr>
          <w:rFonts w:ascii="Verdana" w:hAnsi="Verdana"/>
          <w:sz w:val="20"/>
          <w:szCs w:val="20"/>
          <w:lang w:val="es-MX"/>
        </w:rPr>
        <w:t>,</w:t>
      </w:r>
      <w:r w:rsidR="00665167" w:rsidRPr="003E0CF8">
        <w:rPr>
          <w:rFonts w:ascii="Verdana" w:hAnsi="Verdana"/>
          <w:sz w:val="20"/>
          <w:szCs w:val="20"/>
          <w:lang w:val="es-MX"/>
        </w:rPr>
        <w:t xml:space="preserve"> </w:t>
      </w:r>
      <w:r w:rsidR="00174DB3" w:rsidRPr="003E0CF8">
        <w:rPr>
          <w:rFonts w:ascii="Verdana" w:hAnsi="Verdana"/>
          <w:sz w:val="20"/>
          <w:szCs w:val="20"/>
          <w:lang w:val="es-MX"/>
        </w:rPr>
        <w:t xml:space="preserve">la integridad de las violaciones cometidas en el caso, las cuales incluyen afectaciones a la integridad personal </w:t>
      </w:r>
      <w:r w:rsidR="006A4A56">
        <w:rPr>
          <w:rFonts w:ascii="Verdana" w:hAnsi="Verdana"/>
          <w:sz w:val="20"/>
          <w:szCs w:val="20"/>
          <w:lang w:val="es-MX"/>
        </w:rPr>
        <w:t xml:space="preserve">de la víctima </w:t>
      </w:r>
      <w:r w:rsidR="00174DB3" w:rsidRPr="003E0CF8">
        <w:rPr>
          <w:rFonts w:ascii="Verdana" w:hAnsi="Verdana"/>
          <w:sz w:val="20"/>
          <w:szCs w:val="20"/>
          <w:lang w:val="es-MX"/>
        </w:rPr>
        <w:t>así como a la privación de</w:t>
      </w:r>
      <w:r w:rsidR="00380525" w:rsidRPr="003E0CF8">
        <w:rPr>
          <w:rFonts w:ascii="Verdana" w:hAnsi="Verdana"/>
          <w:sz w:val="20"/>
          <w:szCs w:val="20"/>
          <w:lang w:val="es-MX"/>
        </w:rPr>
        <w:t xml:space="preserve"> la libertad</w:t>
      </w:r>
      <w:r w:rsidR="004A3267" w:rsidRPr="003E0CF8">
        <w:rPr>
          <w:rFonts w:ascii="Verdana" w:hAnsi="Verdana"/>
          <w:sz w:val="20"/>
          <w:szCs w:val="20"/>
          <w:lang w:val="es-MX"/>
        </w:rPr>
        <w:t>”</w:t>
      </w:r>
      <w:r w:rsidR="00174DB3" w:rsidRPr="003E0CF8">
        <w:rPr>
          <w:rFonts w:ascii="Verdana" w:hAnsi="Verdana"/>
          <w:sz w:val="20"/>
          <w:szCs w:val="20"/>
          <w:lang w:val="es-MX"/>
        </w:rPr>
        <w:t xml:space="preserve">. </w:t>
      </w:r>
      <w:r w:rsidR="00380525" w:rsidRPr="003E0CF8">
        <w:rPr>
          <w:rFonts w:ascii="Verdana" w:hAnsi="Verdana"/>
          <w:sz w:val="20"/>
          <w:szCs w:val="20"/>
          <w:lang w:val="es-MX"/>
        </w:rPr>
        <w:t xml:space="preserve">Agregó </w:t>
      </w:r>
      <w:r w:rsidR="00174DB3" w:rsidRPr="003E0CF8">
        <w:rPr>
          <w:rFonts w:ascii="Verdana" w:hAnsi="Verdana"/>
          <w:sz w:val="20"/>
          <w:szCs w:val="20"/>
          <w:lang w:val="es-MX"/>
        </w:rPr>
        <w:t>que a efectos de la reparación de los derechos de la víctima, la Comisión “observa que de considerarlo pertinente dicho aspecto podría hacerse explícito por [la] Corte.”</w:t>
      </w:r>
      <w:r w:rsidR="00665167" w:rsidRPr="003E0CF8">
        <w:rPr>
          <w:rFonts w:ascii="Verdana" w:hAnsi="Verdana"/>
          <w:sz w:val="20"/>
          <w:szCs w:val="20"/>
          <w:lang w:val="es-MX"/>
        </w:rPr>
        <w:t xml:space="preserve"> </w:t>
      </w:r>
    </w:p>
    <w:p w:rsidR="00C2450C" w:rsidRPr="003E0CF8" w:rsidRDefault="00C2450C" w:rsidP="00C2450C">
      <w:pPr>
        <w:pStyle w:val="ListParagraph"/>
        <w:rPr>
          <w:rFonts w:ascii="Verdana" w:hAnsi="Verdana"/>
          <w:sz w:val="20"/>
          <w:szCs w:val="20"/>
          <w:lang w:val="es-MX"/>
        </w:rPr>
      </w:pPr>
    </w:p>
    <w:p w:rsidR="00665167" w:rsidRPr="003E0CF8" w:rsidRDefault="00174DB3" w:rsidP="00665167">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 xml:space="preserve">El </w:t>
      </w:r>
      <w:r w:rsidRPr="000C194D">
        <w:rPr>
          <w:rFonts w:ascii="Verdana" w:hAnsi="Verdana"/>
          <w:b/>
          <w:i/>
          <w:sz w:val="20"/>
          <w:szCs w:val="20"/>
          <w:lang w:val="es-MX"/>
        </w:rPr>
        <w:t>Estado</w:t>
      </w:r>
      <w:r w:rsidRPr="003E0CF8">
        <w:rPr>
          <w:rFonts w:ascii="Verdana" w:hAnsi="Verdana"/>
          <w:sz w:val="20"/>
          <w:szCs w:val="20"/>
          <w:lang w:val="es-MX"/>
        </w:rPr>
        <w:t xml:space="preserve"> argumentó que el mandato de la Corte en la</w:t>
      </w:r>
      <w:r w:rsidR="00665167" w:rsidRPr="003E0CF8">
        <w:rPr>
          <w:rFonts w:ascii="Verdana" w:hAnsi="Verdana"/>
          <w:sz w:val="20"/>
          <w:szCs w:val="20"/>
          <w:lang w:val="es-MX"/>
        </w:rPr>
        <w:t xml:space="preserve"> Sentencia</w:t>
      </w:r>
      <w:r w:rsidRPr="003E0CF8">
        <w:rPr>
          <w:rFonts w:ascii="Verdana" w:hAnsi="Verdana"/>
          <w:sz w:val="20"/>
          <w:szCs w:val="20"/>
          <w:lang w:val="es-MX"/>
        </w:rPr>
        <w:t xml:space="preserve"> es que se prosiga y culmine con la investigación de los hechos, circunscribiéndolos</w:t>
      </w:r>
      <w:r w:rsidR="00665167" w:rsidRPr="003E0CF8">
        <w:rPr>
          <w:rFonts w:ascii="Verdana" w:hAnsi="Verdana"/>
          <w:sz w:val="20"/>
          <w:szCs w:val="20"/>
          <w:lang w:val="es-MX"/>
        </w:rPr>
        <w:t xml:space="preserve"> a la “omisión del Estado de iniciar en forma inmediata una investigación” referente a la alegada</w:t>
      </w:r>
      <w:r w:rsidR="00380525" w:rsidRPr="003E0CF8">
        <w:rPr>
          <w:rFonts w:ascii="Verdana" w:hAnsi="Verdana"/>
          <w:sz w:val="20"/>
          <w:szCs w:val="20"/>
          <w:lang w:val="es-MX"/>
        </w:rPr>
        <w:t xml:space="preserve"> “tortura psicológica”</w:t>
      </w:r>
      <w:r w:rsidRPr="003E0CF8">
        <w:rPr>
          <w:rFonts w:ascii="Verdana" w:hAnsi="Verdana"/>
          <w:sz w:val="20"/>
          <w:szCs w:val="20"/>
          <w:lang w:val="es-MX"/>
        </w:rPr>
        <w:t>.</w:t>
      </w:r>
      <w:r w:rsidR="00665167" w:rsidRPr="003E0CF8">
        <w:rPr>
          <w:rFonts w:ascii="Verdana" w:hAnsi="Verdana"/>
          <w:sz w:val="20"/>
          <w:szCs w:val="20"/>
          <w:lang w:val="es-MX"/>
        </w:rPr>
        <w:t xml:space="preserve"> </w:t>
      </w:r>
      <w:r w:rsidRPr="003E0CF8">
        <w:rPr>
          <w:rFonts w:ascii="Verdana" w:hAnsi="Verdana"/>
          <w:sz w:val="20"/>
          <w:szCs w:val="20"/>
          <w:lang w:val="es-MX"/>
        </w:rPr>
        <w:t>S</w:t>
      </w:r>
      <w:r w:rsidR="00D20766" w:rsidRPr="003E0CF8">
        <w:rPr>
          <w:rFonts w:ascii="Verdana" w:hAnsi="Verdana"/>
          <w:sz w:val="20"/>
          <w:szCs w:val="20"/>
          <w:lang w:val="es-MX"/>
        </w:rPr>
        <w:t>eñaló</w:t>
      </w:r>
      <w:r w:rsidR="00665167" w:rsidRPr="003E0CF8">
        <w:rPr>
          <w:rFonts w:ascii="Verdana" w:hAnsi="Verdana"/>
          <w:sz w:val="20"/>
          <w:szCs w:val="20"/>
          <w:lang w:val="es-MX"/>
        </w:rPr>
        <w:t xml:space="preserve"> que este es el “marco fáctico delimitado” por la Corte para la investigación de los hechos, por lo que no “es pos</w:t>
      </w:r>
      <w:r w:rsidRPr="003E0CF8">
        <w:rPr>
          <w:rFonts w:ascii="Verdana" w:hAnsi="Verdana"/>
          <w:sz w:val="20"/>
          <w:szCs w:val="20"/>
          <w:lang w:val="es-MX"/>
        </w:rPr>
        <w:t>ible ampliar</w:t>
      </w:r>
      <w:r w:rsidR="00665167" w:rsidRPr="003E0CF8">
        <w:rPr>
          <w:rFonts w:ascii="Verdana" w:hAnsi="Verdana"/>
          <w:sz w:val="20"/>
          <w:szCs w:val="20"/>
          <w:lang w:val="es-MX"/>
        </w:rPr>
        <w:t xml:space="preserve">”. </w:t>
      </w:r>
      <w:r w:rsidR="00380525" w:rsidRPr="003E0CF8">
        <w:rPr>
          <w:rFonts w:ascii="Verdana" w:hAnsi="Verdana"/>
          <w:sz w:val="20"/>
          <w:szCs w:val="20"/>
          <w:lang w:val="es-MX"/>
        </w:rPr>
        <w:t xml:space="preserve">Señaló </w:t>
      </w:r>
      <w:r w:rsidR="00665167" w:rsidRPr="003E0CF8">
        <w:rPr>
          <w:rFonts w:ascii="Verdana" w:hAnsi="Verdana"/>
          <w:sz w:val="20"/>
          <w:szCs w:val="20"/>
          <w:lang w:val="es-MX"/>
        </w:rPr>
        <w:t xml:space="preserve">que se condenó al Estado a investigar la alegada “tortura psicológica”, </w:t>
      </w:r>
      <w:r w:rsidR="00380525" w:rsidRPr="003E0CF8">
        <w:rPr>
          <w:rFonts w:ascii="Verdana" w:hAnsi="Verdana"/>
          <w:sz w:val="20"/>
          <w:szCs w:val="20"/>
          <w:lang w:val="es-MX"/>
        </w:rPr>
        <w:t>y</w:t>
      </w:r>
      <w:r w:rsidRPr="003E0CF8">
        <w:rPr>
          <w:rFonts w:ascii="Verdana" w:hAnsi="Verdana"/>
          <w:sz w:val="20"/>
          <w:szCs w:val="20"/>
          <w:lang w:val="es-MX"/>
        </w:rPr>
        <w:t xml:space="preserve"> </w:t>
      </w:r>
      <w:r w:rsidR="00665167" w:rsidRPr="003E0CF8">
        <w:rPr>
          <w:rFonts w:ascii="Verdana" w:hAnsi="Verdana"/>
          <w:sz w:val="20"/>
          <w:szCs w:val="20"/>
          <w:lang w:val="es-MX"/>
        </w:rPr>
        <w:t xml:space="preserve">la solicitud pretende modificar la Sentencia, por lo que debe ser rechazada por la Corte. </w:t>
      </w:r>
    </w:p>
    <w:p w:rsidR="00665167" w:rsidRPr="003E0CF8" w:rsidRDefault="003F6A62" w:rsidP="00AB0590">
      <w:pPr>
        <w:spacing w:line="240" w:lineRule="auto"/>
        <w:ind w:firstLine="720"/>
        <w:jc w:val="both"/>
        <w:rPr>
          <w:rFonts w:ascii="Verdana" w:hAnsi="Verdana"/>
          <w:i/>
          <w:sz w:val="20"/>
          <w:szCs w:val="20"/>
          <w:lang w:val="es-MX"/>
        </w:rPr>
      </w:pPr>
      <w:r>
        <w:rPr>
          <w:rFonts w:ascii="Verdana" w:hAnsi="Verdana"/>
          <w:i/>
          <w:sz w:val="20"/>
          <w:szCs w:val="20"/>
          <w:lang w:val="es-MX"/>
        </w:rPr>
        <w:t>A.3.</w:t>
      </w:r>
      <w:r w:rsidR="00665167" w:rsidRPr="003E0CF8">
        <w:rPr>
          <w:rFonts w:ascii="Verdana" w:hAnsi="Verdana"/>
          <w:i/>
          <w:sz w:val="20"/>
          <w:szCs w:val="20"/>
          <w:lang w:val="es-MX"/>
        </w:rPr>
        <w:t xml:space="preserve"> Sobre </w:t>
      </w:r>
      <w:r w:rsidR="009B7983" w:rsidRPr="003E0CF8">
        <w:rPr>
          <w:rFonts w:ascii="Verdana" w:hAnsi="Verdana"/>
          <w:i/>
          <w:sz w:val="20"/>
          <w:szCs w:val="20"/>
          <w:lang w:val="es-MX"/>
        </w:rPr>
        <w:t xml:space="preserve">las medidas de rehabilitación </w:t>
      </w:r>
    </w:p>
    <w:p w:rsidR="00C2450C" w:rsidRPr="003E0CF8" w:rsidRDefault="003F6A62" w:rsidP="00665167">
      <w:pPr>
        <w:pStyle w:val="ListParagraph"/>
        <w:numPr>
          <w:ilvl w:val="0"/>
          <w:numId w:val="7"/>
        </w:numPr>
        <w:spacing w:line="240" w:lineRule="auto"/>
        <w:ind w:left="0" w:firstLine="0"/>
        <w:jc w:val="both"/>
        <w:rPr>
          <w:rFonts w:ascii="Verdana" w:hAnsi="Verdana"/>
          <w:sz w:val="20"/>
          <w:szCs w:val="20"/>
          <w:lang w:val="es-MX"/>
        </w:rPr>
      </w:pPr>
      <w:r>
        <w:rPr>
          <w:rFonts w:ascii="Verdana" w:hAnsi="Verdana"/>
          <w:sz w:val="20"/>
          <w:szCs w:val="20"/>
          <w:lang w:val="es-MX"/>
        </w:rPr>
        <w:t xml:space="preserve">El </w:t>
      </w:r>
      <w:r w:rsidRPr="000C194D">
        <w:rPr>
          <w:rFonts w:ascii="Verdana" w:hAnsi="Verdana"/>
          <w:b/>
          <w:i/>
          <w:sz w:val="20"/>
          <w:szCs w:val="20"/>
          <w:lang w:val="es-MX"/>
        </w:rPr>
        <w:t>representante</w:t>
      </w:r>
      <w:r>
        <w:rPr>
          <w:rFonts w:ascii="Verdana" w:hAnsi="Verdana"/>
          <w:sz w:val="20"/>
          <w:szCs w:val="20"/>
          <w:lang w:val="es-MX"/>
        </w:rPr>
        <w:t xml:space="preserve"> </w:t>
      </w:r>
      <w:r w:rsidR="000339DE" w:rsidRPr="003E0CF8">
        <w:rPr>
          <w:rFonts w:ascii="Verdana" w:hAnsi="Verdana"/>
          <w:sz w:val="20"/>
          <w:szCs w:val="20"/>
          <w:lang w:val="es-MX"/>
        </w:rPr>
        <w:t>solicitó</w:t>
      </w:r>
      <w:r w:rsidR="00665167" w:rsidRPr="003E0CF8">
        <w:rPr>
          <w:rFonts w:ascii="Verdana" w:hAnsi="Verdana"/>
          <w:sz w:val="20"/>
          <w:szCs w:val="20"/>
          <w:lang w:val="es-MX"/>
        </w:rPr>
        <w:t xml:space="preserve"> que el tratamiento y atención </w:t>
      </w:r>
      <w:r w:rsidR="00496CA8">
        <w:rPr>
          <w:rFonts w:ascii="Verdana" w:hAnsi="Verdana"/>
          <w:sz w:val="20"/>
          <w:szCs w:val="20"/>
          <w:lang w:val="es-MX"/>
        </w:rPr>
        <w:t>psicológica y/o psiquiátrica de</w:t>
      </w:r>
      <w:r w:rsidR="00665167" w:rsidRPr="003E0CF8">
        <w:rPr>
          <w:rFonts w:ascii="Verdana" w:hAnsi="Verdana"/>
          <w:sz w:val="20"/>
          <w:szCs w:val="20"/>
          <w:lang w:val="es-MX"/>
        </w:rPr>
        <w:t xml:space="preserve"> las víctimas “debe ser efectuado por un</w:t>
      </w:r>
      <w:r w:rsidR="004A3267">
        <w:rPr>
          <w:rFonts w:ascii="Verdana" w:hAnsi="Verdana"/>
          <w:sz w:val="20"/>
          <w:szCs w:val="20"/>
          <w:lang w:val="es-MX"/>
        </w:rPr>
        <w:t>[</w:t>
      </w:r>
      <w:r w:rsidR="00665167" w:rsidRPr="003E0CF8">
        <w:rPr>
          <w:rFonts w:ascii="Verdana" w:hAnsi="Verdana"/>
          <w:sz w:val="20"/>
          <w:szCs w:val="20"/>
          <w:lang w:val="es-MX"/>
        </w:rPr>
        <w:t>a</w:t>
      </w:r>
      <w:r w:rsidR="004A3267">
        <w:rPr>
          <w:rFonts w:ascii="Verdana" w:hAnsi="Verdana"/>
          <w:sz w:val="20"/>
          <w:szCs w:val="20"/>
          <w:lang w:val="es-MX"/>
        </w:rPr>
        <w:t>]</w:t>
      </w:r>
      <w:r w:rsidR="00665167" w:rsidRPr="003E0CF8">
        <w:rPr>
          <w:rFonts w:ascii="Verdana" w:hAnsi="Verdana"/>
          <w:sz w:val="20"/>
          <w:szCs w:val="20"/>
          <w:lang w:val="es-MX"/>
        </w:rPr>
        <w:t xml:space="preserve"> institución o centro médico especializado en salud mental y rehabilitación </w:t>
      </w:r>
      <w:proofErr w:type="spellStart"/>
      <w:r w:rsidR="00665167" w:rsidRPr="003E0CF8">
        <w:rPr>
          <w:rFonts w:ascii="Verdana" w:hAnsi="Verdana"/>
          <w:sz w:val="20"/>
          <w:szCs w:val="20"/>
          <w:lang w:val="es-MX"/>
        </w:rPr>
        <w:t>psico</w:t>
      </w:r>
      <w:proofErr w:type="spellEnd"/>
      <w:r w:rsidR="00665167" w:rsidRPr="003E0CF8">
        <w:rPr>
          <w:rFonts w:ascii="Verdana" w:hAnsi="Verdana"/>
          <w:sz w:val="20"/>
          <w:szCs w:val="20"/>
          <w:lang w:val="es-MX"/>
        </w:rPr>
        <w:t>-somática”. Además,</w:t>
      </w:r>
      <w:r w:rsidR="000339DE" w:rsidRPr="003E0CF8">
        <w:rPr>
          <w:rFonts w:ascii="Verdana" w:hAnsi="Verdana"/>
          <w:sz w:val="20"/>
          <w:szCs w:val="20"/>
          <w:lang w:val="es-MX"/>
        </w:rPr>
        <w:t xml:space="preserve"> se</w:t>
      </w:r>
      <w:r w:rsidR="00665167" w:rsidRPr="003E0CF8">
        <w:rPr>
          <w:rFonts w:ascii="Verdana" w:hAnsi="Verdana"/>
          <w:sz w:val="20"/>
          <w:szCs w:val="20"/>
          <w:lang w:val="es-MX"/>
        </w:rPr>
        <w:t xml:space="preserve"> solicitó la inclusión de la hija menor del señor Galindo en dicho tratamiento. </w:t>
      </w:r>
    </w:p>
    <w:p w:rsidR="00C2450C" w:rsidRPr="003E0CF8" w:rsidRDefault="00C2450C" w:rsidP="00C2450C">
      <w:pPr>
        <w:pStyle w:val="ListParagraph"/>
        <w:spacing w:line="240" w:lineRule="auto"/>
        <w:ind w:left="0"/>
        <w:jc w:val="both"/>
        <w:rPr>
          <w:rFonts w:ascii="Verdana" w:hAnsi="Verdana"/>
          <w:sz w:val="20"/>
          <w:szCs w:val="20"/>
          <w:lang w:val="es-MX"/>
        </w:rPr>
      </w:pPr>
    </w:p>
    <w:p w:rsidR="00C2450C" w:rsidRPr="003E0CF8" w:rsidRDefault="00D20766" w:rsidP="00665167">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La</w:t>
      </w:r>
      <w:r w:rsidR="00665167" w:rsidRPr="003E0CF8">
        <w:rPr>
          <w:rFonts w:ascii="Verdana" w:hAnsi="Verdana"/>
          <w:sz w:val="20"/>
          <w:szCs w:val="20"/>
          <w:lang w:val="es-MX"/>
        </w:rPr>
        <w:t xml:space="preserve"> </w:t>
      </w:r>
      <w:r w:rsidR="00665167" w:rsidRPr="000C194D">
        <w:rPr>
          <w:rFonts w:ascii="Verdana" w:hAnsi="Verdana"/>
          <w:b/>
          <w:i/>
          <w:sz w:val="20"/>
          <w:szCs w:val="20"/>
          <w:lang w:val="es-MX"/>
        </w:rPr>
        <w:t>Comisión</w:t>
      </w:r>
      <w:r w:rsidR="00665167" w:rsidRPr="003E0CF8">
        <w:rPr>
          <w:rFonts w:ascii="Verdana" w:hAnsi="Verdana"/>
          <w:sz w:val="20"/>
          <w:szCs w:val="20"/>
          <w:lang w:val="es-MX"/>
        </w:rPr>
        <w:t xml:space="preserve"> </w:t>
      </w:r>
      <w:r w:rsidR="00C3340B" w:rsidRPr="003E0CF8">
        <w:rPr>
          <w:rFonts w:ascii="Verdana" w:hAnsi="Verdana"/>
          <w:sz w:val="20"/>
          <w:szCs w:val="20"/>
          <w:lang w:val="es-MX"/>
        </w:rPr>
        <w:t>manifest</w:t>
      </w:r>
      <w:r w:rsidRPr="003E0CF8">
        <w:rPr>
          <w:rFonts w:ascii="Verdana" w:hAnsi="Verdana"/>
          <w:sz w:val="20"/>
          <w:szCs w:val="20"/>
          <w:lang w:val="es-MX"/>
        </w:rPr>
        <w:t>ó</w:t>
      </w:r>
      <w:r w:rsidR="00AB0590" w:rsidRPr="003E0CF8">
        <w:rPr>
          <w:rFonts w:ascii="Verdana" w:hAnsi="Verdana"/>
          <w:sz w:val="20"/>
          <w:szCs w:val="20"/>
          <w:lang w:val="es-MX"/>
        </w:rPr>
        <w:t xml:space="preserve"> </w:t>
      </w:r>
      <w:r w:rsidR="00665167" w:rsidRPr="003E0CF8">
        <w:rPr>
          <w:rFonts w:ascii="Verdana" w:hAnsi="Verdana"/>
          <w:sz w:val="20"/>
          <w:szCs w:val="20"/>
          <w:lang w:val="es-MX"/>
        </w:rPr>
        <w:t xml:space="preserve">que la solicitud no es materia de interpretación por parte de la Corte, sino que corresponde al Estado acreditar en sus informes sobre el cumplimiento de Sentencia que dicha medida de reparación este siendo cumplida conforme a lo ordenado por el Tribunal. </w:t>
      </w:r>
    </w:p>
    <w:p w:rsidR="00C2450C" w:rsidRPr="003E0CF8" w:rsidRDefault="00C2450C" w:rsidP="00C2450C">
      <w:pPr>
        <w:pStyle w:val="ListParagraph"/>
        <w:rPr>
          <w:rFonts w:ascii="Verdana" w:hAnsi="Verdana"/>
          <w:sz w:val="20"/>
          <w:szCs w:val="20"/>
          <w:lang w:val="es-MX"/>
        </w:rPr>
      </w:pPr>
    </w:p>
    <w:p w:rsidR="00665167" w:rsidRDefault="00665167" w:rsidP="00665167">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 xml:space="preserve">El </w:t>
      </w:r>
      <w:r w:rsidRPr="000C194D">
        <w:rPr>
          <w:rFonts w:ascii="Verdana" w:hAnsi="Verdana"/>
          <w:b/>
          <w:i/>
          <w:sz w:val="20"/>
          <w:szCs w:val="20"/>
          <w:lang w:val="es-MX"/>
        </w:rPr>
        <w:t>Estado</w:t>
      </w:r>
      <w:r w:rsidRPr="003E0CF8">
        <w:rPr>
          <w:rFonts w:ascii="Verdana" w:hAnsi="Verdana"/>
          <w:sz w:val="20"/>
          <w:szCs w:val="20"/>
          <w:lang w:val="es-MX"/>
        </w:rPr>
        <w:t xml:space="preserve"> expresó que la solicitud respecto a la institución que debe brindar el tratamiento y atención psicológica y/o psiquiátrica, debe plantearse en un “escrito o comunicación diferente al de una solicitud de interpretación”. Sumado a ello, expuso que en la misma Sentencia no se determinó a la hija del señor Galindo como una de las víctimas, por lo que dicha solicitud no es materia de interpretación y solicitó que sea declarada improcedente por la Corte. </w:t>
      </w:r>
    </w:p>
    <w:p w:rsidR="0026667E" w:rsidRPr="0026667E" w:rsidRDefault="0026667E" w:rsidP="0026667E">
      <w:pPr>
        <w:pStyle w:val="ListParagraph"/>
        <w:rPr>
          <w:rFonts w:ascii="Verdana" w:hAnsi="Verdana"/>
          <w:sz w:val="20"/>
          <w:szCs w:val="20"/>
          <w:lang w:val="es-MX"/>
        </w:rPr>
      </w:pPr>
    </w:p>
    <w:p w:rsidR="00665167" w:rsidRPr="003E0CF8" w:rsidRDefault="003F6A62" w:rsidP="00AB0590">
      <w:pPr>
        <w:spacing w:line="240" w:lineRule="auto"/>
        <w:ind w:firstLine="720"/>
        <w:jc w:val="both"/>
        <w:rPr>
          <w:rFonts w:ascii="Verdana" w:hAnsi="Verdana"/>
          <w:i/>
          <w:sz w:val="20"/>
          <w:szCs w:val="20"/>
          <w:lang w:val="es-MX"/>
        </w:rPr>
      </w:pPr>
      <w:r>
        <w:rPr>
          <w:rFonts w:ascii="Verdana" w:hAnsi="Verdana"/>
          <w:i/>
          <w:sz w:val="20"/>
          <w:szCs w:val="20"/>
          <w:lang w:val="es-MX"/>
        </w:rPr>
        <w:lastRenderedPageBreak/>
        <w:t>A.4</w:t>
      </w:r>
      <w:r w:rsidR="00665167" w:rsidRPr="003E0CF8">
        <w:rPr>
          <w:rFonts w:ascii="Verdana" w:hAnsi="Verdana"/>
          <w:i/>
          <w:sz w:val="20"/>
          <w:szCs w:val="20"/>
          <w:lang w:val="es-MX"/>
        </w:rPr>
        <w:t xml:space="preserve">. Sobre las indemnizaciones </w:t>
      </w:r>
      <w:r w:rsidR="0011117E" w:rsidRPr="003E0CF8">
        <w:rPr>
          <w:rFonts w:ascii="Verdana" w:hAnsi="Verdana"/>
          <w:i/>
          <w:sz w:val="20"/>
          <w:szCs w:val="20"/>
          <w:lang w:val="es-MX"/>
        </w:rPr>
        <w:t>compensatorias del</w:t>
      </w:r>
      <w:r w:rsidR="00665167" w:rsidRPr="003E0CF8">
        <w:rPr>
          <w:rFonts w:ascii="Verdana" w:hAnsi="Verdana"/>
          <w:i/>
          <w:sz w:val="20"/>
          <w:szCs w:val="20"/>
          <w:lang w:val="es-MX"/>
        </w:rPr>
        <w:t xml:space="preserve"> daño material e inmaterial</w:t>
      </w:r>
    </w:p>
    <w:p w:rsidR="00C2450C" w:rsidRPr="003E0CF8" w:rsidRDefault="00665167" w:rsidP="00665167">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 xml:space="preserve">El </w:t>
      </w:r>
      <w:r w:rsidRPr="000C194D">
        <w:rPr>
          <w:rFonts w:ascii="Verdana" w:hAnsi="Verdana"/>
          <w:b/>
          <w:i/>
          <w:sz w:val="20"/>
          <w:szCs w:val="20"/>
          <w:lang w:val="es-MX"/>
        </w:rPr>
        <w:t>representante</w:t>
      </w:r>
      <w:r w:rsidR="009B7983" w:rsidRPr="003E0CF8">
        <w:rPr>
          <w:rFonts w:ascii="Verdana" w:hAnsi="Verdana"/>
          <w:sz w:val="20"/>
          <w:szCs w:val="20"/>
          <w:lang w:val="es-MX"/>
        </w:rPr>
        <w:t xml:space="preserve"> manifestó disconformidad con los montos señalados por concepto de pagos indemnizatorios y s</w:t>
      </w:r>
      <w:r w:rsidRPr="003E0CF8">
        <w:rPr>
          <w:rFonts w:ascii="Verdana" w:hAnsi="Verdana"/>
          <w:sz w:val="20"/>
          <w:szCs w:val="20"/>
          <w:lang w:val="es-MX"/>
        </w:rPr>
        <w:t>e refirió a diversos aspectos de las indemnizaciones compensatorias</w:t>
      </w:r>
      <w:r w:rsidR="00DA5D73" w:rsidRPr="003E0CF8">
        <w:rPr>
          <w:rFonts w:ascii="Verdana" w:hAnsi="Verdana"/>
          <w:sz w:val="20"/>
          <w:szCs w:val="20"/>
          <w:lang w:val="es-MX"/>
        </w:rPr>
        <w:t xml:space="preserve"> del daño inmaterial y material, tales como</w:t>
      </w:r>
      <w:r w:rsidR="000339DE" w:rsidRPr="003E0CF8">
        <w:rPr>
          <w:rFonts w:ascii="Verdana" w:hAnsi="Verdana"/>
          <w:sz w:val="20"/>
          <w:szCs w:val="20"/>
          <w:lang w:val="es-MX"/>
        </w:rPr>
        <w:t>,</w:t>
      </w:r>
      <w:r w:rsidR="00DA5D73" w:rsidRPr="003E0CF8">
        <w:rPr>
          <w:rFonts w:ascii="Verdana" w:hAnsi="Verdana"/>
          <w:sz w:val="20"/>
          <w:szCs w:val="20"/>
          <w:lang w:val="es-MX"/>
        </w:rPr>
        <w:t xml:space="preserve"> al daño emergente, en el sentido de que el</w:t>
      </w:r>
      <w:r w:rsidRPr="003E0CF8">
        <w:rPr>
          <w:rFonts w:ascii="Verdana" w:hAnsi="Verdana"/>
          <w:sz w:val="20"/>
          <w:szCs w:val="20"/>
          <w:lang w:val="es-MX"/>
        </w:rPr>
        <w:t xml:space="preserve"> señor Galindo y su esposa </w:t>
      </w:r>
      <w:r w:rsidR="00DA5D73" w:rsidRPr="003E0CF8">
        <w:rPr>
          <w:rFonts w:ascii="Verdana" w:hAnsi="Verdana"/>
          <w:sz w:val="20"/>
          <w:szCs w:val="20"/>
          <w:lang w:val="es-MX"/>
        </w:rPr>
        <w:t>tuvieron que transferir</w:t>
      </w:r>
      <w:r w:rsidRPr="003E0CF8">
        <w:rPr>
          <w:rFonts w:ascii="Verdana" w:hAnsi="Verdana"/>
          <w:sz w:val="20"/>
          <w:szCs w:val="20"/>
          <w:lang w:val="es-MX"/>
        </w:rPr>
        <w:t xml:space="preserve"> la titularidad de “patrimonio inmobiliario”, lo cual llevó a la “disminución casi total” del patrimonio familiar. Además, indicó </w:t>
      </w:r>
      <w:r w:rsidR="00DA5D73" w:rsidRPr="003E0CF8">
        <w:rPr>
          <w:rFonts w:ascii="Verdana" w:hAnsi="Verdana"/>
          <w:sz w:val="20"/>
          <w:szCs w:val="20"/>
          <w:lang w:val="es-MX"/>
        </w:rPr>
        <w:t xml:space="preserve">en cuanto al lucro cesante </w:t>
      </w:r>
      <w:r w:rsidRPr="003E0CF8">
        <w:rPr>
          <w:rFonts w:ascii="Verdana" w:hAnsi="Verdana"/>
          <w:sz w:val="20"/>
          <w:szCs w:val="20"/>
          <w:lang w:val="es-MX"/>
        </w:rPr>
        <w:t xml:space="preserve">que al momento de los hechos el señor Galindo era “considerado como Juez de carrera”, por lo que le </w:t>
      </w:r>
      <w:r w:rsidR="004A3267" w:rsidRPr="003E0CF8">
        <w:rPr>
          <w:rFonts w:ascii="Verdana" w:hAnsi="Verdana"/>
          <w:sz w:val="20"/>
          <w:szCs w:val="20"/>
          <w:lang w:val="es-MX"/>
        </w:rPr>
        <w:t>“</w:t>
      </w:r>
      <w:r w:rsidRPr="003E0CF8">
        <w:rPr>
          <w:rFonts w:ascii="Verdana" w:hAnsi="Verdana"/>
          <w:sz w:val="20"/>
          <w:szCs w:val="20"/>
          <w:lang w:val="es-MX"/>
        </w:rPr>
        <w:t>corresponden los beneficios” marcados por la ley, así como el “pago compens</w:t>
      </w:r>
      <w:r w:rsidR="000339DE" w:rsidRPr="003E0CF8">
        <w:rPr>
          <w:rFonts w:ascii="Verdana" w:hAnsi="Verdana"/>
          <w:sz w:val="20"/>
          <w:szCs w:val="20"/>
          <w:lang w:val="es-MX"/>
        </w:rPr>
        <w:t xml:space="preserve">atorio de daños y perjuicios” en </w:t>
      </w:r>
      <w:r w:rsidRPr="003E0CF8">
        <w:rPr>
          <w:rFonts w:ascii="Verdana" w:hAnsi="Verdana"/>
          <w:sz w:val="20"/>
          <w:szCs w:val="20"/>
          <w:lang w:val="es-MX"/>
        </w:rPr>
        <w:t>razón de verse impedido de continuar su carrera judicial y de “deja</w:t>
      </w:r>
      <w:r w:rsidR="004A3267">
        <w:rPr>
          <w:rFonts w:ascii="Verdana" w:hAnsi="Verdana"/>
          <w:sz w:val="20"/>
          <w:szCs w:val="20"/>
          <w:lang w:val="es-MX"/>
        </w:rPr>
        <w:t>[</w:t>
      </w:r>
      <w:r w:rsidRPr="003E0CF8">
        <w:rPr>
          <w:rFonts w:ascii="Verdana" w:hAnsi="Verdana"/>
          <w:sz w:val="20"/>
          <w:szCs w:val="20"/>
          <w:lang w:val="es-MX"/>
        </w:rPr>
        <w:t>r</w:t>
      </w:r>
      <w:r w:rsidR="004A3267">
        <w:rPr>
          <w:rFonts w:ascii="Verdana" w:hAnsi="Verdana"/>
          <w:sz w:val="20"/>
          <w:szCs w:val="20"/>
          <w:lang w:val="es-MX"/>
        </w:rPr>
        <w:t>]</w:t>
      </w:r>
      <w:r w:rsidRPr="003E0CF8">
        <w:rPr>
          <w:rFonts w:ascii="Verdana" w:hAnsi="Verdana"/>
          <w:sz w:val="20"/>
          <w:szCs w:val="20"/>
          <w:lang w:val="es-MX"/>
        </w:rPr>
        <w:t xml:space="preserve"> de percibir sus ingresos económicos”. A</w:t>
      </w:r>
      <w:r w:rsidR="00DA5D73" w:rsidRPr="003E0CF8">
        <w:rPr>
          <w:rFonts w:ascii="Verdana" w:hAnsi="Verdana"/>
          <w:sz w:val="20"/>
          <w:szCs w:val="20"/>
          <w:lang w:val="es-MX"/>
        </w:rPr>
        <w:t>simismo se refirió al daño moral sufrido</w:t>
      </w:r>
      <w:r w:rsidRPr="003E0CF8">
        <w:rPr>
          <w:rFonts w:ascii="Verdana" w:hAnsi="Verdana"/>
          <w:sz w:val="20"/>
          <w:szCs w:val="20"/>
          <w:lang w:val="es-MX"/>
        </w:rPr>
        <w:t xml:space="preserve"> </w:t>
      </w:r>
      <w:r w:rsidR="00DA5D73" w:rsidRPr="003E0CF8">
        <w:rPr>
          <w:rFonts w:ascii="Verdana" w:hAnsi="Verdana"/>
          <w:sz w:val="20"/>
          <w:szCs w:val="20"/>
          <w:lang w:val="es-MX"/>
        </w:rPr>
        <w:t xml:space="preserve">ya </w:t>
      </w:r>
      <w:r w:rsidRPr="003E0CF8">
        <w:rPr>
          <w:rFonts w:ascii="Verdana" w:hAnsi="Verdana"/>
          <w:sz w:val="20"/>
          <w:szCs w:val="20"/>
          <w:lang w:val="es-MX"/>
        </w:rPr>
        <w:t>que la carrera de</w:t>
      </w:r>
      <w:r w:rsidR="00DA5D73" w:rsidRPr="003E0CF8">
        <w:rPr>
          <w:rFonts w:ascii="Verdana" w:hAnsi="Verdana"/>
          <w:sz w:val="20"/>
          <w:szCs w:val="20"/>
          <w:lang w:val="es-MX"/>
        </w:rPr>
        <w:t xml:space="preserve">l señor Galindo como abogado y magistrado provisional ante los hechos ocurridos el ejercicio profesional </w:t>
      </w:r>
      <w:r w:rsidR="000339DE" w:rsidRPr="003E0CF8">
        <w:rPr>
          <w:rFonts w:ascii="Verdana" w:hAnsi="Verdana"/>
          <w:sz w:val="20"/>
          <w:szCs w:val="20"/>
          <w:lang w:val="es-MX"/>
        </w:rPr>
        <w:t>quedó truncado</w:t>
      </w:r>
      <w:r w:rsidR="00DA5D73" w:rsidRPr="003E0CF8">
        <w:rPr>
          <w:rFonts w:ascii="Verdana" w:hAnsi="Verdana"/>
          <w:sz w:val="20"/>
          <w:szCs w:val="20"/>
          <w:lang w:val="es-MX"/>
        </w:rPr>
        <w:t xml:space="preserve"> y</w:t>
      </w:r>
      <w:r w:rsidR="000339DE" w:rsidRPr="003E0CF8">
        <w:rPr>
          <w:rFonts w:ascii="Verdana" w:hAnsi="Verdana"/>
          <w:sz w:val="20"/>
          <w:szCs w:val="20"/>
          <w:lang w:val="es-MX"/>
        </w:rPr>
        <w:t xml:space="preserve"> ha sido impedido</w:t>
      </w:r>
      <w:r w:rsidRPr="003E0CF8">
        <w:rPr>
          <w:rFonts w:ascii="Verdana" w:hAnsi="Verdana"/>
          <w:sz w:val="20"/>
          <w:szCs w:val="20"/>
          <w:lang w:val="es-MX"/>
        </w:rPr>
        <w:t xml:space="preserve"> de ejercerla, así como afectaciones a su proyecto de vida familiar y personal. Por ello, solicitó a la Corte</w:t>
      </w:r>
      <w:r w:rsidR="00DA5D73" w:rsidRPr="003E0CF8">
        <w:rPr>
          <w:rFonts w:ascii="Verdana" w:hAnsi="Verdana"/>
          <w:sz w:val="20"/>
          <w:szCs w:val="20"/>
          <w:lang w:val="es-MX"/>
        </w:rPr>
        <w:t xml:space="preserve"> que permita</w:t>
      </w:r>
      <w:r w:rsidRPr="003E0CF8">
        <w:rPr>
          <w:rFonts w:ascii="Verdana" w:hAnsi="Verdana"/>
          <w:sz w:val="20"/>
          <w:szCs w:val="20"/>
          <w:lang w:val="es-MX"/>
        </w:rPr>
        <w:t xml:space="preserve"> “dilucidar y resolver en sede interna con el material instrumental correspondiente y un riguroso análisis de los mismos, el pago y/o compensación de una reparación integral justa”, conforme al artículo 68.2 de la Convención. </w:t>
      </w:r>
    </w:p>
    <w:p w:rsidR="00C2450C" w:rsidRPr="003E0CF8" w:rsidRDefault="00C2450C" w:rsidP="00C2450C">
      <w:pPr>
        <w:pStyle w:val="ListParagraph"/>
        <w:spacing w:line="240" w:lineRule="auto"/>
        <w:ind w:left="0"/>
        <w:jc w:val="both"/>
        <w:rPr>
          <w:rFonts w:ascii="Verdana" w:hAnsi="Verdana"/>
          <w:sz w:val="20"/>
          <w:szCs w:val="20"/>
          <w:lang w:val="es-MX"/>
        </w:rPr>
      </w:pPr>
    </w:p>
    <w:p w:rsidR="00C2450C" w:rsidRPr="003E0CF8" w:rsidRDefault="00C3340B" w:rsidP="00665167">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 xml:space="preserve">La </w:t>
      </w:r>
      <w:r w:rsidR="00665167" w:rsidRPr="000C194D">
        <w:rPr>
          <w:rFonts w:ascii="Verdana" w:hAnsi="Verdana"/>
          <w:b/>
          <w:i/>
          <w:sz w:val="20"/>
          <w:szCs w:val="20"/>
          <w:lang w:val="es-MX"/>
        </w:rPr>
        <w:t>Comisión</w:t>
      </w:r>
      <w:r w:rsidR="00665167" w:rsidRPr="003E0CF8">
        <w:rPr>
          <w:rFonts w:ascii="Verdana" w:hAnsi="Verdana"/>
          <w:sz w:val="20"/>
          <w:szCs w:val="20"/>
          <w:lang w:val="es-MX"/>
        </w:rPr>
        <w:t xml:space="preserve"> consideró que dicha solicitud “no parece referirse a la necesidad de dilucidar el alcance de la Sentencia”. </w:t>
      </w:r>
    </w:p>
    <w:p w:rsidR="00C2450C" w:rsidRPr="003E0CF8" w:rsidRDefault="00C2450C" w:rsidP="00C2450C">
      <w:pPr>
        <w:pStyle w:val="ListParagraph"/>
        <w:rPr>
          <w:rFonts w:ascii="Verdana" w:hAnsi="Verdana"/>
          <w:sz w:val="20"/>
          <w:szCs w:val="20"/>
          <w:lang w:val="es-MX"/>
        </w:rPr>
      </w:pPr>
    </w:p>
    <w:p w:rsidR="00665167" w:rsidRPr="003E0CF8" w:rsidRDefault="000339DE" w:rsidP="00665167">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E</w:t>
      </w:r>
      <w:r w:rsidR="00665167" w:rsidRPr="003E0CF8">
        <w:rPr>
          <w:rFonts w:ascii="Verdana" w:hAnsi="Verdana"/>
          <w:sz w:val="20"/>
          <w:szCs w:val="20"/>
          <w:lang w:val="es-MX"/>
        </w:rPr>
        <w:t xml:space="preserve">l </w:t>
      </w:r>
      <w:r w:rsidR="00665167" w:rsidRPr="000C194D">
        <w:rPr>
          <w:rFonts w:ascii="Verdana" w:hAnsi="Verdana"/>
          <w:b/>
          <w:i/>
          <w:sz w:val="20"/>
          <w:szCs w:val="20"/>
          <w:lang w:val="es-MX"/>
        </w:rPr>
        <w:t>Estado</w:t>
      </w:r>
      <w:r w:rsidR="00665167" w:rsidRPr="003E0CF8">
        <w:rPr>
          <w:rFonts w:ascii="Verdana" w:hAnsi="Verdana"/>
          <w:sz w:val="20"/>
          <w:szCs w:val="20"/>
          <w:lang w:val="es-MX"/>
        </w:rPr>
        <w:t xml:space="preserve"> expuso que la solicitud planteaba una “disconformidad” con la Sentencia respecto a temas que fueron determinados previamente por la Corte </w:t>
      </w:r>
      <w:r w:rsidR="003B3EEC" w:rsidRPr="003E0CF8">
        <w:rPr>
          <w:rFonts w:ascii="Verdana" w:hAnsi="Verdana"/>
          <w:sz w:val="20"/>
          <w:szCs w:val="20"/>
          <w:lang w:val="es-MX"/>
        </w:rPr>
        <w:t>respecto a las indemnizaciones por daño</w:t>
      </w:r>
      <w:r w:rsidR="00D44DA9">
        <w:rPr>
          <w:rFonts w:ascii="Verdana" w:hAnsi="Verdana"/>
          <w:sz w:val="20"/>
          <w:szCs w:val="20"/>
          <w:lang w:val="es-MX"/>
        </w:rPr>
        <w:t>s</w:t>
      </w:r>
      <w:r w:rsidR="003B3EEC" w:rsidRPr="003E0CF8">
        <w:rPr>
          <w:rFonts w:ascii="Verdana" w:hAnsi="Verdana"/>
          <w:sz w:val="20"/>
          <w:szCs w:val="20"/>
          <w:lang w:val="es-MX"/>
        </w:rPr>
        <w:t xml:space="preserve"> material e inmaterial. </w:t>
      </w:r>
      <w:r w:rsidR="00665167" w:rsidRPr="003E0CF8">
        <w:rPr>
          <w:rFonts w:ascii="Verdana" w:hAnsi="Verdana"/>
          <w:sz w:val="20"/>
          <w:szCs w:val="20"/>
          <w:lang w:val="es-MX"/>
        </w:rPr>
        <w:t>Argumentó que las solicitudes d</w:t>
      </w:r>
      <w:r w:rsidR="00C3340B" w:rsidRPr="003E0CF8">
        <w:rPr>
          <w:rFonts w:ascii="Verdana" w:hAnsi="Verdana"/>
          <w:sz w:val="20"/>
          <w:szCs w:val="20"/>
          <w:lang w:val="es-MX"/>
        </w:rPr>
        <w:t>el</w:t>
      </w:r>
      <w:r w:rsidR="00665167" w:rsidRPr="003E0CF8">
        <w:rPr>
          <w:rFonts w:ascii="Verdana" w:hAnsi="Verdana"/>
          <w:sz w:val="20"/>
          <w:szCs w:val="20"/>
          <w:lang w:val="es-MX"/>
        </w:rPr>
        <w:t xml:space="preserve"> representante “excede</w:t>
      </w:r>
      <w:r w:rsidR="006A4A56" w:rsidRPr="003E0CF8">
        <w:rPr>
          <w:rFonts w:ascii="Verdana" w:hAnsi="Verdana"/>
          <w:sz w:val="20"/>
          <w:szCs w:val="20"/>
          <w:lang w:val="es-MX"/>
        </w:rPr>
        <w:t>[</w:t>
      </w:r>
      <w:r w:rsidR="00665167" w:rsidRPr="003E0CF8">
        <w:rPr>
          <w:rFonts w:ascii="Verdana" w:hAnsi="Verdana"/>
          <w:sz w:val="20"/>
          <w:szCs w:val="20"/>
          <w:lang w:val="es-MX"/>
        </w:rPr>
        <w:t>n] del marco convencional y reglamentario de la solicitud de interpretación de sentencia”, por lo que solicitó que se declare improcedente</w:t>
      </w:r>
      <w:r w:rsidR="00C3340B" w:rsidRPr="003E0CF8">
        <w:rPr>
          <w:rFonts w:ascii="Verdana" w:hAnsi="Verdana"/>
          <w:sz w:val="20"/>
          <w:szCs w:val="20"/>
          <w:lang w:val="es-MX"/>
        </w:rPr>
        <w:t>.</w:t>
      </w:r>
    </w:p>
    <w:p w:rsidR="00665167" w:rsidRPr="000C194D" w:rsidRDefault="003F6A62" w:rsidP="000C194D">
      <w:pPr>
        <w:spacing w:line="240" w:lineRule="auto"/>
        <w:ind w:left="284"/>
        <w:jc w:val="both"/>
        <w:rPr>
          <w:rFonts w:ascii="Verdana" w:hAnsi="Verdana"/>
          <w:b/>
          <w:i/>
          <w:sz w:val="20"/>
          <w:szCs w:val="20"/>
          <w:lang w:val="es-MX"/>
        </w:rPr>
      </w:pPr>
      <w:r w:rsidRPr="000C194D">
        <w:rPr>
          <w:rFonts w:ascii="Verdana" w:hAnsi="Verdana"/>
          <w:b/>
          <w:i/>
          <w:sz w:val="20"/>
          <w:szCs w:val="20"/>
          <w:lang w:val="es-MX"/>
        </w:rPr>
        <w:t>B</w:t>
      </w:r>
      <w:r w:rsidR="00665167" w:rsidRPr="000C194D">
        <w:rPr>
          <w:rFonts w:ascii="Verdana" w:hAnsi="Verdana"/>
          <w:b/>
          <w:i/>
          <w:sz w:val="20"/>
          <w:szCs w:val="20"/>
          <w:lang w:val="es-MX"/>
        </w:rPr>
        <w:t xml:space="preserve">. Consideraciones de la Corte </w:t>
      </w:r>
    </w:p>
    <w:p w:rsidR="00665167" w:rsidRPr="003E0CF8" w:rsidRDefault="00665167" w:rsidP="00920FDE">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Este Tribunal, en consonancia con su jurisprudencia constante, reitera que una solicitud de interpretación de sentencia no puede utilizarse como medio de impugnación de la misma</w:t>
      </w:r>
      <w:r w:rsidR="006A4A56" w:rsidRPr="003E0CF8">
        <w:rPr>
          <w:rStyle w:val="FootnoteReference"/>
          <w:rFonts w:ascii="Verdana" w:hAnsi="Verdana"/>
          <w:sz w:val="20"/>
          <w:szCs w:val="20"/>
          <w:lang w:val="es-MX"/>
        </w:rPr>
        <w:footnoteReference w:id="2"/>
      </w:r>
      <w:r w:rsidR="00C3340B" w:rsidRPr="003E0CF8">
        <w:rPr>
          <w:rFonts w:ascii="Verdana" w:hAnsi="Verdana"/>
          <w:sz w:val="20"/>
          <w:szCs w:val="20"/>
          <w:lang w:val="es-MX"/>
        </w:rPr>
        <w:t>.</w:t>
      </w:r>
      <w:r w:rsidRPr="003E0CF8">
        <w:rPr>
          <w:rFonts w:ascii="Verdana" w:hAnsi="Verdana"/>
          <w:sz w:val="20"/>
          <w:szCs w:val="20"/>
          <w:lang w:val="es-MX"/>
        </w:rPr>
        <w:t xml:space="preserve"> </w:t>
      </w:r>
      <w:r w:rsidR="00C3340B" w:rsidRPr="003E0CF8">
        <w:rPr>
          <w:rFonts w:ascii="Verdana" w:hAnsi="Verdana"/>
          <w:sz w:val="20"/>
          <w:szCs w:val="20"/>
          <w:lang w:val="es-MX"/>
        </w:rPr>
        <w:t>E</w:t>
      </w:r>
      <w:r w:rsidRPr="003E0CF8">
        <w:rPr>
          <w:rFonts w:ascii="Verdana" w:hAnsi="Verdana"/>
          <w:sz w:val="20"/>
          <w:szCs w:val="20"/>
          <w:lang w:val="es-MX"/>
        </w:rPr>
        <w:t>l objeto de la solicitud es determinar el alcance o sentido de la sentencia. Adicionalmente, ha sostenido que dicha solicitud no puede pretender que se valoren nuevamente cuestiones que ya fueron resueltas en la Sentencia, ni se puede intentar que se amplíe el alcance de una medida de reparación que ya fue ordenada en el momento oportuno</w:t>
      </w:r>
      <w:r w:rsidRPr="003E0CF8">
        <w:rPr>
          <w:rStyle w:val="FootnoteReference"/>
          <w:rFonts w:ascii="Verdana" w:hAnsi="Verdana"/>
          <w:sz w:val="20"/>
          <w:szCs w:val="20"/>
          <w:lang w:val="es-MX"/>
        </w:rPr>
        <w:footnoteReference w:id="3"/>
      </w:r>
      <w:r w:rsidRPr="003E0CF8">
        <w:rPr>
          <w:rFonts w:ascii="Verdana" w:hAnsi="Verdana"/>
          <w:sz w:val="20"/>
          <w:szCs w:val="20"/>
          <w:lang w:val="es-MX"/>
        </w:rPr>
        <w:t xml:space="preserve">. La Corte observa que algunas de las solicitudes no son motivo de interpretación, como se expondrá a continuación. </w:t>
      </w:r>
    </w:p>
    <w:p w:rsidR="00814540" w:rsidRPr="003E0CF8" w:rsidRDefault="005C52F3" w:rsidP="00814540">
      <w:pPr>
        <w:spacing w:line="240" w:lineRule="auto"/>
        <w:ind w:firstLine="720"/>
        <w:jc w:val="both"/>
        <w:rPr>
          <w:rFonts w:ascii="Verdana" w:hAnsi="Verdana"/>
          <w:i/>
          <w:sz w:val="20"/>
          <w:szCs w:val="20"/>
          <w:lang w:val="es-MX"/>
        </w:rPr>
      </w:pPr>
      <w:r w:rsidRPr="003E0CF8">
        <w:rPr>
          <w:rFonts w:ascii="Verdana" w:hAnsi="Verdana"/>
          <w:i/>
          <w:sz w:val="20"/>
          <w:szCs w:val="20"/>
          <w:lang w:val="es-MX"/>
        </w:rPr>
        <w:t>B.</w:t>
      </w:r>
      <w:r w:rsidR="00162CCB">
        <w:rPr>
          <w:rFonts w:ascii="Verdana" w:hAnsi="Verdana"/>
          <w:i/>
          <w:sz w:val="20"/>
          <w:szCs w:val="20"/>
          <w:lang w:val="es-MX"/>
        </w:rPr>
        <w:t>1.</w:t>
      </w:r>
      <w:r w:rsidRPr="003E0CF8">
        <w:rPr>
          <w:rFonts w:ascii="Verdana" w:hAnsi="Verdana"/>
          <w:i/>
          <w:sz w:val="20"/>
          <w:szCs w:val="20"/>
          <w:lang w:val="es-MX"/>
        </w:rPr>
        <w:t xml:space="preserve"> </w:t>
      </w:r>
      <w:r w:rsidR="00446A8E" w:rsidRPr="003E0CF8">
        <w:rPr>
          <w:rFonts w:ascii="Verdana" w:hAnsi="Verdana"/>
          <w:i/>
          <w:sz w:val="20"/>
          <w:szCs w:val="20"/>
          <w:lang w:val="es-MX"/>
        </w:rPr>
        <w:t>Sobre</w:t>
      </w:r>
      <w:r w:rsidR="00814540" w:rsidRPr="003E0CF8">
        <w:rPr>
          <w:rFonts w:ascii="Verdana" w:hAnsi="Verdana"/>
          <w:i/>
          <w:sz w:val="20"/>
          <w:szCs w:val="20"/>
          <w:lang w:val="es-MX"/>
        </w:rPr>
        <w:t xml:space="preserve"> las medidas de rehabilitación</w:t>
      </w:r>
    </w:p>
    <w:p w:rsidR="00665167" w:rsidRPr="003E0CF8" w:rsidRDefault="00665167" w:rsidP="00920FDE">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 xml:space="preserve">En relación </w:t>
      </w:r>
      <w:r w:rsidR="00375A49" w:rsidRPr="003E0CF8">
        <w:rPr>
          <w:rFonts w:ascii="Verdana" w:hAnsi="Verdana"/>
          <w:sz w:val="20"/>
          <w:szCs w:val="20"/>
          <w:lang w:val="es-MX"/>
        </w:rPr>
        <w:t>solicitud de interpretación sobre</w:t>
      </w:r>
      <w:r w:rsidR="00814540" w:rsidRPr="003E0CF8">
        <w:rPr>
          <w:rFonts w:ascii="Verdana" w:hAnsi="Verdana"/>
          <w:sz w:val="20"/>
          <w:szCs w:val="20"/>
          <w:lang w:val="es-MX"/>
        </w:rPr>
        <w:t xml:space="preserve"> </w:t>
      </w:r>
      <w:r w:rsidRPr="003E0CF8">
        <w:rPr>
          <w:rFonts w:ascii="Verdana" w:hAnsi="Verdana"/>
          <w:sz w:val="20"/>
          <w:szCs w:val="20"/>
          <w:lang w:val="es-MX"/>
        </w:rPr>
        <w:t>el tratamiento y atención psicológica de las víctimas en un centro especializado en salud mental (</w:t>
      </w:r>
      <w:r w:rsidRPr="003E0CF8">
        <w:rPr>
          <w:rFonts w:ascii="Verdana" w:hAnsi="Verdana"/>
          <w:i/>
          <w:sz w:val="20"/>
          <w:szCs w:val="20"/>
          <w:lang w:val="es-MX"/>
        </w:rPr>
        <w:t xml:space="preserve">supra </w:t>
      </w:r>
      <w:r w:rsidR="00165B01">
        <w:rPr>
          <w:rFonts w:ascii="Verdana" w:hAnsi="Verdana"/>
          <w:sz w:val="20"/>
          <w:szCs w:val="20"/>
          <w:lang w:val="es-MX"/>
        </w:rPr>
        <w:t xml:space="preserve">párr. </w:t>
      </w:r>
      <w:r w:rsidR="00E957EE">
        <w:rPr>
          <w:rFonts w:ascii="Verdana" w:hAnsi="Verdana"/>
          <w:sz w:val="20"/>
          <w:szCs w:val="20"/>
          <w:lang w:val="es-MX"/>
        </w:rPr>
        <w:t>18</w:t>
      </w:r>
      <w:r w:rsidRPr="003E0CF8">
        <w:rPr>
          <w:rFonts w:ascii="Verdana" w:hAnsi="Verdana"/>
          <w:sz w:val="20"/>
          <w:szCs w:val="20"/>
          <w:lang w:val="es-MX"/>
        </w:rPr>
        <w:t xml:space="preserve">), este Tribunal recuerda que en el párrafo 300 de la Sentencia se ordenó al Estado a brindar dicho tratamiento </w:t>
      </w:r>
      <w:r w:rsidR="00BF2154" w:rsidRPr="003E0CF8">
        <w:rPr>
          <w:rFonts w:ascii="Verdana" w:hAnsi="Verdana"/>
          <w:sz w:val="20"/>
          <w:szCs w:val="20"/>
          <w:lang w:val="es-MX"/>
        </w:rPr>
        <w:t>a través de</w:t>
      </w:r>
      <w:r w:rsidR="00814540" w:rsidRPr="003E0CF8">
        <w:rPr>
          <w:rFonts w:ascii="Verdana" w:hAnsi="Verdana"/>
          <w:sz w:val="20"/>
          <w:szCs w:val="20"/>
          <w:lang w:val="es-MX"/>
        </w:rPr>
        <w:t xml:space="preserve"> </w:t>
      </w:r>
      <w:r w:rsidRPr="003E0CF8">
        <w:rPr>
          <w:rFonts w:ascii="Verdana" w:hAnsi="Verdana"/>
          <w:sz w:val="20"/>
          <w:szCs w:val="20"/>
          <w:lang w:val="es-MX"/>
        </w:rPr>
        <w:t xml:space="preserve">sus instituciones de salud en beneficio del señor Galindo, su esposa y su hijo. </w:t>
      </w:r>
      <w:r w:rsidR="00BF2154" w:rsidRPr="003E0CF8">
        <w:rPr>
          <w:rFonts w:ascii="Verdana" w:hAnsi="Verdana"/>
          <w:sz w:val="20"/>
          <w:szCs w:val="20"/>
          <w:lang w:val="es-MX"/>
        </w:rPr>
        <w:t>C</w:t>
      </w:r>
      <w:r w:rsidRPr="003E0CF8">
        <w:rPr>
          <w:rFonts w:ascii="Verdana" w:hAnsi="Verdana"/>
          <w:sz w:val="20"/>
          <w:szCs w:val="20"/>
          <w:lang w:val="es-MX"/>
        </w:rPr>
        <w:t>omo lo ha hecho en ocasiones anteriores</w:t>
      </w:r>
      <w:r w:rsidR="00814540" w:rsidRPr="003E0CF8">
        <w:rPr>
          <w:rStyle w:val="FootnoteReference"/>
          <w:rFonts w:ascii="Verdana" w:hAnsi="Verdana"/>
          <w:sz w:val="20"/>
          <w:szCs w:val="20"/>
          <w:lang w:val="es-MX"/>
        </w:rPr>
        <w:footnoteReference w:id="4"/>
      </w:r>
      <w:r w:rsidRPr="003E0CF8">
        <w:rPr>
          <w:rFonts w:ascii="Verdana" w:hAnsi="Verdana"/>
          <w:sz w:val="20"/>
          <w:szCs w:val="20"/>
          <w:lang w:val="es-MX"/>
        </w:rPr>
        <w:t>,</w:t>
      </w:r>
      <w:r w:rsidR="00814540" w:rsidRPr="003E0CF8">
        <w:rPr>
          <w:rStyle w:val="FootnoteReference"/>
          <w:rFonts w:ascii="Verdana" w:hAnsi="Verdana"/>
          <w:sz w:val="20"/>
          <w:szCs w:val="20"/>
          <w:lang w:val="es-MX"/>
        </w:rPr>
        <w:t xml:space="preserve"> </w:t>
      </w:r>
      <w:r w:rsidR="00165B01">
        <w:rPr>
          <w:rFonts w:ascii="Verdana" w:hAnsi="Verdana"/>
          <w:sz w:val="20"/>
          <w:szCs w:val="20"/>
          <w:lang w:val="es-MX"/>
        </w:rPr>
        <w:t xml:space="preserve">la Corte </w:t>
      </w:r>
      <w:r w:rsidRPr="003E0CF8">
        <w:rPr>
          <w:rFonts w:ascii="Verdana" w:hAnsi="Verdana"/>
          <w:sz w:val="20"/>
          <w:szCs w:val="20"/>
          <w:lang w:val="es-MX"/>
        </w:rPr>
        <w:t xml:space="preserve">sostiene que cualquier controversia entre las partes en </w:t>
      </w:r>
      <w:r w:rsidRPr="003E0CF8">
        <w:rPr>
          <w:rFonts w:ascii="Verdana" w:hAnsi="Verdana"/>
          <w:sz w:val="20"/>
          <w:szCs w:val="20"/>
          <w:lang w:val="es-MX"/>
        </w:rPr>
        <w:lastRenderedPageBreak/>
        <w:t>cuanto al cumplimiento de una medida de reparación será valorada por la Corte durante la etapa de supervisión de la Sentencia. Asimismo, este Tri</w:t>
      </w:r>
      <w:r w:rsidR="00814540" w:rsidRPr="003E0CF8">
        <w:rPr>
          <w:rFonts w:ascii="Verdana" w:hAnsi="Verdana"/>
          <w:sz w:val="20"/>
          <w:szCs w:val="20"/>
          <w:lang w:val="es-MX"/>
        </w:rPr>
        <w:t>bunal considera que en sí misma</w:t>
      </w:r>
      <w:r w:rsidRPr="003E0CF8">
        <w:rPr>
          <w:rFonts w:ascii="Verdana" w:hAnsi="Verdana"/>
          <w:sz w:val="20"/>
          <w:szCs w:val="20"/>
          <w:lang w:val="es-MX"/>
        </w:rPr>
        <w:t xml:space="preserve"> esta solicitud involucra una medida distinta a la ordenada </w:t>
      </w:r>
      <w:r w:rsidR="0040704F">
        <w:rPr>
          <w:rFonts w:ascii="Verdana" w:hAnsi="Verdana"/>
          <w:sz w:val="20"/>
          <w:szCs w:val="20"/>
          <w:lang w:val="es-MX"/>
        </w:rPr>
        <w:t>en</w:t>
      </w:r>
      <w:r w:rsidRPr="003E0CF8">
        <w:rPr>
          <w:rFonts w:ascii="Verdana" w:hAnsi="Verdana"/>
          <w:sz w:val="20"/>
          <w:szCs w:val="20"/>
          <w:lang w:val="es-MX"/>
        </w:rPr>
        <w:t xml:space="preserve"> la Sentencia</w:t>
      </w:r>
      <w:r w:rsidR="0040704F">
        <w:rPr>
          <w:rFonts w:ascii="Verdana" w:hAnsi="Verdana"/>
          <w:sz w:val="20"/>
          <w:szCs w:val="20"/>
          <w:lang w:val="es-MX"/>
        </w:rPr>
        <w:t>,</w:t>
      </w:r>
      <w:r w:rsidRPr="003E0CF8">
        <w:rPr>
          <w:rFonts w:ascii="Verdana" w:hAnsi="Verdana"/>
          <w:sz w:val="20"/>
          <w:szCs w:val="20"/>
          <w:lang w:val="es-MX"/>
        </w:rPr>
        <w:t xml:space="preserve"> por lo que no es materia de interpretación. </w:t>
      </w:r>
    </w:p>
    <w:p w:rsidR="00920FDE" w:rsidRPr="003E0CF8" w:rsidRDefault="00920FDE" w:rsidP="00920FDE">
      <w:pPr>
        <w:pStyle w:val="ListParagraph"/>
        <w:spacing w:line="240" w:lineRule="auto"/>
        <w:ind w:left="0"/>
        <w:jc w:val="both"/>
        <w:rPr>
          <w:rFonts w:ascii="Verdana" w:hAnsi="Verdana"/>
          <w:sz w:val="20"/>
          <w:szCs w:val="20"/>
          <w:lang w:val="es-MX"/>
        </w:rPr>
      </w:pPr>
    </w:p>
    <w:p w:rsidR="00665167" w:rsidRPr="003E0CF8" w:rsidRDefault="00665167" w:rsidP="00920FDE">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En cuanto a la petición de incluir a la hija menor del señor Galindo en el tratamiento psicológico y/o psiquiátrico, este Tribun</w:t>
      </w:r>
      <w:r w:rsidR="00162CCB">
        <w:rPr>
          <w:rFonts w:ascii="Verdana" w:hAnsi="Verdana"/>
          <w:sz w:val="20"/>
          <w:szCs w:val="20"/>
          <w:lang w:val="es-MX"/>
        </w:rPr>
        <w:t>al recuerda que en la Sentencia</w:t>
      </w:r>
      <w:r w:rsidRPr="003E0CF8">
        <w:rPr>
          <w:rFonts w:ascii="Verdana" w:hAnsi="Verdana"/>
          <w:sz w:val="20"/>
          <w:szCs w:val="20"/>
          <w:lang w:val="es-MX"/>
        </w:rPr>
        <w:t xml:space="preserve"> se determinó dicha medida en beneficio solamente del señor Galindo, su esposa y su hijo (</w:t>
      </w:r>
      <w:r w:rsidRPr="003E0CF8">
        <w:rPr>
          <w:rFonts w:ascii="Verdana" w:hAnsi="Verdana"/>
          <w:i/>
          <w:sz w:val="20"/>
          <w:szCs w:val="20"/>
          <w:lang w:val="es-MX"/>
        </w:rPr>
        <w:t xml:space="preserve">supra </w:t>
      </w:r>
      <w:r w:rsidR="00165B01">
        <w:rPr>
          <w:rFonts w:ascii="Verdana" w:hAnsi="Verdana"/>
          <w:sz w:val="20"/>
          <w:szCs w:val="20"/>
          <w:lang w:val="es-MX"/>
        </w:rPr>
        <w:t xml:space="preserve">párr. </w:t>
      </w:r>
      <w:r w:rsidR="00241079">
        <w:rPr>
          <w:rFonts w:ascii="Verdana" w:hAnsi="Verdana"/>
          <w:sz w:val="20"/>
          <w:szCs w:val="20"/>
          <w:lang w:val="es-MX"/>
        </w:rPr>
        <w:t>18</w:t>
      </w:r>
      <w:r w:rsidRPr="003E0CF8">
        <w:rPr>
          <w:rFonts w:ascii="Verdana" w:hAnsi="Verdana"/>
          <w:sz w:val="20"/>
          <w:szCs w:val="20"/>
          <w:lang w:val="es-MX"/>
        </w:rPr>
        <w:t>)</w:t>
      </w:r>
      <w:r w:rsidR="0040704F">
        <w:rPr>
          <w:rFonts w:ascii="Verdana" w:hAnsi="Verdana"/>
          <w:sz w:val="20"/>
          <w:szCs w:val="20"/>
          <w:lang w:val="es-MX"/>
        </w:rPr>
        <w:t>,</w:t>
      </w:r>
      <w:r w:rsidR="005469AD">
        <w:rPr>
          <w:rFonts w:ascii="Verdana" w:hAnsi="Verdana"/>
          <w:sz w:val="20"/>
          <w:szCs w:val="20"/>
          <w:lang w:val="es-MX"/>
        </w:rPr>
        <w:t xml:space="preserve"> quienes fueron declarados víctimas de violaciones de derechos convencionales y considerados como parte lesionada en el párrafo 284 de la Sentencia</w:t>
      </w:r>
      <w:r w:rsidRPr="003E0CF8">
        <w:rPr>
          <w:rFonts w:ascii="Verdana" w:hAnsi="Verdana"/>
          <w:sz w:val="20"/>
          <w:szCs w:val="20"/>
          <w:lang w:val="es-MX"/>
        </w:rPr>
        <w:t>. Por lo tanto, este Tribunal considera improcedente esta solicitud de interpretación</w:t>
      </w:r>
      <w:r w:rsidRPr="003E0CF8">
        <w:rPr>
          <w:rStyle w:val="FootnoteReference"/>
          <w:rFonts w:ascii="Verdana" w:hAnsi="Verdana"/>
          <w:sz w:val="20"/>
          <w:szCs w:val="20"/>
          <w:lang w:val="es-MX"/>
        </w:rPr>
        <w:footnoteReference w:id="5"/>
      </w:r>
      <w:r w:rsidRPr="003E0CF8">
        <w:rPr>
          <w:rFonts w:ascii="Verdana" w:hAnsi="Verdana"/>
          <w:sz w:val="20"/>
          <w:szCs w:val="20"/>
          <w:lang w:val="es-MX"/>
        </w:rPr>
        <w:t xml:space="preserve">. </w:t>
      </w:r>
    </w:p>
    <w:p w:rsidR="00446A8E" w:rsidRPr="003E0CF8" w:rsidRDefault="00162CCB" w:rsidP="00814540">
      <w:pPr>
        <w:spacing w:line="240" w:lineRule="auto"/>
        <w:ind w:firstLine="720"/>
        <w:jc w:val="both"/>
        <w:rPr>
          <w:rFonts w:ascii="Verdana" w:hAnsi="Verdana"/>
          <w:i/>
          <w:sz w:val="20"/>
          <w:szCs w:val="20"/>
          <w:lang w:val="es-MX"/>
        </w:rPr>
      </w:pPr>
      <w:r>
        <w:rPr>
          <w:rFonts w:ascii="Verdana" w:hAnsi="Verdana"/>
          <w:i/>
          <w:sz w:val="20"/>
          <w:szCs w:val="20"/>
          <w:lang w:val="es-MX"/>
        </w:rPr>
        <w:t>B.2</w:t>
      </w:r>
      <w:r w:rsidR="003F6A62">
        <w:rPr>
          <w:rFonts w:ascii="Verdana" w:hAnsi="Verdana"/>
          <w:i/>
          <w:sz w:val="20"/>
          <w:szCs w:val="20"/>
          <w:lang w:val="es-MX"/>
        </w:rPr>
        <w:t>.</w:t>
      </w:r>
      <w:r w:rsidR="005C52F3" w:rsidRPr="003E0CF8">
        <w:rPr>
          <w:rFonts w:ascii="Verdana" w:hAnsi="Verdana"/>
          <w:i/>
          <w:sz w:val="20"/>
          <w:szCs w:val="20"/>
          <w:lang w:val="es-MX"/>
        </w:rPr>
        <w:t xml:space="preserve"> </w:t>
      </w:r>
      <w:r w:rsidR="00446A8E" w:rsidRPr="003E0CF8">
        <w:rPr>
          <w:rFonts w:ascii="Verdana" w:hAnsi="Verdana"/>
          <w:i/>
          <w:sz w:val="20"/>
          <w:szCs w:val="20"/>
          <w:lang w:val="es-MX"/>
        </w:rPr>
        <w:t>Sobre las indemnizaciones compensatorias de</w:t>
      </w:r>
      <w:r w:rsidR="00814540" w:rsidRPr="003E0CF8">
        <w:rPr>
          <w:rFonts w:ascii="Verdana" w:hAnsi="Verdana"/>
          <w:i/>
          <w:sz w:val="20"/>
          <w:szCs w:val="20"/>
          <w:lang w:val="es-MX"/>
        </w:rPr>
        <w:t>l</w:t>
      </w:r>
      <w:r w:rsidR="00446A8E" w:rsidRPr="003E0CF8">
        <w:rPr>
          <w:rFonts w:ascii="Verdana" w:hAnsi="Verdana"/>
          <w:i/>
          <w:sz w:val="20"/>
          <w:szCs w:val="20"/>
          <w:lang w:val="es-MX"/>
        </w:rPr>
        <w:t xml:space="preserve"> daño material e inmaterial</w:t>
      </w:r>
    </w:p>
    <w:p w:rsidR="002C1C08" w:rsidRDefault="00814540" w:rsidP="00920FDE">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En relación con la solicitud de interpretación</w:t>
      </w:r>
      <w:r w:rsidR="00165B01">
        <w:rPr>
          <w:rFonts w:ascii="Verdana" w:hAnsi="Verdana"/>
          <w:sz w:val="20"/>
          <w:szCs w:val="20"/>
          <w:lang w:val="es-MX"/>
        </w:rPr>
        <w:t xml:space="preserve"> en este punto</w:t>
      </w:r>
      <w:r w:rsidRPr="003E0CF8">
        <w:rPr>
          <w:rFonts w:ascii="Verdana" w:hAnsi="Verdana"/>
          <w:sz w:val="20"/>
          <w:szCs w:val="20"/>
          <w:lang w:val="es-MX"/>
        </w:rPr>
        <w:t xml:space="preserve"> (</w:t>
      </w:r>
      <w:r w:rsidRPr="003E0CF8">
        <w:rPr>
          <w:rFonts w:ascii="Verdana" w:hAnsi="Verdana"/>
          <w:i/>
          <w:sz w:val="20"/>
          <w:szCs w:val="20"/>
          <w:lang w:val="es-MX"/>
        </w:rPr>
        <w:t xml:space="preserve">supra </w:t>
      </w:r>
      <w:r w:rsidRPr="003E0CF8">
        <w:rPr>
          <w:rFonts w:ascii="Verdana" w:hAnsi="Verdana"/>
          <w:sz w:val="20"/>
          <w:szCs w:val="20"/>
          <w:lang w:val="es-MX"/>
        </w:rPr>
        <w:t xml:space="preserve">párr. </w:t>
      </w:r>
      <w:r w:rsidR="00241079">
        <w:rPr>
          <w:rFonts w:ascii="Verdana" w:hAnsi="Verdana"/>
          <w:sz w:val="20"/>
          <w:szCs w:val="20"/>
          <w:lang w:val="es-MX"/>
        </w:rPr>
        <w:t>21, 22 y 23</w:t>
      </w:r>
      <w:r w:rsidRPr="003E0CF8">
        <w:rPr>
          <w:rFonts w:ascii="Verdana" w:hAnsi="Verdana"/>
          <w:sz w:val="20"/>
          <w:szCs w:val="20"/>
          <w:lang w:val="es-MX"/>
        </w:rPr>
        <w:t xml:space="preserve">), </w:t>
      </w:r>
      <w:r w:rsidR="00165B01">
        <w:rPr>
          <w:rFonts w:ascii="Verdana" w:hAnsi="Verdana"/>
          <w:sz w:val="20"/>
          <w:szCs w:val="20"/>
          <w:lang w:val="es-MX"/>
        </w:rPr>
        <w:t xml:space="preserve">la Corte </w:t>
      </w:r>
      <w:r w:rsidR="00665167" w:rsidRPr="003E0CF8">
        <w:rPr>
          <w:rFonts w:ascii="Verdana" w:hAnsi="Verdana"/>
          <w:sz w:val="20"/>
          <w:szCs w:val="20"/>
          <w:lang w:val="es-MX"/>
        </w:rPr>
        <w:t xml:space="preserve">considera que en los párrafos </w:t>
      </w:r>
      <w:r w:rsidR="00241079">
        <w:rPr>
          <w:rFonts w:ascii="Verdana" w:hAnsi="Verdana"/>
          <w:sz w:val="20"/>
          <w:szCs w:val="20"/>
          <w:lang w:val="es-MX"/>
        </w:rPr>
        <w:t xml:space="preserve">315, </w:t>
      </w:r>
      <w:r w:rsidR="00665167" w:rsidRPr="003E0CF8">
        <w:rPr>
          <w:rFonts w:ascii="Verdana" w:hAnsi="Verdana"/>
          <w:sz w:val="20"/>
          <w:szCs w:val="20"/>
          <w:lang w:val="es-MX"/>
        </w:rPr>
        <w:t>316,</w:t>
      </w:r>
      <w:r w:rsidRPr="003E0CF8">
        <w:rPr>
          <w:rFonts w:ascii="Verdana" w:hAnsi="Verdana"/>
          <w:sz w:val="20"/>
          <w:szCs w:val="20"/>
          <w:lang w:val="es-MX"/>
        </w:rPr>
        <w:t xml:space="preserve"> 317,</w:t>
      </w:r>
      <w:r w:rsidR="00241079">
        <w:rPr>
          <w:rFonts w:ascii="Verdana" w:hAnsi="Verdana"/>
          <w:sz w:val="20"/>
          <w:szCs w:val="20"/>
          <w:lang w:val="es-MX"/>
        </w:rPr>
        <w:t xml:space="preserve"> 318</w:t>
      </w:r>
      <w:r w:rsidR="00665167" w:rsidRPr="003E0CF8">
        <w:rPr>
          <w:rFonts w:ascii="Verdana" w:hAnsi="Verdana"/>
          <w:sz w:val="20"/>
          <w:szCs w:val="20"/>
          <w:lang w:val="es-MX"/>
        </w:rPr>
        <w:t xml:space="preserve"> </w:t>
      </w:r>
      <w:r w:rsidR="00241079" w:rsidRPr="003E0CF8">
        <w:rPr>
          <w:rFonts w:ascii="Verdana" w:hAnsi="Verdana"/>
          <w:sz w:val="20"/>
          <w:szCs w:val="20"/>
          <w:lang w:val="es-MX"/>
        </w:rPr>
        <w:t xml:space="preserve">y </w:t>
      </w:r>
      <w:r w:rsidR="00665167" w:rsidRPr="003E0CF8">
        <w:rPr>
          <w:rFonts w:ascii="Verdana" w:hAnsi="Verdana"/>
          <w:sz w:val="20"/>
          <w:szCs w:val="20"/>
          <w:lang w:val="es-MX"/>
        </w:rPr>
        <w:t xml:space="preserve">319 de la Sentencia se hizo referencia clara a los criterios utilizados por la Corte para determinar dichos conceptos, teniendo en cuenta las violaciones declaradas, así como sus efectos sobre el señor Galindo y sus familiares. Además, en cuanto a la solicitud del representante de “dilucidar y resolver en sede interna” dichas solicitudes en relación con el artículo 68.2 de la Convención, </w:t>
      </w:r>
      <w:r w:rsidR="00165B01">
        <w:rPr>
          <w:rFonts w:ascii="Verdana" w:hAnsi="Verdana"/>
          <w:sz w:val="20"/>
          <w:szCs w:val="20"/>
          <w:lang w:val="es-MX"/>
        </w:rPr>
        <w:t xml:space="preserve">este Tribunal </w:t>
      </w:r>
      <w:r w:rsidR="00665167" w:rsidRPr="003E0CF8">
        <w:rPr>
          <w:rFonts w:ascii="Verdana" w:hAnsi="Verdana"/>
          <w:sz w:val="20"/>
          <w:szCs w:val="20"/>
          <w:lang w:val="es-MX"/>
        </w:rPr>
        <w:t>destaca que la implementación de dicha normativa no requiere</w:t>
      </w:r>
      <w:r w:rsidR="00165B01">
        <w:rPr>
          <w:rFonts w:ascii="Verdana" w:hAnsi="Verdana"/>
          <w:sz w:val="20"/>
          <w:szCs w:val="20"/>
          <w:lang w:val="es-MX"/>
        </w:rPr>
        <w:t xml:space="preserve"> la autorización de la </w:t>
      </w:r>
      <w:r w:rsidR="003F6A62">
        <w:rPr>
          <w:rFonts w:ascii="Verdana" w:hAnsi="Verdana"/>
          <w:sz w:val="20"/>
          <w:szCs w:val="20"/>
          <w:lang w:val="es-MX"/>
        </w:rPr>
        <w:t>C</w:t>
      </w:r>
      <w:r w:rsidR="00165B01">
        <w:rPr>
          <w:rFonts w:ascii="Verdana" w:hAnsi="Verdana"/>
          <w:sz w:val="20"/>
          <w:szCs w:val="20"/>
          <w:lang w:val="es-MX"/>
        </w:rPr>
        <w:t>orte</w:t>
      </w:r>
      <w:r w:rsidR="00665167" w:rsidRPr="003E0CF8">
        <w:rPr>
          <w:rFonts w:ascii="Verdana" w:hAnsi="Verdana"/>
          <w:sz w:val="20"/>
          <w:szCs w:val="20"/>
          <w:lang w:val="es-MX"/>
        </w:rPr>
        <w:t>, por lo que el representante y las víctimas pueden acudir al Estado sin concurrir a l</w:t>
      </w:r>
      <w:r w:rsidR="00165B01">
        <w:rPr>
          <w:rFonts w:ascii="Verdana" w:hAnsi="Verdana"/>
          <w:sz w:val="20"/>
          <w:szCs w:val="20"/>
          <w:lang w:val="es-MX"/>
        </w:rPr>
        <w:t>a Corte para este fin.</w:t>
      </w:r>
      <w:r w:rsidR="00665167" w:rsidRPr="003E0CF8">
        <w:rPr>
          <w:rFonts w:ascii="Verdana" w:hAnsi="Verdana"/>
          <w:sz w:val="20"/>
          <w:szCs w:val="20"/>
          <w:lang w:val="es-MX"/>
        </w:rPr>
        <w:t xml:space="preserve"> </w:t>
      </w:r>
      <w:r w:rsidR="00D44DA9">
        <w:rPr>
          <w:rFonts w:ascii="Verdana" w:hAnsi="Verdana"/>
          <w:sz w:val="20"/>
          <w:szCs w:val="20"/>
          <w:lang w:val="es-MX"/>
        </w:rPr>
        <w:t>Por lo tanto, este Tribunal</w:t>
      </w:r>
      <w:r w:rsidR="002512C8" w:rsidRPr="003E0CF8">
        <w:rPr>
          <w:rFonts w:ascii="Verdana" w:hAnsi="Verdana"/>
          <w:sz w:val="20"/>
          <w:szCs w:val="20"/>
          <w:lang w:val="es-MX"/>
        </w:rPr>
        <w:t xml:space="preserve"> considera que la solicitud de interpretación en este punto </w:t>
      </w:r>
      <w:r w:rsidR="00665167" w:rsidRPr="003E0CF8">
        <w:rPr>
          <w:rFonts w:ascii="Verdana" w:hAnsi="Verdana"/>
          <w:sz w:val="20"/>
          <w:szCs w:val="20"/>
          <w:lang w:val="es-MX"/>
        </w:rPr>
        <w:t xml:space="preserve"> involucraría la inclusión de nuevos </w:t>
      </w:r>
      <w:r w:rsidR="00DD43C4" w:rsidRPr="003E0CF8">
        <w:rPr>
          <w:rFonts w:ascii="Verdana" w:hAnsi="Verdana"/>
          <w:sz w:val="20"/>
          <w:szCs w:val="20"/>
          <w:lang w:val="es-MX"/>
        </w:rPr>
        <w:t>criterios</w:t>
      </w:r>
      <w:r w:rsidR="00665167" w:rsidRPr="003E0CF8">
        <w:rPr>
          <w:rFonts w:ascii="Verdana" w:hAnsi="Verdana"/>
          <w:sz w:val="20"/>
          <w:szCs w:val="20"/>
          <w:lang w:val="es-MX"/>
        </w:rPr>
        <w:t xml:space="preserve"> en la Sentencia, por lo que tampoco es objeto de interpretación. </w:t>
      </w:r>
    </w:p>
    <w:p w:rsidR="002C1C08" w:rsidRPr="003E0CF8" w:rsidRDefault="002C1C08" w:rsidP="002C1C08">
      <w:pPr>
        <w:spacing w:line="240" w:lineRule="auto"/>
        <w:ind w:firstLine="720"/>
        <w:jc w:val="both"/>
        <w:rPr>
          <w:rFonts w:ascii="Verdana" w:hAnsi="Verdana"/>
          <w:i/>
          <w:sz w:val="20"/>
          <w:szCs w:val="20"/>
          <w:lang w:val="es-MX"/>
        </w:rPr>
      </w:pPr>
      <w:r>
        <w:rPr>
          <w:rFonts w:ascii="Verdana" w:hAnsi="Verdana"/>
          <w:i/>
          <w:sz w:val="20"/>
          <w:szCs w:val="20"/>
          <w:lang w:val="es-MX"/>
        </w:rPr>
        <w:t>B.3</w:t>
      </w:r>
      <w:r w:rsidRPr="003E0CF8">
        <w:rPr>
          <w:rFonts w:ascii="Verdana" w:hAnsi="Verdana"/>
          <w:i/>
          <w:sz w:val="20"/>
          <w:szCs w:val="20"/>
          <w:lang w:val="es-MX"/>
        </w:rPr>
        <w:t>. La anulación de las Resoluciones Fiscales de 4 y 9 de noviembre de 1994</w:t>
      </w:r>
    </w:p>
    <w:p w:rsidR="002C1C08" w:rsidRPr="003E0CF8" w:rsidRDefault="002C1C08" w:rsidP="002C1C08">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En cuanto a la solicitud de que la Corte ordene anular las Resoluciones de 4 de noviembre de 1994 de la Primera Fiscalía Provincial Penal de Huánuco y de 9 de noviembre de 1994 del Fiscal Superior Decano del Distrito Judicial de Huánuco (</w:t>
      </w:r>
      <w:r w:rsidRPr="003E0CF8">
        <w:rPr>
          <w:rFonts w:ascii="Verdana" w:hAnsi="Verdana"/>
          <w:i/>
          <w:sz w:val="20"/>
          <w:szCs w:val="20"/>
          <w:lang w:val="es-MX"/>
        </w:rPr>
        <w:t xml:space="preserve">supra </w:t>
      </w:r>
      <w:r w:rsidRPr="003E0CF8">
        <w:rPr>
          <w:rFonts w:ascii="Verdana" w:hAnsi="Verdana"/>
          <w:sz w:val="20"/>
          <w:szCs w:val="20"/>
          <w:lang w:val="es-MX"/>
        </w:rPr>
        <w:t xml:space="preserve">párr. </w:t>
      </w:r>
      <w:r w:rsidR="00E957EE">
        <w:rPr>
          <w:rFonts w:ascii="Verdana" w:hAnsi="Verdana"/>
          <w:sz w:val="20"/>
          <w:szCs w:val="20"/>
          <w:lang w:val="es-MX"/>
        </w:rPr>
        <w:t>12</w:t>
      </w:r>
      <w:r w:rsidRPr="003E0CF8">
        <w:rPr>
          <w:rFonts w:ascii="Verdana" w:hAnsi="Verdana"/>
          <w:sz w:val="20"/>
          <w:szCs w:val="20"/>
          <w:lang w:val="es-MX"/>
        </w:rPr>
        <w:t xml:space="preserve">), así como los alcances de la investigación sobre la alegada “tortura psicológica” del señor Galindo, la Corte estima que amerita pronunciarse al respecto, pues satisface los requerimientos contenidos en la Convención y el Reglamento para permitir una interpretación por parte de este Tribunal. </w:t>
      </w:r>
    </w:p>
    <w:p w:rsidR="002C1C08" w:rsidRPr="003E0CF8" w:rsidRDefault="002C1C08" w:rsidP="002C1C08">
      <w:pPr>
        <w:pStyle w:val="ListParagraph"/>
        <w:spacing w:line="240" w:lineRule="auto"/>
        <w:ind w:left="0"/>
        <w:jc w:val="both"/>
        <w:rPr>
          <w:rFonts w:ascii="Verdana" w:hAnsi="Verdana"/>
          <w:sz w:val="20"/>
          <w:szCs w:val="20"/>
          <w:lang w:val="es-MX"/>
        </w:rPr>
      </w:pPr>
    </w:p>
    <w:p w:rsidR="002C1C08" w:rsidRPr="003E0CF8" w:rsidRDefault="002C1C08" w:rsidP="002C1C08">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Este Tribunal recuerda que en el párrafo 291 de la Sentencia estableció que las “</w:t>
      </w:r>
      <w:r>
        <w:rPr>
          <w:rFonts w:ascii="Verdana" w:hAnsi="Verdana"/>
          <w:sz w:val="20"/>
          <w:szCs w:val="20"/>
          <w:lang w:val="es-MX"/>
        </w:rPr>
        <w:t>[a]</w:t>
      </w:r>
      <w:r w:rsidRPr="003E0CF8">
        <w:rPr>
          <w:rFonts w:ascii="Verdana" w:hAnsi="Verdana"/>
          <w:sz w:val="20"/>
          <w:szCs w:val="20"/>
          <w:lang w:val="es-MX"/>
        </w:rPr>
        <w:t xml:space="preserve">ctas de </w:t>
      </w:r>
      <w:r>
        <w:rPr>
          <w:rFonts w:ascii="Verdana" w:hAnsi="Verdana"/>
          <w:sz w:val="20"/>
          <w:szCs w:val="20"/>
          <w:lang w:val="es-MX"/>
        </w:rPr>
        <w:t>[a]</w:t>
      </w:r>
      <w:r w:rsidRPr="003E0CF8">
        <w:rPr>
          <w:rFonts w:ascii="Verdana" w:hAnsi="Verdana"/>
          <w:sz w:val="20"/>
          <w:szCs w:val="20"/>
          <w:lang w:val="es-MX"/>
        </w:rPr>
        <w:t>rrepentimiento” estuvieron relacionadas con un proceso que implicó la afectación a la libertad personal, las garantías judiciales así como a la integridad personal del señor Galindo, por lo que tenían conexión con un procedimiento y circunstancias violatorias de derechos humanos. Además, en el párrafo 293 de la Sentencia se determinó que la conducta atribuida al señor Galindo, como surge de las “</w:t>
      </w:r>
      <w:r>
        <w:rPr>
          <w:rFonts w:ascii="Verdana" w:hAnsi="Verdana"/>
          <w:sz w:val="20"/>
          <w:szCs w:val="20"/>
          <w:lang w:val="es-MX"/>
        </w:rPr>
        <w:t>[a]</w:t>
      </w:r>
      <w:r w:rsidRPr="003E0CF8">
        <w:rPr>
          <w:rFonts w:ascii="Verdana" w:hAnsi="Verdana"/>
          <w:sz w:val="20"/>
          <w:szCs w:val="20"/>
          <w:lang w:val="es-MX"/>
        </w:rPr>
        <w:t xml:space="preserve">ctas de </w:t>
      </w:r>
      <w:r>
        <w:rPr>
          <w:rFonts w:ascii="Verdana" w:hAnsi="Verdana"/>
          <w:sz w:val="20"/>
          <w:szCs w:val="20"/>
          <w:lang w:val="es-MX"/>
        </w:rPr>
        <w:t>[a]</w:t>
      </w:r>
      <w:r w:rsidRPr="003E0CF8">
        <w:rPr>
          <w:rFonts w:ascii="Verdana" w:hAnsi="Verdana"/>
          <w:sz w:val="20"/>
          <w:szCs w:val="20"/>
          <w:lang w:val="es-MX"/>
        </w:rPr>
        <w:t>rrepentimiento” del 15 de octubre de 1994, resultaba en un acto que no podía ser tenido como lícito de acuerdo a la Convención Americana</w:t>
      </w:r>
      <w:r>
        <w:rPr>
          <w:rFonts w:ascii="Verdana" w:hAnsi="Verdana"/>
          <w:sz w:val="20"/>
          <w:szCs w:val="20"/>
          <w:lang w:val="es-MX"/>
        </w:rPr>
        <w:t>,</w:t>
      </w:r>
      <w:r w:rsidRPr="003E0CF8">
        <w:rPr>
          <w:rFonts w:ascii="Verdana" w:hAnsi="Verdana"/>
          <w:sz w:val="20"/>
          <w:szCs w:val="20"/>
          <w:lang w:val="es-MX"/>
        </w:rPr>
        <w:t xml:space="preserve"> y en el párrafo 297 se estableció como medida de satisfacción que el Estado adoptara todas las medidas necesarias para asegurar que dichas actas fueran privadas de todos sus efectos jurídicos.</w:t>
      </w:r>
    </w:p>
    <w:p w:rsidR="002C1C08" w:rsidRPr="003E0CF8" w:rsidRDefault="002C1C08" w:rsidP="002C1C08">
      <w:pPr>
        <w:pStyle w:val="ListParagraph"/>
        <w:rPr>
          <w:rFonts w:ascii="Verdana" w:hAnsi="Verdana"/>
          <w:sz w:val="20"/>
          <w:szCs w:val="20"/>
          <w:lang w:val="es-MX"/>
        </w:rPr>
      </w:pPr>
    </w:p>
    <w:p w:rsidR="00D5522F" w:rsidRPr="002C1C08" w:rsidRDefault="002C1C08" w:rsidP="002C1C08">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Este Tribunal nota que en el procedimiento al que fue vinculado el señor Galindo se emitieron las actas de 15 de octubre de</w:t>
      </w:r>
      <w:r>
        <w:rPr>
          <w:rFonts w:ascii="Verdana" w:hAnsi="Verdana"/>
          <w:sz w:val="20"/>
          <w:szCs w:val="20"/>
          <w:lang w:val="es-MX"/>
        </w:rPr>
        <w:t xml:space="preserve"> 1994, el cual finalizó con la R</w:t>
      </w:r>
      <w:r w:rsidRPr="003E0CF8">
        <w:rPr>
          <w:rFonts w:ascii="Verdana" w:hAnsi="Verdana"/>
          <w:sz w:val="20"/>
          <w:szCs w:val="20"/>
          <w:lang w:val="es-MX"/>
        </w:rPr>
        <w:t>es</w:t>
      </w:r>
      <w:r>
        <w:rPr>
          <w:rFonts w:ascii="Verdana" w:hAnsi="Verdana"/>
          <w:sz w:val="20"/>
          <w:szCs w:val="20"/>
          <w:lang w:val="es-MX"/>
        </w:rPr>
        <w:t>olución F</w:t>
      </w:r>
      <w:r w:rsidRPr="003E0CF8">
        <w:rPr>
          <w:rFonts w:ascii="Verdana" w:hAnsi="Verdana"/>
          <w:sz w:val="20"/>
          <w:szCs w:val="20"/>
          <w:lang w:val="es-MX"/>
        </w:rPr>
        <w:t xml:space="preserve">iscal de 4 de noviembre de 1994, la cual fue confirmada el 9 </w:t>
      </w:r>
      <w:r w:rsidR="00D44DA9">
        <w:rPr>
          <w:rFonts w:ascii="Verdana" w:hAnsi="Verdana"/>
          <w:sz w:val="20"/>
          <w:szCs w:val="20"/>
          <w:lang w:val="es-MX"/>
        </w:rPr>
        <w:t xml:space="preserve">de los mismos mes y año. </w:t>
      </w:r>
      <w:r w:rsidRPr="003E0CF8">
        <w:rPr>
          <w:rFonts w:ascii="Verdana" w:hAnsi="Verdana"/>
          <w:sz w:val="20"/>
          <w:szCs w:val="20"/>
          <w:lang w:val="es-MX"/>
        </w:rPr>
        <w:t>En el párrafo 296 de la Sentencia se estableció que</w:t>
      </w:r>
      <w:r>
        <w:rPr>
          <w:rFonts w:ascii="Verdana" w:hAnsi="Verdana"/>
          <w:sz w:val="20"/>
          <w:szCs w:val="20"/>
          <w:lang w:val="es-MX"/>
        </w:rPr>
        <w:t>,</w:t>
      </w:r>
      <w:r w:rsidRPr="003E0CF8">
        <w:rPr>
          <w:rFonts w:ascii="Verdana" w:hAnsi="Verdana"/>
          <w:sz w:val="20"/>
          <w:szCs w:val="20"/>
          <w:lang w:val="es-MX"/>
        </w:rPr>
        <w:t xml:space="preserve"> mediante las actas, el Estado activó mecanismos institucionales vinculados al ejercicio de su poder punitivo, con la finalidad de investigar conductas que no </w:t>
      </w:r>
      <w:r w:rsidRPr="003E0CF8">
        <w:rPr>
          <w:rFonts w:ascii="Verdana" w:hAnsi="Verdana"/>
          <w:sz w:val="20"/>
          <w:szCs w:val="20"/>
          <w:lang w:val="es-MX"/>
        </w:rPr>
        <w:lastRenderedPageBreak/>
        <w:t>podrían ser antijurídicas a la luz de la normativa vigente en el momento de los hechos. Por ello, la Corte aclara que la medida ordenada referente a privar a las actas de todos sus efectos jurídicos incluye las Resoluciones de 4 y 9 de noviembre de 1994, como efectos jurídicos de las actas y en concordancia con el objeto y las finalidades de dicha medida de reparación en favor del señor Galindo.</w:t>
      </w:r>
    </w:p>
    <w:p w:rsidR="00446A8E" w:rsidRPr="003E0CF8" w:rsidRDefault="003F6A62" w:rsidP="00D5522F">
      <w:pPr>
        <w:spacing w:line="240" w:lineRule="auto"/>
        <w:ind w:firstLine="720"/>
        <w:jc w:val="both"/>
        <w:rPr>
          <w:rFonts w:ascii="Verdana" w:hAnsi="Verdana"/>
          <w:i/>
          <w:sz w:val="20"/>
          <w:szCs w:val="20"/>
          <w:lang w:val="es-MX"/>
        </w:rPr>
      </w:pPr>
      <w:r>
        <w:rPr>
          <w:rFonts w:ascii="Verdana" w:hAnsi="Verdana"/>
          <w:i/>
          <w:sz w:val="20"/>
          <w:szCs w:val="20"/>
          <w:lang w:val="es-MX"/>
        </w:rPr>
        <w:t>B.4</w:t>
      </w:r>
      <w:r w:rsidR="00D5522F" w:rsidRPr="003E0CF8">
        <w:rPr>
          <w:rFonts w:ascii="Verdana" w:hAnsi="Verdana"/>
          <w:i/>
          <w:sz w:val="20"/>
          <w:szCs w:val="20"/>
          <w:lang w:val="es-MX"/>
        </w:rPr>
        <w:t>.</w:t>
      </w:r>
      <w:r w:rsidR="00D5522F" w:rsidRPr="003E0CF8">
        <w:rPr>
          <w:rFonts w:ascii="Verdana" w:hAnsi="Verdana"/>
          <w:i/>
          <w:sz w:val="20"/>
          <w:szCs w:val="20"/>
          <w:lang w:val="es-MX"/>
        </w:rPr>
        <w:tab/>
      </w:r>
      <w:r w:rsidR="00446A8E" w:rsidRPr="003E0CF8">
        <w:rPr>
          <w:rFonts w:ascii="Verdana" w:hAnsi="Verdana"/>
          <w:i/>
          <w:sz w:val="20"/>
          <w:szCs w:val="20"/>
          <w:lang w:val="es-MX"/>
        </w:rPr>
        <w:t>Sobre los alcances de la investigación sobre la alegada “tortura psicológica”</w:t>
      </w:r>
    </w:p>
    <w:p w:rsidR="00920FDE" w:rsidRPr="003E0CF8" w:rsidRDefault="00D5522F" w:rsidP="00665167">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E</w:t>
      </w:r>
      <w:r w:rsidR="00665167" w:rsidRPr="003E0CF8">
        <w:rPr>
          <w:rFonts w:ascii="Verdana" w:hAnsi="Verdana"/>
          <w:sz w:val="20"/>
          <w:szCs w:val="20"/>
          <w:lang w:val="es-MX"/>
        </w:rPr>
        <w:t xml:space="preserve">n lo referente </w:t>
      </w:r>
      <w:r w:rsidR="00375A49" w:rsidRPr="003E0CF8">
        <w:rPr>
          <w:rFonts w:ascii="Verdana" w:hAnsi="Verdana"/>
          <w:sz w:val="20"/>
          <w:szCs w:val="20"/>
          <w:lang w:val="es-MX"/>
        </w:rPr>
        <w:t>a la solicitud</w:t>
      </w:r>
      <w:r w:rsidRPr="003E0CF8">
        <w:rPr>
          <w:rFonts w:ascii="Verdana" w:hAnsi="Verdana"/>
          <w:sz w:val="20"/>
          <w:szCs w:val="20"/>
          <w:lang w:val="es-MX"/>
        </w:rPr>
        <w:t xml:space="preserve"> </w:t>
      </w:r>
      <w:r w:rsidR="00665167" w:rsidRPr="003E0CF8">
        <w:rPr>
          <w:rFonts w:ascii="Verdana" w:hAnsi="Verdana"/>
          <w:sz w:val="20"/>
          <w:szCs w:val="20"/>
          <w:lang w:val="es-MX"/>
        </w:rPr>
        <w:t xml:space="preserve">sobre los alcances de la investigación sobre la alegada “tortura psicológica” del señor Galindo, la Corte estima que amerita pronunciarse al respecto, pues satisface los requerimientos contenidos en la Convención </w:t>
      </w:r>
      <w:r w:rsidR="00375A49" w:rsidRPr="003E0CF8">
        <w:rPr>
          <w:rFonts w:ascii="Verdana" w:hAnsi="Verdana"/>
          <w:sz w:val="20"/>
          <w:szCs w:val="20"/>
          <w:lang w:val="es-MX"/>
        </w:rPr>
        <w:t xml:space="preserve">Americana </w:t>
      </w:r>
      <w:r w:rsidR="00665167" w:rsidRPr="003E0CF8">
        <w:rPr>
          <w:rFonts w:ascii="Verdana" w:hAnsi="Verdana"/>
          <w:sz w:val="20"/>
          <w:szCs w:val="20"/>
          <w:lang w:val="es-MX"/>
        </w:rPr>
        <w:t xml:space="preserve">y el Reglamento para permitir una interpretación por parte de este Tribunal. </w:t>
      </w:r>
    </w:p>
    <w:p w:rsidR="00920FDE" w:rsidRPr="003E0CF8" w:rsidRDefault="00920FDE" w:rsidP="00920FDE">
      <w:pPr>
        <w:pStyle w:val="ListParagraph"/>
        <w:spacing w:line="240" w:lineRule="auto"/>
        <w:ind w:left="0"/>
        <w:jc w:val="both"/>
        <w:rPr>
          <w:rFonts w:ascii="Verdana" w:hAnsi="Verdana"/>
          <w:sz w:val="20"/>
          <w:szCs w:val="20"/>
          <w:lang w:val="es-MX"/>
        </w:rPr>
      </w:pPr>
    </w:p>
    <w:p w:rsidR="00920FDE" w:rsidRPr="003E0CF8" w:rsidRDefault="00665167" w:rsidP="00665167">
      <w:pPr>
        <w:pStyle w:val="ListParagraph"/>
        <w:numPr>
          <w:ilvl w:val="0"/>
          <w:numId w:val="7"/>
        </w:numPr>
        <w:spacing w:line="240" w:lineRule="auto"/>
        <w:ind w:left="0" w:firstLine="0"/>
        <w:jc w:val="both"/>
        <w:rPr>
          <w:rFonts w:ascii="Verdana" w:hAnsi="Verdana"/>
          <w:sz w:val="20"/>
          <w:szCs w:val="20"/>
          <w:lang w:val="es-MX"/>
        </w:rPr>
      </w:pPr>
      <w:r w:rsidRPr="003E0CF8">
        <w:rPr>
          <w:rFonts w:ascii="Verdana" w:hAnsi="Verdana"/>
          <w:sz w:val="20"/>
          <w:szCs w:val="20"/>
          <w:lang w:val="es-MX"/>
        </w:rPr>
        <w:t>La Corte recuerda que en el párrafo 206 de la Sentencia consta que el señor Galindo fue privado de su libertad de manera ilegal y arbitraria, durante la cual presuntamente fue torturado psicológicamente. Además, en el párrafo 266, así como en los párrafos 140, 141 y 142, quedó establecido que desde sus primeras declaraciones, el señor Galindo expresó que había sido torturado durante su detención y solicitó la investigación de los hechos. Al respecto, en el párrafo 266, la Corte cons</w:t>
      </w:r>
      <w:r w:rsidR="00165B01">
        <w:rPr>
          <w:rFonts w:ascii="Verdana" w:hAnsi="Verdana"/>
          <w:sz w:val="20"/>
          <w:szCs w:val="20"/>
          <w:lang w:val="es-MX"/>
        </w:rPr>
        <w:t xml:space="preserve">tató que el Estado violó </w:t>
      </w:r>
      <w:r w:rsidRPr="003E0CF8">
        <w:rPr>
          <w:rFonts w:ascii="Verdana" w:hAnsi="Verdana"/>
          <w:sz w:val="20"/>
          <w:szCs w:val="20"/>
          <w:lang w:val="es-MX"/>
        </w:rPr>
        <w:t xml:space="preserve">su obligación de llevar a cabo una investigación de forma inmediata respecto a la alegada “tortura psicológica”, por lo que ordenó al Estado continuar y concluir la investigación referente dichos hechos. </w:t>
      </w:r>
    </w:p>
    <w:p w:rsidR="00920FDE" w:rsidRPr="003E0CF8" w:rsidRDefault="00920FDE" w:rsidP="00920FDE">
      <w:pPr>
        <w:pStyle w:val="ListParagraph"/>
        <w:rPr>
          <w:rFonts w:ascii="Verdana" w:hAnsi="Verdana"/>
          <w:sz w:val="20"/>
          <w:szCs w:val="20"/>
          <w:lang w:val="es-MX"/>
        </w:rPr>
      </w:pPr>
    </w:p>
    <w:p w:rsidR="00920FDE" w:rsidRPr="003E0CF8" w:rsidRDefault="005C52F3" w:rsidP="000C194D">
      <w:pPr>
        <w:pStyle w:val="ListParagraph"/>
        <w:numPr>
          <w:ilvl w:val="0"/>
          <w:numId w:val="7"/>
        </w:numPr>
        <w:spacing w:after="0" w:line="240" w:lineRule="auto"/>
        <w:ind w:left="0" w:firstLine="0"/>
        <w:jc w:val="both"/>
        <w:rPr>
          <w:rFonts w:ascii="Verdana" w:hAnsi="Verdana"/>
          <w:sz w:val="20"/>
          <w:szCs w:val="20"/>
          <w:lang w:val="es-MX"/>
        </w:rPr>
      </w:pPr>
      <w:r w:rsidRPr="003E0CF8">
        <w:rPr>
          <w:rFonts w:ascii="Verdana" w:hAnsi="Verdana"/>
          <w:sz w:val="20"/>
          <w:szCs w:val="20"/>
          <w:lang w:val="es-MX"/>
        </w:rPr>
        <w:t xml:space="preserve">Sumado a ello, de acuerdo a la manera como fue determinada la vulneración a la integridad personal del señor Galindo en los párrafos 244, 245 y 246 de la Sentencia, esta estuvo estrechamente vinculada con su detención, tanto que en el párrafo 246, este Tribunal consideró que la incertidumbre causada por la privación de libertad generó una afectación a su integridad psíquica. Es decir, la vulneración del derecho a la libertad personal del señor Galindo formó parte de las vulneraciones de derechos que habrían dado lugar a la alegada “tortura psicológica”. Además, tomando en cuenta que en la Sentencia se determinó la obligación </w:t>
      </w:r>
      <w:r w:rsidR="00165B01">
        <w:rPr>
          <w:rFonts w:ascii="Verdana" w:hAnsi="Verdana"/>
          <w:sz w:val="20"/>
          <w:szCs w:val="20"/>
          <w:lang w:val="es-MX"/>
        </w:rPr>
        <w:t>del Estado de continuar y concluir con la investigación de los hechos que se encuentra en curso</w:t>
      </w:r>
      <w:r w:rsidR="004F0DED">
        <w:rPr>
          <w:rFonts w:ascii="Verdana" w:hAnsi="Verdana"/>
          <w:sz w:val="20"/>
          <w:szCs w:val="20"/>
          <w:lang w:val="es-MX"/>
        </w:rPr>
        <w:t>, la cual fue</w:t>
      </w:r>
      <w:r w:rsidR="00165B01">
        <w:rPr>
          <w:rFonts w:ascii="Verdana" w:hAnsi="Verdana"/>
          <w:sz w:val="20"/>
          <w:szCs w:val="20"/>
          <w:lang w:val="es-MX"/>
        </w:rPr>
        <w:t xml:space="preserve"> </w:t>
      </w:r>
      <w:r w:rsidR="004F0DED">
        <w:rPr>
          <w:rFonts w:ascii="Verdana" w:hAnsi="Verdana"/>
          <w:sz w:val="20"/>
          <w:szCs w:val="20"/>
          <w:lang w:val="es-MX"/>
        </w:rPr>
        <w:t>iniciada por la Fiscalía Especializada en Delitos de Terrorismo y Lesa Humanidad</w:t>
      </w:r>
      <w:r w:rsidRPr="003E0CF8">
        <w:rPr>
          <w:rFonts w:ascii="Verdana" w:hAnsi="Verdana"/>
          <w:sz w:val="20"/>
          <w:szCs w:val="20"/>
          <w:lang w:val="es-MX"/>
        </w:rPr>
        <w:t>, la Corte aclara que la investigación de la alegada “tortura psicológica” debe comprender la investigación</w:t>
      </w:r>
      <w:r w:rsidR="004F0DED">
        <w:rPr>
          <w:rFonts w:ascii="Verdana" w:hAnsi="Verdana"/>
          <w:sz w:val="20"/>
          <w:szCs w:val="20"/>
          <w:lang w:val="es-MX"/>
        </w:rPr>
        <w:t xml:space="preserve"> de los hechos relacionados con </w:t>
      </w:r>
      <w:r w:rsidRPr="003E0CF8">
        <w:rPr>
          <w:rFonts w:ascii="Verdana" w:hAnsi="Verdana"/>
          <w:sz w:val="20"/>
          <w:szCs w:val="20"/>
          <w:lang w:val="es-MX"/>
        </w:rPr>
        <w:t>la vulneración del derecho a la libertad personal del señor Galindo.</w:t>
      </w:r>
    </w:p>
    <w:p w:rsidR="00920FDE" w:rsidRPr="003E0CF8" w:rsidRDefault="00920FDE" w:rsidP="000C194D">
      <w:pPr>
        <w:pStyle w:val="ListParagraph"/>
        <w:spacing w:after="0"/>
        <w:rPr>
          <w:rFonts w:ascii="Verdana" w:hAnsi="Verdana"/>
          <w:sz w:val="20"/>
          <w:szCs w:val="20"/>
          <w:lang w:val="es-MX"/>
        </w:rPr>
      </w:pPr>
    </w:p>
    <w:p w:rsidR="003F6A62" w:rsidRDefault="00D5522F" w:rsidP="000C194D">
      <w:pPr>
        <w:pStyle w:val="ListParagraph"/>
        <w:numPr>
          <w:ilvl w:val="0"/>
          <w:numId w:val="7"/>
        </w:numPr>
        <w:spacing w:after="0" w:line="240" w:lineRule="auto"/>
        <w:ind w:left="0" w:firstLine="0"/>
        <w:jc w:val="both"/>
        <w:rPr>
          <w:rFonts w:ascii="Verdana" w:hAnsi="Verdana"/>
          <w:sz w:val="20"/>
          <w:szCs w:val="20"/>
          <w:lang w:val="es-MX"/>
        </w:rPr>
      </w:pPr>
      <w:r w:rsidRPr="003E0CF8">
        <w:rPr>
          <w:rFonts w:ascii="Verdana" w:hAnsi="Verdana"/>
          <w:sz w:val="20"/>
          <w:szCs w:val="20"/>
          <w:lang w:val="es-MX"/>
        </w:rPr>
        <w:t>E</w:t>
      </w:r>
      <w:r w:rsidR="00665167" w:rsidRPr="003E0CF8">
        <w:rPr>
          <w:rFonts w:ascii="Verdana" w:hAnsi="Verdana"/>
          <w:sz w:val="20"/>
          <w:szCs w:val="20"/>
          <w:lang w:val="es-MX"/>
        </w:rPr>
        <w:t>n cuanto a la solicitud del representante de que el Estado investigue específicamente dicho hecho c</w:t>
      </w:r>
      <w:r w:rsidR="00665167" w:rsidRPr="000C194D">
        <w:rPr>
          <w:rFonts w:ascii="Verdana" w:hAnsi="Verdana"/>
          <w:sz w:val="20"/>
          <w:szCs w:val="20"/>
          <w:lang w:val="es-MX"/>
        </w:rPr>
        <w:t>o</w:t>
      </w:r>
      <w:r w:rsidR="00665167" w:rsidRPr="003E0CF8">
        <w:rPr>
          <w:rFonts w:ascii="Verdana" w:hAnsi="Verdana"/>
          <w:sz w:val="20"/>
          <w:szCs w:val="20"/>
          <w:lang w:val="es-MX"/>
        </w:rPr>
        <w:t>mo el delito de “Violación de la Libertad Personal” en su modalidad de “Secuestro Agravado”, la Corte considera, como lo ha hecho previamente, que corresponde al Estado en su obligación de investigar, determinar la calificación jurídica específica correspondiente a este hecho</w:t>
      </w:r>
      <w:r w:rsidR="00665167" w:rsidRPr="003E0CF8">
        <w:rPr>
          <w:rStyle w:val="FootnoteReference"/>
          <w:rFonts w:ascii="Verdana" w:hAnsi="Verdana"/>
          <w:sz w:val="20"/>
          <w:szCs w:val="20"/>
          <w:lang w:val="es-MX"/>
        </w:rPr>
        <w:footnoteReference w:id="6"/>
      </w:r>
      <w:r w:rsidR="00665167" w:rsidRPr="003E0CF8">
        <w:rPr>
          <w:rFonts w:ascii="Verdana" w:hAnsi="Verdana"/>
          <w:sz w:val="20"/>
          <w:szCs w:val="20"/>
          <w:lang w:val="es-MX"/>
        </w:rPr>
        <w:t>.</w:t>
      </w:r>
    </w:p>
    <w:p w:rsidR="000C194D" w:rsidRPr="000C194D" w:rsidRDefault="000C194D" w:rsidP="000C194D">
      <w:pPr>
        <w:pStyle w:val="ListParagraph"/>
        <w:spacing w:after="0" w:line="240" w:lineRule="auto"/>
        <w:ind w:left="0"/>
        <w:jc w:val="both"/>
        <w:rPr>
          <w:rFonts w:ascii="Verdana" w:hAnsi="Verdana"/>
          <w:sz w:val="20"/>
          <w:szCs w:val="20"/>
          <w:lang w:val="es-MX"/>
        </w:rPr>
      </w:pPr>
    </w:p>
    <w:p w:rsidR="003F6A62" w:rsidRPr="003E0CF8" w:rsidRDefault="003F6A62" w:rsidP="003F6A62">
      <w:pPr>
        <w:spacing w:line="240" w:lineRule="auto"/>
        <w:ind w:firstLine="720"/>
        <w:jc w:val="both"/>
        <w:rPr>
          <w:rFonts w:ascii="Verdana" w:hAnsi="Verdana"/>
          <w:sz w:val="20"/>
          <w:szCs w:val="20"/>
          <w:lang w:val="es-MX"/>
        </w:rPr>
      </w:pPr>
      <w:r>
        <w:rPr>
          <w:rFonts w:ascii="Verdana" w:hAnsi="Verdana"/>
          <w:i/>
          <w:sz w:val="20"/>
          <w:szCs w:val="20"/>
          <w:lang w:val="es-MX"/>
        </w:rPr>
        <w:t xml:space="preserve">B.5. </w:t>
      </w:r>
      <w:r w:rsidRPr="003E0CF8">
        <w:rPr>
          <w:rFonts w:ascii="Verdana" w:hAnsi="Verdana"/>
          <w:i/>
          <w:sz w:val="20"/>
          <w:szCs w:val="20"/>
          <w:lang w:val="es-MX"/>
        </w:rPr>
        <w:t xml:space="preserve">Conclusión </w:t>
      </w:r>
    </w:p>
    <w:p w:rsidR="003F6A62" w:rsidRPr="00FC7BA3" w:rsidRDefault="003F6A62" w:rsidP="00162CCB">
      <w:pPr>
        <w:pStyle w:val="ListParagraph"/>
        <w:numPr>
          <w:ilvl w:val="0"/>
          <w:numId w:val="7"/>
        </w:numPr>
        <w:spacing w:line="240" w:lineRule="auto"/>
        <w:ind w:left="0" w:firstLine="0"/>
        <w:jc w:val="both"/>
        <w:rPr>
          <w:rFonts w:ascii="Verdana" w:hAnsi="Verdana"/>
          <w:sz w:val="20"/>
          <w:szCs w:val="20"/>
          <w:lang w:val="es-MX"/>
        </w:rPr>
      </w:pPr>
      <w:r w:rsidRPr="00FC7BA3">
        <w:rPr>
          <w:rFonts w:ascii="Verdana" w:hAnsi="Verdana"/>
          <w:sz w:val="20"/>
          <w:szCs w:val="20"/>
          <w:lang w:val="es-MX"/>
        </w:rPr>
        <w:t xml:space="preserve">Este Tribunal considera que las solicitudes de interpretación </w:t>
      </w:r>
      <w:r w:rsidRPr="00162CCB">
        <w:rPr>
          <w:rFonts w:ascii="Verdana" w:hAnsi="Verdana"/>
          <w:sz w:val="20"/>
          <w:szCs w:val="20"/>
          <w:lang w:val="es-MX"/>
        </w:rPr>
        <w:t>sobre  las medidas de rehabilitación y las indemnizaciones compensatorias</w:t>
      </w:r>
      <w:r w:rsidRPr="00162CCB">
        <w:rPr>
          <w:rFonts w:ascii="Verdana" w:hAnsi="Verdana"/>
          <w:i/>
          <w:sz w:val="20"/>
          <w:szCs w:val="20"/>
          <w:lang w:val="es-MX"/>
        </w:rPr>
        <w:t xml:space="preserve"> </w:t>
      </w:r>
      <w:r w:rsidRPr="00162CCB">
        <w:rPr>
          <w:rFonts w:ascii="Verdana" w:hAnsi="Verdana"/>
          <w:sz w:val="20"/>
          <w:szCs w:val="20"/>
          <w:lang w:val="es-MX"/>
        </w:rPr>
        <w:t>son improcedentes en tanto constituyen reevaluaciones de cuestiones que han sido resueltas por la Corte, sin que exista la posibilidad de que el Fallo sea modificado o ampliado, de conformidad con los artículos 67 de la Convención Americana y 31.3 y 68 del Reglamento de este Tribunal</w:t>
      </w:r>
      <w:r w:rsidRPr="003E0CF8">
        <w:rPr>
          <w:rStyle w:val="FootnoteReference"/>
          <w:rFonts w:ascii="Verdana" w:hAnsi="Verdana"/>
          <w:sz w:val="20"/>
          <w:szCs w:val="20"/>
          <w:lang w:val="es-MX"/>
        </w:rPr>
        <w:footnoteReference w:id="7"/>
      </w:r>
      <w:r w:rsidRPr="00FC7BA3">
        <w:rPr>
          <w:rFonts w:ascii="Verdana" w:hAnsi="Verdana"/>
          <w:sz w:val="20"/>
          <w:szCs w:val="20"/>
          <w:lang w:val="es-MX"/>
        </w:rPr>
        <w:t xml:space="preserve">. </w:t>
      </w:r>
      <w:r w:rsidRPr="00162CCB">
        <w:rPr>
          <w:rFonts w:ascii="Verdana" w:hAnsi="Verdana"/>
          <w:sz w:val="20"/>
          <w:szCs w:val="20"/>
          <w:lang w:val="es-MX"/>
        </w:rPr>
        <w:t xml:space="preserve">En cuanto a la solicitud de interpretación sobre la anulación de las Resoluciones Fiscales de 4 y 9 de noviembre de </w:t>
      </w:r>
      <w:r w:rsidRPr="00162CCB">
        <w:rPr>
          <w:rFonts w:ascii="Verdana" w:hAnsi="Verdana"/>
          <w:sz w:val="20"/>
          <w:szCs w:val="20"/>
          <w:lang w:val="es-MX"/>
        </w:rPr>
        <w:lastRenderedPageBreak/>
        <w:t>1994 y los alcances de la investigación, la Corte aclara los términos de la Sentencia, de acuerdo a lo expuesto (</w:t>
      </w:r>
      <w:r w:rsidRPr="00162CCB">
        <w:rPr>
          <w:rFonts w:ascii="Verdana" w:hAnsi="Verdana"/>
          <w:i/>
          <w:sz w:val="20"/>
          <w:szCs w:val="20"/>
          <w:lang w:val="es-MX"/>
        </w:rPr>
        <w:t>supra</w:t>
      </w:r>
      <w:r w:rsidRPr="00162CCB">
        <w:rPr>
          <w:rFonts w:ascii="Verdana" w:hAnsi="Verdana"/>
          <w:sz w:val="20"/>
          <w:szCs w:val="20"/>
          <w:lang w:val="es-MX"/>
        </w:rPr>
        <w:t xml:space="preserve"> párrs. </w:t>
      </w:r>
      <w:r w:rsidR="00DF4671">
        <w:rPr>
          <w:rFonts w:ascii="Verdana" w:hAnsi="Verdana"/>
          <w:sz w:val="20"/>
          <w:szCs w:val="20"/>
          <w:lang w:val="es-MX"/>
        </w:rPr>
        <w:t>28, 29 y 30</w:t>
      </w:r>
      <w:r w:rsidRPr="00162CCB">
        <w:rPr>
          <w:rFonts w:ascii="Verdana" w:hAnsi="Verdana"/>
          <w:sz w:val="20"/>
          <w:szCs w:val="20"/>
          <w:lang w:val="es-MX"/>
        </w:rPr>
        <w:t>)</w:t>
      </w:r>
      <w:r w:rsidR="002C1C08">
        <w:rPr>
          <w:rFonts w:ascii="Verdana" w:hAnsi="Verdana"/>
          <w:sz w:val="20"/>
          <w:szCs w:val="20"/>
          <w:lang w:val="es-MX"/>
        </w:rPr>
        <w:t>.</w:t>
      </w:r>
      <w:r w:rsidRPr="00162CCB">
        <w:rPr>
          <w:rFonts w:ascii="Verdana" w:hAnsi="Verdana"/>
          <w:sz w:val="20"/>
          <w:szCs w:val="20"/>
          <w:lang w:val="es-MX"/>
        </w:rPr>
        <w:t xml:space="preserve"> </w:t>
      </w:r>
    </w:p>
    <w:p w:rsidR="00665167" w:rsidRDefault="00665167" w:rsidP="000C194D">
      <w:pPr>
        <w:spacing w:after="0" w:line="240" w:lineRule="auto"/>
        <w:jc w:val="center"/>
        <w:rPr>
          <w:rFonts w:ascii="Verdana" w:hAnsi="Verdana"/>
          <w:b/>
          <w:sz w:val="20"/>
          <w:szCs w:val="20"/>
          <w:lang w:val="es-MX"/>
        </w:rPr>
      </w:pPr>
      <w:r>
        <w:rPr>
          <w:rFonts w:ascii="Verdana" w:hAnsi="Verdana"/>
          <w:b/>
          <w:sz w:val="20"/>
          <w:szCs w:val="20"/>
          <w:lang w:val="es-MX"/>
        </w:rPr>
        <w:t>V</w:t>
      </w:r>
    </w:p>
    <w:p w:rsidR="00665167" w:rsidRDefault="00665167" w:rsidP="000C194D">
      <w:pPr>
        <w:spacing w:after="0" w:line="240" w:lineRule="auto"/>
        <w:jc w:val="center"/>
        <w:rPr>
          <w:rFonts w:ascii="Verdana" w:hAnsi="Verdana"/>
          <w:b/>
          <w:sz w:val="20"/>
          <w:szCs w:val="20"/>
          <w:lang w:val="es-MX"/>
        </w:rPr>
      </w:pPr>
      <w:r>
        <w:rPr>
          <w:rFonts w:ascii="Verdana" w:hAnsi="Verdana"/>
          <w:b/>
          <w:sz w:val="20"/>
          <w:szCs w:val="20"/>
          <w:lang w:val="es-MX"/>
        </w:rPr>
        <w:t>PUNTOS RESOLUTIVOS</w:t>
      </w:r>
    </w:p>
    <w:p w:rsidR="00665167" w:rsidRDefault="00CB1575" w:rsidP="00665167">
      <w:pPr>
        <w:pStyle w:val="ListParagraph"/>
        <w:numPr>
          <w:ilvl w:val="0"/>
          <w:numId w:val="7"/>
        </w:numPr>
        <w:spacing w:line="240" w:lineRule="auto"/>
        <w:ind w:left="0" w:firstLine="0"/>
        <w:rPr>
          <w:rFonts w:ascii="Verdana" w:hAnsi="Verdana"/>
          <w:sz w:val="20"/>
          <w:szCs w:val="20"/>
          <w:lang w:val="es-MX"/>
        </w:rPr>
      </w:pPr>
      <w:r>
        <w:rPr>
          <w:rFonts w:ascii="Verdana" w:hAnsi="Verdana"/>
          <w:sz w:val="20"/>
          <w:szCs w:val="20"/>
          <w:lang w:val="es-MX"/>
        </w:rPr>
        <w:t>Por tanto:</w:t>
      </w:r>
    </w:p>
    <w:p w:rsidR="000C194D" w:rsidRPr="000C194D" w:rsidRDefault="000C194D" w:rsidP="000C194D">
      <w:pPr>
        <w:pStyle w:val="ListParagraph"/>
        <w:spacing w:line="240" w:lineRule="auto"/>
        <w:ind w:left="0"/>
        <w:rPr>
          <w:rFonts w:ascii="Verdana" w:hAnsi="Verdana"/>
          <w:sz w:val="20"/>
          <w:szCs w:val="20"/>
          <w:lang w:val="es-MX"/>
        </w:rPr>
      </w:pPr>
    </w:p>
    <w:p w:rsidR="00665167" w:rsidRDefault="00665167" w:rsidP="00665167">
      <w:pPr>
        <w:spacing w:line="240" w:lineRule="auto"/>
        <w:rPr>
          <w:rFonts w:ascii="Verdana" w:hAnsi="Verdana"/>
          <w:b/>
          <w:sz w:val="20"/>
          <w:szCs w:val="20"/>
          <w:lang w:val="es-MX"/>
        </w:rPr>
      </w:pPr>
      <w:r>
        <w:rPr>
          <w:rFonts w:ascii="Verdana" w:hAnsi="Verdana"/>
          <w:b/>
          <w:sz w:val="20"/>
          <w:szCs w:val="20"/>
          <w:lang w:val="es-MX"/>
        </w:rPr>
        <w:t>LA CORTE</w:t>
      </w:r>
      <w:r w:rsidR="00CB1575">
        <w:rPr>
          <w:rFonts w:ascii="Verdana" w:hAnsi="Verdana"/>
          <w:b/>
          <w:sz w:val="20"/>
          <w:szCs w:val="20"/>
          <w:lang w:val="es-MX"/>
        </w:rPr>
        <w:t>,</w:t>
      </w:r>
    </w:p>
    <w:p w:rsidR="00665167" w:rsidRDefault="00665167" w:rsidP="00665167">
      <w:pPr>
        <w:spacing w:line="240" w:lineRule="auto"/>
        <w:rPr>
          <w:rFonts w:ascii="Verdana" w:hAnsi="Verdana"/>
          <w:sz w:val="20"/>
          <w:szCs w:val="20"/>
          <w:lang w:val="es-MX"/>
        </w:rPr>
      </w:pPr>
      <w:r>
        <w:rPr>
          <w:rFonts w:ascii="Verdana" w:hAnsi="Verdana"/>
          <w:sz w:val="20"/>
          <w:szCs w:val="20"/>
          <w:lang w:val="es-MX"/>
        </w:rPr>
        <w:t>de conformidad con el artículo 67 de la Convención Americana sobre Derechos Humanos y los artículos 31.1 y 68 del Reglamento,</w:t>
      </w:r>
    </w:p>
    <w:p w:rsidR="00665167" w:rsidRDefault="00665167" w:rsidP="00665167">
      <w:pPr>
        <w:spacing w:line="240" w:lineRule="auto"/>
        <w:rPr>
          <w:rFonts w:ascii="Verdana" w:hAnsi="Verdana"/>
          <w:b/>
          <w:sz w:val="20"/>
          <w:szCs w:val="20"/>
          <w:lang w:val="es-MX"/>
        </w:rPr>
      </w:pPr>
      <w:r>
        <w:rPr>
          <w:rFonts w:ascii="Verdana" w:hAnsi="Verdana"/>
          <w:b/>
          <w:sz w:val="20"/>
          <w:szCs w:val="20"/>
          <w:lang w:val="es-MX"/>
        </w:rPr>
        <w:t>DECIDE</w:t>
      </w:r>
      <w:r w:rsidR="00CB1575">
        <w:rPr>
          <w:rFonts w:ascii="Verdana" w:hAnsi="Verdana"/>
          <w:b/>
          <w:sz w:val="20"/>
          <w:szCs w:val="20"/>
          <w:lang w:val="es-MX"/>
        </w:rPr>
        <w:t>:</w:t>
      </w:r>
    </w:p>
    <w:p w:rsidR="005C52F3" w:rsidRPr="00C97EE2" w:rsidRDefault="00541927" w:rsidP="00C97EE2">
      <w:pPr>
        <w:spacing w:line="240" w:lineRule="auto"/>
        <w:rPr>
          <w:rFonts w:ascii="Verdana" w:hAnsi="Verdana"/>
          <w:sz w:val="20"/>
          <w:szCs w:val="20"/>
          <w:lang w:val="es-MX"/>
        </w:rPr>
      </w:pPr>
      <w:r>
        <w:rPr>
          <w:rFonts w:ascii="Verdana" w:hAnsi="Verdana"/>
          <w:sz w:val="20"/>
          <w:szCs w:val="20"/>
          <w:lang w:val="es-MX"/>
        </w:rPr>
        <w:t>Por unanimidad</w:t>
      </w:r>
      <w:r w:rsidR="004F0DED">
        <w:rPr>
          <w:rFonts w:ascii="Verdana" w:hAnsi="Verdana"/>
          <w:sz w:val="20"/>
          <w:szCs w:val="20"/>
          <w:lang w:val="es-MX"/>
        </w:rPr>
        <w:t>,</w:t>
      </w:r>
    </w:p>
    <w:p w:rsidR="00586664" w:rsidRPr="002C1C08" w:rsidRDefault="00665167" w:rsidP="002C1C08">
      <w:pPr>
        <w:spacing w:line="240" w:lineRule="auto"/>
        <w:jc w:val="both"/>
        <w:rPr>
          <w:rFonts w:ascii="Verdana" w:hAnsi="Verdana"/>
          <w:sz w:val="20"/>
          <w:szCs w:val="20"/>
          <w:lang w:val="es-MX"/>
        </w:rPr>
      </w:pPr>
      <w:r w:rsidRPr="004245D4">
        <w:rPr>
          <w:rFonts w:ascii="Verdana" w:hAnsi="Verdana"/>
          <w:sz w:val="20"/>
          <w:szCs w:val="20"/>
          <w:lang w:val="es-MX"/>
        </w:rPr>
        <w:t>1.</w:t>
      </w:r>
      <w:r>
        <w:rPr>
          <w:rFonts w:ascii="Verdana" w:hAnsi="Verdana"/>
          <w:sz w:val="20"/>
          <w:szCs w:val="20"/>
          <w:lang w:val="es-MX"/>
        </w:rPr>
        <w:tab/>
      </w:r>
      <w:r w:rsidRPr="004245D4">
        <w:rPr>
          <w:rFonts w:ascii="Verdana" w:hAnsi="Verdana"/>
          <w:sz w:val="20"/>
          <w:szCs w:val="20"/>
          <w:lang w:val="es-MX"/>
        </w:rPr>
        <w:t xml:space="preserve">Declarar </w:t>
      </w:r>
      <w:r>
        <w:rPr>
          <w:rFonts w:ascii="Verdana" w:hAnsi="Verdana"/>
          <w:sz w:val="20"/>
          <w:szCs w:val="20"/>
          <w:lang w:val="es-MX"/>
        </w:rPr>
        <w:t>admisible la solicitud de interpretación interpuesta por el representante de las víctimas, correspondiente a la Sentencia de excepciones preliminares, fondo</w:t>
      </w:r>
      <w:r w:rsidR="002C1C08">
        <w:rPr>
          <w:rFonts w:ascii="Verdana" w:hAnsi="Verdana"/>
          <w:sz w:val="20"/>
          <w:szCs w:val="20"/>
          <w:lang w:val="es-MX"/>
        </w:rPr>
        <w:t xml:space="preserve">, reparaciones y costas emitida el 2 de octubre de 2015 </w:t>
      </w:r>
      <w:r>
        <w:rPr>
          <w:rFonts w:ascii="Verdana" w:hAnsi="Verdana"/>
          <w:sz w:val="20"/>
          <w:szCs w:val="20"/>
          <w:lang w:val="es-MX"/>
        </w:rPr>
        <w:t xml:space="preserve">en el caso </w:t>
      </w:r>
      <w:r w:rsidRPr="004245D4">
        <w:rPr>
          <w:rFonts w:ascii="Verdana" w:hAnsi="Verdana"/>
          <w:i/>
          <w:sz w:val="20"/>
          <w:szCs w:val="20"/>
          <w:lang w:val="es-MX"/>
        </w:rPr>
        <w:t>Galindo Cárdenas Vs. Perú</w:t>
      </w:r>
      <w:r>
        <w:rPr>
          <w:rFonts w:ascii="Verdana" w:hAnsi="Verdana"/>
          <w:sz w:val="20"/>
          <w:szCs w:val="20"/>
          <w:lang w:val="es-MX"/>
        </w:rPr>
        <w:t>.</w:t>
      </w:r>
    </w:p>
    <w:p w:rsidR="00586664" w:rsidRPr="00C97EE2" w:rsidRDefault="005C52F3" w:rsidP="00665167">
      <w:pPr>
        <w:spacing w:line="240" w:lineRule="auto"/>
        <w:jc w:val="both"/>
        <w:rPr>
          <w:rFonts w:ascii="Verdana" w:hAnsi="Verdana"/>
          <w:b/>
          <w:i/>
          <w:sz w:val="20"/>
          <w:szCs w:val="20"/>
          <w:lang w:val="es-MX"/>
        </w:rPr>
      </w:pPr>
      <w:r w:rsidRPr="005C52F3">
        <w:rPr>
          <w:rFonts w:ascii="Verdana" w:hAnsi="Verdana"/>
          <w:sz w:val="20"/>
          <w:szCs w:val="20"/>
          <w:lang w:val="es-MX"/>
        </w:rPr>
        <w:t>2.</w:t>
      </w:r>
      <w:r w:rsidR="00C97EE2">
        <w:rPr>
          <w:rFonts w:ascii="Verdana" w:hAnsi="Verdana"/>
          <w:sz w:val="20"/>
          <w:szCs w:val="20"/>
          <w:lang w:val="es-MX"/>
        </w:rPr>
        <w:tab/>
      </w:r>
      <w:r w:rsidR="00665167" w:rsidRPr="005C52F3">
        <w:rPr>
          <w:rFonts w:ascii="Verdana" w:hAnsi="Verdana"/>
          <w:sz w:val="20"/>
          <w:szCs w:val="20"/>
          <w:lang w:val="es-MX"/>
        </w:rPr>
        <w:t xml:space="preserve">Desestimar por improcedentes las solicitudes </w:t>
      </w:r>
      <w:r w:rsidR="00C97EE2">
        <w:rPr>
          <w:rFonts w:ascii="Verdana" w:hAnsi="Verdana"/>
          <w:sz w:val="20"/>
          <w:szCs w:val="20"/>
          <w:lang w:val="es-MX"/>
        </w:rPr>
        <w:t xml:space="preserve">de interpretación </w:t>
      </w:r>
      <w:r w:rsidR="00665167" w:rsidRPr="005C52F3">
        <w:rPr>
          <w:rFonts w:ascii="Verdana" w:hAnsi="Verdana"/>
          <w:sz w:val="20"/>
          <w:szCs w:val="20"/>
          <w:lang w:val="es-MX"/>
        </w:rPr>
        <w:t xml:space="preserve">referentes a las medidas de rehabilitación y las indemnizaciones compensatorias por daño material e inmaterial dictadas por la Corte </w:t>
      </w:r>
      <w:r w:rsidR="004F0DED">
        <w:rPr>
          <w:rFonts w:ascii="Verdana" w:hAnsi="Verdana"/>
          <w:sz w:val="20"/>
          <w:szCs w:val="20"/>
          <w:lang w:val="es-MX"/>
        </w:rPr>
        <w:t xml:space="preserve">Interamericana de Derechos Humanos </w:t>
      </w:r>
      <w:r w:rsidR="00665167" w:rsidRPr="005C52F3">
        <w:rPr>
          <w:rFonts w:ascii="Verdana" w:hAnsi="Verdana"/>
          <w:sz w:val="20"/>
          <w:szCs w:val="20"/>
          <w:lang w:val="es-MX"/>
        </w:rPr>
        <w:t xml:space="preserve">en la </w:t>
      </w:r>
      <w:r w:rsidR="002C1C08">
        <w:rPr>
          <w:rFonts w:ascii="Verdana" w:hAnsi="Verdana"/>
          <w:sz w:val="20"/>
          <w:szCs w:val="20"/>
          <w:lang w:val="es-MX"/>
        </w:rPr>
        <w:t>Sentencia de excepciones preliminares, fondo, reparaciones y costas emitida el 2 de octubre de 2015</w:t>
      </w:r>
      <w:r w:rsidR="004F0DED">
        <w:rPr>
          <w:rFonts w:ascii="Verdana" w:hAnsi="Verdana"/>
          <w:sz w:val="20"/>
          <w:szCs w:val="20"/>
          <w:lang w:val="es-MX"/>
        </w:rPr>
        <w:t>, de conformidad</w:t>
      </w:r>
      <w:r w:rsidR="002C1C08">
        <w:rPr>
          <w:rFonts w:ascii="Verdana" w:hAnsi="Verdana"/>
          <w:sz w:val="20"/>
          <w:szCs w:val="20"/>
          <w:lang w:val="es-MX"/>
        </w:rPr>
        <w:t xml:space="preserve"> con los párrafos </w:t>
      </w:r>
      <w:r w:rsidR="00E957EE">
        <w:rPr>
          <w:rFonts w:ascii="Verdana" w:hAnsi="Verdana"/>
          <w:sz w:val="20"/>
          <w:szCs w:val="20"/>
          <w:lang w:val="es-MX"/>
        </w:rPr>
        <w:t>25,</w:t>
      </w:r>
      <w:r w:rsidR="00DF4671">
        <w:rPr>
          <w:rFonts w:ascii="Verdana" w:hAnsi="Verdana"/>
          <w:sz w:val="20"/>
          <w:szCs w:val="20"/>
          <w:lang w:val="es-MX"/>
        </w:rPr>
        <w:t xml:space="preserve"> 26</w:t>
      </w:r>
      <w:r w:rsidR="002C1C08">
        <w:rPr>
          <w:rFonts w:ascii="Verdana" w:hAnsi="Verdana"/>
          <w:sz w:val="20"/>
          <w:szCs w:val="20"/>
          <w:lang w:val="es-MX"/>
        </w:rPr>
        <w:t xml:space="preserve"> </w:t>
      </w:r>
      <w:r w:rsidR="00E957EE">
        <w:rPr>
          <w:rFonts w:ascii="Verdana" w:hAnsi="Verdana"/>
          <w:sz w:val="20"/>
          <w:szCs w:val="20"/>
          <w:lang w:val="es-MX"/>
        </w:rPr>
        <w:t xml:space="preserve">y 27 </w:t>
      </w:r>
      <w:r w:rsidR="002C1C08">
        <w:rPr>
          <w:rFonts w:ascii="Verdana" w:hAnsi="Verdana"/>
          <w:sz w:val="20"/>
          <w:szCs w:val="20"/>
          <w:lang w:val="es-MX"/>
        </w:rPr>
        <w:t>del presente Fallo</w:t>
      </w:r>
      <w:r w:rsidR="004F0DED">
        <w:rPr>
          <w:rFonts w:ascii="Verdana" w:hAnsi="Verdana"/>
          <w:sz w:val="20"/>
          <w:szCs w:val="20"/>
          <w:lang w:val="es-MX"/>
        </w:rPr>
        <w:t>.</w:t>
      </w:r>
      <w:r w:rsidR="00C97EE2">
        <w:rPr>
          <w:rFonts w:ascii="Verdana" w:hAnsi="Verdana"/>
          <w:sz w:val="20"/>
          <w:szCs w:val="20"/>
          <w:lang w:val="es-MX"/>
        </w:rPr>
        <w:t xml:space="preserve"> </w:t>
      </w:r>
    </w:p>
    <w:p w:rsidR="002C1C08" w:rsidRPr="002C1C08" w:rsidRDefault="00665167" w:rsidP="00665167">
      <w:pPr>
        <w:spacing w:line="240" w:lineRule="auto"/>
        <w:jc w:val="both"/>
        <w:rPr>
          <w:rFonts w:ascii="Verdana" w:hAnsi="Verdana"/>
          <w:sz w:val="20"/>
          <w:szCs w:val="20"/>
          <w:lang w:val="es-MX"/>
        </w:rPr>
      </w:pPr>
      <w:r>
        <w:rPr>
          <w:rFonts w:ascii="Verdana" w:hAnsi="Verdana"/>
          <w:sz w:val="20"/>
          <w:szCs w:val="20"/>
          <w:lang w:val="es-MX"/>
        </w:rPr>
        <w:t>3.</w:t>
      </w:r>
      <w:r>
        <w:rPr>
          <w:rFonts w:ascii="Verdana" w:hAnsi="Verdana"/>
          <w:sz w:val="20"/>
          <w:szCs w:val="20"/>
          <w:lang w:val="es-MX"/>
        </w:rPr>
        <w:tab/>
      </w:r>
      <w:r w:rsidR="004152CF">
        <w:rPr>
          <w:rFonts w:ascii="Verdana" w:hAnsi="Verdana"/>
          <w:sz w:val="20"/>
          <w:szCs w:val="20"/>
          <w:lang w:val="es-MX"/>
        </w:rPr>
        <w:t>A</w:t>
      </w:r>
      <w:r w:rsidR="002C1C08">
        <w:rPr>
          <w:rFonts w:ascii="Verdana" w:hAnsi="Verdana"/>
          <w:sz w:val="20"/>
          <w:szCs w:val="20"/>
          <w:lang w:val="es-MX"/>
        </w:rPr>
        <w:t>clarar por medio de interpretación y de acuerdo a los párrafos 291, 293, 296 y 297 de</w:t>
      </w:r>
      <w:r w:rsidR="002C1C08" w:rsidRPr="003B03CB">
        <w:rPr>
          <w:rFonts w:ascii="Verdana" w:hAnsi="Verdana"/>
          <w:sz w:val="20"/>
          <w:szCs w:val="20"/>
          <w:lang w:val="es-MX"/>
        </w:rPr>
        <w:t xml:space="preserve"> </w:t>
      </w:r>
      <w:r w:rsidR="002C1C08">
        <w:rPr>
          <w:rFonts w:ascii="Verdana" w:hAnsi="Verdana"/>
          <w:sz w:val="20"/>
          <w:szCs w:val="20"/>
          <w:lang w:val="es-MX"/>
        </w:rPr>
        <w:t xml:space="preserve">la Sentencia de excepciones preliminares, fondo, reparaciones y costas emitida el 2 de octubre de 2015, así como el punto resolutivo número 10 de la misma, que al ordenar al Estado adoptar todas las medidas necesarias para asegurar que las “Actas de Arrepentimiento” fueran privadas de todos sus efectos jurídicos, </w:t>
      </w:r>
      <w:r w:rsidR="002C1C08" w:rsidRPr="003E0CF8">
        <w:rPr>
          <w:rFonts w:ascii="Verdana" w:hAnsi="Verdana"/>
          <w:sz w:val="20"/>
          <w:szCs w:val="20"/>
          <w:lang w:val="es-MX"/>
        </w:rPr>
        <w:t>incluye las Resoluciones de 4 y 9 de noviembre de 1994, como efectos jurídicos de las actas</w:t>
      </w:r>
      <w:r w:rsidR="002C1C08">
        <w:rPr>
          <w:rFonts w:ascii="Verdana" w:hAnsi="Verdana"/>
          <w:sz w:val="20"/>
          <w:szCs w:val="20"/>
          <w:lang w:val="es-MX"/>
        </w:rPr>
        <w:t xml:space="preserve"> y de conformidad con la finalidad de la medida de reparación a favor del señor Luis Antonio Galindo Cárdenas, de conformidad con los párrafos </w:t>
      </w:r>
      <w:r w:rsidR="00DF4671">
        <w:rPr>
          <w:rFonts w:ascii="Verdana" w:hAnsi="Verdana"/>
          <w:sz w:val="20"/>
          <w:szCs w:val="20"/>
          <w:lang w:val="es-MX"/>
        </w:rPr>
        <w:t>28, 29 y 30</w:t>
      </w:r>
      <w:r w:rsidR="002C1C08">
        <w:rPr>
          <w:rFonts w:ascii="Verdana" w:hAnsi="Verdana"/>
          <w:sz w:val="20"/>
          <w:szCs w:val="20"/>
          <w:lang w:val="es-MX"/>
        </w:rPr>
        <w:t xml:space="preserve"> de la </w:t>
      </w:r>
      <w:r w:rsidR="002C1C08" w:rsidRPr="002C1C08">
        <w:rPr>
          <w:rFonts w:ascii="Verdana" w:hAnsi="Verdana"/>
          <w:sz w:val="20"/>
          <w:szCs w:val="20"/>
          <w:lang w:val="es-MX"/>
        </w:rPr>
        <w:t xml:space="preserve">presente Sentencia de Interpretación. </w:t>
      </w:r>
    </w:p>
    <w:p w:rsidR="00665167" w:rsidRDefault="002C1C08" w:rsidP="00665167">
      <w:pPr>
        <w:spacing w:line="240" w:lineRule="auto"/>
        <w:jc w:val="both"/>
        <w:rPr>
          <w:rFonts w:ascii="Verdana" w:hAnsi="Verdana"/>
          <w:sz w:val="20"/>
          <w:szCs w:val="20"/>
          <w:lang w:val="es-MX"/>
        </w:rPr>
      </w:pPr>
      <w:r w:rsidRPr="002C1C08">
        <w:rPr>
          <w:rFonts w:ascii="Verdana" w:hAnsi="Verdana"/>
          <w:sz w:val="20"/>
          <w:szCs w:val="20"/>
          <w:lang w:val="es-MX"/>
        </w:rPr>
        <w:t>4.</w:t>
      </w:r>
      <w:r w:rsidRPr="002C1C08">
        <w:rPr>
          <w:rFonts w:ascii="Verdana" w:hAnsi="Verdana"/>
          <w:sz w:val="20"/>
          <w:szCs w:val="20"/>
          <w:lang w:val="es-MX"/>
        </w:rPr>
        <w:tab/>
      </w:r>
      <w:r w:rsidR="004152CF">
        <w:rPr>
          <w:rFonts w:ascii="Verdana" w:hAnsi="Verdana"/>
          <w:sz w:val="20"/>
          <w:szCs w:val="20"/>
          <w:lang w:val="es-MX"/>
        </w:rPr>
        <w:t>A</w:t>
      </w:r>
      <w:r w:rsidR="00665167">
        <w:rPr>
          <w:rFonts w:ascii="Verdana" w:hAnsi="Verdana"/>
          <w:sz w:val="20"/>
          <w:szCs w:val="20"/>
          <w:lang w:val="es-MX"/>
        </w:rPr>
        <w:t xml:space="preserve">clarar por vía de interpretación y con base en los párrafos 140, 141,142, 206, 262, 266, 289 y el noveno punto resolutivo de la Sentencia de excepciones preliminares, fondo, reparaciones y costas emitida el 2 de octubre de 2015, que la medida de satisfacción ordenada al Estado de continuar y concluir, en un plazo razonable la investigación de la alegada “tortura psicológica” del señor Galindo y de ser procedente, identificar, juzgar y, en su caso, sancionar a los responsables, debe comprender igualmente la investigación </w:t>
      </w:r>
      <w:r w:rsidR="004F0DED">
        <w:rPr>
          <w:rFonts w:ascii="Verdana" w:hAnsi="Verdana"/>
          <w:sz w:val="20"/>
          <w:szCs w:val="20"/>
          <w:lang w:val="es-MX"/>
        </w:rPr>
        <w:t>de los hechos relacionados con</w:t>
      </w:r>
      <w:r w:rsidR="00665167">
        <w:rPr>
          <w:rFonts w:ascii="Verdana" w:hAnsi="Verdana"/>
          <w:sz w:val="20"/>
          <w:szCs w:val="20"/>
          <w:lang w:val="es-MX"/>
        </w:rPr>
        <w:t xml:space="preserve"> la vulneración al derecho a la libertad personal en perjuicio del señor </w:t>
      </w:r>
      <w:r w:rsidR="004F0DED">
        <w:rPr>
          <w:rFonts w:ascii="Verdana" w:hAnsi="Verdana"/>
          <w:sz w:val="20"/>
          <w:szCs w:val="20"/>
          <w:lang w:val="es-MX"/>
        </w:rPr>
        <w:t xml:space="preserve">Luis Antonio </w:t>
      </w:r>
      <w:r w:rsidR="00665167">
        <w:rPr>
          <w:rFonts w:ascii="Verdana" w:hAnsi="Verdana"/>
          <w:sz w:val="20"/>
          <w:szCs w:val="20"/>
          <w:lang w:val="es-MX"/>
        </w:rPr>
        <w:t>Galindo</w:t>
      </w:r>
      <w:r w:rsidR="004F0DED">
        <w:rPr>
          <w:rFonts w:ascii="Verdana" w:hAnsi="Verdana"/>
          <w:sz w:val="20"/>
          <w:szCs w:val="20"/>
          <w:lang w:val="es-MX"/>
        </w:rPr>
        <w:t xml:space="preserve"> Cárdenas</w:t>
      </w:r>
      <w:r w:rsidR="00665167">
        <w:rPr>
          <w:rFonts w:ascii="Verdana" w:hAnsi="Verdana"/>
          <w:sz w:val="20"/>
          <w:szCs w:val="20"/>
          <w:lang w:val="es-MX"/>
        </w:rPr>
        <w:t xml:space="preserve">, de conformidad con los párrafos </w:t>
      </w:r>
      <w:r w:rsidR="00DF4671">
        <w:rPr>
          <w:rFonts w:ascii="Verdana" w:hAnsi="Verdana"/>
          <w:sz w:val="20"/>
          <w:szCs w:val="20"/>
          <w:lang w:val="es-MX"/>
        </w:rPr>
        <w:t>31, 32, 33 y 34</w:t>
      </w:r>
      <w:r w:rsidR="004F0DED">
        <w:rPr>
          <w:rFonts w:ascii="Verdana" w:hAnsi="Verdana"/>
          <w:sz w:val="20"/>
          <w:szCs w:val="20"/>
          <w:lang w:val="es-MX"/>
        </w:rPr>
        <w:t xml:space="preserve"> </w:t>
      </w:r>
      <w:r w:rsidR="00665167">
        <w:rPr>
          <w:rFonts w:ascii="Verdana" w:hAnsi="Verdana"/>
          <w:sz w:val="20"/>
          <w:szCs w:val="20"/>
          <w:lang w:val="es-MX"/>
        </w:rPr>
        <w:t>de la pres</w:t>
      </w:r>
      <w:r>
        <w:rPr>
          <w:rFonts w:ascii="Verdana" w:hAnsi="Verdana"/>
          <w:sz w:val="20"/>
          <w:szCs w:val="20"/>
          <w:lang w:val="es-MX"/>
        </w:rPr>
        <w:t xml:space="preserve">ente </w:t>
      </w:r>
      <w:r w:rsidR="00DF4671">
        <w:rPr>
          <w:rFonts w:ascii="Verdana" w:hAnsi="Verdana"/>
          <w:sz w:val="20"/>
          <w:szCs w:val="20"/>
          <w:lang w:val="es-MX"/>
        </w:rPr>
        <w:t xml:space="preserve">Interpretación de </w:t>
      </w:r>
      <w:r>
        <w:rPr>
          <w:rFonts w:ascii="Verdana" w:hAnsi="Verdana"/>
          <w:sz w:val="20"/>
          <w:szCs w:val="20"/>
          <w:lang w:val="es-MX"/>
        </w:rPr>
        <w:t>Sentencia</w:t>
      </w:r>
      <w:r w:rsidR="00665167">
        <w:rPr>
          <w:rFonts w:ascii="Verdana" w:hAnsi="Verdana"/>
          <w:sz w:val="20"/>
          <w:szCs w:val="20"/>
          <w:lang w:val="es-MX"/>
        </w:rPr>
        <w:t>.</w:t>
      </w:r>
    </w:p>
    <w:p w:rsidR="00665167" w:rsidRPr="00C97EE2" w:rsidRDefault="005C52F3" w:rsidP="00F317D8">
      <w:pPr>
        <w:spacing w:after="0" w:line="240" w:lineRule="auto"/>
        <w:jc w:val="both"/>
        <w:rPr>
          <w:rFonts w:ascii="Verdana" w:hAnsi="Verdana"/>
          <w:sz w:val="20"/>
          <w:szCs w:val="20"/>
          <w:lang w:val="es-MX"/>
        </w:rPr>
      </w:pPr>
      <w:r>
        <w:rPr>
          <w:rFonts w:ascii="Verdana" w:hAnsi="Verdana"/>
          <w:sz w:val="20"/>
          <w:szCs w:val="20"/>
          <w:lang w:val="es-MX"/>
        </w:rPr>
        <w:t>5</w:t>
      </w:r>
      <w:r w:rsidR="00665167" w:rsidRPr="002A0769">
        <w:rPr>
          <w:rFonts w:ascii="Verdana" w:hAnsi="Verdana"/>
          <w:sz w:val="20"/>
          <w:szCs w:val="20"/>
          <w:lang w:val="es-MX"/>
        </w:rPr>
        <w:t>.</w:t>
      </w:r>
      <w:r w:rsidR="00665167">
        <w:rPr>
          <w:rFonts w:ascii="Verdana" w:hAnsi="Verdana"/>
          <w:sz w:val="20"/>
          <w:szCs w:val="20"/>
          <w:lang w:val="es-MX"/>
        </w:rPr>
        <w:tab/>
      </w:r>
      <w:r w:rsidR="00665167" w:rsidRPr="002A0769">
        <w:rPr>
          <w:rFonts w:ascii="Verdana" w:hAnsi="Verdana"/>
          <w:sz w:val="20"/>
          <w:szCs w:val="20"/>
          <w:lang w:val="es-MX"/>
        </w:rPr>
        <w:t>Disponer que la Secretaría de la Corte notifique la presente Sentencia al Estado del Per</w:t>
      </w:r>
      <w:r w:rsidR="00665167">
        <w:rPr>
          <w:rFonts w:ascii="Verdana" w:hAnsi="Verdana"/>
          <w:sz w:val="20"/>
          <w:szCs w:val="20"/>
          <w:lang w:val="es-MX"/>
        </w:rPr>
        <w:t>ú, al representante</w:t>
      </w:r>
      <w:r w:rsidR="00665167" w:rsidRPr="002A0769">
        <w:rPr>
          <w:rFonts w:ascii="Verdana" w:hAnsi="Verdana"/>
          <w:sz w:val="20"/>
          <w:szCs w:val="20"/>
          <w:lang w:val="es-MX"/>
        </w:rPr>
        <w:t xml:space="preserve"> de las víctimas y a la Comisión Interamericana de Derechos Humanos.</w:t>
      </w:r>
    </w:p>
    <w:p w:rsidR="00303238" w:rsidRDefault="00303238" w:rsidP="00F317D8">
      <w:pPr>
        <w:spacing w:after="0" w:line="240" w:lineRule="auto"/>
        <w:jc w:val="both"/>
        <w:rPr>
          <w:rFonts w:ascii="Verdana" w:hAnsi="Verdana"/>
          <w:sz w:val="20"/>
          <w:szCs w:val="20"/>
          <w:lang w:val="es-MX"/>
        </w:rPr>
      </w:pPr>
    </w:p>
    <w:p w:rsidR="007E55BC" w:rsidRDefault="007E55BC" w:rsidP="00F317D8">
      <w:pPr>
        <w:spacing w:after="0" w:line="240" w:lineRule="auto"/>
        <w:jc w:val="both"/>
        <w:rPr>
          <w:rFonts w:ascii="Verdana" w:hAnsi="Verdana"/>
          <w:sz w:val="20"/>
          <w:szCs w:val="20"/>
          <w:lang w:val="es-MX"/>
        </w:rPr>
      </w:pPr>
    </w:p>
    <w:p w:rsidR="00665167" w:rsidRPr="007A0753" w:rsidRDefault="00665167" w:rsidP="00F317D8">
      <w:pPr>
        <w:spacing w:after="0" w:line="240" w:lineRule="auto"/>
        <w:jc w:val="both"/>
        <w:rPr>
          <w:rFonts w:ascii="Verdana" w:hAnsi="Verdana"/>
          <w:sz w:val="20"/>
          <w:szCs w:val="20"/>
          <w:lang w:val="es-MX"/>
        </w:rPr>
      </w:pPr>
      <w:r w:rsidRPr="007A0753">
        <w:rPr>
          <w:rFonts w:ascii="Verdana" w:hAnsi="Verdana"/>
          <w:sz w:val="20"/>
          <w:szCs w:val="20"/>
          <w:lang w:val="es-MX"/>
        </w:rPr>
        <w:t>Redactada en español</w:t>
      </w:r>
      <w:r>
        <w:rPr>
          <w:rFonts w:ascii="Verdana" w:hAnsi="Verdana"/>
          <w:sz w:val="20"/>
          <w:szCs w:val="20"/>
          <w:lang w:val="es-MX"/>
        </w:rPr>
        <w:t xml:space="preserve">, en San José, Costa Rica, el </w:t>
      </w:r>
      <w:r w:rsidR="004152CF">
        <w:rPr>
          <w:rFonts w:ascii="Verdana" w:hAnsi="Verdana"/>
          <w:sz w:val="20"/>
          <w:szCs w:val="20"/>
          <w:lang w:val="es-MX"/>
        </w:rPr>
        <w:t>21</w:t>
      </w:r>
      <w:r w:rsidR="00541927">
        <w:rPr>
          <w:rFonts w:ascii="Verdana" w:hAnsi="Verdana"/>
          <w:sz w:val="20"/>
          <w:szCs w:val="20"/>
          <w:lang w:val="es-MX"/>
        </w:rPr>
        <w:t xml:space="preserve"> de </w:t>
      </w:r>
      <w:r w:rsidR="004152CF">
        <w:rPr>
          <w:rFonts w:ascii="Verdana" w:hAnsi="Verdana"/>
          <w:sz w:val="20"/>
          <w:szCs w:val="20"/>
          <w:lang w:val="es-MX"/>
        </w:rPr>
        <w:t>noviembre</w:t>
      </w:r>
      <w:r>
        <w:rPr>
          <w:rFonts w:ascii="Verdana" w:hAnsi="Verdana"/>
          <w:sz w:val="20"/>
          <w:szCs w:val="20"/>
          <w:lang w:val="es-MX"/>
        </w:rPr>
        <w:t xml:space="preserve"> de 2016</w:t>
      </w:r>
      <w:r w:rsidRPr="007A0753">
        <w:rPr>
          <w:rFonts w:ascii="Verdana" w:hAnsi="Verdana"/>
          <w:sz w:val="20"/>
          <w:szCs w:val="20"/>
          <w:lang w:val="es-MX"/>
        </w:rPr>
        <w:t>.</w:t>
      </w:r>
    </w:p>
    <w:p w:rsidR="00665167" w:rsidRDefault="00665167" w:rsidP="00665167">
      <w:pPr>
        <w:tabs>
          <w:tab w:val="left" w:pos="1014"/>
        </w:tabs>
        <w:spacing w:line="240" w:lineRule="auto"/>
        <w:jc w:val="both"/>
        <w:rPr>
          <w:rFonts w:ascii="Verdana" w:hAnsi="Verdana"/>
          <w:sz w:val="20"/>
          <w:szCs w:val="20"/>
          <w:lang w:val="es-MX"/>
        </w:rPr>
      </w:pPr>
    </w:p>
    <w:p w:rsidR="000435B1" w:rsidRDefault="000435B1" w:rsidP="00665167">
      <w:pPr>
        <w:tabs>
          <w:tab w:val="left" w:pos="1014"/>
        </w:tabs>
        <w:spacing w:line="240" w:lineRule="auto"/>
        <w:jc w:val="both"/>
        <w:rPr>
          <w:rFonts w:ascii="Verdana" w:hAnsi="Verdana"/>
          <w:sz w:val="20"/>
          <w:szCs w:val="20"/>
          <w:lang w:val="es-MX"/>
        </w:rPr>
      </w:pPr>
    </w:p>
    <w:p w:rsidR="00C417AE" w:rsidRPr="007A0753" w:rsidRDefault="000A264A" w:rsidP="00665167">
      <w:pPr>
        <w:tabs>
          <w:tab w:val="left" w:pos="1014"/>
        </w:tabs>
        <w:spacing w:line="240" w:lineRule="auto"/>
        <w:jc w:val="both"/>
        <w:rPr>
          <w:rFonts w:ascii="Verdana" w:hAnsi="Verdana"/>
          <w:sz w:val="20"/>
          <w:szCs w:val="20"/>
          <w:lang w:val="es-MX"/>
        </w:rPr>
      </w:pPr>
      <w:r>
        <w:rPr>
          <w:rFonts w:ascii="Verdana" w:hAnsi="Verdana"/>
          <w:sz w:val="20"/>
          <w:szCs w:val="20"/>
          <w:lang w:val="es-MX"/>
        </w:rPr>
        <w:lastRenderedPageBreak/>
        <w:t>Sentencia de int</w:t>
      </w:r>
      <w:r w:rsidR="00D83888">
        <w:rPr>
          <w:rFonts w:ascii="Verdana" w:hAnsi="Verdana"/>
          <w:sz w:val="20"/>
          <w:szCs w:val="20"/>
          <w:lang w:val="es-MX"/>
        </w:rPr>
        <w:t>erpretación de la Sentencia de E</w:t>
      </w:r>
      <w:r>
        <w:rPr>
          <w:rFonts w:ascii="Verdana" w:hAnsi="Verdana"/>
          <w:sz w:val="20"/>
          <w:szCs w:val="20"/>
          <w:lang w:val="es-MX"/>
        </w:rPr>
        <w:t xml:space="preserve">xcepciones </w:t>
      </w:r>
      <w:r w:rsidR="00D83888">
        <w:rPr>
          <w:rFonts w:ascii="Verdana" w:hAnsi="Verdana"/>
          <w:sz w:val="20"/>
          <w:szCs w:val="20"/>
          <w:lang w:val="es-MX"/>
        </w:rPr>
        <w:t>Preliminares, Fondo y Reparaciones y C</w:t>
      </w:r>
      <w:r>
        <w:rPr>
          <w:rFonts w:ascii="Verdana" w:hAnsi="Verdana"/>
          <w:sz w:val="20"/>
          <w:szCs w:val="20"/>
          <w:lang w:val="es-MX"/>
        </w:rPr>
        <w:t>ostas.</w:t>
      </w:r>
      <w:r w:rsidR="00D83888">
        <w:rPr>
          <w:rFonts w:ascii="Verdana" w:hAnsi="Verdana"/>
          <w:sz w:val="20"/>
          <w:szCs w:val="20"/>
          <w:lang w:val="es-MX"/>
        </w:rPr>
        <w:t xml:space="preserve"> Caso Galindo Cárdenas y otros Vs. Perú.</w:t>
      </w:r>
    </w:p>
    <w:p w:rsidR="00345A5F" w:rsidRDefault="00345A5F" w:rsidP="00345A5F">
      <w:pPr>
        <w:spacing w:after="0"/>
        <w:jc w:val="both"/>
        <w:rPr>
          <w:rFonts w:ascii="Verdana" w:hAnsi="Verdana"/>
          <w:sz w:val="20"/>
          <w:lang w:val="es-CR"/>
        </w:rPr>
      </w:pPr>
    </w:p>
    <w:p w:rsidR="00345A5F" w:rsidRDefault="00345A5F" w:rsidP="00345A5F">
      <w:pPr>
        <w:spacing w:after="0"/>
        <w:jc w:val="both"/>
        <w:rPr>
          <w:rFonts w:ascii="Verdana" w:hAnsi="Verdana"/>
          <w:sz w:val="20"/>
          <w:lang w:val="es-CR"/>
        </w:rPr>
      </w:pPr>
    </w:p>
    <w:p w:rsidR="00345A5F" w:rsidRDefault="00345A5F" w:rsidP="00345A5F">
      <w:pPr>
        <w:spacing w:after="0"/>
        <w:jc w:val="both"/>
        <w:rPr>
          <w:rFonts w:ascii="Verdana" w:hAnsi="Verdana"/>
          <w:sz w:val="20"/>
          <w:lang w:val="es-CR"/>
        </w:rPr>
      </w:pPr>
    </w:p>
    <w:p w:rsidR="00345A5F" w:rsidRPr="004B7A1D" w:rsidRDefault="00345A5F" w:rsidP="00345A5F">
      <w:pPr>
        <w:spacing w:after="0"/>
        <w:jc w:val="center"/>
        <w:rPr>
          <w:rFonts w:ascii="Verdana" w:hAnsi="Verdana"/>
          <w:sz w:val="20"/>
          <w:lang w:val="es-ES"/>
        </w:rPr>
      </w:pPr>
      <w:r>
        <w:rPr>
          <w:rFonts w:ascii="Verdana" w:hAnsi="Verdana"/>
          <w:sz w:val="20"/>
          <w:lang w:val="es-ES"/>
        </w:rPr>
        <w:t>Roberto F. Caldas</w:t>
      </w:r>
    </w:p>
    <w:p w:rsidR="00345A5F" w:rsidRDefault="00345A5F" w:rsidP="00345A5F">
      <w:pPr>
        <w:spacing w:after="0"/>
        <w:jc w:val="center"/>
        <w:rPr>
          <w:rFonts w:ascii="Verdana" w:hAnsi="Verdana"/>
          <w:sz w:val="20"/>
          <w:lang w:val="es-ES"/>
        </w:rPr>
      </w:pPr>
      <w:r w:rsidRPr="004B7A1D">
        <w:rPr>
          <w:rFonts w:ascii="Verdana" w:hAnsi="Verdana"/>
          <w:sz w:val="20"/>
          <w:lang w:val="es-ES"/>
        </w:rPr>
        <w:t>Presidente</w:t>
      </w:r>
      <w:r>
        <w:rPr>
          <w:rFonts w:ascii="Verdana" w:hAnsi="Verdana"/>
          <w:sz w:val="20"/>
          <w:lang w:val="es-ES"/>
        </w:rPr>
        <w:t xml:space="preserve"> </w:t>
      </w:r>
    </w:p>
    <w:p w:rsidR="00345A5F" w:rsidRPr="004B7A1D" w:rsidRDefault="00345A5F" w:rsidP="00345A5F">
      <w:pPr>
        <w:spacing w:after="0"/>
        <w:jc w:val="center"/>
        <w:rPr>
          <w:rFonts w:ascii="Verdana" w:hAnsi="Verdana"/>
          <w:sz w:val="20"/>
          <w:lang w:val="es-ES"/>
        </w:rPr>
      </w:pPr>
    </w:p>
    <w:p w:rsidR="00345A5F" w:rsidRDefault="00345A5F" w:rsidP="00345A5F">
      <w:pPr>
        <w:spacing w:after="0"/>
        <w:jc w:val="both"/>
        <w:rPr>
          <w:rFonts w:ascii="Verdana" w:hAnsi="Verdana"/>
          <w:sz w:val="20"/>
          <w:lang w:val="es-ES"/>
        </w:rPr>
      </w:pPr>
    </w:p>
    <w:p w:rsidR="00345A5F" w:rsidRPr="004B7A1D" w:rsidRDefault="00345A5F" w:rsidP="00345A5F">
      <w:pPr>
        <w:spacing w:after="0"/>
        <w:jc w:val="both"/>
        <w:rPr>
          <w:rFonts w:ascii="Verdana" w:hAnsi="Verdana"/>
          <w:sz w:val="20"/>
          <w:lang w:val="es-ES"/>
        </w:rPr>
      </w:pPr>
    </w:p>
    <w:p w:rsidR="00345A5F" w:rsidRPr="004B7A1D" w:rsidRDefault="00345A5F" w:rsidP="00345A5F">
      <w:pPr>
        <w:tabs>
          <w:tab w:val="left" w:pos="1485"/>
        </w:tabs>
        <w:spacing w:after="0"/>
        <w:jc w:val="both"/>
        <w:rPr>
          <w:rFonts w:ascii="Verdana" w:hAnsi="Verdana"/>
          <w:sz w:val="20"/>
          <w:lang w:val="es-ES"/>
        </w:rPr>
      </w:pPr>
      <w:r>
        <w:rPr>
          <w:rFonts w:ascii="Verdana" w:hAnsi="Verdana"/>
          <w:sz w:val="20"/>
          <w:lang w:val="es-ES"/>
        </w:rPr>
        <w:tab/>
      </w:r>
    </w:p>
    <w:p w:rsidR="00345A5F" w:rsidRDefault="00345A5F" w:rsidP="00345A5F">
      <w:pPr>
        <w:spacing w:after="0"/>
        <w:jc w:val="both"/>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Manuel E. Ventura Robles</w:t>
      </w:r>
    </w:p>
    <w:p w:rsidR="00345A5F" w:rsidRDefault="00345A5F" w:rsidP="00345A5F">
      <w:pPr>
        <w:spacing w:after="0"/>
        <w:jc w:val="both"/>
        <w:rPr>
          <w:rFonts w:ascii="Verdana" w:hAnsi="Verdana"/>
          <w:sz w:val="20"/>
          <w:lang w:val="es-ES"/>
        </w:rPr>
      </w:pPr>
    </w:p>
    <w:p w:rsidR="00345A5F" w:rsidRDefault="00345A5F" w:rsidP="00345A5F">
      <w:pPr>
        <w:spacing w:after="0"/>
        <w:jc w:val="both"/>
        <w:rPr>
          <w:rFonts w:ascii="Verdana" w:hAnsi="Verdana"/>
          <w:sz w:val="20"/>
          <w:lang w:val="es-ES"/>
        </w:rPr>
      </w:pPr>
    </w:p>
    <w:p w:rsidR="00345A5F" w:rsidRDefault="00345A5F" w:rsidP="00345A5F">
      <w:pPr>
        <w:spacing w:after="0"/>
        <w:jc w:val="both"/>
        <w:rPr>
          <w:rFonts w:ascii="Verdana" w:hAnsi="Verdana"/>
          <w:sz w:val="20"/>
          <w:lang w:val="es-ES"/>
        </w:rPr>
      </w:pPr>
    </w:p>
    <w:p w:rsidR="00345A5F" w:rsidRDefault="00345A5F" w:rsidP="00345A5F">
      <w:pPr>
        <w:spacing w:after="0"/>
        <w:jc w:val="both"/>
        <w:rPr>
          <w:rFonts w:ascii="Verdana" w:hAnsi="Verdana"/>
          <w:sz w:val="20"/>
          <w:lang w:val="es-ES"/>
        </w:rPr>
      </w:pPr>
    </w:p>
    <w:p w:rsidR="00345A5F" w:rsidRDefault="00345A5F" w:rsidP="00345A5F">
      <w:pPr>
        <w:spacing w:after="0"/>
        <w:jc w:val="both"/>
        <w:rPr>
          <w:rFonts w:ascii="Verdana" w:hAnsi="Verdana"/>
          <w:sz w:val="20"/>
          <w:lang w:val="es-ES"/>
        </w:rPr>
      </w:pPr>
    </w:p>
    <w:p w:rsidR="00345A5F" w:rsidRDefault="00345A5F" w:rsidP="00345A5F">
      <w:pPr>
        <w:spacing w:after="0"/>
        <w:jc w:val="both"/>
        <w:rPr>
          <w:rFonts w:ascii="Verdana" w:hAnsi="Verdana"/>
          <w:sz w:val="20"/>
          <w:lang w:val="es-ES"/>
        </w:rPr>
      </w:pPr>
      <w:r>
        <w:rPr>
          <w:rFonts w:ascii="Verdana" w:hAnsi="Verdana"/>
          <w:sz w:val="20"/>
          <w:lang w:val="es-ES"/>
        </w:rPr>
        <w:t xml:space="preserve">Alberto Pérez </w:t>
      </w:r>
      <w:proofErr w:type="spellStart"/>
      <w:r>
        <w:rPr>
          <w:rFonts w:ascii="Verdana" w:hAnsi="Verdana"/>
          <w:sz w:val="20"/>
          <w:lang w:val="es-ES"/>
        </w:rPr>
        <w:t>Pérez</w:t>
      </w:r>
      <w:proofErr w:type="spellEnd"/>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Eduardo Vio Grossi</w:t>
      </w:r>
    </w:p>
    <w:p w:rsidR="00345A5F" w:rsidRDefault="00345A5F" w:rsidP="00345A5F">
      <w:pPr>
        <w:spacing w:after="0"/>
        <w:jc w:val="both"/>
        <w:rPr>
          <w:rFonts w:ascii="Verdana" w:hAnsi="Verdana"/>
          <w:sz w:val="20"/>
          <w:lang w:val="es-ES"/>
        </w:rPr>
      </w:pPr>
    </w:p>
    <w:p w:rsidR="00345A5F" w:rsidRDefault="00345A5F" w:rsidP="00345A5F">
      <w:pPr>
        <w:spacing w:after="0"/>
        <w:jc w:val="both"/>
        <w:rPr>
          <w:rFonts w:ascii="Verdana" w:hAnsi="Verdana"/>
          <w:sz w:val="20"/>
          <w:lang w:val="es-ES"/>
        </w:rPr>
      </w:pPr>
    </w:p>
    <w:p w:rsidR="00345A5F" w:rsidRDefault="00345A5F" w:rsidP="00345A5F">
      <w:pPr>
        <w:spacing w:after="0"/>
        <w:jc w:val="both"/>
        <w:rPr>
          <w:rFonts w:ascii="Verdana" w:hAnsi="Verdana"/>
          <w:sz w:val="20"/>
          <w:lang w:val="es-ES"/>
        </w:rPr>
      </w:pPr>
    </w:p>
    <w:p w:rsidR="00345A5F" w:rsidRDefault="00345A5F" w:rsidP="00345A5F">
      <w:pPr>
        <w:spacing w:after="0"/>
        <w:jc w:val="both"/>
        <w:rPr>
          <w:rFonts w:ascii="Verdana" w:hAnsi="Verdana"/>
          <w:sz w:val="20"/>
          <w:lang w:val="es-ES"/>
        </w:rPr>
      </w:pPr>
    </w:p>
    <w:p w:rsidR="00345A5F" w:rsidRDefault="00345A5F" w:rsidP="00345A5F">
      <w:pPr>
        <w:spacing w:after="0"/>
        <w:jc w:val="center"/>
        <w:rPr>
          <w:rFonts w:ascii="Verdana" w:hAnsi="Verdana"/>
          <w:sz w:val="20"/>
          <w:lang w:val="es-ES"/>
        </w:rPr>
      </w:pPr>
      <w:r>
        <w:rPr>
          <w:rFonts w:ascii="Verdana" w:hAnsi="Verdana"/>
          <w:sz w:val="20"/>
          <w:lang w:val="es-ES"/>
        </w:rPr>
        <w:t>Humberto Antonio Sierra Porto</w:t>
      </w:r>
    </w:p>
    <w:p w:rsidR="00345A5F" w:rsidRDefault="00345A5F" w:rsidP="00345A5F">
      <w:pPr>
        <w:spacing w:after="0"/>
        <w:jc w:val="both"/>
        <w:rPr>
          <w:rFonts w:ascii="Verdana" w:hAnsi="Verdana"/>
          <w:sz w:val="20"/>
          <w:lang w:val="es-ES"/>
        </w:rPr>
      </w:pPr>
    </w:p>
    <w:p w:rsidR="00345A5F" w:rsidRDefault="00345A5F" w:rsidP="00345A5F">
      <w:pPr>
        <w:spacing w:after="0"/>
        <w:jc w:val="both"/>
        <w:rPr>
          <w:rFonts w:ascii="Verdana" w:hAnsi="Verdana"/>
          <w:sz w:val="20"/>
          <w:lang w:val="es-ES"/>
        </w:rPr>
      </w:pPr>
    </w:p>
    <w:p w:rsidR="00345A5F" w:rsidRDefault="00345A5F" w:rsidP="00345A5F">
      <w:pPr>
        <w:spacing w:after="0"/>
        <w:jc w:val="both"/>
        <w:rPr>
          <w:rFonts w:ascii="Verdana" w:hAnsi="Verdana"/>
          <w:sz w:val="20"/>
          <w:lang w:val="es-ES"/>
        </w:rPr>
      </w:pPr>
    </w:p>
    <w:p w:rsidR="00345A5F" w:rsidRPr="004B7A1D" w:rsidRDefault="00345A5F" w:rsidP="00345A5F">
      <w:pPr>
        <w:spacing w:after="0"/>
        <w:jc w:val="both"/>
        <w:rPr>
          <w:rFonts w:ascii="Verdana" w:hAnsi="Verdana"/>
          <w:sz w:val="20"/>
          <w:lang w:val="es-ES"/>
        </w:rPr>
      </w:pPr>
    </w:p>
    <w:p w:rsidR="00345A5F" w:rsidRPr="004B7A1D" w:rsidRDefault="00345A5F" w:rsidP="00345A5F">
      <w:pPr>
        <w:spacing w:after="0"/>
        <w:jc w:val="center"/>
        <w:rPr>
          <w:rFonts w:ascii="Verdana" w:hAnsi="Verdana"/>
          <w:sz w:val="20"/>
          <w:lang w:val="es-ES"/>
        </w:rPr>
      </w:pPr>
      <w:r w:rsidRPr="004B7A1D">
        <w:rPr>
          <w:rFonts w:ascii="Verdana" w:hAnsi="Verdana"/>
          <w:sz w:val="20"/>
          <w:lang w:val="es-ES"/>
        </w:rPr>
        <w:t>Pablo Saavedra Alessandri</w:t>
      </w:r>
    </w:p>
    <w:p w:rsidR="00345A5F" w:rsidRPr="004B7A1D" w:rsidRDefault="00345A5F" w:rsidP="00345A5F">
      <w:pPr>
        <w:spacing w:after="0"/>
        <w:jc w:val="center"/>
        <w:rPr>
          <w:rFonts w:ascii="Verdana" w:hAnsi="Verdana"/>
          <w:sz w:val="20"/>
          <w:lang w:val="es-ES"/>
        </w:rPr>
      </w:pPr>
      <w:r w:rsidRPr="004B7A1D">
        <w:rPr>
          <w:rFonts w:ascii="Verdana" w:hAnsi="Verdana"/>
          <w:sz w:val="20"/>
          <w:lang w:val="es-ES"/>
        </w:rPr>
        <w:t>Secretario</w:t>
      </w:r>
    </w:p>
    <w:p w:rsidR="00345A5F" w:rsidRPr="004B7A1D" w:rsidRDefault="00345A5F" w:rsidP="00345A5F">
      <w:pPr>
        <w:pStyle w:val="FootnoteText"/>
        <w:rPr>
          <w:rFonts w:ascii="Verdana" w:hAnsi="Verdana"/>
          <w:lang w:val="es-ES"/>
        </w:rPr>
      </w:pPr>
    </w:p>
    <w:p w:rsidR="00345A5F" w:rsidRPr="004B7A1D" w:rsidRDefault="00345A5F" w:rsidP="00345A5F">
      <w:pPr>
        <w:pStyle w:val="FootnoteText"/>
        <w:rPr>
          <w:rFonts w:ascii="Verdana" w:hAnsi="Verdana"/>
          <w:lang w:val="es-ES"/>
        </w:rPr>
      </w:pPr>
    </w:p>
    <w:p w:rsidR="00345A5F" w:rsidRPr="004B7A1D" w:rsidRDefault="00345A5F" w:rsidP="00345A5F">
      <w:pPr>
        <w:pStyle w:val="FootnoteText"/>
        <w:rPr>
          <w:rFonts w:ascii="Verdana" w:hAnsi="Verdana"/>
          <w:lang w:val="es-ES"/>
        </w:rPr>
      </w:pPr>
    </w:p>
    <w:p w:rsidR="00345A5F" w:rsidRPr="004B7A1D" w:rsidRDefault="00345A5F" w:rsidP="00345A5F">
      <w:pPr>
        <w:spacing w:after="0"/>
        <w:jc w:val="both"/>
        <w:rPr>
          <w:rFonts w:ascii="Verdana" w:hAnsi="Verdana"/>
          <w:sz w:val="20"/>
          <w:lang w:val="es-ES"/>
        </w:rPr>
      </w:pPr>
      <w:r w:rsidRPr="004B7A1D">
        <w:rPr>
          <w:rFonts w:ascii="Verdana" w:hAnsi="Verdana"/>
          <w:sz w:val="20"/>
          <w:lang w:val="es-ES"/>
        </w:rPr>
        <w:t>Comuníquese y ejecútese,</w:t>
      </w:r>
    </w:p>
    <w:p w:rsidR="00345A5F" w:rsidRDefault="00345A5F" w:rsidP="00345A5F">
      <w:pPr>
        <w:spacing w:after="0"/>
        <w:jc w:val="both"/>
        <w:rPr>
          <w:rFonts w:ascii="Verdana" w:hAnsi="Verdana"/>
          <w:sz w:val="20"/>
          <w:lang w:val="es-ES"/>
        </w:rPr>
      </w:pPr>
    </w:p>
    <w:p w:rsidR="00345A5F" w:rsidRDefault="00345A5F" w:rsidP="00345A5F">
      <w:pPr>
        <w:spacing w:after="0"/>
        <w:jc w:val="both"/>
        <w:rPr>
          <w:rFonts w:ascii="Verdana" w:hAnsi="Verdana"/>
          <w:sz w:val="20"/>
          <w:lang w:val="es-ES"/>
        </w:rPr>
      </w:pPr>
    </w:p>
    <w:p w:rsidR="00345A5F" w:rsidRPr="004B7A1D" w:rsidRDefault="00345A5F" w:rsidP="00345A5F">
      <w:pPr>
        <w:spacing w:after="0"/>
        <w:jc w:val="both"/>
        <w:rPr>
          <w:rFonts w:ascii="Verdana" w:hAnsi="Verdana"/>
          <w:sz w:val="20"/>
          <w:lang w:val="es-ES"/>
        </w:rPr>
      </w:pPr>
    </w:p>
    <w:p w:rsidR="00345A5F" w:rsidRPr="004B7A1D" w:rsidRDefault="00345A5F" w:rsidP="00345A5F">
      <w:pPr>
        <w:spacing w:after="0"/>
        <w:jc w:val="both"/>
        <w:rPr>
          <w:rFonts w:ascii="Verdana" w:hAnsi="Verdana"/>
          <w:sz w:val="20"/>
          <w:lang w:val="es-ES"/>
        </w:rPr>
      </w:pPr>
    </w:p>
    <w:p w:rsidR="00345A5F" w:rsidRPr="004B7A1D" w:rsidRDefault="00345A5F" w:rsidP="00345A5F">
      <w:pPr>
        <w:spacing w:after="0"/>
        <w:jc w:val="both"/>
        <w:rPr>
          <w:rFonts w:ascii="Verdana" w:hAnsi="Verdana"/>
          <w:sz w:val="20"/>
          <w:lang w:val="es-ES"/>
        </w:rPr>
      </w:pPr>
    </w:p>
    <w:p w:rsidR="00345A5F" w:rsidRPr="004B7A1D" w:rsidRDefault="00345A5F" w:rsidP="00345A5F">
      <w:pPr>
        <w:spacing w:after="0"/>
        <w:ind w:left="4956" w:firstLine="708"/>
        <w:jc w:val="center"/>
        <w:rPr>
          <w:rFonts w:ascii="Verdana" w:hAnsi="Verdana"/>
          <w:sz w:val="20"/>
          <w:lang w:val="es-ES"/>
        </w:rPr>
      </w:pPr>
      <w:r>
        <w:rPr>
          <w:rFonts w:ascii="Verdana" w:hAnsi="Verdana"/>
          <w:sz w:val="20"/>
          <w:lang w:val="es-ES"/>
        </w:rPr>
        <w:t>Roberto F. Caldas</w:t>
      </w:r>
    </w:p>
    <w:p w:rsidR="00345A5F" w:rsidRPr="004B7A1D" w:rsidRDefault="00345A5F" w:rsidP="00345A5F">
      <w:pPr>
        <w:spacing w:after="0"/>
        <w:ind w:left="4956" w:firstLine="708"/>
        <w:jc w:val="center"/>
        <w:rPr>
          <w:rFonts w:ascii="Verdana" w:hAnsi="Verdana"/>
          <w:sz w:val="20"/>
          <w:lang w:val="es-ES"/>
        </w:rPr>
      </w:pPr>
      <w:r w:rsidRPr="004B7A1D">
        <w:rPr>
          <w:rFonts w:ascii="Verdana" w:hAnsi="Verdana"/>
          <w:sz w:val="20"/>
          <w:lang w:val="es-ES"/>
        </w:rPr>
        <w:t xml:space="preserve">Presidente </w:t>
      </w:r>
    </w:p>
    <w:p w:rsidR="00345A5F" w:rsidRDefault="00345A5F" w:rsidP="00345A5F">
      <w:pPr>
        <w:spacing w:after="0"/>
        <w:jc w:val="both"/>
        <w:rPr>
          <w:rFonts w:ascii="Verdana" w:hAnsi="Verdana"/>
          <w:sz w:val="20"/>
          <w:lang w:val="es-ES"/>
        </w:rPr>
      </w:pPr>
    </w:p>
    <w:p w:rsidR="00345A5F" w:rsidRPr="004B7A1D" w:rsidRDefault="00345A5F" w:rsidP="00345A5F">
      <w:pPr>
        <w:spacing w:after="0"/>
        <w:jc w:val="both"/>
        <w:rPr>
          <w:rFonts w:ascii="Verdana" w:hAnsi="Verdana"/>
          <w:sz w:val="20"/>
          <w:lang w:val="es-ES"/>
        </w:rPr>
      </w:pPr>
    </w:p>
    <w:p w:rsidR="00345A5F" w:rsidRPr="004B7A1D" w:rsidRDefault="00345A5F" w:rsidP="00345A5F">
      <w:pPr>
        <w:spacing w:after="0"/>
        <w:jc w:val="both"/>
        <w:rPr>
          <w:rFonts w:ascii="Verdana" w:hAnsi="Verdana"/>
          <w:sz w:val="20"/>
          <w:lang w:val="es-ES"/>
        </w:rPr>
      </w:pPr>
    </w:p>
    <w:p w:rsidR="00345A5F" w:rsidRPr="004B7A1D" w:rsidRDefault="00345A5F" w:rsidP="00345A5F">
      <w:pPr>
        <w:spacing w:after="0"/>
        <w:jc w:val="both"/>
        <w:rPr>
          <w:rFonts w:ascii="Verdana" w:hAnsi="Verdana"/>
          <w:sz w:val="20"/>
          <w:lang w:val="es-ES"/>
        </w:rPr>
      </w:pPr>
      <w:r w:rsidRPr="004B7A1D">
        <w:rPr>
          <w:rFonts w:ascii="Verdana" w:hAnsi="Verdana"/>
          <w:sz w:val="20"/>
          <w:lang w:val="es-ES"/>
        </w:rPr>
        <w:t>Pablo Saavedra Alessandri</w:t>
      </w:r>
    </w:p>
    <w:p w:rsidR="00345A5F" w:rsidRDefault="00345A5F" w:rsidP="00345A5F">
      <w:pPr>
        <w:spacing w:after="0"/>
        <w:rPr>
          <w:rFonts w:ascii="Verdana" w:hAnsi="Verdana"/>
          <w:sz w:val="20"/>
          <w:lang w:val="es-CR"/>
        </w:rPr>
      </w:pPr>
      <w:r w:rsidRPr="004B7A1D">
        <w:rPr>
          <w:rFonts w:ascii="Verdana" w:hAnsi="Verdana"/>
          <w:sz w:val="20"/>
          <w:lang w:val="es-ES"/>
        </w:rPr>
        <w:tab/>
      </w:r>
      <w:r w:rsidRPr="004B7A1D">
        <w:rPr>
          <w:rFonts w:ascii="Verdana" w:hAnsi="Verdana"/>
          <w:sz w:val="20"/>
          <w:lang w:val="es-CR"/>
        </w:rPr>
        <w:t>Secretario</w:t>
      </w:r>
    </w:p>
    <w:p w:rsidR="00235C99" w:rsidRPr="00C97EE2" w:rsidRDefault="0007366A" w:rsidP="00345A5F">
      <w:pPr>
        <w:spacing w:after="0" w:line="240" w:lineRule="auto"/>
        <w:jc w:val="both"/>
        <w:rPr>
          <w:rFonts w:ascii="Verdana" w:hAnsi="Verdana"/>
          <w:sz w:val="20"/>
          <w:szCs w:val="20"/>
          <w:lang w:val="es-MX"/>
        </w:rPr>
      </w:pPr>
    </w:p>
    <w:sectPr w:rsidR="00235C99" w:rsidRPr="00C97EE2" w:rsidSect="000435B1">
      <w:headerReference w:type="default" r:id="rId9"/>
      <w:footerReference w:type="default" r:id="rId10"/>
      <w:footerReference w:type="first" r:id="rId11"/>
      <w:pgSz w:w="12240" w:h="15840"/>
      <w:pgMar w:top="1440" w:right="1247" w:bottom="1440" w:left="1304"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6A" w:rsidRDefault="0007366A" w:rsidP="00665167">
      <w:pPr>
        <w:spacing w:after="0" w:line="240" w:lineRule="auto"/>
      </w:pPr>
      <w:r>
        <w:separator/>
      </w:r>
    </w:p>
  </w:endnote>
  <w:endnote w:type="continuationSeparator" w:id="0">
    <w:p w:rsidR="0007366A" w:rsidRDefault="0007366A" w:rsidP="0066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F3" w:rsidRDefault="005C52F3">
    <w:pPr>
      <w:pStyle w:val="Footer"/>
      <w:jc w:val="center"/>
    </w:pPr>
  </w:p>
  <w:p w:rsidR="006727E1" w:rsidRPr="006727E1" w:rsidRDefault="0007366A" w:rsidP="006727E1">
    <w:pPr>
      <w:pStyle w:val="Footer"/>
      <w:jc w:val="both"/>
      <w:rPr>
        <w:rFonts w:ascii="Verdana" w:hAnsi="Verdana"/>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8E" w:rsidRDefault="00A67E8E">
    <w:pPr>
      <w:pStyle w:val="Footer"/>
      <w:jc w:val="center"/>
    </w:pPr>
  </w:p>
  <w:p w:rsidR="00BF6461" w:rsidRDefault="00BF6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6A" w:rsidRDefault="0007366A" w:rsidP="00665167">
      <w:pPr>
        <w:spacing w:after="0" w:line="240" w:lineRule="auto"/>
      </w:pPr>
      <w:r>
        <w:separator/>
      </w:r>
    </w:p>
  </w:footnote>
  <w:footnote w:type="continuationSeparator" w:id="0">
    <w:p w:rsidR="0007366A" w:rsidRDefault="0007366A" w:rsidP="00665167">
      <w:pPr>
        <w:spacing w:after="0" w:line="240" w:lineRule="auto"/>
      </w:pPr>
      <w:r>
        <w:continuationSeparator/>
      </w:r>
    </w:p>
  </w:footnote>
  <w:footnote w:id="1">
    <w:p w:rsidR="00D83888" w:rsidRPr="00D83888" w:rsidRDefault="00D83888" w:rsidP="00D83888">
      <w:pPr>
        <w:pStyle w:val="Footer"/>
        <w:tabs>
          <w:tab w:val="clear" w:pos="4680"/>
          <w:tab w:val="clear" w:pos="9360"/>
        </w:tabs>
        <w:jc w:val="both"/>
        <w:rPr>
          <w:rFonts w:ascii="Verdana" w:hAnsi="Verdana"/>
          <w:sz w:val="16"/>
          <w:szCs w:val="16"/>
          <w:lang w:val="es-MX"/>
        </w:rPr>
      </w:pPr>
      <w:r w:rsidRPr="00D83888">
        <w:rPr>
          <w:rStyle w:val="FootnoteReference"/>
          <w:rFonts w:ascii="Verdana" w:hAnsi="Verdana"/>
          <w:sz w:val="16"/>
          <w:szCs w:val="16"/>
          <w:lang w:val="x-none" w:eastAsia="x-none"/>
        </w:rPr>
        <w:t>*</w:t>
      </w:r>
      <w:r w:rsidRPr="00D83888">
        <w:rPr>
          <w:rFonts w:ascii="Verdana" w:hAnsi="Verdana"/>
          <w:sz w:val="16"/>
          <w:szCs w:val="16"/>
          <w:lang w:val="es-CR"/>
        </w:rPr>
        <w:t xml:space="preserve"> </w:t>
      </w:r>
      <w:r w:rsidRPr="00D83888">
        <w:rPr>
          <w:rFonts w:ascii="Verdana" w:hAnsi="Verdana"/>
          <w:sz w:val="16"/>
          <w:szCs w:val="16"/>
          <w:lang w:val="es-CR"/>
        </w:rPr>
        <w:tab/>
      </w:r>
      <w:r w:rsidRPr="00D83888">
        <w:rPr>
          <w:rFonts w:ascii="Verdana" w:hAnsi="Verdana"/>
          <w:sz w:val="16"/>
          <w:szCs w:val="16"/>
          <w:lang w:val="es-MX"/>
        </w:rPr>
        <w:t>El Juez Diego García-Sayán, de nacionalidad peruana, no participó en el conocimiento y deliberación del presente caso, de conformidad con lo dispuesto en el artículo 19.1 del Reglamento de la Corte.</w:t>
      </w:r>
    </w:p>
    <w:p w:rsidR="00D83888" w:rsidRPr="00D83888" w:rsidRDefault="00D83888" w:rsidP="00D83888">
      <w:pPr>
        <w:spacing w:after="0" w:line="240" w:lineRule="auto"/>
        <w:jc w:val="both"/>
        <w:rPr>
          <w:rFonts w:ascii="Verdana" w:hAnsi="Verdana"/>
          <w:sz w:val="16"/>
          <w:szCs w:val="16"/>
          <w:lang w:val="es-CR"/>
        </w:rPr>
      </w:pPr>
    </w:p>
  </w:footnote>
  <w:footnote w:id="2">
    <w:p w:rsidR="006A4A56" w:rsidRPr="00B25F4B" w:rsidRDefault="006A4A56" w:rsidP="006A4A56">
      <w:pPr>
        <w:pStyle w:val="FootnoteText"/>
        <w:jc w:val="both"/>
        <w:rPr>
          <w:rFonts w:ascii="Verdana" w:hAnsi="Verdana"/>
          <w:sz w:val="16"/>
          <w:szCs w:val="16"/>
          <w:lang w:val="es-MX"/>
        </w:rPr>
      </w:pPr>
      <w:r w:rsidRPr="00B25F4B">
        <w:rPr>
          <w:rStyle w:val="FootnoteReference"/>
          <w:rFonts w:ascii="Verdana" w:hAnsi="Verdana"/>
          <w:sz w:val="16"/>
          <w:szCs w:val="16"/>
        </w:rPr>
        <w:footnoteRef/>
      </w:r>
      <w:r w:rsidRPr="00B25F4B">
        <w:rPr>
          <w:rFonts w:ascii="Verdana" w:hAnsi="Verdana"/>
          <w:sz w:val="16"/>
          <w:szCs w:val="16"/>
          <w:lang w:val="es-MX"/>
        </w:rPr>
        <w:t xml:space="preserve"> </w:t>
      </w:r>
      <w:r w:rsidR="00C2341F">
        <w:rPr>
          <w:rFonts w:ascii="Verdana" w:hAnsi="Verdana"/>
          <w:sz w:val="16"/>
          <w:szCs w:val="16"/>
          <w:lang w:val="es-MX"/>
        </w:rPr>
        <w:tab/>
      </w:r>
      <w:r w:rsidRPr="00B25F4B">
        <w:rPr>
          <w:rFonts w:ascii="Verdana" w:hAnsi="Verdana"/>
          <w:i/>
          <w:sz w:val="16"/>
          <w:szCs w:val="16"/>
          <w:lang w:val="es-MX"/>
        </w:rPr>
        <w:t>Cfr</w:t>
      </w:r>
      <w:r w:rsidRPr="00B25F4B">
        <w:rPr>
          <w:rFonts w:ascii="Verdana" w:hAnsi="Verdana"/>
          <w:sz w:val="16"/>
          <w:szCs w:val="16"/>
          <w:lang w:val="es-MX"/>
        </w:rPr>
        <w:t xml:space="preserve">. </w:t>
      </w:r>
      <w:r w:rsidRPr="000339DE">
        <w:rPr>
          <w:rFonts w:ascii="Verdana" w:hAnsi="Verdana"/>
          <w:i/>
          <w:sz w:val="16"/>
          <w:szCs w:val="16"/>
          <w:lang w:val="es-MX"/>
        </w:rPr>
        <w:t>Caso Loayza Tamayo Vs. Perú. Interpretación de la Sentencia de Fondo</w:t>
      </w:r>
      <w:r w:rsidR="004A3267">
        <w:rPr>
          <w:rFonts w:ascii="Verdana" w:hAnsi="Verdana"/>
          <w:i/>
          <w:sz w:val="16"/>
          <w:szCs w:val="16"/>
          <w:lang w:val="es-MX"/>
        </w:rPr>
        <w:t xml:space="preserve">. </w:t>
      </w:r>
      <w:r w:rsidR="004A3267" w:rsidRPr="00F317D8">
        <w:rPr>
          <w:rStyle w:val="Strong"/>
          <w:rFonts w:ascii="Verdana" w:hAnsi="Verdana"/>
          <w:b w:val="0"/>
          <w:color w:val="000000"/>
          <w:sz w:val="16"/>
          <w:szCs w:val="16"/>
          <w:shd w:val="clear" w:color="auto" w:fill="FFFFFF"/>
          <w:lang w:val="es-CR"/>
        </w:rPr>
        <w:t>Resolución de la Corte de 8 de marzo de 1998. Serie C No. 47</w:t>
      </w:r>
      <w:r>
        <w:rPr>
          <w:rFonts w:ascii="Verdana" w:hAnsi="Verdana"/>
          <w:sz w:val="16"/>
          <w:szCs w:val="16"/>
          <w:lang w:val="es-MX"/>
        </w:rPr>
        <w:t xml:space="preserve">, párr. 16, </w:t>
      </w:r>
      <w:r w:rsidRPr="004A3267">
        <w:rPr>
          <w:rFonts w:ascii="Verdana" w:hAnsi="Verdana"/>
          <w:sz w:val="16"/>
          <w:szCs w:val="16"/>
          <w:lang w:val="es-MX"/>
        </w:rPr>
        <w:t>y</w:t>
      </w:r>
      <w:r w:rsidRPr="00F317D8">
        <w:rPr>
          <w:rFonts w:ascii="Verdana" w:hAnsi="Verdana"/>
          <w:b/>
          <w:sz w:val="16"/>
          <w:szCs w:val="16"/>
          <w:lang w:val="es-MX"/>
        </w:rPr>
        <w:t xml:space="preserve"> </w:t>
      </w:r>
      <w:r w:rsidR="004A3267" w:rsidRPr="00F317D8">
        <w:rPr>
          <w:rStyle w:val="Strong"/>
          <w:rFonts w:ascii="Verdana" w:hAnsi="Verdana"/>
          <w:b w:val="0"/>
          <w:i/>
          <w:color w:val="000000"/>
          <w:sz w:val="16"/>
          <w:szCs w:val="16"/>
          <w:shd w:val="clear" w:color="auto" w:fill="FFFFFF"/>
          <w:lang w:val="es-CR"/>
        </w:rPr>
        <w:t>Caso Wong Ho Wing Vs. Perú. Interpretación de la Sentencia de Excepción Preliminar, Fondo, Reparaciones y Costas</w:t>
      </w:r>
      <w:r w:rsidR="004A3267" w:rsidRPr="00F317D8">
        <w:rPr>
          <w:rStyle w:val="Strong"/>
          <w:rFonts w:ascii="Verdana" w:hAnsi="Verdana"/>
          <w:b w:val="0"/>
          <w:color w:val="000000"/>
          <w:sz w:val="16"/>
          <w:szCs w:val="16"/>
          <w:shd w:val="clear" w:color="auto" w:fill="FFFFFF"/>
          <w:lang w:val="es-CR"/>
        </w:rPr>
        <w:t>. Sentencia de 22 de junio de 2016. Serie C No. 313</w:t>
      </w:r>
      <w:r w:rsidRPr="00B25F4B">
        <w:rPr>
          <w:rFonts w:ascii="Verdana" w:hAnsi="Verdana"/>
          <w:sz w:val="16"/>
          <w:szCs w:val="16"/>
          <w:lang w:val="es-MX"/>
        </w:rPr>
        <w:t>, párr. 1</w:t>
      </w:r>
      <w:r w:rsidR="004A3267">
        <w:rPr>
          <w:rFonts w:ascii="Verdana" w:hAnsi="Verdana"/>
          <w:sz w:val="16"/>
          <w:szCs w:val="16"/>
          <w:lang w:val="es-MX"/>
        </w:rPr>
        <w:t>0</w:t>
      </w:r>
      <w:r>
        <w:rPr>
          <w:rFonts w:ascii="Verdana" w:hAnsi="Verdana"/>
          <w:sz w:val="16"/>
          <w:szCs w:val="16"/>
          <w:lang w:val="es-MX"/>
        </w:rPr>
        <w:t>.</w:t>
      </w:r>
    </w:p>
  </w:footnote>
  <w:footnote w:id="3">
    <w:p w:rsidR="00665167" w:rsidRPr="0045473D" w:rsidRDefault="00665167" w:rsidP="00665167">
      <w:pPr>
        <w:pStyle w:val="FootnoteText"/>
        <w:jc w:val="both"/>
        <w:rPr>
          <w:lang w:val="es-MX"/>
        </w:rPr>
      </w:pPr>
      <w:r w:rsidRPr="00B25F4B">
        <w:rPr>
          <w:rStyle w:val="FootnoteReference"/>
          <w:rFonts w:ascii="Verdana" w:hAnsi="Verdana"/>
          <w:sz w:val="16"/>
          <w:szCs w:val="16"/>
        </w:rPr>
        <w:footnoteRef/>
      </w:r>
      <w:r w:rsidRPr="00B25F4B">
        <w:rPr>
          <w:rFonts w:ascii="Verdana" w:hAnsi="Verdana"/>
          <w:sz w:val="16"/>
          <w:szCs w:val="16"/>
          <w:lang w:val="es-MX"/>
        </w:rPr>
        <w:t xml:space="preserve"> </w:t>
      </w:r>
      <w:r w:rsidR="00C2341F">
        <w:rPr>
          <w:rFonts w:ascii="Verdana" w:hAnsi="Verdana"/>
          <w:sz w:val="16"/>
          <w:szCs w:val="16"/>
          <w:lang w:val="es-MX"/>
        </w:rPr>
        <w:tab/>
      </w:r>
      <w:r w:rsidRPr="00955F9B">
        <w:rPr>
          <w:rFonts w:ascii="Verdana" w:hAnsi="Verdana"/>
          <w:i/>
          <w:sz w:val="16"/>
          <w:szCs w:val="16"/>
          <w:lang w:val="es-ES"/>
        </w:rPr>
        <w:t>Caso Escher y otros Vs. Brasil. Interpretación de la Sentencia de Excepciones Preliminares, Fondo, Reparaciones y Costas.</w:t>
      </w:r>
      <w:r w:rsidRPr="00955F9B">
        <w:rPr>
          <w:rFonts w:ascii="Verdana" w:hAnsi="Verdana"/>
          <w:sz w:val="16"/>
          <w:szCs w:val="16"/>
          <w:lang w:val="es-ES"/>
        </w:rPr>
        <w:t xml:space="preserve"> Sentencia de 20 de noviembre de 2009. Serie C No. 208, párr. 11, y </w:t>
      </w:r>
      <w:r w:rsidR="004A3267" w:rsidRPr="00F317D8">
        <w:rPr>
          <w:rStyle w:val="Strong"/>
          <w:rFonts w:ascii="Verdana" w:hAnsi="Verdana"/>
          <w:b w:val="0"/>
          <w:i/>
          <w:color w:val="000000"/>
          <w:sz w:val="16"/>
          <w:szCs w:val="16"/>
          <w:shd w:val="clear" w:color="auto" w:fill="FFFFFF"/>
          <w:lang w:val="es-CR"/>
        </w:rPr>
        <w:t>Caso Argüelles y otros Vs. Argentina. Interpretación de la Sentencia de Excepción Preliminar, Fondo, Reparaciones y Costas</w:t>
      </w:r>
      <w:r w:rsidR="004A3267" w:rsidRPr="00F317D8">
        <w:rPr>
          <w:rStyle w:val="Strong"/>
          <w:rFonts w:ascii="Verdana" w:hAnsi="Verdana"/>
          <w:b w:val="0"/>
          <w:color w:val="000000"/>
          <w:sz w:val="16"/>
          <w:szCs w:val="16"/>
          <w:shd w:val="clear" w:color="auto" w:fill="FFFFFF"/>
          <w:lang w:val="es-CR"/>
        </w:rPr>
        <w:t>. Sentencia de 23 de junio de 2015. Serie C No. 294</w:t>
      </w:r>
      <w:r w:rsidRPr="00D44DA9">
        <w:rPr>
          <w:rFonts w:ascii="Verdana" w:hAnsi="Verdana"/>
          <w:sz w:val="16"/>
          <w:szCs w:val="16"/>
          <w:lang w:val="es-ES"/>
        </w:rPr>
        <w:t>,</w:t>
      </w:r>
      <w:r w:rsidRPr="00955F9B">
        <w:rPr>
          <w:rFonts w:ascii="Verdana" w:hAnsi="Verdana"/>
          <w:sz w:val="16"/>
          <w:szCs w:val="16"/>
          <w:lang w:val="es-ES"/>
        </w:rPr>
        <w:t xml:space="preserve"> párr. </w:t>
      </w:r>
      <w:r w:rsidR="00C52348">
        <w:rPr>
          <w:rFonts w:ascii="Verdana" w:hAnsi="Verdana"/>
          <w:sz w:val="16"/>
          <w:szCs w:val="16"/>
          <w:lang w:val="es-ES"/>
        </w:rPr>
        <w:t>2</w:t>
      </w:r>
      <w:r w:rsidR="004A3267">
        <w:rPr>
          <w:rFonts w:ascii="Verdana" w:hAnsi="Verdana"/>
          <w:sz w:val="16"/>
          <w:szCs w:val="16"/>
          <w:lang w:val="es-ES"/>
        </w:rPr>
        <w:t>1</w:t>
      </w:r>
      <w:r w:rsidR="000339DE">
        <w:rPr>
          <w:rFonts w:ascii="Verdana" w:hAnsi="Verdana"/>
          <w:sz w:val="16"/>
          <w:szCs w:val="16"/>
          <w:lang w:val="es-MX"/>
        </w:rPr>
        <w:t>.</w:t>
      </w:r>
    </w:p>
  </w:footnote>
  <w:footnote w:id="4">
    <w:p w:rsidR="00814540" w:rsidRPr="00151144" w:rsidRDefault="00814540" w:rsidP="00814540">
      <w:pPr>
        <w:pStyle w:val="FootnoteText"/>
        <w:jc w:val="both"/>
        <w:rPr>
          <w:rFonts w:ascii="Verdana" w:hAnsi="Verdana"/>
          <w:sz w:val="16"/>
          <w:szCs w:val="16"/>
          <w:lang w:val="es-MX"/>
        </w:rPr>
      </w:pPr>
      <w:r w:rsidRPr="00151144">
        <w:rPr>
          <w:rStyle w:val="FootnoteReference"/>
          <w:rFonts w:ascii="Verdana" w:hAnsi="Verdana"/>
          <w:sz w:val="16"/>
          <w:szCs w:val="16"/>
        </w:rPr>
        <w:footnoteRef/>
      </w:r>
      <w:r w:rsidRPr="00151144">
        <w:rPr>
          <w:rFonts w:ascii="Verdana" w:hAnsi="Verdana"/>
          <w:sz w:val="16"/>
          <w:szCs w:val="16"/>
          <w:lang w:val="es-MX"/>
        </w:rPr>
        <w:t xml:space="preserve"> </w:t>
      </w:r>
      <w:r w:rsidR="00C2341F">
        <w:rPr>
          <w:rFonts w:ascii="Verdana" w:hAnsi="Verdana"/>
          <w:sz w:val="16"/>
          <w:szCs w:val="16"/>
          <w:lang w:val="es-MX"/>
        </w:rPr>
        <w:tab/>
      </w:r>
      <w:r w:rsidR="00DF4671" w:rsidRPr="00B25F4B">
        <w:rPr>
          <w:rFonts w:ascii="Verdana" w:hAnsi="Verdana"/>
          <w:i/>
          <w:sz w:val="16"/>
          <w:szCs w:val="16"/>
          <w:lang w:val="es-MX"/>
        </w:rPr>
        <w:t>Cfr</w:t>
      </w:r>
      <w:r w:rsidR="00DF4671">
        <w:rPr>
          <w:rFonts w:ascii="Verdana" w:hAnsi="Verdana"/>
          <w:i/>
          <w:sz w:val="16"/>
          <w:szCs w:val="16"/>
          <w:lang w:val="es-MX"/>
        </w:rPr>
        <w:t>.</w:t>
      </w:r>
      <w:r w:rsidR="00DF4671" w:rsidRPr="00241079">
        <w:rPr>
          <w:rFonts w:ascii="Verdana" w:hAnsi="Verdana"/>
          <w:i/>
          <w:sz w:val="16"/>
          <w:szCs w:val="16"/>
          <w:lang w:val="es-MX"/>
        </w:rPr>
        <w:t xml:space="preserve"> </w:t>
      </w:r>
      <w:r w:rsidR="00241079" w:rsidRPr="00241079">
        <w:rPr>
          <w:rFonts w:ascii="Verdana" w:hAnsi="Verdana"/>
          <w:i/>
          <w:sz w:val="16"/>
          <w:szCs w:val="16"/>
          <w:lang w:val="es-MX"/>
        </w:rPr>
        <w:t>Caso Ticona Estrada y otros Vs. Bolivia</w:t>
      </w:r>
      <w:r w:rsidR="00241079" w:rsidRPr="00151144">
        <w:rPr>
          <w:rFonts w:ascii="Verdana" w:hAnsi="Verdana"/>
          <w:sz w:val="16"/>
          <w:szCs w:val="16"/>
          <w:lang w:val="es-MX"/>
        </w:rPr>
        <w:t xml:space="preserve">. </w:t>
      </w:r>
      <w:r w:rsidR="00241079" w:rsidRPr="00D44DA9">
        <w:rPr>
          <w:rFonts w:ascii="Verdana" w:hAnsi="Verdana"/>
          <w:i/>
          <w:sz w:val="16"/>
          <w:szCs w:val="16"/>
          <w:lang w:val="es-MX"/>
        </w:rPr>
        <w:t xml:space="preserve">Interpretación de la Sentencia de Fondo, Reparaciones y Costas. </w:t>
      </w:r>
      <w:r w:rsidR="00241079" w:rsidRPr="005E7BC7">
        <w:rPr>
          <w:rFonts w:ascii="Verdana" w:hAnsi="Verdana"/>
          <w:sz w:val="16"/>
          <w:szCs w:val="16"/>
          <w:lang w:val="es-MX"/>
        </w:rPr>
        <w:t>Sentencia de 1 de julio de 2009. Serie C No. 199, párr. 26</w:t>
      </w:r>
      <w:r w:rsidR="00241079">
        <w:rPr>
          <w:rFonts w:ascii="Verdana" w:hAnsi="Verdana"/>
          <w:sz w:val="16"/>
          <w:szCs w:val="16"/>
          <w:lang w:val="es-MX"/>
        </w:rPr>
        <w:t xml:space="preserve">, y </w:t>
      </w:r>
      <w:r w:rsidR="004A3267" w:rsidRPr="00F317D8">
        <w:rPr>
          <w:rStyle w:val="Strong"/>
          <w:rFonts w:ascii="Verdana" w:hAnsi="Verdana"/>
          <w:b w:val="0"/>
          <w:i/>
          <w:color w:val="000000"/>
          <w:sz w:val="16"/>
          <w:szCs w:val="16"/>
          <w:shd w:val="clear" w:color="auto" w:fill="FFFFFF"/>
          <w:lang w:val="es-CR"/>
        </w:rPr>
        <w:t>Caso Masacres de El Mozote y lugares aledaños Vs. El Salvador. Interpretación de la Sentencia de Fondo, Reparaciones y Costas</w:t>
      </w:r>
      <w:r w:rsidR="004A3267" w:rsidRPr="00F317D8">
        <w:rPr>
          <w:rStyle w:val="Strong"/>
          <w:rFonts w:ascii="Verdana" w:hAnsi="Verdana"/>
          <w:b w:val="0"/>
          <w:color w:val="000000"/>
          <w:sz w:val="16"/>
          <w:szCs w:val="16"/>
          <w:shd w:val="clear" w:color="auto" w:fill="FFFFFF"/>
          <w:lang w:val="es-CR"/>
        </w:rPr>
        <w:t>. Sentencia de 19 de agosto de 2013. Serie C No. 264</w:t>
      </w:r>
      <w:r w:rsidR="00241079">
        <w:rPr>
          <w:rFonts w:ascii="Verdana" w:hAnsi="Verdana"/>
          <w:sz w:val="16"/>
          <w:szCs w:val="16"/>
          <w:lang w:val="es-MX"/>
        </w:rPr>
        <w:t xml:space="preserve">, párr. </w:t>
      </w:r>
      <w:r w:rsidR="004A3267">
        <w:rPr>
          <w:rFonts w:ascii="Verdana" w:hAnsi="Verdana"/>
          <w:sz w:val="16"/>
          <w:szCs w:val="16"/>
          <w:lang w:val="es-MX"/>
        </w:rPr>
        <w:t>38</w:t>
      </w:r>
      <w:r w:rsidRPr="005E7BC7">
        <w:rPr>
          <w:rFonts w:ascii="Verdana" w:hAnsi="Verdana"/>
          <w:sz w:val="16"/>
          <w:szCs w:val="16"/>
          <w:lang w:val="es-MX"/>
        </w:rPr>
        <w:t>.</w:t>
      </w:r>
    </w:p>
  </w:footnote>
  <w:footnote w:id="5">
    <w:p w:rsidR="00665167" w:rsidRPr="004E6F82" w:rsidRDefault="00665167" w:rsidP="00665167">
      <w:pPr>
        <w:pStyle w:val="FootnoteText"/>
        <w:jc w:val="both"/>
        <w:rPr>
          <w:lang w:val="es-MX"/>
        </w:rPr>
      </w:pPr>
      <w:r w:rsidRPr="004E6F82">
        <w:rPr>
          <w:rStyle w:val="FootnoteReference"/>
          <w:rFonts w:ascii="Verdana" w:hAnsi="Verdana"/>
          <w:sz w:val="16"/>
          <w:szCs w:val="16"/>
        </w:rPr>
        <w:footnoteRef/>
      </w:r>
      <w:r w:rsidRPr="004E6F82">
        <w:rPr>
          <w:rFonts w:ascii="Verdana" w:hAnsi="Verdana"/>
          <w:sz w:val="16"/>
          <w:szCs w:val="16"/>
          <w:lang w:val="es-MX"/>
        </w:rPr>
        <w:t xml:space="preserve"> </w:t>
      </w:r>
      <w:r w:rsidR="00C2341F">
        <w:rPr>
          <w:rFonts w:ascii="Verdana" w:hAnsi="Verdana"/>
          <w:sz w:val="16"/>
          <w:szCs w:val="16"/>
          <w:lang w:val="es-MX"/>
        </w:rPr>
        <w:tab/>
      </w:r>
      <w:r w:rsidR="00DF4671" w:rsidRPr="00B25F4B">
        <w:rPr>
          <w:rFonts w:ascii="Verdana" w:hAnsi="Verdana"/>
          <w:i/>
          <w:sz w:val="16"/>
          <w:szCs w:val="16"/>
          <w:lang w:val="es-MX"/>
        </w:rPr>
        <w:t>Cfr</w:t>
      </w:r>
      <w:r w:rsidR="00DF4671">
        <w:rPr>
          <w:rFonts w:ascii="Verdana" w:hAnsi="Verdana"/>
          <w:i/>
          <w:sz w:val="16"/>
          <w:szCs w:val="16"/>
          <w:lang w:val="es-MX"/>
        </w:rPr>
        <w:t xml:space="preserve">. </w:t>
      </w:r>
      <w:r w:rsidRPr="00010398">
        <w:rPr>
          <w:rFonts w:ascii="Verdana" w:hAnsi="Verdana"/>
          <w:i/>
          <w:sz w:val="16"/>
          <w:szCs w:val="16"/>
          <w:lang w:val="es-MX"/>
        </w:rPr>
        <w:t>Caso Barbani Duarte y otros Vs. Uruguay. Solicitud de Interpretación de la Sentencia de Fondo, Reparaciones y Costas.</w:t>
      </w:r>
      <w:r w:rsidRPr="004E6F82">
        <w:rPr>
          <w:rFonts w:ascii="Verdana" w:hAnsi="Verdana"/>
          <w:sz w:val="16"/>
          <w:szCs w:val="16"/>
          <w:lang w:val="es-MX"/>
        </w:rPr>
        <w:t xml:space="preserve"> Sentencia de 26 de junio de 2012 Serie C No. 243</w:t>
      </w:r>
      <w:r>
        <w:rPr>
          <w:rFonts w:ascii="Verdana" w:hAnsi="Verdana"/>
          <w:sz w:val="16"/>
          <w:szCs w:val="16"/>
          <w:lang w:val="es-MX"/>
        </w:rPr>
        <w:t>, párr. 26</w:t>
      </w:r>
      <w:r w:rsidR="00D44DA9">
        <w:rPr>
          <w:rFonts w:ascii="Verdana" w:hAnsi="Verdana"/>
          <w:sz w:val="16"/>
          <w:szCs w:val="16"/>
          <w:lang w:val="es-MX"/>
        </w:rPr>
        <w:t>.</w:t>
      </w:r>
    </w:p>
  </w:footnote>
  <w:footnote w:id="6">
    <w:p w:rsidR="00665167" w:rsidRPr="00464721" w:rsidRDefault="00665167" w:rsidP="00665167">
      <w:pPr>
        <w:pStyle w:val="FootnoteText"/>
        <w:jc w:val="both"/>
        <w:rPr>
          <w:lang w:val="es-MX"/>
        </w:rPr>
      </w:pPr>
      <w:r w:rsidRPr="004E6F82">
        <w:rPr>
          <w:rStyle w:val="FootnoteReference"/>
          <w:rFonts w:ascii="Verdana" w:hAnsi="Verdana"/>
          <w:sz w:val="16"/>
          <w:szCs w:val="16"/>
        </w:rPr>
        <w:footnoteRef/>
      </w:r>
      <w:r w:rsidRPr="004E6F82">
        <w:rPr>
          <w:rFonts w:ascii="Verdana" w:hAnsi="Verdana"/>
          <w:sz w:val="16"/>
          <w:szCs w:val="16"/>
          <w:lang w:val="es-MX"/>
        </w:rPr>
        <w:t xml:space="preserve"> </w:t>
      </w:r>
      <w:r w:rsidR="00C2341F">
        <w:rPr>
          <w:rFonts w:ascii="Verdana" w:hAnsi="Verdana"/>
          <w:sz w:val="16"/>
          <w:szCs w:val="16"/>
          <w:lang w:val="es-MX"/>
        </w:rPr>
        <w:tab/>
      </w:r>
      <w:r w:rsidRPr="000339DE">
        <w:rPr>
          <w:rFonts w:ascii="Verdana" w:hAnsi="Verdana"/>
          <w:i/>
          <w:sz w:val="16"/>
          <w:szCs w:val="16"/>
          <w:lang w:val="es-MX"/>
        </w:rPr>
        <w:t>Caso J. Vs. Perú</w:t>
      </w:r>
      <w:r w:rsidRPr="004E6F82">
        <w:rPr>
          <w:rFonts w:ascii="Verdana" w:hAnsi="Verdana"/>
          <w:sz w:val="16"/>
          <w:szCs w:val="16"/>
          <w:lang w:val="es-MX"/>
        </w:rPr>
        <w:t xml:space="preserve">. </w:t>
      </w:r>
      <w:r w:rsidRPr="00D44DA9">
        <w:rPr>
          <w:rFonts w:ascii="Verdana" w:hAnsi="Verdana"/>
          <w:i/>
          <w:sz w:val="16"/>
          <w:szCs w:val="16"/>
          <w:lang w:val="es-MX"/>
        </w:rPr>
        <w:t>Interpretación de la Sentencia de Excepción Preliminar, Fondo, Reparaciones y Costas</w:t>
      </w:r>
      <w:r w:rsidRPr="004E6F82">
        <w:rPr>
          <w:rFonts w:ascii="Verdana" w:hAnsi="Verdana"/>
          <w:sz w:val="16"/>
          <w:szCs w:val="16"/>
          <w:lang w:val="es-MX"/>
        </w:rPr>
        <w:t>. Sentencia de 20 de noviembre de 2014. Serie C No. 291, párr. 20</w:t>
      </w:r>
      <w:r w:rsidR="00541927">
        <w:rPr>
          <w:rFonts w:ascii="Verdana" w:hAnsi="Verdana"/>
          <w:sz w:val="16"/>
          <w:szCs w:val="16"/>
          <w:lang w:val="es-MX"/>
        </w:rPr>
        <w:t>.</w:t>
      </w:r>
    </w:p>
  </w:footnote>
  <w:footnote w:id="7">
    <w:p w:rsidR="003F6A62" w:rsidRPr="004E6F82" w:rsidRDefault="003F6A62" w:rsidP="003F6A62">
      <w:pPr>
        <w:pStyle w:val="FootnoteText"/>
        <w:jc w:val="both"/>
        <w:rPr>
          <w:rFonts w:ascii="Verdana" w:hAnsi="Verdana"/>
          <w:sz w:val="16"/>
          <w:szCs w:val="16"/>
          <w:lang w:val="es-MX"/>
        </w:rPr>
      </w:pPr>
      <w:r w:rsidRPr="004E6F82">
        <w:rPr>
          <w:rStyle w:val="FootnoteReference"/>
          <w:rFonts w:ascii="Verdana" w:hAnsi="Verdana"/>
          <w:sz w:val="16"/>
          <w:szCs w:val="16"/>
        </w:rPr>
        <w:footnoteRef/>
      </w:r>
      <w:r w:rsidRPr="004E6F82">
        <w:rPr>
          <w:rFonts w:ascii="Verdana" w:hAnsi="Verdana"/>
          <w:i/>
          <w:sz w:val="16"/>
          <w:szCs w:val="16"/>
          <w:lang w:val="es-MX"/>
        </w:rPr>
        <w:t xml:space="preserve"> </w:t>
      </w:r>
      <w:r w:rsidR="00496CA8">
        <w:rPr>
          <w:rFonts w:ascii="Verdana" w:hAnsi="Verdana"/>
          <w:i/>
          <w:sz w:val="16"/>
          <w:szCs w:val="16"/>
          <w:lang w:val="es-MX"/>
        </w:rPr>
        <w:tab/>
      </w:r>
      <w:r w:rsidRPr="004E6F82">
        <w:rPr>
          <w:rFonts w:ascii="Verdana" w:hAnsi="Verdana"/>
          <w:i/>
          <w:sz w:val="16"/>
          <w:szCs w:val="16"/>
          <w:lang w:val="es-MX"/>
        </w:rPr>
        <w:t xml:space="preserve">Cfr. </w:t>
      </w:r>
      <w:r w:rsidRPr="002C1C08">
        <w:rPr>
          <w:rFonts w:ascii="Verdana" w:hAnsi="Verdana"/>
          <w:i/>
          <w:sz w:val="16"/>
          <w:szCs w:val="16"/>
          <w:lang w:val="es-MX"/>
        </w:rPr>
        <w:t>Caso Argüelles y otros Vs. Argentina. Interpretación de la Sentencia de Excepción Preliminar, Fondo, Reparaciones y Costas.</w:t>
      </w:r>
      <w:r w:rsidRPr="004E6F82">
        <w:rPr>
          <w:rFonts w:ascii="Verdana" w:hAnsi="Verdana"/>
          <w:sz w:val="16"/>
          <w:szCs w:val="16"/>
          <w:lang w:val="es-MX"/>
        </w:rPr>
        <w:t xml:space="preserve"> Sentencia de 23 de j</w:t>
      </w:r>
      <w:r w:rsidR="007E55BC">
        <w:rPr>
          <w:rFonts w:ascii="Verdana" w:hAnsi="Verdana"/>
          <w:sz w:val="16"/>
          <w:szCs w:val="16"/>
          <w:lang w:val="es-MX"/>
        </w:rPr>
        <w:t xml:space="preserve">unio de 2015. Serie C No. 294, </w:t>
      </w:r>
      <w:r w:rsidRPr="004E6F82">
        <w:rPr>
          <w:rFonts w:ascii="Verdana" w:hAnsi="Verdana"/>
          <w:sz w:val="16"/>
          <w:szCs w:val="16"/>
          <w:lang w:val="es-MX"/>
        </w:rPr>
        <w:t>párr. 24</w:t>
      </w:r>
      <w:r w:rsidR="007E55BC">
        <w:rPr>
          <w:rFonts w:ascii="Verdana" w:hAnsi="Verdana"/>
          <w:sz w:val="16"/>
          <w:szCs w:val="16"/>
          <w:lang w:val="es-MX"/>
        </w:rPr>
        <w:t>.</w:t>
      </w:r>
      <w:r w:rsidRPr="004E6F82">
        <w:rPr>
          <w:rFonts w:ascii="Verdana" w:hAnsi="Verdana"/>
          <w:sz w:val="16"/>
          <w:szCs w:val="16"/>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63" w:rsidRDefault="00184163" w:rsidP="00184163">
    <w:pPr>
      <w:pStyle w:val="Header"/>
      <w:rPr>
        <w:rFonts w:ascii="Verdana" w:hAnsi="Verdana"/>
        <w:sz w:val="16"/>
        <w:szCs w:val="16"/>
        <w:lang w:val="es-CR"/>
      </w:rPr>
    </w:pPr>
  </w:p>
  <w:p w:rsidR="00754731" w:rsidRDefault="0007366A">
    <w:pPr>
      <w:pStyle w:val="Header"/>
      <w:jc w:val="center"/>
    </w:pPr>
    <w:sdt>
      <w:sdtPr>
        <w:id w:val="896095201"/>
        <w:docPartObj>
          <w:docPartGallery w:val="Page Numbers (Top of Page)"/>
          <w:docPartUnique/>
        </w:docPartObj>
      </w:sdtPr>
      <w:sdtEndPr>
        <w:rPr>
          <w:noProof/>
        </w:rPr>
      </w:sdtEndPr>
      <w:sdtContent>
        <w:r w:rsidR="00754731">
          <w:fldChar w:fldCharType="begin"/>
        </w:r>
        <w:r w:rsidR="00754731">
          <w:instrText xml:space="preserve"> PAGE   \* MERGEFORMAT </w:instrText>
        </w:r>
        <w:r w:rsidR="00754731">
          <w:fldChar w:fldCharType="separate"/>
        </w:r>
        <w:r w:rsidR="00654E9F">
          <w:rPr>
            <w:noProof/>
          </w:rPr>
          <w:t>2</w:t>
        </w:r>
        <w:r w:rsidR="00754731">
          <w:rPr>
            <w:noProof/>
          </w:rPr>
          <w:fldChar w:fldCharType="end"/>
        </w:r>
      </w:sdtContent>
    </w:sdt>
  </w:p>
  <w:p w:rsidR="00754731" w:rsidRDefault="00754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4B91"/>
    <w:multiLevelType w:val="hybridMultilevel"/>
    <w:tmpl w:val="AF44705C"/>
    <w:lvl w:ilvl="0" w:tplc="D9A0887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0A8634A"/>
    <w:multiLevelType w:val="hybridMultilevel"/>
    <w:tmpl w:val="6772218C"/>
    <w:lvl w:ilvl="0" w:tplc="DDEAFF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0D642F7"/>
    <w:multiLevelType w:val="hybridMultilevel"/>
    <w:tmpl w:val="B226D708"/>
    <w:lvl w:ilvl="0" w:tplc="1D5A4DB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0EB597D"/>
    <w:multiLevelType w:val="hybridMultilevel"/>
    <w:tmpl w:val="366AE812"/>
    <w:lvl w:ilvl="0" w:tplc="7D1AB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71403"/>
    <w:multiLevelType w:val="hybridMultilevel"/>
    <w:tmpl w:val="166C6FCC"/>
    <w:lvl w:ilvl="0" w:tplc="D30E78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C54986"/>
    <w:multiLevelType w:val="hybridMultilevel"/>
    <w:tmpl w:val="366AE812"/>
    <w:lvl w:ilvl="0" w:tplc="7D1AB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35D17"/>
    <w:multiLevelType w:val="hybridMultilevel"/>
    <w:tmpl w:val="36969D5A"/>
    <w:lvl w:ilvl="0" w:tplc="1A44EC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67"/>
    <w:rsid w:val="00010398"/>
    <w:rsid w:val="000339DE"/>
    <w:rsid w:val="000435B1"/>
    <w:rsid w:val="000442AD"/>
    <w:rsid w:val="0007366A"/>
    <w:rsid w:val="000878C1"/>
    <w:rsid w:val="000A264A"/>
    <w:rsid w:val="000A58F5"/>
    <w:rsid w:val="000C194D"/>
    <w:rsid w:val="000F4BF4"/>
    <w:rsid w:val="0011117E"/>
    <w:rsid w:val="00115AFF"/>
    <w:rsid w:val="00145107"/>
    <w:rsid w:val="00162CCB"/>
    <w:rsid w:val="00165B01"/>
    <w:rsid w:val="00174DB3"/>
    <w:rsid w:val="001767BB"/>
    <w:rsid w:val="00180A6C"/>
    <w:rsid w:val="00184163"/>
    <w:rsid w:val="00196ED3"/>
    <w:rsid w:val="001A0673"/>
    <w:rsid w:val="00241079"/>
    <w:rsid w:val="002512C8"/>
    <w:rsid w:val="0026667E"/>
    <w:rsid w:val="00290EC9"/>
    <w:rsid w:val="002C1C08"/>
    <w:rsid w:val="00301B2D"/>
    <w:rsid w:val="00303238"/>
    <w:rsid w:val="00323597"/>
    <w:rsid w:val="00345995"/>
    <w:rsid w:val="00345A5F"/>
    <w:rsid w:val="00353A57"/>
    <w:rsid w:val="00364545"/>
    <w:rsid w:val="00375A49"/>
    <w:rsid w:val="00380525"/>
    <w:rsid w:val="003B3EEC"/>
    <w:rsid w:val="003C7390"/>
    <w:rsid w:val="003E0CF8"/>
    <w:rsid w:val="003F6A62"/>
    <w:rsid w:val="003F6E26"/>
    <w:rsid w:val="0040704F"/>
    <w:rsid w:val="004152CF"/>
    <w:rsid w:val="00446A8E"/>
    <w:rsid w:val="00496CA8"/>
    <w:rsid w:val="004A1ADD"/>
    <w:rsid w:val="004A3267"/>
    <w:rsid w:val="004F0DED"/>
    <w:rsid w:val="00514CF1"/>
    <w:rsid w:val="00535E50"/>
    <w:rsid w:val="00541927"/>
    <w:rsid w:val="005469AD"/>
    <w:rsid w:val="005551A1"/>
    <w:rsid w:val="00586664"/>
    <w:rsid w:val="005B1262"/>
    <w:rsid w:val="005C52F3"/>
    <w:rsid w:val="005E69D4"/>
    <w:rsid w:val="00616494"/>
    <w:rsid w:val="00654E9F"/>
    <w:rsid w:val="00660A0D"/>
    <w:rsid w:val="00661BDA"/>
    <w:rsid w:val="00665167"/>
    <w:rsid w:val="006A4A56"/>
    <w:rsid w:val="006C0708"/>
    <w:rsid w:val="006F3683"/>
    <w:rsid w:val="00744F18"/>
    <w:rsid w:val="00754731"/>
    <w:rsid w:val="007E55BC"/>
    <w:rsid w:val="007F186F"/>
    <w:rsid w:val="007F5240"/>
    <w:rsid w:val="00814540"/>
    <w:rsid w:val="00866D9F"/>
    <w:rsid w:val="008A5395"/>
    <w:rsid w:val="00920133"/>
    <w:rsid w:val="00920FDE"/>
    <w:rsid w:val="00955F9B"/>
    <w:rsid w:val="009B1ACB"/>
    <w:rsid w:val="009B7983"/>
    <w:rsid w:val="00A0491C"/>
    <w:rsid w:val="00A67E8E"/>
    <w:rsid w:val="00AB0590"/>
    <w:rsid w:val="00AC4A2F"/>
    <w:rsid w:val="00AC65EB"/>
    <w:rsid w:val="00AC693E"/>
    <w:rsid w:val="00AE78F7"/>
    <w:rsid w:val="00B3388E"/>
    <w:rsid w:val="00B44E9A"/>
    <w:rsid w:val="00BA20E4"/>
    <w:rsid w:val="00BA6D2D"/>
    <w:rsid w:val="00BD045F"/>
    <w:rsid w:val="00BF2154"/>
    <w:rsid w:val="00BF6461"/>
    <w:rsid w:val="00C012A6"/>
    <w:rsid w:val="00C06355"/>
    <w:rsid w:val="00C2341F"/>
    <w:rsid w:val="00C2450C"/>
    <w:rsid w:val="00C3340B"/>
    <w:rsid w:val="00C368DF"/>
    <w:rsid w:val="00C417AE"/>
    <w:rsid w:val="00C52348"/>
    <w:rsid w:val="00C97EE2"/>
    <w:rsid w:val="00CA7BC6"/>
    <w:rsid w:val="00CB1575"/>
    <w:rsid w:val="00CB2F20"/>
    <w:rsid w:val="00CC74B1"/>
    <w:rsid w:val="00CE54EF"/>
    <w:rsid w:val="00D0584A"/>
    <w:rsid w:val="00D20766"/>
    <w:rsid w:val="00D33C57"/>
    <w:rsid w:val="00D44DA9"/>
    <w:rsid w:val="00D5522F"/>
    <w:rsid w:val="00D56683"/>
    <w:rsid w:val="00D74D2F"/>
    <w:rsid w:val="00D83888"/>
    <w:rsid w:val="00D95EA7"/>
    <w:rsid w:val="00DA5D73"/>
    <w:rsid w:val="00DD43C4"/>
    <w:rsid w:val="00DF4671"/>
    <w:rsid w:val="00E374DB"/>
    <w:rsid w:val="00E44E45"/>
    <w:rsid w:val="00E52DF4"/>
    <w:rsid w:val="00E64779"/>
    <w:rsid w:val="00E6602C"/>
    <w:rsid w:val="00E957EE"/>
    <w:rsid w:val="00EE10AE"/>
    <w:rsid w:val="00F317D8"/>
    <w:rsid w:val="00F814A7"/>
    <w:rsid w:val="00FA4490"/>
    <w:rsid w:val="00FB7E1C"/>
    <w:rsid w:val="00FC7BA3"/>
    <w:rsid w:val="00FD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67"/>
  </w:style>
  <w:style w:type="paragraph" w:styleId="Heading2">
    <w:name w:val="heading 2"/>
    <w:basedOn w:val="Normal"/>
    <w:next w:val="Normal"/>
    <w:link w:val="Heading2Char"/>
    <w:uiPriority w:val="9"/>
    <w:unhideWhenUsed/>
    <w:qFormat/>
    <w:rsid w:val="006A4A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65167"/>
    <w:pPr>
      <w:spacing w:after="0" w:line="240" w:lineRule="auto"/>
    </w:pPr>
    <w:rPr>
      <w:sz w:val="20"/>
      <w:szCs w:val="20"/>
    </w:rPr>
  </w:style>
  <w:style w:type="character" w:customStyle="1" w:styleId="FootnoteTextChar">
    <w:name w:val="Footnote Text Char"/>
    <w:basedOn w:val="DefaultParagraphFont"/>
    <w:link w:val="FootnoteText"/>
    <w:rsid w:val="00665167"/>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unhideWhenUsed/>
    <w:qFormat/>
    <w:rsid w:val="00665167"/>
    <w:rPr>
      <w:vertAlign w:val="superscript"/>
    </w:rPr>
  </w:style>
  <w:style w:type="paragraph" w:styleId="Footer">
    <w:name w:val="footer"/>
    <w:basedOn w:val="Normal"/>
    <w:link w:val="FooterChar"/>
    <w:uiPriority w:val="99"/>
    <w:unhideWhenUsed/>
    <w:rsid w:val="0066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67"/>
  </w:style>
  <w:style w:type="paragraph" w:styleId="BalloonText">
    <w:name w:val="Balloon Text"/>
    <w:basedOn w:val="Normal"/>
    <w:link w:val="BalloonTextChar"/>
    <w:uiPriority w:val="99"/>
    <w:semiHidden/>
    <w:unhideWhenUsed/>
    <w:rsid w:val="00BF2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54"/>
    <w:rPr>
      <w:rFonts w:ascii="Tahoma" w:hAnsi="Tahoma" w:cs="Tahoma"/>
      <w:sz w:val="16"/>
      <w:szCs w:val="16"/>
    </w:rPr>
  </w:style>
  <w:style w:type="paragraph" w:styleId="ListParagraph">
    <w:name w:val="List Paragraph"/>
    <w:basedOn w:val="Normal"/>
    <w:uiPriority w:val="34"/>
    <w:qFormat/>
    <w:rsid w:val="001767BB"/>
    <w:pPr>
      <w:ind w:left="720"/>
      <w:contextualSpacing/>
    </w:pPr>
  </w:style>
  <w:style w:type="paragraph" w:styleId="Header">
    <w:name w:val="header"/>
    <w:basedOn w:val="Normal"/>
    <w:link w:val="HeaderChar"/>
    <w:uiPriority w:val="99"/>
    <w:unhideWhenUsed/>
    <w:rsid w:val="005C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F3"/>
  </w:style>
  <w:style w:type="character" w:styleId="CommentReference">
    <w:name w:val="annotation reference"/>
    <w:basedOn w:val="DefaultParagraphFont"/>
    <w:uiPriority w:val="99"/>
    <w:semiHidden/>
    <w:unhideWhenUsed/>
    <w:rsid w:val="003F6A62"/>
    <w:rPr>
      <w:sz w:val="16"/>
      <w:szCs w:val="16"/>
    </w:rPr>
  </w:style>
  <w:style w:type="paragraph" w:styleId="CommentText">
    <w:name w:val="annotation text"/>
    <w:basedOn w:val="Normal"/>
    <w:link w:val="CommentTextChar"/>
    <w:uiPriority w:val="99"/>
    <w:semiHidden/>
    <w:unhideWhenUsed/>
    <w:rsid w:val="003F6A62"/>
    <w:pPr>
      <w:spacing w:line="240" w:lineRule="auto"/>
    </w:pPr>
    <w:rPr>
      <w:sz w:val="20"/>
      <w:szCs w:val="20"/>
    </w:rPr>
  </w:style>
  <w:style w:type="character" w:customStyle="1" w:styleId="CommentTextChar">
    <w:name w:val="Comment Text Char"/>
    <w:basedOn w:val="DefaultParagraphFont"/>
    <w:link w:val="CommentText"/>
    <w:uiPriority w:val="99"/>
    <w:semiHidden/>
    <w:rsid w:val="003F6A62"/>
    <w:rPr>
      <w:sz w:val="20"/>
      <w:szCs w:val="20"/>
    </w:rPr>
  </w:style>
  <w:style w:type="paragraph" w:styleId="CommentSubject">
    <w:name w:val="annotation subject"/>
    <w:basedOn w:val="CommentText"/>
    <w:next w:val="CommentText"/>
    <w:link w:val="CommentSubjectChar"/>
    <w:uiPriority w:val="99"/>
    <w:semiHidden/>
    <w:unhideWhenUsed/>
    <w:rsid w:val="003F6A62"/>
    <w:rPr>
      <w:b/>
      <w:bCs/>
    </w:rPr>
  </w:style>
  <w:style w:type="character" w:customStyle="1" w:styleId="CommentSubjectChar">
    <w:name w:val="Comment Subject Char"/>
    <w:basedOn w:val="CommentTextChar"/>
    <w:link w:val="CommentSubject"/>
    <w:uiPriority w:val="99"/>
    <w:semiHidden/>
    <w:rsid w:val="003F6A62"/>
    <w:rPr>
      <w:b/>
      <w:bCs/>
      <w:sz w:val="20"/>
      <w:szCs w:val="20"/>
    </w:rPr>
  </w:style>
  <w:style w:type="character" w:styleId="LineNumber">
    <w:name w:val="line number"/>
    <w:basedOn w:val="DefaultParagraphFont"/>
    <w:uiPriority w:val="99"/>
    <w:semiHidden/>
    <w:unhideWhenUsed/>
    <w:rsid w:val="00115AFF"/>
  </w:style>
  <w:style w:type="character" w:customStyle="1" w:styleId="Heading2Char">
    <w:name w:val="Heading 2 Char"/>
    <w:basedOn w:val="DefaultParagraphFont"/>
    <w:link w:val="Heading2"/>
    <w:uiPriority w:val="9"/>
    <w:rsid w:val="006A4A5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B7E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67"/>
  </w:style>
  <w:style w:type="paragraph" w:styleId="Heading2">
    <w:name w:val="heading 2"/>
    <w:basedOn w:val="Normal"/>
    <w:next w:val="Normal"/>
    <w:link w:val="Heading2Char"/>
    <w:uiPriority w:val="9"/>
    <w:unhideWhenUsed/>
    <w:qFormat/>
    <w:rsid w:val="006A4A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65167"/>
    <w:pPr>
      <w:spacing w:after="0" w:line="240" w:lineRule="auto"/>
    </w:pPr>
    <w:rPr>
      <w:sz w:val="20"/>
      <w:szCs w:val="20"/>
    </w:rPr>
  </w:style>
  <w:style w:type="character" w:customStyle="1" w:styleId="FootnoteTextChar">
    <w:name w:val="Footnote Text Char"/>
    <w:basedOn w:val="DefaultParagraphFont"/>
    <w:link w:val="FootnoteText"/>
    <w:rsid w:val="00665167"/>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unhideWhenUsed/>
    <w:qFormat/>
    <w:rsid w:val="00665167"/>
    <w:rPr>
      <w:vertAlign w:val="superscript"/>
    </w:rPr>
  </w:style>
  <w:style w:type="paragraph" w:styleId="Footer">
    <w:name w:val="footer"/>
    <w:basedOn w:val="Normal"/>
    <w:link w:val="FooterChar"/>
    <w:uiPriority w:val="99"/>
    <w:unhideWhenUsed/>
    <w:rsid w:val="0066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67"/>
  </w:style>
  <w:style w:type="paragraph" w:styleId="BalloonText">
    <w:name w:val="Balloon Text"/>
    <w:basedOn w:val="Normal"/>
    <w:link w:val="BalloonTextChar"/>
    <w:uiPriority w:val="99"/>
    <w:semiHidden/>
    <w:unhideWhenUsed/>
    <w:rsid w:val="00BF2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54"/>
    <w:rPr>
      <w:rFonts w:ascii="Tahoma" w:hAnsi="Tahoma" w:cs="Tahoma"/>
      <w:sz w:val="16"/>
      <w:szCs w:val="16"/>
    </w:rPr>
  </w:style>
  <w:style w:type="paragraph" w:styleId="ListParagraph">
    <w:name w:val="List Paragraph"/>
    <w:basedOn w:val="Normal"/>
    <w:uiPriority w:val="34"/>
    <w:qFormat/>
    <w:rsid w:val="001767BB"/>
    <w:pPr>
      <w:ind w:left="720"/>
      <w:contextualSpacing/>
    </w:pPr>
  </w:style>
  <w:style w:type="paragraph" w:styleId="Header">
    <w:name w:val="header"/>
    <w:basedOn w:val="Normal"/>
    <w:link w:val="HeaderChar"/>
    <w:uiPriority w:val="99"/>
    <w:unhideWhenUsed/>
    <w:rsid w:val="005C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F3"/>
  </w:style>
  <w:style w:type="character" w:styleId="CommentReference">
    <w:name w:val="annotation reference"/>
    <w:basedOn w:val="DefaultParagraphFont"/>
    <w:uiPriority w:val="99"/>
    <w:semiHidden/>
    <w:unhideWhenUsed/>
    <w:rsid w:val="003F6A62"/>
    <w:rPr>
      <w:sz w:val="16"/>
      <w:szCs w:val="16"/>
    </w:rPr>
  </w:style>
  <w:style w:type="paragraph" w:styleId="CommentText">
    <w:name w:val="annotation text"/>
    <w:basedOn w:val="Normal"/>
    <w:link w:val="CommentTextChar"/>
    <w:uiPriority w:val="99"/>
    <w:semiHidden/>
    <w:unhideWhenUsed/>
    <w:rsid w:val="003F6A62"/>
    <w:pPr>
      <w:spacing w:line="240" w:lineRule="auto"/>
    </w:pPr>
    <w:rPr>
      <w:sz w:val="20"/>
      <w:szCs w:val="20"/>
    </w:rPr>
  </w:style>
  <w:style w:type="character" w:customStyle="1" w:styleId="CommentTextChar">
    <w:name w:val="Comment Text Char"/>
    <w:basedOn w:val="DefaultParagraphFont"/>
    <w:link w:val="CommentText"/>
    <w:uiPriority w:val="99"/>
    <w:semiHidden/>
    <w:rsid w:val="003F6A62"/>
    <w:rPr>
      <w:sz w:val="20"/>
      <w:szCs w:val="20"/>
    </w:rPr>
  </w:style>
  <w:style w:type="paragraph" w:styleId="CommentSubject">
    <w:name w:val="annotation subject"/>
    <w:basedOn w:val="CommentText"/>
    <w:next w:val="CommentText"/>
    <w:link w:val="CommentSubjectChar"/>
    <w:uiPriority w:val="99"/>
    <w:semiHidden/>
    <w:unhideWhenUsed/>
    <w:rsid w:val="003F6A62"/>
    <w:rPr>
      <w:b/>
      <w:bCs/>
    </w:rPr>
  </w:style>
  <w:style w:type="character" w:customStyle="1" w:styleId="CommentSubjectChar">
    <w:name w:val="Comment Subject Char"/>
    <w:basedOn w:val="CommentTextChar"/>
    <w:link w:val="CommentSubject"/>
    <w:uiPriority w:val="99"/>
    <w:semiHidden/>
    <w:rsid w:val="003F6A62"/>
    <w:rPr>
      <w:b/>
      <w:bCs/>
      <w:sz w:val="20"/>
      <w:szCs w:val="20"/>
    </w:rPr>
  </w:style>
  <w:style w:type="character" w:styleId="LineNumber">
    <w:name w:val="line number"/>
    <w:basedOn w:val="DefaultParagraphFont"/>
    <w:uiPriority w:val="99"/>
    <w:semiHidden/>
    <w:unhideWhenUsed/>
    <w:rsid w:val="00115AFF"/>
  </w:style>
  <w:style w:type="character" w:customStyle="1" w:styleId="Heading2Char">
    <w:name w:val="Heading 2 Char"/>
    <w:basedOn w:val="DefaultParagraphFont"/>
    <w:link w:val="Heading2"/>
    <w:uiPriority w:val="9"/>
    <w:rsid w:val="006A4A5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B7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7843">
      <w:bodyDiv w:val="1"/>
      <w:marLeft w:val="0"/>
      <w:marRight w:val="0"/>
      <w:marTop w:val="0"/>
      <w:marBottom w:val="0"/>
      <w:divBdr>
        <w:top w:val="none" w:sz="0" w:space="0" w:color="auto"/>
        <w:left w:val="none" w:sz="0" w:space="0" w:color="auto"/>
        <w:bottom w:val="none" w:sz="0" w:space="0" w:color="auto"/>
        <w:right w:val="none" w:sz="0" w:space="0" w:color="auto"/>
      </w:divBdr>
    </w:div>
    <w:div w:id="13230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9C91-F8D1-4C00-BFE6-C7BEFF39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3807</Words>
  <Characters>20944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2016-12-09T17:24:00Z</cp:lastPrinted>
  <dcterms:created xsi:type="dcterms:W3CDTF">2016-12-09T19:29:00Z</dcterms:created>
  <dcterms:modified xsi:type="dcterms:W3CDTF">2016-12-09T19:29:00Z</dcterms:modified>
</cp:coreProperties>
</file>