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A0310" w14:textId="77777777" w:rsidR="002B3AEE" w:rsidRPr="00B8162A" w:rsidRDefault="002B3AEE" w:rsidP="00B8162A">
      <w:pPr>
        <w:pStyle w:val="CommentSubject"/>
        <w:tabs>
          <w:tab w:val="left" w:pos="567"/>
        </w:tabs>
        <w:rPr>
          <w:rFonts w:cs="Verdana Bold"/>
          <w:caps/>
          <w:lang w:val="es-CR"/>
        </w:rPr>
      </w:pPr>
      <w:bookmarkStart w:id="0" w:name="_Toc424833990"/>
      <w:bookmarkStart w:id="1" w:name="_Toc424834591"/>
      <w:bookmarkStart w:id="2" w:name="_Toc424834674"/>
      <w:bookmarkStart w:id="3" w:name="_Toc424834741"/>
      <w:bookmarkStart w:id="4" w:name="_Ref395209168"/>
      <w:bookmarkStart w:id="5" w:name="_GoBack"/>
      <w:bookmarkEnd w:id="5"/>
    </w:p>
    <w:p w14:paraId="29444F8A" w14:textId="77777777" w:rsidR="002B3AEE" w:rsidRPr="0023443B" w:rsidRDefault="002B3AEE" w:rsidP="007754D7">
      <w:pPr>
        <w:tabs>
          <w:tab w:val="left" w:pos="567"/>
        </w:tabs>
        <w:jc w:val="center"/>
        <w:rPr>
          <w:rFonts w:cs="Verdana Bold"/>
          <w:b/>
          <w:bCs/>
          <w:caps/>
          <w:szCs w:val="20"/>
          <w:lang w:val="es-CR"/>
        </w:rPr>
      </w:pPr>
    </w:p>
    <w:p w14:paraId="3CAC19A1" w14:textId="77777777" w:rsidR="002B3AEE" w:rsidRPr="0023443B" w:rsidRDefault="002B3AEE" w:rsidP="00307E91">
      <w:pPr>
        <w:tabs>
          <w:tab w:val="left" w:pos="567"/>
        </w:tabs>
        <w:rPr>
          <w:rFonts w:cs="Verdana Bold"/>
          <w:b/>
          <w:bCs/>
          <w:caps/>
          <w:szCs w:val="20"/>
          <w:lang w:val="es-CR"/>
        </w:rPr>
      </w:pPr>
    </w:p>
    <w:p w14:paraId="31600DAE" w14:textId="77777777" w:rsidR="00B923DA" w:rsidRPr="0023443B" w:rsidRDefault="00B923DA" w:rsidP="00307E91">
      <w:pPr>
        <w:tabs>
          <w:tab w:val="left" w:pos="567"/>
        </w:tabs>
        <w:rPr>
          <w:rFonts w:cs="Verdana Bold"/>
          <w:b/>
          <w:bCs/>
          <w:caps/>
          <w:szCs w:val="20"/>
          <w:lang w:val="es-CR"/>
        </w:rPr>
      </w:pPr>
    </w:p>
    <w:p w14:paraId="4CF99E08" w14:textId="77777777" w:rsidR="00B923DA" w:rsidRPr="0023443B" w:rsidRDefault="00B923DA" w:rsidP="00307E91">
      <w:pPr>
        <w:tabs>
          <w:tab w:val="left" w:pos="567"/>
        </w:tabs>
        <w:rPr>
          <w:rFonts w:cs="Verdana Bold"/>
          <w:b/>
          <w:bCs/>
          <w:caps/>
          <w:szCs w:val="20"/>
          <w:lang w:val="es-CR"/>
        </w:rPr>
      </w:pPr>
    </w:p>
    <w:p w14:paraId="1F30803C" w14:textId="77777777" w:rsidR="00B923DA" w:rsidRPr="0023443B" w:rsidRDefault="00B923DA" w:rsidP="00307E91">
      <w:pPr>
        <w:tabs>
          <w:tab w:val="left" w:pos="567"/>
        </w:tabs>
        <w:rPr>
          <w:rFonts w:cs="Verdana Bold"/>
          <w:b/>
          <w:bCs/>
          <w:caps/>
          <w:szCs w:val="20"/>
          <w:lang w:val="es-CR"/>
        </w:rPr>
      </w:pPr>
    </w:p>
    <w:p w14:paraId="22B443C8" w14:textId="77777777" w:rsidR="00B923DA" w:rsidRPr="0023443B" w:rsidRDefault="00B923DA" w:rsidP="00307E91">
      <w:pPr>
        <w:tabs>
          <w:tab w:val="left" w:pos="567"/>
        </w:tabs>
        <w:rPr>
          <w:rFonts w:cs="Verdana Bold"/>
          <w:b/>
          <w:bCs/>
          <w:caps/>
          <w:szCs w:val="20"/>
          <w:lang w:val="es-CR"/>
        </w:rPr>
      </w:pPr>
    </w:p>
    <w:p w14:paraId="78991C28" w14:textId="77777777" w:rsidR="00B923DA" w:rsidRPr="0023443B" w:rsidRDefault="00B923DA" w:rsidP="00307E91">
      <w:pPr>
        <w:tabs>
          <w:tab w:val="left" w:pos="567"/>
        </w:tabs>
        <w:rPr>
          <w:rFonts w:cs="Verdana Bold"/>
          <w:b/>
          <w:bCs/>
          <w:caps/>
          <w:szCs w:val="20"/>
          <w:lang w:val="es-CR"/>
        </w:rPr>
      </w:pPr>
    </w:p>
    <w:p w14:paraId="24DA15D5" w14:textId="77777777" w:rsidR="00B923DA" w:rsidRPr="0023443B" w:rsidRDefault="00B923DA" w:rsidP="00307E91">
      <w:pPr>
        <w:tabs>
          <w:tab w:val="left" w:pos="567"/>
        </w:tabs>
        <w:rPr>
          <w:rFonts w:cs="Verdana Bold"/>
          <w:b/>
          <w:bCs/>
          <w:caps/>
          <w:szCs w:val="20"/>
          <w:lang w:val="es-CR"/>
        </w:rPr>
      </w:pPr>
    </w:p>
    <w:p w14:paraId="5D84440D" w14:textId="77777777" w:rsidR="00B923DA" w:rsidRPr="0023443B" w:rsidRDefault="00B923DA" w:rsidP="00307E91">
      <w:pPr>
        <w:tabs>
          <w:tab w:val="left" w:pos="567"/>
        </w:tabs>
        <w:rPr>
          <w:rFonts w:cs="Verdana Bold"/>
          <w:b/>
          <w:bCs/>
          <w:caps/>
          <w:szCs w:val="20"/>
          <w:lang w:val="es-CR"/>
        </w:rPr>
      </w:pPr>
    </w:p>
    <w:p w14:paraId="36337EFD" w14:textId="77777777" w:rsidR="00B923DA" w:rsidRPr="0023443B" w:rsidRDefault="00B923DA" w:rsidP="00307E91">
      <w:pPr>
        <w:tabs>
          <w:tab w:val="left" w:pos="567"/>
        </w:tabs>
        <w:rPr>
          <w:rFonts w:cs="Verdana Bold"/>
          <w:b/>
          <w:bCs/>
          <w:caps/>
          <w:szCs w:val="20"/>
          <w:lang w:val="es-CR"/>
        </w:rPr>
      </w:pPr>
    </w:p>
    <w:p w14:paraId="709B88B3" w14:textId="77777777" w:rsidR="000E31E8" w:rsidRPr="0023443B" w:rsidRDefault="000E31E8" w:rsidP="0094079A">
      <w:pPr>
        <w:tabs>
          <w:tab w:val="left" w:pos="567"/>
        </w:tabs>
        <w:rPr>
          <w:rFonts w:cs="Verdana Bold"/>
          <w:b/>
          <w:bCs/>
          <w:caps/>
          <w:szCs w:val="20"/>
          <w:lang w:val="es-CR"/>
        </w:rPr>
      </w:pPr>
    </w:p>
    <w:p w14:paraId="19D81E3C" w14:textId="77777777" w:rsidR="003D717E" w:rsidRPr="00CF1787" w:rsidRDefault="003D717E" w:rsidP="007754D7">
      <w:pPr>
        <w:tabs>
          <w:tab w:val="left" w:pos="567"/>
        </w:tabs>
        <w:jc w:val="center"/>
        <w:rPr>
          <w:b/>
          <w:spacing w:val="-4"/>
          <w:lang w:val="es-CR"/>
        </w:rPr>
      </w:pPr>
      <w:r w:rsidRPr="00CF1787">
        <w:rPr>
          <w:b/>
          <w:spacing w:val="-4"/>
          <w:lang w:val="es-CR"/>
        </w:rPr>
        <w:t>CORTE INTERAMERICANA DE DERECHOS HUMANOS</w:t>
      </w:r>
      <w:bookmarkEnd w:id="0"/>
      <w:bookmarkEnd w:id="1"/>
      <w:bookmarkEnd w:id="2"/>
      <w:bookmarkEnd w:id="3"/>
      <w:r w:rsidR="00994D9F" w:rsidRPr="00CF1787">
        <w:rPr>
          <w:rFonts w:cs="Verdana"/>
          <w:b/>
          <w:spacing w:val="-2"/>
          <w:szCs w:val="20"/>
          <w:vertAlign w:val="superscript"/>
          <w:lang w:val="es-CR" w:eastAsia="es-CR"/>
        </w:rPr>
        <w:footnoteReference w:customMarkFollows="1" w:id="1"/>
        <w:t>*</w:t>
      </w:r>
    </w:p>
    <w:p w14:paraId="130CAA28" w14:textId="77777777" w:rsidR="003D717E" w:rsidRPr="00CF1787" w:rsidRDefault="003D717E" w:rsidP="007754D7">
      <w:pPr>
        <w:tabs>
          <w:tab w:val="left" w:pos="567"/>
        </w:tabs>
        <w:jc w:val="center"/>
        <w:rPr>
          <w:b/>
          <w:spacing w:val="-4"/>
          <w:lang w:val="es-CR"/>
        </w:rPr>
      </w:pPr>
    </w:p>
    <w:p w14:paraId="67E88982" w14:textId="77777777" w:rsidR="003D717E" w:rsidRPr="00CF1787" w:rsidRDefault="003D717E" w:rsidP="007754D7">
      <w:pPr>
        <w:tabs>
          <w:tab w:val="left" w:pos="567"/>
        </w:tabs>
        <w:jc w:val="center"/>
        <w:rPr>
          <w:b/>
          <w:spacing w:val="-4"/>
          <w:lang w:val="es-CR"/>
        </w:rPr>
      </w:pPr>
      <w:bookmarkStart w:id="6" w:name="_Toc424833991"/>
      <w:bookmarkStart w:id="7" w:name="_Toc424834592"/>
      <w:bookmarkStart w:id="8" w:name="_Toc424834675"/>
      <w:bookmarkStart w:id="9" w:name="_Toc424834742"/>
      <w:r w:rsidRPr="00CF1787">
        <w:rPr>
          <w:b/>
          <w:spacing w:val="-4"/>
          <w:lang w:val="es-CR"/>
        </w:rPr>
        <w:t xml:space="preserve">CASO </w:t>
      </w:r>
      <w:r w:rsidR="00C41854" w:rsidRPr="00CF1787">
        <w:rPr>
          <w:b/>
          <w:spacing w:val="-4"/>
          <w:lang w:val="es-CR"/>
        </w:rPr>
        <w:t xml:space="preserve">VALENCIA HINOJOSA </w:t>
      </w:r>
      <w:r w:rsidRPr="00CF1787">
        <w:rPr>
          <w:b/>
          <w:spacing w:val="-4"/>
          <w:lang w:val="es-CR"/>
        </w:rPr>
        <w:t>Y OTR</w:t>
      </w:r>
      <w:r w:rsidR="00593272" w:rsidRPr="00CF1787">
        <w:rPr>
          <w:b/>
          <w:spacing w:val="-4"/>
          <w:lang w:val="es-CR"/>
        </w:rPr>
        <w:t>A</w:t>
      </w:r>
      <w:r w:rsidRPr="00CF1787">
        <w:rPr>
          <w:b/>
          <w:spacing w:val="-4"/>
          <w:lang w:val="es-CR"/>
        </w:rPr>
        <w:t xml:space="preserve"> VS. </w:t>
      </w:r>
      <w:bookmarkEnd w:id="6"/>
      <w:bookmarkEnd w:id="7"/>
      <w:bookmarkEnd w:id="8"/>
      <w:bookmarkEnd w:id="9"/>
      <w:r w:rsidR="00C41854" w:rsidRPr="00CF1787">
        <w:rPr>
          <w:b/>
          <w:spacing w:val="-4"/>
          <w:lang w:val="es-CR"/>
        </w:rPr>
        <w:t>ECUADOR</w:t>
      </w:r>
    </w:p>
    <w:p w14:paraId="5EF03D48" w14:textId="77777777" w:rsidR="003D717E" w:rsidRPr="00CF1787" w:rsidRDefault="003D717E" w:rsidP="007754D7">
      <w:pPr>
        <w:tabs>
          <w:tab w:val="left" w:pos="567"/>
        </w:tabs>
        <w:jc w:val="center"/>
        <w:rPr>
          <w:b/>
          <w:spacing w:val="-4"/>
          <w:lang w:val="es-CR"/>
        </w:rPr>
      </w:pPr>
    </w:p>
    <w:p w14:paraId="416BD311" w14:textId="77777777" w:rsidR="003D717E" w:rsidRPr="00CF1787" w:rsidRDefault="003D717E" w:rsidP="007754D7">
      <w:pPr>
        <w:tabs>
          <w:tab w:val="left" w:pos="567"/>
        </w:tabs>
        <w:jc w:val="center"/>
        <w:rPr>
          <w:b/>
          <w:spacing w:val="-4"/>
          <w:lang w:val="es-CR"/>
        </w:rPr>
      </w:pPr>
      <w:bookmarkStart w:id="10" w:name="_Toc424833992"/>
      <w:bookmarkStart w:id="11" w:name="_Toc424834593"/>
      <w:bookmarkStart w:id="12" w:name="_Toc424834676"/>
      <w:bookmarkStart w:id="13" w:name="_Toc424834743"/>
      <w:r w:rsidRPr="00CF1787">
        <w:rPr>
          <w:b/>
          <w:spacing w:val="-4"/>
          <w:lang w:val="es-CR"/>
        </w:rPr>
        <w:t xml:space="preserve">SENTENCIA DE </w:t>
      </w:r>
      <w:r w:rsidR="001D29E7" w:rsidRPr="00CF1787">
        <w:rPr>
          <w:b/>
          <w:spacing w:val="-4"/>
          <w:lang w:val="es-CR"/>
        </w:rPr>
        <w:t>29</w:t>
      </w:r>
      <w:r w:rsidRPr="00CF1787">
        <w:rPr>
          <w:b/>
          <w:spacing w:val="-4"/>
          <w:lang w:val="es-CR"/>
        </w:rPr>
        <w:t xml:space="preserve"> DE </w:t>
      </w:r>
      <w:r w:rsidR="00FF65A7" w:rsidRPr="00CF1787">
        <w:rPr>
          <w:b/>
          <w:spacing w:val="-4"/>
          <w:lang w:val="es-CR"/>
        </w:rPr>
        <w:t>NOVIEMBRE</w:t>
      </w:r>
      <w:r w:rsidR="00C41854" w:rsidRPr="00CF1787">
        <w:rPr>
          <w:b/>
          <w:spacing w:val="-4"/>
          <w:lang w:val="es-CR"/>
        </w:rPr>
        <w:t xml:space="preserve"> </w:t>
      </w:r>
      <w:r w:rsidRPr="00CF1787">
        <w:rPr>
          <w:b/>
          <w:spacing w:val="-4"/>
          <w:lang w:val="es-CR"/>
        </w:rPr>
        <w:t>DE 201</w:t>
      </w:r>
      <w:bookmarkEnd w:id="10"/>
      <w:bookmarkEnd w:id="11"/>
      <w:bookmarkEnd w:id="12"/>
      <w:bookmarkEnd w:id="13"/>
      <w:r w:rsidR="00C41854" w:rsidRPr="00CF1787">
        <w:rPr>
          <w:b/>
          <w:spacing w:val="-4"/>
          <w:lang w:val="es-CR"/>
        </w:rPr>
        <w:t>6</w:t>
      </w:r>
    </w:p>
    <w:p w14:paraId="608CF9D5" w14:textId="77777777" w:rsidR="003D717E" w:rsidRPr="00CF1787" w:rsidRDefault="003D717E" w:rsidP="007754D7">
      <w:pPr>
        <w:tabs>
          <w:tab w:val="left" w:pos="567"/>
        </w:tabs>
        <w:rPr>
          <w:spacing w:val="-4"/>
          <w:lang w:val="es-CR"/>
        </w:rPr>
      </w:pPr>
    </w:p>
    <w:p w14:paraId="1B59453C" w14:textId="77777777" w:rsidR="003D717E" w:rsidRPr="00CF1787" w:rsidRDefault="003D717E" w:rsidP="007754D7">
      <w:pPr>
        <w:tabs>
          <w:tab w:val="left" w:pos="567"/>
        </w:tabs>
        <w:jc w:val="center"/>
        <w:rPr>
          <w:b/>
          <w:spacing w:val="-4"/>
          <w:lang w:val="es-CR"/>
        </w:rPr>
      </w:pPr>
      <w:bookmarkStart w:id="14" w:name="_Toc424833993"/>
      <w:bookmarkStart w:id="15" w:name="_Toc424834594"/>
      <w:bookmarkStart w:id="16" w:name="_Toc424834677"/>
      <w:bookmarkStart w:id="17" w:name="_Toc424834744"/>
      <w:r w:rsidRPr="00CF1787">
        <w:rPr>
          <w:b/>
          <w:spacing w:val="-4"/>
          <w:lang w:val="es-CR"/>
        </w:rPr>
        <w:t>(</w:t>
      </w:r>
      <w:r w:rsidRPr="00CF1787">
        <w:rPr>
          <w:b/>
          <w:i/>
          <w:spacing w:val="-4"/>
          <w:lang w:val="es-CR"/>
        </w:rPr>
        <w:t>Excepci</w:t>
      </w:r>
      <w:r w:rsidR="0096472F" w:rsidRPr="00CF1787">
        <w:rPr>
          <w:b/>
          <w:i/>
          <w:spacing w:val="-4"/>
          <w:lang w:val="es-CR"/>
        </w:rPr>
        <w:t>ones</w:t>
      </w:r>
      <w:r w:rsidRPr="00CF1787">
        <w:rPr>
          <w:b/>
          <w:i/>
          <w:spacing w:val="-4"/>
          <w:lang w:val="es-CR"/>
        </w:rPr>
        <w:t xml:space="preserve"> Preliminar</w:t>
      </w:r>
      <w:r w:rsidR="0096472F" w:rsidRPr="00CF1787">
        <w:rPr>
          <w:b/>
          <w:i/>
          <w:spacing w:val="-4"/>
          <w:lang w:val="es-CR"/>
        </w:rPr>
        <w:t>es</w:t>
      </w:r>
      <w:r w:rsidRPr="00CF1787">
        <w:rPr>
          <w:b/>
          <w:i/>
          <w:spacing w:val="-4"/>
          <w:lang w:val="es-CR"/>
        </w:rPr>
        <w:t>, Fondo, Reparaciones y Costas</w:t>
      </w:r>
      <w:r w:rsidRPr="00CF1787">
        <w:rPr>
          <w:b/>
          <w:spacing w:val="-4"/>
          <w:lang w:val="es-CR"/>
        </w:rPr>
        <w:t>)</w:t>
      </w:r>
      <w:bookmarkEnd w:id="14"/>
      <w:bookmarkEnd w:id="15"/>
      <w:bookmarkEnd w:id="16"/>
      <w:bookmarkEnd w:id="17"/>
    </w:p>
    <w:p w14:paraId="4AC1D501" w14:textId="77777777" w:rsidR="00994D9F" w:rsidRPr="00CF1787" w:rsidRDefault="00994D9F" w:rsidP="007754D7">
      <w:pPr>
        <w:widowControl w:val="0"/>
        <w:tabs>
          <w:tab w:val="left" w:pos="567"/>
          <w:tab w:val="left" w:pos="720"/>
        </w:tabs>
        <w:adjustRightInd w:val="0"/>
        <w:textAlignment w:val="baseline"/>
        <w:rPr>
          <w:rFonts w:cs="Verdana"/>
          <w:spacing w:val="-4"/>
          <w:szCs w:val="20"/>
          <w:lang w:val="es-CR" w:eastAsia="es-CR"/>
        </w:rPr>
      </w:pPr>
    </w:p>
    <w:p w14:paraId="091568C6" w14:textId="77777777" w:rsidR="00B923DA" w:rsidRPr="00CF1787" w:rsidRDefault="00B923DA" w:rsidP="007754D7">
      <w:pPr>
        <w:widowControl w:val="0"/>
        <w:tabs>
          <w:tab w:val="left" w:pos="567"/>
          <w:tab w:val="left" w:pos="720"/>
        </w:tabs>
        <w:adjustRightInd w:val="0"/>
        <w:textAlignment w:val="baseline"/>
        <w:rPr>
          <w:rFonts w:cs="Verdana"/>
          <w:spacing w:val="-4"/>
          <w:szCs w:val="20"/>
          <w:lang w:val="es-CR" w:eastAsia="es-CR"/>
        </w:rPr>
      </w:pPr>
    </w:p>
    <w:p w14:paraId="15612C81" w14:textId="77777777" w:rsidR="00B923DA" w:rsidRPr="00CF1787" w:rsidRDefault="00B923DA" w:rsidP="007754D7">
      <w:pPr>
        <w:widowControl w:val="0"/>
        <w:tabs>
          <w:tab w:val="left" w:pos="567"/>
          <w:tab w:val="left" w:pos="720"/>
        </w:tabs>
        <w:adjustRightInd w:val="0"/>
        <w:textAlignment w:val="baseline"/>
        <w:rPr>
          <w:rFonts w:cs="Verdana"/>
          <w:spacing w:val="-4"/>
          <w:szCs w:val="20"/>
          <w:lang w:val="es-CR" w:eastAsia="es-CR"/>
        </w:rPr>
      </w:pPr>
    </w:p>
    <w:p w14:paraId="4BF509A9" w14:textId="77777777" w:rsidR="00B923DA" w:rsidRPr="00CF1787" w:rsidRDefault="00B923DA" w:rsidP="007754D7">
      <w:pPr>
        <w:widowControl w:val="0"/>
        <w:tabs>
          <w:tab w:val="left" w:pos="567"/>
          <w:tab w:val="left" w:pos="720"/>
        </w:tabs>
        <w:adjustRightInd w:val="0"/>
        <w:textAlignment w:val="baseline"/>
        <w:rPr>
          <w:rFonts w:cs="Verdana"/>
          <w:spacing w:val="-4"/>
          <w:szCs w:val="20"/>
          <w:lang w:val="es-CR" w:eastAsia="es-CR"/>
        </w:rPr>
      </w:pPr>
    </w:p>
    <w:p w14:paraId="12806619" w14:textId="77777777" w:rsidR="00B923DA" w:rsidRPr="00CF1787" w:rsidRDefault="00B923DA" w:rsidP="007754D7">
      <w:pPr>
        <w:widowControl w:val="0"/>
        <w:tabs>
          <w:tab w:val="left" w:pos="567"/>
          <w:tab w:val="left" w:pos="720"/>
        </w:tabs>
        <w:adjustRightInd w:val="0"/>
        <w:textAlignment w:val="baseline"/>
        <w:rPr>
          <w:rFonts w:cs="Verdana"/>
          <w:spacing w:val="-4"/>
          <w:szCs w:val="20"/>
          <w:lang w:val="es-CR" w:eastAsia="es-CR"/>
        </w:rPr>
      </w:pPr>
    </w:p>
    <w:p w14:paraId="62D98E6B" w14:textId="77777777" w:rsidR="00B923DA" w:rsidRPr="00CF1787" w:rsidRDefault="00B923DA" w:rsidP="007754D7">
      <w:pPr>
        <w:widowControl w:val="0"/>
        <w:tabs>
          <w:tab w:val="left" w:pos="567"/>
          <w:tab w:val="left" w:pos="720"/>
        </w:tabs>
        <w:adjustRightInd w:val="0"/>
        <w:textAlignment w:val="baseline"/>
        <w:rPr>
          <w:rFonts w:cs="Verdana"/>
          <w:spacing w:val="-4"/>
          <w:szCs w:val="20"/>
          <w:lang w:val="es-CR" w:eastAsia="es-CR"/>
        </w:rPr>
      </w:pPr>
    </w:p>
    <w:p w14:paraId="4F3987B2" w14:textId="77777777" w:rsidR="00994D9F" w:rsidRPr="00CF1787" w:rsidRDefault="00994D9F" w:rsidP="007754D7">
      <w:pPr>
        <w:widowControl w:val="0"/>
        <w:tabs>
          <w:tab w:val="left" w:pos="567"/>
          <w:tab w:val="left" w:pos="720"/>
        </w:tabs>
        <w:adjustRightInd w:val="0"/>
        <w:textAlignment w:val="baseline"/>
        <w:rPr>
          <w:rFonts w:cs="Verdana"/>
          <w:i/>
          <w:iCs/>
          <w:spacing w:val="-4"/>
          <w:szCs w:val="20"/>
          <w:lang w:val="es-CR" w:eastAsia="es-CR"/>
        </w:rPr>
      </w:pPr>
      <w:r w:rsidRPr="00CF1787">
        <w:rPr>
          <w:rFonts w:cs="Verdana"/>
          <w:spacing w:val="-4"/>
          <w:szCs w:val="20"/>
          <w:lang w:val="es-CR" w:eastAsia="es-CR"/>
        </w:rPr>
        <w:t>En el caso</w:t>
      </w:r>
      <w:r w:rsidRPr="00CF1787">
        <w:rPr>
          <w:rFonts w:cs="Verdana"/>
          <w:i/>
          <w:iCs/>
          <w:spacing w:val="-4"/>
          <w:szCs w:val="20"/>
          <w:lang w:val="es-CR" w:eastAsia="es-CR"/>
        </w:rPr>
        <w:t xml:space="preserve"> Valencia Hinojosa y otr</w:t>
      </w:r>
      <w:r w:rsidR="00C144B6" w:rsidRPr="00CF1787">
        <w:rPr>
          <w:rFonts w:cs="Verdana"/>
          <w:i/>
          <w:iCs/>
          <w:spacing w:val="-4"/>
          <w:szCs w:val="20"/>
          <w:lang w:val="es-CR" w:eastAsia="es-CR"/>
        </w:rPr>
        <w:t>a</w:t>
      </w:r>
      <w:r w:rsidRPr="00CF1787">
        <w:rPr>
          <w:rFonts w:cs="Verdana"/>
          <w:i/>
          <w:iCs/>
          <w:spacing w:val="-4"/>
          <w:szCs w:val="20"/>
          <w:lang w:val="es-CR" w:eastAsia="es-CR"/>
        </w:rPr>
        <w:t xml:space="preserve">, </w:t>
      </w:r>
    </w:p>
    <w:p w14:paraId="6D1795EC" w14:textId="77777777" w:rsidR="00994D9F" w:rsidRPr="00CF1787" w:rsidRDefault="00994D9F" w:rsidP="007754D7">
      <w:pPr>
        <w:widowControl w:val="0"/>
        <w:tabs>
          <w:tab w:val="left" w:pos="567"/>
          <w:tab w:val="left" w:pos="720"/>
        </w:tabs>
        <w:adjustRightInd w:val="0"/>
        <w:textAlignment w:val="baseline"/>
        <w:rPr>
          <w:rFonts w:cs="Verdana"/>
          <w:spacing w:val="-4"/>
          <w:szCs w:val="20"/>
          <w:lang w:val="es-CR" w:eastAsia="es-CR"/>
        </w:rPr>
      </w:pPr>
    </w:p>
    <w:p w14:paraId="3CDF6BE8" w14:textId="77777777" w:rsidR="00994D9F" w:rsidRPr="00CF1787" w:rsidRDefault="00994D9F" w:rsidP="007754D7">
      <w:pPr>
        <w:widowControl w:val="0"/>
        <w:tabs>
          <w:tab w:val="left" w:pos="567"/>
          <w:tab w:val="left" w:pos="720"/>
        </w:tabs>
        <w:adjustRightInd w:val="0"/>
        <w:textAlignment w:val="baseline"/>
        <w:rPr>
          <w:rFonts w:cs="Verdana"/>
          <w:spacing w:val="-4"/>
          <w:szCs w:val="20"/>
          <w:lang w:val="es-CR" w:eastAsia="es-CR"/>
        </w:rPr>
      </w:pPr>
      <w:proofErr w:type="gramStart"/>
      <w:r w:rsidRPr="00CF1787">
        <w:rPr>
          <w:rFonts w:cs="Verdana"/>
          <w:spacing w:val="-4"/>
          <w:szCs w:val="20"/>
          <w:lang w:val="es-CR" w:eastAsia="es-CR"/>
        </w:rPr>
        <w:t>la</w:t>
      </w:r>
      <w:proofErr w:type="gramEnd"/>
      <w:r w:rsidRPr="00CF1787">
        <w:rPr>
          <w:rFonts w:cs="Verdana"/>
          <w:spacing w:val="-4"/>
          <w:szCs w:val="20"/>
          <w:lang w:val="es-CR" w:eastAsia="es-CR"/>
        </w:rPr>
        <w:t xml:space="preserve"> Corte Interamericana de Derechos Humanos (en adelante “la Corte Interamericana”, “la Corte” o “este Tribunal”), integrada por los siguientes jueces:</w:t>
      </w:r>
    </w:p>
    <w:p w14:paraId="623B6FC8" w14:textId="77777777" w:rsidR="00994D9F" w:rsidRPr="00CF1787" w:rsidRDefault="00994D9F" w:rsidP="007754D7">
      <w:pPr>
        <w:widowControl w:val="0"/>
        <w:tabs>
          <w:tab w:val="left" w:pos="567"/>
          <w:tab w:val="left" w:pos="720"/>
        </w:tabs>
        <w:adjustRightInd w:val="0"/>
        <w:textAlignment w:val="baseline"/>
        <w:rPr>
          <w:rFonts w:cs="Verdana"/>
          <w:spacing w:val="-4"/>
          <w:szCs w:val="20"/>
          <w:lang w:val="es-CR" w:eastAsia="es-CR"/>
        </w:rPr>
      </w:pPr>
    </w:p>
    <w:p w14:paraId="1D3C36F5" w14:textId="77777777" w:rsidR="00994D9F" w:rsidRPr="00CF1787" w:rsidRDefault="00593272" w:rsidP="007754D7">
      <w:pPr>
        <w:pStyle w:val="citaindirecta"/>
        <w:tabs>
          <w:tab w:val="left" w:pos="567"/>
          <w:tab w:val="left" w:pos="851"/>
        </w:tabs>
        <w:ind w:left="0" w:right="-174"/>
        <w:rPr>
          <w:spacing w:val="-4"/>
          <w:lang w:val="pt-BR"/>
        </w:rPr>
      </w:pPr>
      <w:r w:rsidRPr="00CF1787">
        <w:rPr>
          <w:spacing w:val="-4"/>
          <w:lang w:val="pt-BR"/>
        </w:rPr>
        <w:t>Roberto F. Caldas</w:t>
      </w:r>
      <w:r w:rsidR="00994D9F" w:rsidRPr="00CF1787">
        <w:rPr>
          <w:spacing w:val="-4"/>
          <w:lang w:val="pt-BR"/>
        </w:rPr>
        <w:t>, Presidente;</w:t>
      </w:r>
    </w:p>
    <w:p w14:paraId="2A150CAD" w14:textId="77777777" w:rsidR="00994D9F" w:rsidRPr="00CF1787" w:rsidRDefault="00593272" w:rsidP="007754D7">
      <w:pPr>
        <w:pStyle w:val="citaindirecta"/>
        <w:tabs>
          <w:tab w:val="left" w:pos="567"/>
          <w:tab w:val="left" w:pos="851"/>
        </w:tabs>
        <w:ind w:left="0" w:right="-174"/>
        <w:rPr>
          <w:spacing w:val="-4"/>
          <w:lang w:val="pt-BR"/>
        </w:rPr>
      </w:pPr>
      <w:r w:rsidRPr="00CF1787">
        <w:rPr>
          <w:spacing w:val="-4"/>
          <w:lang w:val="pt-BR"/>
        </w:rPr>
        <w:t>Eduardo Ferrer Mac-Gregor Poisot</w:t>
      </w:r>
      <w:r w:rsidR="00994D9F" w:rsidRPr="00CF1787">
        <w:rPr>
          <w:spacing w:val="-4"/>
          <w:lang w:val="pt-BR"/>
        </w:rPr>
        <w:t>,</w:t>
      </w:r>
      <w:r w:rsidR="00994D9F" w:rsidRPr="00CF1787">
        <w:rPr>
          <w:rFonts w:cs="Verdana"/>
          <w:spacing w:val="-4"/>
          <w:lang w:val="pt-BR"/>
        </w:rPr>
        <w:t xml:space="preserve"> Vicepresidente;</w:t>
      </w:r>
    </w:p>
    <w:p w14:paraId="0494211E" w14:textId="77777777" w:rsidR="002B3AEE" w:rsidRPr="00CF1787" w:rsidRDefault="002B3AEE" w:rsidP="007754D7">
      <w:pPr>
        <w:pStyle w:val="citaindirecta"/>
        <w:tabs>
          <w:tab w:val="left" w:pos="567"/>
          <w:tab w:val="left" w:pos="851"/>
        </w:tabs>
        <w:ind w:left="0" w:right="-174"/>
        <w:rPr>
          <w:spacing w:val="-4"/>
          <w:lang w:val="es-CR"/>
        </w:rPr>
      </w:pPr>
      <w:r w:rsidRPr="00CF1787">
        <w:rPr>
          <w:spacing w:val="-4"/>
          <w:lang w:val="es-CR"/>
        </w:rPr>
        <w:t>Eduardo Vio Grossi, Juez;</w:t>
      </w:r>
    </w:p>
    <w:p w14:paraId="41C72E53" w14:textId="77777777" w:rsidR="00593272" w:rsidRPr="00CF1787" w:rsidRDefault="00593272" w:rsidP="007754D7">
      <w:pPr>
        <w:pStyle w:val="citaindirecta"/>
        <w:tabs>
          <w:tab w:val="left" w:pos="567"/>
          <w:tab w:val="left" w:pos="851"/>
        </w:tabs>
        <w:ind w:left="0" w:right="-174"/>
        <w:rPr>
          <w:spacing w:val="-4"/>
          <w:lang w:val="es-CR"/>
        </w:rPr>
      </w:pPr>
      <w:r w:rsidRPr="00CF1787">
        <w:rPr>
          <w:spacing w:val="-4"/>
          <w:lang w:val="es-CR"/>
        </w:rPr>
        <w:t>Humberto Antonio Sierra Porto, Juez;</w:t>
      </w:r>
    </w:p>
    <w:p w14:paraId="1149095C" w14:textId="77777777" w:rsidR="00994D9F" w:rsidRPr="00CF1787" w:rsidRDefault="00593272" w:rsidP="007754D7">
      <w:pPr>
        <w:tabs>
          <w:tab w:val="left" w:pos="567"/>
          <w:tab w:val="left" w:pos="720"/>
          <w:tab w:val="left" w:pos="851"/>
        </w:tabs>
        <w:ind w:right="-174"/>
        <w:rPr>
          <w:rFonts w:cs="Verdana"/>
          <w:spacing w:val="-4"/>
          <w:szCs w:val="20"/>
          <w:lang w:val="es-CR"/>
        </w:rPr>
      </w:pPr>
      <w:r w:rsidRPr="00CF1787">
        <w:rPr>
          <w:rFonts w:cs="Verdana"/>
          <w:spacing w:val="-4"/>
          <w:szCs w:val="20"/>
          <w:lang w:val="es-CR"/>
        </w:rPr>
        <w:t>Elizabeth Odio Benito</w:t>
      </w:r>
      <w:r w:rsidR="00994D9F" w:rsidRPr="00CF1787">
        <w:rPr>
          <w:rFonts w:cs="Verdana"/>
          <w:spacing w:val="-4"/>
          <w:szCs w:val="20"/>
          <w:lang w:val="es-CR"/>
        </w:rPr>
        <w:t xml:space="preserve">, </w:t>
      </w:r>
      <w:r w:rsidR="002B3AEE" w:rsidRPr="00CF1787">
        <w:rPr>
          <w:spacing w:val="-4"/>
          <w:szCs w:val="20"/>
          <w:lang w:val="es-CR"/>
        </w:rPr>
        <w:t>Juez</w:t>
      </w:r>
      <w:r w:rsidR="00755CA3" w:rsidRPr="00CF1787">
        <w:rPr>
          <w:spacing w:val="-4"/>
          <w:szCs w:val="20"/>
          <w:lang w:val="es-CR"/>
        </w:rPr>
        <w:t>a</w:t>
      </w:r>
      <w:r w:rsidR="002B3AEE" w:rsidRPr="00CF1787">
        <w:rPr>
          <w:spacing w:val="-4"/>
          <w:szCs w:val="20"/>
          <w:lang w:val="es-CR"/>
        </w:rPr>
        <w:t>,</w:t>
      </w:r>
      <w:r w:rsidR="00994D9F" w:rsidRPr="00CF1787">
        <w:rPr>
          <w:rFonts w:cs="Verdana"/>
          <w:spacing w:val="-4"/>
          <w:szCs w:val="20"/>
          <w:lang w:val="es-CR"/>
        </w:rPr>
        <w:t xml:space="preserve"> </w:t>
      </w:r>
      <w:r w:rsidR="004B73F2" w:rsidRPr="00CF1787">
        <w:rPr>
          <w:rFonts w:cs="Verdana"/>
          <w:spacing w:val="-4"/>
          <w:szCs w:val="20"/>
          <w:lang w:val="es-CR"/>
        </w:rPr>
        <w:t>y</w:t>
      </w:r>
    </w:p>
    <w:p w14:paraId="39F8D4C8" w14:textId="77777777" w:rsidR="00994D9F" w:rsidRPr="00CF1787" w:rsidRDefault="00593272" w:rsidP="007754D7">
      <w:pPr>
        <w:tabs>
          <w:tab w:val="left" w:pos="567"/>
          <w:tab w:val="left" w:pos="720"/>
          <w:tab w:val="left" w:pos="851"/>
        </w:tabs>
        <w:ind w:right="-174"/>
        <w:rPr>
          <w:rFonts w:cs="Verdana"/>
          <w:spacing w:val="-4"/>
          <w:szCs w:val="20"/>
          <w:lang w:val="es-CR"/>
        </w:rPr>
      </w:pPr>
      <w:r w:rsidRPr="00CF1787">
        <w:rPr>
          <w:spacing w:val="-4"/>
          <w:szCs w:val="20"/>
          <w:lang w:val="es-CR"/>
        </w:rPr>
        <w:t xml:space="preserve">Eugenio Raúl </w:t>
      </w:r>
      <w:proofErr w:type="spellStart"/>
      <w:r w:rsidRPr="00CF1787">
        <w:rPr>
          <w:spacing w:val="-4"/>
          <w:szCs w:val="20"/>
          <w:lang w:val="es-CR"/>
        </w:rPr>
        <w:t>Zaffaroni</w:t>
      </w:r>
      <w:proofErr w:type="spellEnd"/>
      <w:r w:rsidR="00994D9F" w:rsidRPr="00CF1787">
        <w:rPr>
          <w:spacing w:val="-4"/>
          <w:szCs w:val="20"/>
          <w:lang w:val="es-CR"/>
        </w:rPr>
        <w:t>,</w:t>
      </w:r>
      <w:r w:rsidR="00994D9F" w:rsidRPr="00CF1787">
        <w:rPr>
          <w:rFonts w:cs="Verdana"/>
          <w:spacing w:val="-4"/>
          <w:szCs w:val="20"/>
          <w:lang w:val="es-CR"/>
        </w:rPr>
        <w:t xml:space="preserve"> </w:t>
      </w:r>
      <w:r w:rsidR="004B73F2" w:rsidRPr="00CF1787">
        <w:rPr>
          <w:spacing w:val="-4"/>
          <w:szCs w:val="20"/>
          <w:lang w:val="es-CR"/>
        </w:rPr>
        <w:t>Juez.</w:t>
      </w:r>
    </w:p>
    <w:p w14:paraId="1A07C5A4" w14:textId="77777777" w:rsidR="00994D9F" w:rsidRPr="00CF1787" w:rsidRDefault="00994D9F" w:rsidP="007754D7">
      <w:pPr>
        <w:widowControl w:val="0"/>
        <w:tabs>
          <w:tab w:val="left" w:pos="567"/>
          <w:tab w:val="left" w:pos="720"/>
        </w:tabs>
        <w:adjustRightInd w:val="0"/>
        <w:textAlignment w:val="baseline"/>
        <w:rPr>
          <w:rFonts w:cs="Verdana"/>
          <w:spacing w:val="-4"/>
          <w:szCs w:val="20"/>
          <w:lang w:val="es-CR" w:eastAsia="es-CR"/>
        </w:rPr>
      </w:pPr>
    </w:p>
    <w:p w14:paraId="3735D4E8" w14:textId="77777777" w:rsidR="00994D9F" w:rsidRPr="00CF1787" w:rsidRDefault="00994D9F" w:rsidP="007754D7">
      <w:pPr>
        <w:widowControl w:val="0"/>
        <w:tabs>
          <w:tab w:val="left" w:pos="567"/>
          <w:tab w:val="left" w:pos="720"/>
        </w:tabs>
        <w:adjustRightInd w:val="0"/>
        <w:textAlignment w:val="baseline"/>
        <w:rPr>
          <w:rFonts w:cs="Verdana"/>
          <w:spacing w:val="-4"/>
          <w:szCs w:val="20"/>
          <w:lang w:val="es-CR" w:eastAsia="es-CR"/>
        </w:rPr>
      </w:pPr>
      <w:proofErr w:type="gramStart"/>
      <w:r w:rsidRPr="00CF1787">
        <w:rPr>
          <w:rFonts w:cs="Verdana"/>
          <w:spacing w:val="-4"/>
          <w:szCs w:val="20"/>
          <w:lang w:val="es-CR" w:eastAsia="es-CR"/>
        </w:rPr>
        <w:t>presentes</w:t>
      </w:r>
      <w:proofErr w:type="gramEnd"/>
      <w:r w:rsidRPr="00CF1787">
        <w:rPr>
          <w:rFonts w:cs="Verdana"/>
          <w:spacing w:val="-4"/>
          <w:szCs w:val="20"/>
          <w:lang w:val="es-CR" w:eastAsia="es-CR"/>
        </w:rPr>
        <w:t xml:space="preserve"> además,</w:t>
      </w:r>
    </w:p>
    <w:p w14:paraId="2735A831" w14:textId="77777777" w:rsidR="00994D9F" w:rsidRPr="00CF1787" w:rsidRDefault="00994D9F" w:rsidP="007754D7">
      <w:pPr>
        <w:widowControl w:val="0"/>
        <w:tabs>
          <w:tab w:val="left" w:pos="567"/>
          <w:tab w:val="left" w:pos="720"/>
        </w:tabs>
        <w:adjustRightInd w:val="0"/>
        <w:textAlignment w:val="baseline"/>
        <w:rPr>
          <w:rFonts w:cs="Verdana"/>
          <w:spacing w:val="-4"/>
          <w:szCs w:val="20"/>
          <w:lang w:val="es-CR" w:eastAsia="es-CR"/>
        </w:rPr>
      </w:pPr>
    </w:p>
    <w:p w14:paraId="50822675" w14:textId="77777777" w:rsidR="00994D9F" w:rsidRPr="00CF1787" w:rsidRDefault="00994D9F" w:rsidP="007754D7">
      <w:pPr>
        <w:widowControl w:val="0"/>
        <w:tabs>
          <w:tab w:val="left" w:pos="567"/>
          <w:tab w:val="left" w:pos="720"/>
        </w:tabs>
        <w:adjustRightInd w:val="0"/>
        <w:textAlignment w:val="baseline"/>
        <w:rPr>
          <w:rFonts w:cs="Verdana"/>
          <w:spacing w:val="-4"/>
          <w:szCs w:val="20"/>
          <w:lang w:val="es-CR" w:eastAsia="es-CR"/>
        </w:rPr>
      </w:pPr>
      <w:r w:rsidRPr="00CF1787">
        <w:rPr>
          <w:rFonts w:cs="Verdana"/>
          <w:spacing w:val="-4"/>
          <w:szCs w:val="20"/>
          <w:lang w:val="es-CR" w:eastAsia="es-CR"/>
        </w:rPr>
        <w:t xml:space="preserve">Pablo Saavedra Alessandri, Secretario, y </w:t>
      </w:r>
    </w:p>
    <w:p w14:paraId="2C0A3B5C" w14:textId="77777777" w:rsidR="00994D9F" w:rsidRPr="00CF1787" w:rsidRDefault="00994D9F" w:rsidP="007754D7">
      <w:pPr>
        <w:widowControl w:val="0"/>
        <w:tabs>
          <w:tab w:val="left" w:pos="567"/>
          <w:tab w:val="left" w:pos="720"/>
        </w:tabs>
        <w:adjustRightInd w:val="0"/>
        <w:textAlignment w:val="baseline"/>
        <w:rPr>
          <w:rFonts w:cs="Verdana"/>
          <w:spacing w:val="-4"/>
          <w:szCs w:val="20"/>
          <w:lang w:val="es-CR" w:eastAsia="es-CR"/>
        </w:rPr>
      </w:pPr>
      <w:r w:rsidRPr="00CF1787">
        <w:rPr>
          <w:rFonts w:cs="Verdana"/>
          <w:spacing w:val="-4"/>
          <w:szCs w:val="20"/>
          <w:lang w:val="es-CR" w:eastAsia="es-MX"/>
        </w:rPr>
        <w:t>Emilia Segares Rodríguez, Secretaria Adjunta,</w:t>
      </w:r>
    </w:p>
    <w:p w14:paraId="1F93FEA2" w14:textId="77777777" w:rsidR="00994D9F" w:rsidRPr="00CF1787" w:rsidRDefault="00994D9F" w:rsidP="007754D7">
      <w:pPr>
        <w:widowControl w:val="0"/>
        <w:tabs>
          <w:tab w:val="left" w:pos="567"/>
          <w:tab w:val="left" w:pos="720"/>
        </w:tabs>
        <w:adjustRightInd w:val="0"/>
        <w:textAlignment w:val="baseline"/>
        <w:rPr>
          <w:rFonts w:cs="Verdana"/>
          <w:spacing w:val="-4"/>
          <w:szCs w:val="20"/>
          <w:lang w:val="es-CR" w:eastAsia="es-CR"/>
        </w:rPr>
      </w:pPr>
    </w:p>
    <w:p w14:paraId="0B9C47E6" w14:textId="77777777" w:rsidR="00994D9F" w:rsidRPr="00CF1787" w:rsidRDefault="00994D9F" w:rsidP="007754D7">
      <w:pPr>
        <w:widowControl w:val="0"/>
        <w:tabs>
          <w:tab w:val="left" w:pos="567"/>
          <w:tab w:val="left" w:pos="720"/>
        </w:tabs>
        <w:adjustRightInd w:val="0"/>
        <w:textAlignment w:val="baseline"/>
        <w:rPr>
          <w:rFonts w:cs="Verdana"/>
          <w:spacing w:val="-4"/>
          <w:szCs w:val="20"/>
          <w:lang w:val="es-CR" w:eastAsia="es-CR"/>
        </w:rPr>
      </w:pPr>
      <w:proofErr w:type="gramStart"/>
      <w:r w:rsidRPr="00CF1787">
        <w:rPr>
          <w:rFonts w:cs="Verdana"/>
          <w:spacing w:val="-4"/>
          <w:szCs w:val="20"/>
          <w:lang w:val="es-CR" w:eastAsia="es-CR"/>
        </w:rPr>
        <w:t>de</w:t>
      </w:r>
      <w:proofErr w:type="gramEnd"/>
      <w:r w:rsidRPr="00CF1787">
        <w:rPr>
          <w:rFonts w:cs="Verdana"/>
          <w:spacing w:val="-4"/>
          <w:szCs w:val="20"/>
          <w:lang w:val="es-CR" w:eastAsia="es-CR"/>
        </w:rPr>
        <w:t xml:space="preserv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14:paraId="057EFB21" w14:textId="77777777" w:rsidR="00746DE8" w:rsidRPr="00CF1787" w:rsidRDefault="00746DE8" w:rsidP="007754D7">
      <w:pPr>
        <w:tabs>
          <w:tab w:val="left" w:pos="567"/>
        </w:tabs>
        <w:spacing w:after="200" w:line="276" w:lineRule="auto"/>
        <w:jc w:val="left"/>
        <w:rPr>
          <w:b/>
          <w:spacing w:val="-4"/>
          <w:lang w:val="es-CR" w:eastAsia="es-CR"/>
        </w:rPr>
      </w:pPr>
      <w:bookmarkStart w:id="18" w:name="_Toc424834678"/>
      <w:bookmarkStart w:id="19" w:name="_Toc427932784"/>
      <w:bookmarkStart w:id="20" w:name="_Toc431584601"/>
      <w:bookmarkStart w:id="21" w:name="_Toc434850389"/>
      <w:r w:rsidRPr="00CF1787">
        <w:rPr>
          <w:spacing w:val="-4"/>
          <w:lang w:val="es-CR"/>
        </w:rPr>
        <w:br w:type="page"/>
      </w:r>
    </w:p>
    <w:bookmarkEnd w:id="4"/>
    <w:bookmarkEnd w:id="18"/>
    <w:bookmarkEnd w:id="19"/>
    <w:bookmarkEnd w:id="20"/>
    <w:bookmarkEnd w:id="21"/>
    <w:p w14:paraId="7374D9C8" w14:textId="77777777" w:rsidR="009D5CD3" w:rsidRPr="00CF1787" w:rsidRDefault="004C6863" w:rsidP="00757BC9">
      <w:pPr>
        <w:jc w:val="center"/>
        <w:rPr>
          <w:b/>
        </w:rPr>
      </w:pPr>
      <w:r w:rsidRPr="00CF1787">
        <w:rPr>
          <w:b/>
        </w:rPr>
        <w:lastRenderedPageBreak/>
        <w:t>TABLA DE CONTENIDO</w:t>
      </w:r>
    </w:p>
    <w:p w14:paraId="6D9687E1" w14:textId="77777777" w:rsidR="00757BC9" w:rsidRPr="00CF1787" w:rsidRDefault="00757BC9" w:rsidP="00757BC9">
      <w:pPr>
        <w:rPr>
          <w:lang w:val="es-CR"/>
        </w:rPr>
      </w:pPr>
    </w:p>
    <w:p w14:paraId="06AB7AC6" w14:textId="51FF9E37" w:rsidR="00B92E5F" w:rsidRPr="00CF1787" w:rsidRDefault="00573468" w:rsidP="00757BC9">
      <w:pPr>
        <w:pStyle w:val="TOC1"/>
        <w:rPr>
          <w:rFonts w:eastAsiaTheme="minorEastAsia" w:cstheme="minorBidi"/>
          <w:lang w:eastAsia="es-CR"/>
        </w:rPr>
      </w:pPr>
      <w:r w:rsidRPr="00CF1787">
        <w:fldChar w:fldCharType="begin"/>
      </w:r>
      <w:r w:rsidR="009D5CD3" w:rsidRPr="00CF1787">
        <w:instrText xml:space="preserve"> TOC \o "1-4" \f \h \z \u </w:instrText>
      </w:r>
      <w:r w:rsidRPr="00CF1787">
        <w:fldChar w:fldCharType="separate"/>
      </w:r>
      <w:hyperlink w:anchor="_Toc470098022" w:history="1">
        <w:r w:rsidR="00B92E5F" w:rsidRPr="00CF1787">
          <w:rPr>
            <w:rStyle w:val="Hyperlink"/>
            <w:spacing w:val="-4"/>
          </w:rPr>
          <w:t>I.</w:t>
        </w:r>
        <w:r w:rsidR="00B92E5F" w:rsidRPr="00CF1787">
          <w:t xml:space="preserve"> </w:t>
        </w:r>
        <w:r w:rsidR="00B92E5F" w:rsidRPr="00CF1787">
          <w:rPr>
            <w:rStyle w:val="Hyperlink"/>
            <w:spacing w:val="-4"/>
          </w:rPr>
          <w:t>INTRODUCCIÓN DE LA CAUSA Y OBJETO DE LA CONTROVERSIA</w:t>
        </w:r>
        <w:r w:rsidR="00B92E5F" w:rsidRPr="00CF1787">
          <w:rPr>
            <w:webHidden/>
          </w:rPr>
          <w:tab/>
        </w:r>
        <w:r w:rsidR="00B92E5F" w:rsidRPr="00CF1787">
          <w:rPr>
            <w:webHidden/>
          </w:rPr>
          <w:fldChar w:fldCharType="begin"/>
        </w:r>
        <w:r w:rsidR="00B92E5F" w:rsidRPr="00CF1787">
          <w:rPr>
            <w:webHidden/>
          </w:rPr>
          <w:instrText xml:space="preserve"> PAGEREF _Toc470098022 \h </w:instrText>
        </w:r>
        <w:r w:rsidR="00B92E5F" w:rsidRPr="00CF1787">
          <w:rPr>
            <w:webHidden/>
          </w:rPr>
        </w:r>
        <w:r w:rsidR="00B92E5F" w:rsidRPr="00CF1787">
          <w:rPr>
            <w:webHidden/>
          </w:rPr>
          <w:fldChar w:fldCharType="separate"/>
        </w:r>
        <w:r w:rsidR="00536893">
          <w:rPr>
            <w:webHidden/>
          </w:rPr>
          <w:t>4</w:t>
        </w:r>
        <w:r w:rsidR="00B92E5F" w:rsidRPr="00CF1787">
          <w:rPr>
            <w:webHidden/>
          </w:rPr>
          <w:fldChar w:fldCharType="end"/>
        </w:r>
      </w:hyperlink>
    </w:p>
    <w:p w14:paraId="1DC5E62C" w14:textId="10CBDFE0" w:rsidR="00B92E5F" w:rsidRPr="00CF1787" w:rsidRDefault="004730DA" w:rsidP="00757BC9">
      <w:pPr>
        <w:pStyle w:val="TOC1"/>
        <w:rPr>
          <w:rFonts w:eastAsiaTheme="minorEastAsia" w:cstheme="minorBidi"/>
          <w:lang w:eastAsia="es-CR"/>
        </w:rPr>
      </w:pPr>
      <w:hyperlink w:anchor="_Toc470098024" w:history="1">
        <w:r w:rsidR="00B92E5F" w:rsidRPr="00CF1787">
          <w:rPr>
            <w:rStyle w:val="Hyperlink"/>
            <w:spacing w:val="-4"/>
          </w:rPr>
          <w:t>II.</w:t>
        </w:r>
        <w:r w:rsidR="00B92E5F" w:rsidRPr="00CF1787">
          <w:t xml:space="preserve"> </w:t>
        </w:r>
        <w:r w:rsidR="00B92E5F" w:rsidRPr="00CF1787">
          <w:rPr>
            <w:rStyle w:val="Hyperlink"/>
            <w:spacing w:val="-4"/>
          </w:rPr>
          <w:t>PROCEDIMIENTO ANTE LA CORTE</w:t>
        </w:r>
        <w:r w:rsidR="00B92E5F" w:rsidRPr="00CF1787">
          <w:rPr>
            <w:webHidden/>
          </w:rPr>
          <w:tab/>
        </w:r>
        <w:r w:rsidR="00B92E5F" w:rsidRPr="00CF1787">
          <w:rPr>
            <w:webHidden/>
          </w:rPr>
          <w:fldChar w:fldCharType="begin"/>
        </w:r>
        <w:r w:rsidR="00B92E5F" w:rsidRPr="00CF1787">
          <w:rPr>
            <w:webHidden/>
          </w:rPr>
          <w:instrText xml:space="preserve"> PAGEREF _Toc470098024 \h </w:instrText>
        </w:r>
        <w:r w:rsidR="00B92E5F" w:rsidRPr="00CF1787">
          <w:rPr>
            <w:webHidden/>
          </w:rPr>
        </w:r>
        <w:r w:rsidR="00B92E5F" w:rsidRPr="00CF1787">
          <w:rPr>
            <w:webHidden/>
          </w:rPr>
          <w:fldChar w:fldCharType="separate"/>
        </w:r>
        <w:r w:rsidR="00536893">
          <w:rPr>
            <w:webHidden/>
          </w:rPr>
          <w:t>5</w:t>
        </w:r>
        <w:r w:rsidR="00B92E5F" w:rsidRPr="00CF1787">
          <w:rPr>
            <w:webHidden/>
          </w:rPr>
          <w:fldChar w:fldCharType="end"/>
        </w:r>
      </w:hyperlink>
    </w:p>
    <w:p w14:paraId="6782E6B9" w14:textId="5E93A0A4" w:rsidR="00B92E5F" w:rsidRPr="00CF1787" w:rsidRDefault="004730DA" w:rsidP="00757BC9">
      <w:pPr>
        <w:pStyle w:val="TOC1"/>
        <w:rPr>
          <w:rFonts w:eastAsiaTheme="minorEastAsia" w:cstheme="minorBidi"/>
          <w:lang w:eastAsia="es-CR"/>
        </w:rPr>
      </w:pPr>
      <w:hyperlink w:anchor="_Toc470098026" w:history="1">
        <w:r w:rsidR="00B92E5F" w:rsidRPr="00CF1787">
          <w:rPr>
            <w:rStyle w:val="Hyperlink"/>
            <w:snapToGrid w:val="0"/>
            <w:spacing w:val="-4"/>
          </w:rPr>
          <w:t>III.</w:t>
        </w:r>
        <w:r w:rsidR="00B92E5F" w:rsidRPr="00CF1787">
          <w:t xml:space="preserve"> </w:t>
        </w:r>
        <w:r w:rsidR="00B92E5F" w:rsidRPr="00CF1787">
          <w:rPr>
            <w:rStyle w:val="Hyperlink"/>
            <w:snapToGrid w:val="0"/>
            <w:spacing w:val="-4"/>
          </w:rPr>
          <w:t>COMPETENCIA</w:t>
        </w:r>
        <w:r w:rsidR="00B92E5F" w:rsidRPr="00CF1787">
          <w:rPr>
            <w:webHidden/>
          </w:rPr>
          <w:tab/>
        </w:r>
        <w:r w:rsidR="00B92E5F" w:rsidRPr="00CF1787">
          <w:rPr>
            <w:webHidden/>
          </w:rPr>
          <w:fldChar w:fldCharType="begin"/>
        </w:r>
        <w:r w:rsidR="00B92E5F" w:rsidRPr="00CF1787">
          <w:rPr>
            <w:webHidden/>
          </w:rPr>
          <w:instrText xml:space="preserve"> PAGEREF _Toc470098026 \h </w:instrText>
        </w:r>
        <w:r w:rsidR="00B92E5F" w:rsidRPr="00CF1787">
          <w:rPr>
            <w:webHidden/>
          </w:rPr>
        </w:r>
        <w:r w:rsidR="00B92E5F" w:rsidRPr="00CF1787">
          <w:rPr>
            <w:webHidden/>
          </w:rPr>
          <w:fldChar w:fldCharType="separate"/>
        </w:r>
        <w:r w:rsidR="00536893">
          <w:rPr>
            <w:webHidden/>
          </w:rPr>
          <w:t>7</w:t>
        </w:r>
        <w:r w:rsidR="00B92E5F" w:rsidRPr="00CF1787">
          <w:rPr>
            <w:webHidden/>
          </w:rPr>
          <w:fldChar w:fldCharType="end"/>
        </w:r>
      </w:hyperlink>
    </w:p>
    <w:p w14:paraId="02C8144F" w14:textId="5F1FAA25" w:rsidR="00B92E5F" w:rsidRPr="00CF1787" w:rsidRDefault="004730DA" w:rsidP="00757BC9">
      <w:pPr>
        <w:pStyle w:val="TOC1"/>
        <w:rPr>
          <w:rFonts w:eastAsiaTheme="minorEastAsia" w:cstheme="minorBidi"/>
          <w:lang w:eastAsia="es-CR"/>
        </w:rPr>
      </w:pPr>
      <w:hyperlink w:anchor="_Toc470098028" w:history="1">
        <w:r w:rsidR="00B92E5F" w:rsidRPr="00CF1787">
          <w:rPr>
            <w:rStyle w:val="Hyperlink"/>
          </w:rPr>
          <w:t>IV.</w:t>
        </w:r>
        <w:r w:rsidR="00B92E5F" w:rsidRPr="00CF1787">
          <w:t xml:space="preserve"> </w:t>
        </w:r>
        <w:r w:rsidR="00B92E5F" w:rsidRPr="00CF1787">
          <w:rPr>
            <w:rStyle w:val="Hyperlink"/>
          </w:rPr>
          <w:t>EXCEPCIONES PRELIMINARES</w:t>
        </w:r>
        <w:r w:rsidR="00B92E5F" w:rsidRPr="00CF1787">
          <w:rPr>
            <w:webHidden/>
          </w:rPr>
          <w:tab/>
        </w:r>
        <w:r w:rsidR="00B92E5F" w:rsidRPr="00CF1787">
          <w:rPr>
            <w:webHidden/>
          </w:rPr>
          <w:fldChar w:fldCharType="begin"/>
        </w:r>
        <w:r w:rsidR="00B92E5F" w:rsidRPr="00CF1787">
          <w:rPr>
            <w:webHidden/>
          </w:rPr>
          <w:instrText xml:space="preserve"> PAGEREF _Toc470098028 \h </w:instrText>
        </w:r>
        <w:r w:rsidR="00B92E5F" w:rsidRPr="00CF1787">
          <w:rPr>
            <w:webHidden/>
          </w:rPr>
        </w:r>
        <w:r w:rsidR="00B92E5F" w:rsidRPr="00CF1787">
          <w:rPr>
            <w:webHidden/>
          </w:rPr>
          <w:fldChar w:fldCharType="separate"/>
        </w:r>
        <w:r w:rsidR="00536893">
          <w:rPr>
            <w:webHidden/>
          </w:rPr>
          <w:t>7</w:t>
        </w:r>
        <w:r w:rsidR="00B92E5F" w:rsidRPr="00CF1787">
          <w:rPr>
            <w:webHidden/>
          </w:rPr>
          <w:fldChar w:fldCharType="end"/>
        </w:r>
      </w:hyperlink>
    </w:p>
    <w:p w14:paraId="6BA58B61" w14:textId="15E5BB82"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30" w:history="1">
        <w:r w:rsidR="00B92E5F" w:rsidRPr="00CF1787">
          <w:rPr>
            <w:rStyle w:val="Hyperlink"/>
            <w:rFonts w:ascii="Verdana" w:hAnsi="Verdana"/>
            <w:smallCaps w:val="0"/>
            <w:noProof/>
            <w:lang w:val="es-CR"/>
          </w:rPr>
          <w:t>A. Alegada violación del principio de la “cuarta instancia”</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_Toc470098030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7</w:t>
        </w:r>
        <w:r w:rsidR="00B92E5F" w:rsidRPr="00CF1787">
          <w:rPr>
            <w:rFonts w:ascii="Verdana" w:hAnsi="Verdana"/>
            <w:smallCaps w:val="0"/>
            <w:noProof/>
            <w:webHidden/>
          </w:rPr>
          <w:fldChar w:fldCharType="end"/>
        </w:r>
      </w:hyperlink>
    </w:p>
    <w:p w14:paraId="48E0F3AF"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31" w:history="1">
        <w:r w:rsidR="00B92E5F" w:rsidRPr="00CF1787">
          <w:rPr>
            <w:rStyle w:val="Hyperlink"/>
            <w:rFonts w:ascii="Verdana" w:hAnsi="Verdana"/>
            <w:i w:val="0"/>
            <w:noProof/>
            <w:lang w:val="es-CR"/>
          </w:rPr>
          <w:t>A.1 Alegatos del Estado y observaciones de los representantes y de la Comisión</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_Toc470098031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7</w:t>
        </w:r>
        <w:r w:rsidR="00B92E5F" w:rsidRPr="00CF1787">
          <w:rPr>
            <w:rFonts w:ascii="Verdana" w:hAnsi="Verdana"/>
            <w:i w:val="0"/>
            <w:noProof/>
            <w:webHidden/>
          </w:rPr>
          <w:fldChar w:fldCharType="end"/>
        </w:r>
      </w:hyperlink>
    </w:p>
    <w:p w14:paraId="78F16C8B"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32" w:history="1">
        <w:r w:rsidR="00B92E5F" w:rsidRPr="00CF1787">
          <w:rPr>
            <w:rStyle w:val="Hyperlink"/>
            <w:rFonts w:ascii="Verdana" w:hAnsi="Verdana"/>
            <w:i w:val="0"/>
            <w:noProof/>
            <w:lang w:val="es-CR"/>
          </w:rPr>
          <w:t>A.2 Consideraciones de la Corte</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_Toc470098032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8</w:t>
        </w:r>
        <w:r w:rsidR="00B92E5F" w:rsidRPr="00CF1787">
          <w:rPr>
            <w:rFonts w:ascii="Verdana" w:hAnsi="Verdana"/>
            <w:i w:val="0"/>
            <w:noProof/>
            <w:webHidden/>
          </w:rPr>
          <w:fldChar w:fldCharType="end"/>
        </w:r>
      </w:hyperlink>
    </w:p>
    <w:p w14:paraId="60DE06E2" w14:textId="0E1E33F0"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33" w:history="1">
        <w:r w:rsidR="00B92E5F" w:rsidRPr="00CF1787">
          <w:rPr>
            <w:rStyle w:val="Hyperlink"/>
            <w:rFonts w:ascii="Verdana" w:hAnsi="Verdana"/>
            <w:smallCaps w:val="0"/>
            <w:noProof/>
            <w:lang w:val="es-CR"/>
          </w:rPr>
          <w:t>B. Alegada violación del debido proceso ante la Comisión Interamericana</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_Toc470098033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9</w:t>
        </w:r>
        <w:r w:rsidR="00B92E5F" w:rsidRPr="00CF1787">
          <w:rPr>
            <w:rFonts w:ascii="Verdana" w:hAnsi="Verdana"/>
            <w:smallCaps w:val="0"/>
            <w:noProof/>
            <w:webHidden/>
          </w:rPr>
          <w:fldChar w:fldCharType="end"/>
        </w:r>
      </w:hyperlink>
    </w:p>
    <w:p w14:paraId="40BAE5A4"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34" w:history="1">
        <w:r w:rsidR="00B92E5F" w:rsidRPr="00CF1787">
          <w:rPr>
            <w:rStyle w:val="Hyperlink"/>
            <w:rFonts w:ascii="Verdana" w:hAnsi="Verdana"/>
            <w:i w:val="0"/>
            <w:noProof/>
            <w:lang w:val="es-CR"/>
          </w:rPr>
          <w:t>B.1 Alegada falta de motivación en cuanto a la aplicación del artículo 37(3) del reglamento de la Comisión</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_Toc470098034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11</w:t>
        </w:r>
        <w:r w:rsidR="00B92E5F" w:rsidRPr="00CF1787">
          <w:rPr>
            <w:rFonts w:ascii="Verdana" w:hAnsi="Verdana"/>
            <w:i w:val="0"/>
            <w:noProof/>
            <w:webHidden/>
          </w:rPr>
          <w:fldChar w:fldCharType="end"/>
        </w:r>
      </w:hyperlink>
    </w:p>
    <w:p w14:paraId="5D08A0BD"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35" w:history="1">
        <w:r w:rsidR="00B92E5F" w:rsidRPr="00CF1787">
          <w:rPr>
            <w:rStyle w:val="Hyperlink"/>
            <w:rFonts w:ascii="Verdana" w:hAnsi="Verdana"/>
            <w:i w:val="0"/>
            <w:noProof/>
            <w:lang w:val="es-CR"/>
          </w:rPr>
          <w:t>B.2 Alegada falta de motivación de la presunta vulneración a los artículos 8 y 25 de la Convención Americana</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_Toc470098035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12</w:t>
        </w:r>
        <w:r w:rsidR="00B92E5F" w:rsidRPr="00CF1787">
          <w:rPr>
            <w:rFonts w:ascii="Verdana" w:hAnsi="Verdana"/>
            <w:i w:val="0"/>
            <w:noProof/>
            <w:webHidden/>
          </w:rPr>
          <w:fldChar w:fldCharType="end"/>
        </w:r>
      </w:hyperlink>
    </w:p>
    <w:p w14:paraId="2F0B5C89"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36" w:history="1">
        <w:r w:rsidR="00B92E5F" w:rsidRPr="00CF1787">
          <w:rPr>
            <w:rStyle w:val="Hyperlink"/>
            <w:rFonts w:ascii="Verdana" w:hAnsi="Verdana"/>
            <w:i w:val="0"/>
            <w:noProof/>
            <w:lang w:val="es-CR"/>
          </w:rPr>
          <w:t>B.3 Alegado retardo injustificado en la tramitación de la causa ante la Comisión</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_Toc470098036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12</w:t>
        </w:r>
        <w:r w:rsidR="00B92E5F" w:rsidRPr="00CF1787">
          <w:rPr>
            <w:rFonts w:ascii="Verdana" w:hAnsi="Verdana"/>
            <w:i w:val="0"/>
            <w:noProof/>
            <w:webHidden/>
          </w:rPr>
          <w:fldChar w:fldCharType="end"/>
        </w:r>
      </w:hyperlink>
    </w:p>
    <w:p w14:paraId="61E9C07F" w14:textId="4438344A" w:rsidR="00B92E5F" w:rsidRPr="00CF1787" w:rsidRDefault="004730DA" w:rsidP="00757BC9">
      <w:pPr>
        <w:pStyle w:val="TOC1"/>
        <w:rPr>
          <w:rFonts w:eastAsiaTheme="minorEastAsia" w:cstheme="minorBidi"/>
          <w:lang w:eastAsia="es-CR"/>
        </w:rPr>
      </w:pPr>
      <w:hyperlink w:anchor="_Toc470098037" w:history="1">
        <w:r w:rsidR="00B92E5F" w:rsidRPr="00CF1787">
          <w:rPr>
            <w:rStyle w:val="Hyperlink"/>
            <w:spacing w:val="-4"/>
          </w:rPr>
          <w:t>V.</w:t>
        </w:r>
        <w:r w:rsidR="00B92E5F" w:rsidRPr="00CF1787">
          <w:t xml:space="preserve"> </w:t>
        </w:r>
        <w:r w:rsidR="00B92E5F" w:rsidRPr="00CF1787">
          <w:rPr>
            <w:rStyle w:val="Hyperlink"/>
            <w:spacing w:val="-4"/>
          </w:rPr>
          <w:t>PRUEBA</w:t>
        </w:r>
        <w:r w:rsidR="00B92E5F" w:rsidRPr="00CF1787">
          <w:rPr>
            <w:webHidden/>
          </w:rPr>
          <w:tab/>
        </w:r>
        <w:r w:rsidR="00B92E5F" w:rsidRPr="00CF1787">
          <w:rPr>
            <w:webHidden/>
          </w:rPr>
          <w:fldChar w:fldCharType="begin"/>
        </w:r>
        <w:r w:rsidR="00B92E5F" w:rsidRPr="00CF1787">
          <w:rPr>
            <w:webHidden/>
          </w:rPr>
          <w:instrText xml:space="preserve"> PAGEREF _Toc470098037 \h </w:instrText>
        </w:r>
        <w:r w:rsidR="00B92E5F" w:rsidRPr="00CF1787">
          <w:rPr>
            <w:webHidden/>
          </w:rPr>
        </w:r>
        <w:r w:rsidR="00B92E5F" w:rsidRPr="00CF1787">
          <w:rPr>
            <w:webHidden/>
          </w:rPr>
          <w:fldChar w:fldCharType="separate"/>
        </w:r>
        <w:r w:rsidR="00536893">
          <w:rPr>
            <w:webHidden/>
          </w:rPr>
          <w:t>13</w:t>
        </w:r>
        <w:r w:rsidR="00B92E5F" w:rsidRPr="00CF1787">
          <w:rPr>
            <w:webHidden/>
          </w:rPr>
          <w:fldChar w:fldCharType="end"/>
        </w:r>
      </w:hyperlink>
    </w:p>
    <w:p w14:paraId="6474C57E" w14:textId="59BABD7E"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39" w:history="1">
        <w:r w:rsidR="00B92E5F" w:rsidRPr="00CF1787">
          <w:rPr>
            <w:rStyle w:val="Hyperlink"/>
            <w:rFonts w:ascii="Verdana" w:hAnsi="Verdana"/>
            <w:smallCaps w:val="0"/>
            <w:noProof/>
            <w:lang w:val="es-CR"/>
          </w:rPr>
          <w:t>A. Prueba documental, testimonial y pericial</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_Toc470098039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13</w:t>
        </w:r>
        <w:r w:rsidR="00B92E5F" w:rsidRPr="00CF1787">
          <w:rPr>
            <w:rFonts w:ascii="Verdana" w:hAnsi="Verdana"/>
            <w:smallCaps w:val="0"/>
            <w:noProof/>
            <w:webHidden/>
          </w:rPr>
          <w:fldChar w:fldCharType="end"/>
        </w:r>
      </w:hyperlink>
    </w:p>
    <w:p w14:paraId="6EC94C29" w14:textId="004F844E"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40" w:history="1">
        <w:r w:rsidR="00B92E5F" w:rsidRPr="00CF1787">
          <w:rPr>
            <w:rStyle w:val="Hyperlink"/>
            <w:rFonts w:ascii="Verdana" w:hAnsi="Verdana"/>
            <w:smallCaps w:val="0"/>
            <w:noProof/>
            <w:lang w:val="es-CR"/>
          </w:rPr>
          <w:t>B. Admisión de la prueba</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_Toc470098040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13</w:t>
        </w:r>
        <w:r w:rsidR="00B92E5F" w:rsidRPr="00CF1787">
          <w:rPr>
            <w:rFonts w:ascii="Verdana" w:hAnsi="Verdana"/>
            <w:smallCaps w:val="0"/>
            <w:noProof/>
            <w:webHidden/>
          </w:rPr>
          <w:fldChar w:fldCharType="end"/>
        </w:r>
      </w:hyperlink>
    </w:p>
    <w:p w14:paraId="3B7BB57C"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41" w:history="1">
        <w:r w:rsidR="00B92E5F" w:rsidRPr="00CF1787">
          <w:rPr>
            <w:rStyle w:val="Hyperlink"/>
            <w:rFonts w:ascii="Verdana" w:hAnsi="Verdana"/>
            <w:i w:val="0"/>
            <w:noProof/>
            <w:lang w:val="es-CR"/>
          </w:rPr>
          <w:t>B.1 Admisión de prueba documental</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_Toc470098041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13</w:t>
        </w:r>
        <w:r w:rsidR="00B92E5F" w:rsidRPr="00CF1787">
          <w:rPr>
            <w:rFonts w:ascii="Verdana" w:hAnsi="Verdana"/>
            <w:i w:val="0"/>
            <w:noProof/>
            <w:webHidden/>
          </w:rPr>
          <w:fldChar w:fldCharType="end"/>
        </w:r>
      </w:hyperlink>
    </w:p>
    <w:p w14:paraId="13EE21CD"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42" w:history="1">
        <w:r w:rsidR="00B92E5F" w:rsidRPr="00CF1787">
          <w:rPr>
            <w:rStyle w:val="Hyperlink"/>
            <w:rFonts w:ascii="Verdana" w:hAnsi="Verdana"/>
            <w:i w:val="0"/>
            <w:noProof/>
            <w:lang w:val="es-CR"/>
          </w:rPr>
          <w:t>B.2 Admisión de la prueba testimonial y pericial</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_Toc470098042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15</w:t>
        </w:r>
        <w:r w:rsidR="00B92E5F" w:rsidRPr="00CF1787">
          <w:rPr>
            <w:rFonts w:ascii="Verdana" w:hAnsi="Verdana"/>
            <w:i w:val="0"/>
            <w:noProof/>
            <w:webHidden/>
          </w:rPr>
          <w:fldChar w:fldCharType="end"/>
        </w:r>
      </w:hyperlink>
    </w:p>
    <w:p w14:paraId="31938173" w14:textId="00A817B9"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43" w:history="1">
        <w:r w:rsidR="00B92E5F" w:rsidRPr="00CF1787">
          <w:rPr>
            <w:rStyle w:val="Hyperlink"/>
            <w:rFonts w:ascii="Verdana" w:hAnsi="Verdana"/>
            <w:smallCaps w:val="0"/>
            <w:noProof/>
            <w:lang w:val="es-CR"/>
          </w:rPr>
          <w:t>C. Valoración de la prueba</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_Toc470098043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15</w:t>
        </w:r>
        <w:r w:rsidR="00B92E5F" w:rsidRPr="00CF1787">
          <w:rPr>
            <w:rFonts w:ascii="Verdana" w:hAnsi="Verdana"/>
            <w:smallCaps w:val="0"/>
            <w:noProof/>
            <w:webHidden/>
          </w:rPr>
          <w:fldChar w:fldCharType="end"/>
        </w:r>
      </w:hyperlink>
    </w:p>
    <w:p w14:paraId="02D9F9AA" w14:textId="37C8C19F" w:rsidR="00B92E5F" w:rsidRPr="00CF1787" w:rsidRDefault="004730DA" w:rsidP="00757BC9">
      <w:pPr>
        <w:pStyle w:val="TOC1"/>
        <w:rPr>
          <w:rFonts w:eastAsiaTheme="minorEastAsia" w:cstheme="minorBidi"/>
          <w:lang w:eastAsia="es-CR"/>
        </w:rPr>
      </w:pPr>
      <w:hyperlink w:anchor="_Toc470098044" w:history="1">
        <w:r w:rsidR="00B92E5F" w:rsidRPr="00CF1787">
          <w:rPr>
            <w:rStyle w:val="Hyperlink"/>
          </w:rPr>
          <w:t>VI.</w:t>
        </w:r>
        <w:r w:rsidR="00B92E5F" w:rsidRPr="00CF1787">
          <w:t xml:space="preserve"> </w:t>
        </w:r>
        <w:r w:rsidR="00B92E5F" w:rsidRPr="00CF1787">
          <w:rPr>
            <w:rStyle w:val="Hyperlink"/>
          </w:rPr>
          <w:t>HECHOS</w:t>
        </w:r>
        <w:r w:rsidR="00B92E5F" w:rsidRPr="00CF1787">
          <w:rPr>
            <w:webHidden/>
          </w:rPr>
          <w:tab/>
        </w:r>
        <w:r w:rsidR="00B92E5F" w:rsidRPr="00CF1787">
          <w:rPr>
            <w:webHidden/>
          </w:rPr>
          <w:fldChar w:fldCharType="begin"/>
        </w:r>
        <w:r w:rsidR="00B92E5F" w:rsidRPr="00CF1787">
          <w:rPr>
            <w:webHidden/>
          </w:rPr>
          <w:instrText xml:space="preserve"> PAGEREF _Toc470098044 \h </w:instrText>
        </w:r>
        <w:r w:rsidR="00B92E5F" w:rsidRPr="00CF1787">
          <w:rPr>
            <w:webHidden/>
          </w:rPr>
        </w:r>
        <w:r w:rsidR="00B92E5F" w:rsidRPr="00CF1787">
          <w:rPr>
            <w:webHidden/>
          </w:rPr>
          <w:fldChar w:fldCharType="separate"/>
        </w:r>
        <w:r w:rsidR="00536893">
          <w:rPr>
            <w:webHidden/>
          </w:rPr>
          <w:t>15</w:t>
        </w:r>
        <w:r w:rsidR="00B92E5F" w:rsidRPr="00CF1787">
          <w:rPr>
            <w:webHidden/>
          </w:rPr>
          <w:fldChar w:fldCharType="end"/>
        </w:r>
      </w:hyperlink>
    </w:p>
    <w:p w14:paraId="12CF92A8" w14:textId="6C0A7E90"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46" w:history="1">
        <w:r w:rsidR="00B92E5F" w:rsidRPr="00CF1787">
          <w:rPr>
            <w:rStyle w:val="Hyperlink"/>
            <w:rFonts w:ascii="Verdana" w:hAnsi="Verdana"/>
            <w:smallCaps w:val="0"/>
            <w:noProof/>
            <w:lang w:val="es-CR"/>
          </w:rPr>
          <w:t>A. Los hechos del 3 de diciembre de 1992</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_Toc470098046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16</w:t>
        </w:r>
        <w:r w:rsidR="00B92E5F" w:rsidRPr="00CF1787">
          <w:rPr>
            <w:rFonts w:ascii="Verdana" w:hAnsi="Verdana"/>
            <w:smallCaps w:val="0"/>
            <w:noProof/>
            <w:webHidden/>
          </w:rPr>
          <w:fldChar w:fldCharType="end"/>
        </w:r>
      </w:hyperlink>
    </w:p>
    <w:p w14:paraId="4039F2C0" w14:textId="2ADD6EE1"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47" w:history="1">
        <w:r w:rsidR="00B92E5F" w:rsidRPr="00CF1787">
          <w:rPr>
            <w:rStyle w:val="Hyperlink"/>
            <w:rFonts w:ascii="Verdana" w:hAnsi="Verdana"/>
            <w:smallCaps w:val="0"/>
            <w:noProof/>
            <w:lang w:val="es-CR"/>
          </w:rPr>
          <w:t>B. Marco Normativo sobre la Jurisdicción Penal Policial</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_Toc470098047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18</w:t>
        </w:r>
        <w:r w:rsidR="00B92E5F" w:rsidRPr="00CF1787">
          <w:rPr>
            <w:rFonts w:ascii="Verdana" w:hAnsi="Verdana"/>
            <w:smallCaps w:val="0"/>
            <w:noProof/>
            <w:webHidden/>
          </w:rPr>
          <w:fldChar w:fldCharType="end"/>
        </w:r>
      </w:hyperlink>
    </w:p>
    <w:p w14:paraId="0A2280AD" w14:textId="152152EB"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48" w:history="1">
        <w:r w:rsidR="00B92E5F" w:rsidRPr="00CF1787">
          <w:rPr>
            <w:rStyle w:val="Hyperlink"/>
            <w:rFonts w:ascii="Verdana" w:hAnsi="Verdana"/>
            <w:smallCaps w:val="0"/>
            <w:noProof/>
            <w:lang w:val="es-CR"/>
          </w:rPr>
          <w:t>C. La investigación y proceso penal policial seguido por la muerte de Luis Jorge Valencia Hinojosa</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_Toc470098048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20</w:t>
        </w:r>
        <w:r w:rsidR="00B92E5F" w:rsidRPr="00CF1787">
          <w:rPr>
            <w:rFonts w:ascii="Verdana" w:hAnsi="Verdana"/>
            <w:smallCaps w:val="0"/>
            <w:noProof/>
            <w:webHidden/>
          </w:rPr>
          <w:fldChar w:fldCharType="end"/>
        </w:r>
      </w:hyperlink>
    </w:p>
    <w:p w14:paraId="68AF26EA" w14:textId="297A8D7F" w:rsidR="00B92E5F" w:rsidRPr="00CF1787" w:rsidRDefault="004730DA" w:rsidP="00757BC9">
      <w:pPr>
        <w:pStyle w:val="TOC1"/>
        <w:rPr>
          <w:rFonts w:eastAsiaTheme="minorEastAsia" w:cstheme="minorBidi"/>
          <w:lang w:eastAsia="es-CR"/>
        </w:rPr>
      </w:pPr>
      <w:hyperlink w:anchor="_Toc470098049" w:history="1">
        <w:r w:rsidR="00B92E5F" w:rsidRPr="00CF1787">
          <w:rPr>
            <w:rStyle w:val="Hyperlink"/>
          </w:rPr>
          <w:t>VII.</w:t>
        </w:r>
        <w:r w:rsidR="00B92E5F" w:rsidRPr="00CF1787">
          <w:t xml:space="preserve"> </w:t>
        </w:r>
        <w:r w:rsidR="00B92E5F" w:rsidRPr="00CF1787">
          <w:rPr>
            <w:rStyle w:val="Hyperlink"/>
          </w:rPr>
          <w:t>FONDO</w:t>
        </w:r>
        <w:r w:rsidR="00B92E5F" w:rsidRPr="00CF1787">
          <w:rPr>
            <w:webHidden/>
          </w:rPr>
          <w:tab/>
        </w:r>
        <w:r w:rsidR="00B92E5F" w:rsidRPr="00CF1787">
          <w:rPr>
            <w:webHidden/>
          </w:rPr>
          <w:fldChar w:fldCharType="begin"/>
        </w:r>
        <w:r w:rsidR="00B92E5F" w:rsidRPr="00CF1787">
          <w:rPr>
            <w:webHidden/>
          </w:rPr>
          <w:instrText xml:space="preserve"> PAGEREF _Toc470098049 \h </w:instrText>
        </w:r>
        <w:r w:rsidR="00B92E5F" w:rsidRPr="00CF1787">
          <w:rPr>
            <w:webHidden/>
          </w:rPr>
        </w:r>
        <w:r w:rsidR="00B92E5F" w:rsidRPr="00CF1787">
          <w:rPr>
            <w:webHidden/>
          </w:rPr>
          <w:fldChar w:fldCharType="separate"/>
        </w:r>
        <w:r w:rsidR="00536893">
          <w:rPr>
            <w:webHidden/>
          </w:rPr>
          <w:t>23</w:t>
        </w:r>
        <w:r w:rsidR="00B92E5F" w:rsidRPr="00CF1787">
          <w:rPr>
            <w:webHidden/>
          </w:rPr>
          <w:fldChar w:fldCharType="end"/>
        </w:r>
      </w:hyperlink>
    </w:p>
    <w:p w14:paraId="77539B6B" w14:textId="6147CD88" w:rsidR="00B92E5F" w:rsidRPr="00CF1787" w:rsidRDefault="004730DA" w:rsidP="00757BC9">
      <w:pPr>
        <w:pStyle w:val="TOC1"/>
        <w:rPr>
          <w:rFonts w:eastAsiaTheme="minorEastAsia" w:cstheme="minorBidi"/>
          <w:lang w:eastAsia="es-CR"/>
        </w:rPr>
      </w:pPr>
      <w:hyperlink w:anchor="_Toc470098051" w:history="1">
        <w:r w:rsidR="00B92E5F" w:rsidRPr="00CF1787">
          <w:rPr>
            <w:rStyle w:val="Hyperlink"/>
          </w:rPr>
          <w:t>VII-1.</w:t>
        </w:r>
        <w:r w:rsidR="00B92E5F" w:rsidRPr="00CF1787">
          <w:t xml:space="preserve"> </w:t>
        </w:r>
        <w:r w:rsidR="00B92E5F" w:rsidRPr="00CF1787">
          <w:rPr>
            <w:rStyle w:val="Hyperlink"/>
          </w:rPr>
          <w:t>GARANTÍAS JUDICIALES Y PROTECCIÓN JUDICIAL, EN RELACIÓN CON LA OBLIGACIÓN DE RESPETAR Y GARANTIZAR LOS DERECHOS Y EL DEBER DE ADOPTAR DISPOSICIONES DE DERECHO INTERNO</w:t>
        </w:r>
        <w:r w:rsidR="00B92E5F" w:rsidRPr="00CF1787">
          <w:rPr>
            <w:webHidden/>
          </w:rPr>
          <w:tab/>
        </w:r>
        <w:r w:rsidR="00B92E5F" w:rsidRPr="00CF1787">
          <w:rPr>
            <w:webHidden/>
          </w:rPr>
          <w:fldChar w:fldCharType="begin"/>
        </w:r>
        <w:r w:rsidR="00B92E5F" w:rsidRPr="00CF1787">
          <w:rPr>
            <w:webHidden/>
          </w:rPr>
          <w:instrText xml:space="preserve"> PAGEREF _Toc470098051 \h </w:instrText>
        </w:r>
        <w:r w:rsidR="00B92E5F" w:rsidRPr="00CF1787">
          <w:rPr>
            <w:webHidden/>
          </w:rPr>
        </w:r>
        <w:r w:rsidR="00B92E5F" w:rsidRPr="00CF1787">
          <w:rPr>
            <w:webHidden/>
          </w:rPr>
          <w:fldChar w:fldCharType="separate"/>
        </w:r>
        <w:r w:rsidR="00536893">
          <w:rPr>
            <w:webHidden/>
          </w:rPr>
          <w:t>23</w:t>
        </w:r>
        <w:r w:rsidR="00B92E5F" w:rsidRPr="00CF1787">
          <w:rPr>
            <w:webHidden/>
          </w:rPr>
          <w:fldChar w:fldCharType="end"/>
        </w:r>
      </w:hyperlink>
    </w:p>
    <w:p w14:paraId="50791FEE" w14:textId="3BA9664D"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53" w:history="1">
        <w:r w:rsidR="00B92E5F" w:rsidRPr="00CF1787">
          <w:rPr>
            <w:rStyle w:val="Hyperlink"/>
            <w:rFonts w:ascii="Verdana" w:hAnsi="Verdana"/>
            <w:smallCaps w:val="0"/>
            <w:noProof/>
            <w:lang w:val="es-CR"/>
          </w:rPr>
          <w:t>A. Garantías de independencia e imparcialidad de la jurisdicción penal policial y derecho a un recurso efectivo</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_Toc470098053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24</w:t>
        </w:r>
        <w:r w:rsidR="00B92E5F" w:rsidRPr="00CF1787">
          <w:rPr>
            <w:rFonts w:ascii="Verdana" w:hAnsi="Verdana"/>
            <w:smallCaps w:val="0"/>
            <w:noProof/>
            <w:webHidden/>
          </w:rPr>
          <w:fldChar w:fldCharType="end"/>
        </w:r>
      </w:hyperlink>
    </w:p>
    <w:p w14:paraId="51CAD59C"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54" w:history="1">
        <w:r w:rsidR="00B92E5F" w:rsidRPr="00CF1787">
          <w:rPr>
            <w:rStyle w:val="Hyperlink"/>
            <w:rFonts w:ascii="Verdana" w:hAnsi="Verdana"/>
            <w:i w:val="0"/>
            <w:noProof/>
            <w:lang w:val="es-CR"/>
          </w:rPr>
          <w:t>A.1 Alegatos de las partes y de la Comisión</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_Toc470098054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24</w:t>
        </w:r>
        <w:r w:rsidR="00B92E5F" w:rsidRPr="00CF1787">
          <w:rPr>
            <w:rFonts w:ascii="Verdana" w:hAnsi="Verdana"/>
            <w:i w:val="0"/>
            <w:noProof/>
            <w:webHidden/>
          </w:rPr>
          <w:fldChar w:fldCharType="end"/>
        </w:r>
      </w:hyperlink>
    </w:p>
    <w:p w14:paraId="6D71ADF1"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55" w:history="1">
        <w:r w:rsidR="00B92E5F" w:rsidRPr="00CF1787">
          <w:rPr>
            <w:rStyle w:val="Hyperlink"/>
            <w:rFonts w:ascii="Verdana" w:hAnsi="Verdana"/>
            <w:i w:val="0"/>
            <w:noProof/>
            <w:lang w:val="es-CR"/>
          </w:rPr>
          <w:t>A.2 Consideraciones de la Corte</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_Toc470098055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25</w:t>
        </w:r>
        <w:r w:rsidR="00B92E5F" w:rsidRPr="00CF1787">
          <w:rPr>
            <w:rFonts w:ascii="Verdana" w:hAnsi="Verdana"/>
            <w:i w:val="0"/>
            <w:noProof/>
            <w:webHidden/>
          </w:rPr>
          <w:fldChar w:fldCharType="end"/>
        </w:r>
      </w:hyperlink>
    </w:p>
    <w:p w14:paraId="3D2AE273" w14:textId="77777777" w:rsidR="00B92E5F" w:rsidRPr="00CF1787" w:rsidRDefault="004730DA" w:rsidP="00757BC9">
      <w:pPr>
        <w:pStyle w:val="TOC4"/>
        <w:tabs>
          <w:tab w:val="right" w:leader="dot" w:pos="9792"/>
        </w:tabs>
        <w:spacing w:before="60" w:after="60"/>
        <w:jc w:val="both"/>
        <w:rPr>
          <w:rFonts w:ascii="Verdana" w:eastAsiaTheme="minorEastAsia" w:hAnsi="Verdana" w:cstheme="minorBidi"/>
          <w:noProof/>
          <w:sz w:val="20"/>
          <w:szCs w:val="20"/>
          <w:lang w:val="es-CR" w:eastAsia="es-CR"/>
        </w:rPr>
      </w:pPr>
      <w:hyperlink w:anchor="_Toc470098056" w:history="1">
        <w:r w:rsidR="00B92E5F" w:rsidRPr="00CF1787">
          <w:rPr>
            <w:rStyle w:val="Hyperlink"/>
            <w:rFonts w:ascii="Verdana" w:hAnsi="Verdana"/>
            <w:noProof/>
            <w:sz w:val="20"/>
            <w:szCs w:val="20"/>
          </w:rPr>
          <w:t>A.2.a La relación de esta jurisdicción con la rama ejecutiva</w:t>
        </w:r>
        <w:r w:rsidR="00B92E5F" w:rsidRPr="00CF1787">
          <w:rPr>
            <w:rFonts w:ascii="Verdana" w:hAnsi="Verdana"/>
            <w:noProof/>
            <w:webHidden/>
            <w:sz w:val="20"/>
            <w:szCs w:val="20"/>
          </w:rPr>
          <w:tab/>
        </w:r>
        <w:r w:rsidR="00B92E5F" w:rsidRPr="00CF1787">
          <w:rPr>
            <w:rFonts w:ascii="Verdana" w:hAnsi="Verdana"/>
            <w:noProof/>
            <w:webHidden/>
            <w:sz w:val="20"/>
            <w:szCs w:val="20"/>
          </w:rPr>
          <w:fldChar w:fldCharType="begin"/>
        </w:r>
        <w:r w:rsidR="00B92E5F" w:rsidRPr="00CF1787">
          <w:rPr>
            <w:rFonts w:ascii="Verdana" w:hAnsi="Verdana"/>
            <w:noProof/>
            <w:webHidden/>
            <w:sz w:val="20"/>
            <w:szCs w:val="20"/>
          </w:rPr>
          <w:instrText xml:space="preserve"> PAGEREF _Toc470098056 \h </w:instrText>
        </w:r>
        <w:r w:rsidR="00B92E5F" w:rsidRPr="00CF1787">
          <w:rPr>
            <w:rFonts w:ascii="Verdana" w:hAnsi="Verdana"/>
            <w:noProof/>
            <w:webHidden/>
            <w:sz w:val="20"/>
            <w:szCs w:val="20"/>
          </w:rPr>
        </w:r>
        <w:r w:rsidR="00B92E5F" w:rsidRPr="00CF1787">
          <w:rPr>
            <w:rFonts w:ascii="Verdana" w:hAnsi="Verdana"/>
            <w:noProof/>
            <w:webHidden/>
            <w:sz w:val="20"/>
            <w:szCs w:val="20"/>
          </w:rPr>
          <w:fldChar w:fldCharType="separate"/>
        </w:r>
        <w:r w:rsidR="00536893">
          <w:rPr>
            <w:rFonts w:ascii="Verdana" w:hAnsi="Verdana"/>
            <w:noProof/>
            <w:webHidden/>
            <w:sz w:val="20"/>
            <w:szCs w:val="20"/>
          </w:rPr>
          <w:t>28</w:t>
        </w:r>
        <w:r w:rsidR="00B92E5F" w:rsidRPr="00CF1787">
          <w:rPr>
            <w:rFonts w:ascii="Verdana" w:hAnsi="Verdana"/>
            <w:noProof/>
            <w:webHidden/>
            <w:sz w:val="20"/>
            <w:szCs w:val="20"/>
          </w:rPr>
          <w:fldChar w:fldCharType="end"/>
        </w:r>
      </w:hyperlink>
    </w:p>
    <w:p w14:paraId="313E1ED5" w14:textId="77777777" w:rsidR="00B92E5F" w:rsidRPr="00CF1787" w:rsidRDefault="004730DA" w:rsidP="00757BC9">
      <w:pPr>
        <w:pStyle w:val="TOC4"/>
        <w:tabs>
          <w:tab w:val="right" w:leader="dot" w:pos="9792"/>
        </w:tabs>
        <w:spacing w:before="60" w:after="60"/>
        <w:jc w:val="both"/>
        <w:rPr>
          <w:rFonts w:ascii="Verdana" w:eastAsiaTheme="minorEastAsia" w:hAnsi="Verdana" w:cstheme="minorBidi"/>
          <w:noProof/>
          <w:sz w:val="20"/>
          <w:szCs w:val="20"/>
          <w:lang w:val="es-CR" w:eastAsia="es-CR"/>
        </w:rPr>
      </w:pPr>
      <w:hyperlink w:anchor="_Toc470098057" w:history="1">
        <w:r w:rsidR="00B92E5F" w:rsidRPr="00CF1787">
          <w:rPr>
            <w:rStyle w:val="Hyperlink"/>
            <w:rFonts w:ascii="Verdana" w:hAnsi="Verdana"/>
            <w:noProof/>
            <w:sz w:val="20"/>
            <w:szCs w:val="20"/>
          </w:rPr>
          <w:t>A.2.b La composición de cada instancia dentro de la jurisdicción penal policial</w:t>
        </w:r>
        <w:r w:rsidR="00B92E5F" w:rsidRPr="00CF1787">
          <w:rPr>
            <w:rFonts w:ascii="Verdana" w:hAnsi="Verdana"/>
            <w:noProof/>
            <w:webHidden/>
            <w:sz w:val="20"/>
            <w:szCs w:val="20"/>
          </w:rPr>
          <w:tab/>
        </w:r>
        <w:r w:rsidR="00B92E5F" w:rsidRPr="00CF1787">
          <w:rPr>
            <w:rFonts w:ascii="Verdana" w:hAnsi="Verdana"/>
            <w:noProof/>
            <w:webHidden/>
            <w:sz w:val="20"/>
            <w:szCs w:val="20"/>
          </w:rPr>
          <w:fldChar w:fldCharType="begin"/>
        </w:r>
        <w:r w:rsidR="00B92E5F" w:rsidRPr="00CF1787">
          <w:rPr>
            <w:rFonts w:ascii="Verdana" w:hAnsi="Verdana"/>
            <w:noProof/>
            <w:webHidden/>
            <w:sz w:val="20"/>
            <w:szCs w:val="20"/>
          </w:rPr>
          <w:instrText xml:space="preserve"> PAGEREF _Toc470098057 \h </w:instrText>
        </w:r>
        <w:r w:rsidR="00B92E5F" w:rsidRPr="00CF1787">
          <w:rPr>
            <w:rFonts w:ascii="Verdana" w:hAnsi="Verdana"/>
            <w:noProof/>
            <w:webHidden/>
            <w:sz w:val="20"/>
            <w:szCs w:val="20"/>
          </w:rPr>
        </w:r>
        <w:r w:rsidR="00B92E5F" w:rsidRPr="00CF1787">
          <w:rPr>
            <w:rFonts w:ascii="Verdana" w:hAnsi="Verdana"/>
            <w:noProof/>
            <w:webHidden/>
            <w:sz w:val="20"/>
            <w:szCs w:val="20"/>
          </w:rPr>
          <w:fldChar w:fldCharType="separate"/>
        </w:r>
        <w:r w:rsidR="00536893">
          <w:rPr>
            <w:rFonts w:ascii="Verdana" w:hAnsi="Verdana"/>
            <w:noProof/>
            <w:webHidden/>
            <w:sz w:val="20"/>
            <w:szCs w:val="20"/>
          </w:rPr>
          <w:t>29</w:t>
        </w:r>
        <w:r w:rsidR="00B92E5F" w:rsidRPr="00CF1787">
          <w:rPr>
            <w:rFonts w:ascii="Verdana" w:hAnsi="Verdana"/>
            <w:noProof/>
            <w:webHidden/>
            <w:sz w:val="20"/>
            <w:szCs w:val="20"/>
          </w:rPr>
          <w:fldChar w:fldCharType="end"/>
        </w:r>
      </w:hyperlink>
    </w:p>
    <w:p w14:paraId="3731AF0A" w14:textId="77777777" w:rsidR="00B92E5F" w:rsidRPr="00CF1787" w:rsidRDefault="004730DA" w:rsidP="00757BC9">
      <w:pPr>
        <w:pStyle w:val="TOC4"/>
        <w:tabs>
          <w:tab w:val="right" w:leader="dot" w:pos="9792"/>
        </w:tabs>
        <w:spacing w:before="60" w:after="60"/>
        <w:jc w:val="both"/>
        <w:rPr>
          <w:rFonts w:ascii="Verdana" w:eastAsiaTheme="minorEastAsia" w:hAnsi="Verdana" w:cstheme="minorBidi"/>
          <w:noProof/>
          <w:sz w:val="20"/>
          <w:szCs w:val="20"/>
          <w:lang w:val="es-CR" w:eastAsia="es-CR"/>
        </w:rPr>
      </w:pPr>
      <w:hyperlink w:anchor="_Toc470098058" w:history="1">
        <w:r w:rsidR="00B92E5F" w:rsidRPr="00CF1787">
          <w:rPr>
            <w:rStyle w:val="Hyperlink"/>
            <w:rFonts w:ascii="Verdana" w:hAnsi="Verdana"/>
            <w:noProof/>
            <w:sz w:val="20"/>
            <w:szCs w:val="20"/>
          </w:rPr>
          <w:t>A.2.c El proceso de nombramiento de los jueces y fiscales</w:t>
        </w:r>
        <w:r w:rsidR="00B92E5F" w:rsidRPr="00CF1787">
          <w:rPr>
            <w:rFonts w:ascii="Verdana" w:hAnsi="Verdana"/>
            <w:noProof/>
            <w:webHidden/>
            <w:sz w:val="20"/>
            <w:szCs w:val="20"/>
          </w:rPr>
          <w:tab/>
        </w:r>
        <w:r w:rsidR="00B92E5F" w:rsidRPr="00CF1787">
          <w:rPr>
            <w:rFonts w:ascii="Verdana" w:hAnsi="Verdana"/>
            <w:noProof/>
            <w:webHidden/>
            <w:sz w:val="20"/>
            <w:szCs w:val="20"/>
          </w:rPr>
          <w:fldChar w:fldCharType="begin"/>
        </w:r>
        <w:r w:rsidR="00B92E5F" w:rsidRPr="00CF1787">
          <w:rPr>
            <w:rFonts w:ascii="Verdana" w:hAnsi="Verdana"/>
            <w:noProof/>
            <w:webHidden/>
            <w:sz w:val="20"/>
            <w:szCs w:val="20"/>
          </w:rPr>
          <w:instrText xml:space="preserve"> PAGEREF _Toc470098058 \h </w:instrText>
        </w:r>
        <w:r w:rsidR="00B92E5F" w:rsidRPr="00CF1787">
          <w:rPr>
            <w:rFonts w:ascii="Verdana" w:hAnsi="Verdana"/>
            <w:noProof/>
            <w:webHidden/>
            <w:sz w:val="20"/>
            <w:szCs w:val="20"/>
          </w:rPr>
        </w:r>
        <w:r w:rsidR="00B92E5F" w:rsidRPr="00CF1787">
          <w:rPr>
            <w:rFonts w:ascii="Verdana" w:hAnsi="Verdana"/>
            <w:noProof/>
            <w:webHidden/>
            <w:sz w:val="20"/>
            <w:szCs w:val="20"/>
          </w:rPr>
          <w:fldChar w:fldCharType="separate"/>
        </w:r>
        <w:r w:rsidR="00536893">
          <w:rPr>
            <w:rFonts w:ascii="Verdana" w:hAnsi="Verdana"/>
            <w:noProof/>
            <w:webHidden/>
            <w:sz w:val="20"/>
            <w:szCs w:val="20"/>
          </w:rPr>
          <w:t>31</w:t>
        </w:r>
        <w:r w:rsidR="00B92E5F" w:rsidRPr="00CF1787">
          <w:rPr>
            <w:rFonts w:ascii="Verdana" w:hAnsi="Verdana"/>
            <w:noProof/>
            <w:webHidden/>
            <w:sz w:val="20"/>
            <w:szCs w:val="20"/>
          </w:rPr>
          <w:fldChar w:fldCharType="end"/>
        </w:r>
      </w:hyperlink>
    </w:p>
    <w:p w14:paraId="0814EE6C" w14:textId="77777777" w:rsidR="00B92E5F" w:rsidRPr="00CF1787" w:rsidRDefault="004730DA" w:rsidP="00757BC9">
      <w:pPr>
        <w:pStyle w:val="TOC4"/>
        <w:tabs>
          <w:tab w:val="right" w:leader="dot" w:pos="9792"/>
        </w:tabs>
        <w:spacing w:before="60" w:after="60"/>
        <w:jc w:val="both"/>
        <w:rPr>
          <w:rFonts w:ascii="Verdana" w:eastAsiaTheme="minorEastAsia" w:hAnsi="Verdana" w:cstheme="minorBidi"/>
          <w:noProof/>
          <w:sz w:val="20"/>
          <w:szCs w:val="20"/>
          <w:lang w:val="es-CR" w:eastAsia="es-CR"/>
        </w:rPr>
      </w:pPr>
      <w:hyperlink w:anchor="_Toc470098059" w:history="1">
        <w:r w:rsidR="00B92E5F" w:rsidRPr="00CF1787">
          <w:rPr>
            <w:rStyle w:val="Hyperlink"/>
            <w:rFonts w:ascii="Verdana" w:hAnsi="Verdana"/>
            <w:noProof/>
            <w:sz w:val="20"/>
            <w:szCs w:val="20"/>
          </w:rPr>
          <w:t>A.2.d Las garantías de inamovilidad (término de su cargo y causales de separación)</w:t>
        </w:r>
        <w:r w:rsidR="00B92E5F" w:rsidRPr="00CF1787">
          <w:rPr>
            <w:rFonts w:ascii="Verdana" w:hAnsi="Verdana"/>
            <w:noProof/>
            <w:webHidden/>
            <w:sz w:val="20"/>
            <w:szCs w:val="20"/>
          </w:rPr>
          <w:tab/>
        </w:r>
        <w:r w:rsidR="00B92E5F" w:rsidRPr="00CF1787">
          <w:rPr>
            <w:rFonts w:ascii="Verdana" w:hAnsi="Verdana"/>
            <w:noProof/>
            <w:webHidden/>
            <w:sz w:val="20"/>
            <w:szCs w:val="20"/>
          </w:rPr>
          <w:fldChar w:fldCharType="begin"/>
        </w:r>
        <w:r w:rsidR="00B92E5F" w:rsidRPr="00CF1787">
          <w:rPr>
            <w:rFonts w:ascii="Verdana" w:hAnsi="Verdana"/>
            <w:noProof/>
            <w:webHidden/>
            <w:sz w:val="20"/>
            <w:szCs w:val="20"/>
          </w:rPr>
          <w:instrText xml:space="preserve"> PAGEREF _Toc470098059 \h </w:instrText>
        </w:r>
        <w:r w:rsidR="00B92E5F" w:rsidRPr="00CF1787">
          <w:rPr>
            <w:rFonts w:ascii="Verdana" w:hAnsi="Verdana"/>
            <w:noProof/>
            <w:webHidden/>
            <w:sz w:val="20"/>
            <w:szCs w:val="20"/>
          </w:rPr>
        </w:r>
        <w:r w:rsidR="00B92E5F" w:rsidRPr="00CF1787">
          <w:rPr>
            <w:rFonts w:ascii="Verdana" w:hAnsi="Verdana"/>
            <w:noProof/>
            <w:webHidden/>
            <w:sz w:val="20"/>
            <w:szCs w:val="20"/>
          </w:rPr>
          <w:fldChar w:fldCharType="separate"/>
        </w:r>
        <w:r w:rsidR="00536893">
          <w:rPr>
            <w:rFonts w:ascii="Verdana" w:hAnsi="Verdana"/>
            <w:noProof/>
            <w:webHidden/>
            <w:sz w:val="20"/>
            <w:szCs w:val="20"/>
          </w:rPr>
          <w:t>32</w:t>
        </w:r>
        <w:r w:rsidR="00B92E5F" w:rsidRPr="00CF1787">
          <w:rPr>
            <w:rFonts w:ascii="Verdana" w:hAnsi="Verdana"/>
            <w:noProof/>
            <w:webHidden/>
            <w:sz w:val="20"/>
            <w:szCs w:val="20"/>
          </w:rPr>
          <w:fldChar w:fldCharType="end"/>
        </w:r>
      </w:hyperlink>
    </w:p>
    <w:p w14:paraId="260B6C45" w14:textId="77777777" w:rsidR="00B92E5F" w:rsidRPr="00CF1787" w:rsidRDefault="004730DA" w:rsidP="00757BC9">
      <w:pPr>
        <w:pStyle w:val="TOC4"/>
        <w:tabs>
          <w:tab w:val="right" w:leader="dot" w:pos="9792"/>
        </w:tabs>
        <w:spacing w:before="60" w:after="60"/>
        <w:jc w:val="both"/>
        <w:rPr>
          <w:rFonts w:ascii="Verdana" w:eastAsiaTheme="minorEastAsia" w:hAnsi="Verdana" w:cstheme="minorBidi"/>
          <w:noProof/>
          <w:sz w:val="20"/>
          <w:szCs w:val="20"/>
          <w:lang w:val="es-CR" w:eastAsia="es-CR"/>
        </w:rPr>
      </w:pPr>
      <w:hyperlink w:anchor="_Toc470098060" w:history="1">
        <w:r w:rsidR="00B92E5F" w:rsidRPr="00CF1787">
          <w:rPr>
            <w:rStyle w:val="Hyperlink"/>
            <w:rFonts w:ascii="Verdana" w:hAnsi="Verdana"/>
            <w:noProof/>
            <w:sz w:val="20"/>
            <w:szCs w:val="20"/>
          </w:rPr>
          <w:t>A.2.e La posibilidad de un control judicial posterior por parte de la justicia ordinaria</w:t>
        </w:r>
        <w:r w:rsidR="00B92E5F" w:rsidRPr="00CF1787">
          <w:rPr>
            <w:rFonts w:ascii="Verdana" w:hAnsi="Verdana"/>
            <w:noProof/>
            <w:webHidden/>
            <w:sz w:val="20"/>
            <w:szCs w:val="20"/>
          </w:rPr>
          <w:tab/>
        </w:r>
        <w:r w:rsidR="00B92E5F" w:rsidRPr="00CF1787">
          <w:rPr>
            <w:rFonts w:ascii="Verdana" w:hAnsi="Verdana"/>
            <w:noProof/>
            <w:webHidden/>
            <w:sz w:val="20"/>
            <w:szCs w:val="20"/>
          </w:rPr>
          <w:fldChar w:fldCharType="begin"/>
        </w:r>
        <w:r w:rsidR="00B92E5F" w:rsidRPr="00CF1787">
          <w:rPr>
            <w:rFonts w:ascii="Verdana" w:hAnsi="Verdana"/>
            <w:noProof/>
            <w:webHidden/>
            <w:sz w:val="20"/>
            <w:szCs w:val="20"/>
          </w:rPr>
          <w:instrText xml:space="preserve"> PAGEREF _Toc470098060 \h </w:instrText>
        </w:r>
        <w:r w:rsidR="00B92E5F" w:rsidRPr="00CF1787">
          <w:rPr>
            <w:rFonts w:ascii="Verdana" w:hAnsi="Verdana"/>
            <w:noProof/>
            <w:webHidden/>
            <w:sz w:val="20"/>
            <w:szCs w:val="20"/>
          </w:rPr>
        </w:r>
        <w:r w:rsidR="00B92E5F" w:rsidRPr="00CF1787">
          <w:rPr>
            <w:rFonts w:ascii="Verdana" w:hAnsi="Verdana"/>
            <w:noProof/>
            <w:webHidden/>
            <w:sz w:val="20"/>
            <w:szCs w:val="20"/>
          </w:rPr>
          <w:fldChar w:fldCharType="separate"/>
        </w:r>
        <w:r w:rsidR="00536893">
          <w:rPr>
            <w:rFonts w:ascii="Verdana" w:hAnsi="Verdana"/>
            <w:noProof/>
            <w:webHidden/>
            <w:sz w:val="20"/>
            <w:szCs w:val="20"/>
          </w:rPr>
          <w:t>34</w:t>
        </w:r>
        <w:r w:rsidR="00B92E5F" w:rsidRPr="00CF1787">
          <w:rPr>
            <w:rFonts w:ascii="Verdana" w:hAnsi="Verdana"/>
            <w:noProof/>
            <w:webHidden/>
            <w:sz w:val="20"/>
            <w:szCs w:val="20"/>
          </w:rPr>
          <w:fldChar w:fldCharType="end"/>
        </w:r>
      </w:hyperlink>
    </w:p>
    <w:p w14:paraId="1F454E0A"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61" w:history="1">
        <w:r w:rsidR="00B92E5F" w:rsidRPr="00CF1787">
          <w:rPr>
            <w:rStyle w:val="Hyperlink"/>
            <w:rFonts w:ascii="Verdana" w:hAnsi="Verdana"/>
            <w:i w:val="0"/>
            <w:noProof/>
          </w:rPr>
          <w:t>A.3 Conclusión con respecto a las garantías de independencia e imparcialidad y el derecho a un recurso efectivo</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_Toc470098061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35</w:t>
        </w:r>
        <w:r w:rsidR="00B92E5F" w:rsidRPr="00CF1787">
          <w:rPr>
            <w:rFonts w:ascii="Verdana" w:hAnsi="Verdana"/>
            <w:i w:val="0"/>
            <w:noProof/>
            <w:webHidden/>
          </w:rPr>
          <w:fldChar w:fldCharType="end"/>
        </w:r>
      </w:hyperlink>
    </w:p>
    <w:p w14:paraId="40CF873C" w14:textId="77777777" w:rsidR="00B92E5F" w:rsidRPr="00CF1787" w:rsidRDefault="004730DA" w:rsidP="00757BC9">
      <w:pPr>
        <w:pStyle w:val="TOC2"/>
        <w:tabs>
          <w:tab w:val="right" w:leader="dot" w:pos="9792"/>
        </w:tabs>
        <w:spacing w:before="60" w:after="60"/>
        <w:jc w:val="both"/>
        <w:rPr>
          <w:rFonts w:ascii="Verdana" w:eastAsiaTheme="minorEastAsia" w:hAnsi="Verdana" w:cstheme="minorBidi"/>
          <w:smallCaps w:val="0"/>
          <w:noProof/>
          <w:lang w:val="es-CR" w:eastAsia="es-CR"/>
        </w:rPr>
      </w:pPr>
      <w:hyperlink w:anchor="_Toc470098062" w:history="1">
        <w:r w:rsidR="00B92E5F" w:rsidRPr="00CF1787">
          <w:rPr>
            <w:rStyle w:val="Hyperlink"/>
            <w:rFonts w:ascii="Verdana" w:hAnsi="Verdana"/>
            <w:smallCaps w:val="0"/>
            <w:noProof/>
            <w:lang w:val="es-CR"/>
          </w:rPr>
          <w:t>B. Garantía de competencia y otras alegadas violaciones a las garantías judiciales y protección judicial</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_Toc470098062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37</w:t>
        </w:r>
        <w:r w:rsidR="00B92E5F" w:rsidRPr="00CF1787">
          <w:rPr>
            <w:rFonts w:ascii="Verdana" w:hAnsi="Verdana"/>
            <w:smallCaps w:val="0"/>
            <w:noProof/>
            <w:webHidden/>
          </w:rPr>
          <w:fldChar w:fldCharType="end"/>
        </w:r>
      </w:hyperlink>
    </w:p>
    <w:p w14:paraId="7483EC13"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63" w:history="1">
        <w:r w:rsidR="00B92E5F" w:rsidRPr="00CF1787">
          <w:rPr>
            <w:rStyle w:val="Hyperlink"/>
            <w:rFonts w:ascii="Verdana" w:hAnsi="Verdana"/>
            <w:i w:val="0"/>
            <w:noProof/>
            <w:lang w:val="es-CR"/>
          </w:rPr>
          <w:t>B.1 Alegatos de las partes y de la Comisión</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_Toc470098063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37</w:t>
        </w:r>
        <w:r w:rsidR="00B92E5F" w:rsidRPr="00CF1787">
          <w:rPr>
            <w:rFonts w:ascii="Verdana" w:hAnsi="Verdana"/>
            <w:i w:val="0"/>
            <w:noProof/>
            <w:webHidden/>
          </w:rPr>
          <w:fldChar w:fldCharType="end"/>
        </w:r>
      </w:hyperlink>
    </w:p>
    <w:p w14:paraId="04048898"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64" w:history="1">
        <w:r w:rsidR="00B92E5F" w:rsidRPr="00CF1787">
          <w:rPr>
            <w:rStyle w:val="Hyperlink"/>
            <w:rFonts w:ascii="Verdana" w:hAnsi="Verdana"/>
            <w:i w:val="0"/>
            <w:noProof/>
            <w:lang w:val="es-CR"/>
          </w:rPr>
          <w:t>B.2 Consideraciones de la Corte</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_Toc470098064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38</w:t>
        </w:r>
        <w:r w:rsidR="00B92E5F" w:rsidRPr="00CF1787">
          <w:rPr>
            <w:rFonts w:ascii="Verdana" w:hAnsi="Verdana"/>
            <w:i w:val="0"/>
            <w:noProof/>
            <w:webHidden/>
          </w:rPr>
          <w:fldChar w:fldCharType="end"/>
        </w:r>
      </w:hyperlink>
    </w:p>
    <w:p w14:paraId="3CF8F414" w14:textId="6E73AD19" w:rsidR="00B92E5F" w:rsidRPr="00CF1787" w:rsidRDefault="004730DA" w:rsidP="00757BC9">
      <w:pPr>
        <w:pStyle w:val="TOC1"/>
        <w:rPr>
          <w:rFonts w:eastAsiaTheme="minorEastAsia" w:cstheme="minorBidi"/>
          <w:lang w:eastAsia="es-CR"/>
        </w:rPr>
      </w:pPr>
      <w:hyperlink w:anchor="_Toc470098065" w:history="1">
        <w:r w:rsidR="00B92E5F" w:rsidRPr="00CF1787">
          <w:rPr>
            <w:rStyle w:val="Hyperlink"/>
          </w:rPr>
          <w:t>VII-2.</w:t>
        </w:r>
        <w:r w:rsidR="00B92E5F" w:rsidRPr="00CF1787">
          <w:t xml:space="preserve"> </w:t>
        </w:r>
        <w:r w:rsidR="00B92E5F" w:rsidRPr="00CF1787">
          <w:rPr>
            <w:rStyle w:val="Hyperlink"/>
          </w:rPr>
          <w:t>DERECHO A LA VIDA, EN RELACIÓN CON LA OBLIGACIÓN DE RESPETAR Y GARANTIZAR LOS DERECHOS</w:t>
        </w:r>
        <w:r w:rsidR="00B92E5F" w:rsidRPr="00CF1787">
          <w:rPr>
            <w:webHidden/>
          </w:rPr>
          <w:tab/>
        </w:r>
        <w:r w:rsidR="00B92E5F" w:rsidRPr="00CF1787">
          <w:rPr>
            <w:webHidden/>
          </w:rPr>
          <w:fldChar w:fldCharType="begin"/>
        </w:r>
        <w:r w:rsidR="00B92E5F" w:rsidRPr="00CF1787">
          <w:rPr>
            <w:webHidden/>
          </w:rPr>
          <w:instrText xml:space="preserve"> PAGEREF _Toc470098065 \h </w:instrText>
        </w:r>
        <w:r w:rsidR="00B92E5F" w:rsidRPr="00CF1787">
          <w:rPr>
            <w:webHidden/>
          </w:rPr>
        </w:r>
        <w:r w:rsidR="00B92E5F" w:rsidRPr="00CF1787">
          <w:rPr>
            <w:webHidden/>
          </w:rPr>
          <w:fldChar w:fldCharType="separate"/>
        </w:r>
        <w:r w:rsidR="00536893">
          <w:rPr>
            <w:webHidden/>
          </w:rPr>
          <w:t>38</w:t>
        </w:r>
        <w:r w:rsidR="00B92E5F" w:rsidRPr="00CF1787">
          <w:rPr>
            <w:webHidden/>
          </w:rPr>
          <w:fldChar w:fldCharType="end"/>
        </w:r>
      </w:hyperlink>
    </w:p>
    <w:p w14:paraId="0139EB45" w14:textId="26766781"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67" w:history="1">
        <w:r w:rsidR="00B92E5F" w:rsidRPr="00CF1787">
          <w:rPr>
            <w:rStyle w:val="Hyperlink"/>
            <w:rFonts w:ascii="Verdana" w:hAnsi="Verdana"/>
            <w:smallCaps w:val="0"/>
            <w:noProof/>
            <w:lang w:val="es-CR"/>
          </w:rPr>
          <w:t>A.</w:t>
        </w:r>
        <w:r w:rsidR="00B92E5F" w:rsidRPr="00CF1787">
          <w:rPr>
            <w:rStyle w:val="Hyperlink"/>
            <w:rFonts w:ascii="Verdana" w:hAnsi="Verdana"/>
            <w:smallCaps w:val="0"/>
            <w:noProof/>
            <w:spacing w:val="-4"/>
            <w:lang w:val="es-CR"/>
          </w:rPr>
          <w:t xml:space="preserve"> Alegatos de las partes y de la Comisión</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_Toc470098067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38</w:t>
        </w:r>
        <w:r w:rsidR="00B92E5F" w:rsidRPr="00CF1787">
          <w:rPr>
            <w:rFonts w:ascii="Verdana" w:hAnsi="Verdana"/>
            <w:smallCaps w:val="0"/>
            <w:noProof/>
            <w:webHidden/>
          </w:rPr>
          <w:fldChar w:fldCharType="end"/>
        </w:r>
      </w:hyperlink>
    </w:p>
    <w:p w14:paraId="2603681F" w14:textId="325B03D0"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68" w:history="1">
        <w:r w:rsidR="00B92E5F" w:rsidRPr="00CF1787">
          <w:rPr>
            <w:rStyle w:val="Hyperlink"/>
            <w:rFonts w:ascii="Verdana" w:eastAsiaTheme="minorHAnsi" w:hAnsi="Verdana"/>
            <w:smallCaps w:val="0"/>
            <w:noProof/>
            <w:lang w:val="es-CR"/>
          </w:rPr>
          <w:t>B.</w:t>
        </w:r>
        <w:r w:rsidR="00B92E5F" w:rsidRPr="00CF1787">
          <w:rPr>
            <w:rStyle w:val="Hyperlink"/>
            <w:rFonts w:ascii="Verdana" w:hAnsi="Verdana"/>
            <w:smallCaps w:val="0"/>
            <w:noProof/>
            <w:lang w:val="es-CR"/>
          </w:rPr>
          <w:t xml:space="preserve"> Consideraciones de la Corte</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_Toc470098068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40</w:t>
        </w:r>
        <w:r w:rsidR="00B92E5F" w:rsidRPr="00CF1787">
          <w:rPr>
            <w:rFonts w:ascii="Verdana" w:hAnsi="Verdana"/>
            <w:smallCaps w:val="0"/>
            <w:noProof/>
            <w:webHidden/>
          </w:rPr>
          <w:fldChar w:fldCharType="end"/>
        </w:r>
      </w:hyperlink>
    </w:p>
    <w:p w14:paraId="6BBE2DA0" w14:textId="2E66624B" w:rsidR="00B92E5F" w:rsidRPr="00CF1787" w:rsidRDefault="004730DA" w:rsidP="00757BC9">
      <w:pPr>
        <w:pStyle w:val="TOC1"/>
        <w:rPr>
          <w:rFonts w:eastAsiaTheme="minorEastAsia" w:cstheme="minorBidi"/>
          <w:lang w:eastAsia="es-CR"/>
        </w:rPr>
      </w:pPr>
      <w:hyperlink w:anchor="_Toc470098069" w:history="1">
        <w:r w:rsidR="00B92E5F" w:rsidRPr="00CF1787">
          <w:rPr>
            <w:rStyle w:val="Hyperlink"/>
            <w:spacing w:val="-4"/>
          </w:rPr>
          <w:t>VII-3.</w:t>
        </w:r>
        <w:r w:rsidR="00B92E5F" w:rsidRPr="00CF1787">
          <w:t xml:space="preserve"> </w:t>
        </w:r>
        <w:r w:rsidR="00B92E5F" w:rsidRPr="00CF1787">
          <w:rPr>
            <w:rStyle w:val="Hyperlink"/>
            <w:spacing w:val="-4"/>
          </w:rPr>
          <w:t>DERECHO A LA INTEGRIDAD PERSONAL, EN RELACIÓN CON LA OBLIGACIÓN DE RESPETAR Y GARANTIZAR LOS DERECHOS</w:t>
        </w:r>
        <w:r w:rsidR="00B92E5F" w:rsidRPr="00CF1787">
          <w:rPr>
            <w:webHidden/>
          </w:rPr>
          <w:tab/>
        </w:r>
        <w:r w:rsidR="00B92E5F" w:rsidRPr="00CF1787">
          <w:rPr>
            <w:webHidden/>
          </w:rPr>
          <w:fldChar w:fldCharType="begin"/>
        </w:r>
        <w:r w:rsidR="00B92E5F" w:rsidRPr="00CF1787">
          <w:rPr>
            <w:webHidden/>
          </w:rPr>
          <w:instrText xml:space="preserve"> PAGEREF _Toc470098069 \h </w:instrText>
        </w:r>
        <w:r w:rsidR="00B92E5F" w:rsidRPr="00CF1787">
          <w:rPr>
            <w:webHidden/>
          </w:rPr>
        </w:r>
        <w:r w:rsidR="00B92E5F" w:rsidRPr="00CF1787">
          <w:rPr>
            <w:webHidden/>
          </w:rPr>
          <w:fldChar w:fldCharType="separate"/>
        </w:r>
        <w:r w:rsidR="00536893">
          <w:rPr>
            <w:webHidden/>
          </w:rPr>
          <w:t>43</w:t>
        </w:r>
        <w:r w:rsidR="00B92E5F" w:rsidRPr="00CF1787">
          <w:rPr>
            <w:webHidden/>
          </w:rPr>
          <w:fldChar w:fldCharType="end"/>
        </w:r>
      </w:hyperlink>
    </w:p>
    <w:p w14:paraId="03532BA7" w14:textId="7B1CC63B"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71" w:history="1">
        <w:r w:rsidR="00B92E5F" w:rsidRPr="00CF1787">
          <w:rPr>
            <w:rStyle w:val="Hyperlink"/>
            <w:rFonts w:ascii="Verdana" w:hAnsi="Verdana"/>
            <w:smallCaps w:val="0"/>
            <w:noProof/>
            <w:lang w:val="es-CR"/>
          </w:rPr>
          <w:t>A. Alegatos de las partes y de la Comisión</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_Toc470098071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43</w:t>
        </w:r>
        <w:r w:rsidR="00B92E5F" w:rsidRPr="00CF1787">
          <w:rPr>
            <w:rFonts w:ascii="Verdana" w:hAnsi="Verdana"/>
            <w:smallCaps w:val="0"/>
            <w:noProof/>
            <w:webHidden/>
          </w:rPr>
          <w:fldChar w:fldCharType="end"/>
        </w:r>
      </w:hyperlink>
    </w:p>
    <w:p w14:paraId="28BE5865" w14:textId="5375DC5C"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72" w:history="1">
        <w:r w:rsidR="00B92E5F" w:rsidRPr="00CF1787">
          <w:rPr>
            <w:rStyle w:val="Hyperlink"/>
            <w:rFonts w:ascii="Verdana" w:hAnsi="Verdana"/>
            <w:smallCaps w:val="0"/>
            <w:noProof/>
            <w:lang w:val="es-CR"/>
          </w:rPr>
          <w:t>B. Consideraciones de la Corte</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_Toc470098072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44</w:t>
        </w:r>
        <w:r w:rsidR="00B92E5F" w:rsidRPr="00CF1787">
          <w:rPr>
            <w:rFonts w:ascii="Verdana" w:hAnsi="Verdana"/>
            <w:smallCaps w:val="0"/>
            <w:noProof/>
            <w:webHidden/>
          </w:rPr>
          <w:fldChar w:fldCharType="end"/>
        </w:r>
      </w:hyperlink>
    </w:p>
    <w:p w14:paraId="2951F369" w14:textId="0D489E6B" w:rsidR="00B92E5F" w:rsidRPr="00CF1787" w:rsidRDefault="004730DA" w:rsidP="00757BC9">
      <w:pPr>
        <w:pStyle w:val="TOC1"/>
        <w:rPr>
          <w:rFonts w:eastAsiaTheme="minorEastAsia" w:cstheme="minorBidi"/>
          <w:lang w:eastAsia="es-CR"/>
        </w:rPr>
      </w:pPr>
      <w:hyperlink w:anchor="_Toc470098073" w:history="1">
        <w:r w:rsidR="00B92E5F" w:rsidRPr="00CF1787">
          <w:rPr>
            <w:rStyle w:val="Hyperlink"/>
            <w:spacing w:val="-4"/>
          </w:rPr>
          <w:t>VIII.</w:t>
        </w:r>
        <w:r w:rsidR="00B92E5F" w:rsidRPr="00CF1787">
          <w:t xml:space="preserve"> </w:t>
        </w:r>
        <w:r w:rsidR="00B92E5F" w:rsidRPr="00CF1787">
          <w:rPr>
            <w:rStyle w:val="Hyperlink"/>
            <w:spacing w:val="-4"/>
          </w:rPr>
          <w:t>REPARACIONES</w:t>
        </w:r>
        <w:r w:rsidR="00B92E5F" w:rsidRPr="00CF1787">
          <w:rPr>
            <w:webHidden/>
          </w:rPr>
          <w:tab/>
        </w:r>
        <w:r w:rsidR="00B92E5F" w:rsidRPr="00CF1787">
          <w:rPr>
            <w:webHidden/>
          </w:rPr>
          <w:fldChar w:fldCharType="begin"/>
        </w:r>
        <w:r w:rsidR="00B92E5F" w:rsidRPr="00CF1787">
          <w:rPr>
            <w:webHidden/>
          </w:rPr>
          <w:instrText xml:space="preserve"> PAGEREF _Toc470098073 \h </w:instrText>
        </w:r>
        <w:r w:rsidR="00B92E5F" w:rsidRPr="00CF1787">
          <w:rPr>
            <w:webHidden/>
          </w:rPr>
        </w:r>
        <w:r w:rsidR="00B92E5F" w:rsidRPr="00CF1787">
          <w:rPr>
            <w:webHidden/>
          </w:rPr>
          <w:fldChar w:fldCharType="separate"/>
        </w:r>
        <w:r w:rsidR="00536893">
          <w:rPr>
            <w:webHidden/>
          </w:rPr>
          <w:t>46</w:t>
        </w:r>
        <w:r w:rsidR="00B92E5F" w:rsidRPr="00CF1787">
          <w:rPr>
            <w:webHidden/>
          </w:rPr>
          <w:fldChar w:fldCharType="end"/>
        </w:r>
      </w:hyperlink>
    </w:p>
    <w:p w14:paraId="6F803797" w14:textId="245ECA8B"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75" w:history="1">
        <w:r w:rsidR="00B92E5F" w:rsidRPr="00CF1787">
          <w:rPr>
            <w:rStyle w:val="Hyperlink"/>
            <w:rFonts w:ascii="Verdana" w:hAnsi="Verdana"/>
            <w:smallCaps w:val="0"/>
            <w:noProof/>
            <w:lang w:val="es-CR"/>
          </w:rPr>
          <w:t>A. Parte Lesionada</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_Toc470098075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46</w:t>
        </w:r>
        <w:r w:rsidR="00B92E5F" w:rsidRPr="00CF1787">
          <w:rPr>
            <w:rFonts w:ascii="Verdana" w:hAnsi="Verdana"/>
            <w:smallCaps w:val="0"/>
            <w:noProof/>
            <w:webHidden/>
          </w:rPr>
          <w:fldChar w:fldCharType="end"/>
        </w:r>
      </w:hyperlink>
    </w:p>
    <w:p w14:paraId="24E18BA7" w14:textId="306BC1F5"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76" w:history="1">
        <w:r w:rsidR="00B92E5F" w:rsidRPr="00CF1787">
          <w:rPr>
            <w:rStyle w:val="Hyperlink"/>
            <w:rFonts w:ascii="Verdana" w:hAnsi="Verdana"/>
            <w:smallCaps w:val="0"/>
            <w:noProof/>
            <w:lang w:val="es-CR"/>
          </w:rPr>
          <w:t>B. Medidas de reparación integral: restitución, satisfacción y garantías de no repetición</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_Toc470098076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47</w:t>
        </w:r>
        <w:r w:rsidR="00B92E5F" w:rsidRPr="00CF1787">
          <w:rPr>
            <w:rFonts w:ascii="Verdana" w:hAnsi="Verdana"/>
            <w:smallCaps w:val="0"/>
            <w:noProof/>
            <w:webHidden/>
          </w:rPr>
          <w:fldChar w:fldCharType="end"/>
        </w:r>
      </w:hyperlink>
    </w:p>
    <w:p w14:paraId="7BB73971"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77" w:history="1">
        <w:r w:rsidR="00B92E5F" w:rsidRPr="00CF1787">
          <w:rPr>
            <w:rStyle w:val="Hyperlink"/>
            <w:rFonts w:ascii="Verdana" w:hAnsi="Verdana"/>
            <w:i w:val="0"/>
            <w:noProof/>
            <w:lang w:val="es-CR"/>
          </w:rPr>
          <w:t>B.1 Obligación de investigar los hechos</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_Toc470098077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47</w:t>
        </w:r>
        <w:r w:rsidR="00B92E5F" w:rsidRPr="00CF1787">
          <w:rPr>
            <w:rFonts w:ascii="Verdana" w:hAnsi="Verdana"/>
            <w:i w:val="0"/>
            <w:noProof/>
            <w:webHidden/>
          </w:rPr>
          <w:fldChar w:fldCharType="end"/>
        </w:r>
      </w:hyperlink>
    </w:p>
    <w:p w14:paraId="3F239199" w14:textId="77777777" w:rsidR="00B92E5F" w:rsidRPr="00CF1787" w:rsidRDefault="004730DA" w:rsidP="00757BC9">
      <w:pPr>
        <w:pStyle w:val="TOC4"/>
        <w:tabs>
          <w:tab w:val="right" w:leader="dot" w:pos="9792"/>
        </w:tabs>
        <w:spacing w:before="60" w:after="60"/>
        <w:jc w:val="both"/>
        <w:rPr>
          <w:rFonts w:ascii="Verdana" w:eastAsiaTheme="minorEastAsia" w:hAnsi="Verdana" w:cstheme="minorBidi"/>
          <w:noProof/>
          <w:sz w:val="20"/>
          <w:szCs w:val="20"/>
          <w:lang w:val="es-CR" w:eastAsia="es-CR"/>
        </w:rPr>
      </w:pPr>
      <w:hyperlink w:anchor="_Toc470098078" w:history="1">
        <w:r w:rsidR="00B92E5F" w:rsidRPr="00CF1787">
          <w:rPr>
            <w:rStyle w:val="Hyperlink"/>
            <w:rFonts w:ascii="Verdana" w:hAnsi="Verdana"/>
            <w:noProof/>
            <w:sz w:val="20"/>
            <w:szCs w:val="20"/>
            <w:lang w:val="es-CR"/>
          </w:rPr>
          <w:t>B.1.a Alegatos de las partes y de la Comisión</w:t>
        </w:r>
        <w:r w:rsidR="00B92E5F" w:rsidRPr="00CF1787">
          <w:rPr>
            <w:rFonts w:ascii="Verdana" w:hAnsi="Verdana"/>
            <w:noProof/>
            <w:webHidden/>
            <w:sz w:val="20"/>
            <w:szCs w:val="20"/>
          </w:rPr>
          <w:tab/>
        </w:r>
        <w:r w:rsidR="00B92E5F" w:rsidRPr="00CF1787">
          <w:rPr>
            <w:rFonts w:ascii="Verdana" w:hAnsi="Verdana"/>
            <w:noProof/>
            <w:webHidden/>
            <w:sz w:val="20"/>
            <w:szCs w:val="20"/>
          </w:rPr>
          <w:fldChar w:fldCharType="begin"/>
        </w:r>
        <w:r w:rsidR="00B92E5F" w:rsidRPr="00CF1787">
          <w:rPr>
            <w:rFonts w:ascii="Verdana" w:hAnsi="Verdana"/>
            <w:noProof/>
            <w:webHidden/>
            <w:sz w:val="20"/>
            <w:szCs w:val="20"/>
          </w:rPr>
          <w:instrText xml:space="preserve"> PAGEREF _Toc470098078 \h </w:instrText>
        </w:r>
        <w:r w:rsidR="00B92E5F" w:rsidRPr="00CF1787">
          <w:rPr>
            <w:rFonts w:ascii="Verdana" w:hAnsi="Verdana"/>
            <w:noProof/>
            <w:webHidden/>
            <w:sz w:val="20"/>
            <w:szCs w:val="20"/>
          </w:rPr>
        </w:r>
        <w:r w:rsidR="00B92E5F" w:rsidRPr="00CF1787">
          <w:rPr>
            <w:rFonts w:ascii="Verdana" w:hAnsi="Verdana"/>
            <w:noProof/>
            <w:webHidden/>
            <w:sz w:val="20"/>
            <w:szCs w:val="20"/>
          </w:rPr>
          <w:fldChar w:fldCharType="separate"/>
        </w:r>
        <w:r w:rsidR="00536893">
          <w:rPr>
            <w:rFonts w:ascii="Verdana" w:hAnsi="Verdana"/>
            <w:noProof/>
            <w:webHidden/>
            <w:sz w:val="20"/>
            <w:szCs w:val="20"/>
          </w:rPr>
          <w:t>47</w:t>
        </w:r>
        <w:r w:rsidR="00B92E5F" w:rsidRPr="00CF1787">
          <w:rPr>
            <w:rFonts w:ascii="Verdana" w:hAnsi="Verdana"/>
            <w:noProof/>
            <w:webHidden/>
            <w:sz w:val="20"/>
            <w:szCs w:val="20"/>
          </w:rPr>
          <w:fldChar w:fldCharType="end"/>
        </w:r>
      </w:hyperlink>
    </w:p>
    <w:p w14:paraId="5295637D" w14:textId="77777777" w:rsidR="00B92E5F" w:rsidRPr="00CF1787" w:rsidRDefault="004730DA" w:rsidP="00757BC9">
      <w:pPr>
        <w:pStyle w:val="TOC4"/>
        <w:tabs>
          <w:tab w:val="right" w:leader="dot" w:pos="9792"/>
        </w:tabs>
        <w:spacing w:before="60" w:after="60"/>
        <w:jc w:val="both"/>
        <w:rPr>
          <w:rFonts w:ascii="Verdana" w:eastAsiaTheme="minorEastAsia" w:hAnsi="Verdana" w:cstheme="minorBidi"/>
          <w:noProof/>
          <w:sz w:val="20"/>
          <w:szCs w:val="20"/>
          <w:lang w:val="es-CR" w:eastAsia="es-CR"/>
        </w:rPr>
      </w:pPr>
      <w:hyperlink w:anchor="_Toc470098079" w:history="1">
        <w:r w:rsidR="00B92E5F" w:rsidRPr="00CF1787">
          <w:rPr>
            <w:rStyle w:val="Hyperlink"/>
            <w:rFonts w:ascii="Verdana" w:hAnsi="Verdana"/>
            <w:noProof/>
            <w:sz w:val="20"/>
            <w:szCs w:val="20"/>
            <w:lang w:val="es-CR"/>
          </w:rPr>
          <w:t>B.1.b Consideraciones de la Corte</w:t>
        </w:r>
        <w:r w:rsidR="00B92E5F" w:rsidRPr="00CF1787">
          <w:rPr>
            <w:rFonts w:ascii="Verdana" w:hAnsi="Verdana"/>
            <w:noProof/>
            <w:webHidden/>
            <w:sz w:val="20"/>
            <w:szCs w:val="20"/>
          </w:rPr>
          <w:tab/>
        </w:r>
        <w:r w:rsidR="00B92E5F" w:rsidRPr="00CF1787">
          <w:rPr>
            <w:rFonts w:ascii="Verdana" w:hAnsi="Verdana"/>
            <w:noProof/>
            <w:webHidden/>
            <w:sz w:val="20"/>
            <w:szCs w:val="20"/>
          </w:rPr>
          <w:fldChar w:fldCharType="begin"/>
        </w:r>
        <w:r w:rsidR="00B92E5F" w:rsidRPr="00CF1787">
          <w:rPr>
            <w:rFonts w:ascii="Verdana" w:hAnsi="Verdana"/>
            <w:noProof/>
            <w:webHidden/>
            <w:sz w:val="20"/>
            <w:szCs w:val="20"/>
          </w:rPr>
          <w:instrText xml:space="preserve"> PAGEREF _Toc470098079 \h </w:instrText>
        </w:r>
        <w:r w:rsidR="00B92E5F" w:rsidRPr="00CF1787">
          <w:rPr>
            <w:rFonts w:ascii="Verdana" w:hAnsi="Verdana"/>
            <w:noProof/>
            <w:webHidden/>
            <w:sz w:val="20"/>
            <w:szCs w:val="20"/>
          </w:rPr>
        </w:r>
        <w:r w:rsidR="00B92E5F" w:rsidRPr="00CF1787">
          <w:rPr>
            <w:rFonts w:ascii="Verdana" w:hAnsi="Verdana"/>
            <w:noProof/>
            <w:webHidden/>
            <w:sz w:val="20"/>
            <w:szCs w:val="20"/>
          </w:rPr>
          <w:fldChar w:fldCharType="separate"/>
        </w:r>
        <w:r w:rsidR="00536893">
          <w:rPr>
            <w:rFonts w:ascii="Verdana" w:hAnsi="Verdana"/>
            <w:noProof/>
            <w:webHidden/>
            <w:sz w:val="20"/>
            <w:szCs w:val="20"/>
          </w:rPr>
          <w:t>47</w:t>
        </w:r>
        <w:r w:rsidR="00B92E5F" w:rsidRPr="00CF1787">
          <w:rPr>
            <w:rFonts w:ascii="Verdana" w:hAnsi="Verdana"/>
            <w:noProof/>
            <w:webHidden/>
            <w:sz w:val="20"/>
            <w:szCs w:val="20"/>
          </w:rPr>
          <w:fldChar w:fldCharType="end"/>
        </w:r>
      </w:hyperlink>
    </w:p>
    <w:p w14:paraId="48168222"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80" w:history="1">
        <w:r w:rsidR="00B92E5F" w:rsidRPr="00CF1787">
          <w:rPr>
            <w:rStyle w:val="Hyperlink"/>
            <w:rFonts w:ascii="Verdana" w:hAnsi="Verdana"/>
            <w:i w:val="0"/>
            <w:noProof/>
            <w:lang w:val="es-CR"/>
          </w:rPr>
          <w:t>B.2 Medidas de satisfacción: publicación de la Sentencia</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_Toc470098080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47</w:t>
        </w:r>
        <w:r w:rsidR="00B92E5F" w:rsidRPr="00CF1787">
          <w:rPr>
            <w:rFonts w:ascii="Verdana" w:hAnsi="Verdana"/>
            <w:i w:val="0"/>
            <w:noProof/>
            <w:webHidden/>
          </w:rPr>
          <w:fldChar w:fldCharType="end"/>
        </w:r>
      </w:hyperlink>
    </w:p>
    <w:p w14:paraId="228B3662" w14:textId="66DFDD92"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81" w:history="1">
        <w:r w:rsidR="00B92E5F" w:rsidRPr="00CF1787">
          <w:rPr>
            <w:rStyle w:val="Hyperlink"/>
            <w:rFonts w:ascii="Verdana" w:hAnsi="Verdana"/>
            <w:smallCaps w:val="0"/>
            <w:noProof/>
            <w:lang w:val="es-CR"/>
          </w:rPr>
          <w:t>C. Otras medidas solicitadas</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_Toc470098081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48</w:t>
        </w:r>
        <w:r w:rsidR="00B92E5F" w:rsidRPr="00CF1787">
          <w:rPr>
            <w:rFonts w:ascii="Verdana" w:hAnsi="Verdana"/>
            <w:smallCaps w:val="0"/>
            <w:noProof/>
            <w:webHidden/>
          </w:rPr>
          <w:fldChar w:fldCharType="end"/>
        </w:r>
      </w:hyperlink>
    </w:p>
    <w:p w14:paraId="51B213E2" w14:textId="12DBE0C9"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82" w:history="1">
        <w:r w:rsidR="00B92E5F" w:rsidRPr="00CF1787">
          <w:rPr>
            <w:rStyle w:val="Hyperlink"/>
            <w:rFonts w:ascii="Verdana" w:hAnsi="Verdana"/>
            <w:smallCaps w:val="0"/>
            <w:noProof/>
            <w:lang w:val="es-CR"/>
          </w:rPr>
          <w:t>D. Indemnizaciones compensatorias: daño material e inmaterial</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_Toc470098082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48</w:t>
        </w:r>
        <w:r w:rsidR="00B92E5F" w:rsidRPr="00CF1787">
          <w:rPr>
            <w:rFonts w:ascii="Verdana" w:hAnsi="Verdana"/>
            <w:smallCaps w:val="0"/>
            <w:noProof/>
            <w:webHidden/>
          </w:rPr>
          <w:fldChar w:fldCharType="end"/>
        </w:r>
      </w:hyperlink>
    </w:p>
    <w:p w14:paraId="37B1AD7A"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83" w:history="1">
        <w:r w:rsidR="00B92E5F" w:rsidRPr="00CF1787">
          <w:rPr>
            <w:rStyle w:val="Hyperlink"/>
            <w:rFonts w:ascii="Verdana" w:hAnsi="Verdana"/>
            <w:i w:val="0"/>
            <w:noProof/>
            <w:lang w:val="es-CR"/>
          </w:rPr>
          <w:t>D.1 Alegatos de las partes y de la Comisión</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_Toc470098083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48</w:t>
        </w:r>
        <w:r w:rsidR="00B92E5F" w:rsidRPr="00CF1787">
          <w:rPr>
            <w:rFonts w:ascii="Verdana" w:hAnsi="Verdana"/>
            <w:i w:val="0"/>
            <w:noProof/>
            <w:webHidden/>
          </w:rPr>
          <w:fldChar w:fldCharType="end"/>
        </w:r>
      </w:hyperlink>
    </w:p>
    <w:p w14:paraId="3658FC22" w14:textId="77777777" w:rsidR="00B92E5F" w:rsidRPr="00CF1787" w:rsidRDefault="004730DA" w:rsidP="00757BC9">
      <w:pPr>
        <w:pStyle w:val="TOC3"/>
        <w:tabs>
          <w:tab w:val="right" w:leader="dot" w:pos="9792"/>
        </w:tabs>
        <w:spacing w:before="60" w:after="60"/>
        <w:jc w:val="both"/>
        <w:rPr>
          <w:rFonts w:ascii="Verdana" w:eastAsiaTheme="minorEastAsia" w:hAnsi="Verdana" w:cstheme="minorBidi"/>
          <w:i w:val="0"/>
          <w:iCs w:val="0"/>
          <w:noProof/>
          <w:lang w:val="es-CR" w:eastAsia="es-CR"/>
        </w:rPr>
      </w:pPr>
      <w:hyperlink w:anchor="_Toc470098084" w:history="1">
        <w:r w:rsidR="00B92E5F" w:rsidRPr="00CF1787">
          <w:rPr>
            <w:rStyle w:val="Hyperlink"/>
            <w:rFonts w:ascii="Verdana" w:hAnsi="Verdana"/>
            <w:i w:val="0"/>
            <w:noProof/>
            <w:lang w:val="es-CR"/>
          </w:rPr>
          <w:t>D.2 Consideraciones de la Corte</w:t>
        </w:r>
        <w:r w:rsidR="00B92E5F" w:rsidRPr="00CF1787">
          <w:rPr>
            <w:rFonts w:ascii="Verdana" w:hAnsi="Verdana"/>
            <w:i w:val="0"/>
            <w:noProof/>
            <w:webHidden/>
          </w:rPr>
          <w:tab/>
        </w:r>
        <w:r w:rsidR="00B92E5F" w:rsidRPr="00CF1787">
          <w:rPr>
            <w:rFonts w:ascii="Verdana" w:hAnsi="Verdana"/>
            <w:i w:val="0"/>
            <w:noProof/>
            <w:webHidden/>
          </w:rPr>
          <w:fldChar w:fldCharType="begin"/>
        </w:r>
        <w:r w:rsidR="00B92E5F" w:rsidRPr="00CF1787">
          <w:rPr>
            <w:rFonts w:ascii="Verdana" w:hAnsi="Verdana"/>
            <w:i w:val="0"/>
            <w:noProof/>
            <w:webHidden/>
          </w:rPr>
          <w:instrText xml:space="preserve"> PAGEREF _Toc470098084 \h </w:instrText>
        </w:r>
        <w:r w:rsidR="00B92E5F" w:rsidRPr="00CF1787">
          <w:rPr>
            <w:rFonts w:ascii="Verdana" w:hAnsi="Verdana"/>
            <w:i w:val="0"/>
            <w:noProof/>
            <w:webHidden/>
          </w:rPr>
        </w:r>
        <w:r w:rsidR="00B92E5F" w:rsidRPr="00CF1787">
          <w:rPr>
            <w:rFonts w:ascii="Verdana" w:hAnsi="Verdana"/>
            <w:i w:val="0"/>
            <w:noProof/>
            <w:webHidden/>
          </w:rPr>
          <w:fldChar w:fldCharType="separate"/>
        </w:r>
        <w:r w:rsidR="00536893">
          <w:rPr>
            <w:rFonts w:ascii="Verdana" w:hAnsi="Verdana"/>
            <w:i w:val="0"/>
            <w:noProof/>
            <w:webHidden/>
          </w:rPr>
          <w:t>49</w:t>
        </w:r>
        <w:r w:rsidR="00B92E5F" w:rsidRPr="00CF1787">
          <w:rPr>
            <w:rFonts w:ascii="Verdana" w:hAnsi="Verdana"/>
            <w:i w:val="0"/>
            <w:noProof/>
            <w:webHidden/>
          </w:rPr>
          <w:fldChar w:fldCharType="end"/>
        </w:r>
      </w:hyperlink>
    </w:p>
    <w:p w14:paraId="0ECD83E3" w14:textId="18A63AC2"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85" w:history="1">
        <w:r w:rsidR="00B92E5F" w:rsidRPr="00CF1787">
          <w:rPr>
            <w:rStyle w:val="Hyperlink"/>
            <w:rFonts w:ascii="Verdana" w:hAnsi="Verdana"/>
            <w:smallCaps w:val="0"/>
            <w:noProof/>
            <w:lang w:val="es-CR"/>
          </w:rPr>
          <w:t>E. Costas y gastos</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_Toc470098085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50</w:t>
        </w:r>
        <w:r w:rsidR="00B92E5F" w:rsidRPr="00CF1787">
          <w:rPr>
            <w:rFonts w:ascii="Verdana" w:hAnsi="Verdana"/>
            <w:smallCaps w:val="0"/>
            <w:noProof/>
            <w:webHidden/>
          </w:rPr>
          <w:fldChar w:fldCharType="end"/>
        </w:r>
      </w:hyperlink>
    </w:p>
    <w:p w14:paraId="7D4965A4" w14:textId="08A35E47" w:rsidR="00B92E5F" w:rsidRPr="00CF1787" w:rsidRDefault="004730DA" w:rsidP="00757BC9">
      <w:pPr>
        <w:pStyle w:val="TOC2"/>
        <w:tabs>
          <w:tab w:val="left" w:pos="600"/>
          <w:tab w:val="right" w:leader="dot" w:pos="9792"/>
        </w:tabs>
        <w:spacing w:before="60" w:after="60"/>
        <w:jc w:val="both"/>
        <w:rPr>
          <w:rFonts w:ascii="Verdana" w:eastAsiaTheme="minorEastAsia" w:hAnsi="Verdana" w:cstheme="minorBidi"/>
          <w:smallCaps w:val="0"/>
          <w:noProof/>
          <w:lang w:val="es-CR" w:eastAsia="es-CR"/>
        </w:rPr>
      </w:pPr>
      <w:hyperlink w:anchor="_Toc470098086" w:history="1">
        <w:r w:rsidR="00B92E5F" w:rsidRPr="00CF1787">
          <w:rPr>
            <w:rStyle w:val="Hyperlink"/>
            <w:rFonts w:ascii="Verdana" w:hAnsi="Verdana"/>
            <w:smallCaps w:val="0"/>
            <w:noProof/>
            <w:lang w:val="es-CR"/>
          </w:rPr>
          <w:t>F. Modalidad de cumplimiento de los pagos ordenados</w:t>
        </w:r>
        <w:r w:rsidR="00B92E5F" w:rsidRPr="00CF1787">
          <w:rPr>
            <w:rFonts w:ascii="Verdana" w:hAnsi="Verdana"/>
            <w:smallCaps w:val="0"/>
            <w:noProof/>
            <w:webHidden/>
          </w:rPr>
          <w:tab/>
        </w:r>
        <w:r w:rsidR="00B92E5F" w:rsidRPr="00CF1787">
          <w:rPr>
            <w:rFonts w:ascii="Verdana" w:hAnsi="Verdana"/>
            <w:smallCaps w:val="0"/>
            <w:noProof/>
            <w:webHidden/>
          </w:rPr>
          <w:fldChar w:fldCharType="begin"/>
        </w:r>
        <w:r w:rsidR="00B92E5F" w:rsidRPr="00CF1787">
          <w:rPr>
            <w:rFonts w:ascii="Verdana" w:hAnsi="Verdana"/>
            <w:smallCaps w:val="0"/>
            <w:noProof/>
            <w:webHidden/>
          </w:rPr>
          <w:instrText xml:space="preserve"> PAGEREF _Toc470098086 \h </w:instrText>
        </w:r>
        <w:r w:rsidR="00B92E5F" w:rsidRPr="00CF1787">
          <w:rPr>
            <w:rFonts w:ascii="Verdana" w:hAnsi="Verdana"/>
            <w:smallCaps w:val="0"/>
            <w:noProof/>
            <w:webHidden/>
          </w:rPr>
        </w:r>
        <w:r w:rsidR="00B92E5F" w:rsidRPr="00CF1787">
          <w:rPr>
            <w:rFonts w:ascii="Verdana" w:hAnsi="Verdana"/>
            <w:smallCaps w:val="0"/>
            <w:noProof/>
            <w:webHidden/>
          </w:rPr>
          <w:fldChar w:fldCharType="separate"/>
        </w:r>
        <w:r w:rsidR="00536893">
          <w:rPr>
            <w:rFonts w:ascii="Verdana" w:hAnsi="Verdana"/>
            <w:smallCaps w:val="0"/>
            <w:noProof/>
            <w:webHidden/>
          </w:rPr>
          <w:t>51</w:t>
        </w:r>
        <w:r w:rsidR="00B92E5F" w:rsidRPr="00CF1787">
          <w:rPr>
            <w:rFonts w:ascii="Verdana" w:hAnsi="Verdana"/>
            <w:smallCaps w:val="0"/>
            <w:noProof/>
            <w:webHidden/>
          </w:rPr>
          <w:fldChar w:fldCharType="end"/>
        </w:r>
      </w:hyperlink>
    </w:p>
    <w:p w14:paraId="03CD3E0A" w14:textId="7E648535" w:rsidR="00B92E5F" w:rsidRPr="00CF1787" w:rsidRDefault="004730DA" w:rsidP="00757BC9">
      <w:pPr>
        <w:pStyle w:val="TOC1"/>
        <w:rPr>
          <w:rFonts w:eastAsiaTheme="minorEastAsia" w:cstheme="minorBidi"/>
          <w:lang w:eastAsia="es-CR"/>
        </w:rPr>
      </w:pPr>
      <w:hyperlink w:anchor="_Toc470098087" w:history="1">
        <w:r w:rsidR="00B92E5F" w:rsidRPr="00CF1787">
          <w:rPr>
            <w:rStyle w:val="Hyperlink"/>
          </w:rPr>
          <w:t>IX. PUNTOS RESOLUTIVOS</w:t>
        </w:r>
        <w:r w:rsidR="00B92E5F" w:rsidRPr="00CF1787">
          <w:rPr>
            <w:webHidden/>
          </w:rPr>
          <w:tab/>
        </w:r>
        <w:r w:rsidR="00B92E5F" w:rsidRPr="00CF1787">
          <w:rPr>
            <w:webHidden/>
          </w:rPr>
          <w:fldChar w:fldCharType="begin"/>
        </w:r>
        <w:r w:rsidR="00B92E5F" w:rsidRPr="00CF1787">
          <w:rPr>
            <w:webHidden/>
          </w:rPr>
          <w:instrText xml:space="preserve"> PAGEREF _Toc470098087 \h </w:instrText>
        </w:r>
        <w:r w:rsidR="00B92E5F" w:rsidRPr="00CF1787">
          <w:rPr>
            <w:webHidden/>
          </w:rPr>
        </w:r>
        <w:r w:rsidR="00B92E5F" w:rsidRPr="00CF1787">
          <w:rPr>
            <w:webHidden/>
          </w:rPr>
          <w:fldChar w:fldCharType="separate"/>
        </w:r>
        <w:r w:rsidR="00536893">
          <w:rPr>
            <w:webHidden/>
          </w:rPr>
          <w:t>52</w:t>
        </w:r>
        <w:r w:rsidR="00B92E5F" w:rsidRPr="00CF1787">
          <w:rPr>
            <w:webHidden/>
          </w:rPr>
          <w:fldChar w:fldCharType="end"/>
        </w:r>
      </w:hyperlink>
    </w:p>
    <w:p w14:paraId="6D73FCE5" w14:textId="77777777" w:rsidR="004C6863" w:rsidRPr="00CF1787" w:rsidRDefault="00573468" w:rsidP="00757BC9">
      <w:pPr>
        <w:rPr>
          <w:lang w:val="es-CR"/>
        </w:rPr>
      </w:pPr>
      <w:r w:rsidRPr="00CF1787">
        <w:rPr>
          <w:szCs w:val="20"/>
          <w:lang w:val="es-CR"/>
        </w:rPr>
        <w:fldChar w:fldCharType="end"/>
      </w:r>
    </w:p>
    <w:p w14:paraId="15B9BCCE" w14:textId="77777777" w:rsidR="00695A3D" w:rsidRPr="00CF1787" w:rsidRDefault="00695A3D">
      <w:pPr>
        <w:spacing w:after="200" w:line="276" w:lineRule="auto"/>
        <w:jc w:val="left"/>
        <w:rPr>
          <w:b/>
          <w:spacing w:val="-4"/>
          <w:szCs w:val="20"/>
          <w:lang w:val="es-CR" w:eastAsia="es-CR"/>
        </w:rPr>
      </w:pPr>
      <w:bookmarkStart w:id="22" w:name="_Toc465177349"/>
      <w:r w:rsidRPr="00CF1787">
        <w:rPr>
          <w:spacing w:val="-4"/>
          <w:szCs w:val="20"/>
          <w:lang w:val="es-CR"/>
        </w:rPr>
        <w:br w:type="page"/>
      </w:r>
    </w:p>
    <w:p w14:paraId="118CD5A0" w14:textId="77777777" w:rsidR="0062526E" w:rsidRPr="00CF1787" w:rsidRDefault="0062526E" w:rsidP="0062526E">
      <w:pPr>
        <w:pStyle w:val="Heading1"/>
        <w:tabs>
          <w:tab w:val="left" w:pos="567"/>
        </w:tabs>
        <w:rPr>
          <w:rFonts w:eastAsiaTheme="minorEastAsia" w:cstheme="minorBidi"/>
          <w:lang w:val="es-CR"/>
        </w:rPr>
      </w:pPr>
      <w:bookmarkStart w:id="23" w:name="_Toc470098022"/>
      <w:r w:rsidRPr="00CF1787">
        <w:rPr>
          <w:spacing w:val="-4"/>
          <w:lang w:val="es-CR"/>
        </w:rPr>
        <w:lastRenderedPageBreak/>
        <w:t>I</w:t>
      </w:r>
      <w:bookmarkEnd w:id="22"/>
      <w:bookmarkEnd w:id="23"/>
    </w:p>
    <w:p w14:paraId="62EC03BC" w14:textId="77777777" w:rsidR="0062526E" w:rsidRPr="00CF1787" w:rsidRDefault="0062526E" w:rsidP="0062526E">
      <w:pPr>
        <w:pStyle w:val="Heading1"/>
        <w:tabs>
          <w:tab w:val="left" w:pos="567"/>
        </w:tabs>
        <w:rPr>
          <w:spacing w:val="-4"/>
          <w:lang w:val="es-CR"/>
        </w:rPr>
      </w:pPr>
      <w:bookmarkStart w:id="24" w:name="_Toc424833995"/>
      <w:bookmarkStart w:id="25" w:name="_Toc424834679"/>
      <w:bookmarkStart w:id="26" w:name="_Toc424834746"/>
      <w:bookmarkStart w:id="27" w:name="_Toc427234534"/>
      <w:bookmarkStart w:id="28" w:name="_Toc427342823"/>
      <w:bookmarkStart w:id="29" w:name="_Toc427663809"/>
      <w:bookmarkStart w:id="30" w:name="_Toc427932785"/>
      <w:bookmarkStart w:id="31" w:name="_Toc427943548"/>
      <w:bookmarkStart w:id="32" w:name="_Toc427943722"/>
      <w:bookmarkStart w:id="33" w:name="_Toc431584602"/>
      <w:bookmarkStart w:id="34" w:name="_Toc431584718"/>
      <w:bookmarkStart w:id="35" w:name="_Toc431585023"/>
      <w:bookmarkStart w:id="36" w:name="_Toc431646540"/>
      <w:bookmarkStart w:id="37" w:name="_Toc431834523"/>
      <w:bookmarkStart w:id="38" w:name="_Toc431834619"/>
      <w:bookmarkStart w:id="39" w:name="_Toc308537924"/>
      <w:bookmarkStart w:id="40" w:name="_Toc308538144"/>
      <w:bookmarkStart w:id="41" w:name="_Toc434849616"/>
      <w:bookmarkStart w:id="42" w:name="_Toc434849911"/>
      <w:bookmarkStart w:id="43" w:name="_Toc434850390"/>
      <w:bookmarkStart w:id="44" w:name="_Toc461791305"/>
      <w:bookmarkStart w:id="45" w:name="_Toc461795989"/>
      <w:bookmarkStart w:id="46" w:name="_Toc462157385"/>
      <w:bookmarkStart w:id="47" w:name="_Toc462157881"/>
      <w:bookmarkStart w:id="48" w:name="_Toc462869971"/>
      <w:bookmarkStart w:id="49" w:name="_Toc462934223"/>
      <w:bookmarkStart w:id="50" w:name="_Toc465177350"/>
      <w:bookmarkStart w:id="51" w:name="_Toc465184250"/>
      <w:bookmarkStart w:id="52" w:name="_Toc467854780"/>
      <w:bookmarkStart w:id="53" w:name="_Toc468281898"/>
      <w:bookmarkStart w:id="54" w:name="_Toc470001190"/>
      <w:bookmarkStart w:id="55" w:name="_Toc470098023"/>
      <w:r w:rsidRPr="00CF1787">
        <w:rPr>
          <w:spacing w:val="-4"/>
          <w:lang w:val="es-CR"/>
        </w:rPr>
        <w:t>INTRODUCCIÓN DE LA CAUSA Y OBJETO DE LA CONTROVERSIA</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3582E5F" w14:textId="77777777" w:rsidR="0062526E" w:rsidRPr="00CF1787" w:rsidRDefault="0062526E" w:rsidP="0062526E">
      <w:pPr>
        <w:pStyle w:val="NoSpacing"/>
        <w:tabs>
          <w:tab w:val="left" w:pos="567"/>
        </w:tabs>
        <w:rPr>
          <w:spacing w:val="-4"/>
          <w:lang w:val="es-CR"/>
        </w:rPr>
      </w:pPr>
    </w:p>
    <w:p w14:paraId="38F7BBA4" w14:textId="701544A5" w:rsidR="0062526E" w:rsidRPr="00CF1787" w:rsidRDefault="0062526E" w:rsidP="00303020">
      <w:pPr>
        <w:pStyle w:val="PrrafodeSentencia"/>
        <w:numPr>
          <w:ilvl w:val="0"/>
          <w:numId w:val="5"/>
        </w:numPr>
        <w:ind w:left="0" w:firstLine="0"/>
        <w:rPr>
          <w:b/>
        </w:rPr>
      </w:pPr>
      <w:bookmarkStart w:id="56" w:name="_Ref314691210"/>
      <w:bookmarkStart w:id="57" w:name="_Ref343554304"/>
      <w:r w:rsidRPr="00CF1787">
        <w:rPr>
          <w:i/>
        </w:rPr>
        <w:t xml:space="preserve">El caso sometido a la Corte. - </w:t>
      </w:r>
      <w:r w:rsidRPr="00CF1787">
        <w:t xml:space="preserve">El 19 de febrero de 2015, de conformidad con lo dispuesto en los artículos 51 y 61 de la Convención Americana y el artículo 35 del Reglamento de la Corte, la Comisión Interamericana de Derechos Humanos (en adelante “la Comisión Interamericana” o “la Comisión”) sometió a la jurisdicción de la Corte Interamericana el caso </w:t>
      </w:r>
      <w:r w:rsidRPr="00CF1787">
        <w:rPr>
          <w:rFonts w:eastAsia="Calibri" w:cs="Calibri"/>
          <w:lang w:eastAsia="es-CR"/>
        </w:rPr>
        <w:t xml:space="preserve">relacionado con la muerte violenta del </w:t>
      </w:r>
      <w:r w:rsidR="001023FF" w:rsidRPr="00CF1787">
        <w:rPr>
          <w:rFonts w:eastAsia="Calibri" w:cs="Calibri"/>
          <w:lang w:eastAsia="es-CR"/>
        </w:rPr>
        <w:t>a</w:t>
      </w:r>
      <w:r w:rsidRPr="00CF1787">
        <w:rPr>
          <w:rFonts w:eastAsia="Calibri" w:cs="Calibri"/>
          <w:lang w:eastAsia="es-CR"/>
        </w:rPr>
        <w:t xml:space="preserve">gente de </w:t>
      </w:r>
      <w:r w:rsidR="001023FF" w:rsidRPr="00CF1787">
        <w:rPr>
          <w:rFonts w:eastAsia="Calibri" w:cs="Calibri"/>
          <w:lang w:eastAsia="es-CR"/>
        </w:rPr>
        <w:t>p</w:t>
      </w:r>
      <w:r w:rsidRPr="00CF1787">
        <w:rPr>
          <w:rFonts w:eastAsia="Calibri" w:cs="Calibri"/>
          <w:lang w:eastAsia="es-CR"/>
        </w:rPr>
        <w:t xml:space="preserve">olicía Luis Jorge Valencia Hinojosa en el marco de un operativo policial en el cual la presunta víctima estaba siendo perseguida. Asimismo, el caso se relaciona con la alegada falta de una investigación diligente, independiente e imparcial y dentro de un plazo razonable, respecto de la muerte del señor Valencia Hinojosa, en tanto la investigación y el proceso posterior fueron llevados a cabo por la jurisdicción penal policial. </w:t>
      </w:r>
      <w:r w:rsidRPr="00CF1787">
        <w:t>Además,</w:t>
      </w:r>
      <w:r w:rsidRPr="00CF1787">
        <w:rPr>
          <w:b/>
        </w:rPr>
        <w:t xml:space="preserve"> </w:t>
      </w:r>
      <w:r w:rsidRPr="00CF1787">
        <w:rPr>
          <w:rFonts w:eastAsia="Calibri" w:cs="Calibri"/>
          <w:lang w:eastAsia="es-CR"/>
        </w:rPr>
        <w:t>el caso se relaciona con la alegada falta de regulación, planificación y control del uso de la fuerza por parte de los agentes de policía involucrados en el operativo y la alegada falta de normatividad sobre el uso de la fuerza en operativos policiales.</w:t>
      </w:r>
      <w:r w:rsidRPr="00CF1787">
        <w:t xml:space="preserve"> </w:t>
      </w:r>
      <w:bookmarkEnd w:id="56"/>
      <w:bookmarkEnd w:id="57"/>
    </w:p>
    <w:p w14:paraId="12E66736" w14:textId="77777777" w:rsidR="0062526E" w:rsidRPr="00CF1787" w:rsidRDefault="0062526E" w:rsidP="0062526E">
      <w:pPr>
        <w:pStyle w:val="NoSpacing"/>
        <w:tabs>
          <w:tab w:val="left" w:pos="567"/>
        </w:tabs>
        <w:rPr>
          <w:b/>
          <w:lang w:val="es-CR"/>
        </w:rPr>
      </w:pPr>
    </w:p>
    <w:p w14:paraId="2C1233EC" w14:textId="77777777" w:rsidR="0062526E" w:rsidRPr="00CF1787" w:rsidRDefault="0062526E" w:rsidP="00303020">
      <w:pPr>
        <w:pStyle w:val="NoSpacing"/>
        <w:numPr>
          <w:ilvl w:val="0"/>
          <w:numId w:val="5"/>
        </w:numPr>
        <w:tabs>
          <w:tab w:val="left" w:pos="567"/>
        </w:tabs>
        <w:ind w:left="0" w:firstLine="0"/>
        <w:rPr>
          <w:rFonts w:cs="Verdana"/>
          <w:spacing w:val="-2"/>
          <w:szCs w:val="20"/>
          <w:lang w:val="es-CR" w:eastAsia="es-CR"/>
        </w:rPr>
      </w:pPr>
      <w:bookmarkStart w:id="58" w:name="_Ref379907334"/>
      <w:r w:rsidRPr="00CF1787">
        <w:rPr>
          <w:rFonts w:cs="Verdana"/>
          <w:i/>
          <w:iCs/>
          <w:spacing w:val="-2"/>
          <w:szCs w:val="20"/>
          <w:lang w:val="es-CR" w:eastAsia="es-CR"/>
        </w:rPr>
        <w:t xml:space="preserve">Trámite ante la Comisión. </w:t>
      </w:r>
      <w:r w:rsidRPr="00CF1787">
        <w:rPr>
          <w:rFonts w:cs="Verdana"/>
          <w:spacing w:val="-2"/>
          <w:szCs w:val="20"/>
          <w:lang w:val="es-CR" w:eastAsia="es-CR"/>
        </w:rPr>
        <w:t>– El trámite ante la Comisión fue el siguiente:</w:t>
      </w:r>
      <w:bookmarkEnd w:id="58"/>
    </w:p>
    <w:p w14:paraId="515EAC24" w14:textId="77777777" w:rsidR="0062526E" w:rsidRPr="00CF1787" w:rsidRDefault="0062526E" w:rsidP="0062526E">
      <w:pPr>
        <w:pStyle w:val="NoSpacing"/>
        <w:tabs>
          <w:tab w:val="left" w:pos="567"/>
        </w:tabs>
        <w:rPr>
          <w:rFonts w:cs="Verdana"/>
          <w:spacing w:val="-2"/>
          <w:szCs w:val="20"/>
          <w:lang w:val="es-CR" w:eastAsia="es-CR"/>
        </w:rPr>
      </w:pPr>
    </w:p>
    <w:p w14:paraId="37FEBEE4" w14:textId="4D6A1CF8" w:rsidR="0062526E" w:rsidRPr="00CF1787" w:rsidRDefault="0062526E" w:rsidP="00303020">
      <w:pPr>
        <w:pStyle w:val="NoSpacing"/>
        <w:numPr>
          <w:ilvl w:val="1"/>
          <w:numId w:val="5"/>
        </w:numPr>
        <w:tabs>
          <w:tab w:val="left" w:pos="567"/>
          <w:tab w:val="left" w:pos="1080"/>
          <w:tab w:val="left" w:pos="1134"/>
        </w:tabs>
        <w:ind w:left="1080" w:hanging="540"/>
        <w:rPr>
          <w:color w:val="000000" w:themeColor="text1"/>
          <w:lang w:val="es-CR"/>
        </w:rPr>
      </w:pPr>
      <w:bookmarkStart w:id="59" w:name="_Ref357063312"/>
      <w:r w:rsidRPr="00CF1787">
        <w:rPr>
          <w:rFonts w:cs="Verdana"/>
          <w:i/>
          <w:iCs/>
          <w:spacing w:val="-2"/>
          <w:szCs w:val="20"/>
          <w:lang w:val="es-CR" w:eastAsia="es-CR"/>
        </w:rPr>
        <w:t xml:space="preserve">Petición.-  </w:t>
      </w:r>
      <w:r w:rsidRPr="00CF1787">
        <w:rPr>
          <w:lang w:val="es-CR"/>
        </w:rPr>
        <w:t>El 8 de noviembre de 1994 el Centro Ecuménico de Derechos Humanos (en adelante “CEDHU”) presentó la petición inicial, en representación de las presuntas víctimas</w:t>
      </w:r>
      <w:r w:rsidRPr="00CF1787">
        <w:rPr>
          <w:rFonts w:cs="Verdana"/>
          <w:spacing w:val="-2"/>
          <w:szCs w:val="20"/>
          <w:lang w:val="es-CR" w:eastAsia="es-CR"/>
        </w:rPr>
        <w:t xml:space="preserve">. </w:t>
      </w:r>
      <w:r w:rsidR="004B73F2" w:rsidRPr="00CF1787">
        <w:rPr>
          <w:lang w:val="es-CR"/>
        </w:rPr>
        <w:t xml:space="preserve">El </w:t>
      </w:r>
      <w:r w:rsidR="00BD5FCD" w:rsidRPr="00CF1787">
        <w:rPr>
          <w:lang w:val="es-CR"/>
        </w:rPr>
        <w:t>22 de</w:t>
      </w:r>
      <w:r w:rsidR="008E4AB6" w:rsidRPr="00CF1787">
        <w:rPr>
          <w:lang w:val="es-CR"/>
        </w:rPr>
        <w:t xml:space="preserve"> mayo y 19 de diciembre de 1996</w:t>
      </w:r>
      <w:r w:rsidR="004B73F2" w:rsidRPr="00CF1787">
        <w:rPr>
          <w:lang w:val="es-CR"/>
        </w:rPr>
        <w:t xml:space="preserve"> el Estado presentó sus observaciones a la misma.</w:t>
      </w:r>
      <w:r w:rsidR="00BD5FCD" w:rsidRPr="00CF1787">
        <w:rPr>
          <w:lang w:val="es-CR"/>
        </w:rPr>
        <w:t xml:space="preserve"> </w:t>
      </w:r>
    </w:p>
    <w:p w14:paraId="42EDF430" w14:textId="77777777" w:rsidR="0062526E" w:rsidRPr="00CF1787" w:rsidRDefault="0062526E" w:rsidP="0062526E">
      <w:pPr>
        <w:pStyle w:val="NoSpacing"/>
        <w:tabs>
          <w:tab w:val="left" w:pos="567"/>
          <w:tab w:val="left" w:pos="1080"/>
          <w:tab w:val="left" w:pos="1134"/>
        </w:tabs>
        <w:ind w:left="1080"/>
        <w:rPr>
          <w:color w:val="000000" w:themeColor="text1"/>
          <w:lang w:val="es-CR"/>
        </w:rPr>
      </w:pPr>
    </w:p>
    <w:p w14:paraId="3DBDBA97" w14:textId="7AE62E22" w:rsidR="0062526E" w:rsidRPr="00CF1787" w:rsidRDefault="0062526E" w:rsidP="00303020">
      <w:pPr>
        <w:pStyle w:val="NoSpacing"/>
        <w:numPr>
          <w:ilvl w:val="1"/>
          <w:numId w:val="5"/>
        </w:numPr>
        <w:tabs>
          <w:tab w:val="left" w:pos="567"/>
          <w:tab w:val="left" w:pos="1080"/>
          <w:tab w:val="left" w:pos="1134"/>
        </w:tabs>
        <w:ind w:left="1080" w:hanging="540"/>
        <w:rPr>
          <w:color w:val="000000" w:themeColor="text1"/>
          <w:lang w:val="es-CR"/>
        </w:rPr>
      </w:pPr>
      <w:r w:rsidRPr="00CF1787">
        <w:rPr>
          <w:rFonts w:cs="Verdana"/>
          <w:i/>
          <w:iCs/>
          <w:spacing w:val="-2"/>
          <w:szCs w:val="20"/>
          <w:lang w:val="es-CR" w:eastAsia="es-CR"/>
        </w:rPr>
        <w:t xml:space="preserve">Informe de Admisibilidad y Fondo. – </w:t>
      </w:r>
      <w:r w:rsidRPr="00CF1787">
        <w:rPr>
          <w:rFonts w:cs="Verdana"/>
          <w:spacing w:val="-2"/>
          <w:szCs w:val="20"/>
          <w:lang w:val="es-CR" w:eastAsia="es-CR"/>
        </w:rPr>
        <w:t>E</w:t>
      </w:r>
      <w:bookmarkEnd w:id="59"/>
      <w:r w:rsidRPr="00CF1787">
        <w:rPr>
          <w:rFonts w:cs="Verdana"/>
          <w:spacing w:val="-2"/>
          <w:szCs w:val="20"/>
          <w:lang w:val="es-CR" w:eastAsia="es-CR"/>
        </w:rPr>
        <w:t xml:space="preserve">l </w:t>
      </w:r>
      <w:r w:rsidRPr="00CF1787">
        <w:rPr>
          <w:lang w:val="es-CR"/>
        </w:rPr>
        <w:t>4 de noviembre de 2014 la Comisión aprobó el Informe de Admisibilidad y</w:t>
      </w:r>
      <w:r w:rsidRPr="00CF1787">
        <w:rPr>
          <w:i/>
          <w:lang w:val="es-CR"/>
        </w:rPr>
        <w:t xml:space="preserve"> </w:t>
      </w:r>
      <w:r w:rsidRPr="00CF1787">
        <w:rPr>
          <w:lang w:val="es-CR"/>
        </w:rPr>
        <w:t>Fondo No. 90/</w:t>
      </w:r>
      <w:r w:rsidRPr="00CF1787">
        <w:rPr>
          <w:szCs w:val="20"/>
          <w:lang w:val="es-CR"/>
        </w:rPr>
        <w:t>14</w:t>
      </w:r>
      <w:r w:rsidRPr="00CF1787">
        <w:rPr>
          <w:rStyle w:val="FootnoteReference"/>
          <w:sz w:val="20"/>
          <w:szCs w:val="20"/>
          <w:lang w:val="es-CR"/>
        </w:rPr>
        <w:footnoteReference w:id="2"/>
      </w:r>
      <w:r w:rsidRPr="00CF1787">
        <w:rPr>
          <w:rFonts w:cs="Verdana"/>
          <w:spacing w:val="-2"/>
          <w:szCs w:val="20"/>
          <w:lang w:val="es-CR" w:eastAsia="es-CR"/>
        </w:rPr>
        <w:t xml:space="preserve">, </w:t>
      </w:r>
      <w:r w:rsidRPr="00CF1787">
        <w:rPr>
          <w:rFonts w:cs="Verdana"/>
          <w:color w:val="000000" w:themeColor="text1"/>
          <w:spacing w:val="-2"/>
          <w:szCs w:val="20"/>
          <w:lang w:val="es-CR" w:eastAsia="es-CR"/>
        </w:rPr>
        <w:t>en el cual se llegó a una serie de conclusiones y formuló varias recomendaciones al Estado:</w:t>
      </w:r>
    </w:p>
    <w:p w14:paraId="32AC14F0" w14:textId="77777777" w:rsidR="0062526E" w:rsidRPr="00CF1787" w:rsidRDefault="0062526E" w:rsidP="0062526E">
      <w:pPr>
        <w:pStyle w:val="NoSpacing"/>
        <w:tabs>
          <w:tab w:val="left" w:pos="567"/>
        </w:tabs>
        <w:rPr>
          <w:i/>
          <w:lang w:val="es-CR"/>
        </w:rPr>
      </w:pPr>
    </w:p>
    <w:p w14:paraId="0EAC0C1D" w14:textId="623655FC" w:rsidR="0062526E" w:rsidRPr="00CF1787" w:rsidRDefault="0062526E" w:rsidP="007637E7">
      <w:pPr>
        <w:pStyle w:val="NoSpacing"/>
        <w:numPr>
          <w:ilvl w:val="0"/>
          <w:numId w:val="4"/>
        </w:numPr>
        <w:tabs>
          <w:tab w:val="left" w:pos="567"/>
        </w:tabs>
        <w:ind w:left="1843" w:hanging="142"/>
        <w:rPr>
          <w:lang w:val="es-CR"/>
        </w:rPr>
      </w:pPr>
      <w:r w:rsidRPr="00CF1787">
        <w:rPr>
          <w:i/>
          <w:lang w:val="es-CR"/>
        </w:rPr>
        <w:t>Conclusiones</w:t>
      </w:r>
      <w:r w:rsidRPr="00CF1787">
        <w:rPr>
          <w:rFonts w:eastAsia="Batang" w:cs="Verdana"/>
          <w:i/>
          <w:iCs/>
          <w:spacing w:val="-2"/>
          <w:szCs w:val="20"/>
          <w:lang w:val="es-CR" w:eastAsia="es-CR"/>
        </w:rPr>
        <w:t xml:space="preserve">. - </w:t>
      </w:r>
      <w:r w:rsidRPr="00CF1787">
        <w:rPr>
          <w:rFonts w:eastAsia="Batang" w:cs="Verdana"/>
          <w:spacing w:val="-2"/>
          <w:szCs w:val="20"/>
          <w:lang w:val="es-CR" w:eastAsia="es-CR"/>
        </w:rPr>
        <w:t>La Comisión concluyó que el Estado era responsable por l</w:t>
      </w:r>
      <w:r w:rsidRPr="00CF1787">
        <w:rPr>
          <w:lang w:val="es-CR"/>
        </w:rPr>
        <w:t xml:space="preserve">a violación del artículo 4 de la Convención Americana, en relación con el artículo 1.1 del mismo instrumento, en perjuicio de Luis Jorge Valencia Hinojosa, así como por la violación de los artículos 5, 8 y 25 de la Convención, en relación </w:t>
      </w:r>
      <w:r w:rsidR="007E10FE" w:rsidRPr="00CF1787">
        <w:rPr>
          <w:lang w:val="es-CR"/>
        </w:rPr>
        <w:t xml:space="preserve">con los </w:t>
      </w:r>
      <w:r w:rsidRPr="00CF1787">
        <w:rPr>
          <w:lang w:val="es-CR"/>
        </w:rPr>
        <w:t>artículo</w:t>
      </w:r>
      <w:r w:rsidR="007E10FE" w:rsidRPr="00CF1787">
        <w:rPr>
          <w:lang w:val="es-CR"/>
        </w:rPr>
        <w:t>s</w:t>
      </w:r>
      <w:r w:rsidRPr="00CF1787">
        <w:rPr>
          <w:lang w:val="es-CR"/>
        </w:rPr>
        <w:t xml:space="preserve"> 1.1 y 2 del mismo instrumento, en perjuicio de la señora Patricia Trujillo Esparza. </w:t>
      </w:r>
    </w:p>
    <w:p w14:paraId="79596E9A" w14:textId="77777777" w:rsidR="0062526E" w:rsidRPr="00CF1787" w:rsidRDefault="0062526E" w:rsidP="007637E7">
      <w:pPr>
        <w:pStyle w:val="NoSpacing"/>
        <w:tabs>
          <w:tab w:val="left" w:pos="567"/>
        </w:tabs>
        <w:ind w:left="1843" w:hanging="142"/>
        <w:rPr>
          <w:i/>
          <w:lang w:val="es-CR"/>
        </w:rPr>
      </w:pPr>
    </w:p>
    <w:p w14:paraId="76F50161" w14:textId="77777777" w:rsidR="0062526E" w:rsidRPr="00CF1787" w:rsidRDefault="0062526E" w:rsidP="007637E7">
      <w:pPr>
        <w:pStyle w:val="NoSpacing"/>
        <w:numPr>
          <w:ilvl w:val="0"/>
          <w:numId w:val="4"/>
        </w:numPr>
        <w:tabs>
          <w:tab w:val="left" w:pos="567"/>
        </w:tabs>
        <w:ind w:left="1843" w:hanging="142"/>
        <w:rPr>
          <w:lang w:val="es-CR"/>
        </w:rPr>
      </w:pPr>
      <w:r w:rsidRPr="00CF1787">
        <w:rPr>
          <w:i/>
          <w:lang w:val="es-CR"/>
        </w:rPr>
        <w:t xml:space="preserve">Recomendaciones. - </w:t>
      </w:r>
      <w:r w:rsidRPr="00CF1787">
        <w:rPr>
          <w:lang w:val="es-CR"/>
        </w:rPr>
        <w:t>En consecuencia, la Comisión hizo al Estado una serie de recomendaciones, en relación con:</w:t>
      </w:r>
    </w:p>
    <w:p w14:paraId="3042D4C2" w14:textId="77777777" w:rsidR="0062526E" w:rsidRPr="00CF1787" w:rsidRDefault="0062526E" w:rsidP="0062526E">
      <w:pPr>
        <w:pStyle w:val="NoSpacing"/>
        <w:tabs>
          <w:tab w:val="left" w:pos="567"/>
          <w:tab w:val="left" w:pos="1843"/>
        </w:tabs>
        <w:ind w:left="1843" w:hanging="142"/>
        <w:rPr>
          <w:szCs w:val="20"/>
          <w:lang w:val="es-CR"/>
        </w:rPr>
      </w:pPr>
    </w:p>
    <w:p w14:paraId="0EE8ED52" w14:textId="77777777" w:rsidR="0062526E" w:rsidRPr="00CF1787" w:rsidRDefault="0062526E" w:rsidP="007637E7">
      <w:pPr>
        <w:pStyle w:val="NoSpacing"/>
        <w:numPr>
          <w:ilvl w:val="0"/>
          <w:numId w:val="3"/>
        </w:numPr>
        <w:tabs>
          <w:tab w:val="left" w:pos="567"/>
          <w:tab w:val="left" w:pos="2410"/>
        </w:tabs>
        <w:ind w:left="2410" w:hanging="283"/>
        <w:rPr>
          <w:b/>
          <w:szCs w:val="20"/>
          <w:lang w:val="es-CR"/>
        </w:rPr>
      </w:pPr>
      <w:r w:rsidRPr="00CF1787">
        <w:rPr>
          <w:szCs w:val="20"/>
          <w:lang w:val="es-CR"/>
        </w:rPr>
        <w:t>Realizar una investigación completa y efectiva de las violaciones de derechos humanos declaradas en el</w:t>
      </w:r>
      <w:r w:rsidRPr="00CF1787">
        <w:rPr>
          <w:color w:val="FF0000"/>
          <w:szCs w:val="20"/>
          <w:lang w:val="es-CR"/>
        </w:rPr>
        <w:t xml:space="preserve"> </w:t>
      </w:r>
      <w:r w:rsidRPr="00CF1787">
        <w:rPr>
          <w:szCs w:val="20"/>
          <w:lang w:val="es-CR"/>
        </w:rPr>
        <w:t>informe</w:t>
      </w:r>
      <w:r w:rsidR="004B73F2" w:rsidRPr="00CF1787">
        <w:rPr>
          <w:szCs w:val="20"/>
          <w:lang w:val="es-CR"/>
        </w:rPr>
        <w:t xml:space="preserve"> correspondiente</w:t>
      </w:r>
      <w:r w:rsidRPr="00CF1787">
        <w:rPr>
          <w:szCs w:val="20"/>
          <w:lang w:val="es-CR"/>
        </w:rPr>
        <w:t>.</w:t>
      </w:r>
    </w:p>
    <w:p w14:paraId="18E52A46" w14:textId="77777777" w:rsidR="0062526E" w:rsidRPr="00CF1787" w:rsidRDefault="0062526E" w:rsidP="007637E7">
      <w:pPr>
        <w:pStyle w:val="NoSpacing"/>
        <w:tabs>
          <w:tab w:val="left" w:pos="567"/>
          <w:tab w:val="left" w:pos="2410"/>
        </w:tabs>
        <w:ind w:left="2410" w:hanging="283"/>
        <w:rPr>
          <w:b/>
          <w:szCs w:val="20"/>
          <w:lang w:val="es-CR"/>
        </w:rPr>
      </w:pPr>
    </w:p>
    <w:p w14:paraId="2A937DD9" w14:textId="77777777" w:rsidR="0062526E" w:rsidRPr="00CF1787" w:rsidRDefault="0062526E" w:rsidP="007637E7">
      <w:pPr>
        <w:pStyle w:val="NoSpacing"/>
        <w:numPr>
          <w:ilvl w:val="0"/>
          <w:numId w:val="3"/>
        </w:numPr>
        <w:tabs>
          <w:tab w:val="left" w:pos="567"/>
          <w:tab w:val="left" w:pos="2410"/>
        </w:tabs>
        <w:ind w:left="2410" w:hanging="283"/>
        <w:rPr>
          <w:szCs w:val="20"/>
          <w:lang w:val="es-CR"/>
        </w:rPr>
      </w:pPr>
      <w:r w:rsidRPr="00CF1787">
        <w:rPr>
          <w:szCs w:val="20"/>
          <w:lang w:val="es-CR"/>
        </w:rPr>
        <w:t xml:space="preserve">Reparar adecuadamente las violaciones de derechos humanos declaradas en el </w:t>
      </w:r>
      <w:r w:rsidR="004B73F2" w:rsidRPr="00CF1787">
        <w:rPr>
          <w:szCs w:val="20"/>
          <w:lang w:val="es-CR"/>
        </w:rPr>
        <w:t>citado</w:t>
      </w:r>
      <w:r w:rsidR="002B3AEE" w:rsidRPr="00CF1787">
        <w:rPr>
          <w:szCs w:val="20"/>
          <w:lang w:val="es-CR"/>
        </w:rPr>
        <w:t xml:space="preserve"> </w:t>
      </w:r>
      <w:r w:rsidRPr="00CF1787">
        <w:rPr>
          <w:szCs w:val="20"/>
          <w:lang w:val="es-CR"/>
        </w:rPr>
        <w:t>informe tanto en el aspecto material como moral.</w:t>
      </w:r>
    </w:p>
    <w:p w14:paraId="774FAD12" w14:textId="77777777" w:rsidR="0062526E" w:rsidRPr="00CF1787" w:rsidRDefault="0062526E" w:rsidP="007637E7">
      <w:pPr>
        <w:pStyle w:val="NoSpacing"/>
        <w:tabs>
          <w:tab w:val="left" w:pos="567"/>
          <w:tab w:val="left" w:pos="2410"/>
        </w:tabs>
        <w:ind w:left="2410" w:hanging="283"/>
        <w:rPr>
          <w:szCs w:val="20"/>
          <w:lang w:val="es-CR"/>
        </w:rPr>
      </w:pPr>
    </w:p>
    <w:p w14:paraId="46AF7111" w14:textId="703799CC" w:rsidR="0062526E" w:rsidRPr="00CF1787" w:rsidRDefault="0062526E" w:rsidP="007637E7">
      <w:pPr>
        <w:pStyle w:val="NoSpacing"/>
        <w:numPr>
          <w:ilvl w:val="0"/>
          <w:numId w:val="3"/>
        </w:numPr>
        <w:tabs>
          <w:tab w:val="left" w:pos="567"/>
          <w:tab w:val="left" w:pos="2410"/>
        </w:tabs>
        <w:ind w:left="2410" w:hanging="283"/>
        <w:rPr>
          <w:szCs w:val="20"/>
          <w:lang w:val="es-CR"/>
        </w:rPr>
      </w:pPr>
      <w:r w:rsidRPr="00CF1787">
        <w:rPr>
          <w:szCs w:val="20"/>
          <w:lang w:val="es-CR"/>
        </w:rPr>
        <w:t xml:space="preserve">Adoptar medidas legislativas, administrativas y de cualquier otra índole con la finalidad de asegurar que el uso de la fuerza por parte de agentes del Estado, sea compatible con los estándares descritos en el </w:t>
      </w:r>
      <w:r w:rsidR="00C24C95" w:rsidRPr="00CF1787">
        <w:rPr>
          <w:szCs w:val="20"/>
          <w:lang w:val="es-CR"/>
        </w:rPr>
        <w:t xml:space="preserve">mencionado </w:t>
      </w:r>
      <w:r w:rsidRPr="00CF1787">
        <w:rPr>
          <w:szCs w:val="20"/>
          <w:lang w:val="es-CR"/>
        </w:rPr>
        <w:t>informe.</w:t>
      </w:r>
    </w:p>
    <w:p w14:paraId="539177CF" w14:textId="77777777" w:rsidR="0062526E" w:rsidRPr="00CF1787" w:rsidRDefault="0062526E" w:rsidP="007637E7">
      <w:pPr>
        <w:pStyle w:val="NoSpacing"/>
        <w:tabs>
          <w:tab w:val="left" w:pos="567"/>
          <w:tab w:val="left" w:pos="2410"/>
        </w:tabs>
        <w:ind w:left="2410" w:hanging="283"/>
        <w:rPr>
          <w:szCs w:val="20"/>
          <w:lang w:val="es-CR"/>
        </w:rPr>
      </w:pPr>
    </w:p>
    <w:p w14:paraId="0EAE29DA" w14:textId="752325E6" w:rsidR="0062526E" w:rsidRPr="00CF1787" w:rsidRDefault="0062526E" w:rsidP="00303020">
      <w:pPr>
        <w:pStyle w:val="NoSpacing"/>
        <w:numPr>
          <w:ilvl w:val="1"/>
          <w:numId w:val="5"/>
        </w:numPr>
        <w:tabs>
          <w:tab w:val="left" w:pos="567"/>
          <w:tab w:val="left" w:pos="1134"/>
        </w:tabs>
        <w:ind w:left="709" w:firstLine="0"/>
        <w:rPr>
          <w:b/>
          <w:lang w:val="es-CR"/>
        </w:rPr>
      </w:pPr>
      <w:r w:rsidRPr="00CF1787">
        <w:rPr>
          <w:i/>
          <w:szCs w:val="20"/>
          <w:lang w:val="es-CR"/>
        </w:rPr>
        <w:lastRenderedPageBreak/>
        <w:t>Notificación d</w:t>
      </w:r>
      <w:r w:rsidR="001023FF" w:rsidRPr="00CF1787">
        <w:rPr>
          <w:i/>
          <w:szCs w:val="20"/>
          <w:lang w:val="es-CR"/>
        </w:rPr>
        <w:t>el I</w:t>
      </w:r>
      <w:r w:rsidRPr="00CF1787">
        <w:rPr>
          <w:i/>
          <w:szCs w:val="20"/>
          <w:lang w:val="es-CR"/>
        </w:rPr>
        <w:t>nforme</w:t>
      </w:r>
      <w:r w:rsidRPr="00CF1787">
        <w:rPr>
          <w:i/>
          <w:lang w:val="es-CR"/>
        </w:rPr>
        <w:t xml:space="preserve"> de </w:t>
      </w:r>
      <w:r w:rsidR="001023FF" w:rsidRPr="00CF1787">
        <w:rPr>
          <w:i/>
          <w:lang w:val="es-CR"/>
        </w:rPr>
        <w:t>A</w:t>
      </w:r>
      <w:r w:rsidRPr="00CF1787">
        <w:rPr>
          <w:i/>
          <w:lang w:val="es-CR"/>
        </w:rPr>
        <w:t xml:space="preserve">dmisibilidad y Fondo. - </w:t>
      </w:r>
      <w:r w:rsidRPr="00CF1787">
        <w:rPr>
          <w:lang w:val="es-CR"/>
        </w:rPr>
        <w:t xml:space="preserve">El Informe fue notificado al Estado el 19 de noviembre de 2014 otorgándosele un plazo de dos meses </w:t>
      </w:r>
      <w:r w:rsidRPr="00CF1787">
        <w:rPr>
          <w:spacing w:val="-4"/>
          <w:lang w:val="es-CR" w:eastAsia="es-CR"/>
        </w:rPr>
        <w:t>para informar sobre el cumplimiento de las recomendaciones.</w:t>
      </w:r>
      <w:r w:rsidRPr="00CF1787">
        <w:rPr>
          <w:lang w:val="es-CR"/>
        </w:rPr>
        <w:t xml:space="preserve"> </w:t>
      </w:r>
      <w:r w:rsidRPr="00CF1787">
        <w:rPr>
          <w:bCs/>
          <w:spacing w:val="-4"/>
          <w:lang w:val="es-CR" w:eastAsia="es-CR"/>
        </w:rPr>
        <w:t>E</w:t>
      </w:r>
      <w:r w:rsidRPr="00CF1787">
        <w:rPr>
          <w:spacing w:val="-4"/>
          <w:lang w:val="es-CR" w:eastAsia="es-CR"/>
        </w:rPr>
        <w:t>l Estado de</w:t>
      </w:r>
      <w:r w:rsidR="001023FF" w:rsidRPr="00CF1787">
        <w:rPr>
          <w:spacing w:val="-4"/>
          <w:lang w:val="es-CR" w:eastAsia="es-CR"/>
        </w:rPr>
        <w:t>l</w:t>
      </w:r>
      <w:r w:rsidRPr="00CF1787">
        <w:rPr>
          <w:spacing w:val="-4"/>
          <w:lang w:val="es-CR" w:eastAsia="es-CR"/>
        </w:rPr>
        <w:t xml:space="preserve"> Ecuador no dio respuesta al requerimiento de la Comisión.</w:t>
      </w:r>
      <w:r w:rsidRPr="00CF1787">
        <w:rPr>
          <w:lang w:val="es-CR"/>
        </w:rPr>
        <w:t xml:space="preserve"> </w:t>
      </w:r>
    </w:p>
    <w:p w14:paraId="4A884804" w14:textId="77777777" w:rsidR="0062526E" w:rsidRPr="00CF1787" w:rsidRDefault="0062526E" w:rsidP="0062526E">
      <w:pPr>
        <w:pStyle w:val="NoSpacing"/>
        <w:tabs>
          <w:tab w:val="left" w:pos="567"/>
        </w:tabs>
        <w:rPr>
          <w:b/>
          <w:lang w:val="es-CR"/>
        </w:rPr>
      </w:pPr>
    </w:p>
    <w:p w14:paraId="693FA7A7" w14:textId="7757BCA4" w:rsidR="007F47FF" w:rsidRPr="00CF1787" w:rsidRDefault="0062526E" w:rsidP="006F0B4E">
      <w:pPr>
        <w:pStyle w:val="PrrafodeSentencia"/>
        <w:numPr>
          <w:ilvl w:val="0"/>
          <w:numId w:val="5"/>
        </w:numPr>
        <w:ind w:left="0" w:firstLine="0"/>
        <w:rPr>
          <w:bCs/>
        </w:rPr>
      </w:pPr>
      <w:bookmarkStart w:id="60" w:name="_Ref458436811"/>
      <w:r w:rsidRPr="00CF1787">
        <w:rPr>
          <w:i/>
        </w:rPr>
        <w:t xml:space="preserve">Sometimiento a la Corte. </w:t>
      </w:r>
      <w:r w:rsidR="00C24C95" w:rsidRPr="00CF1787">
        <w:rPr>
          <w:i/>
        </w:rPr>
        <w:t>–</w:t>
      </w:r>
      <w:r w:rsidRPr="00CF1787">
        <w:rPr>
          <w:i/>
        </w:rPr>
        <w:t xml:space="preserve"> </w:t>
      </w:r>
      <w:r w:rsidRPr="00CF1787">
        <w:rPr>
          <w:szCs w:val="20"/>
        </w:rPr>
        <w:t>El 19 de febrero de 2015 la Comisión sometió el presente caso a la Corte “</w:t>
      </w:r>
      <w:r w:rsidRPr="00CF1787">
        <w:rPr>
          <w:rFonts w:eastAsia="Calibri" w:cs="Calibri"/>
          <w:szCs w:val="20"/>
          <w:lang w:eastAsia="en-US"/>
        </w:rPr>
        <w:t>por la necesidad de obtención de justicia en el caso particular</w:t>
      </w:r>
      <w:r w:rsidRPr="00CF1787">
        <w:rPr>
          <w:szCs w:val="20"/>
        </w:rPr>
        <w:t>”.</w:t>
      </w:r>
      <w:r w:rsidRPr="00CF1787">
        <w:rPr>
          <w:b/>
          <w:bCs/>
        </w:rPr>
        <w:t xml:space="preserve"> </w:t>
      </w:r>
      <w:r w:rsidRPr="00CF1787">
        <w:t>La Comisión designó como delegados</w:t>
      </w:r>
      <w:r w:rsidR="00C24C95" w:rsidRPr="00CF1787">
        <w:t xml:space="preserve"> para el presente caso</w:t>
      </w:r>
      <w:r w:rsidR="00C24C95" w:rsidRPr="00CF1787">
        <w:rPr>
          <w:b/>
        </w:rPr>
        <w:t xml:space="preserve"> </w:t>
      </w:r>
      <w:r w:rsidRPr="00CF1787">
        <w:t xml:space="preserve">a la Comisionada Rose Marie B. </w:t>
      </w:r>
      <w:proofErr w:type="spellStart"/>
      <w:r w:rsidRPr="00CF1787">
        <w:t>Antoine</w:t>
      </w:r>
      <w:proofErr w:type="spellEnd"/>
      <w:r w:rsidRPr="00CF1787">
        <w:t xml:space="preserve"> y al Secretario Ejecutivo Emilio Álvarez Icaza. Asimismo, indicó que Elizabeth </w:t>
      </w:r>
      <w:proofErr w:type="spellStart"/>
      <w:r w:rsidRPr="00CF1787">
        <w:t>Abi-Mershed</w:t>
      </w:r>
      <w:proofErr w:type="spellEnd"/>
      <w:r w:rsidRPr="00CF1787">
        <w:t>, Secretaria Ejecutiva Adjunta, Silvia Serrano Guzmán y Jorge H. Meza Flores, abogada y abogado de la Secretarla Ejecutiva de la C</w:t>
      </w:r>
      <w:r w:rsidR="001023FF" w:rsidRPr="00CF1787">
        <w:t>omisión</w:t>
      </w:r>
      <w:r w:rsidRPr="00CF1787">
        <w:t xml:space="preserve">, </w:t>
      </w:r>
      <w:r w:rsidR="007E10FE" w:rsidRPr="00CF1787">
        <w:t xml:space="preserve">actuarían </w:t>
      </w:r>
      <w:r w:rsidRPr="00CF1787">
        <w:t>como asesores legales</w:t>
      </w:r>
      <w:r w:rsidRPr="00CF1787">
        <w:rPr>
          <w:bCs/>
        </w:rPr>
        <w:t>.</w:t>
      </w:r>
      <w:r w:rsidRPr="00CF1787">
        <w:rPr>
          <w:b/>
          <w:bCs/>
        </w:rPr>
        <w:t xml:space="preserve"> </w:t>
      </w:r>
      <w:bookmarkEnd w:id="60"/>
    </w:p>
    <w:p w14:paraId="4A0FA894" w14:textId="77777777" w:rsidR="007F47FF" w:rsidRPr="00CF1787" w:rsidRDefault="007F47FF" w:rsidP="007F47FF">
      <w:pPr>
        <w:rPr>
          <w:lang w:val="es-CR" w:eastAsia="es-MX"/>
        </w:rPr>
      </w:pPr>
    </w:p>
    <w:p w14:paraId="55C319B8" w14:textId="420C7368" w:rsidR="0062526E" w:rsidRPr="00CF1787" w:rsidRDefault="0062526E" w:rsidP="006F0B4E">
      <w:pPr>
        <w:pStyle w:val="PrrafodeSentencia"/>
        <w:numPr>
          <w:ilvl w:val="0"/>
          <w:numId w:val="5"/>
        </w:numPr>
        <w:ind w:left="0" w:firstLine="0"/>
        <w:rPr>
          <w:b/>
        </w:rPr>
      </w:pPr>
      <w:r w:rsidRPr="00CF1787">
        <w:rPr>
          <w:i/>
        </w:rPr>
        <w:t xml:space="preserve">Solicitudes de la Comisión Interamericana. - </w:t>
      </w:r>
      <w:r w:rsidRPr="00CF1787">
        <w:rPr>
          <w:lang w:eastAsia="es-CR"/>
        </w:rPr>
        <w:t>Con base en lo anterior, la Comisión solicitó a este Tribunal que concluyera y declarara la responsabilidad internacional del Ecuador por las violaciones contenidas en su Informe de Admisibilidad y Fondo y que se ordenara al Estado, como medidas de reparación, las recomendaciones incluidas en dicho informe (</w:t>
      </w:r>
      <w:r w:rsidRPr="00CF1787">
        <w:rPr>
          <w:i/>
          <w:lang w:eastAsia="es-CR"/>
        </w:rPr>
        <w:t>supra</w:t>
      </w:r>
      <w:r w:rsidRPr="00CF1787">
        <w:rPr>
          <w:lang w:eastAsia="es-CR"/>
        </w:rPr>
        <w:t xml:space="preserve"> párr. </w:t>
      </w:r>
      <w:r w:rsidR="00573468" w:rsidRPr="00CF1787">
        <w:fldChar w:fldCharType="begin"/>
      </w:r>
      <w:r w:rsidRPr="00CF1787">
        <w:rPr>
          <w:lang w:eastAsia="es-CR"/>
        </w:rPr>
        <w:instrText xml:space="preserve"> </w:instrText>
      </w:r>
      <w:r w:rsidR="00796426" w:rsidRPr="00CF1787">
        <w:rPr>
          <w:lang w:eastAsia="es-CR"/>
        </w:rPr>
        <w:instrText>REF</w:instrText>
      </w:r>
      <w:r w:rsidRPr="00CF1787">
        <w:rPr>
          <w:lang w:eastAsia="es-CR"/>
        </w:rPr>
        <w:instrText xml:space="preserve"> _Ref379907334 \r \h </w:instrText>
      </w:r>
      <w:r w:rsidR="00CF1787">
        <w:instrText xml:space="preserve"> \* MERGEFORMAT </w:instrText>
      </w:r>
      <w:r w:rsidR="00573468" w:rsidRPr="00CF1787">
        <w:fldChar w:fldCharType="separate"/>
      </w:r>
      <w:r w:rsidR="00536893">
        <w:rPr>
          <w:lang w:eastAsia="es-CR"/>
        </w:rPr>
        <w:t>2</w:t>
      </w:r>
      <w:r w:rsidR="00573468" w:rsidRPr="00CF1787">
        <w:fldChar w:fldCharType="end"/>
      </w:r>
      <w:r w:rsidRPr="00CF1787">
        <w:rPr>
          <w:lang w:eastAsia="es-CR"/>
        </w:rPr>
        <w:t>).</w:t>
      </w:r>
    </w:p>
    <w:p w14:paraId="38BE8D86" w14:textId="77777777" w:rsidR="0062526E" w:rsidRPr="00CF1787" w:rsidRDefault="0062526E" w:rsidP="0062526E">
      <w:pPr>
        <w:pStyle w:val="PrrafodeSentencia"/>
        <w:numPr>
          <w:ilvl w:val="0"/>
          <w:numId w:val="0"/>
        </w:numPr>
        <w:rPr>
          <w:b/>
        </w:rPr>
      </w:pPr>
    </w:p>
    <w:p w14:paraId="014813D1" w14:textId="77777777" w:rsidR="0062526E" w:rsidRPr="00CF1787" w:rsidRDefault="0062526E" w:rsidP="0062526E">
      <w:pPr>
        <w:pStyle w:val="Heading1"/>
        <w:tabs>
          <w:tab w:val="left" w:pos="567"/>
        </w:tabs>
        <w:rPr>
          <w:spacing w:val="-4"/>
          <w:lang w:val="es-CR"/>
        </w:rPr>
      </w:pPr>
      <w:bookmarkStart w:id="61" w:name="_Toc424834680"/>
      <w:bookmarkStart w:id="62" w:name="_Toc427932786"/>
      <w:bookmarkStart w:id="63" w:name="_Toc431584603"/>
      <w:bookmarkStart w:id="64" w:name="_Toc434850391"/>
      <w:bookmarkStart w:id="65" w:name="_Toc465177351"/>
      <w:bookmarkStart w:id="66" w:name="_Toc470098024"/>
      <w:r w:rsidRPr="00CF1787">
        <w:rPr>
          <w:spacing w:val="-4"/>
          <w:lang w:val="es-CR"/>
        </w:rPr>
        <w:t>II</w:t>
      </w:r>
      <w:bookmarkEnd w:id="61"/>
      <w:bookmarkEnd w:id="62"/>
      <w:bookmarkEnd w:id="63"/>
      <w:bookmarkEnd w:id="64"/>
      <w:bookmarkEnd w:id="65"/>
      <w:bookmarkEnd w:id="66"/>
    </w:p>
    <w:p w14:paraId="452CED00" w14:textId="77777777" w:rsidR="0062526E" w:rsidRPr="00CF1787" w:rsidRDefault="0062526E" w:rsidP="0062526E">
      <w:pPr>
        <w:pStyle w:val="Heading1"/>
        <w:tabs>
          <w:tab w:val="left" w:pos="567"/>
        </w:tabs>
        <w:rPr>
          <w:spacing w:val="-4"/>
          <w:lang w:val="es-CR"/>
        </w:rPr>
      </w:pPr>
      <w:bookmarkStart w:id="67" w:name="_Toc424833997"/>
      <w:bookmarkStart w:id="68" w:name="_Toc424834681"/>
      <w:bookmarkStart w:id="69" w:name="_Toc424834748"/>
      <w:bookmarkStart w:id="70" w:name="_Toc427342825"/>
      <w:bookmarkStart w:id="71" w:name="_Toc427663811"/>
      <w:bookmarkStart w:id="72" w:name="_Toc427932787"/>
      <w:bookmarkStart w:id="73" w:name="_Toc427943550"/>
      <w:bookmarkStart w:id="74" w:name="_Toc427943724"/>
      <w:bookmarkStart w:id="75" w:name="_Toc431584604"/>
      <w:bookmarkStart w:id="76" w:name="_Toc431584720"/>
      <w:bookmarkStart w:id="77" w:name="_Toc431585025"/>
      <w:bookmarkStart w:id="78" w:name="_Toc431646542"/>
      <w:bookmarkStart w:id="79" w:name="_Toc431834525"/>
      <w:bookmarkStart w:id="80" w:name="_Toc431834621"/>
      <w:bookmarkStart w:id="81" w:name="_Toc308537926"/>
      <w:bookmarkStart w:id="82" w:name="_Toc308538146"/>
      <w:bookmarkStart w:id="83" w:name="_Toc434849913"/>
      <w:bookmarkStart w:id="84" w:name="_Toc434850392"/>
      <w:bookmarkStart w:id="85" w:name="_Toc461791307"/>
      <w:bookmarkStart w:id="86" w:name="_Toc461795991"/>
      <w:bookmarkStart w:id="87" w:name="_Toc462157387"/>
      <w:bookmarkStart w:id="88" w:name="_Toc462157883"/>
      <w:bookmarkStart w:id="89" w:name="_Toc462869973"/>
      <w:bookmarkStart w:id="90" w:name="_Toc462934225"/>
      <w:bookmarkStart w:id="91" w:name="_Toc465177352"/>
      <w:bookmarkStart w:id="92" w:name="_Toc465184252"/>
      <w:bookmarkStart w:id="93" w:name="_Toc467854782"/>
      <w:bookmarkStart w:id="94" w:name="_Toc468281900"/>
      <w:bookmarkStart w:id="95" w:name="_Toc470001192"/>
      <w:bookmarkStart w:id="96" w:name="_Toc470098025"/>
      <w:r w:rsidRPr="00CF1787">
        <w:rPr>
          <w:spacing w:val="-4"/>
          <w:lang w:val="es-CR"/>
        </w:rPr>
        <w:t>PROCEDIMIENTO ANTE LA CORTE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78CFC0E" w14:textId="77777777" w:rsidR="0062526E" w:rsidRPr="00CF1787" w:rsidRDefault="0062526E" w:rsidP="0062526E">
      <w:pPr>
        <w:tabs>
          <w:tab w:val="left" w:pos="567"/>
        </w:tabs>
        <w:rPr>
          <w:lang w:val="es-CR" w:eastAsia="es-CR"/>
        </w:rPr>
      </w:pPr>
    </w:p>
    <w:p w14:paraId="26AE8F56" w14:textId="0AA118A6" w:rsidR="0062526E" w:rsidRPr="00CF1787" w:rsidRDefault="0062526E" w:rsidP="00303020">
      <w:pPr>
        <w:pStyle w:val="NoSpacing"/>
        <w:numPr>
          <w:ilvl w:val="0"/>
          <w:numId w:val="5"/>
        </w:numPr>
        <w:tabs>
          <w:tab w:val="left" w:pos="567"/>
        </w:tabs>
        <w:ind w:left="0" w:firstLine="0"/>
        <w:rPr>
          <w:szCs w:val="20"/>
          <w:lang w:val="es-CR"/>
        </w:rPr>
      </w:pPr>
      <w:bookmarkStart w:id="97" w:name="_Ref357172062"/>
      <w:bookmarkStart w:id="98" w:name="_Ref343555499"/>
      <w:r w:rsidRPr="00CF1787">
        <w:rPr>
          <w:i/>
          <w:szCs w:val="20"/>
          <w:lang w:val="es-CR"/>
        </w:rPr>
        <w:t xml:space="preserve">Notificación al Estado y a los representantes. - </w:t>
      </w:r>
      <w:r w:rsidRPr="00CF1787">
        <w:rPr>
          <w:szCs w:val="20"/>
          <w:lang w:val="es-CR"/>
        </w:rPr>
        <w:t>El sometimiento del caso fue notificado a los representantes de las presuntas víctimas y al Estado el 25 de marzo de 2015</w:t>
      </w:r>
      <w:bookmarkEnd w:id="97"/>
      <w:r w:rsidRPr="00CF1787">
        <w:rPr>
          <w:szCs w:val="20"/>
          <w:lang w:val="es-CR"/>
        </w:rPr>
        <w:t xml:space="preserve">. </w:t>
      </w:r>
      <w:bookmarkEnd w:id="98"/>
    </w:p>
    <w:p w14:paraId="11BD9F73" w14:textId="77777777" w:rsidR="0062526E" w:rsidRPr="00CF1787" w:rsidRDefault="0062526E" w:rsidP="0062526E">
      <w:pPr>
        <w:pStyle w:val="NoSpacing"/>
        <w:tabs>
          <w:tab w:val="left" w:pos="567"/>
        </w:tabs>
        <w:rPr>
          <w:szCs w:val="20"/>
          <w:lang w:val="es-CR"/>
        </w:rPr>
      </w:pPr>
    </w:p>
    <w:p w14:paraId="329AC403" w14:textId="6A307D0B" w:rsidR="0062526E" w:rsidRPr="00CF1787" w:rsidRDefault="0062526E" w:rsidP="00303020">
      <w:pPr>
        <w:pStyle w:val="PrrafodeSentencia"/>
        <w:numPr>
          <w:ilvl w:val="0"/>
          <w:numId w:val="5"/>
        </w:numPr>
        <w:ind w:left="0" w:firstLine="0"/>
        <w:rPr>
          <w:szCs w:val="20"/>
        </w:rPr>
      </w:pPr>
      <w:bookmarkStart w:id="99" w:name="_Ref357172044"/>
      <w:bookmarkStart w:id="100" w:name="_Ref458436768"/>
      <w:r w:rsidRPr="00CF1787">
        <w:rPr>
          <w:i/>
          <w:szCs w:val="20"/>
        </w:rPr>
        <w:t xml:space="preserve">Escrito de solicitudes, argumentos y pruebas. - </w:t>
      </w:r>
      <w:r w:rsidRPr="00CF1787">
        <w:rPr>
          <w:szCs w:val="20"/>
        </w:rPr>
        <w:t xml:space="preserve">El 20 de mayo de 2015 el CEDHU (en adelante “los representantes”) </w:t>
      </w:r>
      <w:r w:rsidR="00D102B7" w:rsidRPr="00CF1787">
        <w:rPr>
          <w:szCs w:val="20"/>
        </w:rPr>
        <w:t xml:space="preserve">presentaron </w:t>
      </w:r>
      <w:r w:rsidRPr="00CF1787">
        <w:rPr>
          <w:szCs w:val="20"/>
        </w:rPr>
        <w:t xml:space="preserve">su escrito de solicitudes, argumentos y pruebas (en adelante “escrito de solicitudes y argumentos”), conforme a los artículos 25 y 40 del Reglamento de la Corte. Los representantes coincidieron sustancialmente con los alegatos de la Comisión y solicitaron a la Corte que declarara la responsabilidad internacional del Estado por la violación de los mismos artículos alegados por la Comisión. Finalmente, los representantes solicitaron que se ordenara al Estado adoptar diversas medidas de reparación y el reintegro de determinadas costas y gastos. </w:t>
      </w:r>
      <w:bookmarkEnd w:id="99"/>
      <w:bookmarkEnd w:id="100"/>
    </w:p>
    <w:p w14:paraId="765E7AA2" w14:textId="77777777" w:rsidR="0062526E" w:rsidRPr="00CF1787" w:rsidRDefault="0062526E" w:rsidP="0062526E">
      <w:pPr>
        <w:pStyle w:val="NoSpacing"/>
        <w:tabs>
          <w:tab w:val="left" w:pos="567"/>
        </w:tabs>
        <w:rPr>
          <w:szCs w:val="20"/>
          <w:lang w:val="es-CR"/>
        </w:rPr>
      </w:pPr>
    </w:p>
    <w:p w14:paraId="21938700" w14:textId="2D8E9B15" w:rsidR="0062526E" w:rsidRPr="00CF1787" w:rsidRDefault="0062526E" w:rsidP="00303020">
      <w:pPr>
        <w:pStyle w:val="PrrafodeSentencia"/>
        <w:numPr>
          <w:ilvl w:val="0"/>
          <w:numId w:val="5"/>
        </w:numPr>
        <w:ind w:left="0" w:firstLine="0"/>
        <w:rPr>
          <w:szCs w:val="20"/>
        </w:rPr>
      </w:pPr>
      <w:bookmarkStart w:id="101" w:name="_Ref458436784"/>
      <w:r w:rsidRPr="00CF1787">
        <w:rPr>
          <w:i/>
          <w:szCs w:val="20"/>
        </w:rPr>
        <w:t xml:space="preserve">Escrito de contestación. - </w:t>
      </w:r>
      <w:r w:rsidRPr="00CF1787">
        <w:rPr>
          <w:szCs w:val="20"/>
        </w:rPr>
        <w:t>El 28 de agosto de 2015 el Estado presentó ante la Corte su escrito de interposición de excepciones preliminares, contestación al sometimiento del caso por parte de la Comisión y de observaciones al escrito de solicitudes y argumentos (en adelante “escrito de contestación”)</w:t>
      </w:r>
      <w:r w:rsidR="00931E63" w:rsidRPr="00CF1787">
        <w:rPr>
          <w:szCs w:val="20"/>
        </w:rPr>
        <w:t>, designa</w:t>
      </w:r>
      <w:r w:rsidR="001C241C" w:rsidRPr="00CF1787">
        <w:rPr>
          <w:szCs w:val="20"/>
        </w:rPr>
        <w:t>n</w:t>
      </w:r>
      <w:r w:rsidR="00931E63" w:rsidRPr="00CF1787">
        <w:rPr>
          <w:szCs w:val="20"/>
        </w:rPr>
        <w:t xml:space="preserve">do como Agente para el presente </w:t>
      </w:r>
      <w:r w:rsidR="001C241C" w:rsidRPr="00CF1787">
        <w:rPr>
          <w:szCs w:val="20"/>
        </w:rPr>
        <w:t>caso al señor Ricardo Velasco</w:t>
      </w:r>
      <w:r w:rsidR="00931E63" w:rsidRPr="00CF1787">
        <w:rPr>
          <w:szCs w:val="20"/>
        </w:rPr>
        <w:t xml:space="preserve"> y como agentes alternos a los abogados Carlos Espín </w:t>
      </w:r>
      <w:r w:rsidR="001C241C" w:rsidRPr="00CF1787">
        <w:rPr>
          <w:szCs w:val="20"/>
        </w:rPr>
        <w:t xml:space="preserve">Arias </w:t>
      </w:r>
      <w:r w:rsidR="00931E63" w:rsidRPr="00CF1787">
        <w:rPr>
          <w:szCs w:val="20"/>
        </w:rPr>
        <w:t>y Daniela Ulloa</w:t>
      </w:r>
      <w:r w:rsidR="001C241C" w:rsidRPr="00CF1787">
        <w:rPr>
          <w:szCs w:val="20"/>
        </w:rPr>
        <w:t xml:space="preserve"> Saltos</w:t>
      </w:r>
      <w:r w:rsidR="00931E63" w:rsidRPr="00CF1787">
        <w:rPr>
          <w:szCs w:val="20"/>
        </w:rPr>
        <w:t>.</w:t>
      </w:r>
      <w:r w:rsidR="00931E63" w:rsidRPr="00CF1787">
        <w:rPr>
          <w:b/>
          <w:szCs w:val="20"/>
        </w:rPr>
        <w:t xml:space="preserve"> </w:t>
      </w:r>
      <w:r w:rsidRPr="00CF1787">
        <w:rPr>
          <w:szCs w:val="20"/>
        </w:rPr>
        <w:t xml:space="preserve">En dicho escrito, el Estado interpuso dos excepciones preliminares, relativas a la </w:t>
      </w:r>
      <w:r w:rsidR="001C241C" w:rsidRPr="00CF1787">
        <w:rPr>
          <w:rFonts w:eastAsia="Calibri" w:cs="Calibri"/>
          <w:szCs w:val="20"/>
          <w:lang w:eastAsia="en-US"/>
        </w:rPr>
        <w:t>alegada violación al</w:t>
      </w:r>
      <w:r w:rsidRPr="00CF1787">
        <w:rPr>
          <w:rFonts w:eastAsia="Calibri" w:cs="Calibri"/>
          <w:szCs w:val="20"/>
          <w:lang w:eastAsia="en-US"/>
        </w:rPr>
        <w:t xml:space="preserve"> principio de la “cuarta instancia”, así como a la alegada violación del debido proceso en el procedimiento ante la Comisión Interamericana.</w:t>
      </w:r>
      <w:r w:rsidRPr="00CF1787">
        <w:rPr>
          <w:szCs w:val="20"/>
        </w:rPr>
        <w:t xml:space="preserve"> Asimismo, describió los hechos y se opuso a todas las violaciones alegadas. </w:t>
      </w:r>
      <w:bookmarkEnd w:id="101"/>
    </w:p>
    <w:p w14:paraId="33AEBF14" w14:textId="77777777" w:rsidR="0062526E" w:rsidRPr="00CF1787" w:rsidRDefault="0062526E" w:rsidP="0062526E">
      <w:pPr>
        <w:pStyle w:val="NoSpacing"/>
        <w:tabs>
          <w:tab w:val="left" w:pos="567"/>
        </w:tabs>
        <w:rPr>
          <w:szCs w:val="20"/>
          <w:lang w:val="es-CR"/>
        </w:rPr>
      </w:pPr>
    </w:p>
    <w:p w14:paraId="5DE17BC9" w14:textId="458CB5E6" w:rsidR="0062526E" w:rsidRPr="00CF1787" w:rsidRDefault="0062526E" w:rsidP="0062526E">
      <w:pPr>
        <w:pStyle w:val="PrrafodeSentencia"/>
        <w:numPr>
          <w:ilvl w:val="0"/>
          <w:numId w:val="5"/>
        </w:numPr>
        <w:ind w:left="0" w:firstLine="0"/>
        <w:rPr>
          <w:b/>
          <w:szCs w:val="20"/>
        </w:rPr>
      </w:pPr>
      <w:r w:rsidRPr="00CF1787">
        <w:rPr>
          <w:i/>
          <w:szCs w:val="20"/>
        </w:rPr>
        <w:t xml:space="preserve">Observaciones a las excepciones preliminares. – </w:t>
      </w:r>
      <w:r w:rsidRPr="00CF1787">
        <w:rPr>
          <w:szCs w:val="20"/>
        </w:rPr>
        <w:t xml:space="preserve">Los días 4 y 5 de noviembre de 2015 la Comisión y los representantes presentaron, respectivamente, sus observaciones a las excepciones preliminares interpuestas por el Estado. </w:t>
      </w:r>
    </w:p>
    <w:p w14:paraId="422B16E4" w14:textId="77777777" w:rsidR="001C241C" w:rsidRPr="00CF1787" w:rsidRDefault="001C241C" w:rsidP="001C241C">
      <w:pPr>
        <w:rPr>
          <w:lang w:val="es-CR" w:eastAsia="es-MX"/>
        </w:rPr>
      </w:pPr>
    </w:p>
    <w:p w14:paraId="2E56C59B" w14:textId="66FB7D97" w:rsidR="0062526E" w:rsidRPr="00CF1787" w:rsidRDefault="0062526E" w:rsidP="00303020">
      <w:pPr>
        <w:pStyle w:val="NoSpacing"/>
        <w:numPr>
          <w:ilvl w:val="0"/>
          <w:numId w:val="5"/>
        </w:numPr>
        <w:tabs>
          <w:tab w:val="left" w:pos="567"/>
        </w:tabs>
        <w:ind w:left="0" w:firstLine="0"/>
        <w:rPr>
          <w:szCs w:val="20"/>
          <w:lang w:val="es-CR"/>
        </w:rPr>
      </w:pPr>
      <w:bookmarkStart w:id="102" w:name="_Ref457915339"/>
      <w:r w:rsidRPr="00CF1787">
        <w:rPr>
          <w:i/>
          <w:szCs w:val="20"/>
          <w:lang w:val="es-CR"/>
        </w:rPr>
        <w:t xml:space="preserve">Audiencia Pública. - </w:t>
      </w:r>
      <w:bookmarkStart w:id="103" w:name="_Ref354147731"/>
      <w:r w:rsidRPr="00CF1787">
        <w:rPr>
          <w:szCs w:val="20"/>
          <w:lang w:val="es-CR"/>
        </w:rPr>
        <w:t>El 9 de marzo de 2016 el Presidente emitió una Resolución</w:t>
      </w:r>
      <w:bookmarkStart w:id="104" w:name="_Ref424783166"/>
      <w:r w:rsidRPr="00CF1787">
        <w:rPr>
          <w:rStyle w:val="FootnoteReference"/>
          <w:sz w:val="20"/>
          <w:szCs w:val="20"/>
          <w:lang w:val="es-CR"/>
        </w:rPr>
        <w:footnoteReference w:id="3"/>
      </w:r>
      <w:bookmarkEnd w:id="104"/>
      <w:r w:rsidRPr="00CF1787">
        <w:rPr>
          <w:szCs w:val="20"/>
          <w:lang w:val="es-CR"/>
        </w:rPr>
        <w:t xml:space="preserve"> mediante la cual convocó al Estado, los representantes y a la Comisión Interamericana a la </w:t>
      </w:r>
      <w:r w:rsidRPr="00CF1787">
        <w:rPr>
          <w:szCs w:val="20"/>
          <w:lang w:val="es-CR"/>
        </w:rPr>
        <w:lastRenderedPageBreak/>
        <w:t xml:space="preserve">celebración de una audiencia pública, respecto a las excepciones preliminares y eventuales fondo, reparaciones y costas, para escuchar los alegatos finales orales de las partes, y las observaciones finales orales de la Comisión respecto de dichos temas. </w:t>
      </w:r>
      <w:bookmarkStart w:id="105" w:name="_Ref334952616"/>
      <w:bookmarkStart w:id="106" w:name="_Ref343195762"/>
      <w:bookmarkStart w:id="107" w:name="_Ref340281601"/>
      <w:r w:rsidRPr="00CF1787">
        <w:rPr>
          <w:bCs/>
          <w:szCs w:val="20"/>
          <w:lang w:val="es-CR"/>
        </w:rPr>
        <w:t xml:space="preserve">Asimismo, mediante dicha Resolución se </w:t>
      </w:r>
      <w:r w:rsidRPr="00CF1787">
        <w:rPr>
          <w:szCs w:val="20"/>
          <w:lang w:val="es-CR"/>
        </w:rPr>
        <w:t>ordenó recibir declaraciones rendidas ante fedatario público (afidávit) de cuatro testigos y un perito, las cuales fueron presentadas por los representantes y la Comisión los días 12 y 15 de abril de 2016, respectivamente.</w:t>
      </w:r>
      <w:r w:rsidRPr="00CF1787">
        <w:rPr>
          <w:b/>
          <w:bCs/>
          <w:szCs w:val="20"/>
          <w:lang w:val="es-CR"/>
        </w:rPr>
        <w:t xml:space="preserve"> </w:t>
      </w:r>
      <w:r w:rsidRPr="00CF1787">
        <w:rPr>
          <w:bCs/>
          <w:szCs w:val="20"/>
          <w:lang w:val="es-CR"/>
        </w:rPr>
        <w:t xml:space="preserve">Las partes </w:t>
      </w:r>
      <w:r w:rsidRPr="00CF1787">
        <w:rPr>
          <w:szCs w:val="20"/>
          <w:lang w:val="es-CR"/>
        </w:rPr>
        <w:t xml:space="preserve">tuvieron oportunidad de formular preguntas y observaciones a los declarantes ofrecidos por la contraparte y la Comisión. Adicionalmente, mediante la referida resolución, se convocó a declarar en la audiencia pública a una presunta víctima y un perito, ambos propuestos por los representantes. La audiencia pública fue celebrada el 25 de agosto de 2016 durante el 55 Período Extraordinario de Sesiones de </w:t>
      </w:r>
      <w:r w:rsidR="008D6ECB" w:rsidRPr="00CF1787">
        <w:rPr>
          <w:szCs w:val="20"/>
          <w:lang w:val="es-CR"/>
        </w:rPr>
        <w:t>la Corte, llevado a cabo en la C</w:t>
      </w:r>
      <w:r w:rsidRPr="00CF1787">
        <w:rPr>
          <w:szCs w:val="20"/>
          <w:lang w:val="es-CR"/>
        </w:rPr>
        <w:t>iudad de México, México</w:t>
      </w:r>
      <w:r w:rsidRPr="00CF1787">
        <w:rPr>
          <w:szCs w:val="20"/>
          <w:vertAlign w:val="superscript"/>
          <w:lang w:val="es-CR"/>
        </w:rPr>
        <w:footnoteReference w:id="4"/>
      </w:r>
      <w:r w:rsidRPr="00CF1787">
        <w:rPr>
          <w:szCs w:val="20"/>
          <w:lang w:val="es-CR"/>
        </w:rPr>
        <w:t xml:space="preserve">. </w:t>
      </w:r>
      <w:bookmarkStart w:id="108" w:name="_Ref343195764"/>
      <w:bookmarkEnd w:id="105"/>
      <w:bookmarkEnd w:id="106"/>
      <w:bookmarkEnd w:id="107"/>
      <w:r w:rsidRPr="00CF1787">
        <w:rPr>
          <w:szCs w:val="20"/>
          <w:lang w:val="es-CR"/>
        </w:rPr>
        <w:t>En el curso de dicha audiencia los Jueces de la Corte solicitaron cierta información y explicaciones.</w:t>
      </w:r>
      <w:bookmarkEnd w:id="102"/>
      <w:bookmarkEnd w:id="108"/>
    </w:p>
    <w:p w14:paraId="51E7A140" w14:textId="77777777" w:rsidR="0062526E" w:rsidRPr="00CF1787" w:rsidRDefault="0062526E" w:rsidP="0062526E">
      <w:pPr>
        <w:pStyle w:val="NoSpacing"/>
        <w:tabs>
          <w:tab w:val="left" w:pos="567"/>
        </w:tabs>
        <w:rPr>
          <w:szCs w:val="20"/>
          <w:lang w:val="es-CR"/>
        </w:rPr>
      </w:pPr>
    </w:p>
    <w:p w14:paraId="3E21FB34" w14:textId="2768CF1C" w:rsidR="0062526E" w:rsidRPr="00CF1787" w:rsidRDefault="0062526E" w:rsidP="00303020">
      <w:pPr>
        <w:pStyle w:val="NoSpacing"/>
        <w:numPr>
          <w:ilvl w:val="0"/>
          <w:numId w:val="5"/>
        </w:numPr>
        <w:tabs>
          <w:tab w:val="left" w:pos="567"/>
        </w:tabs>
        <w:ind w:left="0" w:firstLine="0"/>
        <w:rPr>
          <w:spacing w:val="-2"/>
          <w:szCs w:val="20"/>
          <w:u w:val="single"/>
          <w:lang w:val="es-CR"/>
        </w:rPr>
      </w:pPr>
      <w:bookmarkStart w:id="109" w:name="_Ref470090988"/>
      <w:r w:rsidRPr="00CF1787">
        <w:rPr>
          <w:i/>
          <w:spacing w:val="-2"/>
          <w:szCs w:val="20"/>
          <w:lang w:val="es-CR"/>
        </w:rPr>
        <w:t xml:space="preserve">Alegatos y observaciones finales escritos. </w:t>
      </w:r>
      <w:bookmarkStart w:id="110" w:name="_Ref374884810"/>
      <w:bookmarkStart w:id="111" w:name="_Ref367791100"/>
      <w:bookmarkEnd w:id="103"/>
      <w:r w:rsidRPr="00CF1787">
        <w:rPr>
          <w:i/>
          <w:spacing w:val="-2"/>
          <w:szCs w:val="20"/>
          <w:lang w:val="es-CR"/>
        </w:rPr>
        <w:t>-</w:t>
      </w:r>
      <w:r w:rsidRPr="00CF1787">
        <w:rPr>
          <w:szCs w:val="20"/>
          <w:lang w:val="es-CR"/>
        </w:rPr>
        <w:t xml:space="preserve"> El 2</w:t>
      </w:r>
      <w:r w:rsidR="001108A1" w:rsidRPr="00CF1787">
        <w:rPr>
          <w:szCs w:val="20"/>
          <w:lang w:val="es-CR"/>
        </w:rPr>
        <w:t>3, 25 y 26</w:t>
      </w:r>
      <w:r w:rsidRPr="00CF1787">
        <w:rPr>
          <w:szCs w:val="20"/>
          <w:lang w:val="es-CR"/>
        </w:rPr>
        <w:t xml:space="preserve"> de septiembre de 2016 las partes y la Comisión presentaron sus alegatos y observaciones finales escritos, respectivamente. </w:t>
      </w:r>
      <w:r w:rsidRPr="00CF1787">
        <w:rPr>
          <w:rFonts w:eastAsia="Times New Roman"/>
          <w:color w:val="000000"/>
          <w:szCs w:val="20"/>
          <w:lang w:val="es-CR"/>
        </w:rPr>
        <w:t>Junto con sus alegatos finales escritos</w:t>
      </w:r>
      <w:r w:rsidRPr="00CF1787">
        <w:rPr>
          <w:szCs w:val="20"/>
          <w:lang w:val="es-CR"/>
        </w:rPr>
        <w:t xml:space="preserve"> las partes presentaron parte de la información, explicaciones y prueba para mejor resolver solicitadas por los jueces de este Tribunal (</w:t>
      </w:r>
      <w:r w:rsidRPr="00CF1787">
        <w:rPr>
          <w:i/>
          <w:iCs/>
          <w:szCs w:val="20"/>
          <w:lang w:val="es-CR"/>
        </w:rPr>
        <w:t>supra</w:t>
      </w:r>
      <w:r w:rsidRPr="00CF1787">
        <w:rPr>
          <w:szCs w:val="20"/>
          <w:lang w:val="es-CR"/>
        </w:rPr>
        <w:t xml:space="preserve"> párr. </w:t>
      </w:r>
      <w:r w:rsidR="001D29E7" w:rsidRPr="00CF1787">
        <w:fldChar w:fldCharType="begin"/>
      </w:r>
      <w:r w:rsidR="001D29E7" w:rsidRPr="00CF1787">
        <w:instrText xml:space="preserve"> REF _Ref457915339 \r \h  \* MERGEFORMAT </w:instrText>
      </w:r>
      <w:r w:rsidR="001D29E7" w:rsidRPr="00CF1787">
        <w:fldChar w:fldCharType="separate"/>
      </w:r>
      <w:r w:rsidR="00536893">
        <w:t>9</w:t>
      </w:r>
      <w:r w:rsidR="001D29E7" w:rsidRPr="00CF1787">
        <w:fldChar w:fldCharType="end"/>
      </w:r>
      <w:r w:rsidRPr="00CF1787">
        <w:rPr>
          <w:szCs w:val="20"/>
          <w:lang w:val="es-CR"/>
        </w:rPr>
        <w:t xml:space="preserve">), así como determinada documentación. </w:t>
      </w:r>
      <w:r w:rsidRPr="00CF1787">
        <w:rPr>
          <w:bCs/>
          <w:szCs w:val="20"/>
          <w:lang w:val="es-CR"/>
        </w:rPr>
        <w:t>E</w:t>
      </w:r>
      <w:r w:rsidRPr="00CF1787">
        <w:rPr>
          <w:rFonts w:eastAsia="Times New Roman"/>
          <w:color w:val="000000"/>
          <w:szCs w:val="20"/>
          <w:lang w:val="es-CR"/>
        </w:rPr>
        <w:t>l 2</w:t>
      </w:r>
      <w:r w:rsidR="00AA7D4D" w:rsidRPr="00CF1787">
        <w:rPr>
          <w:rFonts w:eastAsia="Times New Roman"/>
          <w:color w:val="000000"/>
          <w:szCs w:val="20"/>
          <w:lang w:val="es-CR"/>
        </w:rPr>
        <w:t>7</w:t>
      </w:r>
      <w:r w:rsidRPr="00CF1787">
        <w:rPr>
          <w:rFonts w:eastAsia="Times New Roman"/>
          <w:color w:val="000000"/>
          <w:szCs w:val="20"/>
          <w:lang w:val="es-CR"/>
        </w:rPr>
        <w:t xml:space="preserve"> de septiembre de 2016 la Secretaría de la Corte, siguiendo instrucciones del Presidente, solicitó a las partes y a la Comisión que presentaran las observaciones que estimaran pertinentes sobre la referida documentación.</w:t>
      </w:r>
      <w:bookmarkEnd w:id="109"/>
      <w:r w:rsidR="00DE7E87" w:rsidRPr="00CF1787">
        <w:rPr>
          <w:rFonts w:eastAsia="Times New Roman"/>
          <w:color w:val="000000"/>
          <w:szCs w:val="20"/>
          <w:lang w:val="es-CR"/>
        </w:rPr>
        <w:t xml:space="preserve"> </w:t>
      </w:r>
    </w:p>
    <w:p w14:paraId="38AEC365" w14:textId="77777777" w:rsidR="0062526E" w:rsidRPr="00CF1787" w:rsidRDefault="0062526E" w:rsidP="0062526E">
      <w:pPr>
        <w:pStyle w:val="NoSpacing"/>
        <w:tabs>
          <w:tab w:val="left" w:pos="567"/>
        </w:tabs>
        <w:rPr>
          <w:i/>
          <w:spacing w:val="-2"/>
          <w:szCs w:val="20"/>
          <w:lang w:val="es-CR"/>
        </w:rPr>
      </w:pPr>
    </w:p>
    <w:p w14:paraId="238ADACD" w14:textId="52E03644" w:rsidR="0062526E" w:rsidRPr="00CF1787" w:rsidRDefault="0062526E" w:rsidP="00303020">
      <w:pPr>
        <w:pStyle w:val="NoSpacing"/>
        <w:numPr>
          <w:ilvl w:val="0"/>
          <w:numId w:val="5"/>
        </w:numPr>
        <w:tabs>
          <w:tab w:val="left" w:pos="567"/>
        </w:tabs>
        <w:ind w:left="0" w:firstLine="0"/>
        <w:rPr>
          <w:szCs w:val="20"/>
          <w:lang w:val="es-CR"/>
        </w:rPr>
      </w:pPr>
      <w:bookmarkStart w:id="112" w:name="_Ref458436753"/>
      <w:r w:rsidRPr="00CF1787">
        <w:rPr>
          <w:i/>
          <w:spacing w:val="-2"/>
          <w:szCs w:val="20"/>
          <w:lang w:val="es-CR"/>
        </w:rPr>
        <w:t>Prueba e información para mejor resolver y prueba superviniente sobre gastos</w:t>
      </w:r>
      <w:r w:rsidRPr="00CF1787">
        <w:rPr>
          <w:spacing w:val="-2"/>
          <w:szCs w:val="20"/>
          <w:lang w:val="es-CR"/>
        </w:rPr>
        <w:t xml:space="preserve">. </w:t>
      </w:r>
      <w:bookmarkStart w:id="113" w:name="_Ref374886052"/>
      <w:bookmarkStart w:id="114" w:name="_Ref368677486"/>
      <w:bookmarkEnd w:id="110"/>
      <w:bookmarkEnd w:id="111"/>
      <w:r w:rsidRPr="00CF1787">
        <w:rPr>
          <w:spacing w:val="-2"/>
          <w:szCs w:val="20"/>
          <w:lang w:val="es-CR"/>
        </w:rPr>
        <w:t xml:space="preserve">– </w:t>
      </w:r>
      <w:r w:rsidRPr="00CF1787">
        <w:rPr>
          <w:szCs w:val="20"/>
          <w:lang w:val="es-CR"/>
        </w:rPr>
        <w:t xml:space="preserve">Los días 25 de febrero y 19 de julio de 2016 el Presidente de la Corte solicitó al Estado y </w:t>
      </w:r>
      <w:r w:rsidR="001023FF" w:rsidRPr="00CF1787">
        <w:rPr>
          <w:szCs w:val="20"/>
          <w:lang w:val="es-CR"/>
        </w:rPr>
        <w:t xml:space="preserve">a </w:t>
      </w:r>
      <w:r w:rsidRPr="00CF1787">
        <w:rPr>
          <w:szCs w:val="20"/>
          <w:lang w:val="es-CR"/>
        </w:rPr>
        <w:t>los representantes la presentación de información y prueba para mejor resolver</w:t>
      </w:r>
      <w:r w:rsidR="00B607F8" w:rsidRPr="00CF1787">
        <w:rPr>
          <w:szCs w:val="20"/>
          <w:lang w:val="es-CR"/>
        </w:rPr>
        <w:t xml:space="preserve">. </w:t>
      </w:r>
      <w:r w:rsidRPr="00CF1787">
        <w:rPr>
          <w:szCs w:val="20"/>
          <w:lang w:val="es-CR"/>
        </w:rPr>
        <w:t xml:space="preserve">Las partes presentaron dicha información y documentación el 4 de marzo, 28 </w:t>
      </w:r>
      <w:r w:rsidR="00536882" w:rsidRPr="00CF1787">
        <w:rPr>
          <w:szCs w:val="20"/>
          <w:lang w:val="es-CR"/>
        </w:rPr>
        <w:t xml:space="preserve">y 29 </w:t>
      </w:r>
      <w:r w:rsidRPr="00CF1787">
        <w:rPr>
          <w:szCs w:val="20"/>
          <w:lang w:val="es-CR"/>
        </w:rPr>
        <w:t>de julio y 11 agosto de 2016.</w:t>
      </w:r>
      <w:bookmarkEnd w:id="112"/>
      <w:r w:rsidR="00536882" w:rsidRPr="00CF1787">
        <w:rPr>
          <w:szCs w:val="20"/>
          <w:lang w:val="es-CR"/>
        </w:rPr>
        <w:t xml:space="preserve"> </w:t>
      </w:r>
    </w:p>
    <w:p w14:paraId="20F8AD89" w14:textId="77777777" w:rsidR="0062526E" w:rsidRPr="00CF1787" w:rsidRDefault="0062526E" w:rsidP="0062526E">
      <w:pPr>
        <w:pStyle w:val="NoSpacing"/>
        <w:tabs>
          <w:tab w:val="left" w:pos="567"/>
        </w:tabs>
        <w:rPr>
          <w:spacing w:val="-2"/>
          <w:szCs w:val="20"/>
          <w:lang w:val="es-CR"/>
        </w:rPr>
      </w:pPr>
    </w:p>
    <w:p w14:paraId="7F262A0C" w14:textId="72B423E3" w:rsidR="0062526E" w:rsidRPr="00CF1787" w:rsidRDefault="0062526E" w:rsidP="00303020">
      <w:pPr>
        <w:pStyle w:val="NoSpacing"/>
        <w:numPr>
          <w:ilvl w:val="0"/>
          <w:numId w:val="5"/>
        </w:numPr>
        <w:tabs>
          <w:tab w:val="left" w:pos="567"/>
        </w:tabs>
        <w:ind w:left="0" w:firstLine="0"/>
        <w:rPr>
          <w:szCs w:val="20"/>
          <w:lang w:val="es-CR"/>
        </w:rPr>
      </w:pPr>
      <w:r w:rsidRPr="00CF1787">
        <w:rPr>
          <w:i/>
          <w:spacing w:val="-2"/>
          <w:szCs w:val="20"/>
          <w:lang w:val="es-CR"/>
        </w:rPr>
        <w:t>Observaciones a la información y prueba para mejor resolver y a la prueba superviniente sobre gastos</w:t>
      </w:r>
      <w:r w:rsidRPr="00CF1787">
        <w:rPr>
          <w:spacing w:val="-2"/>
          <w:szCs w:val="20"/>
          <w:lang w:val="es-CR"/>
        </w:rPr>
        <w:t xml:space="preserve">. </w:t>
      </w:r>
      <w:bookmarkEnd w:id="113"/>
      <w:bookmarkEnd w:id="114"/>
      <w:r w:rsidRPr="00CF1787">
        <w:rPr>
          <w:spacing w:val="-2"/>
          <w:szCs w:val="20"/>
          <w:lang w:val="es-CR"/>
        </w:rPr>
        <w:t>–</w:t>
      </w:r>
      <w:r w:rsidRPr="00CF1787">
        <w:rPr>
          <w:b/>
          <w:spacing w:val="-2"/>
          <w:szCs w:val="20"/>
          <w:lang w:val="es-CR"/>
        </w:rPr>
        <w:t xml:space="preserve"> </w:t>
      </w:r>
      <w:r w:rsidRPr="00CF1787">
        <w:rPr>
          <w:spacing w:val="-2"/>
          <w:szCs w:val="20"/>
          <w:lang w:val="es-CR"/>
        </w:rPr>
        <w:t xml:space="preserve">Las partes y la </w:t>
      </w:r>
      <w:r w:rsidRPr="00CF1787">
        <w:rPr>
          <w:szCs w:val="20"/>
          <w:lang w:val="es-CR"/>
        </w:rPr>
        <w:t xml:space="preserve">Comisión presentaron sus observaciones a la documentación presentada por el Estado </w:t>
      </w:r>
      <w:r w:rsidR="00D95999" w:rsidRPr="00CF1787">
        <w:rPr>
          <w:szCs w:val="20"/>
          <w:lang w:val="es-CR"/>
        </w:rPr>
        <w:t>y los representantes (</w:t>
      </w:r>
      <w:r w:rsidR="00D95999" w:rsidRPr="00CF1787">
        <w:rPr>
          <w:i/>
          <w:szCs w:val="20"/>
          <w:lang w:val="es-CR"/>
        </w:rPr>
        <w:t xml:space="preserve">supra </w:t>
      </w:r>
      <w:r w:rsidR="00D95999" w:rsidRPr="00CF1787">
        <w:rPr>
          <w:szCs w:val="20"/>
          <w:lang w:val="es-CR"/>
        </w:rPr>
        <w:t xml:space="preserve">párr. </w:t>
      </w:r>
      <w:r w:rsidR="00D95999" w:rsidRPr="00CF1787">
        <w:rPr>
          <w:szCs w:val="20"/>
          <w:lang w:val="es-CR"/>
        </w:rPr>
        <w:fldChar w:fldCharType="begin"/>
      </w:r>
      <w:r w:rsidR="00D95999" w:rsidRPr="00CF1787">
        <w:rPr>
          <w:szCs w:val="20"/>
          <w:lang w:val="es-CR"/>
        </w:rPr>
        <w:instrText xml:space="preserve"> REF _Ref458436753 \r \h </w:instrText>
      </w:r>
      <w:r w:rsidR="00CF1787">
        <w:rPr>
          <w:szCs w:val="20"/>
          <w:lang w:val="es-CR"/>
        </w:rPr>
        <w:instrText xml:space="preserve"> \* MERGEFORMAT </w:instrText>
      </w:r>
      <w:r w:rsidR="00D95999" w:rsidRPr="00CF1787">
        <w:rPr>
          <w:szCs w:val="20"/>
          <w:lang w:val="es-CR"/>
        </w:rPr>
      </w:r>
      <w:r w:rsidR="00D95999" w:rsidRPr="00CF1787">
        <w:rPr>
          <w:szCs w:val="20"/>
          <w:lang w:val="es-CR"/>
        </w:rPr>
        <w:fldChar w:fldCharType="separate"/>
      </w:r>
      <w:r w:rsidR="00536893">
        <w:rPr>
          <w:szCs w:val="20"/>
          <w:lang w:val="es-CR"/>
        </w:rPr>
        <w:t>11</w:t>
      </w:r>
      <w:r w:rsidR="00D95999" w:rsidRPr="00CF1787">
        <w:rPr>
          <w:szCs w:val="20"/>
          <w:lang w:val="es-CR"/>
        </w:rPr>
        <w:fldChar w:fldCharType="end"/>
      </w:r>
      <w:r w:rsidR="00D95999" w:rsidRPr="00CF1787">
        <w:rPr>
          <w:szCs w:val="20"/>
          <w:lang w:val="es-CR"/>
        </w:rPr>
        <w:t xml:space="preserve">) </w:t>
      </w:r>
      <w:r w:rsidRPr="00CF1787">
        <w:rPr>
          <w:szCs w:val="20"/>
          <w:lang w:val="es-CR"/>
        </w:rPr>
        <w:t xml:space="preserve">junto con sus alegatos y observaciones </w:t>
      </w:r>
      <w:r w:rsidR="00D95999" w:rsidRPr="00CF1787">
        <w:rPr>
          <w:szCs w:val="20"/>
          <w:lang w:val="es-CR"/>
        </w:rPr>
        <w:t>finales escritos.</w:t>
      </w:r>
      <w:r w:rsidR="00F067FC" w:rsidRPr="00CF1787">
        <w:rPr>
          <w:szCs w:val="20"/>
          <w:lang w:val="es-CR"/>
        </w:rPr>
        <w:t xml:space="preserve"> </w:t>
      </w:r>
      <w:r w:rsidRPr="00CF1787">
        <w:rPr>
          <w:szCs w:val="20"/>
          <w:lang w:val="es-CR"/>
        </w:rPr>
        <w:t xml:space="preserve">Adicionalmente, </w:t>
      </w:r>
      <w:r w:rsidR="00A923E9" w:rsidRPr="00CF1787">
        <w:rPr>
          <w:szCs w:val="20"/>
          <w:lang w:val="es-CR"/>
        </w:rPr>
        <w:t xml:space="preserve">los días </w:t>
      </w:r>
      <w:r w:rsidR="00AA7D4D" w:rsidRPr="00CF1787">
        <w:rPr>
          <w:szCs w:val="20"/>
          <w:lang w:val="es-CR"/>
        </w:rPr>
        <w:t>5</w:t>
      </w:r>
      <w:r w:rsidRPr="00CF1787">
        <w:rPr>
          <w:szCs w:val="20"/>
          <w:lang w:val="es-CR"/>
        </w:rPr>
        <w:t xml:space="preserve"> </w:t>
      </w:r>
      <w:r w:rsidR="00D36960" w:rsidRPr="00CF1787">
        <w:rPr>
          <w:szCs w:val="20"/>
          <w:lang w:val="es-CR"/>
        </w:rPr>
        <w:t xml:space="preserve">y 13 </w:t>
      </w:r>
      <w:r w:rsidRPr="00CF1787">
        <w:rPr>
          <w:szCs w:val="20"/>
          <w:lang w:val="es-CR"/>
        </w:rPr>
        <w:t xml:space="preserve">de </w:t>
      </w:r>
      <w:r w:rsidR="00AA7D4D" w:rsidRPr="00CF1787">
        <w:rPr>
          <w:szCs w:val="20"/>
          <w:lang w:val="es-CR"/>
        </w:rPr>
        <w:t>octubre</w:t>
      </w:r>
      <w:r w:rsidRPr="00CF1787">
        <w:rPr>
          <w:szCs w:val="20"/>
          <w:lang w:val="es-CR"/>
        </w:rPr>
        <w:t xml:space="preserve"> de 2016 </w:t>
      </w:r>
      <w:r w:rsidR="00AA7818" w:rsidRPr="00CF1787">
        <w:rPr>
          <w:szCs w:val="20"/>
          <w:lang w:val="es-CR"/>
        </w:rPr>
        <w:t xml:space="preserve">el Estado </w:t>
      </w:r>
      <w:r w:rsidR="00D36960" w:rsidRPr="00CF1787">
        <w:rPr>
          <w:szCs w:val="20"/>
          <w:lang w:val="es-CR"/>
        </w:rPr>
        <w:t>y la Comisión</w:t>
      </w:r>
      <w:r w:rsidR="00AA7818" w:rsidRPr="00CF1787">
        <w:rPr>
          <w:szCs w:val="20"/>
          <w:lang w:val="es-CR"/>
        </w:rPr>
        <w:t>, respectivamente,</w:t>
      </w:r>
      <w:r w:rsidR="00D36960" w:rsidRPr="00CF1787">
        <w:rPr>
          <w:szCs w:val="20"/>
          <w:lang w:val="es-CR"/>
        </w:rPr>
        <w:t xml:space="preserve"> </w:t>
      </w:r>
      <w:r w:rsidRPr="00CF1787">
        <w:rPr>
          <w:szCs w:val="20"/>
          <w:lang w:val="es-CR"/>
        </w:rPr>
        <w:t xml:space="preserve">presentaron sus observaciones a la documentación presentada por </w:t>
      </w:r>
      <w:r w:rsidR="00D95999" w:rsidRPr="00CF1787">
        <w:rPr>
          <w:szCs w:val="20"/>
          <w:lang w:val="es-CR"/>
        </w:rPr>
        <w:t>los representantes y el Estado</w:t>
      </w:r>
      <w:r w:rsidRPr="00CF1787">
        <w:rPr>
          <w:szCs w:val="20"/>
          <w:lang w:val="es-CR"/>
        </w:rPr>
        <w:t xml:space="preserve"> junto con sus alegatos finales escritos</w:t>
      </w:r>
      <w:r w:rsidR="00AA7818" w:rsidRPr="00CF1787">
        <w:rPr>
          <w:rStyle w:val="FootnoteReference"/>
          <w:sz w:val="20"/>
          <w:szCs w:val="20"/>
          <w:lang w:val="es-CR"/>
        </w:rPr>
        <w:footnoteReference w:id="5"/>
      </w:r>
      <w:r w:rsidRPr="00CF1787">
        <w:rPr>
          <w:szCs w:val="20"/>
          <w:lang w:val="es-CR"/>
        </w:rPr>
        <w:t>.</w:t>
      </w:r>
      <w:r w:rsidR="00AB1632" w:rsidRPr="00CF1787">
        <w:rPr>
          <w:szCs w:val="20"/>
          <w:lang w:val="es-CR"/>
        </w:rPr>
        <w:t xml:space="preserve"> </w:t>
      </w:r>
    </w:p>
    <w:p w14:paraId="762800EC" w14:textId="77777777" w:rsidR="0062526E" w:rsidRPr="00CF1787" w:rsidRDefault="0062526E" w:rsidP="0062526E">
      <w:pPr>
        <w:pStyle w:val="NoSpacing"/>
        <w:tabs>
          <w:tab w:val="left" w:pos="567"/>
        </w:tabs>
        <w:rPr>
          <w:szCs w:val="20"/>
          <w:lang w:val="es-CR"/>
        </w:rPr>
      </w:pPr>
    </w:p>
    <w:p w14:paraId="77B85398" w14:textId="77777777" w:rsidR="00564A81" w:rsidRPr="00CF1787" w:rsidRDefault="0062526E" w:rsidP="00564A81">
      <w:pPr>
        <w:pStyle w:val="NoSpacing"/>
        <w:numPr>
          <w:ilvl w:val="0"/>
          <w:numId w:val="5"/>
        </w:numPr>
        <w:tabs>
          <w:tab w:val="left" w:pos="567"/>
        </w:tabs>
        <w:ind w:left="0" w:firstLine="0"/>
        <w:rPr>
          <w:spacing w:val="-2"/>
          <w:szCs w:val="20"/>
          <w:lang w:val="es-CR"/>
        </w:rPr>
      </w:pPr>
      <w:r w:rsidRPr="00CF1787">
        <w:rPr>
          <w:i/>
          <w:spacing w:val="-2"/>
          <w:szCs w:val="20"/>
          <w:lang w:val="es-CR" w:eastAsia="es-CR"/>
        </w:rPr>
        <w:t>Deliberación del presente caso. -</w:t>
      </w:r>
      <w:r w:rsidRPr="00CF1787">
        <w:rPr>
          <w:rFonts w:cs="Verdana"/>
          <w:i/>
          <w:spacing w:val="-4"/>
          <w:szCs w:val="20"/>
          <w:lang w:val="es-CR" w:eastAsia="es-CR"/>
        </w:rPr>
        <w:t xml:space="preserve"> </w:t>
      </w:r>
      <w:r w:rsidRPr="00CF1787">
        <w:rPr>
          <w:rFonts w:cs="Verdana"/>
          <w:spacing w:val="-4"/>
          <w:szCs w:val="20"/>
          <w:lang w:val="es-CR" w:eastAsia="es-CR"/>
        </w:rPr>
        <w:t xml:space="preserve">La Corte inició la deliberación de la presente Sentencia el </w:t>
      </w:r>
      <w:r w:rsidR="00755CA3" w:rsidRPr="00CF1787">
        <w:rPr>
          <w:rFonts w:cs="Verdana"/>
          <w:spacing w:val="-4"/>
          <w:szCs w:val="20"/>
          <w:lang w:val="es-CR" w:eastAsia="es-CR"/>
        </w:rPr>
        <w:t xml:space="preserve">23 de noviembre </w:t>
      </w:r>
      <w:r w:rsidRPr="00CF1787">
        <w:rPr>
          <w:rFonts w:cs="Verdana"/>
          <w:spacing w:val="-4"/>
          <w:szCs w:val="20"/>
          <w:lang w:val="es-CR" w:eastAsia="es-CR"/>
        </w:rPr>
        <w:t>de 2016.</w:t>
      </w:r>
      <w:bookmarkStart w:id="115" w:name="_Toc375560910"/>
      <w:bookmarkStart w:id="116" w:name="_Toc395213496"/>
      <w:bookmarkStart w:id="117" w:name="_Toc396514853"/>
      <w:bookmarkStart w:id="118" w:name="_Toc405857803"/>
    </w:p>
    <w:p w14:paraId="756BE3C7" w14:textId="77777777" w:rsidR="00564A81" w:rsidRPr="00CF1787" w:rsidRDefault="00564A81" w:rsidP="00564A81">
      <w:pPr>
        <w:pStyle w:val="NoSpacing"/>
        <w:tabs>
          <w:tab w:val="left" w:pos="567"/>
        </w:tabs>
        <w:rPr>
          <w:szCs w:val="20"/>
          <w:lang w:val="es-CR"/>
        </w:rPr>
      </w:pPr>
    </w:p>
    <w:p w14:paraId="6250FCAA" w14:textId="77777777" w:rsidR="00D334A9" w:rsidRPr="00CF1787" w:rsidRDefault="00D334A9" w:rsidP="00564A81">
      <w:pPr>
        <w:pStyle w:val="NoSpacing"/>
        <w:tabs>
          <w:tab w:val="left" w:pos="567"/>
        </w:tabs>
        <w:rPr>
          <w:szCs w:val="20"/>
          <w:lang w:val="es-CR"/>
        </w:rPr>
      </w:pPr>
    </w:p>
    <w:p w14:paraId="57F9EA9C" w14:textId="77777777" w:rsidR="00D334A9" w:rsidRPr="00CF1787" w:rsidRDefault="00D334A9" w:rsidP="00564A81">
      <w:pPr>
        <w:pStyle w:val="NoSpacing"/>
        <w:tabs>
          <w:tab w:val="left" w:pos="567"/>
        </w:tabs>
        <w:rPr>
          <w:szCs w:val="20"/>
          <w:lang w:val="es-CR"/>
        </w:rPr>
      </w:pPr>
    </w:p>
    <w:p w14:paraId="470E4958" w14:textId="77777777" w:rsidR="00564A81" w:rsidRPr="00CF1787" w:rsidRDefault="00564A81" w:rsidP="00564A81">
      <w:pPr>
        <w:pStyle w:val="Heading1"/>
        <w:tabs>
          <w:tab w:val="left" w:pos="567"/>
        </w:tabs>
        <w:rPr>
          <w:snapToGrid w:val="0"/>
          <w:spacing w:val="-4"/>
          <w:lang w:val="es-CR"/>
        </w:rPr>
      </w:pPr>
      <w:bookmarkStart w:id="119" w:name="_Toc424834682"/>
      <w:bookmarkStart w:id="120" w:name="_Toc427932788"/>
      <w:bookmarkStart w:id="121" w:name="_Toc431584605"/>
      <w:bookmarkStart w:id="122" w:name="_Toc434850393"/>
      <w:bookmarkStart w:id="123" w:name="_Toc465177353"/>
      <w:bookmarkStart w:id="124" w:name="_Toc470098026"/>
      <w:r w:rsidRPr="00CF1787">
        <w:rPr>
          <w:snapToGrid w:val="0"/>
          <w:spacing w:val="-4"/>
          <w:lang w:val="es-CR"/>
        </w:rPr>
        <w:lastRenderedPageBreak/>
        <w:t>III</w:t>
      </w:r>
      <w:bookmarkEnd w:id="119"/>
      <w:bookmarkEnd w:id="120"/>
      <w:bookmarkEnd w:id="121"/>
      <w:bookmarkEnd w:id="122"/>
      <w:bookmarkEnd w:id="123"/>
      <w:bookmarkEnd w:id="124"/>
    </w:p>
    <w:p w14:paraId="0A209F25" w14:textId="77777777" w:rsidR="00564A81" w:rsidRPr="00CF1787" w:rsidRDefault="00564A81" w:rsidP="00AB466B">
      <w:pPr>
        <w:pStyle w:val="Heading1"/>
        <w:tabs>
          <w:tab w:val="left" w:pos="567"/>
        </w:tabs>
        <w:rPr>
          <w:strike/>
          <w:snapToGrid w:val="0"/>
          <w:spacing w:val="-4"/>
          <w:lang w:val="es-CR"/>
        </w:rPr>
      </w:pPr>
      <w:bookmarkStart w:id="125" w:name="_Toc375062724"/>
      <w:bookmarkStart w:id="126" w:name="_Toc375140874"/>
      <w:bookmarkStart w:id="127" w:name="_Toc375504833"/>
      <w:bookmarkStart w:id="128" w:name="_Toc375560907"/>
      <w:bookmarkStart w:id="129" w:name="_Toc395213493"/>
      <w:bookmarkStart w:id="130" w:name="_Toc396514850"/>
      <w:bookmarkStart w:id="131" w:name="_Toc396515126"/>
      <w:bookmarkStart w:id="132" w:name="_Toc402039405"/>
      <w:bookmarkStart w:id="133" w:name="_Toc403670648"/>
      <w:bookmarkStart w:id="134" w:name="_Toc403671384"/>
      <w:bookmarkStart w:id="135" w:name="_Toc405774576"/>
      <w:bookmarkStart w:id="136" w:name="_Toc405857779"/>
      <w:bookmarkStart w:id="137" w:name="_Toc424833999"/>
      <w:bookmarkStart w:id="138" w:name="_Toc424834683"/>
      <w:bookmarkStart w:id="139" w:name="_Toc424834750"/>
      <w:bookmarkStart w:id="140" w:name="_Toc427234538"/>
      <w:bookmarkStart w:id="141" w:name="_Toc427342827"/>
      <w:bookmarkStart w:id="142" w:name="_Toc427663813"/>
      <w:bookmarkStart w:id="143" w:name="_Toc427932789"/>
      <w:bookmarkStart w:id="144" w:name="_Toc427943552"/>
      <w:bookmarkStart w:id="145" w:name="_Toc427943726"/>
      <w:bookmarkStart w:id="146" w:name="_Toc431584606"/>
      <w:bookmarkStart w:id="147" w:name="_Toc431584722"/>
      <w:bookmarkStart w:id="148" w:name="_Toc431585027"/>
      <w:bookmarkStart w:id="149" w:name="_Toc431646544"/>
      <w:bookmarkStart w:id="150" w:name="_Toc431834623"/>
      <w:bookmarkStart w:id="151" w:name="_Toc308537928"/>
      <w:bookmarkStart w:id="152" w:name="_Toc308538148"/>
      <w:bookmarkStart w:id="153" w:name="_Toc434849915"/>
      <w:bookmarkStart w:id="154" w:name="_Toc434850394"/>
      <w:bookmarkStart w:id="155" w:name="_Toc461791309"/>
      <w:bookmarkStart w:id="156" w:name="_Toc461795993"/>
      <w:bookmarkStart w:id="157" w:name="_Toc462157389"/>
      <w:bookmarkStart w:id="158" w:name="_Toc462157885"/>
      <w:bookmarkStart w:id="159" w:name="_Toc462869975"/>
      <w:bookmarkStart w:id="160" w:name="_Toc462934227"/>
      <w:bookmarkStart w:id="161" w:name="_Toc465177354"/>
      <w:bookmarkStart w:id="162" w:name="_Toc465184254"/>
      <w:bookmarkStart w:id="163" w:name="_Toc467854784"/>
      <w:bookmarkStart w:id="164" w:name="_Toc468281902"/>
      <w:bookmarkStart w:id="165" w:name="_Toc470001194"/>
      <w:bookmarkStart w:id="166" w:name="_Toc470098027"/>
      <w:r w:rsidRPr="00CF1787">
        <w:rPr>
          <w:snapToGrid w:val="0"/>
          <w:spacing w:val="-4"/>
          <w:lang w:val="es-CR"/>
        </w:rPr>
        <w:t>COMPETENCIA</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08610AE" w14:textId="77777777" w:rsidR="00564A81" w:rsidRPr="00CF1787" w:rsidRDefault="00564A81" w:rsidP="00564A81">
      <w:pPr>
        <w:pStyle w:val="NoSpacing"/>
        <w:tabs>
          <w:tab w:val="left" w:pos="567"/>
        </w:tabs>
        <w:rPr>
          <w:lang w:val="es-CR"/>
        </w:rPr>
      </w:pPr>
    </w:p>
    <w:p w14:paraId="523AAC91" w14:textId="77777777" w:rsidR="00564A81" w:rsidRPr="00CF1787" w:rsidRDefault="0005622D" w:rsidP="00564A81">
      <w:pPr>
        <w:pStyle w:val="NoSpacing"/>
        <w:numPr>
          <w:ilvl w:val="0"/>
          <w:numId w:val="5"/>
        </w:numPr>
        <w:tabs>
          <w:tab w:val="left" w:pos="567"/>
        </w:tabs>
        <w:ind w:left="0" w:firstLine="0"/>
        <w:rPr>
          <w:spacing w:val="-2"/>
          <w:lang w:val="es-CR"/>
        </w:rPr>
      </w:pPr>
      <w:bookmarkStart w:id="167" w:name="_Ref333836398"/>
      <w:r w:rsidRPr="00CF1787">
        <w:rPr>
          <w:lang w:val="es-CR"/>
        </w:rPr>
        <w:t xml:space="preserve">La Corte es competente para conocer el presente caso, en los términos del artículo </w:t>
      </w:r>
      <w:r w:rsidR="00367D10" w:rsidRPr="00CF1787">
        <w:rPr>
          <w:lang w:val="es-CR"/>
        </w:rPr>
        <w:t>6</w:t>
      </w:r>
      <w:r w:rsidRPr="00CF1787">
        <w:rPr>
          <w:lang w:val="es-CR"/>
        </w:rPr>
        <w:t>2.3 de la Convención, en razón de que el Ecuador es Estado Parte en la Convención Americana desde el 28 de diciembre de 1977 y reconoció la competencia contenciosa de la Corte el 24 de julio de 1984.</w:t>
      </w:r>
      <w:bookmarkStart w:id="168" w:name="_Ref443549042"/>
      <w:bookmarkStart w:id="169" w:name="_Ref299566485"/>
      <w:bookmarkEnd w:id="167"/>
    </w:p>
    <w:p w14:paraId="2FFB09D9" w14:textId="77777777" w:rsidR="00564A81" w:rsidRPr="00CF1787" w:rsidRDefault="00564A81" w:rsidP="00D95999">
      <w:pPr>
        <w:pStyle w:val="Header"/>
        <w:tabs>
          <w:tab w:val="clear" w:pos="4252"/>
          <w:tab w:val="clear" w:pos="8504"/>
          <w:tab w:val="left" w:pos="567"/>
        </w:tabs>
        <w:rPr>
          <w:lang w:val="es-CR"/>
        </w:rPr>
      </w:pPr>
    </w:p>
    <w:p w14:paraId="4CB59522" w14:textId="77777777" w:rsidR="00564A81" w:rsidRPr="00CF1787" w:rsidRDefault="00564A81" w:rsidP="00AE0D5E">
      <w:pPr>
        <w:pStyle w:val="Heading1"/>
        <w:rPr>
          <w:lang w:val="es-CR"/>
        </w:rPr>
      </w:pPr>
      <w:bookmarkStart w:id="170" w:name="_Toc418912586"/>
      <w:bookmarkStart w:id="171" w:name="_Toc419394368"/>
      <w:bookmarkStart w:id="172" w:name="_Toc429490234"/>
      <w:bookmarkStart w:id="173" w:name="_Toc465177355"/>
      <w:bookmarkStart w:id="174" w:name="_Toc470098028"/>
      <w:r w:rsidRPr="00CF1787">
        <w:rPr>
          <w:lang w:val="es-CR"/>
        </w:rPr>
        <w:t>IV</w:t>
      </w:r>
      <w:bookmarkEnd w:id="170"/>
      <w:bookmarkEnd w:id="171"/>
      <w:bookmarkEnd w:id="172"/>
      <w:bookmarkEnd w:id="173"/>
      <w:bookmarkEnd w:id="174"/>
    </w:p>
    <w:p w14:paraId="6D27283E" w14:textId="77777777" w:rsidR="00564A81" w:rsidRPr="00CF1787" w:rsidRDefault="00564A81" w:rsidP="00AE0D5E">
      <w:pPr>
        <w:pStyle w:val="Heading1"/>
        <w:rPr>
          <w:lang w:val="es-CR"/>
        </w:rPr>
      </w:pPr>
      <w:bookmarkStart w:id="175" w:name="_Toc418503863"/>
      <w:bookmarkStart w:id="176" w:name="_Toc418912587"/>
      <w:bookmarkStart w:id="177" w:name="_Toc418912788"/>
      <w:bookmarkStart w:id="178" w:name="_Toc419394369"/>
      <w:bookmarkStart w:id="179" w:name="_Toc419394704"/>
      <w:bookmarkStart w:id="180" w:name="_Toc419469668"/>
      <w:bookmarkStart w:id="181" w:name="_Toc419470135"/>
      <w:bookmarkStart w:id="182" w:name="_Toc423359697"/>
      <w:bookmarkStart w:id="183" w:name="_Toc423360973"/>
      <w:bookmarkStart w:id="184" w:name="_Toc429490235"/>
      <w:bookmarkStart w:id="185" w:name="_Toc462869977"/>
      <w:bookmarkStart w:id="186" w:name="_Toc462934229"/>
      <w:bookmarkStart w:id="187" w:name="_Toc465177356"/>
      <w:bookmarkStart w:id="188" w:name="_Toc465184256"/>
      <w:bookmarkStart w:id="189" w:name="_Toc467854786"/>
      <w:bookmarkStart w:id="190" w:name="_Toc468281904"/>
      <w:bookmarkStart w:id="191" w:name="_Toc470001196"/>
      <w:bookmarkStart w:id="192" w:name="_Toc470098029"/>
      <w:r w:rsidRPr="00CF1787">
        <w:rPr>
          <w:lang w:val="es-CR"/>
        </w:rPr>
        <w:t>EXCEPCIONES PRELIMINAR</w:t>
      </w:r>
      <w:bookmarkEnd w:id="175"/>
      <w:bookmarkEnd w:id="176"/>
      <w:bookmarkEnd w:id="177"/>
      <w:bookmarkEnd w:id="178"/>
      <w:bookmarkEnd w:id="179"/>
      <w:bookmarkEnd w:id="180"/>
      <w:bookmarkEnd w:id="181"/>
      <w:bookmarkEnd w:id="182"/>
      <w:bookmarkEnd w:id="183"/>
      <w:bookmarkEnd w:id="184"/>
      <w:r w:rsidRPr="00CF1787">
        <w:rPr>
          <w:lang w:val="es-CR"/>
        </w:rPr>
        <w:t>ES</w:t>
      </w:r>
      <w:bookmarkEnd w:id="185"/>
      <w:bookmarkEnd w:id="186"/>
      <w:bookmarkEnd w:id="187"/>
      <w:bookmarkEnd w:id="188"/>
      <w:bookmarkEnd w:id="189"/>
      <w:bookmarkEnd w:id="190"/>
      <w:bookmarkEnd w:id="191"/>
      <w:bookmarkEnd w:id="192"/>
    </w:p>
    <w:p w14:paraId="6768F944" w14:textId="77777777" w:rsidR="008C2925" w:rsidRPr="00CF1787" w:rsidRDefault="008C2925" w:rsidP="008C2925">
      <w:pPr>
        <w:pStyle w:val="NoSpacing"/>
        <w:tabs>
          <w:tab w:val="left" w:pos="567"/>
        </w:tabs>
        <w:rPr>
          <w:spacing w:val="-2"/>
          <w:lang w:val="es-CR"/>
        </w:rPr>
      </w:pPr>
      <w:bookmarkStart w:id="193" w:name="_Toc424834688"/>
      <w:bookmarkStart w:id="194" w:name="_Toc427932794"/>
      <w:bookmarkStart w:id="195" w:name="_Toc431584611"/>
      <w:bookmarkStart w:id="196" w:name="_Toc434850399"/>
      <w:bookmarkStart w:id="197" w:name="_Toc465177364"/>
      <w:bookmarkEnd w:id="115"/>
      <w:bookmarkEnd w:id="116"/>
      <w:bookmarkEnd w:id="117"/>
      <w:bookmarkEnd w:id="118"/>
      <w:bookmarkEnd w:id="168"/>
      <w:bookmarkEnd w:id="169"/>
    </w:p>
    <w:p w14:paraId="412F94BF" w14:textId="77777777" w:rsidR="008C2925" w:rsidRPr="00CF1787" w:rsidRDefault="008C2925" w:rsidP="008C2925">
      <w:pPr>
        <w:pStyle w:val="NoSpacing"/>
        <w:numPr>
          <w:ilvl w:val="0"/>
          <w:numId w:val="5"/>
        </w:numPr>
        <w:tabs>
          <w:tab w:val="left" w:pos="567"/>
        </w:tabs>
        <w:ind w:left="0" w:firstLine="0"/>
        <w:rPr>
          <w:spacing w:val="-2"/>
          <w:lang w:val="es-CR"/>
        </w:rPr>
      </w:pPr>
      <w:bookmarkStart w:id="198" w:name="_Ref462933500"/>
      <w:r w:rsidRPr="00CF1787">
        <w:rPr>
          <w:lang w:val="es-CR"/>
        </w:rPr>
        <w:t xml:space="preserve">El Estado interpuso </w:t>
      </w:r>
      <w:r w:rsidRPr="00CF1787">
        <w:rPr>
          <w:szCs w:val="20"/>
          <w:lang w:val="es-CR"/>
        </w:rPr>
        <w:t>dos excepciones preliminares concernientes a las presuntas violaciones: A) del principio de la “cuarta instancia”, y B) del debido proceso ante la Comisión Interamericana.</w:t>
      </w:r>
      <w:bookmarkEnd w:id="198"/>
      <w:r w:rsidRPr="00CF1787">
        <w:rPr>
          <w:szCs w:val="20"/>
          <w:lang w:val="es-CR"/>
        </w:rPr>
        <w:t xml:space="preserve"> </w:t>
      </w:r>
    </w:p>
    <w:p w14:paraId="596A4491" w14:textId="77777777" w:rsidR="008C2925" w:rsidRPr="00CF1787" w:rsidRDefault="008C2925" w:rsidP="008C2925">
      <w:pPr>
        <w:pStyle w:val="NoSpacing"/>
        <w:tabs>
          <w:tab w:val="left" w:pos="567"/>
        </w:tabs>
        <w:rPr>
          <w:spacing w:val="-2"/>
          <w:lang w:val="es-CR"/>
        </w:rPr>
      </w:pPr>
    </w:p>
    <w:p w14:paraId="5CD55F11" w14:textId="7AF767FF" w:rsidR="008C2925" w:rsidRPr="00CF1787" w:rsidRDefault="008C2925" w:rsidP="008C2925">
      <w:pPr>
        <w:pStyle w:val="NoSpacing"/>
        <w:numPr>
          <w:ilvl w:val="0"/>
          <w:numId w:val="5"/>
        </w:numPr>
        <w:tabs>
          <w:tab w:val="left" w:pos="567"/>
        </w:tabs>
        <w:ind w:left="0" w:firstLine="0"/>
        <w:rPr>
          <w:spacing w:val="-2"/>
          <w:lang w:val="es-CR"/>
        </w:rPr>
      </w:pPr>
      <w:bookmarkStart w:id="199" w:name="_Ref462661947"/>
      <w:r w:rsidRPr="00CF1787">
        <w:rPr>
          <w:szCs w:val="20"/>
          <w:lang w:val="es-CR"/>
        </w:rPr>
        <w:t>Al respecto,</w:t>
      </w:r>
      <w:r w:rsidRPr="00CF1787">
        <w:rPr>
          <w:b/>
          <w:color w:val="FF0000"/>
          <w:szCs w:val="20"/>
          <w:lang w:val="es-CR"/>
        </w:rPr>
        <w:t xml:space="preserve"> </w:t>
      </w:r>
      <w:r w:rsidRPr="00CF1787">
        <w:rPr>
          <w:szCs w:val="20"/>
          <w:lang w:val="es-CR"/>
        </w:rPr>
        <w:t>la Corte, interpretando el artículo 42 de su Reglamento que regula las excepciones preliminares, estima que estas se denominan así precisamente</w:t>
      </w:r>
      <w:r w:rsidRPr="00CF1787">
        <w:rPr>
          <w:b/>
          <w:szCs w:val="20"/>
          <w:lang w:val="es-CR"/>
        </w:rPr>
        <w:t xml:space="preserve"> </w:t>
      </w:r>
      <w:r w:rsidRPr="00CF1787">
        <w:rPr>
          <w:szCs w:val="20"/>
          <w:lang w:val="es-CR"/>
        </w:rPr>
        <w:t>por tener el carácter de previas y por tanto, tienden a impedir el análisis del fondo de un asunto cuestionado, mediante la objeción de la admisibilidad de un caso o la competencia del Tribunal para conocer de un determinado caso o de alguno de sus aspectos, ya sea en razón de la persona, materia, tiempo o lugar, siempre y cuando dichos planteamientos tengan el carácter de preliminares</w:t>
      </w:r>
      <w:r w:rsidRPr="00CF1787">
        <w:rPr>
          <w:rStyle w:val="FootnoteReference"/>
          <w:sz w:val="20"/>
          <w:szCs w:val="20"/>
          <w:lang w:val="es-CR"/>
        </w:rPr>
        <w:footnoteReference w:id="6"/>
      </w:r>
      <w:r w:rsidRPr="00CF1787">
        <w:rPr>
          <w:szCs w:val="20"/>
          <w:lang w:val="es-CR"/>
        </w:rPr>
        <w:t>. Si estos planteamientos no pudieran ser considerados sin entrar a analizar previamente el fondo de un caso, no pueden ser analizados mediante una excepción preliminar</w:t>
      </w:r>
      <w:r w:rsidRPr="00CF1787">
        <w:rPr>
          <w:rStyle w:val="FootnoteReference"/>
          <w:sz w:val="20"/>
          <w:szCs w:val="20"/>
          <w:lang w:val="es-CR"/>
        </w:rPr>
        <w:footnoteReference w:id="7"/>
      </w:r>
      <w:r w:rsidRPr="00CF1787">
        <w:rPr>
          <w:szCs w:val="20"/>
          <w:lang w:val="es-CR"/>
        </w:rPr>
        <w:t>.</w:t>
      </w:r>
      <w:r w:rsidRPr="00CF1787">
        <w:rPr>
          <w:b/>
          <w:color w:val="FF0000"/>
          <w:sz w:val="18"/>
          <w:szCs w:val="18"/>
          <w:lang w:val="es-CR"/>
        </w:rPr>
        <w:t xml:space="preserve"> </w:t>
      </w:r>
      <w:r w:rsidRPr="00CF1787">
        <w:rPr>
          <w:szCs w:val="20"/>
          <w:lang w:val="es-CR"/>
        </w:rPr>
        <w:t>La Corte también reitera que las excepciones preliminares solo pueden analizar la admisibilidad de un caso o la competencia de la Corte</w:t>
      </w:r>
      <w:r w:rsidRPr="00CF1787">
        <w:rPr>
          <w:rStyle w:val="FootnoteReference"/>
          <w:sz w:val="20"/>
          <w:szCs w:val="20"/>
          <w:lang w:val="es-CR"/>
        </w:rPr>
        <w:footnoteReference w:id="8"/>
      </w:r>
      <w:r w:rsidRPr="00CF1787">
        <w:rPr>
          <w:szCs w:val="20"/>
          <w:lang w:val="es-CR"/>
        </w:rPr>
        <w:t>.</w:t>
      </w:r>
      <w:bookmarkEnd w:id="199"/>
    </w:p>
    <w:p w14:paraId="00ACFAB4" w14:textId="77777777" w:rsidR="008C2925" w:rsidRPr="00CF1787" w:rsidRDefault="008C2925" w:rsidP="008C2925">
      <w:pPr>
        <w:tabs>
          <w:tab w:val="left" w:pos="567"/>
        </w:tabs>
        <w:rPr>
          <w:b/>
          <w:lang w:val="es-CR" w:eastAsia="es-CR"/>
        </w:rPr>
      </w:pPr>
    </w:p>
    <w:p w14:paraId="071A719C" w14:textId="77777777" w:rsidR="008C2925" w:rsidRPr="00CF1787" w:rsidRDefault="008C2925" w:rsidP="008C2925">
      <w:pPr>
        <w:pStyle w:val="Heading2"/>
        <w:numPr>
          <w:ilvl w:val="0"/>
          <w:numId w:val="6"/>
        </w:numPr>
        <w:rPr>
          <w:lang w:val="es-CR"/>
        </w:rPr>
      </w:pPr>
      <w:bookmarkStart w:id="200" w:name="_Toc465177357"/>
      <w:bookmarkStart w:id="201" w:name="_Toc470098030"/>
      <w:r w:rsidRPr="00CF1787">
        <w:rPr>
          <w:lang w:val="es-CR"/>
        </w:rPr>
        <w:t>Alegada violación del principio de la “cuarta instancia”</w:t>
      </w:r>
      <w:bookmarkEnd w:id="200"/>
      <w:bookmarkEnd w:id="201"/>
    </w:p>
    <w:p w14:paraId="1C851337" w14:textId="77777777" w:rsidR="008C2925" w:rsidRPr="00CF1787" w:rsidRDefault="008C2925" w:rsidP="008C2925">
      <w:pPr>
        <w:tabs>
          <w:tab w:val="left" w:pos="567"/>
        </w:tabs>
        <w:rPr>
          <w:b/>
          <w:lang w:val="es-CR" w:eastAsia="es-CR"/>
        </w:rPr>
      </w:pPr>
    </w:p>
    <w:p w14:paraId="383EE409" w14:textId="7E8EAD09" w:rsidR="008C2925" w:rsidRPr="00CF1787" w:rsidRDefault="008C2925" w:rsidP="008C2925">
      <w:pPr>
        <w:pStyle w:val="Heading3"/>
        <w:rPr>
          <w:lang w:val="es-CR"/>
        </w:rPr>
      </w:pPr>
      <w:bookmarkStart w:id="202" w:name="_Toc418074057"/>
      <w:bookmarkStart w:id="203" w:name="_Toc418503864"/>
      <w:bookmarkStart w:id="204" w:name="_Toc418912588"/>
      <w:bookmarkStart w:id="205" w:name="_Toc419394370"/>
      <w:bookmarkStart w:id="206" w:name="_Toc429490236"/>
      <w:bookmarkStart w:id="207" w:name="_Toc465177358"/>
      <w:bookmarkStart w:id="208" w:name="_Toc470098031"/>
      <w:r w:rsidRPr="00CF1787">
        <w:rPr>
          <w:lang w:val="es-CR"/>
        </w:rPr>
        <w:t xml:space="preserve">A.1 Alegatos del Estado y observaciones </w:t>
      </w:r>
      <w:r w:rsidR="007379EB" w:rsidRPr="00CF1787">
        <w:rPr>
          <w:lang w:val="es-CR"/>
        </w:rPr>
        <w:t xml:space="preserve">de los </w:t>
      </w:r>
      <w:r w:rsidRPr="00CF1787">
        <w:rPr>
          <w:lang w:val="es-CR"/>
        </w:rPr>
        <w:t>representante</w:t>
      </w:r>
      <w:r w:rsidR="007379EB" w:rsidRPr="00CF1787">
        <w:rPr>
          <w:lang w:val="es-CR"/>
        </w:rPr>
        <w:t>s</w:t>
      </w:r>
      <w:r w:rsidRPr="00CF1787">
        <w:rPr>
          <w:lang w:val="es-CR"/>
        </w:rPr>
        <w:t xml:space="preserve"> y </w:t>
      </w:r>
      <w:r w:rsidR="001023FF" w:rsidRPr="00CF1787">
        <w:rPr>
          <w:lang w:val="es-CR"/>
        </w:rPr>
        <w:t xml:space="preserve">de </w:t>
      </w:r>
      <w:r w:rsidRPr="00CF1787">
        <w:rPr>
          <w:lang w:val="es-CR"/>
        </w:rPr>
        <w:t>la Comisión</w:t>
      </w:r>
      <w:bookmarkEnd w:id="202"/>
      <w:bookmarkEnd w:id="203"/>
      <w:bookmarkEnd w:id="204"/>
      <w:bookmarkEnd w:id="205"/>
      <w:bookmarkEnd w:id="206"/>
      <w:bookmarkEnd w:id="207"/>
      <w:bookmarkEnd w:id="208"/>
    </w:p>
    <w:p w14:paraId="5FBEEE31" w14:textId="77777777" w:rsidR="008C2925" w:rsidRPr="00CF1787" w:rsidRDefault="008C2925" w:rsidP="008C2925">
      <w:pPr>
        <w:pStyle w:val="NoSpacing"/>
        <w:tabs>
          <w:tab w:val="left" w:pos="567"/>
        </w:tabs>
        <w:rPr>
          <w:spacing w:val="-2"/>
          <w:lang w:val="es-CR"/>
        </w:rPr>
      </w:pPr>
    </w:p>
    <w:p w14:paraId="3AC4C9E2" w14:textId="77777777" w:rsidR="008C2925" w:rsidRPr="00CF1787" w:rsidRDefault="008C2925" w:rsidP="008C2925">
      <w:pPr>
        <w:pStyle w:val="NoSpacing"/>
        <w:numPr>
          <w:ilvl w:val="0"/>
          <w:numId w:val="5"/>
        </w:numPr>
        <w:tabs>
          <w:tab w:val="left" w:pos="567"/>
        </w:tabs>
        <w:ind w:left="0" w:firstLine="0"/>
        <w:rPr>
          <w:spacing w:val="-2"/>
          <w:lang w:val="es-CR"/>
        </w:rPr>
      </w:pPr>
      <w:r w:rsidRPr="00CF1787">
        <w:rPr>
          <w:lang w:val="es-CR"/>
        </w:rPr>
        <w:t xml:space="preserve">El </w:t>
      </w:r>
      <w:r w:rsidRPr="00CF1787">
        <w:rPr>
          <w:b/>
          <w:i/>
          <w:lang w:val="es-CR"/>
        </w:rPr>
        <w:t xml:space="preserve">Estado </w:t>
      </w:r>
      <w:r w:rsidRPr="00CF1787">
        <w:rPr>
          <w:lang w:val="es-CR"/>
        </w:rPr>
        <w:t xml:space="preserve">alegó que </w:t>
      </w:r>
      <w:r w:rsidRPr="00CF1787">
        <w:rPr>
          <w:bCs/>
          <w:lang w:val="es-CR"/>
        </w:rPr>
        <w:t>cumplió con las obligaciones contenidas en la Convención, pues “efectuó las acciones respectivas vinculadas a la investigación de la muerte del señor Valencia y desarrolló un proceso judicial que se adecuó a los parámetros de protección [de] derechos humanos”.</w:t>
      </w:r>
      <w:r w:rsidRPr="00CF1787">
        <w:rPr>
          <w:b/>
          <w:bCs/>
          <w:lang w:val="es-CR"/>
        </w:rPr>
        <w:t xml:space="preserve"> </w:t>
      </w:r>
      <w:r w:rsidRPr="00CF1787">
        <w:rPr>
          <w:lang w:val="es-CR"/>
        </w:rPr>
        <w:t xml:space="preserve">Señaló que, en virtud del carácter subsidiario, coadyuvante y complementario del sistema interamericano de derechos humanos, “no le corresponde a la Corte ser un tribunal de apelación que dirima los desacuerdos que tengan las partes sobre determinados alcances de la prueba o la aplicación del derecho en un asunto en particular”, lo que conlleva a que la Corte sea incompetente. Además, indicó que la señora Patricia Trujillo desistió de continuar con la causa en el fuero interno, lo cual devino en una imposibilidad de demandar los supuestos daños y perjuicios causados por la muerte de su esposo. </w:t>
      </w:r>
    </w:p>
    <w:p w14:paraId="2A81B526" w14:textId="77777777" w:rsidR="008C2925" w:rsidRPr="00CF1787" w:rsidRDefault="008C2925" w:rsidP="008C2925">
      <w:pPr>
        <w:pStyle w:val="NoSpacing"/>
        <w:tabs>
          <w:tab w:val="left" w:pos="567"/>
        </w:tabs>
        <w:rPr>
          <w:spacing w:val="-2"/>
          <w:lang w:val="es-CR"/>
        </w:rPr>
      </w:pPr>
    </w:p>
    <w:p w14:paraId="4D0F48AC" w14:textId="005D9DCC" w:rsidR="008C2925" w:rsidRPr="00CF1787" w:rsidRDefault="008C2925" w:rsidP="008C2925">
      <w:pPr>
        <w:pStyle w:val="NoSpacing"/>
        <w:numPr>
          <w:ilvl w:val="0"/>
          <w:numId w:val="5"/>
        </w:numPr>
        <w:tabs>
          <w:tab w:val="left" w:pos="567"/>
        </w:tabs>
        <w:ind w:left="0" w:firstLine="0"/>
        <w:rPr>
          <w:spacing w:val="-2"/>
          <w:lang w:val="es-CR"/>
        </w:rPr>
      </w:pPr>
      <w:r w:rsidRPr="00CF1787">
        <w:rPr>
          <w:lang w:val="es-CR"/>
        </w:rPr>
        <w:t xml:space="preserve">La </w:t>
      </w:r>
      <w:r w:rsidRPr="00CF1787">
        <w:rPr>
          <w:b/>
          <w:i/>
          <w:lang w:val="es-CR"/>
        </w:rPr>
        <w:t>Comisión</w:t>
      </w:r>
      <w:r w:rsidRPr="00CF1787">
        <w:rPr>
          <w:lang w:val="es-CR"/>
        </w:rPr>
        <w:t xml:space="preserve"> reiteró lo indicado en su Informe de Admisibilidad y Fondo, en el sentido que “no le corresponde pronunciarse sobre la responsabilidad penal de las personas </w:t>
      </w:r>
      <w:r w:rsidRPr="00CF1787">
        <w:rPr>
          <w:lang w:val="es-CR"/>
        </w:rPr>
        <w:lastRenderedPageBreak/>
        <w:t xml:space="preserve">involucradas a nivel interno, sino sobre si la actuación estatal para dar respuesta a una alegada violación del derecho a la vida, </w:t>
      </w:r>
      <w:proofErr w:type="gramStart"/>
      <w:r w:rsidRPr="00CF1787">
        <w:rPr>
          <w:lang w:val="es-CR"/>
        </w:rPr>
        <w:t>e[</w:t>
      </w:r>
      <w:proofErr w:type="spellStart"/>
      <w:proofErr w:type="gramEnd"/>
      <w:r w:rsidRPr="00CF1787">
        <w:rPr>
          <w:lang w:val="es-CR"/>
        </w:rPr>
        <w:t>ra</w:t>
      </w:r>
      <w:proofErr w:type="spellEnd"/>
      <w:r w:rsidRPr="00CF1787">
        <w:rPr>
          <w:lang w:val="es-CR"/>
        </w:rPr>
        <w:t>] compatible con las obligaciones que impone la Convención Americana en materia de investigación, esclarecimiento y, en su caso, eventual sanción de los responsables”. De igual manera, re</w:t>
      </w:r>
      <w:r w:rsidR="001023FF" w:rsidRPr="00CF1787">
        <w:rPr>
          <w:lang w:val="es-CR"/>
        </w:rPr>
        <w:t>iteró que “los peticionarios no</w:t>
      </w:r>
      <w:r w:rsidRPr="00CF1787">
        <w:rPr>
          <w:lang w:val="es-CR"/>
        </w:rPr>
        <w:t xml:space="preserve"> </w:t>
      </w:r>
      <w:proofErr w:type="spellStart"/>
      <w:proofErr w:type="gramStart"/>
      <w:r w:rsidRPr="00CF1787">
        <w:rPr>
          <w:lang w:val="es-CR"/>
        </w:rPr>
        <w:t>pretend</w:t>
      </w:r>
      <w:proofErr w:type="spellEnd"/>
      <w:r w:rsidRPr="00CF1787">
        <w:rPr>
          <w:lang w:val="es-CR"/>
        </w:rPr>
        <w:t>[</w:t>
      </w:r>
      <w:proofErr w:type="spellStart"/>
      <w:proofErr w:type="gramEnd"/>
      <w:r w:rsidRPr="00CF1787">
        <w:rPr>
          <w:lang w:val="es-CR"/>
        </w:rPr>
        <w:t>ían</w:t>
      </w:r>
      <w:proofErr w:type="spellEnd"/>
      <w:r w:rsidRPr="00CF1787">
        <w:rPr>
          <w:lang w:val="es-CR"/>
        </w:rPr>
        <w:t>] la revisión del fallo de un tribunal interno, sino la determinación de si la totalidad del proceso que dio lugar al fallo final, [era] compatible con la obligación de investigar la muerte del señor Luis Jorge Valencia Hinojosa y de ser el caso si la muerte del señor Valencia de conformidad con las reglas del derecho internacional p[</w:t>
      </w:r>
      <w:proofErr w:type="spellStart"/>
      <w:r w:rsidRPr="00CF1787">
        <w:rPr>
          <w:lang w:val="es-CR"/>
        </w:rPr>
        <w:t>odía</w:t>
      </w:r>
      <w:proofErr w:type="spellEnd"/>
      <w:r w:rsidRPr="00CF1787">
        <w:rPr>
          <w:lang w:val="es-CR"/>
        </w:rPr>
        <w:t xml:space="preserve">] ser atribuible al Estado”. Por otra parte, la Comisión señaló que los argumentos del Estado “no </w:t>
      </w:r>
      <w:proofErr w:type="gramStart"/>
      <w:r w:rsidRPr="00CF1787">
        <w:rPr>
          <w:lang w:val="es-CR"/>
        </w:rPr>
        <w:t>t[</w:t>
      </w:r>
      <w:proofErr w:type="spellStart"/>
      <w:proofErr w:type="gramEnd"/>
      <w:r w:rsidRPr="00CF1787">
        <w:rPr>
          <w:lang w:val="es-CR"/>
        </w:rPr>
        <w:t>enían</w:t>
      </w:r>
      <w:proofErr w:type="spellEnd"/>
      <w:r w:rsidRPr="00CF1787">
        <w:rPr>
          <w:lang w:val="es-CR"/>
        </w:rPr>
        <w:t>] carácter preliminar en tanto que expresa[</w:t>
      </w:r>
      <w:proofErr w:type="spellStart"/>
      <w:r w:rsidRPr="00CF1787">
        <w:rPr>
          <w:lang w:val="es-CR"/>
        </w:rPr>
        <w:t>ban</w:t>
      </w:r>
      <w:proofErr w:type="spellEnd"/>
      <w:r w:rsidRPr="00CF1787">
        <w:rPr>
          <w:lang w:val="es-CR"/>
        </w:rPr>
        <w:t xml:space="preserve">] su posición respecto de la controversia de fondo”. </w:t>
      </w:r>
    </w:p>
    <w:p w14:paraId="5E63CE77" w14:textId="77777777" w:rsidR="008C2925" w:rsidRPr="00CF1787" w:rsidRDefault="008C2925" w:rsidP="008C2925">
      <w:pPr>
        <w:pStyle w:val="NoSpacing"/>
        <w:tabs>
          <w:tab w:val="left" w:pos="567"/>
        </w:tabs>
        <w:rPr>
          <w:spacing w:val="-2"/>
          <w:lang w:val="es-CR"/>
        </w:rPr>
      </w:pPr>
    </w:p>
    <w:p w14:paraId="35F49F38" w14:textId="77777777" w:rsidR="008C2925" w:rsidRPr="00CF1787" w:rsidRDefault="008C2925" w:rsidP="008C2925">
      <w:pPr>
        <w:pStyle w:val="NoSpacing"/>
        <w:numPr>
          <w:ilvl w:val="0"/>
          <w:numId w:val="5"/>
        </w:numPr>
        <w:tabs>
          <w:tab w:val="left" w:pos="567"/>
        </w:tabs>
        <w:ind w:left="0" w:firstLine="0"/>
        <w:rPr>
          <w:spacing w:val="-2"/>
          <w:lang w:val="es-CR"/>
        </w:rPr>
      </w:pPr>
      <w:r w:rsidRPr="00CF1787">
        <w:rPr>
          <w:lang w:val="es-CR"/>
        </w:rPr>
        <w:t xml:space="preserve">Los </w:t>
      </w:r>
      <w:r w:rsidRPr="00CF1787">
        <w:rPr>
          <w:b/>
          <w:i/>
          <w:lang w:val="es-CR"/>
        </w:rPr>
        <w:t>representantes</w:t>
      </w:r>
      <w:r w:rsidRPr="00CF1787">
        <w:rPr>
          <w:lang w:val="es-CR"/>
        </w:rPr>
        <w:t xml:space="preserve"> alegaron que, sin perjuicio del carácter subsidiario del sistema interamericano de derechos humanos, la Corte sí tiene competencia para conocer de un caso y fallar sobre su fundamento, “cuando ésta se </w:t>
      </w:r>
      <w:proofErr w:type="spellStart"/>
      <w:r w:rsidRPr="00CF1787">
        <w:rPr>
          <w:lang w:val="es-CR"/>
        </w:rPr>
        <w:t>refier</w:t>
      </w:r>
      <w:proofErr w:type="spellEnd"/>
      <w:r w:rsidRPr="00CF1787">
        <w:rPr>
          <w:lang w:val="es-CR"/>
        </w:rPr>
        <w:t xml:space="preserve">[a] a una sentencia nacional que presuntamente haya sido dictada al margen del debido proceso o en violación de cualquier otro derecho garantizado por la Convención”. Argumentaron que “el presente caso no se trata de un simple desacuerdo con el resultado y contenido de la decisión final adoptada por los tribunales policiales […], sino que se </w:t>
      </w:r>
      <w:proofErr w:type="spellStart"/>
      <w:proofErr w:type="gramStart"/>
      <w:r w:rsidRPr="00CF1787">
        <w:rPr>
          <w:lang w:val="es-CR"/>
        </w:rPr>
        <w:t>est</w:t>
      </w:r>
      <w:proofErr w:type="spellEnd"/>
      <w:r w:rsidRPr="00CF1787">
        <w:rPr>
          <w:lang w:val="es-CR"/>
        </w:rPr>
        <w:t>[</w:t>
      </w:r>
      <w:proofErr w:type="spellStart"/>
      <w:proofErr w:type="gramEnd"/>
      <w:r w:rsidRPr="00CF1787">
        <w:rPr>
          <w:lang w:val="es-CR"/>
        </w:rPr>
        <w:t>án</w:t>
      </w:r>
      <w:proofErr w:type="spellEnd"/>
      <w:r w:rsidRPr="00CF1787">
        <w:rPr>
          <w:lang w:val="es-CR"/>
        </w:rPr>
        <w:t>] denunciando graves falencias en la investigación desarrollada por el Estado, que constituyen una violación a la obligación del Estado de [investigar adecuadamente]”.</w:t>
      </w:r>
      <w:r w:rsidRPr="00CF1787">
        <w:rPr>
          <w:b/>
          <w:lang w:val="es-CR"/>
        </w:rPr>
        <w:t xml:space="preserve"> </w:t>
      </w:r>
      <w:r w:rsidRPr="00CF1787">
        <w:rPr>
          <w:lang w:val="es-CR"/>
        </w:rPr>
        <w:t xml:space="preserve">Respecto al desistimiento de la señora Trujillo, señalaron que ella “no estaba obligada a continuar impulsando un proceso que se tramitaba en un fuero incompetente para investigar violaciones al derecho a la vida”. </w:t>
      </w:r>
    </w:p>
    <w:p w14:paraId="048D0815" w14:textId="77777777" w:rsidR="008C2925" w:rsidRPr="00CF1787" w:rsidRDefault="008C2925" w:rsidP="008C2925">
      <w:pPr>
        <w:pStyle w:val="NoSpacing"/>
        <w:tabs>
          <w:tab w:val="left" w:pos="567"/>
        </w:tabs>
        <w:rPr>
          <w:spacing w:val="-2"/>
          <w:lang w:val="es-CR"/>
        </w:rPr>
      </w:pPr>
    </w:p>
    <w:p w14:paraId="317BADD9" w14:textId="77777777" w:rsidR="008C2925" w:rsidRPr="00CF1787" w:rsidRDefault="008C2925" w:rsidP="008C2925">
      <w:pPr>
        <w:pStyle w:val="Heading3"/>
        <w:rPr>
          <w:lang w:val="es-CR"/>
        </w:rPr>
      </w:pPr>
      <w:bookmarkStart w:id="209" w:name="_Toc465177359"/>
      <w:bookmarkStart w:id="210" w:name="_Toc470098032"/>
      <w:r w:rsidRPr="00CF1787">
        <w:rPr>
          <w:lang w:val="es-CR"/>
        </w:rPr>
        <w:t>A.2 Consideraciones de la Corte</w:t>
      </w:r>
      <w:bookmarkEnd w:id="209"/>
      <w:bookmarkEnd w:id="210"/>
    </w:p>
    <w:p w14:paraId="70C93BB7" w14:textId="77777777" w:rsidR="008C2925" w:rsidRPr="00CF1787" w:rsidRDefault="008C2925" w:rsidP="008C2925">
      <w:pPr>
        <w:pStyle w:val="NoSpacing"/>
        <w:tabs>
          <w:tab w:val="left" w:pos="567"/>
        </w:tabs>
        <w:rPr>
          <w:spacing w:val="-2"/>
          <w:lang w:val="es-CR"/>
        </w:rPr>
      </w:pPr>
    </w:p>
    <w:p w14:paraId="7304CC2B" w14:textId="77777777" w:rsidR="008C2925" w:rsidRPr="00CF1787" w:rsidRDefault="008C2925" w:rsidP="008C2925">
      <w:pPr>
        <w:pStyle w:val="NoSpacing"/>
        <w:numPr>
          <w:ilvl w:val="0"/>
          <w:numId w:val="5"/>
        </w:numPr>
        <w:tabs>
          <w:tab w:val="left" w:pos="567"/>
        </w:tabs>
        <w:ind w:left="0" w:firstLine="0"/>
        <w:rPr>
          <w:spacing w:val="-2"/>
          <w:lang w:val="es-CR"/>
        </w:rPr>
      </w:pPr>
      <w:bookmarkStart w:id="211" w:name="_Ref462933440"/>
      <w:r w:rsidRPr="00CF1787">
        <w:rPr>
          <w:lang w:val="es-CR" w:eastAsia="es-ES"/>
        </w:rPr>
        <w:t>E</w:t>
      </w:r>
      <w:r w:rsidRPr="00CF1787">
        <w:rPr>
          <w:lang w:val="es-CR"/>
        </w:rPr>
        <w:t xml:space="preserve">ste </w:t>
      </w:r>
      <w:r w:rsidRPr="00CF1787">
        <w:rPr>
          <w:spacing w:val="-2"/>
          <w:lang w:val="es-CR"/>
        </w:rPr>
        <w:t>Tribunal</w:t>
      </w:r>
      <w:r w:rsidRPr="00CF1787">
        <w:rPr>
          <w:lang w:val="es-CR"/>
        </w:rPr>
        <w:t xml:space="preserve"> ha establecido que, para que la excepción de cuarta instancia sea procedente, es necesario que el solicitante o peticionario busque que la Corte revise el fallo de un tribunal interno en virtud de su incorrecta apreciación de la prueba, los hechos o el derecho interno, sin que, a la vez, se alegue que tal fallo incurrió en una violación de tratados internacionales respecto de los que tenga competencia el Tribunal</w:t>
      </w:r>
      <w:r w:rsidRPr="00CF1787">
        <w:rPr>
          <w:rStyle w:val="Smbolodenotaalpie"/>
          <w:lang w:val="es-CR"/>
        </w:rPr>
        <w:footnoteReference w:id="9"/>
      </w:r>
      <w:r w:rsidRPr="00CF1787">
        <w:rPr>
          <w:lang w:val="es-CR"/>
        </w:rPr>
        <w:t>. Esto no ocurre en el presente caso.</w:t>
      </w:r>
      <w:bookmarkEnd w:id="211"/>
      <w:r w:rsidRPr="00CF1787">
        <w:rPr>
          <w:lang w:val="es-CR"/>
        </w:rPr>
        <w:t xml:space="preserve"> </w:t>
      </w:r>
    </w:p>
    <w:p w14:paraId="1A199505" w14:textId="77777777" w:rsidR="008C2925" w:rsidRPr="00CF1787" w:rsidRDefault="008C2925" w:rsidP="008C2925">
      <w:pPr>
        <w:pStyle w:val="NoSpacing"/>
        <w:tabs>
          <w:tab w:val="left" w:pos="567"/>
        </w:tabs>
        <w:rPr>
          <w:spacing w:val="-2"/>
          <w:lang w:val="es-CR"/>
        </w:rPr>
      </w:pPr>
    </w:p>
    <w:p w14:paraId="62769CFB" w14:textId="227B4DD7" w:rsidR="008C2925" w:rsidRPr="00CF1787" w:rsidRDefault="008C2925" w:rsidP="008C2925">
      <w:pPr>
        <w:pStyle w:val="NoSpacing"/>
        <w:numPr>
          <w:ilvl w:val="0"/>
          <w:numId w:val="5"/>
        </w:numPr>
        <w:tabs>
          <w:tab w:val="left" w:pos="567"/>
        </w:tabs>
        <w:ind w:left="0" w:firstLine="0"/>
        <w:rPr>
          <w:szCs w:val="20"/>
          <w:lang w:val="es-CR"/>
        </w:rPr>
      </w:pPr>
      <w:r w:rsidRPr="00CF1787">
        <w:rPr>
          <w:szCs w:val="20"/>
          <w:lang w:val="es-CR"/>
        </w:rPr>
        <w:t>En esta oportunidad, la Corte añade que, conforme lo disponen los artícu</w:t>
      </w:r>
      <w:r w:rsidR="004D2661" w:rsidRPr="00CF1787">
        <w:rPr>
          <w:szCs w:val="20"/>
          <w:lang w:val="es-CR"/>
        </w:rPr>
        <w:t>l</w:t>
      </w:r>
      <w:r w:rsidRPr="00CF1787">
        <w:rPr>
          <w:szCs w:val="20"/>
          <w:lang w:val="es-CR"/>
        </w:rPr>
        <w:t>os 62.3</w:t>
      </w:r>
      <w:r w:rsidRPr="00CF1787">
        <w:rPr>
          <w:rStyle w:val="FootnoteReference"/>
          <w:sz w:val="20"/>
          <w:szCs w:val="20"/>
          <w:lang w:val="es-CR"/>
        </w:rPr>
        <w:footnoteReference w:id="10"/>
      </w:r>
      <w:r w:rsidRPr="00CF1787">
        <w:rPr>
          <w:szCs w:val="20"/>
          <w:lang w:val="es-CR"/>
        </w:rPr>
        <w:t xml:space="preserve"> y 63.1</w:t>
      </w:r>
      <w:r w:rsidRPr="00CF1787">
        <w:rPr>
          <w:rStyle w:val="FootnoteReference"/>
          <w:sz w:val="20"/>
          <w:szCs w:val="20"/>
          <w:lang w:val="es-CR"/>
        </w:rPr>
        <w:footnoteReference w:id="11"/>
      </w:r>
      <w:r w:rsidRPr="00CF1787">
        <w:rPr>
          <w:szCs w:val="20"/>
          <w:lang w:val="es-CR"/>
        </w:rPr>
        <w:t xml:space="preserve"> de la Convención, falla el caso que le es sometido, aplicando e interpretando esta última a los efectos de eventualmente establecer la responsabilidad internacional del Estado concernido. En consecuencia y a su parecer, su jurisdicción no puede ser concebida o entendida como parte o instancia integrante del o de los procedimientos llevados a cabo en el ámbito interno o nacional sobre hechos del mismo caso, en razón, en especial, a que las jurisdicciones interna e interamericana difieren tanto por el derecho aplicable por cada una de ellas como por los objetivos perseguidos por las mismas. La propia Convención concibe ambas jurisdicciones, a juicio de la Corte, como diferentes al señalar, en su preámbulo, el carácter de coadyuvante y complementario de la interamericana respecto de la nacional, por lo que una no </w:t>
      </w:r>
      <w:r w:rsidRPr="00CF1787">
        <w:rPr>
          <w:szCs w:val="20"/>
          <w:lang w:val="es-CR"/>
        </w:rPr>
        <w:lastRenderedPageBreak/>
        <w:t xml:space="preserve">puede sustituir a la otra. Por ende, la referencia a la “cuarta instancia” en tanto eventual excepción aplicable a la jurisdicción de la Corte, debe ser entendida, en su criterio, como respuesta a la pretensión de que ella falle revisando, según el derecho nacional o interno del correspondiente Estado, lo resuelto por la jurisdicción nacional de éste, lo que, sin duda, no corresponde. </w:t>
      </w:r>
    </w:p>
    <w:p w14:paraId="7B7143EA" w14:textId="77777777" w:rsidR="008C2925" w:rsidRPr="00CF1787" w:rsidRDefault="008C2925" w:rsidP="008C2925">
      <w:pPr>
        <w:rPr>
          <w:lang w:val="es-CR" w:eastAsia="es-MX"/>
        </w:rPr>
      </w:pPr>
    </w:p>
    <w:p w14:paraId="43475614" w14:textId="77777777" w:rsidR="008C2925" w:rsidRPr="00CF1787" w:rsidRDefault="008C2925" w:rsidP="008C2925">
      <w:pPr>
        <w:pStyle w:val="NoSpacing"/>
        <w:numPr>
          <w:ilvl w:val="0"/>
          <w:numId w:val="5"/>
        </w:numPr>
        <w:tabs>
          <w:tab w:val="left" w:pos="567"/>
        </w:tabs>
        <w:ind w:left="0" w:firstLine="0"/>
        <w:rPr>
          <w:spacing w:val="-2"/>
          <w:szCs w:val="20"/>
          <w:lang w:val="es-CR"/>
        </w:rPr>
      </w:pPr>
      <w:r w:rsidRPr="00CF1787">
        <w:rPr>
          <w:lang w:val="es-CR"/>
        </w:rPr>
        <w:t xml:space="preserve">Además, en concordancia </w:t>
      </w:r>
      <w:r w:rsidRPr="00CF1787">
        <w:rPr>
          <w:szCs w:val="20"/>
          <w:lang w:val="es-CR"/>
        </w:rPr>
        <w:t xml:space="preserve">con lo recién indicado, este Tribunal ha señalado </w:t>
      </w:r>
      <w:r w:rsidRPr="00CF1787">
        <w:rPr>
          <w:rFonts w:cs="Verdana Bold"/>
          <w:bCs/>
          <w:szCs w:val="20"/>
          <w:lang w:val="es-CR"/>
        </w:rPr>
        <w:t xml:space="preserve">que </w:t>
      </w:r>
      <w:r w:rsidRPr="00CF1787">
        <w:rPr>
          <w:szCs w:val="20"/>
          <w:lang w:val="es-CR" w:eastAsia="es-ES"/>
        </w:rPr>
        <w:t>al valorarse el cumplimiento de ciertas obligaciones internacionales puede darse una intrínseca interrelación entre el análisis de derecho internacional y de derecho interno</w:t>
      </w:r>
      <w:r w:rsidRPr="00CF1787">
        <w:rPr>
          <w:rStyle w:val="FootnoteReference"/>
          <w:sz w:val="20"/>
          <w:szCs w:val="20"/>
          <w:lang w:val="es-CR" w:eastAsia="es-ES"/>
        </w:rPr>
        <w:footnoteReference w:id="12"/>
      </w:r>
      <w:r w:rsidRPr="00CF1787">
        <w:rPr>
          <w:szCs w:val="20"/>
          <w:lang w:val="es-CR" w:eastAsia="es-ES"/>
        </w:rPr>
        <w:t>.</w:t>
      </w:r>
      <w:r w:rsidRPr="00CF1787">
        <w:rPr>
          <w:szCs w:val="20"/>
          <w:lang w:val="es-CR"/>
        </w:rPr>
        <w:t xml:space="preserve"> Por tanto y conforme lo prescribe la norma consuetudinaria</w:t>
      </w:r>
      <w:r w:rsidRPr="00CF1787">
        <w:rPr>
          <w:rStyle w:val="FootnoteReference"/>
          <w:sz w:val="20"/>
          <w:szCs w:val="20"/>
          <w:lang w:val="es-CR"/>
        </w:rPr>
        <w:footnoteReference w:id="13"/>
      </w:r>
      <w:r w:rsidRPr="00CF1787">
        <w:rPr>
          <w:szCs w:val="20"/>
          <w:lang w:val="es-CR"/>
        </w:rPr>
        <w:t xml:space="preserve">, la </w:t>
      </w:r>
      <w:r w:rsidRPr="00CF1787">
        <w:rPr>
          <w:spacing w:val="-2"/>
          <w:szCs w:val="20"/>
          <w:lang w:val="es-CR"/>
        </w:rPr>
        <w:t>determinación</w:t>
      </w:r>
      <w:r w:rsidRPr="00CF1787">
        <w:rPr>
          <w:szCs w:val="20"/>
          <w:lang w:val="es-CR"/>
        </w:rPr>
        <w:t xml:space="preserve"> de si las actuaciones de órganos judiciales constituyen o no una violación de las obligaciones internacionales del Estado, puede conducir a que la Corte deba ocuparse de examinar los respectivos procesos internos para establecer su compatibilidad con la Convención Americana</w:t>
      </w:r>
      <w:r w:rsidRPr="00CF1787">
        <w:rPr>
          <w:rStyle w:val="FootnoteReference"/>
          <w:sz w:val="20"/>
          <w:szCs w:val="20"/>
          <w:lang w:val="es-CR"/>
        </w:rPr>
        <w:footnoteReference w:id="14"/>
      </w:r>
      <w:r w:rsidRPr="00CF1787">
        <w:rPr>
          <w:rFonts w:cs="Verdana Bold"/>
          <w:bCs/>
          <w:szCs w:val="20"/>
          <w:lang w:val="es-CR"/>
        </w:rPr>
        <w:t xml:space="preserve">. En consecuencia, ello por sí solo no constituye una violación del principio de cuarta instancia. </w:t>
      </w:r>
    </w:p>
    <w:p w14:paraId="22BE10AA" w14:textId="77777777" w:rsidR="008C2925" w:rsidRPr="00CF1787" w:rsidRDefault="008C2925" w:rsidP="008C2925">
      <w:pPr>
        <w:pStyle w:val="NoSpacing"/>
        <w:tabs>
          <w:tab w:val="left" w:pos="567"/>
        </w:tabs>
        <w:rPr>
          <w:szCs w:val="20"/>
          <w:lang w:val="es-CR"/>
        </w:rPr>
      </w:pPr>
    </w:p>
    <w:p w14:paraId="7092039A" w14:textId="77777777" w:rsidR="008C2925" w:rsidRPr="00CF1787" w:rsidRDefault="008C2925" w:rsidP="008C2925">
      <w:pPr>
        <w:pStyle w:val="NoSpacing"/>
        <w:numPr>
          <w:ilvl w:val="0"/>
          <w:numId w:val="5"/>
        </w:numPr>
        <w:tabs>
          <w:tab w:val="left" w:pos="567"/>
        </w:tabs>
        <w:ind w:left="0" w:firstLine="0"/>
        <w:rPr>
          <w:spacing w:val="-2"/>
          <w:szCs w:val="20"/>
          <w:lang w:val="es-CR"/>
        </w:rPr>
      </w:pPr>
      <w:r w:rsidRPr="00CF1787">
        <w:rPr>
          <w:szCs w:val="20"/>
          <w:lang w:val="es-CR"/>
        </w:rPr>
        <w:t xml:space="preserve">En el presente caso, los argumentos presentados por el Estado respecto de esta excepción preliminar guardan relación con las violaciones alegadas por la Comisión y los representantes de los derechos consagrados en los artículos 4, 5, 8 y 25 de la </w:t>
      </w:r>
      <w:r w:rsidRPr="00CF1787">
        <w:rPr>
          <w:spacing w:val="-2"/>
          <w:szCs w:val="20"/>
          <w:lang w:val="es-CR"/>
        </w:rPr>
        <w:t>Convención</w:t>
      </w:r>
      <w:r w:rsidRPr="00CF1787">
        <w:rPr>
          <w:szCs w:val="20"/>
          <w:lang w:val="es-CR"/>
        </w:rPr>
        <w:t>, en relación con los artículos 1.1 y 2 de la misma. Con el propósito de determinar si estas tuvieron lugar la Corte efectuará, entre otros,</w:t>
      </w:r>
      <w:r w:rsidRPr="00CF1787">
        <w:rPr>
          <w:rFonts w:cs="Verdana Bold"/>
          <w:bCs/>
          <w:szCs w:val="20"/>
          <w:lang w:val="es-CR"/>
        </w:rPr>
        <w:t xml:space="preserve"> un análisis de las etapas procesales internas</w:t>
      </w:r>
      <w:r w:rsidRPr="00CF1787">
        <w:rPr>
          <w:szCs w:val="20"/>
          <w:lang w:val="es-CR"/>
        </w:rPr>
        <w:t xml:space="preserve">, sin que ello represente desconocer el carácter coadyuvante y complementario del sistema interamericano de protección de los derechos humanos o actuar como una cuarta instancia. En el presente caso, dicho análisis se realizará en el capítulo </w:t>
      </w:r>
      <w:r w:rsidRPr="00CF1787">
        <w:rPr>
          <w:szCs w:val="20"/>
          <w:lang w:val="es-CR" w:eastAsia="es-ES"/>
        </w:rPr>
        <w:t>de fondo de la presente Sentencia</w:t>
      </w:r>
      <w:r w:rsidRPr="00CF1787">
        <w:rPr>
          <w:szCs w:val="20"/>
          <w:lang w:val="es-CR"/>
        </w:rPr>
        <w:t xml:space="preserve">. </w:t>
      </w:r>
    </w:p>
    <w:p w14:paraId="2CA10D7A" w14:textId="77777777" w:rsidR="008C2925" w:rsidRPr="00CF1787" w:rsidRDefault="008C2925" w:rsidP="008C2925">
      <w:pPr>
        <w:pStyle w:val="NoSpacing"/>
        <w:tabs>
          <w:tab w:val="left" w:pos="567"/>
        </w:tabs>
        <w:rPr>
          <w:szCs w:val="20"/>
          <w:lang w:val="es-CR"/>
        </w:rPr>
      </w:pPr>
    </w:p>
    <w:p w14:paraId="398ED5C4" w14:textId="32D3EA21" w:rsidR="008C2925" w:rsidRPr="00CF1787" w:rsidRDefault="008C2925" w:rsidP="008C2925">
      <w:pPr>
        <w:pStyle w:val="NoSpacing"/>
        <w:numPr>
          <w:ilvl w:val="0"/>
          <w:numId w:val="5"/>
        </w:numPr>
        <w:tabs>
          <w:tab w:val="left" w:pos="567"/>
        </w:tabs>
        <w:ind w:left="0" w:firstLine="0"/>
        <w:rPr>
          <w:spacing w:val="-2"/>
          <w:lang w:val="es-CR"/>
        </w:rPr>
      </w:pPr>
      <w:r w:rsidRPr="00CF1787">
        <w:rPr>
          <w:szCs w:val="20"/>
          <w:lang w:val="es-CR"/>
        </w:rPr>
        <w:t xml:space="preserve">Por otra parte, respecto al desistimiento de la acusación particular por parte de la señora </w:t>
      </w:r>
      <w:proofErr w:type="spellStart"/>
      <w:r w:rsidRPr="00CF1787">
        <w:rPr>
          <w:szCs w:val="20"/>
          <w:lang w:val="es-CR"/>
        </w:rPr>
        <w:t>Trujilllo</w:t>
      </w:r>
      <w:proofErr w:type="spellEnd"/>
      <w:r w:rsidRPr="00CF1787">
        <w:rPr>
          <w:szCs w:val="20"/>
          <w:lang w:val="es-CR"/>
        </w:rPr>
        <w:t xml:space="preserve"> </w:t>
      </w:r>
      <w:r w:rsidR="00A97EE6" w:rsidRPr="00CF1787">
        <w:rPr>
          <w:szCs w:val="20"/>
          <w:lang w:val="es-CR"/>
        </w:rPr>
        <w:t xml:space="preserve">Esparza </w:t>
      </w:r>
      <w:r w:rsidRPr="00CF1787">
        <w:rPr>
          <w:szCs w:val="20"/>
          <w:lang w:val="es-CR"/>
        </w:rPr>
        <w:t>en el proceso interno, la Corte recuerda que en la jurisdicción interna corresponde a los órganos competentes dirigir la investigación y encauzarla de acuerdo a las estrategias o líneas de investigación determinadas por ellos para el esclarecimiento de los hechos y, en todo caso, la investigación debe ser impulsada de oficio, sin que sean las víctimas o sus familiares quienes tengan la carga de asumir tal iniciativa</w:t>
      </w:r>
      <w:r w:rsidRPr="00CF1787">
        <w:rPr>
          <w:lang w:val="es-CR"/>
        </w:rPr>
        <w:t xml:space="preserve">, que corresponde al </w:t>
      </w:r>
      <w:r w:rsidRPr="00CF1787">
        <w:rPr>
          <w:szCs w:val="20"/>
          <w:lang w:val="es-CR"/>
        </w:rPr>
        <w:t>Estado</w:t>
      </w:r>
      <w:r w:rsidRPr="00CF1787">
        <w:rPr>
          <w:rStyle w:val="FootnoteReference"/>
          <w:sz w:val="20"/>
          <w:szCs w:val="20"/>
          <w:lang w:val="es-CR"/>
        </w:rPr>
        <w:footnoteReference w:id="15"/>
      </w:r>
      <w:r w:rsidRPr="00CF1787">
        <w:rPr>
          <w:szCs w:val="20"/>
          <w:lang w:val="es-CR"/>
        </w:rPr>
        <w:t xml:space="preserve">. En este sentido, sin perjuicio de las razones por las cuales la señora Trujillo </w:t>
      </w:r>
      <w:r w:rsidR="00A97EE6" w:rsidRPr="00CF1787">
        <w:rPr>
          <w:szCs w:val="20"/>
          <w:lang w:val="es-CR"/>
        </w:rPr>
        <w:t xml:space="preserve">Esparza </w:t>
      </w:r>
      <w:r w:rsidRPr="00CF1787">
        <w:rPr>
          <w:szCs w:val="20"/>
          <w:lang w:val="es-CR"/>
        </w:rPr>
        <w:t>desistió</w:t>
      </w:r>
      <w:r w:rsidRPr="00CF1787">
        <w:rPr>
          <w:lang w:val="es-CR"/>
        </w:rPr>
        <w:t xml:space="preserve"> del proceso, esto no puede ser utilizado </w:t>
      </w:r>
      <w:r w:rsidRPr="00CF1787">
        <w:rPr>
          <w:rFonts w:eastAsiaTheme="minorHAnsi" w:cstheme="minorBidi"/>
          <w:lang w:val="es-CR"/>
        </w:rPr>
        <w:t xml:space="preserve">por el Estado para excusarse del cumplimiento de sus obligaciones. </w:t>
      </w:r>
    </w:p>
    <w:p w14:paraId="37AB8EE1" w14:textId="77777777" w:rsidR="008C2925" w:rsidRPr="00CF1787" w:rsidRDefault="008C2925" w:rsidP="008C2925">
      <w:pPr>
        <w:pStyle w:val="NoSpacing"/>
        <w:tabs>
          <w:tab w:val="left" w:pos="567"/>
        </w:tabs>
        <w:rPr>
          <w:spacing w:val="-2"/>
          <w:lang w:val="es-CR"/>
        </w:rPr>
      </w:pPr>
    </w:p>
    <w:p w14:paraId="4B951CF0" w14:textId="77777777" w:rsidR="008C2925" w:rsidRPr="00CF1787" w:rsidRDefault="008C2925" w:rsidP="008C2925">
      <w:pPr>
        <w:pStyle w:val="NoSpacing"/>
        <w:numPr>
          <w:ilvl w:val="0"/>
          <w:numId w:val="5"/>
        </w:numPr>
        <w:tabs>
          <w:tab w:val="left" w:pos="567"/>
        </w:tabs>
        <w:ind w:left="0" w:firstLine="0"/>
        <w:rPr>
          <w:spacing w:val="-2"/>
          <w:lang w:val="es-CR"/>
        </w:rPr>
      </w:pPr>
      <w:r w:rsidRPr="00CF1787">
        <w:rPr>
          <w:lang w:val="es-CR"/>
        </w:rPr>
        <w:t xml:space="preserve">En razón de </w:t>
      </w:r>
      <w:r w:rsidRPr="00CF1787">
        <w:rPr>
          <w:rFonts w:cs="Arial"/>
          <w:lang w:val="es-CR"/>
        </w:rPr>
        <w:t>lo</w:t>
      </w:r>
      <w:r w:rsidRPr="00CF1787">
        <w:rPr>
          <w:lang w:val="es-CR"/>
        </w:rPr>
        <w:t xml:space="preserve"> </w:t>
      </w:r>
      <w:r w:rsidRPr="00CF1787">
        <w:rPr>
          <w:spacing w:val="-2"/>
          <w:lang w:val="es-CR"/>
        </w:rPr>
        <w:t>expuesto</w:t>
      </w:r>
      <w:r w:rsidRPr="00CF1787">
        <w:rPr>
          <w:lang w:val="es-CR"/>
        </w:rPr>
        <w:t xml:space="preserve">, la Corte desestima la presente excepción preliminar por improcedente. </w:t>
      </w:r>
    </w:p>
    <w:p w14:paraId="3283FCCE" w14:textId="77777777" w:rsidR="008C2925" w:rsidRPr="00CF1787" w:rsidRDefault="008C2925" w:rsidP="008C2925">
      <w:pPr>
        <w:rPr>
          <w:lang w:val="es-CR" w:eastAsia="es-MX"/>
        </w:rPr>
      </w:pPr>
    </w:p>
    <w:p w14:paraId="0C86279B" w14:textId="77777777" w:rsidR="008C2925" w:rsidRPr="00CF1787" w:rsidRDefault="008C2925" w:rsidP="008C2925">
      <w:pPr>
        <w:pStyle w:val="Heading2"/>
        <w:numPr>
          <w:ilvl w:val="0"/>
          <w:numId w:val="6"/>
        </w:numPr>
        <w:rPr>
          <w:lang w:val="es-CR"/>
        </w:rPr>
      </w:pPr>
      <w:bookmarkStart w:id="212" w:name="_Toc465177360"/>
      <w:bookmarkStart w:id="213" w:name="_Toc470098033"/>
      <w:r w:rsidRPr="00CF1787">
        <w:rPr>
          <w:lang w:val="es-CR"/>
        </w:rPr>
        <w:t>Alegada violación del debido proceso ante la Comisión Interamericana</w:t>
      </w:r>
      <w:bookmarkEnd w:id="212"/>
      <w:bookmarkEnd w:id="213"/>
      <w:r w:rsidRPr="00CF1787">
        <w:rPr>
          <w:lang w:val="es-CR"/>
        </w:rPr>
        <w:t xml:space="preserve">  </w:t>
      </w:r>
    </w:p>
    <w:p w14:paraId="11AA24B3" w14:textId="77777777" w:rsidR="008C2925" w:rsidRPr="00CF1787" w:rsidRDefault="008C2925" w:rsidP="008C2925">
      <w:pPr>
        <w:pStyle w:val="NoSpacing"/>
        <w:tabs>
          <w:tab w:val="left" w:pos="567"/>
        </w:tabs>
        <w:rPr>
          <w:lang w:val="es-CR"/>
        </w:rPr>
      </w:pPr>
    </w:p>
    <w:p w14:paraId="474EB421" w14:textId="48612758" w:rsidR="008C2925" w:rsidRPr="00CF1787" w:rsidRDefault="008C2925" w:rsidP="008C2925">
      <w:pPr>
        <w:pStyle w:val="NoSpacing"/>
        <w:numPr>
          <w:ilvl w:val="0"/>
          <w:numId w:val="5"/>
        </w:numPr>
        <w:tabs>
          <w:tab w:val="left" w:pos="567"/>
        </w:tabs>
        <w:ind w:left="0" w:firstLine="0"/>
        <w:rPr>
          <w:spacing w:val="-2"/>
          <w:szCs w:val="20"/>
          <w:lang w:val="es-CR"/>
        </w:rPr>
      </w:pPr>
      <w:r w:rsidRPr="00CF1787">
        <w:rPr>
          <w:lang w:val="es-CR"/>
        </w:rPr>
        <w:t xml:space="preserve">El </w:t>
      </w:r>
      <w:r w:rsidRPr="00CF1787">
        <w:rPr>
          <w:b/>
          <w:i/>
          <w:szCs w:val="20"/>
          <w:lang w:val="es-CR"/>
        </w:rPr>
        <w:t xml:space="preserve">Estado </w:t>
      </w:r>
      <w:r w:rsidRPr="00CF1787">
        <w:rPr>
          <w:szCs w:val="20"/>
          <w:lang w:val="es-CR"/>
        </w:rPr>
        <w:t xml:space="preserve">alegó que “su derecho a la defensa había sido vulnerado, puesto que en el desarrollo de la tramitación </w:t>
      </w:r>
      <w:r w:rsidR="004D2661" w:rsidRPr="00CF1787">
        <w:rPr>
          <w:szCs w:val="20"/>
          <w:lang w:val="es-CR"/>
        </w:rPr>
        <w:t>[ante la Comisión, e</w:t>
      </w:r>
      <w:r w:rsidRPr="00CF1787">
        <w:rPr>
          <w:szCs w:val="20"/>
          <w:lang w:val="es-CR"/>
        </w:rPr>
        <w:t>sta] ha actuado fuera del principio de legalidad”.</w:t>
      </w:r>
      <w:r w:rsidRPr="00CF1787">
        <w:rPr>
          <w:b/>
          <w:szCs w:val="20"/>
          <w:lang w:val="es-CR"/>
        </w:rPr>
        <w:t xml:space="preserve"> </w:t>
      </w:r>
      <w:r w:rsidRPr="00CF1787">
        <w:rPr>
          <w:szCs w:val="20"/>
          <w:lang w:val="es-CR"/>
        </w:rPr>
        <w:t xml:space="preserve">Al respecto, el Estado presentó tres argumentos: (i) la alegada falta de motivación </w:t>
      </w:r>
      <w:r w:rsidRPr="00CF1787">
        <w:rPr>
          <w:szCs w:val="20"/>
          <w:lang w:val="es-CR"/>
        </w:rPr>
        <w:lastRenderedPageBreak/>
        <w:t>en cuanto a la aplicación del artículo 37(3) del Reglamento de la Comisión; (ii) la alegada falta de motivación de la presunta vulneración a los artículos 8 y 25 de la Convención Americana, y (iii) el alegado</w:t>
      </w:r>
      <w:r w:rsidRPr="00CF1787">
        <w:rPr>
          <w:i/>
          <w:szCs w:val="20"/>
          <w:lang w:val="es-CR"/>
        </w:rPr>
        <w:t xml:space="preserve"> </w:t>
      </w:r>
      <w:r w:rsidRPr="00CF1787">
        <w:rPr>
          <w:szCs w:val="20"/>
          <w:lang w:val="es-CR"/>
        </w:rPr>
        <w:t>retardo injustificado en la tramitación de la causa ante la Comisión.</w:t>
      </w:r>
      <w:bookmarkStart w:id="214" w:name="_Ref431391501"/>
      <w:r w:rsidRPr="00CF1787">
        <w:rPr>
          <w:szCs w:val="20"/>
          <w:lang w:val="es-CR"/>
        </w:rPr>
        <w:t xml:space="preserve"> De manera expresa, el Estado solo solicitó </w:t>
      </w:r>
      <w:r w:rsidRPr="00CF1787">
        <w:rPr>
          <w:lang w:val="es-CR"/>
        </w:rPr>
        <w:t>que la Corte “declare su incompetencia para conocer el caso”, en sus alegatos sobre el primero de estos argumentos. Sin embargo, la Corte entiende que dicha pretensión se extiende a los otros dos argumentos que el Ecuador señaló como sustento de su alegato, más general, sobre la violación de su derecho a la defensa en el procedimiento ante la Comisión. En dicha medida, este Tribunal estima que corresponde analizar estos tres argumentos</w:t>
      </w:r>
      <w:r w:rsidR="004D2661" w:rsidRPr="00CF1787">
        <w:rPr>
          <w:lang w:val="es-CR"/>
        </w:rPr>
        <w:t xml:space="preserve"> como parte de la misma excepció</w:t>
      </w:r>
      <w:r w:rsidRPr="00CF1787">
        <w:rPr>
          <w:lang w:val="es-CR"/>
        </w:rPr>
        <w:t>n preliminar.</w:t>
      </w:r>
    </w:p>
    <w:p w14:paraId="31612C4F" w14:textId="77777777" w:rsidR="008C2925" w:rsidRPr="00CF1787" w:rsidRDefault="008C2925" w:rsidP="008C2925">
      <w:pPr>
        <w:pStyle w:val="NoSpacing"/>
        <w:tabs>
          <w:tab w:val="left" w:pos="567"/>
        </w:tabs>
        <w:rPr>
          <w:spacing w:val="-2"/>
          <w:szCs w:val="20"/>
          <w:lang w:val="es-CR"/>
        </w:rPr>
      </w:pPr>
    </w:p>
    <w:p w14:paraId="77ED8FC3" w14:textId="5812314C" w:rsidR="008C2925" w:rsidRPr="00CF1787" w:rsidRDefault="008C2925" w:rsidP="008C2925">
      <w:pPr>
        <w:pStyle w:val="NoSpacing"/>
        <w:numPr>
          <w:ilvl w:val="0"/>
          <w:numId w:val="5"/>
        </w:numPr>
        <w:tabs>
          <w:tab w:val="left" w:pos="567"/>
        </w:tabs>
        <w:ind w:left="0" w:firstLine="0"/>
        <w:rPr>
          <w:spacing w:val="-2"/>
          <w:szCs w:val="20"/>
          <w:lang w:val="es-CR"/>
        </w:rPr>
      </w:pPr>
      <w:r w:rsidRPr="00CF1787">
        <w:rPr>
          <w:szCs w:val="20"/>
          <w:lang w:val="es-CR"/>
        </w:rPr>
        <w:t>A continuación se exponen consideraciones generales sobre el control de legalidad del procedimiento ante la Comisión. Seguidamente se resumirán los alegatos de</w:t>
      </w:r>
      <w:r w:rsidR="004D2661" w:rsidRPr="00CF1787">
        <w:rPr>
          <w:szCs w:val="20"/>
          <w:lang w:val="es-CR"/>
        </w:rPr>
        <w:t xml:space="preserve">l Estado </w:t>
      </w:r>
      <w:r w:rsidRPr="00CF1787">
        <w:rPr>
          <w:szCs w:val="20"/>
          <w:lang w:val="es-CR"/>
        </w:rPr>
        <w:t xml:space="preserve">y </w:t>
      </w:r>
      <w:r w:rsidR="004D2661" w:rsidRPr="00CF1787">
        <w:rPr>
          <w:szCs w:val="20"/>
          <w:lang w:val="es-CR"/>
        </w:rPr>
        <w:t xml:space="preserve">de </w:t>
      </w:r>
      <w:r w:rsidRPr="00CF1787">
        <w:rPr>
          <w:szCs w:val="20"/>
          <w:lang w:val="es-CR"/>
        </w:rPr>
        <w:t xml:space="preserve">la Comisión sobre cada uno de los tres argumentos del </w:t>
      </w:r>
      <w:r w:rsidR="004D2661" w:rsidRPr="00CF1787">
        <w:rPr>
          <w:szCs w:val="20"/>
          <w:lang w:val="es-CR"/>
        </w:rPr>
        <w:t xml:space="preserve">Ecuador </w:t>
      </w:r>
      <w:r w:rsidRPr="00CF1787">
        <w:rPr>
          <w:szCs w:val="20"/>
          <w:lang w:val="es-CR"/>
        </w:rPr>
        <w:t>y se realizarán las consideraciones pertinentes.</w:t>
      </w:r>
      <w:r w:rsidR="004D2661" w:rsidRPr="00CF1787">
        <w:rPr>
          <w:szCs w:val="20"/>
          <w:lang w:val="es-CR"/>
        </w:rPr>
        <w:t xml:space="preserve"> Los representantes no se pronunciaron sobre esta excepción preliminar. </w:t>
      </w:r>
    </w:p>
    <w:p w14:paraId="6FB12D77" w14:textId="77777777" w:rsidR="008C2925" w:rsidRPr="00CF1787" w:rsidRDefault="008C2925" w:rsidP="008C2925">
      <w:pPr>
        <w:pStyle w:val="NoSpacing"/>
        <w:tabs>
          <w:tab w:val="left" w:pos="567"/>
        </w:tabs>
        <w:rPr>
          <w:spacing w:val="-2"/>
          <w:szCs w:val="20"/>
          <w:lang w:val="es-CR"/>
        </w:rPr>
      </w:pPr>
    </w:p>
    <w:p w14:paraId="7B2A115B" w14:textId="77777777" w:rsidR="008C2925" w:rsidRPr="00CF1787" w:rsidRDefault="008C2925" w:rsidP="008C2925">
      <w:pPr>
        <w:pStyle w:val="NoSpacing"/>
        <w:numPr>
          <w:ilvl w:val="0"/>
          <w:numId w:val="5"/>
        </w:numPr>
        <w:tabs>
          <w:tab w:val="left" w:pos="567"/>
        </w:tabs>
        <w:ind w:left="0" w:firstLine="0"/>
        <w:rPr>
          <w:spacing w:val="-2"/>
          <w:szCs w:val="20"/>
          <w:lang w:val="es-CR"/>
        </w:rPr>
      </w:pPr>
      <w:r w:rsidRPr="00CF1787">
        <w:rPr>
          <w:rFonts w:eastAsia="Verdana"/>
          <w:szCs w:val="20"/>
          <w:lang w:val="es-CR"/>
        </w:rPr>
        <w:t>La</w:t>
      </w:r>
      <w:r w:rsidRPr="00CF1787">
        <w:rPr>
          <w:rFonts w:eastAsia="Verdana"/>
          <w:spacing w:val="14"/>
          <w:szCs w:val="20"/>
          <w:lang w:val="es-CR"/>
        </w:rPr>
        <w:t xml:space="preserve"> </w:t>
      </w:r>
      <w:r w:rsidRPr="00CF1787">
        <w:rPr>
          <w:rFonts w:eastAsia="Verdana"/>
          <w:szCs w:val="20"/>
          <w:lang w:val="es-CR"/>
        </w:rPr>
        <w:t>C</w:t>
      </w:r>
      <w:r w:rsidRPr="00CF1787">
        <w:rPr>
          <w:rFonts w:eastAsia="Verdana"/>
          <w:spacing w:val="1"/>
          <w:szCs w:val="20"/>
          <w:lang w:val="es-CR"/>
        </w:rPr>
        <w:t>o</w:t>
      </w:r>
      <w:r w:rsidRPr="00CF1787">
        <w:rPr>
          <w:rFonts w:eastAsia="Verdana"/>
          <w:spacing w:val="-1"/>
          <w:szCs w:val="20"/>
          <w:lang w:val="es-CR"/>
        </w:rPr>
        <w:t>r</w:t>
      </w:r>
      <w:r w:rsidRPr="00CF1787">
        <w:rPr>
          <w:rFonts w:eastAsia="Verdana"/>
          <w:spacing w:val="1"/>
          <w:szCs w:val="20"/>
          <w:lang w:val="es-CR"/>
        </w:rPr>
        <w:t>t</w:t>
      </w:r>
      <w:r w:rsidRPr="00CF1787">
        <w:rPr>
          <w:rFonts w:eastAsia="Verdana"/>
          <w:szCs w:val="20"/>
          <w:lang w:val="es-CR"/>
        </w:rPr>
        <w:t>e</w:t>
      </w:r>
      <w:r w:rsidRPr="00CF1787">
        <w:rPr>
          <w:rFonts w:eastAsia="Verdana"/>
          <w:spacing w:val="12"/>
          <w:szCs w:val="20"/>
          <w:lang w:val="es-CR"/>
        </w:rPr>
        <w:t xml:space="preserve"> </w:t>
      </w:r>
      <w:r w:rsidRPr="00CF1787">
        <w:rPr>
          <w:rFonts w:eastAsia="Verdana"/>
          <w:szCs w:val="20"/>
          <w:lang w:val="es-CR"/>
        </w:rPr>
        <w:t>c</w:t>
      </w:r>
      <w:r w:rsidRPr="00CF1787">
        <w:rPr>
          <w:rFonts w:eastAsia="Verdana"/>
          <w:spacing w:val="-2"/>
          <w:szCs w:val="20"/>
          <w:lang w:val="es-CR"/>
        </w:rPr>
        <w:t>o</w:t>
      </w:r>
      <w:r w:rsidRPr="00CF1787">
        <w:rPr>
          <w:rFonts w:eastAsia="Verdana"/>
          <w:spacing w:val="1"/>
          <w:szCs w:val="20"/>
          <w:lang w:val="es-CR"/>
        </w:rPr>
        <w:t>n</w:t>
      </w:r>
      <w:r w:rsidRPr="00CF1787">
        <w:rPr>
          <w:rFonts w:eastAsia="Verdana"/>
          <w:szCs w:val="20"/>
          <w:lang w:val="es-CR"/>
        </w:rPr>
        <w:t>s</w:t>
      </w:r>
      <w:r w:rsidRPr="00CF1787">
        <w:rPr>
          <w:rFonts w:eastAsia="Verdana"/>
          <w:spacing w:val="2"/>
          <w:szCs w:val="20"/>
          <w:lang w:val="es-CR"/>
        </w:rPr>
        <w:t>i</w:t>
      </w:r>
      <w:r w:rsidRPr="00CF1787">
        <w:rPr>
          <w:rFonts w:eastAsia="Verdana"/>
          <w:spacing w:val="1"/>
          <w:szCs w:val="20"/>
          <w:lang w:val="es-CR"/>
        </w:rPr>
        <w:t>d</w:t>
      </w:r>
      <w:r w:rsidRPr="00CF1787">
        <w:rPr>
          <w:rFonts w:eastAsia="Verdana"/>
          <w:spacing w:val="-1"/>
          <w:szCs w:val="20"/>
          <w:lang w:val="es-CR"/>
        </w:rPr>
        <w:t>er</w:t>
      </w:r>
      <w:r w:rsidRPr="00CF1787">
        <w:rPr>
          <w:rFonts w:eastAsia="Verdana"/>
          <w:szCs w:val="20"/>
          <w:lang w:val="es-CR"/>
        </w:rPr>
        <w:t>a</w:t>
      </w:r>
      <w:r w:rsidRPr="00CF1787">
        <w:rPr>
          <w:rFonts w:eastAsia="Verdana"/>
          <w:spacing w:val="8"/>
          <w:szCs w:val="20"/>
          <w:lang w:val="es-CR"/>
        </w:rPr>
        <w:t xml:space="preserve"> </w:t>
      </w:r>
      <w:r w:rsidRPr="00CF1787">
        <w:rPr>
          <w:rFonts w:eastAsia="Verdana"/>
          <w:spacing w:val="3"/>
          <w:szCs w:val="20"/>
          <w:lang w:val="es-CR"/>
        </w:rPr>
        <w:t>p</w:t>
      </w:r>
      <w:r w:rsidRPr="00CF1787">
        <w:rPr>
          <w:rFonts w:eastAsia="Verdana"/>
          <w:spacing w:val="-1"/>
          <w:szCs w:val="20"/>
          <w:lang w:val="es-CR"/>
        </w:rPr>
        <w:t>er</w:t>
      </w:r>
      <w:r w:rsidRPr="00CF1787">
        <w:rPr>
          <w:rFonts w:eastAsia="Verdana"/>
          <w:spacing w:val="3"/>
          <w:szCs w:val="20"/>
          <w:lang w:val="es-CR"/>
        </w:rPr>
        <w:t>ti</w:t>
      </w:r>
      <w:r w:rsidRPr="00CF1787">
        <w:rPr>
          <w:rFonts w:eastAsia="Verdana"/>
          <w:spacing w:val="1"/>
          <w:szCs w:val="20"/>
          <w:lang w:val="es-CR"/>
        </w:rPr>
        <w:t>n</w:t>
      </w:r>
      <w:r w:rsidRPr="00CF1787">
        <w:rPr>
          <w:rFonts w:eastAsia="Verdana"/>
          <w:spacing w:val="-1"/>
          <w:szCs w:val="20"/>
          <w:lang w:val="es-CR"/>
        </w:rPr>
        <w:t>e</w:t>
      </w:r>
      <w:r w:rsidRPr="00CF1787">
        <w:rPr>
          <w:rFonts w:eastAsia="Verdana"/>
          <w:spacing w:val="1"/>
          <w:szCs w:val="20"/>
          <w:lang w:val="es-CR"/>
        </w:rPr>
        <w:t>nt</w:t>
      </w:r>
      <w:r w:rsidRPr="00CF1787">
        <w:rPr>
          <w:rFonts w:eastAsia="Verdana"/>
          <w:szCs w:val="20"/>
          <w:lang w:val="es-CR"/>
        </w:rPr>
        <w:t>e</w:t>
      </w:r>
      <w:r w:rsidRPr="00CF1787">
        <w:rPr>
          <w:rFonts w:eastAsia="Verdana"/>
          <w:spacing w:val="5"/>
          <w:szCs w:val="20"/>
          <w:lang w:val="es-CR"/>
        </w:rPr>
        <w:t xml:space="preserve"> </w:t>
      </w:r>
      <w:r w:rsidRPr="00CF1787">
        <w:rPr>
          <w:rFonts w:eastAsia="Verdana"/>
          <w:spacing w:val="-1"/>
          <w:szCs w:val="20"/>
          <w:lang w:val="es-CR"/>
        </w:rPr>
        <w:t>re</w:t>
      </w:r>
      <w:r w:rsidRPr="00CF1787">
        <w:rPr>
          <w:rFonts w:eastAsia="Verdana"/>
          <w:spacing w:val="2"/>
          <w:szCs w:val="20"/>
          <w:lang w:val="es-CR"/>
        </w:rPr>
        <w:t>c</w:t>
      </w:r>
      <w:r w:rsidRPr="00CF1787">
        <w:rPr>
          <w:rFonts w:eastAsia="Verdana"/>
          <w:spacing w:val="-1"/>
          <w:szCs w:val="20"/>
          <w:lang w:val="es-CR"/>
        </w:rPr>
        <w:t>or</w:t>
      </w:r>
      <w:r w:rsidRPr="00CF1787">
        <w:rPr>
          <w:rFonts w:eastAsia="Verdana"/>
          <w:spacing w:val="1"/>
          <w:szCs w:val="20"/>
          <w:lang w:val="es-CR"/>
        </w:rPr>
        <w:t>d</w:t>
      </w:r>
      <w:r w:rsidRPr="00CF1787">
        <w:rPr>
          <w:rFonts w:eastAsia="Verdana"/>
          <w:spacing w:val="2"/>
          <w:szCs w:val="20"/>
          <w:lang w:val="es-CR"/>
        </w:rPr>
        <w:t>a</w:t>
      </w:r>
      <w:r w:rsidRPr="00CF1787">
        <w:rPr>
          <w:rFonts w:eastAsia="Verdana"/>
          <w:szCs w:val="20"/>
          <w:lang w:val="es-CR"/>
        </w:rPr>
        <w:t>r</w:t>
      </w:r>
      <w:r w:rsidRPr="00CF1787">
        <w:rPr>
          <w:rFonts w:eastAsia="Verdana"/>
          <w:spacing w:val="9"/>
          <w:szCs w:val="20"/>
          <w:lang w:val="es-CR"/>
        </w:rPr>
        <w:t xml:space="preserve"> </w:t>
      </w:r>
      <w:r w:rsidRPr="00CF1787">
        <w:rPr>
          <w:rFonts w:eastAsia="Verdana"/>
          <w:spacing w:val="1"/>
          <w:szCs w:val="20"/>
          <w:lang w:val="es-CR"/>
        </w:rPr>
        <w:t>qu</w:t>
      </w:r>
      <w:r w:rsidRPr="00CF1787">
        <w:rPr>
          <w:rFonts w:eastAsia="Verdana"/>
          <w:spacing w:val="-1"/>
          <w:szCs w:val="20"/>
          <w:lang w:val="es-CR"/>
        </w:rPr>
        <w:t>e</w:t>
      </w:r>
      <w:r w:rsidRPr="00CF1787">
        <w:rPr>
          <w:rFonts w:eastAsia="Verdana"/>
          <w:szCs w:val="20"/>
          <w:lang w:val="es-CR"/>
        </w:rPr>
        <w:t>,</w:t>
      </w:r>
      <w:r w:rsidRPr="00CF1787">
        <w:rPr>
          <w:rFonts w:eastAsia="Verdana"/>
          <w:spacing w:val="14"/>
          <w:szCs w:val="20"/>
          <w:lang w:val="es-CR"/>
        </w:rPr>
        <w:t xml:space="preserve"> </w:t>
      </w:r>
      <w:r w:rsidRPr="00CF1787">
        <w:rPr>
          <w:rFonts w:eastAsia="Verdana"/>
          <w:spacing w:val="-1"/>
          <w:szCs w:val="20"/>
          <w:lang w:val="es-CR"/>
        </w:rPr>
        <w:t>e</w:t>
      </w:r>
      <w:r w:rsidRPr="00CF1787">
        <w:rPr>
          <w:rFonts w:eastAsia="Verdana"/>
          <w:szCs w:val="20"/>
          <w:lang w:val="es-CR"/>
        </w:rPr>
        <w:t>n</w:t>
      </w:r>
      <w:r w:rsidRPr="00CF1787">
        <w:rPr>
          <w:rFonts w:eastAsia="Verdana"/>
          <w:spacing w:val="10"/>
          <w:szCs w:val="20"/>
          <w:lang w:val="es-CR"/>
        </w:rPr>
        <w:t xml:space="preserve"> </w:t>
      </w:r>
      <w:r w:rsidRPr="00CF1787">
        <w:rPr>
          <w:rFonts w:eastAsia="Verdana"/>
          <w:szCs w:val="20"/>
          <w:lang w:val="es-CR"/>
        </w:rPr>
        <w:t>as</w:t>
      </w:r>
      <w:r w:rsidRPr="00CF1787">
        <w:rPr>
          <w:rFonts w:eastAsia="Verdana"/>
          <w:spacing w:val="1"/>
          <w:szCs w:val="20"/>
          <w:lang w:val="es-CR"/>
        </w:rPr>
        <w:t>unto</w:t>
      </w:r>
      <w:r w:rsidRPr="00CF1787">
        <w:rPr>
          <w:rFonts w:eastAsia="Verdana"/>
          <w:szCs w:val="20"/>
          <w:lang w:val="es-CR"/>
        </w:rPr>
        <w:t>s</w:t>
      </w:r>
      <w:r w:rsidRPr="00CF1787">
        <w:rPr>
          <w:rFonts w:eastAsia="Verdana"/>
          <w:spacing w:val="2"/>
          <w:szCs w:val="20"/>
          <w:lang w:val="es-CR"/>
        </w:rPr>
        <w:t xml:space="preserve"> </w:t>
      </w:r>
      <w:r w:rsidRPr="00CF1787">
        <w:rPr>
          <w:rFonts w:eastAsia="Verdana"/>
          <w:spacing w:val="1"/>
          <w:szCs w:val="20"/>
          <w:lang w:val="es-CR"/>
        </w:rPr>
        <w:t>qu</w:t>
      </w:r>
      <w:r w:rsidRPr="00CF1787">
        <w:rPr>
          <w:rFonts w:eastAsia="Verdana"/>
          <w:szCs w:val="20"/>
          <w:lang w:val="es-CR"/>
        </w:rPr>
        <w:t>e</w:t>
      </w:r>
      <w:r w:rsidRPr="00CF1787">
        <w:rPr>
          <w:rFonts w:eastAsia="Verdana"/>
          <w:spacing w:val="8"/>
          <w:szCs w:val="20"/>
          <w:lang w:val="es-CR"/>
        </w:rPr>
        <w:t xml:space="preserve"> </w:t>
      </w:r>
      <w:r w:rsidRPr="00CF1787">
        <w:rPr>
          <w:rFonts w:eastAsia="Verdana"/>
          <w:spacing w:val="-1"/>
          <w:szCs w:val="20"/>
          <w:lang w:val="es-CR"/>
        </w:rPr>
        <w:t>e</w:t>
      </w:r>
      <w:r w:rsidRPr="00CF1787">
        <w:rPr>
          <w:rFonts w:eastAsia="Verdana"/>
          <w:spacing w:val="2"/>
          <w:szCs w:val="20"/>
          <w:lang w:val="es-CR"/>
        </w:rPr>
        <w:t>s</w:t>
      </w:r>
      <w:r w:rsidRPr="00CF1787">
        <w:rPr>
          <w:rFonts w:eastAsia="Verdana"/>
          <w:spacing w:val="1"/>
          <w:szCs w:val="20"/>
          <w:lang w:val="es-CR"/>
        </w:rPr>
        <w:t>té</w:t>
      </w:r>
      <w:r w:rsidRPr="00CF1787">
        <w:rPr>
          <w:rFonts w:eastAsia="Verdana"/>
          <w:szCs w:val="20"/>
          <w:lang w:val="es-CR"/>
        </w:rPr>
        <w:t xml:space="preserve">n </w:t>
      </w:r>
      <w:r w:rsidRPr="00CF1787">
        <w:rPr>
          <w:rFonts w:eastAsia="Verdana"/>
          <w:spacing w:val="1"/>
          <w:szCs w:val="20"/>
          <w:lang w:val="es-CR"/>
        </w:rPr>
        <w:t>b</w:t>
      </w:r>
      <w:r w:rsidRPr="00CF1787">
        <w:rPr>
          <w:rFonts w:eastAsia="Verdana"/>
          <w:szCs w:val="20"/>
          <w:lang w:val="es-CR"/>
        </w:rPr>
        <w:t>a</w:t>
      </w:r>
      <w:r w:rsidRPr="00CF1787">
        <w:rPr>
          <w:rFonts w:eastAsia="Verdana"/>
          <w:spacing w:val="2"/>
          <w:szCs w:val="20"/>
          <w:lang w:val="es-CR"/>
        </w:rPr>
        <w:t>j</w:t>
      </w:r>
      <w:r w:rsidRPr="00CF1787">
        <w:rPr>
          <w:rFonts w:eastAsia="Verdana"/>
          <w:szCs w:val="20"/>
          <w:lang w:val="es-CR"/>
        </w:rPr>
        <w:t>o</w:t>
      </w:r>
      <w:r w:rsidRPr="00CF1787">
        <w:rPr>
          <w:rFonts w:eastAsia="Verdana"/>
          <w:spacing w:val="12"/>
          <w:szCs w:val="20"/>
          <w:lang w:val="es-CR"/>
        </w:rPr>
        <w:t xml:space="preserve"> </w:t>
      </w:r>
      <w:r w:rsidRPr="00CF1787">
        <w:rPr>
          <w:rFonts w:eastAsia="Verdana"/>
          <w:szCs w:val="20"/>
          <w:lang w:val="es-CR"/>
        </w:rPr>
        <w:t>su</w:t>
      </w:r>
      <w:r w:rsidRPr="00CF1787">
        <w:rPr>
          <w:rFonts w:eastAsia="Verdana"/>
          <w:spacing w:val="15"/>
          <w:szCs w:val="20"/>
          <w:lang w:val="es-CR"/>
        </w:rPr>
        <w:t xml:space="preserve"> </w:t>
      </w:r>
      <w:r w:rsidRPr="00CF1787">
        <w:rPr>
          <w:rFonts w:eastAsia="Verdana"/>
          <w:szCs w:val="20"/>
          <w:lang w:val="es-CR"/>
        </w:rPr>
        <w:t>c</w:t>
      </w:r>
      <w:r w:rsidRPr="00CF1787">
        <w:rPr>
          <w:rFonts w:eastAsia="Verdana"/>
          <w:spacing w:val="-2"/>
          <w:szCs w:val="20"/>
          <w:lang w:val="es-CR"/>
        </w:rPr>
        <w:t>o</w:t>
      </w:r>
      <w:r w:rsidRPr="00CF1787">
        <w:rPr>
          <w:rFonts w:eastAsia="Verdana"/>
          <w:spacing w:val="1"/>
          <w:szCs w:val="20"/>
          <w:lang w:val="es-CR"/>
        </w:rPr>
        <w:t>n</w:t>
      </w:r>
      <w:r w:rsidRPr="00CF1787">
        <w:rPr>
          <w:rFonts w:eastAsia="Verdana"/>
          <w:spacing w:val="-1"/>
          <w:szCs w:val="20"/>
          <w:lang w:val="es-CR"/>
        </w:rPr>
        <w:t>o</w:t>
      </w:r>
      <w:r w:rsidRPr="00CF1787">
        <w:rPr>
          <w:rFonts w:eastAsia="Verdana"/>
          <w:szCs w:val="20"/>
          <w:lang w:val="es-CR"/>
        </w:rPr>
        <w:t>c</w:t>
      </w:r>
      <w:r w:rsidRPr="00CF1787">
        <w:rPr>
          <w:rFonts w:eastAsia="Verdana"/>
          <w:spacing w:val="2"/>
          <w:szCs w:val="20"/>
          <w:lang w:val="es-CR"/>
        </w:rPr>
        <w:t>i</w:t>
      </w:r>
      <w:r w:rsidRPr="00CF1787">
        <w:rPr>
          <w:rFonts w:eastAsia="Verdana"/>
          <w:szCs w:val="20"/>
          <w:lang w:val="es-CR"/>
        </w:rPr>
        <w:t>m</w:t>
      </w:r>
      <w:r w:rsidRPr="00CF1787">
        <w:rPr>
          <w:rFonts w:eastAsia="Verdana"/>
          <w:spacing w:val="3"/>
          <w:szCs w:val="20"/>
          <w:lang w:val="es-CR"/>
        </w:rPr>
        <w:t>i</w:t>
      </w:r>
      <w:r w:rsidRPr="00CF1787">
        <w:rPr>
          <w:rFonts w:eastAsia="Verdana"/>
          <w:spacing w:val="-1"/>
          <w:szCs w:val="20"/>
          <w:lang w:val="es-CR"/>
        </w:rPr>
        <w:t>e</w:t>
      </w:r>
      <w:r w:rsidRPr="00CF1787">
        <w:rPr>
          <w:rFonts w:eastAsia="Verdana"/>
          <w:spacing w:val="1"/>
          <w:szCs w:val="20"/>
          <w:lang w:val="es-CR"/>
        </w:rPr>
        <w:t>nt</w:t>
      </w:r>
      <w:r w:rsidRPr="00CF1787">
        <w:rPr>
          <w:rFonts w:eastAsia="Verdana"/>
          <w:spacing w:val="-1"/>
          <w:szCs w:val="20"/>
          <w:lang w:val="es-CR"/>
        </w:rPr>
        <w:t>o</w:t>
      </w:r>
      <w:r w:rsidRPr="00CF1787">
        <w:rPr>
          <w:rFonts w:eastAsia="Verdana"/>
          <w:szCs w:val="20"/>
          <w:lang w:val="es-CR"/>
        </w:rPr>
        <w:t xml:space="preserve">, </w:t>
      </w:r>
      <w:r w:rsidRPr="00CF1787">
        <w:rPr>
          <w:rFonts w:eastAsia="Verdana"/>
          <w:spacing w:val="1"/>
          <w:szCs w:val="20"/>
          <w:lang w:val="es-CR"/>
        </w:rPr>
        <w:t>t</w:t>
      </w:r>
      <w:r w:rsidRPr="00CF1787">
        <w:rPr>
          <w:rFonts w:eastAsia="Verdana"/>
          <w:spacing w:val="3"/>
          <w:szCs w:val="20"/>
          <w:lang w:val="es-CR"/>
        </w:rPr>
        <w:t>i</w:t>
      </w:r>
      <w:r w:rsidRPr="00CF1787">
        <w:rPr>
          <w:rFonts w:eastAsia="Verdana"/>
          <w:spacing w:val="-1"/>
          <w:szCs w:val="20"/>
          <w:lang w:val="es-CR"/>
        </w:rPr>
        <w:t>e</w:t>
      </w:r>
      <w:r w:rsidRPr="00CF1787">
        <w:rPr>
          <w:rFonts w:eastAsia="Verdana"/>
          <w:spacing w:val="1"/>
          <w:szCs w:val="20"/>
          <w:lang w:val="es-CR"/>
        </w:rPr>
        <w:t>n</w:t>
      </w:r>
      <w:r w:rsidRPr="00CF1787">
        <w:rPr>
          <w:rFonts w:eastAsia="Verdana"/>
          <w:szCs w:val="20"/>
          <w:lang w:val="es-CR"/>
        </w:rPr>
        <w:t>e</w:t>
      </w:r>
      <w:r w:rsidRPr="00CF1787">
        <w:rPr>
          <w:rFonts w:eastAsia="Verdana"/>
          <w:spacing w:val="11"/>
          <w:szCs w:val="20"/>
          <w:lang w:val="es-CR"/>
        </w:rPr>
        <w:t xml:space="preserve"> </w:t>
      </w:r>
      <w:r w:rsidRPr="00CF1787">
        <w:rPr>
          <w:rFonts w:eastAsia="Verdana"/>
          <w:spacing w:val="3"/>
          <w:szCs w:val="20"/>
          <w:lang w:val="es-CR"/>
        </w:rPr>
        <w:t>l</w:t>
      </w:r>
      <w:r w:rsidRPr="00CF1787">
        <w:rPr>
          <w:rFonts w:eastAsia="Verdana"/>
          <w:szCs w:val="20"/>
          <w:lang w:val="es-CR"/>
        </w:rPr>
        <w:t>a</w:t>
      </w:r>
      <w:r w:rsidRPr="00CF1787">
        <w:rPr>
          <w:rFonts w:eastAsia="Verdana"/>
          <w:spacing w:val="13"/>
          <w:szCs w:val="20"/>
          <w:lang w:val="es-CR"/>
        </w:rPr>
        <w:t xml:space="preserve"> </w:t>
      </w:r>
      <w:r w:rsidRPr="00CF1787">
        <w:rPr>
          <w:rFonts w:eastAsia="Verdana"/>
          <w:szCs w:val="20"/>
          <w:lang w:val="es-CR"/>
        </w:rPr>
        <w:t>a</w:t>
      </w:r>
      <w:r w:rsidRPr="00CF1787">
        <w:rPr>
          <w:rFonts w:eastAsia="Verdana"/>
          <w:spacing w:val="1"/>
          <w:szCs w:val="20"/>
          <w:lang w:val="es-CR"/>
        </w:rPr>
        <w:t>t</w:t>
      </w:r>
      <w:r w:rsidRPr="00CF1787">
        <w:rPr>
          <w:rFonts w:eastAsia="Verdana"/>
          <w:spacing w:val="-1"/>
          <w:szCs w:val="20"/>
          <w:lang w:val="es-CR"/>
        </w:rPr>
        <w:t>r</w:t>
      </w:r>
      <w:r w:rsidRPr="00CF1787">
        <w:rPr>
          <w:rFonts w:eastAsia="Verdana"/>
          <w:szCs w:val="20"/>
          <w:lang w:val="es-CR"/>
        </w:rPr>
        <w:t>i</w:t>
      </w:r>
      <w:r w:rsidRPr="00CF1787">
        <w:rPr>
          <w:rFonts w:eastAsia="Verdana"/>
          <w:spacing w:val="1"/>
          <w:szCs w:val="20"/>
          <w:lang w:val="es-CR"/>
        </w:rPr>
        <w:t>bu</w:t>
      </w:r>
      <w:r w:rsidRPr="00CF1787">
        <w:rPr>
          <w:rFonts w:eastAsia="Verdana"/>
          <w:szCs w:val="20"/>
          <w:lang w:val="es-CR"/>
        </w:rPr>
        <w:t>c</w:t>
      </w:r>
      <w:r w:rsidRPr="00CF1787">
        <w:rPr>
          <w:rFonts w:eastAsia="Verdana"/>
          <w:spacing w:val="2"/>
          <w:szCs w:val="20"/>
          <w:lang w:val="es-CR"/>
        </w:rPr>
        <w:t>i</w:t>
      </w:r>
      <w:r w:rsidRPr="00CF1787">
        <w:rPr>
          <w:rFonts w:eastAsia="Verdana"/>
          <w:spacing w:val="-1"/>
          <w:szCs w:val="20"/>
          <w:lang w:val="es-CR"/>
        </w:rPr>
        <w:t>ó</w:t>
      </w:r>
      <w:r w:rsidRPr="00CF1787">
        <w:rPr>
          <w:rFonts w:eastAsia="Verdana"/>
          <w:szCs w:val="20"/>
          <w:lang w:val="es-CR"/>
        </w:rPr>
        <w:t>n</w:t>
      </w:r>
      <w:r w:rsidRPr="00CF1787">
        <w:rPr>
          <w:rFonts w:eastAsia="Verdana"/>
          <w:spacing w:val="8"/>
          <w:szCs w:val="20"/>
          <w:lang w:val="es-CR"/>
        </w:rPr>
        <w:t xml:space="preserve"> </w:t>
      </w:r>
      <w:r w:rsidRPr="00CF1787">
        <w:rPr>
          <w:rFonts w:eastAsia="Verdana"/>
          <w:spacing w:val="1"/>
          <w:szCs w:val="20"/>
          <w:lang w:val="es-CR"/>
        </w:rPr>
        <w:t>d</w:t>
      </w:r>
      <w:r w:rsidRPr="00CF1787">
        <w:rPr>
          <w:rFonts w:eastAsia="Verdana"/>
          <w:szCs w:val="20"/>
          <w:lang w:val="es-CR"/>
        </w:rPr>
        <w:t>e</w:t>
      </w:r>
      <w:r w:rsidRPr="00CF1787">
        <w:rPr>
          <w:rFonts w:eastAsia="Verdana"/>
          <w:spacing w:val="14"/>
          <w:szCs w:val="20"/>
          <w:lang w:val="es-CR"/>
        </w:rPr>
        <w:t xml:space="preserve"> </w:t>
      </w:r>
      <w:r w:rsidRPr="00CF1787">
        <w:rPr>
          <w:rFonts w:eastAsia="Verdana"/>
          <w:spacing w:val="-1"/>
          <w:szCs w:val="20"/>
          <w:lang w:val="es-CR"/>
        </w:rPr>
        <w:t>e</w:t>
      </w:r>
      <w:r w:rsidRPr="00CF1787">
        <w:rPr>
          <w:rFonts w:eastAsia="Verdana"/>
          <w:szCs w:val="20"/>
          <w:lang w:val="es-CR"/>
        </w:rPr>
        <w:t>f</w:t>
      </w:r>
      <w:r w:rsidRPr="00CF1787">
        <w:rPr>
          <w:rFonts w:eastAsia="Verdana"/>
          <w:spacing w:val="-1"/>
          <w:szCs w:val="20"/>
          <w:lang w:val="es-CR"/>
        </w:rPr>
        <w:t>e</w:t>
      </w:r>
      <w:r w:rsidRPr="00CF1787">
        <w:rPr>
          <w:rFonts w:eastAsia="Verdana"/>
          <w:szCs w:val="20"/>
          <w:lang w:val="es-CR"/>
        </w:rPr>
        <w:t>ct</w:t>
      </w:r>
      <w:r w:rsidRPr="00CF1787">
        <w:rPr>
          <w:rFonts w:eastAsia="Verdana"/>
          <w:spacing w:val="1"/>
          <w:szCs w:val="20"/>
          <w:lang w:val="es-CR"/>
        </w:rPr>
        <w:t>u</w:t>
      </w:r>
      <w:r w:rsidRPr="00CF1787">
        <w:rPr>
          <w:rFonts w:eastAsia="Verdana"/>
          <w:szCs w:val="20"/>
          <w:lang w:val="es-CR"/>
        </w:rPr>
        <w:t>ar</w:t>
      </w:r>
      <w:r w:rsidRPr="00CF1787">
        <w:rPr>
          <w:rFonts w:eastAsia="Verdana"/>
          <w:spacing w:val="8"/>
          <w:szCs w:val="20"/>
          <w:lang w:val="es-CR"/>
        </w:rPr>
        <w:t xml:space="preserve"> </w:t>
      </w:r>
      <w:r w:rsidRPr="00CF1787">
        <w:rPr>
          <w:rFonts w:eastAsia="Verdana"/>
          <w:spacing w:val="1"/>
          <w:szCs w:val="20"/>
          <w:lang w:val="es-CR"/>
        </w:rPr>
        <w:t>u</w:t>
      </w:r>
      <w:r w:rsidRPr="00CF1787">
        <w:rPr>
          <w:rFonts w:eastAsia="Verdana"/>
          <w:szCs w:val="20"/>
          <w:lang w:val="es-CR"/>
        </w:rPr>
        <w:t>n</w:t>
      </w:r>
      <w:r w:rsidRPr="00CF1787">
        <w:rPr>
          <w:rFonts w:eastAsia="Verdana"/>
          <w:spacing w:val="15"/>
          <w:szCs w:val="20"/>
          <w:lang w:val="es-CR"/>
        </w:rPr>
        <w:t xml:space="preserve"> </w:t>
      </w:r>
      <w:r w:rsidRPr="00CF1787">
        <w:rPr>
          <w:rFonts w:eastAsia="Verdana"/>
          <w:szCs w:val="20"/>
          <w:lang w:val="es-CR"/>
        </w:rPr>
        <w:t>c</w:t>
      </w:r>
      <w:r w:rsidRPr="00CF1787">
        <w:rPr>
          <w:rFonts w:eastAsia="Verdana"/>
          <w:spacing w:val="-2"/>
          <w:szCs w:val="20"/>
          <w:lang w:val="es-CR"/>
        </w:rPr>
        <w:t>o</w:t>
      </w:r>
      <w:r w:rsidRPr="00CF1787">
        <w:rPr>
          <w:rFonts w:eastAsia="Verdana"/>
          <w:spacing w:val="1"/>
          <w:szCs w:val="20"/>
          <w:lang w:val="es-CR"/>
        </w:rPr>
        <w:t>nt</w:t>
      </w:r>
      <w:r w:rsidRPr="00CF1787">
        <w:rPr>
          <w:rFonts w:eastAsia="Verdana"/>
          <w:spacing w:val="-1"/>
          <w:szCs w:val="20"/>
          <w:lang w:val="es-CR"/>
        </w:rPr>
        <w:t>ro</w:t>
      </w:r>
      <w:r w:rsidRPr="00CF1787">
        <w:rPr>
          <w:rFonts w:eastAsia="Verdana"/>
          <w:szCs w:val="20"/>
          <w:lang w:val="es-CR"/>
        </w:rPr>
        <w:t>l</w:t>
      </w:r>
      <w:r w:rsidRPr="00CF1787">
        <w:rPr>
          <w:rFonts w:eastAsia="Verdana"/>
          <w:spacing w:val="13"/>
          <w:szCs w:val="20"/>
          <w:lang w:val="es-CR"/>
        </w:rPr>
        <w:t xml:space="preserve"> </w:t>
      </w:r>
      <w:r w:rsidRPr="00CF1787">
        <w:rPr>
          <w:rFonts w:eastAsia="Verdana"/>
          <w:spacing w:val="1"/>
          <w:szCs w:val="20"/>
          <w:lang w:val="es-CR"/>
        </w:rPr>
        <w:t>d</w:t>
      </w:r>
      <w:r w:rsidRPr="00CF1787">
        <w:rPr>
          <w:rFonts w:eastAsia="Verdana"/>
          <w:szCs w:val="20"/>
          <w:lang w:val="es-CR"/>
        </w:rPr>
        <w:t>e</w:t>
      </w:r>
      <w:r w:rsidRPr="00CF1787">
        <w:rPr>
          <w:rFonts w:eastAsia="Verdana"/>
          <w:spacing w:val="14"/>
          <w:szCs w:val="20"/>
          <w:lang w:val="es-CR"/>
        </w:rPr>
        <w:t xml:space="preserve"> </w:t>
      </w:r>
      <w:r w:rsidRPr="00CF1787">
        <w:rPr>
          <w:rFonts w:eastAsia="Verdana"/>
          <w:spacing w:val="3"/>
          <w:szCs w:val="20"/>
          <w:lang w:val="es-CR"/>
        </w:rPr>
        <w:t>l</w:t>
      </w:r>
      <w:r w:rsidRPr="00CF1787">
        <w:rPr>
          <w:rFonts w:eastAsia="Verdana"/>
          <w:spacing w:val="-1"/>
          <w:szCs w:val="20"/>
          <w:lang w:val="es-CR"/>
        </w:rPr>
        <w:t>e</w:t>
      </w:r>
      <w:r w:rsidRPr="00CF1787">
        <w:rPr>
          <w:rFonts w:eastAsia="Verdana"/>
          <w:spacing w:val="1"/>
          <w:szCs w:val="20"/>
          <w:lang w:val="es-CR"/>
        </w:rPr>
        <w:t>g</w:t>
      </w:r>
      <w:r w:rsidRPr="00CF1787">
        <w:rPr>
          <w:rFonts w:eastAsia="Verdana"/>
          <w:spacing w:val="-2"/>
          <w:szCs w:val="20"/>
          <w:lang w:val="es-CR"/>
        </w:rPr>
        <w:t>a</w:t>
      </w:r>
      <w:r w:rsidRPr="00CF1787">
        <w:rPr>
          <w:rFonts w:eastAsia="Verdana"/>
          <w:szCs w:val="20"/>
          <w:lang w:val="es-CR"/>
        </w:rPr>
        <w:t>l</w:t>
      </w:r>
      <w:r w:rsidRPr="00CF1787">
        <w:rPr>
          <w:rFonts w:eastAsia="Verdana"/>
          <w:spacing w:val="3"/>
          <w:szCs w:val="20"/>
          <w:lang w:val="es-CR"/>
        </w:rPr>
        <w:t>i</w:t>
      </w:r>
      <w:r w:rsidRPr="00CF1787">
        <w:rPr>
          <w:rFonts w:eastAsia="Verdana"/>
          <w:spacing w:val="1"/>
          <w:szCs w:val="20"/>
          <w:lang w:val="es-CR"/>
        </w:rPr>
        <w:t>d</w:t>
      </w:r>
      <w:r w:rsidRPr="00CF1787">
        <w:rPr>
          <w:rFonts w:eastAsia="Verdana"/>
          <w:szCs w:val="20"/>
          <w:lang w:val="es-CR"/>
        </w:rPr>
        <w:t>ad</w:t>
      </w:r>
      <w:r w:rsidRPr="00CF1787">
        <w:rPr>
          <w:rFonts w:eastAsia="Verdana"/>
          <w:spacing w:val="6"/>
          <w:szCs w:val="20"/>
          <w:lang w:val="es-CR"/>
        </w:rPr>
        <w:t xml:space="preserve"> </w:t>
      </w:r>
      <w:r w:rsidRPr="00CF1787">
        <w:rPr>
          <w:rFonts w:eastAsia="Verdana"/>
          <w:spacing w:val="1"/>
          <w:szCs w:val="20"/>
          <w:lang w:val="es-CR"/>
        </w:rPr>
        <w:t>d</w:t>
      </w:r>
      <w:r w:rsidRPr="00CF1787">
        <w:rPr>
          <w:rFonts w:eastAsia="Verdana"/>
          <w:szCs w:val="20"/>
          <w:lang w:val="es-CR"/>
        </w:rPr>
        <w:t>e</w:t>
      </w:r>
      <w:r w:rsidRPr="00CF1787">
        <w:rPr>
          <w:rFonts w:eastAsia="Verdana"/>
          <w:spacing w:val="14"/>
          <w:szCs w:val="20"/>
          <w:lang w:val="es-CR"/>
        </w:rPr>
        <w:t xml:space="preserve"> </w:t>
      </w:r>
      <w:r w:rsidRPr="00CF1787">
        <w:rPr>
          <w:rFonts w:eastAsia="Verdana"/>
          <w:spacing w:val="3"/>
          <w:szCs w:val="20"/>
          <w:lang w:val="es-CR"/>
        </w:rPr>
        <w:t>l</w:t>
      </w:r>
      <w:r w:rsidRPr="00CF1787">
        <w:rPr>
          <w:rFonts w:eastAsia="Verdana"/>
          <w:szCs w:val="20"/>
          <w:lang w:val="es-CR"/>
        </w:rPr>
        <w:t>as act</w:t>
      </w:r>
      <w:r w:rsidRPr="00CF1787">
        <w:rPr>
          <w:rFonts w:eastAsia="Verdana"/>
          <w:spacing w:val="2"/>
          <w:szCs w:val="20"/>
          <w:lang w:val="es-CR"/>
        </w:rPr>
        <w:t>u</w:t>
      </w:r>
      <w:r w:rsidRPr="00CF1787">
        <w:rPr>
          <w:rFonts w:eastAsia="Verdana"/>
          <w:szCs w:val="20"/>
          <w:lang w:val="es-CR"/>
        </w:rPr>
        <w:t>ac</w:t>
      </w:r>
      <w:r w:rsidRPr="00CF1787">
        <w:rPr>
          <w:rFonts w:eastAsia="Verdana"/>
          <w:spacing w:val="3"/>
          <w:szCs w:val="20"/>
          <w:lang w:val="es-CR"/>
        </w:rPr>
        <w:t>i</w:t>
      </w:r>
      <w:r w:rsidRPr="00CF1787">
        <w:rPr>
          <w:rFonts w:eastAsia="Verdana"/>
          <w:spacing w:val="-1"/>
          <w:szCs w:val="20"/>
          <w:lang w:val="es-CR"/>
        </w:rPr>
        <w:t>o</w:t>
      </w:r>
      <w:r w:rsidRPr="00CF1787">
        <w:rPr>
          <w:rFonts w:eastAsia="Verdana"/>
          <w:spacing w:val="1"/>
          <w:szCs w:val="20"/>
          <w:lang w:val="es-CR"/>
        </w:rPr>
        <w:t>n</w:t>
      </w:r>
      <w:r w:rsidRPr="00CF1787">
        <w:rPr>
          <w:rFonts w:eastAsia="Verdana"/>
          <w:spacing w:val="-1"/>
          <w:szCs w:val="20"/>
          <w:lang w:val="es-CR"/>
        </w:rPr>
        <w:t>e</w:t>
      </w:r>
      <w:r w:rsidRPr="00CF1787">
        <w:rPr>
          <w:rFonts w:eastAsia="Verdana"/>
          <w:szCs w:val="20"/>
          <w:lang w:val="es-CR"/>
        </w:rPr>
        <w:t>s</w:t>
      </w:r>
      <w:r w:rsidRPr="00CF1787">
        <w:rPr>
          <w:rFonts w:eastAsia="Verdana"/>
          <w:spacing w:val="-11"/>
          <w:szCs w:val="20"/>
          <w:lang w:val="es-CR"/>
        </w:rPr>
        <w:t xml:space="preserve"> </w:t>
      </w:r>
      <w:r w:rsidRPr="00CF1787">
        <w:rPr>
          <w:rFonts w:eastAsia="Verdana"/>
          <w:spacing w:val="3"/>
          <w:szCs w:val="20"/>
          <w:lang w:val="es-CR"/>
        </w:rPr>
        <w:t>d</w:t>
      </w:r>
      <w:r w:rsidRPr="00CF1787">
        <w:rPr>
          <w:rFonts w:eastAsia="Verdana"/>
          <w:szCs w:val="20"/>
          <w:lang w:val="es-CR"/>
        </w:rPr>
        <w:t>e</w:t>
      </w:r>
      <w:r w:rsidRPr="00CF1787">
        <w:rPr>
          <w:rFonts w:eastAsia="Verdana"/>
          <w:spacing w:val="-2"/>
          <w:szCs w:val="20"/>
          <w:lang w:val="es-CR"/>
        </w:rPr>
        <w:t xml:space="preserve"> </w:t>
      </w:r>
      <w:r w:rsidRPr="00CF1787">
        <w:rPr>
          <w:rFonts w:eastAsia="Verdana"/>
          <w:spacing w:val="3"/>
          <w:szCs w:val="20"/>
          <w:lang w:val="es-CR"/>
        </w:rPr>
        <w:t>l</w:t>
      </w:r>
      <w:r w:rsidRPr="00CF1787">
        <w:rPr>
          <w:rFonts w:eastAsia="Verdana"/>
          <w:szCs w:val="20"/>
          <w:lang w:val="es-CR"/>
        </w:rPr>
        <w:t>a C</w:t>
      </w:r>
      <w:r w:rsidRPr="00CF1787">
        <w:rPr>
          <w:rFonts w:eastAsia="Verdana"/>
          <w:spacing w:val="-1"/>
          <w:szCs w:val="20"/>
          <w:lang w:val="es-CR"/>
        </w:rPr>
        <w:t>o</w:t>
      </w:r>
      <w:r w:rsidRPr="00CF1787">
        <w:rPr>
          <w:rFonts w:eastAsia="Verdana"/>
          <w:szCs w:val="20"/>
          <w:lang w:val="es-CR"/>
        </w:rPr>
        <w:t>m</w:t>
      </w:r>
      <w:r w:rsidRPr="00CF1787">
        <w:rPr>
          <w:rFonts w:eastAsia="Verdana"/>
          <w:spacing w:val="3"/>
          <w:szCs w:val="20"/>
          <w:lang w:val="es-CR"/>
        </w:rPr>
        <w:t>i</w:t>
      </w:r>
      <w:r w:rsidRPr="00CF1787">
        <w:rPr>
          <w:rFonts w:eastAsia="Verdana"/>
          <w:spacing w:val="2"/>
          <w:szCs w:val="20"/>
          <w:lang w:val="es-CR"/>
        </w:rPr>
        <w:t>s</w:t>
      </w:r>
      <w:r w:rsidRPr="00CF1787">
        <w:rPr>
          <w:rFonts w:eastAsia="Verdana"/>
          <w:spacing w:val="3"/>
          <w:szCs w:val="20"/>
          <w:lang w:val="es-CR"/>
        </w:rPr>
        <w:t>i</w:t>
      </w:r>
      <w:r w:rsidRPr="00CF1787">
        <w:rPr>
          <w:rFonts w:eastAsia="Verdana"/>
          <w:spacing w:val="-1"/>
          <w:szCs w:val="20"/>
          <w:lang w:val="es-CR"/>
        </w:rPr>
        <w:t>ó</w:t>
      </w:r>
      <w:r w:rsidRPr="00CF1787">
        <w:rPr>
          <w:rFonts w:eastAsia="Verdana"/>
          <w:spacing w:val="1"/>
          <w:szCs w:val="20"/>
          <w:lang w:val="es-CR"/>
        </w:rPr>
        <w:t>n</w:t>
      </w:r>
      <w:r w:rsidRPr="00CF1787">
        <w:rPr>
          <w:rStyle w:val="FootnoteReference"/>
          <w:rFonts w:eastAsia="Verdana"/>
          <w:spacing w:val="1"/>
          <w:sz w:val="20"/>
          <w:szCs w:val="20"/>
          <w:lang w:val="es-CR"/>
        </w:rPr>
        <w:footnoteReference w:id="16"/>
      </w:r>
      <w:r w:rsidRPr="00CF1787">
        <w:rPr>
          <w:rFonts w:eastAsia="Verdana"/>
          <w:szCs w:val="20"/>
          <w:lang w:val="es-CR"/>
        </w:rPr>
        <w:t>.</w:t>
      </w:r>
      <w:r w:rsidRPr="00CF1787">
        <w:rPr>
          <w:rFonts w:eastAsia="Verdana"/>
          <w:spacing w:val="-9"/>
          <w:szCs w:val="20"/>
          <w:lang w:val="es-CR"/>
        </w:rPr>
        <w:t xml:space="preserve"> </w:t>
      </w:r>
      <w:r w:rsidRPr="00CF1787">
        <w:rPr>
          <w:rFonts w:eastAsia="Verdana"/>
          <w:spacing w:val="-1"/>
          <w:szCs w:val="20"/>
          <w:lang w:val="es-CR"/>
        </w:rPr>
        <w:t>E</w:t>
      </w:r>
      <w:r w:rsidRPr="00CF1787">
        <w:rPr>
          <w:rFonts w:eastAsia="Verdana"/>
          <w:szCs w:val="20"/>
          <w:lang w:val="es-CR"/>
        </w:rPr>
        <w:t>l</w:t>
      </w:r>
      <w:r w:rsidRPr="00CF1787">
        <w:rPr>
          <w:rFonts w:eastAsia="Verdana"/>
          <w:spacing w:val="3"/>
          <w:szCs w:val="20"/>
          <w:lang w:val="es-CR"/>
        </w:rPr>
        <w:t>l</w:t>
      </w:r>
      <w:r w:rsidRPr="00CF1787">
        <w:rPr>
          <w:rFonts w:eastAsia="Verdana"/>
          <w:szCs w:val="20"/>
          <w:lang w:val="es-CR"/>
        </w:rPr>
        <w:t xml:space="preserve">o </w:t>
      </w:r>
      <w:r w:rsidRPr="00CF1787">
        <w:rPr>
          <w:rFonts w:eastAsia="Verdana"/>
          <w:spacing w:val="1"/>
          <w:szCs w:val="20"/>
          <w:lang w:val="es-CR"/>
        </w:rPr>
        <w:t>n</w:t>
      </w:r>
      <w:r w:rsidRPr="00CF1787">
        <w:rPr>
          <w:rFonts w:eastAsia="Verdana"/>
          <w:szCs w:val="20"/>
          <w:lang w:val="es-CR"/>
        </w:rPr>
        <w:t>o</w:t>
      </w:r>
      <w:r w:rsidRPr="00CF1787">
        <w:rPr>
          <w:rFonts w:eastAsia="Verdana"/>
          <w:spacing w:val="1"/>
          <w:szCs w:val="20"/>
          <w:lang w:val="es-CR"/>
        </w:rPr>
        <w:t xml:space="preserve"> </w:t>
      </w:r>
      <w:r w:rsidRPr="00CF1787">
        <w:rPr>
          <w:rFonts w:eastAsia="Verdana"/>
          <w:szCs w:val="20"/>
          <w:lang w:val="es-CR"/>
        </w:rPr>
        <w:t>su</w:t>
      </w:r>
      <w:r w:rsidRPr="00CF1787">
        <w:rPr>
          <w:rFonts w:eastAsia="Verdana"/>
          <w:spacing w:val="1"/>
          <w:szCs w:val="20"/>
          <w:lang w:val="es-CR"/>
        </w:rPr>
        <w:t>p</w:t>
      </w:r>
      <w:r w:rsidRPr="00CF1787">
        <w:rPr>
          <w:rFonts w:eastAsia="Verdana"/>
          <w:spacing w:val="-1"/>
          <w:szCs w:val="20"/>
          <w:lang w:val="es-CR"/>
        </w:rPr>
        <w:t>o</w:t>
      </w:r>
      <w:r w:rsidRPr="00CF1787">
        <w:rPr>
          <w:rFonts w:eastAsia="Verdana"/>
          <w:spacing w:val="1"/>
          <w:szCs w:val="20"/>
          <w:lang w:val="es-CR"/>
        </w:rPr>
        <w:t>n</w:t>
      </w:r>
      <w:r w:rsidRPr="00CF1787">
        <w:rPr>
          <w:rFonts w:eastAsia="Verdana"/>
          <w:szCs w:val="20"/>
          <w:lang w:val="es-CR"/>
        </w:rPr>
        <w:t>e</w:t>
      </w:r>
      <w:r w:rsidRPr="00CF1787">
        <w:rPr>
          <w:rFonts w:eastAsia="Verdana"/>
          <w:spacing w:val="-5"/>
          <w:szCs w:val="20"/>
          <w:lang w:val="es-CR"/>
        </w:rPr>
        <w:t xml:space="preserve"> </w:t>
      </w:r>
      <w:r w:rsidRPr="00CF1787">
        <w:rPr>
          <w:rFonts w:eastAsia="Verdana"/>
          <w:spacing w:val="1"/>
          <w:szCs w:val="20"/>
          <w:lang w:val="es-CR"/>
        </w:rPr>
        <w:t>n</w:t>
      </w:r>
      <w:r w:rsidRPr="00CF1787">
        <w:rPr>
          <w:rFonts w:eastAsia="Verdana"/>
          <w:spacing w:val="-1"/>
          <w:szCs w:val="20"/>
          <w:lang w:val="es-CR"/>
        </w:rPr>
        <w:t>e</w:t>
      </w:r>
      <w:r w:rsidRPr="00CF1787">
        <w:rPr>
          <w:rFonts w:eastAsia="Verdana"/>
          <w:spacing w:val="2"/>
          <w:szCs w:val="20"/>
          <w:lang w:val="es-CR"/>
        </w:rPr>
        <w:t>c</w:t>
      </w:r>
      <w:r w:rsidRPr="00CF1787">
        <w:rPr>
          <w:rFonts w:eastAsia="Verdana"/>
          <w:spacing w:val="-1"/>
          <w:szCs w:val="20"/>
          <w:lang w:val="es-CR"/>
        </w:rPr>
        <w:t>e</w:t>
      </w:r>
      <w:r w:rsidRPr="00CF1787">
        <w:rPr>
          <w:rFonts w:eastAsia="Verdana"/>
          <w:szCs w:val="20"/>
          <w:lang w:val="es-CR"/>
        </w:rPr>
        <w:t>s</w:t>
      </w:r>
      <w:r w:rsidRPr="00CF1787">
        <w:rPr>
          <w:rFonts w:eastAsia="Verdana"/>
          <w:spacing w:val="2"/>
          <w:szCs w:val="20"/>
          <w:lang w:val="es-CR"/>
        </w:rPr>
        <w:t>a</w:t>
      </w:r>
      <w:r w:rsidRPr="00CF1787">
        <w:rPr>
          <w:rFonts w:eastAsia="Verdana"/>
          <w:spacing w:val="-1"/>
          <w:szCs w:val="20"/>
          <w:lang w:val="es-CR"/>
        </w:rPr>
        <w:t>r</w:t>
      </w:r>
      <w:r w:rsidRPr="00CF1787">
        <w:rPr>
          <w:rFonts w:eastAsia="Verdana"/>
          <w:spacing w:val="3"/>
          <w:szCs w:val="20"/>
          <w:lang w:val="es-CR"/>
        </w:rPr>
        <w:t>i</w:t>
      </w:r>
      <w:r w:rsidRPr="00CF1787">
        <w:rPr>
          <w:rFonts w:eastAsia="Verdana"/>
          <w:szCs w:val="20"/>
          <w:lang w:val="es-CR"/>
        </w:rPr>
        <w:t>a</w:t>
      </w:r>
      <w:r w:rsidRPr="00CF1787">
        <w:rPr>
          <w:rFonts w:eastAsia="Verdana"/>
          <w:spacing w:val="1"/>
          <w:szCs w:val="20"/>
          <w:lang w:val="es-CR"/>
        </w:rPr>
        <w:t>m</w:t>
      </w:r>
      <w:r w:rsidRPr="00CF1787">
        <w:rPr>
          <w:rFonts w:eastAsia="Verdana"/>
          <w:spacing w:val="-1"/>
          <w:szCs w:val="20"/>
          <w:lang w:val="es-CR"/>
        </w:rPr>
        <w:t>e</w:t>
      </w:r>
      <w:r w:rsidRPr="00CF1787">
        <w:rPr>
          <w:rFonts w:eastAsia="Verdana"/>
          <w:spacing w:val="1"/>
          <w:szCs w:val="20"/>
          <w:lang w:val="es-CR"/>
        </w:rPr>
        <w:t>nt</w:t>
      </w:r>
      <w:r w:rsidRPr="00CF1787">
        <w:rPr>
          <w:rFonts w:eastAsia="Verdana"/>
          <w:szCs w:val="20"/>
          <w:lang w:val="es-CR"/>
        </w:rPr>
        <w:t>e</w:t>
      </w:r>
      <w:r w:rsidRPr="00CF1787">
        <w:rPr>
          <w:rFonts w:eastAsia="Verdana"/>
          <w:spacing w:val="-13"/>
          <w:szCs w:val="20"/>
          <w:lang w:val="es-CR"/>
        </w:rPr>
        <w:t xml:space="preserve"> </w:t>
      </w:r>
      <w:r w:rsidRPr="00CF1787">
        <w:rPr>
          <w:rFonts w:eastAsia="Verdana"/>
          <w:spacing w:val="-1"/>
          <w:szCs w:val="20"/>
          <w:lang w:val="es-CR"/>
        </w:rPr>
        <w:t>re</w:t>
      </w:r>
      <w:r w:rsidRPr="00CF1787">
        <w:rPr>
          <w:rFonts w:eastAsia="Verdana"/>
          <w:szCs w:val="20"/>
          <w:lang w:val="es-CR"/>
        </w:rPr>
        <w:t>v</w:t>
      </w:r>
      <w:r w:rsidRPr="00CF1787">
        <w:rPr>
          <w:rFonts w:eastAsia="Verdana"/>
          <w:spacing w:val="3"/>
          <w:szCs w:val="20"/>
          <w:lang w:val="es-CR"/>
        </w:rPr>
        <w:t>i</w:t>
      </w:r>
      <w:r w:rsidRPr="00CF1787">
        <w:rPr>
          <w:rFonts w:eastAsia="Verdana"/>
          <w:szCs w:val="20"/>
          <w:lang w:val="es-CR"/>
        </w:rPr>
        <w:t>sar</w:t>
      </w:r>
      <w:r w:rsidRPr="00CF1787">
        <w:rPr>
          <w:rFonts w:eastAsia="Verdana"/>
          <w:spacing w:val="-5"/>
          <w:szCs w:val="20"/>
          <w:lang w:val="es-CR"/>
        </w:rPr>
        <w:t xml:space="preserve"> de oficio </w:t>
      </w:r>
      <w:r w:rsidRPr="00CF1787">
        <w:rPr>
          <w:rFonts w:eastAsia="Verdana"/>
          <w:spacing w:val="-1"/>
          <w:szCs w:val="20"/>
          <w:lang w:val="es-CR"/>
        </w:rPr>
        <w:t>e</w:t>
      </w:r>
      <w:r w:rsidRPr="00CF1787">
        <w:rPr>
          <w:rFonts w:eastAsia="Verdana"/>
          <w:szCs w:val="20"/>
          <w:lang w:val="es-CR"/>
        </w:rPr>
        <w:t>l</w:t>
      </w:r>
      <w:r w:rsidRPr="00CF1787">
        <w:rPr>
          <w:rFonts w:eastAsia="Verdana"/>
          <w:spacing w:val="2"/>
          <w:szCs w:val="20"/>
          <w:lang w:val="es-CR"/>
        </w:rPr>
        <w:t xml:space="preserve"> </w:t>
      </w:r>
      <w:r w:rsidRPr="00CF1787">
        <w:rPr>
          <w:rFonts w:eastAsia="Verdana"/>
          <w:spacing w:val="3"/>
          <w:szCs w:val="20"/>
          <w:lang w:val="es-CR"/>
        </w:rPr>
        <w:t>p</w:t>
      </w:r>
      <w:r w:rsidRPr="00CF1787">
        <w:rPr>
          <w:rFonts w:eastAsia="Verdana"/>
          <w:spacing w:val="-1"/>
          <w:szCs w:val="20"/>
          <w:lang w:val="es-CR"/>
        </w:rPr>
        <w:t>r</w:t>
      </w:r>
      <w:r w:rsidRPr="00CF1787">
        <w:rPr>
          <w:rFonts w:eastAsia="Verdana"/>
          <w:spacing w:val="1"/>
          <w:szCs w:val="20"/>
          <w:lang w:val="es-CR"/>
        </w:rPr>
        <w:t>o</w:t>
      </w:r>
      <w:r w:rsidRPr="00CF1787">
        <w:rPr>
          <w:rFonts w:eastAsia="Verdana"/>
          <w:szCs w:val="20"/>
          <w:lang w:val="es-CR"/>
        </w:rPr>
        <w:t>c</w:t>
      </w:r>
      <w:r w:rsidRPr="00CF1787">
        <w:rPr>
          <w:rFonts w:eastAsia="Verdana"/>
          <w:spacing w:val="-2"/>
          <w:szCs w:val="20"/>
          <w:lang w:val="es-CR"/>
        </w:rPr>
        <w:t>e</w:t>
      </w:r>
      <w:r w:rsidRPr="00CF1787">
        <w:rPr>
          <w:rFonts w:eastAsia="Verdana"/>
          <w:spacing w:val="1"/>
          <w:szCs w:val="20"/>
          <w:lang w:val="es-CR"/>
        </w:rPr>
        <w:t>d</w:t>
      </w:r>
      <w:r w:rsidRPr="00CF1787">
        <w:rPr>
          <w:rFonts w:eastAsia="Verdana"/>
          <w:spacing w:val="3"/>
          <w:szCs w:val="20"/>
          <w:lang w:val="es-CR"/>
        </w:rPr>
        <w:t>i</w:t>
      </w:r>
      <w:r w:rsidRPr="00CF1787">
        <w:rPr>
          <w:rFonts w:eastAsia="Verdana"/>
          <w:szCs w:val="20"/>
          <w:lang w:val="es-CR"/>
        </w:rPr>
        <w:t>m</w:t>
      </w:r>
      <w:r w:rsidRPr="00CF1787">
        <w:rPr>
          <w:rFonts w:eastAsia="Verdana"/>
          <w:spacing w:val="3"/>
          <w:szCs w:val="20"/>
          <w:lang w:val="es-CR"/>
        </w:rPr>
        <w:t>i</w:t>
      </w:r>
      <w:r w:rsidRPr="00CF1787">
        <w:rPr>
          <w:rFonts w:eastAsia="Verdana"/>
          <w:spacing w:val="-1"/>
          <w:szCs w:val="20"/>
          <w:lang w:val="es-CR"/>
        </w:rPr>
        <w:t>e</w:t>
      </w:r>
      <w:r w:rsidRPr="00CF1787">
        <w:rPr>
          <w:rFonts w:eastAsia="Verdana"/>
          <w:spacing w:val="1"/>
          <w:szCs w:val="20"/>
          <w:lang w:val="es-CR"/>
        </w:rPr>
        <w:t>nt</w:t>
      </w:r>
      <w:r w:rsidRPr="00CF1787">
        <w:rPr>
          <w:rFonts w:eastAsia="Verdana"/>
          <w:szCs w:val="20"/>
          <w:lang w:val="es-CR"/>
        </w:rPr>
        <w:t>o</w:t>
      </w:r>
      <w:r w:rsidRPr="00CF1787">
        <w:rPr>
          <w:rFonts w:eastAsia="Verdana"/>
          <w:spacing w:val="-14"/>
          <w:szCs w:val="20"/>
          <w:lang w:val="es-CR"/>
        </w:rPr>
        <w:t xml:space="preserve"> </w:t>
      </w:r>
      <w:r w:rsidRPr="00CF1787">
        <w:rPr>
          <w:rFonts w:eastAsia="Verdana"/>
          <w:spacing w:val="1"/>
          <w:szCs w:val="20"/>
          <w:lang w:val="es-CR"/>
        </w:rPr>
        <w:t>qu</w:t>
      </w:r>
      <w:r w:rsidRPr="00CF1787">
        <w:rPr>
          <w:rFonts w:eastAsia="Verdana"/>
          <w:szCs w:val="20"/>
          <w:lang w:val="es-CR"/>
        </w:rPr>
        <w:t xml:space="preserve">e </w:t>
      </w:r>
      <w:r w:rsidRPr="00CF1787">
        <w:rPr>
          <w:rFonts w:eastAsia="Verdana"/>
          <w:spacing w:val="2"/>
          <w:szCs w:val="20"/>
          <w:lang w:val="es-CR"/>
        </w:rPr>
        <w:t>s</w:t>
      </w:r>
      <w:r w:rsidRPr="00CF1787">
        <w:rPr>
          <w:rFonts w:eastAsia="Verdana"/>
          <w:szCs w:val="20"/>
          <w:lang w:val="es-CR"/>
        </w:rPr>
        <w:t>e</w:t>
      </w:r>
      <w:r w:rsidRPr="00CF1787">
        <w:rPr>
          <w:rFonts w:eastAsia="Verdana"/>
          <w:spacing w:val="-2"/>
          <w:szCs w:val="20"/>
          <w:lang w:val="es-CR"/>
        </w:rPr>
        <w:t xml:space="preserve"> </w:t>
      </w:r>
      <w:r w:rsidRPr="00CF1787">
        <w:rPr>
          <w:rFonts w:eastAsia="Verdana"/>
          <w:spacing w:val="3"/>
          <w:szCs w:val="20"/>
          <w:lang w:val="es-CR"/>
        </w:rPr>
        <w:t>ll</w:t>
      </w:r>
      <w:r w:rsidRPr="00CF1787">
        <w:rPr>
          <w:rFonts w:eastAsia="Verdana"/>
          <w:spacing w:val="-1"/>
          <w:szCs w:val="20"/>
          <w:lang w:val="es-CR"/>
        </w:rPr>
        <w:t>e</w:t>
      </w:r>
      <w:r w:rsidRPr="00CF1787">
        <w:rPr>
          <w:rFonts w:eastAsia="Verdana"/>
          <w:szCs w:val="20"/>
          <w:lang w:val="es-CR"/>
        </w:rPr>
        <w:t>vó</w:t>
      </w:r>
      <w:r w:rsidRPr="00CF1787">
        <w:rPr>
          <w:rFonts w:eastAsia="Verdana"/>
          <w:spacing w:val="-5"/>
          <w:szCs w:val="20"/>
          <w:lang w:val="es-CR"/>
        </w:rPr>
        <w:t xml:space="preserve"> </w:t>
      </w:r>
      <w:r w:rsidRPr="00CF1787">
        <w:rPr>
          <w:rFonts w:eastAsia="Verdana"/>
          <w:szCs w:val="20"/>
          <w:lang w:val="es-CR"/>
        </w:rPr>
        <w:t>a cabo</w:t>
      </w:r>
      <w:r w:rsidRPr="00CF1787">
        <w:rPr>
          <w:rFonts w:eastAsia="Verdana"/>
          <w:spacing w:val="25"/>
          <w:szCs w:val="20"/>
          <w:lang w:val="es-CR"/>
        </w:rPr>
        <w:t xml:space="preserve"> </w:t>
      </w:r>
      <w:r w:rsidRPr="00CF1787">
        <w:rPr>
          <w:rFonts w:eastAsia="Verdana"/>
          <w:szCs w:val="20"/>
          <w:lang w:val="es-CR"/>
        </w:rPr>
        <w:t>a</w:t>
      </w:r>
      <w:r w:rsidRPr="00CF1787">
        <w:rPr>
          <w:rFonts w:eastAsia="Verdana"/>
          <w:spacing w:val="1"/>
          <w:szCs w:val="20"/>
          <w:lang w:val="es-CR"/>
        </w:rPr>
        <w:t>nt</w:t>
      </w:r>
      <w:r w:rsidRPr="00CF1787">
        <w:rPr>
          <w:rFonts w:eastAsia="Verdana"/>
          <w:szCs w:val="20"/>
          <w:lang w:val="es-CR"/>
        </w:rPr>
        <w:t>e</w:t>
      </w:r>
      <w:r w:rsidRPr="00CF1787">
        <w:rPr>
          <w:rFonts w:eastAsia="Verdana"/>
          <w:spacing w:val="27"/>
          <w:szCs w:val="20"/>
          <w:lang w:val="es-CR"/>
        </w:rPr>
        <w:t xml:space="preserve"> </w:t>
      </w:r>
      <w:r w:rsidRPr="00CF1787">
        <w:rPr>
          <w:rFonts w:eastAsia="Verdana"/>
          <w:spacing w:val="1"/>
          <w:szCs w:val="20"/>
          <w:lang w:val="es-CR"/>
        </w:rPr>
        <w:t>e</w:t>
      </w:r>
      <w:r w:rsidRPr="00CF1787">
        <w:rPr>
          <w:rFonts w:eastAsia="Verdana"/>
          <w:szCs w:val="20"/>
          <w:lang w:val="es-CR"/>
        </w:rPr>
        <w:t>st</w:t>
      </w:r>
      <w:r w:rsidRPr="00CF1787">
        <w:rPr>
          <w:rFonts w:eastAsia="Verdana"/>
          <w:spacing w:val="5"/>
          <w:szCs w:val="20"/>
          <w:lang w:val="es-CR"/>
        </w:rPr>
        <w:t>a</w:t>
      </w:r>
      <w:r w:rsidRPr="00CF1787">
        <w:rPr>
          <w:rStyle w:val="FootnoteReference"/>
          <w:rFonts w:eastAsia="Verdana"/>
          <w:sz w:val="20"/>
          <w:szCs w:val="20"/>
          <w:lang w:val="es-CR"/>
        </w:rPr>
        <w:footnoteReference w:id="17"/>
      </w:r>
      <w:r w:rsidRPr="00CF1787">
        <w:rPr>
          <w:rFonts w:eastAsia="Verdana"/>
          <w:szCs w:val="20"/>
          <w:lang w:val="es-CR"/>
        </w:rPr>
        <w:t>,</w:t>
      </w:r>
      <w:r w:rsidRPr="00CF1787">
        <w:rPr>
          <w:rFonts w:eastAsia="Verdana"/>
          <w:spacing w:val="23"/>
          <w:szCs w:val="20"/>
          <w:lang w:val="es-CR"/>
        </w:rPr>
        <w:t xml:space="preserve"> </w:t>
      </w:r>
      <w:r w:rsidRPr="00CF1787">
        <w:rPr>
          <w:rFonts w:eastAsia="Verdana"/>
          <w:szCs w:val="20"/>
          <w:lang w:val="es-CR"/>
        </w:rPr>
        <w:t>sa</w:t>
      </w:r>
      <w:r w:rsidRPr="00CF1787">
        <w:rPr>
          <w:rFonts w:eastAsia="Verdana"/>
          <w:spacing w:val="3"/>
          <w:szCs w:val="20"/>
          <w:lang w:val="es-CR"/>
        </w:rPr>
        <w:t>l</w:t>
      </w:r>
      <w:r w:rsidRPr="00CF1787">
        <w:rPr>
          <w:rFonts w:eastAsia="Verdana"/>
          <w:szCs w:val="20"/>
          <w:lang w:val="es-CR"/>
        </w:rPr>
        <w:t>vo</w:t>
      </w:r>
      <w:r w:rsidRPr="00CF1787">
        <w:rPr>
          <w:rFonts w:eastAsia="Verdana"/>
          <w:spacing w:val="24"/>
          <w:szCs w:val="20"/>
          <w:lang w:val="es-CR"/>
        </w:rPr>
        <w:t xml:space="preserve"> </w:t>
      </w:r>
      <w:r w:rsidRPr="00CF1787">
        <w:rPr>
          <w:rFonts w:eastAsia="Verdana"/>
          <w:spacing w:val="1"/>
          <w:szCs w:val="20"/>
          <w:lang w:val="es-CR"/>
        </w:rPr>
        <w:t>e</w:t>
      </w:r>
      <w:r w:rsidRPr="00CF1787">
        <w:rPr>
          <w:rFonts w:eastAsia="Verdana"/>
          <w:szCs w:val="20"/>
          <w:lang w:val="es-CR"/>
        </w:rPr>
        <w:t>n</w:t>
      </w:r>
      <w:r w:rsidRPr="00CF1787">
        <w:rPr>
          <w:rFonts w:eastAsia="Verdana"/>
          <w:spacing w:val="30"/>
          <w:szCs w:val="20"/>
          <w:lang w:val="es-CR"/>
        </w:rPr>
        <w:t xml:space="preserve"> </w:t>
      </w:r>
      <w:r w:rsidRPr="00CF1787">
        <w:rPr>
          <w:rFonts w:eastAsia="Verdana"/>
          <w:szCs w:val="20"/>
          <w:lang w:val="es-CR"/>
        </w:rPr>
        <w:t>a</w:t>
      </w:r>
      <w:r w:rsidRPr="00CF1787">
        <w:rPr>
          <w:rFonts w:eastAsia="Verdana"/>
          <w:spacing w:val="1"/>
          <w:szCs w:val="20"/>
          <w:lang w:val="es-CR"/>
        </w:rPr>
        <w:t>qu</w:t>
      </w:r>
      <w:r w:rsidRPr="00CF1787">
        <w:rPr>
          <w:rFonts w:eastAsia="Verdana"/>
          <w:spacing w:val="-1"/>
          <w:szCs w:val="20"/>
          <w:lang w:val="es-CR"/>
        </w:rPr>
        <w:t>e</w:t>
      </w:r>
      <w:r w:rsidRPr="00CF1787">
        <w:rPr>
          <w:rFonts w:eastAsia="Verdana"/>
          <w:szCs w:val="20"/>
          <w:lang w:val="es-CR"/>
        </w:rPr>
        <w:t>l</w:t>
      </w:r>
      <w:r w:rsidRPr="00CF1787">
        <w:rPr>
          <w:rFonts w:eastAsia="Verdana"/>
          <w:spacing w:val="3"/>
          <w:szCs w:val="20"/>
          <w:lang w:val="es-CR"/>
        </w:rPr>
        <w:t>l</w:t>
      </w:r>
      <w:r w:rsidRPr="00CF1787">
        <w:rPr>
          <w:rFonts w:eastAsia="Verdana"/>
          <w:spacing w:val="-1"/>
          <w:szCs w:val="20"/>
          <w:lang w:val="es-CR"/>
        </w:rPr>
        <w:t>o</w:t>
      </w:r>
      <w:r w:rsidRPr="00CF1787">
        <w:rPr>
          <w:rFonts w:eastAsia="Verdana"/>
          <w:szCs w:val="20"/>
          <w:lang w:val="es-CR"/>
        </w:rPr>
        <w:t>s</w:t>
      </w:r>
      <w:r w:rsidRPr="00CF1787">
        <w:rPr>
          <w:rFonts w:eastAsia="Verdana"/>
          <w:spacing w:val="22"/>
          <w:szCs w:val="20"/>
          <w:lang w:val="es-CR"/>
        </w:rPr>
        <w:t xml:space="preserve"> </w:t>
      </w:r>
      <w:r w:rsidRPr="00CF1787">
        <w:rPr>
          <w:rFonts w:eastAsia="Verdana"/>
          <w:szCs w:val="20"/>
          <w:lang w:val="es-CR"/>
        </w:rPr>
        <w:t>ca</w:t>
      </w:r>
      <w:r w:rsidRPr="00CF1787">
        <w:rPr>
          <w:rFonts w:eastAsia="Verdana"/>
          <w:spacing w:val="1"/>
          <w:szCs w:val="20"/>
          <w:lang w:val="es-CR"/>
        </w:rPr>
        <w:t>s</w:t>
      </w:r>
      <w:r w:rsidRPr="00CF1787">
        <w:rPr>
          <w:rFonts w:eastAsia="Verdana"/>
          <w:spacing w:val="-1"/>
          <w:szCs w:val="20"/>
          <w:lang w:val="es-CR"/>
        </w:rPr>
        <w:t>o</w:t>
      </w:r>
      <w:r w:rsidRPr="00CF1787">
        <w:rPr>
          <w:rFonts w:eastAsia="Verdana"/>
          <w:szCs w:val="20"/>
          <w:lang w:val="es-CR"/>
        </w:rPr>
        <w:t>s</w:t>
      </w:r>
      <w:r w:rsidRPr="00CF1787">
        <w:rPr>
          <w:rFonts w:eastAsia="Verdana"/>
          <w:spacing w:val="26"/>
          <w:szCs w:val="20"/>
          <w:lang w:val="es-CR"/>
        </w:rPr>
        <w:t xml:space="preserve"> </w:t>
      </w:r>
      <w:r w:rsidRPr="00CF1787">
        <w:rPr>
          <w:rFonts w:eastAsia="Verdana"/>
          <w:spacing w:val="-1"/>
          <w:szCs w:val="20"/>
          <w:lang w:val="es-CR"/>
        </w:rPr>
        <w:t>e</w:t>
      </w:r>
      <w:r w:rsidRPr="00CF1787">
        <w:rPr>
          <w:rFonts w:eastAsia="Verdana"/>
          <w:szCs w:val="20"/>
          <w:lang w:val="es-CR"/>
        </w:rPr>
        <w:t>n</w:t>
      </w:r>
      <w:r w:rsidRPr="00CF1787">
        <w:rPr>
          <w:rFonts w:eastAsia="Verdana"/>
          <w:spacing w:val="29"/>
          <w:szCs w:val="20"/>
          <w:lang w:val="es-CR"/>
        </w:rPr>
        <w:t xml:space="preserve"> </w:t>
      </w:r>
      <w:r w:rsidRPr="00CF1787">
        <w:rPr>
          <w:rFonts w:eastAsia="Verdana"/>
          <w:spacing w:val="1"/>
          <w:szCs w:val="20"/>
          <w:lang w:val="es-CR"/>
        </w:rPr>
        <w:t>q</w:t>
      </w:r>
      <w:r w:rsidRPr="00CF1787">
        <w:rPr>
          <w:rFonts w:eastAsia="Verdana"/>
          <w:spacing w:val="3"/>
          <w:szCs w:val="20"/>
          <w:lang w:val="es-CR"/>
        </w:rPr>
        <w:t>u</w:t>
      </w:r>
      <w:r w:rsidRPr="00CF1787">
        <w:rPr>
          <w:rFonts w:eastAsia="Verdana"/>
          <w:szCs w:val="20"/>
          <w:lang w:val="es-CR"/>
        </w:rPr>
        <w:t>e</w:t>
      </w:r>
      <w:r w:rsidRPr="00CF1787">
        <w:rPr>
          <w:rFonts w:eastAsia="Verdana"/>
          <w:spacing w:val="25"/>
          <w:szCs w:val="20"/>
          <w:lang w:val="es-CR"/>
        </w:rPr>
        <w:t xml:space="preserve"> </w:t>
      </w:r>
      <w:r w:rsidRPr="00CF1787">
        <w:rPr>
          <w:rFonts w:eastAsia="Verdana"/>
          <w:szCs w:val="20"/>
          <w:lang w:val="es-CR"/>
        </w:rPr>
        <w:t>a</w:t>
      </w:r>
      <w:r w:rsidRPr="00CF1787">
        <w:rPr>
          <w:rFonts w:eastAsia="Verdana"/>
          <w:spacing w:val="3"/>
          <w:szCs w:val="20"/>
          <w:lang w:val="es-CR"/>
        </w:rPr>
        <w:t>l</w:t>
      </w:r>
      <w:r w:rsidRPr="00CF1787">
        <w:rPr>
          <w:rFonts w:eastAsia="Verdana"/>
          <w:spacing w:val="1"/>
          <w:szCs w:val="20"/>
          <w:lang w:val="es-CR"/>
        </w:rPr>
        <w:t>gun</w:t>
      </w:r>
      <w:r w:rsidRPr="00CF1787">
        <w:rPr>
          <w:rFonts w:eastAsia="Verdana"/>
          <w:szCs w:val="20"/>
          <w:lang w:val="es-CR"/>
        </w:rPr>
        <w:t>a</w:t>
      </w:r>
      <w:r w:rsidRPr="00CF1787">
        <w:rPr>
          <w:rFonts w:eastAsia="Verdana"/>
          <w:spacing w:val="23"/>
          <w:szCs w:val="20"/>
          <w:lang w:val="es-CR"/>
        </w:rPr>
        <w:t xml:space="preserve"> </w:t>
      </w:r>
      <w:r w:rsidRPr="00CF1787">
        <w:rPr>
          <w:rFonts w:eastAsia="Verdana"/>
          <w:spacing w:val="1"/>
          <w:szCs w:val="20"/>
          <w:lang w:val="es-CR"/>
        </w:rPr>
        <w:t>d</w:t>
      </w:r>
      <w:r w:rsidRPr="00CF1787">
        <w:rPr>
          <w:rFonts w:eastAsia="Verdana"/>
          <w:szCs w:val="20"/>
          <w:lang w:val="es-CR"/>
        </w:rPr>
        <w:t>e</w:t>
      </w:r>
      <w:r w:rsidRPr="00CF1787">
        <w:rPr>
          <w:rFonts w:eastAsia="Verdana"/>
          <w:spacing w:val="27"/>
          <w:szCs w:val="20"/>
          <w:lang w:val="es-CR"/>
        </w:rPr>
        <w:t xml:space="preserve"> </w:t>
      </w:r>
      <w:r w:rsidRPr="00CF1787">
        <w:rPr>
          <w:rFonts w:eastAsia="Verdana"/>
          <w:spacing w:val="3"/>
          <w:szCs w:val="20"/>
          <w:lang w:val="es-CR"/>
        </w:rPr>
        <w:t>l</w:t>
      </w:r>
      <w:r w:rsidRPr="00CF1787">
        <w:rPr>
          <w:rFonts w:eastAsia="Verdana"/>
          <w:szCs w:val="20"/>
          <w:lang w:val="es-CR"/>
        </w:rPr>
        <w:t>as</w:t>
      </w:r>
      <w:r w:rsidRPr="00CF1787">
        <w:rPr>
          <w:rFonts w:eastAsia="Verdana"/>
          <w:spacing w:val="27"/>
          <w:szCs w:val="20"/>
          <w:lang w:val="es-CR"/>
        </w:rPr>
        <w:t xml:space="preserve"> </w:t>
      </w:r>
      <w:r w:rsidRPr="00CF1787">
        <w:rPr>
          <w:rFonts w:eastAsia="Verdana"/>
          <w:spacing w:val="1"/>
          <w:szCs w:val="20"/>
          <w:lang w:val="es-CR"/>
        </w:rPr>
        <w:t>p</w:t>
      </w:r>
      <w:r w:rsidRPr="00CF1787">
        <w:rPr>
          <w:rFonts w:eastAsia="Verdana"/>
          <w:szCs w:val="20"/>
          <w:lang w:val="es-CR"/>
        </w:rPr>
        <w:t>a</w:t>
      </w:r>
      <w:r w:rsidRPr="00CF1787">
        <w:rPr>
          <w:rFonts w:eastAsia="Verdana"/>
          <w:spacing w:val="-1"/>
          <w:szCs w:val="20"/>
          <w:lang w:val="es-CR"/>
        </w:rPr>
        <w:t>r</w:t>
      </w:r>
      <w:r w:rsidRPr="00CF1787">
        <w:rPr>
          <w:rFonts w:eastAsia="Verdana"/>
          <w:spacing w:val="6"/>
          <w:szCs w:val="20"/>
          <w:lang w:val="es-CR"/>
        </w:rPr>
        <w:t>t</w:t>
      </w:r>
      <w:r w:rsidRPr="00CF1787">
        <w:rPr>
          <w:rFonts w:eastAsia="Verdana"/>
          <w:spacing w:val="-1"/>
          <w:szCs w:val="20"/>
          <w:lang w:val="es-CR"/>
        </w:rPr>
        <w:t>e</w:t>
      </w:r>
      <w:r w:rsidRPr="00CF1787">
        <w:rPr>
          <w:rFonts w:eastAsia="Verdana"/>
          <w:szCs w:val="20"/>
          <w:lang w:val="es-CR"/>
        </w:rPr>
        <w:t>s</w:t>
      </w:r>
      <w:r w:rsidRPr="00CF1787">
        <w:rPr>
          <w:rFonts w:eastAsia="Verdana"/>
          <w:spacing w:val="28"/>
          <w:szCs w:val="20"/>
          <w:lang w:val="es-CR"/>
        </w:rPr>
        <w:t xml:space="preserve"> </w:t>
      </w:r>
      <w:r w:rsidRPr="00CF1787">
        <w:rPr>
          <w:rFonts w:eastAsia="Verdana"/>
          <w:szCs w:val="20"/>
          <w:lang w:val="es-CR"/>
        </w:rPr>
        <w:t>a</w:t>
      </w:r>
      <w:r w:rsidRPr="00CF1787">
        <w:rPr>
          <w:rFonts w:eastAsia="Verdana"/>
          <w:spacing w:val="3"/>
          <w:szCs w:val="20"/>
          <w:lang w:val="es-CR"/>
        </w:rPr>
        <w:t>l</w:t>
      </w:r>
      <w:r w:rsidRPr="00CF1787">
        <w:rPr>
          <w:rFonts w:eastAsia="Verdana"/>
          <w:spacing w:val="-1"/>
          <w:szCs w:val="20"/>
          <w:lang w:val="es-CR"/>
        </w:rPr>
        <w:t>e</w:t>
      </w:r>
      <w:r w:rsidRPr="00CF1787">
        <w:rPr>
          <w:rFonts w:eastAsia="Verdana"/>
          <w:spacing w:val="1"/>
          <w:szCs w:val="20"/>
          <w:lang w:val="es-CR"/>
        </w:rPr>
        <w:t>gu</w:t>
      </w:r>
      <w:r w:rsidRPr="00CF1787">
        <w:rPr>
          <w:rFonts w:eastAsia="Verdana"/>
          <w:szCs w:val="20"/>
          <w:lang w:val="es-CR"/>
        </w:rPr>
        <w:t>e</w:t>
      </w:r>
      <w:r w:rsidRPr="00CF1787">
        <w:rPr>
          <w:rFonts w:eastAsia="Verdana"/>
          <w:spacing w:val="22"/>
          <w:szCs w:val="20"/>
          <w:lang w:val="es-CR"/>
        </w:rPr>
        <w:t xml:space="preserve"> </w:t>
      </w:r>
      <w:r w:rsidRPr="00CF1787">
        <w:rPr>
          <w:rFonts w:eastAsia="Verdana"/>
          <w:szCs w:val="20"/>
          <w:lang w:val="es-CR"/>
        </w:rPr>
        <w:t>fu</w:t>
      </w:r>
      <w:r w:rsidRPr="00CF1787">
        <w:rPr>
          <w:rFonts w:eastAsia="Verdana"/>
          <w:spacing w:val="2"/>
          <w:szCs w:val="20"/>
          <w:lang w:val="es-CR"/>
        </w:rPr>
        <w:t>n</w:t>
      </w:r>
      <w:r w:rsidRPr="00CF1787">
        <w:rPr>
          <w:rFonts w:eastAsia="Verdana"/>
          <w:spacing w:val="1"/>
          <w:szCs w:val="20"/>
          <w:lang w:val="es-CR"/>
        </w:rPr>
        <w:t>d</w:t>
      </w:r>
      <w:r w:rsidRPr="00CF1787">
        <w:rPr>
          <w:rFonts w:eastAsia="Verdana"/>
          <w:szCs w:val="20"/>
          <w:lang w:val="es-CR"/>
        </w:rPr>
        <w:t>a</w:t>
      </w:r>
      <w:r w:rsidRPr="00CF1787">
        <w:rPr>
          <w:rFonts w:eastAsia="Verdana"/>
          <w:spacing w:val="1"/>
          <w:szCs w:val="20"/>
          <w:lang w:val="es-CR"/>
        </w:rPr>
        <w:t>d</w:t>
      </w:r>
      <w:r w:rsidRPr="00CF1787">
        <w:rPr>
          <w:rFonts w:eastAsia="Verdana"/>
          <w:szCs w:val="20"/>
          <w:lang w:val="es-CR"/>
        </w:rPr>
        <w:t>a</w:t>
      </w:r>
      <w:r w:rsidRPr="00CF1787">
        <w:rPr>
          <w:rFonts w:eastAsia="Verdana"/>
          <w:spacing w:val="1"/>
          <w:szCs w:val="20"/>
          <w:lang w:val="es-CR"/>
        </w:rPr>
        <w:t>m</w:t>
      </w:r>
      <w:r w:rsidRPr="00CF1787">
        <w:rPr>
          <w:rFonts w:eastAsia="Verdana"/>
          <w:spacing w:val="-1"/>
          <w:szCs w:val="20"/>
          <w:lang w:val="es-CR"/>
        </w:rPr>
        <w:t>e</w:t>
      </w:r>
      <w:r w:rsidRPr="00CF1787">
        <w:rPr>
          <w:rFonts w:eastAsia="Verdana"/>
          <w:spacing w:val="1"/>
          <w:szCs w:val="20"/>
          <w:lang w:val="es-CR"/>
        </w:rPr>
        <w:t>nt</w:t>
      </w:r>
      <w:r w:rsidRPr="00CF1787">
        <w:rPr>
          <w:rFonts w:eastAsia="Verdana"/>
          <w:szCs w:val="20"/>
          <w:lang w:val="es-CR"/>
        </w:rPr>
        <w:t>e</w:t>
      </w:r>
      <w:r w:rsidRPr="00CF1787">
        <w:rPr>
          <w:rFonts w:eastAsia="Verdana"/>
          <w:spacing w:val="14"/>
          <w:szCs w:val="20"/>
          <w:lang w:val="es-CR"/>
        </w:rPr>
        <w:t xml:space="preserve"> </w:t>
      </w:r>
      <w:r w:rsidRPr="00CF1787">
        <w:rPr>
          <w:rFonts w:eastAsia="Verdana"/>
          <w:spacing w:val="3"/>
          <w:szCs w:val="20"/>
          <w:lang w:val="es-CR"/>
        </w:rPr>
        <w:t>q</w:t>
      </w:r>
      <w:r w:rsidRPr="00CF1787">
        <w:rPr>
          <w:rFonts w:eastAsia="Verdana"/>
          <w:spacing w:val="1"/>
          <w:szCs w:val="20"/>
          <w:lang w:val="es-CR"/>
        </w:rPr>
        <w:t>u</w:t>
      </w:r>
      <w:r w:rsidRPr="00CF1787">
        <w:rPr>
          <w:rFonts w:eastAsia="Verdana"/>
          <w:szCs w:val="20"/>
          <w:lang w:val="es-CR"/>
        </w:rPr>
        <w:t xml:space="preserve">e </w:t>
      </w:r>
      <w:r w:rsidRPr="00CF1787">
        <w:rPr>
          <w:rFonts w:eastAsia="Verdana"/>
          <w:spacing w:val="-1"/>
          <w:szCs w:val="20"/>
          <w:lang w:val="es-CR"/>
        </w:rPr>
        <w:t>e</w:t>
      </w:r>
      <w:r w:rsidRPr="00CF1787">
        <w:rPr>
          <w:rFonts w:eastAsia="Verdana"/>
          <w:szCs w:val="20"/>
          <w:lang w:val="es-CR"/>
        </w:rPr>
        <w:t>x</w:t>
      </w:r>
      <w:r w:rsidRPr="00CF1787">
        <w:rPr>
          <w:rFonts w:eastAsia="Verdana"/>
          <w:spacing w:val="3"/>
          <w:szCs w:val="20"/>
          <w:lang w:val="es-CR"/>
        </w:rPr>
        <w:t>i</w:t>
      </w:r>
      <w:r w:rsidRPr="00CF1787">
        <w:rPr>
          <w:rFonts w:eastAsia="Verdana"/>
          <w:szCs w:val="20"/>
          <w:lang w:val="es-CR"/>
        </w:rPr>
        <w:t>sta</w:t>
      </w:r>
      <w:r w:rsidRPr="00CF1787">
        <w:rPr>
          <w:rFonts w:eastAsia="Verdana"/>
          <w:spacing w:val="5"/>
          <w:szCs w:val="20"/>
          <w:lang w:val="es-CR"/>
        </w:rPr>
        <w:t xml:space="preserve"> </w:t>
      </w:r>
      <w:r w:rsidRPr="00CF1787">
        <w:rPr>
          <w:rFonts w:eastAsia="Verdana"/>
          <w:spacing w:val="1"/>
          <w:szCs w:val="20"/>
          <w:lang w:val="es-CR"/>
        </w:rPr>
        <w:t>u</w:t>
      </w:r>
      <w:r w:rsidRPr="00CF1787">
        <w:rPr>
          <w:rFonts w:eastAsia="Verdana"/>
          <w:szCs w:val="20"/>
          <w:lang w:val="es-CR"/>
        </w:rPr>
        <w:t>n</w:t>
      </w:r>
      <w:r w:rsidRPr="00CF1787">
        <w:rPr>
          <w:rFonts w:eastAsia="Verdana"/>
          <w:spacing w:val="10"/>
          <w:szCs w:val="20"/>
          <w:lang w:val="es-CR"/>
        </w:rPr>
        <w:t xml:space="preserve"> </w:t>
      </w:r>
      <w:r w:rsidRPr="00CF1787">
        <w:rPr>
          <w:rFonts w:eastAsia="Verdana"/>
          <w:spacing w:val="-1"/>
          <w:szCs w:val="20"/>
          <w:lang w:val="es-CR"/>
        </w:rPr>
        <w:t>e</w:t>
      </w:r>
      <w:r w:rsidRPr="00CF1787">
        <w:rPr>
          <w:rFonts w:eastAsia="Verdana"/>
          <w:spacing w:val="1"/>
          <w:szCs w:val="20"/>
          <w:lang w:val="es-CR"/>
        </w:rPr>
        <w:t>r</w:t>
      </w:r>
      <w:r w:rsidRPr="00CF1787">
        <w:rPr>
          <w:rFonts w:eastAsia="Verdana"/>
          <w:spacing w:val="-1"/>
          <w:szCs w:val="20"/>
          <w:lang w:val="es-CR"/>
        </w:rPr>
        <w:t>r</w:t>
      </w:r>
      <w:r w:rsidRPr="00CF1787">
        <w:rPr>
          <w:rFonts w:eastAsia="Verdana"/>
          <w:spacing w:val="1"/>
          <w:szCs w:val="20"/>
          <w:lang w:val="es-CR"/>
        </w:rPr>
        <w:t>o</w:t>
      </w:r>
      <w:r w:rsidRPr="00CF1787">
        <w:rPr>
          <w:rFonts w:eastAsia="Verdana"/>
          <w:szCs w:val="20"/>
          <w:lang w:val="es-CR"/>
        </w:rPr>
        <w:t>r</w:t>
      </w:r>
      <w:r w:rsidRPr="00CF1787">
        <w:rPr>
          <w:rFonts w:eastAsia="Verdana"/>
          <w:spacing w:val="5"/>
          <w:szCs w:val="20"/>
          <w:lang w:val="es-CR"/>
        </w:rPr>
        <w:t xml:space="preserve"> </w:t>
      </w:r>
      <w:r w:rsidRPr="00CF1787">
        <w:rPr>
          <w:rFonts w:eastAsia="Verdana"/>
          <w:spacing w:val="3"/>
          <w:szCs w:val="20"/>
          <w:lang w:val="es-CR"/>
        </w:rPr>
        <w:t>g</w:t>
      </w:r>
      <w:r w:rsidRPr="00CF1787">
        <w:rPr>
          <w:rFonts w:eastAsia="Verdana"/>
          <w:spacing w:val="-1"/>
          <w:szCs w:val="20"/>
          <w:lang w:val="es-CR"/>
        </w:rPr>
        <w:t>r</w:t>
      </w:r>
      <w:r w:rsidRPr="00CF1787">
        <w:rPr>
          <w:rFonts w:eastAsia="Verdana"/>
          <w:szCs w:val="20"/>
          <w:lang w:val="es-CR"/>
        </w:rPr>
        <w:t>a</w:t>
      </w:r>
      <w:r w:rsidRPr="00CF1787">
        <w:rPr>
          <w:rFonts w:eastAsia="Verdana"/>
          <w:spacing w:val="2"/>
          <w:szCs w:val="20"/>
          <w:lang w:val="es-CR"/>
        </w:rPr>
        <w:t>v</w:t>
      </w:r>
      <w:r w:rsidRPr="00CF1787">
        <w:rPr>
          <w:rFonts w:eastAsia="Verdana"/>
          <w:szCs w:val="20"/>
          <w:lang w:val="es-CR"/>
        </w:rPr>
        <w:t>e</w:t>
      </w:r>
      <w:r w:rsidRPr="00CF1787">
        <w:rPr>
          <w:rFonts w:eastAsia="Verdana"/>
          <w:spacing w:val="4"/>
          <w:szCs w:val="20"/>
          <w:lang w:val="es-CR"/>
        </w:rPr>
        <w:t xml:space="preserve"> </w:t>
      </w:r>
      <w:r w:rsidRPr="00CF1787">
        <w:rPr>
          <w:rFonts w:eastAsia="Verdana"/>
          <w:spacing w:val="3"/>
          <w:szCs w:val="20"/>
          <w:lang w:val="es-CR"/>
        </w:rPr>
        <w:t>q</w:t>
      </w:r>
      <w:r w:rsidRPr="00CF1787">
        <w:rPr>
          <w:rFonts w:eastAsia="Verdana"/>
          <w:spacing w:val="1"/>
          <w:szCs w:val="20"/>
          <w:lang w:val="es-CR"/>
        </w:rPr>
        <w:t>u</w:t>
      </w:r>
      <w:r w:rsidRPr="00CF1787">
        <w:rPr>
          <w:rFonts w:eastAsia="Verdana"/>
          <w:szCs w:val="20"/>
          <w:lang w:val="es-CR"/>
        </w:rPr>
        <w:t>e</w:t>
      </w:r>
      <w:r w:rsidRPr="00CF1787">
        <w:rPr>
          <w:rFonts w:eastAsia="Verdana"/>
          <w:spacing w:val="6"/>
          <w:szCs w:val="20"/>
          <w:lang w:val="es-CR"/>
        </w:rPr>
        <w:t xml:space="preserve"> </w:t>
      </w:r>
      <w:r w:rsidRPr="00CF1787">
        <w:rPr>
          <w:rFonts w:eastAsia="Verdana"/>
          <w:szCs w:val="20"/>
          <w:lang w:val="es-CR"/>
        </w:rPr>
        <w:t>v</w:t>
      </w:r>
      <w:r w:rsidRPr="00CF1787">
        <w:rPr>
          <w:rFonts w:eastAsia="Verdana"/>
          <w:spacing w:val="1"/>
          <w:szCs w:val="20"/>
          <w:lang w:val="es-CR"/>
        </w:rPr>
        <w:t>u</w:t>
      </w:r>
      <w:r w:rsidRPr="00CF1787">
        <w:rPr>
          <w:rFonts w:eastAsia="Verdana"/>
          <w:spacing w:val="3"/>
          <w:szCs w:val="20"/>
          <w:lang w:val="es-CR"/>
        </w:rPr>
        <w:t>l</w:t>
      </w:r>
      <w:r w:rsidRPr="00CF1787">
        <w:rPr>
          <w:rFonts w:eastAsia="Verdana"/>
          <w:spacing w:val="1"/>
          <w:szCs w:val="20"/>
          <w:lang w:val="es-CR"/>
        </w:rPr>
        <w:t>n</w:t>
      </w:r>
      <w:r w:rsidRPr="00CF1787">
        <w:rPr>
          <w:rFonts w:eastAsia="Verdana"/>
          <w:spacing w:val="-1"/>
          <w:szCs w:val="20"/>
          <w:lang w:val="es-CR"/>
        </w:rPr>
        <w:t>er</w:t>
      </w:r>
      <w:r w:rsidRPr="00CF1787">
        <w:rPr>
          <w:rFonts w:eastAsia="Verdana"/>
          <w:szCs w:val="20"/>
          <w:lang w:val="es-CR"/>
        </w:rPr>
        <w:t>e</w:t>
      </w:r>
      <w:r w:rsidRPr="00CF1787">
        <w:rPr>
          <w:rFonts w:eastAsia="Verdana"/>
          <w:spacing w:val="5"/>
          <w:szCs w:val="20"/>
          <w:lang w:val="es-CR"/>
        </w:rPr>
        <w:t xml:space="preserve"> </w:t>
      </w:r>
      <w:r w:rsidRPr="00CF1787">
        <w:rPr>
          <w:rFonts w:eastAsia="Verdana"/>
          <w:szCs w:val="20"/>
          <w:lang w:val="es-CR"/>
        </w:rPr>
        <w:t>su</w:t>
      </w:r>
      <w:r w:rsidRPr="00CF1787">
        <w:rPr>
          <w:rFonts w:eastAsia="Verdana"/>
          <w:spacing w:val="9"/>
          <w:szCs w:val="20"/>
          <w:lang w:val="es-CR"/>
        </w:rPr>
        <w:t xml:space="preserve"> </w:t>
      </w:r>
      <w:r w:rsidRPr="00CF1787">
        <w:rPr>
          <w:rFonts w:eastAsia="Verdana"/>
          <w:spacing w:val="1"/>
          <w:szCs w:val="20"/>
          <w:lang w:val="es-CR"/>
        </w:rPr>
        <w:t>de</w:t>
      </w:r>
      <w:r w:rsidRPr="00CF1787">
        <w:rPr>
          <w:rFonts w:eastAsia="Verdana"/>
          <w:spacing w:val="-1"/>
          <w:szCs w:val="20"/>
          <w:lang w:val="es-CR"/>
        </w:rPr>
        <w:t>r</w:t>
      </w:r>
      <w:r w:rsidRPr="00CF1787">
        <w:rPr>
          <w:rFonts w:eastAsia="Verdana"/>
          <w:spacing w:val="1"/>
          <w:szCs w:val="20"/>
          <w:lang w:val="es-CR"/>
        </w:rPr>
        <w:t>e</w:t>
      </w:r>
      <w:r w:rsidRPr="00CF1787">
        <w:rPr>
          <w:rFonts w:eastAsia="Verdana"/>
          <w:szCs w:val="20"/>
          <w:lang w:val="es-CR"/>
        </w:rPr>
        <w:t>cho</w:t>
      </w:r>
      <w:r w:rsidRPr="00CF1787">
        <w:rPr>
          <w:rFonts w:eastAsia="Verdana"/>
          <w:spacing w:val="5"/>
          <w:szCs w:val="20"/>
          <w:lang w:val="es-CR"/>
        </w:rPr>
        <w:t xml:space="preserve"> </w:t>
      </w:r>
      <w:r w:rsidRPr="00CF1787">
        <w:rPr>
          <w:rFonts w:eastAsia="Verdana"/>
          <w:spacing w:val="1"/>
          <w:szCs w:val="20"/>
          <w:lang w:val="es-CR"/>
        </w:rPr>
        <w:t>d</w:t>
      </w:r>
      <w:r w:rsidRPr="00CF1787">
        <w:rPr>
          <w:rFonts w:eastAsia="Verdana"/>
          <w:szCs w:val="20"/>
          <w:lang w:val="es-CR"/>
        </w:rPr>
        <w:t>e</w:t>
      </w:r>
      <w:r w:rsidRPr="00CF1787">
        <w:rPr>
          <w:rFonts w:eastAsia="Verdana"/>
          <w:spacing w:val="7"/>
          <w:szCs w:val="20"/>
          <w:lang w:val="es-CR"/>
        </w:rPr>
        <w:t xml:space="preserve"> </w:t>
      </w:r>
      <w:r w:rsidRPr="00CF1787">
        <w:rPr>
          <w:rFonts w:eastAsia="Verdana"/>
          <w:spacing w:val="1"/>
          <w:szCs w:val="20"/>
          <w:lang w:val="es-CR"/>
        </w:rPr>
        <w:t>de</w:t>
      </w:r>
      <w:r w:rsidRPr="00CF1787">
        <w:rPr>
          <w:rFonts w:eastAsia="Verdana"/>
          <w:szCs w:val="20"/>
          <w:lang w:val="es-CR"/>
        </w:rPr>
        <w:t>f</w:t>
      </w:r>
      <w:r w:rsidRPr="00CF1787">
        <w:rPr>
          <w:rFonts w:eastAsia="Verdana"/>
          <w:spacing w:val="-1"/>
          <w:szCs w:val="20"/>
          <w:lang w:val="es-CR"/>
        </w:rPr>
        <w:t>e</w:t>
      </w:r>
      <w:r w:rsidRPr="00CF1787">
        <w:rPr>
          <w:rFonts w:eastAsia="Verdana"/>
          <w:spacing w:val="1"/>
          <w:szCs w:val="20"/>
          <w:lang w:val="es-CR"/>
        </w:rPr>
        <w:t>n</w:t>
      </w:r>
      <w:r w:rsidRPr="00CF1787">
        <w:rPr>
          <w:rFonts w:eastAsia="Verdana"/>
          <w:szCs w:val="20"/>
          <w:lang w:val="es-CR"/>
        </w:rPr>
        <w:t>s</w:t>
      </w:r>
      <w:r w:rsidRPr="00CF1787">
        <w:rPr>
          <w:rFonts w:eastAsia="Verdana"/>
          <w:spacing w:val="9"/>
          <w:szCs w:val="20"/>
          <w:lang w:val="es-CR"/>
        </w:rPr>
        <w:t>a ante la Corte</w:t>
      </w:r>
      <w:r w:rsidRPr="00CF1787">
        <w:rPr>
          <w:rStyle w:val="FootnoteReference"/>
          <w:rFonts w:eastAsia="Verdana"/>
          <w:spacing w:val="9"/>
          <w:sz w:val="20"/>
          <w:szCs w:val="20"/>
          <w:lang w:val="es-CR"/>
        </w:rPr>
        <w:footnoteReference w:id="18"/>
      </w:r>
      <w:r w:rsidRPr="00CF1787">
        <w:rPr>
          <w:rFonts w:eastAsia="Verdana"/>
          <w:szCs w:val="20"/>
          <w:lang w:val="es-CR"/>
        </w:rPr>
        <w:t>. As</w:t>
      </w:r>
      <w:r w:rsidRPr="00CF1787">
        <w:rPr>
          <w:rFonts w:eastAsia="Verdana"/>
          <w:spacing w:val="3"/>
          <w:szCs w:val="20"/>
          <w:lang w:val="es-CR"/>
        </w:rPr>
        <w:t>i</w:t>
      </w:r>
      <w:r w:rsidRPr="00CF1787">
        <w:rPr>
          <w:rFonts w:eastAsia="Verdana"/>
          <w:szCs w:val="20"/>
          <w:lang w:val="es-CR"/>
        </w:rPr>
        <w:t>m</w:t>
      </w:r>
      <w:r w:rsidRPr="00CF1787">
        <w:rPr>
          <w:rFonts w:eastAsia="Verdana"/>
          <w:spacing w:val="3"/>
          <w:szCs w:val="20"/>
          <w:lang w:val="es-CR"/>
        </w:rPr>
        <w:t>i</w:t>
      </w:r>
      <w:r w:rsidRPr="00CF1787">
        <w:rPr>
          <w:rFonts w:eastAsia="Verdana"/>
          <w:szCs w:val="20"/>
          <w:lang w:val="es-CR"/>
        </w:rPr>
        <w:t>sm</w:t>
      </w:r>
      <w:r w:rsidRPr="00CF1787">
        <w:rPr>
          <w:rFonts w:eastAsia="Verdana"/>
          <w:spacing w:val="-1"/>
          <w:szCs w:val="20"/>
          <w:lang w:val="es-CR"/>
        </w:rPr>
        <w:t>o</w:t>
      </w:r>
      <w:r w:rsidRPr="00CF1787">
        <w:rPr>
          <w:rFonts w:eastAsia="Verdana"/>
          <w:szCs w:val="20"/>
          <w:lang w:val="es-CR"/>
        </w:rPr>
        <w:t>,</w:t>
      </w:r>
      <w:r w:rsidRPr="00CF1787">
        <w:rPr>
          <w:rFonts w:eastAsia="Verdana"/>
          <w:spacing w:val="3"/>
          <w:szCs w:val="20"/>
          <w:lang w:val="es-CR"/>
        </w:rPr>
        <w:t xml:space="preserve"> l</w:t>
      </w:r>
      <w:r w:rsidRPr="00CF1787">
        <w:rPr>
          <w:rFonts w:eastAsia="Verdana"/>
          <w:szCs w:val="20"/>
          <w:lang w:val="es-CR"/>
        </w:rPr>
        <w:t>a</w:t>
      </w:r>
      <w:r w:rsidRPr="00CF1787">
        <w:rPr>
          <w:rFonts w:eastAsia="Verdana"/>
          <w:spacing w:val="9"/>
          <w:szCs w:val="20"/>
          <w:lang w:val="es-CR"/>
        </w:rPr>
        <w:t xml:space="preserve"> </w:t>
      </w:r>
      <w:r w:rsidRPr="00CF1787">
        <w:rPr>
          <w:rFonts w:eastAsia="Verdana"/>
          <w:szCs w:val="20"/>
          <w:lang w:val="es-CR"/>
        </w:rPr>
        <w:t>C</w:t>
      </w:r>
      <w:r w:rsidRPr="00CF1787">
        <w:rPr>
          <w:rFonts w:eastAsia="Verdana"/>
          <w:spacing w:val="-1"/>
          <w:szCs w:val="20"/>
          <w:lang w:val="es-CR"/>
        </w:rPr>
        <w:t>or</w:t>
      </w:r>
      <w:r w:rsidRPr="00CF1787">
        <w:rPr>
          <w:rFonts w:eastAsia="Verdana"/>
          <w:spacing w:val="1"/>
          <w:szCs w:val="20"/>
          <w:lang w:val="es-CR"/>
        </w:rPr>
        <w:t>t</w:t>
      </w:r>
      <w:r w:rsidRPr="00CF1787">
        <w:rPr>
          <w:rFonts w:eastAsia="Verdana"/>
          <w:szCs w:val="20"/>
          <w:lang w:val="es-CR"/>
        </w:rPr>
        <w:t>e</w:t>
      </w:r>
      <w:r w:rsidRPr="00CF1787">
        <w:rPr>
          <w:rFonts w:eastAsia="Verdana"/>
          <w:spacing w:val="4"/>
          <w:szCs w:val="20"/>
          <w:lang w:val="es-CR"/>
        </w:rPr>
        <w:t xml:space="preserve"> </w:t>
      </w:r>
      <w:r w:rsidRPr="00CF1787">
        <w:rPr>
          <w:rFonts w:eastAsia="Verdana"/>
          <w:spacing w:val="3"/>
          <w:szCs w:val="20"/>
          <w:lang w:val="es-CR"/>
        </w:rPr>
        <w:t>d</w:t>
      </w:r>
      <w:r w:rsidRPr="00CF1787">
        <w:rPr>
          <w:rFonts w:eastAsia="Verdana"/>
          <w:spacing w:val="-1"/>
          <w:szCs w:val="20"/>
          <w:lang w:val="es-CR"/>
        </w:rPr>
        <w:t>e</w:t>
      </w:r>
      <w:r w:rsidRPr="00CF1787">
        <w:rPr>
          <w:rFonts w:eastAsia="Verdana"/>
          <w:spacing w:val="1"/>
          <w:szCs w:val="20"/>
          <w:lang w:val="es-CR"/>
        </w:rPr>
        <w:t>b</w:t>
      </w:r>
      <w:r w:rsidRPr="00CF1787">
        <w:rPr>
          <w:rFonts w:eastAsia="Verdana"/>
          <w:szCs w:val="20"/>
          <w:lang w:val="es-CR"/>
        </w:rPr>
        <w:t>e</w:t>
      </w:r>
      <w:r w:rsidRPr="00CF1787">
        <w:rPr>
          <w:rFonts w:eastAsia="Verdana"/>
          <w:spacing w:val="4"/>
          <w:szCs w:val="20"/>
          <w:lang w:val="es-CR"/>
        </w:rPr>
        <w:t xml:space="preserve"> </w:t>
      </w:r>
      <w:r w:rsidRPr="00CF1787">
        <w:rPr>
          <w:rFonts w:eastAsia="Verdana"/>
          <w:spacing w:val="1"/>
          <w:szCs w:val="20"/>
          <w:lang w:val="es-CR"/>
        </w:rPr>
        <w:t>gu</w:t>
      </w:r>
      <w:r w:rsidRPr="00CF1787">
        <w:rPr>
          <w:rFonts w:eastAsia="Verdana"/>
          <w:spacing w:val="2"/>
          <w:szCs w:val="20"/>
          <w:lang w:val="es-CR"/>
        </w:rPr>
        <w:t>a</w:t>
      </w:r>
      <w:r w:rsidRPr="00CF1787">
        <w:rPr>
          <w:rFonts w:eastAsia="Verdana"/>
          <w:spacing w:val="-1"/>
          <w:szCs w:val="20"/>
          <w:lang w:val="es-CR"/>
        </w:rPr>
        <w:t>r</w:t>
      </w:r>
      <w:r w:rsidRPr="00CF1787">
        <w:rPr>
          <w:rFonts w:eastAsia="Verdana"/>
          <w:spacing w:val="1"/>
          <w:szCs w:val="20"/>
          <w:lang w:val="es-CR"/>
        </w:rPr>
        <w:t>d</w:t>
      </w:r>
      <w:r w:rsidRPr="00CF1787">
        <w:rPr>
          <w:rFonts w:eastAsia="Verdana"/>
          <w:szCs w:val="20"/>
          <w:lang w:val="es-CR"/>
        </w:rPr>
        <w:t>ar</w:t>
      </w:r>
      <w:r w:rsidRPr="00CF1787">
        <w:rPr>
          <w:rFonts w:eastAsia="Verdana"/>
          <w:spacing w:val="7"/>
          <w:szCs w:val="20"/>
          <w:lang w:val="es-CR"/>
        </w:rPr>
        <w:t xml:space="preserve"> </w:t>
      </w:r>
      <w:r w:rsidRPr="00CF1787">
        <w:rPr>
          <w:rFonts w:eastAsia="Verdana"/>
          <w:spacing w:val="1"/>
          <w:szCs w:val="20"/>
          <w:lang w:val="es-CR"/>
        </w:rPr>
        <w:t>u</w:t>
      </w:r>
      <w:r w:rsidRPr="00CF1787">
        <w:rPr>
          <w:rFonts w:eastAsia="Verdana"/>
          <w:szCs w:val="20"/>
          <w:lang w:val="es-CR"/>
        </w:rPr>
        <w:t xml:space="preserve">n </w:t>
      </w:r>
      <w:r w:rsidRPr="00CF1787">
        <w:rPr>
          <w:rFonts w:eastAsia="Verdana"/>
          <w:spacing w:val="1"/>
          <w:szCs w:val="20"/>
          <w:lang w:val="es-CR"/>
        </w:rPr>
        <w:t>ju</w:t>
      </w:r>
      <w:r w:rsidRPr="00CF1787">
        <w:rPr>
          <w:rFonts w:eastAsia="Verdana"/>
          <w:szCs w:val="20"/>
          <w:lang w:val="es-CR"/>
        </w:rPr>
        <w:t>sto</w:t>
      </w:r>
      <w:r w:rsidRPr="00CF1787">
        <w:rPr>
          <w:rFonts w:eastAsia="Verdana"/>
          <w:spacing w:val="3"/>
          <w:szCs w:val="20"/>
          <w:lang w:val="es-CR"/>
        </w:rPr>
        <w:t xml:space="preserve"> </w:t>
      </w:r>
      <w:r w:rsidRPr="00CF1787">
        <w:rPr>
          <w:rFonts w:eastAsia="Verdana"/>
          <w:spacing w:val="-1"/>
          <w:szCs w:val="20"/>
          <w:lang w:val="es-CR"/>
        </w:rPr>
        <w:t>e</w:t>
      </w:r>
      <w:r w:rsidRPr="00CF1787">
        <w:rPr>
          <w:rFonts w:eastAsia="Verdana"/>
          <w:spacing w:val="1"/>
          <w:szCs w:val="20"/>
          <w:lang w:val="es-CR"/>
        </w:rPr>
        <w:t>qu</w:t>
      </w:r>
      <w:r w:rsidRPr="00CF1787">
        <w:rPr>
          <w:rFonts w:eastAsia="Verdana"/>
          <w:spacing w:val="3"/>
          <w:szCs w:val="20"/>
          <w:lang w:val="es-CR"/>
        </w:rPr>
        <w:t>i</w:t>
      </w:r>
      <w:r w:rsidRPr="00CF1787">
        <w:rPr>
          <w:rFonts w:eastAsia="Verdana"/>
          <w:szCs w:val="20"/>
          <w:lang w:val="es-CR"/>
        </w:rPr>
        <w:t>l</w:t>
      </w:r>
      <w:r w:rsidRPr="00CF1787">
        <w:rPr>
          <w:rFonts w:eastAsia="Verdana"/>
          <w:spacing w:val="3"/>
          <w:szCs w:val="20"/>
          <w:lang w:val="es-CR"/>
        </w:rPr>
        <w:t>i</w:t>
      </w:r>
      <w:r w:rsidRPr="00CF1787">
        <w:rPr>
          <w:rFonts w:eastAsia="Verdana"/>
          <w:spacing w:val="1"/>
          <w:szCs w:val="20"/>
          <w:lang w:val="es-CR"/>
        </w:rPr>
        <w:t>b</w:t>
      </w:r>
      <w:r w:rsidRPr="00CF1787">
        <w:rPr>
          <w:rFonts w:eastAsia="Verdana"/>
          <w:spacing w:val="-3"/>
          <w:szCs w:val="20"/>
          <w:lang w:val="es-CR"/>
        </w:rPr>
        <w:t>r</w:t>
      </w:r>
      <w:r w:rsidRPr="00CF1787">
        <w:rPr>
          <w:rFonts w:eastAsia="Verdana"/>
          <w:spacing w:val="3"/>
          <w:szCs w:val="20"/>
          <w:lang w:val="es-CR"/>
        </w:rPr>
        <w:t>i</w:t>
      </w:r>
      <w:r w:rsidRPr="00CF1787">
        <w:rPr>
          <w:rFonts w:eastAsia="Verdana"/>
          <w:szCs w:val="20"/>
          <w:lang w:val="es-CR"/>
        </w:rPr>
        <w:t>o</w:t>
      </w:r>
      <w:r w:rsidRPr="00CF1787">
        <w:rPr>
          <w:rFonts w:eastAsia="Verdana"/>
          <w:spacing w:val="-1"/>
          <w:szCs w:val="20"/>
          <w:lang w:val="es-CR"/>
        </w:rPr>
        <w:t xml:space="preserve"> e</w:t>
      </w:r>
      <w:r w:rsidRPr="00CF1787">
        <w:rPr>
          <w:rFonts w:eastAsia="Verdana"/>
          <w:spacing w:val="1"/>
          <w:szCs w:val="20"/>
          <w:lang w:val="es-CR"/>
        </w:rPr>
        <w:t>nt</w:t>
      </w:r>
      <w:r w:rsidRPr="00CF1787">
        <w:rPr>
          <w:rFonts w:eastAsia="Verdana"/>
          <w:spacing w:val="-1"/>
          <w:szCs w:val="20"/>
          <w:lang w:val="es-CR"/>
        </w:rPr>
        <w:t>r</w:t>
      </w:r>
      <w:r w:rsidRPr="00CF1787">
        <w:rPr>
          <w:rFonts w:eastAsia="Verdana"/>
          <w:szCs w:val="20"/>
          <w:lang w:val="es-CR"/>
        </w:rPr>
        <w:t>e</w:t>
      </w:r>
      <w:r w:rsidRPr="00CF1787">
        <w:rPr>
          <w:rFonts w:eastAsia="Verdana"/>
          <w:spacing w:val="5"/>
          <w:szCs w:val="20"/>
          <w:lang w:val="es-CR"/>
        </w:rPr>
        <w:t xml:space="preserve"> </w:t>
      </w:r>
      <w:r w:rsidRPr="00CF1787">
        <w:rPr>
          <w:rFonts w:eastAsia="Verdana"/>
          <w:spacing w:val="3"/>
          <w:szCs w:val="20"/>
          <w:lang w:val="es-CR"/>
        </w:rPr>
        <w:t>l</w:t>
      </w:r>
      <w:r w:rsidRPr="00CF1787">
        <w:rPr>
          <w:rFonts w:eastAsia="Verdana"/>
          <w:szCs w:val="20"/>
          <w:lang w:val="es-CR"/>
        </w:rPr>
        <w:t>a</w:t>
      </w:r>
      <w:r w:rsidRPr="00CF1787">
        <w:rPr>
          <w:rFonts w:eastAsia="Verdana"/>
          <w:spacing w:val="7"/>
          <w:szCs w:val="20"/>
          <w:lang w:val="es-CR"/>
        </w:rPr>
        <w:t xml:space="preserve"> </w:t>
      </w:r>
      <w:r w:rsidRPr="00CF1787">
        <w:rPr>
          <w:rFonts w:eastAsia="Verdana"/>
          <w:spacing w:val="1"/>
          <w:szCs w:val="20"/>
          <w:lang w:val="es-CR"/>
        </w:rPr>
        <w:t>p</w:t>
      </w:r>
      <w:r w:rsidRPr="00CF1787">
        <w:rPr>
          <w:rFonts w:eastAsia="Verdana"/>
          <w:spacing w:val="-1"/>
          <w:szCs w:val="20"/>
          <w:lang w:val="es-CR"/>
        </w:rPr>
        <w:t>ro</w:t>
      </w:r>
      <w:r w:rsidRPr="00CF1787">
        <w:rPr>
          <w:rFonts w:eastAsia="Verdana"/>
          <w:spacing w:val="3"/>
          <w:szCs w:val="20"/>
          <w:lang w:val="es-CR"/>
        </w:rPr>
        <w:t>t</w:t>
      </w:r>
      <w:r w:rsidRPr="00CF1787">
        <w:rPr>
          <w:rFonts w:eastAsia="Verdana"/>
          <w:spacing w:val="-1"/>
          <w:szCs w:val="20"/>
          <w:lang w:val="es-CR"/>
        </w:rPr>
        <w:t>e</w:t>
      </w:r>
      <w:r w:rsidRPr="00CF1787">
        <w:rPr>
          <w:rFonts w:eastAsia="Verdana"/>
          <w:szCs w:val="20"/>
          <w:lang w:val="es-CR"/>
        </w:rPr>
        <w:t>c</w:t>
      </w:r>
      <w:r w:rsidRPr="00CF1787">
        <w:rPr>
          <w:rFonts w:eastAsia="Verdana"/>
          <w:spacing w:val="-1"/>
          <w:szCs w:val="20"/>
          <w:lang w:val="es-CR"/>
        </w:rPr>
        <w:t>c</w:t>
      </w:r>
      <w:r w:rsidRPr="00CF1787">
        <w:rPr>
          <w:rFonts w:eastAsia="Verdana"/>
          <w:spacing w:val="3"/>
          <w:szCs w:val="20"/>
          <w:lang w:val="es-CR"/>
        </w:rPr>
        <w:t>i</w:t>
      </w:r>
      <w:r w:rsidRPr="00CF1787">
        <w:rPr>
          <w:rFonts w:eastAsia="Verdana"/>
          <w:spacing w:val="-1"/>
          <w:szCs w:val="20"/>
          <w:lang w:val="es-CR"/>
        </w:rPr>
        <w:t>ó</w:t>
      </w:r>
      <w:r w:rsidRPr="00CF1787">
        <w:rPr>
          <w:rFonts w:eastAsia="Verdana"/>
          <w:szCs w:val="20"/>
          <w:lang w:val="es-CR"/>
        </w:rPr>
        <w:t xml:space="preserve">n </w:t>
      </w:r>
      <w:r w:rsidRPr="00CF1787">
        <w:rPr>
          <w:rFonts w:eastAsia="Verdana"/>
          <w:spacing w:val="3"/>
          <w:szCs w:val="20"/>
          <w:lang w:val="es-CR"/>
        </w:rPr>
        <w:t>d</w:t>
      </w:r>
      <w:r w:rsidRPr="00CF1787">
        <w:rPr>
          <w:rFonts w:eastAsia="Verdana"/>
          <w:szCs w:val="20"/>
          <w:lang w:val="es-CR"/>
        </w:rPr>
        <w:t>e</w:t>
      </w:r>
      <w:r w:rsidRPr="00CF1787">
        <w:rPr>
          <w:rFonts w:eastAsia="Verdana"/>
          <w:spacing w:val="6"/>
          <w:szCs w:val="20"/>
          <w:lang w:val="es-CR"/>
        </w:rPr>
        <w:t xml:space="preserve"> </w:t>
      </w:r>
      <w:r w:rsidRPr="00CF1787">
        <w:rPr>
          <w:rFonts w:eastAsia="Verdana"/>
          <w:spacing w:val="3"/>
          <w:szCs w:val="20"/>
          <w:lang w:val="es-CR"/>
        </w:rPr>
        <w:t>l</w:t>
      </w:r>
      <w:r w:rsidRPr="00CF1787">
        <w:rPr>
          <w:rFonts w:eastAsia="Verdana"/>
          <w:spacing w:val="-1"/>
          <w:szCs w:val="20"/>
          <w:lang w:val="es-CR"/>
        </w:rPr>
        <w:t>o</w:t>
      </w:r>
      <w:r w:rsidRPr="00CF1787">
        <w:rPr>
          <w:rFonts w:eastAsia="Verdana"/>
          <w:szCs w:val="20"/>
          <w:lang w:val="es-CR"/>
        </w:rPr>
        <w:t>s</w:t>
      </w:r>
      <w:r w:rsidRPr="00CF1787">
        <w:rPr>
          <w:rFonts w:eastAsia="Verdana"/>
          <w:spacing w:val="5"/>
          <w:szCs w:val="20"/>
          <w:lang w:val="es-CR"/>
        </w:rPr>
        <w:t xml:space="preserve"> </w:t>
      </w:r>
      <w:r w:rsidRPr="00CF1787">
        <w:rPr>
          <w:rFonts w:eastAsia="Verdana"/>
          <w:spacing w:val="3"/>
          <w:szCs w:val="20"/>
          <w:lang w:val="es-CR"/>
        </w:rPr>
        <w:t>d</w:t>
      </w:r>
      <w:r w:rsidRPr="00CF1787">
        <w:rPr>
          <w:rFonts w:eastAsia="Verdana"/>
          <w:spacing w:val="5"/>
          <w:szCs w:val="20"/>
          <w:lang w:val="es-CR"/>
        </w:rPr>
        <w:t>e</w:t>
      </w:r>
      <w:r w:rsidRPr="00CF1787">
        <w:rPr>
          <w:rFonts w:eastAsia="Verdana"/>
          <w:spacing w:val="1"/>
          <w:szCs w:val="20"/>
          <w:lang w:val="es-CR"/>
        </w:rPr>
        <w:t>r</w:t>
      </w:r>
      <w:r w:rsidRPr="00CF1787">
        <w:rPr>
          <w:rFonts w:eastAsia="Verdana"/>
          <w:spacing w:val="-1"/>
          <w:szCs w:val="20"/>
          <w:lang w:val="es-CR"/>
        </w:rPr>
        <w:t>e</w:t>
      </w:r>
      <w:r w:rsidRPr="00CF1787">
        <w:rPr>
          <w:rFonts w:eastAsia="Verdana"/>
          <w:spacing w:val="2"/>
          <w:szCs w:val="20"/>
          <w:lang w:val="es-CR"/>
        </w:rPr>
        <w:t>c</w:t>
      </w:r>
      <w:r w:rsidRPr="00CF1787">
        <w:rPr>
          <w:rFonts w:eastAsia="Verdana"/>
          <w:spacing w:val="1"/>
          <w:szCs w:val="20"/>
          <w:lang w:val="es-CR"/>
        </w:rPr>
        <w:t>h</w:t>
      </w:r>
      <w:r w:rsidRPr="00CF1787">
        <w:rPr>
          <w:rFonts w:eastAsia="Verdana"/>
          <w:spacing w:val="-1"/>
          <w:szCs w:val="20"/>
          <w:lang w:val="es-CR"/>
        </w:rPr>
        <w:t>o</w:t>
      </w:r>
      <w:r w:rsidRPr="00CF1787">
        <w:rPr>
          <w:rFonts w:eastAsia="Verdana"/>
          <w:szCs w:val="20"/>
          <w:lang w:val="es-CR"/>
        </w:rPr>
        <w:t>s</w:t>
      </w:r>
      <w:r w:rsidRPr="00CF1787">
        <w:rPr>
          <w:rFonts w:eastAsia="Verdana"/>
          <w:spacing w:val="-1"/>
          <w:szCs w:val="20"/>
          <w:lang w:val="es-CR"/>
        </w:rPr>
        <w:t xml:space="preserve"> </w:t>
      </w:r>
      <w:r w:rsidRPr="00CF1787">
        <w:rPr>
          <w:rFonts w:eastAsia="Verdana"/>
          <w:spacing w:val="1"/>
          <w:szCs w:val="20"/>
          <w:lang w:val="es-CR"/>
        </w:rPr>
        <w:t>hu</w:t>
      </w:r>
      <w:r w:rsidRPr="00CF1787">
        <w:rPr>
          <w:rFonts w:eastAsia="Verdana"/>
          <w:szCs w:val="20"/>
          <w:lang w:val="es-CR"/>
        </w:rPr>
        <w:t>m</w:t>
      </w:r>
      <w:r w:rsidRPr="00CF1787">
        <w:rPr>
          <w:rFonts w:eastAsia="Verdana"/>
          <w:spacing w:val="1"/>
          <w:szCs w:val="20"/>
          <w:lang w:val="es-CR"/>
        </w:rPr>
        <w:t>an</w:t>
      </w:r>
      <w:r w:rsidRPr="00CF1787">
        <w:rPr>
          <w:rFonts w:eastAsia="Verdana"/>
          <w:spacing w:val="-1"/>
          <w:szCs w:val="20"/>
          <w:lang w:val="es-CR"/>
        </w:rPr>
        <w:t>o</w:t>
      </w:r>
      <w:r w:rsidRPr="00CF1787">
        <w:rPr>
          <w:rFonts w:eastAsia="Verdana"/>
          <w:spacing w:val="2"/>
          <w:szCs w:val="20"/>
          <w:lang w:val="es-CR"/>
        </w:rPr>
        <w:t>s</w:t>
      </w:r>
      <w:r w:rsidRPr="00CF1787">
        <w:rPr>
          <w:rFonts w:eastAsia="Verdana"/>
          <w:szCs w:val="20"/>
          <w:lang w:val="es-CR"/>
        </w:rPr>
        <w:t>,</w:t>
      </w:r>
      <w:r w:rsidRPr="00CF1787">
        <w:rPr>
          <w:rFonts w:eastAsia="Verdana"/>
          <w:spacing w:val="-2"/>
          <w:szCs w:val="20"/>
          <w:lang w:val="es-CR"/>
        </w:rPr>
        <w:t xml:space="preserve"> </w:t>
      </w:r>
      <w:r w:rsidRPr="00CF1787">
        <w:rPr>
          <w:rFonts w:eastAsia="Verdana"/>
          <w:szCs w:val="20"/>
          <w:lang w:val="es-CR"/>
        </w:rPr>
        <w:t>f</w:t>
      </w:r>
      <w:r w:rsidRPr="00CF1787">
        <w:rPr>
          <w:rFonts w:eastAsia="Verdana"/>
          <w:spacing w:val="2"/>
          <w:szCs w:val="20"/>
          <w:lang w:val="es-CR"/>
        </w:rPr>
        <w:t>i</w:t>
      </w:r>
      <w:r w:rsidRPr="00CF1787">
        <w:rPr>
          <w:rFonts w:eastAsia="Verdana"/>
          <w:szCs w:val="20"/>
          <w:lang w:val="es-CR"/>
        </w:rPr>
        <w:t>n</w:t>
      </w:r>
      <w:r w:rsidRPr="00CF1787">
        <w:rPr>
          <w:rFonts w:eastAsia="Verdana"/>
          <w:spacing w:val="7"/>
          <w:szCs w:val="20"/>
          <w:lang w:val="es-CR"/>
        </w:rPr>
        <w:t xml:space="preserve"> </w:t>
      </w:r>
      <w:r w:rsidRPr="00CF1787">
        <w:rPr>
          <w:rFonts w:eastAsia="Verdana"/>
          <w:spacing w:val="1"/>
          <w:szCs w:val="20"/>
          <w:lang w:val="es-CR"/>
        </w:rPr>
        <w:t>ú</w:t>
      </w:r>
      <w:r w:rsidRPr="00CF1787">
        <w:rPr>
          <w:rFonts w:eastAsia="Verdana"/>
          <w:spacing w:val="3"/>
          <w:szCs w:val="20"/>
          <w:lang w:val="es-CR"/>
        </w:rPr>
        <w:t>l</w:t>
      </w:r>
      <w:r w:rsidRPr="00CF1787">
        <w:rPr>
          <w:rFonts w:eastAsia="Verdana"/>
          <w:spacing w:val="-2"/>
          <w:szCs w:val="20"/>
          <w:lang w:val="es-CR"/>
        </w:rPr>
        <w:t>t</w:t>
      </w:r>
      <w:r w:rsidRPr="00CF1787">
        <w:rPr>
          <w:rFonts w:eastAsia="Verdana"/>
          <w:spacing w:val="3"/>
          <w:szCs w:val="20"/>
          <w:lang w:val="es-CR"/>
        </w:rPr>
        <w:t>i</w:t>
      </w:r>
      <w:r w:rsidRPr="00CF1787">
        <w:rPr>
          <w:rFonts w:eastAsia="Verdana"/>
          <w:spacing w:val="-2"/>
          <w:szCs w:val="20"/>
          <w:lang w:val="es-CR"/>
        </w:rPr>
        <w:t>m</w:t>
      </w:r>
      <w:r w:rsidRPr="00CF1787">
        <w:rPr>
          <w:rFonts w:eastAsia="Verdana"/>
          <w:szCs w:val="20"/>
          <w:lang w:val="es-CR"/>
        </w:rPr>
        <w:t>o</w:t>
      </w:r>
      <w:r w:rsidRPr="00CF1787">
        <w:rPr>
          <w:rFonts w:eastAsia="Verdana"/>
          <w:spacing w:val="2"/>
          <w:szCs w:val="20"/>
          <w:lang w:val="es-CR"/>
        </w:rPr>
        <w:t xml:space="preserve"> </w:t>
      </w:r>
      <w:r w:rsidRPr="00CF1787">
        <w:rPr>
          <w:rFonts w:eastAsia="Verdana"/>
          <w:spacing w:val="3"/>
          <w:szCs w:val="20"/>
          <w:lang w:val="es-CR"/>
        </w:rPr>
        <w:t>d</w:t>
      </w:r>
      <w:r w:rsidRPr="00CF1787">
        <w:rPr>
          <w:rFonts w:eastAsia="Verdana"/>
          <w:spacing w:val="-1"/>
          <w:szCs w:val="20"/>
          <w:lang w:val="es-CR"/>
        </w:rPr>
        <w:t>e</w:t>
      </w:r>
      <w:r w:rsidRPr="00CF1787">
        <w:rPr>
          <w:rFonts w:eastAsia="Verdana"/>
          <w:szCs w:val="20"/>
          <w:lang w:val="es-CR"/>
        </w:rPr>
        <w:t>l</w:t>
      </w:r>
      <w:r w:rsidRPr="00CF1787">
        <w:rPr>
          <w:rFonts w:eastAsia="Verdana"/>
          <w:spacing w:val="8"/>
          <w:szCs w:val="20"/>
          <w:lang w:val="es-CR"/>
        </w:rPr>
        <w:t xml:space="preserve"> </w:t>
      </w:r>
      <w:r w:rsidRPr="00CF1787">
        <w:rPr>
          <w:rFonts w:eastAsia="Verdana"/>
          <w:spacing w:val="3"/>
          <w:szCs w:val="20"/>
          <w:lang w:val="es-CR"/>
        </w:rPr>
        <w:t>si</w:t>
      </w:r>
      <w:r w:rsidRPr="00CF1787">
        <w:rPr>
          <w:rFonts w:eastAsia="Verdana"/>
          <w:szCs w:val="20"/>
          <w:lang w:val="es-CR"/>
        </w:rPr>
        <w:t>st</w:t>
      </w:r>
      <w:r w:rsidRPr="00CF1787">
        <w:rPr>
          <w:rFonts w:eastAsia="Verdana"/>
          <w:spacing w:val="-1"/>
          <w:szCs w:val="20"/>
          <w:lang w:val="es-CR"/>
        </w:rPr>
        <w:t>e</w:t>
      </w:r>
      <w:r w:rsidRPr="00CF1787">
        <w:rPr>
          <w:rFonts w:eastAsia="Verdana"/>
          <w:szCs w:val="20"/>
          <w:lang w:val="es-CR"/>
        </w:rPr>
        <w:t>ma</w:t>
      </w:r>
      <w:r w:rsidRPr="00CF1787">
        <w:rPr>
          <w:rFonts w:eastAsia="Verdana"/>
          <w:spacing w:val="3"/>
          <w:szCs w:val="20"/>
          <w:lang w:val="es-CR"/>
        </w:rPr>
        <w:t xml:space="preserve"> i</w:t>
      </w:r>
      <w:r w:rsidRPr="00CF1787">
        <w:rPr>
          <w:rFonts w:eastAsia="Verdana"/>
          <w:spacing w:val="1"/>
          <w:szCs w:val="20"/>
          <w:lang w:val="es-CR"/>
        </w:rPr>
        <w:t>nt</w:t>
      </w:r>
      <w:r w:rsidRPr="00CF1787">
        <w:rPr>
          <w:rFonts w:eastAsia="Verdana"/>
          <w:spacing w:val="-1"/>
          <w:szCs w:val="20"/>
          <w:lang w:val="es-CR"/>
        </w:rPr>
        <w:t>er</w:t>
      </w:r>
      <w:r w:rsidRPr="00CF1787">
        <w:rPr>
          <w:rFonts w:eastAsia="Verdana"/>
          <w:szCs w:val="20"/>
          <w:lang w:val="es-CR"/>
        </w:rPr>
        <w:t>a</w:t>
      </w:r>
      <w:r w:rsidRPr="00CF1787">
        <w:rPr>
          <w:rFonts w:eastAsia="Verdana"/>
          <w:spacing w:val="1"/>
          <w:szCs w:val="20"/>
          <w:lang w:val="es-CR"/>
        </w:rPr>
        <w:t>m</w:t>
      </w:r>
      <w:r w:rsidRPr="00CF1787">
        <w:rPr>
          <w:rFonts w:eastAsia="Verdana"/>
          <w:spacing w:val="-1"/>
          <w:szCs w:val="20"/>
          <w:lang w:val="es-CR"/>
        </w:rPr>
        <w:t>e</w:t>
      </w:r>
      <w:r w:rsidRPr="00CF1787">
        <w:rPr>
          <w:rFonts w:eastAsia="Verdana"/>
          <w:spacing w:val="1"/>
          <w:szCs w:val="20"/>
          <w:lang w:val="es-CR"/>
        </w:rPr>
        <w:t>r</w:t>
      </w:r>
      <w:r w:rsidRPr="00CF1787">
        <w:rPr>
          <w:rFonts w:eastAsia="Verdana"/>
          <w:spacing w:val="3"/>
          <w:szCs w:val="20"/>
          <w:lang w:val="es-CR"/>
        </w:rPr>
        <w:t>i</w:t>
      </w:r>
      <w:r w:rsidRPr="00CF1787">
        <w:rPr>
          <w:rFonts w:eastAsia="Verdana"/>
          <w:szCs w:val="20"/>
          <w:lang w:val="es-CR"/>
        </w:rPr>
        <w:t>ca</w:t>
      </w:r>
      <w:r w:rsidRPr="00CF1787">
        <w:rPr>
          <w:rFonts w:eastAsia="Verdana"/>
          <w:spacing w:val="1"/>
          <w:szCs w:val="20"/>
          <w:lang w:val="es-CR"/>
        </w:rPr>
        <w:t>n</w:t>
      </w:r>
      <w:r w:rsidRPr="00CF1787">
        <w:rPr>
          <w:rFonts w:eastAsia="Verdana"/>
          <w:szCs w:val="20"/>
          <w:lang w:val="es-CR"/>
        </w:rPr>
        <w:t>o, y</w:t>
      </w:r>
      <w:r w:rsidRPr="00CF1787">
        <w:rPr>
          <w:rFonts w:eastAsia="Verdana"/>
          <w:spacing w:val="9"/>
          <w:szCs w:val="20"/>
          <w:lang w:val="es-CR"/>
        </w:rPr>
        <w:t xml:space="preserve"> </w:t>
      </w:r>
      <w:r w:rsidRPr="00CF1787">
        <w:rPr>
          <w:rFonts w:eastAsia="Verdana"/>
          <w:spacing w:val="3"/>
          <w:szCs w:val="20"/>
          <w:lang w:val="es-CR"/>
        </w:rPr>
        <w:t>l</w:t>
      </w:r>
      <w:r w:rsidRPr="00CF1787">
        <w:rPr>
          <w:rFonts w:eastAsia="Verdana"/>
          <w:szCs w:val="20"/>
          <w:lang w:val="es-CR"/>
        </w:rPr>
        <w:t>a</w:t>
      </w:r>
      <w:r w:rsidRPr="00CF1787">
        <w:rPr>
          <w:rFonts w:eastAsia="Verdana"/>
          <w:spacing w:val="10"/>
          <w:szCs w:val="20"/>
          <w:lang w:val="es-CR"/>
        </w:rPr>
        <w:t xml:space="preserve"> </w:t>
      </w:r>
      <w:r w:rsidRPr="00CF1787">
        <w:rPr>
          <w:rFonts w:eastAsia="Verdana"/>
          <w:szCs w:val="20"/>
          <w:lang w:val="es-CR"/>
        </w:rPr>
        <w:t>s</w:t>
      </w:r>
      <w:r w:rsidRPr="00CF1787">
        <w:rPr>
          <w:rFonts w:eastAsia="Verdana"/>
          <w:spacing w:val="-2"/>
          <w:szCs w:val="20"/>
          <w:lang w:val="es-CR"/>
        </w:rPr>
        <w:t>e</w:t>
      </w:r>
      <w:r w:rsidRPr="00CF1787">
        <w:rPr>
          <w:rFonts w:eastAsia="Verdana"/>
          <w:spacing w:val="1"/>
          <w:szCs w:val="20"/>
          <w:lang w:val="es-CR"/>
        </w:rPr>
        <w:t>gu</w:t>
      </w:r>
      <w:r w:rsidRPr="00CF1787">
        <w:rPr>
          <w:rFonts w:eastAsia="Verdana"/>
          <w:spacing w:val="-1"/>
          <w:szCs w:val="20"/>
          <w:lang w:val="es-CR"/>
        </w:rPr>
        <w:t>r</w:t>
      </w:r>
      <w:r w:rsidRPr="00CF1787">
        <w:rPr>
          <w:rFonts w:eastAsia="Verdana"/>
          <w:spacing w:val="3"/>
          <w:szCs w:val="20"/>
          <w:lang w:val="es-CR"/>
        </w:rPr>
        <w:t>i</w:t>
      </w:r>
      <w:r w:rsidRPr="00CF1787">
        <w:rPr>
          <w:rFonts w:eastAsia="Verdana"/>
          <w:spacing w:val="1"/>
          <w:szCs w:val="20"/>
          <w:lang w:val="es-CR"/>
        </w:rPr>
        <w:t>d</w:t>
      </w:r>
      <w:r w:rsidRPr="00CF1787">
        <w:rPr>
          <w:rFonts w:eastAsia="Verdana"/>
          <w:szCs w:val="20"/>
          <w:lang w:val="es-CR"/>
        </w:rPr>
        <w:t>ad</w:t>
      </w:r>
      <w:r w:rsidRPr="00CF1787">
        <w:rPr>
          <w:rFonts w:eastAsia="Verdana"/>
          <w:spacing w:val="3"/>
          <w:szCs w:val="20"/>
          <w:lang w:val="es-CR"/>
        </w:rPr>
        <w:t xml:space="preserve"> </w:t>
      </w:r>
      <w:r w:rsidRPr="00CF1787">
        <w:rPr>
          <w:rFonts w:eastAsia="Verdana"/>
          <w:spacing w:val="1"/>
          <w:szCs w:val="20"/>
          <w:lang w:val="es-CR"/>
        </w:rPr>
        <w:t>ju</w:t>
      </w:r>
      <w:r w:rsidRPr="00CF1787">
        <w:rPr>
          <w:rFonts w:eastAsia="Verdana"/>
          <w:spacing w:val="-1"/>
          <w:szCs w:val="20"/>
          <w:lang w:val="es-CR"/>
        </w:rPr>
        <w:t>r</w:t>
      </w:r>
      <w:r w:rsidRPr="00CF1787">
        <w:rPr>
          <w:rFonts w:eastAsia="Verdana"/>
          <w:spacing w:val="3"/>
          <w:szCs w:val="20"/>
          <w:lang w:val="es-CR"/>
        </w:rPr>
        <w:t>í</w:t>
      </w:r>
      <w:r w:rsidRPr="00CF1787">
        <w:rPr>
          <w:rFonts w:eastAsia="Verdana"/>
          <w:spacing w:val="-2"/>
          <w:szCs w:val="20"/>
          <w:lang w:val="es-CR"/>
        </w:rPr>
        <w:t>d</w:t>
      </w:r>
      <w:r w:rsidRPr="00CF1787">
        <w:rPr>
          <w:rFonts w:eastAsia="Verdana"/>
          <w:spacing w:val="3"/>
          <w:szCs w:val="20"/>
          <w:lang w:val="es-CR"/>
        </w:rPr>
        <w:t>i</w:t>
      </w:r>
      <w:r w:rsidRPr="00CF1787">
        <w:rPr>
          <w:rFonts w:eastAsia="Verdana"/>
          <w:szCs w:val="20"/>
          <w:lang w:val="es-CR"/>
        </w:rPr>
        <w:t>ca</w:t>
      </w:r>
      <w:r w:rsidRPr="00CF1787">
        <w:rPr>
          <w:rFonts w:eastAsia="Verdana"/>
          <w:spacing w:val="1"/>
          <w:szCs w:val="20"/>
          <w:lang w:val="es-CR"/>
        </w:rPr>
        <w:t xml:space="preserve"> </w:t>
      </w:r>
      <w:r w:rsidRPr="00CF1787">
        <w:rPr>
          <w:rFonts w:eastAsia="Verdana"/>
          <w:szCs w:val="20"/>
          <w:lang w:val="es-CR"/>
        </w:rPr>
        <w:t>y</w:t>
      </w:r>
      <w:r w:rsidRPr="00CF1787">
        <w:rPr>
          <w:rFonts w:eastAsia="Verdana"/>
          <w:spacing w:val="9"/>
          <w:szCs w:val="20"/>
          <w:lang w:val="es-CR"/>
        </w:rPr>
        <w:t xml:space="preserve"> </w:t>
      </w:r>
      <w:r w:rsidRPr="00CF1787">
        <w:rPr>
          <w:rFonts w:eastAsia="Verdana"/>
          <w:spacing w:val="-1"/>
          <w:szCs w:val="20"/>
          <w:lang w:val="es-CR"/>
        </w:rPr>
        <w:t>e</w:t>
      </w:r>
      <w:r w:rsidRPr="00CF1787">
        <w:rPr>
          <w:rFonts w:eastAsia="Verdana"/>
          <w:spacing w:val="1"/>
          <w:szCs w:val="20"/>
          <w:lang w:val="es-CR"/>
        </w:rPr>
        <w:t>qu</w:t>
      </w:r>
      <w:r w:rsidRPr="00CF1787">
        <w:rPr>
          <w:rFonts w:eastAsia="Verdana"/>
          <w:spacing w:val="3"/>
          <w:szCs w:val="20"/>
          <w:lang w:val="es-CR"/>
        </w:rPr>
        <w:t>i</w:t>
      </w:r>
      <w:r w:rsidRPr="00CF1787">
        <w:rPr>
          <w:rFonts w:eastAsia="Verdana"/>
          <w:spacing w:val="1"/>
          <w:szCs w:val="20"/>
          <w:lang w:val="es-CR"/>
        </w:rPr>
        <w:t>d</w:t>
      </w:r>
      <w:r w:rsidRPr="00CF1787">
        <w:rPr>
          <w:rFonts w:eastAsia="Verdana"/>
          <w:szCs w:val="20"/>
          <w:lang w:val="es-CR"/>
        </w:rPr>
        <w:t>ad</w:t>
      </w:r>
      <w:r w:rsidRPr="00CF1787">
        <w:rPr>
          <w:rFonts w:eastAsia="Verdana"/>
          <w:spacing w:val="10"/>
          <w:szCs w:val="20"/>
          <w:lang w:val="es-CR"/>
        </w:rPr>
        <w:t xml:space="preserve"> </w:t>
      </w:r>
      <w:r w:rsidRPr="00CF1787">
        <w:rPr>
          <w:rFonts w:eastAsia="Verdana"/>
          <w:spacing w:val="1"/>
          <w:szCs w:val="20"/>
          <w:lang w:val="es-CR"/>
        </w:rPr>
        <w:t>p</w:t>
      </w:r>
      <w:r w:rsidRPr="00CF1787">
        <w:rPr>
          <w:rFonts w:eastAsia="Verdana"/>
          <w:spacing w:val="-1"/>
          <w:szCs w:val="20"/>
          <w:lang w:val="es-CR"/>
        </w:rPr>
        <w:t>ro</w:t>
      </w:r>
      <w:r w:rsidRPr="00CF1787">
        <w:rPr>
          <w:rFonts w:eastAsia="Verdana"/>
          <w:spacing w:val="2"/>
          <w:szCs w:val="20"/>
          <w:lang w:val="es-CR"/>
        </w:rPr>
        <w:t>c</w:t>
      </w:r>
      <w:r w:rsidRPr="00CF1787">
        <w:rPr>
          <w:rFonts w:eastAsia="Verdana"/>
          <w:spacing w:val="-1"/>
          <w:szCs w:val="20"/>
          <w:lang w:val="es-CR"/>
        </w:rPr>
        <w:t>e</w:t>
      </w:r>
      <w:r w:rsidRPr="00CF1787">
        <w:rPr>
          <w:rFonts w:eastAsia="Verdana"/>
          <w:szCs w:val="20"/>
          <w:lang w:val="es-CR"/>
        </w:rPr>
        <w:t>sal</w:t>
      </w:r>
      <w:r w:rsidRPr="00CF1787">
        <w:rPr>
          <w:rFonts w:eastAsia="Verdana"/>
          <w:spacing w:val="5"/>
          <w:szCs w:val="20"/>
          <w:lang w:val="es-CR"/>
        </w:rPr>
        <w:t xml:space="preserve"> </w:t>
      </w:r>
      <w:r w:rsidRPr="00CF1787">
        <w:rPr>
          <w:rFonts w:eastAsia="Verdana"/>
          <w:spacing w:val="1"/>
          <w:szCs w:val="20"/>
          <w:lang w:val="es-CR"/>
        </w:rPr>
        <w:t>qu</w:t>
      </w:r>
      <w:r w:rsidRPr="00CF1787">
        <w:rPr>
          <w:rFonts w:eastAsia="Verdana"/>
          <w:szCs w:val="20"/>
          <w:lang w:val="es-CR"/>
        </w:rPr>
        <w:t>e</w:t>
      </w:r>
      <w:r w:rsidRPr="00CF1787">
        <w:rPr>
          <w:rFonts w:eastAsia="Verdana"/>
          <w:spacing w:val="9"/>
          <w:szCs w:val="20"/>
          <w:lang w:val="es-CR"/>
        </w:rPr>
        <w:t xml:space="preserve"> </w:t>
      </w:r>
      <w:r w:rsidRPr="00CF1787">
        <w:rPr>
          <w:rFonts w:eastAsia="Verdana"/>
          <w:szCs w:val="20"/>
          <w:lang w:val="es-CR"/>
        </w:rPr>
        <w:t>as</w:t>
      </w:r>
      <w:r w:rsidRPr="00CF1787">
        <w:rPr>
          <w:rFonts w:eastAsia="Verdana"/>
          <w:spacing w:val="-1"/>
          <w:szCs w:val="20"/>
          <w:lang w:val="es-CR"/>
        </w:rPr>
        <w:t>e</w:t>
      </w:r>
      <w:r w:rsidRPr="00CF1787">
        <w:rPr>
          <w:rFonts w:eastAsia="Verdana"/>
          <w:spacing w:val="1"/>
          <w:szCs w:val="20"/>
          <w:lang w:val="es-CR"/>
        </w:rPr>
        <w:t>g</w:t>
      </w:r>
      <w:r w:rsidRPr="00CF1787">
        <w:rPr>
          <w:rFonts w:eastAsia="Verdana"/>
          <w:spacing w:val="3"/>
          <w:szCs w:val="20"/>
          <w:lang w:val="es-CR"/>
        </w:rPr>
        <w:t>u</w:t>
      </w:r>
      <w:r w:rsidRPr="00CF1787">
        <w:rPr>
          <w:rFonts w:eastAsia="Verdana"/>
          <w:spacing w:val="-1"/>
          <w:szCs w:val="20"/>
          <w:lang w:val="es-CR"/>
        </w:rPr>
        <w:t>r</w:t>
      </w:r>
      <w:r w:rsidRPr="00CF1787">
        <w:rPr>
          <w:rFonts w:eastAsia="Verdana"/>
          <w:szCs w:val="20"/>
          <w:lang w:val="es-CR"/>
        </w:rPr>
        <w:t>an</w:t>
      </w:r>
      <w:r w:rsidRPr="00CF1787">
        <w:rPr>
          <w:rFonts w:eastAsia="Verdana"/>
          <w:spacing w:val="3"/>
          <w:szCs w:val="20"/>
          <w:lang w:val="es-CR"/>
        </w:rPr>
        <w:t xml:space="preserve"> l</w:t>
      </w:r>
      <w:r w:rsidRPr="00CF1787">
        <w:rPr>
          <w:rFonts w:eastAsia="Verdana"/>
          <w:szCs w:val="20"/>
          <w:lang w:val="es-CR"/>
        </w:rPr>
        <w:t>a</w:t>
      </w:r>
      <w:r w:rsidRPr="00CF1787">
        <w:rPr>
          <w:rFonts w:eastAsia="Verdana"/>
          <w:spacing w:val="10"/>
          <w:szCs w:val="20"/>
          <w:lang w:val="es-CR"/>
        </w:rPr>
        <w:t xml:space="preserve"> </w:t>
      </w:r>
      <w:r w:rsidRPr="00CF1787">
        <w:rPr>
          <w:rFonts w:eastAsia="Verdana"/>
          <w:spacing w:val="-1"/>
          <w:szCs w:val="20"/>
          <w:lang w:val="es-CR"/>
        </w:rPr>
        <w:t>e</w:t>
      </w:r>
      <w:r w:rsidRPr="00CF1787">
        <w:rPr>
          <w:rFonts w:eastAsia="Verdana"/>
          <w:szCs w:val="20"/>
          <w:lang w:val="es-CR"/>
        </w:rPr>
        <w:t>sta</w:t>
      </w:r>
      <w:r w:rsidRPr="00CF1787">
        <w:rPr>
          <w:rFonts w:eastAsia="Verdana"/>
          <w:spacing w:val="1"/>
          <w:szCs w:val="20"/>
          <w:lang w:val="es-CR"/>
        </w:rPr>
        <w:t>b</w:t>
      </w:r>
      <w:r w:rsidRPr="00CF1787">
        <w:rPr>
          <w:rFonts w:eastAsia="Verdana"/>
          <w:szCs w:val="20"/>
          <w:lang w:val="es-CR"/>
        </w:rPr>
        <w:t>il</w:t>
      </w:r>
      <w:r w:rsidRPr="00CF1787">
        <w:rPr>
          <w:rFonts w:eastAsia="Verdana"/>
          <w:spacing w:val="3"/>
          <w:szCs w:val="20"/>
          <w:lang w:val="es-CR"/>
        </w:rPr>
        <w:t>i</w:t>
      </w:r>
      <w:r w:rsidRPr="00CF1787">
        <w:rPr>
          <w:rFonts w:eastAsia="Verdana"/>
          <w:spacing w:val="1"/>
          <w:szCs w:val="20"/>
          <w:lang w:val="es-CR"/>
        </w:rPr>
        <w:t>d</w:t>
      </w:r>
      <w:r w:rsidRPr="00CF1787">
        <w:rPr>
          <w:rFonts w:eastAsia="Verdana"/>
          <w:spacing w:val="-2"/>
          <w:szCs w:val="20"/>
          <w:lang w:val="es-CR"/>
        </w:rPr>
        <w:t>a</w:t>
      </w:r>
      <w:r w:rsidRPr="00CF1787">
        <w:rPr>
          <w:rFonts w:eastAsia="Verdana"/>
          <w:szCs w:val="20"/>
          <w:lang w:val="es-CR"/>
        </w:rPr>
        <w:t>d</w:t>
      </w:r>
      <w:r w:rsidRPr="00CF1787">
        <w:rPr>
          <w:rFonts w:eastAsia="Verdana"/>
          <w:spacing w:val="1"/>
          <w:szCs w:val="20"/>
          <w:lang w:val="es-CR"/>
        </w:rPr>
        <w:t xml:space="preserve"> </w:t>
      </w:r>
      <w:r w:rsidRPr="00CF1787">
        <w:rPr>
          <w:rFonts w:eastAsia="Verdana"/>
          <w:szCs w:val="20"/>
          <w:lang w:val="es-CR"/>
        </w:rPr>
        <w:t>y</w:t>
      </w:r>
      <w:r w:rsidRPr="00CF1787">
        <w:rPr>
          <w:rFonts w:eastAsia="Verdana"/>
          <w:spacing w:val="9"/>
          <w:szCs w:val="20"/>
          <w:lang w:val="es-CR"/>
        </w:rPr>
        <w:t xml:space="preserve"> </w:t>
      </w:r>
      <w:r w:rsidRPr="00CF1787">
        <w:rPr>
          <w:rFonts w:eastAsia="Verdana"/>
          <w:spacing w:val="2"/>
          <w:szCs w:val="20"/>
          <w:lang w:val="es-CR"/>
        </w:rPr>
        <w:t>c</w:t>
      </w:r>
      <w:r w:rsidRPr="00CF1787">
        <w:rPr>
          <w:rFonts w:eastAsia="Verdana"/>
          <w:spacing w:val="-1"/>
          <w:szCs w:val="20"/>
          <w:lang w:val="es-CR"/>
        </w:rPr>
        <w:t>o</w:t>
      </w:r>
      <w:r w:rsidRPr="00CF1787">
        <w:rPr>
          <w:rFonts w:eastAsia="Verdana"/>
          <w:spacing w:val="1"/>
          <w:szCs w:val="20"/>
          <w:lang w:val="es-CR"/>
        </w:rPr>
        <w:t>n</w:t>
      </w:r>
      <w:r w:rsidRPr="00CF1787">
        <w:rPr>
          <w:rFonts w:eastAsia="Verdana"/>
          <w:szCs w:val="20"/>
          <w:lang w:val="es-CR"/>
        </w:rPr>
        <w:t>f</w:t>
      </w:r>
      <w:r w:rsidRPr="00CF1787">
        <w:rPr>
          <w:rFonts w:eastAsia="Verdana"/>
          <w:spacing w:val="2"/>
          <w:szCs w:val="20"/>
          <w:lang w:val="es-CR"/>
        </w:rPr>
        <w:t>i</w:t>
      </w:r>
      <w:r w:rsidRPr="00CF1787">
        <w:rPr>
          <w:rFonts w:eastAsia="Verdana"/>
          <w:szCs w:val="20"/>
          <w:lang w:val="es-CR"/>
        </w:rPr>
        <w:t>a</w:t>
      </w:r>
      <w:r w:rsidRPr="00CF1787">
        <w:rPr>
          <w:rFonts w:eastAsia="Verdana"/>
          <w:spacing w:val="-1"/>
          <w:szCs w:val="20"/>
          <w:lang w:val="es-CR"/>
        </w:rPr>
        <w:t>b</w:t>
      </w:r>
      <w:r w:rsidRPr="00CF1787">
        <w:rPr>
          <w:rFonts w:eastAsia="Verdana"/>
          <w:szCs w:val="20"/>
          <w:lang w:val="es-CR"/>
        </w:rPr>
        <w:t>il</w:t>
      </w:r>
      <w:r w:rsidRPr="00CF1787">
        <w:rPr>
          <w:rFonts w:eastAsia="Verdana"/>
          <w:spacing w:val="3"/>
          <w:szCs w:val="20"/>
          <w:lang w:val="es-CR"/>
        </w:rPr>
        <w:t>i</w:t>
      </w:r>
      <w:r w:rsidRPr="00CF1787">
        <w:rPr>
          <w:rFonts w:eastAsia="Verdana"/>
          <w:spacing w:val="1"/>
          <w:szCs w:val="20"/>
          <w:lang w:val="es-CR"/>
        </w:rPr>
        <w:t>d</w:t>
      </w:r>
      <w:r w:rsidRPr="00CF1787">
        <w:rPr>
          <w:rFonts w:eastAsia="Verdana"/>
          <w:szCs w:val="20"/>
          <w:lang w:val="es-CR"/>
        </w:rPr>
        <w:t xml:space="preserve">ad </w:t>
      </w:r>
      <w:r w:rsidRPr="00CF1787">
        <w:rPr>
          <w:rFonts w:eastAsia="Verdana"/>
          <w:spacing w:val="1"/>
          <w:szCs w:val="20"/>
          <w:lang w:val="es-CR"/>
        </w:rPr>
        <w:t>d</w:t>
      </w:r>
      <w:r w:rsidRPr="00CF1787">
        <w:rPr>
          <w:rFonts w:eastAsia="Verdana"/>
          <w:szCs w:val="20"/>
          <w:lang w:val="es-CR"/>
        </w:rPr>
        <w:t>e</w:t>
      </w:r>
      <w:r w:rsidRPr="00CF1787">
        <w:rPr>
          <w:rFonts w:eastAsia="Verdana"/>
          <w:spacing w:val="8"/>
          <w:szCs w:val="20"/>
          <w:lang w:val="es-CR"/>
        </w:rPr>
        <w:t xml:space="preserve"> </w:t>
      </w:r>
      <w:r w:rsidRPr="00CF1787">
        <w:rPr>
          <w:rFonts w:eastAsia="Verdana"/>
          <w:spacing w:val="3"/>
          <w:szCs w:val="20"/>
          <w:lang w:val="es-CR"/>
        </w:rPr>
        <w:t>l</w:t>
      </w:r>
      <w:r w:rsidRPr="00CF1787">
        <w:rPr>
          <w:rFonts w:eastAsia="Verdana"/>
          <w:szCs w:val="20"/>
          <w:lang w:val="es-CR"/>
        </w:rPr>
        <w:t>a</w:t>
      </w:r>
      <w:r w:rsidRPr="00CF1787">
        <w:rPr>
          <w:rFonts w:eastAsia="Verdana"/>
          <w:spacing w:val="8"/>
          <w:szCs w:val="20"/>
          <w:lang w:val="es-CR"/>
        </w:rPr>
        <w:t xml:space="preserve"> </w:t>
      </w:r>
      <w:r w:rsidRPr="00CF1787">
        <w:rPr>
          <w:rFonts w:eastAsia="Verdana"/>
          <w:spacing w:val="1"/>
          <w:szCs w:val="20"/>
          <w:lang w:val="es-CR"/>
        </w:rPr>
        <w:t>tut</w:t>
      </w:r>
      <w:r w:rsidRPr="00CF1787">
        <w:rPr>
          <w:rFonts w:eastAsia="Verdana"/>
          <w:spacing w:val="-1"/>
          <w:szCs w:val="20"/>
          <w:lang w:val="es-CR"/>
        </w:rPr>
        <w:t>e</w:t>
      </w:r>
      <w:r w:rsidRPr="00CF1787">
        <w:rPr>
          <w:rFonts w:eastAsia="Verdana"/>
          <w:spacing w:val="3"/>
          <w:szCs w:val="20"/>
          <w:lang w:val="es-CR"/>
        </w:rPr>
        <w:t>l</w:t>
      </w:r>
      <w:r w:rsidRPr="00CF1787">
        <w:rPr>
          <w:rFonts w:eastAsia="Verdana"/>
          <w:szCs w:val="20"/>
          <w:lang w:val="es-CR"/>
        </w:rPr>
        <w:t xml:space="preserve">a </w:t>
      </w:r>
      <w:r w:rsidRPr="00CF1787">
        <w:rPr>
          <w:rFonts w:eastAsia="Verdana"/>
          <w:spacing w:val="3"/>
          <w:szCs w:val="20"/>
          <w:lang w:val="es-CR"/>
        </w:rPr>
        <w:t>i</w:t>
      </w:r>
      <w:r w:rsidRPr="00CF1787">
        <w:rPr>
          <w:rFonts w:eastAsia="Verdana"/>
          <w:spacing w:val="-1"/>
          <w:szCs w:val="20"/>
          <w:lang w:val="es-CR"/>
        </w:rPr>
        <w:t>n</w:t>
      </w:r>
      <w:r w:rsidRPr="00CF1787">
        <w:rPr>
          <w:rFonts w:eastAsia="Verdana"/>
          <w:spacing w:val="1"/>
          <w:szCs w:val="20"/>
          <w:lang w:val="es-CR"/>
        </w:rPr>
        <w:t>t</w:t>
      </w:r>
      <w:r w:rsidRPr="00CF1787">
        <w:rPr>
          <w:rFonts w:eastAsia="Verdana"/>
          <w:spacing w:val="-1"/>
          <w:szCs w:val="20"/>
          <w:lang w:val="es-CR"/>
        </w:rPr>
        <w:t>er</w:t>
      </w:r>
      <w:r w:rsidRPr="00CF1787">
        <w:rPr>
          <w:rFonts w:eastAsia="Verdana"/>
          <w:spacing w:val="1"/>
          <w:szCs w:val="20"/>
          <w:lang w:val="es-CR"/>
        </w:rPr>
        <w:t>n</w:t>
      </w:r>
      <w:r w:rsidRPr="00CF1787">
        <w:rPr>
          <w:rFonts w:eastAsia="Verdana"/>
          <w:szCs w:val="20"/>
          <w:lang w:val="es-CR"/>
        </w:rPr>
        <w:t>ac</w:t>
      </w:r>
      <w:r w:rsidRPr="00CF1787">
        <w:rPr>
          <w:rFonts w:eastAsia="Verdana"/>
          <w:spacing w:val="3"/>
          <w:szCs w:val="20"/>
          <w:lang w:val="es-CR"/>
        </w:rPr>
        <w:t>i</w:t>
      </w:r>
      <w:r w:rsidRPr="00CF1787">
        <w:rPr>
          <w:rFonts w:eastAsia="Verdana"/>
          <w:spacing w:val="-1"/>
          <w:szCs w:val="20"/>
          <w:lang w:val="es-CR"/>
        </w:rPr>
        <w:t>o</w:t>
      </w:r>
      <w:r w:rsidRPr="00CF1787">
        <w:rPr>
          <w:rFonts w:eastAsia="Verdana"/>
          <w:spacing w:val="1"/>
          <w:szCs w:val="20"/>
          <w:lang w:val="es-CR"/>
        </w:rPr>
        <w:t>n</w:t>
      </w:r>
      <w:r w:rsidRPr="00CF1787">
        <w:rPr>
          <w:rFonts w:eastAsia="Verdana"/>
          <w:szCs w:val="20"/>
          <w:lang w:val="es-CR"/>
        </w:rPr>
        <w:t>a</w:t>
      </w:r>
      <w:r w:rsidRPr="00CF1787">
        <w:rPr>
          <w:rFonts w:eastAsia="Verdana"/>
          <w:spacing w:val="2"/>
          <w:szCs w:val="20"/>
          <w:lang w:val="es-CR"/>
        </w:rPr>
        <w:t>l</w:t>
      </w:r>
      <w:r w:rsidRPr="00CF1787">
        <w:rPr>
          <w:rStyle w:val="FootnoteReference"/>
          <w:rFonts w:eastAsia="Verdana"/>
          <w:sz w:val="20"/>
          <w:szCs w:val="20"/>
          <w:lang w:val="es-CR"/>
        </w:rPr>
        <w:footnoteReference w:id="19"/>
      </w:r>
      <w:r w:rsidRPr="00CF1787">
        <w:rPr>
          <w:rFonts w:eastAsia="Verdana"/>
          <w:szCs w:val="20"/>
          <w:lang w:val="es-CR"/>
        </w:rPr>
        <w:t>.</w:t>
      </w:r>
    </w:p>
    <w:p w14:paraId="17E8DC41" w14:textId="77777777" w:rsidR="008C2925" w:rsidRPr="00CF1787" w:rsidRDefault="008C2925" w:rsidP="008C2925">
      <w:pPr>
        <w:pStyle w:val="NoSpacing"/>
        <w:tabs>
          <w:tab w:val="left" w:pos="567"/>
        </w:tabs>
        <w:rPr>
          <w:spacing w:val="-2"/>
          <w:szCs w:val="20"/>
          <w:lang w:val="es-CR"/>
        </w:rPr>
      </w:pPr>
    </w:p>
    <w:p w14:paraId="5B565765" w14:textId="77777777" w:rsidR="008C2925" w:rsidRPr="00CF1787" w:rsidRDefault="008C2925" w:rsidP="008C2925">
      <w:pPr>
        <w:pStyle w:val="NoSpacing"/>
        <w:numPr>
          <w:ilvl w:val="0"/>
          <w:numId w:val="5"/>
        </w:numPr>
        <w:tabs>
          <w:tab w:val="left" w:pos="567"/>
        </w:tabs>
        <w:ind w:left="0" w:firstLine="0"/>
        <w:rPr>
          <w:spacing w:val="-2"/>
          <w:lang w:val="es-CR"/>
        </w:rPr>
      </w:pPr>
      <w:r w:rsidRPr="00CF1787">
        <w:rPr>
          <w:rFonts w:eastAsia="Verdana"/>
          <w:szCs w:val="20"/>
          <w:lang w:val="es-CR"/>
        </w:rPr>
        <w:t>P</w:t>
      </w:r>
      <w:r w:rsidRPr="00CF1787">
        <w:rPr>
          <w:rFonts w:eastAsia="Verdana"/>
          <w:spacing w:val="-1"/>
          <w:szCs w:val="20"/>
          <w:lang w:val="es-CR"/>
        </w:rPr>
        <w:t>o</w:t>
      </w:r>
      <w:r w:rsidRPr="00CF1787">
        <w:rPr>
          <w:rFonts w:eastAsia="Verdana"/>
          <w:szCs w:val="20"/>
          <w:lang w:val="es-CR"/>
        </w:rPr>
        <w:t>r</w:t>
      </w:r>
      <w:r w:rsidRPr="00CF1787">
        <w:rPr>
          <w:rFonts w:eastAsia="Verdana"/>
          <w:spacing w:val="14"/>
          <w:szCs w:val="20"/>
          <w:lang w:val="es-CR"/>
        </w:rPr>
        <w:t xml:space="preserve"> </w:t>
      </w:r>
      <w:r w:rsidRPr="00CF1787">
        <w:rPr>
          <w:rFonts w:eastAsia="Verdana"/>
          <w:szCs w:val="20"/>
          <w:lang w:val="es-CR"/>
        </w:rPr>
        <w:t>c</w:t>
      </w:r>
      <w:r w:rsidRPr="00CF1787">
        <w:rPr>
          <w:rFonts w:eastAsia="Verdana"/>
          <w:spacing w:val="-2"/>
          <w:szCs w:val="20"/>
          <w:lang w:val="es-CR"/>
        </w:rPr>
        <w:t>o</w:t>
      </w:r>
      <w:r w:rsidRPr="00CF1787">
        <w:rPr>
          <w:rFonts w:eastAsia="Verdana"/>
          <w:spacing w:val="1"/>
          <w:szCs w:val="20"/>
          <w:lang w:val="es-CR"/>
        </w:rPr>
        <w:t>n</w:t>
      </w:r>
      <w:r w:rsidRPr="00CF1787">
        <w:rPr>
          <w:rFonts w:eastAsia="Verdana"/>
          <w:szCs w:val="20"/>
          <w:lang w:val="es-CR"/>
        </w:rPr>
        <w:t>s</w:t>
      </w:r>
      <w:r w:rsidRPr="00CF1787">
        <w:rPr>
          <w:rFonts w:eastAsia="Verdana"/>
          <w:spacing w:val="2"/>
          <w:szCs w:val="20"/>
          <w:lang w:val="es-CR"/>
        </w:rPr>
        <w:t>i</w:t>
      </w:r>
      <w:r w:rsidRPr="00CF1787">
        <w:rPr>
          <w:rFonts w:eastAsia="Verdana"/>
          <w:spacing w:val="1"/>
          <w:szCs w:val="20"/>
          <w:lang w:val="es-CR"/>
        </w:rPr>
        <w:t>gu</w:t>
      </w:r>
      <w:r w:rsidRPr="00CF1787">
        <w:rPr>
          <w:rFonts w:eastAsia="Verdana"/>
          <w:spacing w:val="3"/>
          <w:szCs w:val="20"/>
          <w:lang w:val="es-CR"/>
        </w:rPr>
        <w:t>i</w:t>
      </w:r>
      <w:r w:rsidRPr="00CF1787">
        <w:rPr>
          <w:rFonts w:eastAsia="Verdana"/>
          <w:spacing w:val="-1"/>
          <w:szCs w:val="20"/>
          <w:lang w:val="es-CR"/>
        </w:rPr>
        <w:t>e</w:t>
      </w:r>
      <w:r w:rsidRPr="00CF1787">
        <w:rPr>
          <w:rFonts w:eastAsia="Verdana"/>
          <w:spacing w:val="1"/>
          <w:szCs w:val="20"/>
          <w:lang w:val="es-CR"/>
        </w:rPr>
        <w:t>nt</w:t>
      </w:r>
      <w:r w:rsidRPr="00CF1787">
        <w:rPr>
          <w:rFonts w:eastAsia="Verdana"/>
          <w:spacing w:val="-1"/>
          <w:szCs w:val="20"/>
          <w:lang w:val="es-CR"/>
        </w:rPr>
        <w:t>e</w:t>
      </w:r>
      <w:r w:rsidRPr="00CF1787">
        <w:rPr>
          <w:rFonts w:eastAsia="Verdana"/>
          <w:szCs w:val="20"/>
          <w:lang w:val="es-CR"/>
        </w:rPr>
        <w:t>,</w:t>
      </w:r>
      <w:r w:rsidRPr="00CF1787">
        <w:rPr>
          <w:rFonts w:eastAsia="Verdana"/>
          <w:spacing w:val="2"/>
          <w:szCs w:val="20"/>
          <w:lang w:val="es-CR"/>
        </w:rPr>
        <w:t xml:space="preserve"> </w:t>
      </w:r>
      <w:r w:rsidRPr="00CF1787">
        <w:rPr>
          <w:rFonts w:eastAsia="Verdana"/>
          <w:spacing w:val="1"/>
          <w:szCs w:val="20"/>
          <w:lang w:val="es-CR"/>
        </w:rPr>
        <w:t>t</w:t>
      </w:r>
      <w:r w:rsidRPr="00CF1787">
        <w:rPr>
          <w:rFonts w:eastAsia="Verdana"/>
          <w:szCs w:val="20"/>
          <w:lang w:val="es-CR"/>
        </w:rPr>
        <w:t>al</w:t>
      </w:r>
      <w:r w:rsidRPr="00CF1787">
        <w:rPr>
          <w:rFonts w:eastAsia="Verdana"/>
          <w:spacing w:val="16"/>
          <w:szCs w:val="20"/>
          <w:lang w:val="es-CR"/>
        </w:rPr>
        <w:t xml:space="preserve"> </w:t>
      </w:r>
      <w:r w:rsidRPr="00CF1787">
        <w:rPr>
          <w:rFonts w:eastAsia="Verdana"/>
          <w:szCs w:val="20"/>
          <w:lang w:val="es-CR"/>
        </w:rPr>
        <w:t>c</w:t>
      </w:r>
      <w:r w:rsidRPr="00CF1787">
        <w:rPr>
          <w:rFonts w:eastAsia="Verdana"/>
          <w:spacing w:val="-2"/>
          <w:szCs w:val="20"/>
          <w:lang w:val="es-CR"/>
        </w:rPr>
        <w:t>o</w:t>
      </w:r>
      <w:r w:rsidRPr="00CF1787">
        <w:rPr>
          <w:rFonts w:eastAsia="Verdana"/>
          <w:szCs w:val="20"/>
          <w:lang w:val="es-CR"/>
        </w:rPr>
        <w:t>mo</w:t>
      </w:r>
      <w:r w:rsidRPr="00CF1787">
        <w:rPr>
          <w:rFonts w:eastAsia="Verdana"/>
          <w:spacing w:val="11"/>
          <w:szCs w:val="20"/>
          <w:lang w:val="es-CR"/>
        </w:rPr>
        <w:t xml:space="preserve"> </w:t>
      </w:r>
      <w:r w:rsidRPr="00CF1787">
        <w:rPr>
          <w:rFonts w:eastAsia="Verdana"/>
          <w:spacing w:val="1"/>
          <w:szCs w:val="20"/>
          <w:lang w:val="es-CR"/>
        </w:rPr>
        <w:t>h</w:t>
      </w:r>
      <w:r w:rsidRPr="00CF1787">
        <w:rPr>
          <w:rFonts w:eastAsia="Verdana"/>
          <w:szCs w:val="20"/>
          <w:lang w:val="es-CR"/>
        </w:rPr>
        <w:t>a</w:t>
      </w:r>
      <w:r w:rsidRPr="00CF1787">
        <w:rPr>
          <w:rFonts w:eastAsia="Verdana"/>
          <w:spacing w:val="14"/>
          <w:szCs w:val="20"/>
          <w:lang w:val="es-CR"/>
        </w:rPr>
        <w:t xml:space="preserve"> </w:t>
      </w:r>
      <w:r w:rsidRPr="00CF1787">
        <w:rPr>
          <w:rFonts w:eastAsia="Verdana"/>
          <w:szCs w:val="20"/>
          <w:lang w:val="es-CR"/>
        </w:rPr>
        <w:t>s</w:t>
      </w:r>
      <w:r w:rsidRPr="00CF1787">
        <w:rPr>
          <w:rFonts w:eastAsia="Verdana"/>
          <w:spacing w:val="2"/>
          <w:szCs w:val="20"/>
          <w:lang w:val="es-CR"/>
        </w:rPr>
        <w:t>i</w:t>
      </w:r>
      <w:r w:rsidRPr="00CF1787">
        <w:rPr>
          <w:rFonts w:eastAsia="Verdana"/>
          <w:spacing w:val="1"/>
          <w:szCs w:val="20"/>
          <w:lang w:val="es-CR"/>
        </w:rPr>
        <w:t>d</w:t>
      </w:r>
      <w:r w:rsidRPr="00CF1787">
        <w:rPr>
          <w:rFonts w:eastAsia="Verdana"/>
          <w:szCs w:val="20"/>
          <w:lang w:val="es-CR"/>
        </w:rPr>
        <w:t>o</w:t>
      </w:r>
      <w:r w:rsidRPr="00CF1787">
        <w:rPr>
          <w:rFonts w:eastAsia="Verdana"/>
          <w:spacing w:val="11"/>
          <w:szCs w:val="20"/>
          <w:lang w:val="es-CR"/>
        </w:rPr>
        <w:t xml:space="preserve"> </w:t>
      </w:r>
      <w:r w:rsidRPr="00CF1787">
        <w:rPr>
          <w:rFonts w:eastAsia="Verdana"/>
          <w:spacing w:val="3"/>
          <w:szCs w:val="20"/>
          <w:lang w:val="es-CR"/>
        </w:rPr>
        <w:t>l</w:t>
      </w:r>
      <w:r w:rsidRPr="00CF1787">
        <w:rPr>
          <w:rFonts w:eastAsia="Verdana"/>
          <w:szCs w:val="20"/>
          <w:lang w:val="es-CR"/>
        </w:rPr>
        <w:t>a</w:t>
      </w:r>
      <w:r w:rsidRPr="00CF1787">
        <w:rPr>
          <w:rFonts w:eastAsia="Verdana"/>
          <w:spacing w:val="12"/>
          <w:szCs w:val="20"/>
          <w:lang w:val="es-CR"/>
        </w:rPr>
        <w:t xml:space="preserve"> </w:t>
      </w:r>
      <w:r w:rsidRPr="00CF1787">
        <w:rPr>
          <w:rFonts w:eastAsia="Verdana"/>
          <w:spacing w:val="1"/>
          <w:szCs w:val="20"/>
          <w:lang w:val="es-CR"/>
        </w:rPr>
        <w:t>ju</w:t>
      </w:r>
      <w:r w:rsidRPr="00CF1787">
        <w:rPr>
          <w:rFonts w:eastAsia="Verdana"/>
          <w:spacing w:val="-1"/>
          <w:szCs w:val="20"/>
          <w:lang w:val="es-CR"/>
        </w:rPr>
        <w:t>r</w:t>
      </w:r>
      <w:r w:rsidRPr="00CF1787">
        <w:rPr>
          <w:rFonts w:eastAsia="Verdana"/>
          <w:spacing w:val="3"/>
          <w:szCs w:val="20"/>
          <w:lang w:val="es-CR"/>
        </w:rPr>
        <w:t>i</w:t>
      </w:r>
      <w:r w:rsidRPr="00CF1787">
        <w:rPr>
          <w:rFonts w:eastAsia="Verdana"/>
          <w:szCs w:val="20"/>
          <w:lang w:val="es-CR"/>
        </w:rPr>
        <w:t>sp</w:t>
      </w:r>
      <w:r w:rsidRPr="00CF1787">
        <w:rPr>
          <w:rFonts w:eastAsia="Verdana"/>
          <w:spacing w:val="-1"/>
          <w:szCs w:val="20"/>
          <w:lang w:val="es-CR"/>
        </w:rPr>
        <w:t>r</w:t>
      </w:r>
      <w:r w:rsidRPr="00CF1787">
        <w:rPr>
          <w:rFonts w:eastAsia="Verdana"/>
          <w:spacing w:val="1"/>
          <w:szCs w:val="20"/>
          <w:lang w:val="es-CR"/>
        </w:rPr>
        <w:t>u</w:t>
      </w:r>
      <w:r w:rsidRPr="00CF1787">
        <w:rPr>
          <w:rFonts w:eastAsia="Verdana"/>
          <w:spacing w:val="-2"/>
          <w:szCs w:val="20"/>
          <w:lang w:val="es-CR"/>
        </w:rPr>
        <w:t>d</w:t>
      </w:r>
      <w:r w:rsidRPr="00CF1787">
        <w:rPr>
          <w:rFonts w:eastAsia="Verdana"/>
          <w:spacing w:val="-1"/>
          <w:szCs w:val="20"/>
          <w:lang w:val="es-CR"/>
        </w:rPr>
        <w:t>e</w:t>
      </w:r>
      <w:r w:rsidRPr="00CF1787">
        <w:rPr>
          <w:rFonts w:eastAsia="Verdana"/>
          <w:spacing w:val="1"/>
          <w:szCs w:val="20"/>
          <w:lang w:val="es-CR"/>
        </w:rPr>
        <w:t>n</w:t>
      </w:r>
      <w:r w:rsidRPr="00CF1787">
        <w:rPr>
          <w:rFonts w:eastAsia="Verdana"/>
          <w:szCs w:val="20"/>
          <w:lang w:val="es-CR"/>
        </w:rPr>
        <w:t>c</w:t>
      </w:r>
      <w:r w:rsidRPr="00CF1787">
        <w:rPr>
          <w:rFonts w:eastAsia="Verdana"/>
          <w:spacing w:val="2"/>
          <w:szCs w:val="20"/>
          <w:lang w:val="es-CR"/>
        </w:rPr>
        <w:t>i</w:t>
      </w:r>
      <w:r w:rsidRPr="00CF1787">
        <w:rPr>
          <w:rFonts w:eastAsia="Verdana"/>
          <w:szCs w:val="20"/>
          <w:lang w:val="es-CR"/>
        </w:rPr>
        <w:t>a</w:t>
      </w:r>
      <w:r w:rsidRPr="00CF1787">
        <w:rPr>
          <w:rFonts w:eastAsia="Verdana"/>
          <w:spacing w:val="2"/>
          <w:szCs w:val="20"/>
          <w:lang w:val="es-CR"/>
        </w:rPr>
        <w:t xml:space="preserve"> </w:t>
      </w:r>
      <w:r w:rsidRPr="00CF1787">
        <w:rPr>
          <w:rFonts w:eastAsia="Verdana"/>
          <w:spacing w:val="-1"/>
          <w:szCs w:val="20"/>
          <w:lang w:val="es-CR"/>
        </w:rPr>
        <w:t>re</w:t>
      </w:r>
      <w:r w:rsidRPr="00CF1787">
        <w:rPr>
          <w:rFonts w:eastAsia="Verdana"/>
          <w:spacing w:val="3"/>
          <w:szCs w:val="20"/>
          <w:lang w:val="es-CR"/>
        </w:rPr>
        <w:t>i</w:t>
      </w:r>
      <w:r w:rsidRPr="00CF1787">
        <w:rPr>
          <w:rFonts w:eastAsia="Verdana"/>
          <w:spacing w:val="1"/>
          <w:szCs w:val="20"/>
          <w:lang w:val="es-CR"/>
        </w:rPr>
        <w:t>t</w:t>
      </w:r>
      <w:r w:rsidRPr="00CF1787">
        <w:rPr>
          <w:rFonts w:eastAsia="Verdana"/>
          <w:spacing w:val="-1"/>
          <w:szCs w:val="20"/>
          <w:lang w:val="es-CR"/>
        </w:rPr>
        <w:t>er</w:t>
      </w:r>
      <w:r w:rsidRPr="00CF1787">
        <w:rPr>
          <w:rFonts w:eastAsia="Verdana"/>
          <w:szCs w:val="20"/>
          <w:lang w:val="es-CR"/>
        </w:rPr>
        <w:t>a</w:t>
      </w:r>
      <w:r w:rsidRPr="00CF1787">
        <w:rPr>
          <w:rFonts w:eastAsia="Verdana"/>
          <w:spacing w:val="1"/>
          <w:szCs w:val="20"/>
          <w:lang w:val="es-CR"/>
        </w:rPr>
        <w:t>d</w:t>
      </w:r>
      <w:r w:rsidRPr="00CF1787">
        <w:rPr>
          <w:rFonts w:eastAsia="Verdana"/>
          <w:szCs w:val="20"/>
          <w:lang w:val="es-CR"/>
        </w:rPr>
        <w:t>a</w:t>
      </w:r>
      <w:r w:rsidRPr="00CF1787">
        <w:rPr>
          <w:rFonts w:eastAsia="Verdana"/>
          <w:spacing w:val="7"/>
          <w:szCs w:val="20"/>
          <w:lang w:val="es-CR"/>
        </w:rPr>
        <w:t xml:space="preserve"> </w:t>
      </w:r>
      <w:r w:rsidRPr="00CF1787">
        <w:rPr>
          <w:rFonts w:eastAsia="Verdana"/>
          <w:spacing w:val="1"/>
          <w:szCs w:val="20"/>
          <w:lang w:val="es-CR"/>
        </w:rPr>
        <w:t>d</w:t>
      </w:r>
      <w:r w:rsidRPr="00CF1787">
        <w:rPr>
          <w:rFonts w:eastAsia="Verdana"/>
          <w:szCs w:val="20"/>
          <w:lang w:val="es-CR"/>
        </w:rPr>
        <w:t>e</w:t>
      </w:r>
      <w:r w:rsidRPr="00CF1787">
        <w:rPr>
          <w:rFonts w:eastAsia="Verdana"/>
          <w:spacing w:val="15"/>
          <w:szCs w:val="20"/>
          <w:lang w:val="es-CR"/>
        </w:rPr>
        <w:t xml:space="preserve"> </w:t>
      </w:r>
      <w:r w:rsidRPr="00CF1787">
        <w:rPr>
          <w:rFonts w:eastAsia="Verdana"/>
          <w:spacing w:val="-1"/>
          <w:szCs w:val="20"/>
          <w:lang w:val="es-CR"/>
        </w:rPr>
        <w:t>e</w:t>
      </w:r>
      <w:r w:rsidRPr="00CF1787">
        <w:rPr>
          <w:rFonts w:eastAsia="Verdana"/>
          <w:szCs w:val="20"/>
          <w:lang w:val="es-CR"/>
        </w:rPr>
        <w:t>s</w:t>
      </w:r>
      <w:r w:rsidRPr="00CF1787">
        <w:rPr>
          <w:rFonts w:eastAsia="Verdana"/>
          <w:spacing w:val="2"/>
          <w:szCs w:val="20"/>
          <w:lang w:val="es-CR"/>
        </w:rPr>
        <w:t>t</w:t>
      </w:r>
      <w:r w:rsidRPr="00CF1787">
        <w:rPr>
          <w:rFonts w:eastAsia="Verdana"/>
          <w:szCs w:val="20"/>
          <w:lang w:val="es-CR"/>
        </w:rPr>
        <w:t>e</w:t>
      </w:r>
      <w:r w:rsidRPr="00CF1787">
        <w:rPr>
          <w:rFonts w:eastAsia="Verdana"/>
          <w:spacing w:val="13"/>
          <w:szCs w:val="20"/>
          <w:lang w:val="es-CR"/>
        </w:rPr>
        <w:t xml:space="preserve"> </w:t>
      </w:r>
      <w:r w:rsidRPr="00CF1787">
        <w:rPr>
          <w:rFonts w:eastAsia="Verdana"/>
          <w:szCs w:val="20"/>
          <w:lang w:val="es-CR"/>
        </w:rPr>
        <w:t>T</w:t>
      </w:r>
      <w:r w:rsidRPr="00CF1787">
        <w:rPr>
          <w:rFonts w:eastAsia="Verdana"/>
          <w:spacing w:val="-1"/>
          <w:szCs w:val="20"/>
          <w:lang w:val="es-CR"/>
        </w:rPr>
        <w:t>r</w:t>
      </w:r>
      <w:r w:rsidRPr="00CF1787">
        <w:rPr>
          <w:rFonts w:eastAsia="Verdana"/>
          <w:spacing w:val="3"/>
          <w:szCs w:val="20"/>
          <w:lang w:val="es-CR"/>
        </w:rPr>
        <w:t>i</w:t>
      </w:r>
      <w:r w:rsidRPr="00CF1787">
        <w:rPr>
          <w:rFonts w:eastAsia="Verdana"/>
          <w:spacing w:val="1"/>
          <w:szCs w:val="20"/>
          <w:lang w:val="es-CR"/>
        </w:rPr>
        <w:t>bun</w:t>
      </w:r>
      <w:r w:rsidRPr="00CF1787">
        <w:rPr>
          <w:rFonts w:eastAsia="Verdana"/>
          <w:spacing w:val="-2"/>
          <w:szCs w:val="20"/>
          <w:lang w:val="es-CR"/>
        </w:rPr>
        <w:t>a</w:t>
      </w:r>
      <w:r w:rsidRPr="00CF1787">
        <w:rPr>
          <w:rFonts w:eastAsia="Verdana"/>
          <w:spacing w:val="3"/>
          <w:szCs w:val="20"/>
          <w:lang w:val="es-CR"/>
        </w:rPr>
        <w:t>l</w:t>
      </w:r>
      <w:r w:rsidRPr="00CF1787">
        <w:rPr>
          <w:rFonts w:eastAsia="Verdana"/>
          <w:szCs w:val="20"/>
          <w:lang w:val="es-CR"/>
        </w:rPr>
        <w:t>,</w:t>
      </w:r>
      <w:r w:rsidRPr="00CF1787">
        <w:rPr>
          <w:rFonts w:eastAsia="Verdana"/>
          <w:spacing w:val="4"/>
          <w:szCs w:val="20"/>
          <w:lang w:val="es-CR"/>
        </w:rPr>
        <w:t xml:space="preserve"> </w:t>
      </w:r>
      <w:r w:rsidRPr="00CF1787">
        <w:rPr>
          <w:rFonts w:eastAsia="Verdana"/>
          <w:spacing w:val="3"/>
          <w:szCs w:val="20"/>
          <w:lang w:val="es-CR"/>
        </w:rPr>
        <w:t>l</w:t>
      </w:r>
      <w:r w:rsidRPr="00CF1787">
        <w:rPr>
          <w:rFonts w:eastAsia="Verdana"/>
          <w:szCs w:val="20"/>
          <w:lang w:val="es-CR"/>
        </w:rPr>
        <w:t>a</w:t>
      </w:r>
      <w:r w:rsidRPr="00CF1787">
        <w:rPr>
          <w:rFonts w:eastAsia="Verdana"/>
          <w:spacing w:val="14"/>
          <w:szCs w:val="20"/>
          <w:lang w:val="es-CR"/>
        </w:rPr>
        <w:t xml:space="preserve"> </w:t>
      </w:r>
      <w:r w:rsidRPr="00CF1787">
        <w:rPr>
          <w:rFonts w:eastAsia="Verdana"/>
          <w:spacing w:val="1"/>
          <w:szCs w:val="20"/>
          <w:lang w:val="es-CR"/>
        </w:rPr>
        <w:t>p</w:t>
      </w:r>
      <w:r w:rsidRPr="00CF1787">
        <w:rPr>
          <w:rFonts w:eastAsia="Verdana"/>
          <w:szCs w:val="20"/>
          <w:lang w:val="es-CR"/>
        </w:rPr>
        <w:t>a</w:t>
      </w:r>
      <w:r w:rsidRPr="00CF1787">
        <w:rPr>
          <w:rFonts w:eastAsia="Verdana"/>
          <w:spacing w:val="-1"/>
          <w:szCs w:val="20"/>
          <w:lang w:val="es-CR"/>
        </w:rPr>
        <w:t>r</w:t>
      </w:r>
      <w:r w:rsidRPr="00CF1787">
        <w:rPr>
          <w:rFonts w:eastAsia="Verdana"/>
          <w:spacing w:val="1"/>
          <w:szCs w:val="20"/>
          <w:lang w:val="es-CR"/>
        </w:rPr>
        <w:t>t</w:t>
      </w:r>
      <w:r w:rsidRPr="00CF1787">
        <w:rPr>
          <w:rFonts w:eastAsia="Verdana"/>
          <w:szCs w:val="20"/>
          <w:lang w:val="es-CR"/>
        </w:rPr>
        <w:t>e</w:t>
      </w:r>
      <w:r w:rsidRPr="00CF1787">
        <w:rPr>
          <w:rFonts w:eastAsia="Verdana"/>
          <w:spacing w:val="10"/>
          <w:szCs w:val="20"/>
          <w:lang w:val="es-CR"/>
        </w:rPr>
        <w:t xml:space="preserve"> </w:t>
      </w:r>
      <w:r w:rsidRPr="00CF1787">
        <w:rPr>
          <w:rFonts w:eastAsia="Verdana"/>
          <w:spacing w:val="1"/>
          <w:szCs w:val="20"/>
          <w:lang w:val="es-CR"/>
        </w:rPr>
        <w:t>qu</w:t>
      </w:r>
      <w:r w:rsidRPr="00CF1787">
        <w:rPr>
          <w:rFonts w:eastAsia="Verdana"/>
          <w:szCs w:val="20"/>
          <w:lang w:val="es-CR"/>
        </w:rPr>
        <w:t>e af</w:t>
      </w:r>
      <w:r w:rsidRPr="00CF1787">
        <w:rPr>
          <w:rFonts w:eastAsia="Verdana"/>
          <w:spacing w:val="3"/>
          <w:szCs w:val="20"/>
          <w:lang w:val="es-CR"/>
        </w:rPr>
        <w:t>i</w:t>
      </w:r>
      <w:r w:rsidRPr="00CF1787">
        <w:rPr>
          <w:rFonts w:eastAsia="Verdana"/>
          <w:spacing w:val="-1"/>
          <w:szCs w:val="20"/>
          <w:lang w:val="es-CR"/>
        </w:rPr>
        <w:t>r</w:t>
      </w:r>
      <w:r w:rsidRPr="00CF1787">
        <w:rPr>
          <w:rFonts w:eastAsia="Verdana"/>
          <w:szCs w:val="20"/>
          <w:lang w:val="es-CR"/>
        </w:rPr>
        <w:t>ma</w:t>
      </w:r>
      <w:r w:rsidRPr="00CF1787">
        <w:rPr>
          <w:rFonts w:eastAsia="Verdana"/>
          <w:spacing w:val="-2"/>
          <w:szCs w:val="20"/>
          <w:lang w:val="es-CR"/>
        </w:rPr>
        <w:t xml:space="preserve"> </w:t>
      </w:r>
      <w:r w:rsidRPr="00CF1787">
        <w:rPr>
          <w:rFonts w:eastAsia="Verdana"/>
          <w:spacing w:val="1"/>
          <w:szCs w:val="20"/>
          <w:lang w:val="es-CR"/>
        </w:rPr>
        <w:t>qu</w:t>
      </w:r>
      <w:r w:rsidRPr="00CF1787">
        <w:rPr>
          <w:rFonts w:eastAsia="Verdana"/>
          <w:szCs w:val="20"/>
          <w:lang w:val="es-CR"/>
        </w:rPr>
        <w:t>e</w:t>
      </w:r>
      <w:r w:rsidRPr="00CF1787">
        <w:rPr>
          <w:rFonts w:eastAsia="Verdana"/>
          <w:spacing w:val="-1"/>
          <w:szCs w:val="20"/>
          <w:lang w:val="es-CR"/>
        </w:rPr>
        <w:t xml:space="preserve"> </w:t>
      </w:r>
      <w:r w:rsidRPr="00CF1787">
        <w:rPr>
          <w:rFonts w:eastAsia="Verdana"/>
          <w:spacing w:val="1"/>
          <w:szCs w:val="20"/>
          <w:lang w:val="es-CR"/>
        </w:rPr>
        <w:t>un</w:t>
      </w:r>
      <w:r w:rsidRPr="00CF1787">
        <w:rPr>
          <w:rFonts w:eastAsia="Verdana"/>
          <w:szCs w:val="20"/>
          <w:lang w:val="es-CR"/>
        </w:rPr>
        <w:t xml:space="preserve">a </w:t>
      </w:r>
      <w:r w:rsidRPr="00CF1787">
        <w:rPr>
          <w:rFonts w:eastAsia="Verdana"/>
          <w:spacing w:val="2"/>
          <w:szCs w:val="20"/>
          <w:lang w:val="es-CR"/>
        </w:rPr>
        <w:t>a</w:t>
      </w:r>
      <w:r w:rsidRPr="00CF1787">
        <w:rPr>
          <w:rFonts w:eastAsia="Verdana"/>
          <w:szCs w:val="20"/>
          <w:lang w:val="es-CR"/>
        </w:rPr>
        <w:t>ct</w:t>
      </w:r>
      <w:r w:rsidRPr="00CF1787">
        <w:rPr>
          <w:rFonts w:eastAsia="Verdana"/>
          <w:spacing w:val="1"/>
          <w:szCs w:val="20"/>
          <w:lang w:val="es-CR"/>
        </w:rPr>
        <w:t>u</w:t>
      </w:r>
      <w:r w:rsidRPr="00CF1787">
        <w:rPr>
          <w:rFonts w:eastAsia="Verdana"/>
          <w:szCs w:val="20"/>
          <w:lang w:val="es-CR"/>
        </w:rPr>
        <w:t>ac</w:t>
      </w:r>
      <w:r w:rsidRPr="00CF1787">
        <w:rPr>
          <w:rFonts w:eastAsia="Verdana"/>
          <w:spacing w:val="3"/>
          <w:szCs w:val="20"/>
          <w:lang w:val="es-CR"/>
        </w:rPr>
        <w:t>i</w:t>
      </w:r>
      <w:r w:rsidRPr="00CF1787">
        <w:rPr>
          <w:rFonts w:eastAsia="Verdana"/>
          <w:spacing w:val="-1"/>
          <w:szCs w:val="20"/>
          <w:lang w:val="es-CR"/>
        </w:rPr>
        <w:t>ó</w:t>
      </w:r>
      <w:r w:rsidRPr="00CF1787">
        <w:rPr>
          <w:rFonts w:eastAsia="Verdana"/>
          <w:szCs w:val="20"/>
          <w:lang w:val="es-CR"/>
        </w:rPr>
        <w:t>n</w:t>
      </w:r>
      <w:r w:rsidRPr="00CF1787">
        <w:rPr>
          <w:rFonts w:eastAsia="Verdana"/>
          <w:spacing w:val="-5"/>
          <w:szCs w:val="20"/>
          <w:lang w:val="es-CR"/>
        </w:rPr>
        <w:t xml:space="preserve"> </w:t>
      </w:r>
      <w:r w:rsidRPr="00CF1787">
        <w:rPr>
          <w:rFonts w:eastAsia="Verdana"/>
          <w:spacing w:val="1"/>
          <w:szCs w:val="20"/>
          <w:lang w:val="es-CR"/>
        </w:rPr>
        <w:t>d</w:t>
      </w:r>
      <w:r w:rsidRPr="00CF1787">
        <w:rPr>
          <w:rFonts w:eastAsia="Verdana"/>
          <w:szCs w:val="20"/>
          <w:lang w:val="es-CR"/>
        </w:rPr>
        <w:t>e</w:t>
      </w:r>
      <w:r w:rsidRPr="00CF1787">
        <w:rPr>
          <w:rFonts w:eastAsia="Verdana"/>
          <w:spacing w:val="1"/>
          <w:szCs w:val="20"/>
          <w:lang w:val="es-CR"/>
        </w:rPr>
        <w:t xml:space="preserve"> </w:t>
      </w:r>
      <w:r w:rsidRPr="00CF1787">
        <w:rPr>
          <w:rFonts w:eastAsia="Verdana"/>
          <w:spacing w:val="3"/>
          <w:szCs w:val="20"/>
          <w:lang w:val="es-CR"/>
        </w:rPr>
        <w:t>l</w:t>
      </w:r>
      <w:r w:rsidRPr="00CF1787">
        <w:rPr>
          <w:rFonts w:eastAsia="Verdana"/>
          <w:szCs w:val="20"/>
          <w:lang w:val="es-CR"/>
        </w:rPr>
        <w:t>a</w:t>
      </w:r>
      <w:r w:rsidRPr="00CF1787">
        <w:rPr>
          <w:rFonts w:eastAsia="Verdana"/>
          <w:spacing w:val="2"/>
          <w:szCs w:val="20"/>
          <w:lang w:val="es-CR"/>
        </w:rPr>
        <w:t xml:space="preserve"> </w:t>
      </w:r>
      <w:r w:rsidRPr="00CF1787">
        <w:rPr>
          <w:rFonts w:eastAsia="Verdana"/>
          <w:szCs w:val="20"/>
          <w:lang w:val="es-CR"/>
        </w:rPr>
        <w:t>C</w:t>
      </w:r>
      <w:r w:rsidRPr="00CF1787">
        <w:rPr>
          <w:rFonts w:eastAsia="Verdana"/>
          <w:spacing w:val="-1"/>
          <w:szCs w:val="20"/>
          <w:lang w:val="es-CR"/>
        </w:rPr>
        <w:t>o</w:t>
      </w:r>
      <w:r w:rsidRPr="00CF1787">
        <w:rPr>
          <w:rFonts w:eastAsia="Verdana"/>
          <w:szCs w:val="20"/>
          <w:lang w:val="es-CR"/>
        </w:rPr>
        <w:t>m</w:t>
      </w:r>
      <w:r w:rsidRPr="00CF1787">
        <w:rPr>
          <w:rFonts w:eastAsia="Verdana"/>
          <w:spacing w:val="3"/>
          <w:szCs w:val="20"/>
          <w:lang w:val="es-CR"/>
        </w:rPr>
        <w:t>i</w:t>
      </w:r>
      <w:r w:rsidRPr="00CF1787">
        <w:rPr>
          <w:rFonts w:eastAsia="Verdana"/>
          <w:szCs w:val="20"/>
          <w:lang w:val="es-CR"/>
        </w:rPr>
        <w:t>s</w:t>
      </w:r>
      <w:r w:rsidRPr="00CF1787">
        <w:rPr>
          <w:rFonts w:eastAsia="Verdana"/>
          <w:spacing w:val="2"/>
          <w:szCs w:val="20"/>
          <w:lang w:val="es-CR"/>
        </w:rPr>
        <w:t>i</w:t>
      </w:r>
      <w:r w:rsidRPr="00CF1787">
        <w:rPr>
          <w:rFonts w:eastAsia="Verdana"/>
          <w:spacing w:val="-1"/>
          <w:szCs w:val="20"/>
          <w:lang w:val="es-CR"/>
        </w:rPr>
        <w:t>ó</w:t>
      </w:r>
      <w:r w:rsidRPr="00CF1787">
        <w:rPr>
          <w:rFonts w:eastAsia="Verdana"/>
          <w:szCs w:val="20"/>
          <w:lang w:val="es-CR"/>
        </w:rPr>
        <w:t xml:space="preserve">n, </w:t>
      </w:r>
      <w:r w:rsidRPr="00CF1787">
        <w:rPr>
          <w:rFonts w:eastAsia="Verdana"/>
          <w:spacing w:val="1"/>
          <w:szCs w:val="20"/>
          <w:lang w:val="es-CR"/>
        </w:rPr>
        <w:t>du</w:t>
      </w:r>
      <w:r w:rsidRPr="00CF1787">
        <w:rPr>
          <w:rFonts w:eastAsia="Verdana"/>
          <w:spacing w:val="-1"/>
          <w:szCs w:val="20"/>
          <w:lang w:val="es-CR"/>
        </w:rPr>
        <w:t>r</w:t>
      </w:r>
      <w:r w:rsidRPr="00CF1787">
        <w:rPr>
          <w:rFonts w:eastAsia="Verdana"/>
          <w:szCs w:val="20"/>
          <w:lang w:val="es-CR"/>
        </w:rPr>
        <w:t>a</w:t>
      </w:r>
      <w:r w:rsidRPr="00CF1787">
        <w:rPr>
          <w:rFonts w:eastAsia="Verdana"/>
          <w:spacing w:val="1"/>
          <w:szCs w:val="20"/>
          <w:lang w:val="es-CR"/>
        </w:rPr>
        <w:t>nt</w:t>
      </w:r>
      <w:r w:rsidRPr="00CF1787">
        <w:rPr>
          <w:rFonts w:eastAsia="Verdana"/>
          <w:szCs w:val="20"/>
          <w:lang w:val="es-CR"/>
        </w:rPr>
        <w:t>e</w:t>
      </w:r>
      <w:r w:rsidRPr="00CF1787">
        <w:rPr>
          <w:rFonts w:eastAsia="Verdana"/>
          <w:spacing w:val="-3"/>
          <w:szCs w:val="20"/>
          <w:lang w:val="es-CR"/>
        </w:rPr>
        <w:t xml:space="preserve"> </w:t>
      </w:r>
      <w:r w:rsidRPr="00CF1787">
        <w:rPr>
          <w:rFonts w:eastAsia="Verdana"/>
          <w:spacing w:val="-1"/>
          <w:szCs w:val="20"/>
          <w:lang w:val="es-CR"/>
        </w:rPr>
        <w:t>e</w:t>
      </w:r>
      <w:r w:rsidRPr="00CF1787">
        <w:rPr>
          <w:rFonts w:eastAsia="Verdana"/>
          <w:szCs w:val="20"/>
          <w:lang w:val="es-CR"/>
        </w:rPr>
        <w:t>l</w:t>
      </w:r>
      <w:r w:rsidRPr="00CF1787">
        <w:rPr>
          <w:rFonts w:eastAsia="Verdana"/>
          <w:spacing w:val="4"/>
          <w:szCs w:val="20"/>
          <w:lang w:val="es-CR"/>
        </w:rPr>
        <w:t xml:space="preserve"> </w:t>
      </w:r>
      <w:r w:rsidRPr="00CF1787">
        <w:rPr>
          <w:rFonts w:eastAsia="Verdana"/>
          <w:spacing w:val="1"/>
          <w:szCs w:val="20"/>
          <w:lang w:val="es-CR"/>
        </w:rPr>
        <w:t>p</w:t>
      </w:r>
      <w:r w:rsidRPr="00CF1787">
        <w:rPr>
          <w:rFonts w:eastAsia="Verdana"/>
          <w:spacing w:val="-1"/>
          <w:szCs w:val="20"/>
          <w:lang w:val="es-CR"/>
        </w:rPr>
        <w:t>r</w:t>
      </w:r>
      <w:r w:rsidRPr="00CF1787">
        <w:rPr>
          <w:rFonts w:eastAsia="Verdana"/>
          <w:spacing w:val="1"/>
          <w:szCs w:val="20"/>
          <w:lang w:val="es-CR"/>
        </w:rPr>
        <w:t>o</w:t>
      </w:r>
      <w:r w:rsidRPr="00CF1787">
        <w:rPr>
          <w:rFonts w:eastAsia="Verdana"/>
          <w:szCs w:val="20"/>
          <w:lang w:val="es-CR"/>
        </w:rPr>
        <w:t>c</w:t>
      </w:r>
      <w:r w:rsidRPr="00CF1787">
        <w:rPr>
          <w:rFonts w:eastAsia="Verdana"/>
          <w:spacing w:val="-2"/>
          <w:szCs w:val="20"/>
          <w:lang w:val="es-CR"/>
        </w:rPr>
        <w:t>e</w:t>
      </w:r>
      <w:r w:rsidRPr="00CF1787">
        <w:rPr>
          <w:rFonts w:eastAsia="Verdana"/>
          <w:spacing w:val="1"/>
          <w:szCs w:val="20"/>
          <w:lang w:val="es-CR"/>
        </w:rPr>
        <w:t>d</w:t>
      </w:r>
      <w:r w:rsidRPr="00CF1787">
        <w:rPr>
          <w:rFonts w:eastAsia="Verdana"/>
          <w:spacing w:val="3"/>
          <w:szCs w:val="20"/>
          <w:lang w:val="es-CR"/>
        </w:rPr>
        <w:t>i</w:t>
      </w:r>
      <w:r w:rsidRPr="00CF1787">
        <w:rPr>
          <w:rFonts w:eastAsia="Verdana"/>
          <w:szCs w:val="20"/>
          <w:lang w:val="es-CR"/>
        </w:rPr>
        <w:t>m</w:t>
      </w:r>
      <w:r w:rsidRPr="00CF1787">
        <w:rPr>
          <w:rFonts w:eastAsia="Verdana"/>
          <w:spacing w:val="3"/>
          <w:szCs w:val="20"/>
          <w:lang w:val="es-CR"/>
        </w:rPr>
        <w:t>i</w:t>
      </w:r>
      <w:r w:rsidRPr="00CF1787">
        <w:rPr>
          <w:rFonts w:eastAsia="Verdana"/>
          <w:spacing w:val="-1"/>
          <w:szCs w:val="20"/>
          <w:lang w:val="es-CR"/>
        </w:rPr>
        <w:t>e</w:t>
      </w:r>
      <w:r w:rsidRPr="00CF1787">
        <w:rPr>
          <w:rFonts w:eastAsia="Verdana"/>
          <w:spacing w:val="1"/>
          <w:szCs w:val="20"/>
          <w:lang w:val="es-CR"/>
        </w:rPr>
        <w:t>nt</w:t>
      </w:r>
      <w:r w:rsidRPr="00CF1787">
        <w:rPr>
          <w:rFonts w:eastAsia="Verdana"/>
          <w:szCs w:val="20"/>
          <w:lang w:val="es-CR"/>
        </w:rPr>
        <w:t>o</w:t>
      </w:r>
      <w:r w:rsidRPr="00CF1787">
        <w:rPr>
          <w:rFonts w:eastAsia="Verdana"/>
          <w:spacing w:val="-11"/>
          <w:szCs w:val="20"/>
          <w:lang w:val="es-CR"/>
        </w:rPr>
        <w:t xml:space="preserve"> </w:t>
      </w:r>
      <w:r w:rsidRPr="00CF1787">
        <w:rPr>
          <w:rFonts w:eastAsia="Verdana"/>
          <w:szCs w:val="20"/>
          <w:lang w:val="es-CR"/>
        </w:rPr>
        <w:t>a</w:t>
      </w:r>
      <w:r w:rsidRPr="00CF1787">
        <w:rPr>
          <w:rFonts w:eastAsia="Verdana"/>
          <w:spacing w:val="1"/>
          <w:szCs w:val="20"/>
          <w:lang w:val="es-CR"/>
        </w:rPr>
        <w:t>nt</w:t>
      </w:r>
      <w:r w:rsidRPr="00CF1787">
        <w:rPr>
          <w:rFonts w:eastAsia="Verdana"/>
          <w:szCs w:val="20"/>
          <w:lang w:val="es-CR"/>
        </w:rPr>
        <w:t>e</w:t>
      </w:r>
      <w:r w:rsidRPr="00CF1787">
        <w:rPr>
          <w:rFonts w:eastAsia="Verdana"/>
          <w:spacing w:val="-1"/>
          <w:szCs w:val="20"/>
          <w:lang w:val="es-CR"/>
        </w:rPr>
        <w:t xml:space="preserve"> </w:t>
      </w:r>
      <w:r w:rsidRPr="00CF1787">
        <w:rPr>
          <w:rFonts w:eastAsia="Verdana"/>
          <w:spacing w:val="3"/>
          <w:szCs w:val="20"/>
          <w:lang w:val="es-CR"/>
        </w:rPr>
        <w:t>l</w:t>
      </w:r>
      <w:r w:rsidRPr="00CF1787">
        <w:rPr>
          <w:rFonts w:eastAsia="Verdana"/>
          <w:szCs w:val="20"/>
          <w:lang w:val="es-CR"/>
        </w:rPr>
        <w:t>a</w:t>
      </w:r>
      <w:r w:rsidRPr="00CF1787">
        <w:rPr>
          <w:rFonts w:eastAsia="Verdana"/>
          <w:spacing w:val="2"/>
          <w:szCs w:val="20"/>
          <w:lang w:val="es-CR"/>
        </w:rPr>
        <w:t xml:space="preserve"> </w:t>
      </w:r>
      <w:r w:rsidRPr="00CF1787">
        <w:rPr>
          <w:rFonts w:eastAsia="Verdana"/>
          <w:szCs w:val="20"/>
          <w:lang w:val="es-CR"/>
        </w:rPr>
        <w:t>m</w:t>
      </w:r>
      <w:r w:rsidRPr="00CF1787">
        <w:rPr>
          <w:rFonts w:eastAsia="Verdana"/>
          <w:spacing w:val="3"/>
          <w:szCs w:val="20"/>
          <w:lang w:val="es-CR"/>
        </w:rPr>
        <w:t>i</w:t>
      </w:r>
      <w:r w:rsidRPr="00CF1787">
        <w:rPr>
          <w:rFonts w:eastAsia="Verdana"/>
          <w:szCs w:val="20"/>
          <w:lang w:val="es-CR"/>
        </w:rPr>
        <w:t>sma,</w:t>
      </w:r>
      <w:r w:rsidRPr="00CF1787">
        <w:rPr>
          <w:rFonts w:eastAsia="Verdana"/>
          <w:spacing w:val="8"/>
          <w:szCs w:val="20"/>
          <w:lang w:val="es-CR"/>
        </w:rPr>
        <w:t xml:space="preserve"> </w:t>
      </w:r>
      <w:r w:rsidRPr="00CF1787">
        <w:rPr>
          <w:rFonts w:eastAsia="Verdana"/>
          <w:spacing w:val="1"/>
          <w:szCs w:val="20"/>
          <w:lang w:val="es-CR"/>
        </w:rPr>
        <w:t>h</w:t>
      </w:r>
      <w:r w:rsidRPr="00CF1787">
        <w:rPr>
          <w:rFonts w:eastAsia="Verdana"/>
          <w:szCs w:val="20"/>
          <w:lang w:val="es-CR"/>
        </w:rPr>
        <w:t>a</w:t>
      </w:r>
      <w:r w:rsidRPr="00CF1787">
        <w:rPr>
          <w:rFonts w:eastAsia="Verdana"/>
          <w:spacing w:val="2"/>
          <w:szCs w:val="20"/>
          <w:lang w:val="es-CR"/>
        </w:rPr>
        <w:t xml:space="preserve"> </w:t>
      </w:r>
      <w:r w:rsidRPr="00CF1787">
        <w:rPr>
          <w:rFonts w:eastAsia="Verdana"/>
          <w:szCs w:val="20"/>
          <w:lang w:val="es-CR"/>
        </w:rPr>
        <w:t>s</w:t>
      </w:r>
      <w:r w:rsidRPr="00CF1787">
        <w:rPr>
          <w:rFonts w:eastAsia="Verdana"/>
          <w:spacing w:val="2"/>
          <w:szCs w:val="20"/>
          <w:lang w:val="es-CR"/>
        </w:rPr>
        <w:t>i</w:t>
      </w:r>
      <w:r w:rsidRPr="00CF1787">
        <w:rPr>
          <w:rFonts w:eastAsia="Verdana"/>
          <w:spacing w:val="1"/>
          <w:szCs w:val="20"/>
          <w:lang w:val="es-CR"/>
        </w:rPr>
        <w:t>d</w:t>
      </w:r>
      <w:r w:rsidRPr="00CF1787">
        <w:rPr>
          <w:rFonts w:eastAsia="Verdana"/>
          <w:szCs w:val="20"/>
          <w:lang w:val="es-CR"/>
        </w:rPr>
        <w:t>o</w:t>
      </w:r>
      <w:r w:rsidRPr="00CF1787">
        <w:rPr>
          <w:rFonts w:eastAsia="Verdana"/>
          <w:spacing w:val="-1"/>
          <w:szCs w:val="20"/>
          <w:lang w:val="es-CR"/>
        </w:rPr>
        <w:t xml:space="preserve"> </w:t>
      </w:r>
      <w:r w:rsidRPr="00CF1787">
        <w:rPr>
          <w:rFonts w:eastAsia="Verdana"/>
          <w:szCs w:val="20"/>
          <w:lang w:val="es-CR"/>
        </w:rPr>
        <w:t>l</w:t>
      </w:r>
      <w:r w:rsidRPr="00CF1787">
        <w:rPr>
          <w:rFonts w:eastAsia="Verdana"/>
          <w:spacing w:val="3"/>
          <w:szCs w:val="20"/>
          <w:lang w:val="es-CR"/>
        </w:rPr>
        <w:t>l</w:t>
      </w:r>
      <w:r w:rsidRPr="00CF1787">
        <w:rPr>
          <w:rFonts w:eastAsia="Verdana"/>
          <w:spacing w:val="-1"/>
          <w:szCs w:val="20"/>
          <w:lang w:val="es-CR"/>
        </w:rPr>
        <w:t>e</w:t>
      </w:r>
      <w:r w:rsidRPr="00CF1787">
        <w:rPr>
          <w:rFonts w:eastAsia="Verdana"/>
          <w:szCs w:val="20"/>
          <w:lang w:val="es-CR"/>
        </w:rPr>
        <w:t>va</w:t>
      </w:r>
      <w:r w:rsidRPr="00CF1787">
        <w:rPr>
          <w:rFonts w:eastAsia="Verdana"/>
          <w:spacing w:val="1"/>
          <w:szCs w:val="20"/>
          <w:lang w:val="es-CR"/>
        </w:rPr>
        <w:t>d</w:t>
      </w:r>
      <w:r w:rsidRPr="00CF1787">
        <w:rPr>
          <w:rFonts w:eastAsia="Verdana"/>
          <w:szCs w:val="20"/>
          <w:lang w:val="es-CR"/>
        </w:rPr>
        <w:t>a</w:t>
      </w:r>
      <w:r w:rsidRPr="00CF1787">
        <w:rPr>
          <w:rFonts w:eastAsia="Verdana"/>
          <w:spacing w:val="-3"/>
          <w:szCs w:val="20"/>
          <w:lang w:val="es-CR"/>
        </w:rPr>
        <w:t xml:space="preserve"> </w:t>
      </w:r>
      <w:r w:rsidRPr="00CF1787">
        <w:rPr>
          <w:rFonts w:eastAsia="Verdana"/>
          <w:spacing w:val="3"/>
          <w:szCs w:val="20"/>
          <w:lang w:val="es-CR"/>
        </w:rPr>
        <w:t>d</w:t>
      </w:r>
      <w:r w:rsidRPr="00CF1787">
        <w:rPr>
          <w:rFonts w:eastAsia="Verdana"/>
          <w:szCs w:val="20"/>
          <w:lang w:val="es-CR"/>
        </w:rPr>
        <w:t>e m</w:t>
      </w:r>
      <w:r w:rsidRPr="00CF1787">
        <w:rPr>
          <w:rFonts w:eastAsia="Verdana"/>
          <w:spacing w:val="1"/>
          <w:szCs w:val="20"/>
          <w:lang w:val="es-CR"/>
        </w:rPr>
        <w:t>an</w:t>
      </w:r>
      <w:r w:rsidRPr="00CF1787">
        <w:rPr>
          <w:rFonts w:eastAsia="Verdana"/>
          <w:spacing w:val="-1"/>
          <w:szCs w:val="20"/>
          <w:lang w:val="es-CR"/>
        </w:rPr>
        <w:t>er</w:t>
      </w:r>
      <w:r w:rsidRPr="00CF1787">
        <w:rPr>
          <w:rFonts w:eastAsia="Verdana"/>
          <w:szCs w:val="20"/>
          <w:lang w:val="es-CR"/>
        </w:rPr>
        <w:t>a</w:t>
      </w:r>
      <w:r w:rsidRPr="00CF1787">
        <w:rPr>
          <w:rFonts w:eastAsia="Verdana"/>
          <w:spacing w:val="9"/>
          <w:szCs w:val="20"/>
          <w:lang w:val="es-CR"/>
        </w:rPr>
        <w:t xml:space="preserve"> </w:t>
      </w:r>
      <w:r w:rsidRPr="00CF1787">
        <w:rPr>
          <w:rFonts w:eastAsia="Verdana"/>
          <w:spacing w:val="3"/>
          <w:szCs w:val="20"/>
          <w:lang w:val="es-CR"/>
        </w:rPr>
        <w:t>i</w:t>
      </w:r>
      <w:r w:rsidRPr="00CF1787">
        <w:rPr>
          <w:rFonts w:eastAsia="Verdana"/>
          <w:spacing w:val="-1"/>
          <w:szCs w:val="20"/>
          <w:lang w:val="es-CR"/>
        </w:rPr>
        <w:t>r</w:t>
      </w:r>
      <w:r w:rsidRPr="00CF1787">
        <w:rPr>
          <w:rFonts w:eastAsia="Verdana"/>
          <w:spacing w:val="1"/>
          <w:szCs w:val="20"/>
          <w:lang w:val="es-CR"/>
        </w:rPr>
        <w:t>r</w:t>
      </w:r>
      <w:r w:rsidRPr="00CF1787">
        <w:rPr>
          <w:rFonts w:eastAsia="Verdana"/>
          <w:spacing w:val="-1"/>
          <w:szCs w:val="20"/>
          <w:lang w:val="es-CR"/>
        </w:rPr>
        <w:t>e</w:t>
      </w:r>
      <w:r w:rsidRPr="00CF1787">
        <w:rPr>
          <w:rFonts w:eastAsia="Verdana"/>
          <w:spacing w:val="1"/>
          <w:szCs w:val="20"/>
          <w:lang w:val="es-CR"/>
        </w:rPr>
        <w:t>gu</w:t>
      </w:r>
      <w:r w:rsidRPr="00CF1787">
        <w:rPr>
          <w:rFonts w:eastAsia="Verdana"/>
          <w:spacing w:val="3"/>
          <w:szCs w:val="20"/>
          <w:lang w:val="es-CR"/>
        </w:rPr>
        <w:t>l</w:t>
      </w:r>
      <w:r w:rsidRPr="00CF1787">
        <w:rPr>
          <w:rFonts w:eastAsia="Verdana"/>
          <w:szCs w:val="20"/>
          <w:lang w:val="es-CR"/>
        </w:rPr>
        <w:t>ar,</w:t>
      </w:r>
      <w:r w:rsidRPr="00CF1787">
        <w:rPr>
          <w:rFonts w:eastAsia="Verdana"/>
          <w:spacing w:val="7"/>
          <w:szCs w:val="20"/>
          <w:lang w:val="es-CR"/>
        </w:rPr>
        <w:t xml:space="preserve"> </w:t>
      </w:r>
      <w:r w:rsidRPr="00CF1787">
        <w:rPr>
          <w:rFonts w:eastAsia="Verdana"/>
          <w:szCs w:val="20"/>
          <w:lang w:val="es-CR"/>
        </w:rPr>
        <w:t>af</w:t>
      </w:r>
      <w:r w:rsidRPr="00CF1787">
        <w:rPr>
          <w:rFonts w:eastAsia="Verdana"/>
          <w:spacing w:val="1"/>
          <w:szCs w:val="20"/>
          <w:lang w:val="es-CR"/>
        </w:rPr>
        <w:t>e</w:t>
      </w:r>
      <w:r w:rsidRPr="00CF1787">
        <w:rPr>
          <w:rFonts w:eastAsia="Verdana"/>
          <w:szCs w:val="20"/>
          <w:lang w:val="es-CR"/>
        </w:rPr>
        <w:t>ct</w:t>
      </w:r>
      <w:r w:rsidRPr="00CF1787">
        <w:rPr>
          <w:rFonts w:eastAsia="Verdana"/>
          <w:spacing w:val="3"/>
          <w:szCs w:val="20"/>
          <w:lang w:val="es-CR"/>
        </w:rPr>
        <w:t>a</w:t>
      </w:r>
      <w:r w:rsidRPr="00CF1787">
        <w:rPr>
          <w:rFonts w:eastAsia="Verdana"/>
          <w:spacing w:val="1"/>
          <w:szCs w:val="20"/>
          <w:lang w:val="es-CR"/>
        </w:rPr>
        <w:t>nd</w:t>
      </w:r>
      <w:r w:rsidRPr="00CF1787">
        <w:rPr>
          <w:rFonts w:eastAsia="Verdana"/>
          <w:szCs w:val="20"/>
          <w:lang w:val="es-CR"/>
        </w:rPr>
        <w:t>o</w:t>
      </w:r>
      <w:r w:rsidRPr="00CF1787">
        <w:rPr>
          <w:rFonts w:eastAsia="Verdana"/>
          <w:spacing w:val="4"/>
          <w:szCs w:val="20"/>
          <w:lang w:val="es-CR"/>
        </w:rPr>
        <w:t xml:space="preserve"> </w:t>
      </w:r>
      <w:r w:rsidRPr="00CF1787">
        <w:rPr>
          <w:rFonts w:eastAsia="Verdana"/>
          <w:szCs w:val="20"/>
          <w:lang w:val="es-CR"/>
        </w:rPr>
        <w:t>su</w:t>
      </w:r>
      <w:r w:rsidRPr="00CF1787">
        <w:rPr>
          <w:rFonts w:eastAsia="Verdana"/>
          <w:spacing w:val="14"/>
          <w:szCs w:val="20"/>
          <w:lang w:val="es-CR"/>
        </w:rPr>
        <w:t xml:space="preserve"> </w:t>
      </w:r>
      <w:r w:rsidRPr="00CF1787">
        <w:rPr>
          <w:rFonts w:eastAsia="Verdana"/>
          <w:spacing w:val="1"/>
          <w:szCs w:val="20"/>
          <w:lang w:val="es-CR"/>
        </w:rPr>
        <w:t>der</w:t>
      </w:r>
      <w:r w:rsidRPr="00CF1787">
        <w:rPr>
          <w:rFonts w:eastAsia="Verdana"/>
          <w:spacing w:val="-1"/>
          <w:szCs w:val="20"/>
          <w:lang w:val="es-CR"/>
        </w:rPr>
        <w:t>e</w:t>
      </w:r>
      <w:r w:rsidRPr="00CF1787">
        <w:rPr>
          <w:rFonts w:eastAsia="Verdana"/>
          <w:szCs w:val="20"/>
          <w:lang w:val="es-CR"/>
        </w:rPr>
        <w:t>cho</w:t>
      </w:r>
      <w:r w:rsidRPr="00CF1787">
        <w:rPr>
          <w:rFonts w:eastAsia="Verdana"/>
          <w:spacing w:val="9"/>
          <w:szCs w:val="20"/>
          <w:lang w:val="es-CR"/>
        </w:rPr>
        <w:t xml:space="preserve"> </w:t>
      </w:r>
      <w:r w:rsidRPr="00CF1787">
        <w:rPr>
          <w:rFonts w:eastAsia="Verdana"/>
          <w:spacing w:val="1"/>
          <w:szCs w:val="20"/>
          <w:lang w:val="es-CR"/>
        </w:rPr>
        <w:t>d</w:t>
      </w:r>
      <w:r w:rsidRPr="00CF1787">
        <w:rPr>
          <w:rFonts w:eastAsia="Verdana"/>
          <w:szCs w:val="20"/>
          <w:lang w:val="es-CR"/>
        </w:rPr>
        <w:t>e</w:t>
      </w:r>
      <w:r w:rsidRPr="00CF1787">
        <w:rPr>
          <w:rFonts w:eastAsia="Verdana"/>
          <w:spacing w:val="12"/>
          <w:szCs w:val="20"/>
          <w:lang w:val="es-CR"/>
        </w:rPr>
        <w:t xml:space="preserve"> </w:t>
      </w:r>
      <w:r w:rsidRPr="00CF1787">
        <w:rPr>
          <w:rFonts w:eastAsia="Verdana"/>
          <w:spacing w:val="3"/>
          <w:szCs w:val="20"/>
          <w:lang w:val="es-CR"/>
        </w:rPr>
        <w:t>d</w:t>
      </w:r>
      <w:r w:rsidRPr="00CF1787">
        <w:rPr>
          <w:rFonts w:eastAsia="Verdana"/>
          <w:spacing w:val="-1"/>
          <w:szCs w:val="20"/>
          <w:lang w:val="es-CR"/>
        </w:rPr>
        <w:t>e</w:t>
      </w:r>
      <w:r w:rsidRPr="00CF1787">
        <w:rPr>
          <w:rFonts w:eastAsia="Verdana"/>
          <w:spacing w:val="2"/>
          <w:szCs w:val="20"/>
          <w:lang w:val="es-CR"/>
        </w:rPr>
        <w:t>f</w:t>
      </w:r>
      <w:r w:rsidRPr="00CF1787">
        <w:rPr>
          <w:rFonts w:eastAsia="Verdana"/>
          <w:spacing w:val="1"/>
          <w:szCs w:val="20"/>
          <w:lang w:val="es-CR"/>
        </w:rPr>
        <w:t>en</w:t>
      </w:r>
      <w:r w:rsidRPr="00CF1787">
        <w:rPr>
          <w:rFonts w:eastAsia="Verdana"/>
          <w:szCs w:val="20"/>
          <w:lang w:val="es-CR"/>
        </w:rPr>
        <w:t>sa</w:t>
      </w:r>
      <w:r w:rsidRPr="00CF1787">
        <w:rPr>
          <w:rFonts w:eastAsia="Verdana"/>
          <w:spacing w:val="7"/>
          <w:szCs w:val="20"/>
          <w:lang w:val="es-CR"/>
        </w:rPr>
        <w:t xml:space="preserve"> ante la Corte, </w:t>
      </w:r>
      <w:r w:rsidRPr="00CF1787">
        <w:rPr>
          <w:rFonts w:eastAsia="Verdana"/>
          <w:spacing w:val="1"/>
          <w:szCs w:val="20"/>
          <w:lang w:val="es-CR"/>
        </w:rPr>
        <w:t>d</w:t>
      </w:r>
      <w:r w:rsidRPr="00CF1787">
        <w:rPr>
          <w:rFonts w:eastAsia="Verdana"/>
          <w:spacing w:val="-1"/>
          <w:szCs w:val="20"/>
          <w:lang w:val="es-CR"/>
        </w:rPr>
        <w:t>e</w:t>
      </w:r>
      <w:r w:rsidRPr="00CF1787">
        <w:rPr>
          <w:rFonts w:eastAsia="Verdana"/>
          <w:spacing w:val="3"/>
          <w:szCs w:val="20"/>
          <w:lang w:val="es-CR"/>
        </w:rPr>
        <w:t>b</w:t>
      </w:r>
      <w:r w:rsidRPr="00CF1787">
        <w:rPr>
          <w:rFonts w:eastAsia="Verdana"/>
          <w:szCs w:val="20"/>
          <w:lang w:val="es-CR"/>
        </w:rPr>
        <w:t>e</w:t>
      </w:r>
      <w:r w:rsidRPr="00CF1787">
        <w:rPr>
          <w:rFonts w:eastAsia="Verdana"/>
          <w:spacing w:val="9"/>
          <w:szCs w:val="20"/>
          <w:lang w:val="es-CR"/>
        </w:rPr>
        <w:t xml:space="preserve"> </w:t>
      </w:r>
      <w:r w:rsidRPr="00CF1787">
        <w:rPr>
          <w:rFonts w:eastAsia="Verdana"/>
          <w:spacing w:val="1"/>
          <w:szCs w:val="20"/>
          <w:lang w:val="es-CR"/>
        </w:rPr>
        <w:t>d</w:t>
      </w:r>
      <w:r w:rsidRPr="00CF1787">
        <w:rPr>
          <w:rFonts w:eastAsia="Verdana"/>
          <w:spacing w:val="-1"/>
          <w:szCs w:val="20"/>
          <w:lang w:val="es-CR"/>
        </w:rPr>
        <w:t>e</w:t>
      </w:r>
      <w:r w:rsidRPr="00CF1787">
        <w:rPr>
          <w:rFonts w:eastAsia="Verdana"/>
          <w:spacing w:val="3"/>
          <w:szCs w:val="20"/>
          <w:lang w:val="es-CR"/>
        </w:rPr>
        <w:t>m</w:t>
      </w:r>
      <w:r w:rsidRPr="00CF1787">
        <w:rPr>
          <w:rFonts w:eastAsia="Verdana"/>
          <w:spacing w:val="-1"/>
          <w:szCs w:val="20"/>
          <w:lang w:val="es-CR"/>
        </w:rPr>
        <w:t>o</w:t>
      </w:r>
      <w:r w:rsidRPr="00CF1787">
        <w:rPr>
          <w:rFonts w:eastAsia="Verdana"/>
          <w:szCs w:val="20"/>
          <w:lang w:val="es-CR"/>
        </w:rPr>
        <w:t>s</w:t>
      </w:r>
      <w:r w:rsidRPr="00CF1787">
        <w:rPr>
          <w:rFonts w:eastAsia="Verdana"/>
          <w:spacing w:val="2"/>
          <w:szCs w:val="20"/>
          <w:lang w:val="es-CR"/>
        </w:rPr>
        <w:t>t</w:t>
      </w:r>
      <w:r w:rsidRPr="00CF1787">
        <w:rPr>
          <w:rFonts w:eastAsia="Verdana"/>
          <w:spacing w:val="-1"/>
          <w:szCs w:val="20"/>
          <w:lang w:val="es-CR"/>
        </w:rPr>
        <w:t>r</w:t>
      </w:r>
      <w:r w:rsidRPr="00CF1787">
        <w:rPr>
          <w:rFonts w:eastAsia="Verdana"/>
          <w:szCs w:val="20"/>
          <w:lang w:val="es-CR"/>
        </w:rPr>
        <w:t>ar</w:t>
      </w:r>
      <w:r w:rsidRPr="00CF1787">
        <w:rPr>
          <w:rFonts w:eastAsia="Verdana"/>
          <w:spacing w:val="7"/>
          <w:szCs w:val="20"/>
          <w:lang w:val="es-CR"/>
        </w:rPr>
        <w:t xml:space="preserve"> </w:t>
      </w:r>
      <w:r w:rsidRPr="00CF1787">
        <w:rPr>
          <w:rFonts w:eastAsia="Verdana"/>
          <w:spacing w:val="1"/>
          <w:szCs w:val="20"/>
          <w:lang w:val="es-CR"/>
        </w:rPr>
        <w:t>e</w:t>
      </w:r>
      <w:r w:rsidRPr="00CF1787">
        <w:rPr>
          <w:rFonts w:eastAsia="Verdana"/>
          <w:szCs w:val="20"/>
          <w:lang w:val="es-CR"/>
        </w:rPr>
        <w:t>f</w:t>
      </w:r>
      <w:r w:rsidRPr="00CF1787">
        <w:rPr>
          <w:rFonts w:eastAsia="Verdana"/>
          <w:spacing w:val="1"/>
          <w:szCs w:val="20"/>
          <w:lang w:val="es-CR"/>
        </w:rPr>
        <w:t>e</w:t>
      </w:r>
      <w:r w:rsidRPr="00CF1787">
        <w:rPr>
          <w:rFonts w:eastAsia="Verdana"/>
          <w:szCs w:val="20"/>
          <w:lang w:val="es-CR"/>
        </w:rPr>
        <w:t>ct</w:t>
      </w:r>
      <w:r w:rsidRPr="00CF1787">
        <w:rPr>
          <w:rFonts w:eastAsia="Verdana"/>
          <w:spacing w:val="3"/>
          <w:szCs w:val="20"/>
          <w:lang w:val="es-CR"/>
        </w:rPr>
        <w:t>i</w:t>
      </w:r>
      <w:r w:rsidRPr="00CF1787">
        <w:rPr>
          <w:rFonts w:eastAsia="Verdana"/>
          <w:szCs w:val="20"/>
          <w:lang w:val="es-CR"/>
        </w:rPr>
        <w:t>vamen</w:t>
      </w:r>
      <w:r w:rsidRPr="00CF1787">
        <w:rPr>
          <w:rFonts w:eastAsia="Verdana"/>
          <w:spacing w:val="1"/>
          <w:szCs w:val="20"/>
          <w:lang w:val="es-CR"/>
        </w:rPr>
        <w:t>t</w:t>
      </w:r>
      <w:r w:rsidRPr="00CF1787">
        <w:rPr>
          <w:rFonts w:eastAsia="Verdana"/>
          <w:szCs w:val="20"/>
          <w:lang w:val="es-CR"/>
        </w:rPr>
        <w:t xml:space="preserve">e </w:t>
      </w:r>
      <w:r w:rsidRPr="00CF1787">
        <w:rPr>
          <w:rFonts w:eastAsia="Verdana"/>
          <w:spacing w:val="1"/>
          <w:szCs w:val="20"/>
          <w:lang w:val="es-CR"/>
        </w:rPr>
        <w:t>t</w:t>
      </w:r>
      <w:r w:rsidRPr="00CF1787">
        <w:rPr>
          <w:rFonts w:eastAsia="Verdana"/>
          <w:szCs w:val="20"/>
          <w:lang w:val="es-CR"/>
        </w:rPr>
        <w:t>al</w:t>
      </w:r>
      <w:r w:rsidRPr="00CF1787">
        <w:rPr>
          <w:rFonts w:eastAsia="Verdana"/>
          <w:spacing w:val="16"/>
          <w:szCs w:val="20"/>
          <w:lang w:val="es-CR"/>
        </w:rPr>
        <w:t xml:space="preserve"> </w:t>
      </w:r>
      <w:r w:rsidRPr="00CF1787">
        <w:rPr>
          <w:rFonts w:eastAsia="Verdana"/>
          <w:spacing w:val="1"/>
          <w:szCs w:val="20"/>
          <w:lang w:val="es-CR"/>
        </w:rPr>
        <w:t>p</w:t>
      </w:r>
      <w:r w:rsidRPr="00CF1787">
        <w:rPr>
          <w:rFonts w:eastAsia="Verdana"/>
          <w:spacing w:val="-1"/>
          <w:szCs w:val="20"/>
          <w:lang w:val="es-CR"/>
        </w:rPr>
        <w:t>er</w:t>
      </w:r>
      <w:r w:rsidRPr="00CF1787">
        <w:rPr>
          <w:rFonts w:eastAsia="Verdana"/>
          <w:spacing w:val="1"/>
          <w:szCs w:val="20"/>
          <w:lang w:val="es-CR"/>
        </w:rPr>
        <w:t>ju</w:t>
      </w:r>
      <w:r w:rsidRPr="00CF1787">
        <w:rPr>
          <w:rFonts w:eastAsia="Verdana"/>
          <w:spacing w:val="3"/>
          <w:szCs w:val="20"/>
          <w:lang w:val="es-CR"/>
        </w:rPr>
        <w:t>i</w:t>
      </w:r>
      <w:r w:rsidRPr="00CF1787">
        <w:rPr>
          <w:rFonts w:eastAsia="Verdana"/>
          <w:spacing w:val="-3"/>
          <w:szCs w:val="20"/>
          <w:lang w:val="es-CR"/>
        </w:rPr>
        <w:t>c</w:t>
      </w:r>
      <w:r w:rsidRPr="00CF1787">
        <w:rPr>
          <w:rFonts w:eastAsia="Verdana"/>
          <w:spacing w:val="3"/>
          <w:szCs w:val="20"/>
          <w:lang w:val="es-CR"/>
        </w:rPr>
        <w:t>i</w:t>
      </w:r>
      <w:r w:rsidRPr="00CF1787">
        <w:rPr>
          <w:rFonts w:eastAsia="Verdana"/>
          <w:spacing w:val="10"/>
          <w:szCs w:val="20"/>
          <w:lang w:val="es-CR"/>
        </w:rPr>
        <w:t>o</w:t>
      </w:r>
      <w:r w:rsidRPr="00CF1787">
        <w:rPr>
          <w:rStyle w:val="FootnoteReference"/>
          <w:rFonts w:eastAsia="Verdana"/>
          <w:spacing w:val="10"/>
          <w:sz w:val="20"/>
          <w:szCs w:val="20"/>
          <w:lang w:val="es-CR"/>
        </w:rPr>
        <w:footnoteReference w:id="20"/>
      </w:r>
      <w:r w:rsidRPr="00CF1787">
        <w:rPr>
          <w:rFonts w:eastAsia="Verdana"/>
          <w:szCs w:val="20"/>
          <w:lang w:val="es-CR"/>
        </w:rPr>
        <w:t>.</w:t>
      </w:r>
      <w:r w:rsidRPr="00CF1787">
        <w:rPr>
          <w:rFonts w:eastAsia="Verdana"/>
          <w:spacing w:val="4"/>
          <w:szCs w:val="20"/>
          <w:lang w:val="es-CR"/>
        </w:rPr>
        <w:t xml:space="preserve"> </w:t>
      </w:r>
      <w:r w:rsidRPr="00CF1787">
        <w:rPr>
          <w:rFonts w:eastAsia="Verdana"/>
          <w:szCs w:val="20"/>
          <w:lang w:val="es-CR"/>
        </w:rPr>
        <w:t xml:space="preserve">A </w:t>
      </w:r>
      <w:r w:rsidRPr="00CF1787">
        <w:rPr>
          <w:rFonts w:eastAsia="Verdana"/>
          <w:spacing w:val="-1"/>
          <w:szCs w:val="20"/>
          <w:lang w:val="es-CR"/>
        </w:rPr>
        <w:t>e</w:t>
      </w:r>
      <w:r w:rsidRPr="00CF1787">
        <w:rPr>
          <w:rFonts w:eastAsia="Verdana"/>
          <w:szCs w:val="20"/>
          <w:lang w:val="es-CR"/>
        </w:rPr>
        <w:t>s</w:t>
      </w:r>
      <w:r w:rsidRPr="00CF1787">
        <w:rPr>
          <w:rFonts w:eastAsia="Verdana"/>
          <w:spacing w:val="2"/>
          <w:szCs w:val="20"/>
          <w:lang w:val="es-CR"/>
        </w:rPr>
        <w:t>t</w:t>
      </w:r>
      <w:r w:rsidRPr="00CF1787">
        <w:rPr>
          <w:rFonts w:eastAsia="Verdana"/>
          <w:szCs w:val="20"/>
          <w:lang w:val="es-CR"/>
        </w:rPr>
        <w:t>e</w:t>
      </w:r>
      <w:r w:rsidRPr="00CF1787">
        <w:rPr>
          <w:rFonts w:eastAsia="Verdana"/>
          <w:spacing w:val="6"/>
          <w:szCs w:val="20"/>
          <w:lang w:val="es-CR"/>
        </w:rPr>
        <w:t xml:space="preserve"> </w:t>
      </w:r>
      <w:r w:rsidRPr="00CF1787">
        <w:rPr>
          <w:rFonts w:eastAsia="Verdana"/>
          <w:spacing w:val="1"/>
          <w:szCs w:val="20"/>
          <w:lang w:val="es-CR"/>
        </w:rPr>
        <w:t>r</w:t>
      </w:r>
      <w:r w:rsidRPr="00CF1787">
        <w:rPr>
          <w:rFonts w:eastAsia="Verdana"/>
          <w:spacing w:val="-1"/>
          <w:szCs w:val="20"/>
          <w:lang w:val="es-CR"/>
        </w:rPr>
        <w:t>e</w:t>
      </w:r>
      <w:r w:rsidRPr="00CF1787">
        <w:rPr>
          <w:rFonts w:eastAsia="Verdana"/>
          <w:szCs w:val="20"/>
          <w:lang w:val="es-CR"/>
        </w:rPr>
        <w:t>s</w:t>
      </w:r>
      <w:r w:rsidRPr="00CF1787">
        <w:rPr>
          <w:rFonts w:eastAsia="Verdana"/>
          <w:spacing w:val="2"/>
          <w:szCs w:val="20"/>
          <w:lang w:val="es-CR"/>
        </w:rPr>
        <w:t>p</w:t>
      </w:r>
      <w:r w:rsidRPr="00CF1787">
        <w:rPr>
          <w:rFonts w:eastAsia="Verdana"/>
          <w:spacing w:val="-1"/>
          <w:szCs w:val="20"/>
          <w:lang w:val="es-CR"/>
        </w:rPr>
        <w:t>e</w:t>
      </w:r>
      <w:r w:rsidRPr="00CF1787">
        <w:rPr>
          <w:rFonts w:eastAsia="Verdana"/>
          <w:szCs w:val="20"/>
          <w:lang w:val="es-CR"/>
        </w:rPr>
        <w:t>ct</w:t>
      </w:r>
      <w:r w:rsidRPr="00CF1787">
        <w:rPr>
          <w:rFonts w:eastAsia="Verdana"/>
          <w:spacing w:val="1"/>
          <w:szCs w:val="20"/>
          <w:lang w:val="es-CR"/>
        </w:rPr>
        <w:t>o</w:t>
      </w:r>
      <w:r w:rsidRPr="00CF1787">
        <w:rPr>
          <w:rFonts w:eastAsia="Verdana"/>
          <w:szCs w:val="20"/>
          <w:lang w:val="es-CR"/>
        </w:rPr>
        <w:t>,</w:t>
      </w:r>
      <w:r w:rsidRPr="00CF1787">
        <w:rPr>
          <w:rFonts w:eastAsia="Verdana"/>
          <w:spacing w:val="2"/>
          <w:szCs w:val="20"/>
          <w:lang w:val="es-CR"/>
        </w:rPr>
        <w:t xml:space="preserve"> </w:t>
      </w:r>
      <w:r w:rsidRPr="00CF1787">
        <w:rPr>
          <w:rFonts w:eastAsia="Verdana"/>
          <w:spacing w:val="1"/>
          <w:szCs w:val="20"/>
          <w:lang w:val="es-CR"/>
        </w:rPr>
        <w:t>n</w:t>
      </w:r>
      <w:r w:rsidRPr="00CF1787">
        <w:rPr>
          <w:rFonts w:eastAsia="Verdana"/>
          <w:szCs w:val="20"/>
          <w:lang w:val="es-CR"/>
        </w:rPr>
        <w:t>o</w:t>
      </w:r>
      <w:r w:rsidRPr="00CF1787">
        <w:rPr>
          <w:rFonts w:eastAsia="Verdana"/>
          <w:spacing w:val="8"/>
          <w:szCs w:val="20"/>
          <w:lang w:val="es-CR"/>
        </w:rPr>
        <w:t xml:space="preserve"> </w:t>
      </w:r>
      <w:r w:rsidRPr="00CF1787">
        <w:rPr>
          <w:rFonts w:eastAsia="Verdana"/>
          <w:spacing w:val="1"/>
          <w:szCs w:val="20"/>
          <w:lang w:val="es-CR"/>
        </w:rPr>
        <w:t>r</w:t>
      </w:r>
      <w:r w:rsidRPr="00CF1787">
        <w:rPr>
          <w:rFonts w:eastAsia="Verdana"/>
          <w:spacing w:val="-1"/>
          <w:szCs w:val="20"/>
          <w:lang w:val="es-CR"/>
        </w:rPr>
        <w:t>e</w:t>
      </w:r>
      <w:r w:rsidRPr="00CF1787">
        <w:rPr>
          <w:rFonts w:eastAsia="Verdana"/>
          <w:szCs w:val="20"/>
          <w:lang w:val="es-CR"/>
        </w:rPr>
        <w:t>su</w:t>
      </w:r>
      <w:r w:rsidRPr="00CF1787">
        <w:rPr>
          <w:rFonts w:eastAsia="Verdana"/>
          <w:spacing w:val="3"/>
          <w:szCs w:val="20"/>
          <w:lang w:val="es-CR"/>
        </w:rPr>
        <w:t>l</w:t>
      </w:r>
      <w:r w:rsidRPr="00CF1787">
        <w:rPr>
          <w:rFonts w:eastAsia="Verdana"/>
          <w:spacing w:val="1"/>
          <w:szCs w:val="20"/>
          <w:lang w:val="es-CR"/>
        </w:rPr>
        <w:t>t</w:t>
      </w:r>
      <w:r w:rsidRPr="00CF1787">
        <w:rPr>
          <w:rFonts w:eastAsia="Verdana"/>
          <w:szCs w:val="20"/>
          <w:lang w:val="es-CR"/>
        </w:rPr>
        <w:t>a</w:t>
      </w:r>
      <w:r w:rsidRPr="00CF1787">
        <w:rPr>
          <w:rFonts w:eastAsia="Verdana"/>
          <w:spacing w:val="4"/>
          <w:szCs w:val="20"/>
          <w:lang w:val="es-CR"/>
        </w:rPr>
        <w:t xml:space="preserve"> </w:t>
      </w:r>
      <w:r w:rsidRPr="00CF1787">
        <w:rPr>
          <w:rFonts w:eastAsia="Verdana"/>
          <w:szCs w:val="20"/>
          <w:lang w:val="es-CR"/>
        </w:rPr>
        <w:t>suf</w:t>
      </w:r>
      <w:r w:rsidRPr="00CF1787">
        <w:rPr>
          <w:rFonts w:eastAsia="Verdana"/>
          <w:spacing w:val="3"/>
          <w:szCs w:val="20"/>
          <w:lang w:val="es-CR"/>
        </w:rPr>
        <w:t>i</w:t>
      </w:r>
      <w:r w:rsidRPr="00CF1787">
        <w:rPr>
          <w:rFonts w:eastAsia="Verdana"/>
          <w:szCs w:val="20"/>
          <w:lang w:val="es-CR"/>
        </w:rPr>
        <w:t>c</w:t>
      </w:r>
      <w:r w:rsidRPr="00CF1787">
        <w:rPr>
          <w:rFonts w:eastAsia="Verdana"/>
          <w:spacing w:val="2"/>
          <w:szCs w:val="20"/>
          <w:lang w:val="es-CR"/>
        </w:rPr>
        <w:t>i</w:t>
      </w:r>
      <w:r w:rsidRPr="00CF1787">
        <w:rPr>
          <w:rFonts w:eastAsia="Verdana"/>
          <w:spacing w:val="-1"/>
          <w:szCs w:val="20"/>
          <w:lang w:val="es-CR"/>
        </w:rPr>
        <w:t>e</w:t>
      </w:r>
      <w:r w:rsidRPr="00CF1787">
        <w:rPr>
          <w:rFonts w:eastAsia="Verdana"/>
          <w:spacing w:val="1"/>
          <w:szCs w:val="20"/>
          <w:lang w:val="es-CR"/>
        </w:rPr>
        <w:t>nt</w:t>
      </w:r>
      <w:r w:rsidRPr="00CF1787">
        <w:rPr>
          <w:rFonts w:eastAsia="Verdana"/>
          <w:szCs w:val="20"/>
          <w:lang w:val="es-CR"/>
        </w:rPr>
        <w:t xml:space="preserve">e </w:t>
      </w:r>
      <w:r w:rsidRPr="00CF1787">
        <w:rPr>
          <w:rFonts w:eastAsia="Verdana"/>
          <w:spacing w:val="1"/>
          <w:szCs w:val="20"/>
          <w:lang w:val="es-CR"/>
        </w:rPr>
        <w:t>un</w:t>
      </w:r>
      <w:r w:rsidRPr="00CF1787">
        <w:rPr>
          <w:rFonts w:eastAsia="Verdana"/>
          <w:szCs w:val="20"/>
          <w:lang w:val="es-CR"/>
        </w:rPr>
        <w:t>a</w:t>
      </w:r>
      <w:r w:rsidRPr="00CF1787">
        <w:rPr>
          <w:rFonts w:eastAsia="Verdana"/>
          <w:spacing w:val="7"/>
          <w:szCs w:val="20"/>
          <w:lang w:val="es-CR"/>
        </w:rPr>
        <w:t xml:space="preserve"> </w:t>
      </w:r>
      <w:r w:rsidRPr="00CF1787">
        <w:rPr>
          <w:rFonts w:eastAsia="Verdana"/>
          <w:spacing w:val="-2"/>
          <w:szCs w:val="20"/>
          <w:lang w:val="es-CR"/>
        </w:rPr>
        <w:t>q</w:t>
      </w:r>
      <w:r w:rsidRPr="00CF1787">
        <w:rPr>
          <w:rFonts w:eastAsia="Verdana"/>
          <w:spacing w:val="1"/>
          <w:szCs w:val="20"/>
          <w:lang w:val="es-CR"/>
        </w:rPr>
        <w:t>u</w:t>
      </w:r>
      <w:r w:rsidRPr="00CF1787">
        <w:rPr>
          <w:rFonts w:eastAsia="Verdana"/>
          <w:spacing w:val="-1"/>
          <w:szCs w:val="20"/>
          <w:lang w:val="es-CR"/>
        </w:rPr>
        <w:t>e</w:t>
      </w:r>
      <w:r w:rsidRPr="00CF1787">
        <w:rPr>
          <w:rFonts w:eastAsia="Verdana"/>
          <w:spacing w:val="1"/>
          <w:szCs w:val="20"/>
          <w:lang w:val="es-CR"/>
        </w:rPr>
        <w:t>j</w:t>
      </w:r>
      <w:r w:rsidRPr="00CF1787">
        <w:rPr>
          <w:rFonts w:eastAsia="Verdana"/>
          <w:szCs w:val="20"/>
          <w:lang w:val="es-CR"/>
        </w:rPr>
        <w:t>a</w:t>
      </w:r>
      <w:r w:rsidRPr="00CF1787">
        <w:rPr>
          <w:rFonts w:eastAsia="Verdana"/>
          <w:spacing w:val="3"/>
          <w:szCs w:val="20"/>
          <w:lang w:val="es-CR"/>
        </w:rPr>
        <w:t xml:space="preserve"> </w:t>
      </w:r>
      <w:r w:rsidRPr="00CF1787">
        <w:rPr>
          <w:rFonts w:eastAsia="Verdana"/>
          <w:szCs w:val="20"/>
          <w:lang w:val="es-CR"/>
        </w:rPr>
        <w:t>o</w:t>
      </w:r>
      <w:r w:rsidRPr="00CF1787">
        <w:rPr>
          <w:rFonts w:eastAsia="Verdana"/>
          <w:spacing w:val="9"/>
          <w:szCs w:val="20"/>
          <w:lang w:val="es-CR"/>
        </w:rPr>
        <w:t xml:space="preserve"> </w:t>
      </w:r>
      <w:r w:rsidRPr="00CF1787">
        <w:rPr>
          <w:rFonts w:eastAsia="Verdana"/>
          <w:spacing w:val="1"/>
          <w:szCs w:val="20"/>
          <w:lang w:val="es-CR"/>
        </w:rPr>
        <w:t>d</w:t>
      </w:r>
      <w:r w:rsidRPr="00CF1787">
        <w:rPr>
          <w:rFonts w:eastAsia="Verdana"/>
          <w:spacing w:val="3"/>
          <w:szCs w:val="20"/>
          <w:lang w:val="es-CR"/>
        </w:rPr>
        <w:t>i</w:t>
      </w:r>
      <w:r w:rsidRPr="00CF1787">
        <w:rPr>
          <w:rFonts w:eastAsia="Verdana"/>
          <w:szCs w:val="20"/>
          <w:lang w:val="es-CR"/>
        </w:rPr>
        <w:t>s</w:t>
      </w:r>
      <w:r w:rsidRPr="00CF1787">
        <w:rPr>
          <w:rFonts w:eastAsia="Verdana"/>
          <w:spacing w:val="-1"/>
          <w:szCs w:val="20"/>
          <w:lang w:val="es-CR"/>
        </w:rPr>
        <w:t>cre</w:t>
      </w:r>
      <w:r w:rsidRPr="00CF1787">
        <w:rPr>
          <w:rFonts w:eastAsia="Verdana"/>
          <w:spacing w:val="1"/>
          <w:szCs w:val="20"/>
          <w:lang w:val="es-CR"/>
        </w:rPr>
        <w:t>p</w:t>
      </w:r>
      <w:r w:rsidRPr="00CF1787">
        <w:rPr>
          <w:rFonts w:eastAsia="Verdana"/>
          <w:szCs w:val="20"/>
          <w:lang w:val="es-CR"/>
        </w:rPr>
        <w:t>a</w:t>
      </w:r>
      <w:r w:rsidRPr="00CF1787">
        <w:rPr>
          <w:rFonts w:eastAsia="Verdana"/>
          <w:spacing w:val="1"/>
          <w:szCs w:val="20"/>
          <w:lang w:val="es-CR"/>
        </w:rPr>
        <w:t>n</w:t>
      </w:r>
      <w:r w:rsidRPr="00CF1787">
        <w:rPr>
          <w:rFonts w:eastAsia="Verdana"/>
          <w:szCs w:val="20"/>
          <w:lang w:val="es-CR"/>
        </w:rPr>
        <w:t>c</w:t>
      </w:r>
      <w:r w:rsidRPr="00CF1787">
        <w:rPr>
          <w:rFonts w:eastAsia="Verdana"/>
          <w:spacing w:val="2"/>
          <w:szCs w:val="20"/>
          <w:lang w:val="es-CR"/>
        </w:rPr>
        <w:t>i</w:t>
      </w:r>
      <w:r w:rsidRPr="00CF1787">
        <w:rPr>
          <w:rFonts w:eastAsia="Verdana"/>
          <w:szCs w:val="20"/>
          <w:lang w:val="es-CR"/>
        </w:rPr>
        <w:t>a</w:t>
      </w:r>
      <w:r w:rsidRPr="00CF1787">
        <w:rPr>
          <w:rFonts w:eastAsia="Verdana"/>
          <w:spacing w:val="-1"/>
          <w:szCs w:val="20"/>
          <w:lang w:val="es-CR"/>
        </w:rPr>
        <w:t xml:space="preserve"> </w:t>
      </w:r>
      <w:r w:rsidRPr="00CF1787">
        <w:rPr>
          <w:rFonts w:eastAsia="Verdana"/>
          <w:spacing w:val="1"/>
          <w:szCs w:val="20"/>
          <w:lang w:val="es-CR"/>
        </w:rPr>
        <w:t>d</w:t>
      </w:r>
      <w:r w:rsidRPr="00CF1787">
        <w:rPr>
          <w:rFonts w:eastAsia="Verdana"/>
          <w:szCs w:val="20"/>
          <w:lang w:val="es-CR"/>
        </w:rPr>
        <w:t>e</w:t>
      </w:r>
      <w:r w:rsidRPr="00CF1787">
        <w:rPr>
          <w:rFonts w:eastAsia="Verdana"/>
          <w:spacing w:val="8"/>
          <w:szCs w:val="20"/>
          <w:lang w:val="es-CR"/>
        </w:rPr>
        <w:t xml:space="preserve"> </w:t>
      </w:r>
      <w:r w:rsidRPr="00CF1787">
        <w:rPr>
          <w:rFonts w:eastAsia="Verdana"/>
          <w:spacing w:val="2"/>
          <w:szCs w:val="20"/>
          <w:lang w:val="es-CR"/>
        </w:rPr>
        <w:t>c</w:t>
      </w:r>
      <w:r w:rsidRPr="00CF1787">
        <w:rPr>
          <w:rFonts w:eastAsia="Verdana"/>
          <w:spacing w:val="-1"/>
          <w:szCs w:val="20"/>
          <w:lang w:val="es-CR"/>
        </w:rPr>
        <w:t>r</w:t>
      </w:r>
      <w:r w:rsidRPr="00CF1787">
        <w:rPr>
          <w:rFonts w:eastAsia="Verdana"/>
          <w:spacing w:val="3"/>
          <w:szCs w:val="20"/>
          <w:lang w:val="es-CR"/>
        </w:rPr>
        <w:t>i</w:t>
      </w:r>
      <w:r w:rsidRPr="00CF1787">
        <w:rPr>
          <w:rFonts w:eastAsia="Verdana"/>
          <w:spacing w:val="1"/>
          <w:szCs w:val="20"/>
          <w:lang w:val="es-CR"/>
        </w:rPr>
        <w:t>t</w:t>
      </w:r>
      <w:r w:rsidRPr="00CF1787">
        <w:rPr>
          <w:rFonts w:eastAsia="Verdana"/>
          <w:spacing w:val="-1"/>
          <w:szCs w:val="20"/>
          <w:lang w:val="es-CR"/>
        </w:rPr>
        <w:t>er</w:t>
      </w:r>
      <w:r w:rsidRPr="00CF1787">
        <w:rPr>
          <w:rFonts w:eastAsia="Verdana"/>
          <w:szCs w:val="20"/>
          <w:lang w:val="es-CR"/>
        </w:rPr>
        <w:t>i</w:t>
      </w:r>
      <w:r w:rsidRPr="00CF1787">
        <w:rPr>
          <w:rFonts w:eastAsia="Verdana"/>
          <w:spacing w:val="-1"/>
          <w:szCs w:val="20"/>
          <w:lang w:val="es-CR"/>
        </w:rPr>
        <w:t>o</w:t>
      </w:r>
      <w:r w:rsidRPr="00CF1787">
        <w:rPr>
          <w:rFonts w:eastAsia="Verdana"/>
          <w:szCs w:val="20"/>
          <w:lang w:val="es-CR"/>
        </w:rPr>
        <w:t>s</w:t>
      </w:r>
      <w:r w:rsidRPr="00CF1787">
        <w:rPr>
          <w:rFonts w:eastAsia="Verdana"/>
          <w:spacing w:val="2"/>
          <w:szCs w:val="20"/>
          <w:lang w:val="es-CR"/>
        </w:rPr>
        <w:t xml:space="preserve"> </w:t>
      </w:r>
      <w:r w:rsidRPr="00CF1787">
        <w:rPr>
          <w:rFonts w:eastAsia="Verdana"/>
          <w:spacing w:val="-1"/>
          <w:szCs w:val="20"/>
          <w:lang w:val="es-CR"/>
        </w:rPr>
        <w:t>e</w:t>
      </w:r>
      <w:r w:rsidRPr="00CF1787">
        <w:rPr>
          <w:rFonts w:eastAsia="Verdana"/>
          <w:szCs w:val="20"/>
          <w:lang w:val="es-CR"/>
        </w:rPr>
        <w:t>n</w:t>
      </w:r>
      <w:r w:rsidRPr="00CF1787">
        <w:rPr>
          <w:rFonts w:eastAsia="Verdana"/>
          <w:spacing w:val="12"/>
          <w:szCs w:val="20"/>
          <w:lang w:val="es-CR"/>
        </w:rPr>
        <w:t xml:space="preserve"> </w:t>
      </w:r>
      <w:r w:rsidRPr="00CF1787">
        <w:rPr>
          <w:rFonts w:eastAsia="Verdana"/>
          <w:spacing w:val="-1"/>
          <w:szCs w:val="20"/>
          <w:lang w:val="es-CR"/>
        </w:rPr>
        <w:t>re</w:t>
      </w:r>
      <w:r w:rsidRPr="00CF1787">
        <w:rPr>
          <w:rFonts w:eastAsia="Verdana"/>
          <w:spacing w:val="3"/>
          <w:szCs w:val="20"/>
          <w:lang w:val="es-CR"/>
        </w:rPr>
        <w:t>l</w:t>
      </w:r>
      <w:r w:rsidRPr="00CF1787">
        <w:rPr>
          <w:rFonts w:eastAsia="Verdana"/>
          <w:szCs w:val="20"/>
          <w:lang w:val="es-CR"/>
        </w:rPr>
        <w:t>ac</w:t>
      </w:r>
      <w:r w:rsidRPr="00CF1787">
        <w:rPr>
          <w:rFonts w:eastAsia="Verdana"/>
          <w:spacing w:val="3"/>
          <w:szCs w:val="20"/>
          <w:lang w:val="es-CR"/>
        </w:rPr>
        <w:t>i</w:t>
      </w:r>
      <w:r w:rsidRPr="00CF1787">
        <w:rPr>
          <w:rFonts w:eastAsia="Verdana"/>
          <w:spacing w:val="-1"/>
          <w:szCs w:val="20"/>
          <w:lang w:val="es-CR"/>
        </w:rPr>
        <w:t>ó</w:t>
      </w:r>
      <w:r w:rsidRPr="00CF1787">
        <w:rPr>
          <w:rFonts w:eastAsia="Verdana"/>
          <w:szCs w:val="20"/>
          <w:lang w:val="es-CR"/>
        </w:rPr>
        <w:t>n</w:t>
      </w:r>
      <w:r w:rsidRPr="00CF1787">
        <w:rPr>
          <w:rFonts w:eastAsia="Verdana"/>
          <w:spacing w:val="4"/>
          <w:szCs w:val="20"/>
          <w:lang w:val="es-CR"/>
        </w:rPr>
        <w:t xml:space="preserve"> </w:t>
      </w:r>
      <w:r w:rsidRPr="00CF1787">
        <w:rPr>
          <w:rFonts w:eastAsia="Verdana"/>
          <w:szCs w:val="20"/>
          <w:lang w:val="es-CR"/>
        </w:rPr>
        <w:t>c</w:t>
      </w:r>
      <w:r w:rsidRPr="00CF1787">
        <w:rPr>
          <w:rFonts w:eastAsia="Verdana"/>
          <w:spacing w:val="-2"/>
          <w:szCs w:val="20"/>
          <w:lang w:val="es-CR"/>
        </w:rPr>
        <w:t>o</w:t>
      </w:r>
      <w:r w:rsidRPr="00CF1787">
        <w:rPr>
          <w:rFonts w:eastAsia="Verdana"/>
          <w:szCs w:val="20"/>
          <w:lang w:val="es-CR"/>
        </w:rPr>
        <w:t>n</w:t>
      </w:r>
      <w:r w:rsidRPr="00CF1787">
        <w:rPr>
          <w:rFonts w:eastAsia="Verdana"/>
          <w:spacing w:val="8"/>
          <w:szCs w:val="20"/>
          <w:lang w:val="es-CR"/>
        </w:rPr>
        <w:t xml:space="preserve"> </w:t>
      </w:r>
      <w:r w:rsidRPr="00CF1787">
        <w:rPr>
          <w:rFonts w:eastAsia="Verdana"/>
          <w:spacing w:val="3"/>
          <w:szCs w:val="20"/>
          <w:lang w:val="es-CR"/>
        </w:rPr>
        <w:t>l</w:t>
      </w:r>
      <w:r w:rsidRPr="00CF1787">
        <w:rPr>
          <w:rFonts w:eastAsia="Verdana"/>
          <w:szCs w:val="20"/>
          <w:lang w:val="es-CR"/>
        </w:rPr>
        <w:t>o</w:t>
      </w:r>
      <w:r w:rsidRPr="00CF1787">
        <w:rPr>
          <w:rFonts w:eastAsia="Verdana"/>
          <w:spacing w:val="8"/>
          <w:szCs w:val="20"/>
          <w:lang w:val="es-CR"/>
        </w:rPr>
        <w:t xml:space="preserve"> </w:t>
      </w:r>
      <w:r w:rsidRPr="00CF1787">
        <w:rPr>
          <w:rFonts w:eastAsia="Verdana"/>
          <w:szCs w:val="20"/>
          <w:lang w:val="es-CR"/>
        </w:rPr>
        <w:t>act</w:t>
      </w:r>
      <w:r w:rsidRPr="00CF1787">
        <w:rPr>
          <w:rFonts w:eastAsia="Verdana"/>
          <w:spacing w:val="2"/>
          <w:szCs w:val="20"/>
          <w:lang w:val="es-CR"/>
        </w:rPr>
        <w:t>u</w:t>
      </w:r>
      <w:r w:rsidRPr="00CF1787">
        <w:rPr>
          <w:rFonts w:eastAsia="Verdana"/>
          <w:szCs w:val="20"/>
          <w:lang w:val="es-CR"/>
        </w:rPr>
        <w:t>a</w:t>
      </w:r>
      <w:r w:rsidRPr="00CF1787">
        <w:rPr>
          <w:rFonts w:eastAsia="Verdana"/>
          <w:spacing w:val="1"/>
          <w:szCs w:val="20"/>
          <w:lang w:val="es-CR"/>
        </w:rPr>
        <w:t>d</w:t>
      </w:r>
      <w:r w:rsidRPr="00CF1787">
        <w:rPr>
          <w:rFonts w:eastAsia="Verdana"/>
          <w:szCs w:val="20"/>
          <w:lang w:val="es-CR"/>
        </w:rPr>
        <w:t xml:space="preserve">o </w:t>
      </w:r>
      <w:r w:rsidRPr="00CF1787">
        <w:rPr>
          <w:rFonts w:eastAsia="Verdana"/>
          <w:spacing w:val="1"/>
          <w:szCs w:val="20"/>
          <w:lang w:val="es-CR"/>
        </w:rPr>
        <w:t>p</w:t>
      </w:r>
      <w:r w:rsidRPr="00CF1787">
        <w:rPr>
          <w:rFonts w:eastAsia="Verdana"/>
          <w:spacing w:val="-1"/>
          <w:szCs w:val="20"/>
          <w:lang w:val="es-CR"/>
        </w:rPr>
        <w:t>o</w:t>
      </w:r>
      <w:r w:rsidRPr="00CF1787">
        <w:rPr>
          <w:rFonts w:eastAsia="Verdana"/>
          <w:szCs w:val="20"/>
          <w:lang w:val="es-CR"/>
        </w:rPr>
        <w:t>r</w:t>
      </w:r>
      <w:r w:rsidRPr="00CF1787">
        <w:rPr>
          <w:rFonts w:eastAsia="Verdana"/>
          <w:spacing w:val="13"/>
          <w:szCs w:val="20"/>
          <w:lang w:val="es-CR"/>
        </w:rPr>
        <w:t xml:space="preserve"> </w:t>
      </w:r>
      <w:r w:rsidRPr="00CF1787">
        <w:rPr>
          <w:rFonts w:eastAsia="Verdana"/>
          <w:spacing w:val="3"/>
          <w:szCs w:val="20"/>
          <w:lang w:val="es-CR"/>
        </w:rPr>
        <w:t>l</w:t>
      </w:r>
      <w:r w:rsidRPr="00CF1787">
        <w:rPr>
          <w:rFonts w:eastAsia="Verdana"/>
          <w:szCs w:val="20"/>
          <w:lang w:val="es-CR"/>
        </w:rPr>
        <w:t>a</w:t>
      </w:r>
      <w:r w:rsidRPr="00CF1787">
        <w:rPr>
          <w:rFonts w:eastAsia="Verdana"/>
          <w:spacing w:val="17"/>
          <w:szCs w:val="20"/>
          <w:lang w:val="es-CR"/>
        </w:rPr>
        <w:t xml:space="preserve"> </w:t>
      </w:r>
      <w:r w:rsidRPr="00CF1787">
        <w:rPr>
          <w:rFonts w:eastAsia="Verdana"/>
          <w:szCs w:val="20"/>
          <w:lang w:val="es-CR"/>
        </w:rPr>
        <w:t>C</w:t>
      </w:r>
      <w:r w:rsidRPr="00CF1787">
        <w:rPr>
          <w:rFonts w:eastAsia="Verdana"/>
          <w:spacing w:val="-1"/>
          <w:szCs w:val="20"/>
          <w:lang w:val="es-CR"/>
        </w:rPr>
        <w:t>o</w:t>
      </w:r>
      <w:r w:rsidRPr="00CF1787">
        <w:rPr>
          <w:rFonts w:eastAsia="Verdana"/>
          <w:szCs w:val="20"/>
          <w:lang w:val="es-CR"/>
        </w:rPr>
        <w:t>m</w:t>
      </w:r>
      <w:r w:rsidRPr="00CF1787">
        <w:rPr>
          <w:rFonts w:eastAsia="Verdana"/>
          <w:spacing w:val="3"/>
          <w:szCs w:val="20"/>
          <w:lang w:val="es-CR"/>
        </w:rPr>
        <w:t>i</w:t>
      </w:r>
      <w:r w:rsidRPr="00CF1787">
        <w:rPr>
          <w:rFonts w:eastAsia="Verdana"/>
          <w:szCs w:val="20"/>
          <w:lang w:val="es-CR"/>
        </w:rPr>
        <w:t>s</w:t>
      </w:r>
      <w:r w:rsidRPr="00CF1787">
        <w:rPr>
          <w:rFonts w:eastAsia="Verdana"/>
          <w:spacing w:val="2"/>
          <w:szCs w:val="20"/>
          <w:lang w:val="es-CR"/>
        </w:rPr>
        <w:t>i</w:t>
      </w:r>
      <w:r w:rsidRPr="00CF1787">
        <w:rPr>
          <w:rFonts w:eastAsia="Verdana"/>
          <w:spacing w:val="-1"/>
          <w:szCs w:val="20"/>
          <w:lang w:val="es-CR"/>
        </w:rPr>
        <w:t>ó</w:t>
      </w:r>
      <w:r w:rsidRPr="00CF1787">
        <w:rPr>
          <w:rFonts w:eastAsia="Verdana"/>
          <w:szCs w:val="20"/>
          <w:lang w:val="es-CR"/>
        </w:rPr>
        <w:t>n</w:t>
      </w:r>
      <w:r w:rsidRPr="00CF1787">
        <w:rPr>
          <w:rFonts w:eastAsia="Verdana"/>
          <w:spacing w:val="10"/>
          <w:szCs w:val="20"/>
          <w:lang w:val="es-CR"/>
        </w:rPr>
        <w:t xml:space="preserve"> </w:t>
      </w:r>
      <w:r w:rsidRPr="00CF1787">
        <w:rPr>
          <w:rFonts w:eastAsia="Verdana"/>
          <w:spacing w:val="-2"/>
          <w:szCs w:val="20"/>
          <w:lang w:val="es-CR"/>
        </w:rPr>
        <w:t>I</w:t>
      </w:r>
      <w:r w:rsidRPr="00CF1787">
        <w:rPr>
          <w:rFonts w:eastAsia="Verdana"/>
          <w:spacing w:val="1"/>
          <w:szCs w:val="20"/>
          <w:lang w:val="es-CR"/>
        </w:rPr>
        <w:t>nt</w:t>
      </w:r>
      <w:r w:rsidRPr="00CF1787">
        <w:rPr>
          <w:rFonts w:eastAsia="Verdana"/>
          <w:spacing w:val="-1"/>
          <w:szCs w:val="20"/>
          <w:lang w:val="es-CR"/>
        </w:rPr>
        <w:t>er</w:t>
      </w:r>
      <w:r w:rsidRPr="00CF1787">
        <w:rPr>
          <w:rFonts w:eastAsia="Verdana"/>
          <w:spacing w:val="2"/>
          <w:szCs w:val="20"/>
          <w:lang w:val="es-CR"/>
        </w:rPr>
        <w:t>a</w:t>
      </w:r>
      <w:r w:rsidRPr="00CF1787">
        <w:rPr>
          <w:rFonts w:eastAsia="Verdana"/>
          <w:szCs w:val="20"/>
          <w:lang w:val="es-CR"/>
        </w:rPr>
        <w:t>me</w:t>
      </w:r>
      <w:r w:rsidRPr="00CF1787">
        <w:rPr>
          <w:rFonts w:eastAsia="Verdana"/>
          <w:spacing w:val="-1"/>
          <w:szCs w:val="20"/>
          <w:lang w:val="es-CR"/>
        </w:rPr>
        <w:t>r</w:t>
      </w:r>
      <w:r w:rsidRPr="00CF1787">
        <w:rPr>
          <w:rFonts w:eastAsia="Verdana"/>
          <w:spacing w:val="3"/>
          <w:szCs w:val="20"/>
          <w:lang w:val="es-CR"/>
        </w:rPr>
        <w:t>i</w:t>
      </w:r>
      <w:r w:rsidRPr="00CF1787">
        <w:rPr>
          <w:rFonts w:eastAsia="Verdana"/>
          <w:szCs w:val="20"/>
          <w:lang w:val="es-CR"/>
        </w:rPr>
        <w:t>ca</w:t>
      </w:r>
      <w:r w:rsidRPr="00CF1787">
        <w:rPr>
          <w:rFonts w:eastAsia="Verdana"/>
          <w:spacing w:val="1"/>
          <w:szCs w:val="20"/>
          <w:lang w:val="es-CR"/>
        </w:rPr>
        <w:t>n</w:t>
      </w:r>
      <w:r w:rsidRPr="00CF1787">
        <w:rPr>
          <w:rFonts w:eastAsia="Verdana"/>
          <w:spacing w:val="4"/>
          <w:szCs w:val="20"/>
          <w:lang w:val="es-CR"/>
        </w:rPr>
        <w:t>a</w:t>
      </w:r>
      <w:r w:rsidRPr="00CF1787">
        <w:rPr>
          <w:rStyle w:val="FootnoteReference"/>
          <w:rFonts w:eastAsia="Verdana"/>
          <w:spacing w:val="4"/>
          <w:sz w:val="20"/>
          <w:szCs w:val="20"/>
          <w:lang w:val="es-CR"/>
        </w:rPr>
        <w:footnoteReference w:id="21"/>
      </w:r>
      <w:r w:rsidRPr="00CF1787">
        <w:rPr>
          <w:rFonts w:eastAsia="Verdana"/>
          <w:szCs w:val="20"/>
          <w:lang w:val="es-CR"/>
        </w:rPr>
        <w:t>. C</w:t>
      </w:r>
      <w:r w:rsidRPr="00CF1787">
        <w:rPr>
          <w:rFonts w:eastAsia="Verdana"/>
          <w:spacing w:val="1"/>
          <w:szCs w:val="20"/>
          <w:lang w:val="es-CR"/>
        </w:rPr>
        <w:t>or</w:t>
      </w:r>
      <w:r w:rsidRPr="00CF1787">
        <w:rPr>
          <w:rFonts w:eastAsia="Verdana"/>
          <w:spacing w:val="-1"/>
          <w:szCs w:val="20"/>
          <w:lang w:val="es-CR"/>
        </w:rPr>
        <w:t>r</w:t>
      </w:r>
      <w:r w:rsidRPr="00CF1787">
        <w:rPr>
          <w:rFonts w:eastAsia="Verdana"/>
          <w:spacing w:val="1"/>
          <w:szCs w:val="20"/>
          <w:lang w:val="es-CR"/>
        </w:rPr>
        <w:t>e</w:t>
      </w:r>
      <w:r w:rsidRPr="00CF1787">
        <w:rPr>
          <w:rFonts w:eastAsia="Verdana"/>
          <w:szCs w:val="20"/>
          <w:lang w:val="es-CR"/>
        </w:rPr>
        <w:t>s</w:t>
      </w:r>
      <w:r w:rsidRPr="00CF1787">
        <w:rPr>
          <w:rFonts w:eastAsia="Verdana"/>
          <w:spacing w:val="1"/>
          <w:szCs w:val="20"/>
          <w:lang w:val="es-CR"/>
        </w:rPr>
        <w:t>p</w:t>
      </w:r>
      <w:r w:rsidRPr="00CF1787">
        <w:rPr>
          <w:rFonts w:eastAsia="Verdana"/>
          <w:spacing w:val="-1"/>
          <w:szCs w:val="20"/>
          <w:lang w:val="es-CR"/>
        </w:rPr>
        <w:t>o</w:t>
      </w:r>
      <w:r w:rsidRPr="00CF1787">
        <w:rPr>
          <w:rFonts w:eastAsia="Verdana"/>
          <w:spacing w:val="1"/>
          <w:szCs w:val="20"/>
          <w:lang w:val="es-CR"/>
        </w:rPr>
        <w:t>nde</w:t>
      </w:r>
      <w:r w:rsidRPr="00CF1787">
        <w:rPr>
          <w:rFonts w:eastAsia="Verdana"/>
          <w:szCs w:val="20"/>
          <w:lang w:val="es-CR"/>
        </w:rPr>
        <w:t>,</w:t>
      </w:r>
      <w:r w:rsidRPr="00CF1787">
        <w:rPr>
          <w:rFonts w:eastAsia="Verdana"/>
          <w:spacing w:val="6"/>
          <w:szCs w:val="20"/>
          <w:lang w:val="es-CR"/>
        </w:rPr>
        <w:t xml:space="preserve"> </w:t>
      </w:r>
      <w:r w:rsidRPr="00CF1787">
        <w:rPr>
          <w:rFonts w:eastAsia="Verdana"/>
          <w:spacing w:val="1"/>
          <w:szCs w:val="20"/>
          <w:lang w:val="es-CR"/>
        </w:rPr>
        <w:t>pu</w:t>
      </w:r>
      <w:r w:rsidRPr="00CF1787">
        <w:rPr>
          <w:rFonts w:eastAsia="Verdana"/>
          <w:spacing w:val="-1"/>
          <w:szCs w:val="20"/>
          <w:lang w:val="es-CR"/>
        </w:rPr>
        <w:t>e</w:t>
      </w:r>
      <w:r w:rsidRPr="00CF1787">
        <w:rPr>
          <w:rFonts w:eastAsia="Verdana"/>
          <w:szCs w:val="20"/>
          <w:lang w:val="es-CR"/>
        </w:rPr>
        <w:t>s,</w:t>
      </w:r>
      <w:r w:rsidRPr="00CF1787">
        <w:rPr>
          <w:rFonts w:eastAsia="Verdana"/>
          <w:spacing w:val="11"/>
          <w:szCs w:val="20"/>
          <w:lang w:val="es-CR"/>
        </w:rPr>
        <w:t xml:space="preserve"> </w:t>
      </w:r>
      <w:r w:rsidRPr="00CF1787">
        <w:rPr>
          <w:rFonts w:eastAsia="Verdana"/>
          <w:spacing w:val="2"/>
          <w:szCs w:val="20"/>
          <w:lang w:val="es-CR"/>
        </w:rPr>
        <w:t>c</w:t>
      </w:r>
      <w:r w:rsidRPr="00CF1787">
        <w:rPr>
          <w:rFonts w:eastAsia="Verdana"/>
          <w:spacing w:val="-1"/>
          <w:szCs w:val="20"/>
          <w:lang w:val="es-CR"/>
        </w:rPr>
        <w:t>o</w:t>
      </w:r>
      <w:r w:rsidRPr="00CF1787">
        <w:rPr>
          <w:rFonts w:eastAsia="Verdana"/>
          <w:spacing w:val="1"/>
          <w:szCs w:val="20"/>
          <w:lang w:val="es-CR"/>
        </w:rPr>
        <w:t>n</w:t>
      </w:r>
      <w:r w:rsidRPr="00CF1787">
        <w:rPr>
          <w:rFonts w:eastAsia="Verdana"/>
          <w:szCs w:val="20"/>
          <w:lang w:val="es-CR"/>
        </w:rPr>
        <w:t>s</w:t>
      </w:r>
      <w:r w:rsidRPr="00CF1787">
        <w:rPr>
          <w:rFonts w:eastAsia="Verdana"/>
          <w:spacing w:val="2"/>
          <w:szCs w:val="20"/>
          <w:lang w:val="es-CR"/>
        </w:rPr>
        <w:t>i</w:t>
      </w:r>
      <w:r w:rsidRPr="00CF1787">
        <w:rPr>
          <w:rFonts w:eastAsia="Verdana"/>
          <w:spacing w:val="1"/>
          <w:szCs w:val="20"/>
          <w:lang w:val="es-CR"/>
        </w:rPr>
        <w:t>d</w:t>
      </w:r>
      <w:r w:rsidRPr="00CF1787">
        <w:rPr>
          <w:rFonts w:eastAsia="Verdana"/>
          <w:spacing w:val="-1"/>
          <w:szCs w:val="20"/>
          <w:lang w:val="es-CR"/>
        </w:rPr>
        <w:t>er</w:t>
      </w:r>
      <w:r w:rsidRPr="00CF1787">
        <w:rPr>
          <w:rFonts w:eastAsia="Verdana"/>
          <w:spacing w:val="2"/>
          <w:szCs w:val="20"/>
          <w:lang w:val="es-CR"/>
        </w:rPr>
        <w:t>a</w:t>
      </w:r>
      <w:r w:rsidRPr="00CF1787">
        <w:rPr>
          <w:rFonts w:eastAsia="Verdana"/>
          <w:szCs w:val="20"/>
          <w:lang w:val="es-CR"/>
        </w:rPr>
        <w:t>r</w:t>
      </w:r>
      <w:r w:rsidRPr="00CF1787">
        <w:rPr>
          <w:rFonts w:eastAsia="Verdana"/>
          <w:spacing w:val="6"/>
          <w:szCs w:val="20"/>
          <w:lang w:val="es-CR"/>
        </w:rPr>
        <w:t xml:space="preserve"> </w:t>
      </w:r>
      <w:r w:rsidRPr="00CF1787">
        <w:rPr>
          <w:rFonts w:eastAsia="Verdana"/>
          <w:spacing w:val="3"/>
          <w:szCs w:val="20"/>
          <w:lang w:val="es-CR"/>
        </w:rPr>
        <w:t>l</w:t>
      </w:r>
      <w:r w:rsidRPr="00CF1787">
        <w:rPr>
          <w:rFonts w:eastAsia="Verdana"/>
          <w:spacing w:val="-1"/>
          <w:szCs w:val="20"/>
          <w:lang w:val="es-CR"/>
        </w:rPr>
        <w:t>o</w:t>
      </w:r>
      <w:r w:rsidRPr="00CF1787">
        <w:rPr>
          <w:rFonts w:eastAsia="Verdana"/>
          <w:szCs w:val="20"/>
          <w:lang w:val="es-CR"/>
        </w:rPr>
        <w:t>s</w:t>
      </w:r>
      <w:r w:rsidRPr="00CF1787">
        <w:rPr>
          <w:rFonts w:eastAsia="Verdana"/>
          <w:spacing w:val="15"/>
          <w:szCs w:val="20"/>
          <w:lang w:val="es-CR"/>
        </w:rPr>
        <w:t xml:space="preserve"> </w:t>
      </w:r>
      <w:r w:rsidRPr="00CF1787">
        <w:rPr>
          <w:rFonts w:eastAsia="Verdana"/>
          <w:szCs w:val="20"/>
          <w:lang w:val="es-CR"/>
        </w:rPr>
        <w:t>fu</w:t>
      </w:r>
      <w:r w:rsidRPr="00CF1787">
        <w:rPr>
          <w:rFonts w:eastAsia="Verdana"/>
          <w:spacing w:val="2"/>
          <w:szCs w:val="20"/>
          <w:lang w:val="es-CR"/>
        </w:rPr>
        <w:t>n</w:t>
      </w:r>
      <w:r w:rsidRPr="00CF1787">
        <w:rPr>
          <w:rFonts w:eastAsia="Verdana"/>
          <w:spacing w:val="1"/>
          <w:szCs w:val="20"/>
          <w:lang w:val="es-CR"/>
        </w:rPr>
        <w:t>d</w:t>
      </w:r>
      <w:r w:rsidRPr="00CF1787">
        <w:rPr>
          <w:rFonts w:eastAsia="Verdana"/>
          <w:szCs w:val="20"/>
          <w:lang w:val="es-CR"/>
        </w:rPr>
        <w:t>a</w:t>
      </w:r>
      <w:r w:rsidRPr="00CF1787">
        <w:rPr>
          <w:rFonts w:eastAsia="Verdana"/>
          <w:spacing w:val="1"/>
          <w:szCs w:val="20"/>
          <w:lang w:val="es-CR"/>
        </w:rPr>
        <w:t>m</w:t>
      </w:r>
      <w:r w:rsidRPr="00CF1787">
        <w:rPr>
          <w:rFonts w:eastAsia="Verdana"/>
          <w:spacing w:val="-1"/>
          <w:szCs w:val="20"/>
          <w:lang w:val="es-CR"/>
        </w:rPr>
        <w:t>e</w:t>
      </w:r>
      <w:r w:rsidRPr="00CF1787">
        <w:rPr>
          <w:rFonts w:eastAsia="Verdana"/>
          <w:spacing w:val="1"/>
          <w:szCs w:val="20"/>
          <w:lang w:val="es-CR"/>
        </w:rPr>
        <w:t>nt</w:t>
      </w:r>
      <w:r w:rsidRPr="00CF1787">
        <w:rPr>
          <w:rFonts w:eastAsia="Verdana"/>
          <w:spacing w:val="-1"/>
          <w:szCs w:val="20"/>
          <w:lang w:val="es-CR"/>
        </w:rPr>
        <w:t>o</w:t>
      </w:r>
      <w:r w:rsidRPr="00CF1787">
        <w:rPr>
          <w:rFonts w:eastAsia="Verdana"/>
          <w:szCs w:val="20"/>
          <w:lang w:val="es-CR"/>
        </w:rPr>
        <w:t>s</w:t>
      </w:r>
      <w:r w:rsidRPr="00CF1787">
        <w:rPr>
          <w:rFonts w:eastAsia="Verdana"/>
          <w:spacing w:val="5"/>
          <w:szCs w:val="20"/>
          <w:lang w:val="es-CR"/>
        </w:rPr>
        <w:t xml:space="preserve"> </w:t>
      </w:r>
      <w:r w:rsidRPr="00CF1787">
        <w:rPr>
          <w:rFonts w:eastAsia="Verdana"/>
          <w:szCs w:val="20"/>
          <w:lang w:val="es-CR"/>
        </w:rPr>
        <w:t>a</w:t>
      </w:r>
      <w:r w:rsidRPr="00CF1787">
        <w:rPr>
          <w:rFonts w:eastAsia="Verdana"/>
          <w:spacing w:val="1"/>
          <w:szCs w:val="20"/>
          <w:lang w:val="es-CR"/>
        </w:rPr>
        <w:t>du</w:t>
      </w:r>
      <w:r w:rsidRPr="00CF1787">
        <w:rPr>
          <w:rFonts w:eastAsia="Verdana"/>
          <w:szCs w:val="20"/>
          <w:lang w:val="es-CR"/>
        </w:rPr>
        <w:t>c</w:t>
      </w:r>
      <w:r w:rsidRPr="00CF1787">
        <w:rPr>
          <w:rFonts w:eastAsia="Verdana"/>
          <w:spacing w:val="2"/>
          <w:szCs w:val="20"/>
          <w:lang w:val="es-CR"/>
        </w:rPr>
        <w:t>i</w:t>
      </w:r>
      <w:r w:rsidRPr="00CF1787">
        <w:rPr>
          <w:rFonts w:eastAsia="Verdana"/>
          <w:spacing w:val="1"/>
          <w:szCs w:val="20"/>
          <w:lang w:val="es-CR"/>
        </w:rPr>
        <w:t>d</w:t>
      </w:r>
      <w:r w:rsidRPr="00CF1787">
        <w:rPr>
          <w:rFonts w:eastAsia="Verdana"/>
          <w:spacing w:val="-1"/>
          <w:szCs w:val="20"/>
          <w:lang w:val="es-CR"/>
        </w:rPr>
        <w:t>o</w:t>
      </w:r>
      <w:r w:rsidRPr="00CF1787">
        <w:rPr>
          <w:rFonts w:eastAsia="Verdana"/>
          <w:szCs w:val="20"/>
          <w:lang w:val="es-CR"/>
        </w:rPr>
        <w:t>s</w:t>
      </w:r>
      <w:r w:rsidRPr="00CF1787">
        <w:rPr>
          <w:rFonts w:eastAsia="Verdana"/>
          <w:spacing w:val="9"/>
          <w:szCs w:val="20"/>
          <w:lang w:val="es-CR"/>
        </w:rPr>
        <w:t xml:space="preserve"> </w:t>
      </w:r>
      <w:r w:rsidRPr="00CF1787">
        <w:rPr>
          <w:rFonts w:eastAsia="Verdana"/>
          <w:spacing w:val="1"/>
          <w:szCs w:val="20"/>
          <w:lang w:val="es-CR"/>
        </w:rPr>
        <w:t>po</w:t>
      </w:r>
      <w:r w:rsidRPr="00CF1787">
        <w:rPr>
          <w:rFonts w:eastAsia="Verdana"/>
          <w:szCs w:val="20"/>
          <w:lang w:val="es-CR"/>
        </w:rPr>
        <w:t>r</w:t>
      </w:r>
      <w:r w:rsidRPr="00CF1787">
        <w:rPr>
          <w:rFonts w:eastAsia="Verdana"/>
          <w:spacing w:val="13"/>
          <w:szCs w:val="20"/>
          <w:lang w:val="es-CR"/>
        </w:rPr>
        <w:t xml:space="preserve"> </w:t>
      </w:r>
      <w:r w:rsidRPr="00CF1787">
        <w:rPr>
          <w:rFonts w:eastAsia="Verdana"/>
          <w:spacing w:val="-1"/>
          <w:szCs w:val="20"/>
          <w:lang w:val="es-CR"/>
        </w:rPr>
        <w:t>e</w:t>
      </w:r>
      <w:r w:rsidRPr="00CF1787">
        <w:rPr>
          <w:rFonts w:eastAsia="Verdana"/>
          <w:szCs w:val="20"/>
          <w:lang w:val="es-CR"/>
        </w:rPr>
        <w:t xml:space="preserve">l </w:t>
      </w:r>
      <w:r w:rsidRPr="00CF1787">
        <w:rPr>
          <w:rFonts w:eastAsia="Verdana"/>
          <w:spacing w:val="-1"/>
          <w:szCs w:val="20"/>
          <w:lang w:val="es-CR"/>
        </w:rPr>
        <w:t>E</w:t>
      </w:r>
      <w:r w:rsidRPr="00CF1787">
        <w:rPr>
          <w:rFonts w:eastAsia="Verdana"/>
          <w:szCs w:val="20"/>
          <w:lang w:val="es-CR"/>
        </w:rPr>
        <w:t>sta</w:t>
      </w:r>
      <w:r w:rsidRPr="00CF1787">
        <w:rPr>
          <w:rFonts w:eastAsia="Verdana"/>
          <w:spacing w:val="3"/>
          <w:szCs w:val="20"/>
          <w:lang w:val="es-CR"/>
        </w:rPr>
        <w:t>d</w:t>
      </w:r>
      <w:r w:rsidRPr="00CF1787">
        <w:rPr>
          <w:rFonts w:eastAsia="Verdana"/>
          <w:szCs w:val="20"/>
          <w:lang w:val="es-CR"/>
        </w:rPr>
        <w:t>o a efectos de</w:t>
      </w:r>
      <w:r w:rsidRPr="00CF1787">
        <w:rPr>
          <w:rFonts w:eastAsia="Verdana"/>
          <w:spacing w:val="38"/>
          <w:szCs w:val="20"/>
          <w:lang w:val="es-CR"/>
        </w:rPr>
        <w:t xml:space="preserve"> </w:t>
      </w:r>
      <w:r w:rsidRPr="00CF1787">
        <w:rPr>
          <w:rFonts w:eastAsia="Verdana"/>
          <w:szCs w:val="20"/>
          <w:lang w:val="es-CR"/>
        </w:rPr>
        <w:t>determinar</w:t>
      </w:r>
      <w:r w:rsidRPr="00CF1787">
        <w:rPr>
          <w:rFonts w:eastAsia="Verdana"/>
          <w:spacing w:val="41"/>
          <w:szCs w:val="20"/>
          <w:lang w:val="es-CR"/>
        </w:rPr>
        <w:t xml:space="preserve"> </w:t>
      </w:r>
      <w:r w:rsidRPr="00CF1787">
        <w:rPr>
          <w:rFonts w:eastAsia="Verdana"/>
          <w:spacing w:val="1"/>
          <w:szCs w:val="20"/>
          <w:lang w:val="es-CR"/>
        </w:rPr>
        <w:t xml:space="preserve">si </w:t>
      </w:r>
      <w:r w:rsidRPr="00CF1787">
        <w:rPr>
          <w:rFonts w:eastAsia="Verdana"/>
          <w:spacing w:val="3"/>
          <w:szCs w:val="20"/>
          <w:lang w:val="es-CR"/>
        </w:rPr>
        <w:t>l</w:t>
      </w:r>
      <w:r w:rsidRPr="00CF1787">
        <w:rPr>
          <w:rFonts w:eastAsia="Verdana"/>
          <w:szCs w:val="20"/>
          <w:lang w:val="es-CR"/>
        </w:rPr>
        <w:t>a</w:t>
      </w:r>
      <w:r w:rsidRPr="00CF1787">
        <w:rPr>
          <w:rFonts w:eastAsia="Verdana"/>
          <w:spacing w:val="44"/>
          <w:szCs w:val="20"/>
          <w:lang w:val="es-CR"/>
        </w:rPr>
        <w:t xml:space="preserve"> </w:t>
      </w:r>
      <w:r w:rsidRPr="00CF1787">
        <w:rPr>
          <w:rFonts w:eastAsia="Verdana"/>
          <w:szCs w:val="20"/>
          <w:lang w:val="es-CR"/>
        </w:rPr>
        <w:t>act</w:t>
      </w:r>
      <w:r w:rsidRPr="00CF1787">
        <w:rPr>
          <w:rFonts w:eastAsia="Verdana"/>
          <w:spacing w:val="2"/>
          <w:szCs w:val="20"/>
          <w:lang w:val="es-CR"/>
        </w:rPr>
        <w:t>u</w:t>
      </w:r>
      <w:r w:rsidRPr="00CF1787">
        <w:rPr>
          <w:rFonts w:eastAsia="Verdana"/>
          <w:szCs w:val="20"/>
          <w:lang w:val="es-CR"/>
        </w:rPr>
        <w:t>a</w:t>
      </w:r>
      <w:r w:rsidRPr="00CF1787">
        <w:rPr>
          <w:rFonts w:eastAsia="Verdana"/>
          <w:spacing w:val="-3"/>
          <w:szCs w:val="20"/>
          <w:lang w:val="es-CR"/>
        </w:rPr>
        <w:t>c</w:t>
      </w:r>
      <w:r w:rsidRPr="00CF1787">
        <w:rPr>
          <w:rFonts w:eastAsia="Verdana"/>
          <w:spacing w:val="3"/>
          <w:szCs w:val="20"/>
          <w:lang w:val="es-CR"/>
        </w:rPr>
        <w:t>i</w:t>
      </w:r>
      <w:r w:rsidRPr="00CF1787">
        <w:rPr>
          <w:rFonts w:eastAsia="Verdana"/>
          <w:spacing w:val="-1"/>
          <w:szCs w:val="20"/>
          <w:lang w:val="es-CR"/>
        </w:rPr>
        <w:t>ó</w:t>
      </w:r>
      <w:r w:rsidRPr="00CF1787">
        <w:rPr>
          <w:rFonts w:eastAsia="Verdana"/>
          <w:szCs w:val="20"/>
          <w:lang w:val="es-CR"/>
        </w:rPr>
        <w:t>n</w:t>
      </w:r>
      <w:r w:rsidRPr="00CF1787">
        <w:rPr>
          <w:rFonts w:eastAsia="Verdana"/>
          <w:spacing w:val="36"/>
          <w:szCs w:val="20"/>
          <w:lang w:val="es-CR"/>
        </w:rPr>
        <w:t xml:space="preserve"> </w:t>
      </w:r>
      <w:r w:rsidRPr="00CF1787">
        <w:rPr>
          <w:rFonts w:eastAsia="Verdana"/>
          <w:spacing w:val="1"/>
          <w:szCs w:val="20"/>
          <w:lang w:val="es-CR"/>
        </w:rPr>
        <w:t>d</w:t>
      </w:r>
      <w:r w:rsidRPr="00CF1787">
        <w:rPr>
          <w:rFonts w:eastAsia="Verdana"/>
          <w:szCs w:val="20"/>
          <w:lang w:val="es-CR"/>
        </w:rPr>
        <w:t>e</w:t>
      </w:r>
      <w:r w:rsidRPr="00CF1787">
        <w:rPr>
          <w:rFonts w:eastAsia="Verdana"/>
          <w:spacing w:val="39"/>
          <w:szCs w:val="20"/>
          <w:lang w:val="es-CR"/>
        </w:rPr>
        <w:t xml:space="preserve"> </w:t>
      </w:r>
      <w:r w:rsidRPr="00CF1787">
        <w:rPr>
          <w:rFonts w:eastAsia="Verdana"/>
          <w:szCs w:val="20"/>
          <w:lang w:val="es-CR"/>
        </w:rPr>
        <w:t>la</w:t>
      </w:r>
      <w:r w:rsidRPr="00CF1787">
        <w:rPr>
          <w:rFonts w:eastAsia="Verdana"/>
          <w:spacing w:val="44"/>
          <w:szCs w:val="20"/>
          <w:lang w:val="es-CR"/>
        </w:rPr>
        <w:t xml:space="preserve"> </w:t>
      </w:r>
      <w:r w:rsidRPr="00CF1787">
        <w:rPr>
          <w:rFonts w:eastAsia="Verdana"/>
          <w:szCs w:val="20"/>
          <w:lang w:val="es-CR"/>
        </w:rPr>
        <w:t>C</w:t>
      </w:r>
      <w:r w:rsidRPr="00CF1787">
        <w:rPr>
          <w:rFonts w:eastAsia="Verdana"/>
          <w:spacing w:val="-1"/>
          <w:szCs w:val="20"/>
          <w:lang w:val="es-CR"/>
        </w:rPr>
        <w:t>o</w:t>
      </w:r>
      <w:r w:rsidRPr="00CF1787">
        <w:rPr>
          <w:rFonts w:eastAsia="Verdana"/>
          <w:szCs w:val="20"/>
          <w:lang w:val="es-CR"/>
        </w:rPr>
        <w:t>m</w:t>
      </w:r>
      <w:r w:rsidRPr="00CF1787">
        <w:rPr>
          <w:rFonts w:eastAsia="Verdana"/>
          <w:spacing w:val="3"/>
          <w:szCs w:val="20"/>
          <w:lang w:val="es-CR"/>
        </w:rPr>
        <w:t>i</w:t>
      </w:r>
      <w:r w:rsidRPr="00CF1787">
        <w:rPr>
          <w:rFonts w:eastAsia="Verdana"/>
          <w:szCs w:val="20"/>
          <w:lang w:val="es-CR"/>
        </w:rPr>
        <w:t>s</w:t>
      </w:r>
      <w:r w:rsidRPr="00CF1787">
        <w:rPr>
          <w:rFonts w:eastAsia="Verdana"/>
          <w:spacing w:val="2"/>
          <w:szCs w:val="20"/>
          <w:lang w:val="es-CR"/>
        </w:rPr>
        <w:t>i</w:t>
      </w:r>
      <w:r w:rsidRPr="00CF1787">
        <w:rPr>
          <w:rFonts w:eastAsia="Verdana"/>
          <w:spacing w:val="-1"/>
          <w:szCs w:val="20"/>
          <w:lang w:val="es-CR"/>
        </w:rPr>
        <w:t>ó</w:t>
      </w:r>
      <w:r w:rsidRPr="00CF1787">
        <w:rPr>
          <w:rFonts w:eastAsia="Verdana"/>
          <w:szCs w:val="20"/>
          <w:lang w:val="es-CR"/>
        </w:rPr>
        <w:t>n</w:t>
      </w:r>
      <w:r w:rsidRPr="00CF1787">
        <w:rPr>
          <w:rFonts w:eastAsia="Verdana"/>
          <w:spacing w:val="32"/>
          <w:szCs w:val="20"/>
          <w:lang w:val="es-CR"/>
        </w:rPr>
        <w:t xml:space="preserve"> </w:t>
      </w:r>
      <w:r w:rsidRPr="00CF1787">
        <w:rPr>
          <w:rFonts w:eastAsia="Verdana"/>
          <w:spacing w:val="3"/>
          <w:szCs w:val="20"/>
          <w:lang w:val="es-CR"/>
        </w:rPr>
        <w:t>l</w:t>
      </w:r>
      <w:r w:rsidRPr="00CF1787">
        <w:rPr>
          <w:rFonts w:eastAsia="Verdana"/>
          <w:szCs w:val="20"/>
          <w:lang w:val="es-CR"/>
        </w:rPr>
        <w:t>e</w:t>
      </w:r>
      <w:r w:rsidRPr="00CF1787">
        <w:rPr>
          <w:rFonts w:eastAsia="Verdana"/>
          <w:spacing w:val="42"/>
          <w:szCs w:val="20"/>
          <w:lang w:val="es-CR"/>
        </w:rPr>
        <w:t xml:space="preserve"> </w:t>
      </w:r>
      <w:r w:rsidRPr="00CF1787">
        <w:rPr>
          <w:rFonts w:eastAsia="Verdana"/>
          <w:spacing w:val="1"/>
          <w:szCs w:val="20"/>
          <w:lang w:val="es-CR"/>
        </w:rPr>
        <w:t>h</w:t>
      </w:r>
      <w:r w:rsidRPr="00CF1787">
        <w:rPr>
          <w:rFonts w:eastAsia="Verdana"/>
          <w:szCs w:val="20"/>
          <w:lang w:val="es-CR"/>
        </w:rPr>
        <w:t>a</w:t>
      </w:r>
      <w:r w:rsidRPr="00CF1787">
        <w:rPr>
          <w:rFonts w:eastAsia="Verdana"/>
          <w:spacing w:val="1"/>
          <w:szCs w:val="20"/>
          <w:lang w:val="es-CR"/>
        </w:rPr>
        <w:t>b</w:t>
      </w:r>
      <w:r w:rsidRPr="00CF1787">
        <w:rPr>
          <w:rFonts w:eastAsia="Verdana"/>
          <w:spacing w:val="-1"/>
          <w:szCs w:val="20"/>
          <w:lang w:val="es-CR"/>
        </w:rPr>
        <w:t>r</w:t>
      </w:r>
      <w:r w:rsidRPr="00CF1787">
        <w:rPr>
          <w:rFonts w:eastAsia="Verdana"/>
          <w:spacing w:val="3"/>
          <w:szCs w:val="20"/>
          <w:lang w:val="es-CR"/>
        </w:rPr>
        <w:t>í</w:t>
      </w:r>
      <w:r w:rsidRPr="00CF1787">
        <w:rPr>
          <w:rFonts w:eastAsia="Verdana"/>
          <w:szCs w:val="20"/>
          <w:lang w:val="es-CR"/>
        </w:rPr>
        <w:t>a</w:t>
      </w:r>
      <w:r w:rsidRPr="00CF1787">
        <w:rPr>
          <w:rFonts w:eastAsia="Verdana"/>
          <w:spacing w:val="36"/>
          <w:szCs w:val="20"/>
          <w:lang w:val="es-CR"/>
        </w:rPr>
        <w:t xml:space="preserve"> </w:t>
      </w:r>
      <w:r w:rsidRPr="00CF1787">
        <w:rPr>
          <w:rFonts w:eastAsia="Verdana"/>
          <w:spacing w:val="-2"/>
          <w:szCs w:val="20"/>
          <w:lang w:val="es-CR"/>
        </w:rPr>
        <w:t>p</w:t>
      </w:r>
      <w:r w:rsidRPr="00CF1787">
        <w:rPr>
          <w:rFonts w:eastAsia="Verdana"/>
          <w:spacing w:val="-1"/>
          <w:szCs w:val="20"/>
          <w:lang w:val="es-CR"/>
        </w:rPr>
        <w:t>ro</w:t>
      </w:r>
      <w:r w:rsidRPr="00CF1787">
        <w:rPr>
          <w:rFonts w:eastAsia="Verdana"/>
          <w:spacing w:val="2"/>
          <w:szCs w:val="20"/>
          <w:lang w:val="es-CR"/>
        </w:rPr>
        <w:t>v</w:t>
      </w:r>
      <w:r w:rsidRPr="00CF1787">
        <w:rPr>
          <w:rFonts w:eastAsia="Verdana"/>
          <w:spacing w:val="-1"/>
          <w:szCs w:val="20"/>
          <w:lang w:val="es-CR"/>
        </w:rPr>
        <w:t>o</w:t>
      </w:r>
      <w:r w:rsidRPr="00CF1787">
        <w:rPr>
          <w:rFonts w:eastAsia="Verdana"/>
          <w:spacing w:val="2"/>
          <w:szCs w:val="20"/>
          <w:lang w:val="es-CR"/>
        </w:rPr>
        <w:t>c</w:t>
      </w:r>
      <w:r w:rsidRPr="00CF1787">
        <w:rPr>
          <w:rFonts w:eastAsia="Verdana"/>
          <w:szCs w:val="20"/>
          <w:lang w:val="es-CR"/>
        </w:rPr>
        <w:t>a</w:t>
      </w:r>
      <w:r w:rsidRPr="00CF1787">
        <w:rPr>
          <w:rFonts w:eastAsia="Verdana"/>
          <w:spacing w:val="1"/>
          <w:szCs w:val="20"/>
          <w:lang w:val="es-CR"/>
        </w:rPr>
        <w:t>d</w:t>
      </w:r>
      <w:r w:rsidRPr="00CF1787">
        <w:rPr>
          <w:rFonts w:eastAsia="Verdana"/>
          <w:szCs w:val="20"/>
          <w:lang w:val="es-CR"/>
        </w:rPr>
        <w:t>o</w:t>
      </w:r>
      <w:r w:rsidRPr="00CF1787">
        <w:rPr>
          <w:rFonts w:eastAsia="Verdana"/>
          <w:spacing w:val="33"/>
          <w:szCs w:val="20"/>
          <w:lang w:val="es-CR"/>
        </w:rPr>
        <w:t xml:space="preserve"> </w:t>
      </w:r>
      <w:r w:rsidRPr="00CF1787">
        <w:rPr>
          <w:rFonts w:eastAsia="Verdana"/>
          <w:spacing w:val="1"/>
          <w:szCs w:val="20"/>
          <w:lang w:val="es-CR"/>
        </w:rPr>
        <w:t>un</w:t>
      </w:r>
      <w:r w:rsidRPr="00CF1787">
        <w:rPr>
          <w:rFonts w:eastAsia="Verdana"/>
          <w:szCs w:val="20"/>
          <w:lang w:val="es-CR"/>
        </w:rPr>
        <w:t>a</w:t>
      </w:r>
      <w:r w:rsidRPr="00CF1787">
        <w:rPr>
          <w:rFonts w:eastAsia="Verdana"/>
          <w:spacing w:val="42"/>
          <w:szCs w:val="20"/>
          <w:lang w:val="es-CR"/>
        </w:rPr>
        <w:t xml:space="preserve"> </w:t>
      </w:r>
      <w:r w:rsidRPr="00CF1787">
        <w:rPr>
          <w:rFonts w:eastAsia="Verdana"/>
          <w:szCs w:val="20"/>
          <w:lang w:val="es-CR"/>
        </w:rPr>
        <w:t>v</w:t>
      </w:r>
      <w:r w:rsidRPr="00CF1787">
        <w:rPr>
          <w:rFonts w:eastAsia="Verdana"/>
          <w:spacing w:val="3"/>
          <w:szCs w:val="20"/>
          <w:lang w:val="es-CR"/>
        </w:rPr>
        <w:t>i</w:t>
      </w:r>
      <w:r w:rsidRPr="00CF1787">
        <w:rPr>
          <w:rFonts w:eastAsia="Verdana"/>
          <w:spacing w:val="6"/>
          <w:szCs w:val="20"/>
          <w:lang w:val="es-CR"/>
        </w:rPr>
        <w:t>o</w:t>
      </w:r>
      <w:r w:rsidRPr="00CF1787">
        <w:rPr>
          <w:rFonts w:eastAsia="Verdana"/>
          <w:spacing w:val="3"/>
          <w:szCs w:val="20"/>
          <w:lang w:val="es-CR"/>
        </w:rPr>
        <w:t>l</w:t>
      </w:r>
      <w:r w:rsidRPr="00CF1787">
        <w:rPr>
          <w:rFonts w:eastAsia="Verdana"/>
          <w:szCs w:val="20"/>
          <w:lang w:val="es-CR"/>
        </w:rPr>
        <w:t>ac</w:t>
      </w:r>
      <w:r w:rsidRPr="00CF1787">
        <w:rPr>
          <w:rFonts w:eastAsia="Verdana"/>
          <w:spacing w:val="3"/>
          <w:szCs w:val="20"/>
          <w:lang w:val="es-CR"/>
        </w:rPr>
        <w:t>i</w:t>
      </w:r>
      <w:r w:rsidRPr="00CF1787">
        <w:rPr>
          <w:rFonts w:eastAsia="Verdana"/>
          <w:spacing w:val="-1"/>
          <w:szCs w:val="20"/>
          <w:lang w:val="es-CR"/>
        </w:rPr>
        <w:t>ó</w:t>
      </w:r>
      <w:r w:rsidRPr="00CF1787">
        <w:rPr>
          <w:rFonts w:eastAsia="Verdana"/>
          <w:szCs w:val="20"/>
          <w:lang w:val="es-CR"/>
        </w:rPr>
        <w:t>n</w:t>
      </w:r>
      <w:r w:rsidRPr="00CF1787">
        <w:rPr>
          <w:rFonts w:eastAsia="Verdana"/>
          <w:spacing w:val="35"/>
          <w:szCs w:val="20"/>
          <w:lang w:val="es-CR"/>
        </w:rPr>
        <w:t xml:space="preserve"> </w:t>
      </w:r>
      <w:r w:rsidRPr="00CF1787">
        <w:rPr>
          <w:rFonts w:eastAsia="Verdana"/>
          <w:szCs w:val="20"/>
          <w:lang w:val="es-CR"/>
        </w:rPr>
        <w:t>a</w:t>
      </w:r>
      <w:r w:rsidRPr="00CF1787">
        <w:rPr>
          <w:rFonts w:eastAsia="Verdana"/>
          <w:spacing w:val="44"/>
          <w:szCs w:val="20"/>
          <w:lang w:val="es-CR"/>
        </w:rPr>
        <w:t xml:space="preserve"> </w:t>
      </w:r>
      <w:r w:rsidRPr="00CF1787">
        <w:rPr>
          <w:rFonts w:eastAsia="Verdana"/>
          <w:szCs w:val="20"/>
          <w:lang w:val="es-CR"/>
        </w:rPr>
        <w:t xml:space="preserve">su </w:t>
      </w:r>
      <w:r w:rsidRPr="00CF1787">
        <w:rPr>
          <w:rFonts w:eastAsia="Verdana"/>
          <w:spacing w:val="1"/>
          <w:szCs w:val="20"/>
          <w:lang w:val="es-CR"/>
        </w:rPr>
        <w:t>d</w:t>
      </w:r>
      <w:r w:rsidRPr="00CF1787">
        <w:rPr>
          <w:rFonts w:eastAsia="Verdana"/>
          <w:spacing w:val="-1"/>
          <w:szCs w:val="20"/>
          <w:lang w:val="es-CR"/>
        </w:rPr>
        <w:t>e</w:t>
      </w:r>
      <w:r w:rsidRPr="00CF1787">
        <w:rPr>
          <w:rFonts w:eastAsia="Verdana"/>
          <w:spacing w:val="1"/>
          <w:szCs w:val="20"/>
          <w:lang w:val="es-CR"/>
        </w:rPr>
        <w:t>r</w:t>
      </w:r>
      <w:r w:rsidRPr="00CF1787">
        <w:rPr>
          <w:rFonts w:eastAsia="Verdana"/>
          <w:spacing w:val="-1"/>
          <w:szCs w:val="20"/>
          <w:lang w:val="es-CR"/>
        </w:rPr>
        <w:t>e</w:t>
      </w:r>
      <w:r w:rsidRPr="00CF1787">
        <w:rPr>
          <w:rFonts w:eastAsia="Verdana"/>
          <w:szCs w:val="20"/>
          <w:lang w:val="es-CR"/>
        </w:rPr>
        <w:t>c</w:t>
      </w:r>
      <w:r w:rsidRPr="00CF1787">
        <w:rPr>
          <w:rFonts w:eastAsia="Verdana"/>
          <w:spacing w:val="3"/>
          <w:szCs w:val="20"/>
          <w:lang w:val="es-CR"/>
        </w:rPr>
        <w:t>h</w:t>
      </w:r>
      <w:r w:rsidRPr="00CF1787">
        <w:rPr>
          <w:rFonts w:eastAsia="Verdana"/>
          <w:szCs w:val="20"/>
          <w:lang w:val="es-CR"/>
        </w:rPr>
        <w:t>o</w:t>
      </w:r>
      <w:r w:rsidRPr="00CF1787">
        <w:rPr>
          <w:rFonts w:eastAsia="Verdana"/>
          <w:spacing w:val="-9"/>
          <w:szCs w:val="20"/>
          <w:lang w:val="es-CR"/>
        </w:rPr>
        <w:t xml:space="preserve"> </w:t>
      </w:r>
      <w:r w:rsidRPr="00CF1787">
        <w:rPr>
          <w:rFonts w:eastAsia="Verdana"/>
          <w:szCs w:val="20"/>
          <w:lang w:val="es-CR"/>
        </w:rPr>
        <w:t>de</w:t>
      </w:r>
      <w:r w:rsidRPr="00CF1787">
        <w:rPr>
          <w:rFonts w:eastAsia="Verdana"/>
          <w:spacing w:val="-1"/>
          <w:szCs w:val="20"/>
          <w:lang w:val="es-CR"/>
        </w:rPr>
        <w:t xml:space="preserve"> </w:t>
      </w:r>
      <w:r w:rsidRPr="00CF1787">
        <w:rPr>
          <w:rFonts w:eastAsia="Verdana"/>
          <w:szCs w:val="20"/>
          <w:lang w:val="es-CR"/>
        </w:rPr>
        <w:t>d</w:t>
      </w:r>
      <w:r w:rsidRPr="00CF1787">
        <w:rPr>
          <w:rFonts w:eastAsia="Verdana"/>
          <w:spacing w:val="1"/>
          <w:szCs w:val="20"/>
          <w:lang w:val="es-CR"/>
        </w:rPr>
        <w:t>e</w:t>
      </w:r>
      <w:r w:rsidRPr="00CF1787">
        <w:rPr>
          <w:rFonts w:eastAsia="Verdana"/>
          <w:szCs w:val="20"/>
          <w:lang w:val="es-CR"/>
        </w:rPr>
        <w:t>f</w:t>
      </w:r>
      <w:r w:rsidRPr="00CF1787">
        <w:rPr>
          <w:rFonts w:eastAsia="Verdana"/>
          <w:spacing w:val="-1"/>
          <w:szCs w:val="20"/>
          <w:lang w:val="es-CR"/>
        </w:rPr>
        <w:t>e</w:t>
      </w:r>
      <w:r w:rsidRPr="00CF1787">
        <w:rPr>
          <w:rFonts w:eastAsia="Verdana"/>
          <w:spacing w:val="1"/>
          <w:szCs w:val="20"/>
          <w:lang w:val="es-CR"/>
        </w:rPr>
        <w:t>n</w:t>
      </w:r>
      <w:r w:rsidRPr="00CF1787">
        <w:rPr>
          <w:rFonts w:eastAsia="Verdana"/>
          <w:szCs w:val="20"/>
          <w:lang w:val="es-CR"/>
        </w:rPr>
        <w:t>s</w:t>
      </w:r>
      <w:r w:rsidRPr="00CF1787">
        <w:rPr>
          <w:rFonts w:eastAsia="Verdana"/>
          <w:spacing w:val="2"/>
          <w:szCs w:val="20"/>
          <w:lang w:val="es-CR"/>
        </w:rPr>
        <w:t>a</w:t>
      </w:r>
      <w:r w:rsidRPr="00CF1787">
        <w:rPr>
          <w:rFonts w:eastAsia="Verdana"/>
          <w:lang w:val="es-CR"/>
        </w:rPr>
        <w:t>.</w:t>
      </w:r>
    </w:p>
    <w:p w14:paraId="1A6396DC" w14:textId="77777777" w:rsidR="008C2925" w:rsidRPr="00CF1787" w:rsidRDefault="008C2925" w:rsidP="008C2925">
      <w:pPr>
        <w:pStyle w:val="PrrafodeSentencia"/>
        <w:numPr>
          <w:ilvl w:val="0"/>
          <w:numId w:val="0"/>
        </w:numPr>
        <w:rPr>
          <w:i/>
          <w:szCs w:val="20"/>
        </w:rPr>
      </w:pPr>
    </w:p>
    <w:p w14:paraId="29AA4F3F" w14:textId="77777777" w:rsidR="00D334A9" w:rsidRPr="00CF1787" w:rsidRDefault="00D334A9" w:rsidP="00D334A9">
      <w:pPr>
        <w:rPr>
          <w:lang w:val="es-CR" w:eastAsia="es-MX"/>
        </w:rPr>
      </w:pPr>
    </w:p>
    <w:p w14:paraId="05AEDEEF" w14:textId="77777777" w:rsidR="00D334A9" w:rsidRPr="00CF1787" w:rsidRDefault="00D334A9" w:rsidP="00D334A9">
      <w:pPr>
        <w:rPr>
          <w:lang w:val="es-CR" w:eastAsia="es-MX"/>
        </w:rPr>
      </w:pPr>
    </w:p>
    <w:p w14:paraId="799F2F3D" w14:textId="23E36CD7" w:rsidR="008C2925" w:rsidRPr="00CF1787" w:rsidRDefault="008C2925" w:rsidP="008C2925">
      <w:pPr>
        <w:pStyle w:val="Heading3"/>
        <w:rPr>
          <w:szCs w:val="20"/>
          <w:lang w:val="es-CR"/>
        </w:rPr>
      </w:pPr>
      <w:bookmarkStart w:id="215" w:name="_Toc470098034"/>
      <w:bookmarkStart w:id="216" w:name="_Toc465177361"/>
      <w:r w:rsidRPr="00CF1787">
        <w:rPr>
          <w:szCs w:val="20"/>
          <w:lang w:val="es-CR"/>
        </w:rPr>
        <w:lastRenderedPageBreak/>
        <w:t>B.1</w:t>
      </w:r>
      <w:r w:rsidRPr="00CF1787">
        <w:rPr>
          <w:rStyle w:val="Heading4Char"/>
          <w:szCs w:val="20"/>
          <w:u w:val="none"/>
          <w:lang w:val="es-CR"/>
        </w:rPr>
        <w:t xml:space="preserve"> Alegada falta de motivación en cuanto a la aplicación del artículo 37(3) del reglamento de la C</w:t>
      </w:r>
      <w:r w:rsidR="004D2661" w:rsidRPr="00CF1787">
        <w:rPr>
          <w:rStyle w:val="Heading4Char"/>
          <w:szCs w:val="20"/>
          <w:u w:val="none"/>
          <w:lang w:val="es-CR"/>
        </w:rPr>
        <w:t>omisión</w:t>
      </w:r>
      <w:bookmarkEnd w:id="215"/>
      <w:r w:rsidR="004D2661" w:rsidRPr="00CF1787">
        <w:rPr>
          <w:rStyle w:val="Heading4Char"/>
          <w:szCs w:val="20"/>
          <w:u w:val="none"/>
          <w:lang w:val="es-CR"/>
        </w:rPr>
        <w:t xml:space="preserve"> </w:t>
      </w:r>
      <w:bookmarkEnd w:id="216"/>
    </w:p>
    <w:p w14:paraId="6AE435A3" w14:textId="77777777" w:rsidR="008C2925" w:rsidRPr="00CF1787" w:rsidRDefault="008C2925" w:rsidP="008C2925">
      <w:pPr>
        <w:pStyle w:val="NoSpacing"/>
        <w:tabs>
          <w:tab w:val="left" w:pos="567"/>
        </w:tabs>
        <w:rPr>
          <w:lang w:val="es-CR"/>
        </w:rPr>
      </w:pPr>
    </w:p>
    <w:p w14:paraId="4FEA9F6E" w14:textId="44730279" w:rsidR="008C2925" w:rsidRPr="00CF1787" w:rsidRDefault="008C2925" w:rsidP="008C2925">
      <w:pPr>
        <w:pStyle w:val="NoSpacing"/>
        <w:numPr>
          <w:ilvl w:val="0"/>
          <w:numId w:val="5"/>
        </w:numPr>
        <w:tabs>
          <w:tab w:val="left" w:pos="567"/>
        </w:tabs>
        <w:ind w:left="0" w:firstLine="0"/>
        <w:rPr>
          <w:spacing w:val="-2"/>
          <w:lang w:val="es-CR"/>
        </w:rPr>
      </w:pPr>
      <w:r w:rsidRPr="00CF1787">
        <w:rPr>
          <w:lang w:val="es-CR"/>
        </w:rPr>
        <w:t xml:space="preserve">El </w:t>
      </w:r>
      <w:r w:rsidRPr="00CF1787">
        <w:rPr>
          <w:b/>
          <w:i/>
          <w:lang w:val="es-CR"/>
        </w:rPr>
        <w:t>Estado</w:t>
      </w:r>
      <w:r w:rsidRPr="00CF1787">
        <w:rPr>
          <w:i/>
          <w:lang w:val="es-CR"/>
        </w:rPr>
        <w:t xml:space="preserve"> </w:t>
      </w:r>
      <w:r w:rsidRPr="00CF1787">
        <w:rPr>
          <w:lang w:val="es-CR"/>
        </w:rPr>
        <w:t>alegó que “al diferir el tratamiento de admisibilidad conjuntamente con el fondo, [la Comisión] vulneró su deber de motivación, dado que el artículo 37(3) del Reglamento [de la Comisión] vigente a la época, indicaba [</w:t>
      </w:r>
      <w:proofErr w:type="gramStart"/>
      <w:r w:rsidRPr="00CF1787">
        <w:rPr>
          <w:lang w:val="es-CR"/>
        </w:rPr>
        <w:t>que …</w:t>
      </w:r>
      <w:proofErr w:type="gramEnd"/>
      <w:r w:rsidRPr="00CF1787">
        <w:rPr>
          <w:lang w:val="es-CR"/>
        </w:rPr>
        <w:t xml:space="preserve">] para efectuar el diferimiento dentro de un caso, </w:t>
      </w:r>
      <w:proofErr w:type="spellStart"/>
      <w:r w:rsidRPr="00CF1787">
        <w:rPr>
          <w:lang w:val="es-CR"/>
        </w:rPr>
        <w:t>deb</w:t>
      </w:r>
      <w:proofErr w:type="spellEnd"/>
      <w:r w:rsidRPr="00CF1787">
        <w:rPr>
          <w:lang w:val="es-CR"/>
        </w:rPr>
        <w:t>[</w:t>
      </w:r>
      <w:proofErr w:type="spellStart"/>
      <w:r w:rsidRPr="00CF1787">
        <w:rPr>
          <w:lang w:val="es-CR"/>
        </w:rPr>
        <w:t>ían</w:t>
      </w:r>
      <w:proofErr w:type="spellEnd"/>
      <w:r w:rsidRPr="00CF1787">
        <w:rPr>
          <w:lang w:val="es-CR"/>
        </w:rPr>
        <w:t xml:space="preserve">] existir circunstancias excepcionales, situación [que no] fue sustentada por la [Comisión]”. De acuerdo al Estado, esto implicó que “desde el año 2003 se </w:t>
      </w:r>
      <w:proofErr w:type="spellStart"/>
      <w:r w:rsidRPr="00CF1787">
        <w:rPr>
          <w:lang w:val="es-CR"/>
        </w:rPr>
        <w:t>encontr</w:t>
      </w:r>
      <w:proofErr w:type="spellEnd"/>
      <w:r w:rsidRPr="00CF1787">
        <w:rPr>
          <w:lang w:val="es-CR"/>
        </w:rPr>
        <w:t>[</w:t>
      </w:r>
      <w:proofErr w:type="spellStart"/>
      <w:r w:rsidRPr="00CF1787">
        <w:rPr>
          <w:lang w:val="es-CR"/>
        </w:rPr>
        <w:t>ó</w:t>
      </w:r>
      <w:proofErr w:type="spellEnd"/>
      <w:r w:rsidRPr="00CF1787">
        <w:rPr>
          <w:lang w:val="es-CR"/>
        </w:rPr>
        <w:t>] en un estado de incertidumbre respecto a las condiciones en las cuales se está manejando el proceso interamericano”. En virtud de ello, solicitó que la Corte “declare su incompetencia para conocer el caso”.</w:t>
      </w:r>
      <w:r w:rsidRPr="00CF1787">
        <w:rPr>
          <w:b/>
          <w:lang w:val="es-CR"/>
        </w:rPr>
        <w:t xml:space="preserve"> </w:t>
      </w:r>
      <w:r w:rsidRPr="00CF1787">
        <w:rPr>
          <w:lang w:val="es-CR"/>
        </w:rPr>
        <w:t xml:space="preserve">La </w:t>
      </w:r>
      <w:r w:rsidRPr="00CF1787">
        <w:rPr>
          <w:b/>
          <w:i/>
          <w:lang w:val="es-CR"/>
        </w:rPr>
        <w:t>Comisión</w:t>
      </w:r>
      <w:r w:rsidRPr="00CF1787">
        <w:rPr>
          <w:b/>
          <w:lang w:val="es-CR"/>
        </w:rPr>
        <w:t xml:space="preserve"> </w:t>
      </w:r>
      <w:r w:rsidRPr="00CF1787">
        <w:rPr>
          <w:lang w:val="es-CR"/>
        </w:rPr>
        <w:t>alegó que “la Convención Americana no establece la manera concreta en que la Comisión debe efectuar su análisis de admisibilidad y fondo y estos aspectos son delegados a la Comisión para que a través de su Reglamento establezca los procedimientos respectivos”. Mencionó que “la facultad establecida en esta norma contempla las salvaguardas necesarias, a través de las solicitudes de información y los respectivos traslados, para asegurar el derecho de defensa y el contradictorio como efectivamente sucedió en el presente caso”.</w:t>
      </w:r>
      <w:r w:rsidRPr="00CF1787">
        <w:rPr>
          <w:b/>
          <w:lang w:val="es-CR"/>
        </w:rPr>
        <w:t xml:space="preserve"> </w:t>
      </w:r>
      <w:r w:rsidRPr="00CF1787">
        <w:rPr>
          <w:lang w:val="es-CR"/>
        </w:rPr>
        <w:t xml:space="preserve">Indicó además que “[n]o fue sino después de contar con toda la información necesaria, […] que la Comisión emitió su informe […] de admisibilidad y fondo”. </w:t>
      </w:r>
    </w:p>
    <w:p w14:paraId="76F32A7B" w14:textId="77777777" w:rsidR="008C2925" w:rsidRPr="00CF1787" w:rsidRDefault="008C2925" w:rsidP="008C2925">
      <w:pPr>
        <w:pStyle w:val="NoSpacing"/>
        <w:tabs>
          <w:tab w:val="left" w:pos="567"/>
        </w:tabs>
        <w:rPr>
          <w:spacing w:val="-2"/>
          <w:lang w:val="es-CR"/>
        </w:rPr>
      </w:pPr>
    </w:p>
    <w:p w14:paraId="69B1A39F" w14:textId="340D7DEE" w:rsidR="008C2925" w:rsidRPr="00CF1787" w:rsidRDefault="008C2925" w:rsidP="008C2925">
      <w:pPr>
        <w:pStyle w:val="NoSpacing"/>
        <w:numPr>
          <w:ilvl w:val="0"/>
          <w:numId w:val="5"/>
        </w:numPr>
        <w:tabs>
          <w:tab w:val="left" w:pos="567"/>
        </w:tabs>
        <w:ind w:left="0" w:firstLine="0"/>
        <w:rPr>
          <w:spacing w:val="-2"/>
          <w:lang w:val="es-CR"/>
        </w:rPr>
      </w:pPr>
      <w:r w:rsidRPr="00CF1787">
        <w:rPr>
          <w:rFonts w:eastAsia="Times New Roman"/>
          <w:lang w:val="es-CR"/>
        </w:rPr>
        <w:t>En el presente caso, el 8 de mayo de 2003 la Comisión informó a las partes que en aplicación del artículo 37.3 de su Reglamento entonces vigente, había decidido diferir el tratamiento de la admisibilidad hasta el debate y decisión sobre el fondo</w:t>
      </w:r>
      <w:r w:rsidRPr="00CF1787">
        <w:rPr>
          <w:rStyle w:val="FootnoteReference"/>
          <w:rFonts w:eastAsia="Times New Roman"/>
          <w:sz w:val="20"/>
          <w:szCs w:val="20"/>
          <w:lang w:val="es-CR"/>
        </w:rPr>
        <w:footnoteReference w:id="22"/>
      </w:r>
      <w:r w:rsidRPr="00CF1787">
        <w:rPr>
          <w:rFonts w:eastAsia="Times New Roman"/>
          <w:szCs w:val="20"/>
          <w:lang w:val="es-CR"/>
        </w:rPr>
        <w:t>.</w:t>
      </w:r>
      <w:r w:rsidRPr="00CF1787">
        <w:rPr>
          <w:rFonts w:eastAsia="Times New Roman"/>
          <w:lang w:val="es-CR"/>
        </w:rPr>
        <w:t xml:space="preserve"> El referido </w:t>
      </w:r>
      <w:r w:rsidRPr="00CF1787">
        <w:rPr>
          <w:lang w:val="es-CR"/>
        </w:rPr>
        <w:t>artículo 37.3 del Reglamento de la Comisión</w:t>
      </w:r>
      <w:r w:rsidR="00904CC4" w:rsidRPr="00CF1787">
        <w:rPr>
          <w:lang w:val="es-CR"/>
        </w:rPr>
        <w:t>,</w:t>
      </w:r>
      <w:r w:rsidRPr="00CF1787">
        <w:rPr>
          <w:lang w:val="es-CR"/>
        </w:rPr>
        <w:t xml:space="preserve"> entonces vigente</w:t>
      </w:r>
      <w:r w:rsidR="00904CC4" w:rsidRPr="00CF1787">
        <w:rPr>
          <w:lang w:val="es-CR"/>
        </w:rPr>
        <w:t>,</w:t>
      </w:r>
      <w:r w:rsidRPr="00CF1787">
        <w:rPr>
          <w:lang w:val="es-CR"/>
        </w:rPr>
        <w:t xml:space="preserve"> establecía que: </w:t>
      </w:r>
    </w:p>
    <w:p w14:paraId="5EDEFD2D" w14:textId="77777777" w:rsidR="008C2925" w:rsidRPr="00CF1787" w:rsidRDefault="008C2925" w:rsidP="008C2925">
      <w:pPr>
        <w:pStyle w:val="ListParagraph"/>
        <w:numPr>
          <w:ilvl w:val="0"/>
          <w:numId w:val="0"/>
        </w:numPr>
        <w:tabs>
          <w:tab w:val="left" w:pos="567"/>
        </w:tabs>
        <w:rPr>
          <w:lang w:val="es-CR"/>
        </w:rPr>
      </w:pPr>
    </w:p>
    <w:p w14:paraId="2BA38F33" w14:textId="75C4515A" w:rsidR="008C2925" w:rsidRPr="00CF1787" w:rsidRDefault="008C2925" w:rsidP="008C2925">
      <w:pPr>
        <w:tabs>
          <w:tab w:val="left" w:pos="567"/>
          <w:tab w:val="left" w:pos="993"/>
          <w:tab w:val="num" w:pos="1569"/>
          <w:tab w:val="num" w:pos="5483"/>
        </w:tabs>
        <w:ind w:left="993" w:right="615"/>
        <w:rPr>
          <w:sz w:val="18"/>
          <w:szCs w:val="18"/>
          <w:lang w:val="es-CR"/>
        </w:rPr>
      </w:pPr>
      <w:r w:rsidRPr="00CF1787">
        <w:rPr>
          <w:sz w:val="18"/>
          <w:szCs w:val="18"/>
          <w:lang w:val="es-CR"/>
        </w:rPr>
        <w:t xml:space="preserve">En circunstancias excepcionales, y luego de haber solicitado información a las partes de acuerdo a lo dispuesto en el artículo 30 </w:t>
      </w:r>
      <w:r w:rsidR="00904CC4" w:rsidRPr="00CF1787">
        <w:rPr>
          <w:sz w:val="18"/>
          <w:szCs w:val="18"/>
          <w:lang w:val="es-CR"/>
        </w:rPr>
        <w:t xml:space="preserve">[de dicho] </w:t>
      </w:r>
      <w:r w:rsidRPr="00CF1787">
        <w:rPr>
          <w:sz w:val="18"/>
          <w:szCs w:val="18"/>
          <w:lang w:val="es-CR"/>
        </w:rPr>
        <w:t>Reglamento, la Comisión podrá abrir el caso pero diferir el tratamiento de la admisibilidad hasta el debate y decisión sobre el fondo. La apertura del caso se efectuará mediante una comunicación escrita a ambas partes</w:t>
      </w:r>
      <w:r w:rsidRPr="00CF1787">
        <w:rPr>
          <w:rStyle w:val="FootnoteReference"/>
          <w:sz w:val="18"/>
          <w:szCs w:val="18"/>
          <w:lang w:val="es-CR"/>
        </w:rPr>
        <w:footnoteReference w:id="23"/>
      </w:r>
      <w:r w:rsidRPr="00CF1787">
        <w:rPr>
          <w:sz w:val="18"/>
          <w:szCs w:val="18"/>
          <w:lang w:val="es-CR"/>
        </w:rPr>
        <w:t>.</w:t>
      </w:r>
    </w:p>
    <w:p w14:paraId="3CB967ED" w14:textId="77777777" w:rsidR="008C2925" w:rsidRPr="00CF1787" w:rsidRDefault="008C2925" w:rsidP="008C2925">
      <w:pPr>
        <w:pStyle w:val="NoSpacing"/>
        <w:tabs>
          <w:tab w:val="left" w:pos="567"/>
        </w:tabs>
        <w:rPr>
          <w:rFonts w:eastAsia="Times New Roman"/>
          <w:lang w:val="es-CR"/>
        </w:rPr>
      </w:pPr>
    </w:p>
    <w:p w14:paraId="2FD4C51E" w14:textId="77777777" w:rsidR="008C2925" w:rsidRPr="00CF1787" w:rsidRDefault="008C2925" w:rsidP="008C2925">
      <w:pPr>
        <w:pStyle w:val="NoSpacing"/>
        <w:numPr>
          <w:ilvl w:val="0"/>
          <w:numId w:val="5"/>
        </w:numPr>
        <w:tabs>
          <w:tab w:val="left" w:pos="567"/>
        </w:tabs>
        <w:ind w:left="0" w:firstLine="0"/>
        <w:rPr>
          <w:b/>
          <w:color w:val="FF0000"/>
          <w:spacing w:val="-2"/>
          <w:szCs w:val="20"/>
          <w:lang w:val="es-CR"/>
        </w:rPr>
      </w:pPr>
      <w:r w:rsidRPr="00CF1787">
        <w:rPr>
          <w:rFonts w:eastAsia="Times New Roman"/>
          <w:lang w:val="es-CR"/>
        </w:rPr>
        <w:t xml:space="preserve">La Corte estima que lo que el Estado identifica como un error en su perjuicio constituye una actuación procesal de la Comisión en aplicación de una </w:t>
      </w:r>
      <w:r w:rsidRPr="00CF1787">
        <w:rPr>
          <w:lang w:val="es-CR"/>
        </w:rPr>
        <w:t>norma reglamentaria vigente</w:t>
      </w:r>
      <w:r w:rsidRPr="00CF1787">
        <w:rPr>
          <w:rFonts w:eastAsia="Times New Roman"/>
          <w:lang w:val="es-CR"/>
        </w:rPr>
        <w:t xml:space="preserve">. Al respecto, este Tribunal ha señalado que el referido artículo 37.3 establecía </w:t>
      </w:r>
      <w:r w:rsidRPr="00CF1787">
        <w:rPr>
          <w:lang w:val="es-CR"/>
        </w:rPr>
        <w:t xml:space="preserve">un número reducido de requisitos formales respecto de la apertura de un caso y de la facultad de la Comisión para diferir el tratamiento </w:t>
      </w:r>
      <w:r w:rsidRPr="00CF1787">
        <w:rPr>
          <w:szCs w:val="20"/>
          <w:lang w:val="es-CR"/>
        </w:rPr>
        <w:t>de la admisibilidad al fondo</w:t>
      </w:r>
      <w:r w:rsidRPr="00CF1787">
        <w:rPr>
          <w:rStyle w:val="FootnoteReference"/>
          <w:sz w:val="20"/>
          <w:szCs w:val="20"/>
          <w:lang w:val="es-CR"/>
        </w:rPr>
        <w:footnoteReference w:id="24"/>
      </w:r>
      <w:r w:rsidRPr="00CF1787">
        <w:rPr>
          <w:szCs w:val="20"/>
          <w:lang w:val="es-CR"/>
        </w:rPr>
        <w:t>. Ello brindaba flexibilidad a la Comisión al respecto. Por tanto, lo relevante es examinar si las partes pudieron presentar sus alegatos relativos tanto a la admisibilidad como al fondo del asunto, si la Comisión los analizó y se pronunció sobre ellos y, consecuencialmente, si su proceder afectó o afecta el derecho de defensa del Estado ante la Corte en el presente caso.</w:t>
      </w:r>
      <w:r w:rsidRPr="00CF1787">
        <w:rPr>
          <w:b/>
          <w:szCs w:val="20"/>
          <w:lang w:val="es-CR"/>
        </w:rPr>
        <w:t xml:space="preserve"> </w:t>
      </w:r>
    </w:p>
    <w:p w14:paraId="109AD775" w14:textId="77777777" w:rsidR="008C2925" w:rsidRPr="00CF1787" w:rsidRDefault="008C2925" w:rsidP="008C2925">
      <w:pPr>
        <w:pStyle w:val="NoSpacing"/>
        <w:tabs>
          <w:tab w:val="left" w:pos="567"/>
        </w:tabs>
        <w:rPr>
          <w:spacing w:val="-2"/>
          <w:szCs w:val="20"/>
          <w:lang w:val="es-CR"/>
        </w:rPr>
      </w:pPr>
    </w:p>
    <w:p w14:paraId="1F4868E4" w14:textId="77777777" w:rsidR="008C2925" w:rsidRPr="00CF1787" w:rsidRDefault="008C2925" w:rsidP="008C2925">
      <w:pPr>
        <w:pStyle w:val="NoSpacing"/>
        <w:numPr>
          <w:ilvl w:val="0"/>
          <w:numId w:val="5"/>
        </w:numPr>
        <w:tabs>
          <w:tab w:val="left" w:pos="567"/>
        </w:tabs>
        <w:ind w:left="0" w:firstLine="0"/>
        <w:rPr>
          <w:spacing w:val="-2"/>
          <w:lang w:val="es-CR"/>
        </w:rPr>
      </w:pPr>
      <w:r w:rsidRPr="00CF1787">
        <w:rPr>
          <w:szCs w:val="20"/>
          <w:lang w:val="es-CR"/>
        </w:rPr>
        <w:t xml:space="preserve">En el expediente del presente caso consta que, luego de que la Comisión informara a las partes de la aplicación del artículo 37.3, tanto el Estado como los representantes tuvieron oportunidad de pronunciarse sobre la admisibilidad y el fondo del caso, y la Comisión analizó y se pronunció sobre ambas etapas del proceso en su Informe 90/14.  En consecuencia, el </w:t>
      </w:r>
      <w:r w:rsidRPr="00CF1787">
        <w:rPr>
          <w:szCs w:val="20"/>
          <w:lang w:val="es-CR"/>
        </w:rPr>
        <w:lastRenderedPageBreak/>
        <w:t>Estado no solo no ha demostrado en autos</w:t>
      </w:r>
      <w:r w:rsidRPr="00CF1787">
        <w:rPr>
          <w:b/>
          <w:szCs w:val="20"/>
          <w:lang w:val="es-CR"/>
        </w:rPr>
        <w:t xml:space="preserve"> </w:t>
      </w:r>
      <w:r w:rsidRPr="00CF1787">
        <w:rPr>
          <w:szCs w:val="20"/>
          <w:lang w:val="es-CR"/>
        </w:rPr>
        <w:t>de qué manera la actuación de la Comisión habría conllevado un error que haya afectado su derecho de defensa ante dicho órgano, sino que tampoco ha demostrado cómo ha afectado tal derecho o su ejercicio ante la Corte en el presente caso. Por tanto, la Corte desestima este extremo de</w:t>
      </w:r>
      <w:r w:rsidRPr="00CF1787">
        <w:rPr>
          <w:lang w:val="es-CR"/>
        </w:rPr>
        <w:t xml:space="preserve"> la excepción preliminar.</w:t>
      </w:r>
    </w:p>
    <w:p w14:paraId="37ECADF3" w14:textId="77777777" w:rsidR="008C2925" w:rsidRPr="00CF1787" w:rsidRDefault="008C2925" w:rsidP="008C2925">
      <w:pPr>
        <w:pStyle w:val="PrrafodeSentencia"/>
        <w:numPr>
          <w:ilvl w:val="0"/>
          <w:numId w:val="0"/>
        </w:numPr>
      </w:pPr>
    </w:p>
    <w:p w14:paraId="0DDA02D2" w14:textId="77777777" w:rsidR="008C2925" w:rsidRPr="00CF1787" w:rsidRDefault="008C2925" w:rsidP="008C2925">
      <w:pPr>
        <w:pStyle w:val="Heading3"/>
        <w:rPr>
          <w:lang w:val="es-CR"/>
        </w:rPr>
      </w:pPr>
      <w:bookmarkStart w:id="217" w:name="_Toc465177362"/>
      <w:bookmarkStart w:id="218" w:name="_Toc470098035"/>
      <w:r w:rsidRPr="00CF1787">
        <w:rPr>
          <w:lang w:val="es-CR"/>
        </w:rPr>
        <w:t>B.2 Alegada falta de motivación de la presunta vulneración a los artículos 8 y 25 de la Convención Americana</w:t>
      </w:r>
      <w:bookmarkEnd w:id="217"/>
      <w:bookmarkEnd w:id="218"/>
      <w:r w:rsidRPr="00CF1787">
        <w:rPr>
          <w:lang w:val="es-CR"/>
        </w:rPr>
        <w:t xml:space="preserve"> </w:t>
      </w:r>
    </w:p>
    <w:p w14:paraId="7FAAE6F6" w14:textId="77777777" w:rsidR="008C2925" w:rsidRPr="00CF1787" w:rsidRDefault="008C2925" w:rsidP="008C2925">
      <w:pPr>
        <w:pStyle w:val="NoSpacing"/>
        <w:tabs>
          <w:tab w:val="left" w:pos="567"/>
        </w:tabs>
        <w:rPr>
          <w:lang w:val="es-CR"/>
        </w:rPr>
      </w:pPr>
    </w:p>
    <w:p w14:paraId="5A6B5FCE" w14:textId="1E9BF3C4" w:rsidR="008C2925" w:rsidRPr="00CF1787" w:rsidRDefault="008C2925" w:rsidP="008C2925">
      <w:pPr>
        <w:pStyle w:val="NoSpacing"/>
        <w:numPr>
          <w:ilvl w:val="0"/>
          <w:numId w:val="5"/>
        </w:numPr>
        <w:tabs>
          <w:tab w:val="left" w:pos="567"/>
        </w:tabs>
        <w:ind w:left="0" w:firstLine="0"/>
        <w:rPr>
          <w:spacing w:val="-2"/>
          <w:lang w:val="es-CR"/>
        </w:rPr>
      </w:pPr>
      <w:bookmarkStart w:id="219" w:name="_Ref469935362"/>
      <w:r w:rsidRPr="00CF1787">
        <w:rPr>
          <w:lang w:val="es-CR"/>
        </w:rPr>
        <w:t xml:space="preserve">El </w:t>
      </w:r>
      <w:r w:rsidRPr="00CF1787">
        <w:rPr>
          <w:b/>
          <w:i/>
          <w:lang w:val="es-CR"/>
        </w:rPr>
        <w:t>Estado</w:t>
      </w:r>
      <w:r w:rsidRPr="00CF1787">
        <w:rPr>
          <w:i/>
          <w:lang w:val="es-CR"/>
        </w:rPr>
        <w:t xml:space="preserve"> </w:t>
      </w:r>
      <w:r w:rsidRPr="00CF1787">
        <w:rPr>
          <w:lang w:val="es-CR"/>
        </w:rPr>
        <w:t>alegó que la Comisión “</w:t>
      </w:r>
      <w:proofErr w:type="gramStart"/>
      <w:r w:rsidRPr="00CF1787">
        <w:rPr>
          <w:lang w:val="es-CR"/>
        </w:rPr>
        <w:t>ha[</w:t>
      </w:r>
      <w:proofErr w:type="spellStart"/>
      <w:proofErr w:type="gramEnd"/>
      <w:r w:rsidRPr="00CF1787">
        <w:rPr>
          <w:lang w:val="es-CR"/>
        </w:rPr>
        <w:t>bía</w:t>
      </w:r>
      <w:proofErr w:type="spellEnd"/>
      <w:r w:rsidRPr="00CF1787">
        <w:rPr>
          <w:lang w:val="es-CR"/>
        </w:rPr>
        <w:t xml:space="preserve">] vulnerado el principio de motivación al determinar la violación integral de los artículos 8 y 25 de la [Convención] en el Informe de Fondo No. 90/14, sin antes haber realizado un análisis pormenorizado de los elementos que conforman la vulneración a las garantías judiciales y la tutela judicial efectiva”. La </w:t>
      </w:r>
      <w:r w:rsidRPr="00CF1787">
        <w:rPr>
          <w:b/>
          <w:i/>
          <w:lang w:val="es-CR"/>
        </w:rPr>
        <w:t>Comisión</w:t>
      </w:r>
      <w:r w:rsidRPr="00CF1787">
        <w:rPr>
          <w:b/>
          <w:lang w:val="es-CR"/>
        </w:rPr>
        <w:t xml:space="preserve"> </w:t>
      </w:r>
      <w:r w:rsidRPr="00CF1787">
        <w:rPr>
          <w:lang w:val="es-CR"/>
        </w:rPr>
        <w:t xml:space="preserve">alegó que “el planteamiento del Estado se </w:t>
      </w:r>
      <w:proofErr w:type="spellStart"/>
      <w:proofErr w:type="gramStart"/>
      <w:r w:rsidRPr="00CF1787">
        <w:rPr>
          <w:lang w:val="es-CR"/>
        </w:rPr>
        <w:t>enc</w:t>
      </w:r>
      <w:proofErr w:type="spellEnd"/>
      <w:r w:rsidRPr="00CF1787">
        <w:rPr>
          <w:lang w:val="es-CR"/>
        </w:rPr>
        <w:t>[</w:t>
      </w:r>
      <w:proofErr w:type="spellStart"/>
      <w:proofErr w:type="gramEnd"/>
      <w:r w:rsidRPr="00CF1787">
        <w:rPr>
          <w:lang w:val="es-CR"/>
        </w:rPr>
        <w:t>ontraba</w:t>
      </w:r>
      <w:proofErr w:type="spellEnd"/>
      <w:r w:rsidRPr="00CF1787">
        <w:rPr>
          <w:lang w:val="es-CR"/>
        </w:rPr>
        <w:t>] exclusivamente dirigido a cuestionar el alcance del pronunciamiento de fondo de la [Comisión] si</w:t>
      </w:r>
      <w:r w:rsidR="00904CC4" w:rsidRPr="00CF1787">
        <w:rPr>
          <w:lang w:val="es-CR"/>
        </w:rPr>
        <w:t>n demostrar, en modo alguno un ‘</w:t>
      </w:r>
      <w:r w:rsidRPr="00CF1787">
        <w:rPr>
          <w:lang w:val="es-CR"/>
        </w:rPr>
        <w:t>grave error</w:t>
      </w:r>
      <w:r w:rsidR="00904CC4" w:rsidRPr="00CF1787">
        <w:rPr>
          <w:lang w:val="es-CR"/>
        </w:rPr>
        <w:t>’</w:t>
      </w:r>
      <w:r w:rsidRPr="00CF1787">
        <w:rPr>
          <w:lang w:val="es-CR"/>
        </w:rPr>
        <w:t xml:space="preserve"> que diera lugar a una afectación a su derecho de defensa que pudiera resultar en la </w:t>
      </w:r>
      <w:r w:rsidR="00904CC4" w:rsidRPr="00CF1787">
        <w:rPr>
          <w:lang w:val="es-CR"/>
        </w:rPr>
        <w:t>in</w:t>
      </w:r>
      <w:r w:rsidRPr="00CF1787">
        <w:rPr>
          <w:lang w:val="es-CR"/>
        </w:rPr>
        <w:t>admisibilidad del caso”. Concluyó que este punto “[...] constituye parte del debate de la controversia de fondo del caso actualmente baj</w:t>
      </w:r>
      <w:r w:rsidR="00904CC4" w:rsidRPr="00CF1787">
        <w:rPr>
          <w:lang w:val="es-CR"/>
        </w:rPr>
        <w:t>o la jurisdicción de la Corte”.</w:t>
      </w:r>
      <w:bookmarkEnd w:id="219"/>
    </w:p>
    <w:p w14:paraId="6447462A" w14:textId="77777777" w:rsidR="008C2925" w:rsidRPr="00CF1787" w:rsidRDefault="008C2925" w:rsidP="008C2925">
      <w:pPr>
        <w:pStyle w:val="NoSpacing"/>
        <w:tabs>
          <w:tab w:val="left" w:pos="567"/>
        </w:tabs>
        <w:rPr>
          <w:spacing w:val="-2"/>
          <w:lang w:val="es-CR"/>
        </w:rPr>
      </w:pPr>
    </w:p>
    <w:p w14:paraId="1D5B9B6B" w14:textId="03D1A3C5" w:rsidR="008C2925" w:rsidRPr="00CF1787" w:rsidRDefault="008C2925" w:rsidP="008C2925">
      <w:pPr>
        <w:pStyle w:val="NoSpacing"/>
        <w:numPr>
          <w:ilvl w:val="0"/>
          <w:numId w:val="5"/>
        </w:numPr>
        <w:tabs>
          <w:tab w:val="left" w:pos="567"/>
        </w:tabs>
        <w:ind w:left="0" w:firstLine="0"/>
        <w:rPr>
          <w:spacing w:val="-2"/>
          <w:lang w:val="es-CR"/>
        </w:rPr>
      </w:pPr>
      <w:r w:rsidRPr="00CF1787">
        <w:rPr>
          <w:rFonts w:eastAsia="Times New Roman"/>
          <w:lang w:val="es-CR"/>
        </w:rPr>
        <w:t xml:space="preserve">La Corte constata que el Informe de Admisibilidad y Fondo aprobado por la Comisión en este caso está motivado y que, por tanto, lo planteado por el Estado constituye una </w:t>
      </w:r>
      <w:r w:rsidRPr="00CF1787">
        <w:rPr>
          <w:lang w:val="es-CR"/>
        </w:rPr>
        <w:t>discrepancia de criterios frente a lo fundamentado y decidido por la Comisión. Por consiguiente, estos alegatos deben ser examinados en el análisis de fondo del caso y no como una excepción preliminar (</w:t>
      </w:r>
      <w:r w:rsidRPr="00CF1787">
        <w:rPr>
          <w:i/>
          <w:lang w:val="es-CR"/>
        </w:rPr>
        <w:t xml:space="preserve">supra </w:t>
      </w:r>
      <w:r w:rsidRPr="00CF1787">
        <w:rPr>
          <w:lang w:val="es-CR"/>
        </w:rPr>
        <w:t>párr.</w:t>
      </w:r>
      <w:r w:rsidR="00904CC4" w:rsidRPr="00CF1787">
        <w:rPr>
          <w:lang w:val="es-CR"/>
        </w:rPr>
        <w:t xml:space="preserve"> </w:t>
      </w:r>
      <w:r w:rsidR="00904CC4" w:rsidRPr="00CF1787">
        <w:rPr>
          <w:lang w:val="es-CR"/>
        </w:rPr>
        <w:fldChar w:fldCharType="begin"/>
      </w:r>
      <w:r w:rsidR="00904CC4" w:rsidRPr="00CF1787">
        <w:rPr>
          <w:lang w:val="es-CR"/>
        </w:rPr>
        <w:instrText xml:space="preserve"> REF _Ref462661947 \r \h </w:instrText>
      </w:r>
      <w:r w:rsidR="00CF1787">
        <w:rPr>
          <w:lang w:val="es-CR"/>
        </w:rPr>
        <w:instrText xml:space="preserve"> \* MERGEFORMAT </w:instrText>
      </w:r>
      <w:r w:rsidR="00904CC4" w:rsidRPr="00CF1787">
        <w:rPr>
          <w:lang w:val="es-CR"/>
        </w:rPr>
      </w:r>
      <w:r w:rsidR="00904CC4" w:rsidRPr="00CF1787">
        <w:rPr>
          <w:lang w:val="es-CR"/>
        </w:rPr>
        <w:fldChar w:fldCharType="separate"/>
      </w:r>
      <w:r w:rsidR="00536893">
        <w:rPr>
          <w:lang w:val="es-CR"/>
        </w:rPr>
        <w:t>16</w:t>
      </w:r>
      <w:r w:rsidR="00904CC4" w:rsidRPr="00CF1787">
        <w:rPr>
          <w:lang w:val="es-CR"/>
        </w:rPr>
        <w:fldChar w:fldCharType="end"/>
      </w:r>
      <w:r w:rsidRPr="00CF1787">
        <w:rPr>
          <w:lang w:val="es-CR"/>
        </w:rPr>
        <w:t>). En consecuencia, este Tribunal desestima este extremo de la excepción preliminar.</w:t>
      </w:r>
    </w:p>
    <w:p w14:paraId="5E660966" w14:textId="77777777" w:rsidR="008C2925" w:rsidRPr="00CF1787" w:rsidRDefault="008C2925" w:rsidP="008C2925">
      <w:pPr>
        <w:pStyle w:val="PrrafodeSentencia"/>
        <w:numPr>
          <w:ilvl w:val="0"/>
          <w:numId w:val="0"/>
        </w:numPr>
      </w:pPr>
    </w:p>
    <w:p w14:paraId="0B836A5F" w14:textId="5FE3770D" w:rsidR="008C2925" w:rsidRPr="00CF1787" w:rsidRDefault="008C2925" w:rsidP="008C2925">
      <w:pPr>
        <w:pStyle w:val="Heading3"/>
        <w:rPr>
          <w:i/>
          <w:lang w:val="es-CR"/>
        </w:rPr>
      </w:pPr>
      <w:bookmarkStart w:id="220" w:name="_Toc465177363"/>
      <w:bookmarkStart w:id="221" w:name="_Toc470098036"/>
      <w:r w:rsidRPr="00CF1787">
        <w:rPr>
          <w:lang w:val="es-CR"/>
        </w:rPr>
        <w:t xml:space="preserve">B.3 </w:t>
      </w:r>
      <w:r w:rsidR="009F5D00" w:rsidRPr="00CF1787">
        <w:rPr>
          <w:lang w:val="es-CR"/>
        </w:rPr>
        <w:t>Alegado r</w:t>
      </w:r>
      <w:r w:rsidRPr="00CF1787">
        <w:rPr>
          <w:lang w:val="es-CR"/>
        </w:rPr>
        <w:t xml:space="preserve">etardo injustificado en la tramitación de la causa ante la </w:t>
      </w:r>
      <w:bookmarkEnd w:id="220"/>
      <w:r w:rsidR="009F5D00" w:rsidRPr="00CF1787">
        <w:rPr>
          <w:lang w:val="es-CR"/>
        </w:rPr>
        <w:t>Comisión</w:t>
      </w:r>
      <w:bookmarkEnd w:id="221"/>
    </w:p>
    <w:p w14:paraId="4B946998" w14:textId="77777777" w:rsidR="008C2925" w:rsidRPr="00CF1787" w:rsidRDefault="008C2925" w:rsidP="008C2925">
      <w:pPr>
        <w:pStyle w:val="NoSpacing"/>
        <w:tabs>
          <w:tab w:val="left" w:pos="567"/>
        </w:tabs>
        <w:rPr>
          <w:lang w:val="es-CR"/>
        </w:rPr>
      </w:pPr>
    </w:p>
    <w:p w14:paraId="48829912" w14:textId="77777777" w:rsidR="00904CC4" w:rsidRPr="00CF1787" w:rsidRDefault="008C2925" w:rsidP="00904CC4">
      <w:pPr>
        <w:pStyle w:val="NoSpacing"/>
        <w:numPr>
          <w:ilvl w:val="0"/>
          <w:numId w:val="5"/>
        </w:numPr>
        <w:tabs>
          <w:tab w:val="left" w:pos="567"/>
        </w:tabs>
        <w:ind w:left="0" w:firstLine="0"/>
        <w:rPr>
          <w:spacing w:val="-2"/>
          <w:szCs w:val="20"/>
          <w:lang w:val="es-CR"/>
        </w:rPr>
      </w:pPr>
      <w:r w:rsidRPr="00CF1787">
        <w:rPr>
          <w:lang w:val="es-CR"/>
        </w:rPr>
        <w:t xml:space="preserve">El </w:t>
      </w:r>
      <w:r w:rsidRPr="00CF1787">
        <w:rPr>
          <w:b/>
          <w:i/>
          <w:lang w:val="es-CR"/>
        </w:rPr>
        <w:t>Estado</w:t>
      </w:r>
      <w:r w:rsidRPr="00CF1787">
        <w:rPr>
          <w:i/>
          <w:lang w:val="es-CR"/>
        </w:rPr>
        <w:t xml:space="preserve"> </w:t>
      </w:r>
      <w:r w:rsidRPr="00CF1787">
        <w:rPr>
          <w:lang w:val="es-CR"/>
        </w:rPr>
        <w:t xml:space="preserve">alegó que la Comisión “ha violentado el derecho a la defensa del Estado por el retardo injustificado en la tramitación de la petición”, la cual ha tardado más de veinte años. Lo anterior es “evidentemente desproporcionado y ocasiona sin dudarlo, afectaciones concretas al Estado puesto que al no ser juzgado dentro de un plazo razonable genera que el Ecuador se encuentre durante mucho tiempo bajo acusación, circunstancia que conlleva a una imagen errónea del país”. Por tanto, solicitó a la Corte que realizara “un control de legalidad respecto a la presunta vulneración del artículo 8.1 de la CADH vinculado al plazo razonable”. La </w:t>
      </w:r>
      <w:r w:rsidRPr="00CF1787">
        <w:rPr>
          <w:b/>
          <w:i/>
          <w:lang w:val="es-CR"/>
        </w:rPr>
        <w:t>Comisión</w:t>
      </w:r>
      <w:r w:rsidRPr="00CF1787">
        <w:rPr>
          <w:lang w:val="es-CR"/>
        </w:rPr>
        <w:t xml:space="preserve"> alegó que “el Estado no ha cuestionado que pudo ejercitar sus derechos procesales frente a las pruebas y observaciones realizadas por los peticionarios durante el tiempo en que el caso estuvo en trámite”. Además indicó que “se ha mantenido un diálogo permanente con los actores del sistema en relación con los recursos limitados para el procesamiento de las peticiones </w:t>
      </w:r>
      <w:r w:rsidRPr="00CF1787">
        <w:rPr>
          <w:szCs w:val="20"/>
          <w:lang w:val="es-CR"/>
        </w:rPr>
        <w:t>individuales”, así como “estudiado y emprendido algunas estrategias dirigidas a combatir el atraso procesal”.</w:t>
      </w:r>
    </w:p>
    <w:p w14:paraId="037E81C5" w14:textId="41138060" w:rsidR="008C2925" w:rsidRPr="00CF1787" w:rsidRDefault="008C2925" w:rsidP="00904CC4">
      <w:pPr>
        <w:pStyle w:val="NoSpacing"/>
        <w:tabs>
          <w:tab w:val="left" w:pos="567"/>
        </w:tabs>
        <w:rPr>
          <w:spacing w:val="-2"/>
          <w:szCs w:val="20"/>
          <w:lang w:val="es-CR"/>
        </w:rPr>
      </w:pPr>
    </w:p>
    <w:p w14:paraId="274506D5" w14:textId="77777777" w:rsidR="008C2925" w:rsidRPr="00CF1787" w:rsidRDefault="008C2925" w:rsidP="008C2925">
      <w:pPr>
        <w:pStyle w:val="NoSpacing"/>
        <w:numPr>
          <w:ilvl w:val="0"/>
          <w:numId w:val="5"/>
        </w:numPr>
        <w:tabs>
          <w:tab w:val="left" w:pos="567"/>
        </w:tabs>
        <w:ind w:left="0" w:firstLine="0"/>
        <w:rPr>
          <w:spacing w:val="-2"/>
          <w:szCs w:val="20"/>
          <w:lang w:val="es-CR"/>
        </w:rPr>
      </w:pPr>
      <w:r w:rsidRPr="00CF1787">
        <w:rPr>
          <w:szCs w:val="20"/>
          <w:lang w:val="es-CR"/>
        </w:rPr>
        <w:t xml:space="preserve">La Corte considera que el paso del tiempo distorsiona la efectividad de la decisión jurisdiccional en varios sentidos. La doctrina procesal reconoce que afecta la seguridad jurídica en caso de procesos de partes y que afecta a los posibles responsables en caso de procesos dispositivos que terminan en la aplicación de sanciones. Este es el principal fundamento de la prescripción en ambas modalidades procesales. Es obvio también, en el caso de procesos que terminan en la aplicación de sanciones, que la disolución de pruebas por el paso del tiempo afecta el derecho de defensa. Justamente se ha considerado que la imprescriptibilidad es excepcional y nunca puede ser la regla. La imprescriptibilidad general es una característica autoritaria por la alta lesividad al derecho de defensa. </w:t>
      </w:r>
    </w:p>
    <w:p w14:paraId="1E23EFEC" w14:textId="77777777" w:rsidR="008C2925" w:rsidRPr="00CF1787" w:rsidRDefault="008C2925" w:rsidP="008C2925">
      <w:pPr>
        <w:pStyle w:val="NoSpacing"/>
        <w:tabs>
          <w:tab w:val="left" w:pos="567"/>
        </w:tabs>
        <w:rPr>
          <w:spacing w:val="-2"/>
          <w:szCs w:val="20"/>
          <w:lang w:val="es-CR"/>
        </w:rPr>
      </w:pPr>
    </w:p>
    <w:p w14:paraId="63B802B4" w14:textId="77777777" w:rsidR="008C2925" w:rsidRPr="00CF1787" w:rsidRDefault="008C2925" w:rsidP="008C2925">
      <w:pPr>
        <w:pStyle w:val="NoSpacing"/>
        <w:numPr>
          <w:ilvl w:val="0"/>
          <w:numId w:val="5"/>
        </w:numPr>
        <w:tabs>
          <w:tab w:val="left" w:pos="567"/>
        </w:tabs>
        <w:ind w:left="0" w:firstLine="0"/>
        <w:rPr>
          <w:spacing w:val="-2"/>
          <w:szCs w:val="20"/>
          <w:lang w:val="es-CR"/>
        </w:rPr>
      </w:pPr>
      <w:r w:rsidRPr="00CF1787">
        <w:rPr>
          <w:szCs w:val="20"/>
          <w:lang w:val="es-CR"/>
        </w:rPr>
        <w:lastRenderedPageBreak/>
        <w:t xml:space="preserve">Si bien la Comisión tiene la potestad de seleccionar casos, no obstante es inadmisible una demora temporal prácticamente indefinida, que afecte el derecho de acceso a la justicia de las presuntas víctimas o usuarios del sistema. Pero al mismo tiempo, la demora temporal por décadas sería </w:t>
      </w:r>
      <w:proofErr w:type="spellStart"/>
      <w:r w:rsidRPr="00CF1787">
        <w:rPr>
          <w:szCs w:val="20"/>
          <w:lang w:val="es-CR"/>
        </w:rPr>
        <w:t>suceptible</w:t>
      </w:r>
      <w:proofErr w:type="spellEnd"/>
      <w:r w:rsidRPr="00CF1787">
        <w:rPr>
          <w:szCs w:val="20"/>
          <w:lang w:val="es-CR"/>
        </w:rPr>
        <w:t xml:space="preserve"> de vulnerar el derecho de defensa de los Estados. En el presente caso, como en otros, es el Estado quien invoca la pretendida lesión a su derecho de defensa.</w:t>
      </w:r>
    </w:p>
    <w:p w14:paraId="254CA8A8" w14:textId="77777777" w:rsidR="008C2925" w:rsidRPr="00CF1787" w:rsidRDefault="008C2925" w:rsidP="008C2925">
      <w:pPr>
        <w:pStyle w:val="NoSpacing"/>
        <w:tabs>
          <w:tab w:val="left" w:pos="567"/>
        </w:tabs>
        <w:rPr>
          <w:spacing w:val="-2"/>
          <w:szCs w:val="20"/>
          <w:lang w:val="es-CR"/>
        </w:rPr>
      </w:pPr>
    </w:p>
    <w:p w14:paraId="08EEF2C7" w14:textId="77777777" w:rsidR="008C2925" w:rsidRPr="00CF1787" w:rsidRDefault="008C2925" w:rsidP="008C2925">
      <w:pPr>
        <w:pStyle w:val="NoSpacing"/>
        <w:numPr>
          <w:ilvl w:val="0"/>
          <w:numId w:val="5"/>
        </w:numPr>
        <w:tabs>
          <w:tab w:val="left" w:pos="567"/>
        </w:tabs>
        <w:ind w:left="0" w:firstLine="0"/>
        <w:rPr>
          <w:spacing w:val="-2"/>
          <w:szCs w:val="20"/>
          <w:lang w:val="es-CR"/>
        </w:rPr>
      </w:pPr>
      <w:r w:rsidRPr="00CF1787">
        <w:rPr>
          <w:szCs w:val="20"/>
          <w:lang w:val="es-CR"/>
        </w:rPr>
        <w:t>Es verdad que la demora temporal provoca un debilitamiento de la prueba en razón de que los funcionarios responsables han dejado de ejercer funciones, los registros se han perdido, los archivos se han destruido o se ignoran, la memoria afecta los testimonios, testigos y víctimas han fallecido o no se los localiza, entre otros. No obstante, esta demora afecta de manera más acentuada a las víctimas, quienes no tendrían que soportar los efectos adversos de esta tardanza.</w:t>
      </w:r>
    </w:p>
    <w:p w14:paraId="51E4632E" w14:textId="77777777" w:rsidR="008C2925" w:rsidRPr="00CF1787" w:rsidRDefault="008C2925" w:rsidP="008C2925">
      <w:pPr>
        <w:pStyle w:val="NoSpacing"/>
        <w:tabs>
          <w:tab w:val="left" w:pos="567"/>
        </w:tabs>
        <w:rPr>
          <w:spacing w:val="-2"/>
          <w:szCs w:val="20"/>
          <w:lang w:val="es-CR"/>
        </w:rPr>
      </w:pPr>
    </w:p>
    <w:p w14:paraId="41BDBFF7" w14:textId="77777777" w:rsidR="008C2925" w:rsidRPr="00CF1787" w:rsidRDefault="008C2925" w:rsidP="008C2925">
      <w:pPr>
        <w:pStyle w:val="NoSpacing"/>
        <w:numPr>
          <w:ilvl w:val="0"/>
          <w:numId w:val="5"/>
        </w:numPr>
        <w:tabs>
          <w:tab w:val="left" w:pos="567"/>
        </w:tabs>
        <w:ind w:left="0" w:firstLine="0"/>
        <w:rPr>
          <w:spacing w:val="-2"/>
          <w:szCs w:val="20"/>
          <w:lang w:val="es-CR"/>
        </w:rPr>
      </w:pPr>
      <w:r w:rsidRPr="00CF1787">
        <w:rPr>
          <w:szCs w:val="20"/>
          <w:lang w:val="es-CR"/>
        </w:rPr>
        <w:t xml:space="preserve">La responsabilidad de este efecto no puede recaer en la Comisión, dado que es notorio que la demora temporal podría obedecer, entre otras razones, a la inadecuación del sistema a los requerimientos de los usuarios, lo que podría provenir de una omisión por parte de los Estados, no en forma individual, sino colectivamente. En síntesis: el reclamo de los Estados en cuanto a la afectación de su derecho de defensa, podría provenir directamente de su omisión colectiva de proveer a la eficacia del sistema mediante la adecuación de su infraestructura material y humana a las crecientes demandas de los beneficiarios de su servicio. </w:t>
      </w:r>
    </w:p>
    <w:p w14:paraId="277A41EC" w14:textId="77777777" w:rsidR="008C2925" w:rsidRPr="00CF1787" w:rsidRDefault="008C2925" w:rsidP="008C2925">
      <w:pPr>
        <w:pStyle w:val="NoSpacing"/>
        <w:tabs>
          <w:tab w:val="left" w:pos="567"/>
        </w:tabs>
        <w:rPr>
          <w:spacing w:val="-2"/>
          <w:szCs w:val="20"/>
          <w:lang w:val="es-CR"/>
        </w:rPr>
      </w:pPr>
    </w:p>
    <w:p w14:paraId="183FB063" w14:textId="77777777" w:rsidR="008C2925" w:rsidRPr="00CF1787" w:rsidRDefault="008C2925" w:rsidP="008C2925">
      <w:pPr>
        <w:pStyle w:val="NoSpacing"/>
        <w:numPr>
          <w:ilvl w:val="0"/>
          <w:numId w:val="5"/>
        </w:numPr>
        <w:tabs>
          <w:tab w:val="left" w:pos="567"/>
        </w:tabs>
        <w:ind w:left="0" w:firstLine="0"/>
        <w:rPr>
          <w:spacing w:val="-2"/>
          <w:szCs w:val="20"/>
          <w:lang w:val="es-CR"/>
        </w:rPr>
      </w:pPr>
      <w:r w:rsidRPr="00CF1787">
        <w:rPr>
          <w:szCs w:val="20"/>
          <w:lang w:val="es-CR"/>
        </w:rPr>
        <w:t xml:space="preserve">Sin perjuicio de lo anterior, de hacer lugar a la excepción preliminar presentada por el Estado en razón de la demora temporal, se privaría del derecho de acceso a la justicia a las presuntas víctimas debido a faltas que podrían ser colectivamente atribuibles a los propios Estados, lo que violaría la clásica regla que nadie puede alegar a su favor su propia omisión. </w:t>
      </w:r>
    </w:p>
    <w:p w14:paraId="5E5E7B89" w14:textId="77777777" w:rsidR="008C2925" w:rsidRPr="00CF1787" w:rsidRDefault="008C2925" w:rsidP="008C2925">
      <w:pPr>
        <w:pStyle w:val="ListParagraph"/>
        <w:numPr>
          <w:ilvl w:val="0"/>
          <w:numId w:val="0"/>
        </w:numPr>
        <w:ind w:left="720"/>
        <w:rPr>
          <w:spacing w:val="-2"/>
          <w:lang w:val="es-CR"/>
        </w:rPr>
      </w:pPr>
    </w:p>
    <w:p w14:paraId="69B63219" w14:textId="62B50289" w:rsidR="008C2925" w:rsidRPr="00CF1787" w:rsidRDefault="008C2925" w:rsidP="008C2925">
      <w:pPr>
        <w:pStyle w:val="NoSpacing"/>
        <w:numPr>
          <w:ilvl w:val="0"/>
          <w:numId w:val="5"/>
        </w:numPr>
        <w:tabs>
          <w:tab w:val="left" w:pos="567"/>
        </w:tabs>
        <w:ind w:left="0" w:firstLine="0"/>
        <w:rPr>
          <w:spacing w:val="-2"/>
          <w:lang w:val="es-CR"/>
        </w:rPr>
      </w:pPr>
      <w:bookmarkStart w:id="222" w:name="_Ref462933471"/>
      <w:r w:rsidRPr="00CF1787">
        <w:rPr>
          <w:spacing w:val="-2"/>
          <w:szCs w:val="20"/>
          <w:lang w:val="es-CR"/>
        </w:rPr>
        <w:t xml:space="preserve">Por tanto, este Tribunal </w:t>
      </w:r>
      <w:r w:rsidR="00904CC4" w:rsidRPr="00CF1787">
        <w:rPr>
          <w:spacing w:val="-2"/>
          <w:szCs w:val="20"/>
          <w:lang w:val="es-CR"/>
        </w:rPr>
        <w:t xml:space="preserve">también </w:t>
      </w:r>
      <w:r w:rsidRPr="00CF1787">
        <w:rPr>
          <w:spacing w:val="-2"/>
          <w:szCs w:val="20"/>
          <w:lang w:val="es-CR"/>
        </w:rPr>
        <w:t xml:space="preserve">desestima </w:t>
      </w:r>
      <w:r w:rsidR="00904CC4" w:rsidRPr="00CF1787">
        <w:rPr>
          <w:spacing w:val="-2"/>
          <w:szCs w:val="20"/>
          <w:lang w:val="es-CR"/>
        </w:rPr>
        <w:t xml:space="preserve">este extremo de la </w:t>
      </w:r>
      <w:r w:rsidRPr="00CF1787">
        <w:rPr>
          <w:spacing w:val="-2"/>
          <w:szCs w:val="20"/>
          <w:lang w:val="es-CR"/>
        </w:rPr>
        <w:t>excepción</w:t>
      </w:r>
      <w:r w:rsidRPr="00CF1787">
        <w:rPr>
          <w:spacing w:val="-2"/>
          <w:lang w:val="es-CR"/>
        </w:rPr>
        <w:t xml:space="preserve"> preliminar.</w:t>
      </w:r>
      <w:bookmarkEnd w:id="214"/>
      <w:bookmarkEnd w:id="222"/>
    </w:p>
    <w:p w14:paraId="6FF64205" w14:textId="77777777" w:rsidR="008C2925" w:rsidRPr="00CF1787" w:rsidRDefault="008C2925" w:rsidP="00EC551E">
      <w:pPr>
        <w:rPr>
          <w:lang w:val="es-CR"/>
        </w:rPr>
      </w:pPr>
    </w:p>
    <w:p w14:paraId="117EBC98" w14:textId="77777777" w:rsidR="006A1700" w:rsidRPr="00CF1787" w:rsidRDefault="006A1700" w:rsidP="006A1700">
      <w:pPr>
        <w:pStyle w:val="Heading1"/>
        <w:tabs>
          <w:tab w:val="left" w:pos="567"/>
        </w:tabs>
        <w:rPr>
          <w:spacing w:val="-4"/>
          <w:lang w:val="es-CR"/>
        </w:rPr>
      </w:pPr>
      <w:bookmarkStart w:id="223" w:name="_Toc470098037"/>
      <w:r w:rsidRPr="00CF1787">
        <w:rPr>
          <w:spacing w:val="-4"/>
          <w:lang w:val="es-CR"/>
        </w:rPr>
        <w:t>V</w:t>
      </w:r>
      <w:bookmarkEnd w:id="193"/>
      <w:bookmarkEnd w:id="194"/>
      <w:bookmarkEnd w:id="195"/>
      <w:bookmarkEnd w:id="196"/>
      <w:bookmarkEnd w:id="197"/>
      <w:bookmarkEnd w:id="223"/>
    </w:p>
    <w:p w14:paraId="4615D408" w14:textId="77777777" w:rsidR="006A1700" w:rsidRPr="00CF1787" w:rsidRDefault="006A1700" w:rsidP="006A1700">
      <w:pPr>
        <w:pStyle w:val="Heading1"/>
        <w:tabs>
          <w:tab w:val="left" w:pos="567"/>
        </w:tabs>
        <w:rPr>
          <w:spacing w:val="-4"/>
          <w:lang w:val="es-CR"/>
        </w:rPr>
      </w:pPr>
      <w:bookmarkStart w:id="224" w:name="_Toc424834005"/>
      <w:bookmarkStart w:id="225" w:name="_Toc424834689"/>
      <w:bookmarkStart w:id="226" w:name="_Toc424834756"/>
      <w:bookmarkStart w:id="227" w:name="_Toc427234544"/>
      <w:bookmarkStart w:id="228" w:name="_Toc427342833"/>
      <w:bookmarkStart w:id="229" w:name="_Toc427663819"/>
      <w:bookmarkStart w:id="230" w:name="_Toc427932795"/>
      <w:bookmarkStart w:id="231" w:name="_Toc427943558"/>
      <w:bookmarkStart w:id="232" w:name="_Toc427943732"/>
      <w:bookmarkStart w:id="233" w:name="_Toc431584612"/>
      <w:bookmarkStart w:id="234" w:name="_Toc431584728"/>
      <w:bookmarkStart w:id="235" w:name="_Toc431585033"/>
      <w:bookmarkStart w:id="236" w:name="_Toc431646550"/>
      <w:bookmarkStart w:id="237" w:name="_Toc431834629"/>
      <w:bookmarkStart w:id="238" w:name="_Toc308537934"/>
      <w:bookmarkStart w:id="239" w:name="_Toc308538154"/>
      <w:bookmarkStart w:id="240" w:name="_Toc434849921"/>
      <w:bookmarkStart w:id="241" w:name="_Toc434850400"/>
      <w:bookmarkStart w:id="242" w:name="_Toc461791318"/>
      <w:bookmarkStart w:id="243" w:name="_Toc461796002"/>
      <w:bookmarkStart w:id="244" w:name="_Toc462157398"/>
      <w:bookmarkStart w:id="245" w:name="_Toc462157894"/>
      <w:bookmarkStart w:id="246" w:name="_Toc462869986"/>
      <w:bookmarkStart w:id="247" w:name="_Toc462934238"/>
      <w:bookmarkStart w:id="248" w:name="_Toc465177365"/>
      <w:bookmarkStart w:id="249" w:name="_Toc465184265"/>
      <w:bookmarkStart w:id="250" w:name="_Toc467854795"/>
      <w:bookmarkStart w:id="251" w:name="_Toc468281913"/>
      <w:bookmarkStart w:id="252" w:name="_Toc470001205"/>
      <w:bookmarkStart w:id="253" w:name="_Toc470098038"/>
      <w:r w:rsidRPr="00CF1787">
        <w:rPr>
          <w:spacing w:val="-4"/>
          <w:lang w:val="es-CR"/>
        </w:rPr>
        <w:t>PRUEBA</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4E741551" w14:textId="77777777" w:rsidR="006A1700" w:rsidRPr="00CF1787" w:rsidRDefault="006A1700" w:rsidP="006A1700">
      <w:pPr>
        <w:pStyle w:val="NoSpacing"/>
        <w:tabs>
          <w:tab w:val="left" w:pos="567"/>
        </w:tabs>
        <w:jc w:val="center"/>
        <w:rPr>
          <w:b/>
          <w:spacing w:val="-4"/>
          <w:szCs w:val="20"/>
          <w:lang w:val="es-CR" w:eastAsia="es-MX"/>
        </w:rPr>
      </w:pPr>
    </w:p>
    <w:p w14:paraId="5662992B" w14:textId="77777777" w:rsidR="006A1700" w:rsidRPr="00CF1787" w:rsidRDefault="006A1700" w:rsidP="006A1700">
      <w:pPr>
        <w:pStyle w:val="Heading2"/>
        <w:rPr>
          <w:lang w:val="es-CR"/>
        </w:rPr>
      </w:pPr>
      <w:bookmarkStart w:id="254" w:name="_Toc424834690"/>
      <w:bookmarkStart w:id="255" w:name="_Toc427932796"/>
      <w:bookmarkStart w:id="256" w:name="_Toc431584613"/>
      <w:bookmarkStart w:id="257" w:name="_Toc434850401"/>
      <w:bookmarkStart w:id="258" w:name="_Toc465177366"/>
      <w:bookmarkStart w:id="259" w:name="_Toc470098039"/>
      <w:r w:rsidRPr="00CF1787">
        <w:rPr>
          <w:lang w:val="es-CR"/>
        </w:rPr>
        <w:t>Prueba documental, testimonial y pericial</w:t>
      </w:r>
      <w:bookmarkEnd w:id="254"/>
      <w:bookmarkEnd w:id="255"/>
      <w:bookmarkEnd w:id="256"/>
      <w:bookmarkEnd w:id="257"/>
      <w:bookmarkEnd w:id="258"/>
      <w:bookmarkEnd w:id="259"/>
    </w:p>
    <w:p w14:paraId="1F9AF12C" w14:textId="77777777" w:rsidR="006A1700" w:rsidRPr="00CF1787" w:rsidRDefault="006A1700" w:rsidP="006A1700">
      <w:pPr>
        <w:pStyle w:val="NoSpacing"/>
        <w:tabs>
          <w:tab w:val="left" w:pos="567"/>
        </w:tabs>
        <w:rPr>
          <w:spacing w:val="-2"/>
          <w:lang w:val="es-CR"/>
        </w:rPr>
      </w:pPr>
    </w:p>
    <w:p w14:paraId="1622E3B4" w14:textId="3183F398" w:rsidR="006A1700" w:rsidRPr="00CF1787" w:rsidRDefault="007754D7" w:rsidP="006A1700">
      <w:pPr>
        <w:pStyle w:val="NoSpacing"/>
        <w:numPr>
          <w:ilvl w:val="0"/>
          <w:numId w:val="5"/>
        </w:numPr>
        <w:tabs>
          <w:tab w:val="left" w:pos="567"/>
        </w:tabs>
        <w:ind w:left="0" w:firstLine="0"/>
        <w:rPr>
          <w:spacing w:val="-2"/>
          <w:lang w:val="es-CR"/>
        </w:rPr>
      </w:pPr>
      <w:r w:rsidRPr="00CF1787">
        <w:rPr>
          <w:lang w:val="es-CR"/>
        </w:rPr>
        <w:t>Este Tribunal recibió diversos documentos presentados como prueba por la Comisión y las partes, adjuntos a sus escritos principales (</w:t>
      </w:r>
      <w:r w:rsidRPr="00CF1787">
        <w:rPr>
          <w:i/>
          <w:lang w:val="es-CR"/>
        </w:rPr>
        <w:t xml:space="preserve">supra </w:t>
      </w:r>
      <w:proofErr w:type="spellStart"/>
      <w:r w:rsidR="00F45A43" w:rsidRPr="00CF1787">
        <w:rPr>
          <w:lang w:val="es-CR"/>
        </w:rPr>
        <w:t>párrs</w:t>
      </w:r>
      <w:proofErr w:type="spellEnd"/>
      <w:r w:rsidR="00F45A43" w:rsidRPr="00CF1787">
        <w:rPr>
          <w:lang w:val="es-CR"/>
        </w:rPr>
        <w:t xml:space="preserve">. </w:t>
      </w:r>
      <w:r w:rsidR="00573468" w:rsidRPr="00CF1787">
        <w:rPr>
          <w:lang w:val="es-CR"/>
        </w:rPr>
        <w:fldChar w:fldCharType="begin"/>
      </w:r>
      <w:r w:rsidR="00F45A43" w:rsidRPr="00CF1787">
        <w:rPr>
          <w:lang w:val="es-CR"/>
        </w:rPr>
        <w:instrText xml:space="preserve"> </w:instrText>
      </w:r>
      <w:r w:rsidR="00796426" w:rsidRPr="00CF1787">
        <w:rPr>
          <w:lang w:val="es-CR"/>
        </w:rPr>
        <w:instrText>REF</w:instrText>
      </w:r>
      <w:r w:rsidR="00F45A43" w:rsidRPr="00CF1787">
        <w:rPr>
          <w:lang w:val="es-CR"/>
        </w:rPr>
        <w:instrText xml:space="preserve"> _Ref458436811 \r \h </w:instrText>
      </w:r>
      <w:r w:rsidR="005F192F" w:rsidRPr="00CF1787">
        <w:rPr>
          <w:lang w:val="es-CR"/>
        </w:rPr>
        <w:instrText xml:space="preserve"> \* MERGEFORMAT </w:instrText>
      </w:r>
      <w:r w:rsidR="00573468" w:rsidRPr="00CF1787">
        <w:rPr>
          <w:lang w:val="es-CR"/>
        </w:rPr>
      </w:r>
      <w:r w:rsidR="00573468" w:rsidRPr="00CF1787">
        <w:rPr>
          <w:lang w:val="es-CR"/>
        </w:rPr>
        <w:fldChar w:fldCharType="separate"/>
      </w:r>
      <w:r w:rsidR="00536893">
        <w:rPr>
          <w:lang w:val="es-CR"/>
        </w:rPr>
        <w:t>3</w:t>
      </w:r>
      <w:r w:rsidR="00573468" w:rsidRPr="00CF1787">
        <w:rPr>
          <w:lang w:val="es-CR"/>
        </w:rPr>
        <w:fldChar w:fldCharType="end"/>
      </w:r>
      <w:r w:rsidRPr="00CF1787">
        <w:rPr>
          <w:lang w:val="es-CR"/>
        </w:rPr>
        <w:t xml:space="preserve">, </w:t>
      </w:r>
      <w:r w:rsidR="00573468" w:rsidRPr="00CF1787">
        <w:rPr>
          <w:lang w:val="es-CR"/>
        </w:rPr>
        <w:fldChar w:fldCharType="begin"/>
      </w:r>
      <w:r w:rsidR="00F45A43" w:rsidRPr="00CF1787">
        <w:rPr>
          <w:lang w:val="es-CR"/>
        </w:rPr>
        <w:instrText xml:space="preserve"> </w:instrText>
      </w:r>
      <w:r w:rsidR="00796426" w:rsidRPr="00CF1787">
        <w:rPr>
          <w:lang w:val="es-CR"/>
        </w:rPr>
        <w:instrText>REF</w:instrText>
      </w:r>
      <w:r w:rsidR="00F45A43" w:rsidRPr="00CF1787">
        <w:rPr>
          <w:lang w:val="es-CR"/>
        </w:rPr>
        <w:instrText xml:space="preserve"> _Ref458436768 \r \h </w:instrText>
      </w:r>
      <w:r w:rsidR="005F192F" w:rsidRPr="00CF1787">
        <w:rPr>
          <w:lang w:val="es-CR"/>
        </w:rPr>
        <w:instrText xml:space="preserve"> \* MERGEFORMAT </w:instrText>
      </w:r>
      <w:r w:rsidR="00573468" w:rsidRPr="00CF1787">
        <w:rPr>
          <w:lang w:val="es-CR"/>
        </w:rPr>
      </w:r>
      <w:r w:rsidR="00573468" w:rsidRPr="00CF1787">
        <w:rPr>
          <w:lang w:val="es-CR"/>
        </w:rPr>
        <w:fldChar w:fldCharType="separate"/>
      </w:r>
      <w:r w:rsidR="00536893">
        <w:rPr>
          <w:lang w:val="es-CR"/>
        </w:rPr>
        <w:t>6</w:t>
      </w:r>
      <w:r w:rsidR="00573468" w:rsidRPr="00CF1787">
        <w:rPr>
          <w:lang w:val="es-CR"/>
        </w:rPr>
        <w:fldChar w:fldCharType="end"/>
      </w:r>
      <w:r w:rsidRPr="00CF1787">
        <w:rPr>
          <w:lang w:val="es-CR"/>
        </w:rPr>
        <w:t xml:space="preserve"> y</w:t>
      </w:r>
      <w:r w:rsidR="00F45A43" w:rsidRPr="00CF1787">
        <w:rPr>
          <w:lang w:val="es-CR"/>
        </w:rPr>
        <w:t xml:space="preserve"> </w:t>
      </w:r>
      <w:r w:rsidR="00573468" w:rsidRPr="00CF1787">
        <w:rPr>
          <w:lang w:val="es-CR"/>
        </w:rPr>
        <w:fldChar w:fldCharType="begin"/>
      </w:r>
      <w:r w:rsidR="00F45A43" w:rsidRPr="00CF1787">
        <w:rPr>
          <w:lang w:val="es-CR"/>
        </w:rPr>
        <w:instrText xml:space="preserve"> </w:instrText>
      </w:r>
      <w:r w:rsidR="00796426" w:rsidRPr="00CF1787">
        <w:rPr>
          <w:lang w:val="es-CR"/>
        </w:rPr>
        <w:instrText>REF</w:instrText>
      </w:r>
      <w:r w:rsidR="00F45A43" w:rsidRPr="00CF1787">
        <w:rPr>
          <w:lang w:val="es-CR"/>
        </w:rPr>
        <w:instrText xml:space="preserve"> _Ref458436784 \r \h </w:instrText>
      </w:r>
      <w:r w:rsidR="005F192F" w:rsidRPr="00CF1787">
        <w:rPr>
          <w:lang w:val="es-CR"/>
        </w:rPr>
        <w:instrText xml:space="preserve"> \* MERGEFORMAT </w:instrText>
      </w:r>
      <w:r w:rsidR="00573468" w:rsidRPr="00CF1787">
        <w:rPr>
          <w:lang w:val="es-CR"/>
        </w:rPr>
      </w:r>
      <w:r w:rsidR="00573468" w:rsidRPr="00CF1787">
        <w:rPr>
          <w:lang w:val="es-CR"/>
        </w:rPr>
        <w:fldChar w:fldCharType="separate"/>
      </w:r>
      <w:r w:rsidR="00536893">
        <w:rPr>
          <w:lang w:val="es-CR"/>
        </w:rPr>
        <w:t>7</w:t>
      </w:r>
      <w:r w:rsidR="00573468" w:rsidRPr="00CF1787">
        <w:rPr>
          <w:lang w:val="es-CR"/>
        </w:rPr>
        <w:fldChar w:fldCharType="end"/>
      </w:r>
      <w:r w:rsidRPr="00CF1787">
        <w:rPr>
          <w:lang w:val="es-CR"/>
        </w:rPr>
        <w:t>). De igual forma, la Corte recibió de las partes, documentos solicitados por los jueces de este Tribunal como prueba para mejor resolver, de conformidad co</w:t>
      </w:r>
      <w:r w:rsidR="00F45A43" w:rsidRPr="00CF1787">
        <w:rPr>
          <w:lang w:val="es-CR"/>
        </w:rPr>
        <w:t>n el artículo 58 del Reglamento</w:t>
      </w:r>
      <w:r w:rsidRPr="00CF1787">
        <w:rPr>
          <w:lang w:val="es-CR"/>
        </w:rPr>
        <w:t xml:space="preserve"> </w:t>
      </w:r>
      <w:r w:rsidR="00F45A43" w:rsidRPr="00CF1787">
        <w:rPr>
          <w:lang w:val="es-CR"/>
        </w:rPr>
        <w:t>(</w:t>
      </w:r>
      <w:r w:rsidR="00F45A43" w:rsidRPr="00CF1787">
        <w:rPr>
          <w:i/>
          <w:lang w:val="es-CR"/>
        </w:rPr>
        <w:t xml:space="preserve">supra </w:t>
      </w:r>
      <w:proofErr w:type="spellStart"/>
      <w:r w:rsidR="00F45A43" w:rsidRPr="00CF1787">
        <w:rPr>
          <w:lang w:val="es-CR"/>
        </w:rPr>
        <w:t>párr</w:t>
      </w:r>
      <w:r w:rsidR="00904CC4" w:rsidRPr="00CF1787">
        <w:rPr>
          <w:lang w:val="es-CR"/>
        </w:rPr>
        <w:t>s</w:t>
      </w:r>
      <w:proofErr w:type="spellEnd"/>
      <w:r w:rsidR="00F45A43" w:rsidRPr="00CF1787">
        <w:rPr>
          <w:lang w:val="es-CR"/>
        </w:rPr>
        <w:t xml:space="preserve">. </w:t>
      </w:r>
      <w:r w:rsidR="00904CC4" w:rsidRPr="00CF1787">
        <w:rPr>
          <w:lang w:val="es-CR"/>
        </w:rPr>
        <w:fldChar w:fldCharType="begin"/>
      </w:r>
      <w:r w:rsidR="00904CC4" w:rsidRPr="00CF1787">
        <w:rPr>
          <w:lang w:val="es-CR"/>
        </w:rPr>
        <w:instrText xml:space="preserve"> REF _Ref457915339 \r \h </w:instrText>
      </w:r>
      <w:r w:rsidR="00CF1787">
        <w:rPr>
          <w:lang w:val="es-CR"/>
        </w:rPr>
        <w:instrText xml:space="preserve"> \* MERGEFORMAT </w:instrText>
      </w:r>
      <w:r w:rsidR="00904CC4" w:rsidRPr="00CF1787">
        <w:rPr>
          <w:lang w:val="es-CR"/>
        </w:rPr>
      </w:r>
      <w:r w:rsidR="00904CC4" w:rsidRPr="00CF1787">
        <w:rPr>
          <w:lang w:val="es-CR"/>
        </w:rPr>
        <w:fldChar w:fldCharType="separate"/>
      </w:r>
      <w:r w:rsidR="00536893">
        <w:rPr>
          <w:lang w:val="es-CR"/>
        </w:rPr>
        <w:t>9</w:t>
      </w:r>
      <w:r w:rsidR="00904CC4" w:rsidRPr="00CF1787">
        <w:rPr>
          <w:lang w:val="es-CR"/>
        </w:rPr>
        <w:fldChar w:fldCharType="end"/>
      </w:r>
      <w:r w:rsidR="00904CC4" w:rsidRPr="00CF1787">
        <w:rPr>
          <w:lang w:val="es-CR"/>
        </w:rPr>
        <w:t xml:space="preserve">, </w:t>
      </w:r>
      <w:r w:rsidR="00904CC4" w:rsidRPr="00CF1787">
        <w:rPr>
          <w:lang w:val="es-CR"/>
        </w:rPr>
        <w:fldChar w:fldCharType="begin"/>
      </w:r>
      <w:r w:rsidR="00904CC4" w:rsidRPr="00CF1787">
        <w:rPr>
          <w:lang w:val="es-CR"/>
        </w:rPr>
        <w:instrText xml:space="preserve"> REF _Ref470090988 \r \h </w:instrText>
      </w:r>
      <w:r w:rsidR="00CF1787">
        <w:rPr>
          <w:lang w:val="es-CR"/>
        </w:rPr>
        <w:instrText xml:space="preserve"> \* MERGEFORMAT </w:instrText>
      </w:r>
      <w:r w:rsidR="00904CC4" w:rsidRPr="00CF1787">
        <w:rPr>
          <w:lang w:val="es-CR"/>
        </w:rPr>
      </w:r>
      <w:r w:rsidR="00904CC4" w:rsidRPr="00CF1787">
        <w:rPr>
          <w:lang w:val="es-CR"/>
        </w:rPr>
        <w:fldChar w:fldCharType="separate"/>
      </w:r>
      <w:r w:rsidR="00536893">
        <w:rPr>
          <w:lang w:val="es-CR"/>
        </w:rPr>
        <w:t>10</w:t>
      </w:r>
      <w:r w:rsidR="00904CC4" w:rsidRPr="00CF1787">
        <w:rPr>
          <w:lang w:val="es-CR"/>
        </w:rPr>
        <w:fldChar w:fldCharType="end"/>
      </w:r>
      <w:r w:rsidR="00904CC4" w:rsidRPr="00CF1787">
        <w:rPr>
          <w:lang w:val="es-CR"/>
        </w:rPr>
        <w:t xml:space="preserve"> y </w:t>
      </w:r>
      <w:r w:rsidR="001D29E7" w:rsidRPr="00CF1787">
        <w:fldChar w:fldCharType="begin"/>
      </w:r>
      <w:r w:rsidR="001D29E7" w:rsidRPr="00CF1787">
        <w:instrText xml:space="preserve"> REF _Ref458436753 \r \h  \* MERGEFORMAT </w:instrText>
      </w:r>
      <w:r w:rsidR="001D29E7" w:rsidRPr="00CF1787">
        <w:fldChar w:fldCharType="separate"/>
      </w:r>
      <w:r w:rsidR="00536893" w:rsidRPr="00536893">
        <w:rPr>
          <w:lang w:val="es-CR"/>
        </w:rPr>
        <w:t>11</w:t>
      </w:r>
      <w:r w:rsidR="001D29E7" w:rsidRPr="00CF1787">
        <w:fldChar w:fldCharType="end"/>
      </w:r>
      <w:r w:rsidR="00F45A43" w:rsidRPr="00CF1787">
        <w:rPr>
          <w:lang w:val="es-CR"/>
        </w:rPr>
        <w:t xml:space="preserve">). </w:t>
      </w:r>
      <w:r w:rsidRPr="00CF1787">
        <w:rPr>
          <w:lang w:val="es-CR"/>
        </w:rPr>
        <w:t>Además, la Corte recibió las declaraciones rendidas ante fedatario público (afidávit) por los testigos Frankl</w:t>
      </w:r>
      <w:r w:rsidR="00674891" w:rsidRPr="00CF1787">
        <w:rPr>
          <w:lang w:val="es-CR"/>
        </w:rPr>
        <w:t>i</w:t>
      </w:r>
      <w:r w:rsidRPr="00CF1787">
        <w:rPr>
          <w:lang w:val="es-CR"/>
        </w:rPr>
        <w:t xml:space="preserve">n Antonio García Espinoza, Ana Teresa García Espinoza, Karen </w:t>
      </w:r>
      <w:r w:rsidR="00014CF2" w:rsidRPr="00CF1787">
        <w:rPr>
          <w:lang w:val="es-CR"/>
        </w:rPr>
        <w:t xml:space="preserve">Alejandra </w:t>
      </w:r>
      <w:r w:rsidRPr="00CF1787">
        <w:rPr>
          <w:lang w:val="es-CR"/>
        </w:rPr>
        <w:t xml:space="preserve">Valencia Trujillo y Rosa Elvira Esparza Hernández, así como el dictamen pericial de </w:t>
      </w:r>
      <w:r w:rsidRPr="00CF1787">
        <w:rPr>
          <w:color w:val="000000"/>
          <w:lang w:val="es-CR"/>
        </w:rPr>
        <w:t>Pedro E. Díaz Romero</w:t>
      </w:r>
      <w:r w:rsidRPr="00CF1787">
        <w:rPr>
          <w:rStyle w:val="FootnoteReference"/>
          <w:lang w:val="es-CR"/>
        </w:rPr>
        <w:footnoteReference w:id="25"/>
      </w:r>
      <w:r w:rsidR="00904CC4" w:rsidRPr="00CF1787">
        <w:rPr>
          <w:color w:val="000000"/>
          <w:lang w:val="es-CR"/>
        </w:rPr>
        <w:t xml:space="preserve"> </w:t>
      </w:r>
      <w:r w:rsidR="00904CC4" w:rsidRPr="00CF1787">
        <w:rPr>
          <w:lang w:val="es-CR"/>
        </w:rPr>
        <w:t>(</w:t>
      </w:r>
      <w:r w:rsidR="00904CC4" w:rsidRPr="00CF1787">
        <w:rPr>
          <w:i/>
          <w:lang w:val="es-CR"/>
        </w:rPr>
        <w:t xml:space="preserve">supra </w:t>
      </w:r>
      <w:r w:rsidR="00904CC4" w:rsidRPr="00CF1787">
        <w:rPr>
          <w:lang w:val="es-CR"/>
        </w:rPr>
        <w:t xml:space="preserve">párr. </w:t>
      </w:r>
      <w:r w:rsidR="00904CC4" w:rsidRPr="00CF1787">
        <w:rPr>
          <w:lang w:val="es-CR"/>
        </w:rPr>
        <w:fldChar w:fldCharType="begin"/>
      </w:r>
      <w:r w:rsidR="00904CC4" w:rsidRPr="00CF1787">
        <w:rPr>
          <w:lang w:val="es-CR"/>
        </w:rPr>
        <w:instrText xml:space="preserve"> REF _Ref457915339 \r \h </w:instrText>
      </w:r>
      <w:r w:rsidR="00CF1787">
        <w:rPr>
          <w:lang w:val="es-CR"/>
        </w:rPr>
        <w:instrText xml:space="preserve"> \* MERGEFORMAT </w:instrText>
      </w:r>
      <w:r w:rsidR="00904CC4" w:rsidRPr="00CF1787">
        <w:rPr>
          <w:lang w:val="es-CR"/>
        </w:rPr>
      </w:r>
      <w:r w:rsidR="00904CC4" w:rsidRPr="00CF1787">
        <w:rPr>
          <w:lang w:val="es-CR"/>
        </w:rPr>
        <w:fldChar w:fldCharType="separate"/>
      </w:r>
      <w:r w:rsidR="00536893">
        <w:rPr>
          <w:lang w:val="es-CR"/>
        </w:rPr>
        <w:t>9</w:t>
      </w:r>
      <w:r w:rsidR="00904CC4" w:rsidRPr="00CF1787">
        <w:rPr>
          <w:lang w:val="es-CR"/>
        </w:rPr>
        <w:fldChar w:fldCharType="end"/>
      </w:r>
      <w:r w:rsidR="00904CC4" w:rsidRPr="00CF1787">
        <w:rPr>
          <w:lang w:val="es-CR"/>
        </w:rPr>
        <w:t>)</w:t>
      </w:r>
      <w:r w:rsidRPr="00CF1787">
        <w:rPr>
          <w:lang w:val="es-CR"/>
        </w:rPr>
        <w:t>.</w:t>
      </w:r>
      <w:r w:rsidRPr="00CF1787">
        <w:rPr>
          <w:rFonts w:eastAsia="Times New Roman"/>
          <w:lang w:val="es-CR" w:eastAsia="es-CR"/>
        </w:rPr>
        <w:t xml:space="preserve"> En cuanto a la prueba rendida en audiencia pública, la Corte escuchó </w:t>
      </w:r>
      <w:r w:rsidRPr="00CF1787">
        <w:rPr>
          <w:lang w:val="es-CR"/>
        </w:rPr>
        <w:t xml:space="preserve">la declaración de la presunta víctima Patricia Trujillo Esparza y el peritaje de Juan Pablo Albán </w:t>
      </w:r>
      <w:proofErr w:type="spellStart"/>
      <w:r w:rsidRPr="00CF1787">
        <w:rPr>
          <w:lang w:val="es-CR"/>
        </w:rPr>
        <w:t>Alencastro</w:t>
      </w:r>
      <w:proofErr w:type="spellEnd"/>
      <w:r w:rsidR="00B64F0A" w:rsidRPr="00CF1787">
        <w:rPr>
          <w:rStyle w:val="FootnoteReference"/>
          <w:lang w:val="es-CR"/>
        </w:rPr>
        <w:footnoteReference w:id="26"/>
      </w:r>
      <w:r w:rsidR="00904CC4" w:rsidRPr="00CF1787">
        <w:rPr>
          <w:lang w:val="es-CR"/>
        </w:rPr>
        <w:t xml:space="preserve"> (</w:t>
      </w:r>
      <w:r w:rsidR="00904CC4" w:rsidRPr="00CF1787">
        <w:rPr>
          <w:i/>
          <w:lang w:val="es-CR"/>
        </w:rPr>
        <w:t xml:space="preserve">supra </w:t>
      </w:r>
      <w:r w:rsidR="00904CC4" w:rsidRPr="00CF1787">
        <w:rPr>
          <w:lang w:val="es-CR"/>
        </w:rPr>
        <w:t xml:space="preserve">párr. </w:t>
      </w:r>
      <w:r w:rsidR="00904CC4" w:rsidRPr="00CF1787">
        <w:rPr>
          <w:lang w:val="es-CR"/>
        </w:rPr>
        <w:fldChar w:fldCharType="begin"/>
      </w:r>
      <w:r w:rsidR="00904CC4" w:rsidRPr="00CF1787">
        <w:rPr>
          <w:lang w:val="es-CR"/>
        </w:rPr>
        <w:instrText xml:space="preserve"> REF _Ref457915339 \r \h </w:instrText>
      </w:r>
      <w:r w:rsidR="00CF1787">
        <w:rPr>
          <w:lang w:val="es-CR"/>
        </w:rPr>
        <w:instrText xml:space="preserve"> \* MERGEFORMAT </w:instrText>
      </w:r>
      <w:r w:rsidR="00904CC4" w:rsidRPr="00CF1787">
        <w:rPr>
          <w:lang w:val="es-CR"/>
        </w:rPr>
      </w:r>
      <w:r w:rsidR="00904CC4" w:rsidRPr="00CF1787">
        <w:rPr>
          <w:lang w:val="es-CR"/>
        </w:rPr>
        <w:fldChar w:fldCharType="separate"/>
      </w:r>
      <w:r w:rsidR="00536893">
        <w:rPr>
          <w:lang w:val="es-CR"/>
        </w:rPr>
        <w:t>9</w:t>
      </w:r>
      <w:r w:rsidR="00904CC4" w:rsidRPr="00CF1787">
        <w:rPr>
          <w:lang w:val="es-CR"/>
        </w:rPr>
        <w:fldChar w:fldCharType="end"/>
      </w:r>
      <w:r w:rsidR="00904CC4" w:rsidRPr="00CF1787">
        <w:rPr>
          <w:lang w:val="es-CR"/>
        </w:rPr>
        <w:t>)</w:t>
      </w:r>
      <w:r w:rsidRPr="00CF1787">
        <w:rPr>
          <w:lang w:val="es-CR"/>
        </w:rPr>
        <w:t>.</w:t>
      </w:r>
    </w:p>
    <w:p w14:paraId="53862524" w14:textId="77777777" w:rsidR="006A1700" w:rsidRPr="00CF1787" w:rsidRDefault="006A1700" w:rsidP="006A1700">
      <w:pPr>
        <w:pStyle w:val="NoSpacing"/>
        <w:tabs>
          <w:tab w:val="left" w:pos="567"/>
        </w:tabs>
        <w:rPr>
          <w:spacing w:val="-4"/>
          <w:lang w:val="es-CR"/>
        </w:rPr>
      </w:pPr>
    </w:p>
    <w:p w14:paraId="5C4BAB1F" w14:textId="77777777" w:rsidR="006A1700" w:rsidRPr="00CF1787" w:rsidRDefault="006A1700" w:rsidP="003A1370">
      <w:pPr>
        <w:pStyle w:val="Heading2"/>
        <w:rPr>
          <w:lang w:val="es-CR"/>
        </w:rPr>
      </w:pPr>
      <w:bookmarkStart w:id="260" w:name="_Toc424834691"/>
      <w:bookmarkStart w:id="261" w:name="_Toc427932797"/>
      <w:bookmarkStart w:id="262" w:name="_Toc431584614"/>
      <w:bookmarkStart w:id="263" w:name="_Toc434850402"/>
      <w:bookmarkStart w:id="264" w:name="_Toc465177367"/>
      <w:bookmarkStart w:id="265" w:name="_Toc470098040"/>
      <w:r w:rsidRPr="00CF1787">
        <w:rPr>
          <w:lang w:val="es-CR"/>
        </w:rPr>
        <w:t>Admisión de la prueba</w:t>
      </w:r>
      <w:bookmarkEnd w:id="260"/>
      <w:bookmarkEnd w:id="261"/>
      <w:bookmarkEnd w:id="262"/>
      <w:bookmarkEnd w:id="263"/>
      <w:bookmarkEnd w:id="264"/>
      <w:bookmarkEnd w:id="265"/>
    </w:p>
    <w:p w14:paraId="5DF0A451" w14:textId="77777777" w:rsidR="006A1700" w:rsidRPr="00CF1787" w:rsidRDefault="006A1700" w:rsidP="006A1700">
      <w:pPr>
        <w:tabs>
          <w:tab w:val="left" w:pos="567"/>
        </w:tabs>
        <w:rPr>
          <w:spacing w:val="-4"/>
          <w:lang w:val="es-CR"/>
        </w:rPr>
      </w:pPr>
    </w:p>
    <w:p w14:paraId="73DCB261" w14:textId="77777777" w:rsidR="006A1700" w:rsidRPr="00CF1787" w:rsidRDefault="006A1700" w:rsidP="006A1700">
      <w:pPr>
        <w:pStyle w:val="Heading3"/>
        <w:rPr>
          <w:lang w:val="es-CR"/>
        </w:rPr>
      </w:pPr>
      <w:bookmarkStart w:id="266" w:name="_Toc424834692"/>
      <w:bookmarkStart w:id="267" w:name="_Toc431584615"/>
      <w:bookmarkStart w:id="268" w:name="_Toc434850403"/>
      <w:bookmarkStart w:id="269" w:name="_Toc465177368"/>
      <w:bookmarkStart w:id="270" w:name="_Toc470098041"/>
      <w:r w:rsidRPr="00CF1787">
        <w:rPr>
          <w:lang w:val="es-CR"/>
        </w:rPr>
        <w:t>B.1 Admisión de prueba documental</w:t>
      </w:r>
      <w:bookmarkEnd w:id="266"/>
      <w:bookmarkEnd w:id="267"/>
      <w:bookmarkEnd w:id="268"/>
      <w:bookmarkEnd w:id="269"/>
      <w:bookmarkEnd w:id="270"/>
    </w:p>
    <w:p w14:paraId="74B43636" w14:textId="77777777" w:rsidR="006A1700" w:rsidRPr="00CF1787" w:rsidRDefault="006A1700" w:rsidP="006A1700">
      <w:pPr>
        <w:pStyle w:val="NoSpacing"/>
        <w:tabs>
          <w:tab w:val="left" w:pos="567"/>
        </w:tabs>
        <w:rPr>
          <w:spacing w:val="-2"/>
          <w:lang w:val="es-CR"/>
        </w:rPr>
      </w:pPr>
    </w:p>
    <w:p w14:paraId="4090A2F0" w14:textId="77777777" w:rsidR="006A1700" w:rsidRPr="00CF1787" w:rsidRDefault="00C2218E" w:rsidP="006A1700">
      <w:pPr>
        <w:pStyle w:val="NoSpacing"/>
        <w:numPr>
          <w:ilvl w:val="0"/>
          <w:numId w:val="5"/>
        </w:numPr>
        <w:tabs>
          <w:tab w:val="left" w:pos="567"/>
        </w:tabs>
        <w:ind w:left="0" w:firstLine="0"/>
        <w:rPr>
          <w:spacing w:val="-2"/>
          <w:lang w:val="es-CR"/>
        </w:rPr>
      </w:pPr>
      <w:r w:rsidRPr="00CF1787">
        <w:rPr>
          <w:lang w:val="es-CR"/>
        </w:rPr>
        <w:t>En el presente caso, como en otros, este Tribunal admite aquellos documentos presentados oportunamente por las partes y la Comisión o solicitados como prueba para mejor resolver por la Corte o su Presidencia cuya admisibilidad no fue controvertida ni objetada</w:t>
      </w:r>
      <w:r w:rsidRPr="00CF1787">
        <w:rPr>
          <w:rStyle w:val="FootnoteReference"/>
          <w:sz w:val="20"/>
          <w:szCs w:val="20"/>
          <w:lang w:val="es-CR"/>
        </w:rPr>
        <w:footnoteReference w:id="27"/>
      </w:r>
      <w:r w:rsidRPr="00CF1787">
        <w:rPr>
          <w:lang w:val="es-CR"/>
        </w:rPr>
        <w:t>.</w:t>
      </w:r>
    </w:p>
    <w:p w14:paraId="07C7ABA1" w14:textId="77777777" w:rsidR="00B64F0A" w:rsidRPr="00CF1787" w:rsidRDefault="00B64F0A" w:rsidP="00B64F0A">
      <w:pPr>
        <w:pStyle w:val="NoSpacing"/>
        <w:tabs>
          <w:tab w:val="left" w:pos="567"/>
        </w:tabs>
        <w:rPr>
          <w:spacing w:val="-2"/>
          <w:lang w:val="es-CR"/>
        </w:rPr>
      </w:pPr>
    </w:p>
    <w:p w14:paraId="120FFC2F" w14:textId="77777777" w:rsidR="00C24348" w:rsidRPr="00CF1787" w:rsidRDefault="00C2218E" w:rsidP="00DE58DC">
      <w:pPr>
        <w:pStyle w:val="NoSpacing"/>
        <w:numPr>
          <w:ilvl w:val="0"/>
          <w:numId w:val="5"/>
        </w:numPr>
        <w:tabs>
          <w:tab w:val="left" w:pos="567"/>
        </w:tabs>
        <w:ind w:left="0" w:firstLine="0"/>
        <w:rPr>
          <w:spacing w:val="-2"/>
          <w:lang w:val="es-CR"/>
        </w:rPr>
      </w:pPr>
      <w:r w:rsidRPr="00CF1787">
        <w:rPr>
          <w:lang w:val="es-CR"/>
        </w:rPr>
        <w:t>Con respecto a la oportunidad procesal para la presentación de prueba documental, de conformidad con el artículo 57.2 del Reglamento, debe ser presentada, en general, junto con los escritos de sometimiento del caso, de solicitudes y argumentos o de contestación, según corresponda.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p>
    <w:p w14:paraId="0A4A4F80" w14:textId="77777777" w:rsidR="005A5183" w:rsidRPr="00CF1787" w:rsidRDefault="005A5183" w:rsidP="005A5183">
      <w:pPr>
        <w:pStyle w:val="NoSpacing"/>
        <w:tabs>
          <w:tab w:val="left" w:pos="567"/>
        </w:tabs>
        <w:rPr>
          <w:spacing w:val="-2"/>
          <w:szCs w:val="20"/>
          <w:lang w:val="es-CR"/>
        </w:rPr>
      </w:pPr>
    </w:p>
    <w:p w14:paraId="5FD88C5B" w14:textId="2A2B2341" w:rsidR="00551898" w:rsidRPr="00CF1787" w:rsidRDefault="005A5183" w:rsidP="00551898">
      <w:pPr>
        <w:pStyle w:val="NoSpacing"/>
        <w:numPr>
          <w:ilvl w:val="0"/>
          <w:numId w:val="5"/>
        </w:numPr>
        <w:tabs>
          <w:tab w:val="left" w:pos="567"/>
        </w:tabs>
        <w:ind w:left="0" w:firstLine="0"/>
        <w:rPr>
          <w:spacing w:val="-2"/>
          <w:szCs w:val="20"/>
          <w:lang w:val="es-CR"/>
        </w:rPr>
      </w:pPr>
      <w:r w:rsidRPr="00CF1787">
        <w:rPr>
          <w:szCs w:val="20"/>
          <w:lang w:val="es-CR"/>
        </w:rPr>
        <w:t xml:space="preserve">Tanto el Estado como los representantes presentaron determinada documentación junto con sus alegatos finales escritos. Respecto de los documentos presentados por el Estado, la Corte observa que los anexos </w:t>
      </w:r>
      <w:r w:rsidR="00CE32B4" w:rsidRPr="00CF1787">
        <w:rPr>
          <w:szCs w:val="20"/>
          <w:lang w:val="es-CR"/>
        </w:rPr>
        <w:t xml:space="preserve">3, </w:t>
      </w:r>
      <w:r w:rsidR="00721099" w:rsidRPr="00CF1787">
        <w:rPr>
          <w:szCs w:val="20"/>
          <w:lang w:val="es-CR"/>
        </w:rPr>
        <w:t xml:space="preserve">5, </w:t>
      </w:r>
      <w:r w:rsidR="0076236C" w:rsidRPr="00CF1787">
        <w:rPr>
          <w:szCs w:val="20"/>
          <w:lang w:val="es-CR"/>
        </w:rPr>
        <w:t xml:space="preserve">7, </w:t>
      </w:r>
      <w:r w:rsidR="00CE32B4" w:rsidRPr="00CF1787">
        <w:rPr>
          <w:szCs w:val="20"/>
          <w:lang w:val="es-CR"/>
        </w:rPr>
        <w:t xml:space="preserve">9, 10 y </w:t>
      </w:r>
      <w:r w:rsidRPr="00CF1787">
        <w:rPr>
          <w:szCs w:val="20"/>
          <w:lang w:val="es-CR"/>
        </w:rPr>
        <w:t>12 a 18</w:t>
      </w:r>
      <w:r w:rsidRPr="00CF1787">
        <w:rPr>
          <w:rStyle w:val="FootnoteReference"/>
          <w:sz w:val="20"/>
          <w:szCs w:val="20"/>
          <w:lang w:val="es-CR"/>
        </w:rPr>
        <w:footnoteReference w:id="28"/>
      </w:r>
      <w:r w:rsidRPr="00CF1787">
        <w:rPr>
          <w:szCs w:val="20"/>
          <w:lang w:val="es-CR"/>
        </w:rPr>
        <w:t xml:space="preserve"> </w:t>
      </w:r>
      <w:r w:rsidR="00CE32B4" w:rsidRPr="00CF1787">
        <w:rPr>
          <w:szCs w:val="20"/>
          <w:lang w:val="es-CR"/>
        </w:rPr>
        <w:t xml:space="preserve">ofrecen soporte documental a las </w:t>
      </w:r>
      <w:r w:rsidRPr="00CF1787">
        <w:rPr>
          <w:szCs w:val="20"/>
          <w:lang w:val="es-CR"/>
        </w:rPr>
        <w:t>respuesta</w:t>
      </w:r>
      <w:r w:rsidR="00CE32B4" w:rsidRPr="00CF1787">
        <w:rPr>
          <w:szCs w:val="20"/>
          <w:lang w:val="es-CR"/>
        </w:rPr>
        <w:t>s</w:t>
      </w:r>
      <w:r w:rsidRPr="00CF1787">
        <w:rPr>
          <w:szCs w:val="20"/>
          <w:lang w:val="es-CR"/>
        </w:rPr>
        <w:t xml:space="preserve"> </w:t>
      </w:r>
      <w:r w:rsidR="00CE32B4" w:rsidRPr="00CF1787">
        <w:rPr>
          <w:szCs w:val="20"/>
          <w:lang w:val="es-CR"/>
        </w:rPr>
        <w:t xml:space="preserve">del Estado </w:t>
      </w:r>
      <w:r w:rsidRPr="00CF1787">
        <w:rPr>
          <w:szCs w:val="20"/>
          <w:lang w:val="es-CR"/>
        </w:rPr>
        <w:t xml:space="preserve">a las solicitudes de </w:t>
      </w:r>
      <w:r w:rsidR="00CE32B4" w:rsidRPr="00CF1787">
        <w:rPr>
          <w:szCs w:val="20"/>
          <w:lang w:val="es-CR"/>
        </w:rPr>
        <w:t xml:space="preserve">información y </w:t>
      </w:r>
      <w:r w:rsidRPr="00CF1787">
        <w:rPr>
          <w:szCs w:val="20"/>
          <w:lang w:val="es-CR"/>
        </w:rPr>
        <w:t>prueba para mejor resolver realizada por los jueces al finalizar la audiencia pública (</w:t>
      </w:r>
      <w:r w:rsidRPr="00CF1787">
        <w:rPr>
          <w:i/>
          <w:iCs/>
          <w:szCs w:val="20"/>
          <w:lang w:val="es-CR"/>
        </w:rPr>
        <w:t>supra</w:t>
      </w:r>
      <w:r w:rsidRPr="00CF1787">
        <w:rPr>
          <w:szCs w:val="20"/>
          <w:lang w:val="es-CR"/>
        </w:rPr>
        <w:t xml:space="preserve"> párr. </w:t>
      </w:r>
      <w:r w:rsidR="001D29E7" w:rsidRPr="00CF1787">
        <w:rPr>
          <w:szCs w:val="20"/>
        </w:rPr>
        <w:fldChar w:fldCharType="begin"/>
      </w:r>
      <w:r w:rsidR="001D29E7" w:rsidRPr="00CF1787">
        <w:rPr>
          <w:szCs w:val="20"/>
        </w:rPr>
        <w:instrText xml:space="preserve"> REF _Ref457915339 \r \h  \* MERGEFORMAT </w:instrText>
      </w:r>
      <w:r w:rsidR="001D29E7" w:rsidRPr="00CF1787">
        <w:rPr>
          <w:szCs w:val="20"/>
        </w:rPr>
      </w:r>
      <w:r w:rsidR="001D29E7" w:rsidRPr="00CF1787">
        <w:rPr>
          <w:szCs w:val="20"/>
        </w:rPr>
        <w:fldChar w:fldCharType="separate"/>
      </w:r>
      <w:r w:rsidR="00536893">
        <w:rPr>
          <w:szCs w:val="20"/>
        </w:rPr>
        <w:t>9</w:t>
      </w:r>
      <w:r w:rsidR="001D29E7" w:rsidRPr="00CF1787">
        <w:rPr>
          <w:szCs w:val="20"/>
        </w:rPr>
        <w:fldChar w:fldCharType="end"/>
      </w:r>
      <w:r w:rsidR="009A6E6E" w:rsidRPr="00CF1787">
        <w:rPr>
          <w:szCs w:val="20"/>
          <w:lang w:val="es-CR"/>
        </w:rPr>
        <w:t>), por lo que la</w:t>
      </w:r>
      <w:r w:rsidRPr="00CF1787">
        <w:rPr>
          <w:szCs w:val="20"/>
          <w:lang w:val="es-CR"/>
        </w:rPr>
        <w:t xml:space="preserve"> Corte los admite</w:t>
      </w:r>
      <w:r w:rsidR="00CE32B4" w:rsidRPr="00CF1787">
        <w:rPr>
          <w:szCs w:val="20"/>
          <w:lang w:val="es-CR"/>
        </w:rPr>
        <w:t xml:space="preserve"> de conformidad con el artículo 58.1 del Reglamento. Sin embargo, esta Corte advierte que los demás anexos presentados por el Ecuador</w:t>
      </w:r>
      <w:r w:rsidR="00C24348" w:rsidRPr="00CF1787">
        <w:rPr>
          <w:rStyle w:val="FootnoteReference"/>
          <w:sz w:val="20"/>
          <w:szCs w:val="20"/>
          <w:lang w:val="es-CR"/>
        </w:rPr>
        <w:footnoteReference w:id="29"/>
      </w:r>
      <w:r w:rsidR="00CE32B4" w:rsidRPr="00CF1787">
        <w:rPr>
          <w:szCs w:val="20"/>
          <w:lang w:val="es-CR"/>
        </w:rPr>
        <w:t xml:space="preserve">, no fueron solicitados por este Tribunal o sus jueces ni se encuentran en alguna de las excepciones contenidas en el </w:t>
      </w:r>
      <w:r w:rsidRPr="00CF1787">
        <w:rPr>
          <w:szCs w:val="20"/>
          <w:lang w:val="es-CR"/>
        </w:rPr>
        <w:t>artículo 57.2 del Reglamento previamente referido</w:t>
      </w:r>
      <w:r w:rsidR="00CE32B4" w:rsidRPr="00CF1787">
        <w:rPr>
          <w:szCs w:val="20"/>
          <w:lang w:val="es-CR"/>
        </w:rPr>
        <w:t xml:space="preserve">. Por tanto, </w:t>
      </w:r>
      <w:r w:rsidRPr="00CF1787">
        <w:rPr>
          <w:szCs w:val="20"/>
          <w:lang w:val="es-CR"/>
        </w:rPr>
        <w:t>la Corte no estima procedente su admisión.</w:t>
      </w:r>
    </w:p>
    <w:p w14:paraId="118D7B5E" w14:textId="77777777" w:rsidR="00551898" w:rsidRPr="00CF1787" w:rsidRDefault="00551898" w:rsidP="00551898">
      <w:pPr>
        <w:pStyle w:val="NoSpacing"/>
        <w:tabs>
          <w:tab w:val="left" w:pos="567"/>
        </w:tabs>
        <w:rPr>
          <w:spacing w:val="-2"/>
          <w:lang w:val="es-CR"/>
        </w:rPr>
      </w:pPr>
    </w:p>
    <w:p w14:paraId="7BC285BC" w14:textId="6B0AA8E0" w:rsidR="00551898" w:rsidRPr="00CF1787" w:rsidRDefault="00551898" w:rsidP="003F4E16">
      <w:pPr>
        <w:pStyle w:val="NoSpacing"/>
        <w:numPr>
          <w:ilvl w:val="0"/>
          <w:numId w:val="5"/>
        </w:numPr>
        <w:tabs>
          <w:tab w:val="left" w:pos="567"/>
        </w:tabs>
        <w:ind w:left="0" w:firstLine="0"/>
        <w:rPr>
          <w:i/>
          <w:iCs/>
          <w:spacing w:val="-2"/>
          <w:lang w:val="es-CR"/>
        </w:rPr>
      </w:pPr>
      <w:r w:rsidRPr="00CF1787">
        <w:rPr>
          <w:spacing w:val="-2"/>
          <w:lang w:val="es-CR"/>
        </w:rPr>
        <w:t xml:space="preserve">Por otra parte, el Estado se opuso a la admisión de </w:t>
      </w:r>
      <w:r w:rsidR="003F4E16" w:rsidRPr="00CF1787">
        <w:rPr>
          <w:spacing w:val="-2"/>
          <w:lang w:val="es-CR"/>
        </w:rPr>
        <w:t>un documento titulado</w:t>
      </w:r>
      <w:r w:rsidRPr="00CF1787">
        <w:rPr>
          <w:spacing w:val="-2"/>
          <w:lang w:val="es-CR"/>
        </w:rPr>
        <w:t xml:space="preserve"> “</w:t>
      </w:r>
      <w:r w:rsidR="003F4E16" w:rsidRPr="00CF1787">
        <w:rPr>
          <w:i/>
          <w:iCs/>
          <w:spacing w:val="-2"/>
          <w:lang w:val="es-CR"/>
        </w:rPr>
        <w:t>Escala de Remuneraciones en el Sector Público y Manual de Clasificación de Puestos del Ministerio de Salud”</w:t>
      </w:r>
      <w:r w:rsidR="003F4E16" w:rsidRPr="00CF1787">
        <w:rPr>
          <w:spacing w:val="-2"/>
          <w:lang w:val="es-CR"/>
        </w:rPr>
        <w:t>,</w:t>
      </w:r>
      <w:r w:rsidRPr="00CF1787">
        <w:rPr>
          <w:spacing w:val="-2"/>
          <w:lang w:val="es-CR"/>
        </w:rPr>
        <w:t xml:space="preserve"> aportad</w:t>
      </w:r>
      <w:r w:rsidR="003F4E16" w:rsidRPr="00CF1787">
        <w:rPr>
          <w:spacing w:val="-2"/>
          <w:lang w:val="es-CR"/>
        </w:rPr>
        <w:t>o</w:t>
      </w:r>
      <w:r w:rsidRPr="00CF1787">
        <w:rPr>
          <w:spacing w:val="-2"/>
          <w:lang w:val="es-CR"/>
        </w:rPr>
        <w:t xml:space="preserve"> por los representantes con su escrito de </w:t>
      </w:r>
      <w:r w:rsidR="003F4E16" w:rsidRPr="00CF1787">
        <w:rPr>
          <w:spacing w:val="-2"/>
          <w:lang w:val="es-CR"/>
        </w:rPr>
        <w:t>alegatos finales</w:t>
      </w:r>
      <w:r w:rsidRPr="00CF1787">
        <w:rPr>
          <w:spacing w:val="-2"/>
          <w:lang w:val="es-CR"/>
        </w:rPr>
        <w:t>. De acuerdo al Ecuador, el referido anexo no se relaciona con los hechos del caso y su presentación “persigue presentar una nueva alegación en torno a un supuesto perjuicio material en contra de la señora Trujillo</w:t>
      </w:r>
      <w:r w:rsidR="0076236C" w:rsidRPr="00CF1787">
        <w:rPr>
          <w:spacing w:val="-2"/>
          <w:lang w:val="es-CR"/>
        </w:rPr>
        <w:t xml:space="preserve"> Esparza</w:t>
      </w:r>
      <w:r w:rsidRPr="00CF1787">
        <w:rPr>
          <w:spacing w:val="-2"/>
          <w:lang w:val="es-CR"/>
        </w:rPr>
        <w:t>, situación que jamás fue alegada por los representantes en sus comunicaciones anteriores y que además no se relaciona en nada al caso</w:t>
      </w:r>
      <w:r w:rsidR="003F4E16" w:rsidRPr="00CF1787">
        <w:rPr>
          <w:spacing w:val="-2"/>
          <w:lang w:val="es-CR"/>
        </w:rPr>
        <w:t>”.</w:t>
      </w:r>
      <w:r w:rsidRPr="00CF1787">
        <w:rPr>
          <w:spacing w:val="-2"/>
          <w:lang w:val="es-CR"/>
        </w:rPr>
        <w:t xml:space="preserve"> Al respecto, la Corte nota que </w:t>
      </w:r>
      <w:r w:rsidR="003F4E16" w:rsidRPr="00CF1787">
        <w:rPr>
          <w:spacing w:val="-2"/>
          <w:lang w:val="es-CR"/>
        </w:rPr>
        <w:t>los representantes aportaron dicho documento como fundament</w:t>
      </w:r>
      <w:r w:rsidR="0076236C" w:rsidRPr="00CF1787">
        <w:rPr>
          <w:spacing w:val="-2"/>
          <w:lang w:val="es-CR"/>
        </w:rPr>
        <w:t>o</w:t>
      </w:r>
      <w:r w:rsidR="003F4E16" w:rsidRPr="00CF1787">
        <w:rPr>
          <w:spacing w:val="-2"/>
          <w:lang w:val="es-CR"/>
        </w:rPr>
        <w:t xml:space="preserve"> de la presunta violación a la integridad personal de la señora Trujillo</w:t>
      </w:r>
      <w:r w:rsidR="0076236C" w:rsidRPr="00CF1787">
        <w:rPr>
          <w:spacing w:val="-2"/>
          <w:lang w:val="es-CR"/>
        </w:rPr>
        <w:t xml:space="preserve"> Esparza</w:t>
      </w:r>
      <w:r w:rsidR="003F4E16" w:rsidRPr="00CF1787">
        <w:rPr>
          <w:spacing w:val="-2"/>
          <w:lang w:val="es-CR"/>
        </w:rPr>
        <w:t xml:space="preserve">, quien actualmente se desempeña como funcionaria pública. No obstante, del escrito de los representantes no es clara la relación de dicha prueba con los hechos que forman parte del marco fáctico de este caso ni fue ofrecida una justificación para su presentación fuera de la debida oportunidad procesal. Por tanto, la Corte acoge la objeción del Estado y considera que el referido anexo es </w:t>
      </w:r>
      <w:proofErr w:type="spellStart"/>
      <w:r w:rsidR="003F4E16" w:rsidRPr="00CF1787">
        <w:rPr>
          <w:spacing w:val="-2"/>
          <w:lang w:val="es-CR"/>
        </w:rPr>
        <w:t>inadmisble</w:t>
      </w:r>
      <w:proofErr w:type="spellEnd"/>
      <w:r w:rsidR="003F4E16" w:rsidRPr="00CF1787">
        <w:rPr>
          <w:spacing w:val="-2"/>
          <w:lang w:val="es-CR"/>
        </w:rPr>
        <w:t xml:space="preserve">. </w:t>
      </w:r>
    </w:p>
    <w:p w14:paraId="70916D2A" w14:textId="77777777" w:rsidR="00551898" w:rsidRPr="00CF1787" w:rsidRDefault="00551898" w:rsidP="003F4E16">
      <w:pPr>
        <w:pStyle w:val="NoSpacing"/>
        <w:rPr>
          <w:spacing w:val="-2"/>
          <w:lang w:val="es-CR"/>
        </w:rPr>
      </w:pPr>
    </w:p>
    <w:p w14:paraId="1615C571" w14:textId="77777777" w:rsidR="00EA64BB" w:rsidRPr="00CF1787" w:rsidRDefault="00551898" w:rsidP="00551898">
      <w:pPr>
        <w:pStyle w:val="NoSpacing"/>
        <w:numPr>
          <w:ilvl w:val="0"/>
          <w:numId w:val="5"/>
        </w:numPr>
        <w:ind w:left="0" w:firstLine="0"/>
        <w:rPr>
          <w:spacing w:val="-2"/>
          <w:lang w:val="es-CR"/>
        </w:rPr>
      </w:pPr>
      <w:r w:rsidRPr="00CF1787">
        <w:rPr>
          <w:spacing w:val="-2"/>
          <w:lang w:val="es-CR"/>
        </w:rPr>
        <w:t xml:space="preserve">Respecto de los </w:t>
      </w:r>
      <w:r w:rsidR="003F4E16" w:rsidRPr="00CF1787">
        <w:rPr>
          <w:spacing w:val="-2"/>
          <w:lang w:val="es-CR"/>
        </w:rPr>
        <w:t xml:space="preserve">demás </w:t>
      </w:r>
      <w:r w:rsidRPr="00CF1787">
        <w:rPr>
          <w:spacing w:val="-2"/>
          <w:lang w:val="es-CR"/>
        </w:rPr>
        <w:t>anexos presentados por los representantes</w:t>
      </w:r>
      <w:r w:rsidR="003F4E16" w:rsidRPr="00CF1787">
        <w:rPr>
          <w:spacing w:val="-2"/>
          <w:lang w:val="es-CR"/>
        </w:rPr>
        <w:t xml:space="preserve"> junto con sus alegatos finales escritos</w:t>
      </w:r>
      <w:r w:rsidRPr="00CF1787">
        <w:rPr>
          <w:spacing w:val="-2"/>
          <w:lang w:val="es-CR"/>
        </w:rPr>
        <w:t xml:space="preserve">, </w:t>
      </w:r>
      <w:r w:rsidR="00EA64BB" w:rsidRPr="00CF1787">
        <w:rPr>
          <w:spacing w:val="-2"/>
          <w:lang w:val="es-CR"/>
        </w:rPr>
        <w:t xml:space="preserve">este Tribunal nota que se trata de documentos sobre costas y gastos incurridos </w:t>
      </w:r>
      <w:r w:rsidR="00EA64BB" w:rsidRPr="00CF1787">
        <w:rPr>
          <w:spacing w:val="-2"/>
          <w:lang w:val="es-CR"/>
        </w:rPr>
        <w:lastRenderedPageBreak/>
        <w:t xml:space="preserve">con ocasión de la audiencia pública celebrada en este caso. Por tanto, la Corte los admite por </w:t>
      </w:r>
      <w:r w:rsidR="00002C21" w:rsidRPr="00CF1787">
        <w:rPr>
          <w:spacing w:val="-2"/>
          <w:lang w:val="es-CR"/>
        </w:rPr>
        <w:t xml:space="preserve">ser </w:t>
      </w:r>
      <w:r w:rsidR="00EA64BB" w:rsidRPr="00CF1787">
        <w:rPr>
          <w:spacing w:val="-2"/>
          <w:lang w:val="es-CR"/>
        </w:rPr>
        <w:t>posterior</w:t>
      </w:r>
      <w:r w:rsidR="00002C21" w:rsidRPr="00CF1787">
        <w:rPr>
          <w:spacing w:val="-2"/>
          <w:lang w:val="es-CR"/>
        </w:rPr>
        <w:t>es</w:t>
      </w:r>
      <w:r w:rsidR="00EA64BB" w:rsidRPr="00CF1787">
        <w:rPr>
          <w:spacing w:val="-2"/>
          <w:lang w:val="es-CR"/>
        </w:rPr>
        <w:t xml:space="preserve"> a la presentación del escrito de solicitudes y argumentos. </w:t>
      </w:r>
    </w:p>
    <w:p w14:paraId="5C444A27" w14:textId="77777777" w:rsidR="005A5183" w:rsidRPr="00CF1787" w:rsidRDefault="005A5183" w:rsidP="005A5183">
      <w:pPr>
        <w:pStyle w:val="NoSpacing"/>
        <w:tabs>
          <w:tab w:val="left" w:pos="567"/>
        </w:tabs>
        <w:rPr>
          <w:spacing w:val="-2"/>
          <w:lang w:val="es-CR"/>
        </w:rPr>
      </w:pPr>
    </w:p>
    <w:p w14:paraId="42DDACA9" w14:textId="77777777" w:rsidR="006A1700" w:rsidRPr="00CF1787" w:rsidRDefault="006A1700" w:rsidP="006A1700">
      <w:pPr>
        <w:pStyle w:val="Heading3"/>
        <w:rPr>
          <w:lang w:val="es-CR"/>
        </w:rPr>
      </w:pPr>
      <w:bookmarkStart w:id="271" w:name="_Toc424834693"/>
      <w:bookmarkStart w:id="272" w:name="_Toc431584616"/>
      <w:bookmarkStart w:id="273" w:name="_Toc434850404"/>
      <w:bookmarkStart w:id="274" w:name="_Toc465177369"/>
      <w:bookmarkStart w:id="275" w:name="_Toc470098042"/>
      <w:r w:rsidRPr="00CF1787">
        <w:rPr>
          <w:lang w:val="es-CR"/>
        </w:rPr>
        <w:t>B.2 Admisión de la prueba testimonial y pericial</w:t>
      </w:r>
      <w:bookmarkEnd w:id="271"/>
      <w:bookmarkEnd w:id="272"/>
      <w:bookmarkEnd w:id="273"/>
      <w:bookmarkEnd w:id="274"/>
      <w:bookmarkEnd w:id="275"/>
    </w:p>
    <w:p w14:paraId="4D3597DA" w14:textId="77777777" w:rsidR="006A1700" w:rsidRPr="00CF1787" w:rsidRDefault="006A1700" w:rsidP="006A1700">
      <w:pPr>
        <w:pStyle w:val="NoSpacing"/>
        <w:tabs>
          <w:tab w:val="left" w:pos="567"/>
        </w:tabs>
        <w:rPr>
          <w:lang w:val="es-CR"/>
        </w:rPr>
      </w:pPr>
    </w:p>
    <w:p w14:paraId="1C0F527A" w14:textId="23AD6978" w:rsidR="006A1700" w:rsidRPr="00CF1787" w:rsidRDefault="00FF4B03" w:rsidP="006A1700">
      <w:pPr>
        <w:pStyle w:val="NoSpacing"/>
        <w:numPr>
          <w:ilvl w:val="0"/>
          <w:numId w:val="5"/>
        </w:numPr>
        <w:tabs>
          <w:tab w:val="left" w:pos="567"/>
        </w:tabs>
        <w:ind w:left="0" w:firstLine="0"/>
        <w:rPr>
          <w:spacing w:val="-2"/>
          <w:lang w:val="es-CR"/>
        </w:rPr>
      </w:pPr>
      <w:r w:rsidRPr="00CF1787">
        <w:rPr>
          <w:lang w:val="es-CR"/>
        </w:rPr>
        <w:t>Asimismo, la Corte estima pertinente admitir las declaraciones de la presunta víctima, los testigos y los dictámenes periciales rendidos en la audiencia pública y ante fedatario público, en lo que se ajusten al objeto definido por la Presidencia en la Resolución mediante la cual se ordenó recibirlos y al objeto del presente caso.</w:t>
      </w:r>
    </w:p>
    <w:p w14:paraId="12DBC25A" w14:textId="77777777" w:rsidR="009D5CD3" w:rsidRPr="00CF1787" w:rsidRDefault="009D5CD3" w:rsidP="006A1700">
      <w:pPr>
        <w:pStyle w:val="NoSpacing"/>
        <w:tabs>
          <w:tab w:val="left" w:pos="567"/>
        </w:tabs>
        <w:rPr>
          <w:color w:val="00B050"/>
          <w:spacing w:val="-4"/>
          <w:lang w:val="es-CR"/>
        </w:rPr>
      </w:pPr>
    </w:p>
    <w:p w14:paraId="13BBBABC" w14:textId="77777777" w:rsidR="006A1700" w:rsidRPr="00CF1787" w:rsidRDefault="006A1700" w:rsidP="003A1370">
      <w:pPr>
        <w:pStyle w:val="Heading2"/>
        <w:rPr>
          <w:lang w:val="es-CR"/>
        </w:rPr>
      </w:pPr>
      <w:bookmarkStart w:id="276" w:name="_Toc424834694"/>
      <w:bookmarkStart w:id="277" w:name="_Toc427932798"/>
      <w:bookmarkStart w:id="278" w:name="_Toc431584617"/>
      <w:bookmarkStart w:id="279" w:name="_Toc434850405"/>
      <w:bookmarkStart w:id="280" w:name="_Toc465177370"/>
      <w:bookmarkStart w:id="281" w:name="_Toc470098043"/>
      <w:r w:rsidRPr="00CF1787">
        <w:rPr>
          <w:lang w:val="es-CR"/>
        </w:rPr>
        <w:t>Valoración de la prueba</w:t>
      </w:r>
      <w:bookmarkEnd w:id="276"/>
      <w:bookmarkEnd w:id="277"/>
      <w:bookmarkEnd w:id="278"/>
      <w:bookmarkEnd w:id="279"/>
      <w:bookmarkEnd w:id="280"/>
      <w:bookmarkEnd w:id="281"/>
    </w:p>
    <w:p w14:paraId="23F76F14" w14:textId="77777777" w:rsidR="006A1700" w:rsidRPr="00CF1787" w:rsidRDefault="006A1700" w:rsidP="006A1700">
      <w:pPr>
        <w:pStyle w:val="NoSpacing"/>
        <w:tabs>
          <w:tab w:val="left" w:pos="567"/>
        </w:tabs>
        <w:rPr>
          <w:spacing w:val="-2"/>
          <w:lang w:val="es-CR"/>
        </w:rPr>
      </w:pPr>
    </w:p>
    <w:p w14:paraId="666D0F41" w14:textId="77777777" w:rsidR="006A1700" w:rsidRPr="00CF1787" w:rsidRDefault="00797027" w:rsidP="006A1700">
      <w:pPr>
        <w:pStyle w:val="NoSpacing"/>
        <w:numPr>
          <w:ilvl w:val="0"/>
          <w:numId w:val="5"/>
        </w:numPr>
        <w:tabs>
          <w:tab w:val="left" w:pos="567"/>
        </w:tabs>
        <w:ind w:left="0" w:firstLine="0"/>
        <w:rPr>
          <w:spacing w:val="-2"/>
          <w:lang w:val="es-CR"/>
        </w:rPr>
      </w:pPr>
      <w:r w:rsidRPr="00CF1787">
        <w:rPr>
          <w:lang w:val="es-CR"/>
        </w:rPr>
        <w:t>De acuerdo a lo establecido en los artículos 4</w:t>
      </w:r>
      <w:r w:rsidR="00B65208" w:rsidRPr="00CF1787">
        <w:rPr>
          <w:lang w:val="es-CR"/>
        </w:rPr>
        <w:t>6</w:t>
      </w:r>
      <w:r w:rsidRPr="00CF1787">
        <w:rPr>
          <w:lang w:val="es-CR"/>
        </w:rPr>
        <w:t>, 47, 48, 50, 51, 57 y 58 del Reglamento, así como en su jurisprudencia constante respecto de la prueba y su apreciación</w:t>
      </w:r>
      <w:r w:rsidRPr="00CF1787">
        <w:rPr>
          <w:rStyle w:val="FootnoteReference"/>
          <w:sz w:val="20"/>
          <w:szCs w:val="20"/>
          <w:lang w:val="es-CR"/>
        </w:rPr>
        <w:footnoteReference w:id="30"/>
      </w:r>
      <w:r w:rsidRPr="00CF1787">
        <w:rPr>
          <w:lang w:val="es-CR"/>
        </w:rPr>
        <w:t xml:space="preserve">, la Corte examinará y valorará los elementos probatorios documentales remitidos por las partes y la Comisión, las declaraciones, testimonios y dictámenes periciales, así como las pruebas para mejor resolver solicitadas e incorporadas por este Tribunal al establecer los hechos del caso y pronunciarse sobre el fondo. Para ello se sujeta a los principios de la sana crítica, dentro del marco normativo </w:t>
      </w:r>
      <w:r w:rsidR="00393E65" w:rsidRPr="00CF1787">
        <w:rPr>
          <w:lang w:val="es-CR"/>
        </w:rPr>
        <w:t>correspondiente, teniendo en cuenta</w:t>
      </w:r>
      <w:r w:rsidRPr="00CF1787">
        <w:rPr>
          <w:lang w:val="es-CR"/>
        </w:rPr>
        <w:t xml:space="preserve"> el conjunto del acervo probatorio y lo alegado en la causa</w:t>
      </w:r>
      <w:r w:rsidRPr="00CF1787">
        <w:rPr>
          <w:rStyle w:val="FootnoteReference"/>
          <w:sz w:val="20"/>
          <w:szCs w:val="20"/>
          <w:lang w:val="es-CR"/>
        </w:rPr>
        <w:footnoteReference w:id="31"/>
      </w:r>
      <w:r w:rsidRPr="00CF1787">
        <w:rPr>
          <w:lang w:val="es-CR"/>
        </w:rPr>
        <w:t>.</w:t>
      </w:r>
    </w:p>
    <w:p w14:paraId="00EF2B46" w14:textId="77777777" w:rsidR="006A1700" w:rsidRPr="00CF1787" w:rsidRDefault="006A1700" w:rsidP="006A1700">
      <w:pPr>
        <w:pStyle w:val="NoSpacing"/>
        <w:tabs>
          <w:tab w:val="left" w:pos="567"/>
        </w:tabs>
        <w:rPr>
          <w:spacing w:val="-2"/>
          <w:lang w:val="es-CR"/>
        </w:rPr>
      </w:pPr>
    </w:p>
    <w:p w14:paraId="725BDD2A" w14:textId="77777777" w:rsidR="006A1700" w:rsidRPr="00CF1787" w:rsidRDefault="00797027" w:rsidP="006A1700">
      <w:pPr>
        <w:pStyle w:val="NoSpacing"/>
        <w:numPr>
          <w:ilvl w:val="0"/>
          <w:numId w:val="5"/>
        </w:numPr>
        <w:tabs>
          <w:tab w:val="left" w:pos="567"/>
        </w:tabs>
        <w:ind w:left="0" w:firstLine="0"/>
        <w:rPr>
          <w:spacing w:val="-2"/>
          <w:lang w:val="es-CR"/>
        </w:rPr>
      </w:pPr>
      <w:r w:rsidRPr="00CF1787">
        <w:rPr>
          <w:lang w:val="es-CR"/>
        </w:rPr>
        <w:t>Asimismo, conforme a la jurisprudencia</w:t>
      </w:r>
      <w:r w:rsidR="00FF4B03" w:rsidRPr="00CF1787">
        <w:rPr>
          <w:lang w:val="es-CR"/>
        </w:rPr>
        <w:t xml:space="preserve"> de la Corte Interamericana, la declaración rendida por la presunta víctima no puede ser valorada</w:t>
      </w:r>
      <w:r w:rsidRPr="00CF1787">
        <w:rPr>
          <w:lang w:val="es-CR"/>
        </w:rPr>
        <w:t xml:space="preserve"> aisladamente sino dentro del conjunto de las pruebas del pro</w:t>
      </w:r>
      <w:r w:rsidR="00FF4B03" w:rsidRPr="00CF1787">
        <w:rPr>
          <w:lang w:val="es-CR"/>
        </w:rPr>
        <w:t>ceso, en la medida en que puede</w:t>
      </w:r>
      <w:r w:rsidRPr="00CF1787">
        <w:rPr>
          <w:lang w:val="es-CR"/>
        </w:rPr>
        <w:t xml:space="preserve"> proporcionar mayor información sobre las presuntas violaciones y sus consecuencias</w:t>
      </w:r>
      <w:r w:rsidRPr="00CF1787">
        <w:rPr>
          <w:rStyle w:val="FootnoteReference"/>
          <w:sz w:val="20"/>
          <w:szCs w:val="20"/>
          <w:lang w:val="es-CR"/>
        </w:rPr>
        <w:footnoteReference w:id="32"/>
      </w:r>
      <w:r w:rsidRPr="00CF1787">
        <w:rPr>
          <w:lang w:val="es-CR"/>
        </w:rPr>
        <w:t>.</w:t>
      </w:r>
    </w:p>
    <w:p w14:paraId="49409210" w14:textId="77777777" w:rsidR="007B755B" w:rsidRPr="00CF1787" w:rsidRDefault="007B755B" w:rsidP="00EC551E">
      <w:pPr>
        <w:rPr>
          <w:lang w:val="es-CR"/>
        </w:rPr>
      </w:pPr>
    </w:p>
    <w:p w14:paraId="4D30544A" w14:textId="77777777" w:rsidR="006A1700" w:rsidRPr="00CF1787" w:rsidRDefault="006A1700" w:rsidP="006A1700">
      <w:pPr>
        <w:pStyle w:val="Heading1"/>
        <w:rPr>
          <w:lang w:val="es-CR"/>
        </w:rPr>
      </w:pPr>
      <w:bookmarkStart w:id="282" w:name="_Toc465177371"/>
      <w:bookmarkStart w:id="283" w:name="_Toc470098044"/>
      <w:r w:rsidRPr="00CF1787">
        <w:rPr>
          <w:lang w:val="es-CR"/>
        </w:rPr>
        <w:t>VI</w:t>
      </w:r>
      <w:bookmarkEnd w:id="282"/>
      <w:bookmarkEnd w:id="283"/>
    </w:p>
    <w:p w14:paraId="521E8AFA" w14:textId="77777777" w:rsidR="00C8170A" w:rsidRPr="00CF1787" w:rsidRDefault="006A1700" w:rsidP="00984D28">
      <w:pPr>
        <w:pStyle w:val="Heading1"/>
        <w:rPr>
          <w:lang w:val="es-CR"/>
        </w:rPr>
      </w:pPr>
      <w:bookmarkStart w:id="284" w:name="_Toc461791325"/>
      <w:bookmarkStart w:id="285" w:name="_Toc461796009"/>
      <w:bookmarkStart w:id="286" w:name="_Toc462157405"/>
      <w:bookmarkStart w:id="287" w:name="_Toc462157901"/>
      <w:bookmarkStart w:id="288" w:name="_Toc462869993"/>
      <w:bookmarkStart w:id="289" w:name="_Toc462934245"/>
      <w:bookmarkStart w:id="290" w:name="_Toc465177372"/>
      <w:bookmarkStart w:id="291" w:name="_Toc465184272"/>
      <w:bookmarkStart w:id="292" w:name="_Toc467854802"/>
      <w:bookmarkStart w:id="293" w:name="_Toc468281920"/>
      <w:bookmarkStart w:id="294" w:name="_Toc470001212"/>
      <w:bookmarkStart w:id="295" w:name="_Toc470098045"/>
      <w:r w:rsidRPr="00CF1787">
        <w:rPr>
          <w:lang w:val="es-CR"/>
        </w:rPr>
        <w:t>HECHOS</w:t>
      </w:r>
      <w:bookmarkEnd w:id="284"/>
      <w:bookmarkEnd w:id="285"/>
      <w:bookmarkEnd w:id="286"/>
      <w:bookmarkEnd w:id="287"/>
      <w:bookmarkEnd w:id="288"/>
      <w:bookmarkEnd w:id="289"/>
      <w:bookmarkEnd w:id="290"/>
      <w:bookmarkEnd w:id="291"/>
      <w:bookmarkEnd w:id="292"/>
      <w:bookmarkEnd w:id="293"/>
      <w:bookmarkEnd w:id="294"/>
      <w:bookmarkEnd w:id="295"/>
    </w:p>
    <w:p w14:paraId="78C66877" w14:textId="77777777" w:rsidR="00984D28" w:rsidRPr="00CF1787" w:rsidRDefault="00984D28" w:rsidP="00984D28">
      <w:pPr>
        <w:rPr>
          <w:lang w:val="es-CR" w:eastAsia="es-CR"/>
        </w:rPr>
      </w:pPr>
    </w:p>
    <w:p w14:paraId="6EA2A0A7" w14:textId="6898F281" w:rsidR="00C8170A" w:rsidRPr="00CF1787" w:rsidRDefault="00C8170A" w:rsidP="00C8170A">
      <w:pPr>
        <w:pStyle w:val="NoSpacing"/>
        <w:numPr>
          <w:ilvl w:val="0"/>
          <w:numId w:val="5"/>
        </w:numPr>
        <w:tabs>
          <w:tab w:val="left" w:pos="567"/>
        </w:tabs>
        <w:ind w:left="0" w:firstLine="0"/>
        <w:rPr>
          <w:spacing w:val="-2"/>
          <w:szCs w:val="20"/>
          <w:lang w:val="es-CR"/>
        </w:rPr>
      </w:pPr>
      <w:r w:rsidRPr="00CF1787">
        <w:rPr>
          <w:lang w:val="es-CR"/>
        </w:rPr>
        <w:t xml:space="preserve">El </w:t>
      </w:r>
      <w:r w:rsidRPr="00CF1787">
        <w:rPr>
          <w:szCs w:val="20"/>
          <w:lang w:val="es-CR"/>
        </w:rPr>
        <w:t>señor Luis Jorge Valencia Hinojosa era Policía Nacional</w:t>
      </w:r>
      <w:r w:rsidRPr="00CF1787">
        <w:rPr>
          <w:b/>
          <w:szCs w:val="20"/>
          <w:lang w:val="es-CR"/>
        </w:rPr>
        <w:t xml:space="preserve"> </w:t>
      </w:r>
      <w:r w:rsidRPr="00CF1787">
        <w:rPr>
          <w:szCs w:val="20"/>
          <w:lang w:val="es-CR"/>
        </w:rPr>
        <w:t>del Cuerpo Chimborazo No. 5 desde 1985</w:t>
      </w:r>
      <w:r w:rsidRPr="00CF1787">
        <w:rPr>
          <w:rStyle w:val="FootnoteReference"/>
          <w:bCs/>
          <w:sz w:val="20"/>
          <w:szCs w:val="20"/>
          <w:lang w:val="es-CR"/>
        </w:rPr>
        <w:footnoteReference w:id="33"/>
      </w:r>
      <w:r w:rsidRPr="00CF1787">
        <w:rPr>
          <w:szCs w:val="20"/>
          <w:lang w:val="es-CR"/>
        </w:rPr>
        <w:t>, tenía alrededor de 30 años</w:t>
      </w:r>
      <w:r w:rsidRPr="00CF1787">
        <w:rPr>
          <w:rStyle w:val="FootnoteReference"/>
          <w:bCs/>
          <w:sz w:val="20"/>
          <w:szCs w:val="20"/>
          <w:lang w:val="es-CR"/>
        </w:rPr>
        <w:footnoteReference w:id="34"/>
      </w:r>
      <w:r w:rsidRPr="00CF1787">
        <w:rPr>
          <w:szCs w:val="20"/>
          <w:lang w:val="es-CR"/>
        </w:rPr>
        <w:t xml:space="preserve"> y estaba casado con Patricia Trujillo Esparza</w:t>
      </w:r>
      <w:r w:rsidRPr="00CF1787">
        <w:rPr>
          <w:rStyle w:val="FootnoteReference"/>
          <w:bCs/>
          <w:sz w:val="20"/>
          <w:szCs w:val="20"/>
          <w:lang w:val="es-CR"/>
        </w:rPr>
        <w:footnoteReference w:id="35"/>
      </w:r>
      <w:r w:rsidRPr="00CF1787">
        <w:rPr>
          <w:szCs w:val="20"/>
          <w:lang w:val="es-CR"/>
        </w:rPr>
        <w:t xml:space="preserve">. </w:t>
      </w:r>
      <w:r w:rsidRPr="00CF1787">
        <w:rPr>
          <w:szCs w:val="20"/>
          <w:lang w:val="es-CR"/>
        </w:rPr>
        <w:lastRenderedPageBreak/>
        <w:t xml:space="preserve">Falleció hacia el mediodía del 3 de diciembre de 1992, </w:t>
      </w:r>
      <w:r w:rsidR="00E8029E" w:rsidRPr="00CF1787">
        <w:rPr>
          <w:szCs w:val="20"/>
          <w:lang w:val="es-CR"/>
        </w:rPr>
        <w:t>mientras se encontraba de servicio</w:t>
      </w:r>
      <w:r w:rsidRPr="00CF1787">
        <w:rPr>
          <w:rStyle w:val="FootnoteReference"/>
          <w:bCs/>
          <w:sz w:val="20"/>
          <w:szCs w:val="20"/>
          <w:lang w:val="es-CR"/>
        </w:rPr>
        <w:footnoteReference w:id="36"/>
      </w:r>
      <w:r w:rsidRPr="00CF1787">
        <w:rPr>
          <w:szCs w:val="20"/>
          <w:lang w:val="es-CR"/>
        </w:rPr>
        <w:t xml:space="preserve">. </w:t>
      </w:r>
      <w:r w:rsidR="00E8029E" w:rsidRPr="00CF1787">
        <w:rPr>
          <w:szCs w:val="20"/>
          <w:lang w:val="es-CR"/>
        </w:rPr>
        <w:t>E</w:t>
      </w:r>
      <w:r w:rsidRPr="00CF1787">
        <w:rPr>
          <w:szCs w:val="20"/>
          <w:lang w:val="es-CR"/>
        </w:rPr>
        <w:t xml:space="preserve">xisten </w:t>
      </w:r>
      <w:r w:rsidR="00E8029E" w:rsidRPr="00CF1787">
        <w:rPr>
          <w:szCs w:val="20"/>
          <w:lang w:val="es-CR"/>
        </w:rPr>
        <w:t xml:space="preserve">dos </w:t>
      </w:r>
      <w:r w:rsidRPr="00CF1787">
        <w:rPr>
          <w:szCs w:val="20"/>
          <w:lang w:val="es-CR"/>
        </w:rPr>
        <w:t>versiones sobre lo sucedido el día de la muerte de la presunta vícti</w:t>
      </w:r>
      <w:r w:rsidR="00F428F2" w:rsidRPr="00CF1787">
        <w:rPr>
          <w:szCs w:val="20"/>
          <w:lang w:val="es-CR"/>
        </w:rPr>
        <w:t>ma. A continuación se expondrán</w:t>
      </w:r>
      <w:r w:rsidR="00135018" w:rsidRPr="00CF1787">
        <w:rPr>
          <w:szCs w:val="20"/>
          <w:lang w:val="es-CR"/>
        </w:rPr>
        <w:t>: A</w:t>
      </w:r>
      <w:r w:rsidRPr="00CF1787">
        <w:rPr>
          <w:szCs w:val="20"/>
          <w:lang w:val="es-CR"/>
        </w:rPr>
        <w:t xml:space="preserve">) </w:t>
      </w:r>
      <w:r w:rsidR="00F428F2" w:rsidRPr="00CF1787">
        <w:rPr>
          <w:szCs w:val="20"/>
          <w:lang w:val="es-CR"/>
        </w:rPr>
        <w:t>los hechos d</w:t>
      </w:r>
      <w:r w:rsidRPr="00CF1787">
        <w:rPr>
          <w:szCs w:val="20"/>
          <w:lang w:val="es-CR"/>
        </w:rPr>
        <w:t xml:space="preserve">el 3 de diciembre de 1992; </w:t>
      </w:r>
      <w:r w:rsidR="00135018" w:rsidRPr="00CF1787">
        <w:rPr>
          <w:szCs w:val="20"/>
          <w:lang w:val="es-CR"/>
        </w:rPr>
        <w:t>B</w:t>
      </w:r>
      <w:r w:rsidRPr="00CF1787">
        <w:rPr>
          <w:szCs w:val="20"/>
          <w:lang w:val="es-CR"/>
        </w:rPr>
        <w:t xml:space="preserve">) </w:t>
      </w:r>
      <w:r w:rsidR="0011008B" w:rsidRPr="00CF1787">
        <w:rPr>
          <w:szCs w:val="20"/>
          <w:lang w:val="es-CR"/>
        </w:rPr>
        <w:t xml:space="preserve">el marco normativo </w:t>
      </w:r>
      <w:r w:rsidR="00E8029E" w:rsidRPr="00CF1787">
        <w:rPr>
          <w:szCs w:val="20"/>
          <w:lang w:val="es-CR"/>
        </w:rPr>
        <w:t>sobre la jurisdicción penal policial</w:t>
      </w:r>
      <w:r w:rsidR="0011008B" w:rsidRPr="00CF1787">
        <w:rPr>
          <w:szCs w:val="20"/>
          <w:lang w:val="es-CR"/>
        </w:rPr>
        <w:t xml:space="preserve">, y </w:t>
      </w:r>
      <w:r w:rsidR="00135018" w:rsidRPr="00CF1787">
        <w:rPr>
          <w:szCs w:val="20"/>
          <w:lang w:val="es-CR"/>
        </w:rPr>
        <w:t>C</w:t>
      </w:r>
      <w:r w:rsidR="0011008B" w:rsidRPr="00CF1787">
        <w:rPr>
          <w:szCs w:val="20"/>
          <w:lang w:val="es-CR"/>
        </w:rPr>
        <w:t xml:space="preserve">) </w:t>
      </w:r>
      <w:r w:rsidRPr="00CF1787">
        <w:rPr>
          <w:szCs w:val="20"/>
          <w:lang w:val="es-CR"/>
        </w:rPr>
        <w:t xml:space="preserve">la investigación y proceso penal policial seguido por la muerte </w:t>
      </w:r>
      <w:r w:rsidR="00135018" w:rsidRPr="00CF1787">
        <w:rPr>
          <w:szCs w:val="20"/>
          <w:lang w:val="es-CR"/>
        </w:rPr>
        <w:t xml:space="preserve">de </w:t>
      </w:r>
      <w:r w:rsidRPr="00CF1787">
        <w:rPr>
          <w:szCs w:val="20"/>
          <w:lang w:val="es-CR"/>
        </w:rPr>
        <w:t>Luis Jorg</w:t>
      </w:r>
      <w:r w:rsidR="0011008B" w:rsidRPr="00CF1787">
        <w:rPr>
          <w:szCs w:val="20"/>
          <w:lang w:val="es-CR"/>
        </w:rPr>
        <w:t>e Valencia Hinojosa</w:t>
      </w:r>
      <w:r w:rsidRPr="00CF1787">
        <w:rPr>
          <w:szCs w:val="20"/>
          <w:lang w:val="es-CR"/>
        </w:rPr>
        <w:t>.</w:t>
      </w:r>
      <w:bookmarkStart w:id="296" w:name="_Ref442195911"/>
    </w:p>
    <w:p w14:paraId="6FFA1795" w14:textId="77777777" w:rsidR="009D5CD3" w:rsidRPr="00CF1787" w:rsidRDefault="009D5CD3" w:rsidP="00C8170A">
      <w:pPr>
        <w:pStyle w:val="ListParagraph"/>
        <w:numPr>
          <w:ilvl w:val="0"/>
          <w:numId w:val="0"/>
        </w:numPr>
        <w:rPr>
          <w:b/>
          <w:lang w:val="es-CR"/>
        </w:rPr>
      </w:pPr>
    </w:p>
    <w:p w14:paraId="6867A524" w14:textId="77777777" w:rsidR="00C8170A" w:rsidRPr="00CF1787" w:rsidRDefault="00C8170A" w:rsidP="003A1370">
      <w:pPr>
        <w:pStyle w:val="Heading2"/>
        <w:numPr>
          <w:ilvl w:val="0"/>
          <w:numId w:val="16"/>
        </w:numPr>
        <w:rPr>
          <w:szCs w:val="20"/>
          <w:lang w:val="es-CR"/>
        </w:rPr>
      </w:pPr>
      <w:bookmarkStart w:id="297" w:name="_Toc465177373"/>
      <w:bookmarkStart w:id="298" w:name="_Toc470098046"/>
      <w:r w:rsidRPr="00CF1787">
        <w:rPr>
          <w:szCs w:val="20"/>
          <w:lang w:val="es-CR"/>
        </w:rPr>
        <w:t>Los hechos de</w:t>
      </w:r>
      <w:r w:rsidR="00E8029E" w:rsidRPr="00CF1787">
        <w:rPr>
          <w:szCs w:val="20"/>
          <w:lang w:val="es-CR"/>
        </w:rPr>
        <w:t>l</w:t>
      </w:r>
      <w:r w:rsidRPr="00CF1787">
        <w:rPr>
          <w:szCs w:val="20"/>
          <w:lang w:val="es-CR"/>
        </w:rPr>
        <w:t xml:space="preserve"> 3 de diciembre de 1992</w:t>
      </w:r>
      <w:bookmarkEnd w:id="297"/>
      <w:bookmarkEnd w:id="298"/>
      <w:r w:rsidRPr="00CF1787">
        <w:rPr>
          <w:szCs w:val="20"/>
          <w:lang w:val="es-CR"/>
        </w:rPr>
        <w:t xml:space="preserve"> </w:t>
      </w:r>
    </w:p>
    <w:p w14:paraId="6B373336" w14:textId="77777777" w:rsidR="00C8170A" w:rsidRPr="00CF1787" w:rsidRDefault="00C8170A" w:rsidP="00C8170A">
      <w:pPr>
        <w:pStyle w:val="NoSpacing"/>
        <w:tabs>
          <w:tab w:val="left" w:pos="567"/>
        </w:tabs>
        <w:rPr>
          <w:spacing w:val="-2"/>
          <w:szCs w:val="20"/>
          <w:lang w:val="es-CR"/>
        </w:rPr>
      </w:pPr>
    </w:p>
    <w:p w14:paraId="3FB4965A" w14:textId="77777777" w:rsidR="00C8170A" w:rsidRPr="00CF1787" w:rsidRDefault="00C8170A" w:rsidP="00C8170A">
      <w:pPr>
        <w:pStyle w:val="NoSpacing"/>
        <w:numPr>
          <w:ilvl w:val="0"/>
          <w:numId w:val="5"/>
        </w:numPr>
        <w:tabs>
          <w:tab w:val="left" w:pos="567"/>
        </w:tabs>
        <w:ind w:left="0" w:firstLine="0"/>
        <w:rPr>
          <w:spacing w:val="-2"/>
          <w:szCs w:val="20"/>
          <w:lang w:val="es-CR"/>
        </w:rPr>
      </w:pPr>
      <w:r w:rsidRPr="00CF1787">
        <w:rPr>
          <w:szCs w:val="20"/>
          <w:lang w:val="es-CR"/>
        </w:rPr>
        <w:t xml:space="preserve">Aproximadamente </w:t>
      </w:r>
      <w:r w:rsidRPr="00CF1787">
        <w:rPr>
          <w:spacing w:val="-2"/>
          <w:szCs w:val="20"/>
          <w:lang w:val="es-CR"/>
        </w:rPr>
        <w:t xml:space="preserve">a las </w:t>
      </w:r>
      <w:r w:rsidR="003904E5" w:rsidRPr="00CF1787">
        <w:rPr>
          <w:spacing w:val="-2"/>
          <w:szCs w:val="20"/>
          <w:lang w:val="es-CR"/>
        </w:rPr>
        <w:t>10:00</w:t>
      </w:r>
      <w:r w:rsidRPr="00CF1787">
        <w:rPr>
          <w:spacing w:val="-2"/>
          <w:szCs w:val="20"/>
          <w:lang w:val="es-CR"/>
        </w:rPr>
        <w:t xml:space="preserve"> de la mañana</w:t>
      </w:r>
      <w:r w:rsidR="00480985" w:rsidRPr="00CF1787">
        <w:rPr>
          <w:spacing w:val="-2"/>
          <w:szCs w:val="20"/>
          <w:lang w:val="es-CR"/>
        </w:rPr>
        <w:t>,</w:t>
      </w:r>
      <w:r w:rsidRPr="00CF1787">
        <w:rPr>
          <w:spacing w:val="-2"/>
          <w:szCs w:val="20"/>
          <w:lang w:val="es-CR"/>
        </w:rPr>
        <w:t xml:space="preserve"> la presunta víctima se encontraba con cuatro personas, incluyendo otro policía </w:t>
      </w:r>
      <w:r w:rsidRPr="00CF1787">
        <w:rPr>
          <w:szCs w:val="20"/>
          <w:lang w:val="es-CR"/>
        </w:rPr>
        <w:t>y dos cabos en un lugar público ingiriendo licor</w:t>
      </w:r>
      <w:r w:rsidRPr="00CF1787">
        <w:rPr>
          <w:rStyle w:val="FootnoteReference"/>
          <w:bCs/>
          <w:sz w:val="20"/>
          <w:szCs w:val="20"/>
          <w:lang w:val="es-CR"/>
        </w:rPr>
        <w:footnoteReference w:id="37"/>
      </w:r>
      <w:r w:rsidRPr="00CF1787">
        <w:rPr>
          <w:szCs w:val="20"/>
          <w:lang w:val="es-CR"/>
        </w:rPr>
        <w:t>. Se produjo un</w:t>
      </w:r>
      <w:r w:rsidR="0077577E" w:rsidRPr="00CF1787">
        <w:rPr>
          <w:szCs w:val="20"/>
          <w:lang w:val="es-CR"/>
        </w:rPr>
        <w:t xml:space="preserve"> altercado </w:t>
      </w:r>
      <w:r w:rsidRPr="00CF1787">
        <w:rPr>
          <w:szCs w:val="20"/>
          <w:lang w:val="es-CR"/>
        </w:rPr>
        <w:t>dentro del grupo con quien se encontraba el señor Valencia Hinojosa, por lo que testigos de los hechos llamaron a la Central de Radio Patrullas</w:t>
      </w:r>
      <w:r w:rsidRPr="00CF1787">
        <w:rPr>
          <w:rStyle w:val="FootnoteReference"/>
          <w:bCs/>
          <w:sz w:val="20"/>
          <w:szCs w:val="20"/>
          <w:lang w:val="es-CR"/>
        </w:rPr>
        <w:footnoteReference w:id="38"/>
      </w:r>
      <w:r w:rsidRPr="00CF1787">
        <w:rPr>
          <w:szCs w:val="20"/>
          <w:lang w:val="es-CR"/>
        </w:rPr>
        <w:t>. Un capitán de la policía se trasladó al lugar y regresó al cuartel con los policías que se encontraban en estado de embriaguez</w:t>
      </w:r>
      <w:r w:rsidRPr="00CF1787">
        <w:rPr>
          <w:rStyle w:val="FootnoteReference"/>
          <w:bCs/>
          <w:sz w:val="20"/>
          <w:szCs w:val="20"/>
          <w:lang w:val="es-CR"/>
        </w:rPr>
        <w:footnoteReference w:id="39"/>
      </w:r>
      <w:r w:rsidRPr="00CF1787">
        <w:rPr>
          <w:szCs w:val="20"/>
          <w:lang w:val="es-CR"/>
        </w:rPr>
        <w:t xml:space="preserve">. En el cuartel el </w:t>
      </w:r>
      <w:r w:rsidR="003904E5" w:rsidRPr="00CF1787">
        <w:rPr>
          <w:szCs w:val="20"/>
          <w:lang w:val="es-CR"/>
        </w:rPr>
        <w:t xml:space="preserve">capitán </w:t>
      </w:r>
      <w:r w:rsidRPr="00CF1787">
        <w:rPr>
          <w:szCs w:val="20"/>
          <w:lang w:val="es-CR"/>
        </w:rPr>
        <w:t>solicitó al señor Valencia Hinojosa que entregara su arma de dotación, pero este se negó</w:t>
      </w:r>
      <w:r w:rsidRPr="00CF1787">
        <w:rPr>
          <w:rStyle w:val="FootnoteReference"/>
          <w:bCs/>
          <w:sz w:val="20"/>
          <w:szCs w:val="20"/>
          <w:lang w:val="es-CR"/>
        </w:rPr>
        <w:footnoteReference w:id="40"/>
      </w:r>
      <w:r w:rsidRPr="00CF1787">
        <w:rPr>
          <w:szCs w:val="20"/>
          <w:lang w:val="es-CR"/>
        </w:rPr>
        <w:t xml:space="preserve">. Seguidamente, el señor Valencia Hinojosa efectuó cuatro disparos, hiriendo en la espalda al </w:t>
      </w:r>
      <w:r w:rsidR="00FB30AD" w:rsidRPr="00CF1787">
        <w:rPr>
          <w:szCs w:val="20"/>
          <w:lang w:val="es-CR"/>
        </w:rPr>
        <w:t xml:space="preserve">capitán </w:t>
      </w:r>
      <w:r w:rsidRPr="00CF1787">
        <w:rPr>
          <w:szCs w:val="20"/>
          <w:lang w:val="es-CR"/>
        </w:rPr>
        <w:t>y a un cabo, y se dio a la fuga</w:t>
      </w:r>
      <w:r w:rsidRPr="00CF1787">
        <w:rPr>
          <w:rStyle w:val="FootnoteReference"/>
          <w:bCs/>
          <w:sz w:val="20"/>
          <w:szCs w:val="20"/>
          <w:lang w:val="es-CR"/>
        </w:rPr>
        <w:footnoteReference w:id="41"/>
      </w:r>
      <w:r w:rsidRPr="00CF1787">
        <w:rPr>
          <w:szCs w:val="20"/>
          <w:lang w:val="es-CR"/>
        </w:rPr>
        <w:t xml:space="preserve">. </w:t>
      </w:r>
      <w:r w:rsidR="00470023" w:rsidRPr="00CF1787">
        <w:rPr>
          <w:szCs w:val="20"/>
          <w:lang w:val="es-CR"/>
        </w:rPr>
        <w:t>Un</w:t>
      </w:r>
      <w:r w:rsidRPr="00CF1787">
        <w:rPr>
          <w:szCs w:val="20"/>
          <w:lang w:val="es-CR"/>
        </w:rPr>
        <w:t xml:space="preserve"> </w:t>
      </w:r>
      <w:r w:rsidR="00F94346" w:rsidRPr="00CF1787">
        <w:rPr>
          <w:szCs w:val="20"/>
          <w:lang w:val="es-CR"/>
        </w:rPr>
        <w:t>m</w:t>
      </w:r>
      <w:r w:rsidRPr="00CF1787">
        <w:rPr>
          <w:szCs w:val="20"/>
          <w:lang w:val="es-CR"/>
        </w:rPr>
        <w:t>ayor de la Policía, q</w:t>
      </w:r>
      <w:r w:rsidR="00470023" w:rsidRPr="00CF1787">
        <w:rPr>
          <w:szCs w:val="20"/>
          <w:lang w:val="es-CR"/>
        </w:rPr>
        <w:t>ue</w:t>
      </w:r>
      <w:r w:rsidRPr="00CF1787">
        <w:rPr>
          <w:szCs w:val="20"/>
          <w:lang w:val="es-CR"/>
        </w:rPr>
        <w:t xml:space="preserve"> se hallaba en el cuartel, dispuso que </w:t>
      </w:r>
      <w:r w:rsidR="00FB30AD" w:rsidRPr="00CF1787">
        <w:rPr>
          <w:szCs w:val="20"/>
          <w:lang w:val="es-CR"/>
        </w:rPr>
        <w:t xml:space="preserve">se </w:t>
      </w:r>
      <w:r w:rsidRPr="00CF1787">
        <w:rPr>
          <w:szCs w:val="20"/>
          <w:lang w:val="es-CR"/>
        </w:rPr>
        <w:t xml:space="preserve">efectuara un rastreo de los lugares que frecuentaba el señor Valencia </w:t>
      </w:r>
      <w:r w:rsidR="00FB30AD" w:rsidRPr="00CF1787">
        <w:rPr>
          <w:szCs w:val="20"/>
          <w:lang w:val="es-CR"/>
        </w:rPr>
        <w:t xml:space="preserve">Hinojosa </w:t>
      </w:r>
      <w:r w:rsidRPr="00CF1787">
        <w:rPr>
          <w:szCs w:val="20"/>
          <w:lang w:val="es-CR"/>
        </w:rPr>
        <w:t>para localizarlo</w:t>
      </w:r>
      <w:r w:rsidRPr="00CF1787">
        <w:rPr>
          <w:rStyle w:val="FootnoteReference"/>
          <w:bCs/>
          <w:sz w:val="20"/>
          <w:szCs w:val="20"/>
          <w:lang w:val="es-CR"/>
        </w:rPr>
        <w:footnoteReference w:id="42"/>
      </w:r>
      <w:r w:rsidRPr="00CF1787">
        <w:rPr>
          <w:szCs w:val="20"/>
          <w:lang w:val="es-CR"/>
        </w:rPr>
        <w:t>.</w:t>
      </w:r>
      <w:bookmarkEnd w:id="296"/>
    </w:p>
    <w:p w14:paraId="0DF8DEBA" w14:textId="77777777" w:rsidR="00C8170A" w:rsidRPr="00CF1787" w:rsidRDefault="00C8170A" w:rsidP="00C8170A">
      <w:pPr>
        <w:pStyle w:val="NoSpacing"/>
        <w:tabs>
          <w:tab w:val="left" w:pos="567"/>
        </w:tabs>
        <w:rPr>
          <w:spacing w:val="-2"/>
          <w:szCs w:val="20"/>
          <w:lang w:val="es-CR"/>
        </w:rPr>
      </w:pPr>
    </w:p>
    <w:p w14:paraId="1F854BDB" w14:textId="77777777" w:rsidR="00C8170A" w:rsidRPr="00CF1787" w:rsidRDefault="00C8170A" w:rsidP="00C8170A">
      <w:pPr>
        <w:pStyle w:val="NoSpacing"/>
        <w:numPr>
          <w:ilvl w:val="0"/>
          <w:numId w:val="5"/>
        </w:numPr>
        <w:tabs>
          <w:tab w:val="left" w:pos="567"/>
        </w:tabs>
        <w:ind w:left="0" w:firstLine="0"/>
        <w:rPr>
          <w:spacing w:val="-2"/>
          <w:szCs w:val="20"/>
          <w:lang w:val="es-CR"/>
        </w:rPr>
      </w:pPr>
      <w:r w:rsidRPr="00CF1787">
        <w:rPr>
          <w:rFonts w:cs="Arial"/>
          <w:bCs/>
          <w:szCs w:val="20"/>
          <w:lang w:val="es-CR"/>
        </w:rPr>
        <w:t>Dos patrulleros se trasladaron a su residencia donde se encontraba su esposa, su hija menor de edad y su cuñada</w:t>
      </w:r>
      <w:r w:rsidRPr="00CF1787">
        <w:rPr>
          <w:rStyle w:val="FootnoteReference"/>
          <w:bCs/>
          <w:sz w:val="20"/>
          <w:szCs w:val="20"/>
          <w:lang w:val="es-CR"/>
        </w:rPr>
        <w:footnoteReference w:id="43"/>
      </w:r>
      <w:r w:rsidRPr="00CF1787">
        <w:rPr>
          <w:rFonts w:cs="Arial"/>
          <w:bCs/>
          <w:szCs w:val="20"/>
          <w:lang w:val="es-CR"/>
        </w:rPr>
        <w:t>. Al darse cuenta que no se encontraba en su residencia, salieron y una persona les indicó que “un policía se dirigía con el revólver en mano y en estado etílico por el barrio Santa Martha”</w:t>
      </w:r>
      <w:r w:rsidRPr="00CF1787">
        <w:rPr>
          <w:rStyle w:val="FootnoteReference"/>
          <w:bCs/>
          <w:sz w:val="20"/>
          <w:szCs w:val="20"/>
          <w:lang w:val="es-CR"/>
        </w:rPr>
        <w:footnoteReference w:id="44"/>
      </w:r>
      <w:r w:rsidRPr="00CF1787">
        <w:rPr>
          <w:rFonts w:cs="Arial"/>
          <w:bCs/>
          <w:szCs w:val="20"/>
          <w:lang w:val="es-CR"/>
        </w:rPr>
        <w:t xml:space="preserve">. </w:t>
      </w:r>
    </w:p>
    <w:p w14:paraId="57BBD292" w14:textId="77777777" w:rsidR="00C8170A" w:rsidRPr="00CF1787" w:rsidRDefault="00C8170A" w:rsidP="00C8170A">
      <w:pPr>
        <w:pStyle w:val="NoSpacing"/>
        <w:tabs>
          <w:tab w:val="left" w:pos="567"/>
        </w:tabs>
        <w:rPr>
          <w:spacing w:val="-2"/>
          <w:szCs w:val="20"/>
          <w:lang w:val="es-CR"/>
        </w:rPr>
      </w:pPr>
    </w:p>
    <w:p w14:paraId="5B8A05DA" w14:textId="77777777" w:rsidR="00C8170A" w:rsidRPr="00CF1787" w:rsidRDefault="00C8170A" w:rsidP="00C8170A">
      <w:pPr>
        <w:pStyle w:val="NoSpacing"/>
        <w:numPr>
          <w:ilvl w:val="0"/>
          <w:numId w:val="5"/>
        </w:numPr>
        <w:tabs>
          <w:tab w:val="left" w:pos="567"/>
        </w:tabs>
        <w:ind w:left="0" w:firstLine="0"/>
        <w:rPr>
          <w:spacing w:val="-2"/>
          <w:szCs w:val="20"/>
          <w:lang w:val="es-CR"/>
        </w:rPr>
      </w:pPr>
      <w:r w:rsidRPr="00CF1787">
        <w:rPr>
          <w:rFonts w:cs="Arial"/>
          <w:bCs/>
          <w:szCs w:val="20"/>
          <w:lang w:val="es-CR"/>
        </w:rPr>
        <w:t>Los patrulleros se trasladaron al complejo deportivo Tenis Club donde encontraron al señor Valencia Hinojosa refugiado en los dormitorios de los conserjes del lugar</w:t>
      </w:r>
      <w:r w:rsidRPr="00CF1787">
        <w:rPr>
          <w:rStyle w:val="FootnoteReference"/>
          <w:bCs/>
          <w:sz w:val="20"/>
          <w:szCs w:val="20"/>
          <w:lang w:val="es-CR"/>
        </w:rPr>
        <w:footnoteReference w:id="45"/>
      </w:r>
      <w:r w:rsidRPr="00CF1787">
        <w:rPr>
          <w:rFonts w:cs="Arial"/>
          <w:bCs/>
          <w:szCs w:val="20"/>
          <w:lang w:val="es-CR"/>
        </w:rPr>
        <w:t xml:space="preserve">. El señor Valencia Hinojosa falleció en dichos dormitorios por un disparo en la cabeza. Sin embargo, los hechos relativos a las circunstancias de su muerte se encuentran controvertidos. </w:t>
      </w:r>
    </w:p>
    <w:p w14:paraId="590F5BBA" w14:textId="77777777" w:rsidR="00C8170A" w:rsidRPr="00CF1787" w:rsidRDefault="00C8170A" w:rsidP="00C8170A">
      <w:pPr>
        <w:pStyle w:val="NoSpacing"/>
        <w:tabs>
          <w:tab w:val="left" w:pos="567"/>
        </w:tabs>
        <w:rPr>
          <w:rFonts w:cs="Arial"/>
          <w:bCs/>
          <w:szCs w:val="20"/>
          <w:lang w:val="es-CR"/>
        </w:rPr>
      </w:pPr>
    </w:p>
    <w:p w14:paraId="3D3EDF1D" w14:textId="77777777" w:rsidR="00C8170A" w:rsidRPr="00CF1787" w:rsidRDefault="00C8170A" w:rsidP="00C8170A">
      <w:pPr>
        <w:pStyle w:val="NoSpacing"/>
        <w:numPr>
          <w:ilvl w:val="0"/>
          <w:numId w:val="5"/>
        </w:numPr>
        <w:tabs>
          <w:tab w:val="left" w:pos="567"/>
        </w:tabs>
        <w:ind w:left="0" w:firstLine="0"/>
        <w:rPr>
          <w:spacing w:val="-2"/>
          <w:szCs w:val="20"/>
          <w:lang w:val="es-CR"/>
        </w:rPr>
      </w:pPr>
      <w:bookmarkStart w:id="299" w:name="_Ref462156865"/>
      <w:r w:rsidRPr="00CF1787">
        <w:rPr>
          <w:rFonts w:cs="Arial"/>
          <w:bCs/>
          <w:szCs w:val="20"/>
          <w:lang w:val="es-CR"/>
        </w:rPr>
        <w:t xml:space="preserve">Por un lado, los representantes señalan que los policías llegaron donde se encontraba el señor Valencia Hinojosa y efectuaron disparos, incluso en dirección a donde se encontraba refugiado este último. Paralelamente, uno de los </w:t>
      </w:r>
      <w:r w:rsidRPr="00CF1787">
        <w:rPr>
          <w:bCs/>
          <w:szCs w:val="20"/>
          <w:lang w:val="es-CR"/>
        </w:rPr>
        <w:t>policías le habría dicho al señor Valencia</w:t>
      </w:r>
      <w:r w:rsidR="00012557" w:rsidRPr="00CF1787">
        <w:rPr>
          <w:bCs/>
          <w:szCs w:val="20"/>
          <w:lang w:val="es-CR"/>
        </w:rPr>
        <w:t xml:space="preserve"> Hinojosa</w:t>
      </w:r>
      <w:r w:rsidRPr="00CF1787">
        <w:rPr>
          <w:bCs/>
          <w:szCs w:val="20"/>
          <w:lang w:val="es-CR"/>
        </w:rPr>
        <w:t xml:space="preserve"> que saliera con las manos en alto, que no le iba a pasar nada. El intercambio de disparos habría durado aproximadamente cinco minutos, tras el cual los policías habrían entrado </w:t>
      </w:r>
      <w:r w:rsidR="00012557" w:rsidRPr="00CF1787">
        <w:rPr>
          <w:bCs/>
          <w:szCs w:val="20"/>
          <w:lang w:val="es-CR"/>
        </w:rPr>
        <w:t>al dormitorio</w:t>
      </w:r>
      <w:r w:rsidRPr="00CF1787">
        <w:rPr>
          <w:bCs/>
          <w:szCs w:val="20"/>
          <w:lang w:val="es-CR"/>
        </w:rPr>
        <w:t xml:space="preserve"> donde se encontraba y después de un rato salieron y dijeron que estaba muerto, luego de lo cual se habrían dado la mano. Los representantes señalaron que las falencias en las investigaciones internas no permiten excluir la posibilidad de que el señor Valencia Hinojosa hubiera sido ejecutado.</w:t>
      </w:r>
      <w:bookmarkEnd w:id="299"/>
    </w:p>
    <w:p w14:paraId="30022EA2" w14:textId="77777777" w:rsidR="00C8170A" w:rsidRPr="00CF1787" w:rsidRDefault="00C8170A" w:rsidP="00C8170A">
      <w:pPr>
        <w:pStyle w:val="ListParagraph"/>
        <w:numPr>
          <w:ilvl w:val="0"/>
          <w:numId w:val="0"/>
        </w:numPr>
        <w:ind w:left="720"/>
        <w:rPr>
          <w:bCs/>
          <w:lang w:val="es-CR"/>
        </w:rPr>
      </w:pPr>
    </w:p>
    <w:p w14:paraId="5EC3C12F" w14:textId="2E24E729" w:rsidR="00C8170A" w:rsidRPr="00CF1787" w:rsidRDefault="00C8170A" w:rsidP="00C8170A">
      <w:pPr>
        <w:pStyle w:val="NoSpacing"/>
        <w:numPr>
          <w:ilvl w:val="0"/>
          <w:numId w:val="5"/>
        </w:numPr>
        <w:tabs>
          <w:tab w:val="left" w:pos="567"/>
        </w:tabs>
        <w:ind w:left="0" w:firstLine="0"/>
        <w:rPr>
          <w:spacing w:val="-2"/>
          <w:szCs w:val="20"/>
          <w:lang w:val="es-CR"/>
        </w:rPr>
      </w:pPr>
      <w:r w:rsidRPr="00CF1787">
        <w:rPr>
          <w:bCs/>
          <w:szCs w:val="20"/>
          <w:lang w:val="es-CR"/>
        </w:rPr>
        <w:t xml:space="preserve">Por otra parte, el Estado </w:t>
      </w:r>
      <w:r w:rsidR="00223499" w:rsidRPr="00CF1787">
        <w:rPr>
          <w:bCs/>
          <w:szCs w:val="20"/>
          <w:lang w:val="es-CR"/>
        </w:rPr>
        <w:t xml:space="preserve">indica </w:t>
      </w:r>
      <w:r w:rsidRPr="00CF1787">
        <w:rPr>
          <w:bCs/>
          <w:szCs w:val="20"/>
          <w:lang w:val="es-CR"/>
        </w:rPr>
        <w:t xml:space="preserve">que al llegar los policías al complejo deportivo le habrían solicitado al señor Valencia Hinojosa que entregara su arma, ante lo cual </w:t>
      </w:r>
      <w:r w:rsidR="00223499" w:rsidRPr="00CF1787">
        <w:rPr>
          <w:bCs/>
          <w:szCs w:val="20"/>
          <w:lang w:val="es-CR"/>
        </w:rPr>
        <w:t>e</w:t>
      </w:r>
      <w:r w:rsidRPr="00CF1787">
        <w:rPr>
          <w:bCs/>
          <w:szCs w:val="20"/>
          <w:lang w:val="es-CR"/>
        </w:rPr>
        <w:t xml:space="preserve">ste habría indicado que “únicamente saldría de ahí muerto, antes de entregarse a la Policía”. Seguidamente, se habrían producido varios disparos dentro de los dormitorios y luego del cese de las detonaciones dos policías entraron al dormitorio y habrían encontrado al señor Valencia Hinojosa muerto. </w:t>
      </w:r>
      <w:r w:rsidR="00C04114" w:rsidRPr="00CF1787">
        <w:rPr>
          <w:szCs w:val="20"/>
          <w:lang w:val="es-CR"/>
        </w:rPr>
        <w:t>Esta versión fue la</w:t>
      </w:r>
      <w:r w:rsidRPr="00CF1787">
        <w:rPr>
          <w:szCs w:val="20"/>
          <w:lang w:val="es-CR"/>
        </w:rPr>
        <w:t xml:space="preserve"> acogida por las autoridades judiciales que investigaron el caso, las cuales determinaron que el señor Valencia Hinojosa se habría suicidado (</w:t>
      </w:r>
      <w:r w:rsidRPr="00CF1787">
        <w:rPr>
          <w:i/>
          <w:szCs w:val="20"/>
          <w:lang w:val="es-CR"/>
        </w:rPr>
        <w:t>infra</w:t>
      </w:r>
      <w:r w:rsidRPr="00CF1787">
        <w:rPr>
          <w:szCs w:val="20"/>
          <w:lang w:val="es-CR"/>
        </w:rPr>
        <w:t xml:space="preserve"> párr.</w:t>
      </w:r>
      <w:r w:rsidR="00223499" w:rsidRPr="00CF1787">
        <w:rPr>
          <w:szCs w:val="20"/>
          <w:lang w:val="es-CR"/>
        </w:rPr>
        <w:fldChar w:fldCharType="begin"/>
      </w:r>
      <w:r w:rsidR="00223499" w:rsidRPr="00CF1787">
        <w:rPr>
          <w:szCs w:val="20"/>
          <w:lang w:val="es-CR"/>
        </w:rPr>
        <w:instrText xml:space="preserve"> REF _Ref462078622 \r \h </w:instrText>
      </w:r>
      <w:r w:rsidR="00CF1787">
        <w:rPr>
          <w:szCs w:val="20"/>
          <w:lang w:val="es-CR"/>
        </w:rPr>
        <w:instrText xml:space="preserve"> \* MERGEFORMAT </w:instrText>
      </w:r>
      <w:r w:rsidR="00223499" w:rsidRPr="00CF1787">
        <w:rPr>
          <w:szCs w:val="20"/>
          <w:lang w:val="es-CR"/>
        </w:rPr>
      </w:r>
      <w:r w:rsidR="00223499" w:rsidRPr="00CF1787">
        <w:rPr>
          <w:szCs w:val="20"/>
          <w:lang w:val="es-CR"/>
        </w:rPr>
        <w:fldChar w:fldCharType="separate"/>
      </w:r>
      <w:r w:rsidR="00536893">
        <w:rPr>
          <w:szCs w:val="20"/>
          <w:lang w:val="es-CR"/>
        </w:rPr>
        <w:t>73</w:t>
      </w:r>
      <w:r w:rsidR="00223499" w:rsidRPr="00CF1787">
        <w:rPr>
          <w:szCs w:val="20"/>
          <w:lang w:val="es-CR"/>
        </w:rPr>
        <w:fldChar w:fldCharType="end"/>
      </w:r>
      <w:r w:rsidRPr="00CF1787">
        <w:rPr>
          <w:szCs w:val="20"/>
          <w:lang w:val="es-CR"/>
        </w:rPr>
        <w:t>).</w:t>
      </w:r>
    </w:p>
    <w:p w14:paraId="16D71B18" w14:textId="77777777" w:rsidR="00C8170A" w:rsidRPr="00CF1787" w:rsidRDefault="00C8170A" w:rsidP="00C8170A">
      <w:pPr>
        <w:pStyle w:val="ListParagraph"/>
        <w:numPr>
          <w:ilvl w:val="0"/>
          <w:numId w:val="0"/>
        </w:numPr>
        <w:ind w:left="720"/>
        <w:rPr>
          <w:lang w:val="es-CR"/>
        </w:rPr>
      </w:pPr>
    </w:p>
    <w:p w14:paraId="5537143A" w14:textId="77777777" w:rsidR="00C8170A" w:rsidRPr="00CF1787" w:rsidRDefault="00C8170A" w:rsidP="00C8170A">
      <w:pPr>
        <w:pStyle w:val="NoSpacing"/>
        <w:numPr>
          <w:ilvl w:val="0"/>
          <w:numId w:val="5"/>
        </w:numPr>
        <w:tabs>
          <w:tab w:val="left" w:pos="567"/>
        </w:tabs>
        <w:ind w:left="0" w:firstLine="0"/>
        <w:rPr>
          <w:spacing w:val="-2"/>
          <w:szCs w:val="20"/>
          <w:lang w:val="es-CR"/>
        </w:rPr>
      </w:pPr>
      <w:r w:rsidRPr="00CF1787">
        <w:rPr>
          <w:szCs w:val="20"/>
          <w:lang w:val="es-CR"/>
        </w:rPr>
        <w:t>De la información presentada a la Corte se desprende que un estudio interno determinó que el disparo en la cabeza había sido por contacto</w:t>
      </w:r>
      <w:r w:rsidRPr="00CF1787">
        <w:rPr>
          <w:rStyle w:val="FootnoteReference"/>
          <w:bCs/>
          <w:sz w:val="20"/>
          <w:szCs w:val="20"/>
          <w:lang w:val="es-CR"/>
        </w:rPr>
        <w:footnoteReference w:id="46"/>
      </w:r>
      <w:r w:rsidRPr="00CF1787">
        <w:rPr>
          <w:rFonts w:cs="Arial"/>
          <w:bCs/>
          <w:szCs w:val="20"/>
          <w:lang w:val="es-CR"/>
        </w:rPr>
        <w:t>.</w:t>
      </w:r>
      <w:r w:rsidRPr="00CF1787">
        <w:rPr>
          <w:spacing w:val="-2"/>
          <w:szCs w:val="20"/>
          <w:lang w:val="es-CR"/>
        </w:rPr>
        <w:t xml:space="preserve"> Asimismo, </w:t>
      </w:r>
      <w:r w:rsidRPr="00CF1787">
        <w:rPr>
          <w:rFonts w:cs="Arial"/>
          <w:bCs/>
          <w:szCs w:val="20"/>
          <w:lang w:val="es-CR"/>
        </w:rPr>
        <w:t xml:space="preserve">los peritos designados por el Comisario Nacional para </w:t>
      </w:r>
      <w:r w:rsidR="006977F6" w:rsidRPr="00CF1787">
        <w:rPr>
          <w:rFonts w:cs="Arial"/>
          <w:bCs/>
          <w:szCs w:val="20"/>
          <w:lang w:val="es-CR"/>
        </w:rPr>
        <w:t xml:space="preserve">realizar </w:t>
      </w:r>
      <w:r w:rsidRPr="00CF1787">
        <w:rPr>
          <w:rFonts w:cs="Arial"/>
          <w:bCs/>
          <w:szCs w:val="20"/>
          <w:lang w:val="es-CR"/>
        </w:rPr>
        <w:t>la autopsia concluyeron que el señor Valencia Hinojosa “falleció por hemorragia cerebral masiva producida por impacto de bala que fu[e] de derecha a izquierda, de delante hacia atrás y de abajo hacia arriba”</w:t>
      </w:r>
      <w:r w:rsidRPr="00CF1787">
        <w:rPr>
          <w:rStyle w:val="FootnoteReference"/>
          <w:bCs/>
          <w:sz w:val="20"/>
          <w:szCs w:val="20"/>
          <w:lang w:val="es-CR"/>
        </w:rPr>
        <w:footnoteReference w:id="47"/>
      </w:r>
      <w:r w:rsidRPr="00CF1787">
        <w:rPr>
          <w:rFonts w:cs="Arial"/>
          <w:bCs/>
          <w:szCs w:val="20"/>
          <w:lang w:val="es-CR"/>
        </w:rPr>
        <w:t xml:space="preserve">. Dichos peritos además hicieron notar que observaron en los pulmones </w:t>
      </w:r>
      <w:r w:rsidR="00223499" w:rsidRPr="00CF1787">
        <w:rPr>
          <w:rFonts w:cs="Arial"/>
          <w:bCs/>
          <w:szCs w:val="20"/>
          <w:lang w:val="es-CR"/>
        </w:rPr>
        <w:t>“</w:t>
      </w:r>
      <w:r w:rsidRPr="00CF1787">
        <w:rPr>
          <w:rFonts w:cs="Arial"/>
          <w:bCs/>
          <w:szCs w:val="20"/>
          <w:lang w:val="es-CR"/>
        </w:rPr>
        <w:t xml:space="preserve">manchas de </w:t>
      </w:r>
      <w:proofErr w:type="spellStart"/>
      <w:r w:rsidRPr="00CF1787">
        <w:rPr>
          <w:rFonts w:cs="Arial"/>
          <w:bCs/>
          <w:szCs w:val="20"/>
          <w:lang w:val="es-CR"/>
        </w:rPr>
        <w:t>tardieu</w:t>
      </w:r>
      <w:proofErr w:type="spellEnd"/>
      <w:r w:rsidRPr="00CF1787">
        <w:rPr>
          <w:rFonts w:cs="Arial"/>
          <w:bCs/>
          <w:szCs w:val="20"/>
          <w:lang w:val="es-CR"/>
        </w:rPr>
        <w:t>”, las cuales son un síntoma de asfixia</w:t>
      </w:r>
      <w:r w:rsidRPr="00CF1787">
        <w:rPr>
          <w:rStyle w:val="FootnoteReference"/>
          <w:bCs/>
          <w:sz w:val="20"/>
          <w:szCs w:val="20"/>
          <w:lang w:val="es-CR"/>
        </w:rPr>
        <w:footnoteReference w:id="48"/>
      </w:r>
      <w:r w:rsidRPr="00CF1787">
        <w:rPr>
          <w:rFonts w:cs="Arial"/>
          <w:bCs/>
          <w:szCs w:val="20"/>
          <w:lang w:val="es-CR"/>
        </w:rPr>
        <w:t xml:space="preserve">. Sin embargo, uno de los peritos declaró que “si bien es cierto que [las manchas de </w:t>
      </w:r>
      <w:proofErr w:type="spellStart"/>
      <w:r w:rsidRPr="00CF1787">
        <w:rPr>
          <w:rFonts w:cs="Arial"/>
          <w:bCs/>
          <w:szCs w:val="20"/>
          <w:lang w:val="es-CR"/>
        </w:rPr>
        <w:t>tardieu</w:t>
      </w:r>
      <w:proofErr w:type="spellEnd"/>
      <w:r w:rsidRPr="00CF1787">
        <w:rPr>
          <w:rFonts w:cs="Arial"/>
          <w:bCs/>
          <w:szCs w:val="20"/>
          <w:lang w:val="es-CR"/>
        </w:rPr>
        <w:t xml:space="preserve">] se presentan en una muerte por asfixia, sofocación, ahogamiento, estrangulamiento, el presente caso no </w:t>
      </w:r>
      <w:proofErr w:type="gramStart"/>
      <w:r w:rsidRPr="00CF1787">
        <w:rPr>
          <w:rFonts w:cs="Arial"/>
          <w:bCs/>
          <w:szCs w:val="20"/>
          <w:lang w:val="es-CR"/>
        </w:rPr>
        <w:t>amerita[</w:t>
      </w:r>
      <w:proofErr w:type="spellStart"/>
      <w:proofErr w:type="gramEnd"/>
      <w:r w:rsidRPr="00CF1787">
        <w:rPr>
          <w:rFonts w:cs="Arial"/>
          <w:bCs/>
          <w:szCs w:val="20"/>
          <w:lang w:val="es-CR"/>
        </w:rPr>
        <w:t>ba</w:t>
      </w:r>
      <w:proofErr w:type="spellEnd"/>
      <w:r w:rsidRPr="00CF1787">
        <w:rPr>
          <w:rFonts w:cs="Arial"/>
          <w:bCs/>
          <w:szCs w:val="20"/>
          <w:lang w:val="es-CR"/>
        </w:rPr>
        <w:t>] una investigación en esta forma”</w:t>
      </w:r>
      <w:r w:rsidRPr="00CF1787">
        <w:rPr>
          <w:rStyle w:val="FootnoteReference"/>
          <w:bCs/>
          <w:sz w:val="20"/>
          <w:szCs w:val="20"/>
          <w:lang w:val="es-CR"/>
        </w:rPr>
        <w:footnoteReference w:id="49"/>
      </w:r>
      <w:r w:rsidRPr="00CF1787">
        <w:rPr>
          <w:rFonts w:cs="Arial"/>
          <w:bCs/>
          <w:szCs w:val="20"/>
          <w:lang w:val="es-CR"/>
        </w:rPr>
        <w:t>.</w:t>
      </w:r>
    </w:p>
    <w:p w14:paraId="3D0FCADD" w14:textId="77777777" w:rsidR="00C8170A" w:rsidRPr="00CF1787" w:rsidRDefault="00C8170A" w:rsidP="00C8170A">
      <w:pPr>
        <w:pStyle w:val="NoSpacing"/>
        <w:tabs>
          <w:tab w:val="left" w:pos="567"/>
        </w:tabs>
        <w:rPr>
          <w:spacing w:val="-2"/>
          <w:szCs w:val="20"/>
          <w:lang w:val="es-CR"/>
        </w:rPr>
      </w:pPr>
    </w:p>
    <w:p w14:paraId="21E6594D" w14:textId="77777777" w:rsidR="00C8170A" w:rsidRPr="00CF1787" w:rsidRDefault="00C8170A" w:rsidP="00C8170A">
      <w:pPr>
        <w:pStyle w:val="NoSpacing"/>
        <w:numPr>
          <w:ilvl w:val="0"/>
          <w:numId w:val="5"/>
        </w:numPr>
        <w:tabs>
          <w:tab w:val="left" w:pos="567"/>
        </w:tabs>
        <w:ind w:left="0" w:firstLine="0"/>
        <w:rPr>
          <w:spacing w:val="-2"/>
          <w:szCs w:val="20"/>
          <w:lang w:val="es-CR"/>
        </w:rPr>
      </w:pPr>
      <w:bookmarkStart w:id="300" w:name="_Ref462156873"/>
      <w:r w:rsidRPr="00CF1787">
        <w:rPr>
          <w:spacing w:val="-2"/>
          <w:szCs w:val="20"/>
          <w:lang w:val="es-CR"/>
        </w:rPr>
        <w:t xml:space="preserve">Por otra parte, consta en el expediente que </w:t>
      </w:r>
      <w:r w:rsidRPr="00CF1787">
        <w:rPr>
          <w:rFonts w:cs="Arial"/>
          <w:bCs/>
          <w:szCs w:val="20"/>
          <w:lang w:val="es-CR"/>
        </w:rPr>
        <w:t>en la diligencia de reconocimiento, identificación y autopsia participó un médico de la Policía Nacional, quien presentó su propio Protocolo de Autopsia</w:t>
      </w:r>
      <w:r w:rsidRPr="00CF1787">
        <w:rPr>
          <w:rStyle w:val="FootnoteReference"/>
          <w:bCs/>
          <w:sz w:val="20"/>
          <w:szCs w:val="20"/>
          <w:lang w:val="es-CR"/>
        </w:rPr>
        <w:footnoteReference w:id="50"/>
      </w:r>
      <w:r w:rsidRPr="00CF1787">
        <w:rPr>
          <w:rFonts w:cs="Arial"/>
          <w:bCs/>
          <w:szCs w:val="20"/>
          <w:lang w:val="es-CR"/>
        </w:rPr>
        <w:t>. Dicho documento concluyó que “[f]</w:t>
      </w:r>
      <w:proofErr w:type="spellStart"/>
      <w:r w:rsidRPr="00CF1787">
        <w:rPr>
          <w:szCs w:val="20"/>
          <w:lang w:val="es-CR"/>
        </w:rPr>
        <w:t>ue</w:t>
      </w:r>
      <w:proofErr w:type="spellEnd"/>
      <w:r w:rsidRPr="00CF1787">
        <w:rPr>
          <w:szCs w:val="20"/>
          <w:lang w:val="es-CR"/>
        </w:rPr>
        <w:t xml:space="preserve"> una muerte violenta, súbita, </w:t>
      </w:r>
      <w:proofErr w:type="gramStart"/>
      <w:r w:rsidRPr="00CF1787">
        <w:rPr>
          <w:szCs w:val="20"/>
          <w:lang w:val="es-CR"/>
        </w:rPr>
        <w:lastRenderedPageBreak/>
        <w:t>fulminante[</w:t>
      </w:r>
      <w:proofErr w:type="gramEnd"/>
      <w:r w:rsidRPr="00CF1787">
        <w:rPr>
          <w:szCs w:val="20"/>
          <w:lang w:val="es-CR"/>
        </w:rPr>
        <w:t>,]  compatible con un disparo a corta distancia y muy probablemente suicidio”</w:t>
      </w:r>
      <w:r w:rsidRPr="00CF1787">
        <w:rPr>
          <w:rStyle w:val="FootnoteReference"/>
          <w:sz w:val="20"/>
          <w:szCs w:val="20"/>
          <w:lang w:val="es-CR"/>
        </w:rPr>
        <w:footnoteReference w:id="51"/>
      </w:r>
      <w:r w:rsidRPr="00CF1787">
        <w:rPr>
          <w:szCs w:val="20"/>
          <w:lang w:val="es-CR"/>
        </w:rPr>
        <w:t>. Asimismo, el documento descartó la posibilidad de la asfixia</w:t>
      </w:r>
      <w:r w:rsidRPr="00CF1787">
        <w:rPr>
          <w:rStyle w:val="FootnoteReference"/>
          <w:sz w:val="20"/>
          <w:szCs w:val="20"/>
          <w:lang w:val="es-CR"/>
        </w:rPr>
        <w:footnoteReference w:id="52"/>
      </w:r>
      <w:r w:rsidRPr="00CF1787">
        <w:rPr>
          <w:szCs w:val="20"/>
          <w:lang w:val="es-CR"/>
        </w:rPr>
        <w:t xml:space="preserve">. Los representantes alegaron que dicho documento era ilegal, a pesar de lo cual había sido tomado en cuenta durante el proceso penal interno. </w:t>
      </w:r>
      <w:bookmarkEnd w:id="300"/>
      <w:r w:rsidRPr="00CF1787">
        <w:rPr>
          <w:szCs w:val="20"/>
          <w:lang w:val="es-CR"/>
        </w:rPr>
        <w:t xml:space="preserve"> </w:t>
      </w:r>
    </w:p>
    <w:p w14:paraId="1CFCB0B9" w14:textId="77777777" w:rsidR="00C8170A" w:rsidRPr="00CF1787" w:rsidRDefault="00C8170A" w:rsidP="00C8170A">
      <w:pPr>
        <w:pStyle w:val="ListParagraph"/>
        <w:widowControl/>
        <w:numPr>
          <w:ilvl w:val="0"/>
          <w:numId w:val="0"/>
        </w:numPr>
        <w:tabs>
          <w:tab w:val="left" w:pos="567"/>
        </w:tabs>
        <w:ind w:right="0"/>
        <w:rPr>
          <w:rFonts w:cs="Arial"/>
          <w:bCs/>
          <w:lang w:val="es-CR"/>
        </w:rPr>
      </w:pPr>
    </w:p>
    <w:p w14:paraId="25146334" w14:textId="77777777" w:rsidR="0011008B" w:rsidRPr="00CF1787" w:rsidRDefault="0011008B" w:rsidP="0011008B">
      <w:pPr>
        <w:pStyle w:val="Heading2"/>
        <w:rPr>
          <w:lang w:val="es-CR"/>
        </w:rPr>
      </w:pPr>
      <w:bookmarkStart w:id="301" w:name="_Toc465177374"/>
      <w:bookmarkStart w:id="302" w:name="_Toc470098047"/>
      <w:r w:rsidRPr="00CF1787">
        <w:rPr>
          <w:lang w:val="es-CR"/>
        </w:rPr>
        <w:t>Marco Normativo sobre la Jurisdicción Penal Policial</w:t>
      </w:r>
      <w:bookmarkEnd w:id="301"/>
      <w:bookmarkEnd w:id="302"/>
    </w:p>
    <w:p w14:paraId="1A2E8BFF" w14:textId="77777777" w:rsidR="0011008B" w:rsidRPr="00CF1787" w:rsidRDefault="0011008B" w:rsidP="0011008B">
      <w:pPr>
        <w:pStyle w:val="NoSpacing"/>
        <w:tabs>
          <w:tab w:val="left" w:pos="567"/>
        </w:tabs>
        <w:rPr>
          <w:spacing w:val="-2"/>
          <w:szCs w:val="20"/>
          <w:lang w:val="es-CR"/>
        </w:rPr>
      </w:pPr>
    </w:p>
    <w:p w14:paraId="06BD81C5" w14:textId="1305DCF7" w:rsidR="0011008B" w:rsidRPr="00CF1787" w:rsidRDefault="00C04114" w:rsidP="0011008B">
      <w:pPr>
        <w:pStyle w:val="NoSpacing"/>
        <w:numPr>
          <w:ilvl w:val="0"/>
          <w:numId w:val="5"/>
        </w:numPr>
        <w:tabs>
          <w:tab w:val="left" w:pos="567"/>
        </w:tabs>
        <w:ind w:left="0" w:firstLine="0"/>
        <w:rPr>
          <w:b/>
          <w:szCs w:val="20"/>
          <w:lang w:val="es-CR"/>
        </w:rPr>
      </w:pPr>
      <w:bookmarkStart w:id="303" w:name="_Ref470091298"/>
      <w:r w:rsidRPr="00CF1787">
        <w:rPr>
          <w:rFonts w:cs="Arial"/>
          <w:bCs/>
          <w:szCs w:val="20"/>
          <w:lang w:val="es-CR"/>
        </w:rPr>
        <w:t xml:space="preserve">En la época de los hechos del caso existía en </w:t>
      </w:r>
      <w:r w:rsidR="00F23477" w:rsidRPr="00CF1787">
        <w:rPr>
          <w:rFonts w:cs="Arial"/>
          <w:bCs/>
          <w:szCs w:val="20"/>
          <w:lang w:val="es-CR"/>
        </w:rPr>
        <w:t xml:space="preserve">el </w:t>
      </w:r>
      <w:r w:rsidRPr="00CF1787">
        <w:rPr>
          <w:rFonts w:cs="Arial"/>
          <w:bCs/>
          <w:szCs w:val="20"/>
          <w:lang w:val="es-CR"/>
        </w:rPr>
        <w:t>Ecuador una jurisdicción penal policia</w:t>
      </w:r>
      <w:r w:rsidR="00F23477" w:rsidRPr="00CF1787">
        <w:rPr>
          <w:rFonts w:cs="Arial"/>
          <w:bCs/>
          <w:szCs w:val="20"/>
          <w:lang w:val="es-CR"/>
        </w:rPr>
        <w:t>l</w:t>
      </w:r>
      <w:r w:rsidR="00117332" w:rsidRPr="00CF1787">
        <w:rPr>
          <w:rFonts w:cs="Arial"/>
          <w:bCs/>
          <w:szCs w:val="20"/>
          <w:lang w:val="es-CR"/>
        </w:rPr>
        <w:t xml:space="preserve"> que investigó los hechos de este caso (</w:t>
      </w:r>
      <w:r w:rsidR="00117332" w:rsidRPr="00CF1787">
        <w:rPr>
          <w:rFonts w:cs="Arial"/>
          <w:bCs/>
          <w:i/>
          <w:szCs w:val="20"/>
          <w:lang w:val="es-CR"/>
        </w:rPr>
        <w:t>infra</w:t>
      </w:r>
      <w:r w:rsidR="00117332" w:rsidRPr="00CF1787">
        <w:rPr>
          <w:rFonts w:cs="Arial"/>
          <w:bCs/>
          <w:szCs w:val="20"/>
          <w:lang w:val="es-CR"/>
        </w:rPr>
        <w:t xml:space="preserve"> </w:t>
      </w:r>
      <w:proofErr w:type="spellStart"/>
      <w:r w:rsidR="00117332" w:rsidRPr="00CF1787">
        <w:rPr>
          <w:rFonts w:cs="Arial"/>
          <w:bCs/>
          <w:szCs w:val="20"/>
          <w:lang w:val="es-CR"/>
        </w:rPr>
        <w:t>párrs</w:t>
      </w:r>
      <w:proofErr w:type="spellEnd"/>
      <w:r w:rsidR="00117332" w:rsidRPr="00CF1787">
        <w:rPr>
          <w:rFonts w:cs="Arial"/>
          <w:bCs/>
          <w:szCs w:val="20"/>
          <w:lang w:val="es-CR"/>
        </w:rPr>
        <w:t xml:space="preserve">. </w:t>
      </w:r>
      <w:r w:rsidR="00135018" w:rsidRPr="00CF1787">
        <w:rPr>
          <w:rFonts w:cs="Arial"/>
          <w:bCs/>
          <w:szCs w:val="20"/>
          <w:lang w:val="es-CR"/>
        </w:rPr>
        <w:fldChar w:fldCharType="begin"/>
      </w:r>
      <w:r w:rsidR="00135018" w:rsidRPr="00CF1787">
        <w:rPr>
          <w:rFonts w:cs="Arial"/>
          <w:bCs/>
          <w:szCs w:val="20"/>
          <w:lang w:val="es-CR"/>
        </w:rPr>
        <w:instrText xml:space="preserve"> REF _Ref470091298 \r \h </w:instrText>
      </w:r>
      <w:r w:rsidR="00CF1787">
        <w:rPr>
          <w:rFonts w:cs="Arial"/>
          <w:bCs/>
          <w:szCs w:val="20"/>
          <w:lang w:val="es-CR"/>
        </w:rPr>
        <w:instrText xml:space="preserve"> \* MERGEFORMAT </w:instrText>
      </w:r>
      <w:r w:rsidR="00135018" w:rsidRPr="00CF1787">
        <w:rPr>
          <w:rFonts w:cs="Arial"/>
          <w:bCs/>
          <w:szCs w:val="20"/>
          <w:lang w:val="es-CR"/>
        </w:rPr>
      </w:r>
      <w:r w:rsidR="00135018" w:rsidRPr="00CF1787">
        <w:rPr>
          <w:rFonts w:cs="Arial"/>
          <w:bCs/>
          <w:szCs w:val="20"/>
          <w:lang w:val="es-CR"/>
        </w:rPr>
        <w:fldChar w:fldCharType="separate"/>
      </w:r>
      <w:r w:rsidR="00536893">
        <w:rPr>
          <w:rFonts w:cs="Arial"/>
          <w:bCs/>
          <w:szCs w:val="20"/>
          <w:lang w:val="es-CR"/>
        </w:rPr>
        <w:t>60</w:t>
      </w:r>
      <w:r w:rsidR="00135018" w:rsidRPr="00CF1787">
        <w:rPr>
          <w:rFonts w:cs="Arial"/>
          <w:bCs/>
          <w:szCs w:val="20"/>
          <w:lang w:val="es-CR"/>
        </w:rPr>
        <w:fldChar w:fldCharType="end"/>
      </w:r>
      <w:r w:rsidR="00135018" w:rsidRPr="00CF1787">
        <w:rPr>
          <w:rFonts w:cs="Arial"/>
          <w:bCs/>
          <w:szCs w:val="20"/>
          <w:lang w:val="es-CR"/>
        </w:rPr>
        <w:t xml:space="preserve"> </w:t>
      </w:r>
      <w:r w:rsidR="00117332" w:rsidRPr="00CF1787">
        <w:rPr>
          <w:rFonts w:cs="Arial"/>
          <w:bCs/>
          <w:szCs w:val="20"/>
          <w:lang w:val="es-CR"/>
        </w:rPr>
        <w:t xml:space="preserve">a </w:t>
      </w:r>
      <w:r w:rsidR="00573468" w:rsidRPr="00CF1787">
        <w:rPr>
          <w:rFonts w:cs="Arial"/>
          <w:bCs/>
          <w:szCs w:val="20"/>
          <w:lang w:val="es-CR"/>
        </w:rPr>
        <w:fldChar w:fldCharType="begin"/>
      </w:r>
      <w:r w:rsidR="00117332" w:rsidRPr="00CF1787">
        <w:rPr>
          <w:rFonts w:cs="Arial"/>
          <w:bCs/>
          <w:szCs w:val="20"/>
          <w:lang w:val="es-CR"/>
        </w:rPr>
        <w:instrText xml:space="preserve"> REF _Ref462078622 \r \h </w:instrText>
      </w:r>
      <w:r w:rsidR="00CF1787">
        <w:rPr>
          <w:rFonts w:cs="Arial"/>
          <w:bCs/>
          <w:szCs w:val="20"/>
          <w:lang w:val="es-CR"/>
        </w:rPr>
        <w:instrText xml:space="preserve"> \* MERGEFORMAT </w:instrText>
      </w:r>
      <w:r w:rsidR="00573468" w:rsidRPr="00CF1787">
        <w:rPr>
          <w:rFonts w:cs="Arial"/>
          <w:bCs/>
          <w:szCs w:val="20"/>
          <w:lang w:val="es-CR"/>
        </w:rPr>
      </w:r>
      <w:r w:rsidR="00573468" w:rsidRPr="00CF1787">
        <w:rPr>
          <w:rFonts w:cs="Arial"/>
          <w:bCs/>
          <w:szCs w:val="20"/>
          <w:lang w:val="es-CR"/>
        </w:rPr>
        <w:fldChar w:fldCharType="separate"/>
      </w:r>
      <w:r w:rsidR="00536893">
        <w:rPr>
          <w:rFonts w:cs="Arial"/>
          <w:bCs/>
          <w:szCs w:val="20"/>
          <w:lang w:val="es-CR"/>
        </w:rPr>
        <w:t>73</w:t>
      </w:r>
      <w:r w:rsidR="00573468" w:rsidRPr="00CF1787">
        <w:rPr>
          <w:rFonts w:cs="Arial"/>
          <w:bCs/>
          <w:szCs w:val="20"/>
          <w:lang w:val="es-CR"/>
        </w:rPr>
        <w:fldChar w:fldCharType="end"/>
      </w:r>
      <w:r w:rsidR="00117332" w:rsidRPr="00CF1787">
        <w:rPr>
          <w:rFonts w:cs="Arial"/>
          <w:bCs/>
          <w:szCs w:val="20"/>
          <w:lang w:val="es-CR"/>
        </w:rPr>
        <w:t>)</w:t>
      </w:r>
      <w:r w:rsidRPr="00CF1787">
        <w:rPr>
          <w:rFonts w:cs="Arial"/>
          <w:bCs/>
          <w:szCs w:val="20"/>
          <w:lang w:val="es-CR"/>
        </w:rPr>
        <w:t xml:space="preserve">. Esta </w:t>
      </w:r>
      <w:r w:rsidR="0011008B" w:rsidRPr="00CF1787">
        <w:rPr>
          <w:spacing w:val="-2"/>
          <w:szCs w:val="20"/>
          <w:lang w:val="es-CR"/>
        </w:rPr>
        <w:t xml:space="preserve">jurisdicción </w:t>
      </w:r>
      <w:r w:rsidRPr="00CF1787">
        <w:rPr>
          <w:spacing w:val="-2"/>
          <w:szCs w:val="20"/>
          <w:lang w:val="es-CR"/>
        </w:rPr>
        <w:t>especial</w:t>
      </w:r>
      <w:r w:rsidR="00F23477" w:rsidRPr="00CF1787">
        <w:rPr>
          <w:spacing w:val="-2"/>
          <w:szCs w:val="20"/>
          <w:lang w:val="es-CR"/>
        </w:rPr>
        <w:t xml:space="preserve"> </w:t>
      </w:r>
      <w:r w:rsidR="0011008B" w:rsidRPr="00CF1787">
        <w:rPr>
          <w:spacing w:val="-2"/>
          <w:szCs w:val="20"/>
          <w:lang w:val="es-CR"/>
        </w:rPr>
        <w:t xml:space="preserve">estaba regulada por la </w:t>
      </w:r>
      <w:r w:rsidR="0011008B" w:rsidRPr="00CF1787">
        <w:rPr>
          <w:rFonts w:cs="Arial"/>
          <w:szCs w:val="20"/>
          <w:lang w:val="es-CR"/>
        </w:rPr>
        <w:t>Constitución Política de la República del Ecuador de 1984</w:t>
      </w:r>
      <w:r w:rsidR="0011008B" w:rsidRPr="00CF1787">
        <w:rPr>
          <w:rStyle w:val="FootnoteReference"/>
          <w:sz w:val="20"/>
          <w:szCs w:val="20"/>
          <w:lang w:val="es-CR"/>
        </w:rPr>
        <w:footnoteReference w:id="53"/>
      </w:r>
      <w:r w:rsidR="0011008B" w:rsidRPr="00CF1787">
        <w:rPr>
          <w:rFonts w:cs="Arial"/>
          <w:szCs w:val="20"/>
          <w:lang w:val="es-CR"/>
        </w:rPr>
        <w:t xml:space="preserve">, </w:t>
      </w:r>
      <w:r w:rsidR="0011008B" w:rsidRPr="00CF1787">
        <w:rPr>
          <w:szCs w:val="20"/>
          <w:lang w:val="es-CR"/>
        </w:rPr>
        <w:t>la Ley Orgánica de la Policía Nacional de 1975</w:t>
      </w:r>
      <w:r w:rsidR="0011008B" w:rsidRPr="00CF1787">
        <w:rPr>
          <w:rStyle w:val="FootnoteReference"/>
          <w:sz w:val="20"/>
          <w:szCs w:val="20"/>
          <w:lang w:val="es-CR"/>
        </w:rPr>
        <w:footnoteReference w:id="54"/>
      </w:r>
      <w:r w:rsidR="0011008B" w:rsidRPr="00CF1787">
        <w:rPr>
          <w:szCs w:val="20"/>
          <w:lang w:val="es-CR"/>
        </w:rPr>
        <w:t>, la Ley de la Función Judicial de la Policía Nacional de 1960</w:t>
      </w:r>
      <w:r w:rsidR="0011008B" w:rsidRPr="00CF1787">
        <w:rPr>
          <w:rStyle w:val="FootnoteReference"/>
          <w:sz w:val="20"/>
          <w:szCs w:val="20"/>
          <w:lang w:val="es-CR"/>
        </w:rPr>
        <w:footnoteReference w:id="55"/>
      </w:r>
      <w:r w:rsidR="0011008B" w:rsidRPr="00CF1787">
        <w:rPr>
          <w:szCs w:val="20"/>
          <w:lang w:val="es-CR"/>
        </w:rPr>
        <w:t xml:space="preserve">, </w:t>
      </w:r>
      <w:r w:rsidR="0011008B" w:rsidRPr="00CF1787">
        <w:rPr>
          <w:rFonts w:cs="Arial"/>
          <w:szCs w:val="20"/>
          <w:lang w:val="es-CR"/>
        </w:rPr>
        <w:t xml:space="preserve">el </w:t>
      </w:r>
      <w:r w:rsidR="0011008B" w:rsidRPr="00CF1787">
        <w:rPr>
          <w:szCs w:val="20"/>
          <w:lang w:val="es-CR"/>
        </w:rPr>
        <w:t>Código Penal de la Policía Civil Nacional</w:t>
      </w:r>
      <w:r w:rsidR="0011008B" w:rsidRPr="00CF1787">
        <w:rPr>
          <w:rStyle w:val="FootnoteReference"/>
          <w:sz w:val="20"/>
          <w:szCs w:val="20"/>
          <w:lang w:val="es-CR"/>
        </w:rPr>
        <w:footnoteReference w:id="56"/>
      </w:r>
      <w:r w:rsidR="0011008B" w:rsidRPr="00CF1787">
        <w:rPr>
          <w:szCs w:val="20"/>
          <w:lang w:val="es-CR"/>
        </w:rPr>
        <w:t xml:space="preserve"> y el </w:t>
      </w:r>
      <w:r w:rsidR="0011008B" w:rsidRPr="00CF1787">
        <w:rPr>
          <w:rFonts w:cs="Times New Roman"/>
          <w:szCs w:val="20"/>
          <w:lang w:val="es-CR"/>
        </w:rPr>
        <w:t>Código de Procedimiento Penal de la Policía Nacional de 1960</w:t>
      </w:r>
      <w:r w:rsidR="0011008B" w:rsidRPr="00CF1787">
        <w:rPr>
          <w:rFonts w:cs="Times New Roman"/>
          <w:vertAlign w:val="superscript"/>
          <w:lang w:val="es-CR"/>
        </w:rPr>
        <w:footnoteReference w:id="57"/>
      </w:r>
      <w:r w:rsidR="0011008B" w:rsidRPr="00CF1787">
        <w:rPr>
          <w:rFonts w:cs="Times New Roman"/>
          <w:szCs w:val="20"/>
          <w:lang w:val="es-CR"/>
        </w:rPr>
        <w:t>.</w:t>
      </w:r>
      <w:bookmarkEnd w:id="303"/>
      <w:r w:rsidR="0011008B" w:rsidRPr="00CF1787">
        <w:rPr>
          <w:rFonts w:cs="Times New Roman"/>
          <w:szCs w:val="20"/>
          <w:lang w:val="es-CR"/>
        </w:rPr>
        <w:t xml:space="preserve"> </w:t>
      </w:r>
    </w:p>
    <w:p w14:paraId="2F2804A9" w14:textId="77777777" w:rsidR="0011008B" w:rsidRPr="00CF1787" w:rsidRDefault="0011008B" w:rsidP="0011008B">
      <w:pPr>
        <w:tabs>
          <w:tab w:val="left" w:pos="567"/>
        </w:tabs>
        <w:rPr>
          <w:rFonts w:cs="Arial"/>
          <w:szCs w:val="20"/>
          <w:lang w:val="es-CR"/>
        </w:rPr>
      </w:pPr>
    </w:p>
    <w:p w14:paraId="2D4793AC" w14:textId="77777777" w:rsidR="0011008B" w:rsidRPr="00CF1787" w:rsidRDefault="0011008B" w:rsidP="0011008B">
      <w:pPr>
        <w:numPr>
          <w:ilvl w:val="0"/>
          <w:numId w:val="5"/>
        </w:numPr>
        <w:tabs>
          <w:tab w:val="left" w:pos="567"/>
        </w:tabs>
        <w:ind w:left="0" w:firstLine="0"/>
        <w:rPr>
          <w:b/>
          <w:szCs w:val="20"/>
          <w:lang w:val="es-CR"/>
        </w:rPr>
      </w:pPr>
      <w:r w:rsidRPr="00CF1787">
        <w:rPr>
          <w:rFonts w:cs="Arial"/>
          <w:bCs/>
          <w:szCs w:val="20"/>
          <w:lang w:val="es-CR"/>
        </w:rPr>
        <w:t xml:space="preserve">La </w:t>
      </w:r>
      <w:r w:rsidRPr="00CF1787">
        <w:rPr>
          <w:rFonts w:cs="Arial"/>
          <w:szCs w:val="20"/>
          <w:lang w:val="es-CR"/>
        </w:rPr>
        <w:t xml:space="preserve">Constitución Política de la República del Ecuador, vigente a la fecha de los hechos, establecía que “[l]os miembros de la </w:t>
      </w:r>
      <w:r w:rsidRPr="00CF1787">
        <w:rPr>
          <w:szCs w:val="20"/>
          <w:lang w:val="es-CR"/>
        </w:rPr>
        <w:t xml:space="preserve">Fuerza </w:t>
      </w:r>
      <w:r w:rsidRPr="00CF1787">
        <w:rPr>
          <w:rFonts w:cs="Arial"/>
          <w:szCs w:val="20"/>
          <w:lang w:val="es-CR"/>
        </w:rPr>
        <w:t xml:space="preserve">Pública gozan de </w:t>
      </w:r>
      <w:r w:rsidRPr="00CF1787">
        <w:rPr>
          <w:szCs w:val="20"/>
          <w:lang w:val="es-CR"/>
        </w:rPr>
        <w:t xml:space="preserve">fuero </w:t>
      </w:r>
      <w:r w:rsidRPr="00CF1787">
        <w:rPr>
          <w:rFonts w:cs="Arial"/>
          <w:szCs w:val="20"/>
          <w:lang w:val="es-CR"/>
        </w:rPr>
        <w:t xml:space="preserve">especial, no se les puede procesar ni privar de sus </w:t>
      </w:r>
      <w:r w:rsidRPr="00CF1787">
        <w:rPr>
          <w:szCs w:val="20"/>
          <w:lang w:val="es-CR"/>
        </w:rPr>
        <w:t xml:space="preserve">grados, </w:t>
      </w:r>
      <w:r w:rsidRPr="00CF1787">
        <w:rPr>
          <w:rFonts w:cs="Arial"/>
          <w:szCs w:val="20"/>
          <w:lang w:val="es-CR"/>
        </w:rPr>
        <w:t xml:space="preserve">honores ni pensiones, sino </w:t>
      </w:r>
      <w:r w:rsidRPr="00CF1787">
        <w:rPr>
          <w:szCs w:val="20"/>
          <w:lang w:val="es-CR"/>
        </w:rPr>
        <w:t xml:space="preserve">por las </w:t>
      </w:r>
      <w:r w:rsidRPr="00CF1787">
        <w:rPr>
          <w:rFonts w:cs="Arial"/>
          <w:szCs w:val="20"/>
          <w:lang w:val="es-CR"/>
        </w:rPr>
        <w:t xml:space="preserve">causas y en la </w:t>
      </w:r>
      <w:r w:rsidRPr="00CF1787">
        <w:rPr>
          <w:szCs w:val="20"/>
          <w:lang w:val="es-CR"/>
        </w:rPr>
        <w:t xml:space="preserve">forma </w:t>
      </w:r>
      <w:r w:rsidRPr="00CF1787">
        <w:rPr>
          <w:rFonts w:cs="Arial"/>
          <w:szCs w:val="20"/>
          <w:lang w:val="es-CR"/>
        </w:rPr>
        <w:t xml:space="preserve">determinadas </w:t>
      </w:r>
      <w:r w:rsidRPr="00CF1787">
        <w:rPr>
          <w:szCs w:val="20"/>
          <w:lang w:val="es-CR"/>
        </w:rPr>
        <w:t>por la</w:t>
      </w:r>
      <w:r w:rsidRPr="00CF1787">
        <w:rPr>
          <w:rFonts w:cs="Arial"/>
          <w:szCs w:val="20"/>
          <w:lang w:val="es-CR"/>
        </w:rPr>
        <w:t xml:space="preserve"> </w:t>
      </w:r>
      <w:r w:rsidRPr="00CF1787">
        <w:rPr>
          <w:szCs w:val="20"/>
          <w:lang w:val="es-CR"/>
        </w:rPr>
        <w:t xml:space="preserve">ley, a excepción </w:t>
      </w:r>
      <w:r w:rsidRPr="00CF1787">
        <w:rPr>
          <w:rFonts w:cs="Arial"/>
          <w:szCs w:val="20"/>
          <w:lang w:val="es-CR"/>
        </w:rPr>
        <w:t xml:space="preserve">de </w:t>
      </w:r>
      <w:r w:rsidRPr="00CF1787">
        <w:rPr>
          <w:szCs w:val="20"/>
          <w:lang w:val="es-CR"/>
        </w:rPr>
        <w:t xml:space="preserve">las </w:t>
      </w:r>
      <w:r w:rsidRPr="00CF1787">
        <w:rPr>
          <w:rFonts w:cs="Arial"/>
          <w:szCs w:val="20"/>
          <w:lang w:val="es-CR"/>
        </w:rPr>
        <w:t xml:space="preserve">infracciones </w:t>
      </w:r>
      <w:r w:rsidRPr="00CF1787">
        <w:rPr>
          <w:szCs w:val="20"/>
          <w:lang w:val="es-CR"/>
        </w:rPr>
        <w:t xml:space="preserve">comunes que las juzgará </w:t>
      </w:r>
      <w:r w:rsidRPr="00CF1787">
        <w:rPr>
          <w:rFonts w:cs="Arial"/>
          <w:szCs w:val="20"/>
          <w:lang w:val="es-CR"/>
        </w:rPr>
        <w:t>la justicia ordinaria”</w:t>
      </w:r>
      <w:r w:rsidRPr="00CF1787">
        <w:rPr>
          <w:rStyle w:val="FootnoteReference"/>
          <w:sz w:val="20"/>
          <w:szCs w:val="20"/>
          <w:lang w:val="es-CR"/>
        </w:rPr>
        <w:footnoteReference w:id="58"/>
      </w:r>
      <w:r w:rsidRPr="00CF1787">
        <w:rPr>
          <w:rFonts w:cs="Arial"/>
          <w:szCs w:val="20"/>
          <w:lang w:val="es-CR"/>
        </w:rPr>
        <w:t>.</w:t>
      </w:r>
      <w:r w:rsidRPr="00CF1787">
        <w:rPr>
          <w:rFonts w:cs="Arial"/>
          <w:bCs/>
          <w:szCs w:val="20"/>
          <w:lang w:val="es-CR"/>
        </w:rPr>
        <w:t xml:space="preserve"> </w:t>
      </w:r>
    </w:p>
    <w:p w14:paraId="2DF903E1" w14:textId="77777777" w:rsidR="0011008B" w:rsidRPr="00CF1787" w:rsidRDefault="0011008B" w:rsidP="0011008B">
      <w:pPr>
        <w:tabs>
          <w:tab w:val="left" w:pos="567"/>
        </w:tabs>
        <w:rPr>
          <w:b/>
          <w:szCs w:val="20"/>
          <w:lang w:val="es-CR"/>
        </w:rPr>
      </w:pPr>
    </w:p>
    <w:p w14:paraId="451692C6" w14:textId="77777777" w:rsidR="0011008B" w:rsidRPr="00CF1787" w:rsidRDefault="0011008B" w:rsidP="0011008B">
      <w:pPr>
        <w:numPr>
          <w:ilvl w:val="0"/>
          <w:numId w:val="5"/>
        </w:numPr>
        <w:tabs>
          <w:tab w:val="left" w:pos="567"/>
        </w:tabs>
        <w:ind w:left="0" w:firstLine="0"/>
        <w:rPr>
          <w:spacing w:val="-2"/>
          <w:szCs w:val="20"/>
          <w:lang w:val="es-CR"/>
        </w:rPr>
      </w:pPr>
      <w:r w:rsidRPr="00CF1787">
        <w:rPr>
          <w:rFonts w:cs="Arial"/>
          <w:bCs/>
          <w:szCs w:val="20"/>
          <w:lang w:val="es-CR"/>
        </w:rPr>
        <w:t>En el mismo sentido, d</w:t>
      </w:r>
      <w:r w:rsidRPr="00CF1787">
        <w:rPr>
          <w:szCs w:val="20"/>
          <w:lang w:val="es-CR"/>
        </w:rPr>
        <w:t>e acuerdo al Código Penal de la Policía Civil Nacional, “[e]</w:t>
      </w:r>
      <w:r w:rsidRPr="00CF1787">
        <w:rPr>
          <w:rFonts w:cs="Arial"/>
          <w:szCs w:val="20"/>
          <w:lang w:val="es-CR"/>
        </w:rPr>
        <w:t>l fuero de los miembros de la Policía Civil Nacional es aplicable únicamente respecto de las infracciones cometidas en ejercicio de la función que les corresponde específicamente como miembros de esta Institución, y por infracciones determinadas en este Código y en el Reglamento Disciplinario</w:t>
      </w:r>
      <w:r w:rsidRPr="00CF1787">
        <w:rPr>
          <w:szCs w:val="20"/>
          <w:lang w:val="es-CR"/>
        </w:rPr>
        <w:t>”</w:t>
      </w:r>
      <w:r w:rsidRPr="00CF1787">
        <w:rPr>
          <w:rStyle w:val="FootnoteReference"/>
          <w:sz w:val="20"/>
          <w:szCs w:val="20"/>
          <w:lang w:val="es-CR"/>
        </w:rPr>
        <w:footnoteReference w:id="59"/>
      </w:r>
      <w:r w:rsidRPr="00CF1787">
        <w:rPr>
          <w:szCs w:val="20"/>
          <w:lang w:val="es-CR"/>
        </w:rPr>
        <w:t>.</w:t>
      </w:r>
    </w:p>
    <w:p w14:paraId="0E098D13" w14:textId="77777777" w:rsidR="0011008B" w:rsidRPr="00CF1787" w:rsidRDefault="0011008B" w:rsidP="0011008B">
      <w:pPr>
        <w:tabs>
          <w:tab w:val="left" w:pos="567"/>
        </w:tabs>
        <w:rPr>
          <w:spacing w:val="-2"/>
          <w:szCs w:val="20"/>
          <w:lang w:val="es-CR"/>
        </w:rPr>
      </w:pPr>
    </w:p>
    <w:p w14:paraId="1F75CEE5" w14:textId="77777777" w:rsidR="0011008B" w:rsidRPr="00CF1787" w:rsidRDefault="0011008B" w:rsidP="0011008B">
      <w:pPr>
        <w:numPr>
          <w:ilvl w:val="0"/>
          <w:numId w:val="5"/>
        </w:numPr>
        <w:tabs>
          <w:tab w:val="left" w:pos="567"/>
        </w:tabs>
        <w:ind w:left="0" w:firstLine="0"/>
        <w:rPr>
          <w:spacing w:val="-2"/>
          <w:szCs w:val="20"/>
          <w:lang w:val="es-CR"/>
        </w:rPr>
      </w:pPr>
      <w:bookmarkStart w:id="304" w:name="_Ref469987053"/>
      <w:r w:rsidRPr="00CF1787">
        <w:rPr>
          <w:szCs w:val="20"/>
          <w:lang w:val="es-CR"/>
        </w:rPr>
        <w:t xml:space="preserve">Según la legislación ecuatoriana previamente citada, la jurisdicción penal policial </w:t>
      </w:r>
      <w:r w:rsidR="00470023" w:rsidRPr="00CF1787">
        <w:rPr>
          <w:szCs w:val="20"/>
          <w:lang w:val="es-CR"/>
        </w:rPr>
        <w:t xml:space="preserve">contaba con </w:t>
      </w:r>
      <w:r w:rsidRPr="00CF1787">
        <w:rPr>
          <w:szCs w:val="20"/>
          <w:lang w:val="es-CR"/>
        </w:rPr>
        <w:t>tres instancias</w:t>
      </w:r>
      <w:r w:rsidRPr="00CF1787">
        <w:rPr>
          <w:rStyle w:val="FootnoteReference"/>
          <w:sz w:val="20"/>
          <w:szCs w:val="20"/>
          <w:lang w:val="es-CR"/>
        </w:rPr>
        <w:footnoteReference w:id="60"/>
      </w:r>
      <w:r w:rsidRPr="00CF1787">
        <w:rPr>
          <w:szCs w:val="20"/>
          <w:lang w:val="es-CR"/>
        </w:rPr>
        <w:t xml:space="preserve">. </w:t>
      </w:r>
      <w:r w:rsidRPr="00CF1787">
        <w:rPr>
          <w:spacing w:val="-2"/>
          <w:szCs w:val="20"/>
          <w:lang w:val="es-CR"/>
        </w:rPr>
        <w:t xml:space="preserve">La </w:t>
      </w:r>
      <w:r w:rsidRPr="00CF1787">
        <w:rPr>
          <w:rFonts w:cs="Times New Roman"/>
          <w:szCs w:val="20"/>
          <w:lang w:val="es-CR"/>
        </w:rPr>
        <w:t xml:space="preserve">primera instancia estaba compuesta por dos etapas: sumaria y </w:t>
      </w:r>
      <w:r w:rsidRPr="00CF1787">
        <w:rPr>
          <w:rFonts w:cs="Times New Roman"/>
          <w:szCs w:val="20"/>
          <w:lang w:val="es-CR"/>
        </w:rPr>
        <w:lastRenderedPageBreak/>
        <w:t>plenaria</w:t>
      </w:r>
      <w:r w:rsidRPr="00CF1787">
        <w:rPr>
          <w:rFonts w:cs="Times New Roman"/>
          <w:szCs w:val="20"/>
          <w:vertAlign w:val="superscript"/>
          <w:lang w:val="es-CR"/>
        </w:rPr>
        <w:footnoteReference w:id="61"/>
      </w:r>
      <w:r w:rsidRPr="00CF1787">
        <w:rPr>
          <w:rFonts w:cs="Times New Roman"/>
          <w:szCs w:val="20"/>
          <w:lang w:val="es-CR"/>
        </w:rPr>
        <w:t>. En casos de delitos de oficio</w:t>
      </w:r>
      <w:r w:rsidR="007B386A" w:rsidRPr="00CF1787">
        <w:rPr>
          <w:rFonts w:cs="Times New Roman"/>
          <w:szCs w:val="20"/>
          <w:lang w:val="es-CR"/>
        </w:rPr>
        <w:t>,</w:t>
      </w:r>
      <w:r w:rsidRPr="00CF1787">
        <w:rPr>
          <w:rFonts w:cs="Times New Roman"/>
          <w:szCs w:val="20"/>
          <w:lang w:val="es-CR"/>
        </w:rPr>
        <w:t xml:space="preserve"> la etapa sumaria estaba a cargo de un juez de instrucción, denominado Juez de Distrito, quien iniciaba la investigación con el auto cabeza de proceso</w:t>
      </w:r>
      <w:r w:rsidRPr="00CF1787">
        <w:rPr>
          <w:rFonts w:cs="Times New Roman"/>
          <w:szCs w:val="20"/>
          <w:vertAlign w:val="superscript"/>
          <w:lang w:val="es-CR"/>
        </w:rPr>
        <w:footnoteReference w:id="62"/>
      </w:r>
      <w:r w:rsidRPr="00CF1787">
        <w:rPr>
          <w:rFonts w:cs="Times New Roman"/>
          <w:szCs w:val="20"/>
          <w:lang w:val="es-CR"/>
        </w:rPr>
        <w:t>. El sumario concluía con la presentación del escrito de acusación por parte del acusador particular, si lo hubiere, y del fiscal</w:t>
      </w:r>
      <w:r w:rsidR="00101495" w:rsidRPr="00CF1787">
        <w:rPr>
          <w:rFonts w:cs="Times New Roman"/>
          <w:szCs w:val="20"/>
          <w:lang w:val="es-CR"/>
        </w:rPr>
        <w:t>.</w:t>
      </w:r>
      <w:r w:rsidRPr="00CF1787">
        <w:rPr>
          <w:rFonts w:cs="Times New Roman"/>
          <w:szCs w:val="20"/>
          <w:lang w:val="es-CR"/>
        </w:rPr>
        <w:t xml:space="preserve"> La etapa plenaria iniciaba con el auto motivado de apertura del plenario, dictado por el Juez de Distrito</w:t>
      </w:r>
      <w:r w:rsidRPr="00CF1787">
        <w:rPr>
          <w:rStyle w:val="FootnoteReference"/>
          <w:sz w:val="20"/>
          <w:szCs w:val="20"/>
          <w:lang w:val="es-CR"/>
        </w:rPr>
        <w:footnoteReference w:id="63"/>
      </w:r>
      <w:r w:rsidRPr="00CF1787">
        <w:rPr>
          <w:rFonts w:cs="Times New Roman"/>
          <w:szCs w:val="20"/>
          <w:lang w:val="es-CR"/>
        </w:rPr>
        <w:t xml:space="preserve"> e independiente de que se hubiera o no presentado una acusación por parte del fiscal, a partir de lo cual el proceso pasaba a un Tribunal del Crimen, conformado por cuatro vocales y un auditor</w:t>
      </w:r>
      <w:r w:rsidR="007B386A" w:rsidRPr="00CF1787">
        <w:rPr>
          <w:rFonts w:cs="Times New Roman"/>
          <w:szCs w:val="20"/>
          <w:lang w:val="es-CR"/>
        </w:rPr>
        <w:t>,</w:t>
      </w:r>
      <w:r w:rsidRPr="00CF1787">
        <w:rPr>
          <w:rFonts w:cs="Times New Roman"/>
          <w:szCs w:val="20"/>
          <w:lang w:val="es-CR"/>
        </w:rPr>
        <w:t xml:space="preserve"> quien lo presidía</w:t>
      </w:r>
      <w:r w:rsidRPr="00CF1787">
        <w:rPr>
          <w:rStyle w:val="FootnoteReference"/>
          <w:sz w:val="20"/>
          <w:szCs w:val="20"/>
          <w:lang w:val="es-CR"/>
        </w:rPr>
        <w:footnoteReference w:id="64"/>
      </w:r>
      <w:r w:rsidRPr="00CF1787">
        <w:rPr>
          <w:rFonts w:cs="Times New Roman"/>
          <w:szCs w:val="20"/>
          <w:lang w:val="es-CR"/>
        </w:rPr>
        <w:t>. En dicha etapa se sustanciaba el juicio y concluía con la sentencia</w:t>
      </w:r>
      <w:r w:rsidRPr="00CF1787">
        <w:rPr>
          <w:rStyle w:val="FootnoteReference"/>
          <w:sz w:val="20"/>
          <w:szCs w:val="20"/>
          <w:lang w:val="es-CR"/>
        </w:rPr>
        <w:footnoteReference w:id="65"/>
      </w:r>
      <w:r w:rsidR="001C0429" w:rsidRPr="00CF1787">
        <w:rPr>
          <w:rFonts w:cs="Times New Roman"/>
          <w:szCs w:val="20"/>
          <w:lang w:val="es-CR"/>
        </w:rPr>
        <w:t>.</w:t>
      </w:r>
      <w:r w:rsidRPr="00CF1787">
        <w:rPr>
          <w:rFonts w:cs="Times New Roman"/>
          <w:szCs w:val="20"/>
          <w:lang w:val="es-CR"/>
        </w:rPr>
        <w:t xml:space="preserve"> Luego de la sentencia existía la posibilidad de distintos recursos (de apelación, de hecho y de nulidad) ante la segunda instancia</w:t>
      </w:r>
      <w:r w:rsidR="007B386A" w:rsidRPr="00CF1787">
        <w:rPr>
          <w:rFonts w:cs="Times New Roman"/>
          <w:szCs w:val="20"/>
          <w:lang w:val="es-CR"/>
        </w:rPr>
        <w:t>,</w:t>
      </w:r>
      <w:r w:rsidRPr="00CF1787">
        <w:rPr>
          <w:rFonts w:cs="Times New Roman"/>
          <w:szCs w:val="20"/>
          <w:lang w:val="es-CR"/>
        </w:rPr>
        <w:t xml:space="preserve"> y se debía elevar la decisión de primera instancia en consulta a las Cortes Superiores de Distrito de la Policía Nacional, quienes ejercían la segunda instancia</w:t>
      </w:r>
      <w:r w:rsidRPr="00CF1787">
        <w:rPr>
          <w:rStyle w:val="FootnoteReference"/>
          <w:sz w:val="20"/>
          <w:szCs w:val="20"/>
          <w:lang w:val="es-CR"/>
        </w:rPr>
        <w:footnoteReference w:id="66"/>
      </w:r>
      <w:r w:rsidRPr="00CF1787">
        <w:rPr>
          <w:rFonts w:cs="Times New Roman"/>
          <w:szCs w:val="20"/>
          <w:lang w:val="es-CR"/>
        </w:rPr>
        <w:t xml:space="preserve">. </w:t>
      </w:r>
      <w:r w:rsidR="007B386A" w:rsidRPr="00CF1787">
        <w:rPr>
          <w:rFonts w:cs="Times New Roman"/>
          <w:szCs w:val="20"/>
          <w:lang w:val="es-CR"/>
        </w:rPr>
        <w:t>Tras</w:t>
      </w:r>
      <w:r w:rsidRPr="00CF1787">
        <w:rPr>
          <w:rFonts w:cs="Times New Roman"/>
          <w:szCs w:val="20"/>
          <w:lang w:val="es-CR"/>
        </w:rPr>
        <w:t xml:space="preserve"> la decisión de segunda instancia también existía la posibilidad de una tercera instancia o de revisión, ante la Corte Suprema de Ju</w:t>
      </w:r>
      <w:r w:rsidR="00470023" w:rsidRPr="00CF1787">
        <w:rPr>
          <w:rFonts w:cs="Times New Roman"/>
          <w:szCs w:val="20"/>
          <w:lang w:val="es-CR"/>
        </w:rPr>
        <w:t>sticia de la Policía Nacional, posteriormente</w:t>
      </w:r>
      <w:r w:rsidRPr="00CF1787">
        <w:rPr>
          <w:rFonts w:cs="Times New Roman"/>
          <w:szCs w:val="20"/>
          <w:lang w:val="es-CR"/>
        </w:rPr>
        <w:t xml:space="preserve"> llamada Corte de Justicia de la Policía Nacional</w:t>
      </w:r>
      <w:r w:rsidRPr="00CF1787">
        <w:rPr>
          <w:rFonts w:cs="Times New Roman"/>
          <w:szCs w:val="20"/>
          <w:vertAlign w:val="superscript"/>
          <w:lang w:val="es-CR"/>
        </w:rPr>
        <w:footnoteReference w:id="67"/>
      </w:r>
      <w:r w:rsidRPr="00CF1787">
        <w:rPr>
          <w:szCs w:val="20"/>
          <w:lang w:val="es-CR"/>
        </w:rPr>
        <w:t>.</w:t>
      </w:r>
      <w:bookmarkEnd w:id="304"/>
      <w:r w:rsidRPr="00CF1787">
        <w:rPr>
          <w:rFonts w:cs="Times New Roman"/>
          <w:szCs w:val="20"/>
          <w:lang w:val="es-CR"/>
        </w:rPr>
        <w:t xml:space="preserve"> </w:t>
      </w:r>
    </w:p>
    <w:p w14:paraId="4A1845BB" w14:textId="77777777" w:rsidR="0020264C" w:rsidRPr="00CF1787" w:rsidRDefault="0020264C" w:rsidP="0020264C">
      <w:pPr>
        <w:tabs>
          <w:tab w:val="left" w:pos="567"/>
        </w:tabs>
        <w:rPr>
          <w:spacing w:val="-2"/>
          <w:szCs w:val="20"/>
          <w:lang w:val="es-CR"/>
        </w:rPr>
      </w:pPr>
    </w:p>
    <w:p w14:paraId="058EFB7D" w14:textId="62FAB975" w:rsidR="0011008B" w:rsidRPr="00CF1787" w:rsidRDefault="0011008B" w:rsidP="0011008B">
      <w:pPr>
        <w:numPr>
          <w:ilvl w:val="0"/>
          <w:numId w:val="5"/>
        </w:numPr>
        <w:tabs>
          <w:tab w:val="left" w:pos="567"/>
        </w:tabs>
        <w:ind w:left="0" w:firstLine="0"/>
        <w:rPr>
          <w:rFonts w:cs="Arial"/>
          <w:bCs/>
          <w:szCs w:val="20"/>
          <w:lang w:val="es-CR"/>
        </w:rPr>
      </w:pPr>
      <w:bookmarkStart w:id="305" w:name="_Ref462157066"/>
      <w:r w:rsidRPr="00CF1787">
        <w:rPr>
          <w:rFonts w:cs="Arial"/>
          <w:bCs/>
          <w:szCs w:val="20"/>
          <w:lang w:val="es-CR"/>
        </w:rPr>
        <w:t>Ahora bien</w:t>
      </w:r>
      <w:r w:rsidR="00A84E3D" w:rsidRPr="00CF1787">
        <w:rPr>
          <w:rFonts w:cs="Arial"/>
          <w:bCs/>
          <w:szCs w:val="20"/>
          <w:lang w:val="es-CR"/>
        </w:rPr>
        <w:t>,</w:t>
      </w:r>
      <w:r w:rsidRPr="00CF1787">
        <w:rPr>
          <w:rFonts w:cs="Arial"/>
          <w:bCs/>
          <w:szCs w:val="20"/>
          <w:lang w:val="es-CR"/>
        </w:rPr>
        <w:t xml:space="preserve"> si el Juez de Distrito, en la primera instancia no encontraba méritos suficientes para la apertura del plenario</w:t>
      </w:r>
      <w:r w:rsidR="009F5D00" w:rsidRPr="00CF1787">
        <w:rPr>
          <w:rFonts w:cs="Arial"/>
          <w:bCs/>
          <w:szCs w:val="20"/>
          <w:lang w:val="es-CR"/>
        </w:rPr>
        <w:t xml:space="preserve"> </w:t>
      </w:r>
      <w:r w:rsidRPr="00CF1787">
        <w:rPr>
          <w:rFonts w:cs="Arial"/>
          <w:bCs/>
          <w:szCs w:val="20"/>
          <w:lang w:val="es-CR"/>
        </w:rPr>
        <w:t>podía dictar el sobreseimiento definitivo o provisional de la causa</w:t>
      </w:r>
      <w:r w:rsidR="003315CD" w:rsidRPr="00CF1787">
        <w:rPr>
          <w:rFonts w:cs="Arial"/>
          <w:bCs/>
          <w:szCs w:val="20"/>
          <w:lang w:val="es-CR"/>
        </w:rPr>
        <w:t>, como sucedió en este caso (</w:t>
      </w:r>
      <w:r w:rsidR="003315CD" w:rsidRPr="00CF1787">
        <w:rPr>
          <w:rFonts w:cs="Arial"/>
          <w:bCs/>
          <w:i/>
          <w:szCs w:val="20"/>
          <w:lang w:val="es-CR"/>
        </w:rPr>
        <w:t>infra</w:t>
      </w:r>
      <w:r w:rsidR="003315CD" w:rsidRPr="00CF1787">
        <w:rPr>
          <w:rFonts w:cs="Arial"/>
          <w:bCs/>
          <w:szCs w:val="20"/>
          <w:lang w:val="es-CR"/>
        </w:rPr>
        <w:t xml:space="preserve"> párr. </w:t>
      </w:r>
      <w:r w:rsidR="003315CD" w:rsidRPr="00CF1787">
        <w:rPr>
          <w:rFonts w:cs="Arial"/>
          <w:bCs/>
          <w:szCs w:val="20"/>
          <w:lang w:val="es-CR"/>
        </w:rPr>
        <w:fldChar w:fldCharType="begin"/>
      </w:r>
      <w:r w:rsidR="003315CD" w:rsidRPr="00CF1787">
        <w:rPr>
          <w:rFonts w:cs="Arial"/>
          <w:bCs/>
          <w:szCs w:val="20"/>
          <w:lang w:val="es-CR"/>
        </w:rPr>
        <w:instrText xml:space="preserve"> REF _Ref462078622 \r \h </w:instrText>
      </w:r>
      <w:r w:rsidR="00CF1787">
        <w:rPr>
          <w:rFonts w:cs="Arial"/>
          <w:bCs/>
          <w:szCs w:val="20"/>
          <w:lang w:val="es-CR"/>
        </w:rPr>
        <w:instrText xml:space="preserve"> \* MERGEFORMAT </w:instrText>
      </w:r>
      <w:r w:rsidR="003315CD" w:rsidRPr="00CF1787">
        <w:rPr>
          <w:rFonts w:cs="Arial"/>
          <w:bCs/>
          <w:szCs w:val="20"/>
          <w:lang w:val="es-CR"/>
        </w:rPr>
      </w:r>
      <w:r w:rsidR="003315CD" w:rsidRPr="00CF1787">
        <w:rPr>
          <w:rFonts w:cs="Arial"/>
          <w:bCs/>
          <w:szCs w:val="20"/>
          <w:lang w:val="es-CR"/>
        </w:rPr>
        <w:fldChar w:fldCharType="separate"/>
      </w:r>
      <w:r w:rsidR="00536893">
        <w:rPr>
          <w:rFonts w:cs="Arial"/>
          <w:bCs/>
          <w:szCs w:val="20"/>
          <w:lang w:val="es-CR"/>
        </w:rPr>
        <w:t>73</w:t>
      </w:r>
      <w:r w:rsidR="003315CD" w:rsidRPr="00CF1787">
        <w:rPr>
          <w:rFonts w:cs="Arial"/>
          <w:bCs/>
          <w:szCs w:val="20"/>
          <w:lang w:val="es-CR"/>
        </w:rPr>
        <w:fldChar w:fldCharType="end"/>
      </w:r>
      <w:r w:rsidR="003315CD" w:rsidRPr="00CF1787">
        <w:rPr>
          <w:rFonts w:cs="Arial"/>
          <w:bCs/>
          <w:szCs w:val="20"/>
          <w:lang w:val="es-CR"/>
        </w:rPr>
        <w:t>)</w:t>
      </w:r>
      <w:r w:rsidRPr="00CF1787">
        <w:rPr>
          <w:rFonts w:cs="Arial"/>
          <w:bCs/>
          <w:szCs w:val="20"/>
          <w:lang w:val="es-CR"/>
        </w:rPr>
        <w:t>. El sobreseimiento provisional era dictado, hubiera o no una acusación de parte del fiscal</w:t>
      </w:r>
      <w:r w:rsidR="008E4AB6" w:rsidRPr="00CF1787">
        <w:rPr>
          <w:rFonts w:cs="Arial"/>
          <w:bCs/>
          <w:szCs w:val="20"/>
          <w:lang w:val="es-CR"/>
        </w:rPr>
        <w:t>,</w:t>
      </w:r>
      <w:r w:rsidRPr="00CF1787">
        <w:rPr>
          <w:rFonts w:cs="Arial"/>
          <w:bCs/>
          <w:szCs w:val="20"/>
          <w:lang w:val="es-CR"/>
        </w:rPr>
        <w:t xml:space="preserve"> cuando en concept</w:t>
      </w:r>
      <w:r w:rsidR="008E4AB6" w:rsidRPr="00CF1787">
        <w:rPr>
          <w:rFonts w:cs="Arial"/>
          <w:bCs/>
          <w:szCs w:val="20"/>
          <w:lang w:val="es-CR"/>
        </w:rPr>
        <w:t xml:space="preserve">o del juez: </w:t>
      </w:r>
      <w:r w:rsidRPr="00CF1787">
        <w:rPr>
          <w:rFonts w:cs="Arial"/>
          <w:bCs/>
          <w:szCs w:val="20"/>
          <w:lang w:val="es-CR"/>
        </w:rPr>
        <w:t>(i) no se hallaba suficientemente comprobada la existencia del delito</w:t>
      </w:r>
      <w:r w:rsidR="009F0586" w:rsidRPr="00CF1787">
        <w:rPr>
          <w:rFonts w:cs="Arial"/>
          <w:bCs/>
          <w:szCs w:val="20"/>
          <w:lang w:val="es-CR"/>
        </w:rPr>
        <w:t xml:space="preserve">; </w:t>
      </w:r>
      <w:r w:rsidRPr="00CF1787">
        <w:rPr>
          <w:rFonts w:cs="Arial"/>
          <w:bCs/>
          <w:szCs w:val="20"/>
          <w:lang w:val="es-CR"/>
        </w:rPr>
        <w:t>(ii) no se sabía quién era el responsable de la infracción, o (iii) porque se “hubieren desvanecido completamente las presunciones que había contra alguno”</w:t>
      </w:r>
      <w:r w:rsidRPr="00CF1787">
        <w:rPr>
          <w:rStyle w:val="FootnoteReference"/>
          <w:bCs/>
          <w:sz w:val="20"/>
          <w:szCs w:val="20"/>
          <w:lang w:val="es-CR"/>
        </w:rPr>
        <w:footnoteReference w:id="68"/>
      </w:r>
      <w:r w:rsidRPr="00CF1787">
        <w:rPr>
          <w:rFonts w:cs="Arial"/>
          <w:bCs/>
          <w:szCs w:val="20"/>
          <w:lang w:val="es-CR"/>
        </w:rPr>
        <w:t xml:space="preserve">. El sobreseimiento definitivo se daba cuando ni el fiscal ni el </w:t>
      </w:r>
      <w:r w:rsidR="008E4AB6" w:rsidRPr="00CF1787">
        <w:rPr>
          <w:rFonts w:cs="Times New Roman"/>
          <w:szCs w:val="20"/>
          <w:lang w:val="es-CR"/>
        </w:rPr>
        <w:t>juez consideraban que había mé</w:t>
      </w:r>
      <w:r w:rsidRPr="00CF1787">
        <w:rPr>
          <w:rFonts w:cs="Times New Roman"/>
          <w:szCs w:val="20"/>
          <w:lang w:val="es-CR"/>
        </w:rPr>
        <w:t xml:space="preserve">ritos para acusar porque: (i) </w:t>
      </w:r>
      <w:r w:rsidRPr="00CF1787">
        <w:rPr>
          <w:szCs w:val="20"/>
          <w:lang w:val="es-CR"/>
        </w:rPr>
        <w:t xml:space="preserve">no </w:t>
      </w:r>
      <w:r w:rsidR="009F0586" w:rsidRPr="00CF1787">
        <w:rPr>
          <w:szCs w:val="20"/>
          <w:lang w:val="es-CR"/>
        </w:rPr>
        <w:t xml:space="preserve">hubiere </w:t>
      </w:r>
      <w:r w:rsidRPr="00CF1787">
        <w:rPr>
          <w:szCs w:val="20"/>
          <w:lang w:val="es-CR"/>
        </w:rPr>
        <w:t xml:space="preserve">indicio alguno contra el enjuiciado, o porque (ii) alguna circunstancia justificativa del acto, que exime </w:t>
      </w:r>
      <w:r w:rsidRPr="00CF1787">
        <w:rPr>
          <w:szCs w:val="20"/>
          <w:lang w:val="es-CR"/>
        </w:rPr>
        <w:lastRenderedPageBreak/>
        <w:t xml:space="preserve">de responsabilidad penal, </w:t>
      </w:r>
      <w:r w:rsidR="009F0586" w:rsidRPr="00CF1787">
        <w:rPr>
          <w:szCs w:val="20"/>
          <w:lang w:val="es-CR"/>
        </w:rPr>
        <w:t xml:space="preserve">estuviere </w:t>
      </w:r>
      <w:r w:rsidRPr="00CF1787">
        <w:rPr>
          <w:szCs w:val="20"/>
          <w:lang w:val="es-CR"/>
        </w:rPr>
        <w:t>plenamente comprobada</w:t>
      </w:r>
      <w:r w:rsidRPr="00CF1787">
        <w:rPr>
          <w:rFonts w:cs="Times New Roman"/>
          <w:szCs w:val="20"/>
          <w:vertAlign w:val="superscript"/>
          <w:lang w:val="es-CR"/>
        </w:rPr>
        <w:footnoteReference w:id="69"/>
      </w:r>
      <w:r w:rsidRPr="00CF1787">
        <w:rPr>
          <w:rFonts w:cs="Times New Roman"/>
          <w:szCs w:val="20"/>
          <w:lang w:val="es-CR"/>
        </w:rPr>
        <w:t xml:space="preserve">. </w:t>
      </w:r>
      <w:r w:rsidRPr="00CF1787">
        <w:rPr>
          <w:szCs w:val="20"/>
          <w:lang w:val="es-CR"/>
        </w:rPr>
        <w:t xml:space="preserve">El sobreseimiento definitivo terminaba el juicio y quien lo obtenía a su favor no podía ser perseguido por la misma infracción. Además </w:t>
      </w:r>
      <w:r w:rsidR="009F0586" w:rsidRPr="00CF1787">
        <w:rPr>
          <w:szCs w:val="20"/>
          <w:lang w:val="es-CR"/>
        </w:rPr>
        <w:t>en ca</w:t>
      </w:r>
      <w:r w:rsidR="001C0429" w:rsidRPr="00CF1787">
        <w:rPr>
          <w:szCs w:val="20"/>
          <w:lang w:val="es-CR"/>
        </w:rPr>
        <w:t>so de sobreseimiento definitivo</w:t>
      </w:r>
      <w:r w:rsidRPr="00CF1787">
        <w:rPr>
          <w:szCs w:val="20"/>
          <w:lang w:val="es-CR"/>
        </w:rPr>
        <w:t xml:space="preserve"> el Código de Procedimiento Penal de la Policía expresamente otorgaba al imputado el derecho a intentar una acción de calumnia y a pedir una indemnización por perjuicios</w:t>
      </w:r>
      <w:r w:rsidRPr="00CF1787">
        <w:rPr>
          <w:rFonts w:cs="Times New Roman"/>
          <w:szCs w:val="20"/>
          <w:vertAlign w:val="superscript"/>
          <w:lang w:val="es-CR"/>
        </w:rPr>
        <w:footnoteReference w:id="70"/>
      </w:r>
      <w:r w:rsidRPr="00CF1787">
        <w:rPr>
          <w:szCs w:val="20"/>
          <w:lang w:val="es-CR"/>
        </w:rPr>
        <w:t>.</w:t>
      </w:r>
      <w:bookmarkEnd w:id="305"/>
      <w:r w:rsidRPr="00CF1787">
        <w:rPr>
          <w:szCs w:val="20"/>
          <w:lang w:val="es-CR"/>
        </w:rPr>
        <w:t xml:space="preserve"> </w:t>
      </w:r>
    </w:p>
    <w:p w14:paraId="5952AB26" w14:textId="77777777" w:rsidR="0011008B" w:rsidRPr="00CF1787" w:rsidRDefault="0011008B" w:rsidP="0011008B">
      <w:pPr>
        <w:tabs>
          <w:tab w:val="left" w:pos="567"/>
        </w:tabs>
        <w:rPr>
          <w:rFonts w:cs="Arial"/>
          <w:bCs/>
          <w:szCs w:val="20"/>
          <w:lang w:val="es-CR"/>
        </w:rPr>
      </w:pPr>
    </w:p>
    <w:p w14:paraId="537CA83F" w14:textId="77777777" w:rsidR="0011008B" w:rsidRPr="00CF1787" w:rsidRDefault="0011008B" w:rsidP="0011008B">
      <w:pPr>
        <w:numPr>
          <w:ilvl w:val="0"/>
          <w:numId w:val="5"/>
        </w:numPr>
        <w:tabs>
          <w:tab w:val="left" w:pos="567"/>
        </w:tabs>
        <w:ind w:left="0" w:firstLine="0"/>
        <w:rPr>
          <w:rFonts w:cs="Arial"/>
          <w:bCs/>
          <w:szCs w:val="20"/>
          <w:lang w:val="es-CR"/>
        </w:rPr>
      </w:pPr>
      <w:bookmarkStart w:id="306" w:name="_Ref470091843"/>
      <w:r w:rsidRPr="00CF1787">
        <w:rPr>
          <w:szCs w:val="20"/>
          <w:lang w:val="es-CR"/>
        </w:rPr>
        <w:t>Por último, además de la posible interposición de un recurso de apelación o de nulidad contra la decisión de sobreseimiento</w:t>
      </w:r>
      <w:r w:rsidRPr="00CF1787">
        <w:rPr>
          <w:rStyle w:val="FootnoteReference"/>
          <w:sz w:val="20"/>
          <w:szCs w:val="20"/>
          <w:lang w:val="es-CR"/>
        </w:rPr>
        <w:footnoteReference w:id="71"/>
      </w:r>
      <w:r w:rsidRPr="00CF1787">
        <w:rPr>
          <w:szCs w:val="20"/>
          <w:lang w:val="es-CR"/>
        </w:rPr>
        <w:t xml:space="preserve">, </w:t>
      </w:r>
      <w:r w:rsidR="009F0586" w:rsidRPr="00CF1787">
        <w:rPr>
          <w:szCs w:val="20"/>
          <w:lang w:val="es-CR"/>
        </w:rPr>
        <w:t>la decisi</w:t>
      </w:r>
      <w:r w:rsidR="001C0429" w:rsidRPr="00CF1787">
        <w:rPr>
          <w:szCs w:val="20"/>
          <w:lang w:val="es-CR"/>
        </w:rPr>
        <w:t>ón del sobreseimiento provisiona</w:t>
      </w:r>
      <w:r w:rsidR="009F0586" w:rsidRPr="00CF1787">
        <w:rPr>
          <w:szCs w:val="20"/>
          <w:lang w:val="es-CR"/>
        </w:rPr>
        <w:t xml:space="preserve">l o definitivo </w:t>
      </w:r>
      <w:r w:rsidRPr="00CF1787">
        <w:rPr>
          <w:szCs w:val="20"/>
          <w:lang w:val="es-CR"/>
        </w:rPr>
        <w:t xml:space="preserve">se debía elevar en consulta a la Corte Superior respectiva, </w:t>
      </w:r>
      <w:r w:rsidRPr="00CF1787">
        <w:rPr>
          <w:rFonts w:cs="Times New Roman"/>
          <w:szCs w:val="20"/>
          <w:lang w:val="es-CR"/>
        </w:rPr>
        <w:t>en todos los casos “de delitos reprimidos con reclusión”</w:t>
      </w:r>
      <w:r w:rsidRPr="00CF1787">
        <w:rPr>
          <w:rFonts w:cs="Times New Roman"/>
          <w:szCs w:val="20"/>
          <w:vertAlign w:val="superscript"/>
          <w:lang w:val="es-CR"/>
        </w:rPr>
        <w:footnoteReference w:id="72"/>
      </w:r>
      <w:r w:rsidRPr="00CF1787">
        <w:rPr>
          <w:szCs w:val="20"/>
          <w:lang w:val="es-CR"/>
        </w:rPr>
        <w:t>. De acuerdo al Código de Procedimiento Penal de la Policía</w:t>
      </w:r>
      <w:r w:rsidR="003D60A4" w:rsidRPr="00CF1787">
        <w:rPr>
          <w:szCs w:val="20"/>
          <w:lang w:val="es-CR"/>
        </w:rPr>
        <w:t>,</w:t>
      </w:r>
      <w:r w:rsidRPr="00CF1787">
        <w:rPr>
          <w:szCs w:val="20"/>
          <w:lang w:val="es-CR"/>
        </w:rPr>
        <w:t xml:space="preserve"> lo que resolviera el tribunal superior (confirmar, revocar u ordenar la práctica de alguna diligencia adicional) “se llevará a ejecución sin más recurso”</w:t>
      </w:r>
      <w:r w:rsidRPr="00CF1787">
        <w:rPr>
          <w:rStyle w:val="FootnoteReference"/>
          <w:sz w:val="20"/>
          <w:szCs w:val="20"/>
          <w:lang w:val="es-CR"/>
        </w:rPr>
        <w:footnoteReference w:id="73"/>
      </w:r>
      <w:r w:rsidRPr="00CF1787">
        <w:rPr>
          <w:szCs w:val="20"/>
          <w:lang w:val="es-CR"/>
        </w:rPr>
        <w:t>.</w:t>
      </w:r>
      <w:bookmarkEnd w:id="306"/>
      <w:r w:rsidRPr="00CF1787">
        <w:rPr>
          <w:szCs w:val="20"/>
          <w:lang w:val="es-CR"/>
        </w:rPr>
        <w:t xml:space="preserve"> </w:t>
      </w:r>
    </w:p>
    <w:p w14:paraId="704F51C0" w14:textId="77777777" w:rsidR="00D87F34" w:rsidRPr="00CF1787" w:rsidRDefault="00D87F34" w:rsidP="00C8170A">
      <w:pPr>
        <w:pStyle w:val="ListParagraph"/>
        <w:widowControl/>
        <w:numPr>
          <w:ilvl w:val="0"/>
          <w:numId w:val="0"/>
        </w:numPr>
        <w:tabs>
          <w:tab w:val="left" w:pos="567"/>
        </w:tabs>
        <w:ind w:right="0"/>
        <w:rPr>
          <w:rFonts w:cs="Arial"/>
          <w:bCs/>
          <w:lang w:val="es-CR"/>
        </w:rPr>
      </w:pPr>
    </w:p>
    <w:p w14:paraId="2E001CED" w14:textId="0C629F48" w:rsidR="00D87F34" w:rsidRPr="00CF1787" w:rsidRDefault="00C8170A" w:rsidP="00D87F34">
      <w:pPr>
        <w:pStyle w:val="Heading2"/>
        <w:ind w:left="1418" w:hanging="284"/>
        <w:rPr>
          <w:lang w:val="es-CR"/>
        </w:rPr>
      </w:pPr>
      <w:bookmarkStart w:id="307" w:name="_Toc465177375"/>
      <w:bookmarkStart w:id="308" w:name="_Toc470098048"/>
      <w:r w:rsidRPr="00CF1787">
        <w:rPr>
          <w:lang w:val="es-CR"/>
        </w:rPr>
        <w:t xml:space="preserve">La investigación y proceso penal policial seguido por la muerte </w:t>
      </w:r>
      <w:r w:rsidR="00135018" w:rsidRPr="00CF1787">
        <w:rPr>
          <w:lang w:val="es-CR"/>
        </w:rPr>
        <w:t>de</w:t>
      </w:r>
      <w:r w:rsidRPr="00CF1787">
        <w:rPr>
          <w:lang w:val="es-CR"/>
        </w:rPr>
        <w:t xml:space="preserve"> Luis Jorge Valencia Hinojosa</w:t>
      </w:r>
      <w:bookmarkEnd w:id="307"/>
      <w:bookmarkEnd w:id="308"/>
    </w:p>
    <w:p w14:paraId="55627269" w14:textId="77777777" w:rsidR="00D87F34" w:rsidRPr="00CF1787" w:rsidRDefault="00D87F34" w:rsidP="00D87F34">
      <w:pPr>
        <w:rPr>
          <w:lang w:val="es-CR" w:eastAsia="es-MX"/>
        </w:rPr>
      </w:pPr>
    </w:p>
    <w:p w14:paraId="3CCBF678" w14:textId="77777777" w:rsidR="00C8170A" w:rsidRPr="00CF1787" w:rsidRDefault="00C8170A" w:rsidP="00C8170A">
      <w:pPr>
        <w:pStyle w:val="NoSpacing"/>
        <w:numPr>
          <w:ilvl w:val="0"/>
          <w:numId w:val="5"/>
        </w:numPr>
        <w:tabs>
          <w:tab w:val="left" w:pos="567"/>
        </w:tabs>
        <w:ind w:left="0" w:firstLine="0"/>
        <w:rPr>
          <w:spacing w:val="-2"/>
          <w:szCs w:val="20"/>
          <w:lang w:val="es-CR"/>
        </w:rPr>
      </w:pPr>
      <w:bookmarkStart w:id="309" w:name="_Ref462156977"/>
      <w:r w:rsidRPr="00CF1787">
        <w:rPr>
          <w:rFonts w:cs="Arial"/>
          <w:bCs/>
          <w:szCs w:val="20"/>
          <w:lang w:val="es-CR"/>
        </w:rPr>
        <w:t xml:space="preserve">El mismo 3 de diciembre </w:t>
      </w:r>
      <w:r w:rsidR="003D60A4" w:rsidRPr="00CF1787">
        <w:rPr>
          <w:rFonts w:cs="Arial"/>
          <w:bCs/>
          <w:szCs w:val="20"/>
          <w:lang w:val="es-CR"/>
        </w:rPr>
        <w:t xml:space="preserve">de 1992 </w:t>
      </w:r>
      <w:r w:rsidRPr="00CF1787">
        <w:rPr>
          <w:rFonts w:cs="Arial"/>
          <w:bCs/>
          <w:szCs w:val="20"/>
          <w:lang w:val="es-CR"/>
        </w:rPr>
        <w:t>el Juzgado de Instrucción de la “Comisaría Nacional del cantón R</w:t>
      </w:r>
      <w:r w:rsidR="003D60A4" w:rsidRPr="00CF1787">
        <w:rPr>
          <w:rFonts w:cs="Arial"/>
          <w:bCs/>
          <w:szCs w:val="20"/>
          <w:lang w:val="es-CR"/>
        </w:rPr>
        <w:t>i</w:t>
      </w:r>
      <w:r w:rsidRPr="00CF1787">
        <w:rPr>
          <w:rFonts w:cs="Arial"/>
          <w:bCs/>
          <w:szCs w:val="20"/>
          <w:lang w:val="es-CR"/>
        </w:rPr>
        <w:t>obamba</w:t>
      </w:r>
      <w:r w:rsidR="0011008B" w:rsidRPr="00CF1787">
        <w:rPr>
          <w:rFonts w:cs="Arial"/>
          <w:bCs/>
          <w:szCs w:val="20"/>
          <w:lang w:val="es-CR"/>
        </w:rPr>
        <w:t xml:space="preserve">” </w:t>
      </w:r>
      <w:r w:rsidRPr="00CF1787">
        <w:rPr>
          <w:rFonts w:cs="Arial"/>
          <w:bCs/>
          <w:szCs w:val="20"/>
          <w:lang w:val="es-CR"/>
        </w:rPr>
        <w:t>de la jurisdicción ordinaria, comenzó la investigación de los hechos</w:t>
      </w:r>
      <w:r w:rsidRPr="00CF1787">
        <w:rPr>
          <w:rStyle w:val="FootnoteReference"/>
          <w:bCs/>
          <w:sz w:val="20"/>
          <w:szCs w:val="20"/>
          <w:lang w:val="es-CR"/>
        </w:rPr>
        <w:footnoteReference w:id="74"/>
      </w:r>
      <w:r w:rsidRPr="00CF1787">
        <w:rPr>
          <w:rFonts w:cs="Arial"/>
          <w:bCs/>
          <w:szCs w:val="20"/>
          <w:lang w:val="es-CR"/>
        </w:rPr>
        <w:t xml:space="preserve">. </w:t>
      </w:r>
      <w:bookmarkStart w:id="310" w:name="_Ref458537699"/>
      <w:r w:rsidRPr="00CF1787">
        <w:rPr>
          <w:rFonts w:cs="Arial"/>
          <w:bCs/>
          <w:szCs w:val="20"/>
          <w:lang w:val="es-CR"/>
        </w:rPr>
        <w:t>En esa misma fecha, se levantó el auto cabeza del proceso dentro de la justicia ordinaria</w:t>
      </w:r>
      <w:r w:rsidRPr="00CF1787">
        <w:rPr>
          <w:rStyle w:val="FootnoteReference"/>
          <w:bCs/>
          <w:sz w:val="20"/>
          <w:szCs w:val="20"/>
          <w:lang w:val="es-CR"/>
        </w:rPr>
        <w:footnoteReference w:id="75"/>
      </w:r>
      <w:r w:rsidRPr="00CF1787">
        <w:rPr>
          <w:rFonts w:cs="Arial"/>
          <w:bCs/>
          <w:szCs w:val="20"/>
          <w:lang w:val="es-CR"/>
        </w:rPr>
        <w:t>.</w:t>
      </w:r>
      <w:bookmarkEnd w:id="309"/>
      <w:r w:rsidRPr="00CF1787">
        <w:rPr>
          <w:rFonts w:cs="Arial"/>
          <w:bCs/>
          <w:szCs w:val="20"/>
          <w:lang w:val="es-CR"/>
        </w:rPr>
        <w:t xml:space="preserve"> </w:t>
      </w:r>
    </w:p>
    <w:p w14:paraId="77BB28A4" w14:textId="77777777" w:rsidR="00C8170A" w:rsidRPr="00CF1787" w:rsidRDefault="00C8170A" w:rsidP="00C8170A">
      <w:pPr>
        <w:pStyle w:val="NoSpacing"/>
        <w:tabs>
          <w:tab w:val="left" w:pos="567"/>
        </w:tabs>
        <w:rPr>
          <w:spacing w:val="-2"/>
          <w:szCs w:val="20"/>
          <w:lang w:val="es-CR"/>
        </w:rPr>
      </w:pPr>
    </w:p>
    <w:p w14:paraId="62130D9E" w14:textId="77777777" w:rsidR="00C8170A" w:rsidRPr="00CF1787" w:rsidRDefault="00C8170A" w:rsidP="00C8170A">
      <w:pPr>
        <w:pStyle w:val="NoSpacing"/>
        <w:numPr>
          <w:ilvl w:val="0"/>
          <w:numId w:val="5"/>
        </w:numPr>
        <w:tabs>
          <w:tab w:val="left" w:pos="567"/>
        </w:tabs>
        <w:ind w:left="0" w:firstLine="0"/>
        <w:rPr>
          <w:spacing w:val="-2"/>
          <w:szCs w:val="20"/>
          <w:lang w:val="es-CR"/>
        </w:rPr>
      </w:pPr>
      <w:bookmarkStart w:id="311" w:name="_Ref462156981"/>
      <w:r w:rsidRPr="00CF1787">
        <w:rPr>
          <w:rFonts w:cs="Arial"/>
          <w:bCs/>
          <w:szCs w:val="20"/>
          <w:lang w:val="es-CR"/>
        </w:rPr>
        <w:lastRenderedPageBreak/>
        <w:t>Paralelamente, el 10 de diciembre de 1992 el Juez del Segundo Distrito de la Policía Nacional dio inicio a la etapa sumaria del proceso penal policial</w:t>
      </w:r>
      <w:r w:rsidRPr="00CF1787">
        <w:rPr>
          <w:rStyle w:val="FootnoteReference"/>
          <w:bCs/>
          <w:sz w:val="20"/>
          <w:szCs w:val="20"/>
          <w:lang w:val="es-CR"/>
        </w:rPr>
        <w:footnoteReference w:id="76"/>
      </w:r>
      <w:r w:rsidRPr="00CF1787">
        <w:rPr>
          <w:rFonts w:cs="Arial"/>
          <w:bCs/>
          <w:szCs w:val="20"/>
          <w:lang w:val="es-CR"/>
        </w:rPr>
        <w:t>.</w:t>
      </w:r>
      <w:r w:rsidRPr="00CF1787">
        <w:rPr>
          <w:spacing w:val="-2"/>
          <w:szCs w:val="20"/>
          <w:lang w:val="es-CR"/>
        </w:rPr>
        <w:t xml:space="preserve"> </w:t>
      </w:r>
      <w:r w:rsidRPr="00CF1787">
        <w:rPr>
          <w:szCs w:val="20"/>
          <w:lang w:val="es-CR"/>
        </w:rPr>
        <w:t xml:space="preserve">El 14 de diciembre de 1992 </w:t>
      </w:r>
      <w:r w:rsidRPr="00CF1787">
        <w:rPr>
          <w:rFonts w:cs="Arial"/>
          <w:bCs/>
          <w:szCs w:val="20"/>
          <w:lang w:val="es-CR"/>
        </w:rPr>
        <w:t>la investigación iniciada en la jurisdicción ordinaria fue remitida al Juez del Segundo Distrito de la Policía Nacional, parte de la jurisdicción policial, al comprobarse que el señor Valencia Hinojosa era policía y se encontraba de servicio el día de su muerte</w:t>
      </w:r>
      <w:r w:rsidRPr="00CF1787">
        <w:rPr>
          <w:rStyle w:val="FootnoteReference"/>
          <w:bCs/>
          <w:sz w:val="20"/>
          <w:szCs w:val="20"/>
          <w:lang w:val="es-CR"/>
        </w:rPr>
        <w:footnoteReference w:id="77"/>
      </w:r>
      <w:r w:rsidRPr="00CF1787">
        <w:rPr>
          <w:rFonts w:cs="Arial"/>
          <w:bCs/>
          <w:szCs w:val="20"/>
          <w:lang w:val="es-CR"/>
        </w:rPr>
        <w:t>.</w:t>
      </w:r>
      <w:bookmarkEnd w:id="311"/>
    </w:p>
    <w:p w14:paraId="0FFE51EC" w14:textId="77777777" w:rsidR="00C8170A" w:rsidRPr="00CF1787" w:rsidRDefault="00C8170A" w:rsidP="00C8170A">
      <w:pPr>
        <w:pStyle w:val="NoSpacing"/>
        <w:tabs>
          <w:tab w:val="left" w:pos="567"/>
        </w:tabs>
        <w:rPr>
          <w:spacing w:val="-2"/>
          <w:szCs w:val="20"/>
          <w:lang w:val="es-CR"/>
        </w:rPr>
      </w:pPr>
    </w:p>
    <w:p w14:paraId="2A999750" w14:textId="77777777" w:rsidR="00C8170A" w:rsidRPr="00CF1787" w:rsidRDefault="00C8170A" w:rsidP="00C8170A">
      <w:pPr>
        <w:pStyle w:val="NoSpacing"/>
        <w:numPr>
          <w:ilvl w:val="0"/>
          <w:numId w:val="5"/>
        </w:numPr>
        <w:tabs>
          <w:tab w:val="left" w:pos="567"/>
        </w:tabs>
        <w:ind w:left="0" w:firstLine="0"/>
        <w:rPr>
          <w:spacing w:val="-2"/>
          <w:szCs w:val="20"/>
          <w:lang w:val="es-CR"/>
        </w:rPr>
      </w:pPr>
      <w:r w:rsidRPr="00CF1787">
        <w:rPr>
          <w:rFonts w:cs="Arial"/>
          <w:bCs/>
          <w:szCs w:val="20"/>
          <w:lang w:val="es-CR"/>
        </w:rPr>
        <w:t xml:space="preserve">En la investigación se realizaron varias diligencias incluyendo </w:t>
      </w:r>
      <w:bookmarkEnd w:id="310"/>
      <w:r w:rsidRPr="00CF1787">
        <w:rPr>
          <w:rFonts w:eastAsia="MS Mincho" w:cs="Times New Roman"/>
          <w:szCs w:val="20"/>
          <w:lang w:val="es-CR" w:eastAsia="es-ES"/>
        </w:rPr>
        <w:t>el levantamiento</w:t>
      </w:r>
      <w:r w:rsidRPr="00CF1787">
        <w:rPr>
          <w:rStyle w:val="FootnoteReference"/>
          <w:rFonts w:eastAsia="MS Mincho"/>
          <w:sz w:val="20"/>
          <w:szCs w:val="20"/>
          <w:lang w:val="es-CR" w:eastAsia="es-ES"/>
        </w:rPr>
        <w:footnoteReference w:id="78"/>
      </w:r>
      <w:r w:rsidRPr="00CF1787">
        <w:rPr>
          <w:rFonts w:eastAsia="MS Mincho" w:cs="Times New Roman"/>
          <w:szCs w:val="20"/>
          <w:lang w:val="es-CR" w:eastAsia="es-ES"/>
        </w:rPr>
        <w:t>, reconocimiento, identificación y autopsia de cadáver</w:t>
      </w:r>
      <w:r w:rsidRPr="00CF1787">
        <w:rPr>
          <w:rStyle w:val="FootnoteReference"/>
          <w:rFonts w:eastAsia="MS Mincho"/>
          <w:sz w:val="20"/>
          <w:szCs w:val="20"/>
          <w:lang w:val="es-CR" w:eastAsia="es-ES"/>
        </w:rPr>
        <w:footnoteReference w:id="79"/>
      </w:r>
      <w:r w:rsidRPr="00CF1787">
        <w:rPr>
          <w:rFonts w:eastAsia="MS Mincho" w:cs="Times New Roman"/>
          <w:szCs w:val="20"/>
          <w:lang w:val="es-CR" w:eastAsia="es-ES"/>
        </w:rPr>
        <w:t>, la recolección de evidencias físicas</w:t>
      </w:r>
      <w:r w:rsidRPr="00CF1787">
        <w:rPr>
          <w:rStyle w:val="FootnoteReference"/>
          <w:rFonts w:eastAsia="MS Mincho"/>
          <w:sz w:val="20"/>
          <w:szCs w:val="20"/>
          <w:lang w:val="es-CR" w:eastAsia="es-ES"/>
        </w:rPr>
        <w:footnoteReference w:id="80"/>
      </w:r>
      <w:r w:rsidRPr="00CF1787">
        <w:rPr>
          <w:rFonts w:eastAsia="MS Mincho" w:cs="Times New Roman"/>
          <w:szCs w:val="20"/>
          <w:lang w:val="es-CR" w:eastAsia="es-ES"/>
        </w:rPr>
        <w:t>, el reconocimiento del arma de la presunta víctima</w:t>
      </w:r>
      <w:r w:rsidRPr="00CF1787">
        <w:rPr>
          <w:rStyle w:val="FootnoteReference"/>
          <w:rFonts w:eastAsia="MS Mincho"/>
          <w:sz w:val="20"/>
          <w:szCs w:val="20"/>
          <w:lang w:val="es-CR" w:eastAsia="es-ES"/>
        </w:rPr>
        <w:footnoteReference w:id="81"/>
      </w:r>
      <w:r w:rsidRPr="00CF1787">
        <w:rPr>
          <w:rFonts w:eastAsia="MS Mincho" w:cs="Times New Roman"/>
          <w:szCs w:val="20"/>
          <w:lang w:val="es-CR" w:eastAsia="es-ES"/>
        </w:rPr>
        <w:t>, el reconocimiento del lugar y la reconstrucción de los hechos</w:t>
      </w:r>
      <w:r w:rsidRPr="00CF1787">
        <w:rPr>
          <w:rStyle w:val="FootnoteReference"/>
          <w:rFonts w:eastAsia="MS Mincho"/>
          <w:sz w:val="20"/>
          <w:szCs w:val="20"/>
          <w:lang w:val="es-CR" w:eastAsia="es-ES"/>
        </w:rPr>
        <w:footnoteReference w:id="82"/>
      </w:r>
      <w:r w:rsidRPr="00CF1787">
        <w:rPr>
          <w:rFonts w:eastAsia="MS Mincho" w:cs="Times New Roman"/>
          <w:szCs w:val="20"/>
          <w:lang w:val="es-CR" w:eastAsia="es-ES"/>
        </w:rPr>
        <w:t>, estudio de vísceras</w:t>
      </w:r>
      <w:r w:rsidRPr="00CF1787">
        <w:rPr>
          <w:rStyle w:val="FootnoteReference"/>
          <w:rFonts w:eastAsia="MS Mincho"/>
          <w:sz w:val="20"/>
          <w:szCs w:val="20"/>
          <w:lang w:val="es-CR" w:eastAsia="es-ES"/>
        </w:rPr>
        <w:footnoteReference w:id="83"/>
      </w:r>
      <w:r w:rsidRPr="00CF1787">
        <w:rPr>
          <w:rFonts w:eastAsia="MS Mincho" w:cs="Times New Roman"/>
          <w:szCs w:val="20"/>
          <w:lang w:val="es-CR" w:eastAsia="es-ES"/>
        </w:rPr>
        <w:t>, estudio de residuos de pólvora</w:t>
      </w:r>
      <w:r w:rsidRPr="00CF1787">
        <w:rPr>
          <w:rStyle w:val="FootnoteReference"/>
          <w:rFonts w:eastAsia="MS Mincho"/>
          <w:sz w:val="20"/>
          <w:szCs w:val="20"/>
          <w:lang w:val="es-CR" w:eastAsia="es-ES"/>
        </w:rPr>
        <w:footnoteReference w:id="84"/>
      </w:r>
      <w:r w:rsidRPr="00CF1787">
        <w:rPr>
          <w:rFonts w:eastAsia="MS Mincho" w:cs="Times New Roman"/>
          <w:szCs w:val="20"/>
          <w:lang w:val="es-CR" w:eastAsia="es-ES"/>
        </w:rPr>
        <w:t>, la recepción de varios testimonios</w:t>
      </w:r>
      <w:r w:rsidRPr="00CF1787">
        <w:rPr>
          <w:rStyle w:val="FootnoteReference"/>
          <w:rFonts w:eastAsia="MS Mincho"/>
          <w:sz w:val="20"/>
          <w:szCs w:val="20"/>
          <w:lang w:val="es-CR" w:eastAsia="es-ES"/>
        </w:rPr>
        <w:footnoteReference w:id="85"/>
      </w:r>
      <w:r w:rsidRPr="00CF1787">
        <w:rPr>
          <w:rFonts w:eastAsia="MS Mincho" w:cs="Times New Roman"/>
          <w:szCs w:val="20"/>
          <w:lang w:val="es-CR" w:eastAsia="es-ES"/>
        </w:rPr>
        <w:t>, y la exhumación del cadáver</w:t>
      </w:r>
      <w:r w:rsidRPr="00CF1787">
        <w:rPr>
          <w:rStyle w:val="FootnoteReference"/>
          <w:rFonts w:eastAsia="MS Mincho"/>
          <w:sz w:val="20"/>
          <w:szCs w:val="20"/>
          <w:lang w:val="es-CR" w:eastAsia="es-ES"/>
        </w:rPr>
        <w:footnoteReference w:id="86"/>
      </w:r>
      <w:r w:rsidRPr="00CF1787">
        <w:rPr>
          <w:rFonts w:eastAsia="MS Mincho" w:cs="Times New Roman"/>
          <w:szCs w:val="20"/>
          <w:lang w:val="es-CR" w:eastAsia="es-ES"/>
        </w:rPr>
        <w:t xml:space="preserve">. </w:t>
      </w:r>
    </w:p>
    <w:p w14:paraId="614EA3F7" w14:textId="77777777" w:rsidR="00C8170A" w:rsidRPr="00CF1787" w:rsidRDefault="00C8170A" w:rsidP="00C8170A">
      <w:pPr>
        <w:rPr>
          <w:spacing w:val="-2"/>
          <w:szCs w:val="20"/>
          <w:lang w:val="es-CR"/>
        </w:rPr>
      </w:pPr>
    </w:p>
    <w:p w14:paraId="20F514A6" w14:textId="347D7EF2" w:rsidR="00C8170A" w:rsidRPr="00CF1787" w:rsidRDefault="00C8170A" w:rsidP="00C8170A">
      <w:pPr>
        <w:pStyle w:val="NoSpacing"/>
        <w:numPr>
          <w:ilvl w:val="0"/>
          <w:numId w:val="5"/>
        </w:numPr>
        <w:tabs>
          <w:tab w:val="left" w:pos="567"/>
        </w:tabs>
        <w:ind w:left="0" w:firstLine="0"/>
        <w:rPr>
          <w:spacing w:val="-2"/>
          <w:szCs w:val="20"/>
          <w:lang w:val="es-CR"/>
        </w:rPr>
      </w:pPr>
      <w:bookmarkStart w:id="312" w:name="_Ref461795342"/>
      <w:r w:rsidRPr="00CF1787">
        <w:rPr>
          <w:rFonts w:cs="Arial"/>
          <w:bCs/>
          <w:szCs w:val="20"/>
          <w:lang w:val="es-CR"/>
        </w:rPr>
        <w:t>Asimismo, la señora Patricia Trujillo</w:t>
      </w:r>
      <w:r w:rsidR="00135018" w:rsidRPr="00CF1787">
        <w:rPr>
          <w:rFonts w:cs="Arial"/>
          <w:bCs/>
          <w:szCs w:val="20"/>
          <w:lang w:val="es-CR"/>
        </w:rPr>
        <w:t xml:space="preserve"> Esparza</w:t>
      </w:r>
      <w:r w:rsidRPr="00CF1787">
        <w:rPr>
          <w:rFonts w:cs="Arial"/>
          <w:bCs/>
          <w:szCs w:val="20"/>
          <w:lang w:val="es-CR"/>
        </w:rPr>
        <w:t>, esposa del señor Valencia</w:t>
      </w:r>
      <w:r w:rsidR="00074C7A" w:rsidRPr="00CF1787">
        <w:rPr>
          <w:rFonts w:cs="Arial"/>
          <w:bCs/>
          <w:szCs w:val="20"/>
          <w:lang w:val="es-CR"/>
        </w:rPr>
        <w:t xml:space="preserve"> Hinojosa</w:t>
      </w:r>
      <w:r w:rsidRPr="00CF1787">
        <w:rPr>
          <w:rFonts w:cs="Arial"/>
          <w:bCs/>
          <w:szCs w:val="20"/>
          <w:lang w:val="es-CR"/>
        </w:rPr>
        <w:t xml:space="preserve">, pudo intervenir en el procedimiento y presentó una acusación particular ante la jurisdicción policial por </w:t>
      </w:r>
      <w:r w:rsidR="00074C7A" w:rsidRPr="00CF1787">
        <w:rPr>
          <w:rFonts w:cs="Arial"/>
          <w:bCs/>
          <w:szCs w:val="20"/>
          <w:lang w:val="es-CR"/>
        </w:rPr>
        <w:t xml:space="preserve">la </w:t>
      </w:r>
      <w:r w:rsidRPr="00CF1787">
        <w:rPr>
          <w:rFonts w:cs="Arial"/>
          <w:bCs/>
          <w:szCs w:val="20"/>
          <w:lang w:val="es-CR"/>
        </w:rPr>
        <w:t>muerte</w:t>
      </w:r>
      <w:r w:rsidR="00074C7A" w:rsidRPr="00CF1787">
        <w:rPr>
          <w:rFonts w:cs="Arial"/>
          <w:bCs/>
          <w:szCs w:val="20"/>
          <w:lang w:val="es-CR"/>
        </w:rPr>
        <w:t xml:space="preserve"> de su esposo</w:t>
      </w:r>
      <w:r w:rsidRPr="00CF1787">
        <w:rPr>
          <w:rStyle w:val="FootnoteReference"/>
          <w:bCs/>
          <w:sz w:val="20"/>
          <w:szCs w:val="20"/>
          <w:lang w:val="es-CR"/>
        </w:rPr>
        <w:footnoteReference w:id="87"/>
      </w:r>
      <w:r w:rsidRPr="00CF1787">
        <w:rPr>
          <w:rFonts w:cs="Arial"/>
          <w:bCs/>
          <w:szCs w:val="20"/>
          <w:lang w:val="es-CR"/>
        </w:rPr>
        <w:t>. No obstante, tiempo después desistió de la misma</w:t>
      </w:r>
      <w:r w:rsidRPr="00CF1787">
        <w:rPr>
          <w:rStyle w:val="FootnoteReference"/>
          <w:bCs/>
          <w:sz w:val="20"/>
          <w:szCs w:val="20"/>
          <w:lang w:val="es-CR"/>
        </w:rPr>
        <w:footnoteReference w:id="88"/>
      </w:r>
      <w:r w:rsidRPr="00CF1787">
        <w:rPr>
          <w:rFonts w:cs="Arial"/>
          <w:bCs/>
          <w:szCs w:val="20"/>
          <w:lang w:val="es-CR"/>
        </w:rPr>
        <w:t>.</w:t>
      </w:r>
      <w:bookmarkEnd w:id="312"/>
    </w:p>
    <w:p w14:paraId="7525D694" w14:textId="77777777" w:rsidR="00C8170A" w:rsidRPr="00CF1787" w:rsidRDefault="00C8170A" w:rsidP="00C8170A">
      <w:pPr>
        <w:pStyle w:val="ListParagraph"/>
        <w:numPr>
          <w:ilvl w:val="0"/>
          <w:numId w:val="0"/>
        </w:numPr>
        <w:ind w:left="720"/>
        <w:rPr>
          <w:spacing w:val="-2"/>
          <w:lang w:val="es-CR"/>
        </w:rPr>
      </w:pPr>
    </w:p>
    <w:p w14:paraId="47A5E766" w14:textId="77777777" w:rsidR="00C8170A" w:rsidRPr="00CF1787" w:rsidRDefault="00C8170A" w:rsidP="00C8170A">
      <w:pPr>
        <w:pStyle w:val="NoSpacing"/>
        <w:numPr>
          <w:ilvl w:val="0"/>
          <w:numId w:val="5"/>
        </w:numPr>
        <w:tabs>
          <w:tab w:val="left" w:pos="567"/>
        </w:tabs>
        <w:ind w:left="0" w:firstLine="0"/>
        <w:rPr>
          <w:spacing w:val="-2"/>
          <w:szCs w:val="20"/>
          <w:lang w:val="es-CR"/>
        </w:rPr>
      </w:pPr>
      <w:r w:rsidRPr="00CF1787">
        <w:rPr>
          <w:rFonts w:cs="Arial"/>
          <w:bCs/>
          <w:szCs w:val="20"/>
          <w:lang w:val="es-CR"/>
        </w:rPr>
        <w:lastRenderedPageBreak/>
        <w:t>El 3 de marzo de 1993 el Juez del Segundo Distrito de la Policía Nacional sindicó a dos subtenientes y tres policías</w:t>
      </w:r>
      <w:r w:rsidR="00A84E3D" w:rsidRPr="00CF1787">
        <w:rPr>
          <w:rFonts w:cs="Arial"/>
          <w:bCs/>
          <w:szCs w:val="20"/>
          <w:lang w:val="es-CR"/>
        </w:rPr>
        <w:t xml:space="preserve"> por la mue</w:t>
      </w:r>
      <w:r w:rsidR="00074C7A" w:rsidRPr="00CF1787">
        <w:rPr>
          <w:rFonts w:cs="Arial"/>
          <w:bCs/>
          <w:szCs w:val="20"/>
          <w:lang w:val="es-CR"/>
        </w:rPr>
        <w:t>rte del señor Valencia Hinojosa</w:t>
      </w:r>
      <w:r w:rsidRPr="00CF1787">
        <w:rPr>
          <w:rStyle w:val="FootnoteReference"/>
          <w:bCs/>
          <w:sz w:val="20"/>
          <w:szCs w:val="20"/>
          <w:lang w:val="es-CR"/>
        </w:rPr>
        <w:footnoteReference w:id="89"/>
      </w:r>
      <w:r w:rsidRPr="00CF1787">
        <w:rPr>
          <w:rFonts w:cs="Arial"/>
          <w:bCs/>
          <w:szCs w:val="20"/>
          <w:lang w:val="es-CR"/>
        </w:rPr>
        <w:t xml:space="preserve">. </w:t>
      </w:r>
    </w:p>
    <w:p w14:paraId="42AB02CE" w14:textId="77777777" w:rsidR="00C8170A" w:rsidRPr="00CF1787" w:rsidRDefault="00C8170A" w:rsidP="00C8170A">
      <w:pPr>
        <w:pStyle w:val="ListParagraph"/>
        <w:numPr>
          <w:ilvl w:val="0"/>
          <w:numId w:val="0"/>
        </w:numPr>
        <w:ind w:left="720"/>
        <w:rPr>
          <w:rFonts w:cs="Arial"/>
          <w:bCs/>
          <w:lang w:val="es-CR"/>
        </w:rPr>
      </w:pPr>
    </w:p>
    <w:p w14:paraId="35976F01" w14:textId="77777777" w:rsidR="00C8170A" w:rsidRPr="00CF1787" w:rsidRDefault="00101495" w:rsidP="00C8170A">
      <w:pPr>
        <w:pStyle w:val="NoSpacing"/>
        <w:numPr>
          <w:ilvl w:val="0"/>
          <w:numId w:val="5"/>
        </w:numPr>
        <w:tabs>
          <w:tab w:val="left" w:pos="567"/>
        </w:tabs>
        <w:ind w:left="0" w:firstLine="0"/>
        <w:rPr>
          <w:spacing w:val="-2"/>
          <w:szCs w:val="20"/>
          <w:lang w:val="es-CR"/>
        </w:rPr>
      </w:pPr>
      <w:r w:rsidRPr="00CF1787">
        <w:rPr>
          <w:rFonts w:cs="Arial"/>
          <w:bCs/>
          <w:szCs w:val="20"/>
          <w:lang w:val="es-CR"/>
        </w:rPr>
        <w:t>Posteriormente, e</w:t>
      </w:r>
      <w:r w:rsidR="00C8170A" w:rsidRPr="00CF1787">
        <w:rPr>
          <w:rFonts w:cs="Arial"/>
          <w:bCs/>
          <w:szCs w:val="20"/>
          <w:lang w:val="es-CR"/>
        </w:rPr>
        <w:t>l 30 de junio de 1994 el Juez del Segundo Distrito de Policía ordenó el cierre del sumario y dispuso que el fiscal emitiera su dictamen</w:t>
      </w:r>
      <w:r w:rsidR="00C8170A" w:rsidRPr="00CF1787">
        <w:rPr>
          <w:rStyle w:val="FootnoteReference"/>
          <w:bCs/>
          <w:sz w:val="20"/>
          <w:szCs w:val="20"/>
          <w:lang w:val="es-CR"/>
        </w:rPr>
        <w:footnoteReference w:id="90"/>
      </w:r>
      <w:r w:rsidR="00C8170A" w:rsidRPr="00CF1787">
        <w:rPr>
          <w:rFonts w:cs="Arial"/>
          <w:bCs/>
          <w:szCs w:val="20"/>
          <w:lang w:val="es-CR"/>
        </w:rPr>
        <w:t>.</w:t>
      </w:r>
      <w:r w:rsidR="00C8170A" w:rsidRPr="00CF1787">
        <w:rPr>
          <w:rFonts w:cs="Arial"/>
          <w:b/>
          <w:bCs/>
          <w:szCs w:val="20"/>
          <w:lang w:val="es-CR"/>
        </w:rPr>
        <w:t xml:space="preserve"> </w:t>
      </w:r>
      <w:r w:rsidR="00C8170A" w:rsidRPr="00CF1787">
        <w:rPr>
          <w:rFonts w:cs="Arial"/>
          <w:bCs/>
          <w:szCs w:val="20"/>
          <w:lang w:val="es-CR"/>
        </w:rPr>
        <w:t>En respuesta,</w:t>
      </w:r>
      <w:r w:rsidR="00C8170A" w:rsidRPr="00CF1787">
        <w:rPr>
          <w:rFonts w:cs="Arial"/>
          <w:b/>
          <w:bCs/>
          <w:szCs w:val="20"/>
          <w:lang w:val="es-CR"/>
        </w:rPr>
        <w:t xml:space="preserve"> </w:t>
      </w:r>
      <w:r w:rsidR="00C8170A" w:rsidRPr="00CF1787">
        <w:rPr>
          <w:rFonts w:cs="Arial"/>
          <w:bCs/>
          <w:szCs w:val="20"/>
          <w:lang w:val="es-CR"/>
        </w:rPr>
        <w:t>el Ministerio Público emitió un dictamen absteniéndose de acusar a los sindicados ya que de los informes presentados no se podía determinar si el señor Valencia “se suicidó, o fue impactado por algún proyectil”</w:t>
      </w:r>
      <w:r w:rsidR="00C8170A" w:rsidRPr="00CF1787">
        <w:rPr>
          <w:rStyle w:val="FootnoteReference"/>
          <w:bCs/>
          <w:sz w:val="20"/>
          <w:szCs w:val="20"/>
          <w:lang w:val="es-CR"/>
        </w:rPr>
        <w:footnoteReference w:id="91"/>
      </w:r>
      <w:r w:rsidR="00C8170A" w:rsidRPr="00CF1787">
        <w:rPr>
          <w:rFonts w:cs="Arial"/>
          <w:bCs/>
          <w:szCs w:val="20"/>
          <w:lang w:val="es-CR"/>
        </w:rPr>
        <w:t>.</w:t>
      </w:r>
      <w:r w:rsidR="00C8170A" w:rsidRPr="00CF1787">
        <w:rPr>
          <w:spacing w:val="-2"/>
          <w:szCs w:val="20"/>
          <w:lang w:val="es-CR"/>
        </w:rPr>
        <w:t xml:space="preserve"> </w:t>
      </w:r>
      <w:r w:rsidR="00C8170A" w:rsidRPr="00CF1787">
        <w:rPr>
          <w:rFonts w:cs="Arial"/>
          <w:bCs/>
          <w:szCs w:val="20"/>
          <w:lang w:val="es-CR"/>
        </w:rPr>
        <w:t>El Juez del Segundo Distrito de la Policía Nacional dictó el sobreseimiento bajo el mismo argumento</w:t>
      </w:r>
      <w:r w:rsidR="00C8170A" w:rsidRPr="00CF1787">
        <w:rPr>
          <w:rStyle w:val="FootnoteReference"/>
          <w:bCs/>
          <w:sz w:val="20"/>
          <w:szCs w:val="20"/>
          <w:lang w:val="es-CR"/>
        </w:rPr>
        <w:footnoteReference w:id="92"/>
      </w:r>
      <w:r w:rsidR="00C8170A" w:rsidRPr="00CF1787">
        <w:rPr>
          <w:rFonts w:cs="Arial"/>
          <w:bCs/>
          <w:szCs w:val="20"/>
          <w:lang w:val="es-CR"/>
        </w:rPr>
        <w:t>. No obstante, dichas decisiones fueron declaradas nulas por incumplirse con una formalidad legal respecto al desistimiento de la señora Patricia Trujillo</w:t>
      </w:r>
      <w:bookmarkStart w:id="313" w:name="_Ref468897189"/>
      <w:r w:rsidR="00C8170A" w:rsidRPr="00CF1787">
        <w:rPr>
          <w:rStyle w:val="FootnoteReference"/>
          <w:bCs/>
          <w:sz w:val="20"/>
          <w:szCs w:val="20"/>
          <w:lang w:val="es-CR"/>
        </w:rPr>
        <w:footnoteReference w:id="93"/>
      </w:r>
      <w:bookmarkEnd w:id="313"/>
      <w:r w:rsidR="00C8170A" w:rsidRPr="00CF1787">
        <w:rPr>
          <w:rFonts w:cs="Arial"/>
          <w:bCs/>
          <w:szCs w:val="20"/>
          <w:lang w:val="es-CR"/>
        </w:rPr>
        <w:t xml:space="preserve"> (</w:t>
      </w:r>
      <w:r w:rsidR="00C8170A" w:rsidRPr="00CF1787">
        <w:rPr>
          <w:rFonts w:cs="Arial"/>
          <w:bCs/>
          <w:i/>
          <w:szCs w:val="20"/>
          <w:lang w:val="es-CR"/>
        </w:rPr>
        <w:t>supra</w:t>
      </w:r>
      <w:r w:rsidR="00C8170A" w:rsidRPr="00CF1787">
        <w:rPr>
          <w:rFonts w:cs="Arial"/>
          <w:bCs/>
          <w:szCs w:val="20"/>
          <w:lang w:val="es-CR"/>
        </w:rPr>
        <w:t xml:space="preserve"> párr. </w:t>
      </w:r>
      <w:r w:rsidR="001D29E7" w:rsidRPr="00CF1787">
        <w:fldChar w:fldCharType="begin"/>
      </w:r>
      <w:r w:rsidR="001D29E7" w:rsidRPr="00CF1787">
        <w:instrText xml:space="preserve"> REF _Ref461795342 \r \h  \* MERGEFORMAT </w:instrText>
      </w:r>
      <w:r w:rsidR="001D29E7" w:rsidRPr="00CF1787">
        <w:fldChar w:fldCharType="separate"/>
      </w:r>
      <w:r w:rsidR="00536893" w:rsidRPr="00536893">
        <w:rPr>
          <w:rFonts w:cs="Arial"/>
          <w:bCs/>
          <w:szCs w:val="20"/>
          <w:lang w:val="es-CR"/>
        </w:rPr>
        <w:t>69</w:t>
      </w:r>
      <w:r w:rsidR="001D29E7" w:rsidRPr="00CF1787">
        <w:fldChar w:fldCharType="end"/>
      </w:r>
      <w:r w:rsidR="00C8170A" w:rsidRPr="00CF1787">
        <w:rPr>
          <w:rFonts w:cs="Arial"/>
          <w:bCs/>
          <w:szCs w:val="20"/>
          <w:lang w:val="es-CR"/>
        </w:rPr>
        <w:t xml:space="preserve">). </w:t>
      </w:r>
    </w:p>
    <w:p w14:paraId="0D8A4EDC" w14:textId="77777777" w:rsidR="00C8170A" w:rsidRPr="00CF1787" w:rsidRDefault="00C8170A" w:rsidP="00C8170A">
      <w:pPr>
        <w:pStyle w:val="ListParagraph"/>
        <w:numPr>
          <w:ilvl w:val="0"/>
          <w:numId w:val="0"/>
        </w:numPr>
        <w:ind w:left="720"/>
        <w:rPr>
          <w:spacing w:val="-2"/>
          <w:lang w:val="es-CR"/>
        </w:rPr>
      </w:pPr>
    </w:p>
    <w:p w14:paraId="0E000B11" w14:textId="77777777" w:rsidR="00C8170A" w:rsidRPr="00CF1787" w:rsidRDefault="00C8170A" w:rsidP="00C8170A">
      <w:pPr>
        <w:pStyle w:val="NoSpacing"/>
        <w:numPr>
          <w:ilvl w:val="0"/>
          <w:numId w:val="5"/>
        </w:numPr>
        <w:tabs>
          <w:tab w:val="left" w:pos="567"/>
        </w:tabs>
        <w:ind w:left="0" w:firstLine="0"/>
        <w:rPr>
          <w:spacing w:val="-2"/>
          <w:szCs w:val="20"/>
          <w:lang w:val="es-CR"/>
        </w:rPr>
      </w:pPr>
      <w:r w:rsidRPr="00CF1787">
        <w:rPr>
          <w:rFonts w:cs="Arial"/>
          <w:bCs/>
          <w:szCs w:val="20"/>
          <w:lang w:val="es-CR"/>
        </w:rPr>
        <w:t>El 1 de octubre de 1996 el Fiscal del Segundo Distrito de la Policía Nacional presentó un dictamen definitivo en donde señaló que “no se ha comprobado conforme a derecho alguna acción u omisión punible que haya sido consecuencia del deceso del Policía Valencia por parte de los [sindicados]</w:t>
      </w:r>
      <w:r w:rsidR="00B552AE" w:rsidRPr="00CF1787">
        <w:rPr>
          <w:rFonts w:cs="Arial"/>
          <w:bCs/>
          <w:szCs w:val="20"/>
          <w:lang w:val="es-CR"/>
        </w:rPr>
        <w:t>”</w:t>
      </w:r>
      <w:r w:rsidRPr="00CF1787">
        <w:rPr>
          <w:rFonts w:cs="Arial"/>
          <w:bCs/>
          <w:szCs w:val="20"/>
          <w:lang w:val="es-CR"/>
        </w:rPr>
        <w:t xml:space="preserve"> por lo que se abstuvo de acusar</w:t>
      </w:r>
      <w:r w:rsidRPr="00CF1787">
        <w:rPr>
          <w:rStyle w:val="FootnoteReference"/>
          <w:bCs/>
          <w:sz w:val="20"/>
          <w:szCs w:val="20"/>
          <w:lang w:val="es-CR"/>
        </w:rPr>
        <w:footnoteReference w:id="94"/>
      </w:r>
      <w:r w:rsidRPr="00CF1787">
        <w:rPr>
          <w:rFonts w:cs="Arial"/>
          <w:bCs/>
          <w:szCs w:val="20"/>
          <w:lang w:val="es-CR"/>
        </w:rPr>
        <w:t>.</w:t>
      </w:r>
      <w:bookmarkStart w:id="314" w:name="_Ref458538221"/>
    </w:p>
    <w:p w14:paraId="32B5470B" w14:textId="77777777" w:rsidR="00C8170A" w:rsidRPr="00CF1787" w:rsidRDefault="00C8170A" w:rsidP="00C8170A">
      <w:pPr>
        <w:pStyle w:val="NoSpacing"/>
        <w:tabs>
          <w:tab w:val="left" w:pos="567"/>
        </w:tabs>
        <w:rPr>
          <w:spacing w:val="-2"/>
          <w:szCs w:val="20"/>
          <w:lang w:val="es-CR"/>
        </w:rPr>
      </w:pPr>
    </w:p>
    <w:p w14:paraId="6F734FDA" w14:textId="77777777" w:rsidR="00C8170A" w:rsidRPr="00CF1787" w:rsidRDefault="00C8170A" w:rsidP="00C8170A">
      <w:pPr>
        <w:pStyle w:val="NoSpacing"/>
        <w:numPr>
          <w:ilvl w:val="0"/>
          <w:numId w:val="5"/>
        </w:numPr>
        <w:tabs>
          <w:tab w:val="left" w:pos="567"/>
        </w:tabs>
        <w:ind w:left="0" w:firstLine="0"/>
        <w:rPr>
          <w:spacing w:val="-2"/>
          <w:szCs w:val="20"/>
          <w:lang w:val="es-CR"/>
        </w:rPr>
      </w:pPr>
      <w:bookmarkStart w:id="315" w:name="_Ref462078622"/>
      <w:r w:rsidRPr="00CF1787">
        <w:rPr>
          <w:rFonts w:cs="Arial"/>
          <w:bCs/>
          <w:szCs w:val="20"/>
          <w:lang w:val="es-CR"/>
        </w:rPr>
        <w:t xml:space="preserve">El 11 de noviembre de 1996 el Juez del Segundo Distrito de la Policía Nacional dictó nuevamente auto de sobreseimiento definitivo a favor de los sindicados, concluyendo que el señor Valencia </w:t>
      </w:r>
      <w:r w:rsidR="00B552AE" w:rsidRPr="00CF1787">
        <w:rPr>
          <w:rFonts w:cs="Arial"/>
          <w:bCs/>
          <w:szCs w:val="20"/>
          <w:lang w:val="es-CR"/>
        </w:rPr>
        <w:t xml:space="preserve">Hinojosa </w:t>
      </w:r>
      <w:r w:rsidRPr="00CF1787">
        <w:rPr>
          <w:rFonts w:cs="Arial"/>
          <w:bCs/>
          <w:szCs w:val="20"/>
          <w:lang w:val="es-CR"/>
        </w:rPr>
        <w:t>se había suicidado. Además</w:t>
      </w:r>
      <w:r w:rsidR="00B552AE" w:rsidRPr="00CF1787">
        <w:rPr>
          <w:rFonts w:cs="Arial"/>
          <w:bCs/>
          <w:szCs w:val="20"/>
          <w:lang w:val="es-CR"/>
        </w:rPr>
        <w:t>,</w:t>
      </w:r>
      <w:r w:rsidRPr="00CF1787">
        <w:rPr>
          <w:rFonts w:cs="Arial"/>
          <w:bCs/>
          <w:szCs w:val="20"/>
          <w:lang w:val="es-CR"/>
        </w:rPr>
        <w:t xml:space="preserve"> resaltó que “no se ha comprobado que los encausados hayan instigado o hayan prestado auxilio para que el mencionado policía se suicide”. Dicha resolución se elevó a la Primera Corte Distrital de la Policía Nacional para consulta</w:t>
      </w:r>
      <w:r w:rsidRPr="00CF1787">
        <w:rPr>
          <w:rStyle w:val="FootnoteReference"/>
          <w:bCs/>
          <w:sz w:val="20"/>
          <w:szCs w:val="20"/>
          <w:lang w:val="es-CR"/>
        </w:rPr>
        <w:footnoteReference w:id="95"/>
      </w:r>
      <w:r w:rsidRPr="00CF1787">
        <w:rPr>
          <w:rFonts w:cs="Arial"/>
          <w:bCs/>
          <w:szCs w:val="20"/>
          <w:lang w:val="es-CR"/>
        </w:rPr>
        <w:t>. Paralelamente los dos tenientes interpusieron un recurso de apelación</w:t>
      </w:r>
      <w:r w:rsidRPr="00CF1787">
        <w:rPr>
          <w:rStyle w:val="FootnoteReference"/>
          <w:bCs/>
          <w:sz w:val="20"/>
          <w:szCs w:val="20"/>
          <w:lang w:val="es-CR"/>
        </w:rPr>
        <w:footnoteReference w:id="96"/>
      </w:r>
      <w:r w:rsidRPr="00CF1787">
        <w:rPr>
          <w:rFonts w:cs="Arial"/>
          <w:bCs/>
          <w:szCs w:val="20"/>
          <w:lang w:val="es-CR"/>
        </w:rPr>
        <w:t>.</w:t>
      </w:r>
      <w:bookmarkStart w:id="316" w:name="_Ref458543209"/>
      <w:bookmarkEnd w:id="314"/>
      <w:r w:rsidRPr="00CF1787">
        <w:rPr>
          <w:spacing w:val="-2"/>
          <w:szCs w:val="20"/>
          <w:lang w:val="es-CR"/>
        </w:rPr>
        <w:t xml:space="preserve"> </w:t>
      </w:r>
      <w:r w:rsidRPr="00CF1787">
        <w:rPr>
          <w:rFonts w:cs="Arial"/>
          <w:bCs/>
          <w:szCs w:val="20"/>
          <w:lang w:val="es-CR"/>
        </w:rPr>
        <w:t>El 5 de marzo de 1997, la citada corte confirmó el sobreseimiento definitivo</w:t>
      </w:r>
      <w:bookmarkEnd w:id="316"/>
      <w:r w:rsidRPr="00CF1787">
        <w:rPr>
          <w:rStyle w:val="FootnoteReference"/>
          <w:bCs/>
          <w:sz w:val="20"/>
          <w:szCs w:val="20"/>
          <w:lang w:val="es-CR"/>
        </w:rPr>
        <w:footnoteReference w:id="97"/>
      </w:r>
      <w:r w:rsidRPr="00CF1787">
        <w:rPr>
          <w:rFonts w:cs="Arial"/>
          <w:bCs/>
          <w:szCs w:val="20"/>
          <w:lang w:val="es-CR"/>
        </w:rPr>
        <w:t>, concluyendo que:</w:t>
      </w:r>
      <w:bookmarkEnd w:id="315"/>
      <w:r w:rsidRPr="00CF1787">
        <w:rPr>
          <w:rFonts w:cs="Arial"/>
          <w:bCs/>
          <w:szCs w:val="20"/>
          <w:lang w:val="es-CR"/>
        </w:rPr>
        <w:t xml:space="preserve"> </w:t>
      </w:r>
    </w:p>
    <w:p w14:paraId="35CB5CC0" w14:textId="77777777" w:rsidR="00C8170A" w:rsidRPr="00CF1787" w:rsidRDefault="00C8170A" w:rsidP="00C8170A">
      <w:pPr>
        <w:tabs>
          <w:tab w:val="left" w:pos="284"/>
        </w:tabs>
        <w:autoSpaceDE w:val="0"/>
        <w:autoSpaceDN w:val="0"/>
        <w:adjustRightInd w:val="0"/>
        <w:rPr>
          <w:rFonts w:cs="Arial"/>
          <w:bCs/>
          <w:szCs w:val="20"/>
          <w:lang w:val="es-CR"/>
        </w:rPr>
      </w:pPr>
    </w:p>
    <w:p w14:paraId="55B203A5" w14:textId="77777777" w:rsidR="00C8170A" w:rsidRPr="00CF1787" w:rsidRDefault="00C8170A" w:rsidP="00C8170A">
      <w:pPr>
        <w:tabs>
          <w:tab w:val="left" w:pos="284"/>
        </w:tabs>
        <w:autoSpaceDE w:val="0"/>
        <w:autoSpaceDN w:val="0"/>
        <w:adjustRightInd w:val="0"/>
        <w:ind w:left="709" w:right="674"/>
        <w:rPr>
          <w:rFonts w:cs="Arial"/>
          <w:bCs/>
          <w:sz w:val="18"/>
          <w:szCs w:val="18"/>
          <w:lang w:val="es-CR"/>
        </w:rPr>
      </w:pPr>
      <w:r w:rsidRPr="00CF1787">
        <w:rPr>
          <w:rFonts w:cs="Arial"/>
          <w:bCs/>
          <w:sz w:val="18"/>
          <w:szCs w:val="18"/>
          <w:lang w:val="es-CR"/>
        </w:rPr>
        <w:lastRenderedPageBreak/>
        <w:t>[A]l no haber comprobado conforme a derecho la existencia de una acción u omisión punible, y de conformidad con lo dispuesto en el art. 160 del Código de Procedimiento Penal de la Institución, se confirma el auto de sobreseimiento definitivo venido en grado por consulta y apelación, a favor de los sindicados […].- La acusación particular presentada por la señora Patricia Alexandra Trujillo Esparza no es maliciosa ni temeraria.- Notifíquese</w:t>
      </w:r>
      <w:r w:rsidRPr="00CF1787">
        <w:rPr>
          <w:rStyle w:val="FootnoteReference"/>
          <w:bCs/>
          <w:sz w:val="18"/>
          <w:szCs w:val="18"/>
          <w:lang w:val="es-CR"/>
        </w:rPr>
        <w:footnoteReference w:id="98"/>
      </w:r>
      <w:r w:rsidRPr="00CF1787">
        <w:rPr>
          <w:rFonts w:cs="Arial"/>
          <w:bCs/>
          <w:sz w:val="18"/>
          <w:szCs w:val="18"/>
          <w:lang w:val="es-CR"/>
        </w:rPr>
        <w:t xml:space="preserve">. </w:t>
      </w:r>
    </w:p>
    <w:p w14:paraId="2942BF3D" w14:textId="77777777" w:rsidR="009D5CD3" w:rsidRPr="00CF1787" w:rsidRDefault="009D5CD3" w:rsidP="00996836">
      <w:pPr>
        <w:pStyle w:val="NoSpacing"/>
        <w:tabs>
          <w:tab w:val="left" w:pos="567"/>
        </w:tabs>
        <w:rPr>
          <w:b/>
          <w:szCs w:val="20"/>
          <w:lang w:val="es-CR"/>
        </w:rPr>
      </w:pPr>
    </w:p>
    <w:p w14:paraId="00AF4907" w14:textId="77777777" w:rsidR="00151DEB" w:rsidRPr="00CF1787" w:rsidRDefault="00151DEB" w:rsidP="00151DEB">
      <w:pPr>
        <w:pStyle w:val="Heading1"/>
        <w:rPr>
          <w:lang w:val="es-CR"/>
        </w:rPr>
      </w:pPr>
      <w:bookmarkStart w:id="317" w:name="_Toc424834707"/>
      <w:bookmarkStart w:id="318" w:name="_Toc427932803"/>
      <w:bookmarkStart w:id="319" w:name="_Toc431584634"/>
      <w:bookmarkStart w:id="320" w:name="_Toc434850422"/>
      <w:bookmarkStart w:id="321" w:name="_Toc465177376"/>
      <w:bookmarkStart w:id="322" w:name="_Toc470098049"/>
      <w:r w:rsidRPr="00CF1787">
        <w:rPr>
          <w:lang w:val="es-CR"/>
        </w:rPr>
        <w:t>VII</w:t>
      </w:r>
      <w:bookmarkEnd w:id="317"/>
      <w:bookmarkEnd w:id="318"/>
      <w:bookmarkEnd w:id="319"/>
      <w:bookmarkEnd w:id="320"/>
      <w:bookmarkEnd w:id="321"/>
      <w:bookmarkEnd w:id="322"/>
    </w:p>
    <w:p w14:paraId="5F91380E" w14:textId="77777777" w:rsidR="0029140F" w:rsidRPr="00CF1787" w:rsidRDefault="00151DEB" w:rsidP="00D928EB">
      <w:pPr>
        <w:pStyle w:val="Heading1"/>
        <w:rPr>
          <w:lang w:val="es-CR"/>
        </w:rPr>
      </w:pPr>
      <w:bookmarkStart w:id="323" w:name="_Toc431834652"/>
      <w:bookmarkStart w:id="324" w:name="_Toc308537957"/>
      <w:bookmarkStart w:id="325" w:name="_Toc308538177"/>
      <w:bookmarkStart w:id="326" w:name="_Toc434849944"/>
      <w:bookmarkStart w:id="327" w:name="_Toc434850423"/>
      <w:bookmarkStart w:id="328" w:name="_Toc461791332"/>
      <w:bookmarkStart w:id="329" w:name="_Toc461796014"/>
      <w:bookmarkStart w:id="330" w:name="_Toc462157410"/>
      <w:bookmarkStart w:id="331" w:name="_Toc462157906"/>
      <w:bookmarkStart w:id="332" w:name="_Toc462869998"/>
      <w:bookmarkStart w:id="333" w:name="_Toc462934250"/>
      <w:bookmarkStart w:id="334" w:name="_Toc465177377"/>
      <w:bookmarkStart w:id="335" w:name="_Toc465184277"/>
      <w:bookmarkStart w:id="336" w:name="_Toc467854807"/>
      <w:bookmarkStart w:id="337" w:name="_Toc468281925"/>
      <w:bookmarkStart w:id="338" w:name="_Toc470001217"/>
      <w:bookmarkStart w:id="339" w:name="_Toc470098050"/>
      <w:r w:rsidRPr="00CF1787">
        <w:rPr>
          <w:lang w:val="es-CR"/>
        </w:rPr>
        <w:t>FONDO</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612058DC" w14:textId="77777777" w:rsidR="00D928EB" w:rsidRPr="00CF1787" w:rsidRDefault="00D928EB" w:rsidP="00D928EB">
      <w:pPr>
        <w:rPr>
          <w:lang w:val="es-CR" w:eastAsia="es-CR"/>
        </w:rPr>
      </w:pPr>
    </w:p>
    <w:p w14:paraId="30FDEB2E" w14:textId="67EA5D23" w:rsidR="00B437BB" w:rsidRPr="00CF1787" w:rsidRDefault="00B437BB" w:rsidP="00B437BB">
      <w:pPr>
        <w:pStyle w:val="NoSpacing"/>
        <w:numPr>
          <w:ilvl w:val="0"/>
          <w:numId w:val="5"/>
        </w:numPr>
        <w:tabs>
          <w:tab w:val="left" w:pos="567"/>
        </w:tabs>
        <w:ind w:left="0" w:firstLine="0"/>
        <w:rPr>
          <w:b/>
          <w:color w:val="FF0000"/>
          <w:spacing w:val="-2"/>
          <w:szCs w:val="20"/>
          <w:lang w:val="es-CR"/>
        </w:rPr>
      </w:pPr>
      <w:r w:rsidRPr="00CF1787">
        <w:rPr>
          <w:spacing w:val="-2"/>
          <w:szCs w:val="20"/>
          <w:lang w:val="es-CR"/>
        </w:rPr>
        <w:t>A partir de la ratificación de la Convención Americana, el 28 de diciembre de 1977, el Estado ecuatoriano se encontraba obligado, en virtud de lo dispuesto en el artículo 8 de la misma, a respetar las garantías de juez natural, independencia e imparcialidad en los procesos judiciales iniciados a nivel interno</w:t>
      </w:r>
      <w:r w:rsidR="00041F13" w:rsidRPr="00CF1787">
        <w:rPr>
          <w:spacing w:val="-2"/>
          <w:szCs w:val="20"/>
          <w:lang w:val="es-CR"/>
        </w:rPr>
        <w:t xml:space="preserve"> (</w:t>
      </w:r>
      <w:r w:rsidR="00041F13" w:rsidRPr="00CF1787">
        <w:rPr>
          <w:i/>
          <w:spacing w:val="-2"/>
          <w:szCs w:val="20"/>
          <w:lang w:val="es-CR"/>
        </w:rPr>
        <w:t xml:space="preserve">supra </w:t>
      </w:r>
      <w:r w:rsidR="00041F13" w:rsidRPr="00CF1787">
        <w:rPr>
          <w:spacing w:val="-2"/>
          <w:szCs w:val="20"/>
          <w:lang w:val="es-CR"/>
        </w:rPr>
        <w:t xml:space="preserve">párr. </w:t>
      </w:r>
      <w:r w:rsidR="001D29E7" w:rsidRPr="00CF1787">
        <w:fldChar w:fldCharType="begin"/>
      </w:r>
      <w:r w:rsidR="001D29E7" w:rsidRPr="00CF1787">
        <w:instrText xml:space="preserve"> REF _Ref333836398 \r \h  \* MERGEFORMAT </w:instrText>
      </w:r>
      <w:r w:rsidR="001D29E7" w:rsidRPr="00CF1787">
        <w:fldChar w:fldCharType="separate"/>
      </w:r>
      <w:r w:rsidR="00536893" w:rsidRPr="00536893">
        <w:rPr>
          <w:spacing w:val="-2"/>
          <w:szCs w:val="20"/>
          <w:lang w:val="es-CR"/>
        </w:rPr>
        <w:t>14</w:t>
      </w:r>
      <w:r w:rsidR="001D29E7" w:rsidRPr="00CF1787">
        <w:fldChar w:fldCharType="end"/>
      </w:r>
      <w:r w:rsidR="00041F13" w:rsidRPr="00CF1787">
        <w:rPr>
          <w:spacing w:val="-2"/>
          <w:szCs w:val="20"/>
          <w:lang w:val="es-CR"/>
        </w:rPr>
        <w:t>)</w:t>
      </w:r>
      <w:r w:rsidRPr="00CF1787">
        <w:rPr>
          <w:spacing w:val="-2"/>
          <w:szCs w:val="20"/>
          <w:lang w:val="es-CR"/>
        </w:rPr>
        <w:t>. Si bien la Convención no impone a los Estados formas específicas para organizar su jurisdicción interna, estas deben respetar las referidas garantías. En este sentido, la Corte asimismo recuerda que los Estados no pued</w:t>
      </w:r>
      <w:r w:rsidR="0089363E" w:rsidRPr="00CF1787">
        <w:rPr>
          <w:spacing w:val="-2"/>
          <w:szCs w:val="20"/>
          <w:lang w:val="es-CR"/>
        </w:rPr>
        <w:t>en invocar las disposiciones de su</w:t>
      </w:r>
      <w:r w:rsidRPr="00CF1787">
        <w:rPr>
          <w:spacing w:val="-2"/>
          <w:szCs w:val="20"/>
          <w:lang w:val="es-CR"/>
        </w:rPr>
        <w:t xml:space="preserve"> derecho interno para justificar el incumplimiento de obligaciones internacionales</w:t>
      </w:r>
      <w:r w:rsidRPr="00CF1787">
        <w:rPr>
          <w:rStyle w:val="FootnoteReference"/>
          <w:spacing w:val="-2"/>
          <w:sz w:val="20"/>
          <w:szCs w:val="20"/>
          <w:lang w:val="es-CR"/>
        </w:rPr>
        <w:footnoteReference w:id="99"/>
      </w:r>
      <w:r w:rsidRPr="00CF1787">
        <w:rPr>
          <w:spacing w:val="-2"/>
          <w:szCs w:val="20"/>
          <w:lang w:val="es-CR"/>
        </w:rPr>
        <w:t>,</w:t>
      </w:r>
      <w:r w:rsidRPr="00CF1787">
        <w:rPr>
          <w:b/>
          <w:spacing w:val="-2"/>
          <w:szCs w:val="20"/>
          <w:lang w:val="es-CR"/>
        </w:rPr>
        <w:t xml:space="preserve"> </w:t>
      </w:r>
      <w:r w:rsidRPr="00CF1787">
        <w:rPr>
          <w:spacing w:val="-2"/>
          <w:szCs w:val="20"/>
          <w:lang w:val="es-CR"/>
        </w:rPr>
        <w:t xml:space="preserve">norma consuetudinaria </w:t>
      </w:r>
      <w:r w:rsidR="00135018" w:rsidRPr="00CF1787">
        <w:rPr>
          <w:spacing w:val="-2"/>
          <w:szCs w:val="20"/>
          <w:lang w:val="es-CR"/>
        </w:rPr>
        <w:t xml:space="preserve">codificada </w:t>
      </w:r>
      <w:r w:rsidRPr="00CF1787">
        <w:rPr>
          <w:spacing w:val="-2"/>
          <w:szCs w:val="20"/>
          <w:lang w:val="es-CR"/>
        </w:rPr>
        <w:t>en el artículo 27 de la Convención de Viena sobre el Derecho de los Tratados</w:t>
      </w:r>
      <w:r w:rsidR="00391591" w:rsidRPr="00CF1787">
        <w:rPr>
          <w:rStyle w:val="FootnoteReference"/>
          <w:spacing w:val="-2"/>
          <w:sz w:val="20"/>
          <w:szCs w:val="20"/>
          <w:lang w:val="es-CR"/>
        </w:rPr>
        <w:footnoteReference w:id="100"/>
      </w:r>
      <w:r w:rsidRPr="00CF1787">
        <w:rPr>
          <w:spacing w:val="-2"/>
          <w:szCs w:val="20"/>
          <w:lang w:val="es-CR"/>
        </w:rPr>
        <w:t>. En mérito de lo indicado, en el presente caso, corresponde determinar si el desarrollo de la investigación y el subsiguiente proc</w:t>
      </w:r>
      <w:r w:rsidR="002A1078" w:rsidRPr="00CF1787">
        <w:rPr>
          <w:spacing w:val="-2"/>
          <w:szCs w:val="20"/>
          <w:lang w:val="es-CR"/>
        </w:rPr>
        <w:t>edimiento por parte del fuero</w:t>
      </w:r>
      <w:r w:rsidRPr="00CF1787">
        <w:rPr>
          <w:spacing w:val="-2"/>
          <w:szCs w:val="20"/>
          <w:lang w:val="es-CR"/>
        </w:rPr>
        <w:t xml:space="preserve"> penal policial respeta las garantías de</w:t>
      </w:r>
      <w:r w:rsidR="00F4324F" w:rsidRPr="00CF1787">
        <w:rPr>
          <w:spacing w:val="-2"/>
          <w:szCs w:val="20"/>
          <w:lang w:val="es-CR"/>
        </w:rPr>
        <w:t xml:space="preserve"> competencia,</w:t>
      </w:r>
      <w:r w:rsidRPr="00CF1787">
        <w:rPr>
          <w:spacing w:val="-2"/>
          <w:szCs w:val="20"/>
          <w:lang w:val="es-CR"/>
        </w:rPr>
        <w:t xml:space="preserve"> </w:t>
      </w:r>
      <w:proofErr w:type="spellStart"/>
      <w:r w:rsidRPr="00CF1787">
        <w:rPr>
          <w:spacing w:val="-2"/>
          <w:szCs w:val="20"/>
          <w:lang w:val="es-CR"/>
        </w:rPr>
        <w:t>independecia</w:t>
      </w:r>
      <w:proofErr w:type="spellEnd"/>
      <w:r w:rsidRPr="00CF1787">
        <w:rPr>
          <w:spacing w:val="-2"/>
          <w:szCs w:val="20"/>
          <w:lang w:val="es-CR"/>
        </w:rPr>
        <w:t xml:space="preserve"> e imparcialidad requeridas por el antes referido</w:t>
      </w:r>
      <w:r w:rsidRPr="00CF1787">
        <w:rPr>
          <w:b/>
          <w:spacing w:val="-2"/>
          <w:szCs w:val="20"/>
          <w:lang w:val="es-CR"/>
        </w:rPr>
        <w:t xml:space="preserve"> </w:t>
      </w:r>
      <w:r w:rsidRPr="00CF1787">
        <w:rPr>
          <w:spacing w:val="-2"/>
          <w:szCs w:val="20"/>
          <w:lang w:val="es-CR"/>
        </w:rPr>
        <w:t xml:space="preserve">artículo 8 de la Convención Americana. </w:t>
      </w:r>
    </w:p>
    <w:p w14:paraId="183415D6" w14:textId="77777777" w:rsidR="00B437BB" w:rsidRPr="00CF1787" w:rsidRDefault="00B437BB" w:rsidP="0029140F">
      <w:pPr>
        <w:pStyle w:val="NoSpacing"/>
        <w:tabs>
          <w:tab w:val="left" w:pos="567"/>
        </w:tabs>
        <w:rPr>
          <w:spacing w:val="-2"/>
          <w:szCs w:val="20"/>
          <w:lang w:val="es-CR"/>
        </w:rPr>
      </w:pPr>
    </w:p>
    <w:p w14:paraId="21366938" w14:textId="25040705" w:rsidR="00D87F34" w:rsidRPr="00CF1787" w:rsidRDefault="006457C3" w:rsidP="00D87F34">
      <w:pPr>
        <w:pStyle w:val="NoSpacing"/>
        <w:numPr>
          <w:ilvl w:val="0"/>
          <w:numId w:val="5"/>
        </w:numPr>
        <w:tabs>
          <w:tab w:val="left" w:pos="567"/>
        </w:tabs>
        <w:ind w:left="0" w:firstLine="0"/>
        <w:rPr>
          <w:spacing w:val="-2"/>
          <w:szCs w:val="20"/>
          <w:lang w:val="es-CR"/>
        </w:rPr>
      </w:pPr>
      <w:r w:rsidRPr="00CF1787">
        <w:rPr>
          <w:lang w:val="es-CR"/>
        </w:rPr>
        <w:t xml:space="preserve">De acuerdo a los alegatos de las partes y </w:t>
      </w:r>
      <w:r w:rsidR="002A1078" w:rsidRPr="00CF1787">
        <w:rPr>
          <w:lang w:val="es-CR"/>
        </w:rPr>
        <w:t xml:space="preserve">de </w:t>
      </w:r>
      <w:r w:rsidRPr="00CF1787">
        <w:rPr>
          <w:lang w:val="es-CR"/>
        </w:rPr>
        <w:t>la Comisión, en el presente caso la Corte examinará</w:t>
      </w:r>
      <w:r w:rsidR="00CF6939" w:rsidRPr="00CF1787">
        <w:rPr>
          <w:lang w:val="es-CR"/>
        </w:rPr>
        <w:t>, en el orden que sigue</w:t>
      </w:r>
      <w:r w:rsidR="00D1734E" w:rsidRPr="00CF1787">
        <w:rPr>
          <w:lang w:val="es-CR"/>
        </w:rPr>
        <w:t>:</w:t>
      </w:r>
      <w:r w:rsidRPr="00CF1787">
        <w:rPr>
          <w:lang w:val="es-CR"/>
        </w:rPr>
        <w:t xml:space="preserve"> (1) las alegadas violaciones a las garantías judiciales y a la protección judicial, (2) el derecho a la vida del señor Valencia Hinojosa y (3) la integr</w:t>
      </w:r>
      <w:r w:rsidR="00D1734E" w:rsidRPr="00CF1787">
        <w:rPr>
          <w:lang w:val="es-CR"/>
        </w:rPr>
        <w:t xml:space="preserve">idad personal de </w:t>
      </w:r>
      <w:r w:rsidR="00135018" w:rsidRPr="00CF1787">
        <w:rPr>
          <w:lang w:val="es-CR"/>
        </w:rPr>
        <w:t>su esposa, Patricia Trujillo Esparza</w:t>
      </w:r>
      <w:r w:rsidRPr="00CF1787">
        <w:rPr>
          <w:lang w:val="es-CR"/>
        </w:rPr>
        <w:t xml:space="preserve">.  </w:t>
      </w:r>
    </w:p>
    <w:p w14:paraId="3F6F3ED8" w14:textId="77777777" w:rsidR="00BC216B" w:rsidRPr="00CF1787" w:rsidRDefault="00BC216B" w:rsidP="00BC216B">
      <w:pPr>
        <w:autoSpaceDE w:val="0"/>
        <w:autoSpaceDN w:val="0"/>
        <w:adjustRightInd w:val="0"/>
        <w:ind w:right="532"/>
        <w:rPr>
          <w:rFonts w:eastAsiaTheme="minorHAnsi" w:cs="Arial"/>
          <w:sz w:val="16"/>
          <w:szCs w:val="16"/>
          <w:lang w:val="es-CR"/>
        </w:rPr>
      </w:pPr>
    </w:p>
    <w:p w14:paraId="29CAB279" w14:textId="77777777" w:rsidR="00BC216B" w:rsidRPr="00CF1787" w:rsidRDefault="00BC216B" w:rsidP="00BC216B">
      <w:pPr>
        <w:pStyle w:val="Heading1"/>
        <w:rPr>
          <w:lang w:val="es-CR"/>
        </w:rPr>
      </w:pPr>
      <w:bookmarkStart w:id="340" w:name="_Toc434850424"/>
      <w:bookmarkStart w:id="341" w:name="_Toc465177378"/>
      <w:bookmarkStart w:id="342" w:name="_Toc470098051"/>
      <w:r w:rsidRPr="00CF1787">
        <w:rPr>
          <w:lang w:val="es-CR"/>
        </w:rPr>
        <w:t>VII-1</w:t>
      </w:r>
      <w:bookmarkEnd w:id="340"/>
      <w:bookmarkEnd w:id="341"/>
      <w:bookmarkEnd w:id="342"/>
    </w:p>
    <w:p w14:paraId="602D82CE" w14:textId="1647DEDF" w:rsidR="00BC216B" w:rsidRPr="00CF1787" w:rsidRDefault="00BC216B" w:rsidP="00BC216B">
      <w:pPr>
        <w:pStyle w:val="Heading1"/>
        <w:rPr>
          <w:spacing w:val="-4"/>
          <w:lang w:val="es-CR"/>
        </w:rPr>
      </w:pPr>
      <w:bookmarkStart w:id="343" w:name="_Toc424834024"/>
      <w:bookmarkStart w:id="344" w:name="_Toc424834708"/>
      <w:bookmarkStart w:id="345" w:name="_Toc424834765"/>
      <w:bookmarkStart w:id="346" w:name="_Toc427234553"/>
      <w:bookmarkStart w:id="347" w:name="_Toc427342842"/>
      <w:bookmarkStart w:id="348" w:name="_Toc427663828"/>
      <w:bookmarkStart w:id="349" w:name="_Toc427932804"/>
      <w:bookmarkStart w:id="350" w:name="_Toc427943580"/>
      <w:bookmarkStart w:id="351" w:name="_Toc427943754"/>
      <w:bookmarkStart w:id="352" w:name="_Toc431584645"/>
      <w:bookmarkStart w:id="353" w:name="_Toc431585067"/>
      <w:bookmarkStart w:id="354" w:name="_Toc431646584"/>
      <w:bookmarkStart w:id="355" w:name="_Toc431834663"/>
      <w:bookmarkStart w:id="356" w:name="_Toc308538188"/>
      <w:bookmarkStart w:id="357" w:name="_Toc434850434"/>
      <w:bookmarkStart w:id="358" w:name="_Toc461791334"/>
      <w:bookmarkStart w:id="359" w:name="_Toc461796016"/>
      <w:bookmarkStart w:id="360" w:name="_Toc462157412"/>
      <w:bookmarkStart w:id="361" w:name="_Toc462157908"/>
      <w:bookmarkStart w:id="362" w:name="_Toc462870000"/>
      <w:bookmarkStart w:id="363" w:name="_Toc462934252"/>
      <w:bookmarkStart w:id="364" w:name="_Toc465177379"/>
      <w:bookmarkStart w:id="365" w:name="_Toc465184279"/>
      <w:bookmarkStart w:id="366" w:name="_Toc467854809"/>
      <w:bookmarkStart w:id="367" w:name="_Toc468281927"/>
      <w:bookmarkStart w:id="368" w:name="_Toc470001219"/>
      <w:bookmarkStart w:id="369" w:name="_Toc470098052"/>
      <w:r w:rsidRPr="00CF1787">
        <w:rPr>
          <w:spacing w:val="-4"/>
          <w:lang w:val="es-CR"/>
        </w:rPr>
        <w:t>GARANTÍAS JUDICIALES</w:t>
      </w:r>
      <w:r w:rsidR="00085667" w:rsidRPr="00CF1787">
        <w:rPr>
          <w:rStyle w:val="FootnoteReference"/>
          <w:color w:val="000000" w:themeColor="text1"/>
          <w:spacing w:val="-4"/>
          <w:sz w:val="20"/>
          <w:szCs w:val="20"/>
          <w:lang w:val="es-CR"/>
        </w:rPr>
        <w:footnoteReference w:id="101"/>
      </w:r>
      <w:r w:rsidRPr="00CF1787">
        <w:rPr>
          <w:spacing w:val="-4"/>
          <w:lang w:val="es-CR"/>
        </w:rPr>
        <w:t xml:space="preserve"> Y PROTECCIÓN </w:t>
      </w:r>
      <w:r w:rsidRPr="00CF1787">
        <w:rPr>
          <w:spacing w:val="-4"/>
          <w:szCs w:val="20"/>
          <w:lang w:val="es-CR"/>
        </w:rPr>
        <w:t>JUDICIAL</w:t>
      </w:r>
      <w:bookmarkEnd w:id="343"/>
      <w:bookmarkEnd w:id="344"/>
      <w:bookmarkEnd w:id="345"/>
      <w:bookmarkEnd w:id="346"/>
      <w:r w:rsidR="00085667" w:rsidRPr="00CF1787">
        <w:rPr>
          <w:rStyle w:val="FootnoteReference"/>
          <w:spacing w:val="-4"/>
          <w:sz w:val="20"/>
          <w:szCs w:val="20"/>
          <w:lang w:val="es-CR"/>
        </w:rPr>
        <w:footnoteReference w:id="102"/>
      </w:r>
      <w:r w:rsidRPr="00CF1787">
        <w:rPr>
          <w:spacing w:val="-4"/>
          <w:szCs w:val="20"/>
          <w:lang w:val="es-CR"/>
        </w:rPr>
        <w:t>, EN RELACIÓN CON LA OBLIGACIÓN DE RESPETAR Y GARANTIZAR LOS DERECHOS</w:t>
      </w:r>
      <w:r w:rsidR="00085667" w:rsidRPr="00CF1787">
        <w:rPr>
          <w:rStyle w:val="FootnoteReference"/>
          <w:spacing w:val="-4"/>
          <w:sz w:val="20"/>
          <w:szCs w:val="20"/>
          <w:lang w:val="es-CR"/>
        </w:rPr>
        <w:footnoteReference w:id="103"/>
      </w:r>
      <w:r w:rsidRPr="00CF1787">
        <w:rPr>
          <w:spacing w:val="-4"/>
          <w:szCs w:val="20"/>
          <w:lang w:val="es-CR"/>
        </w:rPr>
        <w:t xml:space="preserve"> Y EL DEBER DE ADOPTAR DISPOSICIONES DE DERECHO INTERNO</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00085667" w:rsidRPr="00CF1787">
        <w:rPr>
          <w:rStyle w:val="FootnoteReference"/>
          <w:spacing w:val="-4"/>
          <w:sz w:val="20"/>
          <w:szCs w:val="20"/>
          <w:lang w:val="es-CR"/>
        </w:rPr>
        <w:footnoteReference w:id="104"/>
      </w:r>
      <w:bookmarkEnd w:id="368"/>
      <w:bookmarkEnd w:id="369"/>
    </w:p>
    <w:p w14:paraId="0EAEC183" w14:textId="77777777" w:rsidR="00D52AD2" w:rsidRPr="00CF1787" w:rsidRDefault="00D52AD2" w:rsidP="00D52AD2">
      <w:pPr>
        <w:pStyle w:val="NoSpacing"/>
        <w:tabs>
          <w:tab w:val="left" w:pos="567"/>
        </w:tabs>
        <w:rPr>
          <w:lang w:val="es-CR"/>
        </w:rPr>
      </w:pPr>
    </w:p>
    <w:p w14:paraId="61427F54" w14:textId="77777777" w:rsidR="00D52AD2" w:rsidRPr="00CF1787" w:rsidRDefault="00D52AD2" w:rsidP="00D52AD2">
      <w:pPr>
        <w:pStyle w:val="NoSpacing"/>
        <w:numPr>
          <w:ilvl w:val="0"/>
          <w:numId w:val="5"/>
        </w:numPr>
        <w:tabs>
          <w:tab w:val="left" w:pos="567"/>
        </w:tabs>
        <w:ind w:left="0" w:firstLine="0"/>
        <w:rPr>
          <w:spacing w:val="-2"/>
          <w:szCs w:val="20"/>
          <w:lang w:val="es-CR"/>
        </w:rPr>
      </w:pPr>
      <w:r w:rsidRPr="00CF1787">
        <w:rPr>
          <w:lang w:val="es-CR"/>
        </w:rPr>
        <w:t xml:space="preserve">En el presente capítulo, la Corte examinará sucesivamente las presuntas violaciones alegadas por la Comisión y los representantes sobre: (A) </w:t>
      </w:r>
      <w:r w:rsidRPr="00CF1787">
        <w:rPr>
          <w:bCs/>
          <w:lang w:val="es-CR"/>
        </w:rPr>
        <w:t>las garantías de independencia e imparcialidad de la jurisdicción penal policial y el derecho a un recurso efectivo, y (B) la garantía de competencia y otras</w:t>
      </w:r>
      <w:r w:rsidRPr="00CF1787">
        <w:rPr>
          <w:b/>
          <w:bCs/>
          <w:color w:val="0070C0"/>
          <w:lang w:val="es-CR"/>
        </w:rPr>
        <w:t xml:space="preserve"> </w:t>
      </w:r>
      <w:r w:rsidRPr="00CF1787">
        <w:rPr>
          <w:bCs/>
          <w:color w:val="000000" w:themeColor="text1"/>
          <w:lang w:val="es-CR"/>
        </w:rPr>
        <w:t>alegadas</w:t>
      </w:r>
      <w:r w:rsidRPr="00CF1787">
        <w:rPr>
          <w:b/>
          <w:bCs/>
          <w:color w:val="000000" w:themeColor="text1"/>
          <w:lang w:val="es-CR"/>
        </w:rPr>
        <w:t xml:space="preserve"> </w:t>
      </w:r>
      <w:r w:rsidRPr="00CF1787">
        <w:rPr>
          <w:bCs/>
          <w:lang w:val="es-CR"/>
        </w:rPr>
        <w:t xml:space="preserve">violaciones a las garantías judiciales (las presuntas violaciones de la debida diligencia en la investigación por la muerte del señor Valencia Hinojosa y la presunta violación del plazo razonable en la investigación). </w:t>
      </w:r>
    </w:p>
    <w:p w14:paraId="4F1B90F5" w14:textId="77777777" w:rsidR="00D52AD2" w:rsidRPr="00CF1787" w:rsidRDefault="00D52AD2" w:rsidP="00D52AD2">
      <w:pPr>
        <w:pStyle w:val="ListParagraph"/>
        <w:numPr>
          <w:ilvl w:val="0"/>
          <w:numId w:val="0"/>
        </w:numPr>
        <w:rPr>
          <w:bCs/>
          <w:lang w:val="es-CR"/>
        </w:rPr>
      </w:pPr>
    </w:p>
    <w:p w14:paraId="6F94DFDE" w14:textId="77777777" w:rsidR="00D52AD2" w:rsidRPr="00CF1787" w:rsidRDefault="00D52AD2" w:rsidP="00D52AD2">
      <w:pPr>
        <w:pStyle w:val="Heading2"/>
        <w:numPr>
          <w:ilvl w:val="0"/>
          <w:numId w:val="7"/>
        </w:numPr>
        <w:ind w:left="1134" w:hanging="425"/>
        <w:rPr>
          <w:lang w:val="es-CR"/>
        </w:rPr>
      </w:pPr>
      <w:bookmarkStart w:id="370" w:name="_Toc461791335"/>
      <w:bookmarkStart w:id="371" w:name="_Toc465177380"/>
      <w:bookmarkStart w:id="372" w:name="_Toc427932805"/>
      <w:bookmarkStart w:id="373" w:name="_Toc431584646"/>
      <w:bookmarkStart w:id="374" w:name="_Toc434850435"/>
      <w:bookmarkStart w:id="375" w:name="_Toc470098053"/>
      <w:r w:rsidRPr="00CF1787">
        <w:rPr>
          <w:lang w:val="es-CR"/>
        </w:rPr>
        <w:t>Garantías de independencia e imparcialidad de la jurisdicción penal policial</w:t>
      </w:r>
      <w:bookmarkEnd w:id="370"/>
      <w:bookmarkEnd w:id="371"/>
      <w:r w:rsidRPr="00CF1787">
        <w:rPr>
          <w:lang w:val="es-CR"/>
        </w:rPr>
        <w:t xml:space="preserve"> </w:t>
      </w:r>
      <w:bookmarkEnd w:id="372"/>
      <w:bookmarkEnd w:id="373"/>
      <w:bookmarkEnd w:id="374"/>
      <w:r w:rsidRPr="00CF1787">
        <w:rPr>
          <w:lang w:val="es-CR"/>
        </w:rPr>
        <w:t>y derecho a un recurso efectivo</w:t>
      </w:r>
      <w:bookmarkEnd w:id="375"/>
    </w:p>
    <w:p w14:paraId="3D5D31D3" w14:textId="77777777" w:rsidR="00D52AD2" w:rsidRPr="00CF1787" w:rsidRDefault="00D52AD2" w:rsidP="00D52AD2">
      <w:pPr>
        <w:pStyle w:val="ListParagraph"/>
        <w:numPr>
          <w:ilvl w:val="0"/>
          <w:numId w:val="0"/>
        </w:numPr>
        <w:tabs>
          <w:tab w:val="left" w:pos="567"/>
        </w:tabs>
        <w:rPr>
          <w:spacing w:val="-4"/>
          <w:lang w:val="es-CR"/>
        </w:rPr>
      </w:pPr>
    </w:p>
    <w:p w14:paraId="3B4D2DF7" w14:textId="77777777" w:rsidR="00D52AD2" w:rsidRPr="00CF1787" w:rsidRDefault="00D52AD2" w:rsidP="00D52AD2">
      <w:pPr>
        <w:pStyle w:val="Heading3"/>
        <w:rPr>
          <w:lang w:val="es-CR"/>
        </w:rPr>
      </w:pPr>
      <w:bookmarkStart w:id="376" w:name="_Toc461791336"/>
      <w:bookmarkStart w:id="377" w:name="_Toc465177381"/>
      <w:bookmarkStart w:id="378" w:name="_Toc470098054"/>
      <w:r w:rsidRPr="00CF1787">
        <w:rPr>
          <w:lang w:val="es-CR"/>
        </w:rPr>
        <w:t>A.1 Alegatos de las partes y de la Comisión</w:t>
      </w:r>
      <w:bookmarkEnd w:id="376"/>
      <w:bookmarkEnd w:id="377"/>
      <w:bookmarkEnd w:id="378"/>
    </w:p>
    <w:p w14:paraId="1AE92D0E" w14:textId="77777777" w:rsidR="00D52AD2" w:rsidRPr="00CF1787" w:rsidRDefault="00D52AD2" w:rsidP="00D52AD2">
      <w:pPr>
        <w:pStyle w:val="NoSpacing"/>
        <w:tabs>
          <w:tab w:val="left" w:pos="567"/>
        </w:tabs>
        <w:rPr>
          <w:spacing w:val="-2"/>
          <w:szCs w:val="20"/>
          <w:lang w:val="es-CR"/>
        </w:rPr>
      </w:pPr>
    </w:p>
    <w:p w14:paraId="7E724122" w14:textId="188E38C2" w:rsidR="00D52AD2" w:rsidRPr="00CF1787" w:rsidRDefault="00D52AD2" w:rsidP="00D52AD2">
      <w:pPr>
        <w:pStyle w:val="NoSpacing"/>
        <w:numPr>
          <w:ilvl w:val="0"/>
          <w:numId w:val="5"/>
        </w:numPr>
        <w:tabs>
          <w:tab w:val="left" w:pos="567"/>
        </w:tabs>
        <w:ind w:left="0" w:firstLine="0"/>
        <w:rPr>
          <w:b/>
          <w:lang w:val="es-CR"/>
        </w:rPr>
      </w:pPr>
      <w:r w:rsidRPr="00CF1787">
        <w:rPr>
          <w:lang w:val="es-CR"/>
        </w:rPr>
        <w:t xml:space="preserve">La </w:t>
      </w:r>
      <w:r w:rsidRPr="00CF1787">
        <w:rPr>
          <w:b/>
          <w:i/>
          <w:lang w:val="es-CR"/>
        </w:rPr>
        <w:t>Comisión</w:t>
      </w:r>
      <w:r w:rsidRPr="00CF1787">
        <w:rPr>
          <w:lang w:val="es-CR"/>
        </w:rPr>
        <w:t xml:space="preserve"> alegó que los tribunales penales militares carecen de independencia e imparcialidad para conocer de violaciones de derechos humanos, con base en algunos factores tales como</w:t>
      </w:r>
      <w:r w:rsidR="002A1078" w:rsidRPr="00CF1787">
        <w:rPr>
          <w:lang w:val="es-CR"/>
        </w:rPr>
        <w:t xml:space="preserve"> que</w:t>
      </w:r>
      <w:r w:rsidRPr="00CF1787">
        <w:rPr>
          <w:lang w:val="es-CR"/>
        </w:rPr>
        <w:t xml:space="preserve">: i) sus integrantes son oficiales en servido activo </w:t>
      </w:r>
      <w:r w:rsidRPr="00CF1787">
        <w:rPr>
          <w:rFonts w:cs="Arial"/>
          <w:lang w:val="es-CR"/>
        </w:rPr>
        <w:t xml:space="preserve">y están subordinados jerárquicamente a sus superiores a través de la cadena de mando; ii) </w:t>
      </w:r>
      <w:r w:rsidRPr="00CF1787">
        <w:rPr>
          <w:lang w:val="es-CR"/>
        </w:rPr>
        <w:t xml:space="preserve">su nombramiento no depende de su competencia profesional e idoneidad para ejercer las funciones judiciales, y </w:t>
      </w:r>
      <w:r w:rsidRPr="00CF1787">
        <w:rPr>
          <w:rFonts w:cs="Arial"/>
          <w:lang w:val="es-CR"/>
        </w:rPr>
        <w:t xml:space="preserve">iii) </w:t>
      </w:r>
      <w:r w:rsidRPr="00CF1787">
        <w:rPr>
          <w:lang w:val="es-CR"/>
        </w:rPr>
        <w:t>no cuentan con garantías suficientes de inamovilidad. En esa línea, señaló que</w:t>
      </w:r>
      <w:r w:rsidR="002A1078" w:rsidRPr="00CF1787">
        <w:rPr>
          <w:lang w:val="es-CR"/>
        </w:rPr>
        <w:t>,</w:t>
      </w:r>
      <w:r w:rsidRPr="00CF1787">
        <w:rPr>
          <w:lang w:val="es-CR"/>
        </w:rPr>
        <w:t xml:space="preserve"> “de manera analógica”</w:t>
      </w:r>
      <w:r w:rsidR="002A1078" w:rsidRPr="00CF1787">
        <w:rPr>
          <w:lang w:val="es-CR"/>
        </w:rPr>
        <w:t>,</w:t>
      </w:r>
      <w:r w:rsidRPr="00CF1787">
        <w:rPr>
          <w:lang w:val="es-CR"/>
        </w:rPr>
        <w:t xml:space="preserve"> “la participación de miembros de la policía en funciones jurisdiccionales </w:t>
      </w:r>
      <w:proofErr w:type="gramStart"/>
      <w:r w:rsidRPr="00CF1787">
        <w:rPr>
          <w:lang w:val="es-CR"/>
        </w:rPr>
        <w:t>h[</w:t>
      </w:r>
      <w:proofErr w:type="gramEnd"/>
      <w:r w:rsidRPr="00CF1787">
        <w:rPr>
          <w:lang w:val="es-CR"/>
        </w:rPr>
        <w:t xml:space="preserve">izo] que dicho fuero </w:t>
      </w:r>
      <w:proofErr w:type="spellStart"/>
      <w:r w:rsidRPr="00CF1787">
        <w:rPr>
          <w:lang w:val="es-CR"/>
        </w:rPr>
        <w:t>care</w:t>
      </w:r>
      <w:proofErr w:type="spellEnd"/>
      <w:r w:rsidRPr="00CF1787">
        <w:rPr>
          <w:lang w:val="es-CR"/>
        </w:rPr>
        <w:t>[</w:t>
      </w:r>
      <w:proofErr w:type="spellStart"/>
      <w:r w:rsidRPr="00CF1787">
        <w:rPr>
          <w:lang w:val="es-CR"/>
        </w:rPr>
        <w:t>ciera</w:t>
      </w:r>
      <w:proofErr w:type="spellEnd"/>
      <w:r w:rsidRPr="00CF1787">
        <w:rPr>
          <w:lang w:val="es-CR"/>
        </w:rPr>
        <w:t>] de salvaguardas de independencia e imparcialidad para conocer de casos que podrían implicar violaciones de derechos humanos”. En particular, respecto del caso del señor Valencia Hinojosa resaltó que “diligencias esenciales en la investigación fueron realizadas por miembros de la institución policial”. Alegó que el fuero penal policial no satisface los requisitos mínimos de imparcialidad e independencia para investigar posibles violaciones a derechos humanos cometidas por miembros de la policía.</w:t>
      </w:r>
    </w:p>
    <w:p w14:paraId="0039A766" w14:textId="77777777" w:rsidR="00D52AD2" w:rsidRPr="00CF1787" w:rsidRDefault="00D52AD2" w:rsidP="00D52AD2">
      <w:pPr>
        <w:pStyle w:val="NoSpacing"/>
        <w:tabs>
          <w:tab w:val="left" w:pos="567"/>
        </w:tabs>
        <w:rPr>
          <w:lang w:val="es-CR"/>
        </w:rPr>
      </w:pPr>
    </w:p>
    <w:p w14:paraId="3ED792B3" w14:textId="3FD6BAB0" w:rsidR="00D52AD2" w:rsidRPr="00CF1787" w:rsidRDefault="00D52AD2" w:rsidP="00D52AD2">
      <w:pPr>
        <w:pStyle w:val="NoSpacing"/>
        <w:numPr>
          <w:ilvl w:val="0"/>
          <w:numId w:val="5"/>
        </w:numPr>
        <w:tabs>
          <w:tab w:val="left" w:pos="567"/>
        </w:tabs>
        <w:ind w:left="0" w:firstLine="0"/>
        <w:rPr>
          <w:spacing w:val="-2"/>
          <w:szCs w:val="20"/>
          <w:lang w:val="es-CR"/>
        </w:rPr>
      </w:pPr>
      <w:r w:rsidRPr="00CF1787">
        <w:rPr>
          <w:lang w:val="es-CR"/>
        </w:rPr>
        <w:t xml:space="preserve">Los </w:t>
      </w:r>
      <w:r w:rsidRPr="00CF1787">
        <w:rPr>
          <w:b/>
          <w:i/>
          <w:lang w:val="es-CR"/>
        </w:rPr>
        <w:t>representantes</w:t>
      </w:r>
      <w:r w:rsidRPr="00CF1787">
        <w:rPr>
          <w:lang w:val="es-CR"/>
        </w:rPr>
        <w:t xml:space="preserve"> alegaron que la jurisprudencia respecto de la justicia penal militar aplicaba</w:t>
      </w:r>
      <w:r w:rsidRPr="00CF1787">
        <w:rPr>
          <w:b/>
          <w:lang w:val="es-CR"/>
        </w:rPr>
        <w:t xml:space="preserve"> </w:t>
      </w:r>
      <w:r w:rsidRPr="00CF1787">
        <w:rPr>
          <w:lang w:val="es-CR"/>
        </w:rPr>
        <w:t>“</w:t>
      </w:r>
      <w:r w:rsidRPr="00CF1787">
        <w:rPr>
          <w:i/>
          <w:lang w:val="es-CR"/>
        </w:rPr>
        <w:t>mutatis mutandi</w:t>
      </w:r>
      <w:r w:rsidR="002A1078" w:rsidRPr="00CF1787">
        <w:rPr>
          <w:i/>
          <w:lang w:val="es-CR"/>
        </w:rPr>
        <w:t>s</w:t>
      </w:r>
      <w:r w:rsidRPr="00CF1787">
        <w:rPr>
          <w:lang w:val="es-CR"/>
        </w:rPr>
        <w:t xml:space="preserve">, […] en el presente caso en que se tramitó el proceso ante tribunales policiales que a esa fecha dependían del ejecutivo”. Manifestaron que en la época de los hechos la jurisdicción penal policial estaba conformada por policías en servicio activo, “que [eran] oficiales de línea de la institución y que por ende en su mayoría </w:t>
      </w:r>
      <w:proofErr w:type="spellStart"/>
      <w:proofErr w:type="gramStart"/>
      <w:r w:rsidRPr="00CF1787">
        <w:rPr>
          <w:lang w:val="es-CR"/>
        </w:rPr>
        <w:t>desconoc</w:t>
      </w:r>
      <w:proofErr w:type="spellEnd"/>
      <w:r w:rsidRPr="00CF1787">
        <w:rPr>
          <w:lang w:val="es-CR"/>
        </w:rPr>
        <w:t>[</w:t>
      </w:r>
      <w:proofErr w:type="spellStart"/>
      <w:proofErr w:type="gramEnd"/>
      <w:r w:rsidRPr="00CF1787">
        <w:rPr>
          <w:lang w:val="es-CR"/>
        </w:rPr>
        <w:t>ían</w:t>
      </w:r>
      <w:proofErr w:type="spellEnd"/>
      <w:r w:rsidRPr="00CF1787">
        <w:rPr>
          <w:lang w:val="es-CR"/>
        </w:rPr>
        <w:t>] de derecho”.</w:t>
      </w:r>
      <w:r w:rsidRPr="00CF1787">
        <w:rPr>
          <w:b/>
          <w:lang w:val="es-CR"/>
        </w:rPr>
        <w:t xml:space="preserve"> </w:t>
      </w:r>
      <w:r w:rsidRPr="00CF1787">
        <w:rPr>
          <w:lang w:val="es-CR"/>
        </w:rPr>
        <w:t xml:space="preserve">Además, indicaron que “al ser los jueces de la policía, policías en servicio activo, en la práctica </w:t>
      </w:r>
      <w:proofErr w:type="gramStart"/>
      <w:r w:rsidRPr="00CF1787">
        <w:rPr>
          <w:lang w:val="es-CR"/>
        </w:rPr>
        <w:t>esta[</w:t>
      </w:r>
      <w:proofErr w:type="spellStart"/>
      <w:proofErr w:type="gramEnd"/>
      <w:r w:rsidRPr="00CF1787">
        <w:rPr>
          <w:lang w:val="es-CR"/>
        </w:rPr>
        <w:t>ban</w:t>
      </w:r>
      <w:proofErr w:type="spellEnd"/>
      <w:r w:rsidRPr="00CF1787">
        <w:rPr>
          <w:lang w:val="es-CR"/>
        </w:rPr>
        <w:t xml:space="preserve">] subordinados a sus superiores y </w:t>
      </w:r>
      <w:proofErr w:type="spellStart"/>
      <w:r w:rsidRPr="00CF1787">
        <w:rPr>
          <w:lang w:val="es-CR"/>
        </w:rPr>
        <w:t>deb</w:t>
      </w:r>
      <w:proofErr w:type="spellEnd"/>
      <w:r w:rsidRPr="00CF1787">
        <w:rPr>
          <w:lang w:val="es-CR"/>
        </w:rPr>
        <w:t>[</w:t>
      </w:r>
      <w:proofErr w:type="spellStart"/>
      <w:r w:rsidRPr="00CF1787">
        <w:rPr>
          <w:lang w:val="es-CR"/>
        </w:rPr>
        <w:t>ían</w:t>
      </w:r>
      <w:proofErr w:type="spellEnd"/>
      <w:r w:rsidRPr="00CF1787">
        <w:rPr>
          <w:lang w:val="es-CR"/>
        </w:rPr>
        <w:t xml:space="preserve">] respetar la jerarquía policial establecida”. Detallaron que el proceso penal por los hechos de este caso lo habían llevado a </w:t>
      </w:r>
      <w:proofErr w:type="gramStart"/>
      <w:r w:rsidRPr="00CF1787">
        <w:rPr>
          <w:lang w:val="es-CR"/>
        </w:rPr>
        <w:t>cabo oficiales</w:t>
      </w:r>
      <w:proofErr w:type="gramEnd"/>
      <w:r w:rsidRPr="00CF1787">
        <w:rPr>
          <w:lang w:val="es-CR"/>
        </w:rPr>
        <w:t xml:space="preserve"> en servicio activo y pasivo. A efectos de ilustrar dicha superioridad jerárquica, los representantes relataron que “para cualquier actuación </w:t>
      </w:r>
      <w:proofErr w:type="spellStart"/>
      <w:proofErr w:type="gramStart"/>
      <w:r w:rsidRPr="00CF1787">
        <w:rPr>
          <w:lang w:val="es-CR"/>
        </w:rPr>
        <w:t>deb</w:t>
      </w:r>
      <w:proofErr w:type="spellEnd"/>
      <w:r w:rsidRPr="00CF1787">
        <w:rPr>
          <w:lang w:val="es-CR"/>
        </w:rPr>
        <w:t>[</w:t>
      </w:r>
      <w:proofErr w:type="spellStart"/>
      <w:proofErr w:type="gramEnd"/>
      <w:r w:rsidRPr="00CF1787">
        <w:rPr>
          <w:lang w:val="es-CR"/>
        </w:rPr>
        <w:t>ían</w:t>
      </w:r>
      <w:proofErr w:type="spellEnd"/>
      <w:r w:rsidRPr="00CF1787">
        <w:rPr>
          <w:lang w:val="es-CR"/>
        </w:rPr>
        <w:t>] solicitar permiso al comandante de la unidad en que funciona el juzgado, así, por ejemplo, cuando necesita[</w:t>
      </w:r>
      <w:proofErr w:type="spellStart"/>
      <w:r w:rsidRPr="00CF1787">
        <w:rPr>
          <w:lang w:val="es-CR"/>
        </w:rPr>
        <w:t>ban</w:t>
      </w:r>
      <w:proofErr w:type="spellEnd"/>
      <w:r w:rsidRPr="00CF1787">
        <w:rPr>
          <w:lang w:val="es-CR"/>
        </w:rPr>
        <w:t xml:space="preserve">] salir a una diligencia, como reconocimiento del lugar de los hechos o reconstrucción de los mismos, </w:t>
      </w:r>
      <w:proofErr w:type="spellStart"/>
      <w:r w:rsidRPr="00CF1787">
        <w:rPr>
          <w:lang w:val="es-CR"/>
        </w:rPr>
        <w:t>deb</w:t>
      </w:r>
      <w:proofErr w:type="spellEnd"/>
      <w:r w:rsidRPr="00CF1787">
        <w:rPr>
          <w:lang w:val="es-CR"/>
        </w:rPr>
        <w:t>[</w:t>
      </w:r>
      <w:proofErr w:type="spellStart"/>
      <w:r w:rsidRPr="00CF1787">
        <w:rPr>
          <w:lang w:val="es-CR"/>
        </w:rPr>
        <w:t>ían</w:t>
      </w:r>
      <w:proofErr w:type="spellEnd"/>
      <w:r w:rsidRPr="00CF1787">
        <w:rPr>
          <w:lang w:val="es-CR"/>
        </w:rPr>
        <w:t>] pedir permiso para ausentarse de la unidad y que se les prest[ara] un vehículo a fin de lograr movilizarse y despachar la diligencia”.</w:t>
      </w:r>
      <w:r w:rsidRPr="00CF1787">
        <w:rPr>
          <w:b/>
          <w:lang w:val="es-CR"/>
        </w:rPr>
        <w:t xml:space="preserve"> </w:t>
      </w:r>
    </w:p>
    <w:p w14:paraId="6F23C208" w14:textId="77777777" w:rsidR="00D52AD2" w:rsidRPr="00CF1787" w:rsidRDefault="00D52AD2" w:rsidP="00D52AD2">
      <w:pPr>
        <w:pStyle w:val="NoSpacing"/>
        <w:tabs>
          <w:tab w:val="left" w:pos="567"/>
        </w:tabs>
        <w:rPr>
          <w:spacing w:val="-2"/>
          <w:szCs w:val="20"/>
          <w:lang w:val="es-CR"/>
        </w:rPr>
      </w:pPr>
    </w:p>
    <w:p w14:paraId="49D78F70" w14:textId="22F3E3DB" w:rsidR="00D52AD2" w:rsidRPr="00CF1787" w:rsidRDefault="00D52AD2" w:rsidP="00D52AD2">
      <w:pPr>
        <w:pStyle w:val="NoSpacing"/>
        <w:numPr>
          <w:ilvl w:val="0"/>
          <w:numId w:val="5"/>
        </w:numPr>
        <w:tabs>
          <w:tab w:val="left" w:pos="567"/>
        </w:tabs>
        <w:ind w:left="0" w:firstLine="0"/>
        <w:rPr>
          <w:lang w:val="es-CR"/>
        </w:rPr>
      </w:pPr>
      <w:r w:rsidRPr="00CF1787">
        <w:rPr>
          <w:lang w:val="es-CR"/>
        </w:rPr>
        <w:t xml:space="preserve">Además indicaron que el conjunto de todo el Sistema de Justicia Policial se encontraba bajo la supervisión administrativa del Ministro de Gobierno y Policía, que tenía la facultad de supervisar la administración de justicia policial. </w:t>
      </w:r>
      <w:r w:rsidRPr="00CF1787">
        <w:rPr>
          <w:rFonts w:eastAsia="MS Mincho" w:cs="Times New Roman"/>
          <w:lang w:val="es-CR" w:eastAsia="es-ES"/>
        </w:rPr>
        <w:t xml:space="preserve">Con referencia al derecho a un recurso sencillo y rápido, destacaron que el Estado, por haber cedido la competencia al fuero policial “vulneró el derecho a la protección judicial a través de un recurso rápido, efectivo y sencillo, conforme a lo establecido por el </w:t>
      </w:r>
      <w:proofErr w:type="gramStart"/>
      <w:r w:rsidR="00904CC4" w:rsidRPr="00CF1787">
        <w:rPr>
          <w:rFonts w:eastAsia="MS Mincho" w:cs="Times New Roman"/>
          <w:lang w:val="es-CR" w:eastAsia="es-ES"/>
        </w:rPr>
        <w:t>a</w:t>
      </w:r>
      <w:r w:rsidRPr="00CF1787">
        <w:rPr>
          <w:rFonts w:eastAsia="MS Mincho" w:cs="Times New Roman"/>
          <w:lang w:val="es-CR" w:eastAsia="es-ES"/>
        </w:rPr>
        <w:t>rt</w:t>
      </w:r>
      <w:r w:rsidR="00904CC4" w:rsidRPr="00CF1787">
        <w:rPr>
          <w:rFonts w:eastAsia="MS Mincho" w:cs="Times New Roman"/>
          <w:lang w:val="es-CR" w:eastAsia="es-ES"/>
        </w:rPr>
        <w:t>[</w:t>
      </w:r>
      <w:proofErr w:type="spellStart"/>
      <w:proofErr w:type="gramEnd"/>
      <w:r w:rsidR="00904CC4" w:rsidRPr="00CF1787">
        <w:rPr>
          <w:rFonts w:eastAsia="MS Mincho" w:cs="Times New Roman"/>
          <w:lang w:val="es-CR" w:eastAsia="es-ES"/>
        </w:rPr>
        <w:t>ículo</w:t>
      </w:r>
      <w:proofErr w:type="spellEnd"/>
      <w:r w:rsidR="00904CC4" w:rsidRPr="00CF1787">
        <w:rPr>
          <w:rFonts w:eastAsia="MS Mincho" w:cs="Times New Roman"/>
          <w:lang w:val="es-CR" w:eastAsia="es-ES"/>
        </w:rPr>
        <w:t>]</w:t>
      </w:r>
      <w:r w:rsidRPr="00CF1787">
        <w:rPr>
          <w:rFonts w:eastAsia="MS Mincho" w:cs="Times New Roman"/>
          <w:lang w:val="es-CR" w:eastAsia="es-ES"/>
        </w:rPr>
        <w:t xml:space="preserve"> 25 de la Convención”. </w:t>
      </w:r>
      <w:r w:rsidRPr="00CF1787">
        <w:rPr>
          <w:lang w:val="es-CR"/>
        </w:rPr>
        <w:t xml:space="preserve">Finalmente, frente al alegato del Estado de que la investigación se llevó a cabo de acuerdo a las normas internas vigentes al momento de los hechos, resaltaron que en virtud de las obligaciones derivadas de la Convención, el </w:t>
      </w:r>
      <w:r w:rsidRPr="00CF1787">
        <w:rPr>
          <w:lang w:val="es-CR"/>
        </w:rPr>
        <w:lastRenderedPageBreak/>
        <w:t xml:space="preserve">Estado ya estaba obligado a desarrollar una investigación por jueces independientes e imparciales. </w:t>
      </w:r>
    </w:p>
    <w:p w14:paraId="6DA69021" w14:textId="77777777" w:rsidR="00D52AD2" w:rsidRPr="00CF1787" w:rsidRDefault="00D52AD2" w:rsidP="00D52AD2">
      <w:pPr>
        <w:pStyle w:val="NoSpacing"/>
        <w:tabs>
          <w:tab w:val="left" w:pos="567"/>
        </w:tabs>
        <w:rPr>
          <w:lang w:val="es-CR"/>
        </w:rPr>
      </w:pPr>
    </w:p>
    <w:p w14:paraId="29F43707" w14:textId="77777777" w:rsidR="00D52AD2" w:rsidRPr="00CF1787" w:rsidRDefault="00D52AD2" w:rsidP="00D52AD2">
      <w:pPr>
        <w:pStyle w:val="NoSpacing"/>
        <w:numPr>
          <w:ilvl w:val="0"/>
          <w:numId w:val="5"/>
        </w:numPr>
        <w:tabs>
          <w:tab w:val="left" w:pos="567"/>
        </w:tabs>
        <w:ind w:left="0" w:firstLine="0"/>
        <w:rPr>
          <w:lang w:val="es-CR"/>
        </w:rPr>
      </w:pPr>
      <w:r w:rsidRPr="00CF1787">
        <w:rPr>
          <w:lang w:val="es-CR"/>
        </w:rPr>
        <w:t xml:space="preserve">El </w:t>
      </w:r>
      <w:r w:rsidRPr="00CF1787">
        <w:rPr>
          <w:b/>
          <w:i/>
          <w:lang w:val="es-CR"/>
        </w:rPr>
        <w:t>Estado</w:t>
      </w:r>
      <w:r w:rsidRPr="00CF1787">
        <w:rPr>
          <w:lang w:val="es-CR"/>
        </w:rPr>
        <w:t xml:space="preserve"> a</w:t>
      </w:r>
      <w:r w:rsidRPr="00CF1787">
        <w:rPr>
          <w:spacing w:val="-2"/>
          <w:szCs w:val="20"/>
          <w:lang w:val="es-CR"/>
        </w:rPr>
        <w:t>legó que el proceso penal desarrollado por la muerte del señor Valencia Hinojosa fue llevado a cabo con respeto de las garantías básicas del debido proceso. S</w:t>
      </w:r>
      <w:r w:rsidRPr="00CF1787">
        <w:rPr>
          <w:rFonts w:cs="Arial"/>
          <w:bCs/>
          <w:lang w:val="es-CR"/>
        </w:rPr>
        <w:t xml:space="preserve">eñaló que se está presumiendo </w:t>
      </w:r>
      <w:r w:rsidRPr="00CF1787">
        <w:rPr>
          <w:lang w:val="es-CR"/>
        </w:rPr>
        <w:t>que los jueces, “por el simple hecho de ser miembros de la institución policial, no actuaron con la debida independencia e imparcialidad al ejercer sus funciones jurisdiccionales”, sin que exista sustento probatorio que avale la falta de imparcialidad e independencia de los juzgadores. Indicó que “[l]</w:t>
      </w:r>
      <w:r w:rsidRPr="00CF1787">
        <w:rPr>
          <w:rFonts w:eastAsia="MS Mincho"/>
          <w:lang w:val="es-CR" w:eastAsia="es-ES"/>
        </w:rPr>
        <w:t xml:space="preserve">os jueces del fuero policial, en el caso concreto, fueron </w:t>
      </w:r>
      <w:r w:rsidRPr="00CF1787">
        <w:rPr>
          <w:lang w:val="es-CR"/>
        </w:rPr>
        <w:t>independientes por cuanto, si bien eran parte del personal policial […] estaban sometidos a la autoridad de la ley, no</w:t>
      </w:r>
      <w:r w:rsidRPr="00CF1787">
        <w:rPr>
          <w:rFonts w:eastAsia="MS Mincho"/>
          <w:lang w:val="es-CR" w:eastAsia="es-ES"/>
        </w:rPr>
        <w:t xml:space="preserve"> </w:t>
      </w:r>
      <w:r w:rsidRPr="00CF1787">
        <w:rPr>
          <w:lang w:val="es-CR"/>
        </w:rPr>
        <w:t xml:space="preserve">tenían que responder ante sus superiores, por sus decisiones en la administración de justicia”. </w:t>
      </w:r>
    </w:p>
    <w:p w14:paraId="18EFD6BF" w14:textId="77777777" w:rsidR="00D52AD2" w:rsidRPr="00CF1787" w:rsidRDefault="00D52AD2" w:rsidP="00D52AD2">
      <w:pPr>
        <w:pStyle w:val="NoSpacing"/>
        <w:tabs>
          <w:tab w:val="left" w:pos="567"/>
        </w:tabs>
        <w:rPr>
          <w:rFonts w:eastAsia="MS Mincho" w:cs="Times New Roman"/>
          <w:lang w:val="es-CR" w:eastAsia="es-ES"/>
        </w:rPr>
      </w:pPr>
    </w:p>
    <w:p w14:paraId="440E10A3" w14:textId="77777777" w:rsidR="00D52AD2" w:rsidRPr="00CF1787" w:rsidRDefault="00D52AD2" w:rsidP="00D52AD2">
      <w:pPr>
        <w:pStyle w:val="NoSpacing"/>
        <w:numPr>
          <w:ilvl w:val="0"/>
          <w:numId w:val="5"/>
        </w:numPr>
        <w:tabs>
          <w:tab w:val="left" w:pos="567"/>
        </w:tabs>
        <w:ind w:left="0" w:firstLine="0"/>
        <w:rPr>
          <w:rFonts w:eastAsia="MS Mincho" w:cs="Times New Roman"/>
          <w:lang w:val="es-CR" w:eastAsia="es-ES"/>
        </w:rPr>
      </w:pPr>
      <w:r w:rsidRPr="00CF1787">
        <w:rPr>
          <w:rFonts w:eastAsia="MS Mincho" w:cs="Times New Roman"/>
          <w:lang w:val="es-CR" w:eastAsia="es-ES"/>
        </w:rPr>
        <w:t>Respecto de la tutela judicial efectiva, Ecuador refutó la existencia de una violación al artículo 25 de la Convención, por cuanto el proceso “implicó a través de su desarrollo, la posibilidad real de alcanzar la protección judicial requerida”, representó un recurso efectivo, adecuado e idóneo. Señaló que</w:t>
      </w:r>
      <w:r w:rsidRPr="00CF1787">
        <w:rPr>
          <w:rFonts w:cs="Times New Roman"/>
          <w:lang w:val="es-CR" w:eastAsia="es-CR"/>
        </w:rPr>
        <w:t xml:space="preserve"> “</w:t>
      </w:r>
      <w:r w:rsidRPr="00CF1787">
        <w:rPr>
          <w:rFonts w:eastAsia="MS Mincho" w:cs="Times New Roman"/>
          <w:lang w:val="es-CR" w:eastAsia="es-ES"/>
        </w:rPr>
        <w:t xml:space="preserve">el presente caso mantuvo ciertos matices que acarrearon dificultad para su determinación, ya que […] se requirió de la práctica de múltiples diligencias […] a fin de tener la certeza de si la muerte del señor Valencia, se trató de un suicidio o un homicidio premeditado, situación que no significó que el Estado […] no </w:t>
      </w:r>
      <w:r w:rsidRPr="00CF1787">
        <w:rPr>
          <w:rFonts w:cs="Times New Roman"/>
          <w:lang w:val="es-CR" w:eastAsia="es-ES"/>
        </w:rPr>
        <w:t>haya alcanzado un fallo o resolución definitiva”.</w:t>
      </w:r>
      <w:r w:rsidRPr="00CF1787">
        <w:rPr>
          <w:rFonts w:eastAsia="MS Mincho" w:cs="Times New Roman"/>
          <w:b/>
          <w:lang w:val="es-CR" w:eastAsia="es-ES"/>
        </w:rPr>
        <w:t xml:space="preserve"> </w:t>
      </w:r>
      <w:r w:rsidRPr="00CF1787">
        <w:rPr>
          <w:rFonts w:eastAsia="MS Mincho" w:cs="Times New Roman"/>
          <w:lang w:val="es-CR" w:eastAsia="es-ES"/>
        </w:rPr>
        <w:t xml:space="preserve">Destacó que el proceso penal policial, en tanto recurso idóneo en este asunto, “no debe ser analizado únicamente a través del resultado del mismo, sino que debe ser comprendido de manera integral, ya que se debe recordar que la obligación estatal no implica resultados favorables para los recurrentes”. </w:t>
      </w:r>
    </w:p>
    <w:p w14:paraId="6AA12058" w14:textId="77777777" w:rsidR="00D52AD2" w:rsidRPr="00CF1787" w:rsidRDefault="00D52AD2" w:rsidP="00D52AD2">
      <w:pPr>
        <w:rPr>
          <w:lang w:val="es-CR" w:eastAsia="es-MX"/>
        </w:rPr>
      </w:pPr>
    </w:p>
    <w:p w14:paraId="4262B5B9" w14:textId="77777777" w:rsidR="00D52AD2" w:rsidRPr="00CF1787" w:rsidRDefault="00D52AD2" w:rsidP="00D52AD2">
      <w:pPr>
        <w:pStyle w:val="Heading3"/>
        <w:rPr>
          <w:lang w:val="es-CR"/>
        </w:rPr>
      </w:pPr>
      <w:bookmarkStart w:id="379" w:name="_Toc461791337"/>
      <w:bookmarkStart w:id="380" w:name="_Toc465177382"/>
      <w:bookmarkStart w:id="381" w:name="_Toc470098055"/>
      <w:r w:rsidRPr="00CF1787">
        <w:rPr>
          <w:lang w:val="es-CR"/>
        </w:rPr>
        <w:t>A.2 Consideraciones de la Corte</w:t>
      </w:r>
      <w:bookmarkEnd w:id="379"/>
      <w:bookmarkEnd w:id="380"/>
      <w:bookmarkEnd w:id="381"/>
    </w:p>
    <w:p w14:paraId="5FE2474E" w14:textId="77777777" w:rsidR="00D52AD2" w:rsidRPr="00CF1787" w:rsidRDefault="00D52AD2" w:rsidP="00D52AD2">
      <w:pPr>
        <w:pStyle w:val="NoSpacing"/>
        <w:tabs>
          <w:tab w:val="left" w:pos="567"/>
        </w:tabs>
        <w:rPr>
          <w:lang w:val="es-CR"/>
        </w:rPr>
      </w:pPr>
    </w:p>
    <w:p w14:paraId="06D67805" w14:textId="47A9B384" w:rsidR="00D52AD2" w:rsidRPr="00CF1787" w:rsidRDefault="00D52AD2" w:rsidP="00D52AD2">
      <w:pPr>
        <w:pStyle w:val="NoSpacing"/>
        <w:numPr>
          <w:ilvl w:val="0"/>
          <w:numId w:val="5"/>
        </w:numPr>
        <w:tabs>
          <w:tab w:val="left" w:pos="567"/>
        </w:tabs>
        <w:ind w:left="0" w:firstLine="0"/>
        <w:rPr>
          <w:spacing w:val="-2"/>
          <w:szCs w:val="20"/>
          <w:lang w:val="es-CR"/>
        </w:rPr>
      </w:pPr>
      <w:bookmarkStart w:id="382" w:name="_Ref462932343"/>
      <w:r w:rsidRPr="00CF1787">
        <w:rPr>
          <w:lang w:val="es-CR"/>
        </w:rPr>
        <w:t xml:space="preserve">No existe controversia en el presente caso en cuanto a que el señor Valencia Hinojosa era un miembro de la Policía Nacional en servicio activo y en funciones al momento de su muerte. Tampoco existe controversia en cuanto a que la muerte del señor Valencia Hinojosa fue investigada por una jurisdicción especial, aplicable a los miembros de dicha fuerza pública: la jurisdicción penal policial. Si bien las circunstancias de su muerte están controvertidas ante la Corte </w:t>
      </w:r>
      <w:r w:rsidRPr="00CF1787">
        <w:rPr>
          <w:spacing w:val="-2"/>
          <w:szCs w:val="20"/>
          <w:lang w:val="es-CR"/>
        </w:rPr>
        <w:t>(</w:t>
      </w:r>
      <w:r w:rsidRPr="00CF1787">
        <w:rPr>
          <w:i/>
          <w:spacing w:val="-2"/>
          <w:szCs w:val="20"/>
          <w:lang w:val="es-CR"/>
        </w:rPr>
        <w:t xml:space="preserve">supra </w:t>
      </w:r>
      <w:proofErr w:type="spellStart"/>
      <w:r w:rsidRPr="00CF1787">
        <w:rPr>
          <w:spacing w:val="-2"/>
          <w:szCs w:val="20"/>
          <w:lang w:val="es-CR"/>
        </w:rPr>
        <w:t>párrs</w:t>
      </w:r>
      <w:proofErr w:type="spellEnd"/>
      <w:r w:rsidRPr="00CF1787">
        <w:rPr>
          <w:spacing w:val="-2"/>
          <w:szCs w:val="20"/>
          <w:lang w:val="es-CR"/>
        </w:rPr>
        <w:t xml:space="preserve">. </w:t>
      </w:r>
      <w:r w:rsidRPr="00CF1787">
        <w:fldChar w:fldCharType="begin"/>
      </w:r>
      <w:r w:rsidRPr="00CF1787">
        <w:instrText xml:space="preserve"> REF _Ref462156865 \r \h  \* MERGEFORMAT </w:instrText>
      </w:r>
      <w:r w:rsidRPr="00CF1787">
        <w:fldChar w:fldCharType="separate"/>
      </w:r>
      <w:r w:rsidR="00536893" w:rsidRPr="00536893">
        <w:rPr>
          <w:spacing w:val="-2"/>
          <w:szCs w:val="20"/>
          <w:lang w:val="es-CR"/>
        </w:rPr>
        <w:t>56</w:t>
      </w:r>
      <w:r w:rsidRPr="00CF1787">
        <w:fldChar w:fldCharType="end"/>
      </w:r>
      <w:r w:rsidRPr="00CF1787">
        <w:rPr>
          <w:spacing w:val="-2"/>
          <w:szCs w:val="20"/>
          <w:lang w:val="es-CR"/>
        </w:rPr>
        <w:t xml:space="preserve"> a </w:t>
      </w:r>
      <w:r w:rsidRPr="00CF1787">
        <w:fldChar w:fldCharType="begin"/>
      </w:r>
      <w:r w:rsidRPr="00CF1787">
        <w:instrText xml:space="preserve"> REF _Ref462156873 \r \h  \* MERGEFORMAT </w:instrText>
      </w:r>
      <w:r w:rsidRPr="00CF1787">
        <w:fldChar w:fldCharType="separate"/>
      </w:r>
      <w:r w:rsidR="00536893" w:rsidRPr="00536893">
        <w:rPr>
          <w:spacing w:val="-2"/>
          <w:szCs w:val="20"/>
          <w:lang w:val="es-CR"/>
        </w:rPr>
        <w:t>59</w:t>
      </w:r>
      <w:r w:rsidRPr="00CF1787">
        <w:fldChar w:fldCharType="end"/>
      </w:r>
      <w:r w:rsidRPr="00CF1787">
        <w:rPr>
          <w:spacing w:val="-2"/>
          <w:szCs w:val="20"/>
          <w:lang w:val="es-CR"/>
        </w:rPr>
        <w:t>)</w:t>
      </w:r>
      <w:r w:rsidRPr="00CF1787">
        <w:rPr>
          <w:lang w:val="es-CR"/>
        </w:rPr>
        <w:t xml:space="preserve">, a nivel interno, la jurisdicción penal policial del Ecuador sobreseyó definitivamente la causa judicial por la muerte del señor Valencia Hinojosa en 1997, considerando que se había tratado de un suicidio por lo que no generaba la responsabilidad penal de ninguno de los policías inicialmente </w:t>
      </w:r>
      <w:r w:rsidR="00E864D3" w:rsidRPr="00CF1787">
        <w:rPr>
          <w:lang w:val="es-CR"/>
        </w:rPr>
        <w:t xml:space="preserve">sindicados </w:t>
      </w:r>
      <w:r w:rsidRPr="00CF1787">
        <w:rPr>
          <w:spacing w:val="-2"/>
          <w:szCs w:val="20"/>
          <w:lang w:val="es-CR"/>
        </w:rPr>
        <w:t>(</w:t>
      </w:r>
      <w:r w:rsidRPr="00CF1787">
        <w:rPr>
          <w:i/>
          <w:spacing w:val="-2"/>
          <w:szCs w:val="20"/>
          <w:lang w:val="es-CR"/>
        </w:rPr>
        <w:t xml:space="preserve">supra </w:t>
      </w:r>
      <w:r w:rsidRPr="00CF1787">
        <w:rPr>
          <w:spacing w:val="-2"/>
          <w:szCs w:val="20"/>
          <w:lang w:val="es-CR"/>
        </w:rPr>
        <w:t xml:space="preserve">párr. </w:t>
      </w:r>
      <w:r w:rsidRPr="00CF1787">
        <w:rPr>
          <w:spacing w:val="-2"/>
          <w:szCs w:val="20"/>
          <w:lang w:val="es-CR"/>
        </w:rPr>
        <w:fldChar w:fldCharType="begin"/>
      </w:r>
      <w:r w:rsidRPr="00CF1787">
        <w:rPr>
          <w:spacing w:val="-2"/>
          <w:szCs w:val="20"/>
          <w:lang w:val="es-CR"/>
        </w:rPr>
        <w:instrText xml:space="preserve"> REF _Ref462078622 \r \h </w:instrText>
      </w:r>
      <w:r w:rsidR="00CF1787">
        <w:rPr>
          <w:spacing w:val="-2"/>
          <w:szCs w:val="20"/>
          <w:lang w:val="es-CR"/>
        </w:rPr>
        <w:instrText xml:space="preserve"> \* MERGEFORMAT </w:instrText>
      </w:r>
      <w:r w:rsidRPr="00CF1787">
        <w:rPr>
          <w:spacing w:val="-2"/>
          <w:szCs w:val="20"/>
          <w:lang w:val="es-CR"/>
        </w:rPr>
      </w:r>
      <w:r w:rsidRPr="00CF1787">
        <w:rPr>
          <w:spacing w:val="-2"/>
          <w:szCs w:val="20"/>
          <w:lang w:val="es-CR"/>
        </w:rPr>
        <w:fldChar w:fldCharType="separate"/>
      </w:r>
      <w:r w:rsidR="00536893">
        <w:rPr>
          <w:spacing w:val="-2"/>
          <w:szCs w:val="20"/>
          <w:lang w:val="es-CR"/>
        </w:rPr>
        <w:t>73</w:t>
      </w:r>
      <w:r w:rsidRPr="00CF1787">
        <w:rPr>
          <w:spacing w:val="-2"/>
          <w:szCs w:val="20"/>
          <w:lang w:val="es-CR"/>
        </w:rPr>
        <w:fldChar w:fldCharType="end"/>
      </w:r>
      <w:r w:rsidRPr="00CF1787">
        <w:rPr>
          <w:spacing w:val="-2"/>
          <w:szCs w:val="20"/>
          <w:lang w:val="es-CR"/>
        </w:rPr>
        <w:t>)</w:t>
      </w:r>
      <w:r w:rsidRPr="00CF1787">
        <w:rPr>
          <w:lang w:val="es-CR"/>
        </w:rPr>
        <w:t>.</w:t>
      </w:r>
      <w:bookmarkEnd w:id="382"/>
      <w:r w:rsidRPr="00CF1787">
        <w:rPr>
          <w:lang w:val="es-CR"/>
        </w:rPr>
        <w:t xml:space="preserve"> </w:t>
      </w:r>
    </w:p>
    <w:p w14:paraId="6CC714E1" w14:textId="77777777" w:rsidR="00D52AD2" w:rsidRPr="00CF1787" w:rsidRDefault="00D52AD2" w:rsidP="00D52AD2">
      <w:pPr>
        <w:pStyle w:val="NoSpacing"/>
        <w:tabs>
          <w:tab w:val="left" w:pos="567"/>
        </w:tabs>
        <w:rPr>
          <w:spacing w:val="-2"/>
          <w:szCs w:val="20"/>
          <w:lang w:val="es-CR"/>
        </w:rPr>
      </w:pPr>
    </w:p>
    <w:p w14:paraId="2C78FD5E" w14:textId="68CBDFDB" w:rsidR="00D52AD2" w:rsidRPr="00CF1787" w:rsidRDefault="00D52AD2" w:rsidP="00D52AD2">
      <w:pPr>
        <w:pStyle w:val="NoSpacing"/>
        <w:numPr>
          <w:ilvl w:val="0"/>
          <w:numId w:val="5"/>
        </w:numPr>
        <w:tabs>
          <w:tab w:val="left" w:pos="567"/>
        </w:tabs>
        <w:ind w:left="0" w:firstLine="0"/>
        <w:rPr>
          <w:spacing w:val="-2"/>
          <w:szCs w:val="20"/>
          <w:lang w:val="es-CR"/>
        </w:rPr>
      </w:pPr>
      <w:bookmarkStart w:id="383" w:name="_Ref462100080"/>
      <w:r w:rsidRPr="00CF1787">
        <w:rPr>
          <w:spacing w:val="-2"/>
          <w:szCs w:val="20"/>
          <w:lang w:val="es-CR"/>
        </w:rPr>
        <w:t xml:space="preserve">Como se desprende de los hechos, si bien en un principio se inició una investigación por la muerte del señor Valencia </w:t>
      </w:r>
      <w:r w:rsidR="00E864D3" w:rsidRPr="00CF1787">
        <w:rPr>
          <w:spacing w:val="-2"/>
          <w:szCs w:val="20"/>
          <w:lang w:val="es-CR"/>
        </w:rPr>
        <w:t xml:space="preserve">Hinojosa </w:t>
      </w:r>
      <w:r w:rsidRPr="00CF1787">
        <w:rPr>
          <w:spacing w:val="-2"/>
          <w:szCs w:val="20"/>
          <w:lang w:val="es-CR"/>
        </w:rPr>
        <w:t>en la jurisdicción ordinaria, dicha investigación fue trasladada y acumulada al proceso que paralelamente se había iniciado en la jurisdicción penal policial (</w:t>
      </w:r>
      <w:r w:rsidRPr="00CF1787">
        <w:rPr>
          <w:i/>
          <w:spacing w:val="-2"/>
          <w:szCs w:val="20"/>
          <w:lang w:val="es-CR"/>
        </w:rPr>
        <w:t xml:space="preserve">supra </w:t>
      </w:r>
      <w:proofErr w:type="spellStart"/>
      <w:r w:rsidRPr="00CF1787">
        <w:rPr>
          <w:spacing w:val="-2"/>
          <w:szCs w:val="20"/>
          <w:lang w:val="es-CR"/>
        </w:rPr>
        <w:t>párrs</w:t>
      </w:r>
      <w:proofErr w:type="spellEnd"/>
      <w:r w:rsidRPr="00CF1787">
        <w:rPr>
          <w:spacing w:val="-2"/>
          <w:szCs w:val="20"/>
          <w:lang w:val="es-CR"/>
        </w:rPr>
        <w:t xml:space="preserve">. </w:t>
      </w:r>
      <w:r w:rsidRPr="00CF1787">
        <w:rPr>
          <w:spacing w:val="-2"/>
          <w:szCs w:val="20"/>
          <w:lang w:val="es-CR"/>
        </w:rPr>
        <w:fldChar w:fldCharType="begin"/>
      </w:r>
      <w:r w:rsidRPr="00CF1787">
        <w:rPr>
          <w:spacing w:val="-2"/>
          <w:szCs w:val="20"/>
          <w:lang w:val="es-CR"/>
        </w:rPr>
        <w:instrText xml:space="preserve"> REF _Ref462156977 \r \h </w:instrText>
      </w:r>
      <w:r w:rsidR="00CF1787">
        <w:rPr>
          <w:spacing w:val="-2"/>
          <w:szCs w:val="20"/>
          <w:lang w:val="es-CR"/>
        </w:rPr>
        <w:instrText xml:space="preserve"> \* MERGEFORMAT </w:instrText>
      </w:r>
      <w:r w:rsidRPr="00CF1787">
        <w:rPr>
          <w:spacing w:val="-2"/>
          <w:szCs w:val="20"/>
          <w:lang w:val="es-CR"/>
        </w:rPr>
      </w:r>
      <w:r w:rsidRPr="00CF1787">
        <w:rPr>
          <w:spacing w:val="-2"/>
          <w:szCs w:val="20"/>
          <w:lang w:val="es-CR"/>
        </w:rPr>
        <w:fldChar w:fldCharType="separate"/>
      </w:r>
      <w:r w:rsidR="00536893">
        <w:rPr>
          <w:spacing w:val="-2"/>
          <w:szCs w:val="20"/>
          <w:lang w:val="es-CR"/>
        </w:rPr>
        <w:t>66</w:t>
      </w:r>
      <w:r w:rsidRPr="00CF1787">
        <w:rPr>
          <w:spacing w:val="-2"/>
          <w:szCs w:val="20"/>
          <w:lang w:val="es-CR"/>
        </w:rPr>
        <w:fldChar w:fldCharType="end"/>
      </w:r>
      <w:r w:rsidRPr="00CF1787">
        <w:rPr>
          <w:spacing w:val="-2"/>
          <w:szCs w:val="20"/>
          <w:lang w:val="es-CR"/>
        </w:rPr>
        <w:t xml:space="preserve"> y </w:t>
      </w:r>
      <w:r w:rsidRPr="00CF1787">
        <w:rPr>
          <w:spacing w:val="-2"/>
          <w:szCs w:val="20"/>
          <w:lang w:val="es-CR"/>
        </w:rPr>
        <w:fldChar w:fldCharType="begin"/>
      </w:r>
      <w:r w:rsidRPr="00CF1787">
        <w:rPr>
          <w:spacing w:val="-2"/>
          <w:szCs w:val="20"/>
          <w:lang w:val="es-CR"/>
        </w:rPr>
        <w:instrText xml:space="preserve"> REF _Ref462156981 \r \h </w:instrText>
      </w:r>
      <w:r w:rsidR="00CF1787">
        <w:rPr>
          <w:spacing w:val="-2"/>
          <w:szCs w:val="20"/>
          <w:lang w:val="es-CR"/>
        </w:rPr>
        <w:instrText xml:space="preserve"> \* MERGEFORMAT </w:instrText>
      </w:r>
      <w:r w:rsidRPr="00CF1787">
        <w:rPr>
          <w:spacing w:val="-2"/>
          <w:szCs w:val="20"/>
          <w:lang w:val="es-CR"/>
        </w:rPr>
      </w:r>
      <w:r w:rsidRPr="00CF1787">
        <w:rPr>
          <w:spacing w:val="-2"/>
          <w:szCs w:val="20"/>
          <w:lang w:val="es-CR"/>
        </w:rPr>
        <w:fldChar w:fldCharType="separate"/>
      </w:r>
      <w:r w:rsidR="00536893">
        <w:rPr>
          <w:spacing w:val="-2"/>
          <w:szCs w:val="20"/>
          <w:lang w:val="es-CR"/>
        </w:rPr>
        <w:t>67</w:t>
      </w:r>
      <w:r w:rsidRPr="00CF1787">
        <w:rPr>
          <w:spacing w:val="-2"/>
          <w:szCs w:val="20"/>
          <w:lang w:val="es-CR"/>
        </w:rPr>
        <w:fldChar w:fldCharType="end"/>
      </w:r>
      <w:r w:rsidRPr="00CF1787">
        <w:rPr>
          <w:spacing w:val="-2"/>
          <w:szCs w:val="20"/>
          <w:lang w:val="es-CR"/>
        </w:rPr>
        <w:t>). Al inhibirse de seguir conociendo la causa y trasladar competencia a la jurisdicción penal policial, el Comisario Nacional sólo indicó que:</w:t>
      </w:r>
      <w:bookmarkEnd w:id="383"/>
    </w:p>
    <w:p w14:paraId="389CBBC4" w14:textId="77777777" w:rsidR="00D52AD2" w:rsidRPr="00CF1787" w:rsidRDefault="00D52AD2" w:rsidP="00D52AD2">
      <w:pPr>
        <w:pStyle w:val="NoSpacing"/>
        <w:tabs>
          <w:tab w:val="left" w:pos="567"/>
        </w:tabs>
        <w:rPr>
          <w:spacing w:val="-2"/>
          <w:szCs w:val="20"/>
          <w:lang w:val="es-CR"/>
        </w:rPr>
      </w:pPr>
    </w:p>
    <w:p w14:paraId="6FDC2604" w14:textId="77777777" w:rsidR="00D52AD2" w:rsidRPr="00CF1787" w:rsidRDefault="00D52AD2" w:rsidP="00D52AD2">
      <w:pPr>
        <w:pStyle w:val="NoSpacing"/>
        <w:tabs>
          <w:tab w:val="left" w:pos="567"/>
        </w:tabs>
        <w:ind w:left="567" w:right="901"/>
        <w:rPr>
          <w:spacing w:val="-2"/>
          <w:sz w:val="18"/>
          <w:szCs w:val="18"/>
          <w:lang w:val="es-CR"/>
        </w:rPr>
      </w:pPr>
      <w:r w:rsidRPr="00CF1787">
        <w:rPr>
          <w:sz w:val="18"/>
          <w:szCs w:val="18"/>
          <w:lang w:val="es-CR"/>
        </w:rPr>
        <w:t>De conformidad con el oficio que antecede y al comprobarse que el ciudadano que en vida respondió a los nombres de LUIS JORGE VALENCIA HINOJOSA Policía Nacional del Cuerpo de Chimborazo No. 5 en esta ciudad se ha encontrado de servicio en el primer turno del día tres de Diciembre de mil novecientos noventa y dos, desde las cero seis horas hasta las catorce horas, paso el proceso con todo lo actuado al Juzgado de la Policía Nacional para los fines legales consiguientes</w:t>
      </w:r>
      <w:r w:rsidRPr="00CF1787">
        <w:rPr>
          <w:rStyle w:val="FootnoteReference"/>
          <w:sz w:val="18"/>
          <w:szCs w:val="18"/>
          <w:lang w:val="es-CR"/>
        </w:rPr>
        <w:footnoteReference w:id="105"/>
      </w:r>
    </w:p>
    <w:p w14:paraId="6BAB6328" w14:textId="77777777" w:rsidR="00D52AD2" w:rsidRPr="00CF1787" w:rsidRDefault="00D52AD2" w:rsidP="00D52AD2">
      <w:pPr>
        <w:pStyle w:val="NoSpacing"/>
        <w:tabs>
          <w:tab w:val="left" w:pos="567"/>
        </w:tabs>
        <w:rPr>
          <w:color w:val="00B050"/>
          <w:spacing w:val="-2"/>
          <w:szCs w:val="20"/>
          <w:lang w:val="es-CR"/>
        </w:rPr>
      </w:pPr>
    </w:p>
    <w:p w14:paraId="2907F18A" w14:textId="4C83F65F" w:rsidR="00D52AD2" w:rsidRPr="00CF1787" w:rsidRDefault="00D52AD2" w:rsidP="00D52AD2">
      <w:pPr>
        <w:pStyle w:val="NoSpacing"/>
        <w:numPr>
          <w:ilvl w:val="0"/>
          <w:numId w:val="5"/>
        </w:numPr>
        <w:tabs>
          <w:tab w:val="left" w:pos="567"/>
        </w:tabs>
        <w:ind w:left="0" w:firstLine="0"/>
        <w:rPr>
          <w:spacing w:val="-2"/>
          <w:szCs w:val="20"/>
          <w:lang w:val="es-CR"/>
        </w:rPr>
      </w:pPr>
      <w:r w:rsidRPr="00CF1787">
        <w:rPr>
          <w:lang w:val="es-CR"/>
        </w:rPr>
        <w:t>A partir de este momento, la investigación fue desarrollada por un juez de instrucción policial, que a la vez fue quien ordenó el sobreseimiento definitivo (</w:t>
      </w:r>
      <w:r w:rsidRPr="00CF1787">
        <w:rPr>
          <w:i/>
          <w:lang w:val="es-CR"/>
        </w:rPr>
        <w:t>supra</w:t>
      </w:r>
      <w:r w:rsidRPr="00CF1787">
        <w:rPr>
          <w:lang w:val="es-CR"/>
        </w:rPr>
        <w:t xml:space="preserve"> </w:t>
      </w:r>
      <w:proofErr w:type="spellStart"/>
      <w:r w:rsidRPr="00CF1787">
        <w:rPr>
          <w:lang w:val="es-CR"/>
        </w:rPr>
        <w:t>párrs</w:t>
      </w:r>
      <w:proofErr w:type="spellEnd"/>
      <w:r w:rsidRPr="00CF1787">
        <w:rPr>
          <w:lang w:val="es-CR"/>
        </w:rPr>
        <w:t xml:space="preserve">. </w:t>
      </w:r>
      <w:r w:rsidRPr="00CF1787">
        <w:rPr>
          <w:lang w:val="es-CR"/>
        </w:rPr>
        <w:fldChar w:fldCharType="begin"/>
      </w:r>
      <w:r w:rsidRPr="00CF1787">
        <w:rPr>
          <w:lang w:val="es-CR"/>
        </w:rPr>
        <w:instrText xml:space="preserve"> REF _Ref462156981 \r \h </w:instrText>
      </w:r>
      <w:r w:rsidR="00CF1787">
        <w:rPr>
          <w:lang w:val="es-CR"/>
        </w:rPr>
        <w:instrText xml:space="preserve"> \* MERGEFORMAT </w:instrText>
      </w:r>
      <w:r w:rsidRPr="00CF1787">
        <w:rPr>
          <w:lang w:val="es-CR"/>
        </w:rPr>
      </w:r>
      <w:r w:rsidRPr="00CF1787">
        <w:rPr>
          <w:lang w:val="es-CR"/>
        </w:rPr>
        <w:fldChar w:fldCharType="separate"/>
      </w:r>
      <w:r w:rsidR="00536893">
        <w:rPr>
          <w:lang w:val="es-CR"/>
        </w:rPr>
        <w:t>67</w:t>
      </w:r>
      <w:r w:rsidRPr="00CF1787">
        <w:rPr>
          <w:lang w:val="es-CR"/>
        </w:rPr>
        <w:fldChar w:fldCharType="end"/>
      </w:r>
      <w:r w:rsidRPr="00CF1787">
        <w:rPr>
          <w:lang w:val="es-CR"/>
        </w:rPr>
        <w:t xml:space="preserve"> a </w:t>
      </w:r>
      <w:r w:rsidRPr="00CF1787">
        <w:rPr>
          <w:lang w:val="es-CR"/>
        </w:rPr>
        <w:fldChar w:fldCharType="begin"/>
      </w:r>
      <w:r w:rsidRPr="00CF1787">
        <w:rPr>
          <w:lang w:val="es-CR"/>
        </w:rPr>
        <w:instrText xml:space="preserve"> REF _Ref462078622 \r \h </w:instrText>
      </w:r>
      <w:r w:rsidR="00CF1787">
        <w:rPr>
          <w:lang w:val="es-CR"/>
        </w:rPr>
        <w:instrText xml:space="preserve"> \* MERGEFORMAT </w:instrText>
      </w:r>
      <w:r w:rsidRPr="00CF1787">
        <w:rPr>
          <w:lang w:val="es-CR"/>
        </w:rPr>
      </w:r>
      <w:r w:rsidRPr="00CF1787">
        <w:rPr>
          <w:lang w:val="es-CR"/>
        </w:rPr>
        <w:fldChar w:fldCharType="separate"/>
      </w:r>
      <w:r w:rsidR="00536893">
        <w:rPr>
          <w:lang w:val="es-CR"/>
        </w:rPr>
        <w:t>73</w:t>
      </w:r>
      <w:r w:rsidRPr="00CF1787">
        <w:rPr>
          <w:lang w:val="es-CR"/>
        </w:rPr>
        <w:fldChar w:fldCharType="end"/>
      </w:r>
      <w:r w:rsidRPr="00CF1787">
        <w:rPr>
          <w:lang w:val="es-CR"/>
        </w:rPr>
        <w:t>)</w:t>
      </w:r>
      <w:r w:rsidR="0043719B" w:rsidRPr="00CF1787">
        <w:rPr>
          <w:lang w:val="es-CR"/>
        </w:rPr>
        <w:t>.</w:t>
      </w:r>
      <w:r w:rsidRPr="00CF1787">
        <w:rPr>
          <w:lang w:val="es-CR"/>
        </w:rPr>
        <w:t xml:space="preserve"> Dicho sobreseimiento fue confirmado por la Primera Corte Distrital en marzo de 1997, con lo cual culminaron las acciones estatales para investigar la muerte del señor Valencia a nivel interno (</w:t>
      </w:r>
      <w:r w:rsidRPr="00CF1787">
        <w:rPr>
          <w:i/>
          <w:lang w:val="es-CR"/>
        </w:rPr>
        <w:t>supra</w:t>
      </w:r>
      <w:r w:rsidRPr="00CF1787">
        <w:rPr>
          <w:lang w:val="es-CR"/>
        </w:rPr>
        <w:t xml:space="preserve"> </w:t>
      </w:r>
      <w:proofErr w:type="spellStart"/>
      <w:r w:rsidRPr="00CF1787">
        <w:rPr>
          <w:lang w:val="es-CR"/>
        </w:rPr>
        <w:t>párrs</w:t>
      </w:r>
      <w:proofErr w:type="spellEnd"/>
      <w:r w:rsidRPr="00CF1787">
        <w:rPr>
          <w:lang w:val="es-CR"/>
        </w:rPr>
        <w:t xml:space="preserve">. </w:t>
      </w:r>
      <w:r w:rsidRPr="00CF1787">
        <w:fldChar w:fldCharType="begin"/>
      </w:r>
      <w:r w:rsidRPr="00CF1787">
        <w:instrText xml:space="preserve"> REF _Ref462157066 \r \h  \* MERGEFORMAT </w:instrText>
      </w:r>
      <w:r w:rsidRPr="00CF1787">
        <w:fldChar w:fldCharType="separate"/>
      </w:r>
      <w:r w:rsidR="00536893" w:rsidRPr="00536893">
        <w:rPr>
          <w:lang w:val="es-CR"/>
        </w:rPr>
        <w:t>64</w:t>
      </w:r>
      <w:r w:rsidRPr="00CF1787">
        <w:fldChar w:fldCharType="end"/>
      </w:r>
      <w:r w:rsidR="00E864D3" w:rsidRPr="00CF1787">
        <w:t xml:space="preserve">, </w:t>
      </w:r>
      <w:r w:rsidR="00E864D3" w:rsidRPr="00CF1787">
        <w:fldChar w:fldCharType="begin"/>
      </w:r>
      <w:r w:rsidR="00E864D3" w:rsidRPr="00CF1787">
        <w:instrText xml:space="preserve"> REF _Ref470091843 \r \h </w:instrText>
      </w:r>
      <w:r w:rsidR="00CF1787">
        <w:instrText xml:space="preserve"> \* MERGEFORMAT </w:instrText>
      </w:r>
      <w:r w:rsidR="00E864D3" w:rsidRPr="00CF1787">
        <w:fldChar w:fldCharType="separate"/>
      </w:r>
      <w:r w:rsidR="00536893">
        <w:t>65</w:t>
      </w:r>
      <w:r w:rsidR="00E864D3" w:rsidRPr="00CF1787">
        <w:fldChar w:fldCharType="end"/>
      </w:r>
      <w:r w:rsidRPr="00CF1787">
        <w:rPr>
          <w:lang w:val="es-CR"/>
        </w:rPr>
        <w:t xml:space="preserve"> y </w:t>
      </w:r>
      <w:r w:rsidRPr="00CF1787">
        <w:fldChar w:fldCharType="begin"/>
      </w:r>
      <w:r w:rsidRPr="00CF1787">
        <w:instrText xml:space="preserve"> REF _Ref462078622 \r \h  \* MERGEFORMAT </w:instrText>
      </w:r>
      <w:r w:rsidRPr="00CF1787">
        <w:fldChar w:fldCharType="separate"/>
      </w:r>
      <w:r w:rsidR="00536893" w:rsidRPr="00536893">
        <w:rPr>
          <w:lang w:val="es-CR"/>
        </w:rPr>
        <w:t>73</w:t>
      </w:r>
      <w:r w:rsidRPr="00CF1787">
        <w:fldChar w:fldCharType="end"/>
      </w:r>
      <w:r w:rsidRPr="00CF1787">
        <w:rPr>
          <w:lang w:val="es-CR"/>
        </w:rPr>
        <w:t>).</w:t>
      </w:r>
    </w:p>
    <w:p w14:paraId="30CA064A" w14:textId="77777777" w:rsidR="00D52AD2" w:rsidRPr="00CF1787" w:rsidRDefault="00D52AD2" w:rsidP="00D52AD2">
      <w:pPr>
        <w:pStyle w:val="NoSpacing"/>
        <w:tabs>
          <w:tab w:val="left" w:pos="567"/>
        </w:tabs>
        <w:rPr>
          <w:spacing w:val="-2"/>
          <w:szCs w:val="20"/>
          <w:lang w:val="es-CR"/>
        </w:rPr>
      </w:pPr>
    </w:p>
    <w:p w14:paraId="515FFF7A" w14:textId="77777777" w:rsidR="00D52AD2" w:rsidRPr="00CF1787" w:rsidRDefault="00D52AD2" w:rsidP="00D52AD2">
      <w:pPr>
        <w:pStyle w:val="NoSpacing"/>
        <w:numPr>
          <w:ilvl w:val="0"/>
          <w:numId w:val="13"/>
        </w:numPr>
        <w:tabs>
          <w:tab w:val="left" w:pos="567"/>
        </w:tabs>
        <w:rPr>
          <w:b/>
          <w:spacing w:val="-2"/>
          <w:szCs w:val="20"/>
          <w:lang w:val="es-CR"/>
        </w:rPr>
      </w:pPr>
      <w:r w:rsidRPr="00CF1787">
        <w:rPr>
          <w:b/>
          <w:spacing w:val="-2"/>
          <w:szCs w:val="20"/>
          <w:lang w:val="es-CR"/>
        </w:rPr>
        <w:t>Normas convencionales aplicables</w:t>
      </w:r>
    </w:p>
    <w:p w14:paraId="6AD8C6CE" w14:textId="77777777" w:rsidR="00D52AD2" w:rsidRPr="00CF1787" w:rsidRDefault="00D52AD2" w:rsidP="00D52AD2">
      <w:pPr>
        <w:pStyle w:val="NoSpacing"/>
        <w:tabs>
          <w:tab w:val="left" w:pos="567"/>
        </w:tabs>
        <w:rPr>
          <w:spacing w:val="-2"/>
          <w:szCs w:val="20"/>
          <w:lang w:val="es-CR"/>
        </w:rPr>
      </w:pPr>
    </w:p>
    <w:p w14:paraId="194FC4B9" w14:textId="77777777" w:rsidR="00D52AD2" w:rsidRPr="00CF1787" w:rsidRDefault="00D52AD2" w:rsidP="00D52AD2">
      <w:pPr>
        <w:pStyle w:val="NoSpacing"/>
        <w:numPr>
          <w:ilvl w:val="0"/>
          <w:numId w:val="5"/>
        </w:numPr>
        <w:tabs>
          <w:tab w:val="left" w:pos="567"/>
        </w:tabs>
        <w:ind w:left="0" w:firstLine="0"/>
        <w:rPr>
          <w:spacing w:val="-2"/>
          <w:szCs w:val="20"/>
          <w:lang w:val="es-CR"/>
        </w:rPr>
      </w:pPr>
      <w:bookmarkStart w:id="384" w:name="_Ref462098535"/>
      <w:r w:rsidRPr="00CF1787">
        <w:rPr>
          <w:lang w:val="es-CR"/>
        </w:rPr>
        <w:t>El artículo 8.1 de la Convención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bookmarkEnd w:id="384"/>
    </w:p>
    <w:p w14:paraId="243AB8A9" w14:textId="77777777" w:rsidR="00D52AD2" w:rsidRPr="00CF1787" w:rsidRDefault="00D52AD2" w:rsidP="00D52AD2">
      <w:pPr>
        <w:pStyle w:val="NoSpacing"/>
        <w:tabs>
          <w:tab w:val="left" w:pos="567"/>
        </w:tabs>
        <w:rPr>
          <w:spacing w:val="-2"/>
          <w:szCs w:val="20"/>
          <w:lang w:val="es-CR"/>
        </w:rPr>
      </w:pPr>
    </w:p>
    <w:p w14:paraId="7BCB01DC" w14:textId="77777777" w:rsidR="00D52AD2" w:rsidRPr="00CF1787" w:rsidRDefault="00D52AD2" w:rsidP="00D52AD2">
      <w:pPr>
        <w:pStyle w:val="NoSpacing"/>
        <w:numPr>
          <w:ilvl w:val="0"/>
          <w:numId w:val="5"/>
        </w:numPr>
        <w:tabs>
          <w:tab w:val="left" w:pos="567"/>
        </w:tabs>
        <w:ind w:left="0" w:firstLine="0"/>
        <w:rPr>
          <w:spacing w:val="-2"/>
          <w:szCs w:val="20"/>
          <w:lang w:val="es-CR"/>
        </w:rPr>
      </w:pPr>
      <w:bookmarkStart w:id="385" w:name="_Ref462144412"/>
      <w:r w:rsidRPr="00CF1787">
        <w:rPr>
          <w:lang w:val="es-CR"/>
        </w:rPr>
        <w:t>El artículo 25.1 de la Convención establece que: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bookmarkEnd w:id="385"/>
    </w:p>
    <w:p w14:paraId="3613464A" w14:textId="77777777" w:rsidR="00D52AD2" w:rsidRPr="00CF1787" w:rsidRDefault="00D52AD2" w:rsidP="00D52AD2">
      <w:pPr>
        <w:pStyle w:val="NoSpacing"/>
        <w:tabs>
          <w:tab w:val="left" w:pos="567"/>
        </w:tabs>
        <w:rPr>
          <w:spacing w:val="-2"/>
          <w:szCs w:val="20"/>
          <w:lang w:val="es-CR"/>
        </w:rPr>
      </w:pPr>
    </w:p>
    <w:p w14:paraId="1C7C57FB" w14:textId="77777777" w:rsidR="00D52AD2" w:rsidRPr="00CF1787" w:rsidRDefault="00D52AD2" w:rsidP="00D52AD2">
      <w:pPr>
        <w:pStyle w:val="NoSpacing"/>
        <w:numPr>
          <w:ilvl w:val="0"/>
          <w:numId w:val="5"/>
        </w:numPr>
        <w:tabs>
          <w:tab w:val="left" w:pos="567"/>
        </w:tabs>
        <w:ind w:left="0" w:firstLine="0"/>
        <w:rPr>
          <w:spacing w:val="-2"/>
          <w:szCs w:val="20"/>
          <w:lang w:val="es-CR"/>
        </w:rPr>
      </w:pPr>
      <w:r w:rsidRPr="00CF1787">
        <w:rPr>
          <w:spacing w:val="-2"/>
          <w:lang w:val="es-CR"/>
        </w:rPr>
        <w:t>El asunto es, entonces, determinar cómo esas disposiciones se aplican e interpretan en el caso de autos y, en general, a los cuerpos policiales. En particular, el asunto a resolver se refiere a la determinación, conforme a la Convención, de la jurisdicción nacional competente para conocer y fallar el caso en comento.</w:t>
      </w:r>
    </w:p>
    <w:p w14:paraId="6947FC84" w14:textId="77777777" w:rsidR="00D52AD2" w:rsidRPr="00CF1787" w:rsidRDefault="00D52AD2" w:rsidP="00D52AD2">
      <w:pPr>
        <w:pStyle w:val="NoSpacing"/>
        <w:tabs>
          <w:tab w:val="left" w:pos="567"/>
        </w:tabs>
        <w:rPr>
          <w:spacing w:val="-2"/>
          <w:szCs w:val="20"/>
          <w:lang w:val="es-CR"/>
        </w:rPr>
      </w:pPr>
    </w:p>
    <w:p w14:paraId="09AF46F9" w14:textId="77777777" w:rsidR="00D52AD2" w:rsidRPr="00CF1787" w:rsidRDefault="00D52AD2" w:rsidP="00D52AD2">
      <w:pPr>
        <w:pStyle w:val="NoSpacing"/>
        <w:numPr>
          <w:ilvl w:val="0"/>
          <w:numId w:val="5"/>
        </w:numPr>
        <w:tabs>
          <w:tab w:val="left" w:pos="567"/>
        </w:tabs>
        <w:ind w:left="0" w:firstLine="0"/>
        <w:rPr>
          <w:spacing w:val="-2"/>
          <w:szCs w:val="20"/>
          <w:lang w:val="es-CR"/>
        </w:rPr>
      </w:pPr>
      <w:r w:rsidRPr="00CF1787">
        <w:rPr>
          <w:lang w:val="es-CR"/>
        </w:rPr>
        <w:t xml:space="preserve">La Comisión y los representantes han solicitado a este Tribunal que examine esta jurisdicción </w:t>
      </w:r>
      <w:r w:rsidRPr="00CF1787">
        <w:rPr>
          <w:szCs w:val="20"/>
          <w:lang w:val="es-CR"/>
        </w:rPr>
        <w:t xml:space="preserve">penal policial, por medio de una aplicación analógica de sus estándares y jurisprudencia respecto a la jurisdicción penal militar. </w:t>
      </w:r>
    </w:p>
    <w:p w14:paraId="24426AF7" w14:textId="77777777" w:rsidR="00D52AD2" w:rsidRPr="00CF1787" w:rsidRDefault="00D52AD2" w:rsidP="00D52AD2">
      <w:pPr>
        <w:pStyle w:val="NoSpacing"/>
        <w:tabs>
          <w:tab w:val="left" w:pos="567"/>
        </w:tabs>
        <w:rPr>
          <w:spacing w:val="-2"/>
          <w:szCs w:val="20"/>
          <w:lang w:val="es-CR"/>
        </w:rPr>
      </w:pPr>
    </w:p>
    <w:p w14:paraId="230E5B87" w14:textId="77777777" w:rsidR="00D52AD2" w:rsidRPr="00CF1787" w:rsidRDefault="00D52AD2" w:rsidP="00D52AD2">
      <w:pPr>
        <w:pStyle w:val="NoSpacing"/>
        <w:numPr>
          <w:ilvl w:val="0"/>
          <w:numId w:val="5"/>
        </w:numPr>
        <w:tabs>
          <w:tab w:val="left" w:pos="567"/>
        </w:tabs>
        <w:ind w:left="0" w:firstLine="0"/>
        <w:rPr>
          <w:spacing w:val="-2"/>
          <w:szCs w:val="20"/>
          <w:lang w:val="es-CR"/>
        </w:rPr>
      </w:pPr>
      <w:r w:rsidRPr="00CF1787">
        <w:rPr>
          <w:szCs w:val="20"/>
          <w:lang w:val="es-CR"/>
        </w:rPr>
        <w:t>Al respecto, la Corte nota que la naturaleza jurídica de la policía y la de las fuerzas militares podrían ser consideradas diferentes en razón de sus funciones, a saber, el resguardo del orden y la seguridad al interior del Estado y la seguridad externa del mismo</w:t>
      </w:r>
      <w:r w:rsidRPr="00CF1787">
        <w:rPr>
          <w:rStyle w:val="FootnoteReference"/>
          <w:sz w:val="20"/>
          <w:szCs w:val="20"/>
          <w:lang w:val="es-CR"/>
        </w:rPr>
        <w:footnoteReference w:id="106"/>
      </w:r>
      <w:r w:rsidRPr="00CF1787">
        <w:rPr>
          <w:szCs w:val="20"/>
          <w:lang w:val="es-CR"/>
        </w:rPr>
        <w:t xml:space="preserve">, respectivamente. En atención a ello, en esta Sentencia corresponde analizar </w:t>
      </w:r>
      <w:r w:rsidRPr="00CF1787">
        <w:rPr>
          <w:bCs/>
          <w:szCs w:val="20"/>
          <w:lang w:val="es-CR"/>
        </w:rPr>
        <w:t xml:space="preserve">la compatibilidad de la jurisdicción penal policial con la Convención Americana, teniendo en cuenta la especificidad de la naturaleza jurídica de la policía. En este análisis la Corte considerará los estándares que ha establecido para determinar el cumplimiento de las garantías de competencia, independencia e imparcialidad en jurisdicciones especiales, tales como la </w:t>
      </w:r>
      <w:r w:rsidRPr="00CF1787">
        <w:rPr>
          <w:szCs w:val="20"/>
          <w:lang w:val="es-CR"/>
        </w:rPr>
        <w:t>justicia penal militar.</w:t>
      </w:r>
    </w:p>
    <w:p w14:paraId="78D9FCB1" w14:textId="77777777" w:rsidR="00D52AD2" w:rsidRPr="00CF1787" w:rsidRDefault="00D52AD2" w:rsidP="00D52AD2">
      <w:pPr>
        <w:rPr>
          <w:spacing w:val="-2"/>
          <w:szCs w:val="20"/>
          <w:lang w:val="es-CR"/>
        </w:rPr>
      </w:pPr>
    </w:p>
    <w:p w14:paraId="5DC00A69" w14:textId="77777777" w:rsidR="00D52AD2" w:rsidRPr="00CF1787" w:rsidRDefault="00D52AD2" w:rsidP="00D52AD2">
      <w:pPr>
        <w:pStyle w:val="ListParagraph"/>
        <w:numPr>
          <w:ilvl w:val="0"/>
          <w:numId w:val="13"/>
        </w:numPr>
        <w:rPr>
          <w:b/>
          <w:spacing w:val="-2"/>
          <w:lang w:val="es-CR"/>
        </w:rPr>
      </w:pPr>
      <w:r w:rsidRPr="00CF1787">
        <w:rPr>
          <w:b/>
          <w:spacing w:val="-2"/>
          <w:lang w:val="es-CR"/>
        </w:rPr>
        <w:t>Naturaleza jurídica de la policía</w:t>
      </w:r>
    </w:p>
    <w:p w14:paraId="2B5C3E94" w14:textId="77777777" w:rsidR="00D52AD2" w:rsidRPr="00CF1787" w:rsidRDefault="00D52AD2" w:rsidP="00D52AD2">
      <w:pPr>
        <w:pStyle w:val="NoSpacing"/>
        <w:tabs>
          <w:tab w:val="left" w:pos="567"/>
        </w:tabs>
        <w:rPr>
          <w:spacing w:val="-2"/>
          <w:szCs w:val="20"/>
          <w:lang w:val="es-CR"/>
        </w:rPr>
      </w:pPr>
    </w:p>
    <w:p w14:paraId="0CD984D7" w14:textId="77777777" w:rsidR="00D52AD2" w:rsidRPr="00CF1787" w:rsidRDefault="00D52AD2" w:rsidP="00D52AD2">
      <w:pPr>
        <w:pStyle w:val="NoSpacing"/>
        <w:numPr>
          <w:ilvl w:val="0"/>
          <w:numId w:val="5"/>
        </w:numPr>
        <w:tabs>
          <w:tab w:val="left" w:pos="567"/>
        </w:tabs>
        <w:ind w:left="0" w:firstLine="0"/>
        <w:rPr>
          <w:spacing w:val="-2"/>
          <w:szCs w:val="20"/>
          <w:lang w:val="es-CR"/>
        </w:rPr>
      </w:pPr>
      <w:r w:rsidRPr="00CF1787">
        <w:rPr>
          <w:rFonts w:cs="Arial"/>
          <w:bCs/>
          <w:szCs w:val="20"/>
          <w:lang w:val="es-CR"/>
        </w:rPr>
        <w:t xml:space="preserve">La </w:t>
      </w:r>
      <w:r w:rsidRPr="00CF1787">
        <w:rPr>
          <w:rFonts w:cs="Arial"/>
          <w:szCs w:val="20"/>
          <w:lang w:val="es-CR"/>
        </w:rPr>
        <w:t xml:space="preserve">Constitución Política de la República del Ecuador, vigente a la fecha de los hechos, establecía que </w:t>
      </w:r>
      <w:r w:rsidRPr="00CF1787">
        <w:rPr>
          <w:rFonts w:cs="Arial"/>
          <w:bCs/>
          <w:szCs w:val="20"/>
          <w:lang w:val="es-CR"/>
        </w:rPr>
        <w:t>“[l]as Fuerzas Armadas y la Policía Nacional constituyen la Fuerza Pública. Su preparación, organización, misión y empleo se regula en la ley”</w:t>
      </w:r>
      <w:r w:rsidRPr="00CF1787">
        <w:rPr>
          <w:rStyle w:val="FootnoteReference"/>
          <w:bCs/>
          <w:sz w:val="20"/>
          <w:szCs w:val="20"/>
          <w:lang w:val="es-CR"/>
        </w:rPr>
        <w:footnoteReference w:id="107"/>
      </w:r>
      <w:r w:rsidRPr="00CF1787">
        <w:rPr>
          <w:rFonts w:cs="Arial"/>
          <w:bCs/>
          <w:szCs w:val="20"/>
          <w:lang w:val="es-CR"/>
        </w:rPr>
        <w:t xml:space="preserve"> y ambas </w:t>
      </w:r>
      <w:r w:rsidRPr="00CF1787">
        <w:rPr>
          <w:spacing w:val="-2"/>
          <w:szCs w:val="20"/>
          <w:lang w:val="es-CR"/>
        </w:rPr>
        <w:t xml:space="preserve">están </w:t>
      </w:r>
      <w:r w:rsidRPr="00CF1787">
        <w:rPr>
          <w:szCs w:val="20"/>
          <w:lang w:val="es-CR"/>
        </w:rPr>
        <w:t xml:space="preserve">sujetas a los </w:t>
      </w:r>
      <w:r w:rsidRPr="00CF1787">
        <w:rPr>
          <w:szCs w:val="20"/>
          <w:lang w:val="es-CR"/>
        </w:rPr>
        <w:lastRenderedPageBreak/>
        <w:t>principios de subordinación y cadena de mando</w:t>
      </w:r>
      <w:r w:rsidRPr="00CF1787">
        <w:rPr>
          <w:rStyle w:val="FootnoteReference"/>
          <w:sz w:val="20"/>
          <w:szCs w:val="20"/>
          <w:lang w:val="es-CR"/>
        </w:rPr>
        <w:footnoteReference w:id="108"/>
      </w:r>
      <w:r w:rsidRPr="00CF1787">
        <w:rPr>
          <w:szCs w:val="20"/>
          <w:lang w:val="es-CR"/>
        </w:rPr>
        <w:t>.</w:t>
      </w:r>
      <w:r w:rsidRPr="00CF1787">
        <w:rPr>
          <w:spacing w:val="-2"/>
          <w:szCs w:val="20"/>
          <w:lang w:val="es-CR"/>
        </w:rPr>
        <w:t xml:space="preserve"> </w:t>
      </w:r>
      <w:r w:rsidRPr="00CF1787">
        <w:rPr>
          <w:rFonts w:cs="Arial"/>
          <w:szCs w:val="20"/>
          <w:lang w:val="es-CR"/>
        </w:rPr>
        <w:t xml:space="preserve">Asimismo, conforme a la propia Constitución, la Policía Nacional </w:t>
      </w:r>
      <w:r w:rsidRPr="00CF1787">
        <w:rPr>
          <w:spacing w:val="-2"/>
          <w:szCs w:val="20"/>
          <w:lang w:val="es-CR"/>
        </w:rPr>
        <w:t>“[c]</w:t>
      </w:r>
      <w:proofErr w:type="spellStart"/>
      <w:r w:rsidRPr="00CF1787">
        <w:rPr>
          <w:spacing w:val="-2"/>
          <w:szCs w:val="20"/>
          <w:lang w:val="es-CR"/>
        </w:rPr>
        <w:t>onstituye</w:t>
      </w:r>
      <w:proofErr w:type="spellEnd"/>
      <w:r w:rsidRPr="00CF1787">
        <w:rPr>
          <w:spacing w:val="-2"/>
          <w:szCs w:val="20"/>
          <w:lang w:val="es-CR"/>
        </w:rPr>
        <w:t xml:space="preserve"> fuerza auxiliar de las Fuerzas Armadas” y </w:t>
      </w:r>
      <w:r w:rsidRPr="00CF1787">
        <w:rPr>
          <w:rFonts w:cs="Arial"/>
          <w:szCs w:val="20"/>
          <w:lang w:val="es-CR"/>
        </w:rPr>
        <w:t xml:space="preserve">“tiene por misión fundamental </w:t>
      </w:r>
      <w:r w:rsidRPr="00CF1787">
        <w:rPr>
          <w:spacing w:val="-2"/>
          <w:szCs w:val="20"/>
          <w:lang w:val="es-CR"/>
        </w:rPr>
        <w:t>garantizar el orden interno y la seguridad individual y social”</w:t>
      </w:r>
      <w:r w:rsidRPr="00CF1787">
        <w:rPr>
          <w:rStyle w:val="FootnoteReference"/>
          <w:sz w:val="20"/>
          <w:szCs w:val="20"/>
          <w:lang w:val="es-CR"/>
        </w:rPr>
        <w:footnoteReference w:id="109"/>
      </w:r>
      <w:r w:rsidRPr="00CF1787">
        <w:rPr>
          <w:spacing w:val="-2"/>
          <w:szCs w:val="20"/>
          <w:lang w:val="es-CR"/>
        </w:rPr>
        <w:t xml:space="preserve">. </w:t>
      </w:r>
    </w:p>
    <w:p w14:paraId="0FC9F41D" w14:textId="77777777" w:rsidR="00D52AD2" w:rsidRPr="00CF1787" w:rsidRDefault="00D52AD2" w:rsidP="00D52AD2">
      <w:pPr>
        <w:pStyle w:val="NoSpacing"/>
        <w:tabs>
          <w:tab w:val="left" w:pos="567"/>
        </w:tabs>
        <w:rPr>
          <w:spacing w:val="-2"/>
          <w:szCs w:val="20"/>
          <w:lang w:val="es-CR"/>
        </w:rPr>
      </w:pPr>
    </w:p>
    <w:p w14:paraId="51A6C55D" w14:textId="7CC46CFD" w:rsidR="00D52AD2" w:rsidRPr="00CF1787" w:rsidRDefault="00D52AD2" w:rsidP="00D52AD2">
      <w:pPr>
        <w:pStyle w:val="NoSpacing"/>
        <w:numPr>
          <w:ilvl w:val="0"/>
          <w:numId w:val="5"/>
        </w:numPr>
        <w:tabs>
          <w:tab w:val="left" w:pos="567"/>
        </w:tabs>
        <w:ind w:left="0" w:firstLine="0"/>
        <w:rPr>
          <w:spacing w:val="-2"/>
          <w:szCs w:val="20"/>
          <w:lang w:val="es-CR"/>
        </w:rPr>
      </w:pPr>
      <w:r w:rsidRPr="00CF1787">
        <w:rPr>
          <w:rFonts w:cs="Arial"/>
          <w:bCs/>
          <w:lang w:val="es-CR"/>
        </w:rPr>
        <w:t xml:space="preserve">La Ley Orgánica de la </w:t>
      </w:r>
      <w:r w:rsidRPr="00CF1787">
        <w:rPr>
          <w:rFonts w:cs="Arial"/>
          <w:bCs/>
          <w:szCs w:val="20"/>
          <w:lang w:val="es-CR"/>
        </w:rPr>
        <w:t>Policía Nacional establecía entre las funciones esenciales de la Policía Nacional “[e]l mantenimiento del orden y de la tranquilidad públicos”, y “[l]a seguridad de las personas y de sus bienes”</w:t>
      </w:r>
      <w:r w:rsidRPr="00CF1787">
        <w:rPr>
          <w:rStyle w:val="FootnoteReference"/>
          <w:rFonts w:cs="Arial"/>
          <w:bCs/>
          <w:sz w:val="20"/>
          <w:szCs w:val="20"/>
          <w:lang w:val="es-CR"/>
        </w:rPr>
        <w:footnoteReference w:id="110"/>
      </w:r>
      <w:r w:rsidRPr="00CF1787">
        <w:rPr>
          <w:rFonts w:cs="Arial"/>
          <w:bCs/>
          <w:szCs w:val="20"/>
          <w:lang w:val="es-CR"/>
        </w:rPr>
        <w:t>. Estas funciones se ejercen básicamente con relación a los habitantes del Estado, lo que, por otra parte, explica que dentro del Código de Ética de la Policía Nacional se establecía como una de las reglas fundamentales y obligación de los policías respetar los derechos humanos de todos los habitantes</w:t>
      </w:r>
      <w:r w:rsidRPr="00CF1787">
        <w:rPr>
          <w:rStyle w:val="FootnoteReference"/>
          <w:bCs/>
          <w:sz w:val="20"/>
          <w:szCs w:val="20"/>
          <w:lang w:val="es-CR"/>
        </w:rPr>
        <w:footnoteReference w:id="111"/>
      </w:r>
      <w:r w:rsidRPr="00CF1787">
        <w:rPr>
          <w:rFonts w:cs="Arial"/>
          <w:bCs/>
          <w:szCs w:val="20"/>
          <w:lang w:val="es-CR"/>
        </w:rPr>
        <w:t>. Todo ello importa, en criterio de la Corte, que las referidas funciones policiales se desenvuelven básica, fundamental o generalmente en el ámbito de vida habitual de los habitantes del Estado.</w:t>
      </w:r>
      <w:r w:rsidRPr="00CF1787">
        <w:rPr>
          <w:spacing w:val="-2"/>
          <w:szCs w:val="20"/>
          <w:lang w:val="es-CR"/>
        </w:rPr>
        <w:t xml:space="preserve"> </w:t>
      </w:r>
      <w:r w:rsidRPr="00CF1787">
        <w:rPr>
          <w:rFonts w:cs="Arial"/>
          <w:bCs/>
          <w:lang w:val="es-CR"/>
        </w:rPr>
        <w:t>Para la Corte, esta peculiaridad distingue muy nítidamente a la policía de las fuerzas armadas, por lo que la aplicación analógica del sistema militar al sistema policial no puede aplicarse automáticamente y sin consideración a ciertos matices propios a este último.</w:t>
      </w:r>
      <w:r w:rsidRPr="00CF1787">
        <w:rPr>
          <w:rFonts w:cs="Arial"/>
          <w:b/>
          <w:bCs/>
          <w:strike/>
          <w:lang w:val="es-CR"/>
        </w:rPr>
        <w:t xml:space="preserve"> </w:t>
      </w:r>
    </w:p>
    <w:p w14:paraId="05EE6FE8" w14:textId="77777777" w:rsidR="00D52AD2" w:rsidRPr="00CF1787" w:rsidRDefault="00D52AD2" w:rsidP="00D52AD2">
      <w:pPr>
        <w:pStyle w:val="NoSpacing"/>
        <w:tabs>
          <w:tab w:val="left" w:pos="567"/>
        </w:tabs>
        <w:rPr>
          <w:lang w:val="es-CR"/>
        </w:rPr>
      </w:pPr>
    </w:p>
    <w:p w14:paraId="2747D912" w14:textId="01DD047A" w:rsidR="00D52AD2" w:rsidRPr="00CF1787" w:rsidRDefault="00D52AD2" w:rsidP="00D52AD2">
      <w:pPr>
        <w:pStyle w:val="NoSpacing"/>
        <w:numPr>
          <w:ilvl w:val="0"/>
          <w:numId w:val="5"/>
        </w:numPr>
        <w:tabs>
          <w:tab w:val="left" w:pos="567"/>
        </w:tabs>
        <w:ind w:left="0" w:firstLine="0"/>
        <w:rPr>
          <w:lang w:val="es-CR"/>
        </w:rPr>
      </w:pPr>
      <w:r w:rsidRPr="00CF1787">
        <w:rPr>
          <w:lang w:val="es-CR"/>
        </w:rPr>
        <w:t>En mérito de todo lo indicado, será necesario analizar, a la luz de los estándares de garantía y debido proceso de la Convención Americana, si la jurisdicción penal policial que investigó estos hechos prevé garantías suficientes de imparcialidad e independencia tanto en su dimensión institucional como en su dimensión individual en el caso concreto. Posteriormente, en la medida de lo pertinente, este Tribunal se pronunciará</w:t>
      </w:r>
      <w:r w:rsidR="00E864D3" w:rsidRPr="00CF1787">
        <w:rPr>
          <w:lang w:val="es-CR"/>
        </w:rPr>
        <w:t xml:space="preserve"> sobre la alegada violació</w:t>
      </w:r>
      <w:r w:rsidRPr="00CF1787">
        <w:rPr>
          <w:lang w:val="es-CR"/>
        </w:rPr>
        <w:t>n a la garantía del juez natural, debido a que la investigación fue llevada a cabo por esta jurisdicción especial, así como sobre las demás violaciones al debido proceso alegadas por la Comisión y los representantes (</w:t>
      </w:r>
      <w:r w:rsidRPr="00CF1787">
        <w:rPr>
          <w:i/>
          <w:lang w:val="es-CR"/>
        </w:rPr>
        <w:t>infra</w:t>
      </w:r>
      <w:r w:rsidRPr="00CF1787">
        <w:rPr>
          <w:lang w:val="es-CR"/>
        </w:rPr>
        <w:t xml:space="preserve"> </w:t>
      </w:r>
      <w:proofErr w:type="spellStart"/>
      <w:r w:rsidRPr="00CF1787">
        <w:rPr>
          <w:lang w:val="es-CR"/>
        </w:rPr>
        <w:t>párr</w:t>
      </w:r>
      <w:r w:rsidR="005F3B9C" w:rsidRPr="00CF1787">
        <w:rPr>
          <w:lang w:val="es-CR"/>
        </w:rPr>
        <w:t>s</w:t>
      </w:r>
      <w:proofErr w:type="spellEnd"/>
      <w:r w:rsidRPr="00CF1787">
        <w:rPr>
          <w:lang w:val="es-CR"/>
        </w:rPr>
        <w:t xml:space="preserve">. </w:t>
      </w:r>
      <w:r w:rsidR="005F3B9C" w:rsidRPr="00CF1787">
        <w:rPr>
          <w:lang w:val="es-CR"/>
        </w:rPr>
        <w:fldChar w:fldCharType="begin"/>
      </w:r>
      <w:r w:rsidR="005F3B9C" w:rsidRPr="00CF1787">
        <w:rPr>
          <w:lang w:val="es-CR"/>
        </w:rPr>
        <w:instrText xml:space="preserve"> REF _Ref470005179 \r \h </w:instrText>
      </w:r>
      <w:r w:rsidR="00CF1787">
        <w:rPr>
          <w:lang w:val="es-CR"/>
        </w:rPr>
        <w:instrText xml:space="preserve"> \* MERGEFORMAT </w:instrText>
      </w:r>
      <w:r w:rsidR="005F3B9C" w:rsidRPr="00CF1787">
        <w:rPr>
          <w:lang w:val="es-CR"/>
        </w:rPr>
      </w:r>
      <w:r w:rsidR="005F3B9C" w:rsidRPr="00CF1787">
        <w:rPr>
          <w:lang w:val="es-CR"/>
        </w:rPr>
        <w:fldChar w:fldCharType="separate"/>
      </w:r>
      <w:r w:rsidR="00536893">
        <w:rPr>
          <w:lang w:val="es-CR"/>
        </w:rPr>
        <w:t>121</w:t>
      </w:r>
      <w:r w:rsidR="005F3B9C" w:rsidRPr="00CF1787">
        <w:rPr>
          <w:lang w:val="es-CR"/>
        </w:rPr>
        <w:fldChar w:fldCharType="end"/>
      </w:r>
      <w:r w:rsidR="005F3B9C" w:rsidRPr="00CF1787">
        <w:rPr>
          <w:lang w:val="es-CR"/>
        </w:rPr>
        <w:t xml:space="preserve"> y </w:t>
      </w:r>
      <w:r w:rsidR="005F3B9C" w:rsidRPr="00CF1787">
        <w:rPr>
          <w:lang w:val="es-CR"/>
        </w:rPr>
        <w:fldChar w:fldCharType="begin"/>
      </w:r>
      <w:r w:rsidR="005F3B9C" w:rsidRPr="00CF1787">
        <w:rPr>
          <w:lang w:val="es-CR"/>
        </w:rPr>
        <w:instrText xml:space="preserve"> REF _Ref470005191 \r \h </w:instrText>
      </w:r>
      <w:r w:rsidR="00CF1787">
        <w:rPr>
          <w:lang w:val="es-CR"/>
        </w:rPr>
        <w:instrText xml:space="preserve"> \* MERGEFORMAT </w:instrText>
      </w:r>
      <w:r w:rsidR="005F3B9C" w:rsidRPr="00CF1787">
        <w:rPr>
          <w:lang w:val="es-CR"/>
        </w:rPr>
      </w:r>
      <w:r w:rsidR="005F3B9C" w:rsidRPr="00CF1787">
        <w:rPr>
          <w:lang w:val="es-CR"/>
        </w:rPr>
        <w:fldChar w:fldCharType="separate"/>
      </w:r>
      <w:r w:rsidR="00536893">
        <w:rPr>
          <w:lang w:val="es-CR"/>
        </w:rPr>
        <w:t>122</w:t>
      </w:r>
      <w:r w:rsidR="005F3B9C" w:rsidRPr="00CF1787">
        <w:rPr>
          <w:lang w:val="es-CR"/>
        </w:rPr>
        <w:fldChar w:fldCharType="end"/>
      </w:r>
      <w:r w:rsidRPr="00CF1787">
        <w:rPr>
          <w:lang w:val="es-CR"/>
        </w:rPr>
        <w:t xml:space="preserve">). </w:t>
      </w:r>
    </w:p>
    <w:p w14:paraId="0A5F4D73" w14:textId="77777777" w:rsidR="00D52AD2" w:rsidRPr="00CF1787" w:rsidRDefault="00D52AD2" w:rsidP="00D52AD2">
      <w:pPr>
        <w:pStyle w:val="NoSpacing"/>
        <w:tabs>
          <w:tab w:val="left" w:pos="567"/>
        </w:tabs>
        <w:rPr>
          <w:lang w:val="es-CR"/>
        </w:rPr>
      </w:pPr>
    </w:p>
    <w:p w14:paraId="052AFA51" w14:textId="1B7F765C" w:rsidR="00D52AD2" w:rsidRPr="00CF1787" w:rsidRDefault="00D52AD2" w:rsidP="00D52AD2">
      <w:pPr>
        <w:pStyle w:val="NoSpacing"/>
        <w:numPr>
          <w:ilvl w:val="0"/>
          <w:numId w:val="5"/>
        </w:numPr>
        <w:tabs>
          <w:tab w:val="left" w:pos="567"/>
        </w:tabs>
        <w:ind w:left="0" w:firstLine="0"/>
        <w:rPr>
          <w:lang w:val="es-CR"/>
        </w:rPr>
      </w:pPr>
      <w:bookmarkStart w:id="386" w:name="_Ref469986694"/>
      <w:r w:rsidRPr="00CF1787">
        <w:rPr>
          <w:lang w:val="es-CR"/>
        </w:rPr>
        <w:t xml:space="preserve">La Corte ha señalado que la imparcialidad exige que el juez que interviene en una contienda particular se aproxime a los hechos de la causa careciendo, de manera subjetiva, de todo </w:t>
      </w:r>
      <w:r w:rsidRPr="00CF1787">
        <w:rPr>
          <w:szCs w:val="20"/>
          <w:lang w:val="es-CR"/>
        </w:rPr>
        <w:t xml:space="preserve">prejuicio y, asimismo, ofreciendo garantías suficientes de índole objetiva que permitan </w:t>
      </w:r>
      <w:r w:rsidRPr="00CF1787">
        <w:rPr>
          <w:szCs w:val="20"/>
          <w:lang w:val="es-CR"/>
        </w:rPr>
        <w:lastRenderedPageBreak/>
        <w:t>desterrar toda duda que el justiciable o la comunidad puedan albergar respecto de la ausencia de imparcialidad</w:t>
      </w:r>
      <w:r w:rsidRPr="00CF1787">
        <w:rPr>
          <w:rStyle w:val="FootnoteReference"/>
          <w:sz w:val="20"/>
          <w:szCs w:val="20"/>
          <w:lang w:val="es-CR"/>
        </w:rPr>
        <w:footnoteReference w:id="112"/>
      </w:r>
      <w:r w:rsidRPr="00CF1787">
        <w:rPr>
          <w:szCs w:val="20"/>
          <w:lang w:val="es-CR"/>
        </w:rPr>
        <w:t xml:space="preserve">. </w:t>
      </w:r>
      <w:bookmarkStart w:id="387" w:name="_Ref369181695"/>
      <w:r w:rsidRPr="00CF1787">
        <w:rPr>
          <w:szCs w:val="20"/>
          <w:lang w:val="es-CR"/>
        </w:rPr>
        <w:t>En este sentido, la Corte ha indicado, en relación con la estructura orgánica y composición de los tribunales militares, que estos carecen de independencia e imparcialidad cuando sus integrantes sean militares en servicio activo, estén subordinados jerárquicamente a los superiores a través de la cadena de mando, su nombramiento no dependa de su competencia profesional e idoneidad para ejercer las funciones judiciales, no cuenten con garantías suficientes de inamovilidad y/o no posean una formación jurídica exigible para desempeñar el cargo de jue</w:t>
      </w:r>
      <w:r w:rsidR="00E864D3" w:rsidRPr="00CF1787">
        <w:rPr>
          <w:szCs w:val="20"/>
          <w:lang w:val="es-CR"/>
        </w:rPr>
        <w:t>z o fiscal</w:t>
      </w:r>
      <w:r w:rsidRPr="00CF1787">
        <w:rPr>
          <w:rStyle w:val="FootnoteReference"/>
          <w:sz w:val="20"/>
          <w:szCs w:val="20"/>
          <w:lang w:val="es-CR"/>
        </w:rPr>
        <w:footnoteReference w:id="113"/>
      </w:r>
      <w:bookmarkEnd w:id="387"/>
      <w:r w:rsidRPr="00CF1787">
        <w:rPr>
          <w:szCs w:val="20"/>
          <w:lang w:val="es-CR"/>
        </w:rPr>
        <w:t>.</w:t>
      </w:r>
      <w:bookmarkEnd w:id="386"/>
    </w:p>
    <w:p w14:paraId="5CD1981E" w14:textId="77777777" w:rsidR="00D52AD2" w:rsidRPr="00CF1787" w:rsidRDefault="00D52AD2" w:rsidP="00D52AD2">
      <w:pPr>
        <w:rPr>
          <w:lang w:val="es-CR"/>
        </w:rPr>
      </w:pPr>
    </w:p>
    <w:p w14:paraId="6FC5948E" w14:textId="15DA7257" w:rsidR="00D52AD2" w:rsidRPr="00CF1787" w:rsidRDefault="00D52AD2" w:rsidP="00D52AD2">
      <w:pPr>
        <w:pStyle w:val="NoSpacing"/>
        <w:numPr>
          <w:ilvl w:val="0"/>
          <w:numId w:val="5"/>
        </w:numPr>
        <w:tabs>
          <w:tab w:val="left" w:pos="567"/>
        </w:tabs>
        <w:ind w:left="0" w:firstLine="0"/>
        <w:rPr>
          <w:szCs w:val="20"/>
          <w:lang w:val="es-CR"/>
        </w:rPr>
      </w:pPr>
      <w:r w:rsidRPr="00CF1787">
        <w:rPr>
          <w:szCs w:val="20"/>
          <w:lang w:val="es-CR"/>
        </w:rPr>
        <w:t>Este Tribunal examinará las siguientes características de la jurisdicción penal policial en el Ecuador: (</w:t>
      </w:r>
      <w:r w:rsidR="00E864D3" w:rsidRPr="00CF1787">
        <w:rPr>
          <w:szCs w:val="20"/>
          <w:lang w:val="es-CR"/>
        </w:rPr>
        <w:t>a</w:t>
      </w:r>
      <w:r w:rsidRPr="00CF1787">
        <w:rPr>
          <w:szCs w:val="20"/>
          <w:lang w:val="es-CR"/>
        </w:rPr>
        <w:t>) la relación de esta jurisdicción con la rama ejecutiva; (</w:t>
      </w:r>
      <w:r w:rsidR="00E864D3" w:rsidRPr="00CF1787">
        <w:rPr>
          <w:szCs w:val="20"/>
          <w:lang w:val="es-CR"/>
        </w:rPr>
        <w:t>b</w:t>
      </w:r>
      <w:r w:rsidRPr="00CF1787">
        <w:rPr>
          <w:szCs w:val="20"/>
          <w:lang w:val="es-CR"/>
        </w:rPr>
        <w:t>) la composición de cada instancia dentro de la jurisdicción penal policial (requisitos para ocupar estos cargos, formación profesional, estatus y rango dentro de la Policía Nacional); (</w:t>
      </w:r>
      <w:r w:rsidR="00E864D3" w:rsidRPr="00CF1787">
        <w:rPr>
          <w:szCs w:val="20"/>
          <w:lang w:val="es-CR"/>
        </w:rPr>
        <w:t>c</w:t>
      </w:r>
      <w:r w:rsidRPr="00CF1787">
        <w:rPr>
          <w:szCs w:val="20"/>
          <w:lang w:val="es-CR"/>
        </w:rPr>
        <w:t>) el proceso de nombramiento de los jueces y fiscales; (</w:t>
      </w:r>
      <w:r w:rsidR="00E864D3" w:rsidRPr="00CF1787">
        <w:rPr>
          <w:szCs w:val="20"/>
          <w:lang w:val="es-CR"/>
        </w:rPr>
        <w:t>d</w:t>
      </w:r>
      <w:r w:rsidRPr="00CF1787">
        <w:rPr>
          <w:szCs w:val="20"/>
          <w:lang w:val="es-CR"/>
        </w:rPr>
        <w:t xml:space="preserve">) </w:t>
      </w:r>
      <w:r w:rsidR="003E6E66" w:rsidRPr="00CF1787">
        <w:rPr>
          <w:szCs w:val="20"/>
          <w:lang w:val="es-CR"/>
        </w:rPr>
        <w:t xml:space="preserve">las </w:t>
      </w:r>
      <w:r w:rsidRPr="00CF1787">
        <w:rPr>
          <w:szCs w:val="20"/>
          <w:lang w:val="es-CR"/>
        </w:rPr>
        <w:t xml:space="preserve">garantías de inamovilidad (término de su cargo y causales de </w:t>
      </w:r>
      <w:r w:rsidR="003E6E66" w:rsidRPr="00CF1787">
        <w:rPr>
          <w:szCs w:val="20"/>
          <w:lang w:val="es-CR"/>
        </w:rPr>
        <w:t>separación</w:t>
      </w:r>
      <w:r w:rsidRPr="00CF1787">
        <w:rPr>
          <w:szCs w:val="20"/>
          <w:lang w:val="es-CR"/>
        </w:rPr>
        <w:t>), y (</w:t>
      </w:r>
      <w:r w:rsidR="00E864D3" w:rsidRPr="00CF1787">
        <w:rPr>
          <w:szCs w:val="20"/>
          <w:lang w:val="es-CR"/>
        </w:rPr>
        <w:t>e</w:t>
      </w:r>
      <w:r w:rsidRPr="00CF1787">
        <w:rPr>
          <w:szCs w:val="20"/>
          <w:lang w:val="es-CR"/>
        </w:rPr>
        <w:t xml:space="preserve">) </w:t>
      </w:r>
      <w:r w:rsidR="003E6E66" w:rsidRPr="00CF1787">
        <w:rPr>
          <w:szCs w:val="20"/>
          <w:lang w:val="es-CR"/>
        </w:rPr>
        <w:t xml:space="preserve">la posibilidad de </w:t>
      </w:r>
      <w:r w:rsidRPr="00CF1787">
        <w:rPr>
          <w:szCs w:val="20"/>
          <w:lang w:val="es-CR"/>
        </w:rPr>
        <w:t>un control judicial posterior por parte de la justicia ordinaria</w:t>
      </w:r>
      <w:r w:rsidRPr="00CF1787">
        <w:rPr>
          <w:rStyle w:val="FootnoteReference"/>
          <w:sz w:val="20"/>
          <w:szCs w:val="20"/>
          <w:lang w:val="es-CR"/>
        </w:rPr>
        <w:footnoteReference w:id="114"/>
      </w:r>
      <w:r w:rsidRPr="00CF1787">
        <w:rPr>
          <w:szCs w:val="20"/>
          <w:lang w:val="es-CR"/>
        </w:rPr>
        <w:t>.</w:t>
      </w:r>
    </w:p>
    <w:p w14:paraId="09E10DBD" w14:textId="77777777" w:rsidR="00D52AD2" w:rsidRPr="00CF1787" w:rsidRDefault="00D52AD2" w:rsidP="00D52AD2">
      <w:pPr>
        <w:pStyle w:val="NoSpacing"/>
        <w:tabs>
          <w:tab w:val="left" w:pos="567"/>
        </w:tabs>
        <w:rPr>
          <w:szCs w:val="20"/>
          <w:lang w:val="es-CR"/>
        </w:rPr>
      </w:pPr>
    </w:p>
    <w:p w14:paraId="19D8D2C5" w14:textId="77777777" w:rsidR="00D52AD2" w:rsidRPr="00CF1787" w:rsidRDefault="00D52AD2" w:rsidP="00D52AD2">
      <w:pPr>
        <w:pStyle w:val="Heading4"/>
      </w:pPr>
      <w:bookmarkStart w:id="389" w:name="_Toc470098056"/>
      <w:r w:rsidRPr="00CF1787">
        <w:t>A.2.a La relación de esta jurisdicción con la rama ejecutiva</w:t>
      </w:r>
      <w:bookmarkEnd w:id="389"/>
    </w:p>
    <w:p w14:paraId="2E1A9181" w14:textId="77777777" w:rsidR="00D52AD2" w:rsidRPr="00CF1787" w:rsidRDefault="00D52AD2" w:rsidP="00D52AD2">
      <w:pPr>
        <w:pStyle w:val="NoSpacing"/>
        <w:tabs>
          <w:tab w:val="left" w:pos="567"/>
        </w:tabs>
        <w:rPr>
          <w:szCs w:val="20"/>
          <w:lang w:val="es-CR"/>
        </w:rPr>
      </w:pPr>
    </w:p>
    <w:p w14:paraId="4C4CD5B5" w14:textId="44FF4174" w:rsidR="00D52AD2" w:rsidRPr="00CF1787" w:rsidRDefault="00D52AD2" w:rsidP="00D52AD2">
      <w:pPr>
        <w:pStyle w:val="NoSpacing"/>
        <w:numPr>
          <w:ilvl w:val="0"/>
          <w:numId w:val="5"/>
        </w:numPr>
        <w:tabs>
          <w:tab w:val="left" w:pos="567"/>
        </w:tabs>
        <w:ind w:left="0" w:firstLine="0"/>
        <w:rPr>
          <w:szCs w:val="20"/>
          <w:lang w:val="es-CR"/>
        </w:rPr>
      </w:pPr>
      <w:bookmarkStart w:id="390" w:name="_Ref462085973"/>
      <w:r w:rsidRPr="00CF1787">
        <w:rPr>
          <w:szCs w:val="20"/>
          <w:lang w:val="es-CR"/>
        </w:rPr>
        <w:t>La Ley Orgánica de la Policía Nacional establecía que “[e]l Presidente de la República es la autoridad máxima de la Policía Nacional”, la cual estaba compuesta, entre otros, por los organismos jurisdiccionales de la Policía</w:t>
      </w:r>
      <w:r w:rsidRPr="00CF1787">
        <w:rPr>
          <w:rStyle w:val="FootnoteReference"/>
          <w:sz w:val="20"/>
          <w:szCs w:val="20"/>
          <w:lang w:val="es-CR"/>
        </w:rPr>
        <w:footnoteReference w:id="115"/>
      </w:r>
      <w:r w:rsidR="003E6E66" w:rsidRPr="00CF1787">
        <w:rPr>
          <w:szCs w:val="20"/>
          <w:lang w:val="es-CR"/>
        </w:rPr>
        <w:t xml:space="preserve">. </w:t>
      </w:r>
      <w:r w:rsidRPr="00CF1787">
        <w:rPr>
          <w:szCs w:val="20"/>
          <w:lang w:val="es-CR"/>
        </w:rPr>
        <w:t>El artículo 62 de la misma ley establecía que: “[l]a Corte de Justicia de la Policía Nacional depende del Ministerio de Gobierno”</w:t>
      </w:r>
      <w:r w:rsidRPr="00CF1787">
        <w:rPr>
          <w:rStyle w:val="FootnoteReference"/>
          <w:sz w:val="20"/>
          <w:szCs w:val="20"/>
          <w:lang w:val="es-CR"/>
        </w:rPr>
        <w:footnoteReference w:id="116"/>
      </w:r>
      <w:r w:rsidRPr="00CF1787">
        <w:rPr>
          <w:szCs w:val="20"/>
          <w:lang w:val="es-CR"/>
        </w:rPr>
        <w:t xml:space="preserve"> y el artículo 71 de la Ley de la Función Judicial de la Policía Nacional establecía que: “[e]l Ministro de Gobierno </w:t>
      </w:r>
      <w:proofErr w:type="gramStart"/>
      <w:r w:rsidRPr="00CF1787">
        <w:rPr>
          <w:szCs w:val="20"/>
          <w:lang w:val="es-CR"/>
        </w:rPr>
        <w:lastRenderedPageBreak/>
        <w:t>t[</w:t>
      </w:r>
      <w:proofErr w:type="spellStart"/>
      <w:proofErr w:type="gramEnd"/>
      <w:r w:rsidRPr="00CF1787">
        <w:rPr>
          <w:szCs w:val="20"/>
          <w:lang w:val="es-CR"/>
        </w:rPr>
        <w:t>enía</w:t>
      </w:r>
      <w:proofErr w:type="spellEnd"/>
      <w:r w:rsidRPr="00CF1787">
        <w:rPr>
          <w:szCs w:val="20"/>
          <w:lang w:val="es-CR"/>
        </w:rPr>
        <w:t xml:space="preserve">] la </w:t>
      </w:r>
      <w:proofErr w:type="spellStart"/>
      <w:r w:rsidRPr="00CF1787">
        <w:rPr>
          <w:szCs w:val="20"/>
          <w:lang w:val="es-CR"/>
        </w:rPr>
        <w:t>supervigilancia</w:t>
      </w:r>
      <w:proofErr w:type="spellEnd"/>
      <w:r w:rsidRPr="00CF1787">
        <w:rPr>
          <w:szCs w:val="20"/>
          <w:lang w:val="es-CR"/>
        </w:rPr>
        <w:t xml:space="preserve"> de la administración de justicia”</w:t>
      </w:r>
      <w:r w:rsidRPr="00CF1787">
        <w:rPr>
          <w:rStyle w:val="FootnoteReference"/>
          <w:sz w:val="20"/>
          <w:szCs w:val="20"/>
          <w:lang w:val="es-CR"/>
        </w:rPr>
        <w:footnoteReference w:id="117"/>
      </w:r>
      <w:r w:rsidRPr="00CF1787">
        <w:rPr>
          <w:szCs w:val="20"/>
          <w:lang w:val="es-CR"/>
        </w:rPr>
        <w:t xml:space="preserve"> de la Policía Nacional. En virtud de dichas disposiciones el perito Juan Pablo Albán indicó que la jurisdicción penal policial dependía “administrativa y funcionalmente […] del Poder Ejecutivo” y no formaba parte del Poder Judicial, sino “quien tenía la última palabra necesariamente era el Ministro de Gobierno”</w:t>
      </w:r>
      <w:r w:rsidRPr="00CF1787">
        <w:rPr>
          <w:rStyle w:val="FootnoteReference"/>
          <w:sz w:val="20"/>
          <w:szCs w:val="20"/>
          <w:lang w:val="es-CR"/>
        </w:rPr>
        <w:footnoteReference w:id="118"/>
      </w:r>
      <w:r w:rsidRPr="00CF1787">
        <w:rPr>
          <w:szCs w:val="20"/>
          <w:lang w:val="es-CR"/>
        </w:rPr>
        <w:t>.</w:t>
      </w:r>
      <w:bookmarkEnd w:id="390"/>
      <w:r w:rsidRPr="00CF1787">
        <w:rPr>
          <w:szCs w:val="20"/>
          <w:lang w:val="es-CR"/>
        </w:rPr>
        <w:t xml:space="preserve"> </w:t>
      </w:r>
    </w:p>
    <w:p w14:paraId="3AAF6469" w14:textId="77777777" w:rsidR="00D52AD2" w:rsidRPr="00CF1787" w:rsidRDefault="00D52AD2" w:rsidP="00D52AD2">
      <w:pPr>
        <w:pStyle w:val="NoSpacing"/>
        <w:tabs>
          <w:tab w:val="left" w:pos="567"/>
        </w:tabs>
        <w:rPr>
          <w:szCs w:val="20"/>
          <w:lang w:val="es-CR"/>
        </w:rPr>
      </w:pPr>
    </w:p>
    <w:p w14:paraId="75ABD9F2" w14:textId="170170D9" w:rsidR="00D52AD2" w:rsidRPr="00CF1787" w:rsidRDefault="00D52AD2" w:rsidP="00D52AD2">
      <w:pPr>
        <w:pStyle w:val="NoSpacing"/>
        <w:numPr>
          <w:ilvl w:val="0"/>
          <w:numId w:val="5"/>
        </w:numPr>
        <w:tabs>
          <w:tab w:val="left" w:pos="567"/>
        </w:tabs>
        <w:ind w:left="0" w:firstLine="0"/>
        <w:rPr>
          <w:szCs w:val="20"/>
          <w:lang w:val="es-CR"/>
        </w:rPr>
      </w:pPr>
      <w:r w:rsidRPr="00CF1787">
        <w:rPr>
          <w:szCs w:val="20"/>
          <w:lang w:val="es-CR"/>
        </w:rPr>
        <w:t>De acuerdo al Estado, si bien existía una vinculación entre la jurisdicción penal policial y el poder ejecutivo, en la tramitación de las causas penales policiales “no existía intervención del poder ejecutivo”, en tanto los órganos jurisdiccionales en el Ecuador gozaban de independencia en el ejercicio de sus funciones</w:t>
      </w:r>
      <w:r w:rsidRPr="00CF1787">
        <w:rPr>
          <w:rStyle w:val="FootnoteReference"/>
          <w:lang w:val="es-CR"/>
        </w:rPr>
        <w:footnoteReference w:id="119"/>
      </w:r>
      <w:r w:rsidRPr="00CF1787">
        <w:rPr>
          <w:szCs w:val="20"/>
          <w:lang w:val="es-CR"/>
        </w:rPr>
        <w:t xml:space="preserve">. Al respecto, la Corte recuerda que </w:t>
      </w:r>
      <w:bookmarkStart w:id="391" w:name="_Ref427197056"/>
      <w:r w:rsidRPr="00CF1787">
        <w:rPr>
          <w:szCs w:val="20"/>
          <w:lang w:val="es-CR"/>
        </w:rPr>
        <w:t>la independencia de la jurisdicción, como la imparcialidad (</w:t>
      </w:r>
      <w:r w:rsidRPr="00CF1787">
        <w:rPr>
          <w:i/>
          <w:szCs w:val="20"/>
          <w:lang w:val="es-CR"/>
        </w:rPr>
        <w:t>supra</w:t>
      </w:r>
      <w:r w:rsidRPr="00CF1787">
        <w:rPr>
          <w:szCs w:val="20"/>
          <w:lang w:val="es-CR"/>
        </w:rPr>
        <w:t xml:space="preserve"> párr. </w:t>
      </w:r>
      <w:r w:rsidRPr="00CF1787">
        <w:rPr>
          <w:szCs w:val="20"/>
          <w:lang w:val="es-CR"/>
        </w:rPr>
        <w:fldChar w:fldCharType="begin"/>
      </w:r>
      <w:r w:rsidRPr="00CF1787">
        <w:rPr>
          <w:szCs w:val="20"/>
          <w:lang w:val="es-CR"/>
        </w:rPr>
        <w:instrText xml:space="preserve"> REF _Ref469986694 \r \h </w:instrText>
      </w:r>
      <w:r w:rsidR="00CF1787">
        <w:rPr>
          <w:szCs w:val="20"/>
          <w:lang w:val="es-CR"/>
        </w:rPr>
        <w:instrText xml:space="preserve"> \* MERGEFORMAT </w:instrText>
      </w:r>
      <w:r w:rsidRPr="00CF1787">
        <w:rPr>
          <w:szCs w:val="20"/>
          <w:lang w:val="es-CR"/>
        </w:rPr>
      </w:r>
      <w:r w:rsidRPr="00CF1787">
        <w:rPr>
          <w:szCs w:val="20"/>
          <w:lang w:val="es-CR"/>
        </w:rPr>
        <w:fldChar w:fldCharType="separate"/>
      </w:r>
      <w:r w:rsidR="00536893">
        <w:rPr>
          <w:szCs w:val="20"/>
          <w:lang w:val="es-CR"/>
        </w:rPr>
        <w:t>93</w:t>
      </w:r>
      <w:r w:rsidRPr="00CF1787">
        <w:rPr>
          <w:szCs w:val="20"/>
          <w:lang w:val="es-CR"/>
        </w:rPr>
        <w:fldChar w:fldCharType="end"/>
      </w:r>
      <w:r w:rsidRPr="00CF1787">
        <w:rPr>
          <w:szCs w:val="20"/>
          <w:lang w:val="es-CR"/>
        </w:rPr>
        <w:t>), debe ser garantizada por el Estado tanto en su faceta institucional, esto es, en relación con el Poder Judicial como sistema, así como también en conexión con su vertiente individual, es decir, con relación a la persona del juez específico. El objetivo de la protección radica en evitar que el sistema judicial en general y sus integrantes en particular se vean sometidos a posibles restricciones indebidas en el ejercicio de su función por parte de órganos ajenos al Poder Judicial o incluso por parte de aquellos magistrados que ejercen funciones de revisión o apelación</w:t>
      </w:r>
      <w:r w:rsidRPr="00CF1787">
        <w:rPr>
          <w:rStyle w:val="FootnoteReference"/>
          <w:sz w:val="20"/>
          <w:szCs w:val="20"/>
          <w:lang w:val="es-CR"/>
        </w:rPr>
        <w:footnoteReference w:id="120"/>
      </w:r>
      <w:r w:rsidRPr="00CF1787">
        <w:rPr>
          <w:szCs w:val="20"/>
          <w:lang w:val="es-CR"/>
        </w:rPr>
        <w:t>.</w:t>
      </w:r>
      <w:bookmarkEnd w:id="391"/>
      <w:r w:rsidRPr="00CF1787">
        <w:rPr>
          <w:szCs w:val="20"/>
          <w:lang w:val="es-CR"/>
        </w:rPr>
        <w:t xml:space="preserve"> Los justiciables tienen el derecho, derivado de la Convención Americana, a que los jueces que resuelven sus controversias sean y aparenten ser independientes</w:t>
      </w:r>
      <w:r w:rsidRPr="00CF1787">
        <w:rPr>
          <w:rStyle w:val="FootnoteReference"/>
          <w:sz w:val="20"/>
          <w:szCs w:val="20"/>
          <w:lang w:val="es-CR"/>
        </w:rPr>
        <w:footnoteReference w:id="121"/>
      </w:r>
      <w:r w:rsidRPr="00CF1787">
        <w:rPr>
          <w:szCs w:val="20"/>
          <w:lang w:val="es-CR"/>
        </w:rPr>
        <w:t xml:space="preserve">. </w:t>
      </w:r>
    </w:p>
    <w:p w14:paraId="5CD515E5" w14:textId="77777777" w:rsidR="00D52AD2" w:rsidRPr="00CF1787" w:rsidRDefault="00D52AD2" w:rsidP="00D52AD2">
      <w:pPr>
        <w:pStyle w:val="NoSpacing"/>
        <w:tabs>
          <w:tab w:val="left" w:pos="567"/>
        </w:tabs>
        <w:rPr>
          <w:szCs w:val="20"/>
          <w:lang w:val="es-CR"/>
        </w:rPr>
      </w:pPr>
    </w:p>
    <w:p w14:paraId="75B5CB21" w14:textId="69971147" w:rsidR="00D52AD2" w:rsidRPr="00CF1787" w:rsidRDefault="00D52AD2" w:rsidP="00D52AD2">
      <w:pPr>
        <w:pStyle w:val="NoSpacing"/>
        <w:numPr>
          <w:ilvl w:val="0"/>
          <w:numId w:val="5"/>
        </w:numPr>
        <w:tabs>
          <w:tab w:val="left" w:pos="567"/>
        </w:tabs>
        <w:ind w:left="0" w:firstLine="0"/>
        <w:rPr>
          <w:szCs w:val="20"/>
          <w:lang w:val="es-CR"/>
        </w:rPr>
      </w:pPr>
      <w:r w:rsidRPr="00CF1787">
        <w:rPr>
          <w:szCs w:val="20"/>
          <w:lang w:val="es-CR"/>
        </w:rPr>
        <w:t xml:space="preserve">En este caso, por ley expresa la jurisdicción penal policial dependía del Poder Ejecutivo, por lo cual no se ofrecían garantías de independencia e imparcialidad desde el punto de vista institucional. Adicionalmente, a esta dependencia institucional se une el hecho que los jueces, fiscales y magistrados de la jurisdicción penal policial en el Ecuador eran designados y removidos por el Ministro de Gobierno, lo cual se examinará </w:t>
      </w:r>
      <w:r w:rsidRPr="00CF1787">
        <w:rPr>
          <w:i/>
          <w:szCs w:val="20"/>
          <w:lang w:val="es-CR"/>
        </w:rPr>
        <w:t>infra</w:t>
      </w:r>
      <w:r w:rsidR="001362BC" w:rsidRPr="00CF1787">
        <w:rPr>
          <w:szCs w:val="20"/>
          <w:lang w:val="es-CR"/>
        </w:rPr>
        <w:t xml:space="preserve"> (párr</w:t>
      </w:r>
      <w:r w:rsidRPr="00CF1787">
        <w:rPr>
          <w:szCs w:val="20"/>
          <w:lang w:val="es-CR"/>
        </w:rPr>
        <w:t xml:space="preserve">. </w:t>
      </w:r>
      <w:r w:rsidRPr="00CF1787">
        <w:fldChar w:fldCharType="begin"/>
      </w:r>
      <w:r w:rsidRPr="00CF1787">
        <w:instrText xml:space="preserve"> REF _Ref462085997 \r \h  \* MERGEFORMAT </w:instrText>
      </w:r>
      <w:r w:rsidRPr="00CF1787">
        <w:fldChar w:fldCharType="separate"/>
      </w:r>
      <w:r w:rsidR="00536893" w:rsidRPr="00536893">
        <w:rPr>
          <w:szCs w:val="20"/>
          <w:lang w:val="es-CR"/>
        </w:rPr>
        <w:t>104</w:t>
      </w:r>
      <w:r w:rsidRPr="00CF1787">
        <w:fldChar w:fldCharType="end"/>
      </w:r>
      <w:r w:rsidRPr="00CF1787">
        <w:rPr>
          <w:szCs w:val="20"/>
          <w:lang w:val="es-CR"/>
        </w:rPr>
        <w:t xml:space="preserve">). </w:t>
      </w:r>
    </w:p>
    <w:p w14:paraId="5A3EA221" w14:textId="77777777" w:rsidR="00D52AD2" w:rsidRPr="00CF1787" w:rsidRDefault="00D52AD2" w:rsidP="00D52AD2">
      <w:pPr>
        <w:pStyle w:val="NoSpacing"/>
        <w:tabs>
          <w:tab w:val="left" w:pos="567"/>
        </w:tabs>
        <w:rPr>
          <w:szCs w:val="20"/>
          <w:lang w:val="es-CR"/>
        </w:rPr>
      </w:pPr>
    </w:p>
    <w:p w14:paraId="2FDEB078" w14:textId="77777777" w:rsidR="00D52AD2" w:rsidRPr="00CF1787" w:rsidRDefault="00D52AD2" w:rsidP="00D52AD2">
      <w:pPr>
        <w:pStyle w:val="Heading4"/>
      </w:pPr>
      <w:bookmarkStart w:id="392" w:name="_Toc470098057"/>
      <w:r w:rsidRPr="00CF1787">
        <w:t>A.2.b La composición de cada instancia dentro de la jurisdicción penal policial</w:t>
      </w:r>
      <w:bookmarkEnd w:id="392"/>
    </w:p>
    <w:p w14:paraId="0D24B554" w14:textId="77777777" w:rsidR="00D52AD2" w:rsidRPr="00CF1787" w:rsidRDefault="00D52AD2" w:rsidP="00D52AD2">
      <w:pPr>
        <w:pStyle w:val="NoSpacing"/>
        <w:tabs>
          <w:tab w:val="left" w:pos="567"/>
        </w:tabs>
        <w:rPr>
          <w:szCs w:val="20"/>
          <w:lang w:val="es-CR"/>
        </w:rPr>
      </w:pPr>
    </w:p>
    <w:p w14:paraId="544D00CD" w14:textId="2D52F4F9" w:rsidR="00D52AD2" w:rsidRPr="00CF1787" w:rsidRDefault="00D52AD2" w:rsidP="00D52AD2">
      <w:pPr>
        <w:pStyle w:val="NoSpacing"/>
        <w:numPr>
          <w:ilvl w:val="0"/>
          <w:numId w:val="5"/>
        </w:numPr>
        <w:tabs>
          <w:tab w:val="left" w:pos="567"/>
        </w:tabs>
        <w:ind w:left="0" w:firstLine="0"/>
        <w:rPr>
          <w:b/>
          <w:szCs w:val="20"/>
          <w:lang w:val="es-CR"/>
        </w:rPr>
      </w:pPr>
      <w:bookmarkStart w:id="393" w:name="_Ref462085906"/>
      <w:r w:rsidRPr="00CF1787">
        <w:rPr>
          <w:szCs w:val="20"/>
          <w:lang w:val="es-CR"/>
        </w:rPr>
        <w:t>El sistema de justicia policial estaba compuesto por: (1) los Jueces de Distrito de la Policía Nacional, con competencia para instruir el sumario, quienes eran los responsables de la investigación, es decir, “de levantar la evidencia con la cual se evaluaría luego si había mérito para avanzar, o no, a un juicio”</w:t>
      </w:r>
      <w:r w:rsidRPr="00CF1787">
        <w:rPr>
          <w:rStyle w:val="FootnoteReference"/>
          <w:rFonts w:eastAsiaTheme="minorHAnsi"/>
          <w:sz w:val="20"/>
          <w:szCs w:val="20"/>
          <w:lang w:val="es-CR"/>
        </w:rPr>
        <w:footnoteReference w:id="122"/>
      </w:r>
      <w:r w:rsidRPr="00CF1787">
        <w:rPr>
          <w:szCs w:val="20"/>
          <w:lang w:val="es-CR"/>
        </w:rPr>
        <w:t>; (2) los Tribunales del Crimen de la Policía Nacional, que ocupaban la primera instancia y sustanciaban la fase de juicio o plenaria del proceso penal</w:t>
      </w:r>
      <w:r w:rsidRPr="00CF1787">
        <w:rPr>
          <w:rStyle w:val="FootnoteReference"/>
          <w:sz w:val="20"/>
          <w:szCs w:val="20"/>
          <w:lang w:val="es-CR"/>
        </w:rPr>
        <w:footnoteReference w:id="123"/>
      </w:r>
      <w:r w:rsidRPr="00CF1787">
        <w:rPr>
          <w:szCs w:val="20"/>
          <w:lang w:val="es-CR"/>
        </w:rPr>
        <w:t xml:space="preserve">; </w:t>
      </w:r>
      <w:r w:rsidRPr="00CF1787">
        <w:rPr>
          <w:szCs w:val="20"/>
          <w:lang w:val="es-CR"/>
        </w:rPr>
        <w:lastRenderedPageBreak/>
        <w:t>(3) las Corte Superiores, luego conocidas como Cortes Distritales de Policía, que ejercían la segunda instancia y tenían competencia para conocer los recursos de apelación, las consultas respecto de los autos de sobreseimiento, provisionales o definitivos, y de los autos en que se declaraba incompetente el fuero policial para conocer un determinado asunto, y (4) una Corte Suprema de Justicia de la Policía, que luego se llamó la Corte de Justicia de la Policía Nacional, con competencia en todo el territorio nacional para conocer los “recursos de tercera instancia” y de revisión en los procesos penales policiales (</w:t>
      </w:r>
      <w:r w:rsidRPr="00CF1787">
        <w:rPr>
          <w:i/>
          <w:szCs w:val="20"/>
          <w:lang w:val="es-CR"/>
        </w:rPr>
        <w:t xml:space="preserve">supra </w:t>
      </w:r>
      <w:r w:rsidRPr="00CF1787">
        <w:rPr>
          <w:szCs w:val="20"/>
          <w:lang w:val="es-CR"/>
        </w:rPr>
        <w:t xml:space="preserve">párr. </w:t>
      </w:r>
      <w:r w:rsidRPr="00CF1787">
        <w:rPr>
          <w:szCs w:val="20"/>
          <w:lang w:val="es-CR"/>
        </w:rPr>
        <w:fldChar w:fldCharType="begin"/>
      </w:r>
      <w:r w:rsidRPr="00CF1787">
        <w:rPr>
          <w:szCs w:val="20"/>
          <w:lang w:val="es-CR"/>
        </w:rPr>
        <w:instrText xml:space="preserve"> REF _Ref469987053 \r \h </w:instrText>
      </w:r>
      <w:r w:rsidR="00CF1787">
        <w:rPr>
          <w:szCs w:val="20"/>
          <w:lang w:val="es-CR"/>
        </w:rPr>
        <w:instrText xml:space="preserve"> \* MERGEFORMAT </w:instrText>
      </w:r>
      <w:r w:rsidRPr="00CF1787">
        <w:rPr>
          <w:szCs w:val="20"/>
          <w:lang w:val="es-CR"/>
        </w:rPr>
      </w:r>
      <w:r w:rsidRPr="00CF1787">
        <w:rPr>
          <w:szCs w:val="20"/>
          <w:lang w:val="es-CR"/>
        </w:rPr>
        <w:fldChar w:fldCharType="separate"/>
      </w:r>
      <w:r w:rsidR="00536893">
        <w:rPr>
          <w:szCs w:val="20"/>
          <w:lang w:val="es-CR"/>
        </w:rPr>
        <w:t>63</w:t>
      </w:r>
      <w:r w:rsidRPr="00CF1787">
        <w:rPr>
          <w:szCs w:val="20"/>
          <w:lang w:val="es-CR"/>
        </w:rPr>
        <w:fldChar w:fldCharType="end"/>
      </w:r>
      <w:r w:rsidRPr="00CF1787">
        <w:rPr>
          <w:szCs w:val="20"/>
          <w:lang w:val="es-CR"/>
        </w:rPr>
        <w:t>). Además de estos órganos judiciales, existían los fiscales de distrito de la Policía Nacional</w:t>
      </w:r>
      <w:r w:rsidRPr="00CF1787">
        <w:rPr>
          <w:rStyle w:val="FootnoteReference"/>
          <w:sz w:val="20"/>
          <w:szCs w:val="20"/>
          <w:lang w:val="es-CR"/>
        </w:rPr>
        <w:footnoteReference w:id="124"/>
      </w:r>
      <w:r w:rsidRPr="00CF1787">
        <w:rPr>
          <w:szCs w:val="20"/>
          <w:lang w:val="es-CR"/>
        </w:rPr>
        <w:t xml:space="preserve"> como órganos auxiliares que, bajo el sistema inquisitivo penal existente en la época de los hechos, tenían competencia “únicamente de opinar sobre la conclusión del sumario si consideraban que había, o no, mérito para avanzar a fase de juicio, pero esa opinión de la Fiscalía no tenía fuerza vinculante alguna para el juez”</w:t>
      </w:r>
      <w:r w:rsidRPr="00CF1787">
        <w:rPr>
          <w:rStyle w:val="FootnoteReference"/>
          <w:sz w:val="20"/>
          <w:szCs w:val="20"/>
          <w:lang w:val="es-CR"/>
        </w:rPr>
        <w:footnoteReference w:id="125"/>
      </w:r>
      <w:r w:rsidRPr="00CF1787">
        <w:rPr>
          <w:szCs w:val="20"/>
          <w:lang w:val="es-CR"/>
        </w:rPr>
        <w:t>.</w:t>
      </w:r>
      <w:bookmarkEnd w:id="393"/>
      <w:r w:rsidRPr="00CF1787">
        <w:rPr>
          <w:szCs w:val="20"/>
          <w:lang w:val="es-CR"/>
        </w:rPr>
        <w:t xml:space="preserve"> </w:t>
      </w:r>
    </w:p>
    <w:p w14:paraId="29249589" w14:textId="77777777" w:rsidR="00D52AD2" w:rsidRPr="00CF1787" w:rsidRDefault="00D52AD2" w:rsidP="00D52AD2">
      <w:pPr>
        <w:pStyle w:val="NoSpacing"/>
        <w:tabs>
          <w:tab w:val="left" w:pos="567"/>
        </w:tabs>
        <w:rPr>
          <w:b/>
          <w:szCs w:val="20"/>
          <w:lang w:val="es-CR"/>
        </w:rPr>
      </w:pPr>
    </w:p>
    <w:p w14:paraId="7B89732C" w14:textId="628CD184" w:rsidR="00D52AD2" w:rsidRPr="00CF1787" w:rsidRDefault="00D52AD2" w:rsidP="00D52AD2">
      <w:pPr>
        <w:pStyle w:val="NoSpacing"/>
        <w:numPr>
          <w:ilvl w:val="0"/>
          <w:numId w:val="5"/>
        </w:numPr>
        <w:tabs>
          <w:tab w:val="left" w:pos="567"/>
        </w:tabs>
        <w:ind w:left="0" w:firstLine="0"/>
        <w:rPr>
          <w:szCs w:val="20"/>
          <w:lang w:val="es-CR"/>
        </w:rPr>
      </w:pPr>
      <w:r w:rsidRPr="00CF1787">
        <w:rPr>
          <w:szCs w:val="20"/>
          <w:lang w:val="es-CR"/>
        </w:rPr>
        <w:t>De estas autoridades judiciales, en la investigación por la muerte del señor Valencia Hinojosa solo intervinieron jueces de distrito, fiscales y las cortes superiores de distrito, en tanto la causa fue sobreseída antes de pasar a juicio (</w:t>
      </w:r>
      <w:r w:rsidRPr="00CF1787">
        <w:rPr>
          <w:i/>
          <w:szCs w:val="20"/>
          <w:lang w:val="es-CR"/>
        </w:rPr>
        <w:t>supra</w:t>
      </w:r>
      <w:r w:rsidRPr="00CF1787">
        <w:rPr>
          <w:szCs w:val="20"/>
          <w:lang w:val="es-CR"/>
        </w:rPr>
        <w:t xml:space="preserve"> </w:t>
      </w:r>
      <w:proofErr w:type="spellStart"/>
      <w:r w:rsidRPr="00CF1787">
        <w:rPr>
          <w:szCs w:val="20"/>
          <w:lang w:val="es-CR"/>
        </w:rPr>
        <w:t>párrs</w:t>
      </w:r>
      <w:proofErr w:type="spellEnd"/>
      <w:r w:rsidRPr="00CF1787">
        <w:rPr>
          <w:szCs w:val="20"/>
          <w:lang w:val="es-CR"/>
        </w:rPr>
        <w:t xml:space="preserve">. </w:t>
      </w:r>
      <w:r w:rsidR="001362BC" w:rsidRPr="00CF1787">
        <w:fldChar w:fldCharType="begin"/>
      </w:r>
      <w:r w:rsidR="001362BC" w:rsidRPr="00CF1787">
        <w:rPr>
          <w:szCs w:val="20"/>
          <w:lang w:val="es-CR"/>
        </w:rPr>
        <w:instrText xml:space="preserve"> REF _Ref462156981 \r \h </w:instrText>
      </w:r>
      <w:r w:rsidR="00CF1787">
        <w:instrText xml:space="preserve"> \* MERGEFORMAT </w:instrText>
      </w:r>
      <w:r w:rsidR="001362BC" w:rsidRPr="00CF1787">
        <w:fldChar w:fldCharType="separate"/>
      </w:r>
      <w:r w:rsidR="00536893">
        <w:rPr>
          <w:szCs w:val="20"/>
          <w:lang w:val="es-CR"/>
        </w:rPr>
        <w:t>67</w:t>
      </w:r>
      <w:r w:rsidR="001362BC" w:rsidRPr="00CF1787">
        <w:fldChar w:fldCharType="end"/>
      </w:r>
      <w:r w:rsidR="001362BC" w:rsidRPr="00CF1787">
        <w:t xml:space="preserve"> </w:t>
      </w:r>
      <w:r w:rsidRPr="00CF1787">
        <w:rPr>
          <w:szCs w:val="20"/>
          <w:lang w:val="es-CR"/>
        </w:rPr>
        <w:t xml:space="preserve">a </w:t>
      </w:r>
      <w:r w:rsidRPr="00CF1787">
        <w:fldChar w:fldCharType="begin"/>
      </w:r>
      <w:r w:rsidRPr="00CF1787">
        <w:instrText xml:space="preserve"> REF _Ref462078622 \r \h  \* MERGEFORMAT </w:instrText>
      </w:r>
      <w:r w:rsidRPr="00CF1787">
        <w:fldChar w:fldCharType="separate"/>
      </w:r>
      <w:r w:rsidR="00536893" w:rsidRPr="00536893">
        <w:rPr>
          <w:szCs w:val="20"/>
          <w:lang w:val="es-CR"/>
        </w:rPr>
        <w:t>73</w:t>
      </w:r>
      <w:r w:rsidRPr="00CF1787">
        <w:fldChar w:fldCharType="end"/>
      </w:r>
      <w:r w:rsidRPr="00CF1787">
        <w:rPr>
          <w:szCs w:val="20"/>
          <w:lang w:val="es-CR"/>
        </w:rPr>
        <w:t xml:space="preserve">). </w:t>
      </w:r>
    </w:p>
    <w:p w14:paraId="631446FC" w14:textId="77777777" w:rsidR="00D52AD2" w:rsidRPr="00CF1787" w:rsidRDefault="00D52AD2" w:rsidP="00D52AD2">
      <w:pPr>
        <w:pStyle w:val="NoSpacing"/>
        <w:tabs>
          <w:tab w:val="left" w:pos="567"/>
        </w:tabs>
        <w:rPr>
          <w:szCs w:val="20"/>
          <w:lang w:val="es-CR"/>
        </w:rPr>
      </w:pPr>
    </w:p>
    <w:p w14:paraId="1BF40FE2" w14:textId="77777777" w:rsidR="00D52AD2" w:rsidRPr="00CF1787" w:rsidRDefault="00D52AD2" w:rsidP="00D52AD2">
      <w:pPr>
        <w:pStyle w:val="NoSpacing"/>
        <w:numPr>
          <w:ilvl w:val="0"/>
          <w:numId w:val="5"/>
        </w:numPr>
        <w:tabs>
          <w:tab w:val="left" w:pos="567"/>
        </w:tabs>
        <w:ind w:left="0" w:firstLine="0"/>
        <w:rPr>
          <w:szCs w:val="20"/>
          <w:lang w:val="es-CR"/>
        </w:rPr>
      </w:pPr>
      <w:r w:rsidRPr="00CF1787">
        <w:rPr>
          <w:szCs w:val="20"/>
          <w:lang w:val="es-CR"/>
        </w:rPr>
        <w:t>Respecto de estas autoridades judiciales, la Ley de la Función Judicial de la Policía establecía que los jueces de distrito y los fiscales, debían tener la condición de oficial en servicio activo y ser abogados</w:t>
      </w:r>
      <w:r w:rsidRPr="00CF1787">
        <w:rPr>
          <w:rStyle w:val="FootnoteReference"/>
          <w:sz w:val="20"/>
          <w:szCs w:val="20"/>
          <w:lang w:val="es-CR"/>
        </w:rPr>
        <w:footnoteReference w:id="126"/>
      </w:r>
      <w:r w:rsidRPr="00CF1787">
        <w:rPr>
          <w:szCs w:val="20"/>
          <w:lang w:val="es-CR"/>
        </w:rPr>
        <w:t>. Las Cortes Superiores, que en este caso confirmaron el sobreseimiento, estaban integradas por: “[d]</w:t>
      </w:r>
      <w:r w:rsidRPr="00CF1787">
        <w:rPr>
          <w:rFonts w:cs="Arial"/>
          <w:bCs/>
          <w:szCs w:val="20"/>
          <w:lang w:val="es-CR"/>
        </w:rPr>
        <w:t>os oficiales superiores en servicio activo o en situación de retiro de la Policía Nacional, debiendo ser presidida por el de mayor jerarquía y antigüedad y por tres abogados con título de Doctor en Jurisprudencia”</w:t>
      </w:r>
      <w:r w:rsidRPr="00CF1787">
        <w:rPr>
          <w:rStyle w:val="FootnoteReference"/>
          <w:sz w:val="20"/>
          <w:szCs w:val="20"/>
          <w:lang w:val="es-CR"/>
        </w:rPr>
        <w:footnoteReference w:id="127"/>
      </w:r>
      <w:r w:rsidRPr="00CF1787">
        <w:rPr>
          <w:rFonts w:cs="Arial"/>
          <w:bCs/>
          <w:szCs w:val="20"/>
          <w:lang w:val="es-CR"/>
        </w:rPr>
        <w:t>.</w:t>
      </w:r>
    </w:p>
    <w:p w14:paraId="7D121EE0" w14:textId="77777777" w:rsidR="00D52AD2" w:rsidRPr="00CF1787" w:rsidRDefault="00D52AD2" w:rsidP="00D52AD2">
      <w:pPr>
        <w:pStyle w:val="NoSpacing"/>
        <w:tabs>
          <w:tab w:val="left" w:pos="567"/>
        </w:tabs>
        <w:rPr>
          <w:szCs w:val="20"/>
          <w:lang w:val="es-CR"/>
        </w:rPr>
      </w:pPr>
    </w:p>
    <w:p w14:paraId="3B37660B" w14:textId="77777777" w:rsidR="00D52AD2" w:rsidRPr="00CF1787" w:rsidRDefault="00D52AD2" w:rsidP="00D52AD2">
      <w:pPr>
        <w:pStyle w:val="NoSpacing"/>
        <w:numPr>
          <w:ilvl w:val="0"/>
          <w:numId w:val="5"/>
        </w:numPr>
        <w:tabs>
          <w:tab w:val="left" w:pos="567"/>
        </w:tabs>
        <w:ind w:left="0" w:firstLine="0"/>
        <w:rPr>
          <w:szCs w:val="20"/>
          <w:lang w:val="es-CR"/>
        </w:rPr>
      </w:pPr>
      <w:r w:rsidRPr="00CF1787">
        <w:rPr>
          <w:szCs w:val="20"/>
          <w:lang w:val="es-CR"/>
        </w:rPr>
        <w:t xml:space="preserve">Los magistrados de las Cortes Superiores debían cumplir los mismos requisitos que para ser Ministros de las Cortes Suprema y superiores en la jurisdicción ordinaria, </w:t>
      </w:r>
      <w:r w:rsidRPr="00CF1787">
        <w:rPr>
          <w:szCs w:val="20"/>
          <w:lang w:val="es-CR"/>
        </w:rPr>
        <w:lastRenderedPageBreak/>
        <w:t>respectivamente</w:t>
      </w:r>
      <w:r w:rsidRPr="00CF1787">
        <w:rPr>
          <w:rStyle w:val="FootnoteReference"/>
          <w:sz w:val="20"/>
          <w:szCs w:val="20"/>
          <w:lang w:val="es-CR"/>
        </w:rPr>
        <w:footnoteReference w:id="128"/>
      </w:r>
      <w:r w:rsidRPr="00CF1787">
        <w:rPr>
          <w:szCs w:val="20"/>
          <w:lang w:val="es-CR"/>
        </w:rPr>
        <w:t>, por lo que requerían “ser doctor en Jurisprudencia y haber ejercido su profesión o magistratura de los juzgados o cortes superiores, por un tiempo” determinado</w:t>
      </w:r>
      <w:r w:rsidRPr="00CF1787">
        <w:rPr>
          <w:rStyle w:val="FootnoteReference"/>
          <w:sz w:val="20"/>
          <w:szCs w:val="20"/>
          <w:lang w:val="es-CR"/>
        </w:rPr>
        <w:footnoteReference w:id="129"/>
      </w:r>
      <w:r w:rsidRPr="00CF1787">
        <w:rPr>
          <w:szCs w:val="20"/>
          <w:lang w:val="es-CR"/>
        </w:rPr>
        <w:t xml:space="preserve">. </w:t>
      </w:r>
    </w:p>
    <w:p w14:paraId="575298C6" w14:textId="77777777" w:rsidR="00D52AD2" w:rsidRPr="00CF1787" w:rsidRDefault="00D52AD2" w:rsidP="00D52AD2">
      <w:pPr>
        <w:pStyle w:val="NoSpacing"/>
        <w:tabs>
          <w:tab w:val="left" w:pos="567"/>
        </w:tabs>
        <w:rPr>
          <w:szCs w:val="20"/>
          <w:lang w:val="es-CR"/>
        </w:rPr>
      </w:pPr>
    </w:p>
    <w:p w14:paraId="16BBC989" w14:textId="7BA6DEE1" w:rsidR="00D52AD2" w:rsidRPr="00CF1787" w:rsidRDefault="00D52AD2" w:rsidP="00D52AD2">
      <w:pPr>
        <w:pStyle w:val="NoSpacing"/>
        <w:numPr>
          <w:ilvl w:val="0"/>
          <w:numId w:val="5"/>
        </w:numPr>
        <w:tabs>
          <w:tab w:val="left" w:pos="567"/>
        </w:tabs>
        <w:ind w:left="0" w:firstLine="0"/>
        <w:rPr>
          <w:szCs w:val="20"/>
          <w:lang w:val="es-CR"/>
        </w:rPr>
      </w:pPr>
      <w:bookmarkStart w:id="394" w:name="_Ref462085911"/>
      <w:r w:rsidRPr="00CF1787">
        <w:rPr>
          <w:szCs w:val="20"/>
          <w:lang w:val="es-CR"/>
        </w:rPr>
        <w:t>Todos estos oficiales formaban parte de una rama de servicios</w:t>
      </w:r>
      <w:r w:rsidRPr="00CF1787">
        <w:rPr>
          <w:rStyle w:val="FootnoteReference"/>
          <w:sz w:val="20"/>
          <w:szCs w:val="20"/>
          <w:lang w:val="es-CR"/>
        </w:rPr>
        <w:footnoteReference w:id="130"/>
      </w:r>
      <w:r w:rsidRPr="00CF1787">
        <w:rPr>
          <w:szCs w:val="20"/>
          <w:lang w:val="es-CR"/>
        </w:rPr>
        <w:t>, dentro de la estructura de la Policía Nacional, conocida como los oficiales de justicia</w:t>
      </w:r>
      <w:r w:rsidRPr="00CF1787">
        <w:rPr>
          <w:rStyle w:val="FootnoteReference"/>
          <w:sz w:val="20"/>
          <w:szCs w:val="20"/>
          <w:lang w:val="es-CR"/>
        </w:rPr>
        <w:footnoteReference w:id="131"/>
      </w:r>
      <w:r w:rsidRPr="00CF1787">
        <w:rPr>
          <w:szCs w:val="20"/>
          <w:lang w:val="es-CR"/>
        </w:rPr>
        <w:t>, la cual estaba compuesta por oficiales con un rango policial, que más allá de su condición de policías o militares, ejercían actividad en el fuero penal policial</w:t>
      </w:r>
      <w:r w:rsidRPr="00CF1787">
        <w:rPr>
          <w:rStyle w:val="FootnoteReference"/>
          <w:sz w:val="20"/>
          <w:szCs w:val="20"/>
          <w:lang w:val="es-CR"/>
        </w:rPr>
        <w:footnoteReference w:id="132"/>
      </w:r>
      <w:r w:rsidRPr="00CF1787">
        <w:rPr>
          <w:szCs w:val="20"/>
          <w:lang w:val="es-CR"/>
        </w:rPr>
        <w:t>.</w:t>
      </w:r>
      <w:bookmarkEnd w:id="394"/>
      <w:r w:rsidRPr="00CF1787">
        <w:rPr>
          <w:szCs w:val="20"/>
          <w:lang w:val="es-CR"/>
        </w:rPr>
        <w:t xml:space="preserve"> En el mismo sentido, el Estado explicó que los oficiales de justicia ocupaban sus cargos “de acuerdo al plan de carrera policial para el servicio de justicia”, pero tenían los mismos rangos de Subteniente a General de la Policía aplicables a toda la estructura de la policía, por lo que “podía existir una relación de subordinación por los grados jerárquicos que ostentaban los oficiales de policía que desempeñaban las funciones de jueces y fiscales” entre las distintas instancias de la jurisdicción, así como respecto de las personas investigadas</w:t>
      </w:r>
      <w:r w:rsidR="001362BC" w:rsidRPr="00CF1787">
        <w:rPr>
          <w:rStyle w:val="FootnoteReference"/>
          <w:lang w:val="es-CR"/>
        </w:rPr>
        <w:footnoteReference w:id="133"/>
      </w:r>
      <w:r w:rsidRPr="00CF1787">
        <w:rPr>
          <w:szCs w:val="20"/>
          <w:lang w:val="es-CR"/>
        </w:rPr>
        <w:t xml:space="preserve">. </w:t>
      </w:r>
    </w:p>
    <w:p w14:paraId="3D2F4BEF" w14:textId="77777777" w:rsidR="00D52AD2" w:rsidRPr="00CF1787" w:rsidRDefault="00D52AD2" w:rsidP="00D52AD2">
      <w:pPr>
        <w:pStyle w:val="NoSpacing"/>
        <w:tabs>
          <w:tab w:val="left" w:pos="567"/>
        </w:tabs>
        <w:rPr>
          <w:szCs w:val="20"/>
          <w:lang w:val="es-CR"/>
        </w:rPr>
      </w:pPr>
    </w:p>
    <w:p w14:paraId="5A80EE62" w14:textId="77777777" w:rsidR="00D52AD2" w:rsidRPr="00CF1787" w:rsidRDefault="00D52AD2" w:rsidP="00D52AD2">
      <w:pPr>
        <w:pStyle w:val="NoSpacing"/>
        <w:numPr>
          <w:ilvl w:val="0"/>
          <w:numId w:val="5"/>
        </w:numPr>
        <w:tabs>
          <w:tab w:val="left" w:pos="567"/>
        </w:tabs>
        <w:ind w:left="0" w:firstLine="0"/>
        <w:rPr>
          <w:szCs w:val="20"/>
          <w:lang w:val="es-CR"/>
        </w:rPr>
      </w:pPr>
      <w:r w:rsidRPr="00CF1787">
        <w:rPr>
          <w:szCs w:val="20"/>
          <w:lang w:val="es-CR"/>
        </w:rPr>
        <w:t>Conforme surge del expediente y fue confirmado por el Estado, los jueces que conocieron de la causa por la muerte del señor Valencia Hinojosa eran Oficiales Subalternos y Superiores de la Policía Nacional. Por tanto, todas las autoridades judiciales que actuaron en el proceso por la muerte del señor Valencia</w:t>
      </w:r>
      <w:r w:rsidRPr="00CF1787">
        <w:rPr>
          <w:b/>
          <w:szCs w:val="20"/>
          <w:lang w:val="es-CR"/>
        </w:rPr>
        <w:t xml:space="preserve"> </w:t>
      </w:r>
      <w:r w:rsidRPr="00CF1787">
        <w:rPr>
          <w:szCs w:val="20"/>
          <w:lang w:val="es-CR"/>
        </w:rPr>
        <w:t>Hinojosa</w:t>
      </w:r>
      <w:r w:rsidRPr="00CF1787">
        <w:rPr>
          <w:b/>
          <w:szCs w:val="20"/>
          <w:lang w:val="es-CR"/>
        </w:rPr>
        <w:t xml:space="preserve"> </w:t>
      </w:r>
      <w:r w:rsidRPr="00CF1787">
        <w:rPr>
          <w:szCs w:val="20"/>
          <w:lang w:val="es-CR"/>
        </w:rPr>
        <w:t>eran policías, y la mayoría se encontraban en servicio activo, sujetos al principio de subordinación y cadena de mando, propios de la Policía Nacional</w:t>
      </w:r>
      <w:r w:rsidRPr="00CF1787">
        <w:rPr>
          <w:rStyle w:val="FootnoteReference"/>
          <w:sz w:val="20"/>
          <w:szCs w:val="20"/>
          <w:lang w:val="es-CR"/>
        </w:rPr>
        <w:footnoteReference w:id="134"/>
      </w:r>
      <w:r w:rsidRPr="00CF1787">
        <w:rPr>
          <w:szCs w:val="20"/>
          <w:lang w:val="es-CR"/>
        </w:rPr>
        <w:t xml:space="preserve">. </w:t>
      </w:r>
    </w:p>
    <w:p w14:paraId="1F460849" w14:textId="77777777" w:rsidR="00D52AD2" w:rsidRPr="00CF1787" w:rsidRDefault="00D52AD2" w:rsidP="00D52AD2">
      <w:pPr>
        <w:pStyle w:val="NoSpacing"/>
        <w:tabs>
          <w:tab w:val="left" w:pos="567"/>
        </w:tabs>
        <w:rPr>
          <w:i/>
          <w:szCs w:val="20"/>
          <w:lang w:val="es-CR"/>
        </w:rPr>
      </w:pPr>
    </w:p>
    <w:p w14:paraId="5CB89476" w14:textId="77777777" w:rsidR="00D52AD2" w:rsidRPr="00CF1787" w:rsidRDefault="00D52AD2" w:rsidP="00D52AD2">
      <w:pPr>
        <w:pStyle w:val="Heading4"/>
      </w:pPr>
      <w:bookmarkStart w:id="395" w:name="_Toc470098058"/>
      <w:r w:rsidRPr="00CF1787">
        <w:t>A.2.c El proceso de nombramiento de los jueces y fiscales</w:t>
      </w:r>
      <w:bookmarkEnd w:id="395"/>
    </w:p>
    <w:p w14:paraId="302458B2" w14:textId="77777777" w:rsidR="00D52AD2" w:rsidRPr="00CF1787" w:rsidRDefault="00D52AD2" w:rsidP="00D52AD2">
      <w:pPr>
        <w:pStyle w:val="NoSpacing"/>
        <w:tabs>
          <w:tab w:val="left" w:pos="567"/>
        </w:tabs>
        <w:rPr>
          <w:szCs w:val="20"/>
          <w:lang w:val="es-CR"/>
        </w:rPr>
      </w:pPr>
    </w:p>
    <w:p w14:paraId="7D6B78BB" w14:textId="77777777" w:rsidR="00D52AD2" w:rsidRPr="00CF1787" w:rsidRDefault="00D52AD2" w:rsidP="00D52AD2">
      <w:pPr>
        <w:pStyle w:val="NoSpacing"/>
        <w:numPr>
          <w:ilvl w:val="0"/>
          <w:numId w:val="5"/>
        </w:numPr>
        <w:tabs>
          <w:tab w:val="left" w:pos="567"/>
        </w:tabs>
        <w:ind w:left="0" w:firstLine="0"/>
        <w:rPr>
          <w:szCs w:val="20"/>
          <w:lang w:val="es-CR"/>
        </w:rPr>
      </w:pPr>
      <w:bookmarkStart w:id="396" w:name="_Ref462085997"/>
      <w:r w:rsidRPr="00CF1787">
        <w:rPr>
          <w:szCs w:val="20"/>
          <w:lang w:val="es-CR"/>
        </w:rPr>
        <w:t>De conformidad con la Ley Orgánica de la Policía Nacional y la Ley de la Función Judicial de la Policía, los jueces de distrito y los fiscales de primera instancia de la jurisdicción penal policial eran designados por el Ministro de Gobierno, mediante decreto, a petición del Comandante General de la Policía Nacional</w:t>
      </w:r>
      <w:r w:rsidRPr="00CF1787">
        <w:rPr>
          <w:rStyle w:val="FootnoteReference"/>
          <w:sz w:val="20"/>
          <w:szCs w:val="20"/>
          <w:lang w:val="es-CR"/>
        </w:rPr>
        <w:footnoteReference w:id="135"/>
      </w:r>
      <w:r w:rsidRPr="00CF1787">
        <w:rPr>
          <w:szCs w:val="20"/>
          <w:lang w:val="es-CR"/>
        </w:rPr>
        <w:t xml:space="preserve">. Por su parte, los Jueces de las Cortes Superiores </w:t>
      </w:r>
      <w:r w:rsidRPr="00CF1787">
        <w:rPr>
          <w:szCs w:val="20"/>
          <w:lang w:val="es-CR"/>
        </w:rPr>
        <w:lastRenderedPageBreak/>
        <w:t xml:space="preserve">eran nombrados </w:t>
      </w:r>
      <w:r w:rsidRPr="00CF1787">
        <w:rPr>
          <w:bCs/>
          <w:szCs w:val="20"/>
          <w:lang w:val="es-CR"/>
        </w:rPr>
        <w:t>por la Corte de Justicia Policial</w:t>
      </w:r>
      <w:r w:rsidRPr="00CF1787">
        <w:rPr>
          <w:rStyle w:val="FootnoteReference"/>
          <w:bCs/>
          <w:sz w:val="20"/>
          <w:szCs w:val="20"/>
          <w:lang w:val="es-CR"/>
        </w:rPr>
        <w:footnoteReference w:id="136"/>
      </w:r>
      <w:r w:rsidRPr="00CF1787">
        <w:rPr>
          <w:bCs/>
          <w:szCs w:val="20"/>
          <w:lang w:val="es-CR"/>
        </w:rPr>
        <w:t>, a pedido del Comandante General</w:t>
      </w:r>
      <w:r w:rsidRPr="00CF1787">
        <w:rPr>
          <w:szCs w:val="20"/>
          <w:vertAlign w:val="superscript"/>
          <w:lang w:val="es-CR"/>
        </w:rPr>
        <w:footnoteReference w:id="137"/>
      </w:r>
      <w:r w:rsidRPr="00CF1787">
        <w:rPr>
          <w:bCs/>
          <w:szCs w:val="20"/>
          <w:lang w:val="es-CR"/>
        </w:rPr>
        <w:t xml:space="preserve">. </w:t>
      </w:r>
      <w:r w:rsidRPr="00CF1787">
        <w:rPr>
          <w:szCs w:val="20"/>
          <w:lang w:val="es-CR"/>
        </w:rPr>
        <w:t>De acuerdo al perito Juan Pablo Albán, el Ministro de Gobierno a su vez era el máximo superior jerárquico y tenía “total libertad” en el nombramiento de los oficiales de justicia</w:t>
      </w:r>
      <w:r w:rsidRPr="00CF1787">
        <w:rPr>
          <w:rStyle w:val="FootnoteReference"/>
          <w:sz w:val="20"/>
          <w:szCs w:val="20"/>
          <w:lang w:val="es-CR"/>
        </w:rPr>
        <w:footnoteReference w:id="138"/>
      </w:r>
      <w:r w:rsidRPr="00CF1787">
        <w:rPr>
          <w:szCs w:val="20"/>
          <w:lang w:val="es-CR"/>
        </w:rPr>
        <w:t>.</w:t>
      </w:r>
      <w:bookmarkEnd w:id="396"/>
      <w:r w:rsidRPr="00CF1787">
        <w:rPr>
          <w:szCs w:val="20"/>
          <w:lang w:val="es-CR"/>
        </w:rPr>
        <w:t xml:space="preserve"> </w:t>
      </w:r>
    </w:p>
    <w:p w14:paraId="1F03967F" w14:textId="77777777" w:rsidR="00D52AD2" w:rsidRPr="00CF1787" w:rsidRDefault="00D52AD2" w:rsidP="00D52AD2">
      <w:pPr>
        <w:pStyle w:val="NoSpacing"/>
        <w:tabs>
          <w:tab w:val="left" w:pos="567"/>
        </w:tabs>
        <w:rPr>
          <w:i/>
          <w:szCs w:val="20"/>
          <w:lang w:val="es-CR"/>
        </w:rPr>
      </w:pPr>
    </w:p>
    <w:p w14:paraId="67B143A7" w14:textId="3829B464" w:rsidR="00D52AD2" w:rsidRPr="00CF1787" w:rsidRDefault="00ED0278" w:rsidP="00D52AD2">
      <w:pPr>
        <w:pStyle w:val="Heading4"/>
      </w:pPr>
      <w:bookmarkStart w:id="397" w:name="_Toc470098059"/>
      <w:r w:rsidRPr="00CF1787">
        <w:t>A.2.d Las g</w:t>
      </w:r>
      <w:r w:rsidR="00D52AD2" w:rsidRPr="00CF1787">
        <w:t>arantías de inamovilidad (término de su cargo y causales de separación)</w:t>
      </w:r>
      <w:bookmarkEnd w:id="397"/>
      <w:r w:rsidR="00D52AD2" w:rsidRPr="00CF1787">
        <w:t xml:space="preserve"> </w:t>
      </w:r>
    </w:p>
    <w:p w14:paraId="167D3C61" w14:textId="77777777" w:rsidR="00D52AD2" w:rsidRPr="00CF1787" w:rsidRDefault="00D52AD2" w:rsidP="00D52AD2">
      <w:pPr>
        <w:pStyle w:val="NoSpacing"/>
        <w:tabs>
          <w:tab w:val="left" w:pos="567"/>
        </w:tabs>
        <w:rPr>
          <w:szCs w:val="20"/>
          <w:lang w:val="es-CR"/>
        </w:rPr>
      </w:pPr>
    </w:p>
    <w:p w14:paraId="5D821F7E" w14:textId="77777777" w:rsidR="00D52AD2" w:rsidRPr="00CF1787" w:rsidRDefault="00D52AD2" w:rsidP="00D52AD2">
      <w:pPr>
        <w:pStyle w:val="PrrafodeSentencia"/>
        <w:numPr>
          <w:ilvl w:val="0"/>
          <w:numId w:val="5"/>
        </w:numPr>
        <w:ind w:left="0" w:firstLine="0"/>
        <w:rPr>
          <w:szCs w:val="20"/>
        </w:rPr>
      </w:pPr>
      <w:bookmarkStart w:id="398" w:name="_Ref427855519"/>
      <w:bookmarkStart w:id="399" w:name="_Ref462147664"/>
      <w:r w:rsidRPr="00CF1787">
        <w:rPr>
          <w:szCs w:val="20"/>
        </w:rPr>
        <w:t xml:space="preserve">Este Tribunal ha reconocido que la estabilidad en el cargo es una de las principales </w:t>
      </w:r>
      <w:r w:rsidRPr="00CF1787">
        <w:rPr>
          <w:color w:val="000000" w:themeColor="text1"/>
          <w:szCs w:val="20"/>
        </w:rPr>
        <w:t xml:space="preserve">garantías </w:t>
      </w:r>
      <w:r w:rsidRPr="00CF1787">
        <w:rPr>
          <w:szCs w:val="20"/>
        </w:rPr>
        <w:t xml:space="preserve">de la independencia </w:t>
      </w:r>
      <w:r w:rsidRPr="00CF1787">
        <w:rPr>
          <w:color w:val="000000" w:themeColor="text1"/>
          <w:szCs w:val="20"/>
        </w:rPr>
        <w:t>judicial</w:t>
      </w:r>
      <w:r w:rsidRPr="00CF1787">
        <w:rPr>
          <w:rStyle w:val="FootnoteReference"/>
          <w:color w:val="000000" w:themeColor="text1"/>
          <w:sz w:val="20"/>
          <w:szCs w:val="20"/>
        </w:rPr>
        <w:footnoteReference w:id="139"/>
      </w:r>
      <w:r w:rsidRPr="00CF1787">
        <w:rPr>
          <w:color w:val="000000" w:themeColor="text1"/>
          <w:szCs w:val="20"/>
        </w:rPr>
        <w:t>. Por tanto, la ley debe garantizar la permanencia en el cargo de los jueces por los períodos establecidos, su independencia y su seguridad</w:t>
      </w:r>
      <w:r w:rsidRPr="00CF1787">
        <w:rPr>
          <w:rStyle w:val="FootnoteReference"/>
          <w:color w:val="000000" w:themeColor="text1"/>
          <w:sz w:val="20"/>
          <w:szCs w:val="20"/>
        </w:rPr>
        <w:footnoteReference w:id="140"/>
      </w:r>
      <w:r w:rsidRPr="00CF1787">
        <w:rPr>
          <w:color w:val="000000" w:themeColor="text1"/>
          <w:szCs w:val="20"/>
        </w:rPr>
        <w:t xml:space="preserve">. En este sentido, esta Corte ha establecido que la garantía de estabilidad e inamovilidad de jueces y juezas implica que: (i) su separación del cargo obedezca exclusivamente a las causales permitidas, ya sea por medio de un proceso que cumpla </w:t>
      </w:r>
      <w:r w:rsidRPr="00CF1787">
        <w:rPr>
          <w:szCs w:val="20"/>
        </w:rPr>
        <w:t>con las garantías judiciales o porque se ha cumplido el término o período de su mandato; (ii) los jueces y juezas solo pueden ser destituidos por faltas de disciplina graves o incompetencia, y (iii) todo proceso disciplinario de jueces o juezas deberá resolverse de acuerdo con las normas de comportamiento judicial establecidas en procedimientos justos que aseguren</w:t>
      </w:r>
      <w:r w:rsidRPr="00CF1787">
        <w:rPr>
          <w:rFonts w:cs="Arial"/>
          <w:szCs w:val="20"/>
          <w:lang w:eastAsia="ko-KR"/>
        </w:rPr>
        <w:t xml:space="preserve"> la objetividad e imparcialidad según la Constitución o la ley</w:t>
      </w:r>
      <w:r w:rsidRPr="00CF1787">
        <w:rPr>
          <w:rStyle w:val="FootnoteReference"/>
          <w:sz w:val="20"/>
          <w:szCs w:val="20"/>
        </w:rPr>
        <w:footnoteReference w:id="141"/>
      </w:r>
      <w:r w:rsidRPr="00CF1787">
        <w:rPr>
          <w:szCs w:val="20"/>
        </w:rPr>
        <w:t xml:space="preserve">. </w:t>
      </w:r>
      <w:r w:rsidRPr="00CF1787">
        <w:rPr>
          <w:rFonts w:cs="Arial"/>
          <w:szCs w:val="20"/>
          <w:lang w:eastAsia="ko-KR"/>
        </w:rPr>
        <w:t xml:space="preserve">Además la Corte ha señalado que </w:t>
      </w:r>
      <w:r w:rsidRPr="00CF1787">
        <w:rPr>
          <w:szCs w:val="20"/>
        </w:rPr>
        <w:t xml:space="preserve"> la libre remoción de jueces fomenta la duda objetiva sobre la posibilidad efectiva de aquellos de decidir controversias concretas sin temor a represalias</w:t>
      </w:r>
      <w:r w:rsidRPr="00CF1787">
        <w:rPr>
          <w:rStyle w:val="FootnoteReference"/>
          <w:sz w:val="20"/>
          <w:szCs w:val="20"/>
        </w:rPr>
        <w:footnoteReference w:id="142"/>
      </w:r>
      <w:r w:rsidRPr="00CF1787">
        <w:rPr>
          <w:szCs w:val="20"/>
        </w:rPr>
        <w:t>.</w:t>
      </w:r>
      <w:bookmarkEnd w:id="398"/>
    </w:p>
    <w:p w14:paraId="63FEFED6" w14:textId="77777777" w:rsidR="00D52AD2" w:rsidRPr="00CF1787" w:rsidRDefault="00D52AD2" w:rsidP="00D52AD2">
      <w:pPr>
        <w:pStyle w:val="NoSpacing"/>
        <w:tabs>
          <w:tab w:val="left" w:pos="567"/>
        </w:tabs>
        <w:rPr>
          <w:szCs w:val="20"/>
          <w:lang w:val="es-CR"/>
        </w:rPr>
      </w:pPr>
    </w:p>
    <w:p w14:paraId="48833E52" w14:textId="77777777" w:rsidR="00D52AD2" w:rsidRPr="00CF1787" w:rsidRDefault="00D52AD2" w:rsidP="00D52AD2">
      <w:pPr>
        <w:pStyle w:val="NoSpacing"/>
        <w:numPr>
          <w:ilvl w:val="0"/>
          <w:numId w:val="5"/>
        </w:numPr>
        <w:tabs>
          <w:tab w:val="left" w:pos="567"/>
        </w:tabs>
        <w:ind w:left="0" w:firstLine="0"/>
        <w:rPr>
          <w:szCs w:val="20"/>
          <w:lang w:val="es-CR"/>
        </w:rPr>
      </w:pPr>
      <w:r w:rsidRPr="00CF1787">
        <w:rPr>
          <w:rFonts w:cs="Arial"/>
          <w:bCs/>
          <w:szCs w:val="20"/>
          <w:lang w:val="es-CR"/>
        </w:rPr>
        <w:t xml:space="preserve">La </w:t>
      </w:r>
      <w:r w:rsidRPr="00CF1787">
        <w:rPr>
          <w:rFonts w:cs="Arial"/>
          <w:szCs w:val="20"/>
          <w:lang w:val="es-CR"/>
        </w:rPr>
        <w:t>Constitución Política de la República del Ecuador de 1984 establecía que “</w:t>
      </w:r>
      <w:r w:rsidRPr="00CF1787">
        <w:rPr>
          <w:spacing w:val="-2"/>
          <w:szCs w:val="20"/>
          <w:lang w:val="es-CR"/>
        </w:rPr>
        <w:t xml:space="preserve">[s]e </w:t>
      </w:r>
      <w:proofErr w:type="gramStart"/>
      <w:r w:rsidRPr="00CF1787">
        <w:rPr>
          <w:spacing w:val="-2"/>
          <w:szCs w:val="20"/>
          <w:lang w:val="es-CR"/>
        </w:rPr>
        <w:t>garantiza[</w:t>
      </w:r>
      <w:proofErr w:type="spellStart"/>
      <w:proofErr w:type="gramEnd"/>
      <w:r w:rsidRPr="00CF1787">
        <w:rPr>
          <w:spacing w:val="-2"/>
          <w:szCs w:val="20"/>
          <w:lang w:val="es-CR"/>
        </w:rPr>
        <w:t>ba</w:t>
      </w:r>
      <w:proofErr w:type="spellEnd"/>
      <w:r w:rsidRPr="00CF1787">
        <w:rPr>
          <w:spacing w:val="-2"/>
          <w:szCs w:val="20"/>
          <w:lang w:val="es-CR"/>
        </w:rPr>
        <w:t>] la estabilidad de los miembros de la Fuerza Pública”</w:t>
      </w:r>
      <w:r w:rsidRPr="00CF1787">
        <w:rPr>
          <w:rStyle w:val="FootnoteReference"/>
          <w:sz w:val="20"/>
          <w:szCs w:val="20"/>
          <w:lang w:val="es-CR"/>
        </w:rPr>
        <w:footnoteReference w:id="143"/>
      </w:r>
      <w:r w:rsidRPr="00CF1787">
        <w:rPr>
          <w:spacing w:val="-2"/>
          <w:szCs w:val="20"/>
          <w:lang w:val="es-CR"/>
        </w:rPr>
        <w:t>, entre los cuales se encontraban los oficiales de justicia de la Policía Nacional.</w:t>
      </w:r>
      <w:bookmarkEnd w:id="399"/>
      <w:r w:rsidRPr="00CF1787">
        <w:rPr>
          <w:spacing w:val="-2"/>
          <w:szCs w:val="20"/>
          <w:lang w:val="es-CR"/>
        </w:rPr>
        <w:t xml:space="preserve"> </w:t>
      </w:r>
    </w:p>
    <w:p w14:paraId="6DFA9CD0" w14:textId="77777777" w:rsidR="00D52AD2" w:rsidRPr="00CF1787" w:rsidRDefault="00D52AD2" w:rsidP="00D52AD2">
      <w:pPr>
        <w:pStyle w:val="NoSpacing"/>
        <w:tabs>
          <w:tab w:val="left" w:pos="567"/>
        </w:tabs>
        <w:rPr>
          <w:szCs w:val="20"/>
          <w:lang w:val="es-CR"/>
        </w:rPr>
      </w:pPr>
    </w:p>
    <w:p w14:paraId="425ECD46" w14:textId="77777777" w:rsidR="00D52AD2" w:rsidRPr="00CF1787" w:rsidRDefault="00D52AD2" w:rsidP="00D52AD2">
      <w:pPr>
        <w:pStyle w:val="NoSpacing"/>
        <w:numPr>
          <w:ilvl w:val="0"/>
          <w:numId w:val="5"/>
        </w:numPr>
        <w:tabs>
          <w:tab w:val="left" w:pos="567"/>
        </w:tabs>
        <w:ind w:left="0" w:firstLine="0"/>
        <w:rPr>
          <w:szCs w:val="20"/>
          <w:lang w:val="es-CR"/>
        </w:rPr>
      </w:pPr>
      <w:bookmarkStart w:id="400" w:name="_Ref470092461"/>
      <w:r w:rsidRPr="00CF1787">
        <w:rPr>
          <w:szCs w:val="20"/>
          <w:lang w:val="es-CR"/>
        </w:rPr>
        <w:t xml:space="preserve">De acuerdo a las leyes que regulaban esta jurisdicción, los jueces de las Cortes Superiores y los jueces de la Corte de Justicia de la Policía duraban dos años en sus funciones, con la posibilidad de ser reelegidos, salvo en el caso de “los Magistrados que ejercen tales </w:t>
      </w:r>
      <w:r w:rsidRPr="00CF1787">
        <w:rPr>
          <w:szCs w:val="20"/>
          <w:lang w:val="es-CR"/>
        </w:rPr>
        <w:lastRenderedPageBreak/>
        <w:t>funciones en calidad de Oficiales Generales Superiores o Subalternos en Servicio Activo”</w:t>
      </w:r>
      <w:r w:rsidRPr="00CF1787">
        <w:rPr>
          <w:rStyle w:val="FootnoteReference"/>
          <w:sz w:val="20"/>
          <w:szCs w:val="20"/>
          <w:lang w:val="es-CR"/>
        </w:rPr>
        <w:footnoteReference w:id="144"/>
      </w:r>
      <w:r w:rsidRPr="00CF1787">
        <w:rPr>
          <w:szCs w:val="20"/>
          <w:lang w:val="es-CR"/>
        </w:rPr>
        <w:t>. Los vocales de los Tribunales del Crimen duraban un año en funciones, lo cual era obligatorio y podían ser reelegidos</w:t>
      </w:r>
      <w:r w:rsidRPr="00CF1787">
        <w:rPr>
          <w:rStyle w:val="FootnoteReference"/>
          <w:sz w:val="20"/>
          <w:szCs w:val="20"/>
          <w:lang w:val="es-CR"/>
        </w:rPr>
        <w:footnoteReference w:id="145"/>
      </w:r>
      <w:r w:rsidRPr="00CF1787">
        <w:rPr>
          <w:szCs w:val="20"/>
          <w:lang w:val="es-CR"/>
        </w:rPr>
        <w:t>. Sin embargo, los fiscales y los jueces distritales de primera instancia con competencia para dictar el sobreseimiento, como ocurrió en el presente caso, no tenían un período de duración específica en funciones, por lo que eran de libre nombramiento y remoción por parte del Ministro de Gobierno</w:t>
      </w:r>
      <w:r w:rsidRPr="00CF1787">
        <w:rPr>
          <w:rStyle w:val="FootnoteReference"/>
          <w:sz w:val="20"/>
          <w:szCs w:val="20"/>
          <w:lang w:val="es-CR"/>
        </w:rPr>
        <w:footnoteReference w:id="146"/>
      </w:r>
      <w:r w:rsidRPr="00CF1787">
        <w:rPr>
          <w:szCs w:val="20"/>
          <w:lang w:val="es-CR"/>
        </w:rPr>
        <w:t>.</w:t>
      </w:r>
      <w:bookmarkEnd w:id="400"/>
      <w:r w:rsidRPr="00CF1787">
        <w:rPr>
          <w:szCs w:val="20"/>
          <w:lang w:val="es-CR"/>
        </w:rPr>
        <w:t xml:space="preserve"> </w:t>
      </w:r>
    </w:p>
    <w:p w14:paraId="49F5DE0E" w14:textId="77777777" w:rsidR="00D52AD2" w:rsidRPr="00CF1787" w:rsidRDefault="00D52AD2" w:rsidP="00D52AD2">
      <w:pPr>
        <w:pStyle w:val="NoSpacing"/>
        <w:tabs>
          <w:tab w:val="left" w:pos="567"/>
        </w:tabs>
        <w:rPr>
          <w:lang w:val="es-CR"/>
        </w:rPr>
      </w:pPr>
    </w:p>
    <w:p w14:paraId="7854A0F0" w14:textId="536EC831" w:rsidR="00D52AD2" w:rsidRPr="00CF1787" w:rsidRDefault="00D52AD2" w:rsidP="00D52AD2">
      <w:pPr>
        <w:pStyle w:val="NoSpacing"/>
        <w:numPr>
          <w:ilvl w:val="0"/>
          <w:numId w:val="5"/>
        </w:numPr>
        <w:tabs>
          <w:tab w:val="left" w:pos="567"/>
        </w:tabs>
        <w:ind w:left="0" w:firstLine="0"/>
        <w:rPr>
          <w:szCs w:val="20"/>
          <w:lang w:val="es-CR"/>
        </w:rPr>
      </w:pPr>
      <w:r w:rsidRPr="00CF1787">
        <w:rPr>
          <w:lang w:val="es-CR"/>
        </w:rPr>
        <w:t xml:space="preserve">No consta en </w:t>
      </w:r>
      <w:r w:rsidRPr="00CF1787">
        <w:rPr>
          <w:szCs w:val="20"/>
          <w:lang w:val="es-CR"/>
        </w:rPr>
        <w:t xml:space="preserve">la regulación aportada ni fue indicado por las partes si antes de la terminación de los plazos indicados </w:t>
      </w:r>
      <w:r w:rsidRPr="00CF1787">
        <w:rPr>
          <w:i/>
          <w:szCs w:val="20"/>
          <w:lang w:val="es-CR"/>
        </w:rPr>
        <w:t>supra</w:t>
      </w:r>
      <w:r w:rsidRPr="00CF1787">
        <w:rPr>
          <w:szCs w:val="20"/>
          <w:lang w:val="es-CR"/>
        </w:rPr>
        <w:t xml:space="preserve"> estos jueces o fiscales podían ser removidos de sus cargos y bajo qué causales, más allá de </w:t>
      </w:r>
      <w:r w:rsidR="00ED0278" w:rsidRPr="00CF1787">
        <w:rPr>
          <w:szCs w:val="20"/>
          <w:lang w:val="es-CR"/>
        </w:rPr>
        <w:t xml:space="preserve">los </w:t>
      </w:r>
      <w:r w:rsidRPr="00CF1787">
        <w:rPr>
          <w:szCs w:val="20"/>
          <w:lang w:val="es-CR"/>
        </w:rPr>
        <w:t>motivo</w:t>
      </w:r>
      <w:r w:rsidR="00ED0278" w:rsidRPr="00CF1787">
        <w:rPr>
          <w:szCs w:val="20"/>
          <w:lang w:val="es-CR"/>
        </w:rPr>
        <w:t>s</w:t>
      </w:r>
      <w:r w:rsidRPr="00CF1787">
        <w:rPr>
          <w:szCs w:val="20"/>
          <w:lang w:val="es-CR"/>
        </w:rPr>
        <w:t xml:space="preserve"> de impedimento para ejercer el cargo, fuera por relación familiar u otras razones</w:t>
      </w:r>
      <w:r w:rsidRPr="00CF1787">
        <w:rPr>
          <w:rStyle w:val="FootnoteReference"/>
          <w:sz w:val="20"/>
          <w:szCs w:val="20"/>
          <w:lang w:val="es-CR"/>
        </w:rPr>
        <w:footnoteReference w:id="147"/>
      </w:r>
      <w:r w:rsidRPr="00CF1787">
        <w:rPr>
          <w:szCs w:val="20"/>
          <w:lang w:val="es-CR"/>
        </w:rPr>
        <w:t xml:space="preserve">. En estos casos el oficial no era removido del cargo, sino que “se le </w:t>
      </w:r>
      <w:proofErr w:type="gramStart"/>
      <w:r w:rsidRPr="00CF1787">
        <w:rPr>
          <w:szCs w:val="20"/>
          <w:lang w:val="es-CR"/>
        </w:rPr>
        <w:t>da[</w:t>
      </w:r>
      <w:proofErr w:type="spellStart"/>
      <w:proofErr w:type="gramEnd"/>
      <w:r w:rsidRPr="00CF1787">
        <w:rPr>
          <w:szCs w:val="20"/>
          <w:lang w:val="es-CR"/>
        </w:rPr>
        <w:t>ba</w:t>
      </w:r>
      <w:proofErr w:type="spellEnd"/>
      <w:r w:rsidRPr="00CF1787">
        <w:rPr>
          <w:szCs w:val="20"/>
          <w:lang w:val="es-CR"/>
        </w:rPr>
        <w:t>] el pase a otra sección territorial o a otra oficina donde no exista el impedimento”</w:t>
      </w:r>
      <w:r w:rsidRPr="00CF1787">
        <w:rPr>
          <w:rStyle w:val="FootnoteReference"/>
          <w:sz w:val="20"/>
          <w:szCs w:val="20"/>
          <w:lang w:val="es-CR"/>
        </w:rPr>
        <w:footnoteReference w:id="148"/>
      </w:r>
      <w:r w:rsidRPr="00CF1787">
        <w:rPr>
          <w:szCs w:val="20"/>
          <w:lang w:val="es-CR"/>
        </w:rPr>
        <w:t>. Además, la Ley de la Función Judicial de la Policía permitía que cualquier funcionario policial, o la persona civil que fuera parte en un juicio, interpusiera una acción ante el Comandante General para remover al funcionario impedido de intervenir en la administración de justicia de la policía, por las razones previamente expuestas</w:t>
      </w:r>
      <w:r w:rsidRPr="00CF1787">
        <w:rPr>
          <w:rStyle w:val="FootnoteReference"/>
          <w:sz w:val="20"/>
          <w:szCs w:val="20"/>
          <w:lang w:val="es-CR"/>
        </w:rPr>
        <w:footnoteReference w:id="149"/>
      </w:r>
      <w:r w:rsidRPr="00CF1787">
        <w:rPr>
          <w:szCs w:val="20"/>
          <w:lang w:val="es-CR"/>
        </w:rPr>
        <w:t xml:space="preserve">. </w:t>
      </w:r>
    </w:p>
    <w:p w14:paraId="61AF1FEE" w14:textId="77777777" w:rsidR="00D52AD2" w:rsidRPr="00CF1787" w:rsidRDefault="00D52AD2" w:rsidP="00D52AD2">
      <w:pPr>
        <w:pStyle w:val="NoSpacing"/>
        <w:tabs>
          <w:tab w:val="left" w:pos="567"/>
        </w:tabs>
        <w:rPr>
          <w:szCs w:val="20"/>
          <w:lang w:val="es-CR"/>
        </w:rPr>
      </w:pPr>
    </w:p>
    <w:p w14:paraId="1668DA56" w14:textId="77777777" w:rsidR="00D52AD2" w:rsidRPr="00CF1787" w:rsidRDefault="00D52AD2" w:rsidP="00D52AD2">
      <w:pPr>
        <w:pStyle w:val="NoSpacing"/>
        <w:numPr>
          <w:ilvl w:val="0"/>
          <w:numId w:val="5"/>
        </w:numPr>
        <w:tabs>
          <w:tab w:val="left" w:pos="567"/>
        </w:tabs>
        <w:ind w:left="0" w:firstLine="0"/>
        <w:rPr>
          <w:szCs w:val="20"/>
          <w:lang w:val="es-CR"/>
        </w:rPr>
      </w:pPr>
      <w:r w:rsidRPr="00CF1787">
        <w:rPr>
          <w:szCs w:val="20"/>
          <w:lang w:val="es-CR"/>
        </w:rPr>
        <w:t>Adicionalmente, por tratarse de policías en servicio activo, los jueces y fiscales policiales estaban sometidos al “reglamento de pases”, por el cual la decisión de un cambio en el cargo o la función correspondía a los mandos policiales</w:t>
      </w:r>
      <w:r w:rsidRPr="00CF1787">
        <w:rPr>
          <w:rStyle w:val="FootnoteReference"/>
          <w:lang w:val="es-CR"/>
        </w:rPr>
        <w:footnoteReference w:id="150"/>
      </w:r>
      <w:r w:rsidRPr="00CF1787">
        <w:rPr>
          <w:szCs w:val="20"/>
          <w:lang w:val="es-CR"/>
        </w:rPr>
        <w:t xml:space="preserve">. </w:t>
      </w:r>
    </w:p>
    <w:p w14:paraId="4F8CC5CC" w14:textId="77777777" w:rsidR="00D52AD2" w:rsidRPr="00CF1787" w:rsidRDefault="00D52AD2" w:rsidP="00D52AD2">
      <w:pPr>
        <w:pStyle w:val="NoSpacing"/>
        <w:tabs>
          <w:tab w:val="left" w:pos="567"/>
        </w:tabs>
        <w:rPr>
          <w:szCs w:val="20"/>
          <w:lang w:val="es-CR"/>
        </w:rPr>
      </w:pPr>
    </w:p>
    <w:p w14:paraId="668CF18F" w14:textId="4F4EA5B8" w:rsidR="00D52AD2" w:rsidRPr="00CF1787" w:rsidRDefault="00D52AD2" w:rsidP="00D52AD2">
      <w:pPr>
        <w:pStyle w:val="NoSpacing"/>
        <w:numPr>
          <w:ilvl w:val="0"/>
          <w:numId w:val="5"/>
        </w:numPr>
        <w:tabs>
          <w:tab w:val="left" w:pos="567"/>
        </w:tabs>
        <w:ind w:left="0" w:firstLine="0"/>
        <w:rPr>
          <w:szCs w:val="20"/>
          <w:lang w:val="es-CR"/>
        </w:rPr>
      </w:pPr>
      <w:r w:rsidRPr="00CF1787">
        <w:rPr>
          <w:szCs w:val="20"/>
          <w:lang w:val="es-CR"/>
        </w:rPr>
        <w:lastRenderedPageBreak/>
        <w:t>En virtud de lo anterior, la Corte considera que las autoridades que participaron en la investigación del presente caso no tenían garantías de estabilidad en su cargo. Por un lado, los fiscales y los jueces distritales de primera instancia con competencia para dictar el sobreseimiento eran de libre nombramiento y remoción, lo que fomenta la duda objetiva sobre la posibilidad efectiva de aquellos de decidir controversias concretas sin temor a represalias (</w:t>
      </w:r>
      <w:r w:rsidRPr="00CF1787">
        <w:rPr>
          <w:i/>
          <w:iCs/>
          <w:szCs w:val="20"/>
          <w:lang w:val="es-CR"/>
        </w:rPr>
        <w:t xml:space="preserve">supra </w:t>
      </w:r>
      <w:proofErr w:type="spellStart"/>
      <w:r w:rsidRPr="00CF1787">
        <w:rPr>
          <w:szCs w:val="20"/>
          <w:lang w:val="es-CR"/>
        </w:rPr>
        <w:t>párr</w:t>
      </w:r>
      <w:r w:rsidR="00330828" w:rsidRPr="00CF1787">
        <w:rPr>
          <w:szCs w:val="20"/>
          <w:lang w:val="es-CR"/>
        </w:rPr>
        <w:t>s</w:t>
      </w:r>
      <w:proofErr w:type="spellEnd"/>
      <w:r w:rsidRPr="00CF1787">
        <w:rPr>
          <w:szCs w:val="20"/>
          <w:lang w:val="es-CR"/>
        </w:rPr>
        <w:t xml:space="preserve">. </w:t>
      </w:r>
      <w:r w:rsidRPr="00CF1787">
        <w:fldChar w:fldCharType="begin"/>
      </w:r>
      <w:r w:rsidRPr="00CF1787">
        <w:instrText xml:space="preserve"> REF _Ref427855519 \r \h  \* MERGEFORMAT </w:instrText>
      </w:r>
      <w:r w:rsidRPr="00CF1787">
        <w:fldChar w:fldCharType="separate"/>
      </w:r>
      <w:r w:rsidR="00536893" w:rsidRPr="00536893">
        <w:rPr>
          <w:szCs w:val="20"/>
          <w:lang w:val="es-CR"/>
        </w:rPr>
        <w:t>105</w:t>
      </w:r>
      <w:r w:rsidRPr="00CF1787">
        <w:fldChar w:fldCharType="end"/>
      </w:r>
      <w:r w:rsidR="00330828" w:rsidRPr="00CF1787">
        <w:t xml:space="preserve"> y </w:t>
      </w:r>
      <w:r w:rsidR="00330828" w:rsidRPr="00CF1787">
        <w:fldChar w:fldCharType="begin"/>
      </w:r>
      <w:r w:rsidR="00330828" w:rsidRPr="00CF1787">
        <w:instrText xml:space="preserve"> REF _Ref470092461 \r \h </w:instrText>
      </w:r>
      <w:r w:rsidR="00CF1787">
        <w:instrText xml:space="preserve"> \* MERGEFORMAT </w:instrText>
      </w:r>
      <w:r w:rsidR="00330828" w:rsidRPr="00CF1787">
        <w:fldChar w:fldCharType="separate"/>
      </w:r>
      <w:r w:rsidR="00536893">
        <w:t>107</w:t>
      </w:r>
      <w:r w:rsidR="00330828" w:rsidRPr="00CF1787">
        <w:fldChar w:fldCharType="end"/>
      </w:r>
      <w:r w:rsidRPr="00CF1787">
        <w:rPr>
          <w:szCs w:val="20"/>
          <w:lang w:val="es-CR"/>
        </w:rPr>
        <w:t xml:space="preserve">). Por otro lado, no estaban claramente establecidas las causales por las cuales los jueces podían ser destituidos, lo cual podría generar arbitrariedad en la separación del cargo de los mismos y por tanto impactar en su independencia.  </w:t>
      </w:r>
    </w:p>
    <w:p w14:paraId="481BDB9B" w14:textId="77777777" w:rsidR="00D52AD2" w:rsidRPr="00CF1787" w:rsidRDefault="00D52AD2" w:rsidP="00D52AD2">
      <w:pPr>
        <w:pStyle w:val="NoSpacing"/>
        <w:tabs>
          <w:tab w:val="left" w:pos="567"/>
        </w:tabs>
        <w:rPr>
          <w:i/>
          <w:spacing w:val="-2"/>
          <w:szCs w:val="20"/>
          <w:lang w:val="es-CR"/>
        </w:rPr>
      </w:pPr>
    </w:p>
    <w:p w14:paraId="6FC4AF49" w14:textId="4D0B0453" w:rsidR="00D52AD2" w:rsidRPr="00CF1787" w:rsidRDefault="00D52AD2" w:rsidP="00D52AD2">
      <w:pPr>
        <w:pStyle w:val="Heading4"/>
      </w:pPr>
      <w:bookmarkStart w:id="401" w:name="_Toc470098060"/>
      <w:r w:rsidRPr="00CF1787">
        <w:t xml:space="preserve">A.2.e </w:t>
      </w:r>
      <w:r w:rsidR="00330828" w:rsidRPr="00CF1787">
        <w:t>La p</w:t>
      </w:r>
      <w:r w:rsidRPr="00CF1787">
        <w:t>osibilidad de un control judicial posterior por parte de la justicia ordinaria</w:t>
      </w:r>
      <w:bookmarkEnd w:id="401"/>
    </w:p>
    <w:p w14:paraId="67856586" w14:textId="77777777" w:rsidR="00D52AD2" w:rsidRPr="00CF1787" w:rsidRDefault="00D52AD2" w:rsidP="00D52AD2">
      <w:pPr>
        <w:pStyle w:val="NoSpacing"/>
        <w:tabs>
          <w:tab w:val="left" w:pos="567"/>
        </w:tabs>
        <w:rPr>
          <w:szCs w:val="20"/>
          <w:lang w:val="es-CR"/>
        </w:rPr>
      </w:pPr>
    </w:p>
    <w:p w14:paraId="0394B600" w14:textId="77777777" w:rsidR="00D52AD2" w:rsidRPr="00CF1787" w:rsidRDefault="00D52AD2" w:rsidP="00D52AD2">
      <w:pPr>
        <w:pStyle w:val="NoSpacing"/>
        <w:numPr>
          <w:ilvl w:val="0"/>
          <w:numId w:val="5"/>
        </w:numPr>
        <w:tabs>
          <w:tab w:val="left" w:pos="567"/>
        </w:tabs>
        <w:ind w:left="0" w:firstLine="0"/>
        <w:rPr>
          <w:szCs w:val="20"/>
          <w:lang w:val="es-CR"/>
        </w:rPr>
      </w:pPr>
      <w:r w:rsidRPr="00CF1787">
        <w:rPr>
          <w:szCs w:val="20"/>
          <w:lang w:val="es-CR"/>
        </w:rPr>
        <w:t>La revisión judicial por parte de la jurisdicción ordinaria, sea como una de las instancias o para la resolución de conflictos de competencia, ha sido señalada como una de las formas de ofrecer garantías objetivas de independencia e imparcialidad en el marco de jurisdicciones especiales</w:t>
      </w:r>
      <w:r w:rsidRPr="00CF1787">
        <w:rPr>
          <w:rStyle w:val="FootnoteReference"/>
          <w:lang w:val="es-CR"/>
        </w:rPr>
        <w:footnoteReference w:id="151"/>
      </w:r>
      <w:r w:rsidRPr="00CF1787">
        <w:rPr>
          <w:szCs w:val="20"/>
          <w:lang w:val="es-CR"/>
        </w:rPr>
        <w:t>. Según el perito Juan Pablo Albán, no existía la posibilidad de un control judicial posterior por parte de la justicia ordinaria de las decisiones de la jurisdicción penal policial</w:t>
      </w:r>
      <w:r w:rsidRPr="00CF1787">
        <w:rPr>
          <w:rStyle w:val="FootnoteReference"/>
          <w:sz w:val="20"/>
          <w:szCs w:val="20"/>
          <w:lang w:val="es-CR"/>
        </w:rPr>
        <w:footnoteReference w:id="152"/>
      </w:r>
      <w:r w:rsidRPr="00CF1787">
        <w:rPr>
          <w:szCs w:val="20"/>
          <w:lang w:val="es-CR"/>
        </w:rPr>
        <w:t>. De las normas aportadas al acervo probatorio, no se desprende que existiera algún recurso disponible ante la jurisdicción ordinaria. Todos los recursos contemplados en el marco de un proceso penal policial se interponían y resolvían ante la propia jurisdicción penal policial. Así, los recursos de apelación, de nulidad y de hecho eran resueltos por las Cortes Superiores, mientras que los recursos de tercera instancia y de revisión correspondían a la Corte de Justicia de la Policía Nacional</w:t>
      </w:r>
      <w:r w:rsidRPr="00CF1787">
        <w:rPr>
          <w:rStyle w:val="FootnoteReference"/>
          <w:sz w:val="20"/>
          <w:szCs w:val="20"/>
          <w:lang w:val="es-CR"/>
        </w:rPr>
        <w:footnoteReference w:id="153"/>
      </w:r>
      <w:r w:rsidRPr="00CF1787">
        <w:rPr>
          <w:szCs w:val="20"/>
          <w:lang w:val="es-CR"/>
        </w:rPr>
        <w:t xml:space="preserve">.  </w:t>
      </w:r>
    </w:p>
    <w:p w14:paraId="7B16DC30" w14:textId="77777777" w:rsidR="00D52AD2" w:rsidRPr="00CF1787" w:rsidRDefault="00D52AD2" w:rsidP="00D52AD2">
      <w:pPr>
        <w:pStyle w:val="NoSpacing"/>
        <w:tabs>
          <w:tab w:val="left" w:pos="567"/>
        </w:tabs>
        <w:rPr>
          <w:szCs w:val="20"/>
          <w:lang w:val="es-CR"/>
        </w:rPr>
      </w:pPr>
    </w:p>
    <w:p w14:paraId="370A1480" w14:textId="77777777" w:rsidR="00D52AD2" w:rsidRPr="00CF1787" w:rsidRDefault="00D52AD2" w:rsidP="00D52AD2">
      <w:pPr>
        <w:pStyle w:val="NoSpacing"/>
        <w:numPr>
          <w:ilvl w:val="0"/>
          <w:numId w:val="5"/>
        </w:numPr>
        <w:tabs>
          <w:tab w:val="left" w:pos="567"/>
        </w:tabs>
        <w:ind w:left="0" w:firstLine="0"/>
        <w:rPr>
          <w:szCs w:val="20"/>
          <w:lang w:val="es-CR"/>
        </w:rPr>
      </w:pPr>
      <w:bookmarkStart w:id="402" w:name="_Ref462104014"/>
      <w:r w:rsidRPr="00CF1787">
        <w:rPr>
          <w:szCs w:val="20"/>
          <w:lang w:val="es-CR"/>
        </w:rPr>
        <w:t>Al ser consultado por la Corte de manera específica al respecto, el Estado señaló que la presunta víctima tenía la posibilidad de interponer una acción por daños y perjuicios o una demanda penal por prevaricato contra los jueces y magistrados que intervinieron en la causa por la muerte de su esposo</w:t>
      </w:r>
      <w:r w:rsidRPr="00CF1787">
        <w:rPr>
          <w:rStyle w:val="FootnoteReference"/>
          <w:sz w:val="20"/>
          <w:szCs w:val="20"/>
          <w:lang w:val="es-CR"/>
        </w:rPr>
        <w:footnoteReference w:id="154"/>
      </w:r>
      <w:r w:rsidRPr="00CF1787">
        <w:rPr>
          <w:szCs w:val="20"/>
          <w:lang w:val="es-CR"/>
        </w:rPr>
        <w:t xml:space="preserve">. Estos recursos no forman parte del proceso penal policial, por lo que sus propósitos no son la </w:t>
      </w:r>
      <w:proofErr w:type="spellStart"/>
      <w:r w:rsidRPr="00CF1787">
        <w:rPr>
          <w:szCs w:val="20"/>
          <w:lang w:val="es-CR"/>
        </w:rPr>
        <w:t>revisón</w:t>
      </w:r>
      <w:proofErr w:type="spellEnd"/>
      <w:r w:rsidRPr="00CF1787">
        <w:rPr>
          <w:szCs w:val="20"/>
          <w:lang w:val="es-CR"/>
        </w:rPr>
        <w:t xml:space="preserve"> de la misma causa ni su traslado a la justicia ordinaria, sino que abrirían una nueva causa por la conducta de los jueces a cargo y no por la muerte del señor Valencia Hinojosa. Adicionalmente, esta Corte nota que no es clara la efectividad de </w:t>
      </w:r>
      <w:r w:rsidRPr="00CF1787">
        <w:rPr>
          <w:szCs w:val="20"/>
          <w:lang w:val="es-CR"/>
        </w:rPr>
        <w:lastRenderedPageBreak/>
        <w:t>estas acciones judiciales, particularmente cuando ambas requerían para su procedencia que la autoridad judicial en cuestión hubiere actuado contra la ley o denegado justicia</w:t>
      </w:r>
      <w:r w:rsidRPr="00CF1787">
        <w:rPr>
          <w:rStyle w:val="FootnoteReference"/>
          <w:sz w:val="20"/>
          <w:szCs w:val="20"/>
          <w:lang w:val="es-CR"/>
        </w:rPr>
        <w:footnoteReference w:id="155"/>
      </w:r>
      <w:r w:rsidRPr="00CF1787">
        <w:rPr>
          <w:szCs w:val="20"/>
          <w:lang w:val="es-CR"/>
        </w:rPr>
        <w:t xml:space="preserve">. Debido a la normativa vigente en la época de los hechos, no hubiera sido posible argumentar una actuación contraria a la ley de las autoridades judiciales policiales, lo cual se evidencia con los propios alegatos del Estado ante este Tribunal que afirma que “los jueces que actuaron en el desarrollo del proceso penal por la muerte del señor Valencia, actuaron dentro del marco jurídico establecido”. </w:t>
      </w:r>
      <w:bookmarkEnd w:id="402"/>
    </w:p>
    <w:p w14:paraId="18C13E1B" w14:textId="77777777" w:rsidR="00D52AD2" w:rsidRPr="00CF1787" w:rsidRDefault="00D52AD2" w:rsidP="00D52AD2">
      <w:pPr>
        <w:pStyle w:val="NoSpacing"/>
        <w:tabs>
          <w:tab w:val="left" w:pos="567"/>
        </w:tabs>
        <w:rPr>
          <w:lang w:val="es-CR"/>
        </w:rPr>
      </w:pPr>
    </w:p>
    <w:p w14:paraId="48784FD9" w14:textId="77777777" w:rsidR="00D52AD2" w:rsidRPr="00CF1787" w:rsidRDefault="00D52AD2" w:rsidP="00D52AD2">
      <w:pPr>
        <w:pStyle w:val="Heading3"/>
      </w:pPr>
      <w:bookmarkStart w:id="403" w:name="_Toc461791340"/>
      <w:bookmarkStart w:id="404" w:name="_Toc465177385"/>
      <w:bookmarkStart w:id="405" w:name="_Toc470098061"/>
      <w:r w:rsidRPr="00CF1787">
        <w:t>A.3 Conclusión con respecto a las garantías de independencia e imparcialidad y el derecho a un recurso efectivo</w:t>
      </w:r>
      <w:bookmarkEnd w:id="403"/>
      <w:bookmarkEnd w:id="404"/>
      <w:bookmarkEnd w:id="405"/>
    </w:p>
    <w:p w14:paraId="4A9C20F5" w14:textId="77777777" w:rsidR="00D52AD2" w:rsidRPr="00CF1787" w:rsidRDefault="00D52AD2" w:rsidP="00D52AD2">
      <w:pPr>
        <w:pStyle w:val="NoSpacing"/>
        <w:tabs>
          <w:tab w:val="left" w:pos="567"/>
        </w:tabs>
        <w:rPr>
          <w:lang w:val="es-CR"/>
        </w:rPr>
      </w:pPr>
    </w:p>
    <w:p w14:paraId="62A92AC6" w14:textId="77777777" w:rsidR="00D52AD2" w:rsidRPr="00CF1787" w:rsidRDefault="00D52AD2" w:rsidP="00D52AD2">
      <w:pPr>
        <w:pStyle w:val="NoSpacing"/>
        <w:numPr>
          <w:ilvl w:val="0"/>
          <w:numId w:val="5"/>
        </w:numPr>
        <w:tabs>
          <w:tab w:val="left" w:pos="567"/>
        </w:tabs>
        <w:ind w:left="0" w:firstLine="0"/>
        <w:rPr>
          <w:lang w:val="es-CR"/>
        </w:rPr>
      </w:pPr>
      <w:bookmarkStart w:id="406" w:name="_Ref467779805"/>
      <w:bookmarkStart w:id="407" w:name="_Ref462933244"/>
      <w:r w:rsidRPr="00CF1787">
        <w:rPr>
          <w:lang w:val="es-CR"/>
        </w:rPr>
        <w:t>Como se desprende del análisis anterior, la jurisdicción penal policial en el Ecuador que investigó la muerte del señor Valencia Hinojosa no formaba parte del Poder Judicial, sino que era dependiente funcional y administrativamente del Poder Ejecutivo. La mayoría de sus funcionarios eran nombrados por el Ministro de Gobierno, a petición del Comandante General de la Policía Nacional y, si bien estaba compuesto por funcionarios que, en su mayoría tenían formación jurídica, se trataba de oficiales que también en su mayoría se encontraban en servicio activo en la Policía Nacional (</w:t>
      </w:r>
      <w:r w:rsidRPr="00CF1787">
        <w:rPr>
          <w:i/>
          <w:lang w:val="es-CR"/>
        </w:rPr>
        <w:t>supra</w:t>
      </w:r>
      <w:r w:rsidRPr="00CF1787">
        <w:rPr>
          <w:lang w:val="es-CR"/>
        </w:rPr>
        <w:t xml:space="preserve"> </w:t>
      </w:r>
      <w:proofErr w:type="spellStart"/>
      <w:r w:rsidRPr="00CF1787">
        <w:rPr>
          <w:szCs w:val="20"/>
          <w:lang w:val="es-CR"/>
        </w:rPr>
        <w:t>párrs</w:t>
      </w:r>
      <w:proofErr w:type="spellEnd"/>
      <w:r w:rsidRPr="00CF1787">
        <w:rPr>
          <w:szCs w:val="20"/>
          <w:lang w:val="es-CR"/>
        </w:rPr>
        <w:t xml:space="preserve">. </w:t>
      </w:r>
      <w:r w:rsidRPr="00CF1787">
        <w:fldChar w:fldCharType="begin"/>
      </w:r>
      <w:r w:rsidRPr="00CF1787">
        <w:instrText xml:space="preserve"> REF _Ref462085906 \r \h  \* MERGEFORMAT </w:instrText>
      </w:r>
      <w:r w:rsidRPr="00CF1787">
        <w:fldChar w:fldCharType="separate"/>
      </w:r>
      <w:r w:rsidR="00536893" w:rsidRPr="00536893">
        <w:rPr>
          <w:szCs w:val="20"/>
          <w:lang w:val="es-CR"/>
        </w:rPr>
        <w:t>98</w:t>
      </w:r>
      <w:r w:rsidRPr="00CF1787">
        <w:fldChar w:fldCharType="end"/>
      </w:r>
      <w:r w:rsidRPr="00CF1787">
        <w:rPr>
          <w:szCs w:val="20"/>
          <w:lang w:val="es-CR"/>
        </w:rPr>
        <w:t xml:space="preserve"> a </w:t>
      </w:r>
      <w:r w:rsidRPr="00CF1787">
        <w:fldChar w:fldCharType="begin"/>
      </w:r>
      <w:r w:rsidRPr="00CF1787">
        <w:instrText xml:space="preserve"> REF _Ref462104014 \r \h  \* MERGEFORMAT </w:instrText>
      </w:r>
      <w:r w:rsidRPr="00CF1787">
        <w:fldChar w:fldCharType="separate"/>
      </w:r>
      <w:r w:rsidR="00536893" w:rsidRPr="00536893">
        <w:rPr>
          <w:szCs w:val="20"/>
          <w:lang w:val="es-CR"/>
        </w:rPr>
        <w:t>112</w:t>
      </w:r>
      <w:r w:rsidRPr="00CF1787">
        <w:fldChar w:fldCharType="end"/>
      </w:r>
      <w:r w:rsidRPr="00CF1787">
        <w:rPr>
          <w:szCs w:val="20"/>
          <w:lang w:val="es-CR"/>
        </w:rPr>
        <w:t>).</w:t>
      </w:r>
      <w:bookmarkEnd w:id="406"/>
    </w:p>
    <w:p w14:paraId="0EDACA9F" w14:textId="77777777" w:rsidR="00D52AD2" w:rsidRPr="00CF1787" w:rsidRDefault="00D52AD2" w:rsidP="00D52AD2">
      <w:pPr>
        <w:pStyle w:val="NoSpacing"/>
        <w:tabs>
          <w:tab w:val="left" w:pos="567"/>
        </w:tabs>
        <w:rPr>
          <w:lang w:val="es-CR"/>
        </w:rPr>
      </w:pPr>
    </w:p>
    <w:p w14:paraId="7A9BDD52" w14:textId="27CD0F7F" w:rsidR="00D52AD2" w:rsidRPr="00CF1787" w:rsidRDefault="00D52AD2" w:rsidP="008373E9">
      <w:pPr>
        <w:pStyle w:val="NoSpacing"/>
        <w:numPr>
          <w:ilvl w:val="0"/>
          <w:numId w:val="5"/>
        </w:numPr>
        <w:tabs>
          <w:tab w:val="left" w:pos="567"/>
        </w:tabs>
        <w:ind w:left="0" w:firstLine="0"/>
        <w:rPr>
          <w:lang w:val="es-CR"/>
        </w:rPr>
      </w:pPr>
      <w:bookmarkStart w:id="408" w:name="_Ref467779807"/>
      <w:r w:rsidRPr="00CF1787">
        <w:rPr>
          <w:lang w:val="es-CR"/>
        </w:rPr>
        <w:t>En el presente caso, la Corte concluye que la dependencia funcional y administrativa del sistema de justicia policial al Poder Ejecutivo</w:t>
      </w:r>
      <w:r w:rsidR="008373E9" w:rsidRPr="00CF1787">
        <w:rPr>
          <w:lang w:val="es-CR"/>
        </w:rPr>
        <w:t xml:space="preserve">, y la </w:t>
      </w:r>
      <w:r w:rsidR="006C78DD" w:rsidRPr="00CF1787">
        <w:rPr>
          <w:lang w:val="es-CR"/>
        </w:rPr>
        <w:t xml:space="preserve">imposibilidad </w:t>
      </w:r>
      <w:r w:rsidR="008373E9" w:rsidRPr="00CF1787">
        <w:rPr>
          <w:lang w:val="es-CR"/>
        </w:rPr>
        <w:t xml:space="preserve">de </w:t>
      </w:r>
      <w:r w:rsidR="008373E9" w:rsidRPr="00CF1787">
        <w:rPr>
          <w:szCs w:val="20"/>
          <w:lang w:val="es-CR"/>
        </w:rPr>
        <w:t>solicitar una revisión judicial por parte de la jurisdicción ordinaria</w:t>
      </w:r>
      <w:r w:rsidR="008373E9" w:rsidRPr="00CF1787">
        <w:rPr>
          <w:lang w:val="es-CR"/>
        </w:rPr>
        <w:t xml:space="preserve">, </w:t>
      </w:r>
      <w:r w:rsidRPr="00CF1787">
        <w:rPr>
          <w:lang w:val="es-CR"/>
        </w:rPr>
        <w:t>no garantizaba</w:t>
      </w:r>
      <w:r w:rsidR="00EC5AE9" w:rsidRPr="00CF1787">
        <w:rPr>
          <w:lang w:val="es-CR"/>
        </w:rPr>
        <w:t>n</w:t>
      </w:r>
      <w:r w:rsidRPr="00CF1787">
        <w:rPr>
          <w:lang w:val="es-CR"/>
        </w:rPr>
        <w:t xml:space="preserve"> la independencia e imparcialidad institucional de la jurisdicción pol</w:t>
      </w:r>
      <w:r w:rsidR="008373E9" w:rsidRPr="00CF1787">
        <w:rPr>
          <w:lang w:val="es-CR"/>
        </w:rPr>
        <w:t xml:space="preserve">icial. </w:t>
      </w:r>
      <w:r w:rsidRPr="00CF1787">
        <w:rPr>
          <w:lang w:val="es-CR"/>
        </w:rPr>
        <w:t xml:space="preserve">Además, la relación de subordinación y cadena de mando, propia de la Policía Nacional, no ofrecía garantías suficientes de independencia e imparcialidad de los jueces penales policiales, a nivel personal o individual, debido a: la manera en que eran nombrados; la ausencia de garantías suficientes de estabilidad en el cargo (especialmente para los Juzgados de Distrito, cuyos puestos eran de libre nombramiento y remoción y que, como sucedió en este caso, tenían competencia para determinar la continuación o no de la causa), y el estatus de oficiales en servicio activo de la mayoría de los intervinientes (lo cual generaba la posibilidad que los jueces de distrito, por ejemplo, tuvieran que investigar a funcionarios de mayor jerarquía o a sus mismos compañeros de promoción). </w:t>
      </w:r>
      <w:bookmarkEnd w:id="408"/>
    </w:p>
    <w:p w14:paraId="48868F65" w14:textId="77777777" w:rsidR="00D52AD2" w:rsidRPr="00CF1787" w:rsidRDefault="00D52AD2" w:rsidP="00D52AD2">
      <w:pPr>
        <w:pStyle w:val="NoSpacing"/>
        <w:tabs>
          <w:tab w:val="left" w:pos="567"/>
        </w:tabs>
        <w:rPr>
          <w:lang w:val="es-CR"/>
        </w:rPr>
      </w:pPr>
    </w:p>
    <w:p w14:paraId="6D37F23A" w14:textId="77777777" w:rsidR="00D52AD2" w:rsidRPr="00CF1787" w:rsidRDefault="00D52AD2" w:rsidP="00D52AD2">
      <w:pPr>
        <w:pStyle w:val="NoSpacing"/>
        <w:numPr>
          <w:ilvl w:val="0"/>
          <w:numId w:val="5"/>
        </w:numPr>
        <w:tabs>
          <w:tab w:val="left" w:pos="567"/>
        </w:tabs>
        <w:ind w:left="0" w:firstLine="0"/>
        <w:rPr>
          <w:lang w:val="es-CR"/>
        </w:rPr>
      </w:pPr>
      <w:r w:rsidRPr="00CF1787">
        <w:rPr>
          <w:lang w:val="es-CR"/>
        </w:rPr>
        <w:t>Por otra parte, la Corte recuerda que el artículo 25.1 de la Convención contempla la obligación de los Estados Partes de garantizar a todas las personas bajo su jurisdicción, un recurso judicial sencillo, rápido y efectivo ante juez o tribunal competente. Conforme a su jurisprudencia, dicho recurso debe ser adecuado y efectivo</w:t>
      </w:r>
      <w:r w:rsidRPr="00CF1787">
        <w:rPr>
          <w:vertAlign w:val="superscript"/>
          <w:lang w:val="es-CR"/>
        </w:rPr>
        <w:footnoteReference w:id="156"/>
      </w:r>
      <w:r w:rsidRPr="00CF1787">
        <w:rPr>
          <w:lang w:val="es-CR"/>
        </w:rPr>
        <w:t>. En el presente caso se constató que el desarrollo de la investigación por parte de la jurisdicción penal policial no respetaba las garantías de independencia e imparcialidad consagradas en el artículo 8 de la Convención.</w:t>
      </w:r>
      <w:bookmarkEnd w:id="407"/>
      <w:r w:rsidRPr="00CF1787">
        <w:rPr>
          <w:lang w:val="es-CR"/>
        </w:rPr>
        <w:t xml:space="preserve"> </w:t>
      </w:r>
    </w:p>
    <w:p w14:paraId="1654816D" w14:textId="77777777" w:rsidR="00D52AD2" w:rsidRPr="00CF1787" w:rsidRDefault="00D52AD2" w:rsidP="00D52AD2">
      <w:pPr>
        <w:pStyle w:val="NoSpacing"/>
        <w:tabs>
          <w:tab w:val="left" w:pos="567"/>
        </w:tabs>
        <w:rPr>
          <w:lang w:val="es-CR"/>
        </w:rPr>
      </w:pPr>
    </w:p>
    <w:p w14:paraId="42F5EAB8" w14:textId="0E4F9DB0" w:rsidR="00D52AD2" w:rsidRPr="00CF1787" w:rsidRDefault="00D52AD2" w:rsidP="00D52AD2">
      <w:pPr>
        <w:pStyle w:val="NoSpacing"/>
        <w:numPr>
          <w:ilvl w:val="0"/>
          <w:numId w:val="5"/>
        </w:numPr>
        <w:tabs>
          <w:tab w:val="left" w:pos="567"/>
        </w:tabs>
        <w:ind w:left="0" w:firstLine="0"/>
        <w:rPr>
          <w:rFonts w:cs="Times New Roman"/>
          <w:lang w:val="es-CR"/>
        </w:rPr>
      </w:pPr>
      <w:r w:rsidRPr="00CF1787">
        <w:rPr>
          <w:lang w:val="es-CR"/>
        </w:rPr>
        <w:t xml:space="preserve">Asimismo, la Corte toma nota de las conclusiones de la Comisión </w:t>
      </w:r>
      <w:r w:rsidR="006C78DD" w:rsidRPr="00CF1787">
        <w:rPr>
          <w:lang w:val="es-CR"/>
        </w:rPr>
        <w:t>de</w:t>
      </w:r>
      <w:r w:rsidRPr="00CF1787">
        <w:rPr>
          <w:lang w:val="es-CR"/>
        </w:rPr>
        <w:t xml:space="preserve"> la Verdad del Ecuador, donde se resaltó que </w:t>
      </w:r>
      <w:bookmarkStart w:id="409" w:name="_Ref453707282"/>
      <w:r w:rsidRPr="00CF1787">
        <w:rPr>
          <w:lang w:val="es-CR"/>
        </w:rPr>
        <w:t xml:space="preserve">la impunidad por la </w:t>
      </w:r>
      <w:r w:rsidRPr="00CF1787">
        <w:rPr>
          <w:rFonts w:cs="Times New Roman"/>
          <w:lang w:val="es-CR"/>
        </w:rPr>
        <w:t>“mayor parte de violaciones de derechos humanos cometidas por elementos policiales o militares […] ha sido posible por el mantenimiento de fueros especiales que han permitido que policías y militares sean juzgados en sus propios tribunales, en los que, por lo general, han sido absueltos [y] se ha mantenido un espíritu de cuerpo que ha sido el principal obstáculo para que se descubra la verdad y se haga justicia”</w:t>
      </w:r>
      <w:r w:rsidRPr="00CF1787">
        <w:rPr>
          <w:rStyle w:val="FootnoteReference"/>
          <w:lang w:val="es-CR"/>
        </w:rPr>
        <w:footnoteReference w:id="157"/>
      </w:r>
      <w:r w:rsidRPr="00CF1787">
        <w:rPr>
          <w:rFonts w:cs="Times New Roman"/>
          <w:lang w:val="es-CR"/>
        </w:rPr>
        <w:t>. Además, resalta que la propia Corte Nacional de Justicia ha concluido que</w:t>
      </w:r>
      <w:r w:rsidRPr="00CF1787">
        <w:rPr>
          <w:rFonts w:cs="Times New Roman"/>
          <w:color w:val="FF0000"/>
          <w:lang w:val="es-CR"/>
        </w:rPr>
        <w:t xml:space="preserve"> </w:t>
      </w:r>
      <w:r w:rsidRPr="00CF1787">
        <w:rPr>
          <w:rFonts w:cs="Times New Roman"/>
          <w:lang w:val="es-CR"/>
        </w:rPr>
        <w:t>la jurisdicción penal policial “</w:t>
      </w:r>
      <w:r w:rsidRPr="00CF1787">
        <w:rPr>
          <w:rFonts w:cs="Arial Narrow"/>
          <w:color w:val="000000"/>
          <w:szCs w:val="20"/>
          <w:lang w:val="es-CR"/>
        </w:rPr>
        <w:t>no se encontraba revestid[a] de autonomía e independencia”</w:t>
      </w:r>
      <w:r w:rsidRPr="00CF1787">
        <w:rPr>
          <w:rStyle w:val="FootnoteReference"/>
          <w:color w:val="000000"/>
          <w:lang w:val="es-CR"/>
        </w:rPr>
        <w:footnoteReference w:id="158"/>
      </w:r>
      <w:r w:rsidRPr="00CF1787">
        <w:rPr>
          <w:rFonts w:cs="Arial Narrow"/>
          <w:color w:val="000000"/>
          <w:szCs w:val="20"/>
          <w:lang w:val="es-CR"/>
        </w:rPr>
        <w:t>.</w:t>
      </w:r>
    </w:p>
    <w:p w14:paraId="6F3A708E" w14:textId="77777777" w:rsidR="00D52AD2" w:rsidRPr="00CF1787" w:rsidRDefault="00D52AD2" w:rsidP="00D52AD2">
      <w:pPr>
        <w:pStyle w:val="NoSpacing"/>
        <w:tabs>
          <w:tab w:val="left" w:pos="567"/>
        </w:tabs>
        <w:rPr>
          <w:lang w:val="es-CR"/>
        </w:rPr>
      </w:pPr>
    </w:p>
    <w:p w14:paraId="2FFCDE04" w14:textId="77777777" w:rsidR="00D52AD2" w:rsidRPr="00CF1787" w:rsidRDefault="00D52AD2" w:rsidP="00D52AD2">
      <w:pPr>
        <w:pStyle w:val="NoSpacing"/>
        <w:numPr>
          <w:ilvl w:val="0"/>
          <w:numId w:val="5"/>
        </w:numPr>
        <w:tabs>
          <w:tab w:val="left" w:pos="567"/>
        </w:tabs>
        <w:ind w:left="0" w:firstLine="0"/>
        <w:rPr>
          <w:lang w:val="es-CR"/>
        </w:rPr>
      </w:pPr>
      <w:r w:rsidRPr="00CF1787">
        <w:rPr>
          <w:lang w:val="es-CR"/>
        </w:rPr>
        <w:t xml:space="preserve">En virtud de todas las consideraciones anteriores, la Corte infiere de autos que en este caso no se proveyó de un recurso efectivo a los familiares de la víctima, frente a la posible violación de sus derechos humanos. </w:t>
      </w:r>
    </w:p>
    <w:p w14:paraId="12DDFE9F" w14:textId="77777777" w:rsidR="00D52AD2" w:rsidRPr="00CF1787" w:rsidRDefault="00D52AD2" w:rsidP="00D52AD2">
      <w:pPr>
        <w:pStyle w:val="NoSpacing"/>
        <w:tabs>
          <w:tab w:val="left" w:pos="567"/>
        </w:tabs>
        <w:rPr>
          <w:lang w:val="es-CR"/>
        </w:rPr>
      </w:pPr>
    </w:p>
    <w:p w14:paraId="697DD1F5" w14:textId="390E158D" w:rsidR="00D52AD2" w:rsidRPr="00CF1787" w:rsidRDefault="00D52AD2" w:rsidP="00D52AD2">
      <w:pPr>
        <w:pStyle w:val="NoSpacing"/>
        <w:numPr>
          <w:ilvl w:val="0"/>
          <w:numId w:val="5"/>
        </w:numPr>
        <w:tabs>
          <w:tab w:val="left" w:pos="567"/>
        </w:tabs>
        <w:ind w:left="0" w:firstLine="0"/>
        <w:rPr>
          <w:lang w:val="es-CR"/>
        </w:rPr>
      </w:pPr>
      <w:bookmarkStart w:id="410" w:name="_Ref467780391"/>
      <w:r w:rsidRPr="00CF1787">
        <w:rPr>
          <w:lang w:val="es-CR"/>
        </w:rPr>
        <w:t xml:space="preserve">Por otra parte, la Corte recuerda que el </w:t>
      </w:r>
      <w:r w:rsidRPr="00CF1787">
        <w:rPr>
          <w:szCs w:val="20"/>
          <w:lang w:val="es-CR"/>
        </w:rPr>
        <w:t>artículo 2 de la Convención obliga a los Estados Partes a adoptar, con arreglo a sus procedimientos constitucionales y a las disposiciones de la Convención, las medidas legislativas o de otro carácter que fueren necesarias para hacer efectivos los derechos y libertades protegidos por la Convención</w:t>
      </w:r>
      <w:r w:rsidRPr="00CF1787">
        <w:rPr>
          <w:szCs w:val="20"/>
          <w:vertAlign w:val="superscript"/>
          <w:lang w:val="es-CR"/>
        </w:rPr>
        <w:footnoteReference w:id="159"/>
      </w:r>
      <w:r w:rsidRPr="00CF1787">
        <w:rPr>
          <w:szCs w:val="20"/>
          <w:lang w:val="es-CR"/>
        </w:rPr>
        <w:t>. La Corte toma nota que en 2008 Ecuador adoptó una nueva Constitución, mediante la cual derogó el fuero policial</w:t>
      </w:r>
      <w:r w:rsidRPr="00CF1787">
        <w:rPr>
          <w:rStyle w:val="FootnoteReference"/>
          <w:sz w:val="20"/>
          <w:szCs w:val="20"/>
          <w:lang w:val="es-CR"/>
        </w:rPr>
        <w:footnoteReference w:id="160"/>
      </w:r>
      <w:r w:rsidRPr="00CF1787">
        <w:rPr>
          <w:szCs w:val="20"/>
          <w:lang w:val="es-CR"/>
        </w:rPr>
        <w:t xml:space="preserve">. Sin embargo, </w:t>
      </w:r>
      <w:r w:rsidR="00353A0F" w:rsidRPr="00CF1787">
        <w:rPr>
          <w:szCs w:val="20"/>
          <w:lang w:val="es-CR"/>
        </w:rPr>
        <w:t>resalta</w:t>
      </w:r>
      <w:r w:rsidRPr="00CF1787">
        <w:rPr>
          <w:szCs w:val="20"/>
          <w:lang w:val="es-CR"/>
        </w:rPr>
        <w:t xml:space="preserve"> que al momento de los hechos se encontraba vigente dicha jurisdicción, la cual desarrolló y concluyó la investigación por la muerte</w:t>
      </w:r>
      <w:r w:rsidRPr="00CF1787">
        <w:rPr>
          <w:lang w:val="es-CR"/>
        </w:rPr>
        <w:t xml:space="preserve"> del señor Valencia Hinojosa, en violación de las garantías de independencia e imparcialidad. Aun cuando este Tribunal valora los cambios normativos realizados por el Ecuador, advierte que dicha modificación no fue aplicada al caso concreto del señor Valencia Hinojosa. Por tanto, la Corte considera que el Estado adicionalmente incumplió con su obligación de adecuar su normativa interna a fin de garantizar el acceso a una justicia independiente e imparcial.</w:t>
      </w:r>
      <w:bookmarkEnd w:id="410"/>
      <w:r w:rsidRPr="00CF1787">
        <w:rPr>
          <w:lang w:val="es-CR"/>
        </w:rPr>
        <w:t xml:space="preserve"> </w:t>
      </w:r>
      <w:bookmarkEnd w:id="409"/>
    </w:p>
    <w:p w14:paraId="1AEC86B0" w14:textId="77777777" w:rsidR="00D52AD2" w:rsidRPr="00CF1787" w:rsidRDefault="00D52AD2" w:rsidP="00D52AD2">
      <w:pPr>
        <w:pStyle w:val="NoSpacing"/>
        <w:tabs>
          <w:tab w:val="left" w:pos="567"/>
        </w:tabs>
        <w:rPr>
          <w:lang w:val="es-CR"/>
        </w:rPr>
      </w:pPr>
    </w:p>
    <w:p w14:paraId="7EF7C9E0" w14:textId="4B8BDFBE" w:rsidR="00D52AD2" w:rsidRPr="00CF1787" w:rsidRDefault="00D52AD2" w:rsidP="00D52AD2">
      <w:pPr>
        <w:pStyle w:val="NoSpacing"/>
        <w:numPr>
          <w:ilvl w:val="0"/>
          <w:numId w:val="5"/>
        </w:numPr>
        <w:tabs>
          <w:tab w:val="left" w:pos="567"/>
        </w:tabs>
        <w:ind w:left="0" w:firstLine="0"/>
        <w:rPr>
          <w:lang w:val="es-CR"/>
        </w:rPr>
      </w:pPr>
      <w:bookmarkStart w:id="411" w:name="_Ref462933293"/>
      <w:r w:rsidRPr="00CF1787">
        <w:rPr>
          <w:lang w:val="es-CR"/>
        </w:rPr>
        <w:t xml:space="preserve">En consecuencia, la Corte concluye que la investigación de la muerte del señor Valencia Hinojosa y procesamiento de los presuntos responsables por parte de la jurisdicción penal </w:t>
      </w:r>
      <w:r w:rsidRPr="00CF1787">
        <w:rPr>
          <w:lang w:val="es-CR"/>
        </w:rPr>
        <w:lastRenderedPageBreak/>
        <w:t>policial violó las garantías de independencia e imparcialidad, consagradas en el artículo 8.1 de la Convención, en relación con los artículos 1.1 y 2 del mismo in</w:t>
      </w:r>
      <w:r w:rsidR="00A87127" w:rsidRPr="00CF1787">
        <w:rPr>
          <w:lang w:val="es-CR"/>
        </w:rPr>
        <w:t>s</w:t>
      </w:r>
      <w:r w:rsidRPr="00CF1787">
        <w:rPr>
          <w:lang w:val="es-CR"/>
        </w:rPr>
        <w:t>trumento, en perjuicio de Luis Jorge Valencia Hinojosa y Patricia Trujillo Esparza.</w:t>
      </w:r>
      <w:bookmarkEnd w:id="411"/>
      <w:r w:rsidRPr="00CF1787">
        <w:rPr>
          <w:lang w:val="es-CR"/>
        </w:rPr>
        <w:t xml:space="preserve"> </w:t>
      </w:r>
    </w:p>
    <w:p w14:paraId="0308A292" w14:textId="77777777" w:rsidR="00D52AD2" w:rsidRPr="00CF1787" w:rsidRDefault="00D52AD2" w:rsidP="00D52AD2">
      <w:pPr>
        <w:pStyle w:val="NoSpacing"/>
        <w:tabs>
          <w:tab w:val="left" w:pos="567"/>
        </w:tabs>
        <w:rPr>
          <w:lang w:val="es-CR"/>
        </w:rPr>
      </w:pPr>
    </w:p>
    <w:p w14:paraId="7D5168D1" w14:textId="49355F09" w:rsidR="00D52AD2" w:rsidRPr="00CF1787" w:rsidRDefault="00D52AD2" w:rsidP="00D52AD2">
      <w:pPr>
        <w:pStyle w:val="NoSpacing"/>
        <w:numPr>
          <w:ilvl w:val="0"/>
          <w:numId w:val="5"/>
        </w:numPr>
        <w:tabs>
          <w:tab w:val="left" w:pos="567"/>
        </w:tabs>
        <w:ind w:left="0" w:firstLine="0"/>
        <w:rPr>
          <w:lang w:val="es-CR"/>
        </w:rPr>
      </w:pPr>
      <w:bookmarkStart w:id="412" w:name="_Ref462932391"/>
      <w:r w:rsidRPr="00CF1787">
        <w:rPr>
          <w:lang w:val="es-CR"/>
        </w:rPr>
        <w:t>Además, la Corte declara que el Estado también es responsable de violación del derecho a la protección judicial, consagrado en el artículo 25</w:t>
      </w:r>
      <w:r w:rsidR="00330828" w:rsidRPr="00CF1787">
        <w:rPr>
          <w:lang w:val="es-CR"/>
        </w:rPr>
        <w:t>.1</w:t>
      </w:r>
      <w:r w:rsidRPr="00CF1787">
        <w:rPr>
          <w:lang w:val="es-CR"/>
        </w:rPr>
        <w:t xml:space="preserve"> de la Convención, en relación con los artículos</w:t>
      </w:r>
      <w:bookmarkStart w:id="413" w:name="_Toc427932806"/>
      <w:bookmarkStart w:id="414" w:name="_Toc431584647"/>
      <w:bookmarkStart w:id="415" w:name="_Toc434850436"/>
      <w:r w:rsidRPr="00CF1787">
        <w:rPr>
          <w:lang w:val="es-CR"/>
        </w:rPr>
        <w:t xml:space="preserve"> 1.1 y 2 del mismo instrumento, en perjuicio de Luis Jorge Valencia Hinojosa y Patricia Trujillo Esparza.</w:t>
      </w:r>
      <w:bookmarkEnd w:id="412"/>
    </w:p>
    <w:p w14:paraId="0AA99591" w14:textId="77777777" w:rsidR="00BE27F6" w:rsidRPr="00CF1787" w:rsidRDefault="00BE27F6" w:rsidP="005F3B9C">
      <w:pPr>
        <w:rPr>
          <w:lang w:val="es-CR"/>
        </w:rPr>
      </w:pPr>
      <w:bookmarkStart w:id="416" w:name="_Toc461791341"/>
      <w:bookmarkStart w:id="417" w:name="_Toc465177386"/>
    </w:p>
    <w:p w14:paraId="24F06DC1" w14:textId="77777777" w:rsidR="00D52AD2" w:rsidRPr="00CF1787" w:rsidRDefault="00D52AD2" w:rsidP="00D52AD2">
      <w:pPr>
        <w:pStyle w:val="Heading2"/>
        <w:numPr>
          <w:ilvl w:val="0"/>
          <w:numId w:val="0"/>
        </w:numPr>
        <w:ind w:left="1494" w:hanging="360"/>
        <w:rPr>
          <w:lang w:val="es-CR"/>
        </w:rPr>
      </w:pPr>
      <w:bookmarkStart w:id="418" w:name="_Toc470098062"/>
      <w:r w:rsidRPr="00CF1787">
        <w:rPr>
          <w:lang w:val="es-CR"/>
        </w:rPr>
        <w:t>B. Garantía de competencia y otras alegadas violaciones a las garantías judiciales y protección judicial</w:t>
      </w:r>
      <w:bookmarkEnd w:id="416"/>
      <w:bookmarkEnd w:id="417"/>
      <w:bookmarkEnd w:id="418"/>
      <w:r w:rsidRPr="00CF1787">
        <w:rPr>
          <w:lang w:val="es-CR"/>
        </w:rPr>
        <w:t xml:space="preserve"> </w:t>
      </w:r>
      <w:bookmarkEnd w:id="413"/>
      <w:bookmarkEnd w:id="414"/>
      <w:bookmarkEnd w:id="415"/>
    </w:p>
    <w:p w14:paraId="36AF4D32" w14:textId="77777777" w:rsidR="00D52AD2" w:rsidRPr="00CF1787" w:rsidRDefault="00D52AD2" w:rsidP="00D52AD2">
      <w:pPr>
        <w:pStyle w:val="Heading3"/>
        <w:rPr>
          <w:lang w:val="es-CR"/>
        </w:rPr>
      </w:pPr>
      <w:r w:rsidRPr="00CF1787">
        <w:rPr>
          <w:lang w:val="es-CR"/>
        </w:rPr>
        <w:br/>
      </w:r>
      <w:bookmarkStart w:id="419" w:name="_Toc461791342"/>
      <w:bookmarkStart w:id="420" w:name="_Toc465177387"/>
      <w:bookmarkStart w:id="421" w:name="_Toc470098063"/>
      <w:r w:rsidRPr="00CF1787">
        <w:rPr>
          <w:lang w:val="es-CR"/>
        </w:rPr>
        <w:t>B.1 Alegatos de las partes y de la Comisión</w:t>
      </w:r>
      <w:bookmarkEnd w:id="419"/>
      <w:bookmarkEnd w:id="420"/>
      <w:bookmarkEnd w:id="421"/>
      <w:r w:rsidRPr="00CF1787">
        <w:rPr>
          <w:lang w:val="es-CR"/>
        </w:rPr>
        <w:t xml:space="preserve"> </w:t>
      </w:r>
    </w:p>
    <w:p w14:paraId="7E3146F6" w14:textId="77777777" w:rsidR="00D52AD2" w:rsidRPr="00CF1787" w:rsidRDefault="00D52AD2" w:rsidP="00D52AD2">
      <w:pPr>
        <w:pStyle w:val="NoSpacing"/>
        <w:tabs>
          <w:tab w:val="left" w:pos="567"/>
        </w:tabs>
        <w:rPr>
          <w:lang w:val="es-CR" w:eastAsia="es-ES"/>
        </w:rPr>
      </w:pPr>
    </w:p>
    <w:p w14:paraId="6A4D9D72" w14:textId="767EB13B" w:rsidR="00D52AD2" w:rsidRPr="00CF1787" w:rsidRDefault="00D52AD2" w:rsidP="00085667">
      <w:pPr>
        <w:pStyle w:val="NoSpacing"/>
        <w:numPr>
          <w:ilvl w:val="0"/>
          <w:numId w:val="5"/>
        </w:numPr>
        <w:tabs>
          <w:tab w:val="left" w:pos="567"/>
        </w:tabs>
        <w:ind w:left="0" w:firstLine="0"/>
        <w:rPr>
          <w:spacing w:val="-2"/>
          <w:szCs w:val="20"/>
          <w:lang w:val="es-CR"/>
        </w:rPr>
      </w:pPr>
      <w:bookmarkStart w:id="422" w:name="_Ref470005179"/>
      <w:r w:rsidRPr="00CF1787">
        <w:rPr>
          <w:lang w:val="es-CR"/>
        </w:rPr>
        <w:t xml:space="preserve">La </w:t>
      </w:r>
      <w:r w:rsidRPr="00CF1787">
        <w:rPr>
          <w:b/>
          <w:i/>
          <w:lang w:val="es-CR"/>
        </w:rPr>
        <w:t>Comisión</w:t>
      </w:r>
      <w:r w:rsidRPr="00CF1787">
        <w:rPr>
          <w:lang w:val="es-CR"/>
        </w:rPr>
        <w:t xml:space="preserve"> alegó que la Corte Interamericana ya se ha referido a la incompatibilidad con la Convención Americana de la aplicación del fuero penal militar a violaciones de derechos humanos. Señaló que “al margen de que tanto la presunta víctima como los imputados eran policías, la justicia penal policial debía tener un alcance restrictivo y no debió ser aplicada en la investigación y juzgamiento de posibles delitos que podrían constituir violaciones de derechos humanos”. Resaltó que al incluirse delitos contra la vida, como el homicidio, se “</w:t>
      </w:r>
      <w:proofErr w:type="spellStart"/>
      <w:r w:rsidRPr="00CF1787">
        <w:rPr>
          <w:lang w:val="es-CR"/>
        </w:rPr>
        <w:t>extralimit</w:t>
      </w:r>
      <w:proofErr w:type="spellEnd"/>
      <w:r w:rsidRPr="00CF1787">
        <w:rPr>
          <w:lang w:val="es-CR"/>
        </w:rPr>
        <w:t>[</w:t>
      </w:r>
      <w:proofErr w:type="spellStart"/>
      <w:r w:rsidRPr="00CF1787">
        <w:rPr>
          <w:lang w:val="es-CR"/>
        </w:rPr>
        <w:t>ó</w:t>
      </w:r>
      <w:proofErr w:type="spellEnd"/>
      <w:r w:rsidRPr="00CF1787">
        <w:rPr>
          <w:lang w:val="es-CR"/>
        </w:rPr>
        <w:t>] la esfera de la justicia policial más allá de los delitos o infracciones de función que atenten exclusivamente contra bienes jurídicos propios del orden policial”. Por otra parte,</w:t>
      </w:r>
      <w:r w:rsidRPr="00CF1787">
        <w:rPr>
          <w:b/>
          <w:lang w:val="es-CR"/>
        </w:rPr>
        <w:t xml:space="preserve"> </w:t>
      </w:r>
      <w:r w:rsidRPr="00CF1787">
        <w:rPr>
          <w:lang w:val="es-CR" w:eastAsia="es-ES"/>
        </w:rPr>
        <w:t>la Comisión</w:t>
      </w:r>
      <w:r w:rsidRPr="00CF1787">
        <w:rPr>
          <w:b/>
          <w:lang w:val="es-CR" w:eastAsia="es-ES"/>
        </w:rPr>
        <w:t xml:space="preserve"> </w:t>
      </w:r>
      <w:r w:rsidRPr="00CF1787">
        <w:rPr>
          <w:spacing w:val="-2"/>
          <w:szCs w:val="20"/>
          <w:lang w:val="es-CR"/>
        </w:rPr>
        <w:t xml:space="preserve">alegó </w:t>
      </w:r>
      <w:r w:rsidRPr="00CF1787">
        <w:rPr>
          <w:lang w:val="es-CR" w:eastAsia="es-ES"/>
        </w:rPr>
        <w:t>que “la investigación no fue diligente ni estuvo dirigida a esclarecer los hechos y, aun cuando su resultado continuaba revelando algunos posibles indicios sobre la responsabilidad de agentes estatales, tales indicios no fueron investigados ni debidamente desvirtuados”.</w:t>
      </w:r>
      <w:r w:rsidRPr="00CF1787">
        <w:rPr>
          <w:b/>
          <w:lang w:val="es-CR" w:eastAsia="es-ES"/>
        </w:rPr>
        <w:t xml:space="preserve"> </w:t>
      </w:r>
      <w:r w:rsidRPr="00CF1787">
        <w:rPr>
          <w:lang w:val="es-CR" w:eastAsia="es-ES"/>
        </w:rPr>
        <w:t xml:space="preserve">Además, observó que desde las diligencias iniciales se presentaron una serie de inconsistencias que “generan dudas sobre los resultados de la investigación”. Por último, </w:t>
      </w:r>
      <w:r w:rsidR="00085667" w:rsidRPr="00CF1787">
        <w:rPr>
          <w:lang w:val="es-CR" w:eastAsia="es-ES"/>
        </w:rPr>
        <w:t>señaló</w:t>
      </w:r>
      <w:r w:rsidRPr="00CF1787">
        <w:rPr>
          <w:rFonts w:eastAsia="MS Mincho" w:cs="Times New Roman"/>
          <w:lang w:val="es-CR" w:eastAsia="es-ES"/>
        </w:rPr>
        <w:t xml:space="preserve"> que el Estado violó el plazo razonable, ya que “la demora en la investigación del caso y la falta hasta la fecha de una investigación independiente e imparcial […], no resulta razonable y se debió a las omisiones de las autoridades a cargo”.</w:t>
      </w:r>
      <w:bookmarkEnd w:id="422"/>
      <w:r w:rsidRPr="00CF1787">
        <w:rPr>
          <w:rFonts w:eastAsia="MS Mincho" w:cs="Times New Roman"/>
          <w:lang w:val="es-CR" w:eastAsia="es-ES"/>
        </w:rPr>
        <w:t xml:space="preserve"> </w:t>
      </w:r>
    </w:p>
    <w:p w14:paraId="3E9E1C12" w14:textId="77777777" w:rsidR="00D52AD2" w:rsidRPr="00CF1787" w:rsidRDefault="00D52AD2" w:rsidP="00D52AD2">
      <w:pPr>
        <w:pStyle w:val="NoSpacing"/>
        <w:tabs>
          <w:tab w:val="left" w:pos="567"/>
        </w:tabs>
        <w:rPr>
          <w:lang w:val="es-CR"/>
        </w:rPr>
      </w:pPr>
    </w:p>
    <w:p w14:paraId="4B469DCB" w14:textId="668DE314" w:rsidR="00D52AD2" w:rsidRPr="00CF1787" w:rsidRDefault="00D52AD2" w:rsidP="00085667">
      <w:pPr>
        <w:pStyle w:val="NoSpacing"/>
        <w:numPr>
          <w:ilvl w:val="0"/>
          <w:numId w:val="5"/>
        </w:numPr>
        <w:tabs>
          <w:tab w:val="left" w:pos="567"/>
        </w:tabs>
        <w:ind w:left="0" w:firstLine="0"/>
        <w:rPr>
          <w:spacing w:val="-2"/>
          <w:szCs w:val="20"/>
          <w:lang w:val="es-CR"/>
        </w:rPr>
      </w:pPr>
      <w:bookmarkStart w:id="423" w:name="_Ref470005191"/>
      <w:r w:rsidRPr="00CF1787">
        <w:rPr>
          <w:lang w:val="es-CR"/>
        </w:rPr>
        <w:t xml:space="preserve">Los </w:t>
      </w:r>
      <w:r w:rsidRPr="00CF1787">
        <w:rPr>
          <w:b/>
          <w:i/>
          <w:lang w:val="es-CR"/>
        </w:rPr>
        <w:t xml:space="preserve">representantes </w:t>
      </w:r>
      <w:r w:rsidRPr="00CF1787">
        <w:rPr>
          <w:lang w:val="es-CR"/>
        </w:rPr>
        <w:t>alegaron que “el artículo 187 de la Constitución vigente al momento de los hechos, [disponía que] el juzgamiento de infracciones [comunes] cometidas por miembros de la Fuerza Pública en el ejercicio de sus labores profesionales […] [era competencia de] la justicia ordinaria”.</w:t>
      </w:r>
      <w:r w:rsidRPr="00CF1787">
        <w:rPr>
          <w:rFonts w:cs="Arial"/>
          <w:b/>
          <w:bCs/>
          <w:lang w:val="es-CR"/>
        </w:rPr>
        <w:t xml:space="preserve"> </w:t>
      </w:r>
      <w:r w:rsidRPr="00CF1787">
        <w:rPr>
          <w:rFonts w:cs="Arial"/>
          <w:bCs/>
          <w:lang w:val="es-CR"/>
        </w:rPr>
        <w:t xml:space="preserve">Señalaron que </w:t>
      </w:r>
      <w:r w:rsidRPr="00CF1787">
        <w:rPr>
          <w:lang w:val="es-CR"/>
        </w:rPr>
        <w:t>“además de conocer los delitos de función de sus integrantes, [la justicia penal policial] asumía competencia en casos de violaciones a los derechos humanos, puesto que el Código Penal de la Policía Nacional […] tipificaba los delitos contra la vida”.</w:t>
      </w:r>
      <w:r w:rsidRPr="00CF1787">
        <w:rPr>
          <w:b/>
          <w:lang w:val="es-CR"/>
        </w:rPr>
        <w:t xml:space="preserve"> </w:t>
      </w:r>
      <w:r w:rsidRPr="00CF1787">
        <w:rPr>
          <w:rFonts w:eastAsia="MS Mincho" w:cs="Times New Roman"/>
          <w:lang w:val="es-CR" w:eastAsia="es-ES"/>
        </w:rPr>
        <w:t>Por otra parte, alegaron</w:t>
      </w:r>
      <w:r w:rsidRPr="00CF1787">
        <w:rPr>
          <w:b/>
          <w:i/>
          <w:lang w:val="es-CR"/>
        </w:rPr>
        <w:t xml:space="preserve"> </w:t>
      </w:r>
      <w:r w:rsidRPr="00CF1787">
        <w:rPr>
          <w:lang w:val="es-CR" w:eastAsia="es-ES"/>
        </w:rPr>
        <w:t xml:space="preserve">que “[d]e la revisión del expediente </w:t>
      </w:r>
      <w:proofErr w:type="spellStart"/>
      <w:proofErr w:type="gramStart"/>
      <w:r w:rsidRPr="00CF1787">
        <w:rPr>
          <w:lang w:val="es-CR" w:eastAsia="es-ES"/>
        </w:rPr>
        <w:t>surg</w:t>
      </w:r>
      <w:proofErr w:type="spellEnd"/>
      <w:r w:rsidRPr="00CF1787">
        <w:rPr>
          <w:lang w:val="es-CR" w:eastAsia="es-ES"/>
        </w:rPr>
        <w:t>[</w:t>
      </w:r>
      <w:proofErr w:type="spellStart"/>
      <w:proofErr w:type="gramEnd"/>
      <w:r w:rsidRPr="00CF1787">
        <w:rPr>
          <w:lang w:val="es-CR" w:eastAsia="es-ES"/>
        </w:rPr>
        <w:t>ieron</w:t>
      </w:r>
      <w:proofErr w:type="spellEnd"/>
      <w:r w:rsidRPr="00CF1787">
        <w:rPr>
          <w:lang w:val="es-CR" w:eastAsia="es-ES"/>
        </w:rPr>
        <w:t xml:space="preserve">] algunas irregularidades cometidas desde el </w:t>
      </w:r>
      <w:proofErr w:type="spellStart"/>
      <w:r w:rsidRPr="00CF1787">
        <w:rPr>
          <w:lang w:val="es-CR" w:eastAsia="es-ES"/>
        </w:rPr>
        <w:t>inici</w:t>
      </w:r>
      <w:proofErr w:type="spellEnd"/>
      <w:r w:rsidRPr="00CF1787">
        <w:rPr>
          <w:lang w:val="es-CR" w:eastAsia="es-ES"/>
        </w:rPr>
        <w:t>[o]”</w:t>
      </w:r>
      <w:r w:rsidR="00085667" w:rsidRPr="00CF1787">
        <w:rPr>
          <w:lang w:val="es-CR" w:eastAsia="es-ES"/>
        </w:rPr>
        <w:t>.</w:t>
      </w:r>
      <w:r w:rsidRPr="00CF1787">
        <w:rPr>
          <w:lang w:val="es-CR" w:eastAsia="es-ES"/>
        </w:rPr>
        <w:t xml:space="preserve"> </w:t>
      </w:r>
      <w:r w:rsidR="00085667" w:rsidRPr="00CF1787">
        <w:rPr>
          <w:lang w:val="es-CR" w:eastAsia="es-ES"/>
        </w:rPr>
        <w:t>M</w:t>
      </w:r>
      <w:r w:rsidRPr="00CF1787">
        <w:rPr>
          <w:lang w:val="es-CR" w:eastAsia="es-ES"/>
        </w:rPr>
        <w:t xml:space="preserve">anifestaron que la “investigación deficiente e incompleta […] estuvo dirigida a favorecer a los policías acusados”, </w:t>
      </w:r>
      <w:r w:rsidR="00085667" w:rsidRPr="00CF1787">
        <w:rPr>
          <w:lang w:val="es-CR" w:eastAsia="es-ES"/>
        </w:rPr>
        <w:t xml:space="preserve">pero no </w:t>
      </w:r>
      <w:r w:rsidRPr="00CF1787">
        <w:rPr>
          <w:lang w:val="es-CR" w:eastAsia="es-ES"/>
        </w:rPr>
        <w:t>“</w:t>
      </w:r>
      <w:proofErr w:type="spellStart"/>
      <w:proofErr w:type="gramStart"/>
      <w:r w:rsidRPr="00CF1787">
        <w:rPr>
          <w:lang w:val="es-CR" w:eastAsia="es-ES"/>
        </w:rPr>
        <w:t>esclarec</w:t>
      </w:r>
      <w:proofErr w:type="spellEnd"/>
      <w:r w:rsidRPr="00CF1787">
        <w:rPr>
          <w:lang w:val="es-CR" w:eastAsia="es-ES"/>
        </w:rPr>
        <w:t>[</w:t>
      </w:r>
      <w:proofErr w:type="spellStart"/>
      <w:proofErr w:type="gramEnd"/>
      <w:r w:rsidRPr="00CF1787">
        <w:rPr>
          <w:lang w:val="es-CR" w:eastAsia="es-ES"/>
        </w:rPr>
        <w:t>ió</w:t>
      </w:r>
      <w:proofErr w:type="spellEnd"/>
      <w:r w:rsidRPr="00CF1787">
        <w:rPr>
          <w:lang w:val="es-CR" w:eastAsia="es-ES"/>
        </w:rPr>
        <w:t>] los hechos en forma diligente”. Además señalaron que los fallos no tuvi</w:t>
      </w:r>
      <w:r w:rsidR="00085667" w:rsidRPr="00CF1787">
        <w:rPr>
          <w:lang w:val="es-CR" w:eastAsia="es-ES"/>
        </w:rPr>
        <w:t>eron un “razonamiento motivado”</w:t>
      </w:r>
      <w:r w:rsidRPr="00CF1787">
        <w:rPr>
          <w:lang w:val="es-CR" w:eastAsia="es-ES"/>
        </w:rPr>
        <w:t xml:space="preserve">. De esta manera “el proceso fue en detrimento de los derechos de la familia a saber la verdad”. </w:t>
      </w:r>
      <w:r w:rsidRPr="00CF1787">
        <w:rPr>
          <w:bCs/>
          <w:lang w:val="es-CR"/>
        </w:rPr>
        <w:t xml:space="preserve">Asimismo, alegaron que la duración de 4 años y tres meses del proceso </w:t>
      </w:r>
      <w:r w:rsidRPr="00CF1787">
        <w:rPr>
          <w:lang w:val="es-CR"/>
        </w:rPr>
        <w:t>no resultaba razonable y se debía a las omisiones de las autoridades a cargo de la investigación y procesamiento del caso.</w:t>
      </w:r>
      <w:bookmarkEnd w:id="423"/>
      <w:r w:rsidRPr="00CF1787">
        <w:rPr>
          <w:lang w:val="es-CR"/>
        </w:rPr>
        <w:t xml:space="preserve"> </w:t>
      </w:r>
    </w:p>
    <w:p w14:paraId="6F204524" w14:textId="77777777" w:rsidR="00D52AD2" w:rsidRPr="00CF1787" w:rsidRDefault="00D52AD2" w:rsidP="00D52AD2">
      <w:pPr>
        <w:pStyle w:val="NoSpacing"/>
        <w:tabs>
          <w:tab w:val="left" w:pos="567"/>
        </w:tabs>
        <w:rPr>
          <w:rFonts w:eastAsia="MS Mincho" w:cs="Times New Roman"/>
          <w:lang w:val="es-CR" w:eastAsia="es-ES"/>
        </w:rPr>
      </w:pPr>
    </w:p>
    <w:p w14:paraId="62B28F41" w14:textId="2BF23069" w:rsidR="00D52AD2" w:rsidRPr="00CF1787" w:rsidRDefault="00D52AD2" w:rsidP="00085667">
      <w:pPr>
        <w:pStyle w:val="NoSpacing"/>
        <w:numPr>
          <w:ilvl w:val="0"/>
          <w:numId w:val="5"/>
        </w:numPr>
        <w:tabs>
          <w:tab w:val="left" w:pos="567"/>
        </w:tabs>
        <w:ind w:left="0" w:firstLine="0"/>
        <w:rPr>
          <w:rFonts w:eastAsia="MS Mincho" w:cs="Times New Roman"/>
          <w:b/>
          <w:lang w:val="es-CR" w:eastAsia="es-ES"/>
        </w:rPr>
      </w:pPr>
      <w:r w:rsidRPr="00CF1787">
        <w:rPr>
          <w:lang w:val="es-CR"/>
        </w:rPr>
        <w:t xml:space="preserve">El </w:t>
      </w:r>
      <w:r w:rsidRPr="00CF1787">
        <w:rPr>
          <w:b/>
          <w:i/>
          <w:lang w:val="es-CR"/>
        </w:rPr>
        <w:t>Estado</w:t>
      </w:r>
      <w:r w:rsidRPr="00CF1787">
        <w:rPr>
          <w:lang w:val="es-CR"/>
        </w:rPr>
        <w:t xml:space="preserve"> señaló que para que un delito fuera conocido por el fuero policial, debía ser considerado un delito de </w:t>
      </w:r>
      <w:proofErr w:type="spellStart"/>
      <w:r w:rsidRPr="00CF1787">
        <w:rPr>
          <w:lang w:val="es-CR"/>
        </w:rPr>
        <w:t>funión</w:t>
      </w:r>
      <w:proofErr w:type="spellEnd"/>
      <w:r w:rsidRPr="00CF1787">
        <w:rPr>
          <w:lang w:val="es-CR"/>
        </w:rPr>
        <w:t xml:space="preserve">, para lo cual debían estar presentes tres condiciones: a) que el ilícito penal tuviera relación directa con el ámbito funcional de la institución policial; b) que el ilícito penal se encuentre previsto en el Código Penal de la Policía Civil Nacional, y c) que exista un nexo de causalidad entre el delito cometido y la función encomendada, que solo puede derivarse del cumplimiento deficiente de la función, del incumplimiento de la extralimitación de la misma no bastando la mera </w:t>
      </w:r>
      <w:proofErr w:type="spellStart"/>
      <w:r w:rsidRPr="00CF1787">
        <w:rPr>
          <w:lang w:val="es-CR"/>
        </w:rPr>
        <w:t>ocasionalidad</w:t>
      </w:r>
      <w:proofErr w:type="spellEnd"/>
      <w:r w:rsidRPr="00CF1787">
        <w:rPr>
          <w:lang w:val="es-CR"/>
        </w:rPr>
        <w:t xml:space="preserve">”. </w:t>
      </w:r>
      <w:r w:rsidRPr="00CF1787">
        <w:rPr>
          <w:spacing w:val="-2"/>
          <w:szCs w:val="20"/>
          <w:lang w:val="es-CR"/>
        </w:rPr>
        <w:t>En este sentido,</w:t>
      </w:r>
      <w:r w:rsidRPr="00CF1787">
        <w:rPr>
          <w:b/>
          <w:spacing w:val="-2"/>
          <w:szCs w:val="20"/>
          <w:lang w:val="es-CR"/>
        </w:rPr>
        <w:t xml:space="preserve"> </w:t>
      </w:r>
      <w:r w:rsidRPr="00CF1787">
        <w:rPr>
          <w:lang w:val="es-CR"/>
        </w:rPr>
        <w:t xml:space="preserve">resaltó que la muerte del señor </w:t>
      </w:r>
      <w:r w:rsidRPr="00CF1787">
        <w:rPr>
          <w:lang w:val="es-CR"/>
        </w:rPr>
        <w:lastRenderedPageBreak/>
        <w:t xml:space="preserve">Valencia, “se produjo cuando este y los presuntos causantes de su deceso, todos miembros de la institución policial, se encontraban en servicio activo y estaban cumpliendo funciones relativas a sus condiciones de policías”, por lo que “el fuero indudablemente competente para investigar y juzgar a los posibles responsables [era] efectivamente la jurisdicción penal policial”. Respecto a las otras violaciones alegadas, </w:t>
      </w:r>
      <w:r w:rsidR="00085667" w:rsidRPr="00CF1787">
        <w:rPr>
          <w:lang w:val="es-CR"/>
        </w:rPr>
        <w:t>Ecuador</w:t>
      </w:r>
      <w:r w:rsidRPr="00CF1787">
        <w:rPr>
          <w:b/>
          <w:lang w:val="es-CR"/>
        </w:rPr>
        <w:t xml:space="preserve"> </w:t>
      </w:r>
      <w:r w:rsidRPr="00CF1787">
        <w:rPr>
          <w:rFonts w:eastAsia="MS Mincho" w:cs="Times New Roman"/>
          <w:lang w:val="es-CR" w:eastAsia="es-ES"/>
        </w:rPr>
        <w:t xml:space="preserve">indicó que la investigación se adecuó a los estándares establecidos por la Corte. </w:t>
      </w:r>
      <w:r w:rsidR="00085667" w:rsidRPr="00CF1787">
        <w:rPr>
          <w:rFonts w:eastAsia="MS Mincho" w:cs="Times New Roman"/>
          <w:lang w:val="es-CR" w:eastAsia="es-ES"/>
        </w:rPr>
        <w:t xml:space="preserve">Señaló </w:t>
      </w:r>
      <w:r w:rsidRPr="00CF1787">
        <w:rPr>
          <w:rFonts w:eastAsia="MS Mincho" w:cs="Times New Roman"/>
          <w:lang w:val="es-CR" w:eastAsia="es-ES"/>
        </w:rPr>
        <w:t xml:space="preserve">que “no le corresponde a la Corte […] llegar a una conclusión definitiva si el señor Valencia cometió suicidio, fue impulsado a cometerlo o fue muerto de otro modo […], situación que ya fue resuelta por la jurisdicción interna”. Finalmente, alegó que el proceso se resolvió dentro de un plazo razonable y que su actuar se dio de manera oficiosa. </w:t>
      </w:r>
    </w:p>
    <w:p w14:paraId="4FEF90E6" w14:textId="77777777" w:rsidR="00D52AD2" w:rsidRPr="00CF1787" w:rsidRDefault="00D52AD2" w:rsidP="00D52AD2">
      <w:pPr>
        <w:pStyle w:val="NoSpacing"/>
        <w:tabs>
          <w:tab w:val="left" w:pos="567"/>
        </w:tabs>
        <w:rPr>
          <w:rFonts w:eastAsia="MS Mincho" w:cs="Times New Roman"/>
          <w:lang w:val="es-CR" w:eastAsia="es-ES"/>
        </w:rPr>
      </w:pPr>
    </w:p>
    <w:p w14:paraId="11307793" w14:textId="77777777" w:rsidR="00D52AD2" w:rsidRPr="00CF1787" w:rsidRDefault="00D52AD2" w:rsidP="00D52AD2">
      <w:pPr>
        <w:pStyle w:val="Heading3"/>
        <w:rPr>
          <w:rFonts w:eastAsiaTheme="minorHAnsi"/>
          <w:lang w:val="es-CR"/>
        </w:rPr>
      </w:pPr>
      <w:bookmarkStart w:id="424" w:name="_Toc461791343"/>
      <w:bookmarkStart w:id="425" w:name="_Toc465177388"/>
      <w:bookmarkStart w:id="426" w:name="_Toc470098064"/>
      <w:r w:rsidRPr="00CF1787">
        <w:rPr>
          <w:lang w:val="es-CR"/>
        </w:rPr>
        <w:t>B.2 Consideraciones de la Corte</w:t>
      </w:r>
      <w:bookmarkEnd w:id="424"/>
      <w:bookmarkEnd w:id="425"/>
      <w:bookmarkEnd w:id="426"/>
      <w:r w:rsidRPr="00CF1787">
        <w:rPr>
          <w:rFonts w:eastAsiaTheme="minorHAnsi"/>
          <w:lang w:val="es-CR"/>
        </w:rPr>
        <w:t xml:space="preserve"> </w:t>
      </w:r>
    </w:p>
    <w:p w14:paraId="34969DCC" w14:textId="77777777" w:rsidR="00D52AD2" w:rsidRPr="00CF1787" w:rsidRDefault="00D52AD2" w:rsidP="00D52AD2">
      <w:pPr>
        <w:pStyle w:val="NoSpacing"/>
        <w:tabs>
          <w:tab w:val="left" w:pos="567"/>
        </w:tabs>
        <w:rPr>
          <w:rFonts w:eastAsia="MS Mincho" w:cs="Times New Roman"/>
          <w:b/>
          <w:lang w:val="es-CR" w:eastAsia="es-ES"/>
        </w:rPr>
      </w:pPr>
    </w:p>
    <w:p w14:paraId="6D7D5781" w14:textId="6A8E1BCD" w:rsidR="00805A31" w:rsidRPr="00CF1787" w:rsidRDefault="00D52AD2" w:rsidP="00D52AD2">
      <w:pPr>
        <w:pStyle w:val="NoSpacing"/>
        <w:numPr>
          <w:ilvl w:val="0"/>
          <w:numId w:val="5"/>
        </w:numPr>
        <w:tabs>
          <w:tab w:val="left" w:pos="567"/>
        </w:tabs>
        <w:ind w:left="0" w:firstLine="0"/>
        <w:rPr>
          <w:rFonts w:eastAsia="MS Mincho" w:cs="Times New Roman"/>
          <w:b/>
          <w:lang w:val="es-CR" w:eastAsia="es-ES"/>
        </w:rPr>
      </w:pPr>
      <w:bookmarkStart w:id="427" w:name="_Ref470001048"/>
      <w:r w:rsidRPr="00CF1787">
        <w:rPr>
          <w:rFonts w:eastAsia="MS Mincho" w:cs="Times New Roman"/>
          <w:lang w:val="es-CR" w:eastAsia="es-ES"/>
        </w:rPr>
        <w:t xml:space="preserve">Respecto a los referidos alegatos de las partes y de la Comisión, este Tribunal </w:t>
      </w:r>
      <w:r w:rsidRPr="00CF1787">
        <w:rPr>
          <w:lang w:val="es-CR"/>
        </w:rPr>
        <w:t>considera que al haber declarado que el proceso realizado por la muerte del señor Valencia Hinojosa fue llevado a cabo por autoridades carentes de independencia e imparcialidad (</w:t>
      </w:r>
      <w:r w:rsidRPr="00CF1787">
        <w:rPr>
          <w:i/>
          <w:lang w:val="es-CR"/>
        </w:rPr>
        <w:t xml:space="preserve">supra </w:t>
      </w:r>
      <w:proofErr w:type="spellStart"/>
      <w:r w:rsidRPr="00CF1787">
        <w:rPr>
          <w:lang w:val="es-CR"/>
        </w:rPr>
        <w:t>párrs</w:t>
      </w:r>
      <w:proofErr w:type="spellEnd"/>
      <w:r w:rsidRPr="00CF1787">
        <w:rPr>
          <w:lang w:val="es-CR"/>
        </w:rPr>
        <w:t xml:space="preserve">. </w:t>
      </w:r>
      <w:r w:rsidRPr="00CF1787">
        <w:rPr>
          <w:lang w:val="es-CR"/>
        </w:rPr>
        <w:fldChar w:fldCharType="begin"/>
      </w:r>
      <w:r w:rsidRPr="00CF1787">
        <w:rPr>
          <w:lang w:val="es-CR"/>
        </w:rPr>
        <w:instrText xml:space="preserve"> REF _Ref467779805 \r \h </w:instrText>
      </w:r>
      <w:r w:rsidR="00CF1787">
        <w:rPr>
          <w:lang w:val="es-CR"/>
        </w:rPr>
        <w:instrText xml:space="preserve"> \* MERGEFORMAT </w:instrText>
      </w:r>
      <w:r w:rsidRPr="00CF1787">
        <w:rPr>
          <w:lang w:val="es-CR"/>
        </w:rPr>
      </w:r>
      <w:r w:rsidRPr="00CF1787">
        <w:rPr>
          <w:lang w:val="es-CR"/>
        </w:rPr>
        <w:fldChar w:fldCharType="separate"/>
      </w:r>
      <w:r w:rsidR="00536893">
        <w:rPr>
          <w:lang w:val="es-CR"/>
        </w:rPr>
        <w:t>113</w:t>
      </w:r>
      <w:r w:rsidRPr="00CF1787">
        <w:rPr>
          <w:lang w:val="es-CR"/>
        </w:rPr>
        <w:fldChar w:fldCharType="end"/>
      </w:r>
      <w:r w:rsidRPr="00CF1787">
        <w:rPr>
          <w:lang w:val="es-CR"/>
        </w:rPr>
        <w:t xml:space="preserve"> a</w:t>
      </w:r>
      <w:r w:rsidR="00330828" w:rsidRPr="00CF1787">
        <w:rPr>
          <w:lang w:val="es-CR"/>
        </w:rPr>
        <w:t xml:space="preserve"> </w:t>
      </w:r>
      <w:r w:rsidR="00330828" w:rsidRPr="00CF1787">
        <w:rPr>
          <w:lang w:val="es-CR"/>
        </w:rPr>
        <w:fldChar w:fldCharType="begin"/>
      </w:r>
      <w:r w:rsidR="00330828" w:rsidRPr="00CF1787">
        <w:rPr>
          <w:lang w:val="es-CR"/>
        </w:rPr>
        <w:instrText xml:space="preserve"> REF _Ref462932391 \r \h </w:instrText>
      </w:r>
      <w:r w:rsidR="00CF1787">
        <w:rPr>
          <w:lang w:val="es-CR"/>
        </w:rPr>
        <w:instrText xml:space="preserve"> \* MERGEFORMAT </w:instrText>
      </w:r>
      <w:r w:rsidR="00330828" w:rsidRPr="00CF1787">
        <w:rPr>
          <w:lang w:val="es-CR"/>
        </w:rPr>
      </w:r>
      <w:r w:rsidR="00330828" w:rsidRPr="00CF1787">
        <w:rPr>
          <w:lang w:val="es-CR"/>
        </w:rPr>
        <w:fldChar w:fldCharType="separate"/>
      </w:r>
      <w:r w:rsidR="00536893">
        <w:rPr>
          <w:lang w:val="es-CR"/>
        </w:rPr>
        <w:t>120</w:t>
      </w:r>
      <w:r w:rsidR="00330828" w:rsidRPr="00CF1787">
        <w:rPr>
          <w:lang w:val="es-CR"/>
        </w:rPr>
        <w:fldChar w:fldCharType="end"/>
      </w:r>
      <w:r w:rsidRPr="00CF1787">
        <w:rPr>
          <w:lang w:val="es-CR"/>
        </w:rPr>
        <w:t>), se está ante un procedimiento viciado desde su origen, por lo que la Corte considera innecesario analizar, de manera adicional, la garantía de competencia o referirse a las otras violaciones alegadas en relación con las garantías judiciales</w:t>
      </w:r>
      <w:bookmarkEnd w:id="427"/>
      <w:r w:rsidR="005F192F" w:rsidRPr="00CF1787">
        <w:rPr>
          <w:lang w:val="es-CR"/>
        </w:rPr>
        <w:t>.</w:t>
      </w:r>
    </w:p>
    <w:p w14:paraId="0B67FB6D" w14:textId="77777777" w:rsidR="00D52AD2" w:rsidRPr="00CF1787" w:rsidRDefault="00D52AD2" w:rsidP="00D52AD2">
      <w:pPr>
        <w:pStyle w:val="NoSpacing"/>
        <w:tabs>
          <w:tab w:val="left" w:pos="567"/>
        </w:tabs>
        <w:rPr>
          <w:rFonts w:eastAsia="MS Mincho" w:cs="Times New Roman"/>
          <w:b/>
          <w:lang w:val="es-CR" w:eastAsia="es-ES"/>
        </w:rPr>
      </w:pPr>
    </w:p>
    <w:p w14:paraId="7C92EA98" w14:textId="77777777" w:rsidR="00984E0B" w:rsidRPr="00CF1787" w:rsidRDefault="00984E0B" w:rsidP="004C6863">
      <w:pPr>
        <w:pStyle w:val="Heading1"/>
        <w:rPr>
          <w:lang w:val="es-CR"/>
        </w:rPr>
      </w:pPr>
      <w:bookmarkStart w:id="428" w:name="_Toc434850448"/>
      <w:bookmarkStart w:id="429" w:name="_Toc465177389"/>
      <w:bookmarkStart w:id="430" w:name="_Toc470098065"/>
      <w:r w:rsidRPr="00CF1787">
        <w:rPr>
          <w:lang w:val="es-CR"/>
        </w:rPr>
        <w:t>VII-</w:t>
      </w:r>
      <w:bookmarkEnd w:id="428"/>
      <w:r w:rsidRPr="00CF1787">
        <w:rPr>
          <w:lang w:val="es-CR"/>
        </w:rPr>
        <w:t>2</w:t>
      </w:r>
      <w:bookmarkEnd w:id="429"/>
      <w:bookmarkEnd w:id="430"/>
    </w:p>
    <w:p w14:paraId="2B3EB771" w14:textId="2DD59A6F" w:rsidR="00984E0B" w:rsidRPr="00CF1787" w:rsidRDefault="00984E0B" w:rsidP="00965194">
      <w:pPr>
        <w:pStyle w:val="Heading1"/>
        <w:rPr>
          <w:lang w:val="es-CR"/>
        </w:rPr>
      </w:pPr>
      <w:bookmarkStart w:id="431" w:name="_Toc424834031"/>
      <w:bookmarkStart w:id="432" w:name="_Toc424834715"/>
      <w:bookmarkStart w:id="433" w:name="_Toc424834769"/>
      <w:bookmarkStart w:id="434" w:name="_Toc427234560"/>
      <w:bookmarkStart w:id="435" w:name="_Toc427342849"/>
      <w:bookmarkStart w:id="436" w:name="_Toc427663835"/>
      <w:bookmarkStart w:id="437" w:name="_Toc427932811"/>
      <w:bookmarkStart w:id="438" w:name="_Toc427943768"/>
      <w:bookmarkStart w:id="439" w:name="_Toc431584660"/>
      <w:bookmarkStart w:id="440" w:name="_Toc431584776"/>
      <w:bookmarkStart w:id="441" w:name="_Toc431585082"/>
      <w:bookmarkStart w:id="442" w:name="_Toc431646599"/>
      <w:bookmarkStart w:id="443" w:name="_Toc431834678"/>
      <w:bookmarkStart w:id="444" w:name="_Toc308538203"/>
      <w:bookmarkStart w:id="445" w:name="_Toc434849970"/>
      <w:bookmarkStart w:id="446" w:name="_Toc434850449"/>
      <w:bookmarkStart w:id="447" w:name="_Toc461791345"/>
      <w:bookmarkStart w:id="448" w:name="_Toc461796027"/>
      <w:bookmarkStart w:id="449" w:name="_Toc462157423"/>
      <w:bookmarkStart w:id="450" w:name="_Toc462870011"/>
      <w:bookmarkStart w:id="451" w:name="_Toc462934263"/>
      <w:bookmarkStart w:id="452" w:name="_Toc465177390"/>
      <w:bookmarkStart w:id="453" w:name="_Toc465184290"/>
      <w:bookmarkStart w:id="454" w:name="_Toc467854824"/>
      <w:bookmarkStart w:id="455" w:name="_Toc470001233"/>
      <w:bookmarkStart w:id="456" w:name="_Toc470098066"/>
      <w:bookmarkStart w:id="457" w:name="_Toc468281942"/>
      <w:r w:rsidRPr="00CF1787">
        <w:rPr>
          <w:lang w:val="es-CR"/>
        </w:rPr>
        <w:t>DERECHO A LA VIDA</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00D52AD2" w:rsidRPr="00CF1787">
        <w:rPr>
          <w:rStyle w:val="FootnoteReference"/>
          <w:lang w:val="es-CR"/>
        </w:rPr>
        <w:footnoteReference w:id="161"/>
      </w:r>
      <w:r w:rsidRPr="00CF1787">
        <w:rPr>
          <w:lang w:val="es-CR"/>
        </w:rPr>
        <w:t>, EN RELACIÓN CON LA OBLIGACIÓN DE RESPETAR</w:t>
      </w:r>
      <w:bookmarkStart w:id="458" w:name="_Toc461791346"/>
      <w:bookmarkStart w:id="459" w:name="_Toc461796028"/>
      <w:bookmarkStart w:id="460" w:name="_Toc462157424"/>
      <w:bookmarkStart w:id="461" w:name="_Toc462157920"/>
      <w:bookmarkStart w:id="462" w:name="_Toc462870012"/>
      <w:bookmarkStart w:id="463" w:name="_Toc462934264"/>
      <w:bookmarkStart w:id="464" w:name="_Toc465177391"/>
      <w:bookmarkStart w:id="465" w:name="_Toc465184291"/>
      <w:bookmarkStart w:id="466" w:name="_Toc467854825"/>
      <w:bookmarkEnd w:id="447"/>
      <w:bookmarkEnd w:id="448"/>
      <w:bookmarkEnd w:id="449"/>
      <w:bookmarkEnd w:id="450"/>
      <w:bookmarkEnd w:id="451"/>
      <w:bookmarkEnd w:id="452"/>
      <w:bookmarkEnd w:id="453"/>
      <w:bookmarkEnd w:id="454"/>
      <w:r w:rsidR="00965194" w:rsidRPr="00CF1787">
        <w:rPr>
          <w:lang w:val="es-CR"/>
        </w:rPr>
        <w:t xml:space="preserve"> </w:t>
      </w:r>
      <w:r w:rsidRPr="00CF1787">
        <w:rPr>
          <w:lang w:val="es-CR"/>
        </w:rPr>
        <w:t>Y GARANTIZAR LOS DERECHOS</w:t>
      </w:r>
      <w:bookmarkEnd w:id="455"/>
      <w:bookmarkEnd w:id="456"/>
      <w:bookmarkEnd w:id="458"/>
      <w:bookmarkEnd w:id="459"/>
      <w:bookmarkEnd w:id="460"/>
      <w:bookmarkEnd w:id="461"/>
      <w:bookmarkEnd w:id="462"/>
      <w:bookmarkEnd w:id="463"/>
      <w:bookmarkEnd w:id="464"/>
      <w:bookmarkEnd w:id="465"/>
      <w:bookmarkEnd w:id="466"/>
      <w:r w:rsidRPr="00CF1787">
        <w:rPr>
          <w:lang w:val="es-CR"/>
        </w:rPr>
        <w:t xml:space="preserve"> </w:t>
      </w:r>
      <w:bookmarkEnd w:id="457"/>
    </w:p>
    <w:p w14:paraId="20102506" w14:textId="77777777" w:rsidR="00984E0B" w:rsidRPr="00CF1787" w:rsidRDefault="00984E0B" w:rsidP="00984E0B">
      <w:pPr>
        <w:rPr>
          <w:szCs w:val="20"/>
          <w:lang w:val="es-CR" w:eastAsia="es-MX"/>
        </w:rPr>
      </w:pPr>
    </w:p>
    <w:p w14:paraId="266908C9" w14:textId="0BF87A2A" w:rsidR="00984E0B" w:rsidRPr="00CF1787" w:rsidRDefault="00451362" w:rsidP="00CF73D3">
      <w:pPr>
        <w:pStyle w:val="Heading2"/>
        <w:numPr>
          <w:ilvl w:val="0"/>
          <w:numId w:val="14"/>
        </w:numPr>
        <w:rPr>
          <w:spacing w:val="-4"/>
          <w:szCs w:val="20"/>
          <w:lang w:val="es-CR"/>
        </w:rPr>
      </w:pPr>
      <w:bookmarkStart w:id="467" w:name="_Toc470098067"/>
      <w:bookmarkStart w:id="468" w:name="_Toc465177392"/>
      <w:r w:rsidRPr="00CF1787">
        <w:rPr>
          <w:spacing w:val="-4"/>
          <w:szCs w:val="20"/>
          <w:lang w:val="es-CR"/>
        </w:rPr>
        <w:t xml:space="preserve">Alegatos de las partes y </w:t>
      </w:r>
      <w:r w:rsidR="00984E0B" w:rsidRPr="00CF1787">
        <w:rPr>
          <w:spacing w:val="-4"/>
          <w:szCs w:val="20"/>
          <w:lang w:val="es-CR"/>
        </w:rPr>
        <w:t xml:space="preserve">de </w:t>
      </w:r>
      <w:r w:rsidRPr="00CF1787">
        <w:rPr>
          <w:spacing w:val="-4"/>
          <w:szCs w:val="20"/>
          <w:lang w:val="es-CR"/>
        </w:rPr>
        <w:t>la Comisión</w:t>
      </w:r>
      <w:bookmarkEnd w:id="467"/>
      <w:r w:rsidRPr="00CF1787">
        <w:rPr>
          <w:spacing w:val="-4"/>
          <w:szCs w:val="20"/>
          <w:lang w:val="es-CR"/>
        </w:rPr>
        <w:t xml:space="preserve"> </w:t>
      </w:r>
      <w:bookmarkEnd w:id="468"/>
    </w:p>
    <w:p w14:paraId="2682C3F0" w14:textId="77777777" w:rsidR="00984E0B" w:rsidRPr="00CF1787" w:rsidRDefault="00984E0B" w:rsidP="00984E0B">
      <w:pPr>
        <w:pStyle w:val="NoSpacing"/>
        <w:tabs>
          <w:tab w:val="left" w:pos="567"/>
        </w:tabs>
        <w:rPr>
          <w:lang w:val="es-CR"/>
        </w:rPr>
      </w:pPr>
    </w:p>
    <w:p w14:paraId="01A39B85" w14:textId="33AF45D3" w:rsidR="00E84846" w:rsidRPr="00CF1787" w:rsidRDefault="00E84846" w:rsidP="00E84846">
      <w:pPr>
        <w:pStyle w:val="NoSpacing"/>
        <w:numPr>
          <w:ilvl w:val="0"/>
          <w:numId w:val="5"/>
        </w:numPr>
        <w:tabs>
          <w:tab w:val="left" w:pos="567"/>
        </w:tabs>
        <w:ind w:left="0" w:firstLine="0"/>
        <w:rPr>
          <w:spacing w:val="-2"/>
          <w:lang w:val="es-CR"/>
        </w:rPr>
      </w:pPr>
      <w:r w:rsidRPr="00CF1787">
        <w:rPr>
          <w:spacing w:val="-2"/>
          <w:lang w:val="es-CR"/>
        </w:rPr>
        <w:t xml:space="preserve">La </w:t>
      </w:r>
      <w:r w:rsidRPr="00CF1787">
        <w:rPr>
          <w:b/>
          <w:i/>
          <w:spacing w:val="-2"/>
          <w:lang w:val="es-CR"/>
        </w:rPr>
        <w:t>Comisión</w:t>
      </w:r>
      <w:r w:rsidRPr="00CF1787">
        <w:rPr>
          <w:spacing w:val="-2"/>
          <w:lang w:val="es-CR"/>
        </w:rPr>
        <w:t xml:space="preserve"> señaló que “no se encuentra posicionada para pronunciarse de manera definitiva sobre la hipótesis del homicidio o del suicidio [del señor Valencia Hinojosa]”, pero consideró  que, en cualquiera de ambas hipótesis, la actuación estatal, desde el inicio, durante y con posterioridad al despliegue del operativo, no cumplió con las obligaciones que imponía la Convención respecto del uso de la fuerza, frente al derecho a la vida del señor Valencia Hinojosa. Señaló que las acciones de los agentes policiales i) </w:t>
      </w:r>
      <w:r w:rsidR="00B64832" w:rsidRPr="00CF1787">
        <w:rPr>
          <w:spacing w:val="-2"/>
          <w:lang w:val="es-CR"/>
        </w:rPr>
        <w:t>“</w:t>
      </w:r>
      <w:r w:rsidRPr="00CF1787">
        <w:rPr>
          <w:spacing w:val="-2"/>
          <w:lang w:val="es-CR"/>
        </w:rPr>
        <w:t xml:space="preserve">tuvieron lugar en ausencia de regulación específica y capacitación a los agentes policiales sobre criterios para utilizar y modular el </w:t>
      </w:r>
      <w:r w:rsidR="00B64832" w:rsidRPr="00CF1787">
        <w:rPr>
          <w:spacing w:val="-2"/>
          <w:lang w:val="es-CR"/>
        </w:rPr>
        <w:t>‘</w:t>
      </w:r>
      <w:r w:rsidRPr="00CF1787">
        <w:rPr>
          <w:spacing w:val="-2"/>
          <w:lang w:val="es-CR"/>
        </w:rPr>
        <w:t>uso de la fuerza</w:t>
      </w:r>
      <w:r w:rsidR="00B64832" w:rsidRPr="00CF1787">
        <w:rPr>
          <w:spacing w:val="-2"/>
          <w:lang w:val="es-CR"/>
        </w:rPr>
        <w:t>’</w:t>
      </w:r>
      <w:r w:rsidRPr="00CF1787">
        <w:rPr>
          <w:spacing w:val="-2"/>
          <w:lang w:val="es-CR"/>
        </w:rPr>
        <w:t>, ii) uno de ellos anunció desde el inicio del operativo su intención de hacer daño al señor Valencia, iii) se amenazó también a un niño con la finalidad de ubicarle, iv) los policías que intervinieron en el operativo con armas de diversos calibres y realizaron disparos continuos como único medio para lograr su objetivo</w:t>
      </w:r>
      <w:r w:rsidR="00451362" w:rsidRPr="00CF1787">
        <w:rPr>
          <w:spacing w:val="-2"/>
          <w:lang w:val="es-CR"/>
        </w:rPr>
        <w:t>,</w:t>
      </w:r>
      <w:r w:rsidRPr="00CF1787">
        <w:rPr>
          <w:spacing w:val="-2"/>
          <w:lang w:val="es-CR"/>
        </w:rPr>
        <w:t xml:space="preserve"> y v) existen declaraciones y pruebas forenses no desvirtuadas que podrían ser consistentes con la hipótesis del homicidio</w:t>
      </w:r>
      <w:r w:rsidR="00B64832" w:rsidRPr="00CF1787">
        <w:rPr>
          <w:spacing w:val="-2"/>
          <w:lang w:val="es-CR"/>
        </w:rPr>
        <w:t>”</w:t>
      </w:r>
      <w:r w:rsidRPr="00CF1787">
        <w:rPr>
          <w:spacing w:val="-2"/>
          <w:lang w:val="es-CR"/>
        </w:rPr>
        <w:t>. Consideró “que debido a la falta de regulación, planificación y control, existía un ambiente propicio para que se pudieran cometer usos indebidos y exces</w:t>
      </w:r>
      <w:r w:rsidR="00B64832" w:rsidRPr="00CF1787">
        <w:rPr>
          <w:spacing w:val="-2"/>
          <w:lang w:val="es-CR"/>
        </w:rPr>
        <w:t>iv</w:t>
      </w:r>
      <w:r w:rsidRPr="00CF1787">
        <w:rPr>
          <w:spacing w:val="-2"/>
          <w:lang w:val="es-CR"/>
        </w:rPr>
        <w:t xml:space="preserve">os de la fuerza por parte de los agentes de policía involucrados en el operativo”. La Comisión alegó que “en la prueba disponible tras la investigación deficiente del Estado i) no se presenta evidencia consistente que indique </w:t>
      </w:r>
      <w:r w:rsidR="002B6177" w:rsidRPr="00CF1787">
        <w:rPr>
          <w:spacing w:val="-2"/>
          <w:lang w:val="es-CR"/>
        </w:rPr>
        <w:t xml:space="preserve">[que] </w:t>
      </w:r>
      <w:r w:rsidRPr="00CF1787">
        <w:rPr>
          <w:spacing w:val="-2"/>
          <w:lang w:val="es-CR"/>
        </w:rPr>
        <w:t xml:space="preserve">los agentes de policía necesariamente tuvieron que hacer uso de la fuerza letal para repeler una agresión inminente y proteger sus vidas o de las personas que se </w:t>
      </w:r>
      <w:proofErr w:type="spellStart"/>
      <w:r w:rsidR="002B6177" w:rsidRPr="00CF1787">
        <w:rPr>
          <w:spacing w:val="-2"/>
          <w:lang w:val="es-CR"/>
        </w:rPr>
        <w:t>encotraban</w:t>
      </w:r>
      <w:proofErr w:type="spellEnd"/>
      <w:r w:rsidR="002B6177" w:rsidRPr="00CF1787">
        <w:rPr>
          <w:spacing w:val="-2"/>
          <w:lang w:val="es-CR"/>
        </w:rPr>
        <w:t xml:space="preserve"> </w:t>
      </w:r>
      <w:r w:rsidRPr="00CF1787">
        <w:rPr>
          <w:spacing w:val="-2"/>
          <w:lang w:val="es-CR"/>
        </w:rPr>
        <w:t>en el deportivo</w:t>
      </w:r>
      <w:r w:rsidR="00AF305E" w:rsidRPr="00CF1787">
        <w:rPr>
          <w:spacing w:val="-2"/>
          <w:lang w:val="es-CR"/>
        </w:rPr>
        <w:t xml:space="preserve">, </w:t>
      </w:r>
      <w:r w:rsidRPr="00CF1787">
        <w:rPr>
          <w:spacing w:val="-2"/>
          <w:lang w:val="es-CR"/>
        </w:rPr>
        <w:t xml:space="preserve">y ii) no se advierte que hubieran intentado mecanismos menos letales de intervención en el caso, o examinado que su nivel de fuerza era acorde al nivel de resistencia ofrecida”. </w:t>
      </w:r>
    </w:p>
    <w:p w14:paraId="7C91DBCF" w14:textId="77777777" w:rsidR="00E84846" w:rsidRPr="00CF1787" w:rsidRDefault="00E84846" w:rsidP="00E84846">
      <w:pPr>
        <w:pStyle w:val="NoSpacing"/>
        <w:tabs>
          <w:tab w:val="left" w:pos="567"/>
        </w:tabs>
        <w:rPr>
          <w:lang w:val="es-CR"/>
        </w:rPr>
      </w:pPr>
    </w:p>
    <w:p w14:paraId="02AA91A2" w14:textId="46F8FD5B" w:rsidR="00E84846" w:rsidRPr="00CF1787" w:rsidRDefault="00E84846" w:rsidP="00E84846">
      <w:pPr>
        <w:pStyle w:val="NoSpacing"/>
        <w:numPr>
          <w:ilvl w:val="0"/>
          <w:numId w:val="5"/>
        </w:numPr>
        <w:tabs>
          <w:tab w:val="left" w:pos="567"/>
        </w:tabs>
        <w:ind w:left="0" w:firstLine="0"/>
        <w:rPr>
          <w:spacing w:val="-2"/>
          <w:lang w:val="es-CR"/>
        </w:rPr>
      </w:pPr>
      <w:r w:rsidRPr="00CF1787">
        <w:rPr>
          <w:spacing w:val="-2"/>
          <w:lang w:val="es-CR"/>
        </w:rPr>
        <w:t>De igual forma indicó que “el Estado no desplegó una investigación diligente que hiciera posible descartar todos los indicios descritos y llegar al conocimiento de la verdad mediante la realización de diligencias indispensables”</w:t>
      </w:r>
      <w:r w:rsidR="00AF305E" w:rsidRPr="00CF1787">
        <w:rPr>
          <w:spacing w:val="-2"/>
          <w:lang w:val="es-CR"/>
        </w:rPr>
        <w:t>.</w:t>
      </w:r>
      <w:r w:rsidRPr="00CF1787">
        <w:rPr>
          <w:spacing w:val="-2"/>
          <w:lang w:val="es-CR"/>
        </w:rPr>
        <w:t xml:space="preserve"> Señaló que “la ausencia de otros medios de contención </w:t>
      </w:r>
      <w:r w:rsidRPr="00CF1787">
        <w:rPr>
          <w:spacing w:val="-2"/>
          <w:lang w:val="es-CR"/>
        </w:rPr>
        <w:lastRenderedPageBreak/>
        <w:t>le pudo ocasionar un temor y miedo progresivos determinantes [al señor Valencia] para, en la hipótesis del suicidio, tomar la decisión de terminar con su vida”</w:t>
      </w:r>
      <w:r w:rsidR="00AF305E" w:rsidRPr="00CF1787">
        <w:rPr>
          <w:spacing w:val="-2"/>
          <w:lang w:val="es-CR"/>
        </w:rPr>
        <w:t>.</w:t>
      </w:r>
      <w:r w:rsidRPr="00CF1787">
        <w:rPr>
          <w:spacing w:val="-2"/>
          <w:lang w:val="es-CR"/>
        </w:rPr>
        <w:t xml:space="preserve"> De acuerdo a la Comisión, aún en la hipótesis del suicidio, el posible miedo ocasionado al señor Valencia por la forma en que se </w:t>
      </w:r>
      <w:proofErr w:type="spellStart"/>
      <w:r w:rsidRPr="00CF1787">
        <w:rPr>
          <w:spacing w:val="-2"/>
          <w:lang w:val="es-CR"/>
        </w:rPr>
        <w:t>desarolló</w:t>
      </w:r>
      <w:proofErr w:type="spellEnd"/>
      <w:r w:rsidRPr="00CF1787">
        <w:rPr>
          <w:spacing w:val="-2"/>
          <w:lang w:val="es-CR"/>
        </w:rPr>
        <w:t xml:space="preserve"> el operativo fue el resultado de un uso de la fuerza incompatible con la Convención Americana.</w:t>
      </w:r>
      <w:r w:rsidRPr="00CF1787">
        <w:rPr>
          <w:b/>
          <w:spacing w:val="-2"/>
          <w:lang w:val="es-CR"/>
        </w:rPr>
        <w:t xml:space="preserve"> </w:t>
      </w:r>
    </w:p>
    <w:p w14:paraId="64A1B569" w14:textId="77777777" w:rsidR="00E84846" w:rsidRPr="00CF1787" w:rsidRDefault="00E84846" w:rsidP="00E84846">
      <w:pPr>
        <w:pStyle w:val="NoSpacing"/>
        <w:tabs>
          <w:tab w:val="left" w:pos="567"/>
        </w:tabs>
        <w:rPr>
          <w:spacing w:val="-2"/>
          <w:lang w:val="es-CR"/>
        </w:rPr>
      </w:pPr>
    </w:p>
    <w:p w14:paraId="2AB97AE1" w14:textId="66167688" w:rsidR="00E84846" w:rsidRPr="00CF1787" w:rsidRDefault="00E84846" w:rsidP="00E84846">
      <w:pPr>
        <w:pStyle w:val="NoSpacing"/>
        <w:numPr>
          <w:ilvl w:val="0"/>
          <w:numId w:val="5"/>
        </w:numPr>
        <w:tabs>
          <w:tab w:val="left" w:pos="567"/>
        </w:tabs>
        <w:ind w:left="0" w:firstLine="0"/>
        <w:rPr>
          <w:lang w:val="es-CR"/>
        </w:rPr>
      </w:pPr>
      <w:r w:rsidRPr="00CF1787">
        <w:rPr>
          <w:spacing w:val="-2"/>
          <w:lang w:val="es-CR"/>
        </w:rPr>
        <w:t xml:space="preserve">Los </w:t>
      </w:r>
      <w:r w:rsidRPr="00CF1787">
        <w:rPr>
          <w:b/>
          <w:i/>
          <w:spacing w:val="-2"/>
          <w:lang w:val="es-CR"/>
        </w:rPr>
        <w:t>representantes</w:t>
      </w:r>
      <w:r w:rsidRPr="00CF1787">
        <w:rPr>
          <w:spacing w:val="-2"/>
          <w:lang w:val="es-CR"/>
        </w:rPr>
        <w:t xml:space="preserve"> alegaron que</w:t>
      </w:r>
      <w:r w:rsidR="00AF305E" w:rsidRPr="00CF1787">
        <w:rPr>
          <w:spacing w:val="-2"/>
          <w:lang w:val="es-CR"/>
        </w:rPr>
        <w:t xml:space="preserve"> la ausencia de</w:t>
      </w:r>
      <w:r w:rsidRPr="00CF1787">
        <w:rPr>
          <w:spacing w:val="-2"/>
          <w:lang w:val="es-CR"/>
        </w:rPr>
        <w:t xml:space="preserve"> un marco normativo que regulara la forma de actuar de los agentes de policía en estas situaciones, </w:t>
      </w:r>
      <w:r w:rsidR="00AF305E" w:rsidRPr="00CF1787">
        <w:rPr>
          <w:spacing w:val="-2"/>
          <w:lang w:val="es-CR"/>
        </w:rPr>
        <w:t>“</w:t>
      </w:r>
      <w:r w:rsidRPr="00CF1787">
        <w:rPr>
          <w:spacing w:val="-2"/>
          <w:lang w:val="es-CR"/>
        </w:rPr>
        <w:t xml:space="preserve">llevó a los dos subtenientes a realizar un uso desproporcionado e innecesario de arma letal durante todo su procedimiento, que culminó solo con la muerte de Valencia”. Sostuvieron que la actuación de los agentes “no respetó el uso progresivo de la fuerza [ni] los principios de legalidad, proporcionalidad y necesidad, a lo que se suma el hecho de que la intervención policial estaba destinada a causar daño a Valencia”. De acuerdo a los representantes, “la intención era ejecutar al señor Valencia Hinojosa. Señalaron que “no había justificación para el uso de fuerza letal” ya que el tiroteo y muerte “se </w:t>
      </w:r>
      <w:proofErr w:type="spellStart"/>
      <w:proofErr w:type="gramStart"/>
      <w:r w:rsidRPr="00CF1787">
        <w:rPr>
          <w:spacing w:val="-2"/>
          <w:lang w:val="es-CR"/>
        </w:rPr>
        <w:t>produ</w:t>
      </w:r>
      <w:proofErr w:type="spellEnd"/>
      <w:r w:rsidRPr="00CF1787">
        <w:rPr>
          <w:spacing w:val="-2"/>
          <w:lang w:val="es-CR"/>
        </w:rPr>
        <w:t>[</w:t>
      </w:r>
      <w:proofErr w:type="spellStart"/>
      <w:proofErr w:type="gramEnd"/>
      <w:r w:rsidRPr="00CF1787">
        <w:rPr>
          <w:spacing w:val="-2"/>
          <w:lang w:val="es-CR"/>
        </w:rPr>
        <w:t>jo</w:t>
      </w:r>
      <w:proofErr w:type="spellEnd"/>
      <w:r w:rsidRPr="00CF1787">
        <w:rPr>
          <w:spacing w:val="-2"/>
          <w:lang w:val="es-CR"/>
        </w:rPr>
        <w:t xml:space="preserve">] cuando la víctima estaba encerrada en una </w:t>
      </w:r>
      <w:proofErr w:type="spellStart"/>
      <w:r w:rsidRPr="00CF1787">
        <w:rPr>
          <w:spacing w:val="-2"/>
          <w:lang w:val="es-CR"/>
        </w:rPr>
        <w:t>guachimanía</w:t>
      </w:r>
      <w:proofErr w:type="spellEnd"/>
      <w:r w:rsidRPr="00CF1787">
        <w:rPr>
          <w:spacing w:val="-2"/>
          <w:lang w:val="es-CR"/>
        </w:rPr>
        <w:t xml:space="preserve">”. Igualmente indicaron que “la falta de investigación imparcial y diligente no </w:t>
      </w:r>
      <w:proofErr w:type="spellStart"/>
      <w:r w:rsidRPr="00CF1787">
        <w:rPr>
          <w:spacing w:val="-2"/>
          <w:lang w:val="es-CR"/>
        </w:rPr>
        <w:t>proporcion</w:t>
      </w:r>
      <w:proofErr w:type="spellEnd"/>
      <w:r w:rsidRPr="00CF1787">
        <w:rPr>
          <w:spacing w:val="-2"/>
          <w:lang w:val="es-CR"/>
        </w:rPr>
        <w:t>[</w:t>
      </w:r>
      <w:proofErr w:type="spellStart"/>
      <w:r w:rsidRPr="00CF1787">
        <w:rPr>
          <w:spacing w:val="-2"/>
          <w:lang w:val="es-CR"/>
        </w:rPr>
        <w:t>ó</w:t>
      </w:r>
      <w:proofErr w:type="spellEnd"/>
      <w:r w:rsidRPr="00CF1787">
        <w:rPr>
          <w:spacing w:val="-2"/>
          <w:lang w:val="es-CR"/>
        </w:rPr>
        <w:t xml:space="preserve">] una respuesta adecuada respecto a cualquiera de las dos hipótesis”. Hicieron referencia </w:t>
      </w:r>
      <w:r w:rsidR="0012479A" w:rsidRPr="00CF1787">
        <w:rPr>
          <w:spacing w:val="-2"/>
          <w:lang w:val="es-CR"/>
        </w:rPr>
        <w:t xml:space="preserve">a </w:t>
      </w:r>
      <w:r w:rsidRPr="00CF1787">
        <w:rPr>
          <w:spacing w:val="-2"/>
          <w:lang w:val="es-CR"/>
        </w:rPr>
        <w:t xml:space="preserve">que “[l]os jueces de policía al resolver la causa se </w:t>
      </w:r>
      <w:proofErr w:type="gramStart"/>
      <w:r w:rsidRPr="00CF1787">
        <w:rPr>
          <w:spacing w:val="-2"/>
          <w:lang w:val="es-CR"/>
        </w:rPr>
        <w:t>olvida[</w:t>
      </w:r>
      <w:proofErr w:type="gramEnd"/>
      <w:r w:rsidRPr="00CF1787">
        <w:rPr>
          <w:spacing w:val="-2"/>
          <w:lang w:val="es-CR"/>
        </w:rPr>
        <w:t xml:space="preserve">ron] [de] los testimonios de los civiles presentes en el lugar de los hechos”, así como que “la administración de justicia tan solo </w:t>
      </w:r>
      <w:proofErr w:type="spellStart"/>
      <w:r w:rsidRPr="00CF1787">
        <w:rPr>
          <w:spacing w:val="-2"/>
          <w:lang w:val="es-CR"/>
        </w:rPr>
        <w:t>efec</w:t>
      </w:r>
      <w:proofErr w:type="spellEnd"/>
      <w:r w:rsidR="0012479A" w:rsidRPr="00CF1787">
        <w:rPr>
          <w:spacing w:val="-2"/>
          <w:lang w:val="es-CR"/>
        </w:rPr>
        <w:t>[</w:t>
      </w:r>
      <w:proofErr w:type="spellStart"/>
      <w:r w:rsidRPr="00CF1787">
        <w:rPr>
          <w:spacing w:val="-2"/>
          <w:lang w:val="es-CR"/>
        </w:rPr>
        <w:t>túo</w:t>
      </w:r>
      <w:proofErr w:type="spellEnd"/>
      <w:r w:rsidR="0012479A" w:rsidRPr="00CF1787">
        <w:rPr>
          <w:spacing w:val="-2"/>
          <w:lang w:val="es-CR"/>
        </w:rPr>
        <w:t>]</w:t>
      </w:r>
      <w:r w:rsidRPr="00CF1787">
        <w:rPr>
          <w:spacing w:val="-2"/>
          <w:lang w:val="es-CR"/>
        </w:rPr>
        <w:t xml:space="preserve"> exámenes balísticos al arma de Valencia y no lo hizo con el arma del oficial de policía”. </w:t>
      </w:r>
    </w:p>
    <w:p w14:paraId="28ABCC47" w14:textId="77777777" w:rsidR="00E84846" w:rsidRPr="00CF1787" w:rsidRDefault="00E84846" w:rsidP="00E84846">
      <w:pPr>
        <w:pStyle w:val="NoSpacing"/>
        <w:tabs>
          <w:tab w:val="left" w:pos="567"/>
        </w:tabs>
        <w:rPr>
          <w:lang w:val="es-CR"/>
        </w:rPr>
      </w:pPr>
    </w:p>
    <w:p w14:paraId="61C87EA8" w14:textId="4D3A5E57" w:rsidR="00E84846" w:rsidRPr="00CF1787" w:rsidRDefault="00E84846" w:rsidP="00E84846">
      <w:pPr>
        <w:pStyle w:val="NoSpacing"/>
        <w:numPr>
          <w:ilvl w:val="0"/>
          <w:numId w:val="5"/>
        </w:numPr>
        <w:tabs>
          <w:tab w:val="left" w:pos="567"/>
        </w:tabs>
        <w:ind w:left="0" w:firstLine="0"/>
        <w:rPr>
          <w:lang w:val="es-CR"/>
        </w:rPr>
      </w:pPr>
      <w:bookmarkStart w:id="469" w:name="_Ref470005105"/>
      <w:r w:rsidRPr="00CF1787">
        <w:rPr>
          <w:spacing w:val="-2"/>
          <w:lang w:val="es-CR"/>
        </w:rPr>
        <w:t xml:space="preserve">El </w:t>
      </w:r>
      <w:r w:rsidRPr="00CF1787">
        <w:rPr>
          <w:b/>
          <w:i/>
          <w:spacing w:val="-2"/>
          <w:lang w:val="es-CR"/>
        </w:rPr>
        <w:t>Estado</w:t>
      </w:r>
      <w:r w:rsidRPr="00CF1787">
        <w:rPr>
          <w:spacing w:val="-2"/>
          <w:lang w:val="es-CR"/>
        </w:rPr>
        <w:t xml:space="preserve"> alegó que “en el año 1992, contaba con un marco normativo garante del derecho a la vida”, refiriéndose a la </w:t>
      </w:r>
      <w:r w:rsidR="009F5D00" w:rsidRPr="00CF1787">
        <w:rPr>
          <w:spacing w:val="-2"/>
          <w:lang w:val="es-CR"/>
        </w:rPr>
        <w:t>constitución</w:t>
      </w:r>
      <w:r w:rsidRPr="00CF1787">
        <w:rPr>
          <w:spacing w:val="-2"/>
          <w:lang w:val="es-CR"/>
        </w:rPr>
        <w:t xml:space="preserve">, el </w:t>
      </w:r>
      <w:r w:rsidR="009F5D00" w:rsidRPr="00CF1787">
        <w:rPr>
          <w:spacing w:val="-2"/>
          <w:lang w:val="es-CR"/>
        </w:rPr>
        <w:t xml:space="preserve">código </w:t>
      </w:r>
      <w:r w:rsidRPr="00CF1787">
        <w:rPr>
          <w:spacing w:val="-2"/>
          <w:lang w:val="es-CR"/>
        </w:rPr>
        <w:t>penal ordinario y el policial. Además</w:t>
      </w:r>
      <w:r w:rsidR="002D0E9D" w:rsidRPr="00CF1787">
        <w:rPr>
          <w:spacing w:val="-2"/>
          <w:lang w:val="es-CR"/>
        </w:rPr>
        <w:t>,</w:t>
      </w:r>
      <w:r w:rsidRPr="00CF1787">
        <w:rPr>
          <w:spacing w:val="-2"/>
          <w:lang w:val="es-CR"/>
        </w:rPr>
        <w:t xml:space="preserve"> señaló que para</w:t>
      </w:r>
      <w:r w:rsidR="002A52F8" w:rsidRPr="00CF1787">
        <w:rPr>
          <w:spacing w:val="-2"/>
          <w:lang w:val="es-CR"/>
        </w:rPr>
        <w:t xml:space="preserve"> el año en que sucediero</w:t>
      </w:r>
      <w:r w:rsidR="002D0E9D" w:rsidRPr="00CF1787">
        <w:rPr>
          <w:spacing w:val="-2"/>
          <w:lang w:val="es-CR"/>
        </w:rPr>
        <w:t>n los hechos</w:t>
      </w:r>
      <w:r w:rsidRPr="00CF1787">
        <w:rPr>
          <w:spacing w:val="-2"/>
          <w:lang w:val="es-CR"/>
        </w:rPr>
        <w:t xml:space="preserve"> estaba en vigencia “el Código de Ética Profesional de la Policía Nacional”, norma que en su artículos 3, 19 y 20 indicaban la utilización de la fuerza “cuando fuera necesaria en cumplimiento de la misión”, y la defensa y respeto </w:t>
      </w:r>
      <w:r w:rsidR="002D0E9D" w:rsidRPr="00CF1787">
        <w:rPr>
          <w:spacing w:val="-2"/>
          <w:lang w:val="es-CR"/>
        </w:rPr>
        <w:t xml:space="preserve">de </w:t>
      </w:r>
      <w:r w:rsidRPr="00CF1787">
        <w:rPr>
          <w:spacing w:val="-2"/>
          <w:lang w:val="es-CR"/>
        </w:rPr>
        <w:t xml:space="preserve">los derechos de las personas. </w:t>
      </w:r>
      <w:r w:rsidR="00A209BC" w:rsidRPr="00CF1787">
        <w:rPr>
          <w:spacing w:val="-2"/>
          <w:szCs w:val="20"/>
          <w:lang w:val="es-CR"/>
        </w:rPr>
        <w:t xml:space="preserve">El Estado resaltó que dicho Código de Ética era un “instrumento </w:t>
      </w:r>
      <w:r w:rsidR="00A209BC" w:rsidRPr="00CF1787">
        <w:rPr>
          <w:rFonts w:eastAsia="Times New Roman" w:cs="Times New Roman"/>
          <w:szCs w:val="20"/>
          <w:lang w:val="es-CR"/>
        </w:rPr>
        <w:t xml:space="preserve">que era de conocimiento y </w:t>
      </w:r>
      <w:r w:rsidR="002D0E9D" w:rsidRPr="00CF1787">
        <w:rPr>
          <w:rFonts w:eastAsia="Times New Roman" w:cs="Times New Roman"/>
          <w:szCs w:val="20"/>
          <w:lang w:val="es-CR"/>
        </w:rPr>
        <w:t xml:space="preserve">práctica </w:t>
      </w:r>
      <w:r w:rsidR="00A209BC" w:rsidRPr="00CF1787">
        <w:rPr>
          <w:rFonts w:eastAsia="Times New Roman" w:cs="Times New Roman"/>
          <w:szCs w:val="20"/>
          <w:lang w:val="es-CR"/>
        </w:rPr>
        <w:t xml:space="preserve">obligatoria para los miembros de la institución policial y que no eran únicamente directrices deontológicas sino que eran reglas que debían ser acatadas por los miembros policiales de manera obligatoria”. </w:t>
      </w:r>
      <w:r w:rsidRPr="00CF1787">
        <w:rPr>
          <w:spacing w:val="-2"/>
          <w:lang w:val="es-CR"/>
        </w:rPr>
        <w:t xml:space="preserve">Por otro lado, indicó que “tomando en cuenta que el señor Valencia se encontraba en estado de embriaguez, acababa de atentar contra la vida de dos policías, y se había dado a la fuga, </w:t>
      </w:r>
      <w:r w:rsidR="002D0E9D" w:rsidRPr="00CF1787">
        <w:rPr>
          <w:spacing w:val="-2"/>
          <w:lang w:val="es-CR"/>
        </w:rPr>
        <w:t>[…</w:t>
      </w:r>
      <w:r w:rsidRPr="00CF1787">
        <w:rPr>
          <w:spacing w:val="-2"/>
          <w:lang w:val="es-CR"/>
        </w:rPr>
        <w:t>]</w:t>
      </w:r>
      <w:r w:rsidR="002637FC" w:rsidRPr="00CF1787">
        <w:rPr>
          <w:spacing w:val="-2"/>
          <w:lang w:val="es-CR"/>
        </w:rPr>
        <w:t xml:space="preserve"> </w:t>
      </w:r>
      <w:r w:rsidRPr="00CF1787">
        <w:rPr>
          <w:spacing w:val="-2"/>
          <w:lang w:val="es-CR"/>
        </w:rPr>
        <w:t xml:space="preserve">el teniente </w:t>
      </w:r>
      <w:r w:rsidR="002637FC" w:rsidRPr="00CF1787">
        <w:rPr>
          <w:spacing w:val="-2"/>
          <w:lang w:val="es-CR"/>
        </w:rPr>
        <w:t>[…]</w:t>
      </w:r>
      <w:r w:rsidRPr="00CF1787">
        <w:rPr>
          <w:spacing w:val="-2"/>
          <w:lang w:val="es-CR"/>
        </w:rPr>
        <w:t xml:space="preserve"> realizó una evaluación y un plan de acción adecuados a la situación”. </w:t>
      </w:r>
      <w:r w:rsidRPr="00CF1787">
        <w:rPr>
          <w:lang w:val="es-CR"/>
        </w:rPr>
        <w:t>Con respecto a los elementos de necesidad, el Estado argumentó que “no existían otros medios disponibles que la persecución policial inmediata, tomando en cuenta que el señor Valencia portaba un arma, e incluso según versiones se encontraba disparando al aire”. En relación con la proporcionalidad, indicó que “el señor Valencia ven</w:t>
      </w:r>
      <w:r w:rsidR="002637FC" w:rsidRPr="00CF1787">
        <w:rPr>
          <w:lang w:val="es-CR"/>
        </w:rPr>
        <w:t>í</w:t>
      </w:r>
      <w:r w:rsidRPr="00CF1787">
        <w:rPr>
          <w:lang w:val="es-CR"/>
        </w:rPr>
        <w:t xml:space="preserve">a de disparar directamente contra dos de sus compañeros, por lo que él mismo ya había establecido su forma altamente peligrosa de proceder”, razón por la que “los agentes </w:t>
      </w:r>
      <w:proofErr w:type="gramStart"/>
      <w:r w:rsidRPr="00CF1787">
        <w:rPr>
          <w:lang w:val="es-CR"/>
        </w:rPr>
        <w:t>busca</w:t>
      </w:r>
      <w:r w:rsidR="002D0E9D" w:rsidRPr="00CF1787">
        <w:rPr>
          <w:lang w:val="es-CR"/>
        </w:rPr>
        <w:t>[</w:t>
      </w:r>
      <w:proofErr w:type="spellStart"/>
      <w:proofErr w:type="gramEnd"/>
      <w:r w:rsidRPr="00CF1787">
        <w:rPr>
          <w:lang w:val="es-CR"/>
        </w:rPr>
        <w:t>ba</w:t>
      </w:r>
      <w:r w:rsidR="002D0E9D" w:rsidRPr="00CF1787">
        <w:rPr>
          <w:lang w:val="es-CR"/>
        </w:rPr>
        <w:t>n</w:t>
      </w:r>
      <w:proofErr w:type="spellEnd"/>
      <w:r w:rsidR="002D0E9D" w:rsidRPr="00CF1787">
        <w:rPr>
          <w:lang w:val="es-CR"/>
        </w:rPr>
        <w:t>]</w:t>
      </w:r>
      <w:r w:rsidRPr="00CF1787">
        <w:rPr>
          <w:lang w:val="es-CR"/>
        </w:rPr>
        <w:t xml:space="preserve"> disuadir al señor Valencia mas no herirlo”.</w:t>
      </w:r>
      <w:bookmarkEnd w:id="469"/>
      <w:r w:rsidRPr="00CF1787">
        <w:rPr>
          <w:lang w:val="es-CR"/>
        </w:rPr>
        <w:t xml:space="preserve"> </w:t>
      </w:r>
    </w:p>
    <w:p w14:paraId="63AFDC14" w14:textId="77777777" w:rsidR="00E84846" w:rsidRPr="00CF1787" w:rsidRDefault="00E84846" w:rsidP="00E84846">
      <w:pPr>
        <w:pStyle w:val="NoSpacing"/>
        <w:tabs>
          <w:tab w:val="left" w:pos="567"/>
        </w:tabs>
        <w:rPr>
          <w:lang w:val="es-CR"/>
        </w:rPr>
      </w:pPr>
    </w:p>
    <w:p w14:paraId="6C9ADE6E" w14:textId="7A87DF89" w:rsidR="00DE055E" w:rsidRPr="00CF1787" w:rsidRDefault="00E84846" w:rsidP="00E84846">
      <w:pPr>
        <w:pStyle w:val="NoSpacing"/>
        <w:numPr>
          <w:ilvl w:val="0"/>
          <w:numId w:val="5"/>
        </w:numPr>
        <w:tabs>
          <w:tab w:val="left" w:pos="567"/>
        </w:tabs>
        <w:ind w:left="0" w:firstLine="0"/>
        <w:rPr>
          <w:lang w:val="es-CR"/>
        </w:rPr>
      </w:pPr>
      <w:r w:rsidRPr="00CF1787">
        <w:rPr>
          <w:spacing w:val="-2"/>
          <w:lang w:val="es-CR"/>
        </w:rPr>
        <w:t xml:space="preserve">Con respecto al alegado homicidio del señor Valencia, consideró “infundadas </w:t>
      </w:r>
      <w:proofErr w:type="gramStart"/>
      <w:r w:rsidRPr="00CF1787">
        <w:rPr>
          <w:spacing w:val="-2"/>
          <w:lang w:val="es-CR"/>
        </w:rPr>
        <w:t>es[</w:t>
      </w:r>
      <w:proofErr w:type="gramEnd"/>
      <w:r w:rsidRPr="00CF1787">
        <w:rPr>
          <w:spacing w:val="-2"/>
          <w:lang w:val="es-CR"/>
        </w:rPr>
        <w:t xml:space="preserve">as] alegaciones”, ya que basar las pretensiones </w:t>
      </w:r>
      <w:r w:rsidR="002D0E9D" w:rsidRPr="00CF1787">
        <w:rPr>
          <w:spacing w:val="-2"/>
          <w:lang w:val="es-CR"/>
        </w:rPr>
        <w:t xml:space="preserve">solo </w:t>
      </w:r>
      <w:r w:rsidRPr="00CF1787">
        <w:rPr>
          <w:spacing w:val="-2"/>
          <w:lang w:val="es-CR"/>
        </w:rPr>
        <w:t xml:space="preserve">en la prueba testimonial, “deslegitima la valoración integral de la prueba y vulnera el derecho a la defensa del Estado”. Señaló que, derivado del proceso, “la valoración de la prueba en su conjunto no determinó que agentes estatales hayan cometido el delito de homicidio”. El Estado indicó que existen contradicciones de la Comisión y los representantes. Alegó que la Comisión “en principio afirma que el Estado es responsable de la muerte del señor Valencia y posteriormente afirma no encontrarse posicionada para pronunciarse”, mientras que los representantes “indicaron que el señor Valencia pudo tomar la decisión de suicidarse". Finalmente consideró que la hipótesis de suicidio de la Comisión vinculada al temor que le habrían generado los policías es improcedente, porque la Comisión “omite analizar las circunstancias en las que se dio el operativo de búsqueda del señor Valencia”. </w:t>
      </w:r>
    </w:p>
    <w:p w14:paraId="0C5402C6" w14:textId="77777777" w:rsidR="00AB466B" w:rsidRPr="00CF1787" w:rsidRDefault="00AB466B" w:rsidP="00DE055E">
      <w:pPr>
        <w:rPr>
          <w:lang w:val="es-CR"/>
        </w:rPr>
      </w:pPr>
    </w:p>
    <w:p w14:paraId="20AB2F66" w14:textId="77777777" w:rsidR="00D334A9" w:rsidRPr="00CF1787" w:rsidRDefault="00D334A9" w:rsidP="00DE055E">
      <w:pPr>
        <w:rPr>
          <w:lang w:val="es-CR"/>
        </w:rPr>
      </w:pPr>
    </w:p>
    <w:p w14:paraId="0DFB0D1F" w14:textId="77777777" w:rsidR="00DE055E" w:rsidRPr="00CF1787" w:rsidRDefault="00DE055E" w:rsidP="00CF73D3">
      <w:pPr>
        <w:pStyle w:val="Heading2"/>
        <w:rPr>
          <w:rFonts w:eastAsiaTheme="minorHAnsi"/>
          <w:lang w:val="es-CR"/>
        </w:rPr>
      </w:pPr>
      <w:bookmarkStart w:id="470" w:name="_Toc465177393"/>
      <w:bookmarkStart w:id="471" w:name="_Toc470098068"/>
      <w:r w:rsidRPr="00CF1787">
        <w:rPr>
          <w:lang w:val="es-CR"/>
        </w:rPr>
        <w:lastRenderedPageBreak/>
        <w:t>Consideraciones de la Corte</w:t>
      </w:r>
      <w:bookmarkEnd w:id="470"/>
      <w:bookmarkEnd w:id="471"/>
      <w:r w:rsidRPr="00CF1787">
        <w:rPr>
          <w:rFonts w:eastAsiaTheme="minorHAnsi"/>
          <w:lang w:val="es-CR"/>
        </w:rPr>
        <w:t xml:space="preserve"> </w:t>
      </w:r>
    </w:p>
    <w:p w14:paraId="733311A9" w14:textId="77777777" w:rsidR="00C17811" w:rsidRPr="00CF1787" w:rsidRDefault="00C17811" w:rsidP="00DE055E">
      <w:pPr>
        <w:pStyle w:val="NoSpacing"/>
        <w:tabs>
          <w:tab w:val="left" w:pos="567"/>
        </w:tabs>
        <w:rPr>
          <w:lang w:val="es-CR"/>
        </w:rPr>
      </w:pPr>
    </w:p>
    <w:p w14:paraId="09397177" w14:textId="1FAFBB27" w:rsidR="00992F66" w:rsidRPr="00CF1787" w:rsidRDefault="00992F66" w:rsidP="00992F66">
      <w:pPr>
        <w:numPr>
          <w:ilvl w:val="0"/>
          <w:numId w:val="5"/>
        </w:numPr>
        <w:tabs>
          <w:tab w:val="left" w:pos="0"/>
          <w:tab w:val="left" w:pos="567"/>
        </w:tabs>
        <w:autoSpaceDE w:val="0"/>
        <w:autoSpaceDN w:val="0"/>
        <w:ind w:left="0" w:firstLine="0"/>
        <w:contextualSpacing/>
        <w:rPr>
          <w:spacing w:val="-2"/>
          <w:szCs w:val="20"/>
          <w:lang w:val="es-CR"/>
        </w:rPr>
      </w:pPr>
      <w:bookmarkStart w:id="472" w:name="_Ref462933005"/>
      <w:r w:rsidRPr="00CF1787">
        <w:rPr>
          <w:spacing w:val="-2"/>
          <w:szCs w:val="20"/>
          <w:lang w:val="es-CR"/>
        </w:rPr>
        <w:t xml:space="preserve">Este Tribunal ha establecido que el derecho a la vida juega un papel fundamental en la Convención Americana, por ser el presupuesto esencial para el ejercicio de los demás derechos. Los Estados tienen la </w:t>
      </w:r>
      <w:r w:rsidRPr="00CF1787">
        <w:t>obligación</w:t>
      </w:r>
      <w:r w:rsidRPr="00CF1787">
        <w:rPr>
          <w:spacing w:val="-2"/>
          <w:szCs w:val="20"/>
          <w:lang w:val="es-CR"/>
        </w:rPr>
        <w:t xml:space="preserve"> de garantizar la creación de las condiciones </w:t>
      </w:r>
      <w:r w:rsidRPr="00CF1787">
        <w:rPr>
          <w:szCs w:val="20"/>
        </w:rPr>
        <w:t>que</w:t>
      </w:r>
      <w:r w:rsidRPr="00CF1787">
        <w:rPr>
          <w:spacing w:val="-2"/>
          <w:szCs w:val="20"/>
          <w:lang w:val="es-CR"/>
        </w:rPr>
        <w:t xml:space="preserve"> se requieran para que no se produzcan violaciones de este derecho inalienable y, en particular, el deber de impedir que sus agentes atenten contra él. La observancia del artículo 4, relacionado con el artículo 1.1 de la Convención Americana, no solo presupone que ninguna persona sea privada de su vida arbitrariamente (obligación negativa), sino que además requiere que los Estados adopten todas las medidas apropiadas para proteger y preservar el derecho a la vida (obligación positiva)</w:t>
      </w:r>
      <w:r w:rsidRPr="00CF1787">
        <w:rPr>
          <w:rStyle w:val="FootnoteReference"/>
          <w:spacing w:val="-2"/>
          <w:sz w:val="20"/>
          <w:szCs w:val="20"/>
          <w:lang w:val="es-CR"/>
        </w:rPr>
        <w:footnoteReference w:id="162"/>
      </w:r>
      <w:r w:rsidRPr="00CF1787">
        <w:rPr>
          <w:spacing w:val="-2"/>
          <w:szCs w:val="20"/>
          <w:lang w:val="es-CR"/>
        </w:rPr>
        <w:t xml:space="preserve">, conforme al deber de garantizar el pleno y libre ejercicio de los derechos de todas las personas bajo su jurisdicción. </w:t>
      </w:r>
    </w:p>
    <w:p w14:paraId="7BC29973" w14:textId="77777777" w:rsidR="00992F66" w:rsidRPr="00CF1787" w:rsidRDefault="00992F66" w:rsidP="00992F66">
      <w:pPr>
        <w:tabs>
          <w:tab w:val="left" w:pos="0"/>
          <w:tab w:val="left" w:pos="567"/>
        </w:tabs>
        <w:autoSpaceDE w:val="0"/>
        <w:autoSpaceDN w:val="0"/>
        <w:contextualSpacing/>
        <w:rPr>
          <w:spacing w:val="-2"/>
          <w:szCs w:val="20"/>
          <w:lang w:val="es-CR"/>
        </w:rPr>
      </w:pPr>
    </w:p>
    <w:p w14:paraId="7385CBF5" w14:textId="26A7F524" w:rsidR="00992F66" w:rsidRPr="00CF1787" w:rsidRDefault="00992F66" w:rsidP="00992F66">
      <w:pPr>
        <w:numPr>
          <w:ilvl w:val="0"/>
          <w:numId w:val="5"/>
        </w:numPr>
        <w:tabs>
          <w:tab w:val="left" w:pos="0"/>
          <w:tab w:val="left" w:pos="567"/>
        </w:tabs>
        <w:autoSpaceDE w:val="0"/>
        <w:autoSpaceDN w:val="0"/>
        <w:ind w:left="0" w:firstLine="0"/>
        <w:contextualSpacing/>
        <w:rPr>
          <w:spacing w:val="-2"/>
          <w:szCs w:val="20"/>
          <w:lang w:val="es-CR"/>
        </w:rPr>
      </w:pPr>
      <w:bookmarkStart w:id="473" w:name="_Ref470093204"/>
      <w:r w:rsidRPr="00CF1787">
        <w:rPr>
          <w:bCs/>
          <w:szCs w:val="20"/>
        </w:rPr>
        <w:t>Al respecto</w:t>
      </w:r>
      <w:r w:rsidRPr="00CF1787">
        <w:rPr>
          <w:spacing w:val="-2"/>
          <w:szCs w:val="20"/>
          <w:lang w:val="es-CR"/>
        </w:rPr>
        <w:t>, la Corte ha señalado reiteradamente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r w:rsidRPr="00CF1787">
        <w:rPr>
          <w:rStyle w:val="FootnoteReference"/>
          <w:spacing w:val="-2"/>
          <w:sz w:val="20"/>
          <w:szCs w:val="20"/>
          <w:lang w:val="es-CR"/>
        </w:rPr>
        <w:footnoteReference w:id="163"/>
      </w:r>
      <w:r w:rsidRPr="00CF1787">
        <w:rPr>
          <w:spacing w:val="-2"/>
          <w:szCs w:val="20"/>
          <w:lang w:val="es-CR"/>
        </w:rPr>
        <w:t>.</w:t>
      </w:r>
      <w:r w:rsidR="002A52F8" w:rsidRPr="00CF1787">
        <w:rPr>
          <w:szCs w:val="20"/>
        </w:rPr>
        <w:t xml:space="preserve"> </w:t>
      </w:r>
      <w:r w:rsidRPr="00CF1787">
        <w:rPr>
          <w:szCs w:val="20"/>
        </w:rPr>
        <w:t>En particular, como una obligación especialmente acentuada y un elemento condicionante para garantizar el derecho a la vida</w:t>
      </w:r>
      <w:r w:rsidRPr="00CF1787">
        <w:rPr>
          <w:rStyle w:val="FootnoteReference"/>
          <w:sz w:val="20"/>
          <w:szCs w:val="20"/>
        </w:rPr>
        <w:footnoteReference w:id="164"/>
      </w:r>
      <w:r w:rsidRPr="00CF1787">
        <w:rPr>
          <w:szCs w:val="20"/>
        </w:rPr>
        <w:t>, la Corte ha establecido que, una</w:t>
      </w:r>
      <w:r w:rsidRPr="00CF1787">
        <w:rPr>
          <w:rFonts w:cs="Verdana"/>
          <w:szCs w:val="20"/>
        </w:rPr>
        <w:t xml:space="preserve"> vez que se tenga conocimiento de que sus agentes de seguridad han hecho uso de armas de fuego con consecuencias letales, el Estado está obligado a iniciar </w:t>
      </w:r>
      <w:r w:rsidRPr="00CF1787">
        <w:rPr>
          <w:rFonts w:cs="Verdana"/>
          <w:i/>
          <w:iCs/>
          <w:szCs w:val="20"/>
        </w:rPr>
        <w:t xml:space="preserve">ex </w:t>
      </w:r>
      <w:proofErr w:type="spellStart"/>
      <w:r w:rsidRPr="00CF1787">
        <w:rPr>
          <w:rFonts w:cs="Verdana"/>
          <w:i/>
          <w:iCs/>
          <w:szCs w:val="20"/>
        </w:rPr>
        <w:t>officio</w:t>
      </w:r>
      <w:proofErr w:type="spellEnd"/>
      <w:r w:rsidRPr="00CF1787">
        <w:rPr>
          <w:rFonts w:cs="Verdana"/>
          <w:szCs w:val="20"/>
        </w:rPr>
        <w:t xml:space="preserve"> y sin dilación, una investigación seria, independiente, imparcial y efectiva</w:t>
      </w:r>
      <w:r w:rsidRPr="00CF1787">
        <w:rPr>
          <w:rFonts w:cs="Verdana"/>
          <w:szCs w:val="20"/>
          <w:vertAlign w:val="superscript"/>
        </w:rPr>
        <w:footnoteReference w:id="165"/>
      </w:r>
      <w:r w:rsidRPr="00CF1787">
        <w:rPr>
          <w:rFonts w:cs="Verdana"/>
          <w:szCs w:val="20"/>
        </w:rPr>
        <w:t>.</w:t>
      </w:r>
      <w:bookmarkEnd w:id="473"/>
      <w:r w:rsidRPr="00CF1787">
        <w:rPr>
          <w:rFonts w:cs="Verdana"/>
          <w:szCs w:val="20"/>
        </w:rPr>
        <w:t xml:space="preserve"> </w:t>
      </w:r>
    </w:p>
    <w:p w14:paraId="6EEE6785" w14:textId="77777777" w:rsidR="00992F66" w:rsidRPr="00CF1787" w:rsidRDefault="00992F66" w:rsidP="00992F66">
      <w:pPr>
        <w:pStyle w:val="ListParagraph"/>
        <w:numPr>
          <w:ilvl w:val="0"/>
          <w:numId w:val="0"/>
        </w:numPr>
        <w:ind w:left="720"/>
        <w:rPr>
          <w:spacing w:val="-2"/>
          <w:lang w:val="es-CR"/>
        </w:rPr>
      </w:pPr>
    </w:p>
    <w:p w14:paraId="4B063A59" w14:textId="68CD7B9C" w:rsidR="00992F66" w:rsidRPr="00CF1787" w:rsidRDefault="00992F66" w:rsidP="00992F66">
      <w:pPr>
        <w:pStyle w:val="NoSpacing"/>
        <w:numPr>
          <w:ilvl w:val="0"/>
          <w:numId w:val="5"/>
        </w:numPr>
        <w:tabs>
          <w:tab w:val="left" w:pos="567"/>
        </w:tabs>
        <w:ind w:left="0" w:firstLine="0"/>
        <w:rPr>
          <w:b/>
          <w:color w:val="FF0000"/>
          <w:szCs w:val="20"/>
          <w:lang w:val="es-CR"/>
        </w:rPr>
      </w:pPr>
      <w:r w:rsidRPr="00CF1787">
        <w:rPr>
          <w:spacing w:val="-2"/>
          <w:szCs w:val="20"/>
          <w:lang w:val="es-CR"/>
        </w:rPr>
        <w:t xml:space="preserve">En el presente caso la Corte determinó que </w:t>
      </w:r>
      <w:r w:rsidRPr="00CF1787">
        <w:rPr>
          <w:szCs w:val="20"/>
          <w:lang w:val="es-CR"/>
        </w:rPr>
        <w:t xml:space="preserve">la jurisdicción penal policial era dependiente funcional y administrativamente del Poder Ejecutivo, lo cual aunado a otros factores y </w:t>
      </w:r>
      <w:proofErr w:type="spellStart"/>
      <w:r w:rsidRPr="00CF1787">
        <w:rPr>
          <w:szCs w:val="20"/>
          <w:lang w:val="es-CR"/>
        </w:rPr>
        <w:t>característicias</w:t>
      </w:r>
      <w:proofErr w:type="spellEnd"/>
      <w:r w:rsidRPr="00CF1787">
        <w:rPr>
          <w:szCs w:val="20"/>
          <w:lang w:val="es-CR"/>
        </w:rPr>
        <w:t xml:space="preserve"> generaba que dicho sistema de justicia no </w:t>
      </w:r>
      <w:r w:rsidR="00AA1772" w:rsidRPr="00CF1787">
        <w:rPr>
          <w:szCs w:val="20"/>
          <w:lang w:val="es-CR"/>
        </w:rPr>
        <w:t xml:space="preserve">ofreciera </w:t>
      </w:r>
      <w:r w:rsidRPr="00CF1787">
        <w:rPr>
          <w:szCs w:val="20"/>
          <w:lang w:val="es-CR"/>
        </w:rPr>
        <w:t>garantías sufi</w:t>
      </w:r>
      <w:r w:rsidR="00AA1772" w:rsidRPr="00CF1787">
        <w:rPr>
          <w:szCs w:val="20"/>
          <w:lang w:val="es-CR"/>
        </w:rPr>
        <w:t>ci</w:t>
      </w:r>
      <w:r w:rsidRPr="00CF1787">
        <w:rPr>
          <w:szCs w:val="20"/>
          <w:lang w:val="es-CR"/>
        </w:rPr>
        <w:t>entes de independencia e imparcialidad para investigar la muerte del señor Valencia Hinojosa (</w:t>
      </w:r>
      <w:r w:rsidRPr="00CF1787">
        <w:rPr>
          <w:i/>
          <w:szCs w:val="20"/>
          <w:lang w:val="es-CR"/>
        </w:rPr>
        <w:t xml:space="preserve">supra </w:t>
      </w:r>
      <w:proofErr w:type="spellStart"/>
      <w:r w:rsidRPr="00CF1787">
        <w:rPr>
          <w:szCs w:val="20"/>
          <w:lang w:val="es-CR"/>
        </w:rPr>
        <w:t>párrs</w:t>
      </w:r>
      <w:proofErr w:type="spellEnd"/>
      <w:r w:rsidRPr="00CF1787">
        <w:rPr>
          <w:szCs w:val="20"/>
          <w:lang w:val="es-CR"/>
        </w:rPr>
        <w:t xml:space="preserve">. </w:t>
      </w:r>
      <w:r w:rsidR="001D29E7" w:rsidRPr="00CF1787">
        <w:fldChar w:fldCharType="begin"/>
      </w:r>
      <w:r w:rsidR="001D29E7" w:rsidRPr="00CF1787">
        <w:instrText xml:space="preserve"> REF _Ref467779805 \r \h  \* MERGEFORMAT </w:instrText>
      </w:r>
      <w:r w:rsidR="001D29E7" w:rsidRPr="00CF1787">
        <w:fldChar w:fldCharType="separate"/>
      </w:r>
      <w:r w:rsidR="00536893" w:rsidRPr="00536893">
        <w:rPr>
          <w:szCs w:val="20"/>
          <w:lang w:val="es-CR"/>
        </w:rPr>
        <w:t>113</w:t>
      </w:r>
      <w:r w:rsidR="001D29E7" w:rsidRPr="00CF1787">
        <w:fldChar w:fldCharType="end"/>
      </w:r>
      <w:r w:rsidR="002A52F8" w:rsidRPr="00CF1787">
        <w:rPr>
          <w:szCs w:val="20"/>
          <w:lang w:val="es-CR"/>
        </w:rPr>
        <w:t xml:space="preserve"> a</w:t>
      </w:r>
      <w:r w:rsidR="002A52F8" w:rsidRPr="00CF1787">
        <w:t xml:space="preserve"> </w:t>
      </w:r>
      <w:r w:rsidR="002A52F8" w:rsidRPr="00CF1787">
        <w:fldChar w:fldCharType="begin"/>
      </w:r>
      <w:r w:rsidR="002A52F8" w:rsidRPr="00CF1787">
        <w:instrText xml:space="preserve"> REF _Ref462933293 \r \h </w:instrText>
      </w:r>
      <w:r w:rsidR="00CF1787">
        <w:instrText xml:space="preserve"> \* MERGEFORMAT </w:instrText>
      </w:r>
      <w:r w:rsidR="002A52F8" w:rsidRPr="00CF1787">
        <w:fldChar w:fldCharType="separate"/>
      </w:r>
      <w:r w:rsidR="00536893">
        <w:t>119</w:t>
      </w:r>
      <w:r w:rsidR="002A52F8" w:rsidRPr="00CF1787">
        <w:fldChar w:fldCharType="end"/>
      </w:r>
      <w:r w:rsidRPr="00CF1787">
        <w:rPr>
          <w:szCs w:val="20"/>
          <w:lang w:val="es-CR"/>
        </w:rPr>
        <w:t>). En virtud de esta conclusión, la Corte no puede tomar como definitiva la determinación realizada por las autoridades judici</w:t>
      </w:r>
      <w:r w:rsidR="000D57A4" w:rsidRPr="00CF1787">
        <w:rPr>
          <w:szCs w:val="20"/>
          <w:lang w:val="es-CR"/>
        </w:rPr>
        <w:t>ales en dicho proceso, según la</w:t>
      </w:r>
      <w:r w:rsidRPr="00CF1787">
        <w:rPr>
          <w:szCs w:val="20"/>
          <w:lang w:val="es-CR"/>
        </w:rPr>
        <w:t xml:space="preserve"> cual el señor Valencia Hinojosa se </w:t>
      </w:r>
      <w:r w:rsidR="007D0D64" w:rsidRPr="00CF1787">
        <w:rPr>
          <w:szCs w:val="20"/>
          <w:lang w:val="es-CR"/>
        </w:rPr>
        <w:t>habría suicidad</w:t>
      </w:r>
      <w:r w:rsidRPr="00CF1787">
        <w:rPr>
          <w:szCs w:val="20"/>
          <w:lang w:val="es-CR"/>
        </w:rPr>
        <w:t>o (</w:t>
      </w:r>
      <w:r w:rsidRPr="00CF1787">
        <w:rPr>
          <w:i/>
          <w:szCs w:val="20"/>
          <w:lang w:val="es-CR"/>
        </w:rPr>
        <w:t xml:space="preserve">supra </w:t>
      </w:r>
      <w:r w:rsidR="007D0D64" w:rsidRPr="00CF1787">
        <w:rPr>
          <w:szCs w:val="20"/>
          <w:lang w:val="es-CR"/>
        </w:rPr>
        <w:t>párr</w:t>
      </w:r>
      <w:r w:rsidRPr="00CF1787">
        <w:rPr>
          <w:szCs w:val="20"/>
          <w:lang w:val="es-CR"/>
        </w:rPr>
        <w:t>.</w:t>
      </w:r>
      <w:r w:rsidR="007D0D64" w:rsidRPr="00CF1787">
        <w:rPr>
          <w:szCs w:val="20"/>
          <w:lang w:val="es-CR"/>
        </w:rPr>
        <w:t xml:space="preserve"> </w:t>
      </w:r>
      <w:r w:rsidR="001D29E7" w:rsidRPr="00CF1787">
        <w:fldChar w:fldCharType="begin"/>
      </w:r>
      <w:r w:rsidR="001D29E7" w:rsidRPr="00CF1787">
        <w:instrText xml:space="preserve"> REF _Ref462078622 \r \h  \* MERGEFORMAT </w:instrText>
      </w:r>
      <w:r w:rsidR="001D29E7" w:rsidRPr="00CF1787">
        <w:fldChar w:fldCharType="separate"/>
      </w:r>
      <w:r w:rsidR="00536893" w:rsidRPr="00536893">
        <w:rPr>
          <w:szCs w:val="20"/>
          <w:lang w:val="es-CR"/>
        </w:rPr>
        <w:t>73</w:t>
      </w:r>
      <w:r w:rsidR="001D29E7" w:rsidRPr="00CF1787">
        <w:fldChar w:fldCharType="end"/>
      </w:r>
      <w:r w:rsidRPr="00CF1787">
        <w:rPr>
          <w:szCs w:val="20"/>
        </w:rPr>
        <w:t>)</w:t>
      </w:r>
      <w:r w:rsidRPr="00CF1787">
        <w:rPr>
          <w:szCs w:val="20"/>
          <w:lang w:val="es-CR"/>
        </w:rPr>
        <w:t xml:space="preserve">. No obstante, la Corte advierte que el hecho de que la impunidad de un caso impida conocer lo sucedido, no puede llevar a este Tribunal a presumir que ocurrió una </w:t>
      </w:r>
      <w:r w:rsidR="002A52F8" w:rsidRPr="00CF1787">
        <w:rPr>
          <w:szCs w:val="20"/>
          <w:lang w:val="es-CR"/>
        </w:rPr>
        <w:t xml:space="preserve">violación de derechos humanos y a </w:t>
      </w:r>
      <w:r w:rsidRPr="00CF1787">
        <w:rPr>
          <w:szCs w:val="20"/>
          <w:lang w:val="es-CR"/>
        </w:rPr>
        <w:t>condenar automáticamente al Estado por el incumplimiento del deber de respeto</w:t>
      </w:r>
      <w:r w:rsidRPr="00CF1787">
        <w:rPr>
          <w:rStyle w:val="FootnoteReference"/>
          <w:sz w:val="20"/>
          <w:szCs w:val="20"/>
          <w:lang w:val="es-CR"/>
        </w:rPr>
        <w:footnoteReference w:id="166"/>
      </w:r>
      <w:r w:rsidRPr="00CF1787">
        <w:rPr>
          <w:szCs w:val="20"/>
          <w:lang w:val="es-CR"/>
        </w:rPr>
        <w:t>. Dada</w:t>
      </w:r>
      <w:r w:rsidR="008F7DF2" w:rsidRPr="00CF1787">
        <w:rPr>
          <w:szCs w:val="20"/>
          <w:lang w:val="es-CR"/>
        </w:rPr>
        <w:t>s</w:t>
      </w:r>
      <w:r w:rsidRPr="00CF1787">
        <w:rPr>
          <w:szCs w:val="20"/>
          <w:lang w:val="es-CR"/>
        </w:rPr>
        <w:t xml:space="preserve"> las circunstancias de este caso, la Corte estima que no puede establecer con claridad la versión definitiva de lo sucedido y, en consecuencia, no es posible concluir que el Estado es responsable por una violación a la obligación de respetar el derecho a la vida.</w:t>
      </w:r>
    </w:p>
    <w:p w14:paraId="48F94ADD" w14:textId="77777777" w:rsidR="00992F66" w:rsidRPr="00CF1787" w:rsidRDefault="00992F66" w:rsidP="00992F66">
      <w:pPr>
        <w:pStyle w:val="NoSpacing"/>
        <w:tabs>
          <w:tab w:val="left" w:pos="567"/>
        </w:tabs>
        <w:rPr>
          <w:b/>
          <w:color w:val="FF0000"/>
          <w:szCs w:val="20"/>
          <w:lang w:val="es-CR"/>
        </w:rPr>
      </w:pPr>
    </w:p>
    <w:p w14:paraId="1EB9D4A8" w14:textId="2E0BFE58" w:rsidR="000A347B" w:rsidRPr="00CF1787" w:rsidRDefault="00992F66" w:rsidP="007D0D64">
      <w:pPr>
        <w:pStyle w:val="NoSpacing"/>
        <w:numPr>
          <w:ilvl w:val="0"/>
          <w:numId w:val="5"/>
        </w:numPr>
        <w:tabs>
          <w:tab w:val="left" w:pos="567"/>
        </w:tabs>
        <w:ind w:left="0" w:firstLine="0"/>
        <w:rPr>
          <w:b/>
          <w:color w:val="FF0000"/>
          <w:szCs w:val="20"/>
          <w:lang w:val="es-CR"/>
        </w:rPr>
      </w:pPr>
      <w:r w:rsidRPr="00CF1787">
        <w:rPr>
          <w:szCs w:val="20"/>
          <w:lang w:val="es-CR"/>
        </w:rPr>
        <w:t>Sin perjuicio de lo anterior, la Corte recuerda que la obligación de investigar una posible violación al derecho a la vida</w:t>
      </w:r>
      <w:r w:rsidRPr="00CF1787">
        <w:rPr>
          <w:szCs w:val="20"/>
          <w:lang w:val="es-CL"/>
        </w:rPr>
        <w:t xml:space="preserve"> constituye</w:t>
      </w:r>
      <w:r w:rsidRPr="00CF1787">
        <w:rPr>
          <w:szCs w:val="20"/>
          <w:lang w:val="es-ES_tradnl"/>
        </w:rPr>
        <w:t xml:space="preserve"> un elemento fundamental y condicionante para la protección del derecho a la vida que se ve anulado en esas situaciones</w:t>
      </w:r>
      <w:r w:rsidR="008F7DF2" w:rsidRPr="00CF1787">
        <w:rPr>
          <w:szCs w:val="20"/>
          <w:lang w:val="es-ES_tradnl"/>
        </w:rPr>
        <w:t xml:space="preserve"> (</w:t>
      </w:r>
      <w:r w:rsidR="008F7DF2" w:rsidRPr="00CF1787">
        <w:rPr>
          <w:i/>
          <w:szCs w:val="20"/>
          <w:lang w:val="es-ES_tradnl"/>
        </w:rPr>
        <w:t xml:space="preserve">supra </w:t>
      </w:r>
      <w:r w:rsidR="008F7DF2" w:rsidRPr="00CF1787">
        <w:rPr>
          <w:szCs w:val="20"/>
          <w:lang w:val="es-ES_tradnl"/>
        </w:rPr>
        <w:t>párr.</w:t>
      </w:r>
      <w:r w:rsidR="002A52F8" w:rsidRPr="00CF1787">
        <w:rPr>
          <w:szCs w:val="20"/>
          <w:lang w:val="es-ES_tradnl"/>
        </w:rPr>
        <w:t xml:space="preserve"> </w:t>
      </w:r>
      <w:r w:rsidR="002A52F8" w:rsidRPr="00CF1787">
        <w:rPr>
          <w:szCs w:val="20"/>
          <w:lang w:val="es-ES_tradnl"/>
        </w:rPr>
        <w:fldChar w:fldCharType="begin"/>
      </w:r>
      <w:r w:rsidR="002A52F8" w:rsidRPr="00CF1787">
        <w:rPr>
          <w:szCs w:val="20"/>
          <w:lang w:val="es-ES_tradnl"/>
        </w:rPr>
        <w:instrText xml:space="preserve"> REF _Ref470093204 \r \h </w:instrText>
      </w:r>
      <w:r w:rsidR="00CF1787">
        <w:rPr>
          <w:szCs w:val="20"/>
          <w:lang w:val="es-ES_tradnl"/>
        </w:rPr>
        <w:instrText xml:space="preserve"> \* MERGEFORMAT </w:instrText>
      </w:r>
      <w:r w:rsidR="002A52F8" w:rsidRPr="00CF1787">
        <w:rPr>
          <w:szCs w:val="20"/>
          <w:lang w:val="es-ES_tradnl"/>
        </w:rPr>
      </w:r>
      <w:r w:rsidR="002A52F8" w:rsidRPr="00CF1787">
        <w:rPr>
          <w:szCs w:val="20"/>
          <w:lang w:val="es-ES_tradnl"/>
        </w:rPr>
        <w:fldChar w:fldCharType="separate"/>
      </w:r>
      <w:r w:rsidR="00536893">
        <w:rPr>
          <w:szCs w:val="20"/>
          <w:lang w:val="es-ES_tradnl"/>
        </w:rPr>
        <w:t>131</w:t>
      </w:r>
      <w:r w:rsidR="002A52F8" w:rsidRPr="00CF1787">
        <w:rPr>
          <w:szCs w:val="20"/>
          <w:lang w:val="es-ES_tradnl"/>
        </w:rPr>
        <w:fldChar w:fldCharType="end"/>
      </w:r>
      <w:r w:rsidR="008F7DF2" w:rsidRPr="00CF1787">
        <w:rPr>
          <w:szCs w:val="20"/>
          <w:lang w:val="es-ES_tradnl"/>
        </w:rPr>
        <w:t>)</w:t>
      </w:r>
      <w:r w:rsidRPr="00CF1787">
        <w:rPr>
          <w:szCs w:val="20"/>
          <w:lang w:val="es-ES_tradnl"/>
        </w:rPr>
        <w:t xml:space="preserve">. </w:t>
      </w:r>
    </w:p>
    <w:p w14:paraId="5A1FF8BD" w14:textId="77777777" w:rsidR="000A347B" w:rsidRPr="00CF1787" w:rsidRDefault="000A347B" w:rsidP="000A347B">
      <w:pPr>
        <w:pStyle w:val="NoSpacing"/>
        <w:tabs>
          <w:tab w:val="left" w:pos="567"/>
        </w:tabs>
        <w:rPr>
          <w:b/>
          <w:color w:val="FF0000"/>
          <w:szCs w:val="20"/>
          <w:lang w:val="es-CR"/>
        </w:rPr>
      </w:pPr>
    </w:p>
    <w:p w14:paraId="17963DFC" w14:textId="4DC41320" w:rsidR="00992F66" w:rsidRPr="00CF1787" w:rsidRDefault="00992F66" w:rsidP="007D0D64">
      <w:pPr>
        <w:pStyle w:val="NoSpacing"/>
        <w:numPr>
          <w:ilvl w:val="0"/>
          <w:numId w:val="5"/>
        </w:numPr>
        <w:tabs>
          <w:tab w:val="left" w:pos="567"/>
        </w:tabs>
        <w:ind w:left="0" w:firstLine="0"/>
        <w:rPr>
          <w:b/>
          <w:color w:val="FF0000"/>
          <w:szCs w:val="20"/>
          <w:lang w:val="es-CR"/>
        </w:rPr>
      </w:pPr>
      <w:r w:rsidRPr="00CF1787">
        <w:rPr>
          <w:szCs w:val="20"/>
          <w:lang w:val="es-ES_tradnl"/>
        </w:rPr>
        <w:t xml:space="preserve">En sentido similar, </w:t>
      </w:r>
      <w:r w:rsidRPr="00CF1787">
        <w:rPr>
          <w:szCs w:val="20"/>
        </w:rPr>
        <w:t>el Tribunal Europeo de Derechos Humanos ha indicado que el derecho a la vida no solo obliga al Estado a abstenerse de tomar la vida de una persona de manera intencional e ilícit</w:t>
      </w:r>
      <w:r w:rsidR="00B8162A" w:rsidRPr="00CF1787">
        <w:rPr>
          <w:szCs w:val="20"/>
        </w:rPr>
        <w:t>a</w:t>
      </w:r>
      <w:r w:rsidRPr="00CF1787">
        <w:rPr>
          <w:szCs w:val="20"/>
        </w:rPr>
        <w:t>, sino también a adoptar las medidas necesarias para proteger las vidas de quienes se hallen bajo su jurisdicción</w:t>
      </w:r>
      <w:r w:rsidRPr="00CF1787">
        <w:rPr>
          <w:rStyle w:val="FootnoteReference"/>
          <w:sz w:val="20"/>
          <w:szCs w:val="20"/>
        </w:rPr>
        <w:footnoteReference w:id="167"/>
      </w:r>
      <w:r w:rsidR="00CD32FD" w:rsidRPr="00CF1787">
        <w:rPr>
          <w:szCs w:val="20"/>
        </w:rPr>
        <w:t xml:space="preserve">. </w:t>
      </w:r>
      <w:r w:rsidRPr="00CF1787">
        <w:rPr>
          <w:szCs w:val="20"/>
        </w:rPr>
        <w:t xml:space="preserve">Conforme a su jurisprudencia, la obligación de garantizar el derecho a la vida, así como explicar su pérdida, requiere implícitamente una investigación efectiva cuando </w:t>
      </w:r>
      <w:r w:rsidR="00056A53" w:rsidRPr="00CF1787">
        <w:rPr>
          <w:szCs w:val="20"/>
        </w:rPr>
        <w:t xml:space="preserve">existan </w:t>
      </w:r>
      <w:r w:rsidRPr="00CF1787">
        <w:rPr>
          <w:szCs w:val="20"/>
        </w:rPr>
        <w:t>motivos para creer que un individuo padeció lesiones que ponen su vida en peligro en circunstancias sospechosas</w:t>
      </w:r>
      <w:r w:rsidRPr="00CF1787">
        <w:rPr>
          <w:rStyle w:val="FootnoteReference"/>
          <w:sz w:val="20"/>
          <w:szCs w:val="20"/>
        </w:rPr>
        <w:footnoteReference w:id="168"/>
      </w:r>
      <w:r w:rsidRPr="00CF1787">
        <w:rPr>
          <w:szCs w:val="20"/>
        </w:rPr>
        <w:t>. Además, ha especificado que</w:t>
      </w:r>
      <w:r w:rsidRPr="00CF1787">
        <w:t>:</w:t>
      </w:r>
    </w:p>
    <w:p w14:paraId="79D49F6C" w14:textId="77777777" w:rsidR="00992F66" w:rsidRPr="00CF1787" w:rsidRDefault="00992F66" w:rsidP="00992F66"/>
    <w:p w14:paraId="6CF4D8E2" w14:textId="3D7D3D40" w:rsidR="00992F66" w:rsidRPr="00CF1787" w:rsidRDefault="00CD32FD" w:rsidP="00992F66">
      <w:pPr>
        <w:spacing w:line="100" w:lineRule="atLeast"/>
        <w:ind w:left="567" w:right="567"/>
        <w:rPr>
          <w:sz w:val="18"/>
          <w:szCs w:val="18"/>
        </w:rPr>
      </w:pPr>
      <w:r w:rsidRPr="00CF1787">
        <w:rPr>
          <w:sz w:val="18"/>
          <w:szCs w:val="18"/>
        </w:rPr>
        <w:t>c</w:t>
      </w:r>
      <w:r w:rsidR="00992F66" w:rsidRPr="00CF1787">
        <w:rPr>
          <w:sz w:val="18"/>
          <w:szCs w:val="18"/>
        </w:rPr>
        <w:t xml:space="preserve">uando se </w:t>
      </w:r>
      <w:r w:rsidR="00056A53" w:rsidRPr="00CF1787">
        <w:rPr>
          <w:sz w:val="18"/>
          <w:szCs w:val="18"/>
        </w:rPr>
        <w:t xml:space="preserve">hayan </w:t>
      </w:r>
      <w:r w:rsidR="00992F66" w:rsidRPr="00CF1787">
        <w:rPr>
          <w:sz w:val="18"/>
          <w:szCs w:val="18"/>
        </w:rPr>
        <w:t xml:space="preserve">perdido vidas bajo circunstancias que potencialmente comprometen la responsabilidad del Estado, el artículo 2 [del Convenio Europeo de Derechos Humanos, que consagra el derecho a la vida] entraña el deber del Estado de asegurar, por todos los medios disponibles, una respuesta adecuada – judicial o de otra índole - para que el marco legislativo o administrativo establecido para la protección del derecho a la vida sea debidamente implementado y todas </w:t>
      </w:r>
      <w:r w:rsidR="00056A53" w:rsidRPr="00CF1787">
        <w:rPr>
          <w:sz w:val="18"/>
          <w:szCs w:val="18"/>
        </w:rPr>
        <w:t xml:space="preserve">las </w:t>
      </w:r>
      <w:r w:rsidR="00992F66" w:rsidRPr="00CF1787">
        <w:rPr>
          <w:sz w:val="18"/>
          <w:szCs w:val="18"/>
        </w:rPr>
        <w:t xml:space="preserve">violaciones de este derecho sean </w:t>
      </w:r>
      <w:r w:rsidR="00056A53" w:rsidRPr="00CF1787">
        <w:rPr>
          <w:sz w:val="18"/>
          <w:szCs w:val="18"/>
        </w:rPr>
        <w:t xml:space="preserve">reprimidas </w:t>
      </w:r>
      <w:r w:rsidR="00992F66" w:rsidRPr="00CF1787">
        <w:rPr>
          <w:sz w:val="18"/>
          <w:szCs w:val="18"/>
        </w:rPr>
        <w:t xml:space="preserve">y </w:t>
      </w:r>
      <w:r w:rsidR="00056A53" w:rsidRPr="00CF1787">
        <w:rPr>
          <w:sz w:val="18"/>
          <w:szCs w:val="18"/>
        </w:rPr>
        <w:t>sancionadas</w:t>
      </w:r>
      <w:r w:rsidR="00992F66" w:rsidRPr="00CF1787">
        <w:rPr>
          <w:rStyle w:val="FootnoteReference"/>
          <w:sz w:val="18"/>
          <w:szCs w:val="18"/>
        </w:rPr>
        <w:footnoteReference w:id="169"/>
      </w:r>
      <w:r w:rsidR="00992F66" w:rsidRPr="00CF1787">
        <w:rPr>
          <w:sz w:val="18"/>
          <w:szCs w:val="18"/>
        </w:rPr>
        <w:t>.</w:t>
      </w:r>
    </w:p>
    <w:p w14:paraId="0831509D" w14:textId="77777777" w:rsidR="000A347B" w:rsidRPr="00CF1787" w:rsidRDefault="000A347B" w:rsidP="00992F66">
      <w:pPr>
        <w:spacing w:line="100" w:lineRule="atLeast"/>
        <w:ind w:left="567" w:right="567"/>
        <w:rPr>
          <w:sz w:val="18"/>
          <w:szCs w:val="18"/>
        </w:rPr>
      </w:pPr>
    </w:p>
    <w:p w14:paraId="66EE49E9" w14:textId="61EEFF3F" w:rsidR="000A347B" w:rsidRPr="00CF1787" w:rsidRDefault="00992F66" w:rsidP="000A347B">
      <w:pPr>
        <w:pStyle w:val="PrrafodeSentencia"/>
        <w:numPr>
          <w:ilvl w:val="0"/>
          <w:numId w:val="5"/>
        </w:numPr>
        <w:ind w:left="0" w:firstLine="0"/>
      </w:pPr>
      <w:r w:rsidRPr="00CF1787">
        <w:t>Por consiguiente, la omisión del Estado en realizar una investigación independiente e imparcial de los hechos del presente caso, donde pudiese haber</w:t>
      </w:r>
      <w:r w:rsidR="002637FC" w:rsidRPr="00CF1787">
        <w:t>se</w:t>
      </w:r>
      <w:r w:rsidRPr="00CF1787">
        <w:t xml:space="preserve"> configurado una violación a la obligación de respeto del derecho a la vida, constituye, en sí misma, una violación a la obligación de garantizar el derecho a la vida del señor Valencia Hinojosa.</w:t>
      </w:r>
    </w:p>
    <w:p w14:paraId="5E96564B" w14:textId="77777777" w:rsidR="000A347B" w:rsidRPr="00CF1787" w:rsidRDefault="000A347B" w:rsidP="000A347B">
      <w:pPr>
        <w:rPr>
          <w:lang w:val="es-CR" w:eastAsia="es-MX"/>
        </w:rPr>
      </w:pPr>
    </w:p>
    <w:p w14:paraId="4879759B" w14:textId="5CAA81C3" w:rsidR="000A347B" w:rsidRPr="00CF1787" w:rsidRDefault="00992F66" w:rsidP="000A347B">
      <w:pPr>
        <w:pStyle w:val="PrrafodeSentencia"/>
        <w:numPr>
          <w:ilvl w:val="0"/>
          <w:numId w:val="5"/>
        </w:numPr>
        <w:ind w:left="0" w:firstLine="0"/>
        <w:rPr>
          <w:spacing w:val="-2"/>
          <w:szCs w:val="20"/>
        </w:rPr>
      </w:pPr>
      <w:r w:rsidRPr="00CF1787">
        <w:rPr>
          <w:spacing w:val="-2"/>
          <w:szCs w:val="20"/>
        </w:rPr>
        <w:t xml:space="preserve">Paralelamente, este Tribunal ha señalado que como parte de las obligaciones de prevenir razonablemente las </w:t>
      </w:r>
      <w:r w:rsidR="00056A53" w:rsidRPr="00CF1787">
        <w:rPr>
          <w:spacing w:val="-2"/>
          <w:szCs w:val="20"/>
        </w:rPr>
        <w:t xml:space="preserve">vulneraciones </w:t>
      </w:r>
      <w:r w:rsidRPr="00CF1787">
        <w:rPr>
          <w:spacing w:val="-2"/>
          <w:szCs w:val="20"/>
        </w:rPr>
        <w:t xml:space="preserve">al derecho a la vida se encuentra el </w:t>
      </w:r>
      <w:r w:rsidRPr="00CF1787">
        <w:rPr>
          <w:szCs w:val="20"/>
        </w:rPr>
        <w:t>deber del Estado de adecuar su legislación nacional y de “vigilar que sus cuerpos de seguridad, a quienes les está atribuido el uso de la fuerza legítima, respeten el derecho a la vida de quienes se encuentren bajo su jurisdicción”</w:t>
      </w:r>
      <w:r w:rsidRPr="00CF1787">
        <w:rPr>
          <w:rStyle w:val="FootnoteReference"/>
          <w:sz w:val="20"/>
          <w:szCs w:val="20"/>
        </w:rPr>
        <w:footnoteReference w:id="170"/>
      </w:r>
      <w:r w:rsidRPr="00CF1787">
        <w:rPr>
          <w:szCs w:val="20"/>
        </w:rPr>
        <w:t xml:space="preserve">. La legislación interna debe establecer pautas suficientemente claras para la </w:t>
      </w:r>
      <w:r w:rsidRPr="00CF1787">
        <w:rPr>
          <w:szCs w:val="20"/>
        </w:rPr>
        <w:lastRenderedPageBreak/>
        <w:t>utilización de fuerza letal y armas de fuego por parte de los agentes estatales</w:t>
      </w:r>
      <w:r w:rsidRPr="00CF1787">
        <w:rPr>
          <w:rStyle w:val="FootnoteReference"/>
          <w:sz w:val="20"/>
          <w:szCs w:val="20"/>
        </w:rPr>
        <w:footnoteReference w:id="171"/>
      </w:r>
      <w:r w:rsidRPr="00CF1787">
        <w:rPr>
          <w:szCs w:val="20"/>
        </w:rPr>
        <w:t xml:space="preserve">. En este sentido, el Estado debe ser claro al momento de demarcar las políticas internas tratándose del uso de la fuerza y buscar estrategias para implementar los Principios </w:t>
      </w:r>
      <w:r w:rsidR="00CA32FF" w:rsidRPr="00CF1787">
        <w:rPr>
          <w:szCs w:val="20"/>
        </w:rPr>
        <w:t xml:space="preserve">Básicos </w:t>
      </w:r>
      <w:r w:rsidRPr="00CF1787">
        <w:rPr>
          <w:szCs w:val="20"/>
        </w:rPr>
        <w:t xml:space="preserve">sobre empleo de la fuerza </w:t>
      </w:r>
      <w:r w:rsidR="00CA32FF" w:rsidRPr="00CF1787">
        <w:rPr>
          <w:szCs w:val="20"/>
        </w:rPr>
        <w:t xml:space="preserve">y armas de fuego para funcionarios encargados de hacer cumplir la ley </w:t>
      </w:r>
      <w:r w:rsidRPr="00CF1787">
        <w:rPr>
          <w:szCs w:val="20"/>
        </w:rPr>
        <w:t>y Código de conducta</w:t>
      </w:r>
      <w:r w:rsidR="00CA32FF" w:rsidRPr="00CF1787">
        <w:rPr>
          <w:szCs w:val="20"/>
        </w:rPr>
        <w:t xml:space="preserve"> para funcionarios encargados de hacer cumplir la ley</w:t>
      </w:r>
      <w:r w:rsidRPr="00CF1787">
        <w:rPr>
          <w:rStyle w:val="FootnoteReference"/>
          <w:sz w:val="20"/>
          <w:szCs w:val="20"/>
        </w:rPr>
        <w:footnoteReference w:id="172"/>
      </w:r>
      <w:r w:rsidRPr="00CF1787">
        <w:rPr>
          <w:szCs w:val="20"/>
        </w:rPr>
        <w:t xml:space="preserve">. </w:t>
      </w:r>
      <w:r w:rsidRPr="00CF1787">
        <w:rPr>
          <w:spacing w:val="-2"/>
          <w:szCs w:val="20"/>
        </w:rPr>
        <w:t>A su vez, el Estado debe realizar capacitaciones a sus agentes con la finalidad de que conozcan las disposiciones legales que permiten el uso de las armas de fuego y que tengan el entrenamiento adecuado para que en el evento en que deban decidir acerca de su uso posean los elementos de juicio para hacerlo</w:t>
      </w:r>
      <w:r w:rsidRPr="00CF1787">
        <w:rPr>
          <w:rStyle w:val="FootnoteReference"/>
          <w:spacing w:val="-2"/>
          <w:sz w:val="20"/>
          <w:szCs w:val="20"/>
        </w:rPr>
        <w:footnoteReference w:id="173"/>
      </w:r>
      <w:r w:rsidRPr="00CF1787">
        <w:rPr>
          <w:spacing w:val="-2"/>
          <w:szCs w:val="20"/>
        </w:rPr>
        <w:t xml:space="preserve">. </w:t>
      </w:r>
    </w:p>
    <w:p w14:paraId="76A18689" w14:textId="77777777" w:rsidR="000A347B" w:rsidRPr="00CF1787" w:rsidRDefault="000A347B" w:rsidP="000A347B">
      <w:pPr>
        <w:rPr>
          <w:lang w:val="es-CR" w:eastAsia="es-MX"/>
        </w:rPr>
      </w:pPr>
    </w:p>
    <w:p w14:paraId="2DB31DB2" w14:textId="1D293450" w:rsidR="000A347B" w:rsidRPr="00CF1787" w:rsidRDefault="00992F66" w:rsidP="000A347B">
      <w:pPr>
        <w:pStyle w:val="PrrafodeSentencia"/>
        <w:numPr>
          <w:ilvl w:val="0"/>
          <w:numId w:val="5"/>
        </w:numPr>
        <w:ind w:left="0" w:firstLine="0"/>
      </w:pPr>
      <w:r w:rsidRPr="00CF1787">
        <w:rPr>
          <w:spacing w:val="-2"/>
        </w:rPr>
        <w:t xml:space="preserve">La Corte constata que al momento de los hechos la legislación </w:t>
      </w:r>
      <w:r w:rsidR="00780DC5" w:rsidRPr="00CF1787">
        <w:rPr>
          <w:spacing w:val="-2"/>
        </w:rPr>
        <w:t xml:space="preserve">ecuatoriana </w:t>
      </w:r>
      <w:r w:rsidRPr="00CF1787">
        <w:rPr>
          <w:spacing w:val="-2"/>
        </w:rPr>
        <w:t>protegía el derecho a la vida</w:t>
      </w:r>
      <w:r w:rsidRPr="00CF1787">
        <w:rPr>
          <w:rStyle w:val="FootnoteReference"/>
          <w:spacing w:val="-2"/>
          <w:sz w:val="20"/>
          <w:szCs w:val="20"/>
        </w:rPr>
        <w:footnoteReference w:id="174"/>
      </w:r>
      <w:r w:rsidRPr="00CF1787">
        <w:rPr>
          <w:spacing w:val="-2"/>
        </w:rPr>
        <w:t>, y penalizaba el delito de homicidio cometido por policías</w:t>
      </w:r>
      <w:r w:rsidRPr="00CF1787">
        <w:rPr>
          <w:rStyle w:val="FootnoteReference"/>
          <w:spacing w:val="-2"/>
          <w:sz w:val="20"/>
          <w:szCs w:val="20"/>
        </w:rPr>
        <w:footnoteReference w:id="175"/>
      </w:r>
      <w:r w:rsidRPr="00CF1787">
        <w:rPr>
          <w:spacing w:val="-2"/>
        </w:rPr>
        <w:t>. No obstante, el perito Juan Pablo Albán explicó que “</w:t>
      </w:r>
      <w:r w:rsidRPr="00CF1787">
        <w:rPr>
          <w:spacing w:val="-2"/>
          <w:lang w:val="es-ES_tradnl"/>
        </w:rPr>
        <w:t xml:space="preserve">[n]o existían para la época de los hechos disposiciones constitucionales o legales que regularan la forma, tiempo y lugar del empleo de la fuerza por parte de la Policía Nacional. [… </w:t>
      </w:r>
      <w:proofErr w:type="gramStart"/>
      <w:r w:rsidRPr="00CF1787">
        <w:rPr>
          <w:spacing w:val="-2"/>
          <w:lang w:val="es-ES_tradnl"/>
        </w:rPr>
        <w:t>L]a</w:t>
      </w:r>
      <w:proofErr w:type="gramEnd"/>
      <w:r w:rsidRPr="00CF1787">
        <w:rPr>
          <w:spacing w:val="-2"/>
          <w:lang w:val="es-ES_tradnl"/>
        </w:rPr>
        <w:t xml:space="preserve"> Policía usaba la fuerza sin regulación específica de derecho interno, sin control administrativo y operacional por parte de las autoridades de la institución, sin control judicial sobre la legitimidad de dicho uso en episodios en que resultaran afectadas </w:t>
      </w:r>
      <w:r w:rsidRPr="00CF1787">
        <w:rPr>
          <w:spacing w:val="-2"/>
          <w:lang w:val="es-ES_tradnl"/>
        </w:rPr>
        <w:lastRenderedPageBreak/>
        <w:t>determinadas personas. De manera espontánea, aleatoria, arbitraria, ilegítima y excesiva”</w:t>
      </w:r>
      <w:r w:rsidRPr="00CF1787">
        <w:rPr>
          <w:rStyle w:val="FootnoteReference"/>
          <w:spacing w:val="-2"/>
          <w:sz w:val="20"/>
          <w:szCs w:val="20"/>
          <w:lang w:val="es-ES_tradnl"/>
        </w:rPr>
        <w:footnoteReference w:id="176"/>
      </w:r>
      <w:r w:rsidRPr="00CF1787">
        <w:rPr>
          <w:spacing w:val="-2"/>
          <w:lang w:val="es-ES_tradnl"/>
        </w:rPr>
        <w:t xml:space="preserve">. </w:t>
      </w:r>
      <w:r w:rsidRPr="00CF1787">
        <w:rPr>
          <w:spacing w:val="-2"/>
        </w:rPr>
        <w:t xml:space="preserve">Ecuador alegó que el uso de la fuerza se encontraba regulado por el Código de </w:t>
      </w:r>
      <w:r w:rsidR="00780DC5" w:rsidRPr="00CF1787">
        <w:rPr>
          <w:spacing w:val="-2"/>
        </w:rPr>
        <w:t>Ética Profesional de la Policía</w:t>
      </w:r>
      <w:r w:rsidRPr="00CF1787">
        <w:rPr>
          <w:spacing w:val="-2"/>
        </w:rPr>
        <w:t xml:space="preserve"> General (</w:t>
      </w:r>
      <w:r w:rsidRPr="00CF1787">
        <w:rPr>
          <w:i/>
          <w:spacing w:val="-2"/>
        </w:rPr>
        <w:t xml:space="preserve">supra </w:t>
      </w:r>
      <w:r w:rsidRPr="00CF1787">
        <w:rPr>
          <w:spacing w:val="-2"/>
        </w:rPr>
        <w:t xml:space="preserve">párr. </w:t>
      </w:r>
      <w:r w:rsidR="00BE27F6" w:rsidRPr="00CF1787">
        <w:rPr>
          <w:spacing w:val="-2"/>
        </w:rPr>
        <w:fldChar w:fldCharType="begin"/>
      </w:r>
      <w:r w:rsidR="00BE27F6" w:rsidRPr="00CF1787">
        <w:rPr>
          <w:spacing w:val="-2"/>
        </w:rPr>
        <w:instrText xml:space="preserve"> REF _Ref470005105 \r \h </w:instrText>
      </w:r>
      <w:r w:rsidR="00CF1787">
        <w:rPr>
          <w:spacing w:val="-2"/>
        </w:rPr>
        <w:instrText xml:space="preserve"> \* MERGEFORMAT </w:instrText>
      </w:r>
      <w:r w:rsidR="00BE27F6" w:rsidRPr="00CF1787">
        <w:rPr>
          <w:spacing w:val="-2"/>
        </w:rPr>
      </w:r>
      <w:r w:rsidR="00BE27F6" w:rsidRPr="00CF1787">
        <w:rPr>
          <w:spacing w:val="-2"/>
        </w:rPr>
        <w:fldChar w:fldCharType="separate"/>
      </w:r>
      <w:r w:rsidR="00536893">
        <w:rPr>
          <w:spacing w:val="-2"/>
        </w:rPr>
        <w:t>128</w:t>
      </w:r>
      <w:r w:rsidR="00BE27F6" w:rsidRPr="00CF1787">
        <w:rPr>
          <w:spacing w:val="-2"/>
        </w:rPr>
        <w:fldChar w:fldCharType="end"/>
      </w:r>
      <w:r w:rsidRPr="00CF1787">
        <w:rPr>
          <w:spacing w:val="-2"/>
        </w:rPr>
        <w:t>)</w:t>
      </w:r>
      <w:r w:rsidRPr="00CF1787">
        <w:rPr>
          <w:rStyle w:val="FootnoteReference"/>
          <w:spacing w:val="-2"/>
          <w:sz w:val="20"/>
          <w:szCs w:val="20"/>
        </w:rPr>
        <w:footnoteReference w:id="177"/>
      </w:r>
      <w:r w:rsidRPr="00CF1787">
        <w:rPr>
          <w:spacing w:val="-2"/>
        </w:rPr>
        <w:t>. No obstante, es jurisprudencia reiterada de esta Corte que el uso excepcional de la fuerza debe ser regulado por ley</w:t>
      </w:r>
      <w:r w:rsidRPr="00CF1787">
        <w:rPr>
          <w:rStyle w:val="FootnoteReference"/>
          <w:spacing w:val="-2"/>
          <w:sz w:val="20"/>
          <w:szCs w:val="20"/>
        </w:rPr>
        <w:footnoteReference w:id="178"/>
      </w:r>
      <w:r w:rsidRPr="00CF1787">
        <w:rPr>
          <w:spacing w:val="-2"/>
        </w:rPr>
        <w:t xml:space="preserve">. Por tanto, en la época de los hechos de este caso la legislación vigente no </w:t>
      </w:r>
      <w:r w:rsidRPr="00CF1787">
        <w:t>establecía los parámetros para el uso de la fuerza por parte de agentes del Estado</w:t>
      </w:r>
      <w:r w:rsidR="00BC74F3" w:rsidRPr="00CF1787">
        <w:t>,</w:t>
      </w:r>
      <w:r w:rsidR="006619D3" w:rsidRPr="00CF1787">
        <w:t xml:space="preserve"> por lo que</w:t>
      </w:r>
      <w:r w:rsidRPr="00CF1787">
        <w:t xml:space="preserve"> el Estado no adoptó las disposiciones de derecho interno necesarias para razonablemente proteger el derecho a la vida del señor Valencia Hinojosa. </w:t>
      </w:r>
      <w:bookmarkEnd w:id="472"/>
    </w:p>
    <w:p w14:paraId="4B870D1B" w14:textId="77777777" w:rsidR="000A347B" w:rsidRPr="00CF1787" w:rsidRDefault="000A347B" w:rsidP="000A347B">
      <w:pPr>
        <w:rPr>
          <w:lang w:val="es-CR" w:eastAsia="es-MX"/>
        </w:rPr>
      </w:pPr>
    </w:p>
    <w:p w14:paraId="170E9DAD" w14:textId="36CEFC60" w:rsidR="00172FDB" w:rsidRPr="00CF1787" w:rsidRDefault="00992F66" w:rsidP="007D0D64">
      <w:pPr>
        <w:pStyle w:val="PrrafodeSentencia"/>
        <w:numPr>
          <w:ilvl w:val="0"/>
          <w:numId w:val="5"/>
        </w:numPr>
        <w:ind w:left="0" w:firstLine="0"/>
        <w:rPr>
          <w:b/>
          <w:color w:val="FF0000"/>
        </w:rPr>
      </w:pPr>
      <w:bookmarkStart w:id="474" w:name="_Ref470005707"/>
      <w:r w:rsidRPr="00CF1787">
        <w:rPr>
          <w:lang w:val="es-ES"/>
        </w:rPr>
        <w:t xml:space="preserve">En virtud de las consideraciones anteriores, la </w:t>
      </w:r>
      <w:r w:rsidR="00BC74F3" w:rsidRPr="00CF1787">
        <w:rPr>
          <w:lang w:val="es-ES"/>
        </w:rPr>
        <w:t>Corte concluye que el Estado in</w:t>
      </w:r>
      <w:r w:rsidRPr="00CF1787">
        <w:rPr>
          <w:lang w:val="es-ES"/>
        </w:rPr>
        <w:t xml:space="preserve">cumplió su obligación de garantizar el derecho a la vida </w:t>
      </w:r>
      <w:r w:rsidR="00B948D9" w:rsidRPr="00CF1787">
        <w:rPr>
          <w:lang w:val="es-ES"/>
        </w:rPr>
        <w:t xml:space="preserve">del señor Valencia Hinojosa, </w:t>
      </w:r>
      <w:r w:rsidRPr="00CF1787">
        <w:rPr>
          <w:lang w:val="es-ES"/>
        </w:rPr>
        <w:t>mediante una investigación independi</w:t>
      </w:r>
      <w:r w:rsidR="00BC74F3" w:rsidRPr="00CF1787">
        <w:rPr>
          <w:lang w:val="es-ES"/>
        </w:rPr>
        <w:t xml:space="preserve">ente e imparcial de los hechos o </w:t>
      </w:r>
      <w:r w:rsidRPr="00CF1787">
        <w:rPr>
          <w:lang w:val="es-ES"/>
        </w:rPr>
        <w:t>una adecuada legisla</w:t>
      </w:r>
      <w:r w:rsidR="00A17384" w:rsidRPr="00CF1787">
        <w:rPr>
          <w:lang w:val="es-ES"/>
        </w:rPr>
        <w:t>ción sobre el uso de la fuerza</w:t>
      </w:r>
      <w:r w:rsidRPr="00CF1787">
        <w:rPr>
          <w:lang w:val="es-ES"/>
        </w:rPr>
        <w:t>, en contravención de su obligación de garantizar el derecho a la vida, consagrado en el artículo 4</w:t>
      </w:r>
      <w:r w:rsidR="009B7532" w:rsidRPr="00CF1787">
        <w:rPr>
          <w:lang w:val="es-ES"/>
        </w:rPr>
        <w:t>.1</w:t>
      </w:r>
      <w:r w:rsidRPr="00CF1787">
        <w:rPr>
          <w:lang w:val="es-ES"/>
        </w:rPr>
        <w:t xml:space="preserve"> de la Convención Americana</w:t>
      </w:r>
      <w:r w:rsidR="00A259DB" w:rsidRPr="00CF1787">
        <w:rPr>
          <w:lang w:val="es-ES"/>
        </w:rPr>
        <w:t>, en relación con el artículo</w:t>
      </w:r>
      <w:r w:rsidRPr="00CF1787">
        <w:rPr>
          <w:lang w:val="es-ES"/>
        </w:rPr>
        <w:t xml:space="preserve"> 1.1 del mismo instrumento.</w:t>
      </w:r>
      <w:bookmarkEnd w:id="474"/>
      <w:r w:rsidRPr="00CF1787">
        <w:rPr>
          <w:lang w:val="es-ES"/>
        </w:rPr>
        <w:t xml:space="preserve"> </w:t>
      </w:r>
    </w:p>
    <w:p w14:paraId="26C3B9A9" w14:textId="77777777" w:rsidR="00172FDB" w:rsidRPr="00CF1787" w:rsidRDefault="00172FDB" w:rsidP="00B27006">
      <w:pPr>
        <w:rPr>
          <w:spacing w:val="-4"/>
          <w:lang w:val="es-CR" w:eastAsia="es-MX"/>
        </w:rPr>
      </w:pPr>
    </w:p>
    <w:p w14:paraId="3DB64AA2" w14:textId="77777777" w:rsidR="00B27006" w:rsidRPr="00CF1787" w:rsidRDefault="00B27006" w:rsidP="00B27006">
      <w:pPr>
        <w:pStyle w:val="Heading1"/>
        <w:rPr>
          <w:spacing w:val="-4"/>
          <w:lang w:val="es-CR"/>
        </w:rPr>
      </w:pPr>
      <w:bookmarkStart w:id="475" w:name="_Toc434850452"/>
      <w:bookmarkStart w:id="476" w:name="_Toc465177394"/>
      <w:bookmarkStart w:id="477" w:name="_Toc470098069"/>
      <w:r w:rsidRPr="00CF1787">
        <w:rPr>
          <w:spacing w:val="-4"/>
          <w:lang w:val="es-CR"/>
        </w:rPr>
        <w:t>VII-</w:t>
      </w:r>
      <w:bookmarkEnd w:id="475"/>
      <w:r w:rsidRPr="00CF1787">
        <w:rPr>
          <w:spacing w:val="-4"/>
          <w:lang w:val="es-CR"/>
        </w:rPr>
        <w:t>3</w:t>
      </w:r>
      <w:bookmarkEnd w:id="476"/>
      <w:bookmarkEnd w:id="477"/>
    </w:p>
    <w:p w14:paraId="1559F236" w14:textId="3F881DAB" w:rsidR="00B27006" w:rsidRPr="00CF1787" w:rsidRDefault="00B27006" w:rsidP="00B27006">
      <w:pPr>
        <w:pStyle w:val="Heading1"/>
        <w:rPr>
          <w:spacing w:val="-4"/>
          <w:lang w:val="es-CR"/>
        </w:rPr>
      </w:pPr>
      <w:bookmarkStart w:id="478" w:name="_Toc395213507"/>
      <w:bookmarkStart w:id="479" w:name="_Toc396514864"/>
      <w:bookmarkStart w:id="480" w:name="_Toc396515156"/>
      <w:bookmarkStart w:id="481" w:name="_Toc402039457"/>
      <w:bookmarkStart w:id="482" w:name="_Toc403670719"/>
      <w:bookmarkStart w:id="483" w:name="_Toc403671455"/>
      <w:bookmarkStart w:id="484" w:name="_Toc424834050"/>
      <w:bookmarkStart w:id="485" w:name="_Toc424834734"/>
      <w:bookmarkStart w:id="486" w:name="_Toc424834780"/>
      <w:bookmarkStart w:id="487" w:name="_Toc427234572"/>
      <w:bookmarkStart w:id="488" w:name="_Toc427342858"/>
      <w:bookmarkStart w:id="489" w:name="_Toc427663846"/>
      <w:bookmarkStart w:id="490" w:name="_Toc427932820"/>
      <w:bookmarkStart w:id="491" w:name="_Toc427943787"/>
      <w:bookmarkStart w:id="492" w:name="_Toc431584664"/>
      <w:bookmarkStart w:id="493" w:name="_Toc431585086"/>
      <w:bookmarkStart w:id="494" w:name="_Toc431646603"/>
      <w:bookmarkStart w:id="495" w:name="_Toc431834682"/>
      <w:bookmarkStart w:id="496" w:name="_Toc308538207"/>
      <w:bookmarkStart w:id="497" w:name="_Toc434850453"/>
      <w:bookmarkStart w:id="498" w:name="_Toc461791350"/>
      <w:bookmarkStart w:id="499" w:name="_Toc461796032"/>
      <w:bookmarkStart w:id="500" w:name="_Toc462157428"/>
      <w:bookmarkStart w:id="501" w:name="_Toc462157924"/>
      <w:bookmarkStart w:id="502" w:name="_Toc462870016"/>
      <w:bookmarkStart w:id="503" w:name="_Toc462934268"/>
      <w:bookmarkStart w:id="504" w:name="_Toc465177395"/>
      <w:bookmarkStart w:id="505" w:name="_Toc465184295"/>
      <w:bookmarkStart w:id="506" w:name="_Toc467854829"/>
      <w:bookmarkStart w:id="507" w:name="_Toc468281946"/>
      <w:bookmarkStart w:id="508" w:name="_Toc470001237"/>
      <w:bookmarkStart w:id="509" w:name="_Toc470098070"/>
      <w:r w:rsidRPr="00CF1787">
        <w:rPr>
          <w:spacing w:val="-4"/>
          <w:lang w:val="es-CR"/>
        </w:rPr>
        <w:t>DERECHO A LA INTEGRIDAD PERSONA</w:t>
      </w:r>
      <w:r w:rsidRPr="00CF1787">
        <w:rPr>
          <w:spacing w:val="-4"/>
          <w:szCs w:val="20"/>
          <w:lang w:val="es-CR"/>
        </w:rPr>
        <w:t>L</w:t>
      </w:r>
      <w:r w:rsidR="00FC408F" w:rsidRPr="00CF1787">
        <w:rPr>
          <w:rStyle w:val="FootnoteReference"/>
          <w:spacing w:val="-4"/>
          <w:sz w:val="20"/>
          <w:szCs w:val="20"/>
          <w:lang w:val="es-CR"/>
        </w:rPr>
        <w:footnoteReference w:id="179"/>
      </w:r>
      <w:r w:rsidRPr="00CF1787">
        <w:rPr>
          <w:spacing w:val="-4"/>
          <w:szCs w:val="20"/>
          <w:lang w:val="es-CR"/>
        </w:rPr>
        <w:t>,</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CF1787">
        <w:rPr>
          <w:spacing w:val="-4"/>
          <w:lang w:val="es-CR"/>
        </w:rPr>
        <w:t xml:space="preserve"> EN RELACIÓN CON LA OBLIGACIÓN DE RESPETAR Y GARANTIZAR LOS DERECHOS</w:t>
      </w:r>
      <w:bookmarkEnd w:id="498"/>
      <w:bookmarkEnd w:id="499"/>
      <w:bookmarkEnd w:id="500"/>
      <w:bookmarkEnd w:id="501"/>
      <w:bookmarkEnd w:id="502"/>
      <w:bookmarkEnd w:id="503"/>
      <w:bookmarkEnd w:id="504"/>
      <w:bookmarkEnd w:id="505"/>
      <w:bookmarkEnd w:id="506"/>
      <w:bookmarkEnd w:id="507"/>
      <w:bookmarkEnd w:id="508"/>
      <w:bookmarkEnd w:id="509"/>
      <w:r w:rsidRPr="00CF1787">
        <w:rPr>
          <w:spacing w:val="-4"/>
          <w:lang w:val="es-CR"/>
        </w:rPr>
        <w:t xml:space="preserve"> </w:t>
      </w:r>
      <w:bookmarkStart w:id="510" w:name="_Ref375137748"/>
    </w:p>
    <w:p w14:paraId="36ADAE6D" w14:textId="77777777" w:rsidR="00B27006" w:rsidRPr="00CF1787" w:rsidRDefault="00B27006" w:rsidP="00B27006">
      <w:pPr>
        <w:pStyle w:val="ListParagraph"/>
        <w:numPr>
          <w:ilvl w:val="0"/>
          <w:numId w:val="0"/>
        </w:numPr>
        <w:rPr>
          <w:b/>
          <w:lang w:val="es-CR"/>
        </w:rPr>
      </w:pPr>
    </w:p>
    <w:p w14:paraId="400956E7" w14:textId="0F920CEF" w:rsidR="00B27006" w:rsidRPr="00CF1787" w:rsidRDefault="00B27006" w:rsidP="00B27006">
      <w:pPr>
        <w:pStyle w:val="Heading2"/>
        <w:numPr>
          <w:ilvl w:val="0"/>
          <w:numId w:val="22"/>
        </w:numPr>
        <w:rPr>
          <w:lang w:val="es-CR"/>
        </w:rPr>
      </w:pPr>
      <w:bookmarkStart w:id="511" w:name="_Toc424834735"/>
      <w:bookmarkStart w:id="512" w:name="_Toc427932821"/>
      <w:bookmarkStart w:id="513" w:name="_Toc431584665"/>
      <w:bookmarkStart w:id="514" w:name="_Toc434850454"/>
      <w:bookmarkStart w:id="515" w:name="_Toc465177396"/>
      <w:bookmarkStart w:id="516" w:name="_Toc470098071"/>
      <w:r w:rsidRPr="00CF1787">
        <w:rPr>
          <w:lang w:val="es-CR"/>
        </w:rPr>
        <w:t xml:space="preserve">Alegatos de </w:t>
      </w:r>
      <w:r w:rsidR="0020273C" w:rsidRPr="00CF1787">
        <w:rPr>
          <w:lang w:val="es-CR"/>
        </w:rPr>
        <w:t xml:space="preserve">las partes y de </w:t>
      </w:r>
      <w:r w:rsidRPr="00CF1787">
        <w:rPr>
          <w:lang w:val="es-CR"/>
        </w:rPr>
        <w:t>la Comisión</w:t>
      </w:r>
      <w:bookmarkEnd w:id="511"/>
      <w:bookmarkEnd w:id="512"/>
      <w:bookmarkEnd w:id="513"/>
      <w:bookmarkEnd w:id="514"/>
      <w:bookmarkEnd w:id="515"/>
      <w:bookmarkEnd w:id="516"/>
    </w:p>
    <w:bookmarkEnd w:id="510"/>
    <w:p w14:paraId="4157A473" w14:textId="77777777" w:rsidR="00B27006" w:rsidRPr="00CF1787" w:rsidRDefault="00B27006" w:rsidP="00A24F66">
      <w:pPr>
        <w:pStyle w:val="NoSpacing"/>
        <w:tabs>
          <w:tab w:val="left" w:pos="567"/>
        </w:tabs>
        <w:rPr>
          <w:lang w:val="es-CR"/>
        </w:rPr>
      </w:pPr>
    </w:p>
    <w:p w14:paraId="3855E1C9" w14:textId="521BFA57" w:rsidR="00623450" w:rsidRPr="00CF1787" w:rsidRDefault="00623450" w:rsidP="00623450">
      <w:pPr>
        <w:pStyle w:val="PrrafodeSentencia"/>
        <w:numPr>
          <w:ilvl w:val="0"/>
          <w:numId w:val="5"/>
        </w:numPr>
        <w:ind w:left="0" w:firstLine="0"/>
      </w:pPr>
      <w:bookmarkStart w:id="517" w:name="_Ref467781407"/>
      <w:r w:rsidRPr="00CF1787">
        <w:t>La</w:t>
      </w:r>
      <w:r w:rsidRPr="00CF1787">
        <w:rPr>
          <w:b/>
          <w:i/>
        </w:rPr>
        <w:t xml:space="preserve"> Comisión</w:t>
      </w:r>
      <w:r w:rsidRPr="00CF1787">
        <w:rPr>
          <w:b/>
        </w:rPr>
        <w:t xml:space="preserve"> </w:t>
      </w:r>
      <w:r w:rsidRPr="00CF1787">
        <w:t xml:space="preserve">señaló que “la pérdida de un ser querido en un contexto como el descrito en el presente caso, así como la ausencia de una investigación completa y efectiva que a su vez ocasiona sufrimiento y angustia de no conocer la verdad, constituye ya en sí misma una afectación a la integridad psíquica y moral de los familiares del señor Luis Jorge Valencia Hinojosa”. Además alegó, que a lo anterior se suma el “amedrentamiento que de acuerdo a la señora Patricia Trujillo Esparza sufrió cuando los policías del operativo irrumpieron a su casa indicándole que su esposo ‘se muere porque se muere’”. </w:t>
      </w:r>
      <w:bookmarkEnd w:id="517"/>
    </w:p>
    <w:p w14:paraId="51C3BACE" w14:textId="77777777" w:rsidR="00623450" w:rsidRPr="00CF1787" w:rsidRDefault="00623450" w:rsidP="00623450">
      <w:pPr>
        <w:pStyle w:val="PrrafodeSentencia"/>
        <w:numPr>
          <w:ilvl w:val="0"/>
          <w:numId w:val="0"/>
        </w:numPr>
      </w:pPr>
    </w:p>
    <w:p w14:paraId="5CE2420F" w14:textId="1AF26712" w:rsidR="00623450" w:rsidRPr="00CF1787" w:rsidRDefault="00623450" w:rsidP="00623450">
      <w:pPr>
        <w:pStyle w:val="PrrafodeSentencia"/>
        <w:numPr>
          <w:ilvl w:val="0"/>
          <w:numId w:val="5"/>
        </w:numPr>
        <w:tabs>
          <w:tab w:val="num" w:pos="12305"/>
        </w:tabs>
        <w:ind w:left="0" w:firstLine="0"/>
      </w:pPr>
      <w:r w:rsidRPr="00CF1787">
        <w:t xml:space="preserve">Los </w:t>
      </w:r>
      <w:r w:rsidRPr="00CF1787">
        <w:rPr>
          <w:b/>
          <w:i/>
        </w:rPr>
        <w:t>representantes</w:t>
      </w:r>
      <w:r w:rsidRPr="00CF1787">
        <w:t xml:space="preserve"> alegaron que lo ocurrido el 3 de diciembre de 1992 marcó la vida de la señora Trujillo Esparza, quien quedó con la memoria de las amenazas proferidas por los policías que entraron a su casa en la bú</w:t>
      </w:r>
      <w:r w:rsidR="009B7532" w:rsidRPr="00CF1787">
        <w:t>squeda de su esposo, así como la</w:t>
      </w:r>
      <w:r w:rsidRPr="00CF1787">
        <w:t xml:space="preserve"> últim</w:t>
      </w:r>
      <w:r w:rsidR="009B7532" w:rsidRPr="00CF1787">
        <w:t>a</w:t>
      </w:r>
      <w:r w:rsidRPr="00CF1787">
        <w:t xml:space="preserve"> imagen de su marido “tirado en el piso alrededor en un charco de sangre”. Además, manifestaron que durante el primer </w:t>
      </w:r>
      <w:r w:rsidRPr="00CF1787">
        <w:lastRenderedPageBreak/>
        <w:t>año de la muerte del señor Valencia, “tuvo crisis severas</w:t>
      </w:r>
      <w:r w:rsidR="009B7532" w:rsidRPr="00CF1787">
        <w:t>”</w:t>
      </w:r>
      <w:r w:rsidRPr="00CF1787">
        <w:t>. Señalaron que “nunca pudo llevar una vida social y laboral en forma normal</w:t>
      </w:r>
      <w:r w:rsidR="009B7532" w:rsidRPr="00CF1787">
        <w:t>”</w:t>
      </w:r>
      <w:r w:rsidRPr="00CF1787">
        <w:t xml:space="preserve">. Asimismo, afirmaron que lo sucedido tuvo un impacto grave </w:t>
      </w:r>
      <w:r w:rsidR="009B7532" w:rsidRPr="00CF1787">
        <w:t xml:space="preserve">en </w:t>
      </w:r>
      <w:r w:rsidRPr="00CF1787">
        <w:t xml:space="preserve">su vida familiar, porque “debió dejar a </w:t>
      </w:r>
      <w:r w:rsidR="009B7532" w:rsidRPr="00CF1787">
        <w:t xml:space="preserve">[su] </w:t>
      </w:r>
      <w:r w:rsidRPr="00CF1787">
        <w:t xml:space="preserve">niña al cuidado de los abuelos para poder dedicarse a trabajar para buscar el sustento [de la familia] [a fin de] conseguir recursos para que se </w:t>
      </w:r>
      <w:proofErr w:type="spellStart"/>
      <w:proofErr w:type="gramStart"/>
      <w:r w:rsidRPr="00CF1787">
        <w:t>investig</w:t>
      </w:r>
      <w:proofErr w:type="spellEnd"/>
      <w:r w:rsidRPr="00CF1787">
        <w:t>[</w:t>
      </w:r>
      <w:proofErr w:type="gramEnd"/>
      <w:r w:rsidRPr="00CF1787">
        <w:t xml:space="preserve">ara] la muerte de su marido”. </w:t>
      </w:r>
    </w:p>
    <w:p w14:paraId="6F0D0F64" w14:textId="77777777" w:rsidR="00623450" w:rsidRPr="00CF1787" w:rsidRDefault="00623450" w:rsidP="00623450">
      <w:pPr>
        <w:pStyle w:val="PrrafodeSentencia"/>
        <w:numPr>
          <w:ilvl w:val="0"/>
          <w:numId w:val="0"/>
        </w:numPr>
      </w:pPr>
    </w:p>
    <w:p w14:paraId="3C9F5238" w14:textId="6068EA7D" w:rsidR="00B27006" w:rsidRPr="00CF1787" w:rsidRDefault="00623450" w:rsidP="00623450">
      <w:pPr>
        <w:pStyle w:val="PrrafodeSentencia"/>
        <w:numPr>
          <w:ilvl w:val="0"/>
          <w:numId w:val="5"/>
        </w:numPr>
        <w:tabs>
          <w:tab w:val="num" w:pos="12305"/>
        </w:tabs>
        <w:ind w:left="0" w:firstLine="0"/>
      </w:pPr>
      <w:r w:rsidRPr="00CF1787">
        <w:t xml:space="preserve">El </w:t>
      </w:r>
      <w:r w:rsidRPr="00CF1787">
        <w:rPr>
          <w:b/>
          <w:i/>
        </w:rPr>
        <w:t>Estado</w:t>
      </w:r>
      <w:r w:rsidRPr="00CF1787">
        <w:t xml:space="preserve"> alegó no ser responsable de una vulneración a la integridad personal de Patricia Trujillo Esparza. Afirmó que aunque considera la situación de la cónyuge del señor Valencia </w:t>
      </w:r>
      <w:r w:rsidR="009B7532" w:rsidRPr="00CF1787">
        <w:t xml:space="preserve">Hinojosa </w:t>
      </w:r>
      <w:r w:rsidRPr="00CF1787">
        <w:t xml:space="preserve">“como compleja y dolorosa”, ello no fue agravado por la actuación del Estado, “toda vez que se demostró que sus agentes no participaron en el cometimiento de delito alguno [y] una vez conocido el suceso […] el Estado inició las diligencias investigativas necesarias para esclarecer los hechos del caso”. Además, alegó que “no existió ninguna obstrucción a los esfuerzos de la [señora Trujillo] por conocer la verdad de los hechos, ni tampoco se interpusieron obstáculos de ninguna naturaleza por parte de las autoridades públicas a las diligencias investigativas practicadas”. Afirmó que, por el contrario, “a través de los órganos jurisdiccionales competentes se llevaron a cabo todas las diligencias debidas para que el proceso penal </w:t>
      </w:r>
      <w:proofErr w:type="spellStart"/>
      <w:proofErr w:type="gramStart"/>
      <w:r w:rsidRPr="00CF1787">
        <w:t>lleg</w:t>
      </w:r>
      <w:proofErr w:type="spellEnd"/>
      <w:r w:rsidRPr="00CF1787">
        <w:t>[</w:t>
      </w:r>
      <w:proofErr w:type="gramEnd"/>
      <w:r w:rsidRPr="00CF1787">
        <w:t xml:space="preserve">ara] a un resultado eficaz y no se </w:t>
      </w:r>
      <w:proofErr w:type="spellStart"/>
      <w:r w:rsidRPr="00CF1787">
        <w:t>gener</w:t>
      </w:r>
      <w:proofErr w:type="spellEnd"/>
      <w:r w:rsidRPr="00CF1787">
        <w:t>[aran] en los familiares de la presunta víctima sensaciones de inseguridad o frustración derivados de un proceso penal inefectivo”. Asimismo,</w:t>
      </w:r>
      <w:r w:rsidRPr="00CF1787">
        <w:rPr>
          <w:b/>
        </w:rPr>
        <w:t xml:space="preserve"> </w:t>
      </w:r>
      <w:r w:rsidRPr="00CF1787">
        <w:t xml:space="preserve">señaló que a pesar de lo sucedido “la señora Trujillo desarrolló su vida de manera normal, </w:t>
      </w:r>
      <w:proofErr w:type="spellStart"/>
      <w:proofErr w:type="gramStart"/>
      <w:r w:rsidRPr="00CF1787">
        <w:t>continu</w:t>
      </w:r>
      <w:proofErr w:type="spellEnd"/>
      <w:r w:rsidRPr="00CF1787">
        <w:t>[</w:t>
      </w:r>
      <w:proofErr w:type="gramEnd"/>
      <w:r w:rsidRPr="00CF1787">
        <w:t xml:space="preserve">ando] sus estudios […] obteniendo dos carreras universitarias [y] </w:t>
      </w:r>
      <w:proofErr w:type="spellStart"/>
      <w:r w:rsidRPr="00CF1787">
        <w:t>conform</w:t>
      </w:r>
      <w:proofErr w:type="spellEnd"/>
      <w:r w:rsidRPr="00CF1787">
        <w:t xml:space="preserve">[ando] una nueva relación sentimental”. </w:t>
      </w:r>
      <w:r w:rsidR="00E84846" w:rsidRPr="00CF1787">
        <w:rPr>
          <w:b/>
        </w:rPr>
        <w:t xml:space="preserve"> </w:t>
      </w:r>
      <w:r w:rsidR="00B27006" w:rsidRPr="00CF1787">
        <w:rPr>
          <w:b/>
        </w:rPr>
        <w:t xml:space="preserve"> </w:t>
      </w:r>
    </w:p>
    <w:p w14:paraId="47220483" w14:textId="77777777" w:rsidR="002739BC" w:rsidRPr="00CF1787" w:rsidRDefault="002739BC" w:rsidP="002739BC">
      <w:pPr>
        <w:pStyle w:val="NoSpacing"/>
        <w:tabs>
          <w:tab w:val="left" w:pos="567"/>
        </w:tabs>
        <w:rPr>
          <w:lang w:val="es-CR"/>
        </w:rPr>
      </w:pPr>
    </w:p>
    <w:p w14:paraId="7F13EB14" w14:textId="77777777" w:rsidR="002739BC" w:rsidRPr="00CF1787" w:rsidRDefault="002739BC" w:rsidP="002739BC">
      <w:pPr>
        <w:pStyle w:val="Heading2"/>
        <w:rPr>
          <w:lang w:val="es-CR"/>
        </w:rPr>
      </w:pPr>
      <w:bookmarkStart w:id="518" w:name="_Toc424834736"/>
      <w:bookmarkStart w:id="519" w:name="_Toc427932822"/>
      <w:bookmarkStart w:id="520" w:name="_Toc431584666"/>
      <w:bookmarkStart w:id="521" w:name="_Toc434850455"/>
      <w:bookmarkStart w:id="522" w:name="_Toc465177397"/>
      <w:bookmarkStart w:id="523" w:name="_Toc470098072"/>
      <w:r w:rsidRPr="00CF1787">
        <w:rPr>
          <w:lang w:val="es-CR"/>
        </w:rPr>
        <w:t>Consideraciones de la Corte</w:t>
      </w:r>
      <w:bookmarkEnd w:id="518"/>
      <w:bookmarkEnd w:id="519"/>
      <w:bookmarkEnd w:id="520"/>
      <w:bookmarkEnd w:id="521"/>
      <w:bookmarkEnd w:id="522"/>
      <w:bookmarkEnd w:id="523"/>
    </w:p>
    <w:p w14:paraId="3A2E6822" w14:textId="77777777" w:rsidR="002739BC" w:rsidRPr="00CF1787" w:rsidRDefault="002739BC" w:rsidP="002739BC">
      <w:pPr>
        <w:pStyle w:val="NoSpacing"/>
        <w:tabs>
          <w:tab w:val="left" w:pos="567"/>
        </w:tabs>
        <w:rPr>
          <w:lang w:val="es-CR"/>
        </w:rPr>
      </w:pPr>
    </w:p>
    <w:p w14:paraId="117D4BDB" w14:textId="77777777" w:rsidR="00704A5B" w:rsidRPr="00CF1787" w:rsidRDefault="00704A5B" w:rsidP="00704A5B">
      <w:pPr>
        <w:pStyle w:val="NoSpacing"/>
        <w:numPr>
          <w:ilvl w:val="0"/>
          <w:numId w:val="5"/>
        </w:numPr>
        <w:tabs>
          <w:tab w:val="left" w:pos="567"/>
        </w:tabs>
        <w:ind w:left="0" w:firstLine="0"/>
        <w:rPr>
          <w:lang w:val="es-CR"/>
        </w:rPr>
      </w:pPr>
      <w:bookmarkStart w:id="524" w:name="_Ref462932771"/>
      <w:r w:rsidRPr="00CF1787">
        <w:rPr>
          <w:rFonts w:cs="Times"/>
          <w:lang w:val="es-CR"/>
        </w:rPr>
        <w:t>La Corte ha afirmado, en reiteradas oportunidades, que los familiares de las víctimas de violaciones de los derechos humanos pueden ser, a su vez, víctimas</w:t>
      </w:r>
      <w:r w:rsidRPr="00CF1787">
        <w:rPr>
          <w:rFonts w:cs="Times"/>
          <w:vertAlign w:val="superscript"/>
          <w:lang w:val="es-CR"/>
        </w:rPr>
        <w:footnoteReference w:id="180"/>
      </w:r>
      <w:r w:rsidRPr="00CF1787">
        <w:rPr>
          <w:rFonts w:cs="Times"/>
          <w:lang w:val="es-CR"/>
        </w:rPr>
        <w:t>. Este Tribunal ha considerado que se puede declarar violado el derecho a la integridad psíquica y moral de “familiares directos” de víctimas y de otras personas con vínculos estrechos con tales víctimas con motivo del sufrimiento adicional que estos han padecido como producto de las circunstancias particulares de las violaciones perpetradas contra sus seres queridos, y a causa de las posteriores actuaciones u omisiones de las autoridades estatales frente a estos hechos</w:t>
      </w:r>
      <w:r w:rsidRPr="00CF1787">
        <w:rPr>
          <w:rFonts w:cs="Times"/>
          <w:vertAlign w:val="superscript"/>
          <w:lang w:val="es-CR"/>
        </w:rPr>
        <w:footnoteReference w:id="181"/>
      </w:r>
      <w:r w:rsidRPr="00CF1787">
        <w:rPr>
          <w:rFonts w:cs="Times"/>
          <w:lang w:val="es-CR"/>
        </w:rPr>
        <w:t>, tomando en cuenta, entre otros, las gestiones realizadas para obtener justicia y la existencia de un estrecho vínculo familiar</w:t>
      </w:r>
      <w:r w:rsidRPr="00CF1787">
        <w:rPr>
          <w:rFonts w:cs="Times"/>
          <w:vertAlign w:val="superscript"/>
          <w:lang w:val="es-CR"/>
        </w:rPr>
        <w:footnoteReference w:id="182"/>
      </w:r>
      <w:r w:rsidRPr="00CF1787">
        <w:rPr>
          <w:rFonts w:cs="Times"/>
          <w:lang w:val="es-CR"/>
        </w:rPr>
        <w:t xml:space="preserve">. </w:t>
      </w:r>
    </w:p>
    <w:p w14:paraId="0ED3C649" w14:textId="77777777" w:rsidR="00704A5B" w:rsidRPr="00CF1787" w:rsidRDefault="00704A5B" w:rsidP="00704A5B">
      <w:pPr>
        <w:pStyle w:val="NoSpacing"/>
        <w:tabs>
          <w:tab w:val="left" w:pos="567"/>
        </w:tabs>
        <w:rPr>
          <w:lang w:val="es-CR"/>
        </w:rPr>
      </w:pPr>
    </w:p>
    <w:bookmarkEnd w:id="524"/>
    <w:p w14:paraId="6D6A9B0F" w14:textId="31CE0B20" w:rsidR="00704A5B" w:rsidRPr="00CF1787" w:rsidRDefault="00704A5B" w:rsidP="00704A5B">
      <w:pPr>
        <w:pStyle w:val="NoSpacing"/>
        <w:numPr>
          <w:ilvl w:val="0"/>
          <w:numId w:val="5"/>
        </w:numPr>
        <w:tabs>
          <w:tab w:val="left" w:pos="567"/>
        </w:tabs>
        <w:ind w:left="0" w:firstLine="0"/>
        <w:rPr>
          <w:szCs w:val="20"/>
          <w:lang w:val="es-CR"/>
        </w:rPr>
      </w:pPr>
      <w:r w:rsidRPr="00CF1787">
        <w:rPr>
          <w:lang w:val="es-CR"/>
        </w:rPr>
        <w:t>En casos que por sus circunstancias no suponen una grave violación a los derechos humanos, la vulneración de la integridad personal de los familiares, en relación con el dolor y sufrimiento ocurridos, debe ser comprobada</w:t>
      </w:r>
      <w:r w:rsidRPr="00CF1787">
        <w:rPr>
          <w:vertAlign w:val="superscript"/>
          <w:lang w:val="es-CR"/>
        </w:rPr>
        <w:footnoteReference w:id="183"/>
      </w:r>
      <w:r w:rsidRPr="00CF1787">
        <w:rPr>
          <w:lang w:val="es-CR"/>
        </w:rPr>
        <w:t xml:space="preserve">. </w:t>
      </w:r>
      <w:r w:rsidRPr="00CF1787">
        <w:rPr>
          <w:rFonts w:cs="Times"/>
          <w:lang w:val="es-CR"/>
        </w:rPr>
        <w:t>En tales casos, la Corte por un lado evalúa la existencia de un vínculo particularmente estrecho entre los familiares y la víctima del caso que les permita establecer una afectación a su integridad personal</w:t>
      </w:r>
      <w:r w:rsidRPr="00CF1787">
        <w:rPr>
          <w:vertAlign w:val="superscript"/>
          <w:lang w:val="es-CR"/>
        </w:rPr>
        <w:footnoteReference w:id="184"/>
      </w:r>
      <w:r w:rsidRPr="00CF1787">
        <w:rPr>
          <w:rFonts w:cs="Times"/>
          <w:lang w:val="es-CR"/>
        </w:rPr>
        <w:t xml:space="preserve"> y, por otro lado, analiza si de la prueba que consta en el expediente se acredita una violación del derecho a la integridad </w:t>
      </w:r>
      <w:r w:rsidRPr="00CF1787">
        <w:rPr>
          <w:rFonts w:cs="Times"/>
          <w:lang w:val="es-CR"/>
        </w:rPr>
        <w:lastRenderedPageBreak/>
        <w:t xml:space="preserve">personal de la </w:t>
      </w:r>
      <w:r w:rsidRPr="00CF1787">
        <w:rPr>
          <w:rFonts w:cs="Times"/>
          <w:szCs w:val="20"/>
          <w:lang w:val="es-CR"/>
        </w:rPr>
        <w:t>presunta víctima</w:t>
      </w:r>
      <w:r w:rsidRPr="00CF1787">
        <w:rPr>
          <w:szCs w:val="20"/>
          <w:vertAlign w:val="superscript"/>
          <w:lang w:val="es-CR"/>
        </w:rPr>
        <w:footnoteReference w:id="185"/>
      </w:r>
      <w:r w:rsidRPr="00CF1787">
        <w:rPr>
          <w:rFonts w:cs="Times"/>
          <w:szCs w:val="20"/>
          <w:lang w:val="es-CR"/>
        </w:rPr>
        <w:t xml:space="preserve">. </w:t>
      </w:r>
      <w:r w:rsidRPr="00CF1787">
        <w:rPr>
          <w:szCs w:val="20"/>
          <w:lang w:val="es-CR"/>
        </w:rPr>
        <w:t xml:space="preserve">En el presente caso, el sufrimiento de la señora Patricia Trujillo, como consecuencia de la violación de la obligación de garantizar el derecho a la vida del señor Valencia Hinojosa y la falta de imparcialidad e independencia en la investigación de su muerte debe ser comprobado. </w:t>
      </w:r>
    </w:p>
    <w:p w14:paraId="2DCB85A9" w14:textId="77777777" w:rsidR="00704A5B" w:rsidRPr="00CF1787" w:rsidRDefault="00704A5B" w:rsidP="00704A5B">
      <w:pPr>
        <w:pStyle w:val="NoSpacing"/>
        <w:tabs>
          <w:tab w:val="left" w:pos="567"/>
        </w:tabs>
        <w:rPr>
          <w:szCs w:val="20"/>
          <w:lang w:val="es-CR"/>
        </w:rPr>
      </w:pPr>
    </w:p>
    <w:p w14:paraId="73D37DEE" w14:textId="03A1B49F" w:rsidR="00704A5B" w:rsidRPr="00CF1787" w:rsidRDefault="00704A5B" w:rsidP="00704A5B">
      <w:pPr>
        <w:pStyle w:val="NoSpacing"/>
        <w:numPr>
          <w:ilvl w:val="0"/>
          <w:numId w:val="5"/>
        </w:numPr>
        <w:tabs>
          <w:tab w:val="left" w:pos="567"/>
        </w:tabs>
        <w:ind w:left="0" w:firstLine="0"/>
        <w:rPr>
          <w:spacing w:val="-2"/>
          <w:szCs w:val="20"/>
          <w:lang w:val="es-CR"/>
        </w:rPr>
      </w:pPr>
      <w:r w:rsidRPr="00CF1787">
        <w:rPr>
          <w:szCs w:val="20"/>
          <w:lang w:val="es-CR"/>
        </w:rPr>
        <w:t xml:space="preserve">Al respecto, la Corte constata que </w:t>
      </w:r>
      <w:r w:rsidRPr="00CF1787">
        <w:rPr>
          <w:spacing w:val="-2"/>
          <w:szCs w:val="20"/>
          <w:lang w:val="es-CR"/>
        </w:rPr>
        <w:t>la muerte del señor Valencia ocasionó un profundo dolor y sufrimiento a su esposa, quien ha soportado secuelas emocionales y personales como consecuencia de los hechos</w:t>
      </w:r>
      <w:r w:rsidRPr="00CF1787">
        <w:rPr>
          <w:rStyle w:val="FootnoteReference"/>
          <w:sz w:val="20"/>
          <w:szCs w:val="20"/>
          <w:lang w:val="es-CR"/>
        </w:rPr>
        <w:footnoteReference w:id="186"/>
      </w:r>
      <w:r w:rsidRPr="00CF1787">
        <w:rPr>
          <w:spacing w:val="-2"/>
          <w:szCs w:val="20"/>
          <w:lang w:val="es-CR"/>
        </w:rPr>
        <w:t xml:space="preserve">. La señora Trujillo Esparza declaró en la audiencia que, como consecuencia de la muerte de su esposo “[su] vida tomó un vuelco bastante drástico. [Se] </w:t>
      </w:r>
      <w:proofErr w:type="spellStart"/>
      <w:proofErr w:type="gramStart"/>
      <w:r w:rsidRPr="00CF1787">
        <w:rPr>
          <w:spacing w:val="-2"/>
          <w:szCs w:val="20"/>
          <w:lang w:val="es-CR"/>
        </w:rPr>
        <w:t>volv</w:t>
      </w:r>
      <w:proofErr w:type="spellEnd"/>
      <w:r w:rsidRPr="00CF1787">
        <w:rPr>
          <w:spacing w:val="-2"/>
          <w:szCs w:val="20"/>
          <w:lang w:val="es-CR"/>
        </w:rPr>
        <w:t>[</w:t>
      </w:r>
      <w:proofErr w:type="spellStart"/>
      <w:proofErr w:type="gramEnd"/>
      <w:r w:rsidRPr="00CF1787">
        <w:rPr>
          <w:spacing w:val="-2"/>
          <w:szCs w:val="20"/>
          <w:lang w:val="es-CR"/>
        </w:rPr>
        <w:t>ió</w:t>
      </w:r>
      <w:proofErr w:type="spellEnd"/>
      <w:r w:rsidRPr="00CF1787">
        <w:rPr>
          <w:spacing w:val="-2"/>
          <w:szCs w:val="20"/>
          <w:lang w:val="es-CR"/>
        </w:rPr>
        <w:t xml:space="preserve">] una persona muy apagada, </w:t>
      </w:r>
      <w:proofErr w:type="spellStart"/>
      <w:r w:rsidRPr="00CF1787">
        <w:rPr>
          <w:spacing w:val="-2"/>
          <w:szCs w:val="20"/>
          <w:lang w:val="es-CR"/>
        </w:rPr>
        <w:t>llev</w:t>
      </w:r>
      <w:proofErr w:type="spellEnd"/>
      <w:r w:rsidRPr="00CF1787">
        <w:rPr>
          <w:spacing w:val="-2"/>
          <w:szCs w:val="20"/>
          <w:lang w:val="es-CR"/>
        </w:rPr>
        <w:t>[</w:t>
      </w:r>
      <w:proofErr w:type="spellStart"/>
      <w:r w:rsidRPr="00CF1787">
        <w:rPr>
          <w:spacing w:val="-2"/>
          <w:szCs w:val="20"/>
          <w:lang w:val="es-CR"/>
        </w:rPr>
        <w:t>ó</w:t>
      </w:r>
      <w:proofErr w:type="spellEnd"/>
      <w:r w:rsidRPr="00CF1787">
        <w:rPr>
          <w:spacing w:val="-2"/>
          <w:szCs w:val="20"/>
          <w:lang w:val="es-CR"/>
        </w:rPr>
        <w:t xml:space="preserve">] el luto cerca de cuatro años [y] llegaba a los extremos de que en las noches [s]e iba a visitarle al cementerio a él porque no entendía por qué le habían matado y por qué lo habían hecho de esa manera. No quería salir, pero tenía que cumplir el propósito […] de culminar [sus] estudios. Un momento dentro de [su] crisis </w:t>
      </w:r>
      <w:proofErr w:type="spellStart"/>
      <w:r w:rsidRPr="00CF1787">
        <w:rPr>
          <w:spacing w:val="-2"/>
          <w:szCs w:val="20"/>
          <w:lang w:val="es-CR"/>
        </w:rPr>
        <w:t>pens</w:t>
      </w:r>
      <w:proofErr w:type="spellEnd"/>
      <w:r w:rsidRPr="00CF1787">
        <w:rPr>
          <w:spacing w:val="-2"/>
          <w:szCs w:val="20"/>
          <w:lang w:val="es-CR"/>
        </w:rPr>
        <w:t>[</w:t>
      </w:r>
      <w:proofErr w:type="spellStart"/>
      <w:r w:rsidRPr="00CF1787">
        <w:rPr>
          <w:spacing w:val="-2"/>
          <w:szCs w:val="20"/>
          <w:lang w:val="es-CR"/>
        </w:rPr>
        <w:t>ó</w:t>
      </w:r>
      <w:proofErr w:type="spellEnd"/>
      <w:r w:rsidRPr="00CF1787">
        <w:rPr>
          <w:spacing w:val="-2"/>
          <w:szCs w:val="20"/>
          <w:lang w:val="es-CR"/>
        </w:rPr>
        <w:t>] hasta regalar a [su</w:t>
      </w:r>
      <w:proofErr w:type="gramStart"/>
      <w:r w:rsidRPr="00CF1787">
        <w:rPr>
          <w:spacing w:val="-2"/>
          <w:szCs w:val="20"/>
          <w:lang w:val="es-CR"/>
        </w:rPr>
        <w:t>]i</w:t>
      </w:r>
      <w:proofErr w:type="gramEnd"/>
      <w:r w:rsidRPr="00CF1787">
        <w:rPr>
          <w:spacing w:val="-2"/>
          <w:szCs w:val="20"/>
          <w:lang w:val="es-CR"/>
        </w:rPr>
        <w:t xml:space="preserve"> hija de un mes a una tía […], porque no sabía realmente cómo retomar [su] vida […]. </w:t>
      </w:r>
      <w:proofErr w:type="spellStart"/>
      <w:r w:rsidRPr="00CF1787">
        <w:rPr>
          <w:spacing w:val="-2"/>
          <w:szCs w:val="20"/>
          <w:lang w:val="es-CR"/>
        </w:rPr>
        <w:t>Tuv</w:t>
      </w:r>
      <w:proofErr w:type="spellEnd"/>
      <w:r w:rsidRPr="00CF1787">
        <w:rPr>
          <w:spacing w:val="-2"/>
          <w:szCs w:val="20"/>
          <w:lang w:val="es-CR"/>
        </w:rPr>
        <w:t>[o] crisis muy severas pero para eso estuvo [su] madre, [sus] hermanas [y su] padre”</w:t>
      </w:r>
      <w:r w:rsidRPr="00CF1787">
        <w:rPr>
          <w:rStyle w:val="FootnoteReference"/>
          <w:spacing w:val="-2"/>
          <w:sz w:val="20"/>
          <w:szCs w:val="20"/>
          <w:lang w:val="es-CR"/>
        </w:rPr>
        <w:footnoteReference w:id="187"/>
      </w:r>
      <w:r w:rsidRPr="00CF1787">
        <w:rPr>
          <w:spacing w:val="-2"/>
          <w:szCs w:val="20"/>
          <w:lang w:val="es-CR"/>
        </w:rPr>
        <w:t xml:space="preserve">. </w:t>
      </w:r>
    </w:p>
    <w:p w14:paraId="139315FD" w14:textId="77777777" w:rsidR="00704A5B" w:rsidRPr="00CF1787" w:rsidRDefault="00704A5B" w:rsidP="00704A5B">
      <w:pPr>
        <w:pStyle w:val="NoSpacing"/>
        <w:tabs>
          <w:tab w:val="left" w:pos="567"/>
        </w:tabs>
        <w:rPr>
          <w:spacing w:val="-2"/>
          <w:szCs w:val="20"/>
          <w:lang w:val="es-CR"/>
        </w:rPr>
      </w:pPr>
    </w:p>
    <w:p w14:paraId="0CBF4E6D" w14:textId="50C89955" w:rsidR="00704A5B" w:rsidRPr="00CF1787" w:rsidRDefault="00704A5B" w:rsidP="00704A5B">
      <w:pPr>
        <w:pStyle w:val="NoSpacing"/>
        <w:numPr>
          <w:ilvl w:val="0"/>
          <w:numId w:val="5"/>
        </w:numPr>
        <w:tabs>
          <w:tab w:val="left" w:pos="567"/>
        </w:tabs>
        <w:ind w:left="0" w:firstLine="0"/>
        <w:rPr>
          <w:spacing w:val="-2"/>
          <w:szCs w:val="20"/>
          <w:lang w:val="es-CR"/>
        </w:rPr>
      </w:pPr>
      <w:r w:rsidRPr="00CF1787">
        <w:rPr>
          <w:spacing w:val="-2"/>
          <w:szCs w:val="20"/>
          <w:lang w:val="es-CR"/>
        </w:rPr>
        <w:t>Si bien la muerte del señor Valencia Hinojosa no ha sido atribuida al Estado, este Tribunal sí concluyó que el Estado incumplió</w:t>
      </w:r>
      <w:r w:rsidR="006B52DD" w:rsidRPr="00CF1787">
        <w:rPr>
          <w:spacing w:val="-2"/>
          <w:szCs w:val="20"/>
          <w:lang w:val="es-CR"/>
        </w:rPr>
        <w:t xml:space="preserve"> su obligación de garanti</w:t>
      </w:r>
      <w:r w:rsidRPr="00CF1787">
        <w:rPr>
          <w:spacing w:val="-2"/>
          <w:szCs w:val="20"/>
          <w:lang w:val="es-CR"/>
        </w:rPr>
        <w:t>zar el derecho a la vida del señor Valencia Hinojosa, al no haber desarrollado una investigación independiente e imparcial por su muerte, ni demostrar la existencia de una regulación adecuada sobre el uso de la fuerza en la época de los hechos (</w:t>
      </w:r>
      <w:r w:rsidRPr="00CF1787">
        <w:rPr>
          <w:i/>
          <w:spacing w:val="-2"/>
          <w:szCs w:val="20"/>
          <w:lang w:val="es-CR"/>
        </w:rPr>
        <w:t>supra</w:t>
      </w:r>
      <w:r w:rsidR="006B52DD" w:rsidRPr="00CF1787">
        <w:rPr>
          <w:spacing w:val="-2"/>
          <w:szCs w:val="20"/>
          <w:lang w:val="es-CR"/>
        </w:rPr>
        <w:t xml:space="preserve"> párr</w:t>
      </w:r>
      <w:r w:rsidRPr="00CF1787">
        <w:rPr>
          <w:spacing w:val="-2"/>
          <w:szCs w:val="20"/>
          <w:lang w:val="es-CR"/>
        </w:rPr>
        <w:t xml:space="preserve">. </w:t>
      </w:r>
      <w:r w:rsidR="00FF51EC" w:rsidRPr="00CF1787">
        <w:rPr>
          <w:spacing w:val="-2"/>
          <w:szCs w:val="20"/>
          <w:lang w:val="es-CR"/>
        </w:rPr>
        <w:fldChar w:fldCharType="begin"/>
      </w:r>
      <w:r w:rsidR="00FF51EC" w:rsidRPr="00CF1787">
        <w:rPr>
          <w:spacing w:val="-2"/>
          <w:szCs w:val="20"/>
          <w:lang w:val="es-CR"/>
        </w:rPr>
        <w:instrText xml:space="preserve"> REF _Ref470005707 \r \h </w:instrText>
      </w:r>
      <w:r w:rsidR="00CF1787">
        <w:rPr>
          <w:spacing w:val="-2"/>
          <w:szCs w:val="20"/>
          <w:lang w:val="es-CR"/>
        </w:rPr>
        <w:instrText xml:space="preserve"> \* MERGEFORMAT </w:instrText>
      </w:r>
      <w:r w:rsidR="00FF51EC" w:rsidRPr="00CF1787">
        <w:rPr>
          <w:spacing w:val="-2"/>
          <w:szCs w:val="20"/>
          <w:lang w:val="es-CR"/>
        </w:rPr>
      </w:r>
      <w:r w:rsidR="00FF51EC" w:rsidRPr="00CF1787">
        <w:rPr>
          <w:spacing w:val="-2"/>
          <w:szCs w:val="20"/>
          <w:lang w:val="es-CR"/>
        </w:rPr>
        <w:fldChar w:fldCharType="separate"/>
      </w:r>
      <w:r w:rsidR="00536893">
        <w:rPr>
          <w:spacing w:val="-2"/>
          <w:szCs w:val="20"/>
          <w:lang w:val="es-CR"/>
        </w:rPr>
        <w:t>138</w:t>
      </w:r>
      <w:r w:rsidR="00FF51EC" w:rsidRPr="00CF1787">
        <w:rPr>
          <w:spacing w:val="-2"/>
          <w:szCs w:val="20"/>
          <w:lang w:val="es-CR"/>
        </w:rPr>
        <w:fldChar w:fldCharType="end"/>
      </w:r>
      <w:r w:rsidRPr="00CF1787">
        <w:rPr>
          <w:spacing w:val="-2"/>
          <w:szCs w:val="20"/>
          <w:lang w:val="es-CR"/>
        </w:rPr>
        <w:t>)</w:t>
      </w:r>
      <w:r w:rsidRPr="00CF1787">
        <w:rPr>
          <w:szCs w:val="20"/>
          <w:lang w:val="es-CR"/>
        </w:rPr>
        <w:t xml:space="preserve">. </w:t>
      </w:r>
    </w:p>
    <w:p w14:paraId="223051F7" w14:textId="77777777" w:rsidR="00704A5B" w:rsidRPr="00CF1787" w:rsidRDefault="00704A5B" w:rsidP="00704A5B">
      <w:pPr>
        <w:pStyle w:val="NoSpacing"/>
        <w:tabs>
          <w:tab w:val="left" w:pos="567"/>
        </w:tabs>
        <w:rPr>
          <w:szCs w:val="20"/>
          <w:lang w:val="es-CR"/>
        </w:rPr>
      </w:pPr>
    </w:p>
    <w:p w14:paraId="2E509261" w14:textId="1C505755" w:rsidR="00E11E0C" w:rsidRPr="00CF1787" w:rsidRDefault="00704A5B" w:rsidP="00704A5B">
      <w:pPr>
        <w:pStyle w:val="NoSpacing"/>
        <w:numPr>
          <w:ilvl w:val="0"/>
          <w:numId w:val="5"/>
        </w:numPr>
        <w:tabs>
          <w:tab w:val="left" w:pos="567"/>
        </w:tabs>
        <w:ind w:left="0" w:firstLine="0"/>
        <w:rPr>
          <w:szCs w:val="20"/>
          <w:lang w:val="es-CR"/>
        </w:rPr>
      </w:pPr>
      <w:bookmarkStart w:id="525" w:name="_Ref462932782"/>
      <w:r w:rsidRPr="00CF1787">
        <w:rPr>
          <w:szCs w:val="20"/>
          <w:lang w:val="es-CR"/>
        </w:rPr>
        <w:t>En consecuencia, este Tribunal considera que el Estado es responsable de una violación del derecho a la integridad personal, consagrado en el artículo 5.1 de la Convención, en relación con el artículo 1.1 de la misma, en perjuicio de Patricia Trujillo Esparza.</w:t>
      </w:r>
      <w:bookmarkEnd w:id="525"/>
    </w:p>
    <w:p w14:paraId="640C6C40" w14:textId="77777777" w:rsidR="00E11E0C" w:rsidRPr="00CF1787" w:rsidRDefault="00E11E0C" w:rsidP="00E11E0C">
      <w:pPr>
        <w:rPr>
          <w:lang w:val="es-CR" w:eastAsia="es-MX"/>
        </w:rPr>
      </w:pPr>
    </w:p>
    <w:p w14:paraId="624614D9" w14:textId="77777777" w:rsidR="00D334A9" w:rsidRPr="00CF1787" w:rsidRDefault="00D334A9" w:rsidP="00E11E0C">
      <w:pPr>
        <w:rPr>
          <w:lang w:val="es-CR" w:eastAsia="es-MX"/>
        </w:rPr>
      </w:pPr>
    </w:p>
    <w:p w14:paraId="359ABCE6" w14:textId="77777777" w:rsidR="00D334A9" w:rsidRPr="00CF1787" w:rsidRDefault="00D334A9" w:rsidP="00E11E0C">
      <w:pPr>
        <w:rPr>
          <w:lang w:val="es-CR" w:eastAsia="es-MX"/>
        </w:rPr>
      </w:pPr>
    </w:p>
    <w:p w14:paraId="4BA1CB5C" w14:textId="77777777" w:rsidR="00E11E0C" w:rsidRPr="00CF1787" w:rsidRDefault="00E11E0C" w:rsidP="00E11E0C">
      <w:pPr>
        <w:pStyle w:val="Heading1"/>
        <w:rPr>
          <w:spacing w:val="-4"/>
          <w:lang w:val="es-CR"/>
        </w:rPr>
      </w:pPr>
      <w:bookmarkStart w:id="526" w:name="_Toc465177398"/>
      <w:bookmarkStart w:id="527" w:name="_Toc470098073"/>
      <w:r w:rsidRPr="00CF1787">
        <w:rPr>
          <w:spacing w:val="-4"/>
          <w:lang w:val="es-CR"/>
        </w:rPr>
        <w:lastRenderedPageBreak/>
        <w:t>VIII</w:t>
      </w:r>
      <w:bookmarkEnd w:id="526"/>
      <w:bookmarkEnd w:id="527"/>
    </w:p>
    <w:p w14:paraId="190368C8" w14:textId="77777777" w:rsidR="00E11E0C" w:rsidRPr="00CF1787" w:rsidRDefault="00E11E0C" w:rsidP="00E11E0C">
      <w:pPr>
        <w:pStyle w:val="Heading1"/>
        <w:rPr>
          <w:spacing w:val="-4"/>
          <w:lang w:val="es-CR"/>
        </w:rPr>
      </w:pPr>
      <w:bookmarkStart w:id="528" w:name="_Toc461791354"/>
      <w:bookmarkStart w:id="529" w:name="_Toc461796036"/>
      <w:bookmarkStart w:id="530" w:name="_Toc462157432"/>
      <w:bookmarkStart w:id="531" w:name="_Toc462157928"/>
      <w:bookmarkStart w:id="532" w:name="_Toc462870020"/>
      <w:bookmarkStart w:id="533" w:name="_Toc462934272"/>
      <w:bookmarkStart w:id="534" w:name="_Toc465177399"/>
      <w:bookmarkStart w:id="535" w:name="_Toc465184299"/>
      <w:bookmarkStart w:id="536" w:name="_Toc467854833"/>
      <w:bookmarkStart w:id="537" w:name="_Toc468281950"/>
      <w:bookmarkStart w:id="538" w:name="_Toc470001241"/>
      <w:bookmarkStart w:id="539" w:name="_Toc470098074"/>
      <w:r w:rsidRPr="00CF1787">
        <w:rPr>
          <w:spacing w:val="-4"/>
          <w:lang w:val="es-CR"/>
        </w:rPr>
        <w:t>REPARACIONES</w:t>
      </w:r>
      <w:bookmarkEnd w:id="528"/>
      <w:bookmarkEnd w:id="529"/>
      <w:bookmarkEnd w:id="530"/>
      <w:bookmarkEnd w:id="531"/>
      <w:bookmarkEnd w:id="532"/>
      <w:bookmarkEnd w:id="533"/>
      <w:bookmarkEnd w:id="534"/>
      <w:bookmarkEnd w:id="535"/>
      <w:bookmarkEnd w:id="536"/>
      <w:bookmarkEnd w:id="537"/>
      <w:bookmarkEnd w:id="538"/>
      <w:bookmarkEnd w:id="539"/>
    </w:p>
    <w:p w14:paraId="32D78AC3" w14:textId="77777777" w:rsidR="00E11E0C" w:rsidRPr="00CF1787" w:rsidRDefault="00E11E0C" w:rsidP="00E11E0C">
      <w:pPr>
        <w:jc w:val="center"/>
        <w:rPr>
          <w:b/>
          <w:szCs w:val="20"/>
          <w:lang w:val="es-CR"/>
        </w:rPr>
      </w:pPr>
      <w:r w:rsidRPr="00CF1787">
        <w:rPr>
          <w:b/>
          <w:szCs w:val="20"/>
          <w:lang w:val="es-CR"/>
        </w:rPr>
        <w:t>(Aplicación del artículo 63.1 de la Convención Americana)</w:t>
      </w:r>
    </w:p>
    <w:p w14:paraId="11F326F8" w14:textId="77777777" w:rsidR="00E11E0C" w:rsidRPr="00CF1787" w:rsidRDefault="00E11E0C" w:rsidP="00E11E0C">
      <w:pPr>
        <w:rPr>
          <w:spacing w:val="-2"/>
          <w:lang w:val="es-CR"/>
        </w:rPr>
      </w:pPr>
    </w:p>
    <w:p w14:paraId="382AC08D" w14:textId="74B7A6B5" w:rsidR="00BC2C80" w:rsidRPr="00CF1787" w:rsidRDefault="00E11E0C" w:rsidP="00BC2C80">
      <w:pPr>
        <w:pStyle w:val="NoSpacing"/>
        <w:numPr>
          <w:ilvl w:val="0"/>
          <w:numId w:val="5"/>
        </w:numPr>
        <w:tabs>
          <w:tab w:val="left" w:pos="567"/>
        </w:tabs>
        <w:ind w:left="0" w:firstLine="0"/>
        <w:rPr>
          <w:lang w:val="es-CR"/>
        </w:rPr>
      </w:pPr>
      <w:bookmarkStart w:id="540" w:name="_Ref469043759"/>
      <w:r w:rsidRPr="00CF1787">
        <w:rPr>
          <w:spacing w:val="-2"/>
          <w:szCs w:val="20"/>
          <w:lang w:val="es-CR"/>
        </w:rPr>
        <w:t>Sobre la base de lo dispuesto en el artículo 63.1 de la Convención Americana</w:t>
      </w:r>
      <w:r w:rsidRPr="00CF1787">
        <w:rPr>
          <w:rFonts w:cs="Times New Roman"/>
          <w:spacing w:val="-2"/>
          <w:szCs w:val="20"/>
          <w:vertAlign w:val="superscript"/>
          <w:lang w:val="es-CR"/>
        </w:rPr>
        <w:footnoteReference w:id="188"/>
      </w:r>
      <w:r w:rsidRPr="00CF1787">
        <w:rPr>
          <w:spacing w:val="-2"/>
          <w:szCs w:val="20"/>
          <w:lang w:val="es-CR"/>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CF1787">
        <w:rPr>
          <w:rFonts w:cs="Times New Roman"/>
          <w:spacing w:val="-2"/>
          <w:szCs w:val="20"/>
          <w:vertAlign w:val="superscript"/>
          <w:lang w:val="es-CR"/>
        </w:rPr>
        <w:footnoteReference w:id="189"/>
      </w:r>
      <w:r w:rsidRPr="00CF1787">
        <w:rPr>
          <w:spacing w:val="-2"/>
          <w:szCs w:val="20"/>
          <w:lang w:val="es-CR"/>
        </w:rPr>
        <w:t>.</w:t>
      </w:r>
      <w:bookmarkEnd w:id="540"/>
    </w:p>
    <w:p w14:paraId="5B29AD80" w14:textId="77777777" w:rsidR="00BC2C80" w:rsidRPr="00CF1787" w:rsidRDefault="00BC2C80" w:rsidP="00BC2C80">
      <w:pPr>
        <w:pStyle w:val="NoSpacing"/>
        <w:tabs>
          <w:tab w:val="left" w:pos="567"/>
        </w:tabs>
        <w:rPr>
          <w:lang w:val="es-CR"/>
        </w:rPr>
      </w:pPr>
    </w:p>
    <w:p w14:paraId="68F1DDE4" w14:textId="2CA3BC3D" w:rsidR="00BC2C80" w:rsidRPr="00CF1787" w:rsidRDefault="00BC2C80" w:rsidP="00BC2C80">
      <w:pPr>
        <w:pStyle w:val="NoSpacing"/>
        <w:numPr>
          <w:ilvl w:val="0"/>
          <w:numId w:val="5"/>
        </w:numPr>
        <w:tabs>
          <w:tab w:val="left" w:pos="567"/>
        </w:tabs>
        <w:ind w:left="0" w:firstLine="0"/>
        <w:rPr>
          <w:lang w:val="es-CR"/>
        </w:rPr>
      </w:pPr>
      <w:r w:rsidRPr="00CF1787">
        <w:rPr>
          <w:bCs/>
          <w:spacing w:val="-2"/>
          <w:szCs w:val="20"/>
          <w:lang w:val="es-CR"/>
        </w:rPr>
        <w:t>La reparación del daño ocasionado por la infracción de una obligación internacional requiere, siempre que sea posible, la plena restitución (</w:t>
      </w:r>
      <w:proofErr w:type="spellStart"/>
      <w:r w:rsidRPr="00CF1787">
        <w:rPr>
          <w:bCs/>
          <w:i/>
          <w:spacing w:val="-2"/>
          <w:szCs w:val="20"/>
          <w:lang w:val="es-CR"/>
        </w:rPr>
        <w:t>restitutio</w:t>
      </w:r>
      <w:proofErr w:type="spellEnd"/>
      <w:r w:rsidRPr="00CF1787">
        <w:rPr>
          <w:bCs/>
          <w:i/>
          <w:spacing w:val="-2"/>
          <w:szCs w:val="20"/>
          <w:lang w:val="es-CR"/>
        </w:rPr>
        <w:t xml:space="preserve"> in </w:t>
      </w:r>
      <w:proofErr w:type="spellStart"/>
      <w:r w:rsidRPr="00CF1787">
        <w:rPr>
          <w:bCs/>
          <w:i/>
          <w:spacing w:val="-2"/>
          <w:szCs w:val="20"/>
          <w:lang w:val="es-CR"/>
        </w:rPr>
        <w:t>integrum</w:t>
      </w:r>
      <w:proofErr w:type="spellEnd"/>
      <w:r w:rsidRPr="00CF1787">
        <w:rPr>
          <w:bCs/>
          <w:spacing w:val="-2"/>
          <w:szCs w:val="20"/>
          <w:lang w:val="es-CR"/>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CF1787">
        <w:rPr>
          <w:vertAlign w:val="superscript"/>
          <w:lang w:val="es-CR"/>
        </w:rPr>
        <w:footnoteReference w:id="190"/>
      </w:r>
      <w:r w:rsidRPr="00CF1787">
        <w:rPr>
          <w:bCs/>
          <w:spacing w:val="-2"/>
          <w:szCs w:val="20"/>
          <w:lang w:val="es-CR"/>
        </w:rPr>
        <w:t xml:space="preserve">. </w:t>
      </w:r>
    </w:p>
    <w:p w14:paraId="21DA5E3A" w14:textId="77777777" w:rsidR="00BC2C80" w:rsidRPr="00CF1787" w:rsidRDefault="00BC2C80" w:rsidP="00BC2C80">
      <w:pPr>
        <w:pStyle w:val="ListParagraph"/>
        <w:numPr>
          <w:ilvl w:val="0"/>
          <w:numId w:val="0"/>
        </w:numPr>
        <w:ind w:left="720"/>
        <w:rPr>
          <w:spacing w:val="-2"/>
          <w:lang w:val="es-CR"/>
        </w:rPr>
      </w:pPr>
    </w:p>
    <w:p w14:paraId="515DAE36" w14:textId="77777777" w:rsidR="00BC2C80" w:rsidRPr="00CF1787" w:rsidRDefault="00BC2C80" w:rsidP="006138A7">
      <w:pPr>
        <w:pStyle w:val="NoSpacing"/>
        <w:numPr>
          <w:ilvl w:val="0"/>
          <w:numId w:val="5"/>
        </w:numPr>
        <w:tabs>
          <w:tab w:val="left" w:pos="567"/>
        </w:tabs>
        <w:ind w:left="0" w:firstLine="0"/>
        <w:rPr>
          <w:lang w:val="es-CR"/>
        </w:rPr>
      </w:pPr>
      <w:r w:rsidRPr="00CF1787">
        <w:rPr>
          <w:spacing w:val="-2"/>
          <w:lang w:val="es-CR"/>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CF1787">
        <w:rPr>
          <w:vertAlign w:val="superscript"/>
          <w:lang w:val="es-CR"/>
        </w:rPr>
        <w:footnoteReference w:id="191"/>
      </w:r>
      <w:r w:rsidRPr="00CF1787">
        <w:rPr>
          <w:spacing w:val="-2"/>
          <w:lang w:val="es-CR"/>
        </w:rPr>
        <w:t>.</w:t>
      </w:r>
    </w:p>
    <w:p w14:paraId="11F130FA" w14:textId="77777777" w:rsidR="006138A7" w:rsidRPr="00CF1787" w:rsidRDefault="006138A7" w:rsidP="006138A7">
      <w:pPr>
        <w:pStyle w:val="NoSpacing"/>
        <w:tabs>
          <w:tab w:val="left" w:pos="567"/>
        </w:tabs>
        <w:rPr>
          <w:lang w:val="es-CR"/>
        </w:rPr>
      </w:pPr>
    </w:p>
    <w:p w14:paraId="07982B8F" w14:textId="0B0F40E0" w:rsidR="00EC551E" w:rsidRPr="00CF1787" w:rsidRDefault="00623450" w:rsidP="00EC551E">
      <w:pPr>
        <w:pStyle w:val="NoSpacing"/>
        <w:numPr>
          <w:ilvl w:val="0"/>
          <w:numId w:val="5"/>
        </w:numPr>
        <w:tabs>
          <w:tab w:val="left" w:pos="567"/>
        </w:tabs>
        <w:ind w:left="0" w:firstLine="0"/>
        <w:rPr>
          <w:szCs w:val="20"/>
          <w:lang w:val="es-CR"/>
        </w:rPr>
      </w:pPr>
      <w:bookmarkStart w:id="541" w:name="_Ref470094698"/>
      <w:r w:rsidRPr="00CF1787">
        <w:rPr>
          <w:lang w:val="es-ES"/>
        </w:rPr>
        <w:t>La jurisprudencia internacional y en particular de la Corte, ha establecido reiteradamente que la sentencia constituye por sí misma una forma de reparación</w:t>
      </w:r>
      <w:r w:rsidRPr="00CF1787">
        <w:rPr>
          <w:rStyle w:val="FootnoteReference"/>
        </w:rPr>
        <w:footnoteReference w:id="192"/>
      </w:r>
      <w:r w:rsidRPr="00CF1787">
        <w:rPr>
          <w:lang w:val="es-ES"/>
        </w:rPr>
        <w:t xml:space="preserve">. </w:t>
      </w:r>
      <w:r w:rsidR="00BC2C80" w:rsidRPr="00CF1787">
        <w:rPr>
          <w:spacing w:val="-2"/>
          <w:lang w:val="es-CR"/>
        </w:rPr>
        <w:t xml:space="preserve">En consideración de las violaciones declaradas en </w:t>
      </w:r>
      <w:r w:rsidR="00BC2C80" w:rsidRPr="00CF1787">
        <w:rPr>
          <w:spacing w:val="-2"/>
          <w:szCs w:val="20"/>
          <w:lang w:val="es-CR"/>
        </w:rPr>
        <w:t xml:space="preserve">el </w:t>
      </w:r>
      <w:r w:rsidR="00BC2C80" w:rsidRPr="00CF1787">
        <w:rPr>
          <w:spacing w:val="-2"/>
          <w:lang w:val="es-CR"/>
        </w:rPr>
        <w:t>capítulo anterior, el Tribunal procederá a analizar las pretensiones presentadas por la Comisión y los representantes, así como los argumentos del Estado, a la luz de los criterios fijados en la jurisprudencia de la Corte en relación con la naturale</w:t>
      </w:r>
      <w:r w:rsidR="00BC2C80" w:rsidRPr="00CF1787">
        <w:rPr>
          <w:spacing w:val="-2"/>
          <w:szCs w:val="20"/>
          <w:lang w:val="es-CR"/>
        </w:rPr>
        <w:t>za y alcance de la obligación de reparar, con el objeto de disponer las medidas dirigidas a reparar los daños ocasionados a las víctimas</w:t>
      </w:r>
      <w:r w:rsidR="00BC2C80" w:rsidRPr="00CF1787">
        <w:rPr>
          <w:szCs w:val="20"/>
          <w:vertAlign w:val="superscript"/>
          <w:lang w:val="es-CR"/>
        </w:rPr>
        <w:footnoteReference w:id="193"/>
      </w:r>
      <w:r w:rsidR="00BC2C80" w:rsidRPr="00CF1787">
        <w:rPr>
          <w:spacing w:val="-2"/>
          <w:szCs w:val="20"/>
          <w:lang w:val="es-CR"/>
        </w:rPr>
        <w:t>.</w:t>
      </w:r>
      <w:bookmarkEnd w:id="541"/>
    </w:p>
    <w:p w14:paraId="648770D9" w14:textId="77777777" w:rsidR="00BC2C80" w:rsidRPr="00CF1787" w:rsidRDefault="00BC2C80" w:rsidP="00BC2C80">
      <w:pPr>
        <w:tabs>
          <w:tab w:val="left" w:pos="567"/>
        </w:tabs>
        <w:contextualSpacing/>
        <w:rPr>
          <w:spacing w:val="-2"/>
          <w:szCs w:val="20"/>
          <w:lang w:val="es-CR"/>
        </w:rPr>
      </w:pPr>
    </w:p>
    <w:p w14:paraId="3B0132A3" w14:textId="77777777" w:rsidR="00BC2C80" w:rsidRPr="00CF1787" w:rsidRDefault="00BC2C80" w:rsidP="00117332">
      <w:pPr>
        <w:pStyle w:val="Heading2"/>
        <w:numPr>
          <w:ilvl w:val="0"/>
          <w:numId w:val="15"/>
        </w:numPr>
        <w:rPr>
          <w:lang w:val="es-CR"/>
        </w:rPr>
      </w:pPr>
      <w:bookmarkStart w:id="542" w:name="_Toc426108479"/>
      <w:bookmarkStart w:id="543" w:name="_Toc430339025"/>
      <w:bookmarkStart w:id="544" w:name="_Toc465177400"/>
      <w:bookmarkStart w:id="545" w:name="_Toc470098075"/>
      <w:r w:rsidRPr="00CF1787">
        <w:rPr>
          <w:lang w:val="es-CR"/>
        </w:rPr>
        <w:t>Parte Lesionada</w:t>
      </w:r>
      <w:bookmarkEnd w:id="542"/>
      <w:bookmarkEnd w:id="543"/>
      <w:bookmarkEnd w:id="544"/>
      <w:bookmarkEnd w:id="545"/>
    </w:p>
    <w:p w14:paraId="38007015" w14:textId="77777777" w:rsidR="00BC2C80" w:rsidRPr="00CF1787" w:rsidRDefault="00BC2C80" w:rsidP="00BC2C80">
      <w:pPr>
        <w:tabs>
          <w:tab w:val="left" w:pos="567"/>
        </w:tabs>
        <w:contextualSpacing/>
        <w:rPr>
          <w:spacing w:val="-2"/>
          <w:szCs w:val="20"/>
          <w:lang w:val="es-CR"/>
        </w:rPr>
      </w:pPr>
      <w:bookmarkStart w:id="546" w:name="_Toc375560978"/>
    </w:p>
    <w:p w14:paraId="03D89971" w14:textId="77777777" w:rsidR="00BC2C80" w:rsidRPr="00CF1787" w:rsidRDefault="00BC2C80" w:rsidP="00BC2C80">
      <w:pPr>
        <w:numPr>
          <w:ilvl w:val="0"/>
          <w:numId w:val="5"/>
        </w:numPr>
        <w:tabs>
          <w:tab w:val="left" w:pos="567"/>
        </w:tabs>
        <w:ind w:left="0" w:firstLine="0"/>
        <w:contextualSpacing/>
        <w:rPr>
          <w:spacing w:val="-2"/>
          <w:szCs w:val="20"/>
          <w:lang w:val="es-CR"/>
        </w:rPr>
      </w:pPr>
      <w:r w:rsidRPr="00CF1787">
        <w:rPr>
          <w:spacing w:val="-2"/>
          <w:szCs w:val="20"/>
          <w:lang w:val="es-CR"/>
        </w:rPr>
        <w:t>Este Tribunal reitera que se considera parte lesionada, en los términos del artículo 63.1 de la Convención, a quien ha sido declarada víctima de la violación de algún derecho reconocido en la misma. Por lo tanto, esta Corte considera como “parte lesionada” al señor Luis Jorge Valencia Hinojoza y su viuda Patricia Trujillo Esparza, quienes en su carácter de víctimas de las violaciones declaradas en el capítulo VII serán acreedores de lo que la Corte ordene a continuación.</w:t>
      </w:r>
    </w:p>
    <w:p w14:paraId="2783464A" w14:textId="77777777" w:rsidR="00BC2C80" w:rsidRPr="00CF1787" w:rsidRDefault="00BC2C80" w:rsidP="00BC2C80">
      <w:pPr>
        <w:tabs>
          <w:tab w:val="left" w:pos="567"/>
        </w:tabs>
        <w:contextualSpacing/>
        <w:rPr>
          <w:spacing w:val="-2"/>
          <w:szCs w:val="20"/>
          <w:lang w:val="es-CR"/>
        </w:rPr>
      </w:pPr>
      <w:r w:rsidRPr="00CF1787">
        <w:rPr>
          <w:spacing w:val="-2"/>
          <w:szCs w:val="20"/>
          <w:lang w:val="es-CR"/>
        </w:rPr>
        <w:lastRenderedPageBreak/>
        <w:t xml:space="preserve"> </w:t>
      </w:r>
    </w:p>
    <w:p w14:paraId="722C4E3C" w14:textId="77777777" w:rsidR="00BC2C80" w:rsidRPr="00CF1787" w:rsidRDefault="00BC2C80" w:rsidP="00BC2C80">
      <w:pPr>
        <w:pStyle w:val="Heading2"/>
        <w:keepNext/>
        <w:keepLines/>
        <w:tabs>
          <w:tab w:val="clear" w:pos="1134"/>
          <w:tab w:val="left" w:pos="567"/>
        </w:tabs>
        <w:ind w:left="1080"/>
        <w:rPr>
          <w:szCs w:val="20"/>
          <w:lang w:val="es-CR"/>
        </w:rPr>
      </w:pPr>
      <w:bookmarkStart w:id="547" w:name="_Toc374024123"/>
      <w:bookmarkStart w:id="548" w:name="_Toc374024204"/>
      <w:bookmarkStart w:id="549" w:name="_Toc406580703"/>
      <w:bookmarkStart w:id="550" w:name="_Toc426108481"/>
      <w:bookmarkStart w:id="551" w:name="_Toc430339027"/>
      <w:bookmarkStart w:id="552" w:name="_Toc465177401"/>
      <w:bookmarkStart w:id="553" w:name="_Toc470098076"/>
      <w:bookmarkEnd w:id="546"/>
      <w:r w:rsidRPr="00CF1787">
        <w:rPr>
          <w:szCs w:val="20"/>
          <w:lang w:val="es-CR"/>
        </w:rPr>
        <w:t>Medidas de reparación integral: restitución, satisfacción y garantías de no repetición</w:t>
      </w:r>
      <w:bookmarkEnd w:id="547"/>
      <w:bookmarkEnd w:id="548"/>
      <w:bookmarkEnd w:id="549"/>
      <w:bookmarkEnd w:id="550"/>
      <w:bookmarkEnd w:id="551"/>
      <w:bookmarkEnd w:id="552"/>
      <w:bookmarkEnd w:id="553"/>
    </w:p>
    <w:p w14:paraId="28C24D55" w14:textId="77777777" w:rsidR="00BC2C80" w:rsidRPr="00CF1787" w:rsidRDefault="00BC2C80" w:rsidP="00BC2C80">
      <w:pPr>
        <w:tabs>
          <w:tab w:val="left" w:pos="567"/>
        </w:tabs>
        <w:contextualSpacing/>
        <w:rPr>
          <w:color w:val="00B050"/>
          <w:spacing w:val="-2"/>
          <w:szCs w:val="20"/>
          <w:lang w:val="es-CR"/>
        </w:rPr>
      </w:pPr>
    </w:p>
    <w:p w14:paraId="411D8155" w14:textId="77777777" w:rsidR="00BC2C80" w:rsidRPr="00CF1787" w:rsidRDefault="00F15635" w:rsidP="00BC2C80">
      <w:pPr>
        <w:pStyle w:val="Heading3"/>
        <w:tabs>
          <w:tab w:val="left" w:pos="567"/>
        </w:tabs>
        <w:rPr>
          <w:szCs w:val="20"/>
          <w:lang w:val="es-CR"/>
        </w:rPr>
      </w:pPr>
      <w:bookmarkStart w:id="554" w:name="_Toc465177402"/>
      <w:bookmarkStart w:id="555" w:name="_Toc470098077"/>
      <w:bookmarkStart w:id="556" w:name="_Toc426108484"/>
      <w:bookmarkStart w:id="557" w:name="_Toc430339030"/>
      <w:r w:rsidRPr="00CF1787">
        <w:rPr>
          <w:szCs w:val="20"/>
          <w:lang w:val="es-CR"/>
        </w:rPr>
        <w:t>B</w:t>
      </w:r>
      <w:r w:rsidR="00BC2C80" w:rsidRPr="00CF1787">
        <w:rPr>
          <w:szCs w:val="20"/>
          <w:lang w:val="es-CR"/>
        </w:rPr>
        <w:t>.1 Obligación de investigar los hechos</w:t>
      </w:r>
      <w:bookmarkEnd w:id="554"/>
      <w:bookmarkEnd w:id="555"/>
    </w:p>
    <w:p w14:paraId="23F77059" w14:textId="77777777" w:rsidR="00BC2C80" w:rsidRPr="00CF1787" w:rsidRDefault="00BC2C80" w:rsidP="00BC2C80">
      <w:pPr>
        <w:tabs>
          <w:tab w:val="left" w:pos="567"/>
        </w:tabs>
        <w:autoSpaceDE w:val="0"/>
        <w:autoSpaceDN w:val="0"/>
        <w:adjustRightInd w:val="0"/>
        <w:rPr>
          <w:szCs w:val="20"/>
          <w:lang w:val="es-CR"/>
        </w:rPr>
      </w:pPr>
    </w:p>
    <w:p w14:paraId="669DD155" w14:textId="0C7265B7" w:rsidR="00BC2C80" w:rsidRPr="00CF1787" w:rsidRDefault="00F15635" w:rsidP="00117332">
      <w:pPr>
        <w:pStyle w:val="Heading4"/>
        <w:rPr>
          <w:lang w:val="es-CR"/>
        </w:rPr>
      </w:pPr>
      <w:bookmarkStart w:id="558" w:name="_Toc465177403"/>
      <w:bookmarkStart w:id="559" w:name="_Toc470098078"/>
      <w:r w:rsidRPr="00CF1787">
        <w:rPr>
          <w:lang w:val="es-CR"/>
        </w:rPr>
        <w:t>B</w:t>
      </w:r>
      <w:r w:rsidR="00BC2C80" w:rsidRPr="00CF1787">
        <w:rPr>
          <w:lang w:val="es-CR"/>
        </w:rPr>
        <w:t>.1.</w:t>
      </w:r>
      <w:r w:rsidR="008A61F1" w:rsidRPr="00CF1787">
        <w:rPr>
          <w:lang w:val="es-CR"/>
        </w:rPr>
        <w:t>a</w:t>
      </w:r>
      <w:r w:rsidR="00BC2C80" w:rsidRPr="00CF1787">
        <w:rPr>
          <w:lang w:val="es-CR"/>
        </w:rPr>
        <w:t xml:space="preserve"> A</w:t>
      </w:r>
      <w:r w:rsidR="006B52DD" w:rsidRPr="00CF1787">
        <w:rPr>
          <w:lang w:val="es-CR"/>
        </w:rPr>
        <w:t xml:space="preserve">legatos </w:t>
      </w:r>
      <w:r w:rsidR="00BC2C80" w:rsidRPr="00CF1787">
        <w:rPr>
          <w:lang w:val="es-CR"/>
        </w:rPr>
        <w:t>de las partes y de la Comisión</w:t>
      </w:r>
      <w:bookmarkEnd w:id="558"/>
      <w:bookmarkEnd w:id="559"/>
    </w:p>
    <w:p w14:paraId="4F74A343" w14:textId="77777777" w:rsidR="00BC2C80" w:rsidRPr="00CF1787" w:rsidRDefault="00BC2C80" w:rsidP="00BC2C80">
      <w:pPr>
        <w:tabs>
          <w:tab w:val="left" w:pos="567"/>
        </w:tabs>
        <w:rPr>
          <w:szCs w:val="20"/>
          <w:lang w:val="es-CR"/>
        </w:rPr>
      </w:pPr>
    </w:p>
    <w:p w14:paraId="48A82512" w14:textId="74E671EA" w:rsidR="00E84846" w:rsidRPr="00CF1787" w:rsidRDefault="00E84846" w:rsidP="00E84846">
      <w:pPr>
        <w:numPr>
          <w:ilvl w:val="0"/>
          <w:numId w:val="5"/>
        </w:numPr>
        <w:tabs>
          <w:tab w:val="left" w:pos="567"/>
        </w:tabs>
        <w:ind w:left="0" w:firstLine="0"/>
        <w:rPr>
          <w:szCs w:val="20"/>
          <w:lang w:val="es-CR"/>
        </w:rPr>
      </w:pPr>
      <w:r w:rsidRPr="00CF1787">
        <w:rPr>
          <w:szCs w:val="20"/>
          <w:lang w:val="es-CR"/>
        </w:rPr>
        <w:t xml:space="preserve">La </w:t>
      </w:r>
      <w:r w:rsidRPr="00CF1787">
        <w:rPr>
          <w:rFonts w:cs="Times New Roman"/>
          <w:b/>
          <w:bCs/>
          <w:i/>
          <w:szCs w:val="20"/>
          <w:lang w:val="es-CR"/>
        </w:rPr>
        <w:t>Comisión</w:t>
      </w:r>
      <w:r w:rsidRPr="00CF1787">
        <w:rPr>
          <w:rFonts w:cs="Times New Roman"/>
          <w:bCs/>
          <w:szCs w:val="20"/>
          <w:lang w:val="es-CR"/>
        </w:rPr>
        <w:t xml:space="preserve"> solicitó</w:t>
      </w:r>
      <w:r w:rsidR="00D65780" w:rsidRPr="00CF1787">
        <w:rPr>
          <w:rFonts w:cs="Times New Roman"/>
          <w:bCs/>
          <w:szCs w:val="20"/>
          <w:lang w:val="es-CR"/>
        </w:rPr>
        <w:t xml:space="preserve"> al Estado</w:t>
      </w:r>
      <w:r w:rsidRPr="00CF1787">
        <w:rPr>
          <w:rFonts w:cs="Times New Roman"/>
          <w:bCs/>
          <w:szCs w:val="20"/>
          <w:lang w:val="es-CR"/>
        </w:rPr>
        <w:t xml:space="preserve"> “[r]</w:t>
      </w:r>
      <w:proofErr w:type="spellStart"/>
      <w:r w:rsidRPr="00CF1787">
        <w:rPr>
          <w:rFonts w:cs="Times New Roman"/>
          <w:bCs/>
          <w:szCs w:val="20"/>
          <w:lang w:val="es-CR"/>
        </w:rPr>
        <w:t>ealizar</w:t>
      </w:r>
      <w:proofErr w:type="spellEnd"/>
      <w:r w:rsidRPr="00CF1787">
        <w:rPr>
          <w:rFonts w:cs="Times New Roman"/>
          <w:bCs/>
          <w:szCs w:val="20"/>
          <w:lang w:val="es-CR"/>
        </w:rPr>
        <w:t xml:space="preserve"> una investigación completa y efectiva de las violaciones de derechos humanos declaradas en el [Informe de </w:t>
      </w:r>
      <w:r w:rsidR="009F5D00" w:rsidRPr="00CF1787">
        <w:rPr>
          <w:rFonts w:cs="Times New Roman"/>
          <w:bCs/>
          <w:szCs w:val="20"/>
          <w:lang w:val="es-CR"/>
        </w:rPr>
        <w:t xml:space="preserve">Admisibilidad y </w:t>
      </w:r>
      <w:r w:rsidRPr="00CF1787">
        <w:rPr>
          <w:rFonts w:cs="Times New Roman"/>
          <w:bCs/>
          <w:szCs w:val="20"/>
          <w:lang w:val="es-CR"/>
        </w:rPr>
        <w:t xml:space="preserve">Fondo]”. </w:t>
      </w:r>
      <w:r w:rsidRPr="00CF1787">
        <w:rPr>
          <w:spacing w:val="-2"/>
          <w:szCs w:val="20"/>
          <w:lang w:val="es-CR"/>
        </w:rPr>
        <w:t xml:space="preserve">Los </w:t>
      </w:r>
      <w:r w:rsidRPr="00CF1787">
        <w:rPr>
          <w:b/>
          <w:i/>
          <w:spacing w:val="-2"/>
          <w:szCs w:val="20"/>
          <w:lang w:val="es-CR"/>
        </w:rPr>
        <w:t>representantes</w:t>
      </w:r>
      <w:r w:rsidRPr="00CF1787">
        <w:rPr>
          <w:spacing w:val="-2"/>
          <w:szCs w:val="20"/>
          <w:lang w:val="es-CR"/>
        </w:rPr>
        <w:t xml:space="preserve"> alegaron </w:t>
      </w:r>
      <w:r w:rsidR="00F63575" w:rsidRPr="00CF1787">
        <w:rPr>
          <w:spacing w:val="-2"/>
          <w:szCs w:val="20"/>
          <w:lang w:val="es-CR"/>
        </w:rPr>
        <w:t xml:space="preserve">que </w:t>
      </w:r>
      <w:r w:rsidRPr="00CF1787">
        <w:rPr>
          <w:spacing w:val="-2"/>
          <w:szCs w:val="20"/>
          <w:lang w:val="es-CR"/>
        </w:rPr>
        <w:t>“</w:t>
      </w:r>
      <w:r w:rsidRPr="00CF1787">
        <w:rPr>
          <w:szCs w:val="20"/>
          <w:lang w:val="es-CR"/>
        </w:rPr>
        <w:t xml:space="preserve">la ejecución extrajudicial es de aquellos delitos considerados en el concierto internacional como graves crímenes internacionales y por ende imprescriptibles y que la Constitución ecuatoriana señala la imprescriptibilidad de dichos crímenes (Art. 80)”, por lo cual </w:t>
      </w:r>
      <w:r w:rsidRPr="00CF1787">
        <w:rPr>
          <w:spacing w:val="-2"/>
          <w:szCs w:val="20"/>
          <w:lang w:val="es-CR"/>
        </w:rPr>
        <w:t xml:space="preserve">solicitaron </w:t>
      </w:r>
      <w:r w:rsidRPr="00CF1787">
        <w:rPr>
          <w:szCs w:val="20"/>
          <w:lang w:val="es-CR"/>
        </w:rPr>
        <w:t>que se declare la nulidad de la sentencia emitid</w:t>
      </w:r>
      <w:r w:rsidR="00923EA8" w:rsidRPr="00CF1787">
        <w:rPr>
          <w:szCs w:val="20"/>
          <w:lang w:val="es-CR"/>
        </w:rPr>
        <w:t>a por los tribunales policiales</w:t>
      </w:r>
      <w:r w:rsidRPr="00CF1787">
        <w:rPr>
          <w:spacing w:val="-2"/>
          <w:szCs w:val="20"/>
          <w:lang w:val="es-CR"/>
        </w:rPr>
        <w:t xml:space="preserve"> y que se ordene al Estado que </w:t>
      </w:r>
      <w:r w:rsidR="00D65780" w:rsidRPr="00CF1787">
        <w:rPr>
          <w:spacing w:val="-2"/>
          <w:szCs w:val="20"/>
          <w:lang w:val="es-CR"/>
        </w:rPr>
        <w:t>“</w:t>
      </w:r>
      <w:r w:rsidRPr="00CF1787">
        <w:rPr>
          <w:spacing w:val="-2"/>
          <w:szCs w:val="20"/>
          <w:lang w:val="es-CR"/>
        </w:rPr>
        <w:t>proceda a efectuar una investigación completa e imparcial dentro de un plazo razonable</w:t>
      </w:r>
      <w:r w:rsidR="006B52DD" w:rsidRPr="00CF1787">
        <w:rPr>
          <w:spacing w:val="-2"/>
          <w:szCs w:val="20"/>
          <w:lang w:val="es-CR"/>
        </w:rPr>
        <w:t xml:space="preserve"> </w:t>
      </w:r>
      <w:r w:rsidRPr="00CF1787">
        <w:rPr>
          <w:spacing w:val="-2"/>
          <w:szCs w:val="20"/>
          <w:lang w:val="es-CR"/>
        </w:rPr>
        <w:t>que permita conocer lo que realmente sucedió el 3 de diciembre de 1992</w:t>
      </w:r>
      <w:r w:rsidR="006B52DD" w:rsidRPr="00CF1787">
        <w:rPr>
          <w:spacing w:val="-2"/>
          <w:szCs w:val="20"/>
          <w:lang w:val="es-CR"/>
        </w:rPr>
        <w:t>”</w:t>
      </w:r>
      <w:r w:rsidRPr="00CF1787">
        <w:rPr>
          <w:spacing w:val="-2"/>
          <w:szCs w:val="20"/>
          <w:lang w:val="es-CR"/>
        </w:rPr>
        <w:t xml:space="preserve">. </w:t>
      </w:r>
    </w:p>
    <w:p w14:paraId="75A2F44F" w14:textId="77777777" w:rsidR="00E84846" w:rsidRPr="00CF1787" w:rsidRDefault="00E84846" w:rsidP="00E84846">
      <w:pPr>
        <w:tabs>
          <w:tab w:val="left" w:pos="567"/>
        </w:tabs>
        <w:rPr>
          <w:szCs w:val="20"/>
          <w:lang w:val="es-CR"/>
        </w:rPr>
      </w:pPr>
    </w:p>
    <w:p w14:paraId="07837390" w14:textId="758E4764" w:rsidR="00BC2C80" w:rsidRPr="00CF1787" w:rsidRDefault="00E84846" w:rsidP="00E84846">
      <w:pPr>
        <w:numPr>
          <w:ilvl w:val="0"/>
          <w:numId w:val="5"/>
        </w:numPr>
        <w:tabs>
          <w:tab w:val="left" w:pos="567"/>
        </w:tabs>
        <w:ind w:left="0" w:firstLine="0"/>
        <w:rPr>
          <w:szCs w:val="20"/>
          <w:lang w:val="es-CR"/>
        </w:rPr>
      </w:pPr>
      <w:r w:rsidRPr="00CF1787">
        <w:rPr>
          <w:color w:val="000000"/>
          <w:szCs w:val="20"/>
          <w:lang w:val="es-CR"/>
        </w:rPr>
        <w:t xml:space="preserve">El </w:t>
      </w:r>
      <w:r w:rsidRPr="00CF1787">
        <w:rPr>
          <w:b/>
          <w:i/>
          <w:color w:val="000000"/>
          <w:szCs w:val="20"/>
          <w:lang w:val="es-CR"/>
        </w:rPr>
        <w:t>Estado</w:t>
      </w:r>
      <w:r w:rsidRPr="00CF1787">
        <w:rPr>
          <w:color w:val="000000"/>
          <w:szCs w:val="20"/>
          <w:lang w:val="es-CR"/>
        </w:rPr>
        <w:t xml:space="preserve"> señaló que “las diligencias </w:t>
      </w:r>
      <w:r w:rsidRPr="00CF1787">
        <w:rPr>
          <w:szCs w:val="20"/>
          <w:lang w:val="es-CR"/>
        </w:rPr>
        <w:t>efectuadas</w:t>
      </w:r>
      <w:r w:rsidRPr="00CF1787">
        <w:rPr>
          <w:color w:val="000000"/>
          <w:szCs w:val="20"/>
          <w:lang w:val="es-CR"/>
        </w:rPr>
        <w:t xml:space="preserve"> por las autoridades judiciales se enmarcaron en los estándares internacionales de debida diligencia, como se indicó en el análisis de fondo, </w:t>
      </w:r>
      <w:r w:rsidR="006E0BA8" w:rsidRPr="00CF1787">
        <w:rPr>
          <w:color w:val="000000"/>
          <w:szCs w:val="20"/>
          <w:lang w:val="es-CR"/>
        </w:rPr>
        <w:t xml:space="preserve">[…] </w:t>
      </w:r>
      <w:r w:rsidRPr="00CF1787">
        <w:rPr>
          <w:color w:val="000000"/>
          <w:szCs w:val="20"/>
          <w:lang w:val="es-CR"/>
        </w:rPr>
        <w:t xml:space="preserve">por lo que no correspondería efectuar una nueva investigación”. </w:t>
      </w:r>
      <w:r w:rsidRPr="00CF1787">
        <w:rPr>
          <w:szCs w:val="20"/>
          <w:lang w:val="es-CR"/>
        </w:rPr>
        <w:t xml:space="preserve">Por otra parte, el Estado explicó que la figura del delito de homicidio, bajo la cual se investigó este caso prescribió en el año 2004, “tomando como referente el máximo tiempo establecido en la ley, y bajo el criterio de que el delito de homicidio no constituía, en la época de los hechos, ni constituye en la actualidad un delito imprescriptible, por lo que no cabría bajo ningún concepto una reapertura del proceso”. Además, resaltó que “no se ha justificado estar frente a una grave violación a derechos humanos”. </w:t>
      </w:r>
    </w:p>
    <w:p w14:paraId="58F50E56" w14:textId="77777777" w:rsidR="00AB466B" w:rsidRPr="00CF1787" w:rsidRDefault="00AB466B" w:rsidP="00BC2C80">
      <w:pPr>
        <w:tabs>
          <w:tab w:val="left" w:pos="567"/>
        </w:tabs>
        <w:autoSpaceDE w:val="0"/>
        <w:autoSpaceDN w:val="0"/>
        <w:adjustRightInd w:val="0"/>
        <w:rPr>
          <w:szCs w:val="20"/>
          <w:lang w:val="es-CR"/>
        </w:rPr>
      </w:pPr>
    </w:p>
    <w:p w14:paraId="4C33EDD5" w14:textId="1301A12D" w:rsidR="00BC2C80" w:rsidRPr="00CF1787" w:rsidRDefault="00F15635" w:rsidP="00A2307B">
      <w:pPr>
        <w:pStyle w:val="Heading4"/>
        <w:rPr>
          <w:lang w:val="es-CR"/>
        </w:rPr>
      </w:pPr>
      <w:bookmarkStart w:id="560" w:name="_Toc465177404"/>
      <w:bookmarkStart w:id="561" w:name="_Toc470098079"/>
      <w:r w:rsidRPr="00CF1787">
        <w:rPr>
          <w:lang w:val="es-CR"/>
        </w:rPr>
        <w:t>B</w:t>
      </w:r>
      <w:r w:rsidR="00BC2C80" w:rsidRPr="00CF1787">
        <w:rPr>
          <w:lang w:val="es-CR"/>
        </w:rPr>
        <w:t>.1.</w:t>
      </w:r>
      <w:r w:rsidR="008A61F1" w:rsidRPr="00CF1787">
        <w:rPr>
          <w:lang w:val="es-CR"/>
        </w:rPr>
        <w:t>b</w:t>
      </w:r>
      <w:r w:rsidR="00BC2C80" w:rsidRPr="00CF1787">
        <w:rPr>
          <w:lang w:val="es-CR"/>
        </w:rPr>
        <w:t xml:space="preserve"> Consideraciones de la Corte</w:t>
      </w:r>
      <w:bookmarkEnd w:id="560"/>
      <w:bookmarkEnd w:id="561"/>
    </w:p>
    <w:p w14:paraId="7F37D021" w14:textId="77777777" w:rsidR="008F3223" w:rsidRPr="00CF1787" w:rsidRDefault="008F3223" w:rsidP="008F3223">
      <w:pPr>
        <w:tabs>
          <w:tab w:val="left" w:pos="567"/>
        </w:tabs>
        <w:rPr>
          <w:rFonts w:cs="ArialUnicodeMS"/>
          <w:szCs w:val="20"/>
          <w:lang w:val="es-CR" w:bidi="en-US"/>
        </w:rPr>
      </w:pPr>
    </w:p>
    <w:p w14:paraId="1B387455" w14:textId="47AD1B0F" w:rsidR="008F3223" w:rsidRPr="00CF1787" w:rsidRDefault="008F3223" w:rsidP="008F3223">
      <w:pPr>
        <w:numPr>
          <w:ilvl w:val="0"/>
          <w:numId w:val="5"/>
        </w:numPr>
        <w:tabs>
          <w:tab w:val="left" w:pos="567"/>
        </w:tabs>
        <w:ind w:left="0" w:firstLine="0"/>
        <w:rPr>
          <w:rFonts w:cs="ArialUnicodeMS"/>
          <w:szCs w:val="20"/>
          <w:lang w:val="es-CR" w:bidi="en-US"/>
        </w:rPr>
      </w:pPr>
      <w:r w:rsidRPr="00CF1787">
        <w:rPr>
          <w:lang w:val="es-CR"/>
        </w:rPr>
        <w:t xml:space="preserve">En el presente caso, el 11 de noviembre de 1996, el Juez </w:t>
      </w:r>
      <w:r w:rsidR="00703B1A" w:rsidRPr="00CF1787">
        <w:rPr>
          <w:rFonts w:cs="Arial"/>
          <w:bCs/>
          <w:szCs w:val="20"/>
          <w:lang w:val="es-CR"/>
        </w:rPr>
        <w:t xml:space="preserve">del Segundo Distrito de la Policía Nacional </w:t>
      </w:r>
      <w:r w:rsidRPr="00CF1787">
        <w:rPr>
          <w:lang w:val="es-CR"/>
        </w:rPr>
        <w:t xml:space="preserve">dictó el sobreseimiento definitivo en el proceso penal en favor de los sindicados </w:t>
      </w:r>
      <w:r w:rsidRPr="00CF1787">
        <w:rPr>
          <w:rFonts w:cs="Arial"/>
          <w:bCs/>
          <w:szCs w:val="20"/>
          <w:lang w:val="es-CR"/>
        </w:rPr>
        <w:t>(</w:t>
      </w:r>
      <w:r w:rsidRPr="00CF1787">
        <w:rPr>
          <w:rFonts w:cs="Arial"/>
          <w:bCs/>
          <w:i/>
          <w:szCs w:val="20"/>
          <w:lang w:val="es-CR"/>
        </w:rPr>
        <w:t xml:space="preserve">supra </w:t>
      </w:r>
      <w:r w:rsidRPr="00CF1787">
        <w:rPr>
          <w:rFonts w:cs="Arial"/>
          <w:bCs/>
          <w:szCs w:val="20"/>
          <w:lang w:val="es-CR"/>
        </w:rPr>
        <w:t xml:space="preserve">párr. </w:t>
      </w:r>
      <w:r w:rsidR="001D29E7" w:rsidRPr="00CF1787">
        <w:fldChar w:fldCharType="begin"/>
      </w:r>
      <w:r w:rsidR="001D29E7" w:rsidRPr="00CF1787">
        <w:instrText xml:space="preserve"> REF _Ref462078622 \r \h  \* MERGEFORMAT </w:instrText>
      </w:r>
      <w:r w:rsidR="001D29E7" w:rsidRPr="00CF1787">
        <w:fldChar w:fldCharType="separate"/>
      </w:r>
      <w:r w:rsidR="00536893" w:rsidRPr="00536893">
        <w:rPr>
          <w:rFonts w:cs="Arial"/>
          <w:bCs/>
          <w:szCs w:val="20"/>
          <w:lang w:val="es-CR"/>
        </w:rPr>
        <w:t>73</w:t>
      </w:r>
      <w:r w:rsidR="001D29E7" w:rsidRPr="00CF1787">
        <w:fldChar w:fldCharType="end"/>
      </w:r>
      <w:r w:rsidRPr="00CF1787">
        <w:rPr>
          <w:rFonts w:cs="Arial"/>
          <w:bCs/>
          <w:szCs w:val="20"/>
          <w:lang w:val="es-CR"/>
        </w:rPr>
        <w:t>)</w:t>
      </w:r>
      <w:r w:rsidR="00A97EE6" w:rsidRPr="00CF1787">
        <w:rPr>
          <w:lang w:val="es-CR"/>
        </w:rPr>
        <w:t xml:space="preserve">, lo cual fue confirmado el </w:t>
      </w:r>
      <w:r w:rsidR="00A97EE6" w:rsidRPr="00CF1787">
        <w:rPr>
          <w:rFonts w:cs="Arial"/>
          <w:bCs/>
          <w:szCs w:val="20"/>
          <w:lang w:val="es-CR"/>
        </w:rPr>
        <w:t>5 de marzo de 1997</w:t>
      </w:r>
      <w:r w:rsidRPr="00CF1787">
        <w:rPr>
          <w:lang w:val="es-CR"/>
        </w:rPr>
        <w:t xml:space="preserve"> </w:t>
      </w:r>
      <w:r w:rsidR="00A97EE6" w:rsidRPr="00CF1787">
        <w:rPr>
          <w:lang w:val="es-CR"/>
        </w:rPr>
        <w:t>por</w:t>
      </w:r>
      <w:r w:rsidR="006B52DD" w:rsidRPr="00CF1787">
        <w:rPr>
          <w:lang w:val="es-CR"/>
        </w:rPr>
        <w:t xml:space="preserve"> la</w:t>
      </w:r>
      <w:r w:rsidR="00A97EE6" w:rsidRPr="00CF1787">
        <w:rPr>
          <w:lang w:val="es-CR"/>
        </w:rPr>
        <w:t xml:space="preserve"> </w:t>
      </w:r>
      <w:r w:rsidR="00A97EE6" w:rsidRPr="00CF1787">
        <w:rPr>
          <w:rFonts w:cs="Arial"/>
          <w:bCs/>
          <w:szCs w:val="20"/>
          <w:lang w:val="es-CR"/>
        </w:rPr>
        <w:t xml:space="preserve">Primera Corte Distrital de la Policía Nacional. </w:t>
      </w:r>
      <w:r w:rsidRPr="00CF1787">
        <w:rPr>
          <w:lang w:val="es-CR"/>
        </w:rPr>
        <w:t xml:space="preserve">Según la legislación interna el sobreseimiento termina el juicio y quien resulta beneficiado, conforme al tradicional principio </w:t>
      </w:r>
      <w:proofErr w:type="spellStart"/>
      <w:r w:rsidR="00D302A9" w:rsidRPr="00CF1787">
        <w:rPr>
          <w:i/>
          <w:lang w:val="es-CR"/>
        </w:rPr>
        <w:t>ne</w:t>
      </w:r>
      <w:proofErr w:type="spellEnd"/>
      <w:r w:rsidR="00D302A9" w:rsidRPr="00CF1787">
        <w:rPr>
          <w:i/>
          <w:lang w:val="es-CR"/>
        </w:rPr>
        <w:t xml:space="preserve"> bis in </w:t>
      </w:r>
      <w:proofErr w:type="spellStart"/>
      <w:r w:rsidR="00D302A9" w:rsidRPr="00CF1787">
        <w:rPr>
          <w:i/>
          <w:lang w:val="es-CR"/>
        </w:rPr>
        <w:t>i</w:t>
      </w:r>
      <w:r w:rsidRPr="00CF1787">
        <w:rPr>
          <w:i/>
          <w:lang w:val="es-CR"/>
        </w:rPr>
        <w:t>dem</w:t>
      </w:r>
      <w:proofErr w:type="spellEnd"/>
      <w:r w:rsidRPr="00CF1787">
        <w:rPr>
          <w:lang w:val="es-CR"/>
        </w:rPr>
        <w:t>, no puede se</w:t>
      </w:r>
      <w:r w:rsidR="00D302A9" w:rsidRPr="00CF1787">
        <w:rPr>
          <w:lang w:val="es-CR"/>
        </w:rPr>
        <w:t>r</w:t>
      </w:r>
      <w:r w:rsidRPr="00CF1787">
        <w:rPr>
          <w:lang w:val="es-CR"/>
        </w:rPr>
        <w:t xml:space="preserve"> nuevamente perseguido por </w:t>
      </w:r>
      <w:r w:rsidR="00584593" w:rsidRPr="00CF1787">
        <w:rPr>
          <w:lang w:val="es-CR"/>
        </w:rPr>
        <w:t>el mismo hecho</w:t>
      </w:r>
      <w:r w:rsidR="00923EA8" w:rsidRPr="00CF1787">
        <w:rPr>
          <w:lang w:val="es-CR"/>
        </w:rPr>
        <w:t xml:space="preserve"> </w:t>
      </w:r>
      <w:r w:rsidRPr="00CF1787">
        <w:rPr>
          <w:rFonts w:cs="Arial"/>
          <w:bCs/>
          <w:szCs w:val="20"/>
          <w:lang w:val="es-CR"/>
        </w:rPr>
        <w:t>(</w:t>
      </w:r>
      <w:r w:rsidRPr="00CF1787">
        <w:rPr>
          <w:rFonts w:cs="Arial"/>
          <w:bCs/>
          <w:i/>
          <w:szCs w:val="20"/>
          <w:lang w:val="es-CR"/>
        </w:rPr>
        <w:t xml:space="preserve">supra </w:t>
      </w:r>
      <w:r w:rsidRPr="00CF1787">
        <w:rPr>
          <w:rFonts w:cs="Arial"/>
          <w:bCs/>
          <w:szCs w:val="20"/>
          <w:lang w:val="es-CR"/>
        </w:rPr>
        <w:t xml:space="preserve">párr. </w:t>
      </w:r>
      <w:r w:rsidR="001D29E7" w:rsidRPr="00CF1787">
        <w:fldChar w:fldCharType="begin"/>
      </w:r>
      <w:r w:rsidR="001D29E7" w:rsidRPr="00CF1787">
        <w:instrText xml:space="preserve"> REF _Ref462157066 \r \h  \* MERGEFORMAT </w:instrText>
      </w:r>
      <w:r w:rsidR="001D29E7" w:rsidRPr="00CF1787">
        <w:fldChar w:fldCharType="separate"/>
      </w:r>
      <w:r w:rsidR="00536893" w:rsidRPr="00536893">
        <w:rPr>
          <w:rFonts w:cs="Arial"/>
          <w:bCs/>
          <w:szCs w:val="20"/>
          <w:lang w:val="es-CR"/>
        </w:rPr>
        <w:t>64</w:t>
      </w:r>
      <w:r w:rsidR="001D29E7" w:rsidRPr="00CF1787">
        <w:fldChar w:fldCharType="end"/>
      </w:r>
      <w:r w:rsidRPr="00CF1787">
        <w:rPr>
          <w:rFonts w:cs="Arial"/>
          <w:bCs/>
          <w:szCs w:val="20"/>
          <w:lang w:val="es-CR"/>
        </w:rPr>
        <w:t>).</w:t>
      </w:r>
    </w:p>
    <w:p w14:paraId="5FD39B8C" w14:textId="77777777" w:rsidR="008F3223" w:rsidRPr="00CF1787" w:rsidRDefault="008F3223" w:rsidP="008F3223">
      <w:pPr>
        <w:tabs>
          <w:tab w:val="left" w:pos="567"/>
        </w:tabs>
        <w:rPr>
          <w:lang w:val="es-CR"/>
        </w:rPr>
      </w:pPr>
    </w:p>
    <w:p w14:paraId="54032C50" w14:textId="58AEB1DE" w:rsidR="008F3223" w:rsidRPr="00CF1787" w:rsidRDefault="008F3223" w:rsidP="008F3223">
      <w:pPr>
        <w:numPr>
          <w:ilvl w:val="0"/>
          <w:numId w:val="5"/>
        </w:numPr>
        <w:tabs>
          <w:tab w:val="left" w:pos="567"/>
        </w:tabs>
        <w:ind w:left="0" w:firstLine="0"/>
        <w:rPr>
          <w:rFonts w:cs="ArialUnicodeMS"/>
          <w:szCs w:val="20"/>
          <w:lang w:val="es-CR" w:bidi="en-US"/>
        </w:rPr>
      </w:pPr>
      <w:r w:rsidRPr="00CF1787">
        <w:rPr>
          <w:lang w:val="es-CR"/>
        </w:rPr>
        <w:t>Es obvio que no es admisible caer en la contradicción de invocar derechos humanos para violarlos respecto de quienes décadas antes fueron sobreseídos por decisión firme. Si bien el sobreseimiento definitivo de 199</w:t>
      </w:r>
      <w:r w:rsidR="002A6CC6" w:rsidRPr="00CF1787">
        <w:rPr>
          <w:lang w:val="es-CR"/>
        </w:rPr>
        <w:t>7</w:t>
      </w:r>
      <w:r w:rsidRPr="00CF1787">
        <w:rPr>
          <w:lang w:val="es-CR"/>
        </w:rPr>
        <w:t xml:space="preserve">, es de dudosa legitimidad en razón del cuestionamiento de la propia jurisdicción que lo pronunció, no obstante, no tiene efecto práctico en el caso discutir el valor de ese sobreseimiento, puesto que incluso de considerarlo nulo, dado el largo tiempo transcurrido, los sindicados serían igualmente beneficiados por la prescripción de la acción penal, dado que el eventual delito imputado no integra la categoría de lo que conforme al derecho internacional no admite la prescripción de la acción penal.  </w:t>
      </w:r>
    </w:p>
    <w:p w14:paraId="18C7ECD4" w14:textId="77777777" w:rsidR="00BC2C80" w:rsidRPr="00CF1787" w:rsidRDefault="00BC2C80" w:rsidP="00BC2C80">
      <w:pPr>
        <w:pStyle w:val="ListParagraph"/>
        <w:numPr>
          <w:ilvl w:val="0"/>
          <w:numId w:val="0"/>
        </w:numPr>
        <w:ind w:left="720"/>
        <w:rPr>
          <w:lang w:val="es-CR"/>
        </w:rPr>
      </w:pPr>
    </w:p>
    <w:p w14:paraId="48D54CD8" w14:textId="77777777" w:rsidR="00E860A1" w:rsidRPr="00CF1787" w:rsidRDefault="00BC2C80" w:rsidP="00E860A1">
      <w:pPr>
        <w:numPr>
          <w:ilvl w:val="0"/>
          <w:numId w:val="5"/>
        </w:numPr>
        <w:tabs>
          <w:tab w:val="left" w:pos="567"/>
        </w:tabs>
        <w:ind w:left="0" w:firstLine="0"/>
        <w:rPr>
          <w:rFonts w:cs="ArialUnicodeMS"/>
          <w:szCs w:val="20"/>
          <w:lang w:val="es-CR" w:bidi="en-US"/>
        </w:rPr>
      </w:pPr>
      <w:r w:rsidRPr="00CF1787">
        <w:rPr>
          <w:szCs w:val="20"/>
          <w:lang w:val="es-CR"/>
        </w:rPr>
        <w:t xml:space="preserve">En vista de lo anterior, la Corte estima que no resulta procedente ordenar al Estado una </w:t>
      </w:r>
      <w:r w:rsidR="00C91134" w:rsidRPr="00CF1787">
        <w:rPr>
          <w:szCs w:val="20"/>
          <w:lang w:val="es-CR"/>
        </w:rPr>
        <w:t xml:space="preserve">investigación penal de </w:t>
      </w:r>
      <w:r w:rsidRPr="00CF1787">
        <w:rPr>
          <w:szCs w:val="20"/>
          <w:lang w:val="es-CR"/>
        </w:rPr>
        <w:t xml:space="preserve">los hechos relacionados con la muerte del señor Valencia Hinojosa ocurrida en diciembre de 1992. </w:t>
      </w:r>
      <w:bookmarkEnd w:id="556"/>
      <w:bookmarkEnd w:id="557"/>
    </w:p>
    <w:p w14:paraId="39F1CD6A" w14:textId="77777777" w:rsidR="00E860A1" w:rsidRPr="00CF1787" w:rsidRDefault="00E860A1" w:rsidP="00E860A1">
      <w:pPr>
        <w:rPr>
          <w:rFonts w:cs="ArialUnicodeMS"/>
          <w:szCs w:val="20"/>
          <w:lang w:val="es-CR" w:bidi="en-US"/>
        </w:rPr>
      </w:pPr>
    </w:p>
    <w:p w14:paraId="0C623846" w14:textId="77777777" w:rsidR="00E860A1" w:rsidRPr="00CF1787" w:rsidRDefault="00F15635" w:rsidP="00A2307B">
      <w:pPr>
        <w:pStyle w:val="Heading3"/>
        <w:rPr>
          <w:lang w:val="es-CR"/>
        </w:rPr>
      </w:pPr>
      <w:bookmarkStart w:id="562" w:name="_Toc465177405"/>
      <w:bookmarkStart w:id="563" w:name="_Toc470098080"/>
      <w:r w:rsidRPr="00CF1787">
        <w:rPr>
          <w:lang w:val="es-CR"/>
        </w:rPr>
        <w:t>B</w:t>
      </w:r>
      <w:r w:rsidR="00E860A1" w:rsidRPr="00CF1787">
        <w:rPr>
          <w:lang w:val="es-CR"/>
        </w:rPr>
        <w:t>.2 Medidas de satisfacción</w:t>
      </w:r>
      <w:r w:rsidR="00A2307B" w:rsidRPr="00CF1787">
        <w:rPr>
          <w:lang w:val="es-CR"/>
        </w:rPr>
        <w:t>: p</w:t>
      </w:r>
      <w:r w:rsidR="00233AA0" w:rsidRPr="00CF1787">
        <w:rPr>
          <w:lang w:val="es-CR"/>
        </w:rPr>
        <w:t>ublicación de la S</w:t>
      </w:r>
      <w:r w:rsidR="00E860A1" w:rsidRPr="00CF1787">
        <w:rPr>
          <w:lang w:val="es-CR"/>
        </w:rPr>
        <w:t>entencia</w:t>
      </w:r>
      <w:bookmarkEnd w:id="562"/>
      <w:bookmarkEnd w:id="563"/>
    </w:p>
    <w:p w14:paraId="2F1583F6" w14:textId="77777777" w:rsidR="00E860A1" w:rsidRPr="00CF1787" w:rsidRDefault="00E860A1" w:rsidP="00E860A1">
      <w:pPr>
        <w:rPr>
          <w:spacing w:val="-2"/>
          <w:lang w:val="es-CR"/>
        </w:rPr>
      </w:pPr>
    </w:p>
    <w:p w14:paraId="6774467D" w14:textId="2BA970EA" w:rsidR="00E860A1" w:rsidRPr="00CF1787" w:rsidRDefault="00BC2C80" w:rsidP="00E860A1">
      <w:pPr>
        <w:numPr>
          <w:ilvl w:val="0"/>
          <w:numId w:val="5"/>
        </w:numPr>
        <w:tabs>
          <w:tab w:val="left" w:pos="567"/>
        </w:tabs>
        <w:ind w:left="0" w:firstLine="0"/>
        <w:rPr>
          <w:rFonts w:cs="ArialUnicodeMS"/>
          <w:szCs w:val="20"/>
          <w:lang w:val="es-CR" w:bidi="en-US"/>
        </w:rPr>
      </w:pPr>
      <w:r w:rsidRPr="00CF1787">
        <w:rPr>
          <w:spacing w:val="-2"/>
          <w:szCs w:val="20"/>
          <w:lang w:val="es-CR"/>
        </w:rPr>
        <w:t xml:space="preserve">Los </w:t>
      </w:r>
      <w:r w:rsidRPr="00CF1787">
        <w:rPr>
          <w:b/>
          <w:i/>
          <w:spacing w:val="-2"/>
          <w:szCs w:val="20"/>
          <w:lang w:val="es-CR"/>
        </w:rPr>
        <w:t>representantes</w:t>
      </w:r>
      <w:r w:rsidR="006B52DD" w:rsidRPr="00CF1787">
        <w:rPr>
          <w:spacing w:val="-2"/>
          <w:szCs w:val="20"/>
          <w:lang w:val="es-CR"/>
        </w:rPr>
        <w:t xml:space="preserve"> solicitaron que “el Estado dé</w:t>
      </w:r>
      <w:r w:rsidRPr="00CF1787">
        <w:rPr>
          <w:spacing w:val="-2"/>
          <w:szCs w:val="20"/>
          <w:lang w:val="es-CR"/>
        </w:rPr>
        <w:t xml:space="preserve"> publicidad a la decisión que en el presente procedimiento adopte la […] Corte”. La </w:t>
      </w:r>
      <w:r w:rsidRPr="00CF1787">
        <w:rPr>
          <w:rFonts w:cs="ArialUnicodeMS"/>
          <w:b/>
          <w:i/>
          <w:szCs w:val="20"/>
          <w:lang w:val="es-CR" w:bidi="en-US"/>
        </w:rPr>
        <w:t>Comisión</w:t>
      </w:r>
      <w:r w:rsidRPr="00CF1787">
        <w:rPr>
          <w:rFonts w:cs="ArialUnicodeMS"/>
          <w:szCs w:val="20"/>
          <w:lang w:val="es-CR" w:bidi="en-US"/>
        </w:rPr>
        <w:t xml:space="preserve"> de forma general solicitó “[r]</w:t>
      </w:r>
      <w:proofErr w:type="spellStart"/>
      <w:r w:rsidRPr="00CF1787">
        <w:rPr>
          <w:rFonts w:cs="ArialUnicodeMS"/>
          <w:szCs w:val="20"/>
          <w:lang w:val="es-CR" w:bidi="en-US"/>
        </w:rPr>
        <w:t>eparar</w:t>
      </w:r>
      <w:proofErr w:type="spellEnd"/>
      <w:r w:rsidRPr="00CF1787">
        <w:rPr>
          <w:rFonts w:cs="ArialUnicodeMS"/>
          <w:szCs w:val="20"/>
          <w:lang w:val="es-CR" w:bidi="en-US"/>
        </w:rPr>
        <w:t xml:space="preserve"> </w:t>
      </w:r>
      <w:r w:rsidRPr="00CF1787">
        <w:rPr>
          <w:rFonts w:cs="ArialUnicodeMS"/>
          <w:szCs w:val="20"/>
          <w:lang w:val="es-CR" w:bidi="en-US"/>
        </w:rPr>
        <w:lastRenderedPageBreak/>
        <w:t>adecuadamente las violaciones de derechos humanos declaradas en el [</w:t>
      </w:r>
      <w:r w:rsidRPr="00CF1787">
        <w:rPr>
          <w:rFonts w:cs="BookmanOldStyle"/>
          <w:color w:val="111111"/>
          <w:szCs w:val="20"/>
          <w:lang w:val="es-CR" w:eastAsia="es-CR"/>
        </w:rPr>
        <w:t xml:space="preserve">Informe de </w:t>
      </w:r>
      <w:r w:rsidR="006B52DD" w:rsidRPr="00CF1787">
        <w:rPr>
          <w:rFonts w:cs="BookmanOldStyle"/>
          <w:color w:val="111111"/>
          <w:szCs w:val="20"/>
          <w:lang w:val="es-CR" w:eastAsia="es-CR"/>
        </w:rPr>
        <w:t xml:space="preserve">Admisibilidad y </w:t>
      </w:r>
      <w:r w:rsidRPr="00CF1787">
        <w:rPr>
          <w:rFonts w:cs="BookmanOldStyle"/>
          <w:color w:val="111111"/>
          <w:szCs w:val="20"/>
          <w:lang w:val="es-CR" w:eastAsia="es-CR"/>
        </w:rPr>
        <w:t>Fondo</w:t>
      </w:r>
      <w:r w:rsidRPr="00CF1787">
        <w:rPr>
          <w:rFonts w:cs="ArialUnicodeMS"/>
          <w:szCs w:val="20"/>
          <w:lang w:val="es-CR" w:bidi="en-US"/>
        </w:rPr>
        <w:t xml:space="preserve">] tanto en el aspecto material como moral, incluyendo medidas de satisfacción por los daños ocasionados”. </w:t>
      </w:r>
      <w:r w:rsidRPr="00CF1787">
        <w:rPr>
          <w:spacing w:val="-2"/>
          <w:szCs w:val="20"/>
          <w:lang w:val="es-CR"/>
        </w:rPr>
        <w:t xml:space="preserve">El </w:t>
      </w:r>
      <w:r w:rsidRPr="00CF1787">
        <w:rPr>
          <w:b/>
          <w:i/>
          <w:spacing w:val="-2"/>
          <w:szCs w:val="20"/>
          <w:lang w:val="es-CR"/>
        </w:rPr>
        <w:t>Estado</w:t>
      </w:r>
      <w:r w:rsidRPr="00CF1787">
        <w:rPr>
          <w:spacing w:val="-2"/>
          <w:szCs w:val="20"/>
          <w:lang w:val="es-CR"/>
        </w:rPr>
        <w:t xml:space="preserve"> indicó que “el requerimiento de los peticionarios vinculado a la publicidad de la [Sentencia] se presentaría únicamente en el supuesto no consentido de que el Tribunal […] resuelva determinar la responsabilidad internacional […] de Ecuador”. </w:t>
      </w:r>
      <w:bookmarkStart w:id="564" w:name="_Ref419393952"/>
    </w:p>
    <w:p w14:paraId="72C1063E" w14:textId="77777777" w:rsidR="00E860A1" w:rsidRPr="00CF1787" w:rsidRDefault="00E860A1" w:rsidP="00E860A1">
      <w:pPr>
        <w:tabs>
          <w:tab w:val="left" w:pos="567"/>
        </w:tabs>
        <w:rPr>
          <w:rFonts w:cs="ArialUnicodeMS"/>
          <w:szCs w:val="20"/>
          <w:lang w:val="es-CR" w:bidi="en-US"/>
        </w:rPr>
      </w:pPr>
    </w:p>
    <w:p w14:paraId="72197ABF" w14:textId="77777777" w:rsidR="00E860A1" w:rsidRPr="00CF1787" w:rsidRDefault="00BC2C80" w:rsidP="00E860A1">
      <w:pPr>
        <w:numPr>
          <w:ilvl w:val="0"/>
          <w:numId w:val="5"/>
        </w:numPr>
        <w:tabs>
          <w:tab w:val="left" w:pos="567"/>
        </w:tabs>
        <w:ind w:left="0" w:firstLine="0"/>
        <w:rPr>
          <w:rFonts w:cs="ArialUnicodeMS"/>
          <w:szCs w:val="20"/>
          <w:lang w:val="es-CR" w:bidi="en-US"/>
        </w:rPr>
      </w:pPr>
      <w:bookmarkStart w:id="565" w:name="_Ref462933799"/>
      <w:r w:rsidRPr="00CF1787">
        <w:rPr>
          <w:lang w:val="es-CR"/>
        </w:rPr>
        <w:t xml:space="preserve">La Corte estima pertinente ordenar, como lo ha hecho en </w:t>
      </w:r>
      <w:r w:rsidRPr="00CF1787">
        <w:rPr>
          <w:szCs w:val="20"/>
          <w:lang w:val="es-CR"/>
        </w:rPr>
        <w:t>otros casos</w:t>
      </w:r>
      <w:r w:rsidRPr="00CF1787">
        <w:rPr>
          <w:rStyle w:val="FootnoteReference"/>
          <w:sz w:val="20"/>
          <w:szCs w:val="20"/>
          <w:lang w:val="es-CR"/>
        </w:rPr>
        <w:footnoteReference w:id="194"/>
      </w:r>
      <w:r w:rsidRPr="00CF1787">
        <w:rPr>
          <w:szCs w:val="20"/>
          <w:lang w:val="es-CR"/>
        </w:rPr>
        <w:t>, que el Estado, en el plazo de seis meses, contado a partir de la notificación de la presente</w:t>
      </w:r>
      <w:r w:rsidRPr="00CF1787">
        <w:rPr>
          <w:lang w:val="es-CR"/>
        </w:rPr>
        <w:t xml:space="preserve"> Sentencia, realice las siguientes publicaciones: a) el resumen oficial de la Sentencia elaborado por la Corte, por una sola vez en el diario oficial y en un diario de amplia circulación nacional, </w:t>
      </w:r>
      <w:r w:rsidR="000A347B" w:rsidRPr="00CF1787">
        <w:rPr>
          <w:lang w:val="es-CR"/>
        </w:rPr>
        <w:t xml:space="preserve">en un tamaño de letra legible y adecuado, </w:t>
      </w:r>
      <w:r w:rsidRPr="00CF1787">
        <w:rPr>
          <w:lang w:val="es-CR"/>
        </w:rPr>
        <w:t>y b) la presente Sentencia en su integridad, disponible al menos por un período de un año, en un sitio web oficial.</w:t>
      </w:r>
      <w:bookmarkEnd w:id="564"/>
      <w:bookmarkEnd w:id="565"/>
    </w:p>
    <w:p w14:paraId="5686E5E6" w14:textId="77777777" w:rsidR="00B46264" w:rsidRPr="00CF1787" w:rsidRDefault="00B46264" w:rsidP="00B46264">
      <w:pPr>
        <w:tabs>
          <w:tab w:val="left" w:pos="567"/>
        </w:tabs>
        <w:rPr>
          <w:rFonts w:cs="ArialUnicodeMS"/>
          <w:szCs w:val="20"/>
          <w:lang w:val="es-CR" w:bidi="en-US"/>
        </w:rPr>
      </w:pPr>
    </w:p>
    <w:p w14:paraId="102E93C8" w14:textId="77777777" w:rsidR="00B46264" w:rsidRPr="00CF1787" w:rsidRDefault="00B46264" w:rsidP="00E860A1">
      <w:pPr>
        <w:numPr>
          <w:ilvl w:val="0"/>
          <w:numId w:val="5"/>
        </w:numPr>
        <w:tabs>
          <w:tab w:val="left" w:pos="567"/>
        </w:tabs>
        <w:ind w:left="0" w:firstLine="0"/>
        <w:rPr>
          <w:rFonts w:cs="ArialUnicodeMS"/>
          <w:szCs w:val="20"/>
          <w:lang w:val="es-CR" w:bidi="en-US"/>
        </w:rPr>
      </w:pPr>
      <w:r w:rsidRPr="00CF1787">
        <w:rPr>
          <w:lang w:val="es-CR"/>
        </w:rPr>
        <w:t>El Estado deberá informar de forma inmediata a esta Corte una vez que proceda a realizar cada una de las publicaciones dispuestas, independientemente del plazo de un año para presentar su primer informe dispuesto en la parte resolutiva de la Sentencia.</w:t>
      </w:r>
    </w:p>
    <w:p w14:paraId="65E8105C" w14:textId="77777777" w:rsidR="00E860A1" w:rsidRPr="00CF1787" w:rsidRDefault="00E860A1" w:rsidP="00E860A1">
      <w:pPr>
        <w:rPr>
          <w:szCs w:val="20"/>
          <w:lang w:val="es-CR"/>
        </w:rPr>
      </w:pPr>
    </w:p>
    <w:p w14:paraId="12C875D0" w14:textId="77777777" w:rsidR="00E860A1" w:rsidRPr="00CF1787" w:rsidRDefault="00E860A1" w:rsidP="00E860A1">
      <w:pPr>
        <w:pStyle w:val="Heading2"/>
        <w:rPr>
          <w:lang w:val="es-CR"/>
        </w:rPr>
      </w:pPr>
      <w:bookmarkStart w:id="566" w:name="_Toc465177406"/>
      <w:bookmarkStart w:id="567" w:name="_Toc470098081"/>
      <w:r w:rsidRPr="00CF1787">
        <w:rPr>
          <w:lang w:val="es-CR"/>
        </w:rPr>
        <w:t>Otras medidas solicitadas</w:t>
      </w:r>
      <w:bookmarkEnd w:id="566"/>
      <w:bookmarkEnd w:id="567"/>
    </w:p>
    <w:p w14:paraId="2F5C5E9E" w14:textId="77777777" w:rsidR="00E860A1" w:rsidRPr="00CF1787" w:rsidRDefault="00E860A1" w:rsidP="00E860A1">
      <w:pPr>
        <w:rPr>
          <w:rFonts w:cs="ArialUnicodeMS"/>
          <w:lang w:val="es-CR" w:bidi="en-US"/>
        </w:rPr>
      </w:pPr>
    </w:p>
    <w:p w14:paraId="05A693C4" w14:textId="62678F04" w:rsidR="00E860A1" w:rsidRPr="00CF1787" w:rsidRDefault="00BC2C80" w:rsidP="00E860A1">
      <w:pPr>
        <w:numPr>
          <w:ilvl w:val="0"/>
          <w:numId w:val="5"/>
        </w:numPr>
        <w:tabs>
          <w:tab w:val="left" w:pos="567"/>
        </w:tabs>
        <w:ind w:left="0" w:firstLine="0"/>
        <w:rPr>
          <w:rFonts w:cs="ArialUnicodeMS"/>
          <w:szCs w:val="20"/>
          <w:lang w:val="es-CR" w:bidi="en-US"/>
        </w:rPr>
      </w:pPr>
      <w:r w:rsidRPr="00CF1787">
        <w:rPr>
          <w:rFonts w:cs="ArialUnicodeMS"/>
          <w:szCs w:val="20"/>
          <w:lang w:val="es-CR" w:bidi="en-US"/>
        </w:rPr>
        <w:t xml:space="preserve">Los </w:t>
      </w:r>
      <w:r w:rsidRPr="00CF1787">
        <w:rPr>
          <w:b/>
          <w:i/>
          <w:spacing w:val="-2"/>
          <w:szCs w:val="20"/>
          <w:lang w:val="es-CR"/>
        </w:rPr>
        <w:t xml:space="preserve">representantes </w:t>
      </w:r>
      <w:r w:rsidRPr="00CF1787">
        <w:rPr>
          <w:spacing w:val="-2"/>
          <w:szCs w:val="20"/>
          <w:lang w:val="es-CR"/>
        </w:rPr>
        <w:t>solicitaron que</w:t>
      </w:r>
      <w:r w:rsidRPr="00CF1787">
        <w:rPr>
          <w:rFonts w:cs="ArialUnicodeMS"/>
          <w:szCs w:val="20"/>
          <w:lang w:val="es-CR" w:bidi="en-US"/>
        </w:rPr>
        <w:t xml:space="preserve"> “</w:t>
      </w:r>
      <w:r w:rsidRPr="00CF1787">
        <w:rPr>
          <w:rFonts w:cs="BookmanOldStyle"/>
          <w:color w:val="111111"/>
          <w:szCs w:val="20"/>
          <w:lang w:val="es-CR" w:eastAsia="es-CR"/>
        </w:rPr>
        <w:t>el Estado cree una política pública que establezca la capacitación en derechos humanos en forma permanente para agentes de la fuerza</w:t>
      </w:r>
      <w:r w:rsidRPr="00CF1787">
        <w:rPr>
          <w:rFonts w:cs="ArialUnicodeMS"/>
          <w:szCs w:val="20"/>
          <w:lang w:val="es-CR" w:bidi="en-US"/>
        </w:rPr>
        <w:t xml:space="preserve"> </w:t>
      </w:r>
      <w:r w:rsidRPr="00CF1787">
        <w:rPr>
          <w:rFonts w:cs="BookmanOldStyle"/>
          <w:color w:val="111111"/>
          <w:szCs w:val="20"/>
          <w:lang w:val="es-CR" w:eastAsia="es-CR"/>
        </w:rPr>
        <w:t xml:space="preserve">pública, jueces y fiscales”. La </w:t>
      </w:r>
      <w:r w:rsidRPr="00CF1787">
        <w:rPr>
          <w:rFonts w:cs="BookmanOldStyle"/>
          <w:b/>
          <w:i/>
          <w:color w:val="111111"/>
          <w:szCs w:val="20"/>
          <w:lang w:val="es-CR" w:eastAsia="es-CR"/>
        </w:rPr>
        <w:t xml:space="preserve">Comisión </w:t>
      </w:r>
      <w:r w:rsidRPr="00CF1787">
        <w:rPr>
          <w:rFonts w:cs="BookmanOldStyle"/>
          <w:color w:val="111111"/>
          <w:szCs w:val="20"/>
          <w:lang w:val="es-CR" w:eastAsia="es-CR"/>
        </w:rPr>
        <w:t>solicitó “[a]</w:t>
      </w:r>
      <w:proofErr w:type="spellStart"/>
      <w:r w:rsidRPr="00CF1787">
        <w:rPr>
          <w:rFonts w:cs="BookmanOldStyle"/>
          <w:color w:val="111111"/>
          <w:szCs w:val="20"/>
          <w:lang w:val="es-CR" w:eastAsia="es-CR"/>
        </w:rPr>
        <w:t>doptar</w:t>
      </w:r>
      <w:proofErr w:type="spellEnd"/>
      <w:r w:rsidRPr="00CF1787">
        <w:rPr>
          <w:rFonts w:cs="BookmanOldStyle"/>
          <w:color w:val="111111"/>
          <w:szCs w:val="20"/>
          <w:lang w:val="es-CR" w:eastAsia="es-CR"/>
        </w:rPr>
        <w:t xml:space="preserve"> medidas legislativas, administrativas y de cualquier otra índole con la finalidad de asegurar que el uso de la fuerza por parte de agentes del Estado, sea compatible con los estándares descritos en el [Informe </w:t>
      </w:r>
      <w:r w:rsidR="006B52DD" w:rsidRPr="00CF1787">
        <w:rPr>
          <w:rFonts w:cs="BookmanOldStyle"/>
          <w:color w:val="111111"/>
          <w:szCs w:val="20"/>
          <w:lang w:val="es-CR" w:eastAsia="es-CR"/>
        </w:rPr>
        <w:t>de Admisibilidad y</w:t>
      </w:r>
      <w:r w:rsidRPr="00CF1787">
        <w:rPr>
          <w:rFonts w:cs="BookmanOldStyle"/>
          <w:color w:val="111111"/>
          <w:szCs w:val="20"/>
          <w:lang w:val="es-CR" w:eastAsia="es-CR"/>
        </w:rPr>
        <w:t xml:space="preserve"> Fondo].</w:t>
      </w:r>
      <w:r w:rsidRPr="00CF1787">
        <w:rPr>
          <w:rFonts w:cs="ArialUnicodeMS"/>
          <w:b/>
          <w:szCs w:val="20"/>
          <w:lang w:val="es-CR" w:bidi="en-US"/>
        </w:rPr>
        <w:t xml:space="preserve"> </w:t>
      </w:r>
      <w:r w:rsidRPr="00CF1787">
        <w:rPr>
          <w:spacing w:val="-2"/>
          <w:szCs w:val="20"/>
          <w:lang w:val="es-CR"/>
        </w:rPr>
        <w:t xml:space="preserve">El </w:t>
      </w:r>
      <w:r w:rsidRPr="00CF1787">
        <w:rPr>
          <w:b/>
          <w:i/>
          <w:spacing w:val="-2"/>
          <w:szCs w:val="20"/>
          <w:lang w:val="es-CR"/>
        </w:rPr>
        <w:t xml:space="preserve">Estado </w:t>
      </w:r>
      <w:r w:rsidRPr="00CF1787">
        <w:rPr>
          <w:spacing w:val="-2"/>
          <w:szCs w:val="20"/>
          <w:lang w:val="es-CR"/>
        </w:rPr>
        <w:t xml:space="preserve">resaltó que ya cuenta con planes de formación en derechos humanos a miembros policiales </w:t>
      </w:r>
      <w:r w:rsidR="00B1448D" w:rsidRPr="00CF1787">
        <w:rPr>
          <w:spacing w:val="-2"/>
          <w:szCs w:val="20"/>
          <w:lang w:val="es-CR"/>
        </w:rPr>
        <w:t xml:space="preserve">y funcionarios judiciales, así como </w:t>
      </w:r>
      <w:r w:rsidRPr="00CF1787">
        <w:rPr>
          <w:spacing w:val="-2"/>
          <w:szCs w:val="20"/>
          <w:lang w:val="es-CR"/>
        </w:rPr>
        <w:t xml:space="preserve">que en el 2014 se emitió el Reglamento de </w:t>
      </w:r>
      <w:r w:rsidR="00B1448D" w:rsidRPr="00CF1787">
        <w:rPr>
          <w:spacing w:val="-2"/>
          <w:szCs w:val="20"/>
          <w:lang w:val="es-CR"/>
        </w:rPr>
        <w:t>Uso Legal</w:t>
      </w:r>
      <w:r w:rsidR="003B3B4D" w:rsidRPr="00CF1787">
        <w:rPr>
          <w:spacing w:val="-2"/>
          <w:szCs w:val="20"/>
          <w:lang w:val="es-CR"/>
        </w:rPr>
        <w:t xml:space="preserve"> y </w:t>
      </w:r>
      <w:r w:rsidR="00B1448D" w:rsidRPr="00CF1787">
        <w:rPr>
          <w:spacing w:val="-2"/>
          <w:szCs w:val="20"/>
          <w:lang w:val="es-CR"/>
        </w:rPr>
        <w:t xml:space="preserve"> Proporcional </w:t>
      </w:r>
      <w:r w:rsidRPr="00CF1787">
        <w:rPr>
          <w:spacing w:val="-2"/>
          <w:szCs w:val="20"/>
          <w:lang w:val="es-CR"/>
        </w:rPr>
        <w:t xml:space="preserve">de la Fuerza para la Policía Nacional. </w:t>
      </w:r>
    </w:p>
    <w:p w14:paraId="627F7ACD" w14:textId="77777777" w:rsidR="00E84846" w:rsidRPr="00CF1787" w:rsidRDefault="00E84846" w:rsidP="00E84846">
      <w:pPr>
        <w:tabs>
          <w:tab w:val="left" w:pos="567"/>
        </w:tabs>
        <w:rPr>
          <w:rFonts w:cs="ArialUnicodeMS"/>
          <w:szCs w:val="20"/>
          <w:lang w:val="es-CR" w:bidi="en-US"/>
        </w:rPr>
      </w:pPr>
    </w:p>
    <w:p w14:paraId="4F96F7F1" w14:textId="21ACC9AB" w:rsidR="00212397" w:rsidRPr="00CF1787" w:rsidRDefault="00725DFA" w:rsidP="00212397">
      <w:pPr>
        <w:pStyle w:val="NoSpacing"/>
        <w:numPr>
          <w:ilvl w:val="0"/>
          <w:numId w:val="5"/>
        </w:numPr>
        <w:tabs>
          <w:tab w:val="left" w:pos="567"/>
        </w:tabs>
        <w:ind w:left="0" w:firstLine="0"/>
        <w:rPr>
          <w:lang w:val="es-CR"/>
        </w:rPr>
      </w:pPr>
      <w:r w:rsidRPr="00CF1787">
        <w:rPr>
          <w:lang w:val="es-CR"/>
        </w:rPr>
        <w:t xml:space="preserve">La Corte recuerda que en 2008 Ecuador adoptó </w:t>
      </w:r>
      <w:r w:rsidRPr="00CF1787">
        <w:rPr>
          <w:szCs w:val="20"/>
          <w:lang w:val="es-CR"/>
        </w:rPr>
        <w:t>una nueva Constitución, mediante la cual derogó el fuero policial (</w:t>
      </w:r>
      <w:r w:rsidRPr="00CF1787">
        <w:rPr>
          <w:i/>
          <w:szCs w:val="20"/>
          <w:lang w:val="es-CR"/>
        </w:rPr>
        <w:t xml:space="preserve">supra </w:t>
      </w:r>
      <w:r w:rsidRPr="00CF1787">
        <w:rPr>
          <w:szCs w:val="20"/>
          <w:lang w:val="es-CR"/>
        </w:rPr>
        <w:t xml:space="preserve">párr. </w:t>
      </w:r>
      <w:r w:rsidR="001D29E7" w:rsidRPr="00CF1787">
        <w:fldChar w:fldCharType="begin"/>
      </w:r>
      <w:r w:rsidR="001D29E7" w:rsidRPr="00CF1787">
        <w:instrText xml:space="preserve"> REF _Ref467780391 \r \h  \* MERGEFORMAT </w:instrText>
      </w:r>
      <w:r w:rsidR="001D29E7" w:rsidRPr="00CF1787">
        <w:fldChar w:fldCharType="separate"/>
      </w:r>
      <w:r w:rsidR="00536893" w:rsidRPr="00536893">
        <w:rPr>
          <w:szCs w:val="20"/>
          <w:lang w:val="es-CR"/>
        </w:rPr>
        <w:t>118</w:t>
      </w:r>
      <w:r w:rsidR="001D29E7" w:rsidRPr="00CF1787">
        <w:fldChar w:fldCharType="end"/>
      </w:r>
      <w:r w:rsidRPr="00CF1787">
        <w:rPr>
          <w:szCs w:val="20"/>
          <w:lang w:val="es-CR"/>
        </w:rPr>
        <w:t xml:space="preserve">). </w:t>
      </w:r>
      <w:r w:rsidR="004B5D25" w:rsidRPr="00CF1787">
        <w:rPr>
          <w:szCs w:val="20"/>
          <w:lang w:val="es-CR"/>
        </w:rPr>
        <w:t>Asimismo, conforme fue</w:t>
      </w:r>
      <w:r w:rsidRPr="00CF1787">
        <w:rPr>
          <w:szCs w:val="20"/>
          <w:lang w:val="es-CR"/>
        </w:rPr>
        <w:t xml:space="preserve"> indicado por el perito </w:t>
      </w:r>
      <w:r w:rsidR="00A37F28" w:rsidRPr="00CF1787">
        <w:rPr>
          <w:szCs w:val="20"/>
          <w:lang w:val="es-CR"/>
        </w:rPr>
        <w:t>Juan Pablo Albán</w:t>
      </w:r>
      <w:r w:rsidRPr="00CF1787">
        <w:rPr>
          <w:szCs w:val="20"/>
          <w:lang w:val="es-CR"/>
        </w:rPr>
        <w:t xml:space="preserve">, </w:t>
      </w:r>
      <w:r w:rsidR="00212397" w:rsidRPr="00CF1787">
        <w:rPr>
          <w:szCs w:val="20"/>
          <w:lang w:val="es-CR"/>
        </w:rPr>
        <w:t xml:space="preserve">en 2010 y 2014 fueron expedidas regulaciones nacionales sobre el uso de la fuerza por parte de la </w:t>
      </w:r>
      <w:r w:rsidR="000036F0" w:rsidRPr="00CF1787">
        <w:rPr>
          <w:szCs w:val="20"/>
          <w:lang w:val="es-CR"/>
        </w:rPr>
        <w:t>p</w:t>
      </w:r>
      <w:r w:rsidR="00212397" w:rsidRPr="00CF1787">
        <w:rPr>
          <w:szCs w:val="20"/>
          <w:lang w:val="es-CR"/>
        </w:rPr>
        <w:t>olicía que actualmente se encuentran vigentes</w:t>
      </w:r>
      <w:r w:rsidR="00212397" w:rsidRPr="00CF1787">
        <w:rPr>
          <w:rStyle w:val="FootnoteReference"/>
          <w:sz w:val="20"/>
          <w:szCs w:val="20"/>
          <w:lang w:val="es-CR"/>
        </w:rPr>
        <w:footnoteReference w:id="195"/>
      </w:r>
      <w:r w:rsidR="00212397" w:rsidRPr="00CF1787">
        <w:rPr>
          <w:szCs w:val="20"/>
          <w:lang w:val="es-CR"/>
        </w:rPr>
        <w:t xml:space="preserve">. Dichas normas no fueron aplicadas en el presente caso, por lo cual no corresponde su examen por parte del Tribunal en esta oportunidad. Sin embargo, teniendo en cuenta su vigencia, </w:t>
      </w:r>
      <w:r w:rsidR="00212397" w:rsidRPr="00CF1787">
        <w:rPr>
          <w:rFonts w:eastAsiaTheme="minorHAnsi" w:cs="Times New Roman"/>
          <w:szCs w:val="20"/>
          <w:lang w:val="es-ES_tradnl" w:eastAsia="es-ES_tradnl"/>
        </w:rPr>
        <w:t xml:space="preserve">la Corte estima que la </w:t>
      </w:r>
      <w:proofErr w:type="spellStart"/>
      <w:r w:rsidR="00212397" w:rsidRPr="00CF1787">
        <w:rPr>
          <w:rFonts w:eastAsiaTheme="minorHAnsi" w:cs="Times New Roman"/>
          <w:szCs w:val="20"/>
          <w:lang w:val="es-ES_tradnl" w:eastAsia="es-ES_tradnl"/>
        </w:rPr>
        <w:t>emisión</w:t>
      </w:r>
      <w:proofErr w:type="spellEnd"/>
      <w:r w:rsidR="00212397" w:rsidRPr="00CF1787">
        <w:rPr>
          <w:rFonts w:eastAsiaTheme="minorHAnsi" w:cs="Times New Roman"/>
          <w:szCs w:val="20"/>
          <w:lang w:val="es-ES_tradnl" w:eastAsia="es-ES_tradnl"/>
        </w:rPr>
        <w:t xml:space="preserve"> de la presente Sentencia y las reparaciones ordenadas en la misma</w:t>
      </w:r>
      <w:r w:rsidR="00212397" w:rsidRPr="00CF1787">
        <w:rPr>
          <w:rFonts w:eastAsiaTheme="minorHAnsi" w:cs="Times New Roman"/>
          <w:lang w:val="es-ES_tradnl" w:eastAsia="es-ES_tradnl"/>
        </w:rPr>
        <w:t xml:space="preserve"> resultan suficientes y adecuadas para el presente caso, y en virtud de ello no considera necesario ordenar medidas adicionales. </w:t>
      </w:r>
    </w:p>
    <w:p w14:paraId="6DB2C0D9" w14:textId="77777777" w:rsidR="00F15635" w:rsidRPr="00CF1787" w:rsidRDefault="00F15635" w:rsidP="00F15635">
      <w:pPr>
        <w:rPr>
          <w:szCs w:val="20"/>
          <w:lang w:val="es-CR"/>
        </w:rPr>
      </w:pPr>
    </w:p>
    <w:p w14:paraId="7D9D3F09" w14:textId="77777777" w:rsidR="00F15635" w:rsidRPr="00CF1787" w:rsidRDefault="00F15635" w:rsidP="00F15635">
      <w:pPr>
        <w:pStyle w:val="Heading2"/>
        <w:rPr>
          <w:lang w:val="es-CR"/>
        </w:rPr>
      </w:pPr>
      <w:bookmarkStart w:id="568" w:name="_Toc465177407"/>
      <w:bookmarkStart w:id="569" w:name="_Toc470098082"/>
      <w:r w:rsidRPr="00CF1787">
        <w:rPr>
          <w:lang w:val="es-CR"/>
        </w:rPr>
        <w:t>Indemnizaciones compensatorias: daño material e inmaterial</w:t>
      </w:r>
      <w:bookmarkEnd w:id="568"/>
      <w:bookmarkEnd w:id="569"/>
    </w:p>
    <w:p w14:paraId="1488465E" w14:textId="77777777" w:rsidR="00F15635" w:rsidRPr="00CF1787" w:rsidRDefault="00F15635" w:rsidP="00F15635">
      <w:pPr>
        <w:rPr>
          <w:rFonts w:cs="ArialUnicodeMS"/>
          <w:szCs w:val="20"/>
          <w:lang w:val="es-CR" w:bidi="en-US"/>
        </w:rPr>
      </w:pPr>
    </w:p>
    <w:p w14:paraId="4B002EA2" w14:textId="77777777" w:rsidR="00F15635" w:rsidRPr="00CF1787" w:rsidRDefault="00F15635" w:rsidP="004C6863">
      <w:pPr>
        <w:pStyle w:val="Heading3"/>
        <w:rPr>
          <w:lang w:val="es-CR"/>
        </w:rPr>
      </w:pPr>
      <w:bookmarkStart w:id="570" w:name="_Toc465177408"/>
      <w:bookmarkStart w:id="571" w:name="_Toc470098083"/>
      <w:r w:rsidRPr="00CF1787">
        <w:rPr>
          <w:lang w:val="es-CR"/>
        </w:rPr>
        <w:t>D.1 Alegatos de las partes y de la Comisión</w:t>
      </w:r>
      <w:bookmarkEnd w:id="570"/>
      <w:bookmarkEnd w:id="571"/>
    </w:p>
    <w:p w14:paraId="6109D650" w14:textId="77777777" w:rsidR="00F15635" w:rsidRPr="00CF1787" w:rsidRDefault="00F15635" w:rsidP="00F15635">
      <w:pPr>
        <w:rPr>
          <w:rFonts w:cs="ArialUnicodeMS"/>
          <w:lang w:val="es-CR" w:bidi="en-US"/>
        </w:rPr>
      </w:pPr>
    </w:p>
    <w:p w14:paraId="516FB69E" w14:textId="5B9E8919" w:rsidR="00F15635" w:rsidRPr="00CF1787" w:rsidRDefault="00BC2C80" w:rsidP="00F15635">
      <w:pPr>
        <w:numPr>
          <w:ilvl w:val="0"/>
          <w:numId w:val="5"/>
        </w:numPr>
        <w:tabs>
          <w:tab w:val="left" w:pos="567"/>
        </w:tabs>
        <w:ind w:left="0" w:firstLine="0"/>
        <w:rPr>
          <w:rFonts w:cs="ArialUnicodeMS"/>
          <w:szCs w:val="20"/>
          <w:lang w:val="es-CR" w:bidi="en-US"/>
        </w:rPr>
      </w:pPr>
      <w:r w:rsidRPr="00CF1787">
        <w:rPr>
          <w:rFonts w:cs="ArialUnicodeMS"/>
          <w:szCs w:val="20"/>
          <w:lang w:val="es-CR" w:bidi="en-US"/>
        </w:rPr>
        <w:t>La</w:t>
      </w:r>
      <w:r w:rsidRPr="00CF1787">
        <w:rPr>
          <w:rFonts w:cs="ArialUnicodeMS"/>
          <w:b/>
          <w:i/>
          <w:szCs w:val="20"/>
          <w:lang w:val="es-CR" w:bidi="en-US"/>
        </w:rPr>
        <w:t xml:space="preserve"> Comisión</w:t>
      </w:r>
      <w:r w:rsidRPr="00CF1787">
        <w:rPr>
          <w:rFonts w:cs="ArialUnicodeMS"/>
          <w:szCs w:val="20"/>
          <w:lang w:val="es-CR" w:bidi="en-US"/>
        </w:rPr>
        <w:t xml:space="preserve"> solicitó a la Corte que disponga “[r]</w:t>
      </w:r>
      <w:proofErr w:type="spellStart"/>
      <w:r w:rsidRPr="00CF1787">
        <w:rPr>
          <w:rFonts w:cs="ArialUnicodeMS"/>
          <w:szCs w:val="20"/>
          <w:lang w:val="es-CR" w:bidi="en-US"/>
        </w:rPr>
        <w:t>eparar</w:t>
      </w:r>
      <w:proofErr w:type="spellEnd"/>
      <w:r w:rsidRPr="00CF1787">
        <w:rPr>
          <w:rFonts w:cs="ArialUnicodeMS"/>
          <w:szCs w:val="20"/>
          <w:lang w:val="es-CR" w:bidi="en-US"/>
        </w:rPr>
        <w:t xml:space="preserve"> adecuadamente las violaciones de derechos humanos declaradas en el […</w:t>
      </w:r>
      <w:r w:rsidR="006B52DD" w:rsidRPr="00CF1787">
        <w:rPr>
          <w:rFonts w:cs="ArialUnicodeMS"/>
          <w:szCs w:val="20"/>
          <w:lang w:val="es-CR" w:bidi="en-US"/>
        </w:rPr>
        <w:t xml:space="preserve"> Informe </w:t>
      </w:r>
      <w:r w:rsidR="006B52DD" w:rsidRPr="00CF1787">
        <w:rPr>
          <w:rFonts w:cs="BookmanOldStyle"/>
          <w:color w:val="111111"/>
          <w:szCs w:val="20"/>
          <w:lang w:val="es-CR" w:eastAsia="es-CR"/>
        </w:rPr>
        <w:t>de Admisibilidad y</w:t>
      </w:r>
      <w:r w:rsidRPr="00CF1787">
        <w:rPr>
          <w:rFonts w:cs="ArialUnicodeMS"/>
          <w:szCs w:val="20"/>
          <w:lang w:val="es-CR" w:bidi="en-US"/>
        </w:rPr>
        <w:t xml:space="preserve"> </w:t>
      </w:r>
      <w:r w:rsidR="006B52DD" w:rsidRPr="00CF1787">
        <w:rPr>
          <w:rFonts w:cs="ArialUnicodeMS"/>
          <w:szCs w:val="20"/>
          <w:lang w:val="es-CR" w:bidi="en-US"/>
        </w:rPr>
        <w:t>F</w:t>
      </w:r>
      <w:r w:rsidRPr="00CF1787">
        <w:rPr>
          <w:rFonts w:cs="ArialUnicodeMS"/>
          <w:szCs w:val="20"/>
          <w:lang w:val="es-CR" w:bidi="en-US"/>
        </w:rPr>
        <w:t xml:space="preserve">ondo] tanto en el aspecto material como moral, incluyendo medidas de satisfacción por los daños ocasionados”. </w:t>
      </w:r>
    </w:p>
    <w:p w14:paraId="45BDB965" w14:textId="77777777" w:rsidR="00F15635" w:rsidRPr="00CF1787" w:rsidRDefault="00F15635" w:rsidP="00F15635">
      <w:pPr>
        <w:tabs>
          <w:tab w:val="left" w:pos="567"/>
        </w:tabs>
        <w:rPr>
          <w:rFonts w:cs="ArialUnicodeMS"/>
          <w:szCs w:val="20"/>
          <w:lang w:val="es-CR" w:bidi="en-US"/>
        </w:rPr>
      </w:pPr>
    </w:p>
    <w:p w14:paraId="1A7E240C" w14:textId="7A509DB5" w:rsidR="00F15635" w:rsidRPr="00CF1787" w:rsidRDefault="00BC2C80" w:rsidP="00F15635">
      <w:pPr>
        <w:numPr>
          <w:ilvl w:val="0"/>
          <w:numId w:val="5"/>
        </w:numPr>
        <w:tabs>
          <w:tab w:val="left" w:pos="567"/>
        </w:tabs>
        <w:ind w:left="0" w:firstLine="0"/>
        <w:rPr>
          <w:rFonts w:cs="ArialUnicodeMS"/>
          <w:szCs w:val="20"/>
          <w:lang w:val="es-CR" w:bidi="en-US"/>
        </w:rPr>
      </w:pPr>
      <w:r w:rsidRPr="00CF1787">
        <w:rPr>
          <w:spacing w:val="-2"/>
          <w:szCs w:val="20"/>
          <w:lang w:val="es-CR"/>
        </w:rPr>
        <w:lastRenderedPageBreak/>
        <w:t xml:space="preserve">Respecto al daño material, los </w:t>
      </w:r>
      <w:r w:rsidRPr="00CF1787">
        <w:rPr>
          <w:b/>
          <w:i/>
          <w:spacing w:val="-2"/>
          <w:szCs w:val="20"/>
          <w:lang w:val="es-CR"/>
        </w:rPr>
        <w:t>representantes</w:t>
      </w:r>
      <w:r w:rsidRPr="00CF1787">
        <w:rPr>
          <w:spacing w:val="-2"/>
          <w:szCs w:val="20"/>
          <w:lang w:val="es-CR"/>
        </w:rPr>
        <w:t xml:space="preserve"> solicitaron que el Estado pague 5.000 dólares “por concepto de gastos incurridos en el</w:t>
      </w:r>
      <w:r w:rsidRPr="00CF1787">
        <w:rPr>
          <w:rFonts w:cs="ArialUnicodeMS"/>
          <w:szCs w:val="20"/>
          <w:lang w:val="es-CR" w:bidi="en-US"/>
        </w:rPr>
        <w:t xml:space="preserve"> </w:t>
      </w:r>
      <w:r w:rsidRPr="00CF1787">
        <w:rPr>
          <w:spacing w:val="-2"/>
          <w:szCs w:val="20"/>
          <w:lang w:val="es-CR"/>
        </w:rPr>
        <w:t>funeral, por la atención psicológica que [la señora Patricia Trujillo] recibió para superar las afectaciones padecidas y por cuanto no llegó a recibir el sueldo de diciembre de 1992 y más beneficios legales (Bonos de Navidad, Décimos)”. Además, sol</w:t>
      </w:r>
      <w:r w:rsidR="0027524E" w:rsidRPr="00CF1787">
        <w:rPr>
          <w:spacing w:val="-2"/>
          <w:szCs w:val="20"/>
          <w:lang w:val="es-CR"/>
        </w:rPr>
        <w:t>i</w:t>
      </w:r>
      <w:r w:rsidRPr="00CF1787">
        <w:rPr>
          <w:spacing w:val="-2"/>
          <w:szCs w:val="20"/>
          <w:lang w:val="es-CR"/>
        </w:rPr>
        <w:t>c</w:t>
      </w:r>
      <w:r w:rsidR="0027524E" w:rsidRPr="00CF1787">
        <w:rPr>
          <w:spacing w:val="-2"/>
          <w:szCs w:val="20"/>
          <w:lang w:val="es-CR"/>
        </w:rPr>
        <w:t>i</w:t>
      </w:r>
      <w:r w:rsidRPr="00CF1787">
        <w:rPr>
          <w:spacing w:val="-2"/>
          <w:szCs w:val="20"/>
          <w:lang w:val="es-CR"/>
        </w:rPr>
        <w:t xml:space="preserve">taron el pago de lucro cesante </w:t>
      </w:r>
      <w:r w:rsidR="0027524E" w:rsidRPr="00CF1787">
        <w:rPr>
          <w:rFonts w:cs="ArialUnicodeMS"/>
          <w:szCs w:val="20"/>
          <w:lang w:val="es-CR" w:bidi="en-US"/>
        </w:rPr>
        <w:t>a</w:t>
      </w:r>
      <w:r w:rsidRPr="00CF1787">
        <w:rPr>
          <w:rFonts w:cs="ArialUnicodeMS"/>
          <w:szCs w:val="20"/>
          <w:lang w:val="es-CR" w:bidi="en-US"/>
        </w:rPr>
        <w:t xml:space="preserve"> Luis Jorge Valencia. Respecto al daño inmaterial, alegaron que</w:t>
      </w:r>
      <w:r w:rsidR="00050911" w:rsidRPr="00CF1787">
        <w:rPr>
          <w:rFonts w:cs="ArialUnicodeMS"/>
          <w:szCs w:val="20"/>
          <w:lang w:val="es-CR" w:bidi="en-US"/>
        </w:rPr>
        <w:t xml:space="preserve"> el “daño moral […] resulta eviden</w:t>
      </w:r>
      <w:r w:rsidR="000036F0" w:rsidRPr="00CF1787">
        <w:rPr>
          <w:rFonts w:cs="ArialUnicodeMS"/>
          <w:szCs w:val="20"/>
          <w:lang w:val="es-CR" w:bidi="en-US"/>
        </w:rPr>
        <w:t>t</w:t>
      </w:r>
      <w:r w:rsidR="00050911" w:rsidRPr="00CF1787">
        <w:rPr>
          <w:rFonts w:cs="ArialUnicodeMS"/>
          <w:szCs w:val="20"/>
          <w:lang w:val="es-CR" w:bidi="en-US"/>
        </w:rPr>
        <w:t>e por la forma violent</w:t>
      </w:r>
      <w:r w:rsidR="000036F0" w:rsidRPr="00CF1787">
        <w:rPr>
          <w:rFonts w:cs="ArialUnicodeMS"/>
          <w:szCs w:val="20"/>
          <w:lang w:val="es-CR" w:bidi="en-US"/>
        </w:rPr>
        <w:t>a</w:t>
      </w:r>
      <w:r w:rsidR="00050911" w:rsidRPr="00CF1787">
        <w:rPr>
          <w:rFonts w:cs="ArialUnicodeMS"/>
          <w:szCs w:val="20"/>
          <w:lang w:val="es-CR" w:bidi="en-US"/>
        </w:rPr>
        <w:t xml:space="preserve"> en que murió [el señor Valencia Hinojosa]”, además de que</w:t>
      </w:r>
      <w:r w:rsidRPr="00CF1787">
        <w:rPr>
          <w:rFonts w:cs="ArialUnicodeMS"/>
          <w:szCs w:val="20"/>
          <w:lang w:val="es-CR" w:bidi="en-US"/>
        </w:rPr>
        <w:t xml:space="preserve"> la señora Patricia Trujillo sufrió angustia y sintió dolor y desesperación cuando agentes policiales violentamente ingresaron a la casa y amenazaron con disparar y matar a su esposo. Asimismo, señalaron que sufrió dolor por “tener que dejar a su tierna niña al cuidado de sus abuelos, para ella dedicarse a buscar trabajo y buscar justicia, […] situación que le llevó de ser una joven de 19 años feliz a una mujer triste con deseos de morir, alejada de todo acto y contacto social, lo cual ocurre incluso actualmente,</w:t>
      </w:r>
      <w:r w:rsidR="006B52DD" w:rsidRPr="00CF1787">
        <w:rPr>
          <w:rFonts w:cs="ArialUnicodeMS"/>
          <w:szCs w:val="20"/>
          <w:lang w:val="es-CR" w:bidi="en-US"/>
        </w:rPr>
        <w:t xml:space="preserve"> [y además]</w:t>
      </w:r>
      <w:r w:rsidRPr="00CF1787">
        <w:rPr>
          <w:rFonts w:cs="ArialUnicodeMS"/>
          <w:szCs w:val="20"/>
          <w:lang w:val="es-CR" w:bidi="en-US"/>
        </w:rPr>
        <w:t xml:space="preserve"> la llevó a perder el cariño de su hija</w:t>
      </w:r>
      <w:r w:rsidR="006B52DD" w:rsidRPr="00CF1787">
        <w:rPr>
          <w:rFonts w:cs="ArialUnicodeMS"/>
          <w:szCs w:val="20"/>
          <w:lang w:val="es-CR" w:bidi="en-US"/>
        </w:rPr>
        <w:t>,</w:t>
      </w:r>
      <w:r w:rsidRPr="00CF1787">
        <w:rPr>
          <w:rFonts w:cs="ArialUnicodeMS"/>
          <w:szCs w:val="20"/>
          <w:lang w:val="es-CR" w:bidi="en-US"/>
        </w:rPr>
        <w:t xml:space="preserve"> a la cual no le pudo dedicar tiempo y amor”. </w:t>
      </w:r>
      <w:r w:rsidR="0027524E" w:rsidRPr="00CF1787">
        <w:rPr>
          <w:rFonts w:cs="ArialUnicodeMS"/>
          <w:szCs w:val="20"/>
          <w:lang w:val="es-CR" w:bidi="en-US"/>
        </w:rPr>
        <w:t>Asimismo,</w:t>
      </w:r>
      <w:r w:rsidR="0027524E" w:rsidRPr="00CF1787">
        <w:rPr>
          <w:rFonts w:cs="ArialUnicodeMS"/>
          <w:b/>
          <w:szCs w:val="20"/>
          <w:lang w:val="es-CR" w:bidi="en-US"/>
        </w:rPr>
        <w:t xml:space="preserve"> </w:t>
      </w:r>
      <w:r w:rsidR="0027524E" w:rsidRPr="00CF1787">
        <w:rPr>
          <w:rFonts w:cs="ArialUnicodeMS"/>
          <w:szCs w:val="20"/>
          <w:lang w:val="es-CR" w:bidi="en-US"/>
        </w:rPr>
        <w:t>alegaron que el</w:t>
      </w:r>
      <w:r w:rsidR="0027524E" w:rsidRPr="00CF1787">
        <w:rPr>
          <w:rFonts w:cs="ArialUnicodeMS"/>
          <w:b/>
          <w:szCs w:val="20"/>
          <w:lang w:val="es-CR" w:bidi="en-US"/>
        </w:rPr>
        <w:t xml:space="preserve"> </w:t>
      </w:r>
      <w:r w:rsidRPr="00CF1787">
        <w:rPr>
          <w:rFonts w:cs="ArialUnicodeMS"/>
          <w:szCs w:val="20"/>
          <w:lang w:val="es-CR" w:bidi="en-US"/>
        </w:rPr>
        <w:t>señor Valencia Hinojosa</w:t>
      </w:r>
      <w:r w:rsidRPr="00CF1787">
        <w:rPr>
          <w:lang w:val="es-CR"/>
        </w:rPr>
        <w:t xml:space="preserve"> </w:t>
      </w:r>
      <w:r w:rsidRPr="00CF1787">
        <w:rPr>
          <w:rFonts w:cs="ArialUnicodeMS"/>
          <w:szCs w:val="20"/>
          <w:lang w:val="es-CR" w:bidi="en-US"/>
        </w:rPr>
        <w:t>sufrió “grave daño psicológico antes de su muerte</w:t>
      </w:r>
      <w:r w:rsidR="0027524E" w:rsidRPr="00CF1787">
        <w:rPr>
          <w:rFonts w:cs="ArialUnicodeMS"/>
          <w:szCs w:val="20"/>
          <w:lang w:val="es-CR" w:bidi="en-US"/>
        </w:rPr>
        <w:t>”</w:t>
      </w:r>
      <w:r w:rsidRPr="00CF1787">
        <w:rPr>
          <w:rFonts w:cs="ArialUnicodeMS"/>
          <w:szCs w:val="20"/>
          <w:lang w:val="es-CR" w:bidi="en-US"/>
        </w:rPr>
        <w:t xml:space="preserve">. En consecuencia, </w:t>
      </w:r>
      <w:r w:rsidR="0087437A" w:rsidRPr="00CF1787">
        <w:rPr>
          <w:rFonts w:cs="ArialUnicodeMS"/>
          <w:szCs w:val="20"/>
          <w:lang w:val="es-CR" w:bidi="en-US"/>
        </w:rPr>
        <w:t>los</w:t>
      </w:r>
      <w:r w:rsidRPr="00CF1787">
        <w:rPr>
          <w:rFonts w:cs="ArialUnicodeMS"/>
          <w:szCs w:val="20"/>
          <w:lang w:val="es-CR" w:bidi="en-US"/>
        </w:rPr>
        <w:t xml:space="preserve"> representante</w:t>
      </w:r>
      <w:r w:rsidR="0087437A" w:rsidRPr="00CF1787">
        <w:rPr>
          <w:rFonts w:cs="ArialUnicodeMS"/>
          <w:szCs w:val="20"/>
          <w:lang w:val="es-CR" w:bidi="en-US"/>
        </w:rPr>
        <w:t>s</w:t>
      </w:r>
      <w:r w:rsidRPr="00CF1787">
        <w:rPr>
          <w:rFonts w:cs="ArialUnicodeMS"/>
          <w:szCs w:val="20"/>
          <w:lang w:val="es-CR" w:bidi="en-US"/>
        </w:rPr>
        <w:t xml:space="preserve"> consider</w:t>
      </w:r>
      <w:r w:rsidR="006B52DD" w:rsidRPr="00CF1787">
        <w:rPr>
          <w:rFonts w:cs="ArialUnicodeMS"/>
          <w:szCs w:val="20"/>
          <w:lang w:val="es-CR" w:bidi="en-US"/>
        </w:rPr>
        <w:t>aron</w:t>
      </w:r>
      <w:r w:rsidRPr="00CF1787">
        <w:rPr>
          <w:rFonts w:cs="ArialUnicodeMS"/>
          <w:szCs w:val="20"/>
          <w:lang w:val="es-CR" w:bidi="en-US"/>
        </w:rPr>
        <w:t xml:space="preserve"> que “la […] Corte en concepto de daño inmaterial por equidad debe ordenar al Estado proced</w:t>
      </w:r>
      <w:r w:rsidR="006B52DD" w:rsidRPr="00CF1787">
        <w:rPr>
          <w:rFonts w:cs="ArialUnicodeMS"/>
          <w:szCs w:val="20"/>
          <w:lang w:val="es-CR" w:bidi="en-US"/>
        </w:rPr>
        <w:t>er</w:t>
      </w:r>
      <w:r w:rsidRPr="00CF1787">
        <w:rPr>
          <w:rFonts w:cs="ArialUnicodeMS"/>
          <w:szCs w:val="20"/>
          <w:lang w:val="es-CR" w:bidi="en-US"/>
        </w:rPr>
        <w:t xml:space="preserve"> a pagar la cantidad de 50.000 dólares”. </w:t>
      </w:r>
    </w:p>
    <w:p w14:paraId="7439975B" w14:textId="77777777" w:rsidR="00050911" w:rsidRPr="00CF1787" w:rsidRDefault="00050911" w:rsidP="00050911">
      <w:pPr>
        <w:tabs>
          <w:tab w:val="left" w:pos="567"/>
        </w:tabs>
        <w:rPr>
          <w:rFonts w:cs="ArialUnicodeMS"/>
          <w:szCs w:val="20"/>
          <w:lang w:val="es-CR" w:bidi="en-US"/>
        </w:rPr>
      </w:pPr>
    </w:p>
    <w:p w14:paraId="60706456" w14:textId="12475764" w:rsidR="00BD7AD8" w:rsidRPr="00CF1787" w:rsidRDefault="00BD7AD8" w:rsidP="00BD7AD8">
      <w:pPr>
        <w:numPr>
          <w:ilvl w:val="0"/>
          <w:numId w:val="5"/>
        </w:numPr>
        <w:tabs>
          <w:tab w:val="left" w:pos="567"/>
        </w:tabs>
        <w:ind w:left="0" w:firstLine="0"/>
        <w:rPr>
          <w:rFonts w:cs="ArialUnicodeMS"/>
          <w:szCs w:val="20"/>
          <w:lang w:val="es-CR" w:bidi="en-US"/>
        </w:rPr>
      </w:pPr>
      <w:r w:rsidRPr="00CF1787">
        <w:rPr>
          <w:rFonts w:cs="ArialUnicodeMS"/>
          <w:szCs w:val="20"/>
          <w:lang w:val="es-CR" w:bidi="en-US"/>
        </w:rPr>
        <w:t xml:space="preserve">El </w:t>
      </w:r>
      <w:r w:rsidRPr="00CF1787">
        <w:rPr>
          <w:rFonts w:cs="ArialUnicodeMS"/>
          <w:b/>
          <w:i/>
          <w:szCs w:val="20"/>
          <w:lang w:val="es-CR" w:bidi="en-US"/>
        </w:rPr>
        <w:t xml:space="preserve">Estado </w:t>
      </w:r>
      <w:r w:rsidRPr="00CF1787">
        <w:rPr>
          <w:rFonts w:cs="ArialUnicodeMS"/>
          <w:szCs w:val="20"/>
          <w:lang w:val="es-CR" w:bidi="en-US"/>
        </w:rPr>
        <w:t>manifestó que “no habría lugar a reparación alguna”, porque no existe responsabilidad internacional que le pueda ser imputada</w:t>
      </w:r>
      <w:r w:rsidR="00A37F28" w:rsidRPr="00CF1787">
        <w:rPr>
          <w:rFonts w:cs="ArialUnicodeMS"/>
          <w:szCs w:val="20"/>
          <w:lang w:val="es-CR" w:bidi="en-US"/>
        </w:rPr>
        <w:t>.</w:t>
      </w:r>
      <w:r w:rsidRPr="00CF1787">
        <w:rPr>
          <w:rFonts w:cs="ArialUnicodeMS"/>
          <w:szCs w:val="20"/>
          <w:lang w:val="es-CR" w:bidi="en-US"/>
        </w:rPr>
        <w:t xml:space="preserve"> Alternativamente, con respecto al daño emergente, señaló que “la señora Patricia Trujillo, desde el 4 de diciembre de 1992 [ha sido] beneficiaria de montepío [militar]”, conforme al artículo 37 de la Ley de Pensiones de las Fuerzas Armadas, aplicable a los miembros de la Policía Nacional. Además agregó que “la señora Trujillo fue beneficiaria de una liquidación correspondiente a la mortuoria y a las pensiones acumuladas del señor Valencia, por un valor de […] un millón ochenta y nueve mil setenta y cuatro sucres, monto que tenía como finalidad cubrir los gastos relacionados</w:t>
      </w:r>
      <w:r w:rsidR="006B52DD" w:rsidRPr="00CF1787">
        <w:rPr>
          <w:rFonts w:cs="ArialUnicodeMS"/>
          <w:szCs w:val="20"/>
          <w:lang w:val="es-CR" w:bidi="en-US"/>
        </w:rPr>
        <w:t xml:space="preserve"> al deceso del señor Valencia”. </w:t>
      </w:r>
      <w:r w:rsidRPr="00CF1787">
        <w:rPr>
          <w:rFonts w:cs="ArialUnicodeMS"/>
          <w:szCs w:val="20"/>
          <w:lang w:val="es-CR" w:bidi="en-US"/>
        </w:rPr>
        <w:t>Con respecto al lucro cesante, alegó que “el cálculo efectuado carece de fundamentación apropiada”. En particular, precisó que no se debe olvidar que “el señor Valencia, el día [de] los hechos, cometió faltas penales y disciplinarias que se encontraban determinadas en la normativa policial”, lo que “</w:t>
      </w:r>
      <w:proofErr w:type="spellStart"/>
      <w:r w:rsidRPr="00CF1787">
        <w:rPr>
          <w:rFonts w:cs="ArialUnicodeMS"/>
          <w:szCs w:val="20"/>
          <w:lang w:val="es-CR" w:bidi="en-US"/>
        </w:rPr>
        <w:t>habrí</w:t>
      </w:r>
      <w:proofErr w:type="spellEnd"/>
      <w:r w:rsidRPr="00CF1787">
        <w:rPr>
          <w:rFonts w:cs="ArialUnicodeMS"/>
          <w:szCs w:val="20"/>
          <w:lang w:val="es-CR" w:bidi="en-US"/>
        </w:rPr>
        <w:t xml:space="preserve">[a] tenido como consecuencia un procesamiento judicial penal y su separación de la institución policial a través del acto administrativo denominado baja, el cual se encontraba establecido en la Ley de Personal de la Policía Nacional”. Manifestó que “por tanto, el señor Valencia no habría recibido más salarios, </w:t>
      </w:r>
      <w:r w:rsidR="006B52DD" w:rsidRPr="00CF1787">
        <w:rPr>
          <w:rFonts w:cs="ArialUnicodeMS"/>
          <w:szCs w:val="20"/>
          <w:lang w:val="es-CR" w:bidi="en-US"/>
        </w:rPr>
        <w:t>ni bonificaciones”. Por otro la</w:t>
      </w:r>
      <w:r w:rsidRPr="00CF1787">
        <w:rPr>
          <w:rFonts w:cs="ArialUnicodeMS"/>
          <w:szCs w:val="20"/>
          <w:lang w:val="es-CR" w:bidi="en-US"/>
        </w:rPr>
        <w:t xml:space="preserve">do, resaltó que la señora Patricia Trujillo, desistió del procedimiento interno, lo cual implica que los daños y perjuicios presuntamente causados no podrían ser reconocidos. </w:t>
      </w:r>
    </w:p>
    <w:p w14:paraId="52C60ED5" w14:textId="77777777" w:rsidR="00BD7AD8" w:rsidRPr="00CF1787" w:rsidRDefault="00BD7AD8" w:rsidP="00BD7AD8">
      <w:pPr>
        <w:tabs>
          <w:tab w:val="left" w:pos="567"/>
        </w:tabs>
        <w:rPr>
          <w:rFonts w:cs="ArialUnicodeMS"/>
          <w:szCs w:val="20"/>
          <w:lang w:val="es-CR" w:bidi="en-US"/>
        </w:rPr>
      </w:pPr>
    </w:p>
    <w:p w14:paraId="1333E82F" w14:textId="1F2B37C8" w:rsidR="00BD7AD8" w:rsidRPr="00CF1787" w:rsidRDefault="00BD7AD8" w:rsidP="00BD7AD8">
      <w:pPr>
        <w:numPr>
          <w:ilvl w:val="0"/>
          <w:numId w:val="5"/>
        </w:numPr>
        <w:tabs>
          <w:tab w:val="left" w:pos="567"/>
        </w:tabs>
        <w:ind w:left="0" w:firstLine="0"/>
        <w:rPr>
          <w:rFonts w:cs="ArialUnicodeMS"/>
          <w:szCs w:val="20"/>
          <w:lang w:val="es-CR" w:bidi="en-US"/>
        </w:rPr>
      </w:pPr>
      <w:r w:rsidRPr="00CF1787">
        <w:rPr>
          <w:rFonts w:cs="ArialUnicodeMS"/>
          <w:szCs w:val="20"/>
          <w:lang w:val="es-CR" w:bidi="en-US"/>
        </w:rPr>
        <w:t>El Estado además señaló que “</w:t>
      </w:r>
      <w:r w:rsidR="0081538D" w:rsidRPr="00CF1787">
        <w:rPr>
          <w:rFonts w:cs="ArialUnicodeMS"/>
          <w:szCs w:val="20"/>
          <w:lang w:val="es-CR" w:bidi="en-US"/>
        </w:rPr>
        <w:t>l</w:t>
      </w:r>
      <w:r w:rsidRPr="00CF1787">
        <w:rPr>
          <w:rFonts w:cs="ArialUnicodeMS"/>
          <w:szCs w:val="20"/>
          <w:lang w:val="es-CR" w:bidi="en-US"/>
        </w:rPr>
        <w:t>a señora Trujillo, a pesar del lamentable deceso de su cónyuge, prosiguió con su vida, así culminó sus estudios obteniendo dos títulos universitarios”</w:t>
      </w:r>
      <w:r w:rsidR="0081538D" w:rsidRPr="00CF1787">
        <w:rPr>
          <w:rFonts w:cs="ArialUnicodeMS"/>
          <w:szCs w:val="20"/>
          <w:lang w:val="es-CR" w:bidi="en-US"/>
        </w:rPr>
        <w:t>, y labora en trabajos vinculados con contabilidad</w:t>
      </w:r>
      <w:r w:rsidRPr="00CF1787">
        <w:rPr>
          <w:rFonts w:cs="ArialUnicodeMS"/>
          <w:szCs w:val="20"/>
          <w:lang w:val="es-CR" w:bidi="en-US"/>
        </w:rPr>
        <w:t xml:space="preserve">. El Estado solicitó a la Corte que deseche las pretensiones expuestas por los representantes, dado que “las alegaciones efectuadas por los representantes de las presuntas víctimas son contradictorias y no demuestran que el Estado ecuatoriano haya generado algún tipo de afectación moral en contra de la señora Trujillo”, y porque tanto los rubros solicitados por daño material como inmaterial “carecen de sustento probatorio alguno”. </w:t>
      </w:r>
      <w:r w:rsidRPr="00CF1787">
        <w:rPr>
          <w:rFonts w:cs="ArialUnicodeMS"/>
          <w:b/>
          <w:szCs w:val="20"/>
          <w:lang w:val="es-CR" w:bidi="en-US"/>
        </w:rPr>
        <w:t xml:space="preserve"> </w:t>
      </w:r>
    </w:p>
    <w:p w14:paraId="495F0EA4" w14:textId="77777777" w:rsidR="00F15635" w:rsidRPr="00CF1787" w:rsidRDefault="00BC2C80" w:rsidP="00F15635">
      <w:pPr>
        <w:tabs>
          <w:tab w:val="left" w:pos="567"/>
        </w:tabs>
        <w:rPr>
          <w:rFonts w:cs="ArialUnicodeMS"/>
          <w:szCs w:val="20"/>
          <w:lang w:val="es-CR" w:bidi="en-US"/>
        </w:rPr>
      </w:pPr>
      <w:r w:rsidRPr="00CF1787">
        <w:rPr>
          <w:rFonts w:cs="ArialUnicodeMS"/>
          <w:b/>
          <w:szCs w:val="20"/>
          <w:lang w:val="es-CR" w:bidi="en-US"/>
        </w:rPr>
        <w:t xml:space="preserve"> </w:t>
      </w:r>
    </w:p>
    <w:p w14:paraId="5EC192ED" w14:textId="77777777" w:rsidR="00F15635" w:rsidRPr="00CF1787" w:rsidRDefault="00F15635" w:rsidP="004C6863">
      <w:pPr>
        <w:pStyle w:val="Heading3"/>
        <w:rPr>
          <w:lang w:val="es-CR"/>
        </w:rPr>
      </w:pPr>
      <w:bookmarkStart w:id="572" w:name="_Toc465177409"/>
      <w:bookmarkStart w:id="573" w:name="_Toc470098084"/>
      <w:r w:rsidRPr="00CF1787">
        <w:rPr>
          <w:lang w:val="es-CR"/>
        </w:rPr>
        <w:t>D.2 Consideraciones de la Corte</w:t>
      </w:r>
      <w:bookmarkEnd w:id="572"/>
      <w:bookmarkEnd w:id="573"/>
    </w:p>
    <w:p w14:paraId="432E76C6" w14:textId="77777777" w:rsidR="0023443B" w:rsidRPr="00CF1787" w:rsidRDefault="0023443B" w:rsidP="00F15635">
      <w:pPr>
        <w:rPr>
          <w:rFonts w:cs="ArialUnicodeMS"/>
          <w:lang w:val="es-CR" w:bidi="en-US"/>
        </w:rPr>
      </w:pPr>
    </w:p>
    <w:p w14:paraId="688F5A40" w14:textId="3AAF3B87" w:rsidR="00F15635" w:rsidRPr="00CF1787" w:rsidRDefault="00BC2C80" w:rsidP="00F15635">
      <w:pPr>
        <w:numPr>
          <w:ilvl w:val="0"/>
          <w:numId w:val="5"/>
        </w:numPr>
        <w:tabs>
          <w:tab w:val="left" w:pos="567"/>
        </w:tabs>
        <w:ind w:left="0" w:firstLine="0"/>
        <w:rPr>
          <w:rFonts w:cs="ArialUnicodeMS"/>
          <w:szCs w:val="20"/>
          <w:lang w:val="es-CR" w:bidi="en-US"/>
        </w:rPr>
      </w:pPr>
      <w:r w:rsidRPr="00CF1787">
        <w:rPr>
          <w:rFonts w:cs="ArialUnicodeMS"/>
          <w:szCs w:val="20"/>
          <w:lang w:val="es-CR" w:bidi="en-US"/>
        </w:rPr>
        <w:t xml:space="preserve">La Corte </w:t>
      </w:r>
      <w:r w:rsidRPr="00CF1787">
        <w:rPr>
          <w:rFonts w:cs="Verdana"/>
          <w:spacing w:val="-2"/>
          <w:szCs w:val="20"/>
          <w:lang w:val="es-CR" w:bidi="en-US"/>
        </w:rPr>
        <w:t xml:space="preserve">ha desarrollado en su jurisprudencia el concepto de daño material y </w:t>
      </w:r>
      <w:r w:rsidRPr="00CF1787">
        <w:rPr>
          <w:rFonts w:cs="Verdana"/>
          <w:bCs/>
          <w:spacing w:val="-2"/>
          <w:szCs w:val="20"/>
          <w:lang w:val="es-CR"/>
        </w:rPr>
        <w:t xml:space="preserve">ha establecido que el mismo supone la pérdida o detrimento de los ingresos de las víctimas, los gastos efectuados con motivo de los hechos y las consecuencias de carácter pecuniario que </w:t>
      </w:r>
      <w:r w:rsidRPr="00CF1787">
        <w:rPr>
          <w:rFonts w:cs="Verdana"/>
          <w:bCs/>
          <w:spacing w:val="-2"/>
          <w:szCs w:val="20"/>
          <w:lang w:val="es-CR"/>
        </w:rPr>
        <w:lastRenderedPageBreak/>
        <w:t>tengan un nexo causal con los hechos del caso</w:t>
      </w:r>
      <w:r w:rsidR="009225CF" w:rsidRPr="00CF1787">
        <w:rPr>
          <w:rStyle w:val="FootnoteReference"/>
          <w:sz w:val="20"/>
          <w:szCs w:val="20"/>
          <w:lang w:val="es-CR" w:bidi="en-US"/>
        </w:rPr>
        <w:footnoteReference w:id="196"/>
      </w:r>
      <w:r w:rsidRPr="00CF1787">
        <w:rPr>
          <w:rFonts w:cs="ArialUnicodeMS"/>
          <w:szCs w:val="20"/>
          <w:lang w:val="es-CR" w:bidi="en-US"/>
        </w:rPr>
        <w:t>.</w:t>
      </w:r>
      <w:r w:rsidRPr="00CF1787">
        <w:rPr>
          <w:rFonts w:cs="Verdana"/>
          <w:spacing w:val="-2"/>
          <w:szCs w:val="20"/>
          <w:lang w:val="es-CR"/>
        </w:rPr>
        <w:t xml:space="preserve"> Por otra parte, </w:t>
      </w:r>
      <w:r w:rsidRPr="00CF1787">
        <w:rPr>
          <w:rFonts w:eastAsia="MS Mincho" w:cs="Verdana"/>
          <w:spacing w:val="-2"/>
          <w:szCs w:val="20"/>
          <w:lang w:val="es-CR" w:bidi="en-US"/>
        </w:rPr>
        <w:t xml:space="preserve">la jurisprudencia internacional ha establecido reiteradamente que la sentencia puede constituir por </w:t>
      </w:r>
      <w:proofErr w:type="spellStart"/>
      <w:r w:rsidRPr="00CF1787">
        <w:rPr>
          <w:rFonts w:eastAsia="MS Mincho" w:cs="Verdana"/>
          <w:spacing w:val="-2"/>
          <w:szCs w:val="20"/>
          <w:lang w:val="es-CR" w:bidi="en-US"/>
        </w:rPr>
        <w:t>si</w:t>
      </w:r>
      <w:proofErr w:type="spellEnd"/>
      <w:r w:rsidRPr="00CF1787">
        <w:rPr>
          <w:rFonts w:eastAsia="MS Mincho" w:cs="Verdana"/>
          <w:spacing w:val="-2"/>
          <w:szCs w:val="20"/>
          <w:lang w:val="es-CR" w:bidi="en-US"/>
        </w:rPr>
        <w:t xml:space="preserve"> misma</w:t>
      </w:r>
      <w:r w:rsidRPr="00CF1787">
        <w:rPr>
          <w:rFonts w:eastAsia="MS Mincho" w:cs="Verdana"/>
          <w:i/>
          <w:iCs/>
          <w:spacing w:val="-2"/>
          <w:szCs w:val="20"/>
          <w:lang w:val="es-CR" w:bidi="en-US"/>
        </w:rPr>
        <w:t xml:space="preserve"> </w:t>
      </w:r>
      <w:r w:rsidRPr="00CF1787">
        <w:rPr>
          <w:rFonts w:eastAsia="MS Mincho" w:cs="Verdana"/>
          <w:spacing w:val="-2"/>
          <w:szCs w:val="20"/>
          <w:lang w:val="es-CR" w:bidi="en-US"/>
        </w:rPr>
        <w:t>una forma de reparación</w:t>
      </w:r>
      <w:r w:rsidR="009225CF" w:rsidRPr="00CF1787">
        <w:rPr>
          <w:rFonts w:eastAsia="MS Mincho"/>
          <w:spacing w:val="-2"/>
          <w:szCs w:val="20"/>
          <w:vertAlign w:val="superscript"/>
          <w:lang w:val="es-CR" w:bidi="en-US"/>
        </w:rPr>
        <w:t xml:space="preserve"> </w:t>
      </w:r>
      <w:r w:rsidR="009225CF" w:rsidRPr="00CF1787">
        <w:rPr>
          <w:szCs w:val="20"/>
          <w:lang w:val="es-CR" w:bidi="en-US"/>
        </w:rPr>
        <w:t>(</w:t>
      </w:r>
      <w:r w:rsidR="009225CF" w:rsidRPr="00CF1787">
        <w:rPr>
          <w:i/>
          <w:szCs w:val="20"/>
          <w:lang w:val="es-CR" w:bidi="en-US"/>
        </w:rPr>
        <w:t>supra</w:t>
      </w:r>
      <w:r w:rsidR="009225CF" w:rsidRPr="00CF1787">
        <w:rPr>
          <w:szCs w:val="20"/>
          <w:lang w:val="es-CR" w:bidi="en-US"/>
        </w:rPr>
        <w:t xml:space="preserve"> párr. </w:t>
      </w:r>
      <w:r w:rsidR="009225CF" w:rsidRPr="00CF1787">
        <w:rPr>
          <w:szCs w:val="20"/>
          <w:lang w:val="es-CR" w:bidi="en-US"/>
        </w:rPr>
        <w:fldChar w:fldCharType="begin"/>
      </w:r>
      <w:r w:rsidR="009225CF" w:rsidRPr="00CF1787">
        <w:rPr>
          <w:szCs w:val="20"/>
          <w:lang w:val="es-CR" w:bidi="en-US"/>
        </w:rPr>
        <w:instrText xml:space="preserve"> REF _Ref470094698 \r \h </w:instrText>
      </w:r>
      <w:r w:rsidR="00CF1787">
        <w:rPr>
          <w:szCs w:val="20"/>
          <w:lang w:val="es-CR" w:bidi="en-US"/>
        </w:rPr>
        <w:instrText xml:space="preserve"> \* MERGEFORMAT </w:instrText>
      </w:r>
      <w:r w:rsidR="009225CF" w:rsidRPr="00CF1787">
        <w:rPr>
          <w:szCs w:val="20"/>
          <w:lang w:val="es-CR" w:bidi="en-US"/>
        </w:rPr>
      </w:r>
      <w:r w:rsidR="009225CF" w:rsidRPr="00CF1787">
        <w:rPr>
          <w:szCs w:val="20"/>
          <w:lang w:val="es-CR" w:bidi="en-US"/>
        </w:rPr>
        <w:fldChar w:fldCharType="separate"/>
      </w:r>
      <w:r w:rsidR="00536893">
        <w:rPr>
          <w:szCs w:val="20"/>
          <w:lang w:val="es-CR" w:bidi="en-US"/>
        </w:rPr>
        <w:t>150</w:t>
      </w:r>
      <w:r w:rsidR="009225CF" w:rsidRPr="00CF1787">
        <w:rPr>
          <w:szCs w:val="20"/>
          <w:lang w:val="es-CR" w:bidi="en-US"/>
        </w:rPr>
        <w:fldChar w:fldCharType="end"/>
      </w:r>
      <w:r w:rsidR="009225CF" w:rsidRPr="00CF1787">
        <w:rPr>
          <w:szCs w:val="20"/>
          <w:lang w:val="es-CR" w:bidi="en-US"/>
        </w:rPr>
        <w:t>)</w:t>
      </w:r>
      <w:r w:rsidRPr="00CF1787">
        <w:rPr>
          <w:rFonts w:eastAsia="MS Mincho" w:cs="Verdana"/>
          <w:spacing w:val="-2"/>
          <w:szCs w:val="20"/>
          <w:lang w:val="es-CR" w:bidi="en-US"/>
        </w:rPr>
        <w:t xml:space="preserve">. No obstante, </w:t>
      </w:r>
      <w:r w:rsidRPr="00CF1787">
        <w:rPr>
          <w:rFonts w:cs="Verdana"/>
          <w:spacing w:val="-2"/>
          <w:szCs w:val="20"/>
          <w:lang w:val="es-CR" w:bidi="en-US"/>
        </w:rPr>
        <w:t>la Corte ha desarrollado en su jurisprudencia el concepto de daño inmaterial, el cual</w:t>
      </w:r>
      <w:r w:rsidRPr="00CF1787">
        <w:rPr>
          <w:rFonts w:cs="Verdana"/>
          <w:spacing w:val="-2"/>
          <w:szCs w:val="20"/>
          <w:lang w:val="es-CR"/>
        </w:rPr>
        <w:t xml:space="preserve"> puede comprender tanto los sufrimientos y las aflicciones causados a las víctimas directas, el menoscabo de valores muy significativos para las personas, así como las alteraciones, de carácter no pecuniario, en las condiciones de existencia de la víctima o su familia</w:t>
      </w:r>
      <w:r w:rsidRPr="00CF1787">
        <w:rPr>
          <w:rStyle w:val="FootnoteReference"/>
          <w:sz w:val="20"/>
          <w:szCs w:val="20"/>
          <w:lang w:val="es-CR"/>
        </w:rPr>
        <w:footnoteReference w:id="197"/>
      </w:r>
      <w:r w:rsidRPr="00CF1787">
        <w:rPr>
          <w:rFonts w:cs="Verdana"/>
          <w:spacing w:val="-2"/>
          <w:szCs w:val="20"/>
          <w:lang w:val="es-CR" w:bidi="en-US"/>
        </w:rPr>
        <w:t>.</w:t>
      </w:r>
    </w:p>
    <w:p w14:paraId="5E863EA9" w14:textId="77777777" w:rsidR="00F15635" w:rsidRPr="00CF1787" w:rsidRDefault="00F15635" w:rsidP="00F15635">
      <w:pPr>
        <w:tabs>
          <w:tab w:val="left" w:pos="567"/>
        </w:tabs>
        <w:rPr>
          <w:rFonts w:cs="ArialUnicodeMS"/>
          <w:szCs w:val="20"/>
          <w:lang w:val="es-CR" w:bidi="en-US"/>
        </w:rPr>
      </w:pPr>
    </w:p>
    <w:p w14:paraId="5F1ECB6F" w14:textId="6F8B883A" w:rsidR="00F15635" w:rsidRPr="00CF1787" w:rsidRDefault="006B52DD" w:rsidP="00F15635">
      <w:pPr>
        <w:numPr>
          <w:ilvl w:val="0"/>
          <w:numId w:val="5"/>
        </w:numPr>
        <w:tabs>
          <w:tab w:val="left" w:pos="567"/>
        </w:tabs>
        <w:ind w:left="0" w:firstLine="0"/>
        <w:rPr>
          <w:rFonts w:cs="ArialUnicodeMS"/>
          <w:szCs w:val="20"/>
          <w:lang w:val="es-CR" w:bidi="en-US"/>
        </w:rPr>
      </w:pPr>
      <w:r w:rsidRPr="00CF1787">
        <w:rPr>
          <w:rFonts w:cs="ArialUnicodeMS"/>
          <w:szCs w:val="20"/>
          <w:lang w:val="es-CR" w:bidi="en-US"/>
        </w:rPr>
        <w:t>Respecto del presente caso</w:t>
      </w:r>
      <w:r w:rsidR="00BC2C80" w:rsidRPr="00CF1787">
        <w:rPr>
          <w:rFonts w:cs="ArialUnicodeMS"/>
          <w:szCs w:val="20"/>
          <w:lang w:val="es-CR" w:bidi="en-US"/>
        </w:rPr>
        <w:t>, este Tribunal recuerda que la obligación de reparación surge como consecuencia de una violación de la Convención por parte del Estado (</w:t>
      </w:r>
      <w:r w:rsidR="00BC2C80" w:rsidRPr="00CF1787">
        <w:rPr>
          <w:rFonts w:cs="ArialUnicodeMS"/>
          <w:i/>
          <w:szCs w:val="20"/>
          <w:lang w:val="es-CR" w:bidi="en-US"/>
        </w:rPr>
        <w:t xml:space="preserve">supra </w:t>
      </w:r>
      <w:r w:rsidR="00BC2C80" w:rsidRPr="00CF1787">
        <w:rPr>
          <w:rFonts w:cs="ArialUnicodeMS"/>
          <w:szCs w:val="20"/>
          <w:lang w:val="es-CR" w:bidi="en-US"/>
        </w:rPr>
        <w:t>párr.</w:t>
      </w:r>
      <w:r w:rsidR="00F2305A" w:rsidRPr="00CF1787">
        <w:rPr>
          <w:rFonts w:cs="ArialUnicodeMS"/>
          <w:szCs w:val="20"/>
          <w:lang w:val="es-CR" w:bidi="en-US"/>
        </w:rPr>
        <w:t xml:space="preserve"> </w:t>
      </w:r>
      <w:r w:rsidR="00141E4A" w:rsidRPr="00CF1787">
        <w:rPr>
          <w:rFonts w:cs="ArialUnicodeMS"/>
          <w:szCs w:val="20"/>
          <w:lang w:val="es-CR" w:bidi="en-US"/>
        </w:rPr>
        <w:fldChar w:fldCharType="begin"/>
      </w:r>
      <w:r w:rsidR="00141E4A" w:rsidRPr="00CF1787">
        <w:rPr>
          <w:rFonts w:cs="ArialUnicodeMS"/>
          <w:szCs w:val="20"/>
          <w:lang w:val="es-CR" w:bidi="en-US"/>
        </w:rPr>
        <w:instrText xml:space="preserve"> REF _Ref469043759 \r \h </w:instrText>
      </w:r>
      <w:r w:rsidR="00CF1787">
        <w:rPr>
          <w:rFonts w:cs="ArialUnicodeMS"/>
          <w:szCs w:val="20"/>
          <w:lang w:val="es-CR" w:bidi="en-US"/>
        </w:rPr>
        <w:instrText xml:space="preserve"> \* MERGEFORMAT </w:instrText>
      </w:r>
      <w:r w:rsidR="00141E4A" w:rsidRPr="00CF1787">
        <w:rPr>
          <w:rFonts w:cs="ArialUnicodeMS"/>
          <w:szCs w:val="20"/>
          <w:lang w:val="es-CR" w:bidi="en-US"/>
        </w:rPr>
      </w:r>
      <w:r w:rsidR="00141E4A" w:rsidRPr="00CF1787">
        <w:rPr>
          <w:rFonts w:cs="ArialUnicodeMS"/>
          <w:szCs w:val="20"/>
          <w:lang w:val="es-CR" w:bidi="en-US"/>
        </w:rPr>
        <w:fldChar w:fldCharType="separate"/>
      </w:r>
      <w:r w:rsidR="00536893">
        <w:rPr>
          <w:rFonts w:cs="ArialUnicodeMS"/>
          <w:szCs w:val="20"/>
          <w:lang w:val="es-CR" w:bidi="en-US"/>
        </w:rPr>
        <w:t>147</w:t>
      </w:r>
      <w:r w:rsidR="00141E4A" w:rsidRPr="00CF1787">
        <w:rPr>
          <w:rFonts w:cs="ArialUnicodeMS"/>
          <w:szCs w:val="20"/>
          <w:lang w:val="es-CR" w:bidi="en-US"/>
        </w:rPr>
        <w:fldChar w:fldCharType="end"/>
      </w:r>
      <w:r w:rsidR="00BC2C80" w:rsidRPr="00CF1787">
        <w:rPr>
          <w:rFonts w:cs="ArialUnicodeMS"/>
          <w:szCs w:val="20"/>
          <w:lang w:val="es-CR" w:bidi="en-US"/>
        </w:rPr>
        <w:t xml:space="preserve">), por lo que el desistimiento de la señora Trujillo </w:t>
      </w:r>
      <w:r w:rsidRPr="00CF1787">
        <w:rPr>
          <w:rFonts w:cs="ArialUnicodeMS"/>
          <w:szCs w:val="20"/>
          <w:lang w:val="es-CR" w:bidi="en-US"/>
        </w:rPr>
        <w:t>Esparza d</w:t>
      </w:r>
      <w:r w:rsidR="00BC2C80" w:rsidRPr="00CF1787">
        <w:rPr>
          <w:rFonts w:cs="ArialUnicodeMS"/>
          <w:szCs w:val="20"/>
          <w:lang w:val="es-CR" w:bidi="en-US"/>
        </w:rPr>
        <w:t>el procedimiento penal interno no impide que la Corte otorgue medidas de reparación por la</w:t>
      </w:r>
      <w:r w:rsidRPr="00CF1787">
        <w:rPr>
          <w:rFonts w:cs="ArialUnicodeMS"/>
          <w:szCs w:val="20"/>
          <w:lang w:val="es-CR" w:bidi="en-US"/>
        </w:rPr>
        <w:t>s</w:t>
      </w:r>
      <w:r w:rsidR="00BC2C80" w:rsidRPr="00CF1787">
        <w:rPr>
          <w:rFonts w:cs="ArialUnicodeMS"/>
          <w:szCs w:val="20"/>
          <w:lang w:val="es-CR" w:bidi="en-US"/>
        </w:rPr>
        <w:t xml:space="preserve"> vulneraci</w:t>
      </w:r>
      <w:r w:rsidRPr="00CF1787">
        <w:rPr>
          <w:rFonts w:cs="ArialUnicodeMS"/>
          <w:szCs w:val="20"/>
          <w:lang w:val="es-CR" w:bidi="en-US"/>
        </w:rPr>
        <w:t>ones</w:t>
      </w:r>
      <w:r w:rsidR="00BC2C80" w:rsidRPr="00CF1787">
        <w:rPr>
          <w:rFonts w:cs="ArialUnicodeMS"/>
          <w:szCs w:val="20"/>
          <w:lang w:val="es-CR" w:bidi="en-US"/>
        </w:rPr>
        <w:t xml:space="preserve"> de derechos humanos </w:t>
      </w:r>
      <w:r w:rsidRPr="00CF1787">
        <w:rPr>
          <w:rFonts w:cs="ArialUnicodeMS"/>
          <w:szCs w:val="20"/>
          <w:lang w:val="es-CR" w:bidi="en-US"/>
        </w:rPr>
        <w:t xml:space="preserve">declaradas en esta Sentencia en su </w:t>
      </w:r>
      <w:r w:rsidR="00BC2C80" w:rsidRPr="00CF1787">
        <w:rPr>
          <w:rFonts w:cs="ArialUnicodeMS"/>
          <w:szCs w:val="20"/>
          <w:lang w:val="es-CR" w:bidi="en-US"/>
        </w:rPr>
        <w:t xml:space="preserve">perjuicio. </w:t>
      </w:r>
    </w:p>
    <w:p w14:paraId="3B6F4CB2" w14:textId="77777777" w:rsidR="00F15635" w:rsidRPr="00CF1787" w:rsidRDefault="00F15635" w:rsidP="00F15635">
      <w:pPr>
        <w:pStyle w:val="ListParagraph"/>
        <w:numPr>
          <w:ilvl w:val="0"/>
          <w:numId w:val="0"/>
        </w:numPr>
        <w:ind w:left="720"/>
        <w:rPr>
          <w:lang w:val="es-CR"/>
        </w:rPr>
      </w:pPr>
    </w:p>
    <w:p w14:paraId="37DE2DAB" w14:textId="2C2A127F" w:rsidR="00164F47" w:rsidRPr="00CF1787" w:rsidRDefault="00BC2C80" w:rsidP="00164F47">
      <w:pPr>
        <w:numPr>
          <w:ilvl w:val="0"/>
          <w:numId w:val="5"/>
        </w:numPr>
        <w:tabs>
          <w:tab w:val="left" w:pos="567"/>
        </w:tabs>
        <w:ind w:left="0" w:firstLine="0"/>
        <w:rPr>
          <w:rFonts w:cs="ArialUnicodeMS"/>
          <w:szCs w:val="20"/>
          <w:lang w:val="es-CR" w:bidi="en-US"/>
        </w:rPr>
      </w:pPr>
      <w:r w:rsidRPr="00CF1787">
        <w:rPr>
          <w:szCs w:val="20"/>
          <w:lang w:val="es-CR"/>
        </w:rPr>
        <w:t xml:space="preserve">Por otra parte, la Corte advierte que los alegatos respecto al lucro cesante y </w:t>
      </w:r>
      <w:r w:rsidR="000C6A90" w:rsidRPr="00CF1787">
        <w:rPr>
          <w:szCs w:val="20"/>
          <w:lang w:val="es-CR"/>
        </w:rPr>
        <w:t xml:space="preserve">varios de los </w:t>
      </w:r>
      <w:r w:rsidRPr="00CF1787">
        <w:rPr>
          <w:szCs w:val="20"/>
          <w:lang w:val="es-CR"/>
        </w:rPr>
        <w:t>alegatos relat</w:t>
      </w:r>
      <w:r w:rsidR="00164F47" w:rsidRPr="00CF1787">
        <w:rPr>
          <w:szCs w:val="20"/>
          <w:lang w:val="es-CR"/>
        </w:rPr>
        <w:t>i</w:t>
      </w:r>
      <w:r w:rsidRPr="00CF1787">
        <w:rPr>
          <w:szCs w:val="20"/>
          <w:lang w:val="es-CR"/>
        </w:rPr>
        <w:t xml:space="preserve">vos al daño emergente se vinculan con </w:t>
      </w:r>
      <w:r w:rsidR="00141E4A" w:rsidRPr="00CF1787">
        <w:rPr>
          <w:szCs w:val="20"/>
          <w:lang w:val="es-CR"/>
        </w:rPr>
        <w:t>la obligación de res</w:t>
      </w:r>
      <w:r w:rsidR="00F2305A" w:rsidRPr="00CF1787">
        <w:rPr>
          <w:szCs w:val="20"/>
          <w:lang w:val="es-CR"/>
        </w:rPr>
        <w:t>pe</w:t>
      </w:r>
      <w:r w:rsidR="00141E4A" w:rsidRPr="00CF1787">
        <w:rPr>
          <w:szCs w:val="20"/>
          <w:lang w:val="es-CR"/>
        </w:rPr>
        <w:t xml:space="preserve">tar el derecho a la vida </w:t>
      </w:r>
      <w:r w:rsidRPr="00CF1787">
        <w:rPr>
          <w:szCs w:val="20"/>
          <w:lang w:val="es-CR"/>
        </w:rPr>
        <w:t xml:space="preserve">del señor Valencia Hinojosa, </w:t>
      </w:r>
      <w:r w:rsidR="008E7AC3" w:rsidRPr="00CF1787">
        <w:rPr>
          <w:szCs w:val="20"/>
          <w:lang w:val="es-CR"/>
        </w:rPr>
        <w:t xml:space="preserve">respecto de la </w:t>
      </w:r>
      <w:r w:rsidRPr="00CF1787">
        <w:rPr>
          <w:szCs w:val="20"/>
          <w:lang w:val="es-CR"/>
        </w:rPr>
        <w:t xml:space="preserve">cual el Tribunal no determinó que existiese </w:t>
      </w:r>
      <w:proofErr w:type="spellStart"/>
      <w:r w:rsidRPr="00CF1787">
        <w:rPr>
          <w:szCs w:val="20"/>
          <w:lang w:val="es-CR"/>
        </w:rPr>
        <w:t>resposabilidad</w:t>
      </w:r>
      <w:proofErr w:type="spellEnd"/>
      <w:r w:rsidRPr="00CF1787">
        <w:rPr>
          <w:szCs w:val="20"/>
          <w:lang w:val="es-CR"/>
        </w:rPr>
        <w:t xml:space="preserve"> estatal. Dichos alegatos no serán tomados en cuenta. A</w:t>
      </w:r>
      <w:r w:rsidR="000C6A90" w:rsidRPr="00CF1787">
        <w:rPr>
          <w:szCs w:val="20"/>
          <w:lang w:val="es-CR"/>
        </w:rPr>
        <w:t>demás</w:t>
      </w:r>
      <w:r w:rsidRPr="00CF1787">
        <w:rPr>
          <w:szCs w:val="20"/>
          <w:lang w:val="es-CR"/>
        </w:rPr>
        <w:t>, los representantes no aportaron pruebas que permitan acreditar</w:t>
      </w:r>
      <w:r w:rsidR="00164F47" w:rsidRPr="00CF1787">
        <w:rPr>
          <w:szCs w:val="20"/>
          <w:lang w:val="es-CR"/>
        </w:rPr>
        <w:t xml:space="preserve"> un </w:t>
      </w:r>
      <w:r w:rsidRPr="00CF1787">
        <w:rPr>
          <w:szCs w:val="20"/>
          <w:lang w:val="es-CR"/>
        </w:rPr>
        <w:t>daño emergente en el presente caso</w:t>
      </w:r>
      <w:r w:rsidR="00164F47" w:rsidRPr="00CF1787">
        <w:rPr>
          <w:szCs w:val="20"/>
          <w:lang w:val="es-CR"/>
        </w:rPr>
        <w:t xml:space="preserve"> vinculado a las violaciones declaradas</w:t>
      </w:r>
      <w:r w:rsidRPr="00CF1787">
        <w:rPr>
          <w:szCs w:val="20"/>
          <w:lang w:val="es-CR"/>
        </w:rPr>
        <w:t xml:space="preserve">. En virtud de todo lo anterior, </w:t>
      </w:r>
      <w:bookmarkStart w:id="574" w:name="_Ref375132311"/>
      <w:r w:rsidRPr="00CF1787">
        <w:rPr>
          <w:spacing w:val="-2"/>
          <w:szCs w:val="20"/>
          <w:lang w:val="es-CR"/>
        </w:rPr>
        <w:t xml:space="preserve">la Corte no cuenta con elementos probatorios suficientes para determinar el daño material causado en el presente caso. </w:t>
      </w:r>
    </w:p>
    <w:p w14:paraId="618ACD44" w14:textId="77777777" w:rsidR="00164F47" w:rsidRPr="00CF1787" w:rsidRDefault="00164F47" w:rsidP="00164F47">
      <w:pPr>
        <w:tabs>
          <w:tab w:val="left" w:pos="567"/>
        </w:tabs>
        <w:rPr>
          <w:rFonts w:cs="ArialUnicodeMS"/>
          <w:szCs w:val="20"/>
          <w:lang w:val="es-CR" w:bidi="en-US"/>
        </w:rPr>
      </w:pPr>
    </w:p>
    <w:p w14:paraId="24F182DF" w14:textId="36991E3F" w:rsidR="00A17384" w:rsidRPr="00CF1787" w:rsidRDefault="00BC2C80" w:rsidP="004B22E1">
      <w:pPr>
        <w:numPr>
          <w:ilvl w:val="0"/>
          <w:numId w:val="5"/>
        </w:numPr>
        <w:tabs>
          <w:tab w:val="left" w:pos="567"/>
        </w:tabs>
        <w:ind w:left="0" w:firstLine="0"/>
        <w:rPr>
          <w:rFonts w:cs="ArialUnicodeMS"/>
          <w:szCs w:val="20"/>
          <w:lang w:val="es-CR" w:bidi="en-US"/>
        </w:rPr>
      </w:pPr>
      <w:bookmarkStart w:id="575" w:name="_Ref462933847"/>
      <w:r w:rsidRPr="00CF1787">
        <w:rPr>
          <w:spacing w:val="-2"/>
          <w:szCs w:val="20"/>
          <w:lang w:val="es-CR"/>
        </w:rPr>
        <w:t xml:space="preserve">Sin embargo, </w:t>
      </w:r>
      <w:r w:rsidR="00164F47" w:rsidRPr="00CF1787">
        <w:rPr>
          <w:spacing w:val="-2"/>
          <w:szCs w:val="20"/>
          <w:lang w:val="es-CR"/>
        </w:rPr>
        <w:t xml:space="preserve">respecto al daño inmaterial, </w:t>
      </w:r>
      <w:r w:rsidRPr="00CF1787">
        <w:rPr>
          <w:rFonts w:eastAsia="MS Mincho" w:cs="Verdana"/>
          <w:spacing w:val="-2"/>
          <w:szCs w:val="20"/>
          <w:lang w:val="es-CR"/>
        </w:rPr>
        <w:t>en</w:t>
      </w:r>
      <w:r w:rsidRPr="00CF1787">
        <w:rPr>
          <w:rFonts w:cs="Verdana"/>
          <w:spacing w:val="-2"/>
          <w:szCs w:val="20"/>
          <w:lang w:val="es-CR" w:bidi="en-US"/>
        </w:rPr>
        <w:t xml:space="preserve"> atención a los criterios establecidos en la jurisprudencia constante de este Tribunal, las circunstancias del caso y las violaciones cometidas, la Corte esti</w:t>
      </w:r>
      <w:r w:rsidR="00164F47" w:rsidRPr="00CF1787">
        <w:rPr>
          <w:rFonts w:cs="Verdana"/>
          <w:spacing w:val="-2"/>
          <w:szCs w:val="20"/>
          <w:lang w:val="es-CR" w:bidi="en-US"/>
        </w:rPr>
        <w:t>ma pertinente fijar en equidad</w:t>
      </w:r>
      <w:r w:rsidR="00C955A7" w:rsidRPr="00CF1787">
        <w:rPr>
          <w:rFonts w:cs="Verdana"/>
          <w:spacing w:val="-2"/>
          <w:szCs w:val="20"/>
          <w:lang w:val="es-CR" w:bidi="en-US"/>
        </w:rPr>
        <w:t xml:space="preserve"> la cantidad de US$ 3</w:t>
      </w:r>
      <w:r w:rsidRPr="00CF1787">
        <w:rPr>
          <w:rFonts w:cs="Verdana"/>
          <w:spacing w:val="-2"/>
          <w:szCs w:val="20"/>
          <w:lang w:val="es-CR" w:bidi="en-US"/>
        </w:rPr>
        <w:t>0.000,00</w:t>
      </w:r>
      <w:r w:rsidR="00C955A7" w:rsidRPr="00CF1787">
        <w:rPr>
          <w:rFonts w:cs="Verdana"/>
          <w:spacing w:val="-2"/>
          <w:szCs w:val="20"/>
          <w:lang w:val="es-CR" w:bidi="en-US"/>
        </w:rPr>
        <w:t xml:space="preserve"> (treinta</w:t>
      </w:r>
      <w:r w:rsidRPr="00CF1787">
        <w:rPr>
          <w:rFonts w:cs="Verdana"/>
          <w:spacing w:val="-2"/>
          <w:szCs w:val="20"/>
          <w:lang w:val="es-CR" w:bidi="en-US"/>
        </w:rPr>
        <w:t xml:space="preserve"> mil dólares de los Estados Unidos de América) a favor de la señora Patricia Trujillo</w:t>
      </w:r>
      <w:r w:rsidR="006B52DD" w:rsidRPr="00CF1787">
        <w:rPr>
          <w:rFonts w:cs="Verdana"/>
          <w:spacing w:val="-2"/>
          <w:szCs w:val="20"/>
          <w:lang w:val="es-CR" w:bidi="en-US"/>
        </w:rPr>
        <w:t xml:space="preserve"> Esparza</w:t>
      </w:r>
      <w:r w:rsidR="00164F47" w:rsidRPr="00CF1787">
        <w:rPr>
          <w:rFonts w:cs="Verdana"/>
          <w:spacing w:val="-2"/>
          <w:szCs w:val="20"/>
          <w:lang w:val="es-CR" w:bidi="en-US"/>
        </w:rPr>
        <w:t>, por concepto de daño  inmaterial</w:t>
      </w:r>
      <w:r w:rsidRPr="00CF1787">
        <w:rPr>
          <w:rFonts w:cs="Verdana"/>
          <w:spacing w:val="-2"/>
          <w:szCs w:val="20"/>
          <w:lang w:val="es-CR"/>
        </w:rPr>
        <w:t>.</w:t>
      </w:r>
      <w:bookmarkEnd w:id="574"/>
      <w:bookmarkEnd w:id="575"/>
    </w:p>
    <w:p w14:paraId="60365E55" w14:textId="77777777" w:rsidR="000A347B" w:rsidRPr="00CF1787" w:rsidRDefault="000A347B" w:rsidP="000A347B">
      <w:pPr>
        <w:tabs>
          <w:tab w:val="left" w:pos="567"/>
        </w:tabs>
        <w:rPr>
          <w:rFonts w:cs="ArialUnicodeMS"/>
          <w:szCs w:val="20"/>
          <w:lang w:val="es-CR" w:bidi="en-US"/>
        </w:rPr>
      </w:pPr>
    </w:p>
    <w:p w14:paraId="20CDBAFF" w14:textId="77777777" w:rsidR="00F15635" w:rsidRPr="00CF1787" w:rsidRDefault="00F15635" w:rsidP="00F15635">
      <w:pPr>
        <w:pStyle w:val="Heading2"/>
        <w:rPr>
          <w:lang w:val="es-CR"/>
        </w:rPr>
      </w:pPr>
      <w:bookmarkStart w:id="576" w:name="_Toc465177410"/>
      <w:bookmarkStart w:id="577" w:name="_Toc470098085"/>
      <w:r w:rsidRPr="00CF1787">
        <w:rPr>
          <w:lang w:val="es-CR"/>
        </w:rPr>
        <w:t>Costas y gastos</w:t>
      </w:r>
      <w:bookmarkEnd w:id="576"/>
      <w:bookmarkEnd w:id="577"/>
    </w:p>
    <w:p w14:paraId="0F8B937E" w14:textId="77777777" w:rsidR="00F15635" w:rsidRPr="00CF1787" w:rsidRDefault="00326F0D" w:rsidP="00326F0D">
      <w:pPr>
        <w:tabs>
          <w:tab w:val="left" w:pos="1740"/>
        </w:tabs>
        <w:rPr>
          <w:lang w:val="es-CR"/>
        </w:rPr>
      </w:pPr>
      <w:r w:rsidRPr="00CF1787">
        <w:rPr>
          <w:lang w:val="es-CR"/>
        </w:rPr>
        <w:tab/>
      </w:r>
    </w:p>
    <w:p w14:paraId="78A60DDB" w14:textId="77777777" w:rsidR="003F4AA8" w:rsidRPr="00CF1787" w:rsidRDefault="00BC2C80" w:rsidP="003F4AA8">
      <w:pPr>
        <w:numPr>
          <w:ilvl w:val="0"/>
          <w:numId w:val="5"/>
        </w:numPr>
        <w:tabs>
          <w:tab w:val="left" w:pos="567"/>
        </w:tabs>
        <w:ind w:left="0" w:firstLine="0"/>
        <w:rPr>
          <w:rFonts w:cs="ArialUnicodeMS"/>
          <w:szCs w:val="20"/>
          <w:lang w:val="es-CR" w:bidi="en-US"/>
        </w:rPr>
      </w:pPr>
      <w:r w:rsidRPr="00CF1787">
        <w:rPr>
          <w:szCs w:val="20"/>
          <w:lang w:val="es-CR"/>
        </w:rPr>
        <w:t xml:space="preserve">Los </w:t>
      </w:r>
      <w:r w:rsidRPr="00CF1787">
        <w:rPr>
          <w:b/>
          <w:i/>
          <w:szCs w:val="20"/>
          <w:lang w:val="es-CR"/>
        </w:rPr>
        <w:t>representantes</w:t>
      </w:r>
      <w:r w:rsidRPr="00CF1787">
        <w:rPr>
          <w:szCs w:val="20"/>
          <w:lang w:val="es-CR"/>
        </w:rPr>
        <w:t xml:space="preserve"> alegaron que “la señora Patricia Trujillo tuvo que dedicarse a trabajar para poder solventar los gastos de la realización de diligencias judiciales, movilizarse a Quito semanalmente para exigir justicia frente al palacio de Gobierno”, por lo que consideró razonable que se otorgue el monto de 2.000 dólares. Además, señalaron que la Comisión Ecuménica de Derechos Humanos (CEDHU)</w:t>
      </w:r>
      <w:r w:rsidR="002072D4" w:rsidRPr="00CF1787">
        <w:rPr>
          <w:szCs w:val="20"/>
          <w:lang w:val="es-CR"/>
        </w:rPr>
        <w:t xml:space="preserve"> no cobra por sus servicios, pero que</w:t>
      </w:r>
      <w:r w:rsidRPr="00CF1787">
        <w:rPr>
          <w:szCs w:val="20"/>
          <w:lang w:val="es-CR"/>
        </w:rPr>
        <w:t xml:space="preserve"> ha incurrido en gastos para realizar acciones de búsqueda de información a nivel interno, así como la tramitación del c</w:t>
      </w:r>
      <w:r w:rsidR="002072D4" w:rsidRPr="00CF1787">
        <w:rPr>
          <w:szCs w:val="20"/>
          <w:lang w:val="es-CR"/>
        </w:rPr>
        <w:t xml:space="preserve">aso ante la Comisión y la Corte en los 22 años que ha durado el caso ante el sistema interamericano. </w:t>
      </w:r>
      <w:r w:rsidRPr="00CF1787">
        <w:rPr>
          <w:szCs w:val="20"/>
          <w:lang w:val="es-CR"/>
        </w:rPr>
        <w:t>Por ello, estimaron razonable que la Corte ordene que se pague además a la Comisión Ecuménica de Derechos Humanos la cantidad de 15.000 dólares</w:t>
      </w:r>
      <w:r w:rsidR="002072D4" w:rsidRPr="00CF1787">
        <w:rPr>
          <w:rStyle w:val="FootnoteReference"/>
          <w:sz w:val="20"/>
          <w:szCs w:val="20"/>
          <w:lang w:val="es-CR"/>
        </w:rPr>
        <w:footnoteReference w:id="198"/>
      </w:r>
      <w:r w:rsidRPr="00CF1787">
        <w:rPr>
          <w:szCs w:val="20"/>
          <w:lang w:val="es-CR"/>
        </w:rPr>
        <w:t xml:space="preserve">. </w:t>
      </w:r>
    </w:p>
    <w:p w14:paraId="156E7688" w14:textId="77777777" w:rsidR="00F15635" w:rsidRPr="00CF1787" w:rsidRDefault="00F15635" w:rsidP="00F15635">
      <w:pPr>
        <w:tabs>
          <w:tab w:val="left" w:pos="567"/>
        </w:tabs>
        <w:rPr>
          <w:rFonts w:cs="ArialUnicodeMS"/>
          <w:szCs w:val="20"/>
          <w:lang w:val="es-CR" w:bidi="en-US"/>
        </w:rPr>
      </w:pPr>
    </w:p>
    <w:p w14:paraId="49C60F81" w14:textId="77777777" w:rsidR="000758D2" w:rsidRPr="00CF1787" w:rsidRDefault="00BC2C80" w:rsidP="000758D2">
      <w:pPr>
        <w:numPr>
          <w:ilvl w:val="0"/>
          <w:numId w:val="5"/>
        </w:numPr>
        <w:tabs>
          <w:tab w:val="left" w:pos="567"/>
        </w:tabs>
        <w:ind w:left="0" w:firstLine="0"/>
        <w:rPr>
          <w:spacing w:val="-2"/>
          <w:szCs w:val="20"/>
          <w:lang w:val="es-CR"/>
        </w:rPr>
      </w:pPr>
      <w:r w:rsidRPr="00CF1787">
        <w:rPr>
          <w:szCs w:val="20"/>
          <w:lang w:val="es-CR"/>
        </w:rPr>
        <w:t xml:space="preserve">El </w:t>
      </w:r>
      <w:r w:rsidRPr="00CF1787">
        <w:rPr>
          <w:b/>
          <w:i/>
          <w:szCs w:val="20"/>
          <w:lang w:val="es-CR"/>
        </w:rPr>
        <w:t xml:space="preserve">Estado </w:t>
      </w:r>
      <w:r w:rsidRPr="00CF1787">
        <w:rPr>
          <w:szCs w:val="20"/>
          <w:lang w:val="es-CR"/>
        </w:rPr>
        <w:t xml:space="preserve">alegó que los representantes no acreditaron las costas y gastos, por lo </w:t>
      </w:r>
      <w:r w:rsidR="000758D2" w:rsidRPr="00CF1787">
        <w:rPr>
          <w:szCs w:val="20"/>
          <w:lang w:val="es-CR"/>
        </w:rPr>
        <w:t xml:space="preserve">alegó que el Tribunal no debe considerar esta </w:t>
      </w:r>
      <w:r w:rsidRPr="00CF1787">
        <w:rPr>
          <w:szCs w:val="20"/>
          <w:lang w:val="es-CR"/>
        </w:rPr>
        <w:t xml:space="preserve">solicitud. </w:t>
      </w:r>
    </w:p>
    <w:p w14:paraId="4E4DA85F" w14:textId="77777777" w:rsidR="000758D2" w:rsidRPr="00CF1787" w:rsidRDefault="000758D2" w:rsidP="000758D2">
      <w:pPr>
        <w:pStyle w:val="ListParagraph"/>
        <w:numPr>
          <w:ilvl w:val="0"/>
          <w:numId w:val="0"/>
        </w:numPr>
        <w:ind w:left="720"/>
        <w:rPr>
          <w:spacing w:val="-2"/>
          <w:lang w:val="es-CR"/>
        </w:rPr>
      </w:pPr>
    </w:p>
    <w:p w14:paraId="14411C8E" w14:textId="77777777" w:rsidR="00F15635" w:rsidRPr="00CF1787" w:rsidRDefault="00BC2C80" w:rsidP="00F15635">
      <w:pPr>
        <w:numPr>
          <w:ilvl w:val="0"/>
          <w:numId w:val="5"/>
        </w:numPr>
        <w:tabs>
          <w:tab w:val="left" w:pos="567"/>
        </w:tabs>
        <w:ind w:left="0" w:firstLine="0"/>
        <w:rPr>
          <w:rFonts w:cs="ArialUnicodeMS"/>
          <w:szCs w:val="20"/>
          <w:lang w:val="es-CR" w:bidi="en-US"/>
        </w:rPr>
      </w:pPr>
      <w:r w:rsidRPr="00CF1787">
        <w:rPr>
          <w:spacing w:val="-2"/>
          <w:szCs w:val="20"/>
          <w:lang w:val="es-CR"/>
        </w:rPr>
        <w:t>La Corte reitera que, conforme a su jurisprudencia</w:t>
      </w:r>
      <w:r w:rsidRPr="00CF1787">
        <w:rPr>
          <w:rFonts w:cs="Times New Roman"/>
          <w:spacing w:val="-2"/>
          <w:szCs w:val="20"/>
          <w:vertAlign w:val="superscript"/>
          <w:lang w:val="es-CR"/>
        </w:rPr>
        <w:footnoteReference w:id="199"/>
      </w:r>
      <w:r w:rsidRPr="00CF1787">
        <w:rPr>
          <w:spacing w:val="-2"/>
          <w:szCs w:val="20"/>
          <w:lang w:val="es-CR"/>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w:t>
      </w:r>
      <w:r w:rsidRPr="00CF1787">
        <w:rPr>
          <w:i/>
          <w:spacing w:val="-2"/>
          <w:szCs w:val="20"/>
          <w:lang w:val="es-CR"/>
        </w:rPr>
        <w:t xml:space="preserve">quantum </w:t>
      </w:r>
      <w:r w:rsidRPr="00CF1787">
        <w:rPr>
          <w:spacing w:val="-2"/>
          <w:szCs w:val="20"/>
          <w:lang w:val="es-CR"/>
        </w:rPr>
        <w:t>sea razonable</w:t>
      </w:r>
      <w:r w:rsidRPr="00CF1787">
        <w:rPr>
          <w:rFonts w:cs="Times New Roman"/>
          <w:spacing w:val="-2"/>
          <w:szCs w:val="20"/>
          <w:vertAlign w:val="superscript"/>
          <w:lang w:val="es-CR"/>
        </w:rPr>
        <w:footnoteReference w:id="200"/>
      </w:r>
      <w:r w:rsidRPr="00CF1787">
        <w:rPr>
          <w:spacing w:val="-2"/>
          <w:szCs w:val="20"/>
          <w:lang w:val="es-CR"/>
        </w:rPr>
        <w:t>.</w:t>
      </w:r>
    </w:p>
    <w:p w14:paraId="20F13779" w14:textId="77777777" w:rsidR="00F15635" w:rsidRPr="00CF1787" w:rsidRDefault="00F15635" w:rsidP="00F15635">
      <w:pPr>
        <w:pStyle w:val="ListParagraph"/>
        <w:numPr>
          <w:ilvl w:val="0"/>
          <w:numId w:val="0"/>
        </w:numPr>
        <w:ind w:left="720"/>
        <w:rPr>
          <w:spacing w:val="-2"/>
          <w:lang w:val="es-CR"/>
        </w:rPr>
      </w:pPr>
    </w:p>
    <w:p w14:paraId="60E9E629" w14:textId="77777777" w:rsidR="00F15635" w:rsidRPr="00CF1787" w:rsidRDefault="00BC2C80" w:rsidP="00F15635">
      <w:pPr>
        <w:numPr>
          <w:ilvl w:val="0"/>
          <w:numId w:val="5"/>
        </w:numPr>
        <w:tabs>
          <w:tab w:val="left" w:pos="567"/>
        </w:tabs>
        <w:ind w:left="0" w:firstLine="0"/>
        <w:rPr>
          <w:rFonts w:cs="ArialUnicodeMS"/>
          <w:szCs w:val="20"/>
          <w:lang w:val="es-CR" w:bidi="en-US"/>
        </w:rPr>
      </w:pPr>
      <w:r w:rsidRPr="00CF1787">
        <w:rPr>
          <w:spacing w:val="-2"/>
          <w:szCs w:val="20"/>
          <w:lang w:val="es-CR"/>
        </w:rPr>
        <w:t xml:space="preserve">Este Tribunal </w:t>
      </w:r>
      <w:r w:rsidRPr="00CF1787">
        <w:rPr>
          <w:rFonts w:eastAsia="Verdana" w:cs="Verdana"/>
          <w:spacing w:val="1"/>
          <w:szCs w:val="20"/>
          <w:lang w:val="es-CR"/>
        </w:rPr>
        <w:t>h</w:t>
      </w:r>
      <w:r w:rsidRPr="00CF1787">
        <w:rPr>
          <w:rFonts w:eastAsia="Verdana" w:cs="Verdana"/>
          <w:szCs w:val="20"/>
          <w:lang w:val="es-CR"/>
        </w:rPr>
        <w:t>a</w:t>
      </w:r>
      <w:r w:rsidRPr="00CF1787">
        <w:rPr>
          <w:rFonts w:eastAsia="Verdana" w:cs="Verdana"/>
          <w:spacing w:val="59"/>
          <w:szCs w:val="20"/>
          <w:lang w:val="es-CR"/>
        </w:rPr>
        <w:t xml:space="preserve"> </w:t>
      </w:r>
      <w:r w:rsidRPr="00CF1787">
        <w:rPr>
          <w:rFonts w:eastAsia="Verdana" w:cs="Verdana"/>
          <w:szCs w:val="20"/>
          <w:lang w:val="es-CR"/>
        </w:rPr>
        <w:t>s</w:t>
      </w:r>
      <w:r w:rsidRPr="00CF1787">
        <w:rPr>
          <w:rFonts w:eastAsia="Verdana" w:cs="Verdana"/>
          <w:spacing w:val="-2"/>
          <w:szCs w:val="20"/>
          <w:lang w:val="es-CR"/>
        </w:rPr>
        <w:t>e</w:t>
      </w:r>
      <w:r w:rsidRPr="00CF1787">
        <w:rPr>
          <w:rFonts w:eastAsia="Verdana" w:cs="Verdana"/>
          <w:spacing w:val="1"/>
          <w:szCs w:val="20"/>
          <w:lang w:val="es-CR"/>
        </w:rPr>
        <w:t>ñ</w:t>
      </w:r>
      <w:r w:rsidRPr="00CF1787">
        <w:rPr>
          <w:rFonts w:eastAsia="Verdana" w:cs="Verdana"/>
          <w:szCs w:val="20"/>
          <w:lang w:val="es-CR"/>
        </w:rPr>
        <w:t>a</w:t>
      </w:r>
      <w:r w:rsidRPr="00CF1787">
        <w:rPr>
          <w:rFonts w:eastAsia="Verdana" w:cs="Verdana"/>
          <w:spacing w:val="3"/>
          <w:szCs w:val="20"/>
          <w:lang w:val="es-CR"/>
        </w:rPr>
        <w:t>l</w:t>
      </w:r>
      <w:r w:rsidRPr="00CF1787">
        <w:rPr>
          <w:rFonts w:eastAsia="Verdana" w:cs="Verdana"/>
          <w:szCs w:val="20"/>
          <w:lang w:val="es-CR"/>
        </w:rPr>
        <w:t>a</w:t>
      </w:r>
      <w:r w:rsidRPr="00CF1787">
        <w:rPr>
          <w:rFonts w:eastAsia="Verdana" w:cs="Verdana"/>
          <w:spacing w:val="-1"/>
          <w:szCs w:val="20"/>
          <w:lang w:val="es-CR"/>
        </w:rPr>
        <w:t>d</w:t>
      </w:r>
      <w:r w:rsidRPr="00CF1787">
        <w:rPr>
          <w:rFonts w:eastAsia="Verdana" w:cs="Verdana"/>
          <w:szCs w:val="20"/>
          <w:lang w:val="es-CR"/>
        </w:rPr>
        <w:t>o</w:t>
      </w:r>
      <w:r w:rsidRPr="00CF1787">
        <w:rPr>
          <w:rFonts w:eastAsia="Verdana" w:cs="Verdana"/>
          <w:spacing w:val="51"/>
          <w:szCs w:val="20"/>
          <w:lang w:val="es-CR"/>
        </w:rPr>
        <w:t xml:space="preserve"> </w:t>
      </w:r>
      <w:r w:rsidRPr="00CF1787">
        <w:rPr>
          <w:rFonts w:eastAsia="Verdana" w:cs="Verdana"/>
          <w:spacing w:val="1"/>
          <w:szCs w:val="20"/>
          <w:lang w:val="es-CR"/>
        </w:rPr>
        <w:t>qu</w:t>
      </w:r>
      <w:r w:rsidRPr="00CF1787">
        <w:rPr>
          <w:rFonts w:eastAsia="Verdana" w:cs="Verdana"/>
          <w:szCs w:val="20"/>
          <w:lang w:val="es-CR"/>
        </w:rPr>
        <w:t>e</w:t>
      </w:r>
      <w:r w:rsidRPr="00CF1787">
        <w:rPr>
          <w:rFonts w:eastAsia="Verdana" w:cs="Verdana"/>
          <w:spacing w:val="59"/>
          <w:szCs w:val="20"/>
          <w:lang w:val="es-CR"/>
        </w:rPr>
        <w:t xml:space="preserve"> </w:t>
      </w:r>
      <w:r w:rsidRPr="00CF1787">
        <w:rPr>
          <w:rFonts w:eastAsia="Verdana" w:cs="Verdana"/>
          <w:szCs w:val="20"/>
          <w:lang w:val="es-CR"/>
        </w:rPr>
        <w:t>“</w:t>
      </w:r>
      <w:r w:rsidRPr="00CF1787">
        <w:rPr>
          <w:rFonts w:eastAsia="Verdana" w:cs="Verdana"/>
          <w:spacing w:val="3"/>
          <w:szCs w:val="20"/>
          <w:lang w:val="es-CR"/>
        </w:rPr>
        <w:t>l</w:t>
      </w:r>
      <w:r w:rsidRPr="00CF1787">
        <w:rPr>
          <w:rFonts w:eastAsia="Verdana" w:cs="Verdana"/>
          <w:szCs w:val="20"/>
          <w:lang w:val="es-CR"/>
        </w:rPr>
        <w:t>as</w:t>
      </w:r>
      <w:r w:rsidRPr="00CF1787">
        <w:rPr>
          <w:rFonts w:eastAsia="Verdana" w:cs="Verdana"/>
          <w:spacing w:val="58"/>
          <w:szCs w:val="20"/>
          <w:lang w:val="es-CR"/>
        </w:rPr>
        <w:t xml:space="preserve"> </w:t>
      </w:r>
      <w:r w:rsidRPr="00CF1787">
        <w:rPr>
          <w:rFonts w:eastAsia="Verdana" w:cs="Verdana"/>
          <w:spacing w:val="1"/>
          <w:szCs w:val="20"/>
          <w:lang w:val="es-CR"/>
        </w:rPr>
        <w:t>p</w:t>
      </w:r>
      <w:r w:rsidRPr="00CF1787">
        <w:rPr>
          <w:rFonts w:eastAsia="Verdana" w:cs="Verdana"/>
          <w:spacing w:val="-1"/>
          <w:szCs w:val="20"/>
          <w:lang w:val="es-CR"/>
        </w:rPr>
        <w:t>re</w:t>
      </w:r>
      <w:r w:rsidRPr="00CF1787">
        <w:rPr>
          <w:rFonts w:eastAsia="Verdana" w:cs="Verdana"/>
          <w:spacing w:val="3"/>
          <w:szCs w:val="20"/>
          <w:lang w:val="es-CR"/>
        </w:rPr>
        <w:t>t</w:t>
      </w:r>
      <w:r w:rsidRPr="00CF1787">
        <w:rPr>
          <w:rFonts w:eastAsia="Verdana" w:cs="Verdana"/>
          <w:spacing w:val="-1"/>
          <w:szCs w:val="20"/>
          <w:lang w:val="es-CR"/>
        </w:rPr>
        <w:t>e</w:t>
      </w:r>
      <w:r w:rsidRPr="00CF1787">
        <w:rPr>
          <w:rFonts w:eastAsia="Verdana" w:cs="Verdana"/>
          <w:spacing w:val="1"/>
          <w:szCs w:val="20"/>
          <w:lang w:val="es-CR"/>
        </w:rPr>
        <w:t>n</w:t>
      </w:r>
      <w:r w:rsidRPr="00CF1787">
        <w:rPr>
          <w:rFonts w:eastAsia="Verdana" w:cs="Verdana"/>
          <w:szCs w:val="20"/>
          <w:lang w:val="es-CR"/>
        </w:rPr>
        <w:t>s</w:t>
      </w:r>
      <w:r w:rsidRPr="00CF1787">
        <w:rPr>
          <w:rFonts w:eastAsia="Verdana" w:cs="Verdana"/>
          <w:spacing w:val="2"/>
          <w:szCs w:val="20"/>
          <w:lang w:val="es-CR"/>
        </w:rPr>
        <w:t>i</w:t>
      </w:r>
      <w:r w:rsidRPr="00CF1787">
        <w:rPr>
          <w:rFonts w:eastAsia="Verdana" w:cs="Verdana"/>
          <w:spacing w:val="-1"/>
          <w:szCs w:val="20"/>
          <w:lang w:val="es-CR"/>
        </w:rPr>
        <w:t>o</w:t>
      </w:r>
      <w:r w:rsidRPr="00CF1787">
        <w:rPr>
          <w:rFonts w:eastAsia="Verdana" w:cs="Verdana"/>
          <w:spacing w:val="1"/>
          <w:szCs w:val="20"/>
          <w:lang w:val="es-CR"/>
        </w:rPr>
        <w:t>ne</w:t>
      </w:r>
      <w:r w:rsidRPr="00CF1787">
        <w:rPr>
          <w:rFonts w:eastAsia="Verdana" w:cs="Verdana"/>
          <w:szCs w:val="20"/>
          <w:lang w:val="es-CR"/>
        </w:rPr>
        <w:t>s</w:t>
      </w:r>
      <w:r w:rsidRPr="00CF1787">
        <w:rPr>
          <w:rFonts w:eastAsia="Verdana" w:cs="Verdana"/>
          <w:spacing w:val="48"/>
          <w:szCs w:val="20"/>
          <w:lang w:val="es-CR"/>
        </w:rPr>
        <w:t xml:space="preserve"> </w:t>
      </w:r>
      <w:r w:rsidRPr="00CF1787">
        <w:rPr>
          <w:rFonts w:eastAsia="Verdana" w:cs="Verdana"/>
          <w:spacing w:val="1"/>
          <w:szCs w:val="20"/>
          <w:lang w:val="es-CR"/>
        </w:rPr>
        <w:t>d</w:t>
      </w:r>
      <w:r w:rsidRPr="00CF1787">
        <w:rPr>
          <w:rFonts w:eastAsia="Verdana" w:cs="Verdana"/>
          <w:szCs w:val="20"/>
          <w:lang w:val="es-CR"/>
        </w:rPr>
        <w:t>e</w:t>
      </w:r>
      <w:r w:rsidRPr="00CF1787">
        <w:rPr>
          <w:rFonts w:eastAsia="Verdana" w:cs="Verdana"/>
          <w:spacing w:val="58"/>
          <w:szCs w:val="20"/>
          <w:lang w:val="es-CR"/>
        </w:rPr>
        <w:t xml:space="preserve"> </w:t>
      </w:r>
      <w:r w:rsidRPr="00CF1787">
        <w:rPr>
          <w:rFonts w:eastAsia="Verdana" w:cs="Verdana"/>
          <w:spacing w:val="3"/>
          <w:szCs w:val="20"/>
          <w:lang w:val="es-CR"/>
        </w:rPr>
        <w:t>l</w:t>
      </w:r>
      <w:r w:rsidRPr="00CF1787">
        <w:rPr>
          <w:rFonts w:eastAsia="Verdana" w:cs="Verdana"/>
          <w:szCs w:val="20"/>
          <w:lang w:val="es-CR"/>
        </w:rPr>
        <w:t>as</w:t>
      </w:r>
      <w:r w:rsidRPr="00CF1787">
        <w:rPr>
          <w:rFonts w:eastAsia="Verdana" w:cs="Verdana"/>
          <w:spacing w:val="59"/>
          <w:szCs w:val="20"/>
          <w:lang w:val="es-CR"/>
        </w:rPr>
        <w:t xml:space="preserve"> </w:t>
      </w:r>
      <w:r w:rsidRPr="00CF1787">
        <w:rPr>
          <w:rFonts w:eastAsia="Verdana" w:cs="Verdana"/>
          <w:szCs w:val="20"/>
          <w:lang w:val="es-CR"/>
        </w:rPr>
        <w:t>v</w:t>
      </w:r>
      <w:r w:rsidRPr="00CF1787">
        <w:rPr>
          <w:rFonts w:eastAsia="Verdana" w:cs="Verdana"/>
          <w:spacing w:val="3"/>
          <w:szCs w:val="20"/>
          <w:lang w:val="es-CR"/>
        </w:rPr>
        <w:t>í</w:t>
      </w:r>
      <w:r w:rsidRPr="00CF1787">
        <w:rPr>
          <w:rFonts w:eastAsia="Verdana" w:cs="Verdana"/>
          <w:szCs w:val="20"/>
          <w:lang w:val="es-CR"/>
        </w:rPr>
        <w:t>ct</w:t>
      </w:r>
      <w:r w:rsidRPr="00CF1787">
        <w:rPr>
          <w:rFonts w:eastAsia="Verdana" w:cs="Verdana"/>
          <w:spacing w:val="3"/>
          <w:szCs w:val="20"/>
          <w:lang w:val="es-CR"/>
        </w:rPr>
        <w:t>i</w:t>
      </w:r>
      <w:r w:rsidRPr="00CF1787">
        <w:rPr>
          <w:rFonts w:eastAsia="Verdana" w:cs="Verdana"/>
          <w:szCs w:val="20"/>
          <w:lang w:val="es-CR"/>
        </w:rPr>
        <w:t>m</w:t>
      </w:r>
      <w:r w:rsidRPr="00CF1787">
        <w:rPr>
          <w:rFonts w:eastAsia="Verdana" w:cs="Verdana"/>
          <w:spacing w:val="1"/>
          <w:szCs w:val="20"/>
          <w:lang w:val="es-CR"/>
        </w:rPr>
        <w:t>a</w:t>
      </w:r>
      <w:r w:rsidRPr="00CF1787">
        <w:rPr>
          <w:rFonts w:eastAsia="Verdana" w:cs="Verdana"/>
          <w:szCs w:val="20"/>
          <w:lang w:val="es-CR"/>
        </w:rPr>
        <w:t>s</w:t>
      </w:r>
      <w:r w:rsidRPr="00CF1787">
        <w:rPr>
          <w:rFonts w:eastAsia="Verdana" w:cs="Verdana"/>
          <w:spacing w:val="52"/>
          <w:szCs w:val="20"/>
          <w:lang w:val="es-CR"/>
        </w:rPr>
        <w:t xml:space="preserve"> </w:t>
      </w:r>
      <w:r w:rsidRPr="00CF1787">
        <w:rPr>
          <w:rFonts w:eastAsia="Verdana" w:cs="Verdana"/>
          <w:szCs w:val="20"/>
          <w:lang w:val="es-CR"/>
        </w:rPr>
        <w:t>o</w:t>
      </w:r>
      <w:r w:rsidRPr="00CF1787">
        <w:rPr>
          <w:rFonts w:eastAsia="Verdana" w:cs="Verdana"/>
          <w:spacing w:val="59"/>
          <w:szCs w:val="20"/>
          <w:lang w:val="es-CR"/>
        </w:rPr>
        <w:t xml:space="preserve"> </w:t>
      </w:r>
      <w:r w:rsidRPr="00CF1787">
        <w:rPr>
          <w:rFonts w:eastAsia="Verdana" w:cs="Verdana"/>
          <w:spacing w:val="2"/>
          <w:szCs w:val="20"/>
          <w:lang w:val="es-CR"/>
        </w:rPr>
        <w:t>s</w:t>
      </w:r>
      <w:r w:rsidRPr="00CF1787">
        <w:rPr>
          <w:rFonts w:eastAsia="Verdana" w:cs="Verdana"/>
          <w:spacing w:val="1"/>
          <w:szCs w:val="20"/>
          <w:lang w:val="es-CR"/>
        </w:rPr>
        <w:t>u</w:t>
      </w:r>
      <w:r w:rsidRPr="00CF1787">
        <w:rPr>
          <w:rFonts w:eastAsia="Verdana" w:cs="Verdana"/>
          <w:szCs w:val="20"/>
          <w:lang w:val="es-CR"/>
        </w:rPr>
        <w:t>s</w:t>
      </w:r>
      <w:r w:rsidRPr="00CF1787">
        <w:rPr>
          <w:rFonts w:eastAsia="Verdana" w:cs="Verdana"/>
          <w:spacing w:val="57"/>
          <w:szCs w:val="20"/>
          <w:lang w:val="es-CR"/>
        </w:rPr>
        <w:t xml:space="preserve"> </w:t>
      </w:r>
      <w:r w:rsidRPr="00CF1787">
        <w:rPr>
          <w:rFonts w:eastAsia="Verdana" w:cs="Verdana"/>
          <w:spacing w:val="1"/>
          <w:szCs w:val="20"/>
          <w:lang w:val="es-CR"/>
        </w:rPr>
        <w:t>r</w:t>
      </w:r>
      <w:r w:rsidRPr="00CF1787">
        <w:rPr>
          <w:rFonts w:eastAsia="Verdana" w:cs="Verdana"/>
          <w:spacing w:val="-1"/>
          <w:szCs w:val="20"/>
          <w:lang w:val="es-CR"/>
        </w:rPr>
        <w:t>e</w:t>
      </w:r>
      <w:r w:rsidRPr="00CF1787">
        <w:rPr>
          <w:rFonts w:eastAsia="Verdana" w:cs="Verdana"/>
          <w:spacing w:val="1"/>
          <w:szCs w:val="20"/>
          <w:lang w:val="es-CR"/>
        </w:rPr>
        <w:t>pr</w:t>
      </w:r>
      <w:r w:rsidRPr="00CF1787">
        <w:rPr>
          <w:rFonts w:eastAsia="Verdana" w:cs="Verdana"/>
          <w:spacing w:val="-1"/>
          <w:szCs w:val="20"/>
          <w:lang w:val="es-CR"/>
        </w:rPr>
        <w:t>e</w:t>
      </w:r>
      <w:r w:rsidRPr="00CF1787">
        <w:rPr>
          <w:rFonts w:eastAsia="Verdana" w:cs="Verdana"/>
          <w:spacing w:val="2"/>
          <w:szCs w:val="20"/>
          <w:lang w:val="es-CR"/>
        </w:rPr>
        <w:t>s</w:t>
      </w:r>
      <w:r w:rsidRPr="00CF1787">
        <w:rPr>
          <w:rFonts w:eastAsia="Verdana" w:cs="Verdana"/>
          <w:spacing w:val="-1"/>
          <w:szCs w:val="20"/>
          <w:lang w:val="es-CR"/>
        </w:rPr>
        <w:t>e</w:t>
      </w:r>
      <w:r w:rsidRPr="00CF1787">
        <w:rPr>
          <w:rFonts w:eastAsia="Verdana" w:cs="Verdana"/>
          <w:spacing w:val="1"/>
          <w:szCs w:val="20"/>
          <w:lang w:val="es-CR"/>
        </w:rPr>
        <w:t>nt</w:t>
      </w:r>
      <w:r w:rsidRPr="00CF1787">
        <w:rPr>
          <w:rFonts w:eastAsia="Verdana" w:cs="Verdana"/>
          <w:szCs w:val="20"/>
          <w:lang w:val="es-CR"/>
        </w:rPr>
        <w:t>a</w:t>
      </w:r>
      <w:r w:rsidRPr="00CF1787">
        <w:rPr>
          <w:rFonts w:eastAsia="Verdana" w:cs="Verdana"/>
          <w:spacing w:val="1"/>
          <w:szCs w:val="20"/>
          <w:lang w:val="es-CR"/>
        </w:rPr>
        <w:t>nt</w:t>
      </w:r>
      <w:r w:rsidRPr="00CF1787">
        <w:rPr>
          <w:rFonts w:eastAsia="Verdana" w:cs="Verdana"/>
          <w:spacing w:val="-1"/>
          <w:szCs w:val="20"/>
          <w:lang w:val="es-CR"/>
        </w:rPr>
        <w:t>e</w:t>
      </w:r>
      <w:r w:rsidRPr="00CF1787">
        <w:rPr>
          <w:rFonts w:eastAsia="Verdana" w:cs="Verdana"/>
          <w:szCs w:val="20"/>
          <w:lang w:val="es-CR"/>
        </w:rPr>
        <w:t>s</w:t>
      </w:r>
      <w:r w:rsidRPr="00CF1787">
        <w:rPr>
          <w:rFonts w:eastAsia="Verdana" w:cs="Verdana"/>
          <w:spacing w:val="48"/>
          <w:szCs w:val="20"/>
          <w:lang w:val="es-CR"/>
        </w:rPr>
        <w:t xml:space="preserve"> </w:t>
      </w:r>
      <w:r w:rsidRPr="00CF1787">
        <w:rPr>
          <w:rFonts w:eastAsia="Verdana" w:cs="Verdana"/>
          <w:spacing w:val="-1"/>
          <w:szCs w:val="20"/>
          <w:lang w:val="es-CR"/>
        </w:rPr>
        <w:t>e</w:t>
      </w:r>
      <w:r w:rsidRPr="00CF1787">
        <w:rPr>
          <w:rFonts w:eastAsia="Verdana" w:cs="Verdana"/>
          <w:szCs w:val="20"/>
          <w:lang w:val="es-CR"/>
        </w:rPr>
        <w:t>n m</w:t>
      </w:r>
      <w:r w:rsidRPr="00CF1787">
        <w:rPr>
          <w:rFonts w:eastAsia="Verdana" w:cs="Verdana"/>
          <w:spacing w:val="1"/>
          <w:szCs w:val="20"/>
          <w:lang w:val="es-CR"/>
        </w:rPr>
        <w:t>at</w:t>
      </w:r>
      <w:r w:rsidRPr="00CF1787">
        <w:rPr>
          <w:rFonts w:eastAsia="Verdana" w:cs="Verdana"/>
          <w:spacing w:val="-1"/>
          <w:szCs w:val="20"/>
          <w:lang w:val="es-CR"/>
        </w:rPr>
        <w:t>er</w:t>
      </w:r>
      <w:r w:rsidRPr="00CF1787">
        <w:rPr>
          <w:rFonts w:eastAsia="Verdana" w:cs="Verdana"/>
          <w:spacing w:val="3"/>
          <w:szCs w:val="20"/>
          <w:lang w:val="es-CR"/>
        </w:rPr>
        <w:t>i</w:t>
      </w:r>
      <w:r w:rsidRPr="00CF1787">
        <w:rPr>
          <w:rFonts w:eastAsia="Verdana" w:cs="Verdana"/>
          <w:szCs w:val="20"/>
          <w:lang w:val="es-CR"/>
        </w:rPr>
        <w:t>a</w:t>
      </w:r>
      <w:r w:rsidRPr="00CF1787">
        <w:rPr>
          <w:rFonts w:eastAsia="Verdana" w:cs="Verdana"/>
          <w:spacing w:val="6"/>
          <w:szCs w:val="20"/>
          <w:lang w:val="es-CR"/>
        </w:rPr>
        <w:t xml:space="preserve"> </w:t>
      </w:r>
      <w:r w:rsidRPr="00CF1787">
        <w:rPr>
          <w:rFonts w:eastAsia="Verdana" w:cs="Verdana"/>
          <w:spacing w:val="1"/>
          <w:szCs w:val="20"/>
          <w:lang w:val="es-CR"/>
        </w:rPr>
        <w:t>d</w:t>
      </w:r>
      <w:r w:rsidRPr="00CF1787">
        <w:rPr>
          <w:rFonts w:eastAsia="Verdana" w:cs="Verdana"/>
          <w:szCs w:val="20"/>
          <w:lang w:val="es-CR"/>
        </w:rPr>
        <w:t>e</w:t>
      </w:r>
      <w:r w:rsidRPr="00CF1787">
        <w:rPr>
          <w:rFonts w:eastAsia="Verdana" w:cs="Verdana"/>
          <w:spacing w:val="10"/>
          <w:szCs w:val="20"/>
          <w:lang w:val="es-CR"/>
        </w:rPr>
        <w:t xml:space="preserve"> </w:t>
      </w:r>
      <w:r w:rsidRPr="00CF1787">
        <w:rPr>
          <w:rFonts w:eastAsia="Verdana" w:cs="Verdana"/>
          <w:szCs w:val="20"/>
          <w:lang w:val="es-CR"/>
        </w:rPr>
        <w:t>c</w:t>
      </w:r>
      <w:r w:rsidRPr="00CF1787">
        <w:rPr>
          <w:rFonts w:eastAsia="Verdana" w:cs="Verdana"/>
          <w:spacing w:val="3"/>
          <w:szCs w:val="20"/>
          <w:lang w:val="es-CR"/>
        </w:rPr>
        <w:t>o</w:t>
      </w:r>
      <w:r w:rsidRPr="00CF1787">
        <w:rPr>
          <w:rFonts w:eastAsia="Verdana" w:cs="Verdana"/>
          <w:szCs w:val="20"/>
          <w:lang w:val="es-CR"/>
        </w:rPr>
        <w:t>stas</w:t>
      </w:r>
      <w:r w:rsidRPr="00CF1787">
        <w:rPr>
          <w:rFonts w:eastAsia="Verdana" w:cs="Verdana"/>
          <w:spacing w:val="8"/>
          <w:szCs w:val="20"/>
          <w:lang w:val="es-CR"/>
        </w:rPr>
        <w:t xml:space="preserve"> </w:t>
      </w:r>
      <w:r w:rsidRPr="00CF1787">
        <w:rPr>
          <w:rFonts w:eastAsia="Verdana" w:cs="Verdana"/>
          <w:szCs w:val="20"/>
          <w:lang w:val="es-CR"/>
        </w:rPr>
        <w:t>y</w:t>
      </w:r>
      <w:r w:rsidRPr="00CF1787">
        <w:rPr>
          <w:rFonts w:eastAsia="Verdana" w:cs="Verdana"/>
          <w:spacing w:val="13"/>
          <w:szCs w:val="20"/>
          <w:lang w:val="es-CR"/>
        </w:rPr>
        <w:t xml:space="preserve"> </w:t>
      </w:r>
      <w:r w:rsidRPr="00CF1787">
        <w:rPr>
          <w:rFonts w:eastAsia="Verdana" w:cs="Verdana"/>
          <w:spacing w:val="1"/>
          <w:szCs w:val="20"/>
          <w:lang w:val="es-CR"/>
        </w:rPr>
        <w:t>g</w:t>
      </w:r>
      <w:r w:rsidRPr="00CF1787">
        <w:rPr>
          <w:rFonts w:eastAsia="Verdana" w:cs="Verdana"/>
          <w:spacing w:val="2"/>
          <w:szCs w:val="20"/>
          <w:lang w:val="es-CR"/>
        </w:rPr>
        <w:t>a</w:t>
      </w:r>
      <w:r w:rsidRPr="00CF1787">
        <w:rPr>
          <w:rFonts w:eastAsia="Verdana" w:cs="Verdana"/>
          <w:szCs w:val="20"/>
          <w:lang w:val="es-CR"/>
        </w:rPr>
        <w:t>st</w:t>
      </w:r>
      <w:r w:rsidRPr="00CF1787">
        <w:rPr>
          <w:rFonts w:eastAsia="Verdana" w:cs="Verdana"/>
          <w:spacing w:val="-1"/>
          <w:szCs w:val="20"/>
          <w:lang w:val="es-CR"/>
        </w:rPr>
        <w:t>o</w:t>
      </w:r>
      <w:r w:rsidRPr="00CF1787">
        <w:rPr>
          <w:rFonts w:eastAsia="Verdana" w:cs="Verdana"/>
          <w:spacing w:val="2"/>
          <w:szCs w:val="20"/>
          <w:lang w:val="es-CR"/>
        </w:rPr>
        <w:t>s</w:t>
      </w:r>
      <w:r w:rsidRPr="00CF1787">
        <w:rPr>
          <w:rFonts w:eastAsia="Verdana" w:cs="Verdana"/>
          <w:szCs w:val="20"/>
          <w:lang w:val="es-CR"/>
        </w:rPr>
        <w:t>,</w:t>
      </w:r>
      <w:r w:rsidRPr="00CF1787">
        <w:rPr>
          <w:rFonts w:eastAsia="Verdana" w:cs="Verdana"/>
          <w:spacing w:val="7"/>
          <w:szCs w:val="20"/>
          <w:lang w:val="es-CR"/>
        </w:rPr>
        <w:t xml:space="preserve"> </w:t>
      </w:r>
      <w:r w:rsidRPr="00CF1787">
        <w:rPr>
          <w:rFonts w:eastAsia="Verdana" w:cs="Verdana"/>
          <w:szCs w:val="20"/>
          <w:lang w:val="es-CR"/>
        </w:rPr>
        <w:t>y</w:t>
      </w:r>
      <w:r w:rsidRPr="00CF1787">
        <w:rPr>
          <w:rFonts w:eastAsia="Verdana" w:cs="Verdana"/>
          <w:spacing w:val="13"/>
          <w:szCs w:val="20"/>
          <w:lang w:val="es-CR"/>
        </w:rPr>
        <w:t xml:space="preserve"> </w:t>
      </w:r>
      <w:r w:rsidRPr="00CF1787">
        <w:rPr>
          <w:rFonts w:eastAsia="Verdana" w:cs="Verdana"/>
          <w:spacing w:val="3"/>
          <w:szCs w:val="20"/>
          <w:lang w:val="es-CR"/>
        </w:rPr>
        <w:t>l</w:t>
      </w:r>
      <w:r w:rsidRPr="00CF1787">
        <w:rPr>
          <w:rFonts w:eastAsia="Verdana" w:cs="Verdana"/>
          <w:szCs w:val="20"/>
          <w:lang w:val="es-CR"/>
        </w:rPr>
        <w:t>as</w:t>
      </w:r>
      <w:r w:rsidRPr="00CF1787">
        <w:rPr>
          <w:rFonts w:eastAsia="Verdana" w:cs="Verdana"/>
          <w:spacing w:val="11"/>
          <w:szCs w:val="20"/>
          <w:lang w:val="es-CR"/>
        </w:rPr>
        <w:t xml:space="preserve"> </w:t>
      </w:r>
      <w:r w:rsidRPr="00CF1787">
        <w:rPr>
          <w:rFonts w:eastAsia="Verdana" w:cs="Verdana"/>
          <w:spacing w:val="1"/>
          <w:szCs w:val="20"/>
          <w:lang w:val="es-CR"/>
        </w:rPr>
        <w:t>p</w:t>
      </w:r>
      <w:r w:rsidRPr="00CF1787">
        <w:rPr>
          <w:rFonts w:eastAsia="Verdana" w:cs="Verdana"/>
          <w:spacing w:val="-1"/>
          <w:szCs w:val="20"/>
          <w:lang w:val="es-CR"/>
        </w:rPr>
        <w:t>r</w:t>
      </w:r>
      <w:r w:rsidRPr="00CF1787">
        <w:rPr>
          <w:rFonts w:eastAsia="Verdana" w:cs="Verdana"/>
          <w:spacing w:val="1"/>
          <w:szCs w:val="20"/>
          <w:lang w:val="es-CR"/>
        </w:rPr>
        <w:t>u</w:t>
      </w:r>
      <w:r w:rsidRPr="00CF1787">
        <w:rPr>
          <w:rFonts w:eastAsia="Verdana" w:cs="Verdana"/>
          <w:spacing w:val="-1"/>
          <w:szCs w:val="20"/>
          <w:lang w:val="es-CR"/>
        </w:rPr>
        <w:t>e</w:t>
      </w:r>
      <w:r w:rsidRPr="00CF1787">
        <w:rPr>
          <w:rFonts w:eastAsia="Verdana" w:cs="Verdana"/>
          <w:spacing w:val="1"/>
          <w:szCs w:val="20"/>
          <w:lang w:val="es-CR"/>
        </w:rPr>
        <w:t>b</w:t>
      </w:r>
      <w:r w:rsidRPr="00CF1787">
        <w:rPr>
          <w:rFonts w:eastAsia="Verdana" w:cs="Verdana"/>
          <w:szCs w:val="20"/>
          <w:lang w:val="es-CR"/>
        </w:rPr>
        <w:t>as</w:t>
      </w:r>
      <w:r w:rsidRPr="00CF1787">
        <w:rPr>
          <w:rFonts w:eastAsia="Verdana" w:cs="Verdana"/>
          <w:spacing w:val="6"/>
          <w:szCs w:val="20"/>
          <w:lang w:val="es-CR"/>
        </w:rPr>
        <w:t xml:space="preserve"> </w:t>
      </w:r>
      <w:r w:rsidRPr="00CF1787">
        <w:rPr>
          <w:rFonts w:eastAsia="Verdana" w:cs="Verdana"/>
          <w:spacing w:val="1"/>
          <w:szCs w:val="20"/>
          <w:lang w:val="es-CR"/>
        </w:rPr>
        <w:t>qu</w:t>
      </w:r>
      <w:r w:rsidRPr="00CF1787">
        <w:rPr>
          <w:rFonts w:eastAsia="Verdana" w:cs="Verdana"/>
          <w:szCs w:val="20"/>
          <w:lang w:val="es-CR"/>
        </w:rPr>
        <w:t>e</w:t>
      </w:r>
      <w:r w:rsidRPr="00CF1787">
        <w:rPr>
          <w:rFonts w:eastAsia="Verdana" w:cs="Verdana"/>
          <w:spacing w:val="11"/>
          <w:szCs w:val="20"/>
          <w:lang w:val="es-CR"/>
        </w:rPr>
        <w:t xml:space="preserve"> </w:t>
      </w:r>
      <w:r w:rsidRPr="00CF1787">
        <w:rPr>
          <w:rFonts w:eastAsia="Verdana" w:cs="Verdana"/>
          <w:spacing w:val="3"/>
          <w:szCs w:val="20"/>
          <w:lang w:val="es-CR"/>
        </w:rPr>
        <w:t>l</w:t>
      </w:r>
      <w:r w:rsidRPr="00CF1787">
        <w:rPr>
          <w:rFonts w:eastAsia="Verdana" w:cs="Verdana"/>
          <w:szCs w:val="20"/>
          <w:lang w:val="es-CR"/>
        </w:rPr>
        <w:t>as</w:t>
      </w:r>
      <w:r w:rsidRPr="00CF1787">
        <w:rPr>
          <w:rFonts w:eastAsia="Verdana" w:cs="Verdana"/>
          <w:spacing w:val="11"/>
          <w:szCs w:val="20"/>
          <w:lang w:val="es-CR"/>
        </w:rPr>
        <w:t xml:space="preserve"> </w:t>
      </w:r>
      <w:r w:rsidRPr="00CF1787">
        <w:rPr>
          <w:rFonts w:eastAsia="Verdana" w:cs="Verdana"/>
          <w:szCs w:val="20"/>
          <w:lang w:val="es-CR"/>
        </w:rPr>
        <w:t>sust</w:t>
      </w:r>
      <w:r w:rsidRPr="00CF1787">
        <w:rPr>
          <w:rFonts w:eastAsia="Verdana" w:cs="Verdana"/>
          <w:spacing w:val="-1"/>
          <w:szCs w:val="20"/>
          <w:lang w:val="es-CR"/>
        </w:rPr>
        <w:t>e</w:t>
      </w:r>
      <w:r w:rsidRPr="00CF1787">
        <w:rPr>
          <w:rFonts w:eastAsia="Verdana" w:cs="Verdana"/>
          <w:spacing w:val="1"/>
          <w:szCs w:val="20"/>
          <w:lang w:val="es-CR"/>
        </w:rPr>
        <w:t>nt</w:t>
      </w:r>
      <w:r w:rsidRPr="00CF1787">
        <w:rPr>
          <w:rFonts w:eastAsia="Verdana" w:cs="Verdana"/>
          <w:szCs w:val="20"/>
          <w:lang w:val="es-CR"/>
        </w:rPr>
        <w:t>a</w:t>
      </w:r>
      <w:r w:rsidRPr="00CF1787">
        <w:rPr>
          <w:rFonts w:eastAsia="Verdana" w:cs="Verdana"/>
          <w:spacing w:val="1"/>
          <w:szCs w:val="20"/>
          <w:lang w:val="es-CR"/>
        </w:rPr>
        <w:t>n</w:t>
      </w:r>
      <w:r w:rsidRPr="00CF1787">
        <w:rPr>
          <w:rFonts w:eastAsia="Verdana" w:cs="Verdana"/>
          <w:szCs w:val="20"/>
          <w:lang w:val="es-CR"/>
        </w:rPr>
        <w:t>,</w:t>
      </w:r>
      <w:r w:rsidRPr="00CF1787">
        <w:rPr>
          <w:rFonts w:eastAsia="Verdana" w:cs="Verdana"/>
          <w:spacing w:val="3"/>
          <w:szCs w:val="20"/>
          <w:lang w:val="es-CR"/>
        </w:rPr>
        <w:t xml:space="preserve"> </w:t>
      </w:r>
      <w:r w:rsidRPr="00CF1787">
        <w:rPr>
          <w:rFonts w:eastAsia="Verdana" w:cs="Verdana"/>
          <w:spacing w:val="1"/>
          <w:szCs w:val="20"/>
          <w:lang w:val="es-CR"/>
        </w:rPr>
        <w:t>d</w:t>
      </w:r>
      <w:r w:rsidRPr="00CF1787">
        <w:rPr>
          <w:rFonts w:eastAsia="Verdana" w:cs="Verdana"/>
          <w:spacing w:val="-1"/>
          <w:szCs w:val="20"/>
          <w:lang w:val="es-CR"/>
        </w:rPr>
        <w:t>e</w:t>
      </w:r>
      <w:r w:rsidRPr="00CF1787">
        <w:rPr>
          <w:rFonts w:eastAsia="Verdana" w:cs="Verdana"/>
          <w:spacing w:val="1"/>
          <w:szCs w:val="20"/>
          <w:lang w:val="es-CR"/>
        </w:rPr>
        <w:t>b</w:t>
      </w:r>
      <w:r w:rsidRPr="00CF1787">
        <w:rPr>
          <w:rFonts w:eastAsia="Verdana" w:cs="Verdana"/>
          <w:spacing w:val="-1"/>
          <w:szCs w:val="20"/>
          <w:lang w:val="es-CR"/>
        </w:rPr>
        <w:t>e</w:t>
      </w:r>
      <w:r w:rsidRPr="00CF1787">
        <w:rPr>
          <w:rFonts w:eastAsia="Verdana" w:cs="Verdana"/>
          <w:szCs w:val="20"/>
          <w:lang w:val="es-CR"/>
        </w:rPr>
        <w:t>n</w:t>
      </w:r>
      <w:r w:rsidRPr="00CF1787">
        <w:rPr>
          <w:rFonts w:eastAsia="Verdana" w:cs="Verdana"/>
          <w:spacing w:val="9"/>
          <w:szCs w:val="20"/>
          <w:lang w:val="es-CR"/>
        </w:rPr>
        <w:t xml:space="preserve"> </w:t>
      </w:r>
      <w:r w:rsidRPr="00CF1787">
        <w:rPr>
          <w:rFonts w:eastAsia="Verdana" w:cs="Verdana"/>
          <w:spacing w:val="1"/>
          <w:szCs w:val="20"/>
          <w:lang w:val="es-CR"/>
        </w:rPr>
        <w:t>p</w:t>
      </w:r>
      <w:r w:rsidRPr="00CF1787">
        <w:rPr>
          <w:rFonts w:eastAsia="Verdana" w:cs="Verdana"/>
          <w:spacing w:val="-1"/>
          <w:szCs w:val="20"/>
          <w:lang w:val="es-CR"/>
        </w:rPr>
        <w:t>r</w:t>
      </w:r>
      <w:r w:rsidRPr="00CF1787">
        <w:rPr>
          <w:rFonts w:eastAsia="Verdana" w:cs="Verdana"/>
          <w:spacing w:val="1"/>
          <w:szCs w:val="20"/>
          <w:lang w:val="es-CR"/>
        </w:rPr>
        <w:t>e</w:t>
      </w:r>
      <w:r w:rsidRPr="00CF1787">
        <w:rPr>
          <w:rFonts w:eastAsia="Verdana" w:cs="Verdana"/>
          <w:szCs w:val="20"/>
          <w:lang w:val="es-CR"/>
        </w:rPr>
        <w:t>s</w:t>
      </w:r>
      <w:r w:rsidRPr="00CF1787">
        <w:rPr>
          <w:rFonts w:eastAsia="Verdana" w:cs="Verdana"/>
          <w:spacing w:val="-2"/>
          <w:szCs w:val="20"/>
          <w:lang w:val="es-CR"/>
        </w:rPr>
        <w:t>e</w:t>
      </w:r>
      <w:r w:rsidRPr="00CF1787">
        <w:rPr>
          <w:rFonts w:eastAsia="Verdana" w:cs="Verdana"/>
          <w:spacing w:val="1"/>
          <w:szCs w:val="20"/>
          <w:lang w:val="es-CR"/>
        </w:rPr>
        <w:t>nt</w:t>
      </w:r>
      <w:r w:rsidRPr="00CF1787">
        <w:rPr>
          <w:rFonts w:eastAsia="Verdana" w:cs="Verdana"/>
          <w:szCs w:val="20"/>
          <w:lang w:val="es-CR"/>
        </w:rPr>
        <w:t>a</w:t>
      </w:r>
      <w:r w:rsidRPr="00CF1787">
        <w:rPr>
          <w:rFonts w:eastAsia="Verdana" w:cs="Verdana"/>
          <w:spacing w:val="2"/>
          <w:szCs w:val="20"/>
          <w:lang w:val="es-CR"/>
        </w:rPr>
        <w:t>r</w:t>
      </w:r>
      <w:r w:rsidRPr="00CF1787">
        <w:rPr>
          <w:rFonts w:eastAsia="Verdana" w:cs="Verdana"/>
          <w:szCs w:val="20"/>
          <w:lang w:val="es-CR"/>
        </w:rPr>
        <w:t>se a</w:t>
      </w:r>
      <w:r w:rsidRPr="00CF1787">
        <w:rPr>
          <w:rFonts w:eastAsia="Verdana" w:cs="Verdana"/>
          <w:spacing w:val="13"/>
          <w:szCs w:val="20"/>
          <w:lang w:val="es-CR"/>
        </w:rPr>
        <w:t xml:space="preserve"> </w:t>
      </w:r>
      <w:r w:rsidRPr="00CF1787">
        <w:rPr>
          <w:rFonts w:eastAsia="Verdana" w:cs="Verdana"/>
          <w:spacing w:val="3"/>
          <w:szCs w:val="20"/>
          <w:lang w:val="es-CR"/>
        </w:rPr>
        <w:t>l</w:t>
      </w:r>
      <w:r w:rsidRPr="00CF1787">
        <w:rPr>
          <w:rFonts w:eastAsia="Verdana" w:cs="Verdana"/>
          <w:szCs w:val="20"/>
          <w:lang w:val="es-CR"/>
        </w:rPr>
        <w:t>a</w:t>
      </w:r>
      <w:r w:rsidRPr="00CF1787">
        <w:rPr>
          <w:rFonts w:eastAsia="Verdana" w:cs="Verdana"/>
          <w:spacing w:val="12"/>
          <w:szCs w:val="20"/>
          <w:lang w:val="es-CR"/>
        </w:rPr>
        <w:t xml:space="preserve"> </w:t>
      </w:r>
      <w:r w:rsidRPr="00CF1787">
        <w:rPr>
          <w:rFonts w:eastAsia="Verdana" w:cs="Verdana"/>
          <w:szCs w:val="20"/>
          <w:lang w:val="es-CR"/>
        </w:rPr>
        <w:t>C</w:t>
      </w:r>
      <w:r w:rsidRPr="00CF1787">
        <w:rPr>
          <w:rFonts w:eastAsia="Verdana" w:cs="Verdana"/>
          <w:spacing w:val="-1"/>
          <w:szCs w:val="20"/>
          <w:lang w:val="es-CR"/>
        </w:rPr>
        <w:t>or</w:t>
      </w:r>
      <w:r w:rsidRPr="00CF1787">
        <w:rPr>
          <w:rFonts w:eastAsia="Verdana" w:cs="Verdana"/>
          <w:spacing w:val="3"/>
          <w:szCs w:val="20"/>
          <w:lang w:val="es-CR"/>
        </w:rPr>
        <w:t>t</w:t>
      </w:r>
      <w:r w:rsidRPr="00CF1787">
        <w:rPr>
          <w:rFonts w:eastAsia="Verdana" w:cs="Verdana"/>
          <w:szCs w:val="20"/>
          <w:lang w:val="es-CR"/>
        </w:rPr>
        <w:t>e</w:t>
      </w:r>
      <w:r w:rsidRPr="00CF1787">
        <w:rPr>
          <w:rFonts w:eastAsia="Verdana" w:cs="Verdana"/>
          <w:spacing w:val="9"/>
          <w:szCs w:val="20"/>
          <w:lang w:val="es-CR"/>
        </w:rPr>
        <w:t xml:space="preserve"> </w:t>
      </w:r>
      <w:r w:rsidRPr="00CF1787">
        <w:rPr>
          <w:rFonts w:eastAsia="Verdana" w:cs="Verdana"/>
          <w:spacing w:val="-1"/>
          <w:szCs w:val="20"/>
          <w:lang w:val="es-CR"/>
        </w:rPr>
        <w:t>e</w:t>
      </w:r>
      <w:r w:rsidRPr="00CF1787">
        <w:rPr>
          <w:rFonts w:eastAsia="Verdana" w:cs="Verdana"/>
          <w:szCs w:val="20"/>
          <w:lang w:val="es-CR"/>
        </w:rPr>
        <w:t>n</w:t>
      </w:r>
      <w:r w:rsidRPr="00CF1787">
        <w:rPr>
          <w:rFonts w:eastAsia="Verdana" w:cs="Verdana"/>
          <w:spacing w:val="12"/>
          <w:szCs w:val="20"/>
          <w:lang w:val="es-CR"/>
        </w:rPr>
        <w:t xml:space="preserve"> </w:t>
      </w:r>
      <w:r w:rsidRPr="00CF1787">
        <w:rPr>
          <w:rFonts w:eastAsia="Verdana" w:cs="Verdana"/>
          <w:spacing w:val="-1"/>
          <w:szCs w:val="20"/>
          <w:lang w:val="es-CR"/>
        </w:rPr>
        <w:t>e</w:t>
      </w:r>
      <w:r w:rsidRPr="00CF1787">
        <w:rPr>
          <w:rFonts w:eastAsia="Verdana" w:cs="Verdana"/>
          <w:szCs w:val="20"/>
          <w:lang w:val="es-CR"/>
        </w:rPr>
        <w:t xml:space="preserve">l </w:t>
      </w:r>
      <w:r w:rsidRPr="00CF1787">
        <w:rPr>
          <w:rFonts w:eastAsia="Verdana" w:cs="Verdana"/>
          <w:spacing w:val="1"/>
          <w:szCs w:val="20"/>
          <w:lang w:val="es-CR"/>
        </w:rPr>
        <w:t>p</w:t>
      </w:r>
      <w:r w:rsidRPr="00CF1787">
        <w:rPr>
          <w:rFonts w:eastAsia="Verdana" w:cs="Verdana"/>
          <w:spacing w:val="-1"/>
          <w:szCs w:val="20"/>
          <w:lang w:val="es-CR"/>
        </w:rPr>
        <w:t>r</w:t>
      </w:r>
      <w:r w:rsidRPr="00CF1787">
        <w:rPr>
          <w:rFonts w:eastAsia="Verdana" w:cs="Verdana"/>
          <w:spacing w:val="3"/>
          <w:szCs w:val="20"/>
          <w:lang w:val="es-CR"/>
        </w:rPr>
        <w:t>i</w:t>
      </w:r>
      <w:r w:rsidRPr="00CF1787">
        <w:rPr>
          <w:rFonts w:eastAsia="Verdana" w:cs="Verdana"/>
          <w:szCs w:val="20"/>
          <w:lang w:val="es-CR"/>
        </w:rPr>
        <w:t>mer</w:t>
      </w:r>
      <w:r w:rsidRPr="00CF1787">
        <w:rPr>
          <w:rFonts w:eastAsia="Verdana" w:cs="Verdana"/>
          <w:spacing w:val="-5"/>
          <w:szCs w:val="20"/>
          <w:lang w:val="es-CR"/>
        </w:rPr>
        <w:t xml:space="preserve"> </w:t>
      </w:r>
      <w:r w:rsidRPr="00CF1787">
        <w:rPr>
          <w:rFonts w:eastAsia="Verdana" w:cs="Verdana"/>
          <w:szCs w:val="20"/>
          <w:lang w:val="es-CR"/>
        </w:rPr>
        <w:t>mo</w:t>
      </w:r>
      <w:r w:rsidRPr="00CF1787">
        <w:rPr>
          <w:rFonts w:eastAsia="Verdana" w:cs="Verdana"/>
          <w:spacing w:val="3"/>
          <w:szCs w:val="20"/>
          <w:lang w:val="es-CR"/>
        </w:rPr>
        <w:t>m</w:t>
      </w:r>
      <w:r w:rsidRPr="00CF1787">
        <w:rPr>
          <w:rFonts w:eastAsia="Verdana" w:cs="Verdana"/>
          <w:spacing w:val="-1"/>
          <w:szCs w:val="20"/>
          <w:lang w:val="es-CR"/>
        </w:rPr>
        <w:t>e</w:t>
      </w:r>
      <w:r w:rsidRPr="00CF1787">
        <w:rPr>
          <w:rFonts w:eastAsia="Verdana" w:cs="Verdana"/>
          <w:spacing w:val="1"/>
          <w:szCs w:val="20"/>
          <w:lang w:val="es-CR"/>
        </w:rPr>
        <w:t>nt</w:t>
      </w:r>
      <w:r w:rsidRPr="00CF1787">
        <w:rPr>
          <w:rFonts w:eastAsia="Verdana" w:cs="Verdana"/>
          <w:szCs w:val="20"/>
          <w:lang w:val="es-CR"/>
        </w:rPr>
        <w:t>o</w:t>
      </w:r>
      <w:r w:rsidRPr="00CF1787">
        <w:rPr>
          <w:rFonts w:eastAsia="Verdana" w:cs="Verdana"/>
          <w:spacing w:val="-7"/>
          <w:szCs w:val="20"/>
          <w:lang w:val="es-CR"/>
        </w:rPr>
        <w:t xml:space="preserve"> </w:t>
      </w:r>
      <w:r w:rsidRPr="00CF1787">
        <w:rPr>
          <w:rFonts w:eastAsia="Verdana" w:cs="Verdana"/>
          <w:spacing w:val="1"/>
          <w:szCs w:val="20"/>
          <w:lang w:val="es-CR"/>
        </w:rPr>
        <w:t>p</w:t>
      </w:r>
      <w:r w:rsidRPr="00CF1787">
        <w:rPr>
          <w:rFonts w:eastAsia="Verdana" w:cs="Verdana"/>
          <w:spacing w:val="-1"/>
          <w:szCs w:val="20"/>
          <w:lang w:val="es-CR"/>
        </w:rPr>
        <w:t>r</w:t>
      </w:r>
      <w:r w:rsidRPr="00CF1787">
        <w:rPr>
          <w:rFonts w:eastAsia="Verdana" w:cs="Verdana"/>
          <w:spacing w:val="1"/>
          <w:szCs w:val="20"/>
          <w:lang w:val="es-CR"/>
        </w:rPr>
        <w:t>o</w:t>
      </w:r>
      <w:r w:rsidRPr="00CF1787">
        <w:rPr>
          <w:rFonts w:eastAsia="Verdana" w:cs="Verdana"/>
          <w:szCs w:val="20"/>
          <w:lang w:val="es-CR"/>
        </w:rPr>
        <w:t>ce</w:t>
      </w:r>
      <w:r w:rsidRPr="00CF1787">
        <w:rPr>
          <w:rFonts w:eastAsia="Verdana" w:cs="Verdana"/>
          <w:spacing w:val="2"/>
          <w:szCs w:val="20"/>
          <w:lang w:val="es-CR"/>
        </w:rPr>
        <w:t>s</w:t>
      </w:r>
      <w:r w:rsidRPr="00CF1787">
        <w:rPr>
          <w:rFonts w:eastAsia="Verdana" w:cs="Verdana"/>
          <w:szCs w:val="20"/>
          <w:lang w:val="es-CR"/>
        </w:rPr>
        <w:t>al</w:t>
      </w:r>
      <w:r w:rsidRPr="00CF1787">
        <w:rPr>
          <w:rFonts w:eastAsia="Verdana" w:cs="Verdana"/>
          <w:spacing w:val="-4"/>
          <w:szCs w:val="20"/>
          <w:lang w:val="es-CR"/>
        </w:rPr>
        <w:t xml:space="preserve"> </w:t>
      </w:r>
      <w:r w:rsidRPr="00CF1787">
        <w:rPr>
          <w:rFonts w:eastAsia="Verdana" w:cs="Verdana"/>
          <w:spacing w:val="1"/>
          <w:szCs w:val="20"/>
          <w:lang w:val="es-CR"/>
        </w:rPr>
        <w:t>qu</w:t>
      </w:r>
      <w:r w:rsidRPr="00CF1787">
        <w:rPr>
          <w:rFonts w:eastAsia="Verdana" w:cs="Verdana"/>
          <w:szCs w:val="20"/>
          <w:lang w:val="es-CR"/>
        </w:rPr>
        <w:t>e</w:t>
      </w:r>
      <w:r w:rsidRPr="00CF1787">
        <w:rPr>
          <w:rFonts w:eastAsia="Verdana" w:cs="Verdana"/>
          <w:spacing w:val="-1"/>
          <w:szCs w:val="20"/>
          <w:lang w:val="es-CR"/>
        </w:rPr>
        <w:t xml:space="preserve"> </w:t>
      </w:r>
      <w:r w:rsidRPr="00CF1787">
        <w:rPr>
          <w:rFonts w:eastAsia="Verdana" w:cs="Verdana"/>
          <w:szCs w:val="20"/>
          <w:lang w:val="es-CR"/>
        </w:rPr>
        <w:t xml:space="preserve">se </w:t>
      </w:r>
      <w:r w:rsidRPr="00CF1787">
        <w:rPr>
          <w:rFonts w:eastAsia="Verdana" w:cs="Verdana"/>
          <w:spacing w:val="3"/>
          <w:szCs w:val="20"/>
          <w:lang w:val="es-CR"/>
        </w:rPr>
        <w:t>l</w:t>
      </w:r>
      <w:r w:rsidRPr="00CF1787">
        <w:rPr>
          <w:rFonts w:eastAsia="Verdana" w:cs="Verdana"/>
          <w:spacing w:val="-1"/>
          <w:szCs w:val="20"/>
          <w:lang w:val="es-CR"/>
        </w:rPr>
        <w:t>e</w:t>
      </w:r>
      <w:r w:rsidRPr="00CF1787">
        <w:rPr>
          <w:rFonts w:eastAsia="Verdana" w:cs="Verdana"/>
          <w:szCs w:val="20"/>
          <w:lang w:val="es-CR"/>
        </w:rPr>
        <w:t>s c</w:t>
      </w:r>
      <w:r w:rsidRPr="00CF1787">
        <w:rPr>
          <w:rFonts w:eastAsia="Verdana" w:cs="Verdana"/>
          <w:spacing w:val="-2"/>
          <w:szCs w:val="20"/>
          <w:lang w:val="es-CR"/>
        </w:rPr>
        <w:t>o</w:t>
      </w:r>
      <w:r w:rsidRPr="00CF1787">
        <w:rPr>
          <w:rFonts w:eastAsia="Verdana" w:cs="Verdana"/>
          <w:spacing w:val="1"/>
          <w:szCs w:val="20"/>
          <w:lang w:val="es-CR"/>
        </w:rPr>
        <w:t>n</w:t>
      </w:r>
      <w:r w:rsidRPr="00CF1787">
        <w:rPr>
          <w:rFonts w:eastAsia="Verdana" w:cs="Verdana"/>
          <w:szCs w:val="20"/>
          <w:lang w:val="es-CR"/>
        </w:rPr>
        <w:t>c</w:t>
      </w:r>
      <w:r w:rsidRPr="00CF1787">
        <w:rPr>
          <w:rFonts w:eastAsia="Verdana" w:cs="Verdana"/>
          <w:spacing w:val="-2"/>
          <w:szCs w:val="20"/>
          <w:lang w:val="es-CR"/>
        </w:rPr>
        <w:t>e</w:t>
      </w:r>
      <w:r w:rsidRPr="00CF1787">
        <w:rPr>
          <w:rFonts w:eastAsia="Verdana" w:cs="Verdana"/>
          <w:spacing w:val="3"/>
          <w:szCs w:val="20"/>
          <w:lang w:val="es-CR"/>
        </w:rPr>
        <w:t>d</w:t>
      </w:r>
      <w:r w:rsidRPr="00CF1787">
        <w:rPr>
          <w:rFonts w:eastAsia="Verdana" w:cs="Verdana"/>
          <w:spacing w:val="-1"/>
          <w:szCs w:val="20"/>
          <w:lang w:val="es-CR"/>
        </w:rPr>
        <w:t>e</w:t>
      </w:r>
      <w:r w:rsidRPr="00CF1787">
        <w:rPr>
          <w:rFonts w:eastAsia="Verdana" w:cs="Verdana"/>
          <w:szCs w:val="20"/>
          <w:lang w:val="es-CR"/>
        </w:rPr>
        <w:t>,</w:t>
      </w:r>
      <w:r w:rsidRPr="00CF1787">
        <w:rPr>
          <w:rFonts w:eastAsia="Verdana" w:cs="Verdana"/>
          <w:spacing w:val="-3"/>
          <w:szCs w:val="20"/>
          <w:lang w:val="es-CR"/>
        </w:rPr>
        <w:t xml:space="preserve"> </w:t>
      </w:r>
      <w:r w:rsidRPr="00CF1787">
        <w:rPr>
          <w:rFonts w:eastAsia="Verdana" w:cs="Verdana"/>
          <w:spacing w:val="1"/>
          <w:szCs w:val="20"/>
          <w:lang w:val="es-CR"/>
        </w:rPr>
        <w:t>e</w:t>
      </w:r>
      <w:r w:rsidRPr="00CF1787">
        <w:rPr>
          <w:rFonts w:eastAsia="Verdana" w:cs="Verdana"/>
          <w:szCs w:val="20"/>
          <w:lang w:val="es-CR"/>
        </w:rPr>
        <w:t>sto</w:t>
      </w:r>
      <w:r w:rsidRPr="00CF1787">
        <w:rPr>
          <w:rFonts w:eastAsia="Verdana" w:cs="Verdana"/>
          <w:spacing w:val="-1"/>
          <w:szCs w:val="20"/>
          <w:lang w:val="es-CR"/>
        </w:rPr>
        <w:t xml:space="preserve"> </w:t>
      </w:r>
      <w:r w:rsidRPr="00CF1787">
        <w:rPr>
          <w:rFonts w:eastAsia="Verdana" w:cs="Verdana"/>
          <w:spacing w:val="1"/>
          <w:szCs w:val="20"/>
          <w:lang w:val="es-CR"/>
        </w:rPr>
        <w:t>e</w:t>
      </w:r>
      <w:r w:rsidRPr="00CF1787">
        <w:rPr>
          <w:rFonts w:eastAsia="Verdana" w:cs="Verdana"/>
          <w:szCs w:val="20"/>
          <w:lang w:val="es-CR"/>
        </w:rPr>
        <w:t xml:space="preserve">s, </w:t>
      </w:r>
      <w:r w:rsidRPr="00CF1787">
        <w:rPr>
          <w:rFonts w:eastAsia="Verdana" w:cs="Verdana"/>
          <w:spacing w:val="-1"/>
          <w:szCs w:val="20"/>
          <w:lang w:val="es-CR"/>
        </w:rPr>
        <w:t>e</w:t>
      </w:r>
      <w:r w:rsidRPr="00CF1787">
        <w:rPr>
          <w:rFonts w:eastAsia="Verdana" w:cs="Verdana"/>
          <w:szCs w:val="20"/>
          <w:lang w:val="es-CR"/>
        </w:rPr>
        <w:t>n</w:t>
      </w:r>
      <w:r w:rsidRPr="00CF1787">
        <w:rPr>
          <w:rFonts w:eastAsia="Verdana" w:cs="Verdana"/>
          <w:spacing w:val="3"/>
          <w:szCs w:val="20"/>
          <w:lang w:val="es-CR"/>
        </w:rPr>
        <w:t xml:space="preserve"> </w:t>
      </w:r>
      <w:r w:rsidRPr="00CF1787">
        <w:rPr>
          <w:rFonts w:eastAsia="Verdana" w:cs="Verdana"/>
          <w:spacing w:val="-1"/>
          <w:szCs w:val="20"/>
          <w:lang w:val="es-CR"/>
        </w:rPr>
        <w:t>e</w:t>
      </w:r>
      <w:r w:rsidRPr="00CF1787">
        <w:rPr>
          <w:rFonts w:eastAsia="Verdana" w:cs="Verdana"/>
          <w:szCs w:val="20"/>
          <w:lang w:val="es-CR"/>
        </w:rPr>
        <w:t>l</w:t>
      </w:r>
      <w:r w:rsidRPr="00CF1787">
        <w:rPr>
          <w:rFonts w:eastAsia="Verdana" w:cs="Verdana"/>
          <w:spacing w:val="4"/>
          <w:szCs w:val="20"/>
          <w:lang w:val="es-CR"/>
        </w:rPr>
        <w:t xml:space="preserve"> </w:t>
      </w:r>
      <w:r w:rsidRPr="00CF1787">
        <w:rPr>
          <w:rFonts w:eastAsia="Verdana" w:cs="Verdana"/>
          <w:spacing w:val="-1"/>
          <w:szCs w:val="20"/>
          <w:lang w:val="es-CR"/>
        </w:rPr>
        <w:t>e</w:t>
      </w:r>
      <w:r w:rsidRPr="00CF1787">
        <w:rPr>
          <w:rFonts w:eastAsia="Verdana" w:cs="Verdana"/>
          <w:szCs w:val="20"/>
          <w:lang w:val="es-CR"/>
        </w:rPr>
        <w:t>s</w:t>
      </w:r>
      <w:r w:rsidRPr="00CF1787">
        <w:rPr>
          <w:rFonts w:eastAsia="Verdana" w:cs="Verdana"/>
          <w:spacing w:val="1"/>
          <w:szCs w:val="20"/>
          <w:lang w:val="es-CR"/>
        </w:rPr>
        <w:t>c</w:t>
      </w:r>
      <w:r w:rsidRPr="00CF1787">
        <w:rPr>
          <w:rFonts w:eastAsia="Verdana" w:cs="Verdana"/>
          <w:spacing w:val="-1"/>
          <w:szCs w:val="20"/>
          <w:lang w:val="es-CR"/>
        </w:rPr>
        <w:t>r</w:t>
      </w:r>
      <w:r w:rsidRPr="00CF1787">
        <w:rPr>
          <w:rFonts w:eastAsia="Verdana" w:cs="Verdana"/>
          <w:spacing w:val="3"/>
          <w:szCs w:val="20"/>
          <w:lang w:val="es-CR"/>
        </w:rPr>
        <w:t>i</w:t>
      </w:r>
      <w:r w:rsidRPr="00CF1787">
        <w:rPr>
          <w:rFonts w:eastAsia="Verdana" w:cs="Verdana"/>
          <w:spacing w:val="1"/>
          <w:szCs w:val="20"/>
          <w:lang w:val="es-CR"/>
        </w:rPr>
        <w:t>t</w:t>
      </w:r>
      <w:r w:rsidRPr="00CF1787">
        <w:rPr>
          <w:rFonts w:eastAsia="Verdana" w:cs="Verdana"/>
          <w:szCs w:val="20"/>
          <w:lang w:val="es-CR"/>
        </w:rPr>
        <w:t>o</w:t>
      </w:r>
      <w:r w:rsidRPr="00CF1787">
        <w:rPr>
          <w:rFonts w:eastAsia="Verdana" w:cs="Verdana"/>
          <w:spacing w:val="-4"/>
          <w:szCs w:val="20"/>
          <w:lang w:val="es-CR"/>
        </w:rPr>
        <w:t xml:space="preserve"> </w:t>
      </w:r>
      <w:r w:rsidRPr="00CF1787">
        <w:rPr>
          <w:rFonts w:eastAsia="Verdana" w:cs="Verdana"/>
          <w:spacing w:val="1"/>
          <w:szCs w:val="20"/>
          <w:lang w:val="es-CR"/>
        </w:rPr>
        <w:t>d</w:t>
      </w:r>
      <w:r w:rsidRPr="00CF1787">
        <w:rPr>
          <w:rFonts w:eastAsia="Verdana" w:cs="Verdana"/>
          <w:szCs w:val="20"/>
          <w:lang w:val="es-CR"/>
        </w:rPr>
        <w:t>e</w:t>
      </w:r>
      <w:r w:rsidRPr="00CF1787">
        <w:rPr>
          <w:rFonts w:eastAsia="Verdana" w:cs="Verdana"/>
          <w:spacing w:val="1"/>
          <w:szCs w:val="20"/>
          <w:lang w:val="es-CR"/>
        </w:rPr>
        <w:t xml:space="preserve"> </w:t>
      </w:r>
      <w:r w:rsidRPr="00CF1787">
        <w:rPr>
          <w:rFonts w:eastAsia="Verdana" w:cs="Verdana"/>
          <w:szCs w:val="20"/>
          <w:lang w:val="es-CR"/>
        </w:rPr>
        <w:t>s</w:t>
      </w:r>
      <w:r w:rsidRPr="00CF1787">
        <w:rPr>
          <w:rFonts w:eastAsia="Verdana" w:cs="Verdana"/>
          <w:spacing w:val="-2"/>
          <w:szCs w:val="20"/>
          <w:lang w:val="es-CR"/>
        </w:rPr>
        <w:t>o</w:t>
      </w:r>
      <w:r w:rsidRPr="00CF1787">
        <w:rPr>
          <w:rFonts w:eastAsia="Verdana" w:cs="Verdana"/>
          <w:spacing w:val="3"/>
          <w:szCs w:val="20"/>
          <w:lang w:val="es-CR"/>
        </w:rPr>
        <w:t>li</w:t>
      </w:r>
      <w:r w:rsidRPr="00CF1787">
        <w:rPr>
          <w:rFonts w:eastAsia="Verdana" w:cs="Verdana"/>
          <w:spacing w:val="-3"/>
          <w:szCs w:val="20"/>
          <w:lang w:val="es-CR"/>
        </w:rPr>
        <w:t>c</w:t>
      </w:r>
      <w:r w:rsidRPr="00CF1787">
        <w:rPr>
          <w:rFonts w:eastAsia="Verdana" w:cs="Verdana"/>
          <w:spacing w:val="3"/>
          <w:szCs w:val="20"/>
          <w:lang w:val="es-CR"/>
        </w:rPr>
        <w:t>i</w:t>
      </w:r>
      <w:r w:rsidRPr="00CF1787">
        <w:rPr>
          <w:rFonts w:eastAsia="Verdana" w:cs="Verdana"/>
          <w:spacing w:val="1"/>
          <w:szCs w:val="20"/>
          <w:lang w:val="es-CR"/>
        </w:rPr>
        <w:t>tud</w:t>
      </w:r>
      <w:r w:rsidRPr="00CF1787">
        <w:rPr>
          <w:rFonts w:eastAsia="Verdana" w:cs="Verdana"/>
          <w:spacing w:val="-1"/>
          <w:szCs w:val="20"/>
          <w:lang w:val="es-CR"/>
        </w:rPr>
        <w:t>e</w:t>
      </w:r>
      <w:r w:rsidRPr="00CF1787">
        <w:rPr>
          <w:rFonts w:eastAsia="Verdana" w:cs="Verdana"/>
          <w:szCs w:val="20"/>
          <w:lang w:val="es-CR"/>
        </w:rPr>
        <w:t>s</w:t>
      </w:r>
      <w:r w:rsidRPr="00CF1787">
        <w:rPr>
          <w:rFonts w:eastAsia="Verdana" w:cs="Verdana"/>
          <w:spacing w:val="-7"/>
          <w:szCs w:val="20"/>
          <w:lang w:val="es-CR"/>
        </w:rPr>
        <w:t xml:space="preserve"> </w:t>
      </w:r>
      <w:r w:rsidRPr="00CF1787">
        <w:rPr>
          <w:rFonts w:eastAsia="Verdana" w:cs="Verdana"/>
          <w:szCs w:val="20"/>
          <w:lang w:val="es-CR"/>
        </w:rPr>
        <w:t>y</w:t>
      </w:r>
      <w:r w:rsidRPr="00CF1787">
        <w:rPr>
          <w:rFonts w:eastAsia="Verdana" w:cs="Verdana"/>
          <w:spacing w:val="3"/>
          <w:szCs w:val="20"/>
          <w:lang w:val="es-CR"/>
        </w:rPr>
        <w:t xml:space="preserve"> </w:t>
      </w:r>
      <w:r w:rsidRPr="00CF1787">
        <w:rPr>
          <w:rFonts w:eastAsia="Verdana" w:cs="Verdana"/>
          <w:szCs w:val="20"/>
          <w:lang w:val="es-CR"/>
        </w:rPr>
        <w:t>a</w:t>
      </w:r>
      <w:r w:rsidRPr="00CF1787">
        <w:rPr>
          <w:rFonts w:eastAsia="Verdana" w:cs="Verdana"/>
          <w:spacing w:val="-1"/>
          <w:szCs w:val="20"/>
          <w:lang w:val="es-CR"/>
        </w:rPr>
        <w:t>r</w:t>
      </w:r>
      <w:r w:rsidRPr="00CF1787">
        <w:rPr>
          <w:rFonts w:eastAsia="Verdana" w:cs="Verdana"/>
          <w:spacing w:val="1"/>
          <w:szCs w:val="20"/>
          <w:lang w:val="es-CR"/>
        </w:rPr>
        <w:t>gu</w:t>
      </w:r>
      <w:r w:rsidRPr="00CF1787">
        <w:rPr>
          <w:rFonts w:eastAsia="Verdana" w:cs="Verdana"/>
          <w:szCs w:val="20"/>
          <w:lang w:val="es-CR"/>
        </w:rPr>
        <w:t>men</w:t>
      </w:r>
      <w:r w:rsidRPr="00CF1787">
        <w:rPr>
          <w:rFonts w:eastAsia="Verdana" w:cs="Verdana"/>
          <w:spacing w:val="1"/>
          <w:szCs w:val="20"/>
          <w:lang w:val="es-CR"/>
        </w:rPr>
        <w:t>t</w:t>
      </w:r>
      <w:r w:rsidRPr="00CF1787">
        <w:rPr>
          <w:rFonts w:eastAsia="Verdana" w:cs="Verdana"/>
          <w:spacing w:val="-1"/>
          <w:szCs w:val="20"/>
          <w:lang w:val="es-CR"/>
        </w:rPr>
        <w:t>o</w:t>
      </w:r>
      <w:r w:rsidRPr="00CF1787">
        <w:rPr>
          <w:rFonts w:eastAsia="Verdana" w:cs="Verdana"/>
          <w:szCs w:val="20"/>
          <w:lang w:val="es-CR"/>
        </w:rPr>
        <w:t>s,</w:t>
      </w:r>
      <w:r w:rsidRPr="00CF1787">
        <w:rPr>
          <w:rFonts w:eastAsia="Verdana" w:cs="Verdana"/>
          <w:spacing w:val="-10"/>
          <w:szCs w:val="20"/>
          <w:lang w:val="es-CR"/>
        </w:rPr>
        <w:t xml:space="preserve"> </w:t>
      </w:r>
      <w:r w:rsidRPr="00CF1787">
        <w:rPr>
          <w:rFonts w:eastAsia="Verdana" w:cs="Verdana"/>
          <w:szCs w:val="20"/>
          <w:lang w:val="es-CR"/>
        </w:rPr>
        <w:t>s</w:t>
      </w:r>
      <w:r w:rsidRPr="00CF1787">
        <w:rPr>
          <w:rFonts w:eastAsia="Verdana" w:cs="Verdana"/>
          <w:spacing w:val="2"/>
          <w:szCs w:val="20"/>
          <w:lang w:val="es-CR"/>
        </w:rPr>
        <w:t>i</w:t>
      </w:r>
      <w:r w:rsidRPr="00CF1787">
        <w:rPr>
          <w:rFonts w:eastAsia="Verdana" w:cs="Verdana"/>
          <w:szCs w:val="20"/>
          <w:lang w:val="es-CR"/>
        </w:rPr>
        <w:t xml:space="preserve">n </w:t>
      </w:r>
      <w:r w:rsidRPr="00CF1787">
        <w:rPr>
          <w:rFonts w:eastAsia="Verdana" w:cs="Verdana"/>
          <w:spacing w:val="1"/>
          <w:szCs w:val="20"/>
          <w:lang w:val="es-CR"/>
        </w:rPr>
        <w:t>p</w:t>
      </w:r>
      <w:r w:rsidRPr="00CF1787">
        <w:rPr>
          <w:rFonts w:eastAsia="Verdana" w:cs="Verdana"/>
          <w:spacing w:val="-1"/>
          <w:szCs w:val="20"/>
          <w:lang w:val="es-CR"/>
        </w:rPr>
        <w:t>er</w:t>
      </w:r>
      <w:r w:rsidRPr="00CF1787">
        <w:rPr>
          <w:rFonts w:eastAsia="Verdana" w:cs="Verdana"/>
          <w:spacing w:val="1"/>
          <w:szCs w:val="20"/>
          <w:lang w:val="es-CR"/>
        </w:rPr>
        <w:t>ju</w:t>
      </w:r>
      <w:r w:rsidRPr="00CF1787">
        <w:rPr>
          <w:rFonts w:eastAsia="Verdana" w:cs="Verdana"/>
          <w:spacing w:val="3"/>
          <w:szCs w:val="20"/>
          <w:lang w:val="es-CR"/>
        </w:rPr>
        <w:t>i</w:t>
      </w:r>
      <w:r w:rsidRPr="00CF1787">
        <w:rPr>
          <w:rFonts w:eastAsia="Verdana" w:cs="Verdana"/>
          <w:szCs w:val="20"/>
          <w:lang w:val="es-CR"/>
        </w:rPr>
        <w:t>c</w:t>
      </w:r>
      <w:r w:rsidRPr="00CF1787">
        <w:rPr>
          <w:rFonts w:eastAsia="Verdana" w:cs="Verdana"/>
          <w:spacing w:val="2"/>
          <w:szCs w:val="20"/>
          <w:lang w:val="es-CR"/>
        </w:rPr>
        <w:t>i</w:t>
      </w:r>
      <w:r w:rsidRPr="00CF1787">
        <w:rPr>
          <w:rFonts w:eastAsia="Verdana" w:cs="Verdana"/>
          <w:szCs w:val="20"/>
          <w:lang w:val="es-CR"/>
        </w:rPr>
        <w:t>o</w:t>
      </w:r>
      <w:r w:rsidRPr="00CF1787">
        <w:rPr>
          <w:rFonts w:eastAsia="Verdana" w:cs="Verdana"/>
          <w:spacing w:val="1"/>
          <w:szCs w:val="20"/>
          <w:lang w:val="es-CR"/>
        </w:rPr>
        <w:t xml:space="preserve"> d</w:t>
      </w:r>
      <w:r w:rsidRPr="00CF1787">
        <w:rPr>
          <w:rFonts w:eastAsia="Verdana" w:cs="Verdana"/>
          <w:szCs w:val="20"/>
          <w:lang w:val="es-CR"/>
        </w:rPr>
        <w:t>e</w:t>
      </w:r>
      <w:r w:rsidRPr="00CF1787">
        <w:rPr>
          <w:rFonts w:eastAsia="Verdana" w:cs="Verdana"/>
          <w:spacing w:val="7"/>
          <w:szCs w:val="20"/>
          <w:lang w:val="es-CR"/>
        </w:rPr>
        <w:t xml:space="preserve"> </w:t>
      </w:r>
      <w:r w:rsidRPr="00CF1787">
        <w:rPr>
          <w:rFonts w:eastAsia="Verdana" w:cs="Verdana"/>
          <w:spacing w:val="1"/>
          <w:szCs w:val="20"/>
          <w:lang w:val="es-CR"/>
        </w:rPr>
        <w:t>qu</w:t>
      </w:r>
      <w:r w:rsidRPr="00CF1787">
        <w:rPr>
          <w:rFonts w:eastAsia="Verdana" w:cs="Verdana"/>
          <w:szCs w:val="20"/>
          <w:lang w:val="es-CR"/>
        </w:rPr>
        <w:t>e</w:t>
      </w:r>
      <w:r w:rsidRPr="00CF1787">
        <w:rPr>
          <w:rFonts w:eastAsia="Verdana" w:cs="Verdana"/>
          <w:spacing w:val="6"/>
          <w:szCs w:val="20"/>
          <w:lang w:val="es-CR"/>
        </w:rPr>
        <w:t xml:space="preserve"> </w:t>
      </w:r>
      <w:r w:rsidRPr="00CF1787">
        <w:rPr>
          <w:rFonts w:eastAsia="Verdana" w:cs="Verdana"/>
          <w:spacing w:val="1"/>
          <w:szCs w:val="20"/>
          <w:lang w:val="es-CR"/>
        </w:rPr>
        <w:t>t</w:t>
      </w:r>
      <w:r w:rsidRPr="00CF1787">
        <w:rPr>
          <w:rFonts w:eastAsia="Verdana" w:cs="Verdana"/>
          <w:szCs w:val="20"/>
          <w:lang w:val="es-CR"/>
        </w:rPr>
        <w:t>a</w:t>
      </w:r>
      <w:r w:rsidRPr="00CF1787">
        <w:rPr>
          <w:rFonts w:eastAsia="Verdana" w:cs="Verdana"/>
          <w:spacing w:val="3"/>
          <w:szCs w:val="20"/>
          <w:lang w:val="es-CR"/>
        </w:rPr>
        <w:t>l</w:t>
      </w:r>
      <w:r w:rsidRPr="00CF1787">
        <w:rPr>
          <w:rFonts w:eastAsia="Verdana" w:cs="Verdana"/>
          <w:spacing w:val="-1"/>
          <w:szCs w:val="20"/>
          <w:lang w:val="es-CR"/>
        </w:rPr>
        <w:t>e</w:t>
      </w:r>
      <w:r w:rsidRPr="00CF1787">
        <w:rPr>
          <w:rFonts w:eastAsia="Verdana" w:cs="Verdana"/>
          <w:szCs w:val="20"/>
          <w:lang w:val="es-CR"/>
        </w:rPr>
        <w:t>s</w:t>
      </w:r>
      <w:r w:rsidRPr="00CF1787">
        <w:rPr>
          <w:rFonts w:eastAsia="Verdana" w:cs="Verdana"/>
          <w:spacing w:val="5"/>
          <w:szCs w:val="20"/>
          <w:lang w:val="es-CR"/>
        </w:rPr>
        <w:t xml:space="preserve"> </w:t>
      </w:r>
      <w:r w:rsidRPr="00CF1787">
        <w:rPr>
          <w:rFonts w:eastAsia="Verdana" w:cs="Verdana"/>
          <w:spacing w:val="3"/>
          <w:szCs w:val="20"/>
          <w:lang w:val="es-CR"/>
        </w:rPr>
        <w:t>p</w:t>
      </w:r>
      <w:r w:rsidRPr="00CF1787">
        <w:rPr>
          <w:rFonts w:eastAsia="Verdana" w:cs="Verdana"/>
          <w:spacing w:val="-1"/>
          <w:szCs w:val="20"/>
          <w:lang w:val="es-CR"/>
        </w:rPr>
        <w:t>re</w:t>
      </w:r>
      <w:r w:rsidRPr="00CF1787">
        <w:rPr>
          <w:rFonts w:eastAsia="Verdana" w:cs="Verdana"/>
          <w:spacing w:val="3"/>
          <w:szCs w:val="20"/>
          <w:lang w:val="es-CR"/>
        </w:rPr>
        <w:t>t</w:t>
      </w:r>
      <w:r w:rsidRPr="00CF1787">
        <w:rPr>
          <w:rFonts w:eastAsia="Verdana" w:cs="Verdana"/>
          <w:spacing w:val="-1"/>
          <w:szCs w:val="20"/>
          <w:lang w:val="es-CR"/>
        </w:rPr>
        <w:t>e</w:t>
      </w:r>
      <w:r w:rsidRPr="00CF1787">
        <w:rPr>
          <w:rFonts w:eastAsia="Verdana" w:cs="Verdana"/>
          <w:spacing w:val="1"/>
          <w:szCs w:val="20"/>
          <w:lang w:val="es-CR"/>
        </w:rPr>
        <w:t>n</w:t>
      </w:r>
      <w:r w:rsidRPr="00CF1787">
        <w:rPr>
          <w:rFonts w:eastAsia="Verdana" w:cs="Verdana"/>
          <w:szCs w:val="20"/>
          <w:lang w:val="es-CR"/>
        </w:rPr>
        <w:t>s</w:t>
      </w:r>
      <w:r w:rsidRPr="00CF1787">
        <w:rPr>
          <w:rFonts w:eastAsia="Verdana" w:cs="Verdana"/>
          <w:spacing w:val="2"/>
          <w:szCs w:val="20"/>
          <w:lang w:val="es-CR"/>
        </w:rPr>
        <w:t>i</w:t>
      </w:r>
      <w:r w:rsidRPr="00CF1787">
        <w:rPr>
          <w:rFonts w:eastAsia="Verdana" w:cs="Verdana"/>
          <w:spacing w:val="-1"/>
          <w:szCs w:val="20"/>
          <w:lang w:val="es-CR"/>
        </w:rPr>
        <w:t>o</w:t>
      </w:r>
      <w:r w:rsidRPr="00CF1787">
        <w:rPr>
          <w:rFonts w:eastAsia="Verdana" w:cs="Verdana"/>
          <w:spacing w:val="1"/>
          <w:szCs w:val="20"/>
          <w:lang w:val="es-CR"/>
        </w:rPr>
        <w:t>n</w:t>
      </w:r>
      <w:r w:rsidRPr="00CF1787">
        <w:rPr>
          <w:rFonts w:eastAsia="Verdana" w:cs="Verdana"/>
          <w:spacing w:val="-1"/>
          <w:szCs w:val="20"/>
          <w:lang w:val="es-CR"/>
        </w:rPr>
        <w:t>e</w:t>
      </w:r>
      <w:r w:rsidRPr="00CF1787">
        <w:rPr>
          <w:rFonts w:eastAsia="Verdana" w:cs="Verdana"/>
          <w:szCs w:val="20"/>
          <w:lang w:val="es-CR"/>
        </w:rPr>
        <w:t xml:space="preserve">s </w:t>
      </w:r>
      <w:r w:rsidRPr="00CF1787">
        <w:rPr>
          <w:rFonts w:eastAsia="Verdana" w:cs="Verdana"/>
          <w:spacing w:val="2"/>
          <w:szCs w:val="20"/>
          <w:lang w:val="es-CR"/>
        </w:rPr>
        <w:t>s</w:t>
      </w:r>
      <w:r w:rsidRPr="00CF1787">
        <w:rPr>
          <w:rFonts w:eastAsia="Verdana" w:cs="Verdana"/>
          <w:szCs w:val="20"/>
          <w:lang w:val="es-CR"/>
        </w:rPr>
        <w:t>e</w:t>
      </w:r>
      <w:r w:rsidRPr="00CF1787">
        <w:rPr>
          <w:rFonts w:eastAsia="Verdana" w:cs="Verdana"/>
          <w:spacing w:val="8"/>
          <w:szCs w:val="20"/>
          <w:lang w:val="es-CR"/>
        </w:rPr>
        <w:t xml:space="preserve"> </w:t>
      </w:r>
      <w:r w:rsidRPr="00CF1787">
        <w:rPr>
          <w:rFonts w:eastAsia="Verdana" w:cs="Verdana"/>
          <w:szCs w:val="20"/>
          <w:lang w:val="es-CR"/>
        </w:rPr>
        <w:t>act</w:t>
      </w:r>
      <w:r w:rsidRPr="00CF1787">
        <w:rPr>
          <w:rFonts w:eastAsia="Verdana" w:cs="Verdana"/>
          <w:spacing w:val="2"/>
          <w:szCs w:val="20"/>
          <w:lang w:val="es-CR"/>
        </w:rPr>
        <w:t>u</w:t>
      </w:r>
      <w:r w:rsidRPr="00CF1787">
        <w:rPr>
          <w:rFonts w:eastAsia="Verdana" w:cs="Verdana"/>
          <w:szCs w:val="20"/>
          <w:lang w:val="es-CR"/>
        </w:rPr>
        <w:t>a</w:t>
      </w:r>
      <w:r w:rsidRPr="00CF1787">
        <w:rPr>
          <w:rFonts w:eastAsia="Verdana" w:cs="Verdana"/>
          <w:spacing w:val="3"/>
          <w:szCs w:val="20"/>
          <w:lang w:val="es-CR"/>
        </w:rPr>
        <w:t>li</w:t>
      </w:r>
      <w:r w:rsidRPr="00CF1787">
        <w:rPr>
          <w:rFonts w:eastAsia="Verdana" w:cs="Verdana"/>
          <w:szCs w:val="20"/>
          <w:lang w:val="es-CR"/>
        </w:rPr>
        <w:t>c</w:t>
      </w:r>
      <w:r w:rsidRPr="00CF1787">
        <w:rPr>
          <w:rFonts w:eastAsia="Verdana" w:cs="Verdana"/>
          <w:spacing w:val="-2"/>
          <w:szCs w:val="20"/>
          <w:lang w:val="es-CR"/>
        </w:rPr>
        <w:t>e</w:t>
      </w:r>
      <w:r w:rsidRPr="00CF1787">
        <w:rPr>
          <w:rFonts w:eastAsia="Verdana" w:cs="Verdana"/>
          <w:szCs w:val="20"/>
          <w:lang w:val="es-CR"/>
        </w:rPr>
        <w:t>n</w:t>
      </w:r>
      <w:r w:rsidRPr="00CF1787">
        <w:rPr>
          <w:rFonts w:eastAsia="Verdana" w:cs="Verdana"/>
          <w:spacing w:val="2"/>
          <w:szCs w:val="20"/>
          <w:lang w:val="es-CR"/>
        </w:rPr>
        <w:t xml:space="preserve"> </w:t>
      </w:r>
      <w:r w:rsidRPr="00CF1787">
        <w:rPr>
          <w:rFonts w:eastAsia="Verdana" w:cs="Verdana"/>
          <w:spacing w:val="-1"/>
          <w:szCs w:val="20"/>
          <w:lang w:val="es-CR"/>
        </w:rPr>
        <w:t>e</w:t>
      </w:r>
      <w:r w:rsidRPr="00CF1787">
        <w:rPr>
          <w:rFonts w:eastAsia="Verdana" w:cs="Verdana"/>
          <w:szCs w:val="20"/>
          <w:lang w:val="es-CR"/>
        </w:rPr>
        <w:t>n</w:t>
      </w:r>
      <w:r w:rsidRPr="00CF1787">
        <w:rPr>
          <w:rFonts w:eastAsia="Verdana" w:cs="Verdana"/>
          <w:spacing w:val="9"/>
          <w:szCs w:val="20"/>
          <w:lang w:val="es-CR"/>
        </w:rPr>
        <w:t xml:space="preserve"> </w:t>
      </w:r>
      <w:r w:rsidRPr="00CF1787">
        <w:rPr>
          <w:rFonts w:eastAsia="Verdana" w:cs="Verdana"/>
          <w:spacing w:val="1"/>
          <w:szCs w:val="20"/>
          <w:lang w:val="es-CR"/>
        </w:rPr>
        <w:t>u</w:t>
      </w:r>
      <w:r w:rsidRPr="00CF1787">
        <w:rPr>
          <w:rFonts w:eastAsia="Verdana" w:cs="Verdana"/>
          <w:szCs w:val="20"/>
          <w:lang w:val="es-CR"/>
        </w:rPr>
        <w:t>n</w:t>
      </w:r>
      <w:r w:rsidRPr="00CF1787">
        <w:rPr>
          <w:rFonts w:eastAsia="Verdana" w:cs="Verdana"/>
          <w:spacing w:val="9"/>
          <w:szCs w:val="20"/>
          <w:lang w:val="es-CR"/>
        </w:rPr>
        <w:t xml:space="preserve"> </w:t>
      </w:r>
      <w:r w:rsidRPr="00CF1787">
        <w:rPr>
          <w:rFonts w:eastAsia="Verdana" w:cs="Verdana"/>
          <w:szCs w:val="20"/>
          <w:lang w:val="es-CR"/>
        </w:rPr>
        <w:t>mo</w:t>
      </w:r>
      <w:r w:rsidRPr="00CF1787">
        <w:rPr>
          <w:rFonts w:eastAsia="Verdana" w:cs="Verdana"/>
          <w:spacing w:val="3"/>
          <w:szCs w:val="20"/>
          <w:lang w:val="es-CR"/>
        </w:rPr>
        <w:t>m</w:t>
      </w:r>
      <w:r w:rsidRPr="00CF1787">
        <w:rPr>
          <w:rFonts w:eastAsia="Verdana" w:cs="Verdana"/>
          <w:spacing w:val="-1"/>
          <w:szCs w:val="20"/>
          <w:lang w:val="es-CR"/>
        </w:rPr>
        <w:t>e</w:t>
      </w:r>
      <w:r w:rsidRPr="00CF1787">
        <w:rPr>
          <w:rFonts w:eastAsia="Verdana" w:cs="Verdana"/>
          <w:spacing w:val="1"/>
          <w:szCs w:val="20"/>
          <w:lang w:val="es-CR"/>
        </w:rPr>
        <w:t>nt</w:t>
      </w:r>
      <w:r w:rsidRPr="00CF1787">
        <w:rPr>
          <w:rFonts w:eastAsia="Verdana" w:cs="Verdana"/>
          <w:szCs w:val="20"/>
          <w:lang w:val="es-CR"/>
        </w:rPr>
        <w:t>o</w:t>
      </w:r>
      <w:r w:rsidRPr="00CF1787">
        <w:rPr>
          <w:rFonts w:eastAsia="Verdana" w:cs="Verdana"/>
          <w:spacing w:val="2"/>
          <w:szCs w:val="20"/>
          <w:lang w:val="es-CR"/>
        </w:rPr>
        <w:t xml:space="preserve"> </w:t>
      </w:r>
      <w:r w:rsidRPr="00CF1787">
        <w:rPr>
          <w:rFonts w:eastAsia="Verdana" w:cs="Verdana"/>
          <w:spacing w:val="1"/>
          <w:szCs w:val="20"/>
          <w:lang w:val="es-CR"/>
        </w:rPr>
        <w:t>po</w:t>
      </w:r>
      <w:r w:rsidRPr="00CF1787">
        <w:rPr>
          <w:rFonts w:eastAsia="Verdana" w:cs="Verdana"/>
          <w:szCs w:val="20"/>
          <w:lang w:val="es-CR"/>
        </w:rPr>
        <w:t>st</w:t>
      </w:r>
      <w:r w:rsidRPr="00CF1787">
        <w:rPr>
          <w:rFonts w:eastAsia="Verdana" w:cs="Verdana"/>
          <w:spacing w:val="-1"/>
          <w:szCs w:val="20"/>
          <w:lang w:val="es-CR"/>
        </w:rPr>
        <w:t>er</w:t>
      </w:r>
      <w:r w:rsidRPr="00CF1787">
        <w:rPr>
          <w:rFonts w:eastAsia="Verdana" w:cs="Verdana"/>
          <w:spacing w:val="3"/>
          <w:szCs w:val="20"/>
          <w:lang w:val="es-CR"/>
        </w:rPr>
        <w:t>i</w:t>
      </w:r>
      <w:r w:rsidRPr="00CF1787">
        <w:rPr>
          <w:rFonts w:eastAsia="Verdana" w:cs="Verdana"/>
          <w:spacing w:val="-1"/>
          <w:szCs w:val="20"/>
          <w:lang w:val="es-CR"/>
        </w:rPr>
        <w:t>o</w:t>
      </w:r>
      <w:r w:rsidRPr="00CF1787">
        <w:rPr>
          <w:rFonts w:eastAsia="Verdana" w:cs="Verdana"/>
          <w:spacing w:val="10"/>
          <w:szCs w:val="20"/>
          <w:lang w:val="es-CR"/>
        </w:rPr>
        <w:t>r</w:t>
      </w:r>
      <w:r w:rsidRPr="00CF1787">
        <w:rPr>
          <w:rFonts w:eastAsia="Verdana" w:cs="Verdana"/>
          <w:szCs w:val="20"/>
          <w:lang w:val="es-CR"/>
        </w:rPr>
        <w:t xml:space="preserve">, </w:t>
      </w:r>
      <w:r w:rsidRPr="00CF1787">
        <w:rPr>
          <w:rFonts w:eastAsia="Verdana" w:cs="Verdana"/>
          <w:spacing w:val="2"/>
          <w:szCs w:val="20"/>
          <w:lang w:val="es-CR"/>
        </w:rPr>
        <w:t>c</w:t>
      </w:r>
      <w:r w:rsidRPr="00CF1787">
        <w:rPr>
          <w:rFonts w:eastAsia="Verdana" w:cs="Verdana"/>
          <w:spacing w:val="-1"/>
          <w:szCs w:val="20"/>
          <w:lang w:val="es-CR"/>
        </w:rPr>
        <w:t>o</w:t>
      </w:r>
      <w:r w:rsidRPr="00CF1787">
        <w:rPr>
          <w:rFonts w:eastAsia="Verdana" w:cs="Verdana"/>
          <w:spacing w:val="1"/>
          <w:szCs w:val="20"/>
          <w:lang w:val="es-CR"/>
        </w:rPr>
        <w:t>n</w:t>
      </w:r>
      <w:r w:rsidRPr="00CF1787">
        <w:rPr>
          <w:rFonts w:eastAsia="Verdana" w:cs="Verdana"/>
          <w:spacing w:val="2"/>
          <w:szCs w:val="20"/>
          <w:lang w:val="es-CR"/>
        </w:rPr>
        <w:t>f</w:t>
      </w:r>
      <w:r w:rsidRPr="00CF1787">
        <w:rPr>
          <w:rFonts w:eastAsia="Verdana" w:cs="Verdana"/>
          <w:spacing w:val="-1"/>
          <w:szCs w:val="20"/>
          <w:lang w:val="es-CR"/>
        </w:rPr>
        <w:t>or</w:t>
      </w:r>
      <w:r w:rsidRPr="00CF1787">
        <w:rPr>
          <w:rFonts w:eastAsia="Verdana" w:cs="Verdana"/>
          <w:spacing w:val="3"/>
          <w:szCs w:val="20"/>
          <w:lang w:val="es-CR"/>
        </w:rPr>
        <w:t>m</w:t>
      </w:r>
      <w:r w:rsidRPr="00CF1787">
        <w:rPr>
          <w:rFonts w:eastAsia="Verdana" w:cs="Verdana"/>
          <w:szCs w:val="20"/>
          <w:lang w:val="es-CR"/>
        </w:rPr>
        <w:t>e a</w:t>
      </w:r>
      <w:r w:rsidRPr="00CF1787">
        <w:rPr>
          <w:rFonts w:eastAsia="Verdana" w:cs="Verdana"/>
          <w:spacing w:val="12"/>
          <w:szCs w:val="20"/>
          <w:lang w:val="es-CR"/>
        </w:rPr>
        <w:t xml:space="preserve"> </w:t>
      </w:r>
      <w:r w:rsidRPr="00CF1787">
        <w:rPr>
          <w:rFonts w:eastAsia="Verdana" w:cs="Verdana"/>
          <w:spacing w:val="3"/>
          <w:szCs w:val="20"/>
          <w:lang w:val="es-CR"/>
        </w:rPr>
        <w:t>l</w:t>
      </w:r>
      <w:r w:rsidRPr="00CF1787">
        <w:rPr>
          <w:rFonts w:eastAsia="Verdana" w:cs="Verdana"/>
          <w:szCs w:val="20"/>
          <w:lang w:val="es-CR"/>
        </w:rPr>
        <w:t>as</w:t>
      </w:r>
      <w:r w:rsidRPr="00CF1787">
        <w:rPr>
          <w:rFonts w:eastAsia="Verdana" w:cs="Verdana"/>
          <w:spacing w:val="8"/>
          <w:szCs w:val="20"/>
          <w:lang w:val="es-CR"/>
        </w:rPr>
        <w:t xml:space="preserve"> </w:t>
      </w:r>
      <w:r w:rsidRPr="00CF1787">
        <w:rPr>
          <w:rFonts w:eastAsia="Verdana" w:cs="Verdana"/>
          <w:spacing w:val="1"/>
          <w:szCs w:val="20"/>
          <w:lang w:val="es-CR"/>
        </w:rPr>
        <w:t>nu</w:t>
      </w:r>
      <w:r w:rsidRPr="00CF1787">
        <w:rPr>
          <w:rFonts w:eastAsia="Verdana" w:cs="Verdana"/>
          <w:spacing w:val="-1"/>
          <w:szCs w:val="20"/>
          <w:lang w:val="es-CR"/>
        </w:rPr>
        <w:t>e</w:t>
      </w:r>
      <w:r w:rsidRPr="00CF1787">
        <w:rPr>
          <w:rFonts w:eastAsia="Verdana" w:cs="Verdana"/>
          <w:szCs w:val="20"/>
          <w:lang w:val="es-CR"/>
        </w:rPr>
        <w:t>v</w:t>
      </w:r>
      <w:r w:rsidRPr="00CF1787">
        <w:rPr>
          <w:rFonts w:eastAsia="Verdana" w:cs="Verdana"/>
          <w:spacing w:val="2"/>
          <w:szCs w:val="20"/>
          <w:lang w:val="es-CR"/>
        </w:rPr>
        <w:t>a</w:t>
      </w:r>
      <w:r w:rsidRPr="00CF1787">
        <w:rPr>
          <w:rFonts w:eastAsia="Verdana" w:cs="Verdana"/>
          <w:szCs w:val="20"/>
          <w:lang w:val="es-CR"/>
        </w:rPr>
        <w:t>s c</w:t>
      </w:r>
      <w:r w:rsidRPr="00CF1787">
        <w:rPr>
          <w:rFonts w:eastAsia="Verdana" w:cs="Verdana"/>
          <w:spacing w:val="-2"/>
          <w:szCs w:val="20"/>
          <w:lang w:val="es-CR"/>
        </w:rPr>
        <w:t>o</w:t>
      </w:r>
      <w:r w:rsidRPr="00CF1787">
        <w:rPr>
          <w:rFonts w:eastAsia="Verdana" w:cs="Verdana"/>
          <w:szCs w:val="20"/>
          <w:lang w:val="es-CR"/>
        </w:rPr>
        <w:t>st</w:t>
      </w:r>
      <w:r w:rsidRPr="00CF1787">
        <w:rPr>
          <w:rFonts w:eastAsia="Verdana" w:cs="Verdana"/>
          <w:spacing w:val="3"/>
          <w:szCs w:val="20"/>
          <w:lang w:val="es-CR"/>
        </w:rPr>
        <w:t>a</w:t>
      </w:r>
      <w:r w:rsidRPr="00CF1787">
        <w:rPr>
          <w:rFonts w:eastAsia="Verdana" w:cs="Verdana"/>
          <w:szCs w:val="20"/>
          <w:lang w:val="es-CR"/>
        </w:rPr>
        <w:t>s</w:t>
      </w:r>
      <w:r w:rsidRPr="00CF1787">
        <w:rPr>
          <w:rFonts w:eastAsia="Verdana" w:cs="Verdana"/>
          <w:spacing w:val="8"/>
          <w:szCs w:val="20"/>
          <w:lang w:val="es-CR"/>
        </w:rPr>
        <w:t xml:space="preserve"> </w:t>
      </w:r>
      <w:r w:rsidRPr="00CF1787">
        <w:rPr>
          <w:rFonts w:eastAsia="Verdana" w:cs="Verdana"/>
          <w:szCs w:val="20"/>
          <w:lang w:val="es-CR"/>
        </w:rPr>
        <w:t>y</w:t>
      </w:r>
      <w:r w:rsidRPr="00CF1787">
        <w:rPr>
          <w:rFonts w:eastAsia="Verdana" w:cs="Verdana"/>
          <w:spacing w:val="13"/>
          <w:szCs w:val="20"/>
          <w:lang w:val="es-CR"/>
        </w:rPr>
        <w:t xml:space="preserve"> </w:t>
      </w:r>
      <w:r w:rsidRPr="00CF1787">
        <w:rPr>
          <w:rFonts w:eastAsia="Verdana" w:cs="Verdana"/>
          <w:spacing w:val="1"/>
          <w:szCs w:val="20"/>
          <w:lang w:val="es-CR"/>
        </w:rPr>
        <w:t>g</w:t>
      </w:r>
      <w:r w:rsidRPr="00CF1787">
        <w:rPr>
          <w:rFonts w:eastAsia="Verdana" w:cs="Verdana"/>
          <w:szCs w:val="20"/>
          <w:lang w:val="es-CR"/>
        </w:rPr>
        <w:t>astos</w:t>
      </w:r>
      <w:r w:rsidRPr="00CF1787">
        <w:rPr>
          <w:rFonts w:eastAsia="Verdana" w:cs="Verdana"/>
          <w:spacing w:val="10"/>
          <w:szCs w:val="20"/>
          <w:lang w:val="es-CR"/>
        </w:rPr>
        <w:t xml:space="preserve"> </w:t>
      </w:r>
      <w:r w:rsidRPr="00CF1787">
        <w:rPr>
          <w:rFonts w:eastAsia="Verdana" w:cs="Verdana"/>
          <w:spacing w:val="-1"/>
          <w:szCs w:val="20"/>
          <w:lang w:val="es-CR"/>
        </w:rPr>
        <w:t>e</w:t>
      </w:r>
      <w:r w:rsidRPr="00CF1787">
        <w:rPr>
          <w:rFonts w:eastAsia="Verdana" w:cs="Verdana"/>
          <w:szCs w:val="20"/>
          <w:lang w:val="es-CR"/>
        </w:rPr>
        <w:t>n</w:t>
      </w:r>
      <w:r w:rsidRPr="00CF1787">
        <w:rPr>
          <w:rFonts w:eastAsia="Verdana" w:cs="Verdana"/>
          <w:spacing w:val="14"/>
          <w:szCs w:val="20"/>
          <w:lang w:val="es-CR"/>
        </w:rPr>
        <w:t xml:space="preserve"> </w:t>
      </w:r>
      <w:r w:rsidRPr="00CF1787">
        <w:rPr>
          <w:rFonts w:eastAsia="Verdana" w:cs="Verdana"/>
          <w:spacing w:val="1"/>
          <w:szCs w:val="20"/>
          <w:lang w:val="es-CR"/>
        </w:rPr>
        <w:t>qu</w:t>
      </w:r>
      <w:r w:rsidRPr="00CF1787">
        <w:rPr>
          <w:rFonts w:eastAsia="Verdana" w:cs="Verdana"/>
          <w:szCs w:val="20"/>
          <w:lang w:val="es-CR"/>
        </w:rPr>
        <w:t>e</w:t>
      </w:r>
      <w:r w:rsidRPr="00CF1787">
        <w:rPr>
          <w:rFonts w:eastAsia="Verdana" w:cs="Verdana"/>
          <w:spacing w:val="11"/>
          <w:szCs w:val="20"/>
          <w:lang w:val="es-CR"/>
        </w:rPr>
        <w:t xml:space="preserve"> </w:t>
      </w:r>
      <w:r w:rsidRPr="00CF1787">
        <w:rPr>
          <w:rFonts w:eastAsia="Verdana" w:cs="Verdana"/>
          <w:szCs w:val="20"/>
          <w:lang w:val="es-CR"/>
        </w:rPr>
        <w:t>se</w:t>
      </w:r>
      <w:r w:rsidRPr="00CF1787">
        <w:rPr>
          <w:rFonts w:eastAsia="Verdana" w:cs="Verdana"/>
          <w:spacing w:val="11"/>
          <w:szCs w:val="20"/>
          <w:lang w:val="es-CR"/>
        </w:rPr>
        <w:t xml:space="preserve"> </w:t>
      </w:r>
      <w:r w:rsidRPr="00CF1787">
        <w:rPr>
          <w:rFonts w:eastAsia="Verdana" w:cs="Verdana"/>
          <w:spacing w:val="1"/>
          <w:szCs w:val="20"/>
          <w:lang w:val="es-CR"/>
        </w:rPr>
        <w:t>h</w:t>
      </w:r>
      <w:r w:rsidRPr="00CF1787">
        <w:rPr>
          <w:rFonts w:eastAsia="Verdana" w:cs="Verdana"/>
          <w:szCs w:val="20"/>
          <w:lang w:val="es-CR"/>
        </w:rPr>
        <w:t>aya</w:t>
      </w:r>
      <w:r w:rsidRPr="00CF1787">
        <w:rPr>
          <w:rFonts w:eastAsia="Verdana" w:cs="Verdana"/>
          <w:spacing w:val="10"/>
          <w:szCs w:val="20"/>
          <w:lang w:val="es-CR"/>
        </w:rPr>
        <w:t xml:space="preserve"> </w:t>
      </w:r>
      <w:r w:rsidRPr="00CF1787">
        <w:rPr>
          <w:rFonts w:eastAsia="Verdana" w:cs="Verdana"/>
          <w:spacing w:val="3"/>
          <w:szCs w:val="20"/>
          <w:lang w:val="es-CR"/>
        </w:rPr>
        <w:t>i</w:t>
      </w:r>
      <w:r w:rsidRPr="00CF1787">
        <w:rPr>
          <w:rFonts w:eastAsia="Verdana" w:cs="Verdana"/>
          <w:spacing w:val="1"/>
          <w:szCs w:val="20"/>
          <w:lang w:val="es-CR"/>
        </w:rPr>
        <w:t>n</w:t>
      </w:r>
      <w:r w:rsidRPr="00CF1787">
        <w:rPr>
          <w:rFonts w:eastAsia="Verdana" w:cs="Verdana"/>
          <w:szCs w:val="20"/>
          <w:lang w:val="es-CR"/>
        </w:rPr>
        <w:t>cur</w:t>
      </w:r>
      <w:r w:rsidRPr="00CF1787">
        <w:rPr>
          <w:rFonts w:eastAsia="Verdana" w:cs="Verdana"/>
          <w:spacing w:val="-2"/>
          <w:szCs w:val="20"/>
          <w:lang w:val="es-CR"/>
        </w:rPr>
        <w:t>r</w:t>
      </w:r>
      <w:r w:rsidRPr="00CF1787">
        <w:rPr>
          <w:rFonts w:eastAsia="Verdana" w:cs="Verdana"/>
          <w:spacing w:val="3"/>
          <w:szCs w:val="20"/>
          <w:lang w:val="es-CR"/>
        </w:rPr>
        <w:t>i</w:t>
      </w:r>
      <w:r w:rsidRPr="00CF1787">
        <w:rPr>
          <w:rFonts w:eastAsia="Verdana" w:cs="Verdana"/>
          <w:spacing w:val="1"/>
          <w:szCs w:val="20"/>
          <w:lang w:val="es-CR"/>
        </w:rPr>
        <w:t>d</w:t>
      </w:r>
      <w:r w:rsidRPr="00CF1787">
        <w:rPr>
          <w:rFonts w:eastAsia="Verdana" w:cs="Verdana"/>
          <w:szCs w:val="20"/>
          <w:lang w:val="es-CR"/>
        </w:rPr>
        <w:t>o</w:t>
      </w:r>
      <w:r w:rsidRPr="00CF1787">
        <w:rPr>
          <w:rFonts w:eastAsia="Verdana" w:cs="Verdana"/>
          <w:spacing w:val="5"/>
          <w:szCs w:val="20"/>
          <w:lang w:val="es-CR"/>
        </w:rPr>
        <w:t xml:space="preserve"> </w:t>
      </w:r>
      <w:r w:rsidRPr="00CF1787">
        <w:rPr>
          <w:rFonts w:eastAsia="Verdana" w:cs="Verdana"/>
          <w:szCs w:val="20"/>
          <w:lang w:val="es-CR"/>
        </w:rPr>
        <w:t>c</w:t>
      </w:r>
      <w:r w:rsidRPr="00CF1787">
        <w:rPr>
          <w:rFonts w:eastAsia="Verdana" w:cs="Verdana"/>
          <w:spacing w:val="-2"/>
          <w:szCs w:val="20"/>
          <w:lang w:val="es-CR"/>
        </w:rPr>
        <w:t>o</w:t>
      </w:r>
      <w:r w:rsidRPr="00CF1787">
        <w:rPr>
          <w:rFonts w:eastAsia="Verdana" w:cs="Verdana"/>
          <w:szCs w:val="20"/>
          <w:lang w:val="es-CR"/>
        </w:rPr>
        <w:t>n</w:t>
      </w:r>
      <w:r w:rsidRPr="00CF1787">
        <w:rPr>
          <w:rFonts w:eastAsia="Verdana" w:cs="Verdana"/>
          <w:spacing w:val="13"/>
          <w:szCs w:val="20"/>
          <w:lang w:val="es-CR"/>
        </w:rPr>
        <w:t xml:space="preserve"> </w:t>
      </w:r>
      <w:r w:rsidRPr="00CF1787">
        <w:rPr>
          <w:rFonts w:eastAsia="Verdana" w:cs="Verdana"/>
          <w:spacing w:val="-1"/>
          <w:szCs w:val="20"/>
          <w:lang w:val="es-CR"/>
        </w:rPr>
        <w:t>o</w:t>
      </w:r>
      <w:r w:rsidRPr="00CF1787">
        <w:rPr>
          <w:rFonts w:eastAsia="Verdana" w:cs="Verdana"/>
          <w:szCs w:val="20"/>
          <w:lang w:val="es-CR"/>
        </w:rPr>
        <w:t>ca</w:t>
      </w:r>
      <w:r w:rsidRPr="00CF1787">
        <w:rPr>
          <w:rFonts w:eastAsia="Verdana" w:cs="Verdana"/>
          <w:spacing w:val="-1"/>
          <w:szCs w:val="20"/>
          <w:lang w:val="es-CR"/>
        </w:rPr>
        <w:t>s</w:t>
      </w:r>
      <w:r w:rsidRPr="00CF1787">
        <w:rPr>
          <w:rFonts w:eastAsia="Verdana" w:cs="Verdana"/>
          <w:spacing w:val="3"/>
          <w:szCs w:val="20"/>
          <w:lang w:val="es-CR"/>
        </w:rPr>
        <w:t>i</w:t>
      </w:r>
      <w:r w:rsidRPr="00CF1787">
        <w:rPr>
          <w:rFonts w:eastAsia="Verdana" w:cs="Verdana"/>
          <w:spacing w:val="-1"/>
          <w:szCs w:val="20"/>
          <w:lang w:val="es-CR"/>
        </w:rPr>
        <w:t>ó</w:t>
      </w:r>
      <w:r w:rsidRPr="00CF1787">
        <w:rPr>
          <w:rFonts w:eastAsia="Verdana" w:cs="Verdana"/>
          <w:szCs w:val="20"/>
          <w:lang w:val="es-CR"/>
        </w:rPr>
        <w:t>n</w:t>
      </w:r>
      <w:r w:rsidRPr="00CF1787">
        <w:rPr>
          <w:rFonts w:eastAsia="Verdana" w:cs="Verdana"/>
          <w:spacing w:val="9"/>
          <w:szCs w:val="20"/>
          <w:lang w:val="es-CR"/>
        </w:rPr>
        <w:t xml:space="preserve"> </w:t>
      </w:r>
      <w:r w:rsidRPr="00CF1787">
        <w:rPr>
          <w:rFonts w:eastAsia="Verdana" w:cs="Verdana"/>
          <w:spacing w:val="1"/>
          <w:szCs w:val="20"/>
          <w:lang w:val="es-CR"/>
        </w:rPr>
        <w:t>d</w:t>
      </w:r>
      <w:r w:rsidRPr="00CF1787">
        <w:rPr>
          <w:rFonts w:eastAsia="Verdana" w:cs="Verdana"/>
          <w:spacing w:val="-1"/>
          <w:szCs w:val="20"/>
          <w:lang w:val="es-CR"/>
        </w:rPr>
        <w:t>e</w:t>
      </w:r>
      <w:r w:rsidRPr="00CF1787">
        <w:rPr>
          <w:rFonts w:eastAsia="Verdana" w:cs="Verdana"/>
          <w:szCs w:val="20"/>
          <w:lang w:val="es-CR"/>
        </w:rPr>
        <w:t>l</w:t>
      </w:r>
      <w:r w:rsidRPr="00CF1787">
        <w:rPr>
          <w:rFonts w:eastAsia="Verdana" w:cs="Verdana"/>
          <w:spacing w:val="15"/>
          <w:szCs w:val="20"/>
          <w:lang w:val="es-CR"/>
        </w:rPr>
        <w:t xml:space="preserve"> </w:t>
      </w:r>
      <w:r w:rsidRPr="00CF1787">
        <w:rPr>
          <w:rFonts w:eastAsia="Verdana" w:cs="Verdana"/>
          <w:spacing w:val="1"/>
          <w:szCs w:val="20"/>
          <w:lang w:val="es-CR"/>
        </w:rPr>
        <w:t>p</w:t>
      </w:r>
      <w:r w:rsidRPr="00CF1787">
        <w:rPr>
          <w:rFonts w:eastAsia="Verdana" w:cs="Verdana"/>
          <w:spacing w:val="-1"/>
          <w:szCs w:val="20"/>
          <w:lang w:val="es-CR"/>
        </w:rPr>
        <w:t>ro</w:t>
      </w:r>
      <w:r w:rsidRPr="00CF1787">
        <w:rPr>
          <w:rFonts w:eastAsia="Verdana" w:cs="Verdana"/>
          <w:szCs w:val="20"/>
          <w:lang w:val="es-CR"/>
        </w:rPr>
        <w:t>c</w:t>
      </w:r>
      <w:r w:rsidRPr="00CF1787">
        <w:rPr>
          <w:rFonts w:eastAsia="Verdana" w:cs="Verdana"/>
          <w:spacing w:val="-2"/>
          <w:szCs w:val="20"/>
          <w:lang w:val="es-CR"/>
        </w:rPr>
        <w:t>e</w:t>
      </w:r>
      <w:r w:rsidRPr="00CF1787">
        <w:rPr>
          <w:rFonts w:eastAsia="Verdana" w:cs="Verdana"/>
          <w:spacing w:val="1"/>
          <w:szCs w:val="20"/>
          <w:lang w:val="es-CR"/>
        </w:rPr>
        <w:t>d</w:t>
      </w:r>
      <w:r w:rsidRPr="00CF1787">
        <w:rPr>
          <w:rFonts w:eastAsia="Verdana" w:cs="Verdana"/>
          <w:spacing w:val="3"/>
          <w:szCs w:val="20"/>
          <w:lang w:val="es-CR"/>
        </w:rPr>
        <w:t>i</w:t>
      </w:r>
      <w:r w:rsidRPr="00CF1787">
        <w:rPr>
          <w:rFonts w:eastAsia="Verdana" w:cs="Verdana"/>
          <w:szCs w:val="20"/>
          <w:lang w:val="es-CR"/>
        </w:rPr>
        <w:t>m</w:t>
      </w:r>
      <w:r w:rsidRPr="00CF1787">
        <w:rPr>
          <w:rFonts w:eastAsia="Verdana" w:cs="Verdana"/>
          <w:spacing w:val="3"/>
          <w:szCs w:val="20"/>
          <w:lang w:val="es-CR"/>
        </w:rPr>
        <w:t>i</w:t>
      </w:r>
      <w:r w:rsidRPr="00CF1787">
        <w:rPr>
          <w:rFonts w:eastAsia="Verdana" w:cs="Verdana"/>
          <w:spacing w:val="-1"/>
          <w:szCs w:val="20"/>
          <w:lang w:val="es-CR"/>
        </w:rPr>
        <w:t>e</w:t>
      </w:r>
      <w:r w:rsidRPr="00CF1787">
        <w:rPr>
          <w:rFonts w:eastAsia="Verdana" w:cs="Verdana"/>
          <w:spacing w:val="1"/>
          <w:szCs w:val="20"/>
          <w:lang w:val="es-CR"/>
        </w:rPr>
        <w:t>nt</w:t>
      </w:r>
      <w:r w:rsidRPr="00CF1787">
        <w:rPr>
          <w:rFonts w:eastAsia="Verdana" w:cs="Verdana"/>
          <w:szCs w:val="20"/>
          <w:lang w:val="es-CR"/>
        </w:rPr>
        <w:t>o a</w:t>
      </w:r>
      <w:r w:rsidRPr="00CF1787">
        <w:rPr>
          <w:rFonts w:eastAsia="Verdana" w:cs="Verdana"/>
          <w:spacing w:val="1"/>
          <w:szCs w:val="20"/>
          <w:lang w:val="es-CR"/>
        </w:rPr>
        <w:t>nt</w:t>
      </w:r>
      <w:r w:rsidRPr="00CF1787">
        <w:rPr>
          <w:rFonts w:eastAsia="Verdana" w:cs="Verdana"/>
          <w:szCs w:val="20"/>
          <w:lang w:val="es-CR"/>
        </w:rPr>
        <w:t>e</w:t>
      </w:r>
      <w:r w:rsidRPr="00CF1787">
        <w:rPr>
          <w:rFonts w:eastAsia="Verdana" w:cs="Verdana"/>
          <w:spacing w:val="10"/>
          <w:szCs w:val="20"/>
          <w:lang w:val="es-CR"/>
        </w:rPr>
        <w:t xml:space="preserve"> </w:t>
      </w:r>
      <w:r w:rsidRPr="00CF1787">
        <w:rPr>
          <w:rFonts w:eastAsia="Verdana" w:cs="Verdana"/>
          <w:spacing w:val="-1"/>
          <w:szCs w:val="20"/>
          <w:lang w:val="es-CR"/>
        </w:rPr>
        <w:t>e</w:t>
      </w:r>
      <w:r w:rsidRPr="00CF1787">
        <w:rPr>
          <w:rFonts w:eastAsia="Verdana" w:cs="Verdana"/>
          <w:szCs w:val="20"/>
          <w:lang w:val="es-CR"/>
        </w:rPr>
        <w:t>sta</w:t>
      </w:r>
      <w:r w:rsidRPr="00CF1787">
        <w:rPr>
          <w:rFonts w:eastAsia="Verdana" w:cs="Verdana"/>
          <w:spacing w:val="11"/>
          <w:szCs w:val="20"/>
          <w:lang w:val="es-CR"/>
        </w:rPr>
        <w:t xml:space="preserve"> </w:t>
      </w:r>
      <w:r w:rsidRPr="00CF1787">
        <w:rPr>
          <w:rFonts w:eastAsia="Verdana" w:cs="Verdana"/>
          <w:szCs w:val="20"/>
          <w:lang w:val="es-CR"/>
        </w:rPr>
        <w:t>C</w:t>
      </w:r>
      <w:r w:rsidRPr="00CF1787">
        <w:rPr>
          <w:rFonts w:eastAsia="Verdana" w:cs="Verdana"/>
          <w:spacing w:val="-1"/>
          <w:szCs w:val="20"/>
          <w:lang w:val="es-CR"/>
        </w:rPr>
        <w:t>or</w:t>
      </w:r>
      <w:r w:rsidRPr="00CF1787">
        <w:rPr>
          <w:rFonts w:eastAsia="Verdana" w:cs="Verdana"/>
          <w:spacing w:val="3"/>
          <w:szCs w:val="20"/>
          <w:lang w:val="es-CR"/>
        </w:rPr>
        <w:t>t</w:t>
      </w:r>
      <w:r w:rsidRPr="00CF1787">
        <w:rPr>
          <w:rFonts w:eastAsia="Verdana" w:cs="Verdana"/>
          <w:spacing w:val="-1"/>
          <w:szCs w:val="20"/>
          <w:lang w:val="es-CR"/>
        </w:rPr>
        <w:t>e</w:t>
      </w:r>
      <w:r w:rsidRPr="00CF1787">
        <w:rPr>
          <w:rFonts w:eastAsia="Verdana" w:cs="Verdana"/>
          <w:spacing w:val="11"/>
          <w:szCs w:val="20"/>
          <w:lang w:val="es-CR"/>
        </w:rPr>
        <w:t>”</w:t>
      </w:r>
      <w:r w:rsidRPr="00CF1787">
        <w:rPr>
          <w:rFonts w:eastAsia="Verdana" w:cs="Verdana"/>
          <w:spacing w:val="11"/>
          <w:szCs w:val="20"/>
          <w:vertAlign w:val="superscript"/>
          <w:lang w:val="es-CR"/>
        </w:rPr>
        <w:footnoteReference w:id="201"/>
      </w:r>
      <w:r w:rsidRPr="00CF1787">
        <w:rPr>
          <w:rFonts w:eastAsia="Verdana" w:cs="Verdana"/>
          <w:szCs w:val="20"/>
          <w:lang w:val="es-CR"/>
        </w:rPr>
        <w:t>. As</w:t>
      </w:r>
      <w:r w:rsidRPr="00CF1787">
        <w:rPr>
          <w:rFonts w:eastAsia="Verdana" w:cs="Verdana"/>
          <w:spacing w:val="3"/>
          <w:szCs w:val="20"/>
          <w:lang w:val="es-CR"/>
        </w:rPr>
        <w:t>i</w:t>
      </w:r>
      <w:r w:rsidRPr="00CF1787">
        <w:rPr>
          <w:rFonts w:eastAsia="Verdana" w:cs="Verdana"/>
          <w:spacing w:val="-2"/>
          <w:szCs w:val="20"/>
          <w:lang w:val="es-CR"/>
        </w:rPr>
        <w:t>m</w:t>
      </w:r>
      <w:r w:rsidRPr="00CF1787">
        <w:rPr>
          <w:rFonts w:eastAsia="Verdana" w:cs="Verdana"/>
          <w:spacing w:val="3"/>
          <w:szCs w:val="20"/>
          <w:lang w:val="es-CR"/>
        </w:rPr>
        <w:t>i</w:t>
      </w:r>
      <w:r w:rsidRPr="00CF1787">
        <w:rPr>
          <w:rFonts w:eastAsia="Verdana" w:cs="Verdana"/>
          <w:szCs w:val="20"/>
          <w:lang w:val="es-CR"/>
        </w:rPr>
        <w:t>sm</w:t>
      </w:r>
      <w:r w:rsidRPr="00CF1787">
        <w:rPr>
          <w:rFonts w:eastAsia="Verdana" w:cs="Verdana"/>
          <w:spacing w:val="-1"/>
          <w:szCs w:val="20"/>
          <w:lang w:val="es-CR"/>
        </w:rPr>
        <w:t>o</w:t>
      </w:r>
      <w:r w:rsidRPr="00CF1787">
        <w:rPr>
          <w:rFonts w:eastAsia="Verdana" w:cs="Verdana"/>
          <w:szCs w:val="20"/>
          <w:lang w:val="es-CR"/>
        </w:rPr>
        <w:t>,</w:t>
      </w:r>
      <w:r w:rsidRPr="00CF1787">
        <w:rPr>
          <w:rFonts w:eastAsia="Verdana" w:cs="Verdana"/>
          <w:spacing w:val="1"/>
          <w:szCs w:val="20"/>
          <w:lang w:val="es-CR"/>
        </w:rPr>
        <w:t xml:space="preserve"> </w:t>
      </w:r>
      <w:r w:rsidRPr="00CF1787">
        <w:rPr>
          <w:rFonts w:eastAsia="Verdana" w:cs="Verdana"/>
          <w:spacing w:val="3"/>
          <w:szCs w:val="20"/>
          <w:lang w:val="es-CR"/>
        </w:rPr>
        <w:t>l</w:t>
      </w:r>
      <w:r w:rsidRPr="00CF1787">
        <w:rPr>
          <w:rFonts w:eastAsia="Verdana" w:cs="Verdana"/>
          <w:szCs w:val="20"/>
          <w:lang w:val="es-CR"/>
        </w:rPr>
        <w:t>a</w:t>
      </w:r>
      <w:r w:rsidRPr="00CF1787">
        <w:rPr>
          <w:rFonts w:eastAsia="Verdana" w:cs="Verdana"/>
          <w:spacing w:val="9"/>
          <w:szCs w:val="20"/>
          <w:lang w:val="es-CR"/>
        </w:rPr>
        <w:t xml:space="preserve"> </w:t>
      </w:r>
      <w:r w:rsidRPr="00CF1787">
        <w:rPr>
          <w:rFonts w:eastAsia="Verdana" w:cs="Verdana"/>
          <w:szCs w:val="20"/>
          <w:lang w:val="es-CR"/>
        </w:rPr>
        <w:t>C</w:t>
      </w:r>
      <w:r w:rsidRPr="00CF1787">
        <w:rPr>
          <w:rFonts w:eastAsia="Verdana" w:cs="Verdana"/>
          <w:spacing w:val="-1"/>
          <w:szCs w:val="20"/>
          <w:lang w:val="es-CR"/>
        </w:rPr>
        <w:t>or</w:t>
      </w:r>
      <w:r w:rsidRPr="00CF1787">
        <w:rPr>
          <w:rFonts w:eastAsia="Verdana" w:cs="Verdana"/>
          <w:spacing w:val="3"/>
          <w:szCs w:val="20"/>
          <w:lang w:val="es-CR"/>
        </w:rPr>
        <w:t>t</w:t>
      </w:r>
      <w:r w:rsidRPr="00CF1787">
        <w:rPr>
          <w:rFonts w:eastAsia="Verdana" w:cs="Verdana"/>
          <w:szCs w:val="20"/>
          <w:lang w:val="es-CR"/>
        </w:rPr>
        <w:t>e</w:t>
      </w:r>
      <w:r w:rsidRPr="00CF1787">
        <w:rPr>
          <w:rFonts w:eastAsia="Verdana" w:cs="Verdana"/>
          <w:spacing w:val="7"/>
          <w:szCs w:val="20"/>
          <w:lang w:val="es-CR"/>
        </w:rPr>
        <w:t xml:space="preserve"> </w:t>
      </w:r>
      <w:r w:rsidRPr="00CF1787">
        <w:rPr>
          <w:rFonts w:eastAsia="Verdana" w:cs="Verdana"/>
          <w:spacing w:val="-1"/>
          <w:szCs w:val="20"/>
          <w:lang w:val="es-CR"/>
        </w:rPr>
        <w:t>re</w:t>
      </w:r>
      <w:r w:rsidRPr="00CF1787">
        <w:rPr>
          <w:rFonts w:eastAsia="Verdana" w:cs="Verdana"/>
          <w:spacing w:val="3"/>
          <w:szCs w:val="20"/>
          <w:lang w:val="es-CR"/>
        </w:rPr>
        <w:t>i</w:t>
      </w:r>
      <w:r w:rsidRPr="00CF1787">
        <w:rPr>
          <w:rFonts w:eastAsia="Verdana" w:cs="Verdana"/>
          <w:spacing w:val="1"/>
          <w:szCs w:val="20"/>
          <w:lang w:val="es-CR"/>
        </w:rPr>
        <w:t>t</w:t>
      </w:r>
      <w:r w:rsidRPr="00CF1787">
        <w:rPr>
          <w:rFonts w:eastAsia="Verdana" w:cs="Verdana"/>
          <w:spacing w:val="-1"/>
          <w:szCs w:val="20"/>
          <w:lang w:val="es-CR"/>
        </w:rPr>
        <w:t>er</w:t>
      </w:r>
      <w:r w:rsidRPr="00CF1787">
        <w:rPr>
          <w:rFonts w:eastAsia="Verdana" w:cs="Verdana"/>
          <w:szCs w:val="20"/>
          <w:lang w:val="es-CR"/>
        </w:rPr>
        <w:t>a</w:t>
      </w:r>
      <w:r w:rsidRPr="00CF1787">
        <w:rPr>
          <w:rFonts w:eastAsia="Verdana" w:cs="Verdana"/>
          <w:spacing w:val="7"/>
          <w:szCs w:val="20"/>
          <w:lang w:val="es-CR"/>
        </w:rPr>
        <w:t xml:space="preserve"> </w:t>
      </w:r>
      <w:r w:rsidRPr="00CF1787">
        <w:rPr>
          <w:rFonts w:eastAsia="Verdana" w:cs="Verdana"/>
          <w:spacing w:val="1"/>
          <w:szCs w:val="20"/>
          <w:lang w:val="es-CR"/>
        </w:rPr>
        <w:t>qu</w:t>
      </w:r>
      <w:r w:rsidRPr="00CF1787">
        <w:rPr>
          <w:rFonts w:eastAsia="Verdana" w:cs="Verdana"/>
          <w:szCs w:val="20"/>
          <w:lang w:val="es-CR"/>
        </w:rPr>
        <w:t>e</w:t>
      </w:r>
      <w:r w:rsidRPr="00CF1787">
        <w:rPr>
          <w:rFonts w:eastAsia="Verdana" w:cs="Verdana"/>
          <w:spacing w:val="6"/>
          <w:szCs w:val="20"/>
          <w:lang w:val="es-CR"/>
        </w:rPr>
        <w:t xml:space="preserve"> </w:t>
      </w:r>
      <w:r w:rsidRPr="00CF1787">
        <w:rPr>
          <w:rFonts w:eastAsia="Verdana" w:cs="Verdana"/>
          <w:spacing w:val="1"/>
          <w:szCs w:val="20"/>
          <w:lang w:val="es-CR"/>
        </w:rPr>
        <w:t>n</w:t>
      </w:r>
      <w:r w:rsidRPr="00CF1787">
        <w:rPr>
          <w:rFonts w:eastAsia="Verdana" w:cs="Verdana"/>
          <w:szCs w:val="20"/>
          <w:lang w:val="es-CR"/>
        </w:rPr>
        <w:t>o</w:t>
      </w:r>
      <w:r w:rsidRPr="00CF1787">
        <w:rPr>
          <w:rFonts w:eastAsia="Verdana" w:cs="Verdana"/>
          <w:spacing w:val="10"/>
          <w:szCs w:val="20"/>
          <w:lang w:val="es-CR"/>
        </w:rPr>
        <w:t xml:space="preserve"> </w:t>
      </w:r>
      <w:r w:rsidRPr="00CF1787">
        <w:rPr>
          <w:rFonts w:eastAsia="Verdana" w:cs="Verdana"/>
          <w:spacing w:val="1"/>
          <w:szCs w:val="20"/>
          <w:lang w:val="es-CR"/>
        </w:rPr>
        <w:t>e</w:t>
      </w:r>
      <w:r w:rsidRPr="00CF1787">
        <w:rPr>
          <w:rFonts w:eastAsia="Verdana" w:cs="Verdana"/>
          <w:szCs w:val="20"/>
          <w:lang w:val="es-CR"/>
        </w:rPr>
        <w:t>s</w:t>
      </w:r>
      <w:r w:rsidRPr="00CF1787">
        <w:rPr>
          <w:rFonts w:eastAsia="Verdana" w:cs="Verdana"/>
          <w:spacing w:val="8"/>
          <w:szCs w:val="20"/>
          <w:lang w:val="es-CR"/>
        </w:rPr>
        <w:t xml:space="preserve"> </w:t>
      </w:r>
      <w:r w:rsidRPr="00CF1787">
        <w:rPr>
          <w:rFonts w:eastAsia="Verdana" w:cs="Verdana"/>
          <w:szCs w:val="20"/>
          <w:lang w:val="es-CR"/>
        </w:rPr>
        <w:t>suf</w:t>
      </w:r>
      <w:r w:rsidRPr="00CF1787">
        <w:rPr>
          <w:rFonts w:eastAsia="Verdana" w:cs="Verdana"/>
          <w:spacing w:val="3"/>
          <w:szCs w:val="20"/>
          <w:lang w:val="es-CR"/>
        </w:rPr>
        <w:t>i</w:t>
      </w:r>
      <w:r w:rsidRPr="00CF1787">
        <w:rPr>
          <w:rFonts w:eastAsia="Verdana" w:cs="Verdana"/>
          <w:szCs w:val="20"/>
          <w:lang w:val="es-CR"/>
        </w:rPr>
        <w:t>c</w:t>
      </w:r>
      <w:r w:rsidRPr="00CF1787">
        <w:rPr>
          <w:rFonts w:eastAsia="Verdana" w:cs="Verdana"/>
          <w:spacing w:val="2"/>
          <w:szCs w:val="20"/>
          <w:lang w:val="es-CR"/>
        </w:rPr>
        <w:t>i</w:t>
      </w:r>
      <w:r w:rsidRPr="00CF1787">
        <w:rPr>
          <w:rFonts w:eastAsia="Verdana" w:cs="Verdana"/>
          <w:spacing w:val="-1"/>
          <w:szCs w:val="20"/>
          <w:lang w:val="es-CR"/>
        </w:rPr>
        <w:t>e</w:t>
      </w:r>
      <w:r w:rsidRPr="00CF1787">
        <w:rPr>
          <w:rFonts w:eastAsia="Verdana" w:cs="Verdana"/>
          <w:spacing w:val="1"/>
          <w:szCs w:val="20"/>
          <w:lang w:val="es-CR"/>
        </w:rPr>
        <w:t>nt</w:t>
      </w:r>
      <w:r w:rsidRPr="00CF1787">
        <w:rPr>
          <w:rFonts w:eastAsia="Verdana" w:cs="Verdana"/>
          <w:szCs w:val="20"/>
          <w:lang w:val="es-CR"/>
        </w:rPr>
        <w:t xml:space="preserve">e </w:t>
      </w:r>
      <w:r w:rsidRPr="00CF1787">
        <w:rPr>
          <w:rFonts w:eastAsia="Verdana" w:cs="Verdana"/>
          <w:spacing w:val="3"/>
          <w:szCs w:val="20"/>
          <w:lang w:val="es-CR"/>
        </w:rPr>
        <w:t>l</w:t>
      </w:r>
      <w:r w:rsidRPr="00CF1787">
        <w:rPr>
          <w:rFonts w:eastAsia="Verdana" w:cs="Verdana"/>
          <w:szCs w:val="20"/>
          <w:lang w:val="es-CR"/>
        </w:rPr>
        <w:t>a</w:t>
      </w:r>
      <w:r w:rsidRPr="00CF1787">
        <w:rPr>
          <w:rFonts w:eastAsia="Verdana" w:cs="Verdana"/>
          <w:spacing w:val="9"/>
          <w:szCs w:val="20"/>
          <w:lang w:val="es-CR"/>
        </w:rPr>
        <w:t xml:space="preserve"> </w:t>
      </w:r>
      <w:r w:rsidRPr="00CF1787">
        <w:rPr>
          <w:rFonts w:eastAsia="Verdana" w:cs="Verdana"/>
          <w:spacing w:val="-1"/>
          <w:szCs w:val="20"/>
          <w:lang w:val="es-CR"/>
        </w:rPr>
        <w:t>re</w:t>
      </w:r>
      <w:r w:rsidRPr="00CF1787">
        <w:rPr>
          <w:rFonts w:eastAsia="Verdana" w:cs="Verdana"/>
          <w:szCs w:val="20"/>
          <w:lang w:val="es-CR"/>
        </w:rPr>
        <w:t>m</w:t>
      </w:r>
      <w:r w:rsidRPr="00CF1787">
        <w:rPr>
          <w:rFonts w:eastAsia="Verdana" w:cs="Verdana"/>
          <w:spacing w:val="3"/>
          <w:szCs w:val="20"/>
          <w:lang w:val="es-CR"/>
        </w:rPr>
        <w:t>i</w:t>
      </w:r>
      <w:r w:rsidRPr="00CF1787">
        <w:rPr>
          <w:rFonts w:eastAsia="Verdana" w:cs="Verdana"/>
          <w:szCs w:val="20"/>
          <w:lang w:val="es-CR"/>
        </w:rPr>
        <w:t>s</w:t>
      </w:r>
      <w:r w:rsidRPr="00CF1787">
        <w:rPr>
          <w:rFonts w:eastAsia="Verdana" w:cs="Verdana"/>
          <w:spacing w:val="2"/>
          <w:szCs w:val="20"/>
          <w:lang w:val="es-CR"/>
        </w:rPr>
        <w:t>i</w:t>
      </w:r>
      <w:r w:rsidRPr="00CF1787">
        <w:rPr>
          <w:rFonts w:eastAsia="Verdana" w:cs="Verdana"/>
          <w:spacing w:val="-1"/>
          <w:szCs w:val="20"/>
          <w:lang w:val="es-CR"/>
        </w:rPr>
        <w:t>ó</w:t>
      </w:r>
      <w:r w:rsidRPr="00CF1787">
        <w:rPr>
          <w:rFonts w:eastAsia="Verdana" w:cs="Verdana"/>
          <w:szCs w:val="20"/>
          <w:lang w:val="es-CR"/>
        </w:rPr>
        <w:t>n</w:t>
      </w:r>
      <w:r w:rsidRPr="00CF1787">
        <w:rPr>
          <w:rFonts w:eastAsia="Verdana" w:cs="Verdana"/>
          <w:spacing w:val="3"/>
          <w:szCs w:val="20"/>
          <w:lang w:val="es-CR"/>
        </w:rPr>
        <w:t xml:space="preserve"> </w:t>
      </w:r>
      <w:r w:rsidRPr="00CF1787">
        <w:rPr>
          <w:rFonts w:eastAsia="Verdana" w:cs="Verdana"/>
          <w:spacing w:val="1"/>
          <w:szCs w:val="20"/>
          <w:lang w:val="es-CR"/>
        </w:rPr>
        <w:t>d</w:t>
      </w:r>
      <w:r w:rsidRPr="00CF1787">
        <w:rPr>
          <w:rFonts w:eastAsia="Verdana" w:cs="Verdana"/>
          <w:szCs w:val="20"/>
          <w:lang w:val="es-CR"/>
        </w:rPr>
        <w:t>e</w:t>
      </w:r>
      <w:r w:rsidRPr="00CF1787">
        <w:rPr>
          <w:rFonts w:eastAsia="Verdana" w:cs="Verdana"/>
          <w:spacing w:val="8"/>
          <w:szCs w:val="20"/>
          <w:lang w:val="es-CR"/>
        </w:rPr>
        <w:t xml:space="preserve"> </w:t>
      </w:r>
      <w:r w:rsidRPr="00CF1787">
        <w:rPr>
          <w:rFonts w:eastAsia="Verdana" w:cs="Verdana"/>
          <w:spacing w:val="1"/>
          <w:szCs w:val="20"/>
          <w:lang w:val="es-CR"/>
        </w:rPr>
        <w:t>d</w:t>
      </w:r>
      <w:r w:rsidRPr="00CF1787">
        <w:rPr>
          <w:rFonts w:eastAsia="Verdana" w:cs="Verdana"/>
          <w:spacing w:val="-1"/>
          <w:szCs w:val="20"/>
          <w:lang w:val="es-CR"/>
        </w:rPr>
        <w:t>o</w:t>
      </w:r>
      <w:r w:rsidRPr="00CF1787">
        <w:rPr>
          <w:rFonts w:eastAsia="Verdana" w:cs="Verdana"/>
          <w:szCs w:val="20"/>
          <w:lang w:val="es-CR"/>
        </w:rPr>
        <w:t>cu</w:t>
      </w:r>
      <w:r w:rsidRPr="00CF1787">
        <w:rPr>
          <w:rFonts w:eastAsia="Verdana" w:cs="Verdana"/>
          <w:spacing w:val="3"/>
          <w:szCs w:val="20"/>
          <w:lang w:val="es-CR"/>
        </w:rPr>
        <w:t>m</w:t>
      </w:r>
      <w:r w:rsidRPr="00CF1787">
        <w:rPr>
          <w:rFonts w:eastAsia="Verdana" w:cs="Verdana"/>
          <w:spacing w:val="1"/>
          <w:szCs w:val="20"/>
          <w:lang w:val="es-CR"/>
        </w:rPr>
        <w:t>ent</w:t>
      </w:r>
      <w:r w:rsidRPr="00CF1787">
        <w:rPr>
          <w:rFonts w:eastAsia="Verdana" w:cs="Verdana"/>
          <w:spacing w:val="-1"/>
          <w:szCs w:val="20"/>
          <w:lang w:val="es-CR"/>
        </w:rPr>
        <w:t>o</w:t>
      </w:r>
      <w:r w:rsidRPr="00CF1787">
        <w:rPr>
          <w:rFonts w:eastAsia="Verdana" w:cs="Verdana"/>
          <w:szCs w:val="20"/>
          <w:lang w:val="es-CR"/>
        </w:rPr>
        <w:t>s</w:t>
      </w:r>
      <w:r w:rsidRPr="00CF1787">
        <w:rPr>
          <w:rFonts w:eastAsia="Verdana" w:cs="Verdana"/>
          <w:spacing w:val="-2"/>
          <w:szCs w:val="20"/>
          <w:lang w:val="es-CR"/>
        </w:rPr>
        <w:t xml:space="preserve"> </w:t>
      </w:r>
      <w:r w:rsidRPr="00CF1787">
        <w:rPr>
          <w:rFonts w:eastAsia="Verdana" w:cs="Verdana"/>
          <w:spacing w:val="1"/>
          <w:szCs w:val="20"/>
          <w:lang w:val="es-CR"/>
        </w:rPr>
        <w:t>pr</w:t>
      </w:r>
      <w:r w:rsidRPr="00CF1787">
        <w:rPr>
          <w:rFonts w:eastAsia="Verdana" w:cs="Verdana"/>
          <w:spacing w:val="-1"/>
          <w:szCs w:val="20"/>
          <w:lang w:val="es-CR"/>
        </w:rPr>
        <w:t>o</w:t>
      </w:r>
      <w:r w:rsidRPr="00CF1787">
        <w:rPr>
          <w:rFonts w:eastAsia="Verdana" w:cs="Verdana"/>
          <w:spacing w:val="1"/>
          <w:szCs w:val="20"/>
          <w:lang w:val="es-CR"/>
        </w:rPr>
        <w:t>b</w:t>
      </w:r>
      <w:r w:rsidRPr="00CF1787">
        <w:rPr>
          <w:rFonts w:eastAsia="Verdana" w:cs="Verdana"/>
          <w:szCs w:val="20"/>
          <w:lang w:val="es-CR"/>
        </w:rPr>
        <w:t>a</w:t>
      </w:r>
      <w:r w:rsidRPr="00CF1787">
        <w:rPr>
          <w:rFonts w:eastAsia="Verdana" w:cs="Verdana"/>
          <w:spacing w:val="1"/>
          <w:szCs w:val="20"/>
          <w:lang w:val="es-CR"/>
        </w:rPr>
        <w:t>to</w:t>
      </w:r>
      <w:r w:rsidRPr="00CF1787">
        <w:rPr>
          <w:rFonts w:eastAsia="Verdana" w:cs="Verdana"/>
          <w:spacing w:val="-1"/>
          <w:szCs w:val="20"/>
          <w:lang w:val="es-CR"/>
        </w:rPr>
        <w:t>r</w:t>
      </w:r>
      <w:r w:rsidRPr="00CF1787">
        <w:rPr>
          <w:rFonts w:eastAsia="Verdana" w:cs="Verdana"/>
          <w:spacing w:val="3"/>
          <w:szCs w:val="20"/>
          <w:lang w:val="es-CR"/>
        </w:rPr>
        <w:t>i</w:t>
      </w:r>
      <w:r w:rsidRPr="00CF1787">
        <w:rPr>
          <w:rFonts w:eastAsia="Verdana" w:cs="Verdana"/>
          <w:spacing w:val="-1"/>
          <w:szCs w:val="20"/>
          <w:lang w:val="es-CR"/>
        </w:rPr>
        <w:t>o</w:t>
      </w:r>
      <w:r w:rsidRPr="00CF1787">
        <w:rPr>
          <w:rFonts w:eastAsia="Verdana" w:cs="Verdana"/>
          <w:szCs w:val="20"/>
          <w:lang w:val="es-CR"/>
        </w:rPr>
        <w:t>s,</w:t>
      </w:r>
      <w:r w:rsidRPr="00CF1787">
        <w:rPr>
          <w:rFonts w:eastAsia="Verdana" w:cs="Verdana"/>
          <w:spacing w:val="1"/>
          <w:szCs w:val="20"/>
          <w:lang w:val="es-CR"/>
        </w:rPr>
        <w:t xml:space="preserve"> </w:t>
      </w:r>
      <w:r w:rsidRPr="00CF1787">
        <w:rPr>
          <w:rFonts w:eastAsia="Verdana" w:cs="Verdana"/>
          <w:szCs w:val="20"/>
          <w:lang w:val="es-CR"/>
        </w:rPr>
        <w:t>s</w:t>
      </w:r>
      <w:r w:rsidRPr="00CF1787">
        <w:rPr>
          <w:rFonts w:eastAsia="Verdana" w:cs="Verdana"/>
          <w:spacing w:val="2"/>
          <w:szCs w:val="20"/>
          <w:lang w:val="es-CR"/>
        </w:rPr>
        <w:t>i</w:t>
      </w:r>
      <w:r w:rsidRPr="00CF1787">
        <w:rPr>
          <w:rFonts w:eastAsia="Verdana" w:cs="Verdana"/>
          <w:spacing w:val="1"/>
          <w:szCs w:val="20"/>
          <w:lang w:val="es-CR"/>
        </w:rPr>
        <w:t>n</w:t>
      </w:r>
      <w:r w:rsidRPr="00CF1787">
        <w:rPr>
          <w:rFonts w:eastAsia="Verdana" w:cs="Verdana"/>
          <w:szCs w:val="20"/>
          <w:lang w:val="es-CR"/>
        </w:rPr>
        <w:t>o</w:t>
      </w:r>
      <w:r w:rsidRPr="00CF1787">
        <w:rPr>
          <w:rFonts w:eastAsia="Verdana" w:cs="Verdana"/>
          <w:spacing w:val="6"/>
          <w:szCs w:val="20"/>
          <w:lang w:val="es-CR"/>
        </w:rPr>
        <w:t xml:space="preserve"> </w:t>
      </w:r>
      <w:r w:rsidRPr="00CF1787">
        <w:rPr>
          <w:rFonts w:eastAsia="Verdana" w:cs="Verdana"/>
          <w:spacing w:val="1"/>
          <w:szCs w:val="20"/>
          <w:lang w:val="es-CR"/>
        </w:rPr>
        <w:t>qu</w:t>
      </w:r>
      <w:r w:rsidRPr="00CF1787">
        <w:rPr>
          <w:rFonts w:eastAsia="Verdana" w:cs="Verdana"/>
          <w:szCs w:val="20"/>
          <w:lang w:val="es-CR"/>
        </w:rPr>
        <w:t>e</w:t>
      </w:r>
      <w:r w:rsidRPr="00CF1787">
        <w:rPr>
          <w:rFonts w:eastAsia="Verdana" w:cs="Verdana"/>
          <w:spacing w:val="6"/>
          <w:szCs w:val="20"/>
          <w:lang w:val="es-CR"/>
        </w:rPr>
        <w:t xml:space="preserve"> </w:t>
      </w:r>
      <w:r w:rsidRPr="00CF1787">
        <w:rPr>
          <w:rFonts w:eastAsia="Verdana" w:cs="Verdana"/>
          <w:spacing w:val="2"/>
          <w:szCs w:val="20"/>
          <w:lang w:val="es-CR"/>
        </w:rPr>
        <w:t>s</w:t>
      </w:r>
      <w:r w:rsidRPr="00CF1787">
        <w:rPr>
          <w:rFonts w:eastAsia="Verdana" w:cs="Verdana"/>
          <w:szCs w:val="20"/>
          <w:lang w:val="es-CR"/>
        </w:rPr>
        <w:t xml:space="preserve">e </w:t>
      </w:r>
      <w:r w:rsidRPr="00CF1787">
        <w:rPr>
          <w:rFonts w:eastAsia="Verdana" w:cs="Verdana"/>
          <w:spacing w:val="-1"/>
          <w:szCs w:val="20"/>
          <w:lang w:val="es-CR"/>
        </w:rPr>
        <w:t>re</w:t>
      </w:r>
      <w:r w:rsidRPr="00CF1787">
        <w:rPr>
          <w:rFonts w:eastAsia="Verdana" w:cs="Verdana"/>
          <w:spacing w:val="1"/>
          <w:szCs w:val="20"/>
          <w:lang w:val="es-CR"/>
        </w:rPr>
        <w:t>qu</w:t>
      </w:r>
      <w:r w:rsidRPr="00CF1787">
        <w:rPr>
          <w:rFonts w:eastAsia="Verdana" w:cs="Verdana"/>
          <w:spacing w:val="3"/>
          <w:szCs w:val="20"/>
          <w:lang w:val="es-CR"/>
        </w:rPr>
        <w:t>i</w:t>
      </w:r>
      <w:r w:rsidRPr="00CF1787">
        <w:rPr>
          <w:rFonts w:eastAsia="Verdana" w:cs="Verdana"/>
          <w:spacing w:val="-1"/>
          <w:szCs w:val="20"/>
          <w:lang w:val="es-CR"/>
        </w:rPr>
        <w:t>e</w:t>
      </w:r>
      <w:r w:rsidRPr="00CF1787">
        <w:rPr>
          <w:rFonts w:eastAsia="Verdana" w:cs="Verdana"/>
          <w:spacing w:val="1"/>
          <w:szCs w:val="20"/>
          <w:lang w:val="es-CR"/>
        </w:rPr>
        <w:t>r</w:t>
      </w:r>
      <w:r w:rsidRPr="00CF1787">
        <w:rPr>
          <w:rFonts w:eastAsia="Verdana" w:cs="Verdana"/>
          <w:szCs w:val="20"/>
          <w:lang w:val="es-CR"/>
        </w:rPr>
        <w:t>e</w:t>
      </w:r>
      <w:r w:rsidRPr="00CF1787">
        <w:rPr>
          <w:rFonts w:eastAsia="Verdana" w:cs="Verdana"/>
          <w:spacing w:val="33"/>
          <w:szCs w:val="20"/>
          <w:lang w:val="es-CR"/>
        </w:rPr>
        <w:t xml:space="preserve"> </w:t>
      </w:r>
      <w:r w:rsidRPr="00CF1787">
        <w:rPr>
          <w:rFonts w:eastAsia="Verdana" w:cs="Verdana"/>
          <w:spacing w:val="1"/>
          <w:szCs w:val="20"/>
          <w:lang w:val="es-CR"/>
        </w:rPr>
        <w:t>qu</w:t>
      </w:r>
      <w:r w:rsidRPr="00CF1787">
        <w:rPr>
          <w:rFonts w:eastAsia="Verdana" w:cs="Verdana"/>
          <w:szCs w:val="20"/>
          <w:lang w:val="es-CR"/>
        </w:rPr>
        <w:t>e</w:t>
      </w:r>
      <w:r w:rsidRPr="00CF1787">
        <w:rPr>
          <w:rFonts w:eastAsia="Verdana" w:cs="Verdana"/>
          <w:spacing w:val="38"/>
          <w:szCs w:val="20"/>
          <w:lang w:val="es-CR"/>
        </w:rPr>
        <w:t xml:space="preserve"> </w:t>
      </w:r>
      <w:r w:rsidRPr="00CF1787">
        <w:rPr>
          <w:rFonts w:eastAsia="Verdana" w:cs="Verdana"/>
          <w:spacing w:val="3"/>
          <w:szCs w:val="20"/>
          <w:lang w:val="es-CR"/>
        </w:rPr>
        <w:t>l</w:t>
      </w:r>
      <w:r w:rsidRPr="00CF1787">
        <w:rPr>
          <w:rFonts w:eastAsia="Verdana" w:cs="Verdana"/>
          <w:szCs w:val="20"/>
          <w:lang w:val="es-CR"/>
        </w:rPr>
        <w:t>as</w:t>
      </w:r>
      <w:r w:rsidRPr="00CF1787">
        <w:rPr>
          <w:rFonts w:eastAsia="Verdana" w:cs="Verdana"/>
          <w:spacing w:val="40"/>
          <w:szCs w:val="20"/>
          <w:lang w:val="es-CR"/>
        </w:rPr>
        <w:t xml:space="preserve"> </w:t>
      </w:r>
      <w:r w:rsidRPr="00CF1787">
        <w:rPr>
          <w:rFonts w:eastAsia="Verdana" w:cs="Verdana"/>
          <w:spacing w:val="1"/>
          <w:szCs w:val="20"/>
          <w:lang w:val="es-CR"/>
        </w:rPr>
        <w:t>p</w:t>
      </w:r>
      <w:r w:rsidRPr="00CF1787">
        <w:rPr>
          <w:rFonts w:eastAsia="Verdana" w:cs="Verdana"/>
          <w:szCs w:val="20"/>
          <w:lang w:val="es-CR"/>
        </w:rPr>
        <w:t>a</w:t>
      </w:r>
      <w:r w:rsidRPr="00CF1787">
        <w:rPr>
          <w:rFonts w:eastAsia="Verdana" w:cs="Verdana"/>
          <w:spacing w:val="-1"/>
          <w:szCs w:val="20"/>
          <w:lang w:val="es-CR"/>
        </w:rPr>
        <w:t>r</w:t>
      </w:r>
      <w:r w:rsidRPr="00CF1787">
        <w:rPr>
          <w:rFonts w:eastAsia="Verdana" w:cs="Verdana"/>
          <w:spacing w:val="1"/>
          <w:szCs w:val="20"/>
          <w:lang w:val="es-CR"/>
        </w:rPr>
        <w:t>te</w:t>
      </w:r>
      <w:r w:rsidRPr="00CF1787">
        <w:rPr>
          <w:rFonts w:eastAsia="Verdana" w:cs="Verdana"/>
          <w:szCs w:val="20"/>
          <w:lang w:val="es-CR"/>
        </w:rPr>
        <w:t>s</w:t>
      </w:r>
      <w:r w:rsidRPr="00CF1787">
        <w:rPr>
          <w:rFonts w:eastAsia="Verdana" w:cs="Verdana"/>
          <w:spacing w:val="37"/>
          <w:szCs w:val="20"/>
          <w:lang w:val="es-CR"/>
        </w:rPr>
        <w:t xml:space="preserve"> </w:t>
      </w:r>
      <w:r w:rsidRPr="00CF1787">
        <w:rPr>
          <w:rFonts w:eastAsia="Verdana" w:cs="Verdana"/>
          <w:spacing w:val="1"/>
          <w:szCs w:val="20"/>
          <w:lang w:val="es-CR"/>
        </w:rPr>
        <w:t>h</w:t>
      </w:r>
      <w:r w:rsidRPr="00CF1787">
        <w:rPr>
          <w:rFonts w:eastAsia="Verdana" w:cs="Verdana"/>
          <w:szCs w:val="20"/>
          <w:lang w:val="es-CR"/>
        </w:rPr>
        <w:t>a</w:t>
      </w:r>
      <w:r w:rsidRPr="00CF1787">
        <w:rPr>
          <w:rFonts w:eastAsia="Verdana" w:cs="Verdana"/>
          <w:spacing w:val="1"/>
          <w:szCs w:val="20"/>
          <w:lang w:val="es-CR"/>
        </w:rPr>
        <w:t>g</w:t>
      </w:r>
      <w:r w:rsidRPr="00CF1787">
        <w:rPr>
          <w:rFonts w:eastAsia="Verdana" w:cs="Verdana"/>
          <w:szCs w:val="20"/>
          <w:lang w:val="es-CR"/>
        </w:rPr>
        <w:t>an</w:t>
      </w:r>
      <w:r w:rsidRPr="00CF1787">
        <w:rPr>
          <w:rFonts w:eastAsia="Verdana" w:cs="Verdana"/>
          <w:spacing w:val="37"/>
          <w:szCs w:val="20"/>
          <w:lang w:val="es-CR"/>
        </w:rPr>
        <w:t xml:space="preserve"> </w:t>
      </w:r>
      <w:r w:rsidRPr="00CF1787">
        <w:rPr>
          <w:rFonts w:eastAsia="Verdana" w:cs="Verdana"/>
          <w:spacing w:val="1"/>
          <w:szCs w:val="20"/>
          <w:lang w:val="es-CR"/>
        </w:rPr>
        <w:t>un</w:t>
      </w:r>
      <w:r w:rsidRPr="00CF1787">
        <w:rPr>
          <w:rFonts w:eastAsia="Verdana" w:cs="Verdana"/>
          <w:szCs w:val="20"/>
          <w:lang w:val="es-CR"/>
        </w:rPr>
        <w:t>a</w:t>
      </w:r>
      <w:r w:rsidRPr="00CF1787">
        <w:rPr>
          <w:rFonts w:eastAsia="Verdana" w:cs="Verdana"/>
          <w:spacing w:val="39"/>
          <w:szCs w:val="20"/>
          <w:lang w:val="es-CR"/>
        </w:rPr>
        <w:t xml:space="preserve"> </w:t>
      </w:r>
      <w:r w:rsidRPr="00CF1787">
        <w:rPr>
          <w:rFonts w:eastAsia="Verdana" w:cs="Verdana"/>
          <w:szCs w:val="20"/>
          <w:lang w:val="es-CR"/>
        </w:rPr>
        <w:t>a</w:t>
      </w:r>
      <w:r w:rsidRPr="00CF1787">
        <w:rPr>
          <w:rFonts w:eastAsia="Verdana" w:cs="Verdana"/>
          <w:spacing w:val="-1"/>
          <w:szCs w:val="20"/>
          <w:lang w:val="es-CR"/>
        </w:rPr>
        <w:t>r</w:t>
      </w:r>
      <w:r w:rsidRPr="00CF1787">
        <w:rPr>
          <w:rFonts w:eastAsia="Verdana" w:cs="Verdana"/>
          <w:spacing w:val="1"/>
          <w:szCs w:val="20"/>
          <w:lang w:val="es-CR"/>
        </w:rPr>
        <w:t>gu</w:t>
      </w:r>
      <w:r w:rsidRPr="00CF1787">
        <w:rPr>
          <w:rFonts w:eastAsia="Verdana" w:cs="Verdana"/>
          <w:szCs w:val="20"/>
          <w:lang w:val="es-CR"/>
        </w:rPr>
        <w:t>men</w:t>
      </w:r>
      <w:r w:rsidRPr="00CF1787">
        <w:rPr>
          <w:rFonts w:eastAsia="Verdana" w:cs="Verdana"/>
          <w:spacing w:val="1"/>
          <w:szCs w:val="20"/>
          <w:lang w:val="es-CR"/>
        </w:rPr>
        <w:t>t</w:t>
      </w:r>
      <w:r w:rsidRPr="00CF1787">
        <w:rPr>
          <w:rFonts w:eastAsia="Verdana" w:cs="Verdana"/>
          <w:spacing w:val="6"/>
          <w:szCs w:val="20"/>
          <w:lang w:val="es-CR"/>
        </w:rPr>
        <w:t>a</w:t>
      </w:r>
      <w:r w:rsidRPr="00CF1787">
        <w:rPr>
          <w:rFonts w:eastAsia="Verdana" w:cs="Verdana"/>
          <w:szCs w:val="20"/>
          <w:lang w:val="es-CR"/>
        </w:rPr>
        <w:t>c</w:t>
      </w:r>
      <w:r w:rsidRPr="00CF1787">
        <w:rPr>
          <w:rFonts w:eastAsia="Verdana" w:cs="Verdana"/>
          <w:spacing w:val="2"/>
          <w:szCs w:val="20"/>
          <w:lang w:val="es-CR"/>
        </w:rPr>
        <w:t>i</w:t>
      </w:r>
      <w:r w:rsidRPr="00CF1787">
        <w:rPr>
          <w:rFonts w:eastAsia="Verdana" w:cs="Verdana"/>
          <w:spacing w:val="-1"/>
          <w:szCs w:val="20"/>
          <w:lang w:val="es-CR"/>
        </w:rPr>
        <w:t>ó</w:t>
      </w:r>
      <w:r w:rsidRPr="00CF1787">
        <w:rPr>
          <w:rFonts w:eastAsia="Verdana" w:cs="Verdana"/>
          <w:szCs w:val="20"/>
          <w:lang w:val="es-CR"/>
        </w:rPr>
        <w:t>n</w:t>
      </w:r>
      <w:r w:rsidRPr="00CF1787">
        <w:rPr>
          <w:rFonts w:eastAsia="Verdana" w:cs="Verdana"/>
          <w:spacing w:val="28"/>
          <w:szCs w:val="20"/>
          <w:lang w:val="es-CR"/>
        </w:rPr>
        <w:t xml:space="preserve"> </w:t>
      </w:r>
      <w:r w:rsidRPr="00CF1787">
        <w:rPr>
          <w:rFonts w:eastAsia="Verdana" w:cs="Verdana"/>
          <w:spacing w:val="1"/>
          <w:szCs w:val="20"/>
          <w:lang w:val="es-CR"/>
        </w:rPr>
        <w:t>qu</w:t>
      </w:r>
      <w:r w:rsidRPr="00CF1787">
        <w:rPr>
          <w:rFonts w:eastAsia="Verdana" w:cs="Verdana"/>
          <w:szCs w:val="20"/>
          <w:lang w:val="es-CR"/>
        </w:rPr>
        <w:t>e</w:t>
      </w:r>
      <w:r w:rsidRPr="00CF1787">
        <w:rPr>
          <w:rFonts w:eastAsia="Verdana" w:cs="Verdana"/>
          <w:spacing w:val="38"/>
          <w:szCs w:val="20"/>
          <w:lang w:val="es-CR"/>
        </w:rPr>
        <w:t xml:space="preserve"> </w:t>
      </w:r>
      <w:r w:rsidRPr="00CF1787">
        <w:rPr>
          <w:rFonts w:eastAsia="Verdana" w:cs="Verdana"/>
          <w:spacing w:val="-1"/>
          <w:szCs w:val="20"/>
          <w:lang w:val="es-CR"/>
        </w:rPr>
        <w:t>re</w:t>
      </w:r>
      <w:r w:rsidRPr="00CF1787">
        <w:rPr>
          <w:rFonts w:eastAsia="Verdana" w:cs="Verdana"/>
          <w:spacing w:val="3"/>
          <w:szCs w:val="20"/>
          <w:lang w:val="es-CR"/>
        </w:rPr>
        <w:t>l</w:t>
      </w:r>
      <w:r w:rsidRPr="00CF1787">
        <w:rPr>
          <w:rFonts w:eastAsia="Verdana" w:cs="Verdana"/>
          <w:szCs w:val="20"/>
          <w:lang w:val="es-CR"/>
        </w:rPr>
        <w:t>ac</w:t>
      </w:r>
      <w:r w:rsidRPr="00CF1787">
        <w:rPr>
          <w:rFonts w:eastAsia="Verdana" w:cs="Verdana"/>
          <w:spacing w:val="3"/>
          <w:szCs w:val="20"/>
          <w:lang w:val="es-CR"/>
        </w:rPr>
        <w:t>i</w:t>
      </w:r>
      <w:r w:rsidRPr="00CF1787">
        <w:rPr>
          <w:rFonts w:eastAsia="Verdana" w:cs="Verdana"/>
          <w:spacing w:val="-1"/>
          <w:szCs w:val="20"/>
          <w:lang w:val="es-CR"/>
        </w:rPr>
        <w:t>o</w:t>
      </w:r>
      <w:r w:rsidRPr="00CF1787">
        <w:rPr>
          <w:rFonts w:eastAsia="Verdana" w:cs="Verdana"/>
          <w:spacing w:val="1"/>
          <w:szCs w:val="20"/>
          <w:lang w:val="es-CR"/>
        </w:rPr>
        <w:t>n</w:t>
      </w:r>
      <w:r w:rsidRPr="00CF1787">
        <w:rPr>
          <w:rFonts w:eastAsia="Verdana" w:cs="Verdana"/>
          <w:szCs w:val="20"/>
          <w:lang w:val="es-CR"/>
        </w:rPr>
        <w:t>e</w:t>
      </w:r>
      <w:r w:rsidRPr="00CF1787">
        <w:rPr>
          <w:rFonts w:eastAsia="Verdana" w:cs="Verdana"/>
          <w:spacing w:val="32"/>
          <w:szCs w:val="20"/>
          <w:lang w:val="es-CR"/>
        </w:rPr>
        <w:t xml:space="preserve"> </w:t>
      </w:r>
      <w:r w:rsidRPr="00CF1787">
        <w:rPr>
          <w:rFonts w:eastAsia="Verdana" w:cs="Verdana"/>
          <w:spacing w:val="3"/>
          <w:szCs w:val="20"/>
          <w:lang w:val="es-CR"/>
        </w:rPr>
        <w:t>l</w:t>
      </w:r>
      <w:r w:rsidRPr="00CF1787">
        <w:rPr>
          <w:rFonts w:eastAsia="Verdana" w:cs="Verdana"/>
          <w:szCs w:val="20"/>
          <w:lang w:val="es-CR"/>
        </w:rPr>
        <w:t>a</w:t>
      </w:r>
      <w:r w:rsidRPr="00CF1787">
        <w:rPr>
          <w:rFonts w:eastAsia="Verdana" w:cs="Verdana"/>
          <w:spacing w:val="41"/>
          <w:szCs w:val="20"/>
          <w:lang w:val="es-CR"/>
        </w:rPr>
        <w:t xml:space="preserve"> </w:t>
      </w:r>
      <w:r w:rsidRPr="00CF1787">
        <w:rPr>
          <w:rFonts w:eastAsia="Verdana" w:cs="Verdana"/>
          <w:spacing w:val="-2"/>
          <w:szCs w:val="20"/>
          <w:lang w:val="es-CR"/>
        </w:rPr>
        <w:t>p</w:t>
      </w:r>
      <w:r w:rsidRPr="00CF1787">
        <w:rPr>
          <w:rFonts w:eastAsia="Verdana" w:cs="Verdana"/>
          <w:spacing w:val="-1"/>
          <w:szCs w:val="20"/>
          <w:lang w:val="es-CR"/>
        </w:rPr>
        <w:t>r</w:t>
      </w:r>
      <w:r w:rsidRPr="00CF1787">
        <w:rPr>
          <w:rFonts w:eastAsia="Verdana" w:cs="Verdana"/>
          <w:spacing w:val="1"/>
          <w:szCs w:val="20"/>
          <w:lang w:val="es-CR"/>
        </w:rPr>
        <w:t>u</w:t>
      </w:r>
      <w:r w:rsidRPr="00CF1787">
        <w:rPr>
          <w:rFonts w:eastAsia="Verdana" w:cs="Verdana"/>
          <w:spacing w:val="-1"/>
          <w:szCs w:val="20"/>
          <w:lang w:val="es-CR"/>
        </w:rPr>
        <w:t>e</w:t>
      </w:r>
      <w:r w:rsidRPr="00CF1787">
        <w:rPr>
          <w:rFonts w:eastAsia="Verdana" w:cs="Verdana"/>
          <w:spacing w:val="1"/>
          <w:szCs w:val="20"/>
          <w:lang w:val="es-CR"/>
        </w:rPr>
        <w:t>b</w:t>
      </w:r>
      <w:r w:rsidRPr="00CF1787">
        <w:rPr>
          <w:rFonts w:eastAsia="Verdana" w:cs="Verdana"/>
          <w:szCs w:val="20"/>
          <w:lang w:val="es-CR"/>
        </w:rPr>
        <w:t>a</w:t>
      </w:r>
      <w:r w:rsidRPr="00CF1787">
        <w:rPr>
          <w:rFonts w:eastAsia="Verdana" w:cs="Verdana"/>
          <w:spacing w:val="35"/>
          <w:szCs w:val="20"/>
          <w:lang w:val="es-CR"/>
        </w:rPr>
        <w:t xml:space="preserve"> </w:t>
      </w:r>
      <w:r w:rsidRPr="00CF1787">
        <w:rPr>
          <w:rFonts w:eastAsia="Verdana" w:cs="Verdana"/>
          <w:spacing w:val="2"/>
          <w:szCs w:val="20"/>
          <w:lang w:val="es-CR"/>
        </w:rPr>
        <w:t>c</w:t>
      </w:r>
      <w:r w:rsidRPr="00CF1787">
        <w:rPr>
          <w:rFonts w:eastAsia="Verdana" w:cs="Verdana"/>
          <w:spacing w:val="-1"/>
          <w:szCs w:val="20"/>
          <w:lang w:val="es-CR"/>
        </w:rPr>
        <w:t>o</w:t>
      </w:r>
      <w:r w:rsidRPr="00CF1787">
        <w:rPr>
          <w:rFonts w:eastAsia="Verdana" w:cs="Verdana"/>
          <w:szCs w:val="20"/>
          <w:lang w:val="es-CR"/>
        </w:rPr>
        <w:t>n</w:t>
      </w:r>
      <w:r w:rsidRPr="00CF1787">
        <w:rPr>
          <w:rFonts w:eastAsia="Verdana" w:cs="Verdana"/>
          <w:spacing w:val="40"/>
          <w:szCs w:val="20"/>
          <w:lang w:val="es-CR"/>
        </w:rPr>
        <w:t xml:space="preserve"> </w:t>
      </w:r>
      <w:r w:rsidRPr="00CF1787">
        <w:rPr>
          <w:rFonts w:eastAsia="Verdana" w:cs="Verdana"/>
          <w:spacing w:val="-1"/>
          <w:szCs w:val="20"/>
          <w:lang w:val="es-CR"/>
        </w:rPr>
        <w:t>e</w:t>
      </w:r>
      <w:r w:rsidRPr="00CF1787">
        <w:rPr>
          <w:rFonts w:eastAsia="Verdana" w:cs="Verdana"/>
          <w:szCs w:val="20"/>
          <w:lang w:val="es-CR"/>
        </w:rPr>
        <w:t>l</w:t>
      </w:r>
      <w:r w:rsidRPr="00CF1787">
        <w:rPr>
          <w:rFonts w:eastAsia="Verdana" w:cs="Verdana"/>
          <w:spacing w:val="43"/>
          <w:szCs w:val="20"/>
          <w:lang w:val="es-CR"/>
        </w:rPr>
        <w:t xml:space="preserve"> </w:t>
      </w:r>
      <w:r w:rsidRPr="00CF1787">
        <w:rPr>
          <w:rFonts w:eastAsia="Verdana" w:cs="Verdana"/>
          <w:spacing w:val="1"/>
          <w:szCs w:val="20"/>
          <w:lang w:val="es-CR"/>
        </w:rPr>
        <w:t>h</w:t>
      </w:r>
      <w:r w:rsidRPr="00CF1787">
        <w:rPr>
          <w:rFonts w:eastAsia="Verdana" w:cs="Verdana"/>
          <w:spacing w:val="-1"/>
          <w:szCs w:val="20"/>
          <w:lang w:val="es-CR"/>
        </w:rPr>
        <w:t>e</w:t>
      </w:r>
      <w:r w:rsidRPr="00CF1787">
        <w:rPr>
          <w:rFonts w:eastAsia="Verdana" w:cs="Verdana"/>
          <w:szCs w:val="20"/>
          <w:lang w:val="es-CR"/>
        </w:rPr>
        <w:t>cho</w:t>
      </w:r>
      <w:r w:rsidRPr="00CF1787">
        <w:rPr>
          <w:rFonts w:eastAsia="Verdana" w:cs="Verdana"/>
          <w:spacing w:val="35"/>
          <w:szCs w:val="20"/>
          <w:lang w:val="es-CR"/>
        </w:rPr>
        <w:t xml:space="preserve"> </w:t>
      </w:r>
      <w:r w:rsidRPr="00CF1787">
        <w:rPr>
          <w:rFonts w:eastAsia="Verdana" w:cs="Verdana"/>
          <w:spacing w:val="1"/>
          <w:szCs w:val="20"/>
          <w:lang w:val="es-CR"/>
        </w:rPr>
        <w:t>q</w:t>
      </w:r>
      <w:r w:rsidRPr="00CF1787">
        <w:rPr>
          <w:rFonts w:eastAsia="Verdana" w:cs="Verdana"/>
          <w:spacing w:val="3"/>
          <w:szCs w:val="20"/>
          <w:lang w:val="es-CR"/>
        </w:rPr>
        <w:t>u</w:t>
      </w:r>
      <w:r w:rsidRPr="00CF1787">
        <w:rPr>
          <w:rFonts w:eastAsia="Verdana" w:cs="Verdana"/>
          <w:szCs w:val="20"/>
          <w:lang w:val="es-CR"/>
        </w:rPr>
        <w:t>e</w:t>
      </w:r>
      <w:r w:rsidRPr="00CF1787">
        <w:rPr>
          <w:rFonts w:eastAsia="Verdana" w:cs="Verdana"/>
          <w:spacing w:val="38"/>
          <w:szCs w:val="20"/>
          <w:lang w:val="es-CR"/>
        </w:rPr>
        <w:t xml:space="preserve"> </w:t>
      </w:r>
      <w:r w:rsidRPr="00CF1787">
        <w:rPr>
          <w:rFonts w:eastAsia="Verdana" w:cs="Verdana"/>
          <w:spacing w:val="2"/>
          <w:szCs w:val="20"/>
          <w:lang w:val="es-CR"/>
        </w:rPr>
        <w:t>s</w:t>
      </w:r>
      <w:r w:rsidRPr="00CF1787">
        <w:rPr>
          <w:rFonts w:eastAsia="Verdana" w:cs="Verdana"/>
          <w:szCs w:val="20"/>
          <w:lang w:val="es-CR"/>
        </w:rPr>
        <w:t>e c</w:t>
      </w:r>
      <w:r w:rsidRPr="00CF1787">
        <w:rPr>
          <w:rFonts w:eastAsia="Verdana" w:cs="Verdana"/>
          <w:spacing w:val="-2"/>
          <w:szCs w:val="20"/>
          <w:lang w:val="es-CR"/>
        </w:rPr>
        <w:t>o</w:t>
      </w:r>
      <w:r w:rsidRPr="00CF1787">
        <w:rPr>
          <w:rFonts w:eastAsia="Verdana" w:cs="Verdana"/>
          <w:spacing w:val="1"/>
          <w:szCs w:val="20"/>
          <w:lang w:val="es-CR"/>
        </w:rPr>
        <w:t>n</w:t>
      </w:r>
      <w:r w:rsidRPr="00CF1787">
        <w:rPr>
          <w:rFonts w:eastAsia="Verdana" w:cs="Verdana"/>
          <w:szCs w:val="20"/>
          <w:lang w:val="es-CR"/>
        </w:rPr>
        <w:t>s</w:t>
      </w:r>
      <w:r w:rsidRPr="00CF1787">
        <w:rPr>
          <w:rFonts w:eastAsia="Verdana" w:cs="Verdana"/>
          <w:spacing w:val="2"/>
          <w:szCs w:val="20"/>
          <w:lang w:val="es-CR"/>
        </w:rPr>
        <w:t>i</w:t>
      </w:r>
      <w:r w:rsidRPr="00CF1787">
        <w:rPr>
          <w:rFonts w:eastAsia="Verdana" w:cs="Verdana"/>
          <w:spacing w:val="1"/>
          <w:szCs w:val="20"/>
          <w:lang w:val="es-CR"/>
        </w:rPr>
        <w:t>d</w:t>
      </w:r>
      <w:r w:rsidRPr="00CF1787">
        <w:rPr>
          <w:rFonts w:eastAsia="Verdana" w:cs="Verdana"/>
          <w:spacing w:val="-1"/>
          <w:szCs w:val="20"/>
          <w:lang w:val="es-CR"/>
        </w:rPr>
        <w:t>er</w:t>
      </w:r>
      <w:r w:rsidRPr="00CF1787">
        <w:rPr>
          <w:rFonts w:eastAsia="Verdana" w:cs="Verdana"/>
          <w:szCs w:val="20"/>
          <w:lang w:val="es-CR"/>
        </w:rPr>
        <w:t>a</w:t>
      </w:r>
      <w:r w:rsidRPr="00CF1787">
        <w:rPr>
          <w:rFonts w:eastAsia="Verdana" w:cs="Verdana"/>
          <w:spacing w:val="-6"/>
          <w:szCs w:val="20"/>
          <w:lang w:val="es-CR"/>
        </w:rPr>
        <w:t xml:space="preserve"> </w:t>
      </w:r>
      <w:r w:rsidRPr="00CF1787">
        <w:rPr>
          <w:rFonts w:eastAsia="Verdana" w:cs="Verdana"/>
          <w:spacing w:val="-1"/>
          <w:szCs w:val="20"/>
          <w:lang w:val="es-CR"/>
        </w:rPr>
        <w:t>re</w:t>
      </w:r>
      <w:r w:rsidRPr="00CF1787">
        <w:rPr>
          <w:rFonts w:eastAsia="Verdana" w:cs="Verdana"/>
          <w:spacing w:val="3"/>
          <w:szCs w:val="20"/>
          <w:lang w:val="es-CR"/>
        </w:rPr>
        <w:t>p</w:t>
      </w:r>
      <w:r w:rsidRPr="00CF1787">
        <w:rPr>
          <w:rFonts w:eastAsia="Verdana" w:cs="Verdana"/>
          <w:spacing w:val="-1"/>
          <w:szCs w:val="20"/>
          <w:lang w:val="es-CR"/>
        </w:rPr>
        <w:t>r</w:t>
      </w:r>
      <w:r w:rsidRPr="00CF1787">
        <w:rPr>
          <w:rFonts w:eastAsia="Verdana" w:cs="Verdana"/>
          <w:spacing w:val="1"/>
          <w:szCs w:val="20"/>
          <w:lang w:val="es-CR"/>
        </w:rPr>
        <w:t>e</w:t>
      </w:r>
      <w:r w:rsidRPr="00CF1787">
        <w:rPr>
          <w:rFonts w:eastAsia="Verdana" w:cs="Verdana"/>
          <w:szCs w:val="20"/>
          <w:lang w:val="es-CR"/>
        </w:rPr>
        <w:t>s</w:t>
      </w:r>
      <w:r w:rsidRPr="00CF1787">
        <w:rPr>
          <w:rFonts w:eastAsia="Verdana" w:cs="Verdana"/>
          <w:spacing w:val="-2"/>
          <w:szCs w:val="20"/>
          <w:lang w:val="es-CR"/>
        </w:rPr>
        <w:t>e</w:t>
      </w:r>
      <w:r w:rsidRPr="00CF1787">
        <w:rPr>
          <w:rFonts w:eastAsia="Verdana" w:cs="Verdana"/>
          <w:spacing w:val="1"/>
          <w:szCs w:val="20"/>
          <w:lang w:val="es-CR"/>
        </w:rPr>
        <w:t>nt</w:t>
      </w:r>
      <w:r w:rsidRPr="00CF1787">
        <w:rPr>
          <w:rFonts w:eastAsia="Verdana" w:cs="Verdana"/>
          <w:szCs w:val="20"/>
          <w:lang w:val="es-CR"/>
        </w:rPr>
        <w:t>a</w:t>
      </w:r>
      <w:r w:rsidRPr="00CF1787">
        <w:rPr>
          <w:rFonts w:eastAsia="Verdana" w:cs="Verdana"/>
          <w:spacing w:val="3"/>
          <w:szCs w:val="20"/>
          <w:lang w:val="es-CR"/>
        </w:rPr>
        <w:t>d</w:t>
      </w:r>
      <w:r w:rsidRPr="00CF1787">
        <w:rPr>
          <w:rFonts w:eastAsia="Verdana" w:cs="Verdana"/>
          <w:spacing w:val="-1"/>
          <w:szCs w:val="20"/>
          <w:lang w:val="es-CR"/>
        </w:rPr>
        <w:t>o</w:t>
      </w:r>
      <w:r w:rsidRPr="00CF1787">
        <w:rPr>
          <w:rFonts w:eastAsia="Verdana" w:cs="Verdana"/>
          <w:szCs w:val="20"/>
          <w:lang w:val="es-CR"/>
        </w:rPr>
        <w:t>,</w:t>
      </w:r>
      <w:r w:rsidRPr="00CF1787">
        <w:rPr>
          <w:rFonts w:eastAsia="Verdana" w:cs="Verdana"/>
          <w:spacing w:val="-11"/>
          <w:szCs w:val="20"/>
          <w:lang w:val="es-CR"/>
        </w:rPr>
        <w:t xml:space="preserve"> </w:t>
      </w:r>
      <w:r w:rsidRPr="00CF1787">
        <w:rPr>
          <w:rFonts w:eastAsia="Verdana" w:cs="Verdana"/>
          <w:szCs w:val="20"/>
          <w:lang w:val="es-CR"/>
        </w:rPr>
        <w:t xml:space="preserve">y </w:t>
      </w:r>
      <w:r w:rsidRPr="00CF1787">
        <w:rPr>
          <w:rFonts w:eastAsia="Verdana" w:cs="Verdana"/>
          <w:spacing w:val="1"/>
          <w:szCs w:val="20"/>
          <w:lang w:val="es-CR"/>
        </w:rPr>
        <w:t>qu</w:t>
      </w:r>
      <w:r w:rsidRPr="00CF1787">
        <w:rPr>
          <w:rFonts w:eastAsia="Verdana" w:cs="Verdana"/>
          <w:spacing w:val="-1"/>
          <w:szCs w:val="20"/>
          <w:lang w:val="es-CR"/>
        </w:rPr>
        <w:t>e</w:t>
      </w:r>
      <w:r w:rsidRPr="00CF1787">
        <w:rPr>
          <w:rFonts w:eastAsia="Verdana" w:cs="Verdana"/>
          <w:szCs w:val="20"/>
          <w:lang w:val="es-CR"/>
        </w:rPr>
        <w:t>,</w:t>
      </w:r>
      <w:r w:rsidRPr="00CF1787">
        <w:rPr>
          <w:rFonts w:eastAsia="Verdana" w:cs="Verdana"/>
          <w:spacing w:val="-3"/>
          <w:szCs w:val="20"/>
          <w:lang w:val="es-CR"/>
        </w:rPr>
        <w:t xml:space="preserve"> </w:t>
      </w:r>
      <w:r w:rsidRPr="00CF1787">
        <w:rPr>
          <w:rFonts w:eastAsia="Verdana" w:cs="Verdana"/>
          <w:szCs w:val="20"/>
          <w:lang w:val="es-CR"/>
        </w:rPr>
        <w:t>al</w:t>
      </w:r>
      <w:r w:rsidRPr="00CF1787">
        <w:rPr>
          <w:rFonts w:eastAsia="Verdana" w:cs="Verdana"/>
          <w:spacing w:val="2"/>
          <w:szCs w:val="20"/>
          <w:lang w:val="es-CR"/>
        </w:rPr>
        <w:t xml:space="preserve"> </w:t>
      </w:r>
      <w:r w:rsidRPr="00CF1787">
        <w:rPr>
          <w:rFonts w:eastAsia="Verdana" w:cs="Verdana"/>
          <w:spacing w:val="1"/>
          <w:szCs w:val="20"/>
          <w:lang w:val="es-CR"/>
        </w:rPr>
        <w:t>t</w:t>
      </w:r>
      <w:r w:rsidRPr="00CF1787">
        <w:rPr>
          <w:rFonts w:eastAsia="Verdana" w:cs="Verdana"/>
          <w:spacing w:val="-1"/>
          <w:szCs w:val="20"/>
          <w:lang w:val="es-CR"/>
        </w:rPr>
        <w:t>r</w:t>
      </w:r>
      <w:r w:rsidRPr="00CF1787">
        <w:rPr>
          <w:rFonts w:eastAsia="Verdana" w:cs="Verdana"/>
          <w:szCs w:val="20"/>
          <w:lang w:val="es-CR"/>
        </w:rPr>
        <w:t>a</w:t>
      </w:r>
      <w:r w:rsidRPr="00CF1787">
        <w:rPr>
          <w:rFonts w:eastAsia="Verdana" w:cs="Verdana"/>
          <w:spacing w:val="1"/>
          <w:szCs w:val="20"/>
          <w:lang w:val="es-CR"/>
        </w:rPr>
        <w:t>t</w:t>
      </w:r>
      <w:r w:rsidRPr="00CF1787">
        <w:rPr>
          <w:rFonts w:eastAsia="Verdana" w:cs="Verdana"/>
          <w:szCs w:val="20"/>
          <w:lang w:val="es-CR"/>
        </w:rPr>
        <w:t>a</w:t>
      </w:r>
      <w:r w:rsidRPr="00CF1787">
        <w:rPr>
          <w:rFonts w:eastAsia="Verdana" w:cs="Verdana"/>
          <w:spacing w:val="-1"/>
          <w:szCs w:val="20"/>
          <w:lang w:val="es-CR"/>
        </w:rPr>
        <w:t>r</w:t>
      </w:r>
      <w:r w:rsidRPr="00CF1787">
        <w:rPr>
          <w:rFonts w:eastAsia="Verdana" w:cs="Verdana"/>
          <w:szCs w:val="20"/>
          <w:lang w:val="es-CR"/>
        </w:rPr>
        <w:t>se</w:t>
      </w:r>
      <w:r w:rsidRPr="00CF1787">
        <w:rPr>
          <w:rFonts w:eastAsia="Verdana" w:cs="Verdana"/>
          <w:spacing w:val="-8"/>
          <w:szCs w:val="20"/>
          <w:lang w:val="es-CR"/>
        </w:rPr>
        <w:t xml:space="preserve"> </w:t>
      </w:r>
      <w:r w:rsidRPr="00CF1787">
        <w:rPr>
          <w:rFonts w:eastAsia="Verdana" w:cs="Verdana"/>
          <w:spacing w:val="1"/>
          <w:szCs w:val="20"/>
          <w:lang w:val="es-CR"/>
        </w:rPr>
        <w:t>d</w:t>
      </w:r>
      <w:r w:rsidRPr="00CF1787">
        <w:rPr>
          <w:rFonts w:eastAsia="Verdana" w:cs="Verdana"/>
          <w:szCs w:val="20"/>
          <w:lang w:val="es-CR"/>
        </w:rPr>
        <w:t>e</w:t>
      </w:r>
      <w:r w:rsidRPr="00CF1787">
        <w:rPr>
          <w:rFonts w:eastAsia="Verdana" w:cs="Verdana"/>
          <w:spacing w:val="-2"/>
          <w:szCs w:val="20"/>
          <w:lang w:val="es-CR"/>
        </w:rPr>
        <w:t xml:space="preserve"> </w:t>
      </w:r>
      <w:r w:rsidRPr="00CF1787">
        <w:rPr>
          <w:rFonts w:eastAsia="Verdana" w:cs="Verdana"/>
          <w:szCs w:val="20"/>
          <w:lang w:val="es-CR"/>
        </w:rPr>
        <w:t>a</w:t>
      </w:r>
      <w:r w:rsidRPr="00CF1787">
        <w:rPr>
          <w:rFonts w:eastAsia="Verdana" w:cs="Verdana"/>
          <w:spacing w:val="3"/>
          <w:szCs w:val="20"/>
          <w:lang w:val="es-CR"/>
        </w:rPr>
        <w:t>l</w:t>
      </w:r>
      <w:r w:rsidRPr="00CF1787">
        <w:rPr>
          <w:rFonts w:eastAsia="Verdana" w:cs="Verdana"/>
          <w:spacing w:val="-1"/>
          <w:szCs w:val="20"/>
          <w:lang w:val="es-CR"/>
        </w:rPr>
        <w:t>e</w:t>
      </w:r>
      <w:r w:rsidRPr="00CF1787">
        <w:rPr>
          <w:rFonts w:eastAsia="Verdana" w:cs="Verdana"/>
          <w:spacing w:val="1"/>
          <w:szCs w:val="20"/>
          <w:lang w:val="es-CR"/>
        </w:rPr>
        <w:t>g</w:t>
      </w:r>
      <w:r w:rsidRPr="00CF1787">
        <w:rPr>
          <w:rFonts w:eastAsia="Verdana" w:cs="Verdana"/>
          <w:szCs w:val="20"/>
          <w:lang w:val="es-CR"/>
        </w:rPr>
        <w:t>a</w:t>
      </w:r>
      <w:r w:rsidRPr="00CF1787">
        <w:rPr>
          <w:rFonts w:eastAsia="Verdana" w:cs="Verdana"/>
          <w:spacing w:val="1"/>
          <w:szCs w:val="20"/>
          <w:lang w:val="es-CR"/>
        </w:rPr>
        <w:t>do</w:t>
      </w:r>
      <w:r w:rsidRPr="00CF1787">
        <w:rPr>
          <w:rFonts w:eastAsia="Verdana" w:cs="Verdana"/>
          <w:szCs w:val="20"/>
          <w:lang w:val="es-CR"/>
        </w:rPr>
        <w:t>s</w:t>
      </w:r>
      <w:r w:rsidRPr="00CF1787">
        <w:rPr>
          <w:rFonts w:eastAsia="Verdana" w:cs="Verdana"/>
          <w:spacing w:val="-8"/>
          <w:szCs w:val="20"/>
          <w:lang w:val="es-CR"/>
        </w:rPr>
        <w:t xml:space="preserve"> </w:t>
      </w:r>
      <w:r w:rsidRPr="00CF1787">
        <w:rPr>
          <w:rFonts w:eastAsia="Verdana" w:cs="Verdana"/>
          <w:spacing w:val="1"/>
          <w:szCs w:val="20"/>
          <w:lang w:val="es-CR"/>
        </w:rPr>
        <w:t>d</w:t>
      </w:r>
      <w:r w:rsidRPr="00CF1787">
        <w:rPr>
          <w:rFonts w:eastAsia="Verdana" w:cs="Verdana"/>
          <w:spacing w:val="-1"/>
          <w:szCs w:val="20"/>
          <w:lang w:val="es-CR"/>
        </w:rPr>
        <w:t>e</w:t>
      </w:r>
      <w:r w:rsidRPr="00CF1787">
        <w:rPr>
          <w:rFonts w:eastAsia="Verdana" w:cs="Verdana"/>
          <w:spacing w:val="2"/>
          <w:szCs w:val="20"/>
          <w:lang w:val="es-CR"/>
        </w:rPr>
        <w:t>s</w:t>
      </w:r>
      <w:r w:rsidRPr="00CF1787">
        <w:rPr>
          <w:rFonts w:eastAsia="Verdana" w:cs="Verdana"/>
          <w:spacing w:val="-1"/>
          <w:szCs w:val="20"/>
          <w:lang w:val="es-CR"/>
        </w:rPr>
        <w:t>e</w:t>
      </w:r>
      <w:r w:rsidRPr="00CF1787">
        <w:rPr>
          <w:rFonts w:eastAsia="Verdana" w:cs="Verdana"/>
          <w:szCs w:val="20"/>
          <w:lang w:val="es-CR"/>
        </w:rPr>
        <w:t>m</w:t>
      </w:r>
      <w:r w:rsidRPr="00CF1787">
        <w:rPr>
          <w:rFonts w:eastAsia="Verdana" w:cs="Verdana"/>
          <w:spacing w:val="3"/>
          <w:szCs w:val="20"/>
          <w:lang w:val="es-CR"/>
        </w:rPr>
        <w:t>b</w:t>
      </w:r>
      <w:r w:rsidRPr="00CF1787">
        <w:rPr>
          <w:rFonts w:eastAsia="Verdana" w:cs="Verdana"/>
          <w:spacing w:val="-1"/>
          <w:szCs w:val="20"/>
          <w:lang w:val="es-CR"/>
        </w:rPr>
        <w:t>o</w:t>
      </w:r>
      <w:r w:rsidRPr="00CF1787">
        <w:rPr>
          <w:rFonts w:eastAsia="Verdana" w:cs="Verdana"/>
          <w:spacing w:val="3"/>
          <w:szCs w:val="20"/>
          <w:lang w:val="es-CR"/>
        </w:rPr>
        <w:t>l</w:t>
      </w:r>
      <w:r w:rsidRPr="00CF1787">
        <w:rPr>
          <w:rFonts w:eastAsia="Verdana" w:cs="Verdana"/>
          <w:szCs w:val="20"/>
          <w:lang w:val="es-CR"/>
        </w:rPr>
        <w:t>s</w:t>
      </w:r>
      <w:r w:rsidRPr="00CF1787">
        <w:rPr>
          <w:rFonts w:eastAsia="Verdana" w:cs="Verdana"/>
          <w:spacing w:val="-2"/>
          <w:szCs w:val="20"/>
          <w:lang w:val="es-CR"/>
        </w:rPr>
        <w:t>o</w:t>
      </w:r>
      <w:r w:rsidRPr="00CF1787">
        <w:rPr>
          <w:rFonts w:eastAsia="Verdana" w:cs="Verdana"/>
          <w:szCs w:val="20"/>
          <w:lang w:val="es-CR"/>
        </w:rPr>
        <w:t>s</w:t>
      </w:r>
      <w:r w:rsidRPr="00CF1787">
        <w:rPr>
          <w:rFonts w:eastAsia="Verdana" w:cs="Verdana"/>
          <w:spacing w:val="-12"/>
          <w:szCs w:val="20"/>
          <w:lang w:val="es-CR"/>
        </w:rPr>
        <w:t xml:space="preserve"> </w:t>
      </w:r>
      <w:r w:rsidRPr="00CF1787">
        <w:rPr>
          <w:rFonts w:eastAsia="Verdana" w:cs="Verdana"/>
          <w:spacing w:val="1"/>
          <w:szCs w:val="20"/>
          <w:lang w:val="es-CR"/>
        </w:rPr>
        <w:t>e</w:t>
      </w:r>
      <w:r w:rsidRPr="00CF1787">
        <w:rPr>
          <w:rFonts w:eastAsia="Verdana" w:cs="Verdana"/>
          <w:spacing w:val="2"/>
          <w:szCs w:val="20"/>
          <w:lang w:val="es-CR"/>
        </w:rPr>
        <w:t>c</w:t>
      </w:r>
      <w:r w:rsidRPr="00CF1787">
        <w:rPr>
          <w:rFonts w:eastAsia="Verdana" w:cs="Verdana"/>
          <w:spacing w:val="-1"/>
          <w:szCs w:val="20"/>
          <w:lang w:val="es-CR"/>
        </w:rPr>
        <w:t>o</w:t>
      </w:r>
      <w:r w:rsidRPr="00CF1787">
        <w:rPr>
          <w:rFonts w:eastAsia="Verdana" w:cs="Verdana"/>
          <w:spacing w:val="1"/>
          <w:szCs w:val="20"/>
          <w:lang w:val="es-CR"/>
        </w:rPr>
        <w:t>n</w:t>
      </w:r>
      <w:r w:rsidRPr="00CF1787">
        <w:rPr>
          <w:rFonts w:eastAsia="Verdana" w:cs="Verdana"/>
          <w:spacing w:val="-1"/>
          <w:szCs w:val="20"/>
          <w:lang w:val="es-CR"/>
        </w:rPr>
        <w:t>ó</w:t>
      </w:r>
      <w:r w:rsidRPr="00CF1787">
        <w:rPr>
          <w:rFonts w:eastAsia="Verdana" w:cs="Verdana"/>
          <w:szCs w:val="20"/>
          <w:lang w:val="es-CR"/>
        </w:rPr>
        <w:t>m</w:t>
      </w:r>
      <w:r w:rsidRPr="00CF1787">
        <w:rPr>
          <w:rFonts w:eastAsia="Verdana" w:cs="Verdana"/>
          <w:spacing w:val="3"/>
          <w:szCs w:val="20"/>
          <w:lang w:val="es-CR"/>
        </w:rPr>
        <w:t>i</w:t>
      </w:r>
      <w:r w:rsidRPr="00CF1787">
        <w:rPr>
          <w:rFonts w:eastAsia="Verdana" w:cs="Verdana"/>
          <w:szCs w:val="20"/>
          <w:lang w:val="es-CR"/>
        </w:rPr>
        <w:t>c</w:t>
      </w:r>
      <w:r w:rsidRPr="00CF1787">
        <w:rPr>
          <w:rFonts w:eastAsia="Verdana" w:cs="Verdana"/>
          <w:spacing w:val="-2"/>
          <w:szCs w:val="20"/>
          <w:lang w:val="es-CR"/>
        </w:rPr>
        <w:t>o</w:t>
      </w:r>
      <w:r w:rsidRPr="00CF1787">
        <w:rPr>
          <w:rFonts w:eastAsia="Verdana" w:cs="Verdana"/>
          <w:spacing w:val="2"/>
          <w:szCs w:val="20"/>
          <w:lang w:val="es-CR"/>
        </w:rPr>
        <w:t>s</w:t>
      </w:r>
      <w:r w:rsidRPr="00CF1787">
        <w:rPr>
          <w:rFonts w:eastAsia="Verdana" w:cs="Verdana"/>
          <w:szCs w:val="20"/>
          <w:lang w:val="es-CR"/>
        </w:rPr>
        <w:t>,</w:t>
      </w:r>
      <w:r w:rsidRPr="00CF1787">
        <w:rPr>
          <w:rFonts w:eastAsia="Verdana" w:cs="Verdana"/>
          <w:spacing w:val="-11"/>
          <w:szCs w:val="20"/>
          <w:lang w:val="es-CR"/>
        </w:rPr>
        <w:t xml:space="preserve"> </w:t>
      </w:r>
      <w:r w:rsidRPr="00CF1787">
        <w:rPr>
          <w:rFonts w:eastAsia="Verdana" w:cs="Verdana"/>
          <w:szCs w:val="20"/>
          <w:lang w:val="es-CR"/>
        </w:rPr>
        <w:t xml:space="preserve">se </w:t>
      </w:r>
      <w:r w:rsidRPr="00CF1787">
        <w:rPr>
          <w:rFonts w:eastAsia="Verdana" w:cs="Verdana"/>
          <w:spacing w:val="-1"/>
          <w:szCs w:val="20"/>
          <w:lang w:val="es-CR"/>
        </w:rPr>
        <w:t>e</w:t>
      </w:r>
      <w:r w:rsidRPr="00CF1787">
        <w:rPr>
          <w:rFonts w:eastAsia="Verdana" w:cs="Verdana"/>
          <w:szCs w:val="20"/>
          <w:lang w:val="es-CR"/>
        </w:rPr>
        <w:t>sta</w:t>
      </w:r>
      <w:r w:rsidRPr="00CF1787">
        <w:rPr>
          <w:rFonts w:eastAsia="Verdana" w:cs="Verdana"/>
          <w:spacing w:val="1"/>
          <w:szCs w:val="20"/>
          <w:lang w:val="es-CR"/>
        </w:rPr>
        <w:t>b</w:t>
      </w:r>
      <w:r w:rsidRPr="00CF1787">
        <w:rPr>
          <w:rFonts w:eastAsia="Verdana" w:cs="Verdana"/>
          <w:spacing w:val="3"/>
          <w:szCs w:val="20"/>
          <w:lang w:val="es-CR"/>
        </w:rPr>
        <w:t>l</w:t>
      </w:r>
      <w:r w:rsidRPr="00CF1787">
        <w:rPr>
          <w:rFonts w:eastAsia="Verdana" w:cs="Verdana"/>
          <w:spacing w:val="-1"/>
          <w:szCs w:val="20"/>
          <w:lang w:val="es-CR"/>
        </w:rPr>
        <w:t>e</w:t>
      </w:r>
      <w:r w:rsidRPr="00CF1787">
        <w:rPr>
          <w:rFonts w:eastAsia="Verdana" w:cs="Verdana"/>
          <w:spacing w:val="1"/>
          <w:szCs w:val="20"/>
          <w:lang w:val="es-CR"/>
        </w:rPr>
        <w:t>z</w:t>
      </w:r>
      <w:r w:rsidRPr="00CF1787">
        <w:rPr>
          <w:rFonts w:eastAsia="Verdana" w:cs="Verdana"/>
          <w:szCs w:val="20"/>
          <w:lang w:val="es-CR"/>
        </w:rPr>
        <w:t>c</w:t>
      </w:r>
      <w:r w:rsidRPr="00CF1787">
        <w:rPr>
          <w:rFonts w:eastAsia="Verdana" w:cs="Verdana"/>
          <w:spacing w:val="2"/>
          <w:szCs w:val="20"/>
          <w:lang w:val="es-CR"/>
        </w:rPr>
        <w:t>a</w:t>
      </w:r>
      <w:r w:rsidRPr="00CF1787">
        <w:rPr>
          <w:rFonts w:eastAsia="Verdana" w:cs="Verdana"/>
          <w:szCs w:val="20"/>
          <w:lang w:val="es-CR"/>
        </w:rPr>
        <w:t>n</w:t>
      </w:r>
      <w:r w:rsidRPr="00CF1787">
        <w:rPr>
          <w:rFonts w:eastAsia="Verdana" w:cs="Verdana"/>
          <w:spacing w:val="-10"/>
          <w:szCs w:val="20"/>
          <w:lang w:val="es-CR"/>
        </w:rPr>
        <w:t xml:space="preserve"> </w:t>
      </w:r>
      <w:r w:rsidRPr="00CF1787">
        <w:rPr>
          <w:rFonts w:eastAsia="Verdana" w:cs="Verdana"/>
          <w:szCs w:val="20"/>
          <w:lang w:val="es-CR"/>
        </w:rPr>
        <w:t>c</w:t>
      </w:r>
      <w:r w:rsidRPr="00CF1787">
        <w:rPr>
          <w:rFonts w:eastAsia="Verdana" w:cs="Verdana"/>
          <w:spacing w:val="-2"/>
          <w:szCs w:val="20"/>
          <w:lang w:val="es-CR"/>
        </w:rPr>
        <w:t>o</w:t>
      </w:r>
      <w:r w:rsidRPr="00CF1787">
        <w:rPr>
          <w:rFonts w:eastAsia="Verdana" w:cs="Verdana"/>
          <w:szCs w:val="20"/>
          <w:lang w:val="es-CR"/>
        </w:rPr>
        <w:t>n c</w:t>
      </w:r>
      <w:r w:rsidRPr="00CF1787">
        <w:rPr>
          <w:rFonts w:eastAsia="Verdana" w:cs="Verdana"/>
          <w:spacing w:val="2"/>
          <w:szCs w:val="20"/>
          <w:lang w:val="es-CR"/>
        </w:rPr>
        <w:t>l</w:t>
      </w:r>
      <w:r w:rsidRPr="00CF1787">
        <w:rPr>
          <w:rFonts w:eastAsia="Verdana" w:cs="Verdana"/>
          <w:szCs w:val="20"/>
          <w:lang w:val="es-CR"/>
        </w:rPr>
        <w:t>a</w:t>
      </w:r>
      <w:r w:rsidRPr="00CF1787">
        <w:rPr>
          <w:rFonts w:eastAsia="Verdana" w:cs="Verdana"/>
          <w:spacing w:val="-1"/>
          <w:szCs w:val="20"/>
          <w:lang w:val="es-CR"/>
        </w:rPr>
        <w:t>r</w:t>
      </w:r>
      <w:r w:rsidRPr="00CF1787">
        <w:rPr>
          <w:rFonts w:eastAsia="Verdana" w:cs="Verdana"/>
          <w:spacing w:val="3"/>
          <w:szCs w:val="20"/>
          <w:lang w:val="es-CR"/>
        </w:rPr>
        <w:t>i</w:t>
      </w:r>
      <w:r w:rsidRPr="00CF1787">
        <w:rPr>
          <w:rFonts w:eastAsia="Verdana" w:cs="Verdana"/>
          <w:spacing w:val="1"/>
          <w:szCs w:val="20"/>
          <w:lang w:val="es-CR"/>
        </w:rPr>
        <w:t>d</w:t>
      </w:r>
      <w:r w:rsidRPr="00CF1787">
        <w:rPr>
          <w:rFonts w:eastAsia="Verdana" w:cs="Verdana"/>
          <w:szCs w:val="20"/>
          <w:lang w:val="es-CR"/>
        </w:rPr>
        <w:t>ad</w:t>
      </w:r>
      <w:r w:rsidRPr="00CF1787">
        <w:rPr>
          <w:rFonts w:eastAsia="Verdana" w:cs="Verdana"/>
          <w:spacing w:val="-10"/>
          <w:szCs w:val="20"/>
          <w:lang w:val="es-CR"/>
        </w:rPr>
        <w:t xml:space="preserve"> </w:t>
      </w:r>
      <w:r w:rsidRPr="00CF1787">
        <w:rPr>
          <w:rFonts w:eastAsia="Verdana" w:cs="Verdana"/>
          <w:spacing w:val="3"/>
          <w:szCs w:val="20"/>
          <w:lang w:val="es-CR"/>
        </w:rPr>
        <w:t>l</w:t>
      </w:r>
      <w:r w:rsidRPr="00CF1787">
        <w:rPr>
          <w:rFonts w:eastAsia="Verdana" w:cs="Verdana"/>
          <w:spacing w:val="-1"/>
          <w:szCs w:val="20"/>
          <w:lang w:val="es-CR"/>
        </w:rPr>
        <w:t>o</w:t>
      </w:r>
      <w:r w:rsidRPr="00CF1787">
        <w:rPr>
          <w:rFonts w:eastAsia="Verdana" w:cs="Verdana"/>
          <w:szCs w:val="20"/>
          <w:lang w:val="es-CR"/>
        </w:rPr>
        <w:t>s</w:t>
      </w:r>
      <w:r w:rsidRPr="00CF1787">
        <w:rPr>
          <w:rFonts w:eastAsia="Verdana" w:cs="Verdana"/>
          <w:spacing w:val="-4"/>
          <w:szCs w:val="20"/>
          <w:lang w:val="es-CR"/>
        </w:rPr>
        <w:t xml:space="preserve"> </w:t>
      </w:r>
      <w:r w:rsidRPr="00CF1787">
        <w:rPr>
          <w:rFonts w:eastAsia="Verdana" w:cs="Verdana"/>
          <w:spacing w:val="-1"/>
          <w:szCs w:val="20"/>
          <w:lang w:val="es-CR"/>
        </w:rPr>
        <w:t>r</w:t>
      </w:r>
      <w:r w:rsidRPr="00CF1787">
        <w:rPr>
          <w:rFonts w:eastAsia="Verdana" w:cs="Verdana"/>
          <w:spacing w:val="1"/>
          <w:szCs w:val="20"/>
          <w:lang w:val="es-CR"/>
        </w:rPr>
        <w:t>ubr</w:t>
      </w:r>
      <w:r w:rsidRPr="00CF1787">
        <w:rPr>
          <w:rFonts w:eastAsia="Verdana" w:cs="Verdana"/>
          <w:spacing w:val="-1"/>
          <w:szCs w:val="20"/>
          <w:lang w:val="es-CR"/>
        </w:rPr>
        <w:t>o</w:t>
      </w:r>
      <w:r w:rsidRPr="00CF1787">
        <w:rPr>
          <w:rFonts w:eastAsia="Verdana" w:cs="Verdana"/>
          <w:szCs w:val="20"/>
          <w:lang w:val="es-CR"/>
        </w:rPr>
        <w:t>s</w:t>
      </w:r>
      <w:r w:rsidRPr="00CF1787">
        <w:rPr>
          <w:rFonts w:eastAsia="Verdana" w:cs="Verdana"/>
          <w:spacing w:val="-5"/>
          <w:szCs w:val="20"/>
          <w:lang w:val="es-CR"/>
        </w:rPr>
        <w:t xml:space="preserve"> </w:t>
      </w:r>
      <w:r w:rsidRPr="00CF1787">
        <w:rPr>
          <w:rFonts w:eastAsia="Verdana" w:cs="Verdana"/>
          <w:szCs w:val="20"/>
          <w:lang w:val="es-CR"/>
        </w:rPr>
        <w:t>y</w:t>
      </w:r>
      <w:r w:rsidRPr="00CF1787">
        <w:rPr>
          <w:rFonts w:eastAsia="Verdana" w:cs="Verdana"/>
          <w:spacing w:val="-2"/>
          <w:szCs w:val="20"/>
          <w:lang w:val="es-CR"/>
        </w:rPr>
        <w:t xml:space="preserve"> </w:t>
      </w:r>
      <w:r w:rsidRPr="00CF1787">
        <w:rPr>
          <w:rFonts w:eastAsia="Verdana" w:cs="Verdana"/>
          <w:spacing w:val="3"/>
          <w:szCs w:val="20"/>
          <w:lang w:val="es-CR"/>
        </w:rPr>
        <w:t>l</w:t>
      </w:r>
      <w:r w:rsidRPr="00CF1787">
        <w:rPr>
          <w:rFonts w:eastAsia="Verdana" w:cs="Verdana"/>
          <w:szCs w:val="20"/>
          <w:lang w:val="es-CR"/>
        </w:rPr>
        <w:t>a</w:t>
      </w:r>
      <w:r w:rsidRPr="00CF1787">
        <w:rPr>
          <w:rFonts w:eastAsia="Verdana" w:cs="Verdana"/>
          <w:spacing w:val="-2"/>
          <w:szCs w:val="20"/>
          <w:lang w:val="es-CR"/>
        </w:rPr>
        <w:t xml:space="preserve"> </w:t>
      </w:r>
      <w:r w:rsidRPr="00CF1787">
        <w:rPr>
          <w:rFonts w:eastAsia="Verdana" w:cs="Verdana"/>
          <w:spacing w:val="1"/>
          <w:szCs w:val="20"/>
          <w:lang w:val="es-CR"/>
        </w:rPr>
        <w:t>ju</w:t>
      </w:r>
      <w:r w:rsidRPr="00CF1787">
        <w:rPr>
          <w:rFonts w:eastAsia="Verdana" w:cs="Verdana"/>
          <w:szCs w:val="20"/>
          <w:lang w:val="es-CR"/>
        </w:rPr>
        <w:t>st</w:t>
      </w:r>
      <w:r w:rsidRPr="00CF1787">
        <w:rPr>
          <w:rFonts w:eastAsia="Verdana" w:cs="Verdana"/>
          <w:spacing w:val="3"/>
          <w:szCs w:val="20"/>
          <w:lang w:val="es-CR"/>
        </w:rPr>
        <w:t>i</w:t>
      </w:r>
      <w:r w:rsidRPr="00CF1787">
        <w:rPr>
          <w:rFonts w:eastAsia="Verdana" w:cs="Verdana"/>
          <w:spacing w:val="-3"/>
          <w:szCs w:val="20"/>
          <w:lang w:val="es-CR"/>
        </w:rPr>
        <w:t>f</w:t>
      </w:r>
      <w:r w:rsidRPr="00CF1787">
        <w:rPr>
          <w:rFonts w:eastAsia="Verdana" w:cs="Verdana"/>
          <w:spacing w:val="3"/>
          <w:szCs w:val="20"/>
          <w:lang w:val="es-CR"/>
        </w:rPr>
        <w:t>i</w:t>
      </w:r>
      <w:r w:rsidRPr="00CF1787">
        <w:rPr>
          <w:rFonts w:eastAsia="Verdana" w:cs="Verdana"/>
          <w:szCs w:val="20"/>
          <w:lang w:val="es-CR"/>
        </w:rPr>
        <w:t>ca</w:t>
      </w:r>
      <w:r w:rsidRPr="00CF1787">
        <w:rPr>
          <w:rFonts w:eastAsia="Verdana" w:cs="Verdana"/>
          <w:spacing w:val="-1"/>
          <w:szCs w:val="20"/>
          <w:lang w:val="es-CR"/>
        </w:rPr>
        <w:t>c</w:t>
      </w:r>
      <w:r w:rsidRPr="00CF1787">
        <w:rPr>
          <w:rFonts w:eastAsia="Verdana" w:cs="Verdana"/>
          <w:spacing w:val="3"/>
          <w:szCs w:val="20"/>
          <w:lang w:val="es-CR"/>
        </w:rPr>
        <w:t>i</w:t>
      </w:r>
      <w:r w:rsidRPr="00CF1787">
        <w:rPr>
          <w:rFonts w:eastAsia="Verdana" w:cs="Verdana"/>
          <w:spacing w:val="-1"/>
          <w:szCs w:val="20"/>
          <w:lang w:val="es-CR"/>
        </w:rPr>
        <w:t>ó</w:t>
      </w:r>
      <w:r w:rsidRPr="00CF1787">
        <w:rPr>
          <w:rFonts w:eastAsia="Verdana" w:cs="Verdana"/>
          <w:szCs w:val="20"/>
          <w:lang w:val="es-CR"/>
        </w:rPr>
        <w:t>n</w:t>
      </w:r>
      <w:r w:rsidRPr="00CF1787">
        <w:rPr>
          <w:rFonts w:eastAsia="Verdana" w:cs="Verdana"/>
          <w:spacing w:val="-11"/>
          <w:szCs w:val="20"/>
          <w:lang w:val="es-CR"/>
        </w:rPr>
        <w:t xml:space="preserve"> </w:t>
      </w:r>
      <w:r w:rsidRPr="00CF1787">
        <w:rPr>
          <w:rFonts w:eastAsia="Verdana" w:cs="Verdana"/>
          <w:szCs w:val="20"/>
          <w:lang w:val="es-CR"/>
        </w:rPr>
        <w:t>de</w:t>
      </w:r>
      <w:r w:rsidRPr="00CF1787">
        <w:rPr>
          <w:rFonts w:eastAsia="Verdana" w:cs="Verdana"/>
          <w:spacing w:val="-3"/>
          <w:szCs w:val="20"/>
          <w:lang w:val="es-CR"/>
        </w:rPr>
        <w:t xml:space="preserve"> </w:t>
      </w:r>
      <w:r w:rsidRPr="00CF1787">
        <w:rPr>
          <w:rFonts w:eastAsia="Verdana" w:cs="Verdana"/>
          <w:spacing w:val="2"/>
          <w:szCs w:val="20"/>
          <w:lang w:val="es-CR"/>
        </w:rPr>
        <w:t>l</w:t>
      </w:r>
      <w:r w:rsidRPr="00CF1787">
        <w:rPr>
          <w:rFonts w:eastAsia="Verdana" w:cs="Verdana"/>
          <w:spacing w:val="-1"/>
          <w:szCs w:val="20"/>
          <w:lang w:val="es-CR"/>
        </w:rPr>
        <w:t>o</w:t>
      </w:r>
      <w:r w:rsidRPr="00CF1787">
        <w:rPr>
          <w:rFonts w:eastAsia="Verdana" w:cs="Verdana"/>
          <w:szCs w:val="20"/>
          <w:lang w:val="es-CR"/>
        </w:rPr>
        <w:t>s</w:t>
      </w:r>
      <w:r w:rsidRPr="00CF1787">
        <w:rPr>
          <w:rFonts w:eastAsia="Verdana" w:cs="Verdana"/>
          <w:spacing w:val="-4"/>
          <w:szCs w:val="20"/>
          <w:lang w:val="es-CR"/>
        </w:rPr>
        <w:t xml:space="preserve"> </w:t>
      </w:r>
      <w:r w:rsidRPr="00CF1787">
        <w:rPr>
          <w:rFonts w:eastAsia="Verdana" w:cs="Verdana"/>
          <w:szCs w:val="20"/>
          <w:lang w:val="es-CR"/>
        </w:rPr>
        <w:t>m</w:t>
      </w:r>
      <w:r w:rsidRPr="00CF1787">
        <w:rPr>
          <w:rFonts w:eastAsia="Verdana" w:cs="Verdana"/>
          <w:spacing w:val="3"/>
          <w:szCs w:val="20"/>
          <w:lang w:val="es-CR"/>
        </w:rPr>
        <w:t>i</w:t>
      </w:r>
      <w:r w:rsidRPr="00CF1787">
        <w:rPr>
          <w:rFonts w:eastAsia="Verdana" w:cs="Verdana"/>
          <w:szCs w:val="20"/>
          <w:lang w:val="es-CR"/>
        </w:rPr>
        <w:t>sm</w:t>
      </w:r>
      <w:r w:rsidRPr="00CF1787">
        <w:rPr>
          <w:rFonts w:eastAsia="Verdana" w:cs="Verdana"/>
          <w:spacing w:val="-1"/>
          <w:szCs w:val="20"/>
          <w:lang w:val="es-CR"/>
        </w:rPr>
        <w:t>o</w:t>
      </w:r>
      <w:r w:rsidRPr="00CF1787">
        <w:rPr>
          <w:rFonts w:eastAsia="Verdana" w:cs="Verdana"/>
          <w:spacing w:val="7"/>
          <w:szCs w:val="20"/>
          <w:lang w:val="es-CR"/>
        </w:rPr>
        <w:t>s</w:t>
      </w:r>
      <w:r w:rsidRPr="00CF1787">
        <w:rPr>
          <w:rFonts w:eastAsia="Verdana" w:cs="Verdana"/>
          <w:spacing w:val="7"/>
          <w:szCs w:val="20"/>
          <w:vertAlign w:val="superscript"/>
          <w:lang w:val="es-CR"/>
        </w:rPr>
        <w:footnoteReference w:id="202"/>
      </w:r>
      <w:r w:rsidRPr="00CF1787">
        <w:rPr>
          <w:rFonts w:eastAsia="Verdana" w:cs="Verdana"/>
          <w:szCs w:val="20"/>
          <w:lang w:val="es-CR"/>
        </w:rPr>
        <w:t>.</w:t>
      </w:r>
    </w:p>
    <w:p w14:paraId="082F9E7F" w14:textId="77777777" w:rsidR="00F15635" w:rsidRPr="00CF1787" w:rsidRDefault="00F15635" w:rsidP="00F15635">
      <w:pPr>
        <w:pStyle w:val="ListParagraph"/>
        <w:numPr>
          <w:ilvl w:val="0"/>
          <w:numId w:val="0"/>
        </w:numPr>
        <w:ind w:left="720"/>
        <w:rPr>
          <w:rFonts w:cs="Arial"/>
          <w:lang w:val="es-CR"/>
        </w:rPr>
      </w:pPr>
    </w:p>
    <w:p w14:paraId="25E01B52" w14:textId="68158D86" w:rsidR="00BC2C80" w:rsidRPr="00CF1787" w:rsidRDefault="00BC2C80" w:rsidP="00D366D3">
      <w:pPr>
        <w:numPr>
          <w:ilvl w:val="0"/>
          <w:numId w:val="5"/>
        </w:numPr>
        <w:tabs>
          <w:tab w:val="left" w:pos="567"/>
        </w:tabs>
        <w:ind w:left="0" w:firstLine="0"/>
        <w:rPr>
          <w:rFonts w:cs="ArialUnicodeMS"/>
          <w:szCs w:val="20"/>
          <w:lang w:val="es-CR" w:bidi="en-US"/>
        </w:rPr>
      </w:pPr>
      <w:bookmarkStart w:id="578" w:name="_Ref470007477"/>
      <w:r w:rsidRPr="00CF1787">
        <w:rPr>
          <w:rFonts w:cs="Arial"/>
          <w:szCs w:val="20"/>
          <w:lang w:val="es-CR"/>
        </w:rPr>
        <w:t xml:space="preserve">En el presente caso, </w:t>
      </w:r>
      <w:r w:rsidR="00A42ED1" w:rsidRPr="00CF1787">
        <w:rPr>
          <w:rFonts w:cs="Arial"/>
          <w:szCs w:val="20"/>
          <w:lang w:val="es-CR"/>
        </w:rPr>
        <w:t xml:space="preserve">los representantes </w:t>
      </w:r>
      <w:r w:rsidR="005B77B6" w:rsidRPr="00CF1787">
        <w:rPr>
          <w:rFonts w:cs="Arial"/>
          <w:szCs w:val="20"/>
          <w:lang w:val="es-CR"/>
        </w:rPr>
        <w:t xml:space="preserve">solo </w:t>
      </w:r>
      <w:r w:rsidR="00A42ED1" w:rsidRPr="00CF1787">
        <w:rPr>
          <w:rFonts w:cs="Arial"/>
          <w:szCs w:val="20"/>
          <w:lang w:val="es-CR"/>
        </w:rPr>
        <w:t xml:space="preserve">aportaron prueba de los gastos incurridos con ocasión de la audiencia pública celebrada en la </w:t>
      </w:r>
      <w:r w:rsidR="005B77B6" w:rsidRPr="00CF1787">
        <w:rPr>
          <w:rFonts w:cs="Arial"/>
          <w:szCs w:val="20"/>
          <w:lang w:val="es-CR"/>
        </w:rPr>
        <w:t xml:space="preserve">Ciudad </w:t>
      </w:r>
      <w:r w:rsidR="00A42ED1" w:rsidRPr="00CF1787">
        <w:rPr>
          <w:rFonts w:cs="Arial"/>
          <w:szCs w:val="20"/>
          <w:lang w:val="es-CR"/>
        </w:rPr>
        <w:t>de México, México en este caso</w:t>
      </w:r>
      <w:r w:rsidR="00D366D3" w:rsidRPr="00CF1787">
        <w:rPr>
          <w:rFonts w:cs="Arial"/>
          <w:szCs w:val="20"/>
          <w:lang w:val="es-CR"/>
        </w:rPr>
        <w:t>.</w:t>
      </w:r>
      <w:r w:rsidR="00D366D3" w:rsidRPr="00CF1787">
        <w:rPr>
          <w:rFonts w:cs="Arial"/>
          <w:lang w:val="es-CR"/>
        </w:rPr>
        <w:t xml:space="preserve"> No obstante, teniendo en </w:t>
      </w:r>
      <w:r w:rsidR="00C2719F" w:rsidRPr="00CF1787">
        <w:rPr>
          <w:rFonts w:cs="Arial"/>
          <w:lang w:val="es-CR"/>
        </w:rPr>
        <w:t>cuenta los gastos razonables</w:t>
      </w:r>
      <w:r w:rsidR="00D366D3" w:rsidRPr="00CF1787">
        <w:rPr>
          <w:rFonts w:cs="Arial"/>
          <w:lang w:val="es-CR"/>
        </w:rPr>
        <w:t xml:space="preserve"> en los que habrían tenido que incurrir los representantes para la tramitación de este caso ante el sistema interamericano, aunado a los gastos comprobados, </w:t>
      </w:r>
      <w:r w:rsidR="00D366D3" w:rsidRPr="00CF1787">
        <w:rPr>
          <w:lang w:val="es-CR"/>
        </w:rPr>
        <w:t xml:space="preserve">el Tribunal fija, en equidad, que el Estado debe </w:t>
      </w:r>
      <w:r w:rsidR="00C2719F" w:rsidRPr="00CF1787">
        <w:rPr>
          <w:lang w:val="es-CR"/>
        </w:rPr>
        <w:t xml:space="preserve">reintegrar </w:t>
      </w:r>
      <w:r w:rsidR="00D366D3" w:rsidRPr="00CF1787">
        <w:rPr>
          <w:lang w:val="es-CR"/>
        </w:rPr>
        <w:t xml:space="preserve">la cantidad </w:t>
      </w:r>
      <w:r w:rsidR="00D366D3" w:rsidRPr="00CF1787">
        <w:rPr>
          <w:rFonts w:cs="Verdana"/>
          <w:lang w:val="es-CR" w:bidi="en-US"/>
        </w:rPr>
        <w:t>total de US$ 15.000,00 (quince mil dólares de los Estados Unidos de América) por concepto de costas y gastos en el litigio del presente caso</w:t>
      </w:r>
      <w:r w:rsidR="00D366D3" w:rsidRPr="00CF1787">
        <w:rPr>
          <w:spacing w:val="-2"/>
          <w:lang w:val="es-CR"/>
        </w:rPr>
        <w:t xml:space="preserve">. Ese monto  deberá ser pagado </w:t>
      </w:r>
      <w:proofErr w:type="spellStart"/>
      <w:r w:rsidR="00D366D3" w:rsidRPr="00CF1787">
        <w:rPr>
          <w:spacing w:val="-2"/>
          <w:lang w:val="es-CR"/>
        </w:rPr>
        <w:t>directamenta</w:t>
      </w:r>
      <w:proofErr w:type="spellEnd"/>
      <w:r w:rsidR="00D366D3" w:rsidRPr="00CF1787">
        <w:rPr>
          <w:spacing w:val="-2"/>
          <w:lang w:val="es-CR"/>
        </w:rPr>
        <w:t xml:space="preserve"> a los representantes de la presunta víctima en el presente caso. </w:t>
      </w:r>
      <w:r w:rsidR="00D366D3" w:rsidRPr="00CF1787">
        <w:rPr>
          <w:lang w:val="es-CR"/>
        </w:rPr>
        <w:t>En la etapa de supervisión de cumplimiento de la presente Sentencia, la Corte podrá disponer el reembolso por parte del Estado a las víctimas o sus representantes de gastos posteriores, razonables y debidamente comprobados</w:t>
      </w:r>
      <w:r w:rsidR="00D366D3" w:rsidRPr="00CF1787">
        <w:rPr>
          <w:rStyle w:val="FootnoteReference"/>
          <w:sz w:val="20"/>
          <w:szCs w:val="20"/>
          <w:lang w:val="es-CR"/>
        </w:rPr>
        <w:footnoteReference w:id="203"/>
      </w:r>
      <w:r w:rsidR="00D366D3" w:rsidRPr="00CF1787">
        <w:rPr>
          <w:lang w:val="es-CR"/>
        </w:rPr>
        <w:t>.</w:t>
      </w:r>
      <w:bookmarkEnd w:id="578"/>
      <w:r w:rsidR="004F5B35" w:rsidRPr="00CF1787">
        <w:rPr>
          <w:rFonts w:cs="Arial"/>
          <w:szCs w:val="20"/>
          <w:lang w:val="es-CR"/>
        </w:rPr>
        <w:t xml:space="preserve">                                                                                                                                                                                  </w:t>
      </w:r>
    </w:p>
    <w:p w14:paraId="2184E093" w14:textId="77777777" w:rsidR="00BC2C80" w:rsidRPr="00CF1787" w:rsidRDefault="00BC2C80" w:rsidP="00BC2C80">
      <w:pPr>
        <w:tabs>
          <w:tab w:val="left" w:pos="567"/>
        </w:tabs>
        <w:rPr>
          <w:spacing w:val="-2"/>
          <w:szCs w:val="20"/>
          <w:lang w:val="es-CR"/>
        </w:rPr>
      </w:pPr>
    </w:p>
    <w:p w14:paraId="01A81B55" w14:textId="77777777" w:rsidR="00BC2C80" w:rsidRPr="00CF1787" w:rsidRDefault="00BC2C80" w:rsidP="00BC2C80">
      <w:pPr>
        <w:pStyle w:val="Heading2"/>
        <w:keepNext/>
        <w:keepLines/>
        <w:tabs>
          <w:tab w:val="clear" w:pos="1134"/>
          <w:tab w:val="left" w:pos="567"/>
        </w:tabs>
        <w:ind w:left="1080"/>
        <w:rPr>
          <w:lang w:val="es-CR"/>
        </w:rPr>
      </w:pPr>
      <w:bookmarkStart w:id="579" w:name="_Toc426108490"/>
      <w:bookmarkStart w:id="580" w:name="_Toc430339043"/>
      <w:bookmarkStart w:id="581" w:name="_Toc465177411"/>
      <w:bookmarkStart w:id="582" w:name="_Toc470098086"/>
      <w:r w:rsidRPr="00CF1787">
        <w:rPr>
          <w:lang w:val="es-CR"/>
        </w:rPr>
        <w:t>Modalidad de cumplimiento de los pagos ordenados</w:t>
      </w:r>
      <w:bookmarkEnd w:id="579"/>
      <w:bookmarkEnd w:id="580"/>
      <w:bookmarkEnd w:id="581"/>
      <w:bookmarkEnd w:id="582"/>
    </w:p>
    <w:p w14:paraId="292D3AA3" w14:textId="77777777" w:rsidR="00BC2C80" w:rsidRPr="00CF1787" w:rsidRDefault="00BC2C80" w:rsidP="004C6863">
      <w:pPr>
        <w:rPr>
          <w:lang w:val="es-CR"/>
        </w:rPr>
      </w:pPr>
    </w:p>
    <w:p w14:paraId="472F3FE1" w14:textId="77777777" w:rsidR="00F15635" w:rsidRPr="00CF1787" w:rsidRDefault="00BC2C80" w:rsidP="00F15635">
      <w:pPr>
        <w:numPr>
          <w:ilvl w:val="0"/>
          <w:numId w:val="5"/>
        </w:numPr>
        <w:tabs>
          <w:tab w:val="left" w:pos="567"/>
        </w:tabs>
        <w:ind w:left="0" w:firstLine="0"/>
        <w:rPr>
          <w:spacing w:val="-2"/>
          <w:szCs w:val="20"/>
          <w:lang w:val="es-CR"/>
        </w:rPr>
      </w:pPr>
      <w:bookmarkStart w:id="583" w:name="_Ref462933966"/>
      <w:r w:rsidRPr="00CF1787">
        <w:rPr>
          <w:spacing w:val="-2"/>
          <w:szCs w:val="20"/>
          <w:lang w:val="es-CR"/>
        </w:rPr>
        <w:t xml:space="preserve">El Estado deberá efectuar el pago de las indemnizaciones por concepto de daño inmaterial y el reintegro de costas y gastos establecidos en la presente Sentencia directamente a las </w:t>
      </w:r>
      <w:r w:rsidRPr="00CF1787">
        <w:rPr>
          <w:spacing w:val="-2"/>
          <w:szCs w:val="20"/>
          <w:lang w:val="es-CR"/>
        </w:rPr>
        <w:lastRenderedPageBreak/>
        <w:t>personas indicadas en la misma, en un plazo de un año contado a partir de la notificación de la presente Sentencia, sin perjuicio de que pueda adelantar el pago completo en un plazo menor.</w:t>
      </w:r>
      <w:bookmarkEnd w:id="583"/>
    </w:p>
    <w:p w14:paraId="7AB276B6" w14:textId="77777777" w:rsidR="00F15635" w:rsidRPr="00CF1787" w:rsidRDefault="00F15635" w:rsidP="00F15635">
      <w:pPr>
        <w:tabs>
          <w:tab w:val="left" w:pos="567"/>
        </w:tabs>
        <w:rPr>
          <w:spacing w:val="-2"/>
          <w:szCs w:val="20"/>
          <w:lang w:val="es-CR"/>
        </w:rPr>
      </w:pPr>
    </w:p>
    <w:p w14:paraId="2B810FB7" w14:textId="55F8834C" w:rsidR="00F15635" w:rsidRPr="00CF1787" w:rsidRDefault="00BC2C80" w:rsidP="00F15635">
      <w:pPr>
        <w:numPr>
          <w:ilvl w:val="0"/>
          <w:numId w:val="5"/>
        </w:numPr>
        <w:tabs>
          <w:tab w:val="left" w:pos="567"/>
        </w:tabs>
        <w:ind w:left="0" w:firstLine="0"/>
        <w:rPr>
          <w:spacing w:val="-2"/>
          <w:szCs w:val="20"/>
          <w:lang w:val="es-CR"/>
        </w:rPr>
      </w:pPr>
      <w:r w:rsidRPr="00CF1787">
        <w:rPr>
          <w:spacing w:val="-2"/>
          <w:szCs w:val="20"/>
          <w:lang w:val="es-CR"/>
        </w:rPr>
        <w:t xml:space="preserve">En caso de que la beneficiaria haya fallecido o fallezca antes de que le sea entregada la cantidad respectiva, </w:t>
      </w:r>
      <w:r w:rsidR="00326F0D" w:rsidRPr="00CF1787">
        <w:rPr>
          <w:spacing w:val="-2"/>
          <w:szCs w:val="20"/>
          <w:lang w:val="es-CR"/>
        </w:rPr>
        <w:t xml:space="preserve">esta </w:t>
      </w:r>
      <w:r w:rsidRPr="00CF1787">
        <w:rPr>
          <w:spacing w:val="-2"/>
          <w:szCs w:val="20"/>
          <w:lang w:val="es-CR"/>
        </w:rPr>
        <w:t xml:space="preserve">se entregará directamente a sus derechohabientes, conforme al derecho interno aplicable. </w:t>
      </w:r>
    </w:p>
    <w:p w14:paraId="1144B307" w14:textId="77777777" w:rsidR="00F15635" w:rsidRPr="00CF1787" w:rsidRDefault="00F15635" w:rsidP="00F15635">
      <w:pPr>
        <w:pStyle w:val="ListParagraph"/>
        <w:numPr>
          <w:ilvl w:val="0"/>
          <w:numId w:val="0"/>
        </w:numPr>
        <w:ind w:left="720"/>
        <w:rPr>
          <w:spacing w:val="-2"/>
          <w:lang w:val="es-CR"/>
        </w:rPr>
      </w:pPr>
    </w:p>
    <w:p w14:paraId="1394DB54" w14:textId="77777777" w:rsidR="00F15635" w:rsidRPr="00CF1787" w:rsidRDefault="00BC2C80" w:rsidP="00F15635">
      <w:pPr>
        <w:numPr>
          <w:ilvl w:val="0"/>
          <w:numId w:val="5"/>
        </w:numPr>
        <w:tabs>
          <w:tab w:val="left" w:pos="567"/>
        </w:tabs>
        <w:ind w:left="0" w:firstLine="0"/>
        <w:rPr>
          <w:spacing w:val="-2"/>
          <w:szCs w:val="20"/>
          <w:lang w:val="es-CR"/>
        </w:rPr>
      </w:pPr>
      <w:r w:rsidRPr="00CF1787">
        <w:rPr>
          <w:spacing w:val="-2"/>
          <w:szCs w:val="20"/>
          <w:lang w:val="es-CR"/>
        </w:rPr>
        <w:t>El Estado deberá cumplir con las obligaciones monetarias mediante el pago en dólares de los Estados Unidos de América.</w:t>
      </w:r>
    </w:p>
    <w:p w14:paraId="50AED971" w14:textId="77777777" w:rsidR="00F15635" w:rsidRPr="00CF1787" w:rsidRDefault="00F15635" w:rsidP="00F15635">
      <w:pPr>
        <w:pStyle w:val="ListParagraph"/>
        <w:numPr>
          <w:ilvl w:val="0"/>
          <w:numId w:val="0"/>
        </w:numPr>
        <w:ind w:left="720"/>
        <w:rPr>
          <w:spacing w:val="-2"/>
          <w:lang w:val="es-CR"/>
        </w:rPr>
      </w:pPr>
    </w:p>
    <w:p w14:paraId="5ED8992B" w14:textId="77777777" w:rsidR="00F15635" w:rsidRPr="00CF1787" w:rsidRDefault="00BC2C80" w:rsidP="00F15635">
      <w:pPr>
        <w:numPr>
          <w:ilvl w:val="0"/>
          <w:numId w:val="5"/>
        </w:numPr>
        <w:tabs>
          <w:tab w:val="left" w:pos="567"/>
        </w:tabs>
        <w:ind w:left="0" w:firstLine="0"/>
        <w:rPr>
          <w:spacing w:val="-2"/>
          <w:szCs w:val="20"/>
          <w:lang w:val="es-CR"/>
        </w:rPr>
      </w:pPr>
      <w:r w:rsidRPr="00CF1787">
        <w:rPr>
          <w:spacing w:val="-2"/>
          <w:szCs w:val="20"/>
          <w:lang w:val="es-CR"/>
        </w:rPr>
        <w:t>Si por causas atribuibles a la beneficiaria de la indemnización o a sus derechohabientes no fuese posible el pago de las cantidades determinadas dentro del plazo indicado, el Estado consignará dichos montos a su favor en una cuenta o certificado de depósito en una institución financiera ecuatoriana solvente, en dólares de los Estados Unidos de América, y en las condiciones financieras más favorables que permitan la legislación y la práctica bancaria del Estado. Si no se reclama la indemnización correspondiente una vez transcurridos diez años, las cantidades serán devueltas al Estado con los intereses devengados.</w:t>
      </w:r>
    </w:p>
    <w:p w14:paraId="3678EDA6" w14:textId="77777777" w:rsidR="00F15635" w:rsidRPr="00CF1787" w:rsidRDefault="00F15635" w:rsidP="00F15635">
      <w:pPr>
        <w:pStyle w:val="ListParagraph"/>
        <w:numPr>
          <w:ilvl w:val="0"/>
          <w:numId w:val="0"/>
        </w:numPr>
        <w:ind w:left="720"/>
        <w:rPr>
          <w:spacing w:val="-2"/>
          <w:lang w:val="es-CR"/>
        </w:rPr>
      </w:pPr>
    </w:p>
    <w:p w14:paraId="5841C9C7" w14:textId="77777777" w:rsidR="00F15635" w:rsidRPr="00CF1787" w:rsidRDefault="00BC2C80" w:rsidP="00F15635">
      <w:pPr>
        <w:numPr>
          <w:ilvl w:val="0"/>
          <w:numId w:val="5"/>
        </w:numPr>
        <w:tabs>
          <w:tab w:val="left" w:pos="567"/>
        </w:tabs>
        <w:ind w:left="0" w:firstLine="0"/>
        <w:rPr>
          <w:spacing w:val="-2"/>
          <w:szCs w:val="20"/>
          <w:lang w:val="es-CR"/>
        </w:rPr>
      </w:pPr>
      <w:r w:rsidRPr="00CF1787">
        <w:rPr>
          <w:spacing w:val="-2"/>
          <w:szCs w:val="20"/>
          <w:lang w:val="es-CR"/>
        </w:rPr>
        <w:t xml:space="preserve">Las cantidades asignadas en la presente Sentencia como indemnización por daño </w:t>
      </w:r>
      <w:r w:rsidR="00C92646" w:rsidRPr="00CF1787">
        <w:rPr>
          <w:spacing w:val="-2"/>
          <w:szCs w:val="20"/>
          <w:lang w:val="es-CR"/>
        </w:rPr>
        <w:t>inmaterial</w:t>
      </w:r>
      <w:r w:rsidRPr="00CF1787">
        <w:rPr>
          <w:spacing w:val="-2"/>
          <w:szCs w:val="20"/>
          <w:lang w:val="es-CR"/>
        </w:rPr>
        <w:t xml:space="preserve"> y como reintegro de costas y gastos deberán ser entregadas a las personas indicadas en forma íntegra, conforme a lo establecido en esta Sentencia, sin reducciones derivadas de eventuales cargas fiscales.</w:t>
      </w:r>
    </w:p>
    <w:p w14:paraId="6EE6B447" w14:textId="77777777" w:rsidR="00F15635" w:rsidRPr="00CF1787" w:rsidRDefault="00F15635" w:rsidP="00F15635">
      <w:pPr>
        <w:pStyle w:val="ListParagraph"/>
        <w:numPr>
          <w:ilvl w:val="0"/>
          <w:numId w:val="0"/>
        </w:numPr>
        <w:ind w:left="720"/>
        <w:rPr>
          <w:spacing w:val="-2"/>
          <w:lang w:val="es-CR"/>
        </w:rPr>
      </w:pPr>
    </w:p>
    <w:p w14:paraId="63C2DAC7" w14:textId="77777777" w:rsidR="00BF6954" w:rsidRPr="00CF1787" w:rsidRDefault="00BC2C80" w:rsidP="00E87E77">
      <w:pPr>
        <w:numPr>
          <w:ilvl w:val="0"/>
          <w:numId w:val="5"/>
        </w:numPr>
        <w:tabs>
          <w:tab w:val="left" w:pos="567"/>
        </w:tabs>
        <w:ind w:left="0" w:firstLine="0"/>
        <w:rPr>
          <w:spacing w:val="-2"/>
          <w:szCs w:val="20"/>
          <w:lang w:val="es-CR"/>
        </w:rPr>
      </w:pPr>
      <w:bookmarkStart w:id="584" w:name="_Ref462933971"/>
      <w:r w:rsidRPr="00CF1787">
        <w:rPr>
          <w:spacing w:val="-2"/>
          <w:szCs w:val="20"/>
          <w:lang w:val="es-CR"/>
        </w:rPr>
        <w:t>En caso de que el Estado incurriera en mora, deberá pagar un interés sobre la cantidad adeudada correspondiente al interés bancario moratorio en la República del Ecuador.</w:t>
      </w:r>
      <w:bookmarkEnd w:id="584"/>
    </w:p>
    <w:p w14:paraId="25AA5D46" w14:textId="77777777" w:rsidR="00BF6954" w:rsidRPr="00CF1787" w:rsidRDefault="00BF6954" w:rsidP="00BF6954">
      <w:pPr>
        <w:tabs>
          <w:tab w:val="left" w:pos="567"/>
        </w:tabs>
        <w:rPr>
          <w:spacing w:val="-2"/>
          <w:szCs w:val="20"/>
          <w:lang w:val="es-CR"/>
        </w:rPr>
      </w:pPr>
    </w:p>
    <w:p w14:paraId="57626FED" w14:textId="77777777" w:rsidR="00D334A9" w:rsidRPr="00CF1787" w:rsidRDefault="00D334A9" w:rsidP="00BF6954">
      <w:pPr>
        <w:tabs>
          <w:tab w:val="left" w:pos="567"/>
        </w:tabs>
        <w:rPr>
          <w:spacing w:val="-2"/>
          <w:szCs w:val="20"/>
          <w:lang w:val="es-CR"/>
        </w:rPr>
      </w:pPr>
    </w:p>
    <w:p w14:paraId="1F4252F6" w14:textId="77777777" w:rsidR="00BF6954" w:rsidRPr="00CF1787" w:rsidRDefault="00BF6954" w:rsidP="00BF6954">
      <w:pPr>
        <w:pStyle w:val="Heading1"/>
        <w:rPr>
          <w:lang w:val="es-CR"/>
        </w:rPr>
      </w:pPr>
      <w:bookmarkStart w:id="585" w:name="_Toc457840645"/>
      <w:bookmarkStart w:id="586" w:name="_Toc460398752"/>
      <w:bookmarkStart w:id="587" w:name="_Toc465177412"/>
      <w:bookmarkStart w:id="588" w:name="_Toc470098087"/>
      <w:r w:rsidRPr="00CF1787">
        <w:rPr>
          <w:lang w:val="es-CR"/>
        </w:rPr>
        <w:t>IX</w:t>
      </w:r>
      <w:r w:rsidRPr="00CF1787">
        <w:rPr>
          <w:lang w:val="es-CR"/>
        </w:rPr>
        <w:br/>
        <w:t>PUNTOS RESOLUTIVOS</w:t>
      </w:r>
      <w:bookmarkEnd w:id="585"/>
      <w:bookmarkEnd w:id="586"/>
      <w:bookmarkEnd w:id="587"/>
      <w:bookmarkEnd w:id="588"/>
    </w:p>
    <w:p w14:paraId="22868FAB" w14:textId="77777777" w:rsidR="00BF6954" w:rsidRPr="00CF1787" w:rsidRDefault="00BF6954" w:rsidP="00BF6954">
      <w:pPr>
        <w:tabs>
          <w:tab w:val="left" w:pos="567"/>
        </w:tabs>
        <w:rPr>
          <w:spacing w:val="-2"/>
          <w:szCs w:val="20"/>
          <w:lang w:val="es-CR"/>
        </w:rPr>
      </w:pPr>
    </w:p>
    <w:p w14:paraId="5AE5E38D" w14:textId="454FE8FF" w:rsidR="00E87E77" w:rsidRPr="00CF1787" w:rsidRDefault="00E87E77" w:rsidP="00E87E77">
      <w:pPr>
        <w:numPr>
          <w:ilvl w:val="0"/>
          <w:numId w:val="5"/>
        </w:numPr>
        <w:tabs>
          <w:tab w:val="left" w:pos="567"/>
        </w:tabs>
        <w:ind w:left="0" w:firstLine="0"/>
        <w:rPr>
          <w:spacing w:val="-2"/>
          <w:szCs w:val="20"/>
          <w:lang w:val="es-CR"/>
        </w:rPr>
      </w:pPr>
      <w:r w:rsidRPr="00CF1787">
        <w:rPr>
          <w:spacing w:val="-2"/>
          <w:szCs w:val="20"/>
          <w:lang w:val="es-CR"/>
        </w:rPr>
        <w:t xml:space="preserve">Por tanto, </w:t>
      </w:r>
    </w:p>
    <w:p w14:paraId="40577B0E" w14:textId="77777777" w:rsidR="00E87E77" w:rsidRPr="00CF1787" w:rsidRDefault="00E87E77" w:rsidP="00E87E77">
      <w:pPr>
        <w:pStyle w:val="Default"/>
        <w:jc w:val="both"/>
        <w:rPr>
          <w:rFonts w:ascii="Verdana" w:hAnsi="Verdana"/>
          <w:spacing w:val="-2"/>
          <w:sz w:val="16"/>
          <w:szCs w:val="20"/>
          <w:lang w:val="es-CR"/>
        </w:rPr>
      </w:pPr>
    </w:p>
    <w:p w14:paraId="771891F6" w14:textId="77777777" w:rsidR="00E87E77" w:rsidRPr="00CF1787" w:rsidRDefault="00E87E77" w:rsidP="00E87E77">
      <w:pPr>
        <w:pStyle w:val="Default"/>
        <w:jc w:val="both"/>
        <w:rPr>
          <w:rFonts w:ascii="Verdana" w:hAnsi="Verdana"/>
          <w:spacing w:val="-2"/>
          <w:sz w:val="20"/>
          <w:szCs w:val="20"/>
          <w:lang w:val="es-CR"/>
        </w:rPr>
      </w:pPr>
      <w:r w:rsidRPr="00CF1787">
        <w:rPr>
          <w:rFonts w:ascii="Verdana" w:hAnsi="Verdana"/>
          <w:b/>
          <w:bCs/>
          <w:spacing w:val="-2"/>
          <w:sz w:val="20"/>
          <w:szCs w:val="20"/>
          <w:lang w:val="es-CR"/>
        </w:rPr>
        <w:t xml:space="preserve">LA CORTE </w:t>
      </w:r>
    </w:p>
    <w:p w14:paraId="04A48E52" w14:textId="77777777" w:rsidR="00E87E77" w:rsidRPr="00CF1787" w:rsidRDefault="00E87E77" w:rsidP="00E87E77">
      <w:pPr>
        <w:pStyle w:val="Default"/>
        <w:jc w:val="both"/>
        <w:rPr>
          <w:rFonts w:ascii="Verdana" w:hAnsi="Verdana"/>
          <w:b/>
          <w:bCs/>
          <w:spacing w:val="-2"/>
          <w:sz w:val="16"/>
          <w:szCs w:val="20"/>
          <w:lang w:val="es-CR"/>
        </w:rPr>
      </w:pPr>
    </w:p>
    <w:p w14:paraId="37F48E52" w14:textId="77777777" w:rsidR="00E87E77" w:rsidRPr="00CF1787" w:rsidRDefault="00E87E77" w:rsidP="00E87E77">
      <w:pPr>
        <w:pStyle w:val="Default"/>
        <w:jc w:val="both"/>
        <w:rPr>
          <w:rFonts w:ascii="Verdana" w:hAnsi="Verdana"/>
          <w:spacing w:val="-2"/>
          <w:sz w:val="20"/>
          <w:szCs w:val="20"/>
          <w:lang w:val="es-CR"/>
        </w:rPr>
      </w:pPr>
      <w:r w:rsidRPr="00CF1787">
        <w:rPr>
          <w:rFonts w:ascii="Verdana" w:hAnsi="Verdana"/>
          <w:b/>
          <w:bCs/>
          <w:spacing w:val="-2"/>
          <w:sz w:val="20"/>
          <w:szCs w:val="20"/>
          <w:lang w:val="es-CR"/>
        </w:rPr>
        <w:t xml:space="preserve">DECIDE, </w:t>
      </w:r>
    </w:p>
    <w:p w14:paraId="3C04B1E9" w14:textId="77777777" w:rsidR="00E87E77" w:rsidRPr="00CF1787" w:rsidRDefault="00E87E77" w:rsidP="00E87E77">
      <w:pPr>
        <w:pStyle w:val="Default"/>
        <w:jc w:val="both"/>
        <w:rPr>
          <w:rFonts w:ascii="Verdana" w:hAnsi="Verdana"/>
          <w:spacing w:val="-2"/>
          <w:sz w:val="16"/>
          <w:szCs w:val="20"/>
          <w:lang w:val="es-CR"/>
        </w:rPr>
      </w:pPr>
    </w:p>
    <w:p w14:paraId="1B2A147C" w14:textId="77777777" w:rsidR="00E87E77" w:rsidRPr="00CF1787" w:rsidRDefault="00E87E77" w:rsidP="00E87E77">
      <w:pPr>
        <w:pStyle w:val="Default"/>
        <w:jc w:val="both"/>
        <w:rPr>
          <w:rFonts w:ascii="Verdana" w:hAnsi="Verdana"/>
          <w:spacing w:val="-2"/>
          <w:sz w:val="20"/>
          <w:szCs w:val="20"/>
          <w:lang w:val="es-CR"/>
        </w:rPr>
      </w:pPr>
      <w:r w:rsidRPr="00CF1787">
        <w:rPr>
          <w:rFonts w:ascii="Verdana" w:hAnsi="Verdana"/>
          <w:spacing w:val="-2"/>
          <w:sz w:val="20"/>
          <w:szCs w:val="20"/>
          <w:lang w:val="es-CR"/>
        </w:rPr>
        <w:t xml:space="preserve">Por </w:t>
      </w:r>
      <w:r w:rsidR="000A347B" w:rsidRPr="00CF1787">
        <w:rPr>
          <w:rFonts w:ascii="Verdana" w:hAnsi="Verdana"/>
          <w:spacing w:val="-2"/>
          <w:sz w:val="20"/>
          <w:szCs w:val="20"/>
          <w:lang w:val="es-CR"/>
        </w:rPr>
        <w:t>unanimidad</w:t>
      </w:r>
      <w:r w:rsidRPr="00CF1787">
        <w:rPr>
          <w:rFonts w:ascii="Verdana" w:hAnsi="Verdana"/>
          <w:spacing w:val="-2"/>
          <w:sz w:val="20"/>
          <w:szCs w:val="20"/>
          <w:lang w:val="es-CR"/>
        </w:rPr>
        <w:t xml:space="preserve">, </w:t>
      </w:r>
    </w:p>
    <w:p w14:paraId="38608E8C" w14:textId="77777777" w:rsidR="00105E51" w:rsidRPr="00CF1787" w:rsidRDefault="00105E51" w:rsidP="00D334A9">
      <w:pPr>
        <w:pStyle w:val="Default"/>
        <w:spacing w:before="40" w:after="40"/>
        <w:jc w:val="both"/>
        <w:rPr>
          <w:rFonts w:ascii="Verdana" w:hAnsi="Verdana"/>
          <w:spacing w:val="-2"/>
          <w:sz w:val="20"/>
          <w:szCs w:val="20"/>
          <w:lang w:val="es-CR"/>
        </w:rPr>
      </w:pPr>
    </w:p>
    <w:p w14:paraId="6B495EDB" w14:textId="77777777" w:rsidR="00105E51" w:rsidRPr="00CF1787" w:rsidRDefault="003628C0" w:rsidP="00D334A9">
      <w:pPr>
        <w:pStyle w:val="Default"/>
        <w:numPr>
          <w:ilvl w:val="0"/>
          <w:numId w:val="24"/>
        </w:numPr>
        <w:spacing w:before="40" w:after="40"/>
        <w:ind w:left="0" w:firstLine="0"/>
        <w:jc w:val="both"/>
        <w:rPr>
          <w:rFonts w:ascii="Verdana" w:hAnsi="Verdana"/>
          <w:spacing w:val="-2"/>
          <w:sz w:val="20"/>
          <w:szCs w:val="20"/>
          <w:lang w:val="es-CR"/>
        </w:rPr>
      </w:pPr>
      <w:r w:rsidRPr="00CF1787">
        <w:rPr>
          <w:rFonts w:ascii="Verdana" w:hAnsi="Verdana"/>
          <w:spacing w:val="-2"/>
          <w:sz w:val="20"/>
          <w:szCs w:val="20"/>
          <w:lang w:val="es-CR"/>
        </w:rPr>
        <w:t>Desestimar las excepciones preliminares interpuestas por el Estado relativas a las alegadas violaciones del principio de “cuarta instancia” y del debido proceso ante la Comisión Interamericana, en los términos de los párrafos</w:t>
      </w:r>
      <w:r w:rsidR="002B381B" w:rsidRPr="00CF1787">
        <w:rPr>
          <w:rFonts w:ascii="Verdana" w:hAnsi="Verdana"/>
          <w:spacing w:val="-2"/>
          <w:sz w:val="20"/>
          <w:szCs w:val="20"/>
          <w:lang w:val="es-CR"/>
        </w:rPr>
        <w:t xml:space="preserve"> </w:t>
      </w:r>
      <w:r w:rsidR="00573468" w:rsidRPr="00CF1787">
        <w:rPr>
          <w:rFonts w:ascii="Verdana" w:hAnsi="Verdana"/>
          <w:spacing w:val="-2"/>
          <w:sz w:val="20"/>
          <w:szCs w:val="20"/>
          <w:lang w:val="es-CR"/>
        </w:rPr>
        <w:fldChar w:fldCharType="begin"/>
      </w:r>
      <w:r w:rsidRPr="00CF1787">
        <w:rPr>
          <w:rFonts w:ascii="Verdana" w:hAnsi="Verdana"/>
          <w:spacing w:val="-2"/>
          <w:sz w:val="20"/>
          <w:szCs w:val="20"/>
          <w:lang w:val="es-CR"/>
        </w:rPr>
        <w:instrText xml:space="preserve"> REF _Ref462933500 \r \h </w:instrText>
      </w:r>
      <w:r w:rsidR="000A347B" w:rsidRPr="00CF1787">
        <w:rPr>
          <w:rFonts w:ascii="Verdana" w:hAnsi="Verdana"/>
          <w:spacing w:val="-2"/>
          <w:sz w:val="20"/>
          <w:szCs w:val="20"/>
          <w:lang w:val="es-CR"/>
        </w:rPr>
        <w:instrText xml:space="preserve"> \* MERGEFORMAT </w:instrText>
      </w:r>
      <w:r w:rsidR="00573468" w:rsidRPr="00CF1787">
        <w:rPr>
          <w:rFonts w:ascii="Verdana" w:hAnsi="Verdana"/>
          <w:spacing w:val="-2"/>
          <w:sz w:val="20"/>
          <w:szCs w:val="20"/>
          <w:lang w:val="es-CR"/>
        </w:rPr>
      </w:r>
      <w:r w:rsidR="00573468" w:rsidRPr="00CF1787">
        <w:rPr>
          <w:rFonts w:ascii="Verdana" w:hAnsi="Verdana"/>
          <w:spacing w:val="-2"/>
          <w:sz w:val="20"/>
          <w:szCs w:val="20"/>
          <w:lang w:val="es-CR"/>
        </w:rPr>
        <w:fldChar w:fldCharType="separate"/>
      </w:r>
      <w:r w:rsidR="00536893">
        <w:rPr>
          <w:rFonts w:ascii="Verdana" w:hAnsi="Verdana"/>
          <w:spacing w:val="-2"/>
          <w:sz w:val="20"/>
          <w:szCs w:val="20"/>
          <w:lang w:val="es-CR"/>
        </w:rPr>
        <w:t>15</w:t>
      </w:r>
      <w:r w:rsidR="00573468" w:rsidRPr="00CF1787">
        <w:rPr>
          <w:rFonts w:ascii="Verdana" w:hAnsi="Verdana"/>
          <w:spacing w:val="-2"/>
          <w:sz w:val="20"/>
          <w:szCs w:val="20"/>
          <w:lang w:val="es-CR"/>
        </w:rPr>
        <w:fldChar w:fldCharType="end"/>
      </w:r>
      <w:r w:rsidRPr="00CF1787">
        <w:rPr>
          <w:rFonts w:ascii="Verdana" w:hAnsi="Verdana"/>
          <w:spacing w:val="-2"/>
          <w:sz w:val="20"/>
          <w:szCs w:val="20"/>
          <w:lang w:val="es-CR"/>
        </w:rPr>
        <w:t xml:space="preserve"> a </w:t>
      </w:r>
      <w:r w:rsidR="00573468" w:rsidRPr="00CF1787">
        <w:rPr>
          <w:rFonts w:ascii="Verdana" w:hAnsi="Verdana"/>
          <w:spacing w:val="-2"/>
          <w:sz w:val="20"/>
          <w:szCs w:val="20"/>
          <w:lang w:val="es-CR"/>
        </w:rPr>
        <w:fldChar w:fldCharType="begin"/>
      </w:r>
      <w:r w:rsidRPr="00CF1787">
        <w:rPr>
          <w:rFonts w:ascii="Verdana" w:hAnsi="Verdana"/>
          <w:spacing w:val="-2"/>
          <w:sz w:val="20"/>
          <w:szCs w:val="20"/>
          <w:lang w:val="es-CR"/>
        </w:rPr>
        <w:instrText xml:space="preserve"> REF _Ref462933471 \r \h </w:instrText>
      </w:r>
      <w:r w:rsidR="000A347B" w:rsidRPr="00CF1787">
        <w:rPr>
          <w:rFonts w:ascii="Verdana" w:hAnsi="Verdana"/>
          <w:spacing w:val="-2"/>
          <w:sz w:val="20"/>
          <w:szCs w:val="20"/>
          <w:lang w:val="es-CR"/>
        </w:rPr>
        <w:instrText xml:space="preserve"> \* MERGEFORMAT </w:instrText>
      </w:r>
      <w:r w:rsidR="00573468" w:rsidRPr="00CF1787">
        <w:rPr>
          <w:rFonts w:ascii="Verdana" w:hAnsi="Verdana"/>
          <w:spacing w:val="-2"/>
          <w:sz w:val="20"/>
          <w:szCs w:val="20"/>
          <w:lang w:val="es-CR"/>
        </w:rPr>
      </w:r>
      <w:r w:rsidR="00573468" w:rsidRPr="00CF1787">
        <w:rPr>
          <w:rFonts w:ascii="Verdana" w:hAnsi="Verdana"/>
          <w:spacing w:val="-2"/>
          <w:sz w:val="20"/>
          <w:szCs w:val="20"/>
          <w:lang w:val="es-CR"/>
        </w:rPr>
        <w:fldChar w:fldCharType="separate"/>
      </w:r>
      <w:r w:rsidR="00536893">
        <w:rPr>
          <w:rFonts w:ascii="Verdana" w:hAnsi="Verdana"/>
          <w:spacing w:val="-2"/>
          <w:sz w:val="20"/>
          <w:szCs w:val="20"/>
          <w:lang w:val="es-CR"/>
        </w:rPr>
        <w:t>42</w:t>
      </w:r>
      <w:r w:rsidR="00573468" w:rsidRPr="00CF1787">
        <w:rPr>
          <w:rFonts w:ascii="Verdana" w:hAnsi="Verdana"/>
          <w:spacing w:val="-2"/>
          <w:sz w:val="20"/>
          <w:szCs w:val="20"/>
          <w:lang w:val="es-CR"/>
        </w:rPr>
        <w:fldChar w:fldCharType="end"/>
      </w:r>
      <w:r w:rsidRPr="00CF1787">
        <w:rPr>
          <w:rFonts w:ascii="Verdana" w:hAnsi="Verdana"/>
          <w:spacing w:val="-2"/>
          <w:sz w:val="20"/>
          <w:szCs w:val="20"/>
          <w:lang w:val="es-CR"/>
        </w:rPr>
        <w:t xml:space="preserve"> de </w:t>
      </w:r>
      <w:r w:rsidR="002B381B" w:rsidRPr="00CF1787">
        <w:rPr>
          <w:rFonts w:ascii="Verdana" w:hAnsi="Verdana"/>
          <w:spacing w:val="-2"/>
          <w:sz w:val="20"/>
          <w:szCs w:val="20"/>
          <w:lang w:val="es-CR"/>
        </w:rPr>
        <w:t>esta</w:t>
      </w:r>
      <w:r w:rsidRPr="00CF1787">
        <w:rPr>
          <w:rFonts w:ascii="Verdana" w:hAnsi="Verdana"/>
          <w:spacing w:val="-2"/>
          <w:sz w:val="20"/>
          <w:szCs w:val="20"/>
          <w:lang w:val="es-CR"/>
        </w:rPr>
        <w:t xml:space="preserve"> Sentencia.</w:t>
      </w:r>
    </w:p>
    <w:p w14:paraId="78C8FB21" w14:textId="77777777" w:rsidR="00E87E77" w:rsidRPr="00CF1787" w:rsidRDefault="00E87E77" w:rsidP="00D334A9">
      <w:pPr>
        <w:tabs>
          <w:tab w:val="num" w:pos="630"/>
          <w:tab w:val="left" w:pos="720"/>
        </w:tabs>
        <w:spacing w:before="40" w:after="40"/>
        <w:rPr>
          <w:rFonts w:cs="Verdana"/>
          <w:b/>
          <w:color w:val="000000"/>
          <w:spacing w:val="-2"/>
          <w:szCs w:val="20"/>
          <w:lang w:val="es-CR"/>
        </w:rPr>
      </w:pPr>
    </w:p>
    <w:p w14:paraId="51571FB1" w14:textId="77777777" w:rsidR="00E87E77" w:rsidRPr="00CF1787" w:rsidRDefault="00E87E77" w:rsidP="00D334A9">
      <w:pPr>
        <w:tabs>
          <w:tab w:val="num" w:pos="630"/>
          <w:tab w:val="left" w:pos="720"/>
        </w:tabs>
        <w:spacing w:before="40" w:after="40"/>
        <w:rPr>
          <w:rFonts w:cs="Verdana"/>
          <w:b/>
          <w:color w:val="000000"/>
          <w:spacing w:val="-2"/>
          <w:szCs w:val="20"/>
          <w:lang w:val="es-CR"/>
        </w:rPr>
      </w:pPr>
      <w:r w:rsidRPr="00CF1787">
        <w:rPr>
          <w:rFonts w:cs="Verdana"/>
          <w:b/>
          <w:color w:val="000000"/>
          <w:spacing w:val="-2"/>
          <w:szCs w:val="20"/>
          <w:lang w:val="es-CR"/>
        </w:rPr>
        <w:t>DECLARA,</w:t>
      </w:r>
    </w:p>
    <w:p w14:paraId="1667A923" w14:textId="77777777" w:rsidR="00E87E77" w:rsidRPr="00CF1787" w:rsidRDefault="00E87E77" w:rsidP="00D334A9">
      <w:pPr>
        <w:tabs>
          <w:tab w:val="num" w:pos="630"/>
          <w:tab w:val="left" w:pos="720"/>
        </w:tabs>
        <w:spacing w:before="40" w:after="40"/>
        <w:rPr>
          <w:rFonts w:cs="Verdana"/>
          <w:b/>
          <w:color w:val="000000"/>
          <w:spacing w:val="-2"/>
          <w:sz w:val="16"/>
          <w:szCs w:val="20"/>
          <w:lang w:val="es-CR"/>
        </w:rPr>
      </w:pPr>
    </w:p>
    <w:p w14:paraId="21D06368" w14:textId="77777777" w:rsidR="00E87E77" w:rsidRPr="00CF1787" w:rsidRDefault="00E87E77" w:rsidP="00D334A9">
      <w:pPr>
        <w:pStyle w:val="Default"/>
        <w:spacing w:before="40" w:after="40"/>
        <w:jc w:val="both"/>
        <w:rPr>
          <w:rFonts w:ascii="Verdana" w:hAnsi="Verdana"/>
          <w:spacing w:val="-2"/>
          <w:sz w:val="20"/>
          <w:szCs w:val="20"/>
          <w:lang w:val="es-CR"/>
        </w:rPr>
      </w:pPr>
      <w:r w:rsidRPr="00CF1787">
        <w:rPr>
          <w:rFonts w:ascii="Verdana" w:hAnsi="Verdana"/>
          <w:spacing w:val="-2"/>
          <w:sz w:val="20"/>
          <w:szCs w:val="20"/>
          <w:lang w:val="es-CR"/>
        </w:rPr>
        <w:t>Por</w:t>
      </w:r>
      <w:r w:rsidR="00105E51" w:rsidRPr="00CF1787">
        <w:rPr>
          <w:rFonts w:ascii="Verdana" w:hAnsi="Verdana"/>
          <w:spacing w:val="-2"/>
          <w:sz w:val="20"/>
          <w:szCs w:val="20"/>
          <w:lang w:val="es-CR"/>
        </w:rPr>
        <w:t xml:space="preserve"> </w:t>
      </w:r>
      <w:r w:rsidR="000A347B" w:rsidRPr="00CF1787">
        <w:rPr>
          <w:rFonts w:ascii="Verdana" w:hAnsi="Verdana"/>
          <w:spacing w:val="-2"/>
          <w:sz w:val="20"/>
          <w:szCs w:val="20"/>
          <w:lang w:val="es-CR"/>
        </w:rPr>
        <w:t>unanimidad</w:t>
      </w:r>
      <w:r w:rsidRPr="00CF1787">
        <w:rPr>
          <w:rFonts w:ascii="Verdana" w:hAnsi="Verdana"/>
          <w:spacing w:val="-2"/>
          <w:sz w:val="20"/>
          <w:szCs w:val="20"/>
          <w:lang w:val="es-CR"/>
        </w:rPr>
        <w:t>, que</w:t>
      </w:r>
    </w:p>
    <w:p w14:paraId="52824F64" w14:textId="77777777" w:rsidR="00E87E77" w:rsidRPr="00CF1787" w:rsidRDefault="00E87E77" w:rsidP="00D334A9">
      <w:pPr>
        <w:pStyle w:val="Default"/>
        <w:spacing w:before="40" w:after="40"/>
        <w:jc w:val="both"/>
        <w:rPr>
          <w:rFonts w:ascii="Verdana" w:eastAsia="Batang" w:hAnsi="Verdana" w:cs="Times"/>
          <w:spacing w:val="-2"/>
          <w:sz w:val="20"/>
          <w:szCs w:val="20"/>
          <w:lang w:val="es-CR"/>
        </w:rPr>
      </w:pPr>
    </w:p>
    <w:p w14:paraId="6C2C9B86" w14:textId="77777777" w:rsidR="00E87E77" w:rsidRPr="00CF1787" w:rsidRDefault="00E87E77" w:rsidP="00D334A9">
      <w:pPr>
        <w:pStyle w:val="ListParagraph"/>
        <w:numPr>
          <w:ilvl w:val="0"/>
          <w:numId w:val="24"/>
        </w:numPr>
        <w:autoSpaceDE/>
        <w:autoSpaceDN/>
        <w:spacing w:before="40" w:after="40" w:line="0" w:lineRule="atLeast"/>
        <w:ind w:left="0" w:right="0" w:firstLine="0"/>
        <w:textAlignment w:val="baseline"/>
        <w:rPr>
          <w:lang w:val="es-CR"/>
        </w:rPr>
      </w:pPr>
      <w:r w:rsidRPr="00CF1787">
        <w:rPr>
          <w:lang w:val="es-CR"/>
        </w:rPr>
        <w:t>El Estado es responsable por la violación de las garantías</w:t>
      </w:r>
      <w:r w:rsidR="00643FE0" w:rsidRPr="00CF1787">
        <w:rPr>
          <w:lang w:val="es-CR"/>
        </w:rPr>
        <w:t xml:space="preserve"> judiciales de</w:t>
      </w:r>
      <w:r w:rsidRPr="00CF1787">
        <w:rPr>
          <w:lang w:val="es-CR"/>
        </w:rPr>
        <w:t xml:space="preserve"> independencia e imparcialidad,</w:t>
      </w:r>
      <w:r w:rsidR="00B948D9" w:rsidRPr="00CF1787">
        <w:rPr>
          <w:lang w:val="es-CR"/>
        </w:rPr>
        <w:t xml:space="preserve"> consagrada</w:t>
      </w:r>
      <w:r w:rsidRPr="00CF1787">
        <w:rPr>
          <w:lang w:val="es-CR"/>
        </w:rPr>
        <w:t xml:space="preserve">s en el artículo 8.1 de la Convención, en relación con los artículos 1.1 y 2 del mismo instrumento, </w:t>
      </w:r>
      <w:r w:rsidR="00B948D9" w:rsidRPr="00CF1787">
        <w:rPr>
          <w:lang w:val="es-CR"/>
        </w:rPr>
        <w:t xml:space="preserve">en perjuicio de Luis Jorge Valencia Hinojosa y Patricia Trujillo Esparza, </w:t>
      </w:r>
      <w:r w:rsidRPr="00CF1787">
        <w:rPr>
          <w:lang w:val="es-CR"/>
        </w:rPr>
        <w:t xml:space="preserve">en los términos de los párrafos </w:t>
      </w:r>
      <w:r w:rsidR="001D29E7" w:rsidRPr="00CF1787">
        <w:fldChar w:fldCharType="begin"/>
      </w:r>
      <w:r w:rsidR="001D29E7" w:rsidRPr="00CF1787">
        <w:instrText xml:space="preserve"> REF _Ref462932343 \r \h  \* MERGEFORMAT </w:instrText>
      </w:r>
      <w:r w:rsidR="001D29E7" w:rsidRPr="00CF1787">
        <w:fldChar w:fldCharType="separate"/>
      </w:r>
      <w:r w:rsidR="00536893" w:rsidRPr="00536893">
        <w:rPr>
          <w:lang w:val="es-CR"/>
        </w:rPr>
        <w:t>82</w:t>
      </w:r>
      <w:r w:rsidR="001D29E7" w:rsidRPr="00CF1787">
        <w:fldChar w:fldCharType="end"/>
      </w:r>
      <w:r w:rsidRPr="00CF1787">
        <w:rPr>
          <w:lang w:val="es-CR"/>
        </w:rPr>
        <w:t xml:space="preserve"> a </w:t>
      </w:r>
      <w:r w:rsidR="00573468" w:rsidRPr="00CF1787">
        <w:rPr>
          <w:lang w:val="es-CR"/>
        </w:rPr>
        <w:fldChar w:fldCharType="begin"/>
      </w:r>
      <w:r w:rsidR="00947072" w:rsidRPr="00CF1787">
        <w:rPr>
          <w:lang w:val="es-CR"/>
        </w:rPr>
        <w:instrText xml:space="preserve"> REF _Ref462933293 \r \h </w:instrText>
      </w:r>
      <w:r w:rsidR="000A347B" w:rsidRPr="00CF1787">
        <w:rPr>
          <w:lang w:val="es-CR"/>
        </w:rPr>
        <w:instrText xml:space="preserve"> \* MERGEFORMAT </w:instrText>
      </w:r>
      <w:r w:rsidR="00573468" w:rsidRPr="00CF1787">
        <w:rPr>
          <w:lang w:val="es-CR"/>
        </w:rPr>
      </w:r>
      <w:r w:rsidR="00573468" w:rsidRPr="00CF1787">
        <w:rPr>
          <w:lang w:val="es-CR"/>
        </w:rPr>
        <w:fldChar w:fldCharType="separate"/>
      </w:r>
      <w:r w:rsidR="00536893">
        <w:rPr>
          <w:lang w:val="es-CR"/>
        </w:rPr>
        <w:t>119</w:t>
      </w:r>
      <w:r w:rsidR="00573468" w:rsidRPr="00CF1787">
        <w:rPr>
          <w:lang w:val="es-CR"/>
        </w:rPr>
        <w:fldChar w:fldCharType="end"/>
      </w:r>
      <w:r w:rsidRPr="00CF1787">
        <w:rPr>
          <w:lang w:val="es-CR"/>
        </w:rPr>
        <w:t xml:space="preserve"> de </w:t>
      </w:r>
      <w:r w:rsidR="00105E51" w:rsidRPr="00CF1787">
        <w:rPr>
          <w:lang w:val="es-CR"/>
        </w:rPr>
        <w:t xml:space="preserve">esta </w:t>
      </w:r>
      <w:r w:rsidRPr="00CF1787">
        <w:rPr>
          <w:lang w:val="es-CR"/>
        </w:rPr>
        <w:t>Sentencia.</w:t>
      </w:r>
    </w:p>
    <w:p w14:paraId="0657489D" w14:textId="77777777" w:rsidR="00105E51" w:rsidRPr="00CF1787" w:rsidRDefault="00105E51" w:rsidP="00D334A9">
      <w:pPr>
        <w:pStyle w:val="ListParagraph"/>
        <w:numPr>
          <w:ilvl w:val="0"/>
          <w:numId w:val="0"/>
        </w:numPr>
        <w:autoSpaceDE/>
        <w:autoSpaceDN/>
        <w:spacing w:before="40" w:after="40" w:line="0" w:lineRule="atLeast"/>
        <w:ind w:right="0"/>
        <w:textAlignment w:val="baseline"/>
        <w:rPr>
          <w:lang w:val="es-CR"/>
        </w:rPr>
      </w:pPr>
    </w:p>
    <w:p w14:paraId="5D8955EC" w14:textId="77777777" w:rsidR="00105E51" w:rsidRPr="00CF1787" w:rsidRDefault="00105E51" w:rsidP="00D334A9">
      <w:pPr>
        <w:pStyle w:val="ListParagraph"/>
        <w:numPr>
          <w:ilvl w:val="0"/>
          <w:numId w:val="24"/>
        </w:numPr>
        <w:autoSpaceDE/>
        <w:autoSpaceDN/>
        <w:spacing w:before="40" w:after="40" w:line="0" w:lineRule="atLeast"/>
        <w:ind w:left="0" w:right="0" w:firstLine="0"/>
        <w:textAlignment w:val="baseline"/>
        <w:rPr>
          <w:lang w:val="es-CR"/>
        </w:rPr>
      </w:pPr>
      <w:r w:rsidRPr="00CF1787">
        <w:rPr>
          <w:lang w:val="es-CR"/>
        </w:rPr>
        <w:t xml:space="preserve">El Estado es responsable </w:t>
      </w:r>
      <w:r w:rsidR="002B381B" w:rsidRPr="00CF1787">
        <w:rPr>
          <w:lang w:val="es-CR"/>
        </w:rPr>
        <w:t>por</w:t>
      </w:r>
      <w:r w:rsidRPr="00CF1787">
        <w:rPr>
          <w:lang w:val="es-CR"/>
        </w:rPr>
        <w:t xml:space="preserve"> la violación del derecho a un</w:t>
      </w:r>
      <w:r w:rsidR="002B381B" w:rsidRPr="00CF1787">
        <w:rPr>
          <w:lang w:val="es-CR"/>
        </w:rPr>
        <w:t>a protección judicial</w:t>
      </w:r>
      <w:r w:rsidRPr="00CF1787">
        <w:rPr>
          <w:lang w:val="es-CR"/>
        </w:rPr>
        <w:t xml:space="preserve"> efectiv</w:t>
      </w:r>
      <w:r w:rsidR="002B381B" w:rsidRPr="00CF1787">
        <w:rPr>
          <w:lang w:val="es-CR"/>
        </w:rPr>
        <w:t>a</w:t>
      </w:r>
      <w:r w:rsidRPr="00CF1787">
        <w:rPr>
          <w:lang w:val="es-CR"/>
        </w:rPr>
        <w:t xml:space="preserve"> </w:t>
      </w:r>
      <w:r w:rsidRPr="00CF1787">
        <w:rPr>
          <w:lang w:val="es-CR"/>
        </w:rPr>
        <w:lastRenderedPageBreak/>
        <w:t>con</w:t>
      </w:r>
      <w:r w:rsidR="002B381B" w:rsidRPr="00CF1787">
        <w:rPr>
          <w:lang w:val="es-CR"/>
        </w:rPr>
        <w:t xml:space="preserve">sagrado </w:t>
      </w:r>
      <w:r w:rsidRPr="00CF1787">
        <w:rPr>
          <w:lang w:val="es-CR"/>
        </w:rPr>
        <w:t xml:space="preserve">en el artículo 25.1 de la Convención, en relación con </w:t>
      </w:r>
      <w:r w:rsidR="00947072" w:rsidRPr="00CF1787">
        <w:rPr>
          <w:lang w:val="es-CR"/>
        </w:rPr>
        <w:t xml:space="preserve">los </w:t>
      </w:r>
      <w:r w:rsidRPr="00CF1787">
        <w:rPr>
          <w:lang w:val="es-CR"/>
        </w:rPr>
        <w:t>artículo</w:t>
      </w:r>
      <w:r w:rsidR="00947072" w:rsidRPr="00CF1787">
        <w:rPr>
          <w:lang w:val="es-CR"/>
        </w:rPr>
        <w:t>s</w:t>
      </w:r>
      <w:r w:rsidRPr="00CF1787">
        <w:rPr>
          <w:lang w:val="es-CR"/>
        </w:rPr>
        <w:t xml:space="preserve"> 1.1 </w:t>
      </w:r>
      <w:r w:rsidR="00947072" w:rsidRPr="00CF1787">
        <w:rPr>
          <w:lang w:val="es-CR"/>
        </w:rPr>
        <w:t xml:space="preserve">y 2 </w:t>
      </w:r>
      <w:r w:rsidRPr="00CF1787">
        <w:rPr>
          <w:lang w:val="es-CR"/>
        </w:rPr>
        <w:t>del mism</w:t>
      </w:r>
      <w:r w:rsidR="00B948D9" w:rsidRPr="00CF1787">
        <w:rPr>
          <w:lang w:val="es-CR"/>
        </w:rPr>
        <w:t xml:space="preserve">o instrumento, en perjuicio de Luis Jorge Valencia Hinojosa y Patricia Trujillo Esparza, </w:t>
      </w:r>
      <w:r w:rsidRPr="00CF1787">
        <w:rPr>
          <w:lang w:val="es-CR"/>
        </w:rPr>
        <w:t xml:space="preserve">en los términos de los párrafos </w:t>
      </w:r>
      <w:r w:rsidR="00573468" w:rsidRPr="00CF1787">
        <w:rPr>
          <w:lang w:val="es-CR"/>
        </w:rPr>
        <w:fldChar w:fldCharType="begin"/>
      </w:r>
      <w:r w:rsidR="00947072" w:rsidRPr="00CF1787">
        <w:rPr>
          <w:lang w:val="es-CR"/>
        </w:rPr>
        <w:instrText xml:space="preserve"> REF _Ref462933244 \r \h </w:instrText>
      </w:r>
      <w:r w:rsidR="000A347B" w:rsidRPr="00CF1787">
        <w:rPr>
          <w:lang w:val="es-CR"/>
        </w:rPr>
        <w:instrText xml:space="preserve"> \* MERGEFORMAT </w:instrText>
      </w:r>
      <w:r w:rsidR="00573468" w:rsidRPr="00CF1787">
        <w:rPr>
          <w:lang w:val="es-CR"/>
        </w:rPr>
      </w:r>
      <w:r w:rsidR="00573468" w:rsidRPr="00CF1787">
        <w:rPr>
          <w:lang w:val="es-CR"/>
        </w:rPr>
        <w:fldChar w:fldCharType="separate"/>
      </w:r>
      <w:r w:rsidR="00536893">
        <w:rPr>
          <w:lang w:val="es-CR"/>
        </w:rPr>
        <w:t>113</w:t>
      </w:r>
      <w:r w:rsidR="00573468" w:rsidRPr="00CF1787">
        <w:rPr>
          <w:lang w:val="es-CR"/>
        </w:rPr>
        <w:fldChar w:fldCharType="end"/>
      </w:r>
      <w:r w:rsidR="00947072" w:rsidRPr="00CF1787">
        <w:rPr>
          <w:lang w:val="es-CR"/>
        </w:rPr>
        <w:t xml:space="preserve"> </w:t>
      </w:r>
      <w:r w:rsidRPr="00CF1787">
        <w:rPr>
          <w:lang w:val="es-CR"/>
        </w:rPr>
        <w:t xml:space="preserve">a </w:t>
      </w:r>
      <w:r w:rsidR="00573468" w:rsidRPr="00CF1787">
        <w:rPr>
          <w:lang w:val="es-CR"/>
        </w:rPr>
        <w:fldChar w:fldCharType="begin"/>
      </w:r>
      <w:r w:rsidR="00947072" w:rsidRPr="00CF1787">
        <w:rPr>
          <w:lang w:val="es-CR"/>
        </w:rPr>
        <w:instrText xml:space="preserve"> REF _Ref462932391 \r \h </w:instrText>
      </w:r>
      <w:r w:rsidR="000A347B" w:rsidRPr="00CF1787">
        <w:rPr>
          <w:lang w:val="es-CR"/>
        </w:rPr>
        <w:instrText xml:space="preserve"> \* MERGEFORMAT </w:instrText>
      </w:r>
      <w:r w:rsidR="00573468" w:rsidRPr="00CF1787">
        <w:rPr>
          <w:lang w:val="es-CR"/>
        </w:rPr>
      </w:r>
      <w:r w:rsidR="00573468" w:rsidRPr="00CF1787">
        <w:rPr>
          <w:lang w:val="es-CR"/>
        </w:rPr>
        <w:fldChar w:fldCharType="separate"/>
      </w:r>
      <w:r w:rsidR="00536893">
        <w:rPr>
          <w:lang w:val="es-CR"/>
        </w:rPr>
        <w:t>120</w:t>
      </w:r>
      <w:r w:rsidR="00573468" w:rsidRPr="00CF1787">
        <w:rPr>
          <w:lang w:val="es-CR"/>
        </w:rPr>
        <w:fldChar w:fldCharType="end"/>
      </w:r>
      <w:r w:rsidRPr="00CF1787">
        <w:rPr>
          <w:lang w:val="es-CR"/>
        </w:rPr>
        <w:t xml:space="preserve"> de esta Sentencia.</w:t>
      </w:r>
    </w:p>
    <w:p w14:paraId="78B222FC" w14:textId="77777777" w:rsidR="00E87E77" w:rsidRPr="00CF1787" w:rsidRDefault="00E87E77" w:rsidP="00D334A9">
      <w:pPr>
        <w:pStyle w:val="ListParagraph"/>
        <w:numPr>
          <w:ilvl w:val="0"/>
          <w:numId w:val="0"/>
        </w:numPr>
        <w:spacing w:before="40" w:after="40"/>
        <w:rPr>
          <w:lang w:val="es-CR"/>
        </w:rPr>
      </w:pPr>
    </w:p>
    <w:p w14:paraId="64F51F19" w14:textId="77777777" w:rsidR="009B5CE4" w:rsidRPr="00CF1787" w:rsidRDefault="009B5CE4" w:rsidP="00D334A9">
      <w:pPr>
        <w:pStyle w:val="ListParagraph"/>
        <w:numPr>
          <w:ilvl w:val="0"/>
          <w:numId w:val="0"/>
        </w:numPr>
        <w:spacing w:before="40" w:after="40"/>
      </w:pPr>
      <w:r w:rsidRPr="00CF1787">
        <w:t xml:space="preserve">Por cinco votos a favor y uno en contra, </w:t>
      </w:r>
    </w:p>
    <w:p w14:paraId="2AB6DE2C" w14:textId="77777777" w:rsidR="009B5CE4" w:rsidRPr="00CF1787" w:rsidRDefault="009B5CE4" w:rsidP="00D334A9">
      <w:pPr>
        <w:pStyle w:val="ListParagraph"/>
        <w:numPr>
          <w:ilvl w:val="0"/>
          <w:numId w:val="0"/>
        </w:numPr>
        <w:spacing w:before="40" w:after="40"/>
      </w:pPr>
    </w:p>
    <w:p w14:paraId="4475FA87" w14:textId="56F5FF45" w:rsidR="009B5CE4" w:rsidRPr="00CF1787" w:rsidRDefault="00B948D9" w:rsidP="00D334A9">
      <w:pPr>
        <w:pStyle w:val="ListParagraph"/>
        <w:numPr>
          <w:ilvl w:val="0"/>
          <w:numId w:val="24"/>
        </w:numPr>
        <w:autoSpaceDE/>
        <w:autoSpaceDN/>
        <w:spacing w:before="40" w:after="40" w:line="0" w:lineRule="atLeast"/>
        <w:ind w:left="0" w:right="0" w:firstLine="0"/>
        <w:textAlignment w:val="baseline"/>
        <w:rPr>
          <w:lang w:val="es-CR"/>
        </w:rPr>
      </w:pPr>
      <w:r w:rsidRPr="00CF1787">
        <w:rPr>
          <w:lang w:val="es-CR"/>
        </w:rPr>
        <w:t xml:space="preserve">El Estado es responsable por la violación de obligación de garantizar el derecho a la vida de Luis Jorge Valencia Hinojosa, consagrado en el artículo 4.1 de la Convención, en relación con </w:t>
      </w:r>
      <w:r w:rsidR="004F57A9" w:rsidRPr="00CF1787">
        <w:rPr>
          <w:lang w:val="es-CR"/>
        </w:rPr>
        <w:t>el artículo</w:t>
      </w:r>
      <w:r w:rsidRPr="00CF1787">
        <w:rPr>
          <w:lang w:val="es-CR"/>
        </w:rPr>
        <w:t xml:space="preserve"> </w:t>
      </w:r>
      <w:r w:rsidR="004F57A9" w:rsidRPr="00CF1787">
        <w:rPr>
          <w:lang w:val="es-CR"/>
        </w:rPr>
        <w:t xml:space="preserve">1.1 </w:t>
      </w:r>
      <w:r w:rsidRPr="00CF1787">
        <w:rPr>
          <w:lang w:val="es-CR"/>
        </w:rPr>
        <w:t xml:space="preserve">del mismo instrumento, en los términos de los párrafos </w:t>
      </w:r>
      <w:r w:rsidR="001D29E7" w:rsidRPr="00CF1787">
        <w:fldChar w:fldCharType="begin"/>
      </w:r>
      <w:r w:rsidR="001D29E7" w:rsidRPr="00CF1787">
        <w:instrText xml:space="preserve"> REF _Ref462933005 \r \h  \* MERGEFORMAT </w:instrText>
      </w:r>
      <w:r w:rsidR="001D29E7" w:rsidRPr="00CF1787">
        <w:fldChar w:fldCharType="separate"/>
      </w:r>
      <w:r w:rsidR="00536893" w:rsidRPr="00536893">
        <w:rPr>
          <w:lang w:val="es-CR"/>
        </w:rPr>
        <w:t>130</w:t>
      </w:r>
      <w:r w:rsidR="001D29E7" w:rsidRPr="00CF1787">
        <w:fldChar w:fldCharType="end"/>
      </w:r>
      <w:r w:rsidRPr="00CF1787">
        <w:rPr>
          <w:lang w:val="es-CR"/>
        </w:rPr>
        <w:t xml:space="preserve"> a </w:t>
      </w:r>
      <w:r w:rsidR="00EC551E" w:rsidRPr="00CF1787">
        <w:fldChar w:fldCharType="begin"/>
      </w:r>
      <w:r w:rsidR="00EC551E" w:rsidRPr="00CF1787">
        <w:rPr>
          <w:lang w:val="es-CR"/>
        </w:rPr>
        <w:instrText xml:space="preserve"> REF _Ref470005707 \r \h </w:instrText>
      </w:r>
      <w:r w:rsidR="00CF1787">
        <w:instrText xml:space="preserve"> \* MERGEFORMAT </w:instrText>
      </w:r>
      <w:r w:rsidR="00EC551E" w:rsidRPr="00CF1787">
        <w:fldChar w:fldCharType="separate"/>
      </w:r>
      <w:r w:rsidR="00536893">
        <w:rPr>
          <w:lang w:val="es-CR"/>
        </w:rPr>
        <w:t>138</w:t>
      </w:r>
      <w:r w:rsidR="00EC551E" w:rsidRPr="00CF1787">
        <w:fldChar w:fldCharType="end"/>
      </w:r>
      <w:r w:rsidRPr="00CF1787">
        <w:rPr>
          <w:lang w:val="es-CR"/>
        </w:rPr>
        <w:t xml:space="preserve"> de esta Sentencia.</w:t>
      </w:r>
    </w:p>
    <w:p w14:paraId="7D18DDE3" w14:textId="77777777" w:rsidR="00B948D9" w:rsidRPr="00CF1787" w:rsidRDefault="00B948D9" w:rsidP="00D334A9">
      <w:pPr>
        <w:pStyle w:val="ListParagraph"/>
        <w:numPr>
          <w:ilvl w:val="0"/>
          <w:numId w:val="0"/>
        </w:numPr>
        <w:autoSpaceDE/>
        <w:autoSpaceDN/>
        <w:spacing w:before="40" w:after="40" w:line="0" w:lineRule="atLeast"/>
        <w:ind w:right="0"/>
        <w:textAlignment w:val="baseline"/>
        <w:rPr>
          <w:lang w:val="es-CR"/>
        </w:rPr>
      </w:pPr>
    </w:p>
    <w:p w14:paraId="3E054D4B" w14:textId="77777777" w:rsidR="00B948D9" w:rsidRPr="00CF1787" w:rsidRDefault="00B948D9" w:rsidP="00D334A9">
      <w:pPr>
        <w:pStyle w:val="ListParagraph"/>
        <w:numPr>
          <w:ilvl w:val="0"/>
          <w:numId w:val="24"/>
        </w:numPr>
        <w:autoSpaceDE/>
        <w:autoSpaceDN/>
        <w:spacing w:before="40" w:after="40" w:line="0" w:lineRule="atLeast"/>
        <w:ind w:left="0" w:right="0" w:firstLine="0"/>
        <w:textAlignment w:val="baseline"/>
        <w:rPr>
          <w:lang w:val="es-CR"/>
        </w:rPr>
      </w:pPr>
      <w:r w:rsidRPr="00CF1787">
        <w:rPr>
          <w:lang w:val="es-CR"/>
        </w:rPr>
        <w:t>El Estado es responsable por la violación del d</w:t>
      </w:r>
      <w:r w:rsidR="005F3267" w:rsidRPr="00CF1787">
        <w:rPr>
          <w:lang w:val="es-CR"/>
        </w:rPr>
        <w:t xml:space="preserve">erecho a la integridad personal, consagrado </w:t>
      </w:r>
      <w:r w:rsidRPr="00CF1787">
        <w:rPr>
          <w:lang w:val="es-CR"/>
        </w:rPr>
        <w:t xml:space="preserve">en el artículo 5.1 de la Convención Americana, en relación con el artículo 1.1 del mismo instrumento, en perjuicio de Patricia Trujillo Esparza, en los términos de los párrafos </w:t>
      </w:r>
      <w:r w:rsidR="001D29E7" w:rsidRPr="00CF1787">
        <w:fldChar w:fldCharType="begin"/>
      </w:r>
      <w:r w:rsidR="001D29E7" w:rsidRPr="00CF1787">
        <w:instrText xml:space="preserve"> REF _Ref462932771 \r \h  \* MERGEFORMAT </w:instrText>
      </w:r>
      <w:r w:rsidR="001D29E7" w:rsidRPr="00CF1787">
        <w:fldChar w:fldCharType="separate"/>
      </w:r>
      <w:r w:rsidR="00536893" w:rsidRPr="00536893">
        <w:rPr>
          <w:lang w:val="es-CR"/>
        </w:rPr>
        <w:t>142</w:t>
      </w:r>
      <w:r w:rsidR="001D29E7" w:rsidRPr="00CF1787">
        <w:fldChar w:fldCharType="end"/>
      </w:r>
      <w:r w:rsidRPr="00CF1787">
        <w:rPr>
          <w:lang w:val="es-CR"/>
        </w:rPr>
        <w:t xml:space="preserve"> a </w:t>
      </w:r>
      <w:r w:rsidR="001D29E7" w:rsidRPr="00CF1787">
        <w:fldChar w:fldCharType="begin"/>
      </w:r>
      <w:r w:rsidR="001D29E7" w:rsidRPr="00CF1787">
        <w:instrText xml:space="preserve"> REF _Ref462932782 \r \h  \* MERGEFORMAT </w:instrText>
      </w:r>
      <w:r w:rsidR="001D29E7" w:rsidRPr="00CF1787">
        <w:fldChar w:fldCharType="separate"/>
      </w:r>
      <w:r w:rsidR="00536893" w:rsidRPr="00536893">
        <w:rPr>
          <w:lang w:val="es-CR"/>
        </w:rPr>
        <w:t>146</w:t>
      </w:r>
      <w:r w:rsidR="001D29E7" w:rsidRPr="00CF1787">
        <w:fldChar w:fldCharType="end"/>
      </w:r>
      <w:r w:rsidRPr="00CF1787">
        <w:rPr>
          <w:lang w:val="es-CR"/>
        </w:rPr>
        <w:t xml:space="preserve"> de esta Sentencia. </w:t>
      </w:r>
    </w:p>
    <w:p w14:paraId="6C730B96" w14:textId="77777777" w:rsidR="00B948D9" w:rsidRPr="00CF1787" w:rsidRDefault="00B948D9" w:rsidP="00D334A9">
      <w:pPr>
        <w:pStyle w:val="ListParagraph"/>
        <w:numPr>
          <w:ilvl w:val="0"/>
          <w:numId w:val="0"/>
        </w:numPr>
        <w:autoSpaceDE/>
        <w:autoSpaceDN/>
        <w:spacing w:before="40" w:after="40" w:line="0" w:lineRule="atLeast"/>
        <w:ind w:right="0"/>
        <w:textAlignment w:val="baseline"/>
        <w:rPr>
          <w:lang w:val="es-CR"/>
        </w:rPr>
      </w:pPr>
    </w:p>
    <w:p w14:paraId="1490756D" w14:textId="77777777" w:rsidR="009B5CE4" w:rsidRPr="00CF1787" w:rsidRDefault="009B5CE4" w:rsidP="00D334A9">
      <w:pPr>
        <w:pStyle w:val="ListParagraph"/>
        <w:numPr>
          <w:ilvl w:val="0"/>
          <w:numId w:val="0"/>
        </w:numPr>
        <w:autoSpaceDE/>
        <w:autoSpaceDN/>
        <w:spacing w:before="40" w:after="40" w:line="0" w:lineRule="atLeast"/>
        <w:ind w:right="0"/>
        <w:textAlignment w:val="baseline"/>
        <w:rPr>
          <w:lang w:val="es-CR"/>
        </w:rPr>
      </w:pPr>
      <w:r w:rsidRPr="00CF1787">
        <w:rPr>
          <w:lang w:val="es-CR"/>
        </w:rPr>
        <w:t>Disiente el Juez Humberto Antonio Sierra Porto.</w:t>
      </w:r>
    </w:p>
    <w:p w14:paraId="04F59ADC" w14:textId="77777777" w:rsidR="009B5CE4" w:rsidRPr="00CF1787" w:rsidRDefault="009B5CE4" w:rsidP="00D334A9">
      <w:pPr>
        <w:pStyle w:val="ListParagraph"/>
        <w:numPr>
          <w:ilvl w:val="0"/>
          <w:numId w:val="0"/>
        </w:numPr>
        <w:autoSpaceDE/>
        <w:autoSpaceDN/>
        <w:spacing w:before="40" w:after="40" w:line="0" w:lineRule="atLeast"/>
        <w:ind w:right="0"/>
        <w:textAlignment w:val="baseline"/>
        <w:rPr>
          <w:lang w:val="es-CR"/>
        </w:rPr>
      </w:pPr>
    </w:p>
    <w:p w14:paraId="5D42AF9B" w14:textId="77777777" w:rsidR="009B5CE4" w:rsidRPr="00CF1787" w:rsidRDefault="009B5CE4" w:rsidP="00D334A9">
      <w:pPr>
        <w:pStyle w:val="ListParagraph"/>
        <w:numPr>
          <w:ilvl w:val="0"/>
          <w:numId w:val="0"/>
        </w:numPr>
        <w:autoSpaceDE/>
        <w:autoSpaceDN/>
        <w:spacing w:before="40" w:after="40" w:line="0" w:lineRule="atLeast"/>
        <w:ind w:right="0"/>
        <w:textAlignment w:val="baseline"/>
        <w:rPr>
          <w:lang w:val="es-CR"/>
        </w:rPr>
      </w:pPr>
      <w:r w:rsidRPr="00CF1787">
        <w:rPr>
          <w:lang w:val="es-CR"/>
        </w:rPr>
        <w:t>Por unanimidad,</w:t>
      </w:r>
    </w:p>
    <w:p w14:paraId="6257A44C" w14:textId="77777777" w:rsidR="009B5CE4" w:rsidRPr="00CF1787" w:rsidRDefault="009B5CE4" w:rsidP="00D334A9">
      <w:pPr>
        <w:pStyle w:val="ListParagraph"/>
        <w:numPr>
          <w:ilvl w:val="0"/>
          <w:numId w:val="0"/>
        </w:numPr>
        <w:autoSpaceDE/>
        <w:autoSpaceDN/>
        <w:spacing w:before="40" w:after="40" w:line="0" w:lineRule="atLeast"/>
        <w:ind w:right="0"/>
        <w:textAlignment w:val="baseline"/>
        <w:rPr>
          <w:lang w:val="es-CR"/>
        </w:rPr>
      </w:pPr>
    </w:p>
    <w:p w14:paraId="5746F364" w14:textId="364EF0FB" w:rsidR="00105E51" w:rsidRPr="00CF1787" w:rsidRDefault="00E5705E" w:rsidP="00D334A9">
      <w:pPr>
        <w:pStyle w:val="ListParagraph"/>
        <w:numPr>
          <w:ilvl w:val="0"/>
          <w:numId w:val="24"/>
        </w:numPr>
        <w:autoSpaceDE/>
        <w:autoSpaceDN/>
        <w:spacing w:before="40" w:after="40" w:line="0" w:lineRule="atLeast"/>
        <w:ind w:left="0" w:right="0" w:firstLine="0"/>
        <w:textAlignment w:val="baseline"/>
        <w:rPr>
          <w:lang w:val="es-CR"/>
        </w:rPr>
      </w:pPr>
      <w:r w:rsidRPr="00CF1787">
        <w:rPr>
          <w:lang w:val="es-CR"/>
        </w:rPr>
        <w:t xml:space="preserve">El Estado no es responsable de las demás violaciones alegadas al artículo 8.1 de la Convención, en los términos del párrafo </w:t>
      </w:r>
      <w:r w:rsidR="00585831" w:rsidRPr="00CF1787">
        <w:rPr>
          <w:lang w:val="es-CR"/>
        </w:rPr>
        <w:fldChar w:fldCharType="begin"/>
      </w:r>
      <w:r w:rsidR="00585831" w:rsidRPr="00CF1787">
        <w:rPr>
          <w:lang w:val="es-CR"/>
        </w:rPr>
        <w:instrText xml:space="preserve"> REF _Ref470001048 \r \h </w:instrText>
      </w:r>
      <w:r w:rsidR="00CF1787">
        <w:rPr>
          <w:lang w:val="es-CR"/>
        </w:rPr>
        <w:instrText xml:space="preserve"> \* MERGEFORMAT </w:instrText>
      </w:r>
      <w:r w:rsidR="00585831" w:rsidRPr="00CF1787">
        <w:rPr>
          <w:lang w:val="es-CR"/>
        </w:rPr>
      </w:r>
      <w:r w:rsidR="00585831" w:rsidRPr="00CF1787">
        <w:rPr>
          <w:lang w:val="es-CR"/>
        </w:rPr>
        <w:fldChar w:fldCharType="separate"/>
      </w:r>
      <w:r w:rsidR="00536893">
        <w:rPr>
          <w:lang w:val="es-CR"/>
        </w:rPr>
        <w:t>124</w:t>
      </w:r>
      <w:r w:rsidR="00585831" w:rsidRPr="00CF1787">
        <w:rPr>
          <w:lang w:val="es-CR"/>
        </w:rPr>
        <w:fldChar w:fldCharType="end"/>
      </w:r>
      <w:r w:rsidR="00585831" w:rsidRPr="00CF1787">
        <w:rPr>
          <w:lang w:val="es-CR"/>
        </w:rPr>
        <w:t xml:space="preserve"> </w:t>
      </w:r>
      <w:r w:rsidRPr="00CF1787">
        <w:rPr>
          <w:lang w:val="es-CR"/>
        </w:rPr>
        <w:t>de esta Sentencia.</w:t>
      </w:r>
    </w:p>
    <w:p w14:paraId="57F41FDD" w14:textId="77777777" w:rsidR="00E87E77" w:rsidRPr="00CF1787" w:rsidRDefault="00E87E77" w:rsidP="00D334A9">
      <w:pPr>
        <w:tabs>
          <w:tab w:val="left" w:pos="567"/>
          <w:tab w:val="left" w:pos="720"/>
        </w:tabs>
        <w:spacing w:before="40" w:after="40"/>
        <w:rPr>
          <w:rFonts w:cs="Verdana"/>
          <w:color w:val="000000"/>
          <w:spacing w:val="-2"/>
          <w:sz w:val="16"/>
          <w:szCs w:val="20"/>
          <w:lang w:val="es-CR"/>
        </w:rPr>
      </w:pPr>
    </w:p>
    <w:p w14:paraId="4B7747A3" w14:textId="77777777" w:rsidR="00E87E77" w:rsidRPr="00CF1787" w:rsidRDefault="00E87E77" w:rsidP="00D334A9">
      <w:pPr>
        <w:tabs>
          <w:tab w:val="left" w:pos="567"/>
          <w:tab w:val="left" w:pos="720"/>
        </w:tabs>
        <w:spacing w:before="40" w:after="40"/>
        <w:rPr>
          <w:rFonts w:cs="Verdana"/>
          <w:b/>
          <w:color w:val="000000"/>
          <w:spacing w:val="-2"/>
          <w:szCs w:val="20"/>
          <w:lang w:val="es-CR"/>
        </w:rPr>
      </w:pPr>
      <w:r w:rsidRPr="00CF1787">
        <w:rPr>
          <w:rFonts w:cs="Verdana"/>
          <w:b/>
          <w:color w:val="000000"/>
          <w:spacing w:val="-2"/>
          <w:szCs w:val="20"/>
          <w:lang w:val="es-CR"/>
        </w:rPr>
        <w:t>Y DISPONE,</w:t>
      </w:r>
    </w:p>
    <w:p w14:paraId="3A0416B3" w14:textId="77777777" w:rsidR="00E87E77" w:rsidRPr="00CF1787" w:rsidRDefault="00E87E77" w:rsidP="00D334A9">
      <w:pPr>
        <w:tabs>
          <w:tab w:val="left" w:pos="567"/>
          <w:tab w:val="left" w:pos="720"/>
        </w:tabs>
        <w:spacing w:before="40" w:after="40"/>
        <w:rPr>
          <w:rFonts w:cs="Verdana"/>
          <w:b/>
          <w:color w:val="000000"/>
          <w:spacing w:val="-2"/>
          <w:sz w:val="16"/>
          <w:szCs w:val="20"/>
          <w:lang w:val="es-CR"/>
        </w:rPr>
      </w:pPr>
    </w:p>
    <w:p w14:paraId="49E7ACBD" w14:textId="77777777" w:rsidR="00E87E77" w:rsidRPr="00CF1787" w:rsidRDefault="00E87E77" w:rsidP="00D334A9">
      <w:pPr>
        <w:tabs>
          <w:tab w:val="left" w:pos="720"/>
        </w:tabs>
        <w:spacing w:before="40" w:after="40"/>
        <w:rPr>
          <w:spacing w:val="-2"/>
          <w:szCs w:val="20"/>
          <w:lang w:val="es-CR"/>
        </w:rPr>
      </w:pPr>
      <w:proofErr w:type="gramStart"/>
      <w:r w:rsidRPr="00CF1787">
        <w:rPr>
          <w:rFonts w:cs="Verdana"/>
          <w:color w:val="000000"/>
          <w:spacing w:val="-2"/>
          <w:szCs w:val="20"/>
          <w:lang w:val="es-CR"/>
        </w:rPr>
        <w:t>por</w:t>
      </w:r>
      <w:proofErr w:type="gramEnd"/>
      <w:r w:rsidRPr="00CF1787">
        <w:rPr>
          <w:rFonts w:cs="Verdana"/>
          <w:color w:val="000000"/>
          <w:spacing w:val="-2"/>
          <w:szCs w:val="20"/>
          <w:lang w:val="es-CR"/>
        </w:rPr>
        <w:t xml:space="preserve"> </w:t>
      </w:r>
      <w:r w:rsidR="000A347B" w:rsidRPr="00CF1787">
        <w:rPr>
          <w:spacing w:val="-2"/>
          <w:szCs w:val="20"/>
          <w:lang w:val="es-CR"/>
        </w:rPr>
        <w:t>unanimidad</w:t>
      </w:r>
      <w:r w:rsidRPr="00CF1787">
        <w:rPr>
          <w:spacing w:val="-2"/>
          <w:szCs w:val="20"/>
          <w:lang w:val="es-CR"/>
        </w:rPr>
        <w:t>,</w:t>
      </w:r>
      <w:r w:rsidRPr="00CF1787">
        <w:rPr>
          <w:rFonts w:cs="Verdana"/>
          <w:color w:val="000000"/>
          <w:spacing w:val="-2"/>
          <w:szCs w:val="20"/>
          <w:lang w:val="es-CR"/>
        </w:rPr>
        <w:t xml:space="preserve"> que:</w:t>
      </w:r>
    </w:p>
    <w:p w14:paraId="57DAB516" w14:textId="77777777" w:rsidR="00E87E77" w:rsidRPr="00CF1787" w:rsidRDefault="00E87E77" w:rsidP="00D334A9">
      <w:pPr>
        <w:tabs>
          <w:tab w:val="left" w:pos="567"/>
          <w:tab w:val="left" w:pos="720"/>
        </w:tabs>
        <w:spacing w:before="40" w:after="40"/>
        <w:jc w:val="center"/>
        <w:rPr>
          <w:rFonts w:cs="Verdana"/>
          <w:color w:val="000000"/>
          <w:spacing w:val="-2"/>
          <w:sz w:val="16"/>
          <w:szCs w:val="20"/>
          <w:lang w:val="es-CR"/>
        </w:rPr>
      </w:pPr>
    </w:p>
    <w:p w14:paraId="7C61F271" w14:textId="77777777" w:rsidR="00E87E77" w:rsidRPr="00CF1787" w:rsidRDefault="00E87E77" w:rsidP="00D334A9">
      <w:pPr>
        <w:pStyle w:val="Default"/>
        <w:numPr>
          <w:ilvl w:val="0"/>
          <w:numId w:val="24"/>
        </w:numPr>
        <w:tabs>
          <w:tab w:val="left" w:pos="567"/>
        </w:tabs>
        <w:spacing w:before="40" w:after="40"/>
        <w:ind w:left="0" w:firstLine="0"/>
        <w:jc w:val="both"/>
        <w:rPr>
          <w:rFonts w:ascii="Verdana" w:hAnsi="Verdana"/>
          <w:spacing w:val="-2"/>
          <w:sz w:val="20"/>
          <w:szCs w:val="20"/>
          <w:lang w:val="es-CR"/>
        </w:rPr>
      </w:pPr>
      <w:r w:rsidRPr="00CF1787">
        <w:rPr>
          <w:rFonts w:ascii="Verdana" w:hAnsi="Verdana"/>
          <w:spacing w:val="-2"/>
          <w:sz w:val="20"/>
          <w:szCs w:val="20"/>
          <w:lang w:val="es-CR"/>
        </w:rPr>
        <w:t>Esta Sentencia constituye por sí misma</w:t>
      </w:r>
      <w:r w:rsidRPr="00CF1787">
        <w:rPr>
          <w:rFonts w:ascii="Verdana" w:hAnsi="Verdana"/>
          <w:i/>
          <w:spacing w:val="-2"/>
          <w:sz w:val="20"/>
          <w:szCs w:val="20"/>
          <w:lang w:val="es-CR"/>
        </w:rPr>
        <w:t xml:space="preserve"> </w:t>
      </w:r>
      <w:r w:rsidRPr="00CF1787">
        <w:rPr>
          <w:rFonts w:ascii="Verdana" w:hAnsi="Verdana"/>
          <w:spacing w:val="-2"/>
          <w:sz w:val="20"/>
          <w:szCs w:val="20"/>
          <w:lang w:val="es-CR"/>
        </w:rPr>
        <w:t xml:space="preserve">una forma de reparación. </w:t>
      </w:r>
    </w:p>
    <w:p w14:paraId="549ED701" w14:textId="77777777" w:rsidR="00105E51" w:rsidRPr="00CF1787" w:rsidRDefault="00105E51" w:rsidP="00D334A9">
      <w:pPr>
        <w:spacing w:before="40" w:after="40"/>
        <w:rPr>
          <w:lang w:val="es-CR" w:eastAsia="es-MX"/>
        </w:rPr>
      </w:pPr>
    </w:p>
    <w:p w14:paraId="6CAB283D" w14:textId="3DFC10CA" w:rsidR="00E87E77" w:rsidRPr="00CF1787" w:rsidRDefault="00E87E77" w:rsidP="00D334A9">
      <w:pPr>
        <w:pStyle w:val="PrrafodeSentencia"/>
        <w:numPr>
          <w:ilvl w:val="0"/>
          <w:numId w:val="24"/>
        </w:numPr>
        <w:spacing w:before="40" w:after="40"/>
        <w:ind w:left="0" w:firstLine="0"/>
        <w:rPr>
          <w:rFonts w:cs="ArialUnicodeMS"/>
          <w:strike/>
          <w:lang w:bidi="en-US"/>
        </w:rPr>
      </w:pPr>
      <w:r w:rsidRPr="00CF1787">
        <w:t xml:space="preserve">El Estado debe realizar las publicaciones indicadas en el párrafo </w:t>
      </w:r>
      <w:r w:rsidR="00A97EE6" w:rsidRPr="00CF1787">
        <w:fldChar w:fldCharType="begin"/>
      </w:r>
      <w:r w:rsidR="00A97EE6" w:rsidRPr="00CF1787">
        <w:instrText xml:space="preserve"> REF _Ref462933799 \r \h </w:instrText>
      </w:r>
      <w:r w:rsidR="00C2719F" w:rsidRPr="00CF1787">
        <w:instrText xml:space="preserve"> \* MERGEFORMAT </w:instrText>
      </w:r>
      <w:r w:rsidR="00A97EE6" w:rsidRPr="00CF1787">
        <w:fldChar w:fldCharType="separate"/>
      </w:r>
      <w:r w:rsidR="00536893">
        <w:t>158</w:t>
      </w:r>
      <w:r w:rsidR="00A97EE6" w:rsidRPr="00CF1787">
        <w:fldChar w:fldCharType="end"/>
      </w:r>
      <w:r w:rsidRPr="00CF1787">
        <w:t xml:space="preserve"> de esta Sentencia, de conformidad con lo establecido en dicho párrafo</w:t>
      </w:r>
      <w:r w:rsidR="00A97EE6" w:rsidRPr="00CF1787">
        <w:t xml:space="preserve"> y el siguiente</w:t>
      </w:r>
      <w:r w:rsidRPr="00CF1787">
        <w:t xml:space="preserve">. </w:t>
      </w:r>
    </w:p>
    <w:p w14:paraId="7D33950E" w14:textId="77777777" w:rsidR="00E87E77" w:rsidRPr="00CF1787" w:rsidRDefault="00E87E77" w:rsidP="00D334A9">
      <w:pPr>
        <w:pStyle w:val="PrrafodeSentencia"/>
        <w:numPr>
          <w:ilvl w:val="0"/>
          <w:numId w:val="0"/>
        </w:numPr>
        <w:spacing w:before="40" w:after="40"/>
        <w:rPr>
          <w:rFonts w:cs="ArialUnicodeMS"/>
          <w:lang w:bidi="en-US"/>
        </w:rPr>
      </w:pPr>
    </w:p>
    <w:p w14:paraId="3EEA45AE" w14:textId="6AB81246" w:rsidR="00E87E77" w:rsidRPr="00CF1787" w:rsidRDefault="00A97EE6" w:rsidP="00D334A9">
      <w:pPr>
        <w:pStyle w:val="PrrafodeSentencia"/>
        <w:numPr>
          <w:ilvl w:val="0"/>
          <w:numId w:val="24"/>
        </w:numPr>
        <w:spacing w:before="40" w:after="40"/>
        <w:ind w:left="0" w:firstLine="0"/>
        <w:rPr>
          <w:rFonts w:cs="ArialUnicodeMS"/>
          <w:lang w:bidi="en-US"/>
        </w:rPr>
      </w:pPr>
      <w:r w:rsidRPr="00CF1787">
        <w:t xml:space="preserve">El Estado debe pagar </w:t>
      </w:r>
      <w:r w:rsidR="00C92646" w:rsidRPr="00CF1787">
        <w:t>la</w:t>
      </w:r>
      <w:r w:rsidR="00C2719F" w:rsidRPr="00CF1787">
        <w:t>s</w:t>
      </w:r>
      <w:r w:rsidR="00C92646" w:rsidRPr="00CF1787">
        <w:t xml:space="preserve"> cantidad</w:t>
      </w:r>
      <w:r w:rsidR="00C2719F" w:rsidRPr="00CF1787">
        <w:t>es</w:t>
      </w:r>
      <w:r w:rsidR="00C92646" w:rsidRPr="00CF1787">
        <w:t xml:space="preserve"> fijada</w:t>
      </w:r>
      <w:r w:rsidR="00C2719F" w:rsidRPr="00CF1787">
        <w:t>s</w:t>
      </w:r>
      <w:r w:rsidR="00E87E77" w:rsidRPr="00CF1787">
        <w:t xml:space="preserve"> en </w:t>
      </w:r>
      <w:r w:rsidRPr="00CF1787">
        <w:t xml:space="preserve">los </w:t>
      </w:r>
      <w:r w:rsidR="00C92646" w:rsidRPr="00CF1787">
        <w:t>párrafo</w:t>
      </w:r>
      <w:r w:rsidRPr="00CF1787">
        <w:t>s</w:t>
      </w:r>
      <w:r w:rsidR="00E87E77" w:rsidRPr="00CF1787">
        <w:t xml:space="preserve"> </w:t>
      </w:r>
      <w:r w:rsidRPr="00CF1787">
        <w:fldChar w:fldCharType="begin"/>
      </w:r>
      <w:r w:rsidRPr="00CF1787">
        <w:instrText xml:space="preserve"> REF _Ref462933847 \r \h </w:instrText>
      </w:r>
      <w:r w:rsidR="00CF1787">
        <w:instrText xml:space="preserve"> \* MERGEFORMAT </w:instrText>
      </w:r>
      <w:r w:rsidRPr="00CF1787">
        <w:fldChar w:fldCharType="separate"/>
      </w:r>
      <w:r w:rsidR="00536893">
        <w:t>169</w:t>
      </w:r>
      <w:r w:rsidRPr="00CF1787">
        <w:fldChar w:fldCharType="end"/>
      </w:r>
      <w:r w:rsidR="008F7E35" w:rsidRPr="00CF1787">
        <w:t xml:space="preserve"> y </w:t>
      </w:r>
      <w:r w:rsidR="008F7E35" w:rsidRPr="00CF1787">
        <w:fldChar w:fldCharType="begin"/>
      </w:r>
      <w:r w:rsidR="008F7E35" w:rsidRPr="00CF1787">
        <w:instrText xml:space="preserve"> REF _Ref470007477 \r \h </w:instrText>
      </w:r>
      <w:r w:rsidR="00CF1787">
        <w:instrText xml:space="preserve"> \* MERGEFORMAT </w:instrText>
      </w:r>
      <w:r w:rsidR="008F7E35" w:rsidRPr="00CF1787">
        <w:fldChar w:fldCharType="separate"/>
      </w:r>
      <w:r w:rsidR="00536893">
        <w:t>174</w:t>
      </w:r>
      <w:r w:rsidR="008F7E35" w:rsidRPr="00CF1787">
        <w:fldChar w:fldCharType="end"/>
      </w:r>
      <w:r w:rsidRPr="00CF1787">
        <w:t xml:space="preserve"> </w:t>
      </w:r>
      <w:r w:rsidR="00C92646" w:rsidRPr="00CF1787">
        <w:t>por concepto de indemnización</w:t>
      </w:r>
      <w:r w:rsidR="00E87E77" w:rsidRPr="00CF1787">
        <w:t xml:space="preserve"> por daño </w:t>
      </w:r>
      <w:r w:rsidR="00C92646" w:rsidRPr="00CF1787">
        <w:t>in</w:t>
      </w:r>
      <w:r w:rsidR="00E87E77" w:rsidRPr="00CF1787">
        <w:t>material</w:t>
      </w:r>
      <w:r w:rsidR="008F7E35" w:rsidRPr="00CF1787">
        <w:t>,</w:t>
      </w:r>
      <w:r w:rsidR="00C92646" w:rsidRPr="00CF1787">
        <w:t xml:space="preserve"> </w:t>
      </w:r>
      <w:r w:rsidRPr="00CF1787">
        <w:t>así como p</w:t>
      </w:r>
      <w:r w:rsidR="00C2719F" w:rsidRPr="00CF1787">
        <w:t xml:space="preserve">or reintegro de costas y gastos, </w:t>
      </w:r>
      <w:r w:rsidR="00E87E77" w:rsidRPr="00CF1787">
        <w:t xml:space="preserve">en los términos </w:t>
      </w:r>
      <w:r w:rsidR="00C92646" w:rsidRPr="00CF1787">
        <w:t>de los</w:t>
      </w:r>
      <w:r w:rsidR="00E87E77" w:rsidRPr="00CF1787">
        <w:t xml:space="preserve"> párrafo</w:t>
      </w:r>
      <w:r w:rsidR="00C92646" w:rsidRPr="00CF1787">
        <w:t xml:space="preserve">s </w:t>
      </w:r>
      <w:r w:rsidR="008F7E35" w:rsidRPr="00CF1787">
        <w:fldChar w:fldCharType="begin"/>
      </w:r>
      <w:r w:rsidR="008F7E35" w:rsidRPr="00CF1787">
        <w:instrText xml:space="preserve"> REF _Ref462933966 \r \h </w:instrText>
      </w:r>
      <w:r w:rsidR="00CF1787">
        <w:instrText xml:space="preserve"> \* MERGEFORMAT </w:instrText>
      </w:r>
      <w:r w:rsidR="008F7E35" w:rsidRPr="00CF1787">
        <w:fldChar w:fldCharType="separate"/>
      </w:r>
      <w:r w:rsidR="00536893">
        <w:t>175</w:t>
      </w:r>
      <w:r w:rsidR="008F7E35" w:rsidRPr="00CF1787">
        <w:fldChar w:fldCharType="end"/>
      </w:r>
      <w:r w:rsidR="00C92646" w:rsidRPr="00CF1787">
        <w:t xml:space="preserve"> a </w:t>
      </w:r>
      <w:r w:rsidR="008F7E35" w:rsidRPr="00CF1787">
        <w:fldChar w:fldCharType="begin"/>
      </w:r>
      <w:r w:rsidR="008F7E35" w:rsidRPr="00CF1787">
        <w:instrText xml:space="preserve"> REF _Ref462933971 \r \h </w:instrText>
      </w:r>
      <w:r w:rsidR="00CF1787">
        <w:instrText xml:space="preserve"> \* MERGEFORMAT </w:instrText>
      </w:r>
      <w:r w:rsidR="008F7E35" w:rsidRPr="00CF1787">
        <w:fldChar w:fldCharType="separate"/>
      </w:r>
      <w:r w:rsidR="00536893">
        <w:t>180</w:t>
      </w:r>
      <w:r w:rsidR="008F7E35" w:rsidRPr="00CF1787">
        <w:fldChar w:fldCharType="end"/>
      </w:r>
      <w:r w:rsidR="00C92646" w:rsidRPr="00CF1787">
        <w:t xml:space="preserve"> </w:t>
      </w:r>
      <w:r w:rsidR="00E87E77" w:rsidRPr="00CF1787">
        <w:t xml:space="preserve">de esta Sentencia. </w:t>
      </w:r>
    </w:p>
    <w:p w14:paraId="3C7FE6F9" w14:textId="77777777" w:rsidR="00E87E77" w:rsidRPr="00CF1787" w:rsidRDefault="00E87E77" w:rsidP="00D334A9">
      <w:pPr>
        <w:pStyle w:val="PrrafodeSentencia"/>
        <w:numPr>
          <w:ilvl w:val="0"/>
          <w:numId w:val="0"/>
        </w:numPr>
        <w:spacing w:before="40" w:after="40"/>
        <w:rPr>
          <w:rFonts w:cs="ArialUnicodeMS"/>
          <w:lang w:bidi="en-US"/>
        </w:rPr>
      </w:pPr>
    </w:p>
    <w:p w14:paraId="11CCB23B" w14:textId="77777777" w:rsidR="00E87E77" w:rsidRPr="00CF1787" w:rsidRDefault="00E87E77" w:rsidP="00D334A9">
      <w:pPr>
        <w:pStyle w:val="PrrafodeSentencia"/>
        <w:numPr>
          <w:ilvl w:val="0"/>
          <w:numId w:val="24"/>
        </w:numPr>
        <w:spacing w:before="40" w:after="40"/>
        <w:ind w:left="0" w:firstLine="0"/>
        <w:rPr>
          <w:rFonts w:cs="ArialUnicodeMS"/>
          <w:lang w:bidi="en-US"/>
        </w:rPr>
      </w:pPr>
      <w:r w:rsidRPr="00CF1787">
        <w:t>El Estado debe rendir al Tribunal un informe, dentro del plazo de un año contado a partir de la notificación de esta Sentencia, sobre las medidas adoptadas para cumplir con la misma.</w:t>
      </w:r>
    </w:p>
    <w:p w14:paraId="74DE37C1" w14:textId="77777777" w:rsidR="00E87E77" w:rsidRPr="00CF1787" w:rsidRDefault="00E87E77" w:rsidP="00D334A9">
      <w:pPr>
        <w:pStyle w:val="PrrafodeSentencia"/>
        <w:numPr>
          <w:ilvl w:val="0"/>
          <w:numId w:val="0"/>
        </w:numPr>
        <w:spacing w:before="40" w:after="40"/>
        <w:rPr>
          <w:rFonts w:cs="ArialUnicodeMS"/>
          <w:lang w:bidi="en-US"/>
        </w:rPr>
      </w:pPr>
    </w:p>
    <w:p w14:paraId="0C0DDB68" w14:textId="77777777" w:rsidR="00756EDB" w:rsidRPr="00CF1787" w:rsidRDefault="00E87E77" w:rsidP="00D334A9">
      <w:pPr>
        <w:pStyle w:val="PrrafodeSentencia"/>
        <w:numPr>
          <w:ilvl w:val="0"/>
          <w:numId w:val="24"/>
        </w:numPr>
        <w:spacing w:before="40" w:after="40"/>
        <w:ind w:left="0" w:firstLine="0"/>
      </w:pPr>
      <w:r w:rsidRPr="00CF1787">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0AA6D4AA" w14:textId="77777777" w:rsidR="000A347B" w:rsidRPr="00CF1787" w:rsidRDefault="000A347B" w:rsidP="000A347B">
      <w:pPr>
        <w:rPr>
          <w:lang w:val="es-CR" w:eastAsia="es-MX"/>
        </w:rPr>
      </w:pPr>
    </w:p>
    <w:p w14:paraId="0C4D84E5" w14:textId="77777777" w:rsidR="00D334A9" w:rsidRPr="00CF1787" w:rsidRDefault="00D334A9" w:rsidP="000A347B">
      <w:pPr>
        <w:rPr>
          <w:lang w:val="es-CR" w:eastAsia="es-MX"/>
        </w:rPr>
      </w:pPr>
    </w:p>
    <w:p w14:paraId="3D3933DB" w14:textId="77777777" w:rsidR="000A347B" w:rsidRPr="00CF1787" w:rsidRDefault="000A347B" w:rsidP="000A347B">
      <w:r w:rsidRPr="00CF1787">
        <w:t>El Juez Sierra Porto hizo conocer a la Corte su Voto Concurrente y Parcialmente Disidente.</w:t>
      </w:r>
    </w:p>
    <w:p w14:paraId="568737F1" w14:textId="77777777" w:rsidR="000A347B" w:rsidRPr="00CF1787" w:rsidRDefault="000A347B" w:rsidP="000A347B"/>
    <w:p w14:paraId="14F007A8" w14:textId="77777777" w:rsidR="00D334A9" w:rsidRPr="00CF1787" w:rsidRDefault="00D334A9" w:rsidP="000A347B"/>
    <w:p w14:paraId="1C79FB29" w14:textId="77777777" w:rsidR="000A347B" w:rsidRDefault="000A347B" w:rsidP="000A347B">
      <w:r w:rsidRPr="00CF1787">
        <w:t>Redactada en español en San José, Costa Rica, el 29 de noviembre de 2016.</w:t>
      </w:r>
    </w:p>
    <w:p w14:paraId="5BE0C319" w14:textId="77777777" w:rsidR="008729EC" w:rsidRPr="008729EC" w:rsidRDefault="008729EC" w:rsidP="008729EC">
      <w:pPr>
        <w:keepNext/>
        <w:outlineLvl w:val="0"/>
        <w:rPr>
          <w:rFonts w:eastAsia="Times" w:cs="Times New Roman"/>
          <w:szCs w:val="20"/>
          <w:lang w:val="es-CR"/>
        </w:rPr>
      </w:pPr>
      <w:r w:rsidRPr="008729EC">
        <w:rPr>
          <w:rFonts w:eastAsia="Times" w:cs="Times New Roman"/>
          <w:szCs w:val="20"/>
          <w:lang w:val="es-ES"/>
        </w:rPr>
        <w:lastRenderedPageBreak/>
        <w:t xml:space="preserve">Sentencia de la Corte Interamericana de Derechos Humanos. </w:t>
      </w:r>
      <w:r w:rsidRPr="008729EC">
        <w:rPr>
          <w:rFonts w:eastAsia="Times" w:cs="Times New Roman"/>
          <w:szCs w:val="20"/>
          <w:lang w:val="es-CR"/>
        </w:rPr>
        <w:t>Caso Valencia Hinojosa y otra vs. Ecuador. Excepciones Preliminares, Fondo, Reparaciones y Costas.</w:t>
      </w:r>
    </w:p>
    <w:p w14:paraId="58A97FF4" w14:textId="77777777" w:rsidR="008729EC" w:rsidRPr="008729EC" w:rsidRDefault="008729EC" w:rsidP="008729EC">
      <w:pPr>
        <w:jc w:val="center"/>
        <w:rPr>
          <w:rFonts w:eastAsia="Times" w:cs="Times New Roman"/>
          <w:szCs w:val="20"/>
          <w:lang w:val="es-CR"/>
        </w:rPr>
      </w:pPr>
    </w:p>
    <w:p w14:paraId="799EA6BA" w14:textId="77777777" w:rsidR="008729EC" w:rsidRPr="008729EC" w:rsidRDefault="008729EC" w:rsidP="008729EC">
      <w:pPr>
        <w:jc w:val="center"/>
        <w:rPr>
          <w:rFonts w:eastAsia="Times" w:cs="Times New Roman"/>
          <w:szCs w:val="20"/>
          <w:lang w:val="es-ES"/>
        </w:rPr>
      </w:pPr>
    </w:p>
    <w:p w14:paraId="566F2DC6" w14:textId="77777777" w:rsidR="008729EC" w:rsidRPr="008729EC" w:rsidRDefault="008729EC" w:rsidP="008729EC">
      <w:pPr>
        <w:jc w:val="center"/>
        <w:rPr>
          <w:rFonts w:eastAsia="Times" w:cs="Times New Roman"/>
          <w:szCs w:val="20"/>
          <w:lang w:val="es-ES"/>
        </w:rPr>
      </w:pPr>
    </w:p>
    <w:p w14:paraId="023BD6AE" w14:textId="77777777" w:rsidR="008729EC" w:rsidRPr="008729EC" w:rsidRDefault="008729EC" w:rsidP="008729EC">
      <w:pPr>
        <w:jc w:val="center"/>
        <w:rPr>
          <w:rFonts w:eastAsia="Times" w:cs="Times New Roman"/>
          <w:szCs w:val="20"/>
          <w:lang w:val="es-ES"/>
        </w:rPr>
      </w:pPr>
    </w:p>
    <w:p w14:paraId="4CA78B34" w14:textId="77777777" w:rsidR="008729EC" w:rsidRPr="008729EC" w:rsidRDefault="008729EC" w:rsidP="008729EC">
      <w:pPr>
        <w:jc w:val="center"/>
        <w:rPr>
          <w:rFonts w:eastAsia="Times" w:cs="Times New Roman"/>
          <w:szCs w:val="20"/>
          <w:lang w:val="es-ES"/>
        </w:rPr>
      </w:pPr>
    </w:p>
    <w:p w14:paraId="52943A5C" w14:textId="77777777" w:rsidR="008729EC" w:rsidRPr="008729EC" w:rsidRDefault="008729EC" w:rsidP="008729EC">
      <w:pPr>
        <w:jc w:val="center"/>
        <w:rPr>
          <w:rFonts w:eastAsia="Times" w:cs="Times New Roman"/>
          <w:szCs w:val="20"/>
          <w:lang w:val="es-ES"/>
        </w:rPr>
      </w:pPr>
      <w:r w:rsidRPr="008729EC">
        <w:rPr>
          <w:rFonts w:eastAsia="Times" w:cs="Times New Roman"/>
          <w:szCs w:val="20"/>
          <w:lang w:val="es-ES"/>
        </w:rPr>
        <w:t>Roberto F. Caldas</w:t>
      </w:r>
    </w:p>
    <w:p w14:paraId="1B8FBE8E" w14:textId="77777777" w:rsidR="008729EC" w:rsidRPr="008729EC" w:rsidRDefault="008729EC" w:rsidP="008729EC">
      <w:pPr>
        <w:jc w:val="center"/>
        <w:rPr>
          <w:rFonts w:eastAsia="Times" w:cs="Times New Roman"/>
          <w:szCs w:val="20"/>
          <w:lang w:val="es-ES"/>
        </w:rPr>
      </w:pPr>
      <w:r w:rsidRPr="008729EC">
        <w:rPr>
          <w:rFonts w:eastAsia="Times" w:cs="Times New Roman"/>
          <w:szCs w:val="20"/>
          <w:lang w:val="es-ES"/>
        </w:rPr>
        <w:t xml:space="preserve">Presidente </w:t>
      </w:r>
    </w:p>
    <w:p w14:paraId="748E0CF9" w14:textId="77777777" w:rsidR="008729EC" w:rsidRPr="008729EC" w:rsidRDefault="008729EC" w:rsidP="008729EC">
      <w:pPr>
        <w:rPr>
          <w:rFonts w:eastAsia="Times" w:cs="Times New Roman"/>
          <w:szCs w:val="20"/>
          <w:lang w:val="es-ES"/>
        </w:rPr>
      </w:pPr>
    </w:p>
    <w:p w14:paraId="08949FED" w14:textId="77777777" w:rsidR="008729EC" w:rsidRPr="008729EC" w:rsidRDefault="008729EC" w:rsidP="008729EC">
      <w:pPr>
        <w:rPr>
          <w:rFonts w:eastAsia="Times" w:cs="Times New Roman"/>
          <w:szCs w:val="20"/>
          <w:lang w:val="es-ES"/>
        </w:rPr>
      </w:pPr>
    </w:p>
    <w:p w14:paraId="48C7F720" w14:textId="77777777" w:rsidR="008729EC" w:rsidRPr="008729EC" w:rsidRDefault="008729EC" w:rsidP="008729EC">
      <w:pPr>
        <w:rPr>
          <w:rFonts w:eastAsia="Times" w:cs="Times New Roman"/>
          <w:szCs w:val="20"/>
          <w:lang w:val="es-ES"/>
        </w:rPr>
      </w:pPr>
    </w:p>
    <w:p w14:paraId="3A607106" w14:textId="77777777" w:rsidR="008729EC" w:rsidRPr="008729EC" w:rsidRDefault="008729EC" w:rsidP="008729EC">
      <w:pPr>
        <w:rPr>
          <w:rFonts w:eastAsia="Times" w:cs="Times New Roman"/>
          <w:szCs w:val="20"/>
          <w:lang w:val="es-ES"/>
        </w:rPr>
      </w:pPr>
    </w:p>
    <w:p w14:paraId="20DCCA53" w14:textId="77777777" w:rsidR="008729EC" w:rsidRPr="008729EC" w:rsidRDefault="008729EC" w:rsidP="008729EC">
      <w:pPr>
        <w:rPr>
          <w:rFonts w:eastAsia="Times" w:cs="Times New Roman"/>
          <w:szCs w:val="20"/>
          <w:lang w:val="es-ES"/>
        </w:rPr>
      </w:pPr>
    </w:p>
    <w:p w14:paraId="514A8F25" w14:textId="77777777" w:rsidR="008729EC" w:rsidRPr="008729EC" w:rsidRDefault="008729EC" w:rsidP="008729EC">
      <w:pPr>
        <w:rPr>
          <w:rFonts w:eastAsia="Times" w:cs="Times New Roman"/>
          <w:szCs w:val="20"/>
          <w:lang w:val="es-ES"/>
        </w:rPr>
      </w:pPr>
      <w:r w:rsidRPr="008729EC">
        <w:rPr>
          <w:rFonts w:eastAsia="Times" w:cs="Times New Roman"/>
          <w:szCs w:val="20"/>
          <w:lang w:val="es-ES"/>
        </w:rPr>
        <w:t xml:space="preserve">Eduardo Ferrer Mac-Gregor </w:t>
      </w:r>
      <w:proofErr w:type="spellStart"/>
      <w:r w:rsidRPr="008729EC">
        <w:rPr>
          <w:rFonts w:eastAsia="Times" w:cs="Times New Roman"/>
          <w:szCs w:val="20"/>
          <w:lang w:val="es-ES"/>
        </w:rPr>
        <w:t>Poisot</w:t>
      </w:r>
      <w:proofErr w:type="spellEnd"/>
      <w:r w:rsidRPr="008729EC">
        <w:rPr>
          <w:rFonts w:eastAsia="Times" w:cs="Times New Roman"/>
          <w:szCs w:val="20"/>
          <w:lang w:val="es-ES"/>
        </w:rPr>
        <w:tab/>
      </w:r>
      <w:r w:rsidRPr="008729EC">
        <w:rPr>
          <w:rFonts w:eastAsia="Times" w:cs="Times New Roman"/>
          <w:szCs w:val="20"/>
          <w:lang w:val="es-ES"/>
        </w:rPr>
        <w:tab/>
      </w:r>
      <w:r w:rsidRPr="008729EC">
        <w:rPr>
          <w:rFonts w:eastAsia="Times" w:cs="Times New Roman"/>
          <w:szCs w:val="20"/>
          <w:lang w:val="es-ES"/>
        </w:rPr>
        <w:tab/>
      </w:r>
      <w:r w:rsidRPr="008729EC">
        <w:rPr>
          <w:rFonts w:eastAsia="Times" w:cs="Times New Roman"/>
          <w:szCs w:val="20"/>
          <w:lang w:val="es-ES"/>
        </w:rPr>
        <w:tab/>
      </w:r>
      <w:r w:rsidRPr="008729EC">
        <w:rPr>
          <w:rFonts w:eastAsia="Times" w:cs="Times New Roman"/>
          <w:szCs w:val="20"/>
          <w:lang w:val="es-ES"/>
        </w:rPr>
        <w:tab/>
        <w:t xml:space="preserve">       Eduardo Vio Grossi</w:t>
      </w:r>
    </w:p>
    <w:p w14:paraId="346252BD" w14:textId="77777777" w:rsidR="008729EC" w:rsidRPr="008729EC" w:rsidRDefault="008729EC" w:rsidP="008729EC">
      <w:pPr>
        <w:rPr>
          <w:rFonts w:eastAsia="Times" w:cs="Times New Roman"/>
          <w:szCs w:val="20"/>
          <w:lang w:val="es-ES"/>
        </w:rPr>
      </w:pPr>
    </w:p>
    <w:p w14:paraId="3B0CDD66" w14:textId="77777777" w:rsidR="008729EC" w:rsidRPr="008729EC" w:rsidRDefault="008729EC" w:rsidP="008729EC">
      <w:pPr>
        <w:rPr>
          <w:rFonts w:eastAsia="Times" w:cs="Times New Roman"/>
          <w:szCs w:val="20"/>
          <w:lang w:val="es-ES"/>
        </w:rPr>
      </w:pPr>
    </w:p>
    <w:p w14:paraId="7796697E" w14:textId="77777777" w:rsidR="008729EC" w:rsidRPr="008729EC" w:rsidRDefault="008729EC" w:rsidP="008729EC">
      <w:pPr>
        <w:rPr>
          <w:rFonts w:eastAsia="Times" w:cs="Times New Roman"/>
          <w:szCs w:val="20"/>
          <w:lang w:val="es-ES"/>
        </w:rPr>
      </w:pPr>
    </w:p>
    <w:p w14:paraId="605A0600" w14:textId="77777777" w:rsidR="008729EC" w:rsidRPr="008729EC" w:rsidRDefault="008729EC" w:rsidP="008729EC">
      <w:pPr>
        <w:rPr>
          <w:rFonts w:eastAsia="Times" w:cs="Times New Roman"/>
          <w:szCs w:val="20"/>
          <w:lang w:val="es-ES"/>
        </w:rPr>
      </w:pPr>
    </w:p>
    <w:p w14:paraId="78A5182C" w14:textId="77777777" w:rsidR="008729EC" w:rsidRPr="008729EC" w:rsidRDefault="008729EC" w:rsidP="008729EC">
      <w:pPr>
        <w:rPr>
          <w:rFonts w:eastAsia="Times" w:cs="Times New Roman"/>
          <w:szCs w:val="20"/>
          <w:lang w:val="es-ES"/>
        </w:rPr>
      </w:pPr>
    </w:p>
    <w:p w14:paraId="709D3895" w14:textId="77777777" w:rsidR="008729EC" w:rsidRPr="008729EC" w:rsidRDefault="008729EC" w:rsidP="008729EC">
      <w:pPr>
        <w:rPr>
          <w:rFonts w:eastAsia="Times" w:cs="Times New Roman"/>
          <w:szCs w:val="20"/>
          <w:lang w:val="es-ES"/>
        </w:rPr>
      </w:pPr>
      <w:r w:rsidRPr="008729EC">
        <w:rPr>
          <w:rFonts w:eastAsia="Times" w:cs="Times New Roman"/>
          <w:szCs w:val="20"/>
          <w:lang w:val="es-ES"/>
        </w:rPr>
        <w:t>Humberto Antonio Sierra Porto</w:t>
      </w:r>
      <w:r w:rsidRPr="008729EC">
        <w:rPr>
          <w:rFonts w:eastAsia="Times" w:cs="Times New Roman"/>
          <w:szCs w:val="20"/>
          <w:lang w:val="es-ES"/>
        </w:rPr>
        <w:tab/>
      </w:r>
      <w:r w:rsidRPr="008729EC">
        <w:rPr>
          <w:rFonts w:eastAsia="Times" w:cs="Times New Roman"/>
          <w:szCs w:val="20"/>
          <w:lang w:val="es-ES"/>
        </w:rPr>
        <w:tab/>
      </w:r>
      <w:r w:rsidRPr="008729EC">
        <w:rPr>
          <w:rFonts w:eastAsia="Times" w:cs="Times New Roman"/>
          <w:szCs w:val="20"/>
          <w:lang w:val="es-ES"/>
        </w:rPr>
        <w:tab/>
      </w:r>
      <w:r w:rsidRPr="008729EC">
        <w:rPr>
          <w:rFonts w:eastAsia="Times" w:cs="Times New Roman"/>
          <w:szCs w:val="20"/>
          <w:lang w:val="es-ES"/>
        </w:rPr>
        <w:tab/>
      </w:r>
      <w:r w:rsidRPr="008729EC">
        <w:rPr>
          <w:rFonts w:eastAsia="Times" w:cs="Times New Roman"/>
          <w:szCs w:val="20"/>
          <w:lang w:val="es-ES"/>
        </w:rPr>
        <w:tab/>
        <w:t xml:space="preserve">    Elizabeth Odio Benito </w:t>
      </w:r>
    </w:p>
    <w:p w14:paraId="5A909BD8" w14:textId="77777777" w:rsidR="008729EC" w:rsidRPr="008729EC" w:rsidRDefault="008729EC" w:rsidP="008729EC">
      <w:pPr>
        <w:rPr>
          <w:rFonts w:eastAsia="Times" w:cs="Times New Roman"/>
          <w:szCs w:val="20"/>
          <w:lang w:val="es-ES"/>
        </w:rPr>
      </w:pPr>
    </w:p>
    <w:p w14:paraId="78B7A713" w14:textId="77777777" w:rsidR="008729EC" w:rsidRPr="008729EC" w:rsidRDefault="008729EC" w:rsidP="008729EC">
      <w:pPr>
        <w:rPr>
          <w:rFonts w:eastAsia="Times" w:cs="Times New Roman"/>
          <w:szCs w:val="20"/>
          <w:lang w:val="es-ES"/>
        </w:rPr>
      </w:pPr>
    </w:p>
    <w:p w14:paraId="38917C8A" w14:textId="77777777" w:rsidR="008729EC" w:rsidRPr="008729EC" w:rsidRDefault="008729EC" w:rsidP="008729EC">
      <w:pPr>
        <w:rPr>
          <w:rFonts w:eastAsia="Times" w:cs="Times New Roman"/>
          <w:szCs w:val="20"/>
          <w:lang w:val="es-ES"/>
        </w:rPr>
      </w:pPr>
    </w:p>
    <w:p w14:paraId="40637E8B" w14:textId="77777777" w:rsidR="008729EC" w:rsidRPr="008729EC" w:rsidRDefault="008729EC" w:rsidP="008729EC">
      <w:pPr>
        <w:rPr>
          <w:rFonts w:eastAsia="Times" w:cs="Times New Roman"/>
          <w:szCs w:val="20"/>
          <w:lang w:val="es-ES"/>
        </w:rPr>
      </w:pPr>
    </w:p>
    <w:p w14:paraId="43FA6E1E" w14:textId="77777777" w:rsidR="008729EC" w:rsidRPr="008729EC" w:rsidRDefault="008729EC" w:rsidP="008729EC">
      <w:pPr>
        <w:rPr>
          <w:rFonts w:eastAsia="Times" w:cs="Times New Roman"/>
          <w:szCs w:val="20"/>
          <w:lang w:val="es-ES"/>
        </w:rPr>
      </w:pPr>
    </w:p>
    <w:p w14:paraId="795F43A5" w14:textId="77777777" w:rsidR="008729EC" w:rsidRPr="008729EC" w:rsidRDefault="008729EC" w:rsidP="008729EC">
      <w:pPr>
        <w:jc w:val="center"/>
        <w:rPr>
          <w:rFonts w:eastAsia="Times" w:cs="Times New Roman"/>
          <w:szCs w:val="20"/>
          <w:lang w:val="es-ES"/>
        </w:rPr>
      </w:pPr>
      <w:r w:rsidRPr="008729EC">
        <w:rPr>
          <w:rFonts w:eastAsia="Times" w:cs="Times New Roman"/>
          <w:szCs w:val="20"/>
          <w:lang w:val="es-ES"/>
        </w:rPr>
        <w:t xml:space="preserve">Eugenio Raúl </w:t>
      </w:r>
      <w:proofErr w:type="spellStart"/>
      <w:r w:rsidRPr="008729EC">
        <w:rPr>
          <w:rFonts w:eastAsia="Times" w:cs="Times New Roman"/>
          <w:szCs w:val="20"/>
          <w:lang w:val="es-ES"/>
        </w:rPr>
        <w:t>Zaffaroni</w:t>
      </w:r>
      <w:proofErr w:type="spellEnd"/>
    </w:p>
    <w:p w14:paraId="56B30D79" w14:textId="77777777" w:rsidR="008729EC" w:rsidRPr="008729EC" w:rsidRDefault="008729EC" w:rsidP="008729EC">
      <w:pPr>
        <w:rPr>
          <w:rFonts w:eastAsia="Times" w:cs="Times New Roman"/>
          <w:szCs w:val="20"/>
          <w:lang w:val="es-ES"/>
        </w:rPr>
      </w:pPr>
    </w:p>
    <w:p w14:paraId="2E18B074" w14:textId="77777777" w:rsidR="008729EC" w:rsidRPr="008729EC" w:rsidRDefault="008729EC" w:rsidP="008729EC">
      <w:pPr>
        <w:rPr>
          <w:rFonts w:eastAsia="Times" w:cs="Times New Roman"/>
          <w:szCs w:val="20"/>
          <w:lang w:val="es-ES"/>
        </w:rPr>
      </w:pPr>
    </w:p>
    <w:p w14:paraId="04360F49" w14:textId="77777777" w:rsidR="008729EC" w:rsidRPr="008729EC" w:rsidRDefault="008729EC" w:rsidP="008729EC">
      <w:pPr>
        <w:rPr>
          <w:rFonts w:eastAsia="Times" w:cs="Times New Roman"/>
          <w:szCs w:val="20"/>
          <w:lang w:val="es-ES"/>
        </w:rPr>
      </w:pPr>
    </w:p>
    <w:p w14:paraId="28F51F64" w14:textId="77777777" w:rsidR="008729EC" w:rsidRPr="008729EC" w:rsidRDefault="008729EC" w:rsidP="008729EC">
      <w:pPr>
        <w:rPr>
          <w:rFonts w:eastAsia="Times" w:cs="Times New Roman"/>
          <w:szCs w:val="20"/>
          <w:lang w:val="es-CR"/>
        </w:rPr>
      </w:pPr>
    </w:p>
    <w:p w14:paraId="5EC1F7D3" w14:textId="77777777" w:rsidR="008729EC" w:rsidRPr="008729EC" w:rsidRDefault="008729EC" w:rsidP="008729EC">
      <w:pPr>
        <w:rPr>
          <w:rFonts w:eastAsia="Times" w:cs="Times New Roman"/>
          <w:szCs w:val="20"/>
          <w:lang w:val="es-ES"/>
        </w:rPr>
      </w:pPr>
    </w:p>
    <w:p w14:paraId="524D31D8" w14:textId="77777777" w:rsidR="008729EC" w:rsidRPr="008729EC" w:rsidRDefault="008729EC" w:rsidP="008729EC">
      <w:pPr>
        <w:jc w:val="center"/>
        <w:rPr>
          <w:rFonts w:eastAsia="Times" w:cs="Times New Roman"/>
          <w:szCs w:val="20"/>
          <w:lang w:val="es-ES"/>
        </w:rPr>
      </w:pPr>
      <w:r w:rsidRPr="008729EC">
        <w:rPr>
          <w:rFonts w:eastAsia="Times" w:cs="Times New Roman"/>
          <w:szCs w:val="20"/>
          <w:lang w:val="es-ES"/>
        </w:rPr>
        <w:t>Pablo Saavedra Alessandri</w:t>
      </w:r>
    </w:p>
    <w:p w14:paraId="767DFD4A" w14:textId="77777777" w:rsidR="008729EC" w:rsidRPr="008729EC" w:rsidRDefault="008729EC" w:rsidP="008729EC">
      <w:pPr>
        <w:jc w:val="center"/>
        <w:rPr>
          <w:rFonts w:eastAsia="Times" w:cs="Times New Roman"/>
          <w:szCs w:val="20"/>
          <w:lang w:val="es-ES"/>
        </w:rPr>
      </w:pPr>
      <w:r w:rsidRPr="008729EC">
        <w:rPr>
          <w:rFonts w:eastAsia="Times" w:cs="Times New Roman"/>
          <w:szCs w:val="20"/>
          <w:lang w:val="es-ES"/>
        </w:rPr>
        <w:t>Secretario</w:t>
      </w:r>
    </w:p>
    <w:p w14:paraId="5A6AE735" w14:textId="77777777" w:rsidR="008729EC" w:rsidRPr="008729EC" w:rsidRDefault="008729EC" w:rsidP="008729EC">
      <w:pPr>
        <w:jc w:val="left"/>
        <w:rPr>
          <w:rFonts w:eastAsia="Times" w:cs="Times New Roman"/>
          <w:szCs w:val="20"/>
          <w:lang w:val="es-ES"/>
        </w:rPr>
      </w:pPr>
    </w:p>
    <w:p w14:paraId="5234C8AD" w14:textId="77777777" w:rsidR="008729EC" w:rsidRPr="008729EC" w:rsidRDefault="008729EC" w:rsidP="008729EC">
      <w:pPr>
        <w:rPr>
          <w:rFonts w:eastAsia="Times" w:cs="Times New Roman"/>
          <w:szCs w:val="20"/>
          <w:lang w:val="es-ES"/>
        </w:rPr>
      </w:pPr>
    </w:p>
    <w:p w14:paraId="4E036851" w14:textId="77777777" w:rsidR="008729EC" w:rsidRPr="008729EC" w:rsidRDefault="008729EC" w:rsidP="008729EC">
      <w:pPr>
        <w:rPr>
          <w:rFonts w:eastAsia="Times" w:cs="Times New Roman"/>
          <w:szCs w:val="20"/>
          <w:lang w:val="es-ES"/>
        </w:rPr>
      </w:pPr>
    </w:p>
    <w:p w14:paraId="73C5D299" w14:textId="77777777" w:rsidR="008729EC" w:rsidRPr="008729EC" w:rsidRDefault="008729EC" w:rsidP="008729EC">
      <w:pPr>
        <w:rPr>
          <w:rFonts w:eastAsia="Times" w:cs="Times New Roman"/>
          <w:szCs w:val="20"/>
          <w:lang w:val="es-ES"/>
        </w:rPr>
      </w:pPr>
    </w:p>
    <w:p w14:paraId="072D3C5C" w14:textId="77777777" w:rsidR="008729EC" w:rsidRPr="008729EC" w:rsidRDefault="008729EC" w:rsidP="008729EC">
      <w:pPr>
        <w:rPr>
          <w:rFonts w:eastAsia="Times" w:cs="Times New Roman"/>
          <w:szCs w:val="20"/>
          <w:lang w:val="es-ES"/>
        </w:rPr>
      </w:pPr>
    </w:p>
    <w:p w14:paraId="6D7143CD" w14:textId="77777777" w:rsidR="008729EC" w:rsidRPr="008729EC" w:rsidRDefault="008729EC" w:rsidP="008729EC">
      <w:pPr>
        <w:rPr>
          <w:rFonts w:eastAsia="Times" w:cs="Times New Roman"/>
          <w:szCs w:val="20"/>
          <w:lang w:val="es-ES"/>
        </w:rPr>
      </w:pPr>
      <w:r w:rsidRPr="008729EC">
        <w:rPr>
          <w:rFonts w:eastAsia="Times" w:cs="Times New Roman"/>
          <w:szCs w:val="20"/>
          <w:lang w:val="es-ES"/>
        </w:rPr>
        <w:t>Comuníquese y ejecútese,</w:t>
      </w:r>
    </w:p>
    <w:p w14:paraId="2D42FA06" w14:textId="77777777" w:rsidR="008729EC" w:rsidRPr="008729EC" w:rsidRDefault="008729EC" w:rsidP="008729EC">
      <w:pPr>
        <w:rPr>
          <w:rFonts w:eastAsia="Times" w:cs="Times New Roman"/>
          <w:szCs w:val="20"/>
          <w:lang w:val="es-ES"/>
        </w:rPr>
      </w:pPr>
    </w:p>
    <w:p w14:paraId="7D7E76E4" w14:textId="77777777" w:rsidR="008729EC" w:rsidRPr="008729EC" w:rsidRDefault="008729EC" w:rsidP="008729EC">
      <w:pPr>
        <w:rPr>
          <w:rFonts w:eastAsia="Times" w:cs="Times New Roman"/>
          <w:szCs w:val="20"/>
          <w:lang w:val="es-ES"/>
        </w:rPr>
      </w:pPr>
    </w:p>
    <w:p w14:paraId="77A40A4D" w14:textId="77777777" w:rsidR="008729EC" w:rsidRPr="008729EC" w:rsidRDefault="008729EC" w:rsidP="008729EC">
      <w:pPr>
        <w:rPr>
          <w:rFonts w:eastAsia="Times" w:cs="Times New Roman"/>
          <w:szCs w:val="20"/>
          <w:lang w:val="es-ES"/>
        </w:rPr>
      </w:pPr>
    </w:p>
    <w:p w14:paraId="6B2C2761" w14:textId="77777777" w:rsidR="008729EC" w:rsidRPr="008729EC" w:rsidRDefault="008729EC" w:rsidP="008729EC">
      <w:pPr>
        <w:rPr>
          <w:rFonts w:eastAsia="Times" w:cs="Times New Roman"/>
          <w:szCs w:val="20"/>
          <w:lang w:val="es-ES"/>
        </w:rPr>
      </w:pPr>
    </w:p>
    <w:p w14:paraId="17EF9460" w14:textId="77777777" w:rsidR="008729EC" w:rsidRPr="008729EC" w:rsidRDefault="008729EC" w:rsidP="008729EC">
      <w:pPr>
        <w:rPr>
          <w:rFonts w:eastAsia="Times" w:cs="Times New Roman"/>
          <w:szCs w:val="20"/>
          <w:lang w:val="es-CR"/>
        </w:rPr>
      </w:pPr>
    </w:p>
    <w:p w14:paraId="5D1BDC26" w14:textId="77777777" w:rsidR="008729EC" w:rsidRPr="008729EC" w:rsidRDefault="008729EC" w:rsidP="008729EC">
      <w:pPr>
        <w:ind w:left="5664"/>
        <w:jc w:val="center"/>
        <w:rPr>
          <w:rFonts w:eastAsia="Times" w:cs="Times New Roman"/>
          <w:szCs w:val="20"/>
          <w:lang w:val="es-ES"/>
        </w:rPr>
      </w:pPr>
      <w:r w:rsidRPr="008729EC">
        <w:rPr>
          <w:rFonts w:eastAsia="Times" w:cs="Times New Roman"/>
          <w:szCs w:val="20"/>
          <w:lang w:val="es-ES"/>
        </w:rPr>
        <w:t>Roberto F. Caldas</w:t>
      </w:r>
    </w:p>
    <w:p w14:paraId="10D97D44" w14:textId="77777777" w:rsidR="008729EC" w:rsidRPr="008729EC" w:rsidRDefault="008729EC" w:rsidP="008729EC">
      <w:pPr>
        <w:ind w:left="5664"/>
        <w:jc w:val="center"/>
        <w:rPr>
          <w:rFonts w:eastAsia="Times" w:cs="Times New Roman"/>
          <w:szCs w:val="20"/>
          <w:lang w:val="es-ES"/>
        </w:rPr>
      </w:pPr>
      <w:r w:rsidRPr="008729EC">
        <w:rPr>
          <w:rFonts w:eastAsia="Times" w:cs="Times New Roman"/>
          <w:szCs w:val="20"/>
          <w:lang w:val="es-ES"/>
        </w:rPr>
        <w:t>Presidente</w:t>
      </w:r>
    </w:p>
    <w:p w14:paraId="02A75CEB" w14:textId="77777777" w:rsidR="008729EC" w:rsidRPr="008729EC" w:rsidRDefault="008729EC" w:rsidP="008729EC">
      <w:pPr>
        <w:rPr>
          <w:rFonts w:eastAsia="Times" w:cs="Times New Roman"/>
          <w:szCs w:val="20"/>
          <w:lang w:val="es-ES"/>
        </w:rPr>
      </w:pPr>
    </w:p>
    <w:p w14:paraId="69A45439" w14:textId="77777777" w:rsidR="008729EC" w:rsidRPr="008729EC" w:rsidRDefault="008729EC" w:rsidP="008729EC">
      <w:pPr>
        <w:rPr>
          <w:rFonts w:eastAsia="Times" w:cs="Times New Roman"/>
          <w:szCs w:val="20"/>
          <w:lang w:val="es-ES"/>
        </w:rPr>
      </w:pPr>
    </w:p>
    <w:p w14:paraId="603FF908" w14:textId="77777777" w:rsidR="008729EC" w:rsidRPr="008729EC" w:rsidRDefault="008729EC" w:rsidP="008729EC">
      <w:pPr>
        <w:rPr>
          <w:rFonts w:eastAsia="Times" w:cs="Times New Roman"/>
          <w:szCs w:val="20"/>
          <w:lang w:val="es-ES"/>
        </w:rPr>
      </w:pPr>
    </w:p>
    <w:p w14:paraId="11418F16" w14:textId="77777777" w:rsidR="008729EC" w:rsidRPr="008729EC" w:rsidRDefault="008729EC" w:rsidP="008729EC">
      <w:pPr>
        <w:rPr>
          <w:rFonts w:eastAsia="Times" w:cs="Times New Roman"/>
          <w:szCs w:val="20"/>
          <w:lang w:val="es-ES"/>
        </w:rPr>
      </w:pPr>
    </w:p>
    <w:p w14:paraId="1B1AF70B" w14:textId="77777777" w:rsidR="008729EC" w:rsidRPr="008729EC" w:rsidRDefault="008729EC" w:rsidP="008729EC">
      <w:pPr>
        <w:rPr>
          <w:rFonts w:eastAsia="Times" w:cs="Times New Roman"/>
          <w:szCs w:val="20"/>
          <w:lang w:val="es-ES"/>
        </w:rPr>
      </w:pPr>
      <w:r w:rsidRPr="008729EC">
        <w:rPr>
          <w:rFonts w:eastAsia="Times" w:cs="Times New Roman"/>
          <w:szCs w:val="20"/>
          <w:lang w:val="es-ES"/>
        </w:rPr>
        <w:t>Pablo Saavedra Alessandri</w:t>
      </w:r>
    </w:p>
    <w:p w14:paraId="3AB82D6E" w14:textId="77777777" w:rsidR="008729EC" w:rsidRDefault="008729EC" w:rsidP="008729EC">
      <w:pPr>
        <w:jc w:val="left"/>
        <w:rPr>
          <w:rFonts w:eastAsia="Times" w:cs="Times New Roman"/>
          <w:szCs w:val="20"/>
          <w:lang w:val="es-CR"/>
        </w:rPr>
        <w:sectPr w:rsidR="008729EC" w:rsidSect="00757BC9">
          <w:headerReference w:type="default" r:id="rId9"/>
          <w:footerReference w:type="default" r:id="rId10"/>
          <w:pgSz w:w="12240" w:h="15840"/>
          <w:pgMar w:top="1418" w:right="1304" w:bottom="1418" w:left="1304" w:header="720" w:footer="720" w:gutter="0"/>
          <w:cols w:space="720"/>
          <w:titlePg/>
          <w:docGrid w:linePitch="360"/>
        </w:sectPr>
      </w:pPr>
      <w:r w:rsidRPr="008729EC">
        <w:rPr>
          <w:rFonts w:eastAsia="Times" w:cs="Times New Roman"/>
          <w:szCs w:val="20"/>
          <w:lang w:val="es-ES"/>
        </w:rPr>
        <w:tab/>
      </w:r>
      <w:r w:rsidRPr="008729EC">
        <w:rPr>
          <w:rFonts w:eastAsia="Times" w:cs="Times New Roman"/>
          <w:szCs w:val="20"/>
          <w:lang w:val="es-CR"/>
        </w:rPr>
        <w:t>Secretario</w:t>
      </w:r>
    </w:p>
    <w:p w14:paraId="21F45634" w14:textId="77777777" w:rsidR="008729EC" w:rsidRPr="008729EC" w:rsidRDefault="008729EC" w:rsidP="008729EC">
      <w:pPr>
        <w:tabs>
          <w:tab w:val="left" w:pos="567"/>
          <w:tab w:val="left" w:pos="1134"/>
        </w:tabs>
        <w:ind w:right="29"/>
        <w:jc w:val="center"/>
        <w:rPr>
          <w:rFonts w:cs="Times New Roman"/>
          <w:b/>
          <w:szCs w:val="20"/>
          <w:lang w:val="es-CR"/>
        </w:rPr>
      </w:pPr>
    </w:p>
    <w:p w14:paraId="359BC7E8" w14:textId="77777777" w:rsidR="008729EC" w:rsidRPr="008729EC" w:rsidRDefault="008729EC" w:rsidP="008729EC">
      <w:pPr>
        <w:tabs>
          <w:tab w:val="left" w:pos="567"/>
          <w:tab w:val="left" w:pos="1134"/>
        </w:tabs>
        <w:ind w:right="29"/>
        <w:jc w:val="center"/>
        <w:rPr>
          <w:rFonts w:cs="Times New Roman"/>
          <w:b/>
          <w:szCs w:val="20"/>
          <w:lang w:val="es-CR"/>
        </w:rPr>
      </w:pPr>
    </w:p>
    <w:p w14:paraId="3450DFE8" w14:textId="77777777" w:rsidR="008729EC" w:rsidRPr="008729EC" w:rsidRDefault="008729EC" w:rsidP="008729EC">
      <w:pPr>
        <w:tabs>
          <w:tab w:val="left" w:pos="567"/>
          <w:tab w:val="left" w:pos="1134"/>
        </w:tabs>
        <w:ind w:right="29"/>
        <w:jc w:val="center"/>
        <w:rPr>
          <w:rFonts w:cs="Times New Roman"/>
          <w:b/>
          <w:szCs w:val="20"/>
          <w:lang w:val="es-CR"/>
        </w:rPr>
      </w:pPr>
    </w:p>
    <w:p w14:paraId="1DAA8BD8" w14:textId="77777777" w:rsidR="008729EC" w:rsidRPr="008729EC" w:rsidRDefault="008729EC" w:rsidP="008729EC">
      <w:pPr>
        <w:tabs>
          <w:tab w:val="left" w:pos="567"/>
          <w:tab w:val="left" w:pos="1134"/>
        </w:tabs>
        <w:ind w:right="29"/>
        <w:jc w:val="center"/>
        <w:rPr>
          <w:rFonts w:cs="Times New Roman"/>
          <w:b/>
          <w:szCs w:val="20"/>
          <w:lang w:val="es-CR"/>
        </w:rPr>
      </w:pPr>
    </w:p>
    <w:p w14:paraId="32C398AA" w14:textId="77777777" w:rsidR="008729EC" w:rsidRPr="008729EC" w:rsidRDefault="008729EC" w:rsidP="008729EC">
      <w:pPr>
        <w:tabs>
          <w:tab w:val="left" w:pos="567"/>
          <w:tab w:val="left" w:pos="1134"/>
        </w:tabs>
        <w:ind w:right="29"/>
        <w:rPr>
          <w:rFonts w:cs="Times New Roman"/>
          <w:b/>
          <w:szCs w:val="20"/>
          <w:lang w:val="es-CR"/>
        </w:rPr>
      </w:pPr>
    </w:p>
    <w:p w14:paraId="14C47845" w14:textId="77777777" w:rsidR="008729EC" w:rsidRPr="008729EC" w:rsidRDefault="008729EC" w:rsidP="008729EC">
      <w:pPr>
        <w:tabs>
          <w:tab w:val="left" w:pos="567"/>
          <w:tab w:val="left" w:pos="1134"/>
        </w:tabs>
        <w:ind w:right="29"/>
        <w:rPr>
          <w:rFonts w:cs="Times New Roman"/>
          <w:b/>
          <w:szCs w:val="20"/>
          <w:lang w:val="es-CR"/>
        </w:rPr>
      </w:pPr>
    </w:p>
    <w:p w14:paraId="50469F9F" w14:textId="77777777" w:rsidR="008729EC" w:rsidRPr="008729EC" w:rsidRDefault="008729EC" w:rsidP="008729EC">
      <w:pPr>
        <w:tabs>
          <w:tab w:val="left" w:pos="567"/>
          <w:tab w:val="left" w:pos="1134"/>
        </w:tabs>
        <w:ind w:right="29"/>
        <w:rPr>
          <w:rFonts w:cs="Times New Roman"/>
          <w:b/>
          <w:szCs w:val="20"/>
          <w:lang w:val="es-CR"/>
        </w:rPr>
      </w:pPr>
    </w:p>
    <w:p w14:paraId="40666536" w14:textId="77777777" w:rsidR="008729EC" w:rsidRPr="008729EC" w:rsidRDefault="008729EC" w:rsidP="008729EC">
      <w:pPr>
        <w:tabs>
          <w:tab w:val="left" w:pos="567"/>
          <w:tab w:val="left" w:pos="1134"/>
        </w:tabs>
        <w:ind w:right="29"/>
        <w:jc w:val="center"/>
        <w:rPr>
          <w:rFonts w:cs="Times New Roman"/>
          <w:b/>
          <w:snapToGrid w:val="0"/>
          <w:szCs w:val="20"/>
          <w:lang w:val="es-ES"/>
        </w:rPr>
      </w:pPr>
      <w:r w:rsidRPr="008729EC">
        <w:rPr>
          <w:rFonts w:cs="Times New Roman"/>
          <w:b/>
          <w:szCs w:val="20"/>
          <w:lang w:val="es-CR"/>
        </w:rPr>
        <w:t>VOTO CONCURRENTE Y PARCIALMENTE DISIDENTE DEL JUEZ HUMBERTO ANTONIO SIERRA PORTO</w:t>
      </w:r>
    </w:p>
    <w:p w14:paraId="3345A947" w14:textId="77777777" w:rsidR="008729EC" w:rsidRPr="008729EC" w:rsidRDefault="008729EC" w:rsidP="008729EC">
      <w:pPr>
        <w:tabs>
          <w:tab w:val="left" w:pos="567"/>
          <w:tab w:val="left" w:pos="1134"/>
        </w:tabs>
        <w:ind w:right="29"/>
        <w:jc w:val="center"/>
        <w:rPr>
          <w:rFonts w:cs="Times New Roman"/>
          <w:b/>
          <w:snapToGrid w:val="0"/>
          <w:szCs w:val="20"/>
          <w:lang w:val="es-ES"/>
        </w:rPr>
      </w:pPr>
    </w:p>
    <w:p w14:paraId="127BC869" w14:textId="77777777" w:rsidR="008729EC" w:rsidRPr="008729EC" w:rsidRDefault="008729EC" w:rsidP="008729EC">
      <w:pPr>
        <w:tabs>
          <w:tab w:val="left" w:pos="567"/>
          <w:tab w:val="left" w:pos="1134"/>
        </w:tabs>
        <w:ind w:right="29"/>
        <w:jc w:val="center"/>
        <w:rPr>
          <w:rFonts w:cs="Times New Roman"/>
          <w:b/>
          <w:snapToGrid w:val="0"/>
          <w:szCs w:val="20"/>
          <w:lang w:val="es-ES"/>
        </w:rPr>
      </w:pPr>
      <w:r w:rsidRPr="008729EC">
        <w:rPr>
          <w:rFonts w:cs="Times New Roman"/>
          <w:b/>
          <w:snapToGrid w:val="0"/>
          <w:szCs w:val="20"/>
          <w:lang w:val="es-ES"/>
        </w:rPr>
        <w:t>CORTE INTERAMERICANA DE DERECHOS HUMANOS</w:t>
      </w:r>
    </w:p>
    <w:p w14:paraId="31C41FCA" w14:textId="77777777" w:rsidR="008729EC" w:rsidRPr="008729EC" w:rsidRDefault="008729EC" w:rsidP="008729EC">
      <w:pPr>
        <w:ind w:right="-138"/>
        <w:jc w:val="center"/>
        <w:rPr>
          <w:rFonts w:eastAsia="MS Mincho" w:cs="Times New Roman"/>
          <w:b/>
          <w:szCs w:val="20"/>
          <w:lang w:val="es-ES"/>
        </w:rPr>
      </w:pPr>
    </w:p>
    <w:p w14:paraId="4C045256" w14:textId="77777777" w:rsidR="008729EC" w:rsidRPr="008729EC" w:rsidRDefault="008729EC" w:rsidP="008729EC">
      <w:pPr>
        <w:ind w:right="-138"/>
        <w:jc w:val="center"/>
        <w:rPr>
          <w:rFonts w:eastAsia="MS Mincho" w:cs="Times New Roman"/>
          <w:b/>
          <w:sz w:val="16"/>
          <w:szCs w:val="20"/>
          <w:lang w:val="es-ES_tradnl"/>
        </w:rPr>
      </w:pPr>
      <w:r w:rsidRPr="008729EC">
        <w:rPr>
          <w:rFonts w:eastAsia="MS Mincho" w:cs="Times New Roman"/>
          <w:b/>
          <w:szCs w:val="20"/>
          <w:lang w:val="es-ES"/>
        </w:rPr>
        <w:t>CASO VALENCIA HINOJOSA Y OTRA VS. ECUADOR</w:t>
      </w:r>
    </w:p>
    <w:p w14:paraId="5CD791CB" w14:textId="77777777" w:rsidR="008729EC" w:rsidRPr="008729EC" w:rsidRDefault="008729EC" w:rsidP="008729EC">
      <w:pPr>
        <w:ind w:right="-138"/>
        <w:jc w:val="center"/>
        <w:rPr>
          <w:rFonts w:eastAsia="MS Mincho" w:cs="Times New Roman"/>
          <w:b/>
          <w:szCs w:val="20"/>
          <w:lang w:val="es-ES_tradnl"/>
        </w:rPr>
      </w:pPr>
    </w:p>
    <w:p w14:paraId="55010FCE" w14:textId="77777777" w:rsidR="008729EC" w:rsidRPr="008729EC" w:rsidRDefault="008729EC" w:rsidP="008729EC">
      <w:pPr>
        <w:ind w:right="-138"/>
        <w:jc w:val="center"/>
        <w:rPr>
          <w:rFonts w:eastAsia="MS Mincho" w:cs="Times New Roman"/>
          <w:b/>
          <w:szCs w:val="20"/>
          <w:lang w:val="es-ES_tradnl"/>
        </w:rPr>
      </w:pPr>
      <w:r w:rsidRPr="008729EC">
        <w:rPr>
          <w:rFonts w:eastAsia="MS Mincho" w:cs="Times New Roman"/>
          <w:b/>
          <w:szCs w:val="20"/>
          <w:lang w:val="es-ES_tradnl"/>
        </w:rPr>
        <w:t>SENTENCIA DE 29 DE NOVIEMBRE DE 2016</w:t>
      </w:r>
    </w:p>
    <w:p w14:paraId="24C843BB" w14:textId="77777777" w:rsidR="008729EC" w:rsidRPr="008729EC" w:rsidRDefault="008729EC" w:rsidP="008729EC">
      <w:pPr>
        <w:jc w:val="center"/>
        <w:rPr>
          <w:rFonts w:cs="Times New Roman"/>
          <w:b/>
          <w:i/>
          <w:snapToGrid w:val="0"/>
          <w:szCs w:val="20"/>
          <w:lang w:val="es-ES"/>
        </w:rPr>
      </w:pPr>
      <w:r w:rsidRPr="008729EC">
        <w:rPr>
          <w:rFonts w:eastAsia="Times New Roman" w:cs="Times New Roman"/>
          <w:b/>
          <w:i/>
          <w:iCs/>
          <w:szCs w:val="24"/>
          <w:lang w:val="es-ES_tradnl"/>
        </w:rPr>
        <w:t>(Excepciones Preliminares, Fondo, Reparaciones y Costas)</w:t>
      </w:r>
    </w:p>
    <w:p w14:paraId="31DB1402" w14:textId="77777777" w:rsidR="008729EC" w:rsidRPr="008729EC" w:rsidRDefault="008729EC" w:rsidP="008729EC">
      <w:pPr>
        <w:rPr>
          <w:rFonts w:cs="Times New Roman"/>
          <w:snapToGrid w:val="0"/>
          <w:szCs w:val="20"/>
          <w:lang w:val="es-ES"/>
        </w:rPr>
      </w:pPr>
    </w:p>
    <w:p w14:paraId="3C9B579C" w14:textId="77777777" w:rsidR="008729EC" w:rsidRPr="008729EC" w:rsidRDefault="008729EC" w:rsidP="008729EC">
      <w:pPr>
        <w:rPr>
          <w:rFonts w:cs="Times New Roman"/>
          <w:snapToGrid w:val="0"/>
          <w:szCs w:val="20"/>
          <w:lang w:val="es-ES"/>
        </w:rPr>
      </w:pPr>
    </w:p>
    <w:p w14:paraId="2E7CCF12" w14:textId="77777777" w:rsidR="008729EC" w:rsidRPr="008729EC" w:rsidRDefault="008729EC" w:rsidP="008729EC">
      <w:pPr>
        <w:numPr>
          <w:ilvl w:val="0"/>
          <w:numId w:val="27"/>
        </w:numPr>
        <w:contextualSpacing/>
        <w:rPr>
          <w:rFonts w:cs="Times New Roman"/>
          <w:b/>
          <w:i/>
          <w:snapToGrid w:val="0"/>
          <w:szCs w:val="20"/>
          <w:lang w:val="es-ES"/>
        </w:rPr>
      </w:pPr>
      <w:r w:rsidRPr="008729EC">
        <w:rPr>
          <w:rFonts w:cs="Times New Roman"/>
          <w:b/>
          <w:i/>
          <w:snapToGrid w:val="0"/>
          <w:szCs w:val="20"/>
          <w:lang w:val="es-ES"/>
        </w:rPr>
        <w:t>Objeto del presente voto</w:t>
      </w:r>
    </w:p>
    <w:p w14:paraId="05209F63" w14:textId="77777777" w:rsidR="008729EC" w:rsidRPr="008729EC" w:rsidRDefault="008729EC" w:rsidP="008729EC">
      <w:pPr>
        <w:contextualSpacing/>
        <w:rPr>
          <w:rFonts w:cs="Times New Roman"/>
          <w:snapToGrid w:val="0"/>
          <w:szCs w:val="20"/>
          <w:lang w:val="es-ES"/>
        </w:rPr>
      </w:pPr>
    </w:p>
    <w:p w14:paraId="4F8F5522" w14:textId="77777777" w:rsidR="008729EC" w:rsidRPr="008729EC" w:rsidRDefault="008729EC" w:rsidP="008729EC">
      <w:pPr>
        <w:numPr>
          <w:ilvl w:val="0"/>
          <w:numId w:val="26"/>
        </w:numPr>
        <w:contextualSpacing/>
        <w:rPr>
          <w:rFonts w:cs="Times New Roman"/>
          <w:snapToGrid w:val="0"/>
          <w:szCs w:val="20"/>
          <w:lang w:val="es-ES"/>
        </w:rPr>
      </w:pPr>
      <w:r w:rsidRPr="008729EC">
        <w:rPr>
          <w:rFonts w:cs="Times New Roman"/>
          <w:snapToGrid w:val="0"/>
          <w:szCs w:val="20"/>
          <w:lang w:val="es-ES"/>
        </w:rPr>
        <w:t xml:space="preserve">El objeto del presente voto es expresar las razones de mi concurrencia y de mi disidencia parcial respecto de lo decidido por la mayoría de los Jueces de la Corte Interamericana de Derechos Humanos (en adelante “la Corte” o “este Tribunal”) en la Sentencia de 29 de noviembre de 2016 sobre el caso </w:t>
      </w:r>
      <w:r w:rsidRPr="008729EC">
        <w:rPr>
          <w:rFonts w:cs="Times New Roman"/>
          <w:i/>
          <w:snapToGrid w:val="0"/>
          <w:szCs w:val="20"/>
          <w:lang w:val="es-ES"/>
        </w:rPr>
        <w:t>Valencia Hinojosa y otra Vs. Ecuador</w:t>
      </w:r>
      <w:r w:rsidRPr="008729EC">
        <w:rPr>
          <w:rFonts w:cs="Times New Roman"/>
          <w:snapToGrid w:val="0"/>
          <w:szCs w:val="20"/>
          <w:lang w:val="es-ES"/>
        </w:rPr>
        <w:t xml:space="preserve">. </w:t>
      </w:r>
      <w:r w:rsidRPr="008729EC">
        <w:rPr>
          <w:rFonts w:cs="Times New Roman"/>
          <w:i/>
          <w:snapToGrid w:val="0"/>
          <w:szCs w:val="20"/>
          <w:lang w:val="es-ES"/>
        </w:rPr>
        <w:t xml:space="preserve"> </w:t>
      </w:r>
      <w:r w:rsidRPr="008729EC">
        <w:rPr>
          <w:rFonts w:cs="Times New Roman"/>
          <w:snapToGrid w:val="0"/>
          <w:szCs w:val="20"/>
          <w:lang w:val="es-ES"/>
        </w:rPr>
        <w:t xml:space="preserve">Concurro con la Corte en el análisis de una de las excepciones preliminares presentadas por el Estado, en la que se alegó una violación al debido proceso en el trámite ante la Comisión Interamericana de Derechos Humanos (en adelante “la Comisión”) por un retardo injustificado en la tramitación de la causa. Disiento, respetuosamente, con la Corte en la conclusión sobre las alegadas violaciones a los derechos a la vida del señor Luis Jorge Valencia Hinojosa (en adelante “el señor Valencia Hinojosa”), y a la integridad personal de Patricia Trujillo Esparza (en adelante “la señora Trujillo Esparza”), pues considero que las deficiencias en la investigación de un hecho que </w:t>
      </w:r>
      <w:r w:rsidRPr="008729EC">
        <w:rPr>
          <w:rFonts w:cs="Times New Roman"/>
          <w:i/>
          <w:snapToGrid w:val="0"/>
          <w:szCs w:val="20"/>
          <w:lang w:val="es-ES"/>
        </w:rPr>
        <w:t>pudo</w:t>
      </w:r>
      <w:r w:rsidRPr="008729EC">
        <w:rPr>
          <w:rFonts w:cs="Times New Roman"/>
          <w:snapToGrid w:val="0"/>
          <w:szCs w:val="20"/>
          <w:lang w:val="es-ES"/>
        </w:rPr>
        <w:t xml:space="preserve"> constituir una violación al deber de respetar el derecho a la vida –como fue la muerte del señor Valencia– no constituye, en sí misma, una violación al deber de garantizar el derecho a la vida de la víctima, ni una violación al derecho a la integridad personal de sus familiares. </w:t>
      </w:r>
    </w:p>
    <w:p w14:paraId="48C1CDB8" w14:textId="77777777" w:rsidR="008729EC" w:rsidRPr="008729EC" w:rsidRDefault="008729EC" w:rsidP="008729EC">
      <w:pPr>
        <w:rPr>
          <w:rFonts w:cs="Times New Roman"/>
          <w:snapToGrid w:val="0"/>
          <w:szCs w:val="20"/>
          <w:lang w:val="es-ES"/>
        </w:rPr>
      </w:pPr>
    </w:p>
    <w:p w14:paraId="4DFDF9EA" w14:textId="77777777" w:rsidR="008729EC" w:rsidRPr="008729EC" w:rsidRDefault="008729EC" w:rsidP="008729EC">
      <w:pPr>
        <w:numPr>
          <w:ilvl w:val="0"/>
          <w:numId w:val="27"/>
        </w:numPr>
        <w:contextualSpacing/>
        <w:rPr>
          <w:rFonts w:cs="Times New Roman"/>
          <w:b/>
          <w:i/>
          <w:snapToGrid w:val="0"/>
          <w:szCs w:val="20"/>
          <w:lang w:val="es-ES"/>
        </w:rPr>
      </w:pPr>
      <w:r w:rsidRPr="008729EC">
        <w:rPr>
          <w:rFonts w:cs="Times New Roman"/>
          <w:b/>
          <w:i/>
          <w:snapToGrid w:val="0"/>
          <w:szCs w:val="20"/>
          <w:lang w:val="es-ES"/>
        </w:rPr>
        <w:t>Concurrencia respecto de parte de la segunda excepción preliminar presentada por el Estado</w:t>
      </w:r>
    </w:p>
    <w:p w14:paraId="23695955" w14:textId="77777777" w:rsidR="008729EC" w:rsidRPr="008729EC" w:rsidRDefault="008729EC" w:rsidP="008729EC">
      <w:pPr>
        <w:ind w:left="720"/>
        <w:contextualSpacing/>
        <w:rPr>
          <w:rFonts w:cs="Times New Roman"/>
          <w:snapToGrid w:val="0"/>
          <w:szCs w:val="20"/>
          <w:lang w:val="es-ES"/>
        </w:rPr>
      </w:pPr>
    </w:p>
    <w:p w14:paraId="1B94C4C2" w14:textId="77777777" w:rsidR="008729EC" w:rsidRPr="008729EC" w:rsidRDefault="008729EC" w:rsidP="008729EC">
      <w:pPr>
        <w:numPr>
          <w:ilvl w:val="0"/>
          <w:numId w:val="26"/>
        </w:numPr>
        <w:contextualSpacing/>
        <w:rPr>
          <w:rFonts w:cs="Times New Roman"/>
          <w:snapToGrid w:val="0"/>
          <w:szCs w:val="20"/>
          <w:lang w:val="es-ES"/>
        </w:rPr>
      </w:pPr>
      <w:r w:rsidRPr="008729EC">
        <w:rPr>
          <w:rFonts w:eastAsia="Cambria" w:cs="Times New Roman"/>
          <w:szCs w:val="20"/>
          <w:lang w:val="es-ES"/>
        </w:rPr>
        <w:t xml:space="preserve">El Estado alegó que la Comisión violó su derecho a la defensa por el retardo desproporcionado en la tramitación de la petición, por lo que le solicitó a la Corte que realizara un control de legalidad respecto de la actuación de la Comisión y el plazo razonable en la tramitación de la petición ante dicho órgano. La Corte desestimó esta excepción preliminar. Consideró que el paso excesivo del tiempo puede afectar la seguridad jurídica y el derecho a la defensa de las partes del proceso, tanto de las presuntas víctimas como el Estado; no obstante, estableció que esta demora afecta de manera más acentuada a las víctimas, pues ellas tienen que soportar los efectos adversos de esa tardanza. Sin perjuicio de lo anterior, la Corte concluyó que los efectos de una tardanza como la del presente caso (que fue de más de 20 años) “no puede recaer en la Comisión, dado que es notorio que la demora temporal podría obedecer, entre otras razones, a la inadecuación del sistema a los requerimientos de los usuarios, no en forma individual sino colectiva. </w:t>
      </w:r>
      <w:r w:rsidRPr="008729EC">
        <w:rPr>
          <w:rFonts w:eastAsia="Cambria" w:cs="Times New Roman"/>
          <w:szCs w:val="20"/>
          <w:lang w:val="es-ES"/>
        </w:rPr>
        <w:lastRenderedPageBreak/>
        <w:t>En síntesis: el reclamo del de los Estados en cuanto a la afectación de su derecho de defensa, podría provenir directamente de su omisión colectiva de proveer a la eficacia del sistema mediante la adecuación de su infraestructura material y humana a las crecientes demandas de los beneficiarios de su servicio”. (párr. 40 de la sentencia).</w:t>
      </w:r>
    </w:p>
    <w:p w14:paraId="354D06C4" w14:textId="77777777" w:rsidR="008729EC" w:rsidRPr="008729EC" w:rsidRDefault="008729EC" w:rsidP="008729EC">
      <w:pPr>
        <w:rPr>
          <w:rFonts w:cs="Times New Roman"/>
          <w:snapToGrid w:val="0"/>
          <w:szCs w:val="20"/>
          <w:lang w:val="es-ES"/>
        </w:rPr>
      </w:pPr>
    </w:p>
    <w:p w14:paraId="67096132" w14:textId="77777777" w:rsidR="008729EC" w:rsidRPr="008729EC" w:rsidRDefault="008729EC" w:rsidP="008729EC">
      <w:pPr>
        <w:numPr>
          <w:ilvl w:val="0"/>
          <w:numId w:val="26"/>
        </w:numPr>
        <w:contextualSpacing/>
        <w:rPr>
          <w:rFonts w:cs="Times New Roman"/>
          <w:snapToGrid w:val="0"/>
          <w:szCs w:val="20"/>
          <w:lang w:val="es-ES"/>
        </w:rPr>
      </w:pPr>
      <w:r w:rsidRPr="008729EC">
        <w:rPr>
          <w:rFonts w:cs="Times New Roman"/>
          <w:snapToGrid w:val="0"/>
          <w:szCs w:val="20"/>
          <w:lang w:val="es-ES"/>
        </w:rPr>
        <w:t xml:space="preserve">Concurro con la decisión de la Corte, pues concuerdo con que la excepción preliminar del Estado debía ser desestimada, y que los Estados deben otorgar mayores recursos materiales y humanos a las instituciones del Sistema para realizar adecuadamente sus funciones. Sin embargo, considero que no existe una relación causa y efecto entre ambas cuestiones –al menos no desde una perspectiva jurídica– que permita desestimar la excepción preliminar. Por el contrario, la razón jurídica por la que había que desestimar la excepción preliminar del Estado –y las futuras excepciones preliminares que se presenten en el mismo sentido por parte de otros Estados– no debe ser que éstos no han aportado suficientes recursos materiales y humanos para que la Comisión realice una tramitación en un tiempo más breve. Este tipo de excepción preliminar debe ser evaluada a la luz de los argumentos y pruebas que el Estado presente sobre cómo la demora de la Comisión afectó su derecho a la defensa. En este caso el Estado se limitó a manifestar que existe una afectación por estar sujeto mucho tiempo a una acusación, y que esto conllevaba una mala imagen al país. Ninguna de las dos razones se relaciona con la afectación del derecho a la defensa, y es por esta razón que se debió desestimar la excepción preliminar.   </w:t>
      </w:r>
    </w:p>
    <w:p w14:paraId="6DE2ACC1" w14:textId="77777777" w:rsidR="008729EC" w:rsidRPr="008729EC" w:rsidRDefault="008729EC" w:rsidP="008729EC">
      <w:pPr>
        <w:rPr>
          <w:rFonts w:cs="Times New Roman"/>
          <w:snapToGrid w:val="0"/>
          <w:szCs w:val="20"/>
          <w:lang w:val="es-ES"/>
        </w:rPr>
      </w:pPr>
    </w:p>
    <w:p w14:paraId="2C0A500A" w14:textId="77777777" w:rsidR="008729EC" w:rsidRPr="008729EC" w:rsidRDefault="008729EC" w:rsidP="008729EC">
      <w:pPr>
        <w:numPr>
          <w:ilvl w:val="0"/>
          <w:numId w:val="27"/>
        </w:numPr>
        <w:contextualSpacing/>
        <w:rPr>
          <w:rFonts w:cs="Times New Roman"/>
          <w:b/>
          <w:i/>
          <w:snapToGrid w:val="0"/>
          <w:szCs w:val="20"/>
          <w:lang w:val="es-ES"/>
        </w:rPr>
      </w:pPr>
      <w:r w:rsidRPr="008729EC">
        <w:rPr>
          <w:rFonts w:cs="Times New Roman"/>
          <w:b/>
          <w:i/>
          <w:snapToGrid w:val="0"/>
          <w:szCs w:val="20"/>
          <w:lang w:val="es-ES"/>
        </w:rPr>
        <w:t>Disidencia respecto de la declaración de violación al derecho a la vida del señor Luis Jorge Valencia Hinojosa y a la integridad personal de la señora Patricia Trujillo Esparza</w:t>
      </w:r>
    </w:p>
    <w:p w14:paraId="22AD6714" w14:textId="77777777" w:rsidR="008729EC" w:rsidRPr="008729EC" w:rsidRDefault="008729EC" w:rsidP="008729EC">
      <w:pPr>
        <w:rPr>
          <w:rFonts w:cs="Times New Roman"/>
          <w:snapToGrid w:val="0"/>
          <w:szCs w:val="20"/>
          <w:lang w:val="es-ES"/>
        </w:rPr>
      </w:pPr>
    </w:p>
    <w:p w14:paraId="71581CC4" w14:textId="77777777" w:rsidR="008729EC" w:rsidRPr="008729EC" w:rsidRDefault="008729EC" w:rsidP="008729EC">
      <w:pPr>
        <w:numPr>
          <w:ilvl w:val="0"/>
          <w:numId w:val="26"/>
        </w:numPr>
        <w:contextualSpacing/>
        <w:rPr>
          <w:rFonts w:cs="Times New Roman"/>
          <w:snapToGrid w:val="0"/>
          <w:szCs w:val="20"/>
          <w:lang w:val="es-ES"/>
        </w:rPr>
      </w:pPr>
      <w:r w:rsidRPr="008729EC">
        <w:rPr>
          <w:rFonts w:cs="Times New Roman"/>
          <w:snapToGrid w:val="0"/>
          <w:szCs w:val="20"/>
          <w:lang w:val="es-ES"/>
        </w:rPr>
        <w:t>La mayoría concluyó que el hecho de que el Estado no realizara una investigación independiente e imparcial, en relación con la muerte del señor Valencia Hinojosa, implicó la responsabilidad internacional del Estado por la violación de la obligación de garantizar el artículo 4.1 (derecho a la vida) de la Convención, en relación con el artículo 1.1 del mismo instrumento (punto resolutivo 4). La mayoría consideró que, aun cuando no existen elementos para determinar la responsabilidad internacional del Estado por la violación al deber de respetar el derecho a la vida, pues no era posible establecer con claridad lo ocurrido, o si la muerte de la víctima fue consecuencia de una conducta reprochable del Estado, sí era posible determinar que la falta de investigación posterior implicaba la responsabilidad del Estado por la violación al deber de garantizar ese derecho. La mayoría consideró que, dado que la obligación de investigar una posible violación al derecho a la vida constituye un elemento fundamental y condicionante para la protección de ese derecho</w:t>
      </w:r>
      <w:r w:rsidRPr="008729EC">
        <w:rPr>
          <w:rFonts w:cs="Times New Roman"/>
          <w:snapToGrid w:val="0"/>
          <w:szCs w:val="20"/>
          <w:vertAlign w:val="superscript"/>
          <w:lang w:val="es-ES"/>
        </w:rPr>
        <w:footnoteReference w:id="204"/>
      </w:r>
      <w:r w:rsidRPr="008729EC">
        <w:rPr>
          <w:rFonts w:cs="Times New Roman"/>
          <w:snapToGrid w:val="0"/>
          <w:szCs w:val="20"/>
          <w:lang w:val="es-ES"/>
        </w:rPr>
        <w:t>, una investigación deficiente constituye una violación al derecho que presuntamente (o presumiblemente) fue vulnerado por acciones y omisiones de las autoridades.</w:t>
      </w:r>
    </w:p>
    <w:p w14:paraId="5C547560" w14:textId="77777777" w:rsidR="008729EC" w:rsidRPr="008729EC" w:rsidRDefault="008729EC" w:rsidP="008729EC">
      <w:pPr>
        <w:rPr>
          <w:rFonts w:cs="Times New Roman"/>
          <w:snapToGrid w:val="0"/>
          <w:szCs w:val="20"/>
          <w:lang w:val="es-ES"/>
        </w:rPr>
      </w:pPr>
    </w:p>
    <w:p w14:paraId="2F27CC8D" w14:textId="77777777" w:rsidR="008729EC" w:rsidRPr="008729EC" w:rsidRDefault="008729EC" w:rsidP="008729EC">
      <w:pPr>
        <w:numPr>
          <w:ilvl w:val="0"/>
          <w:numId w:val="26"/>
        </w:numPr>
        <w:contextualSpacing/>
        <w:rPr>
          <w:rFonts w:cs="Times New Roman"/>
          <w:snapToGrid w:val="0"/>
          <w:szCs w:val="20"/>
          <w:lang w:val="es-ES"/>
        </w:rPr>
      </w:pPr>
      <w:r w:rsidRPr="008729EC">
        <w:rPr>
          <w:rFonts w:cs="Times New Roman"/>
          <w:snapToGrid w:val="0"/>
          <w:szCs w:val="20"/>
          <w:lang w:val="es-ES"/>
        </w:rPr>
        <w:t xml:space="preserve">Este razonamiento es deficiente, pues confunde la violación al deber de respetar el derecho a la vida (el cual es un deber de carácter negativo pues, entre otras cuestiones, prohíbe privar arbitrariamente de la vida a una persona), con la obligación de investigar a los responsables de la violación de ese derecho (la cual es una obligación positiva que se dirige, entre otras cuestiones, a que el Estado </w:t>
      </w:r>
      <w:r w:rsidRPr="008729EC">
        <w:rPr>
          <w:rFonts w:cs="Times New Roman"/>
          <w:snapToGrid w:val="0"/>
          <w:szCs w:val="20"/>
          <w:lang w:val="es-ES"/>
        </w:rPr>
        <w:lastRenderedPageBreak/>
        <w:t xml:space="preserve">realice todas aquellas acciones necesarias para sancionar a los responsables de violaciones a los derechos humanos). Es equivocado considerar que el Estado viola el derecho a la vida del señor Valencia Hinojosa al no realizar una adecuada investigación de los hechos que derivaron en su muerte. El análisis de las violaciones producidas por la investigación debió realizarse exclusivamente a la luz de los artículos 8 y 25 de la Convención en relación con el artículo 1.1, para así determinar si la investigación y procesamiento de los responsables de la muerte de la víctima se realizó en concordancia con las garantías de independencia e imparcialidad, consagradas en el artículo 8.1, si se respetó el derecho a la protección judicial, consagrado en el artículo 25, y si se cumplió con el deber de garantía, consagrado en el artículo 1.1. El análisis que realizó la mayoría concluyó que existió la violación de la obligación de garantizar el derecho a la vida, por hechos ocurridos con posterioridad a la muerte del señor Valencia Hinojosa.     </w:t>
      </w:r>
    </w:p>
    <w:p w14:paraId="24DF0D8C" w14:textId="77777777" w:rsidR="008729EC" w:rsidRPr="008729EC" w:rsidRDefault="008729EC" w:rsidP="008729EC">
      <w:pPr>
        <w:rPr>
          <w:rFonts w:cs="Times New Roman"/>
          <w:snapToGrid w:val="0"/>
          <w:szCs w:val="20"/>
          <w:lang w:val="es-ES"/>
        </w:rPr>
      </w:pPr>
    </w:p>
    <w:p w14:paraId="1C1782E9" w14:textId="77777777" w:rsidR="008729EC" w:rsidRPr="008729EC" w:rsidRDefault="008729EC" w:rsidP="008729EC">
      <w:pPr>
        <w:numPr>
          <w:ilvl w:val="0"/>
          <w:numId w:val="26"/>
        </w:numPr>
        <w:contextualSpacing/>
        <w:rPr>
          <w:rFonts w:cs="Times New Roman"/>
          <w:snapToGrid w:val="0"/>
          <w:szCs w:val="20"/>
          <w:lang w:val="es-ES"/>
        </w:rPr>
      </w:pPr>
      <w:r w:rsidRPr="008729EC">
        <w:rPr>
          <w:rFonts w:cs="Times New Roman"/>
          <w:snapToGrid w:val="0"/>
          <w:szCs w:val="20"/>
          <w:lang w:val="es-ES"/>
        </w:rPr>
        <w:t>En el mismo sentido, considero equivocado que la mayoría declarara violado el derecho a la integridad personal de la señora Trujillo Esparza (punto resolutivo 5). La mayoría constató que la muerte del señor Valencia Hinojosa le provocó a la señora Trujillo Esparza un profundo dolor y sufrimiento, el cual trajo secuelas emocionales y personales que constituyeron una violación a la integridad psíquica y moral de la viuda de la víctima, en violación al artículo 5 de la Convención (derecho a la integridad personal). Sin embargo, tal y como fue argumentado en el párrafo anterior, el Estado no debió ser declarado responsable por la violación al derecho a la vida del señor Valencia Hinojosa. En consecuencia, la Corte tampoco debió pronunciarse por las afectaciones a los familiares del señor Valencia Hinojosa derivados de su muerte, sino sólo por aquellas que se produjeron por la falta de investigación independiente e imparcial, y por la falta de acceso a un recurso judicial efectivo. En otras palabras, la Corte únicamente debió evaluar una posible violación al derecho a la integridad personal de la señora Trujillo Esparza, en relación a los sufrimientos producidos por aquellas violaciones a los derechos humanos por los que el Estado es internacionalmente responsable.</w:t>
      </w:r>
    </w:p>
    <w:p w14:paraId="4D05F052" w14:textId="77777777" w:rsidR="008729EC" w:rsidRPr="008729EC" w:rsidRDefault="008729EC" w:rsidP="008729EC">
      <w:pPr>
        <w:rPr>
          <w:rFonts w:cs="Times New Roman"/>
          <w:b/>
          <w:snapToGrid w:val="0"/>
          <w:szCs w:val="20"/>
          <w:lang w:val="es-ES"/>
        </w:rPr>
      </w:pPr>
    </w:p>
    <w:p w14:paraId="77E16529" w14:textId="77777777" w:rsidR="008729EC" w:rsidRPr="008729EC" w:rsidRDefault="008729EC" w:rsidP="008729EC">
      <w:pPr>
        <w:ind w:left="3600" w:right="96" w:firstLine="720"/>
        <w:jc w:val="center"/>
        <w:rPr>
          <w:rFonts w:cs="Times New Roman"/>
          <w:szCs w:val="20"/>
          <w:lang w:val="es-CR"/>
        </w:rPr>
      </w:pPr>
    </w:p>
    <w:p w14:paraId="1CF2BAE6" w14:textId="77777777" w:rsidR="008729EC" w:rsidRPr="008729EC" w:rsidRDefault="008729EC" w:rsidP="008729EC">
      <w:pPr>
        <w:ind w:left="3600" w:right="96" w:firstLine="720"/>
        <w:jc w:val="center"/>
        <w:rPr>
          <w:rFonts w:cs="Times New Roman"/>
          <w:szCs w:val="20"/>
          <w:lang w:val="es-CR"/>
        </w:rPr>
      </w:pPr>
    </w:p>
    <w:p w14:paraId="26F8DDB3" w14:textId="77777777" w:rsidR="008729EC" w:rsidRPr="008729EC" w:rsidRDefault="008729EC" w:rsidP="008729EC">
      <w:pPr>
        <w:ind w:left="3600" w:right="96" w:firstLine="720"/>
        <w:jc w:val="center"/>
        <w:rPr>
          <w:rFonts w:cs="Times New Roman"/>
          <w:szCs w:val="20"/>
          <w:lang w:val="es-CR"/>
        </w:rPr>
      </w:pPr>
    </w:p>
    <w:p w14:paraId="345DF531" w14:textId="77777777" w:rsidR="008729EC" w:rsidRPr="008729EC" w:rsidRDefault="008729EC" w:rsidP="008729EC">
      <w:pPr>
        <w:ind w:left="3600" w:right="96" w:firstLine="720"/>
        <w:jc w:val="center"/>
        <w:rPr>
          <w:rFonts w:cs="Times New Roman"/>
          <w:szCs w:val="20"/>
          <w:lang w:val="es-CR"/>
        </w:rPr>
      </w:pPr>
    </w:p>
    <w:p w14:paraId="1394387D" w14:textId="77777777" w:rsidR="008729EC" w:rsidRPr="008729EC" w:rsidRDefault="008729EC" w:rsidP="008729EC">
      <w:pPr>
        <w:ind w:left="3600" w:right="96" w:firstLine="720"/>
        <w:jc w:val="center"/>
        <w:rPr>
          <w:rFonts w:cs="Times New Roman"/>
          <w:szCs w:val="20"/>
          <w:lang w:val="es-CR"/>
        </w:rPr>
      </w:pPr>
    </w:p>
    <w:p w14:paraId="3847C52A" w14:textId="77777777" w:rsidR="008729EC" w:rsidRPr="008729EC" w:rsidRDefault="008729EC" w:rsidP="008729EC">
      <w:pPr>
        <w:ind w:left="3600" w:right="96" w:firstLine="720"/>
        <w:jc w:val="left"/>
        <w:rPr>
          <w:rFonts w:cs="Times New Roman"/>
          <w:szCs w:val="20"/>
          <w:lang w:val="es-CR"/>
        </w:rPr>
      </w:pPr>
      <w:r w:rsidRPr="008729EC">
        <w:rPr>
          <w:rFonts w:cs="Times New Roman"/>
          <w:szCs w:val="20"/>
          <w:lang w:val="es-CR"/>
        </w:rPr>
        <w:t xml:space="preserve">          Humberto Antonio Sierra Porto</w:t>
      </w:r>
    </w:p>
    <w:p w14:paraId="3463A71D" w14:textId="77777777" w:rsidR="008729EC" w:rsidRPr="008729EC" w:rsidRDefault="008729EC" w:rsidP="008729EC">
      <w:pPr>
        <w:ind w:left="3960" w:right="96" w:firstLine="360"/>
        <w:jc w:val="center"/>
        <w:rPr>
          <w:rFonts w:cs="Times New Roman"/>
          <w:szCs w:val="20"/>
          <w:lang w:val="es-CR"/>
        </w:rPr>
      </w:pPr>
      <w:r w:rsidRPr="008729EC">
        <w:rPr>
          <w:rFonts w:cs="Times New Roman"/>
          <w:szCs w:val="20"/>
          <w:lang w:val="es-CR"/>
        </w:rPr>
        <w:t>Juez</w:t>
      </w:r>
    </w:p>
    <w:p w14:paraId="6E0EC89E" w14:textId="77777777" w:rsidR="008729EC" w:rsidRPr="008729EC" w:rsidRDefault="008729EC" w:rsidP="008729EC">
      <w:pPr>
        <w:rPr>
          <w:rFonts w:cs="Times New Roman"/>
          <w:szCs w:val="20"/>
          <w:lang w:val="es-CR"/>
        </w:rPr>
      </w:pPr>
    </w:p>
    <w:p w14:paraId="4833415F" w14:textId="77777777" w:rsidR="008729EC" w:rsidRPr="008729EC" w:rsidRDefault="008729EC" w:rsidP="008729EC">
      <w:pPr>
        <w:rPr>
          <w:rFonts w:cs="Times New Roman"/>
          <w:szCs w:val="20"/>
          <w:lang w:val="es-CR"/>
        </w:rPr>
      </w:pPr>
    </w:p>
    <w:p w14:paraId="715FA99B" w14:textId="77777777" w:rsidR="008729EC" w:rsidRPr="008729EC" w:rsidRDefault="008729EC" w:rsidP="008729EC">
      <w:pPr>
        <w:rPr>
          <w:rFonts w:cs="Times New Roman"/>
          <w:szCs w:val="20"/>
          <w:lang w:val="es-CR"/>
        </w:rPr>
      </w:pPr>
    </w:p>
    <w:p w14:paraId="7DFAA62D" w14:textId="77777777" w:rsidR="008729EC" w:rsidRPr="008729EC" w:rsidRDefault="008729EC" w:rsidP="008729EC">
      <w:pPr>
        <w:rPr>
          <w:rFonts w:cs="Times New Roman"/>
          <w:szCs w:val="20"/>
          <w:lang w:val="es-CR"/>
        </w:rPr>
      </w:pPr>
      <w:r w:rsidRPr="008729EC">
        <w:rPr>
          <w:rFonts w:cs="Times New Roman"/>
          <w:szCs w:val="20"/>
          <w:lang w:val="es-CR"/>
        </w:rPr>
        <w:t>Pablo Saavedra Alessandri</w:t>
      </w:r>
    </w:p>
    <w:p w14:paraId="13C60AC1" w14:textId="77777777" w:rsidR="008729EC" w:rsidRPr="008729EC" w:rsidRDefault="008729EC" w:rsidP="008729EC">
      <w:pPr>
        <w:rPr>
          <w:rFonts w:cs="Times New Roman"/>
          <w:szCs w:val="20"/>
          <w:lang w:val="es-CR"/>
        </w:rPr>
      </w:pPr>
      <w:r w:rsidRPr="008729EC">
        <w:rPr>
          <w:rFonts w:cs="Times New Roman"/>
          <w:szCs w:val="20"/>
          <w:lang w:val="es-CR"/>
        </w:rPr>
        <w:tab/>
        <w:t>Secretario</w:t>
      </w:r>
    </w:p>
    <w:p w14:paraId="2F975213" w14:textId="77777777" w:rsidR="008729EC" w:rsidRPr="008729EC" w:rsidRDefault="008729EC" w:rsidP="008729EC">
      <w:pPr>
        <w:rPr>
          <w:rFonts w:cs="Times New Roman"/>
          <w:snapToGrid w:val="0"/>
          <w:szCs w:val="20"/>
          <w:lang w:val="es-ES"/>
        </w:rPr>
      </w:pPr>
    </w:p>
    <w:p w14:paraId="2D38D450" w14:textId="22BFFF77" w:rsidR="008729EC" w:rsidRPr="008729EC" w:rsidRDefault="008729EC" w:rsidP="008729EC">
      <w:pPr>
        <w:jc w:val="left"/>
        <w:rPr>
          <w:rFonts w:eastAsia="Times" w:cs="Times New Roman"/>
          <w:szCs w:val="20"/>
          <w:lang w:val="es-CR"/>
        </w:rPr>
      </w:pPr>
    </w:p>
    <w:sectPr w:rsidR="008729EC" w:rsidRPr="008729EC" w:rsidSect="008729EC">
      <w:headerReference w:type="default" r:id="rId11"/>
      <w:footerReference w:type="default" r:id="rId12"/>
      <w:footnotePr>
        <w:numRestart w:val="eachSect"/>
      </w:footnotePr>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508DF" w15:done="0"/>
  <w15:commentEx w15:paraId="6C521698" w15:done="0"/>
  <w15:commentEx w15:paraId="2439BF47" w15:done="0"/>
  <w15:commentEx w15:paraId="566BDC96" w15:done="0"/>
  <w15:commentEx w15:paraId="02FA3F83" w15:done="0"/>
  <w15:commentEx w15:paraId="55632FF9" w15:done="0"/>
  <w15:commentEx w15:paraId="62E64E61" w15:done="0"/>
  <w15:commentEx w15:paraId="3859DC5F" w15:done="0"/>
  <w15:commentEx w15:paraId="2D6A4007" w15:done="0"/>
  <w15:commentEx w15:paraId="60271CE7" w15:done="0"/>
  <w15:commentEx w15:paraId="4B3AB69D" w15:done="0"/>
  <w15:commentEx w15:paraId="267C79EE" w15:done="0"/>
  <w15:commentEx w15:paraId="105E7196" w15:done="0"/>
  <w15:commentEx w15:paraId="12383DF8" w15:done="0"/>
  <w15:commentEx w15:paraId="12AE0898" w15:done="0"/>
  <w15:commentEx w15:paraId="398C7D38" w15:done="0"/>
  <w15:commentEx w15:paraId="5DACAA8E" w15:done="0"/>
  <w15:commentEx w15:paraId="4417E1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E53A3" w14:textId="77777777" w:rsidR="00844504" w:rsidRDefault="00844504" w:rsidP="003D717E">
      <w:r>
        <w:separator/>
      </w:r>
    </w:p>
  </w:endnote>
  <w:endnote w:type="continuationSeparator" w:id="0">
    <w:p w14:paraId="218AAFE8" w14:textId="77777777" w:rsidR="00844504" w:rsidRDefault="00844504" w:rsidP="003D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Bold">
    <w:charset w:val="00"/>
    <w:family w:val="auto"/>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UnicodeMS">
    <w:charset w:val="00"/>
    <w:family w:val="auto"/>
    <w:pitch w:val="variable"/>
    <w:sig w:usb0="F7FFAFFF" w:usb1="E9DFFFFF" w:usb2="0000003F" w:usb3="00000000" w:csb0="003F01FF" w:csb1="00000000"/>
  </w:font>
  <w:font w:name="BookmanOldStyle">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132" w14:textId="77777777" w:rsidR="00935D08" w:rsidRDefault="00935D08">
    <w:pPr>
      <w:pStyle w:val="Footer"/>
    </w:pPr>
  </w:p>
  <w:p w14:paraId="7760678E" w14:textId="77777777" w:rsidR="00935D08" w:rsidRDefault="00935D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1137" w14:textId="77777777" w:rsidR="00935D08" w:rsidRDefault="00935D08">
    <w:pPr>
      <w:pStyle w:val="Footer"/>
      <w:jc w:val="center"/>
    </w:pPr>
  </w:p>
  <w:p w14:paraId="642B41F8" w14:textId="77777777" w:rsidR="00935D08" w:rsidRDefault="00935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3FB2E" w14:textId="77777777" w:rsidR="00844504" w:rsidRDefault="00844504" w:rsidP="003D717E">
      <w:r>
        <w:separator/>
      </w:r>
    </w:p>
  </w:footnote>
  <w:footnote w:type="continuationSeparator" w:id="0">
    <w:p w14:paraId="78D3AFB3" w14:textId="77777777" w:rsidR="00844504" w:rsidRDefault="00844504" w:rsidP="003D717E">
      <w:r>
        <w:continuationSeparator/>
      </w:r>
    </w:p>
  </w:footnote>
  <w:footnote w:id="1">
    <w:p w14:paraId="2EA75CCE" w14:textId="77777777" w:rsidR="00935D08" w:rsidRPr="00CF1787" w:rsidRDefault="00935D08" w:rsidP="00CA1834">
      <w:pPr>
        <w:pStyle w:val="Footnotes"/>
        <w:tabs>
          <w:tab w:val="clear" w:pos="567"/>
          <w:tab w:val="left" w:pos="426"/>
        </w:tabs>
        <w:spacing w:before="120" w:after="120"/>
      </w:pPr>
      <w:r w:rsidRPr="00CF1787">
        <w:rPr>
          <w:rStyle w:val="FootnoteReference"/>
        </w:rPr>
        <w:t>*</w:t>
      </w:r>
      <w:r w:rsidRPr="00CF1787">
        <w:t xml:space="preserve"> </w:t>
      </w:r>
      <w:r w:rsidRPr="00CF1787">
        <w:tab/>
        <w:t xml:space="preserve">El Juez L. Patricio Pazmiño Freire, de nacionalidad ecuatoriana, no participó en el conocimiento y deliberación del presente caso, de conformidad con lo dispuesto en el artículo 19.1 del Reglamento de la Corte. </w:t>
      </w:r>
    </w:p>
  </w:footnote>
  <w:footnote w:id="2">
    <w:p w14:paraId="65A01563" w14:textId="1F62862D" w:rsidR="00935D08" w:rsidRPr="00CF1787" w:rsidRDefault="00935D08" w:rsidP="00CA1834">
      <w:pPr>
        <w:pStyle w:val="FootnoteText"/>
        <w:tabs>
          <w:tab w:val="clear" w:pos="567"/>
          <w:tab w:val="left" w:pos="426"/>
        </w:tabs>
        <w:spacing w:before="120" w:after="120"/>
        <w:rPr>
          <w:lang w:val="es-CR"/>
        </w:rPr>
      </w:pPr>
      <w:r w:rsidRPr="00CF1787">
        <w:rPr>
          <w:rStyle w:val="FootnoteReference"/>
        </w:rPr>
        <w:footnoteRef/>
      </w:r>
      <w:r w:rsidRPr="00CF1787">
        <w:t xml:space="preserve"> </w:t>
      </w:r>
      <w:r w:rsidRPr="00CF1787">
        <w:tab/>
      </w:r>
      <w:r w:rsidRPr="00CF1787">
        <w:rPr>
          <w:lang w:val="es-CR"/>
        </w:rPr>
        <w:t xml:space="preserve">El 8 de mayo de 2003 la </w:t>
      </w:r>
      <w:proofErr w:type="spellStart"/>
      <w:r w:rsidRPr="00CF1787">
        <w:rPr>
          <w:lang w:val="es-CR"/>
        </w:rPr>
        <w:t>Comision</w:t>
      </w:r>
      <w:proofErr w:type="spellEnd"/>
      <w:r w:rsidRPr="00CF1787">
        <w:rPr>
          <w:lang w:val="es-CR"/>
        </w:rPr>
        <w:t xml:space="preserve">, en aplicación del </w:t>
      </w:r>
      <w:proofErr w:type="spellStart"/>
      <w:r w:rsidRPr="00CF1787">
        <w:rPr>
          <w:lang w:val="es-CR"/>
        </w:rPr>
        <w:t>articulo</w:t>
      </w:r>
      <w:proofErr w:type="spellEnd"/>
      <w:r w:rsidRPr="00CF1787">
        <w:rPr>
          <w:lang w:val="es-CR"/>
        </w:rPr>
        <w:t xml:space="preserve"> 37(3) de su Reglamento decidió diferir el tratamiento de admisibilidad hasta el debate y decisión </w:t>
      </w:r>
      <w:proofErr w:type="spellStart"/>
      <w:r w:rsidRPr="00CF1787">
        <w:rPr>
          <w:lang w:val="es-CR"/>
        </w:rPr>
        <w:t>sabre</w:t>
      </w:r>
      <w:proofErr w:type="spellEnd"/>
      <w:r w:rsidRPr="00CF1787">
        <w:rPr>
          <w:lang w:val="es-CR"/>
        </w:rPr>
        <w:t xml:space="preserve"> el fondo. </w:t>
      </w:r>
    </w:p>
  </w:footnote>
  <w:footnote w:id="3">
    <w:p w14:paraId="49616CE7" w14:textId="244770EF" w:rsidR="00935D08" w:rsidRPr="00CF1787" w:rsidRDefault="00935D08" w:rsidP="00CA1834">
      <w:pPr>
        <w:pStyle w:val="FootnoteText"/>
        <w:tabs>
          <w:tab w:val="clear" w:pos="567"/>
          <w:tab w:val="left" w:pos="426"/>
        </w:tabs>
        <w:spacing w:before="120" w:after="120"/>
        <w:rPr>
          <w:lang w:val="es-CR"/>
        </w:rPr>
      </w:pPr>
      <w:r w:rsidRPr="00CF1787">
        <w:rPr>
          <w:rStyle w:val="FootnoteReference"/>
          <w:spacing w:val="-4"/>
        </w:rPr>
        <w:footnoteRef/>
      </w:r>
      <w:r w:rsidRPr="00CF1787">
        <w:rPr>
          <w:spacing w:val="-4"/>
        </w:rPr>
        <w:t xml:space="preserve"> </w:t>
      </w:r>
      <w:r w:rsidRPr="00CF1787">
        <w:rPr>
          <w:spacing w:val="-4"/>
        </w:rPr>
        <w:tab/>
      </w:r>
      <w:r w:rsidRPr="00CF1787">
        <w:rPr>
          <w:i/>
          <w:spacing w:val="-4"/>
        </w:rPr>
        <w:t xml:space="preserve">Cfr. Caso Valencia Hinojosa y otra Vs. Ecuador. </w:t>
      </w:r>
      <w:r w:rsidRPr="00CF1787">
        <w:rPr>
          <w:spacing w:val="-4"/>
        </w:rPr>
        <w:t xml:space="preserve">Resolución del Presidente de la Corte de 9 de marzo de 2016. Disponible en: </w:t>
      </w:r>
      <w:hyperlink r:id="rId1" w:history="1">
        <w:r w:rsidRPr="00CF1787">
          <w:rPr>
            <w:rStyle w:val="Hyperlink"/>
          </w:rPr>
          <w:t>http://www.corteidh.or.cr/docs/asuntos/hinojosa_09_03_16.pdf</w:t>
        </w:r>
      </w:hyperlink>
      <w:r w:rsidRPr="00CF1787">
        <w:rPr>
          <w:rStyle w:val="Hyperlink"/>
          <w:color w:val="auto"/>
          <w:u w:val="none"/>
        </w:rPr>
        <w:t xml:space="preserve">. El 20 de abril de 2016, ante la solicitud del Estado, </w:t>
      </w:r>
      <w:r w:rsidRPr="00CF1787">
        <w:rPr>
          <w:lang w:val="es-CR"/>
        </w:rPr>
        <w:t>el Presidente de la Corte decidió postergar dicha audiencia, en atención a la situación de fuerza mayor derivada del terremoto ocurrido en el Ecuador el 16 de abril de 2016. El 29 de junio de 2016 se informó a las partes y a la Comisión que dicha audiencia sería celebrada el 25 de agosto de 2016.</w:t>
      </w:r>
      <w:r w:rsidRPr="00CF1787">
        <w:rPr>
          <w:rFonts w:eastAsiaTheme="minorHAnsi" w:cstheme="minorBidi"/>
          <w:lang w:val="es-CR" w:eastAsia="en-US"/>
        </w:rPr>
        <w:t xml:space="preserve"> </w:t>
      </w:r>
      <w:r w:rsidRPr="00CF1787">
        <w:rPr>
          <w:lang w:val="es-CR"/>
        </w:rPr>
        <w:t>Asimismo, se comunicó a las partes y a la Comisión que contaban con un nuevo plazo hasta el 25 de septiembre de 2016 para presentar sus alegatos y observaciones finales escritos, respectivamente.</w:t>
      </w:r>
      <w:r w:rsidRPr="00CF1787">
        <w:rPr>
          <w:rFonts w:eastAsiaTheme="minorHAnsi" w:cstheme="minorBidi"/>
          <w:b/>
          <w:lang w:val="es-CR" w:eastAsia="en-US"/>
        </w:rPr>
        <w:t xml:space="preserve"> </w:t>
      </w:r>
    </w:p>
  </w:footnote>
  <w:footnote w:id="4">
    <w:p w14:paraId="399BB003" w14:textId="65253F3E" w:rsidR="00935D08" w:rsidRPr="00CF1787" w:rsidRDefault="00935D08" w:rsidP="00CA1834">
      <w:pPr>
        <w:pStyle w:val="Footnotes"/>
        <w:tabs>
          <w:tab w:val="clear" w:pos="567"/>
          <w:tab w:val="left" w:pos="426"/>
        </w:tabs>
        <w:spacing w:before="120" w:after="120"/>
        <w:rPr>
          <w:lang w:val="es-CO"/>
        </w:rPr>
      </w:pPr>
      <w:r w:rsidRPr="00CF1787">
        <w:rPr>
          <w:rStyle w:val="FootnoteReference"/>
          <w:rFonts w:eastAsiaTheme="majorEastAsia"/>
        </w:rPr>
        <w:footnoteRef/>
      </w:r>
      <w:r w:rsidRPr="00CF1787">
        <w:rPr>
          <w:vertAlign w:val="superscript"/>
        </w:rPr>
        <w:t xml:space="preserve"> </w:t>
      </w:r>
      <w:r w:rsidRPr="00CF1787">
        <w:tab/>
        <w:t>A esta audiencia comparecieron: a) por la Comisión Interamericana: José de Jesús Orozco Henríquez, Comisionado; Silvia Serrano Guzmán, Asesora, y Jorge H. Meza Flores, Asesor; b) por las presuntas víctimas: César Duque, Asesor Jurídico de la Comisión Ecuménica de Derechos Humanos (CEDHU)</w:t>
      </w:r>
      <w:r w:rsidRPr="00CF1787">
        <w:rPr>
          <w:lang w:val="es-CO"/>
        </w:rPr>
        <w:t>,</w:t>
      </w:r>
      <w:r w:rsidRPr="00CF1787">
        <w:t xml:space="preserve"> y c) por el Estado: Ricardo Velasco, Agente Principal; Carlos Espín Arias, Agente Alterno, y Daniela Ulloa Saltos, Agente Alterna</w:t>
      </w:r>
      <w:r w:rsidRPr="00CF1787">
        <w:rPr>
          <w:lang w:val="es-CO"/>
        </w:rPr>
        <w:t>.</w:t>
      </w:r>
    </w:p>
  </w:footnote>
  <w:footnote w:id="5">
    <w:p w14:paraId="24BC319E" w14:textId="02D5CC12" w:rsidR="00935D08" w:rsidRPr="00CF1787" w:rsidRDefault="00935D08" w:rsidP="00CA1834">
      <w:pPr>
        <w:widowControl w:val="0"/>
        <w:tabs>
          <w:tab w:val="left" w:pos="426"/>
        </w:tabs>
        <w:rPr>
          <w:sz w:val="16"/>
          <w:szCs w:val="16"/>
          <w:lang w:val="es-ES_tradnl"/>
        </w:rPr>
      </w:pPr>
      <w:r w:rsidRPr="00CF1787">
        <w:rPr>
          <w:rStyle w:val="FootnoteReference"/>
        </w:rPr>
        <w:footnoteRef/>
      </w:r>
      <w:r w:rsidRPr="00CF1787">
        <w:rPr>
          <w:sz w:val="16"/>
          <w:szCs w:val="16"/>
        </w:rPr>
        <w:t xml:space="preserve"> </w:t>
      </w:r>
      <w:r w:rsidRPr="00CF1787">
        <w:rPr>
          <w:sz w:val="16"/>
          <w:szCs w:val="16"/>
        </w:rPr>
        <w:tab/>
        <w:t xml:space="preserve">Los representantes presentaron un escrito de observaciones a los alegatos finales escritos del Estado, pero no realizaron observaciones específicas a los anexos aportados por el Estado con dicho escrito. Siguiendo instrucciones del Presidente del Tribunal, se </w:t>
      </w:r>
      <w:r w:rsidRPr="00CF1787">
        <w:rPr>
          <w:sz w:val="16"/>
          <w:szCs w:val="16"/>
          <w:lang w:val="es-ES_tradnl"/>
        </w:rPr>
        <w:t>hizo notar a los representantes que el plazo otorgado para hacer observaciones “</w:t>
      </w:r>
      <w:r w:rsidRPr="00CF1787">
        <w:rPr>
          <w:sz w:val="16"/>
          <w:szCs w:val="16"/>
        </w:rPr>
        <w:t>a los anexos remitidos por el Estado</w:t>
      </w:r>
      <w:r w:rsidRPr="00CF1787">
        <w:rPr>
          <w:sz w:val="16"/>
          <w:szCs w:val="16"/>
          <w:lang w:val="es-ES_tradnl"/>
        </w:rPr>
        <w:t xml:space="preserve">” junto con sus alegatos finales escritos, “no constituía una nueva oportunidad procesal para ampliar alegatos o para responder a los alegatos de la contraparte”. En consecuencia, se informó a los representantes que dicho </w:t>
      </w:r>
      <w:proofErr w:type="spellStart"/>
      <w:r w:rsidRPr="00CF1787">
        <w:rPr>
          <w:sz w:val="16"/>
          <w:szCs w:val="16"/>
          <w:lang w:val="es-ES_tradnl"/>
        </w:rPr>
        <w:t>escrio</w:t>
      </w:r>
      <w:proofErr w:type="spellEnd"/>
      <w:r w:rsidRPr="00CF1787">
        <w:rPr>
          <w:sz w:val="16"/>
          <w:szCs w:val="16"/>
          <w:lang w:val="es-ES_tradnl"/>
        </w:rPr>
        <w:t xml:space="preserve"> era inadmisible en tanto no había sido solicitado por la Presidencia ni estaba contemplado en el Reglamento del Tribunal. </w:t>
      </w:r>
    </w:p>
  </w:footnote>
  <w:footnote w:id="6">
    <w:p w14:paraId="0DACE88A" w14:textId="77777777" w:rsidR="00935D08" w:rsidRPr="00CF1787" w:rsidRDefault="00935D08" w:rsidP="00CA1834">
      <w:pPr>
        <w:pStyle w:val="FootnoteText"/>
        <w:tabs>
          <w:tab w:val="clear" w:pos="567"/>
          <w:tab w:val="left" w:pos="426"/>
        </w:tabs>
        <w:spacing w:before="120" w:after="120"/>
        <w:rPr>
          <w:lang w:val="es-CR"/>
        </w:rPr>
      </w:pPr>
      <w:r w:rsidRPr="00CF1787">
        <w:rPr>
          <w:rStyle w:val="FootnoteReference"/>
        </w:rPr>
        <w:footnoteRef/>
      </w:r>
      <w:r w:rsidRPr="00CF1787">
        <w:rPr>
          <w:lang w:val="es-CR"/>
        </w:rPr>
        <w:t xml:space="preserve"> </w:t>
      </w:r>
      <w:r w:rsidRPr="00CF1787">
        <w:rPr>
          <w:lang w:val="es-CR"/>
        </w:rPr>
        <w:tab/>
      </w:r>
      <w:r w:rsidRPr="00CF1787">
        <w:rPr>
          <w:i/>
          <w:lang w:val="es-ES"/>
        </w:rPr>
        <w:t>Cfr. Caso Las Palmeras Vs. Colombia. Excepciones Preliminares</w:t>
      </w:r>
      <w:r w:rsidRPr="00CF1787">
        <w:rPr>
          <w:lang w:val="es-ES"/>
        </w:rPr>
        <w:t xml:space="preserve">. Sentencia de 4 de febrero de 2000. Serie C No. 67, párr. 34, y </w:t>
      </w:r>
      <w:r w:rsidRPr="00CF1787">
        <w:rPr>
          <w:rStyle w:val="Strong"/>
          <w:b w:val="0"/>
          <w:i/>
          <w:color w:val="000000"/>
          <w:shd w:val="clear" w:color="auto" w:fill="FFFFFF"/>
          <w:lang w:val="es-ES"/>
        </w:rPr>
        <w:t>Caso Argüelles y otros Vs. Argentina. Excepciones Preliminares, Fondo, Reparaciones y Costas.</w:t>
      </w:r>
      <w:r w:rsidRPr="00CF1787">
        <w:rPr>
          <w:rStyle w:val="Strong"/>
          <w:b w:val="0"/>
          <w:color w:val="000000"/>
          <w:shd w:val="clear" w:color="auto" w:fill="FFFFFF"/>
          <w:lang w:val="es-ES"/>
        </w:rPr>
        <w:t xml:space="preserve"> Sentencia de 20 de noviembre de 2014. Serie C No. 288, párr. 15.</w:t>
      </w:r>
    </w:p>
  </w:footnote>
  <w:footnote w:id="7">
    <w:p w14:paraId="3D61A87C" w14:textId="77777777" w:rsidR="00935D08" w:rsidRPr="00CF1787" w:rsidRDefault="00935D08" w:rsidP="00CA1834">
      <w:pPr>
        <w:pStyle w:val="FootnoteText"/>
        <w:tabs>
          <w:tab w:val="clear" w:pos="567"/>
          <w:tab w:val="left" w:pos="426"/>
        </w:tabs>
        <w:spacing w:before="120" w:after="120"/>
        <w:rPr>
          <w:lang w:val="es-CR"/>
        </w:rPr>
      </w:pPr>
      <w:r w:rsidRPr="00CF1787">
        <w:rPr>
          <w:rStyle w:val="FootnoteReference"/>
        </w:rPr>
        <w:footnoteRef/>
      </w:r>
      <w:r w:rsidRPr="00CF1787">
        <w:rPr>
          <w:lang w:val="es-CR"/>
        </w:rPr>
        <w:t xml:space="preserve"> </w:t>
      </w:r>
      <w:r w:rsidRPr="00CF1787">
        <w:rPr>
          <w:lang w:val="es-CR"/>
        </w:rPr>
        <w:tab/>
      </w:r>
      <w:r w:rsidRPr="00CF1787">
        <w:rPr>
          <w:i/>
          <w:lang w:val="es-ES"/>
        </w:rPr>
        <w:t xml:space="preserve">Cfr. Caso Castañeda </w:t>
      </w:r>
      <w:proofErr w:type="spellStart"/>
      <w:r w:rsidRPr="00CF1787">
        <w:rPr>
          <w:i/>
          <w:lang w:val="es-ES"/>
        </w:rPr>
        <w:t>Gutman</w:t>
      </w:r>
      <w:proofErr w:type="spellEnd"/>
      <w:r w:rsidRPr="00CF1787">
        <w:rPr>
          <w:i/>
          <w:lang w:val="es-ES"/>
        </w:rPr>
        <w:t xml:space="preserve"> Vs. México. Excepciones Preliminares, Fondo, Reparaciones y Costas</w:t>
      </w:r>
      <w:r w:rsidRPr="00CF1787">
        <w:rPr>
          <w:lang w:val="es-ES"/>
        </w:rPr>
        <w:t xml:space="preserve">. Sentencia de 6 de agosto de 2008. Serie C No. 184, párr. 39, y </w:t>
      </w:r>
      <w:r w:rsidRPr="00CF1787">
        <w:rPr>
          <w:rStyle w:val="Strong"/>
          <w:b w:val="0"/>
          <w:i/>
          <w:shd w:val="clear" w:color="auto" w:fill="FFFFFF"/>
          <w:lang w:val="es-ES"/>
        </w:rPr>
        <w:t>Caso García Ibarra y otros Vs. Ecuador</w:t>
      </w:r>
      <w:r w:rsidRPr="00CF1787">
        <w:rPr>
          <w:rStyle w:val="Strong"/>
          <w:b w:val="0"/>
          <w:shd w:val="clear" w:color="auto" w:fill="FFFFFF"/>
          <w:lang w:val="es-ES"/>
        </w:rPr>
        <w:t xml:space="preserve">. </w:t>
      </w:r>
      <w:r w:rsidRPr="00CF1787">
        <w:rPr>
          <w:rStyle w:val="Strong"/>
          <w:b w:val="0"/>
          <w:i/>
          <w:shd w:val="clear" w:color="auto" w:fill="FFFFFF"/>
          <w:lang w:val="es-ES"/>
        </w:rPr>
        <w:t xml:space="preserve">Excepciones Preliminares, Fondo, Reparaciones y Costas. </w:t>
      </w:r>
      <w:r w:rsidRPr="00CF1787">
        <w:rPr>
          <w:rStyle w:val="Strong"/>
          <w:b w:val="0"/>
          <w:shd w:val="clear" w:color="auto" w:fill="FFFFFF"/>
          <w:lang w:val="es-ES"/>
        </w:rPr>
        <w:t>Sentencia de 17 de noviembre de 2015. Serie C No. 306, párr. 18.</w:t>
      </w:r>
    </w:p>
  </w:footnote>
  <w:footnote w:id="8">
    <w:p w14:paraId="66897948" w14:textId="10CC6EA0" w:rsidR="00935D08" w:rsidRPr="00CF1787" w:rsidRDefault="00935D08" w:rsidP="00CA1834">
      <w:pPr>
        <w:tabs>
          <w:tab w:val="left" w:pos="426"/>
        </w:tabs>
        <w:spacing w:before="120" w:after="120"/>
        <w:rPr>
          <w:iCs/>
          <w:color w:val="FF0000"/>
          <w:sz w:val="16"/>
          <w:szCs w:val="16"/>
          <w:lang w:val="es-GT" w:eastAsia="es-ES_tradnl"/>
        </w:rPr>
      </w:pPr>
      <w:r w:rsidRPr="00CF1787">
        <w:rPr>
          <w:rStyle w:val="FootnoteReference"/>
        </w:rPr>
        <w:footnoteRef/>
      </w:r>
      <w:r w:rsidRPr="00CF1787">
        <w:rPr>
          <w:sz w:val="16"/>
          <w:szCs w:val="16"/>
        </w:rPr>
        <w:t xml:space="preserve"> </w:t>
      </w:r>
      <w:r w:rsidRPr="00CF1787">
        <w:rPr>
          <w:sz w:val="16"/>
          <w:szCs w:val="16"/>
          <w:lang w:val="es-ES"/>
        </w:rPr>
        <w:tab/>
      </w:r>
      <w:r w:rsidRPr="00CF1787">
        <w:rPr>
          <w:i/>
          <w:sz w:val="16"/>
          <w:szCs w:val="16"/>
          <w:lang w:val="es-ES"/>
        </w:rPr>
        <w:t>Cfr. Caso Las Palmeras Vs. Colombia. Excepciones Preliminares, supra</w:t>
      </w:r>
      <w:r w:rsidRPr="00CF1787">
        <w:rPr>
          <w:sz w:val="16"/>
          <w:szCs w:val="16"/>
          <w:lang w:val="es-ES"/>
        </w:rPr>
        <w:t xml:space="preserve">, párr. 34, y </w:t>
      </w:r>
      <w:r w:rsidRPr="00CF1787">
        <w:rPr>
          <w:rStyle w:val="Strong"/>
          <w:b w:val="0"/>
          <w:i/>
          <w:color w:val="000000"/>
          <w:sz w:val="16"/>
          <w:szCs w:val="16"/>
          <w:shd w:val="clear" w:color="auto" w:fill="FFFFFF"/>
          <w:lang w:val="es-ES"/>
        </w:rPr>
        <w:t>Caso Argüelles y otros Vs. Argentina, supra</w:t>
      </w:r>
      <w:r w:rsidRPr="00CF1787">
        <w:rPr>
          <w:rStyle w:val="Strong"/>
          <w:b w:val="0"/>
          <w:color w:val="000000"/>
          <w:sz w:val="16"/>
          <w:szCs w:val="16"/>
          <w:shd w:val="clear" w:color="auto" w:fill="FFFFFF"/>
          <w:lang w:val="es-ES"/>
        </w:rPr>
        <w:t>, párr. 15.</w:t>
      </w:r>
    </w:p>
  </w:footnote>
  <w:footnote w:id="9">
    <w:p w14:paraId="42FEB000" w14:textId="0305FCB2" w:rsidR="00935D08" w:rsidRPr="00CF1787" w:rsidRDefault="00935D08" w:rsidP="00CA1834">
      <w:pPr>
        <w:pStyle w:val="FootnoteText"/>
        <w:tabs>
          <w:tab w:val="clear" w:pos="567"/>
          <w:tab w:val="left" w:pos="426"/>
        </w:tabs>
        <w:spacing w:before="120" w:after="120"/>
        <w:ind w:right="32"/>
        <w:rPr>
          <w:lang w:val="es-CR"/>
        </w:rPr>
      </w:pPr>
      <w:r w:rsidRPr="00CF1787">
        <w:rPr>
          <w:rStyle w:val="Smbolodenotaalpie"/>
        </w:rPr>
        <w:footnoteRef/>
      </w:r>
      <w:r w:rsidRPr="00CF1787">
        <w:rPr>
          <w:lang w:val="es-ES"/>
        </w:rPr>
        <w:tab/>
      </w:r>
      <w:r w:rsidRPr="00CF1787">
        <w:rPr>
          <w:i/>
          <w:lang w:val="es-ES"/>
        </w:rPr>
        <w:t>Cfr. Caso Cabrera García y Montiel Flores Vs. México. Excepción Preliminar, Fondo, Reparaciones y Costas</w:t>
      </w:r>
      <w:r w:rsidRPr="00CF1787">
        <w:rPr>
          <w:lang w:val="es-ES"/>
        </w:rPr>
        <w:t xml:space="preserve">. Sentencia de 26 de noviembre de 2010. Serie C No. 220, párr. 18, y </w:t>
      </w:r>
      <w:r w:rsidRPr="00CF1787">
        <w:rPr>
          <w:bCs/>
          <w:i/>
          <w:lang w:val="es-CR"/>
        </w:rPr>
        <w:t>Caso García Ibarra y otros Vs. Ecuador, supra</w:t>
      </w:r>
      <w:r w:rsidRPr="00CF1787">
        <w:rPr>
          <w:bCs/>
          <w:lang w:val="es-CR"/>
        </w:rPr>
        <w:t>, párr. 19.</w:t>
      </w:r>
    </w:p>
  </w:footnote>
  <w:footnote w:id="10">
    <w:p w14:paraId="3FB2B89B" w14:textId="77777777" w:rsidR="00935D08" w:rsidRPr="00CF1787" w:rsidRDefault="00935D08" w:rsidP="00CA1834">
      <w:pPr>
        <w:pStyle w:val="FootnoteText"/>
        <w:tabs>
          <w:tab w:val="clear" w:pos="567"/>
          <w:tab w:val="left" w:pos="426"/>
        </w:tabs>
        <w:spacing w:before="120" w:after="120"/>
      </w:pPr>
      <w:r w:rsidRPr="00CF1787">
        <w:rPr>
          <w:rStyle w:val="FootnoteReference"/>
        </w:rPr>
        <w:footnoteRef/>
      </w:r>
      <w:r w:rsidRPr="00CF1787">
        <w:t xml:space="preserve"> </w:t>
      </w:r>
      <w:r w:rsidRPr="00CF1787">
        <w:tab/>
        <w:t>El artículo 62.3 de la Convención establece que “[l]</w:t>
      </w:r>
      <w:r w:rsidRPr="00CF1787">
        <w:rPr>
          <w:rFonts w:cs="Tahoma"/>
          <w:color w:val="000000"/>
        </w:rPr>
        <w:t>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11">
    <w:p w14:paraId="4660EC86" w14:textId="77777777" w:rsidR="00935D08" w:rsidRPr="00CF1787" w:rsidRDefault="00935D08" w:rsidP="00CA1834">
      <w:pPr>
        <w:pStyle w:val="FootnoteText"/>
        <w:tabs>
          <w:tab w:val="clear" w:pos="567"/>
          <w:tab w:val="left" w:pos="426"/>
        </w:tabs>
        <w:spacing w:before="120" w:after="120"/>
      </w:pPr>
      <w:r w:rsidRPr="00CF1787">
        <w:rPr>
          <w:rStyle w:val="FootnoteReference"/>
        </w:rPr>
        <w:footnoteRef/>
      </w:r>
      <w:r w:rsidRPr="00CF1787">
        <w:t xml:space="preserve"> </w:t>
      </w:r>
      <w:r w:rsidRPr="00CF1787">
        <w:tab/>
        <w:t>El artículo 63.1 de la Convención establece que “[c]</w:t>
      </w:r>
      <w:proofErr w:type="spellStart"/>
      <w:r w:rsidRPr="00CF1787">
        <w:rPr>
          <w:rFonts w:cs="Tahoma"/>
          <w:color w:val="000000"/>
        </w:rPr>
        <w:t>uando</w:t>
      </w:r>
      <w:proofErr w:type="spellEnd"/>
      <w:r w:rsidRPr="00CF1787">
        <w:rPr>
          <w:rFonts w:cs="Tahoma"/>
          <w:color w:val="000000"/>
        </w:rPr>
        <w:t xml:space="preserve">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12">
    <w:p w14:paraId="0F5E9ED5" w14:textId="50B372AD" w:rsidR="00935D08" w:rsidRPr="00CF1787" w:rsidRDefault="00935D08" w:rsidP="00CA1834">
      <w:pPr>
        <w:pStyle w:val="FootnoteText"/>
        <w:tabs>
          <w:tab w:val="clear" w:pos="567"/>
          <w:tab w:val="left" w:pos="426"/>
        </w:tabs>
        <w:spacing w:before="120" w:after="120"/>
        <w:ind w:right="32"/>
        <w:rPr>
          <w:lang w:val="es-CR"/>
        </w:rPr>
      </w:pPr>
      <w:r w:rsidRPr="00CF1787">
        <w:rPr>
          <w:rStyle w:val="FootnoteReference"/>
        </w:rPr>
        <w:footnoteRef/>
      </w:r>
      <w:r w:rsidRPr="00CF1787">
        <w:rPr>
          <w:lang w:val="es-CR"/>
        </w:rPr>
        <w:t xml:space="preserve"> </w:t>
      </w:r>
      <w:r w:rsidRPr="00CF1787">
        <w:rPr>
          <w:lang w:val="es-CR"/>
        </w:rPr>
        <w:tab/>
      </w:r>
      <w:r w:rsidRPr="00CF1787">
        <w:rPr>
          <w:i/>
          <w:lang w:val="es-CR"/>
        </w:rPr>
        <w:t xml:space="preserve">Cfr. </w:t>
      </w:r>
      <w:r w:rsidRPr="00CF1787">
        <w:rPr>
          <w:i/>
          <w:lang w:val="es-ES"/>
        </w:rPr>
        <w:t>Caso Cabrera García y Montiel Flores Vs. México, supra</w:t>
      </w:r>
      <w:r w:rsidRPr="00CF1787">
        <w:rPr>
          <w:lang w:val="es-ES"/>
        </w:rPr>
        <w:t xml:space="preserve">, </w:t>
      </w:r>
      <w:r w:rsidRPr="00CF1787">
        <w:rPr>
          <w:lang w:val="es-CR"/>
        </w:rPr>
        <w:t>párr. 16, y</w:t>
      </w:r>
      <w:r w:rsidRPr="00CF1787">
        <w:rPr>
          <w:lang w:val="es-ES"/>
        </w:rPr>
        <w:t xml:space="preserve"> </w:t>
      </w:r>
      <w:r w:rsidRPr="00CF1787">
        <w:rPr>
          <w:bCs/>
          <w:i/>
          <w:lang w:val="es-CR"/>
        </w:rPr>
        <w:t>Caso García Ibarra y otros Vs. Ecuador, supra</w:t>
      </w:r>
      <w:r w:rsidRPr="00CF1787">
        <w:rPr>
          <w:bCs/>
          <w:lang w:val="es-CR"/>
        </w:rPr>
        <w:t>, párr. 20.</w:t>
      </w:r>
    </w:p>
  </w:footnote>
  <w:footnote w:id="13">
    <w:p w14:paraId="3C00162A" w14:textId="66BE22C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 xml:space="preserve">Cfr. </w:t>
      </w:r>
      <w:r w:rsidRPr="00CF1787">
        <w:t xml:space="preserve">Naciones Unidas, Asamblea General, Resolución sobre la responsabilidad </w:t>
      </w:r>
      <w:r w:rsidRPr="00CF1787">
        <w:rPr>
          <w:rFonts w:eastAsiaTheme="minorHAnsi" w:cs="Times New Roman"/>
          <w:lang w:val="es-CL"/>
        </w:rPr>
        <w:t>del Estado por hechos internacionalmente ilícitos</w:t>
      </w:r>
      <w:r w:rsidRPr="00CF1787">
        <w:t xml:space="preserve">, a </w:t>
      </w:r>
      <w:r w:rsidRPr="00CF1787">
        <w:rPr>
          <w:rFonts w:eastAsiaTheme="minorHAnsi" w:cs="Times New Roman"/>
          <w:lang w:val="es-CL"/>
        </w:rPr>
        <w:t xml:space="preserve">A/RES/56/83, de 12 de diciembre de 2001, Anexo, artículo 4. </w:t>
      </w:r>
    </w:p>
  </w:footnote>
  <w:footnote w:id="14">
    <w:p w14:paraId="6A5F195B" w14:textId="66E47EF1" w:rsidR="00935D08" w:rsidRPr="00CF1787" w:rsidRDefault="00935D08" w:rsidP="00CA1834">
      <w:pPr>
        <w:pStyle w:val="FootnoteText"/>
        <w:tabs>
          <w:tab w:val="clear" w:pos="567"/>
          <w:tab w:val="left" w:pos="426"/>
        </w:tabs>
        <w:spacing w:before="120" w:after="120"/>
        <w:ind w:right="32"/>
        <w:rPr>
          <w:lang w:val="es-CR"/>
        </w:rPr>
      </w:pPr>
      <w:r w:rsidRPr="00CF1787">
        <w:rPr>
          <w:rStyle w:val="FootnoteReference"/>
        </w:rPr>
        <w:footnoteRef/>
      </w:r>
      <w:r w:rsidRPr="00CF1787">
        <w:rPr>
          <w:lang w:val="es-CR"/>
        </w:rPr>
        <w:t xml:space="preserve"> </w:t>
      </w:r>
      <w:r w:rsidRPr="00CF1787">
        <w:rPr>
          <w:lang w:val="es-CR"/>
        </w:rPr>
        <w:tab/>
      </w:r>
      <w:r w:rsidRPr="00CF1787">
        <w:rPr>
          <w:i/>
          <w:lang w:val="es-CR"/>
        </w:rPr>
        <w:t>Cfr.</w:t>
      </w:r>
      <w:r w:rsidRPr="00CF1787">
        <w:rPr>
          <w:lang w:val="es-CR"/>
        </w:rPr>
        <w:t xml:space="preserve"> </w:t>
      </w:r>
      <w:r w:rsidRPr="00CF1787">
        <w:rPr>
          <w:i/>
          <w:lang w:val="es-CR"/>
        </w:rPr>
        <w:t>Caso de los “Niños de la Calle” (Villagrán Morales y otros) Vs. Guatemala. Fondo</w:t>
      </w:r>
      <w:r w:rsidRPr="00CF1787">
        <w:rPr>
          <w:lang w:val="es-CR"/>
        </w:rPr>
        <w:t xml:space="preserve">. Sentencia de 19 de noviembre de 1999. Serie C No. 63, párr. 222, y </w:t>
      </w:r>
      <w:r w:rsidRPr="00CF1787">
        <w:rPr>
          <w:bCs/>
          <w:i/>
          <w:lang w:val="es-CR"/>
        </w:rPr>
        <w:t>Caso García Ibarra y otros Vs. Ecuador, supra</w:t>
      </w:r>
      <w:r w:rsidRPr="00CF1787">
        <w:rPr>
          <w:bCs/>
          <w:lang w:val="es-CR"/>
        </w:rPr>
        <w:t>, párr. 20.</w:t>
      </w:r>
    </w:p>
  </w:footnote>
  <w:footnote w:id="15">
    <w:p w14:paraId="5D5C9891" w14:textId="77777777" w:rsidR="00935D08" w:rsidRPr="00CF1787" w:rsidRDefault="00935D08" w:rsidP="00CA1834">
      <w:pPr>
        <w:pStyle w:val="FootnoteText"/>
        <w:tabs>
          <w:tab w:val="clear" w:pos="567"/>
          <w:tab w:val="left" w:pos="426"/>
        </w:tabs>
        <w:spacing w:before="120" w:after="120"/>
        <w:ind w:right="32"/>
        <w:rPr>
          <w:color w:val="FF0000"/>
          <w:lang w:val="es-CR"/>
        </w:rPr>
      </w:pPr>
      <w:r w:rsidRPr="00CF1787">
        <w:rPr>
          <w:rStyle w:val="FootnoteReference"/>
        </w:rPr>
        <w:footnoteRef/>
      </w:r>
      <w:r w:rsidRPr="00CF1787">
        <w:rPr>
          <w:lang w:val="es-CR"/>
        </w:rPr>
        <w:t xml:space="preserve"> </w:t>
      </w:r>
      <w:r w:rsidRPr="00CF1787">
        <w:rPr>
          <w:color w:val="FF0000"/>
          <w:lang w:val="es-CR"/>
        </w:rPr>
        <w:tab/>
      </w:r>
      <w:r w:rsidRPr="00CF1787">
        <w:rPr>
          <w:i/>
          <w:lang w:val="es-CR"/>
        </w:rPr>
        <w:t xml:space="preserve">Cfr. </w:t>
      </w:r>
      <w:r w:rsidRPr="00CF1787">
        <w:rPr>
          <w:bCs/>
          <w:i/>
          <w:lang w:val="es-CR"/>
        </w:rPr>
        <w:t xml:space="preserve">Caso González y otras (“Campo Algodonero”) Vs. México. Excepción Preliminar, Fondo, Reparaciones y Costas. </w:t>
      </w:r>
      <w:r w:rsidRPr="00CF1787">
        <w:rPr>
          <w:bCs/>
          <w:lang w:val="es-CR"/>
        </w:rPr>
        <w:t>Sentencia de 16 de noviembre de 2009. Serie C No.205</w:t>
      </w:r>
      <w:r w:rsidRPr="00CF1787">
        <w:rPr>
          <w:lang w:val="es-CR"/>
        </w:rPr>
        <w:t xml:space="preserve">, párr. 368, y </w:t>
      </w:r>
      <w:r w:rsidRPr="00CF1787">
        <w:rPr>
          <w:bCs/>
          <w:i/>
          <w:lang w:val="es-CR"/>
        </w:rPr>
        <w:t xml:space="preserve">Caso Veliz Franco y otros Vs. Guatemala. Excepciones Preliminares, Fondo, Reparaciones y Costas. </w:t>
      </w:r>
      <w:r w:rsidRPr="00CF1787">
        <w:rPr>
          <w:bCs/>
          <w:lang w:val="es-CR"/>
        </w:rPr>
        <w:t>Sentencia de 19 de mayo de 2014. Serie C No. 277, párr. 221.</w:t>
      </w:r>
    </w:p>
  </w:footnote>
  <w:footnote w:id="16">
    <w:p w14:paraId="4455CAB7" w14:textId="77777777" w:rsidR="00935D08" w:rsidRPr="00CF1787" w:rsidRDefault="00935D08" w:rsidP="00CA1834">
      <w:pPr>
        <w:tabs>
          <w:tab w:val="left" w:pos="426"/>
        </w:tabs>
        <w:spacing w:before="120" w:after="120"/>
        <w:ind w:right="32"/>
        <w:rPr>
          <w:rFonts w:eastAsia="Verdana" w:cs="Verdana"/>
          <w:sz w:val="16"/>
          <w:szCs w:val="16"/>
          <w:lang w:val="es-ES"/>
        </w:rPr>
      </w:pPr>
      <w:r w:rsidRPr="00CF1787">
        <w:rPr>
          <w:rStyle w:val="FootnoteReference"/>
        </w:rPr>
        <w:footnoteRef/>
      </w:r>
      <w:r w:rsidRPr="00CF1787">
        <w:rPr>
          <w:sz w:val="16"/>
          <w:szCs w:val="16"/>
          <w:lang w:val="es-CR"/>
        </w:rPr>
        <w:t xml:space="preserve"> </w:t>
      </w:r>
      <w:r w:rsidRPr="00CF1787">
        <w:rPr>
          <w:sz w:val="16"/>
          <w:szCs w:val="16"/>
          <w:lang w:val="es-CR"/>
        </w:rPr>
        <w:tab/>
      </w:r>
      <w:r w:rsidRPr="00CF1787">
        <w:rPr>
          <w:rFonts w:eastAsia="Verdana" w:cs="Verdana"/>
          <w:i/>
          <w:sz w:val="16"/>
          <w:szCs w:val="16"/>
          <w:lang w:val="es-ES"/>
        </w:rPr>
        <w:t>C</w:t>
      </w:r>
      <w:r w:rsidRPr="00CF1787">
        <w:rPr>
          <w:rFonts w:eastAsia="Verdana" w:cs="Verdana"/>
          <w:i/>
          <w:spacing w:val="-1"/>
          <w:sz w:val="16"/>
          <w:szCs w:val="16"/>
          <w:lang w:val="es-ES"/>
        </w:rPr>
        <w:t>f</w:t>
      </w:r>
      <w:r w:rsidRPr="00CF1787">
        <w:rPr>
          <w:rFonts w:eastAsia="Verdana" w:cs="Verdana"/>
          <w:i/>
          <w:spacing w:val="1"/>
          <w:sz w:val="16"/>
          <w:szCs w:val="16"/>
          <w:lang w:val="es-ES"/>
        </w:rPr>
        <w:t>r</w:t>
      </w:r>
      <w:r w:rsidRPr="00CF1787">
        <w:rPr>
          <w:rFonts w:eastAsia="Verdana" w:cs="Verdana"/>
          <w:i/>
          <w:sz w:val="16"/>
          <w:szCs w:val="16"/>
          <w:lang w:val="es-ES"/>
        </w:rPr>
        <w:t>.</w:t>
      </w:r>
      <w:r w:rsidRPr="00CF1787">
        <w:rPr>
          <w:rFonts w:eastAsia="Verdana" w:cs="Verdana"/>
          <w:i/>
          <w:spacing w:val="3"/>
          <w:sz w:val="16"/>
          <w:szCs w:val="16"/>
          <w:lang w:val="es-ES"/>
        </w:rPr>
        <w:t xml:space="preserve"> </w:t>
      </w:r>
      <w:r w:rsidRPr="00CF1787">
        <w:rPr>
          <w:rFonts w:eastAsia="Verdana" w:cs="Verdana"/>
          <w:i/>
          <w:spacing w:val="-2"/>
          <w:sz w:val="16"/>
          <w:szCs w:val="16"/>
          <w:lang w:val="es-ES"/>
        </w:rPr>
        <w:t>C</w:t>
      </w:r>
      <w:r w:rsidRPr="00CF1787">
        <w:rPr>
          <w:rFonts w:eastAsia="Verdana" w:cs="Verdana"/>
          <w:i/>
          <w:spacing w:val="1"/>
          <w:sz w:val="16"/>
          <w:szCs w:val="16"/>
          <w:lang w:val="es-ES"/>
        </w:rPr>
        <w:t>o</w:t>
      </w:r>
      <w:r w:rsidRPr="00CF1787">
        <w:rPr>
          <w:rFonts w:eastAsia="Verdana" w:cs="Verdana"/>
          <w:i/>
          <w:spacing w:val="-1"/>
          <w:sz w:val="16"/>
          <w:szCs w:val="16"/>
          <w:lang w:val="es-ES"/>
        </w:rPr>
        <w:t>nt</w:t>
      </w:r>
      <w:r w:rsidRPr="00CF1787">
        <w:rPr>
          <w:rFonts w:eastAsia="Verdana" w:cs="Verdana"/>
          <w:i/>
          <w:spacing w:val="1"/>
          <w:sz w:val="16"/>
          <w:szCs w:val="16"/>
          <w:lang w:val="es-ES"/>
        </w:rPr>
        <w:t>ro</w:t>
      </w:r>
      <w:r w:rsidRPr="00CF1787">
        <w:rPr>
          <w:rFonts w:eastAsia="Verdana" w:cs="Verdana"/>
          <w:i/>
          <w:sz w:val="16"/>
          <w:szCs w:val="16"/>
          <w:lang w:val="es-ES"/>
        </w:rPr>
        <w:t>l de</w:t>
      </w:r>
      <w:r w:rsidRPr="00CF1787">
        <w:rPr>
          <w:rFonts w:eastAsia="Verdana" w:cs="Verdana"/>
          <w:i/>
          <w:spacing w:val="4"/>
          <w:sz w:val="16"/>
          <w:szCs w:val="16"/>
          <w:lang w:val="es-ES"/>
        </w:rPr>
        <w:t xml:space="preserve"> </w:t>
      </w:r>
      <w:r w:rsidRPr="00CF1787">
        <w:rPr>
          <w:rFonts w:eastAsia="Verdana" w:cs="Verdana"/>
          <w:i/>
          <w:spacing w:val="-3"/>
          <w:sz w:val="16"/>
          <w:szCs w:val="16"/>
          <w:lang w:val="es-ES"/>
        </w:rPr>
        <w:t>L</w:t>
      </w:r>
      <w:r w:rsidRPr="00CF1787">
        <w:rPr>
          <w:rFonts w:eastAsia="Verdana" w:cs="Verdana"/>
          <w:i/>
          <w:sz w:val="16"/>
          <w:szCs w:val="16"/>
          <w:lang w:val="es-ES"/>
        </w:rPr>
        <w:t>e</w:t>
      </w:r>
      <w:r w:rsidRPr="00CF1787">
        <w:rPr>
          <w:rFonts w:eastAsia="Verdana" w:cs="Verdana"/>
          <w:i/>
          <w:spacing w:val="1"/>
          <w:sz w:val="16"/>
          <w:szCs w:val="16"/>
          <w:lang w:val="es-ES"/>
        </w:rPr>
        <w:t>g</w:t>
      </w:r>
      <w:r w:rsidRPr="00CF1787">
        <w:rPr>
          <w:rFonts w:eastAsia="Verdana" w:cs="Verdana"/>
          <w:i/>
          <w:spacing w:val="-1"/>
          <w:sz w:val="16"/>
          <w:szCs w:val="16"/>
          <w:lang w:val="es-ES"/>
        </w:rPr>
        <w:t>ali</w:t>
      </w:r>
      <w:r w:rsidRPr="00CF1787">
        <w:rPr>
          <w:rFonts w:eastAsia="Verdana" w:cs="Verdana"/>
          <w:i/>
          <w:sz w:val="16"/>
          <w:szCs w:val="16"/>
          <w:lang w:val="es-ES"/>
        </w:rPr>
        <w:t>d</w:t>
      </w:r>
      <w:r w:rsidRPr="00CF1787">
        <w:rPr>
          <w:rFonts w:eastAsia="Verdana" w:cs="Verdana"/>
          <w:i/>
          <w:spacing w:val="-1"/>
          <w:sz w:val="16"/>
          <w:szCs w:val="16"/>
          <w:lang w:val="es-ES"/>
        </w:rPr>
        <w:t>a</w:t>
      </w:r>
      <w:r w:rsidRPr="00CF1787">
        <w:rPr>
          <w:rFonts w:eastAsia="Verdana" w:cs="Verdana"/>
          <w:i/>
          <w:sz w:val="16"/>
          <w:szCs w:val="16"/>
          <w:lang w:val="es-ES"/>
        </w:rPr>
        <w:t>d</w:t>
      </w:r>
      <w:r w:rsidRPr="00CF1787">
        <w:rPr>
          <w:rFonts w:eastAsia="Verdana" w:cs="Verdana"/>
          <w:i/>
          <w:spacing w:val="2"/>
          <w:sz w:val="16"/>
          <w:szCs w:val="16"/>
          <w:lang w:val="es-ES"/>
        </w:rPr>
        <w:t xml:space="preserve"> </w:t>
      </w:r>
      <w:r w:rsidRPr="00CF1787">
        <w:rPr>
          <w:rFonts w:eastAsia="Verdana" w:cs="Verdana"/>
          <w:i/>
          <w:sz w:val="16"/>
          <w:szCs w:val="16"/>
          <w:lang w:val="es-ES"/>
        </w:rPr>
        <w:t xml:space="preserve">en </w:t>
      </w:r>
      <w:r w:rsidRPr="00CF1787">
        <w:rPr>
          <w:rFonts w:eastAsia="Verdana" w:cs="Verdana"/>
          <w:i/>
          <w:spacing w:val="-2"/>
          <w:sz w:val="16"/>
          <w:szCs w:val="16"/>
          <w:lang w:val="es-ES"/>
        </w:rPr>
        <w:t>e</w:t>
      </w:r>
      <w:r w:rsidRPr="00CF1787">
        <w:rPr>
          <w:rFonts w:eastAsia="Verdana" w:cs="Verdana"/>
          <w:i/>
          <w:sz w:val="16"/>
          <w:szCs w:val="16"/>
          <w:lang w:val="es-ES"/>
        </w:rPr>
        <w:t>l</w:t>
      </w:r>
      <w:r w:rsidRPr="00CF1787">
        <w:rPr>
          <w:rFonts w:eastAsia="Verdana" w:cs="Verdana"/>
          <w:i/>
          <w:spacing w:val="2"/>
          <w:sz w:val="16"/>
          <w:szCs w:val="16"/>
          <w:lang w:val="es-ES"/>
        </w:rPr>
        <w:t xml:space="preserve"> </w:t>
      </w:r>
      <w:r w:rsidRPr="00CF1787">
        <w:rPr>
          <w:rFonts w:eastAsia="Verdana" w:cs="Verdana"/>
          <w:i/>
          <w:spacing w:val="-1"/>
          <w:sz w:val="16"/>
          <w:szCs w:val="16"/>
          <w:lang w:val="es-ES"/>
        </w:rPr>
        <w:t>E</w:t>
      </w:r>
      <w:r w:rsidRPr="00CF1787">
        <w:rPr>
          <w:rFonts w:eastAsia="Verdana" w:cs="Verdana"/>
          <w:i/>
          <w:sz w:val="16"/>
          <w:szCs w:val="16"/>
          <w:lang w:val="es-ES"/>
        </w:rPr>
        <w:t>je</w:t>
      </w:r>
      <w:r w:rsidRPr="00CF1787">
        <w:rPr>
          <w:rFonts w:eastAsia="Verdana" w:cs="Verdana"/>
          <w:i/>
          <w:spacing w:val="1"/>
          <w:sz w:val="16"/>
          <w:szCs w:val="16"/>
          <w:lang w:val="es-ES"/>
        </w:rPr>
        <w:t>r</w:t>
      </w:r>
      <w:r w:rsidRPr="00CF1787">
        <w:rPr>
          <w:rFonts w:eastAsia="Verdana" w:cs="Verdana"/>
          <w:i/>
          <w:sz w:val="16"/>
          <w:szCs w:val="16"/>
          <w:lang w:val="es-ES"/>
        </w:rPr>
        <w:t>c</w:t>
      </w:r>
      <w:r w:rsidRPr="00CF1787">
        <w:rPr>
          <w:rFonts w:eastAsia="Verdana" w:cs="Verdana"/>
          <w:i/>
          <w:spacing w:val="-1"/>
          <w:sz w:val="16"/>
          <w:szCs w:val="16"/>
          <w:lang w:val="es-ES"/>
        </w:rPr>
        <w:t>i</w:t>
      </w:r>
      <w:r w:rsidRPr="00CF1787">
        <w:rPr>
          <w:rFonts w:eastAsia="Verdana" w:cs="Verdana"/>
          <w:i/>
          <w:sz w:val="16"/>
          <w:szCs w:val="16"/>
          <w:lang w:val="es-ES"/>
        </w:rPr>
        <w:t>c</w:t>
      </w:r>
      <w:r w:rsidRPr="00CF1787">
        <w:rPr>
          <w:rFonts w:eastAsia="Verdana" w:cs="Verdana"/>
          <w:i/>
          <w:spacing w:val="-1"/>
          <w:sz w:val="16"/>
          <w:szCs w:val="16"/>
          <w:lang w:val="es-ES"/>
        </w:rPr>
        <w:t>i</w:t>
      </w:r>
      <w:r w:rsidRPr="00CF1787">
        <w:rPr>
          <w:rFonts w:eastAsia="Verdana" w:cs="Verdana"/>
          <w:i/>
          <w:sz w:val="16"/>
          <w:szCs w:val="16"/>
          <w:lang w:val="es-ES"/>
        </w:rPr>
        <w:t>o</w:t>
      </w:r>
      <w:r w:rsidRPr="00CF1787">
        <w:rPr>
          <w:rFonts w:eastAsia="Verdana" w:cs="Verdana"/>
          <w:i/>
          <w:spacing w:val="2"/>
          <w:sz w:val="16"/>
          <w:szCs w:val="16"/>
          <w:lang w:val="es-ES"/>
        </w:rPr>
        <w:t xml:space="preserve"> </w:t>
      </w:r>
      <w:r w:rsidRPr="00CF1787">
        <w:rPr>
          <w:rFonts w:eastAsia="Verdana" w:cs="Verdana"/>
          <w:i/>
          <w:sz w:val="16"/>
          <w:szCs w:val="16"/>
          <w:lang w:val="es-ES"/>
        </w:rPr>
        <w:t>de</w:t>
      </w:r>
      <w:r w:rsidRPr="00CF1787">
        <w:rPr>
          <w:rFonts w:eastAsia="Verdana" w:cs="Verdana"/>
          <w:i/>
          <w:spacing w:val="1"/>
          <w:sz w:val="16"/>
          <w:szCs w:val="16"/>
          <w:lang w:val="es-ES"/>
        </w:rPr>
        <w:t xml:space="preserve"> </w:t>
      </w:r>
      <w:r w:rsidRPr="00CF1787">
        <w:rPr>
          <w:rFonts w:eastAsia="Verdana" w:cs="Verdana"/>
          <w:i/>
          <w:spacing w:val="-1"/>
          <w:sz w:val="16"/>
          <w:szCs w:val="16"/>
          <w:lang w:val="es-ES"/>
        </w:rPr>
        <w:t>la</w:t>
      </w:r>
      <w:r w:rsidRPr="00CF1787">
        <w:rPr>
          <w:rFonts w:eastAsia="Verdana" w:cs="Verdana"/>
          <w:i/>
          <w:sz w:val="16"/>
          <w:szCs w:val="16"/>
          <w:lang w:val="es-ES"/>
        </w:rPr>
        <w:t>s</w:t>
      </w:r>
      <w:r w:rsidRPr="00CF1787">
        <w:rPr>
          <w:rFonts w:eastAsia="Verdana" w:cs="Verdana"/>
          <w:i/>
          <w:spacing w:val="1"/>
          <w:sz w:val="16"/>
          <w:szCs w:val="16"/>
          <w:lang w:val="es-ES"/>
        </w:rPr>
        <w:t xml:space="preserve"> A</w:t>
      </w:r>
      <w:r w:rsidRPr="00CF1787">
        <w:rPr>
          <w:rFonts w:eastAsia="Verdana" w:cs="Verdana"/>
          <w:i/>
          <w:spacing w:val="-1"/>
          <w:sz w:val="16"/>
          <w:szCs w:val="16"/>
          <w:lang w:val="es-ES"/>
        </w:rPr>
        <w:t>t</w:t>
      </w:r>
      <w:r w:rsidRPr="00CF1787">
        <w:rPr>
          <w:rFonts w:eastAsia="Verdana" w:cs="Verdana"/>
          <w:i/>
          <w:spacing w:val="1"/>
          <w:sz w:val="16"/>
          <w:szCs w:val="16"/>
          <w:lang w:val="es-ES"/>
        </w:rPr>
        <w:t>r</w:t>
      </w:r>
      <w:r w:rsidRPr="00CF1787">
        <w:rPr>
          <w:rFonts w:eastAsia="Verdana" w:cs="Verdana"/>
          <w:i/>
          <w:spacing w:val="-1"/>
          <w:sz w:val="16"/>
          <w:szCs w:val="16"/>
          <w:lang w:val="es-ES"/>
        </w:rPr>
        <w:t>i</w:t>
      </w:r>
      <w:r w:rsidRPr="00CF1787">
        <w:rPr>
          <w:rFonts w:eastAsia="Verdana" w:cs="Verdana"/>
          <w:i/>
          <w:sz w:val="16"/>
          <w:szCs w:val="16"/>
          <w:lang w:val="es-ES"/>
        </w:rPr>
        <w:t>b</w:t>
      </w:r>
      <w:r w:rsidRPr="00CF1787">
        <w:rPr>
          <w:rFonts w:eastAsia="Verdana" w:cs="Verdana"/>
          <w:i/>
          <w:spacing w:val="-1"/>
          <w:sz w:val="16"/>
          <w:szCs w:val="16"/>
          <w:lang w:val="es-ES"/>
        </w:rPr>
        <w:t>u</w:t>
      </w:r>
      <w:r w:rsidRPr="00CF1787">
        <w:rPr>
          <w:rFonts w:eastAsia="Verdana" w:cs="Verdana"/>
          <w:i/>
          <w:sz w:val="16"/>
          <w:szCs w:val="16"/>
          <w:lang w:val="es-ES"/>
        </w:rPr>
        <w:t>c</w:t>
      </w:r>
      <w:r w:rsidRPr="00CF1787">
        <w:rPr>
          <w:rFonts w:eastAsia="Verdana" w:cs="Verdana"/>
          <w:i/>
          <w:spacing w:val="-1"/>
          <w:sz w:val="16"/>
          <w:szCs w:val="16"/>
          <w:lang w:val="es-ES"/>
        </w:rPr>
        <w:t>i</w:t>
      </w:r>
      <w:r w:rsidRPr="00CF1787">
        <w:rPr>
          <w:rFonts w:eastAsia="Verdana" w:cs="Verdana"/>
          <w:i/>
          <w:spacing w:val="1"/>
          <w:sz w:val="16"/>
          <w:szCs w:val="16"/>
          <w:lang w:val="es-ES"/>
        </w:rPr>
        <w:t>o</w:t>
      </w:r>
      <w:r w:rsidRPr="00CF1787">
        <w:rPr>
          <w:rFonts w:eastAsia="Verdana" w:cs="Verdana"/>
          <w:i/>
          <w:spacing w:val="-1"/>
          <w:sz w:val="16"/>
          <w:szCs w:val="16"/>
          <w:lang w:val="es-ES"/>
        </w:rPr>
        <w:t>n</w:t>
      </w:r>
      <w:r w:rsidRPr="00CF1787">
        <w:rPr>
          <w:rFonts w:eastAsia="Verdana" w:cs="Verdana"/>
          <w:i/>
          <w:spacing w:val="-2"/>
          <w:sz w:val="16"/>
          <w:szCs w:val="16"/>
          <w:lang w:val="es-ES"/>
        </w:rPr>
        <w:t>e</w:t>
      </w:r>
      <w:r w:rsidRPr="00CF1787">
        <w:rPr>
          <w:rFonts w:eastAsia="Verdana" w:cs="Verdana"/>
          <w:i/>
          <w:sz w:val="16"/>
          <w:szCs w:val="16"/>
          <w:lang w:val="es-ES"/>
        </w:rPr>
        <w:t>s</w:t>
      </w:r>
      <w:r w:rsidRPr="00CF1787">
        <w:rPr>
          <w:rFonts w:eastAsia="Verdana" w:cs="Verdana"/>
          <w:i/>
          <w:spacing w:val="1"/>
          <w:sz w:val="16"/>
          <w:szCs w:val="16"/>
          <w:lang w:val="es-ES"/>
        </w:rPr>
        <w:t xml:space="preserve"> </w:t>
      </w:r>
      <w:r w:rsidRPr="00CF1787">
        <w:rPr>
          <w:rFonts w:eastAsia="Verdana" w:cs="Verdana"/>
          <w:i/>
          <w:sz w:val="16"/>
          <w:szCs w:val="16"/>
          <w:lang w:val="es-ES"/>
        </w:rPr>
        <w:t>de</w:t>
      </w:r>
      <w:r w:rsidRPr="00CF1787">
        <w:rPr>
          <w:rFonts w:eastAsia="Verdana" w:cs="Verdana"/>
          <w:i/>
          <w:spacing w:val="4"/>
          <w:sz w:val="16"/>
          <w:szCs w:val="16"/>
          <w:lang w:val="es-ES"/>
        </w:rPr>
        <w:t xml:space="preserve"> </w:t>
      </w:r>
      <w:r w:rsidRPr="00CF1787">
        <w:rPr>
          <w:rFonts w:eastAsia="Verdana" w:cs="Verdana"/>
          <w:i/>
          <w:spacing w:val="-1"/>
          <w:sz w:val="16"/>
          <w:szCs w:val="16"/>
          <w:lang w:val="es-ES"/>
        </w:rPr>
        <w:t>l</w:t>
      </w:r>
      <w:r w:rsidRPr="00CF1787">
        <w:rPr>
          <w:rFonts w:eastAsia="Verdana" w:cs="Verdana"/>
          <w:i/>
          <w:sz w:val="16"/>
          <w:szCs w:val="16"/>
          <w:lang w:val="es-ES"/>
        </w:rPr>
        <w:t>a C</w:t>
      </w:r>
      <w:r w:rsidRPr="00CF1787">
        <w:rPr>
          <w:rFonts w:eastAsia="Verdana" w:cs="Verdana"/>
          <w:i/>
          <w:spacing w:val="1"/>
          <w:sz w:val="16"/>
          <w:szCs w:val="16"/>
          <w:lang w:val="es-ES"/>
        </w:rPr>
        <w:t>o</w:t>
      </w:r>
      <w:r w:rsidRPr="00CF1787">
        <w:rPr>
          <w:rFonts w:eastAsia="Verdana" w:cs="Verdana"/>
          <w:i/>
          <w:sz w:val="16"/>
          <w:szCs w:val="16"/>
          <w:lang w:val="es-ES"/>
        </w:rPr>
        <w:t>m</w:t>
      </w:r>
      <w:r w:rsidRPr="00CF1787">
        <w:rPr>
          <w:rFonts w:eastAsia="Verdana" w:cs="Verdana"/>
          <w:i/>
          <w:spacing w:val="-1"/>
          <w:sz w:val="16"/>
          <w:szCs w:val="16"/>
          <w:lang w:val="es-ES"/>
        </w:rPr>
        <w:t>i</w:t>
      </w:r>
      <w:r w:rsidRPr="00CF1787">
        <w:rPr>
          <w:rFonts w:eastAsia="Verdana" w:cs="Verdana"/>
          <w:i/>
          <w:sz w:val="16"/>
          <w:szCs w:val="16"/>
          <w:lang w:val="es-ES"/>
        </w:rPr>
        <w:t>s</w:t>
      </w:r>
      <w:r w:rsidRPr="00CF1787">
        <w:rPr>
          <w:rFonts w:eastAsia="Verdana" w:cs="Verdana"/>
          <w:i/>
          <w:spacing w:val="-1"/>
          <w:sz w:val="16"/>
          <w:szCs w:val="16"/>
          <w:lang w:val="es-ES"/>
        </w:rPr>
        <w:t>i</w:t>
      </w:r>
      <w:r w:rsidRPr="00CF1787">
        <w:rPr>
          <w:rFonts w:eastAsia="Verdana" w:cs="Verdana"/>
          <w:i/>
          <w:spacing w:val="1"/>
          <w:sz w:val="16"/>
          <w:szCs w:val="16"/>
          <w:lang w:val="es-ES"/>
        </w:rPr>
        <w:t>ó</w:t>
      </w:r>
      <w:r w:rsidRPr="00CF1787">
        <w:rPr>
          <w:rFonts w:eastAsia="Verdana" w:cs="Verdana"/>
          <w:i/>
          <w:sz w:val="16"/>
          <w:szCs w:val="16"/>
          <w:lang w:val="es-ES"/>
        </w:rPr>
        <w:t>n I</w:t>
      </w:r>
      <w:r w:rsidRPr="00CF1787">
        <w:rPr>
          <w:rFonts w:eastAsia="Verdana" w:cs="Verdana"/>
          <w:i/>
          <w:spacing w:val="-1"/>
          <w:sz w:val="16"/>
          <w:szCs w:val="16"/>
          <w:lang w:val="es-ES"/>
        </w:rPr>
        <w:t>nt</w:t>
      </w:r>
      <w:r w:rsidRPr="00CF1787">
        <w:rPr>
          <w:rFonts w:eastAsia="Verdana" w:cs="Verdana"/>
          <w:i/>
          <w:sz w:val="16"/>
          <w:szCs w:val="16"/>
          <w:lang w:val="es-ES"/>
        </w:rPr>
        <w:t>e</w:t>
      </w:r>
      <w:r w:rsidRPr="00CF1787">
        <w:rPr>
          <w:rFonts w:eastAsia="Verdana" w:cs="Verdana"/>
          <w:i/>
          <w:spacing w:val="1"/>
          <w:sz w:val="16"/>
          <w:szCs w:val="16"/>
          <w:lang w:val="es-ES"/>
        </w:rPr>
        <w:t>r</w:t>
      </w:r>
      <w:r w:rsidRPr="00CF1787">
        <w:rPr>
          <w:rFonts w:eastAsia="Verdana" w:cs="Verdana"/>
          <w:i/>
          <w:spacing w:val="-1"/>
          <w:sz w:val="16"/>
          <w:szCs w:val="16"/>
          <w:lang w:val="es-ES"/>
        </w:rPr>
        <w:t>a</w:t>
      </w:r>
      <w:r w:rsidRPr="00CF1787">
        <w:rPr>
          <w:rFonts w:eastAsia="Verdana" w:cs="Verdana"/>
          <w:i/>
          <w:sz w:val="16"/>
          <w:szCs w:val="16"/>
          <w:lang w:val="es-ES"/>
        </w:rPr>
        <w:t>m</w:t>
      </w:r>
      <w:r w:rsidRPr="00CF1787">
        <w:rPr>
          <w:rFonts w:eastAsia="Verdana" w:cs="Verdana"/>
          <w:i/>
          <w:spacing w:val="-3"/>
          <w:sz w:val="16"/>
          <w:szCs w:val="16"/>
          <w:lang w:val="es-ES"/>
        </w:rPr>
        <w:t>e</w:t>
      </w:r>
      <w:r w:rsidRPr="00CF1787">
        <w:rPr>
          <w:rFonts w:eastAsia="Verdana" w:cs="Verdana"/>
          <w:i/>
          <w:spacing w:val="1"/>
          <w:sz w:val="16"/>
          <w:szCs w:val="16"/>
          <w:lang w:val="es-ES"/>
        </w:rPr>
        <w:t>r</w:t>
      </w:r>
      <w:r w:rsidRPr="00CF1787">
        <w:rPr>
          <w:rFonts w:eastAsia="Verdana" w:cs="Verdana"/>
          <w:i/>
          <w:spacing w:val="-1"/>
          <w:sz w:val="16"/>
          <w:szCs w:val="16"/>
          <w:lang w:val="es-ES"/>
        </w:rPr>
        <w:t>i</w:t>
      </w:r>
      <w:r w:rsidRPr="00CF1787">
        <w:rPr>
          <w:rFonts w:eastAsia="Verdana" w:cs="Verdana"/>
          <w:i/>
          <w:sz w:val="16"/>
          <w:szCs w:val="16"/>
          <w:lang w:val="es-ES"/>
        </w:rPr>
        <w:t>ca</w:t>
      </w:r>
      <w:r w:rsidRPr="00CF1787">
        <w:rPr>
          <w:rFonts w:eastAsia="Verdana" w:cs="Verdana"/>
          <w:i/>
          <w:spacing w:val="-4"/>
          <w:sz w:val="16"/>
          <w:szCs w:val="16"/>
          <w:lang w:val="es-ES"/>
        </w:rPr>
        <w:t>n</w:t>
      </w:r>
      <w:r w:rsidRPr="00CF1787">
        <w:rPr>
          <w:rFonts w:eastAsia="Verdana" w:cs="Verdana"/>
          <w:i/>
          <w:sz w:val="16"/>
          <w:szCs w:val="16"/>
          <w:lang w:val="es-ES"/>
        </w:rPr>
        <w:t>a</w:t>
      </w:r>
      <w:r w:rsidRPr="00CF1787">
        <w:rPr>
          <w:rFonts w:eastAsia="Verdana" w:cs="Verdana"/>
          <w:i/>
          <w:spacing w:val="3"/>
          <w:sz w:val="16"/>
          <w:szCs w:val="16"/>
          <w:lang w:val="es-ES"/>
        </w:rPr>
        <w:t xml:space="preserve"> </w:t>
      </w:r>
      <w:r w:rsidRPr="00CF1787">
        <w:rPr>
          <w:rFonts w:eastAsia="Verdana" w:cs="Verdana"/>
          <w:i/>
          <w:sz w:val="16"/>
          <w:szCs w:val="16"/>
          <w:lang w:val="es-ES"/>
        </w:rPr>
        <w:t>de</w:t>
      </w:r>
      <w:r w:rsidRPr="00CF1787">
        <w:rPr>
          <w:rFonts w:eastAsia="Verdana" w:cs="Verdana"/>
          <w:i/>
          <w:spacing w:val="4"/>
          <w:sz w:val="16"/>
          <w:szCs w:val="16"/>
          <w:lang w:val="es-ES"/>
        </w:rPr>
        <w:t xml:space="preserve"> </w:t>
      </w:r>
      <w:r w:rsidRPr="00CF1787">
        <w:rPr>
          <w:rFonts w:eastAsia="Verdana" w:cs="Verdana"/>
          <w:i/>
          <w:spacing w:val="-3"/>
          <w:sz w:val="16"/>
          <w:szCs w:val="16"/>
          <w:lang w:val="es-ES"/>
        </w:rPr>
        <w:t>D</w:t>
      </w:r>
      <w:r w:rsidRPr="00CF1787">
        <w:rPr>
          <w:rFonts w:eastAsia="Verdana" w:cs="Verdana"/>
          <w:i/>
          <w:sz w:val="16"/>
          <w:szCs w:val="16"/>
          <w:lang w:val="es-ES"/>
        </w:rPr>
        <w:t>e</w:t>
      </w:r>
      <w:r w:rsidRPr="00CF1787">
        <w:rPr>
          <w:rFonts w:eastAsia="Verdana" w:cs="Verdana"/>
          <w:i/>
          <w:spacing w:val="-1"/>
          <w:sz w:val="16"/>
          <w:szCs w:val="16"/>
          <w:lang w:val="es-ES"/>
        </w:rPr>
        <w:t>r</w:t>
      </w:r>
      <w:r w:rsidRPr="00CF1787">
        <w:rPr>
          <w:rFonts w:eastAsia="Verdana" w:cs="Verdana"/>
          <w:i/>
          <w:sz w:val="16"/>
          <w:szCs w:val="16"/>
          <w:lang w:val="es-ES"/>
        </w:rPr>
        <w:t>ec</w:t>
      </w:r>
      <w:r w:rsidRPr="00CF1787">
        <w:rPr>
          <w:rFonts w:eastAsia="Verdana" w:cs="Verdana"/>
          <w:i/>
          <w:spacing w:val="-1"/>
          <w:sz w:val="16"/>
          <w:szCs w:val="16"/>
          <w:lang w:val="es-ES"/>
        </w:rPr>
        <w:t>h</w:t>
      </w:r>
      <w:r w:rsidRPr="00CF1787">
        <w:rPr>
          <w:rFonts w:eastAsia="Verdana" w:cs="Verdana"/>
          <w:i/>
          <w:spacing w:val="1"/>
          <w:sz w:val="16"/>
          <w:szCs w:val="16"/>
          <w:lang w:val="es-ES"/>
        </w:rPr>
        <w:t>o</w:t>
      </w:r>
      <w:r w:rsidRPr="00CF1787">
        <w:rPr>
          <w:rFonts w:eastAsia="Verdana" w:cs="Verdana"/>
          <w:i/>
          <w:sz w:val="16"/>
          <w:szCs w:val="16"/>
          <w:lang w:val="es-ES"/>
        </w:rPr>
        <w:t>s</w:t>
      </w:r>
      <w:r w:rsidRPr="00CF1787">
        <w:rPr>
          <w:rFonts w:eastAsia="Verdana" w:cs="Verdana"/>
          <w:i/>
          <w:spacing w:val="1"/>
          <w:sz w:val="16"/>
          <w:szCs w:val="16"/>
          <w:lang w:val="es-ES"/>
        </w:rPr>
        <w:t xml:space="preserve"> </w:t>
      </w:r>
      <w:r w:rsidRPr="00CF1787">
        <w:rPr>
          <w:rFonts w:eastAsia="Verdana" w:cs="Verdana"/>
          <w:i/>
          <w:spacing w:val="-1"/>
          <w:sz w:val="16"/>
          <w:szCs w:val="16"/>
          <w:lang w:val="es-ES"/>
        </w:rPr>
        <w:t>Hu</w:t>
      </w:r>
      <w:r w:rsidRPr="00CF1787">
        <w:rPr>
          <w:rFonts w:eastAsia="Verdana" w:cs="Verdana"/>
          <w:i/>
          <w:sz w:val="16"/>
          <w:szCs w:val="16"/>
          <w:lang w:val="es-ES"/>
        </w:rPr>
        <w:t>m</w:t>
      </w:r>
      <w:r w:rsidRPr="00CF1787">
        <w:rPr>
          <w:rFonts w:eastAsia="Verdana" w:cs="Verdana"/>
          <w:i/>
          <w:spacing w:val="-1"/>
          <w:sz w:val="16"/>
          <w:szCs w:val="16"/>
          <w:lang w:val="es-ES"/>
        </w:rPr>
        <w:t>an</w:t>
      </w:r>
      <w:r w:rsidRPr="00CF1787">
        <w:rPr>
          <w:rFonts w:eastAsia="Verdana" w:cs="Verdana"/>
          <w:i/>
          <w:spacing w:val="1"/>
          <w:sz w:val="16"/>
          <w:szCs w:val="16"/>
          <w:lang w:val="es-ES"/>
        </w:rPr>
        <w:t>o</w:t>
      </w:r>
      <w:r w:rsidRPr="00CF1787">
        <w:rPr>
          <w:rFonts w:eastAsia="Verdana" w:cs="Verdana"/>
          <w:i/>
          <w:spacing w:val="7"/>
          <w:sz w:val="16"/>
          <w:szCs w:val="16"/>
          <w:lang w:val="es-ES"/>
        </w:rPr>
        <w:t>s (arts. 41 y 44 de la Convención Americana sobre Derechos Humanos).</w:t>
      </w:r>
      <w:r w:rsidRPr="00CF1787">
        <w:rPr>
          <w:rFonts w:eastAsia="Verdana" w:cs="Verdana"/>
          <w:spacing w:val="7"/>
          <w:sz w:val="16"/>
          <w:szCs w:val="16"/>
          <w:lang w:val="es-ES"/>
        </w:rPr>
        <w:t xml:space="preserve"> Opinión Consultiva OC-19/05 de 28 de noviembre de 2005. Serie A No. 19</w:t>
      </w:r>
      <w:r w:rsidRPr="00CF1787">
        <w:rPr>
          <w:rFonts w:eastAsia="Verdana" w:cs="Verdana"/>
          <w:sz w:val="16"/>
          <w:szCs w:val="16"/>
          <w:lang w:val="es-ES"/>
        </w:rPr>
        <w:t>,</w:t>
      </w:r>
      <w:r w:rsidRPr="00CF1787">
        <w:rPr>
          <w:rFonts w:eastAsia="Verdana" w:cs="Verdana"/>
          <w:spacing w:val="12"/>
          <w:sz w:val="16"/>
          <w:szCs w:val="16"/>
          <w:lang w:val="es-ES"/>
        </w:rPr>
        <w:t xml:space="preserve"> </w:t>
      </w:r>
      <w:r w:rsidRPr="00CF1787">
        <w:rPr>
          <w:rFonts w:eastAsia="Verdana" w:cs="Verdana"/>
          <w:sz w:val="16"/>
          <w:szCs w:val="16"/>
          <w:lang w:val="es-ES"/>
        </w:rPr>
        <w:t>p</w:t>
      </w:r>
      <w:r w:rsidRPr="00CF1787">
        <w:rPr>
          <w:rFonts w:eastAsia="Verdana" w:cs="Verdana"/>
          <w:spacing w:val="-1"/>
          <w:sz w:val="16"/>
          <w:szCs w:val="16"/>
          <w:lang w:val="es-ES"/>
        </w:rPr>
        <w:t>unt</w:t>
      </w:r>
      <w:r w:rsidRPr="00CF1787">
        <w:rPr>
          <w:rFonts w:eastAsia="Verdana" w:cs="Verdana"/>
          <w:sz w:val="16"/>
          <w:szCs w:val="16"/>
          <w:lang w:val="es-ES"/>
        </w:rPr>
        <w:t>o</w:t>
      </w:r>
      <w:r w:rsidRPr="00CF1787">
        <w:rPr>
          <w:rFonts w:eastAsia="Verdana" w:cs="Verdana"/>
          <w:spacing w:val="11"/>
          <w:sz w:val="16"/>
          <w:szCs w:val="16"/>
          <w:lang w:val="es-ES"/>
        </w:rPr>
        <w:t xml:space="preserve"> </w:t>
      </w:r>
      <w:r w:rsidRPr="00CF1787">
        <w:rPr>
          <w:rFonts w:eastAsia="Verdana" w:cs="Verdana"/>
          <w:spacing w:val="1"/>
          <w:sz w:val="16"/>
          <w:szCs w:val="16"/>
          <w:lang w:val="es-ES"/>
        </w:rPr>
        <w:t>r</w:t>
      </w:r>
      <w:r w:rsidRPr="00CF1787">
        <w:rPr>
          <w:rFonts w:eastAsia="Verdana" w:cs="Verdana"/>
          <w:sz w:val="16"/>
          <w:szCs w:val="16"/>
          <w:lang w:val="es-ES"/>
        </w:rPr>
        <w:t>e</w:t>
      </w:r>
      <w:r w:rsidRPr="00CF1787">
        <w:rPr>
          <w:rFonts w:eastAsia="Verdana" w:cs="Verdana"/>
          <w:spacing w:val="-2"/>
          <w:sz w:val="16"/>
          <w:szCs w:val="16"/>
          <w:lang w:val="es-ES"/>
        </w:rPr>
        <w:t>s</w:t>
      </w:r>
      <w:r w:rsidRPr="00CF1787">
        <w:rPr>
          <w:rFonts w:eastAsia="Verdana" w:cs="Verdana"/>
          <w:spacing w:val="1"/>
          <w:sz w:val="16"/>
          <w:szCs w:val="16"/>
          <w:lang w:val="es-ES"/>
        </w:rPr>
        <w:t>o</w:t>
      </w:r>
      <w:r w:rsidRPr="00CF1787">
        <w:rPr>
          <w:rFonts w:eastAsia="Verdana" w:cs="Verdana"/>
          <w:spacing w:val="-1"/>
          <w:sz w:val="16"/>
          <w:szCs w:val="16"/>
          <w:lang w:val="es-ES"/>
        </w:rPr>
        <w:t>luti</w:t>
      </w:r>
      <w:r w:rsidRPr="00CF1787">
        <w:rPr>
          <w:rFonts w:eastAsia="Verdana" w:cs="Verdana"/>
          <w:spacing w:val="1"/>
          <w:sz w:val="16"/>
          <w:szCs w:val="16"/>
          <w:lang w:val="es-ES"/>
        </w:rPr>
        <w:t>v</w:t>
      </w:r>
      <w:r w:rsidRPr="00CF1787">
        <w:rPr>
          <w:rFonts w:eastAsia="Verdana" w:cs="Verdana"/>
          <w:sz w:val="16"/>
          <w:szCs w:val="16"/>
          <w:lang w:val="es-ES"/>
        </w:rPr>
        <w:t>o</w:t>
      </w:r>
      <w:r w:rsidRPr="00CF1787">
        <w:rPr>
          <w:rFonts w:eastAsia="Verdana" w:cs="Verdana"/>
          <w:spacing w:val="14"/>
          <w:sz w:val="16"/>
          <w:szCs w:val="16"/>
          <w:lang w:val="es-ES"/>
        </w:rPr>
        <w:t xml:space="preserve"> </w:t>
      </w:r>
      <w:r w:rsidRPr="00CF1787">
        <w:rPr>
          <w:rFonts w:eastAsia="Verdana" w:cs="Verdana"/>
          <w:spacing w:val="-1"/>
          <w:sz w:val="16"/>
          <w:szCs w:val="16"/>
          <w:lang w:val="es-ES"/>
        </w:rPr>
        <w:t>t</w:t>
      </w:r>
      <w:r w:rsidRPr="00CF1787">
        <w:rPr>
          <w:rFonts w:eastAsia="Verdana" w:cs="Verdana"/>
          <w:sz w:val="16"/>
          <w:szCs w:val="16"/>
          <w:lang w:val="es-ES"/>
        </w:rPr>
        <w:t>e</w:t>
      </w:r>
      <w:r w:rsidRPr="00CF1787">
        <w:rPr>
          <w:rFonts w:eastAsia="Verdana" w:cs="Verdana"/>
          <w:spacing w:val="1"/>
          <w:sz w:val="16"/>
          <w:szCs w:val="16"/>
          <w:lang w:val="es-ES"/>
        </w:rPr>
        <w:t>r</w:t>
      </w:r>
      <w:r w:rsidRPr="00CF1787">
        <w:rPr>
          <w:rFonts w:eastAsia="Verdana" w:cs="Verdana"/>
          <w:spacing w:val="-2"/>
          <w:sz w:val="16"/>
          <w:szCs w:val="16"/>
          <w:lang w:val="es-ES"/>
        </w:rPr>
        <w:t>c</w:t>
      </w:r>
      <w:r w:rsidRPr="00CF1787">
        <w:rPr>
          <w:rFonts w:eastAsia="Verdana" w:cs="Verdana"/>
          <w:sz w:val="16"/>
          <w:szCs w:val="16"/>
          <w:lang w:val="es-ES"/>
        </w:rPr>
        <w:t>e</w:t>
      </w:r>
      <w:r w:rsidRPr="00CF1787">
        <w:rPr>
          <w:rFonts w:eastAsia="Verdana" w:cs="Verdana"/>
          <w:spacing w:val="-1"/>
          <w:sz w:val="16"/>
          <w:szCs w:val="16"/>
          <w:lang w:val="es-ES"/>
        </w:rPr>
        <w:t>r</w:t>
      </w:r>
      <w:r w:rsidRPr="00CF1787">
        <w:rPr>
          <w:rFonts w:eastAsia="Verdana" w:cs="Verdana"/>
          <w:spacing w:val="1"/>
          <w:sz w:val="16"/>
          <w:szCs w:val="16"/>
          <w:lang w:val="es-ES"/>
        </w:rPr>
        <w:t>o</w:t>
      </w:r>
      <w:r w:rsidRPr="00CF1787">
        <w:rPr>
          <w:rFonts w:eastAsia="Verdana" w:cs="Verdana"/>
          <w:sz w:val="16"/>
          <w:szCs w:val="16"/>
          <w:lang w:val="es-ES"/>
        </w:rPr>
        <w:t>,</w:t>
      </w:r>
      <w:r w:rsidRPr="00CF1787">
        <w:rPr>
          <w:rFonts w:eastAsia="Verdana" w:cs="Verdana"/>
          <w:spacing w:val="12"/>
          <w:sz w:val="16"/>
          <w:szCs w:val="16"/>
          <w:lang w:val="es-ES"/>
        </w:rPr>
        <w:t xml:space="preserve"> </w:t>
      </w:r>
      <w:r w:rsidRPr="00CF1787">
        <w:rPr>
          <w:rFonts w:eastAsia="Verdana" w:cs="Verdana"/>
          <w:sz w:val="16"/>
          <w:szCs w:val="16"/>
          <w:lang w:val="es-ES"/>
        </w:rPr>
        <w:t>y</w:t>
      </w:r>
      <w:r w:rsidRPr="00CF1787">
        <w:rPr>
          <w:rFonts w:eastAsia="Verdana" w:cs="Verdana"/>
          <w:spacing w:val="16"/>
          <w:sz w:val="16"/>
          <w:szCs w:val="16"/>
          <w:lang w:val="es-ES"/>
        </w:rPr>
        <w:t xml:space="preserve"> </w:t>
      </w:r>
      <w:r w:rsidRPr="00CF1787">
        <w:rPr>
          <w:rStyle w:val="Strong"/>
          <w:b w:val="0"/>
          <w:i/>
          <w:sz w:val="16"/>
          <w:szCs w:val="16"/>
          <w:lang w:val="es-CR"/>
        </w:rPr>
        <w:t>Caso Cruz Sánchez y otros Vs. Perú. Excepciones Preliminares, Fondo, Reparaciones y Costas.</w:t>
      </w:r>
      <w:r w:rsidRPr="00CF1787">
        <w:rPr>
          <w:rStyle w:val="Strong"/>
          <w:b w:val="0"/>
          <w:sz w:val="16"/>
          <w:szCs w:val="16"/>
          <w:lang w:val="es-CR"/>
        </w:rPr>
        <w:t xml:space="preserve"> Sentencia de 17 de abril de 2015. Serie C No. 292</w:t>
      </w:r>
      <w:r w:rsidRPr="00CF1787">
        <w:rPr>
          <w:sz w:val="16"/>
          <w:szCs w:val="16"/>
          <w:lang w:val="es-CR"/>
        </w:rPr>
        <w:t>, párr. 37.</w:t>
      </w:r>
    </w:p>
  </w:footnote>
  <w:footnote w:id="17">
    <w:p w14:paraId="2A4EB8BB" w14:textId="36CF84FD" w:rsidR="00935D08" w:rsidRPr="00CF1787" w:rsidRDefault="00935D08" w:rsidP="00CA1834">
      <w:pPr>
        <w:tabs>
          <w:tab w:val="left" w:pos="426"/>
        </w:tabs>
        <w:spacing w:before="120" w:after="120"/>
        <w:ind w:right="32"/>
        <w:rPr>
          <w:rFonts w:eastAsia="Verdana" w:cs="Verdana"/>
          <w:sz w:val="16"/>
          <w:szCs w:val="16"/>
          <w:lang w:val="es-ES"/>
        </w:rPr>
      </w:pPr>
      <w:r w:rsidRPr="00CF1787">
        <w:rPr>
          <w:rStyle w:val="FootnoteReference"/>
        </w:rPr>
        <w:footnoteRef/>
      </w:r>
      <w:r w:rsidRPr="00CF1787">
        <w:rPr>
          <w:sz w:val="16"/>
          <w:szCs w:val="16"/>
          <w:lang w:val="es-CR"/>
        </w:rPr>
        <w:t xml:space="preserve"> </w:t>
      </w:r>
      <w:r w:rsidRPr="00CF1787">
        <w:rPr>
          <w:sz w:val="16"/>
          <w:szCs w:val="16"/>
          <w:lang w:val="es-CR"/>
        </w:rPr>
        <w:tab/>
      </w:r>
      <w:r w:rsidRPr="00CF1787">
        <w:rPr>
          <w:rFonts w:eastAsia="Verdana" w:cs="Verdana"/>
          <w:i/>
          <w:sz w:val="16"/>
          <w:szCs w:val="16"/>
          <w:lang w:val="es-ES"/>
        </w:rPr>
        <w:t>C</w:t>
      </w:r>
      <w:r w:rsidRPr="00CF1787">
        <w:rPr>
          <w:rFonts w:eastAsia="Verdana" w:cs="Verdana"/>
          <w:i/>
          <w:spacing w:val="-1"/>
          <w:sz w:val="16"/>
          <w:szCs w:val="16"/>
          <w:lang w:val="es-ES"/>
        </w:rPr>
        <w:t>f</w:t>
      </w:r>
      <w:r w:rsidRPr="00CF1787">
        <w:rPr>
          <w:rFonts w:eastAsia="Verdana" w:cs="Verdana"/>
          <w:i/>
          <w:spacing w:val="1"/>
          <w:sz w:val="16"/>
          <w:szCs w:val="16"/>
          <w:lang w:val="es-ES"/>
        </w:rPr>
        <w:t>r</w:t>
      </w:r>
      <w:r w:rsidRPr="00CF1787">
        <w:rPr>
          <w:rFonts w:eastAsia="Verdana" w:cs="Verdana"/>
          <w:i/>
          <w:sz w:val="16"/>
          <w:szCs w:val="16"/>
          <w:lang w:val="es-ES"/>
        </w:rPr>
        <w:t>.</w:t>
      </w:r>
      <w:r w:rsidRPr="00CF1787">
        <w:rPr>
          <w:rFonts w:eastAsia="Verdana" w:cs="Verdana"/>
          <w:i/>
          <w:spacing w:val="1"/>
          <w:sz w:val="16"/>
          <w:szCs w:val="16"/>
          <w:lang w:val="es-ES"/>
        </w:rPr>
        <w:t xml:space="preserve"> </w:t>
      </w:r>
      <w:r w:rsidRPr="00CF1787">
        <w:rPr>
          <w:rFonts w:eastAsia="Verdana" w:cs="Verdana"/>
          <w:i/>
          <w:sz w:val="16"/>
          <w:szCs w:val="16"/>
          <w:lang w:val="es-ES"/>
        </w:rPr>
        <w:t>C</w:t>
      </w:r>
      <w:r w:rsidRPr="00CF1787">
        <w:rPr>
          <w:rFonts w:eastAsia="Verdana" w:cs="Verdana"/>
          <w:i/>
          <w:spacing w:val="-1"/>
          <w:sz w:val="16"/>
          <w:szCs w:val="16"/>
          <w:lang w:val="es-ES"/>
        </w:rPr>
        <w:t>a</w:t>
      </w:r>
      <w:r w:rsidRPr="00CF1787">
        <w:rPr>
          <w:rFonts w:eastAsia="Verdana" w:cs="Verdana"/>
          <w:i/>
          <w:sz w:val="16"/>
          <w:szCs w:val="16"/>
          <w:lang w:val="es-ES"/>
        </w:rPr>
        <w:t>so</w:t>
      </w:r>
      <w:r w:rsidRPr="00CF1787">
        <w:rPr>
          <w:rFonts w:eastAsia="Verdana" w:cs="Verdana"/>
          <w:i/>
          <w:spacing w:val="2"/>
          <w:sz w:val="16"/>
          <w:szCs w:val="16"/>
          <w:lang w:val="es-ES"/>
        </w:rPr>
        <w:t xml:space="preserve"> </w:t>
      </w:r>
      <w:r w:rsidRPr="00CF1787">
        <w:rPr>
          <w:rFonts w:eastAsia="Verdana" w:cs="Verdana"/>
          <w:i/>
          <w:spacing w:val="-3"/>
          <w:sz w:val="16"/>
          <w:szCs w:val="16"/>
          <w:lang w:val="es-ES"/>
        </w:rPr>
        <w:t>T</w:t>
      </w:r>
      <w:r w:rsidRPr="00CF1787">
        <w:rPr>
          <w:rFonts w:eastAsia="Verdana" w:cs="Verdana"/>
          <w:i/>
          <w:spacing w:val="1"/>
          <w:sz w:val="16"/>
          <w:szCs w:val="16"/>
          <w:lang w:val="es-ES"/>
        </w:rPr>
        <w:t>r</w:t>
      </w:r>
      <w:r w:rsidRPr="00CF1787">
        <w:rPr>
          <w:rFonts w:eastAsia="Verdana" w:cs="Verdana"/>
          <w:i/>
          <w:spacing w:val="-1"/>
          <w:sz w:val="16"/>
          <w:szCs w:val="16"/>
          <w:lang w:val="es-ES"/>
        </w:rPr>
        <w:t>a</w:t>
      </w:r>
      <w:r w:rsidRPr="00CF1787">
        <w:rPr>
          <w:rFonts w:eastAsia="Verdana" w:cs="Verdana"/>
          <w:i/>
          <w:sz w:val="16"/>
          <w:szCs w:val="16"/>
          <w:lang w:val="es-ES"/>
        </w:rPr>
        <w:t>b</w:t>
      </w:r>
      <w:r w:rsidRPr="00CF1787">
        <w:rPr>
          <w:rFonts w:eastAsia="Verdana" w:cs="Verdana"/>
          <w:i/>
          <w:spacing w:val="-1"/>
          <w:sz w:val="16"/>
          <w:szCs w:val="16"/>
          <w:lang w:val="es-ES"/>
        </w:rPr>
        <w:t>a</w:t>
      </w:r>
      <w:r w:rsidRPr="00CF1787">
        <w:rPr>
          <w:rFonts w:eastAsia="Verdana" w:cs="Verdana"/>
          <w:i/>
          <w:sz w:val="16"/>
          <w:szCs w:val="16"/>
          <w:lang w:val="es-ES"/>
        </w:rPr>
        <w:t>j</w:t>
      </w:r>
      <w:r w:rsidRPr="00CF1787">
        <w:rPr>
          <w:rFonts w:eastAsia="Verdana" w:cs="Verdana"/>
          <w:i/>
          <w:spacing w:val="-3"/>
          <w:sz w:val="16"/>
          <w:szCs w:val="16"/>
          <w:lang w:val="es-ES"/>
        </w:rPr>
        <w:t>a</w:t>
      </w:r>
      <w:r w:rsidRPr="00CF1787">
        <w:rPr>
          <w:rFonts w:eastAsia="Verdana" w:cs="Verdana"/>
          <w:i/>
          <w:sz w:val="16"/>
          <w:szCs w:val="16"/>
          <w:lang w:val="es-ES"/>
        </w:rPr>
        <w:t>d</w:t>
      </w:r>
      <w:r w:rsidRPr="00CF1787">
        <w:rPr>
          <w:rFonts w:eastAsia="Verdana" w:cs="Verdana"/>
          <w:i/>
          <w:spacing w:val="-2"/>
          <w:sz w:val="16"/>
          <w:szCs w:val="16"/>
          <w:lang w:val="es-ES"/>
        </w:rPr>
        <w:t>o</w:t>
      </w:r>
      <w:r w:rsidRPr="00CF1787">
        <w:rPr>
          <w:rFonts w:eastAsia="Verdana" w:cs="Verdana"/>
          <w:i/>
          <w:spacing w:val="1"/>
          <w:sz w:val="16"/>
          <w:szCs w:val="16"/>
          <w:lang w:val="es-ES"/>
        </w:rPr>
        <w:t>r</w:t>
      </w:r>
      <w:r w:rsidRPr="00CF1787">
        <w:rPr>
          <w:rFonts w:eastAsia="Verdana" w:cs="Verdana"/>
          <w:i/>
          <w:sz w:val="16"/>
          <w:szCs w:val="16"/>
          <w:lang w:val="es-ES"/>
        </w:rPr>
        <w:t>es Ces</w:t>
      </w:r>
      <w:r w:rsidRPr="00CF1787">
        <w:rPr>
          <w:rFonts w:eastAsia="Verdana" w:cs="Verdana"/>
          <w:i/>
          <w:spacing w:val="-3"/>
          <w:sz w:val="16"/>
          <w:szCs w:val="16"/>
          <w:lang w:val="es-ES"/>
        </w:rPr>
        <w:t>a</w:t>
      </w:r>
      <w:r w:rsidRPr="00CF1787">
        <w:rPr>
          <w:rFonts w:eastAsia="Verdana" w:cs="Verdana"/>
          <w:i/>
          <w:spacing w:val="-2"/>
          <w:sz w:val="16"/>
          <w:szCs w:val="16"/>
          <w:lang w:val="es-ES"/>
        </w:rPr>
        <w:t>d</w:t>
      </w:r>
      <w:r w:rsidRPr="00CF1787">
        <w:rPr>
          <w:rFonts w:eastAsia="Verdana" w:cs="Verdana"/>
          <w:i/>
          <w:spacing w:val="1"/>
          <w:sz w:val="16"/>
          <w:szCs w:val="16"/>
          <w:lang w:val="es-ES"/>
        </w:rPr>
        <w:t>o</w:t>
      </w:r>
      <w:r w:rsidRPr="00CF1787">
        <w:rPr>
          <w:rFonts w:eastAsia="Verdana" w:cs="Verdana"/>
          <w:i/>
          <w:sz w:val="16"/>
          <w:szCs w:val="16"/>
          <w:lang w:val="es-ES"/>
        </w:rPr>
        <w:t>s</w:t>
      </w:r>
      <w:r w:rsidRPr="00CF1787">
        <w:rPr>
          <w:rFonts w:eastAsia="Verdana" w:cs="Verdana"/>
          <w:i/>
          <w:spacing w:val="2"/>
          <w:sz w:val="16"/>
          <w:szCs w:val="16"/>
          <w:lang w:val="es-ES"/>
        </w:rPr>
        <w:t xml:space="preserve"> </w:t>
      </w:r>
      <w:r w:rsidRPr="00CF1787">
        <w:rPr>
          <w:rFonts w:eastAsia="Verdana" w:cs="Verdana"/>
          <w:i/>
          <w:spacing w:val="-2"/>
          <w:sz w:val="16"/>
          <w:szCs w:val="16"/>
          <w:lang w:val="es-ES"/>
        </w:rPr>
        <w:t>d</w:t>
      </w:r>
      <w:r w:rsidRPr="00CF1787">
        <w:rPr>
          <w:rFonts w:eastAsia="Verdana" w:cs="Verdana"/>
          <w:i/>
          <w:sz w:val="16"/>
          <w:szCs w:val="16"/>
          <w:lang w:val="es-ES"/>
        </w:rPr>
        <w:t>el</w:t>
      </w:r>
      <w:r w:rsidRPr="00CF1787">
        <w:rPr>
          <w:rFonts w:eastAsia="Verdana" w:cs="Verdana"/>
          <w:i/>
          <w:spacing w:val="1"/>
          <w:sz w:val="16"/>
          <w:szCs w:val="16"/>
          <w:lang w:val="es-ES"/>
        </w:rPr>
        <w:t xml:space="preserve"> </w:t>
      </w:r>
      <w:r w:rsidRPr="00CF1787">
        <w:rPr>
          <w:rFonts w:eastAsia="Verdana" w:cs="Verdana"/>
          <w:i/>
          <w:sz w:val="16"/>
          <w:szCs w:val="16"/>
          <w:lang w:val="es-ES"/>
        </w:rPr>
        <w:t>C</w:t>
      </w:r>
      <w:r w:rsidRPr="00CF1787">
        <w:rPr>
          <w:rFonts w:eastAsia="Verdana" w:cs="Verdana"/>
          <w:i/>
          <w:spacing w:val="1"/>
          <w:sz w:val="16"/>
          <w:szCs w:val="16"/>
          <w:lang w:val="es-ES"/>
        </w:rPr>
        <w:t>o</w:t>
      </w:r>
      <w:r w:rsidRPr="00CF1787">
        <w:rPr>
          <w:rFonts w:eastAsia="Verdana" w:cs="Verdana"/>
          <w:i/>
          <w:spacing w:val="-3"/>
          <w:sz w:val="16"/>
          <w:szCs w:val="16"/>
          <w:lang w:val="es-ES"/>
        </w:rPr>
        <w:t>n</w:t>
      </w:r>
      <w:r w:rsidRPr="00CF1787">
        <w:rPr>
          <w:rFonts w:eastAsia="Verdana" w:cs="Verdana"/>
          <w:i/>
          <w:spacing w:val="1"/>
          <w:sz w:val="16"/>
          <w:szCs w:val="16"/>
          <w:lang w:val="es-ES"/>
        </w:rPr>
        <w:t>gr</w:t>
      </w:r>
      <w:r w:rsidRPr="00CF1787">
        <w:rPr>
          <w:rFonts w:eastAsia="Verdana" w:cs="Verdana"/>
          <w:i/>
          <w:spacing w:val="-2"/>
          <w:sz w:val="16"/>
          <w:szCs w:val="16"/>
          <w:lang w:val="es-ES"/>
        </w:rPr>
        <w:t>e</w:t>
      </w:r>
      <w:r w:rsidRPr="00CF1787">
        <w:rPr>
          <w:rFonts w:eastAsia="Verdana" w:cs="Verdana"/>
          <w:i/>
          <w:sz w:val="16"/>
          <w:szCs w:val="16"/>
          <w:lang w:val="es-ES"/>
        </w:rPr>
        <w:t>so</w:t>
      </w:r>
      <w:r w:rsidRPr="00CF1787">
        <w:rPr>
          <w:rFonts w:eastAsia="Verdana" w:cs="Verdana"/>
          <w:i/>
          <w:spacing w:val="2"/>
          <w:sz w:val="16"/>
          <w:szCs w:val="16"/>
          <w:lang w:val="es-ES"/>
        </w:rPr>
        <w:t xml:space="preserve"> </w:t>
      </w:r>
      <w:r w:rsidRPr="00CF1787">
        <w:rPr>
          <w:rFonts w:eastAsia="Verdana" w:cs="Verdana"/>
          <w:i/>
          <w:spacing w:val="-1"/>
          <w:sz w:val="16"/>
          <w:szCs w:val="16"/>
          <w:lang w:val="es-ES"/>
        </w:rPr>
        <w:t>(</w:t>
      </w:r>
      <w:r w:rsidRPr="00CF1787">
        <w:rPr>
          <w:rFonts w:eastAsia="Verdana" w:cs="Verdana"/>
          <w:i/>
          <w:spacing w:val="-2"/>
          <w:sz w:val="16"/>
          <w:szCs w:val="16"/>
          <w:lang w:val="es-ES"/>
        </w:rPr>
        <w:t>A</w:t>
      </w:r>
      <w:r w:rsidRPr="00CF1787">
        <w:rPr>
          <w:rFonts w:eastAsia="Verdana" w:cs="Verdana"/>
          <w:i/>
          <w:spacing w:val="1"/>
          <w:sz w:val="16"/>
          <w:szCs w:val="16"/>
          <w:lang w:val="es-ES"/>
        </w:rPr>
        <w:t>g</w:t>
      </w:r>
      <w:r w:rsidRPr="00CF1787">
        <w:rPr>
          <w:rFonts w:eastAsia="Verdana" w:cs="Verdana"/>
          <w:i/>
          <w:spacing w:val="-1"/>
          <w:sz w:val="16"/>
          <w:szCs w:val="16"/>
          <w:lang w:val="es-ES"/>
        </w:rPr>
        <w:t>ua</w:t>
      </w:r>
      <w:r w:rsidRPr="00CF1787">
        <w:rPr>
          <w:rFonts w:eastAsia="Verdana" w:cs="Verdana"/>
          <w:i/>
          <w:spacing w:val="-2"/>
          <w:sz w:val="16"/>
          <w:szCs w:val="16"/>
          <w:lang w:val="es-ES"/>
        </w:rPr>
        <w:t>d</w:t>
      </w:r>
      <w:r w:rsidRPr="00CF1787">
        <w:rPr>
          <w:rFonts w:eastAsia="Verdana" w:cs="Verdana"/>
          <w:i/>
          <w:sz w:val="16"/>
          <w:szCs w:val="16"/>
          <w:lang w:val="es-ES"/>
        </w:rPr>
        <w:t>o</w:t>
      </w:r>
      <w:r w:rsidRPr="00CF1787">
        <w:rPr>
          <w:rFonts w:eastAsia="Verdana" w:cs="Verdana"/>
          <w:i/>
          <w:spacing w:val="2"/>
          <w:sz w:val="16"/>
          <w:szCs w:val="16"/>
          <w:lang w:val="es-ES"/>
        </w:rPr>
        <w:t xml:space="preserve"> </w:t>
      </w:r>
      <w:r w:rsidRPr="00CF1787">
        <w:rPr>
          <w:rFonts w:eastAsia="Verdana" w:cs="Verdana"/>
          <w:i/>
          <w:spacing w:val="1"/>
          <w:sz w:val="16"/>
          <w:szCs w:val="16"/>
          <w:lang w:val="es-ES"/>
        </w:rPr>
        <w:t>A</w:t>
      </w:r>
      <w:r w:rsidRPr="00CF1787">
        <w:rPr>
          <w:rFonts w:eastAsia="Verdana" w:cs="Verdana"/>
          <w:i/>
          <w:spacing w:val="-1"/>
          <w:sz w:val="16"/>
          <w:szCs w:val="16"/>
          <w:lang w:val="es-ES"/>
        </w:rPr>
        <w:t>l</w:t>
      </w:r>
      <w:r w:rsidRPr="00CF1787">
        <w:rPr>
          <w:rFonts w:eastAsia="Verdana" w:cs="Verdana"/>
          <w:i/>
          <w:spacing w:val="1"/>
          <w:sz w:val="16"/>
          <w:szCs w:val="16"/>
          <w:lang w:val="es-ES"/>
        </w:rPr>
        <w:t>f</w:t>
      </w:r>
      <w:r w:rsidRPr="00CF1787">
        <w:rPr>
          <w:rFonts w:eastAsia="Verdana" w:cs="Verdana"/>
          <w:i/>
          <w:spacing w:val="-3"/>
          <w:sz w:val="16"/>
          <w:szCs w:val="16"/>
          <w:lang w:val="es-ES"/>
        </w:rPr>
        <w:t>a</w:t>
      </w:r>
      <w:r w:rsidRPr="00CF1787">
        <w:rPr>
          <w:rFonts w:eastAsia="Verdana" w:cs="Verdana"/>
          <w:i/>
          <w:spacing w:val="1"/>
          <w:sz w:val="16"/>
          <w:szCs w:val="16"/>
          <w:lang w:val="es-ES"/>
        </w:rPr>
        <w:t>r</w:t>
      </w:r>
      <w:r w:rsidRPr="00CF1787">
        <w:rPr>
          <w:rFonts w:eastAsia="Verdana" w:cs="Verdana"/>
          <w:i/>
          <w:sz w:val="16"/>
          <w:szCs w:val="16"/>
          <w:lang w:val="es-ES"/>
        </w:rPr>
        <w:t>o y</w:t>
      </w:r>
      <w:r w:rsidRPr="00CF1787">
        <w:rPr>
          <w:rFonts w:eastAsia="Verdana" w:cs="Verdana"/>
          <w:i/>
          <w:spacing w:val="2"/>
          <w:sz w:val="16"/>
          <w:szCs w:val="16"/>
          <w:lang w:val="es-ES"/>
        </w:rPr>
        <w:t xml:space="preserve"> </w:t>
      </w:r>
      <w:r w:rsidRPr="00CF1787">
        <w:rPr>
          <w:rFonts w:eastAsia="Verdana" w:cs="Verdana"/>
          <w:i/>
          <w:spacing w:val="1"/>
          <w:sz w:val="16"/>
          <w:szCs w:val="16"/>
          <w:lang w:val="es-ES"/>
        </w:rPr>
        <w:t>o</w:t>
      </w:r>
      <w:r w:rsidRPr="00CF1787">
        <w:rPr>
          <w:rFonts w:eastAsia="Verdana" w:cs="Verdana"/>
          <w:i/>
          <w:spacing w:val="-1"/>
          <w:sz w:val="16"/>
          <w:szCs w:val="16"/>
          <w:lang w:val="es-ES"/>
        </w:rPr>
        <w:t>tr</w:t>
      </w:r>
      <w:r w:rsidRPr="00CF1787">
        <w:rPr>
          <w:rFonts w:eastAsia="Verdana" w:cs="Verdana"/>
          <w:i/>
          <w:spacing w:val="1"/>
          <w:sz w:val="16"/>
          <w:szCs w:val="16"/>
          <w:lang w:val="es-ES"/>
        </w:rPr>
        <w:t>o</w:t>
      </w:r>
      <w:r w:rsidRPr="00CF1787">
        <w:rPr>
          <w:rFonts w:eastAsia="Verdana" w:cs="Verdana"/>
          <w:i/>
          <w:sz w:val="16"/>
          <w:szCs w:val="16"/>
          <w:lang w:val="es-ES"/>
        </w:rPr>
        <w:t>s)</w:t>
      </w:r>
      <w:r w:rsidRPr="00CF1787">
        <w:rPr>
          <w:rFonts w:eastAsia="Verdana" w:cs="Verdana"/>
          <w:i/>
          <w:spacing w:val="1"/>
          <w:sz w:val="16"/>
          <w:szCs w:val="16"/>
          <w:lang w:val="es-ES"/>
        </w:rPr>
        <w:t xml:space="preserve"> </w:t>
      </w:r>
      <w:r w:rsidRPr="00CF1787">
        <w:rPr>
          <w:rFonts w:eastAsia="Verdana" w:cs="Verdana"/>
          <w:i/>
          <w:spacing w:val="-2"/>
          <w:sz w:val="16"/>
          <w:szCs w:val="16"/>
          <w:lang w:val="es-ES"/>
        </w:rPr>
        <w:t>V</w:t>
      </w:r>
      <w:r w:rsidRPr="00CF1787">
        <w:rPr>
          <w:rFonts w:eastAsia="Verdana" w:cs="Verdana"/>
          <w:i/>
          <w:sz w:val="16"/>
          <w:szCs w:val="16"/>
          <w:lang w:val="es-ES"/>
        </w:rPr>
        <w:t>s.</w:t>
      </w:r>
      <w:r w:rsidRPr="00CF1787">
        <w:rPr>
          <w:rFonts w:eastAsia="Verdana" w:cs="Verdana"/>
          <w:i/>
          <w:spacing w:val="1"/>
          <w:sz w:val="16"/>
          <w:szCs w:val="16"/>
          <w:lang w:val="es-ES"/>
        </w:rPr>
        <w:t xml:space="preserve"> </w:t>
      </w:r>
      <w:r w:rsidRPr="00CF1787">
        <w:rPr>
          <w:rFonts w:eastAsia="Verdana" w:cs="Verdana"/>
          <w:i/>
          <w:spacing w:val="-1"/>
          <w:sz w:val="16"/>
          <w:szCs w:val="16"/>
          <w:lang w:val="es-ES"/>
        </w:rPr>
        <w:t>P</w:t>
      </w:r>
      <w:r w:rsidRPr="00CF1787">
        <w:rPr>
          <w:rFonts w:eastAsia="Verdana" w:cs="Verdana"/>
          <w:i/>
          <w:sz w:val="16"/>
          <w:szCs w:val="16"/>
          <w:lang w:val="es-ES"/>
        </w:rPr>
        <w:t>e</w:t>
      </w:r>
      <w:r w:rsidRPr="00CF1787">
        <w:rPr>
          <w:rFonts w:eastAsia="Verdana" w:cs="Verdana"/>
          <w:i/>
          <w:spacing w:val="1"/>
          <w:sz w:val="16"/>
          <w:szCs w:val="16"/>
          <w:lang w:val="es-ES"/>
        </w:rPr>
        <w:t>r</w:t>
      </w:r>
      <w:r w:rsidRPr="00CF1787">
        <w:rPr>
          <w:rFonts w:eastAsia="Verdana" w:cs="Verdana"/>
          <w:i/>
          <w:spacing w:val="-1"/>
          <w:sz w:val="16"/>
          <w:szCs w:val="16"/>
          <w:lang w:val="es-ES"/>
        </w:rPr>
        <w:t>ú</w:t>
      </w:r>
      <w:r w:rsidRPr="00CF1787">
        <w:rPr>
          <w:rFonts w:eastAsia="Verdana" w:cs="Verdana"/>
          <w:i/>
          <w:sz w:val="16"/>
          <w:szCs w:val="16"/>
          <w:lang w:val="es-ES"/>
        </w:rPr>
        <w:t>.</w:t>
      </w:r>
      <w:r w:rsidRPr="00CF1787">
        <w:rPr>
          <w:rFonts w:eastAsia="Verdana" w:cs="Verdana"/>
          <w:i/>
          <w:spacing w:val="1"/>
          <w:sz w:val="16"/>
          <w:szCs w:val="16"/>
          <w:lang w:val="es-ES"/>
        </w:rPr>
        <w:t xml:space="preserve"> </w:t>
      </w:r>
      <w:r w:rsidRPr="00CF1787">
        <w:rPr>
          <w:rFonts w:eastAsia="Verdana" w:cs="Verdana"/>
          <w:i/>
          <w:spacing w:val="-1"/>
          <w:sz w:val="16"/>
          <w:szCs w:val="16"/>
          <w:lang w:val="es-ES"/>
        </w:rPr>
        <w:t>E</w:t>
      </w:r>
      <w:r w:rsidRPr="00CF1787">
        <w:rPr>
          <w:rFonts w:eastAsia="Verdana" w:cs="Verdana"/>
          <w:i/>
          <w:spacing w:val="1"/>
          <w:sz w:val="16"/>
          <w:szCs w:val="16"/>
          <w:lang w:val="es-ES"/>
        </w:rPr>
        <w:t>x</w:t>
      </w:r>
      <w:r w:rsidRPr="00CF1787">
        <w:rPr>
          <w:rFonts w:eastAsia="Verdana" w:cs="Verdana"/>
          <w:i/>
          <w:sz w:val="16"/>
          <w:szCs w:val="16"/>
          <w:lang w:val="es-ES"/>
        </w:rPr>
        <w:t>c</w:t>
      </w:r>
      <w:r w:rsidRPr="00CF1787">
        <w:rPr>
          <w:rFonts w:eastAsia="Verdana" w:cs="Verdana"/>
          <w:i/>
          <w:spacing w:val="-2"/>
          <w:sz w:val="16"/>
          <w:szCs w:val="16"/>
          <w:lang w:val="es-ES"/>
        </w:rPr>
        <w:t>e</w:t>
      </w:r>
      <w:r w:rsidRPr="00CF1787">
        <w:rPr>
          <w:rFonts w:eastAsia="Verdana" w:cs="Verdana"/>
          <w:i/>
          <w:sz w:val="16"/>
          <w:szCs w:val="16"/>
          <w:lang w:val="es-ES"/>
        </w:rPr>
        <w:t>pc</w:t>
      </w:r>
      <w:r w:rsidRPr="00CF1787">
        <w:rPr>
          <w:rFonts w:eastAsia="Verdana" w:cs="Verdana"/>
          <w:i/>
          <w:spacing w:val="-3"/>
          <w:sz w:val="16"/>
          <w:szCs w:val="16"/>
          <w:lang w:val="es-ES"/>
        </w:rPr>
        <w:t>i</w:t>
      </w:r>
      <w:r w:rsidRPr="00CF1787">
        <w:rPr>
          <w:rFonts w:eastAsia="Verdana" w:cs="Verdana"/>
          <w:i/>
          <w:spacing w:val="1"/>
          <w:sz w:val="16"/>
          <w:szCs w:val="16"/>
          <w:lang w:val="es-ES"/>
        </w:rPr>
        <w:t>o</w:t>
      </w:r>
      <w:r w:rsidRPr="00CF1787">
        <w:rPr>
          <w:rFonts w:eastAsia="Verdana" w:cs="Verdana"/>
          <w:i/>
          <w:spacing w:val="-1"/>
          <w:sz w:val="16"/>
          <w:szCs w:val="16"/>
          <w:lang w:val="es-ES"/>
        </w:rPr>
        <w:t>n</w:t>
      </w:r>
      <w:r w:rsidRPr="00CF1787">
        <w:rPr>
          <w:rFonts w:eastAsia="Verdana" w:cs="Verdana"/>
          <w:i/>
          <w:sz w:val="16"/>
          <w:szCs w:val="16"/>
          <w:lang w:val="es-ES"/>
        </w:rPr>
        <w:t>es</w:t>
      </w:r>
      <w:r w:rsidRPr="00CF1787">
        <w:rPr>
          <w:rFonts w:eastAsia="Verdana" w:cs="Verdana"/>
          <w:i/>
          <w:spacing w:val="2"/>
          <w:sz w:val="16"/>
          <w:szCs w:val="16"/>
          <w:lang w:val="es-ES"/>
        </w:rPr>
        <w:t xml:space="preserve"> </w:t>
      </w:r>
      <w:r w:rsidRPr="00CF1787">
        <w:rPr>
          <w:rFonts w:eastAsia="Verdana" w:cs="Verdana"/>
          <w:i/>
          <w:spacing w:val="-1"/>
          <w:sz w:val="16"/>
          <w:szCs w:val="16"/>
          <w:lang w:val="es-ES"/>
        </w:rPr>
        <w:t>P</w:t>
      </w:r>
      <w:r w:rsidRPr="00CF1787">
        <w:rPr>
          <w:rFonts w:eastAsia="Verdana" w:cs="Verdana"/>
          <w:i/>
          <w:spacing w:val="1"/>
          <w:sz w:val="16"/>
          <w:szCs w:val="16"/>
          <w:lang w:val="es-ES"/>
        </w:rPr>
        <w:t>r</w:t>
      </w:r>
      <w:r w:rsidRPr="00CF1787">
        <w:rPr>
          <w:rFonts w:eastAsia="Verdana" w:cs="Verdana"/>
          <w:i/>
          <w:sz w:val="16"/>
          <w:szCs w:val="16"/>
          <w:lang w:val="es-ES"/>
        </w:rPr>
        <w:t>e</w:t>
      </w:r>
      <w:r w:rsidRPr="00CF1787">
        <w:rPr>
          <w:rFonts w:eastAsia="Verdana" w:cs="Verdana"/>
          <w:i/>
          <w:spacing w:val="-1"/>
          <w:sz w:val="16"/>
          <w:szCs w:val="16"/>
          <w:lang w:val="es-ES"/>
        </w:rPr>
        <w:t>li</w:t>
      </w:r>
      <w:r w:rsidRPr="00CF1787">
        <w:rPr>
          <w:rFonts w:eastAsia="Verdana" w:cs="Verdana"/>
          <w:i/>
          <w:sz w:val="16"/>
          <w:szCs w:val="16"/>
          <w:lang w:val="es-ES"/>
        </w:rPr>
        <w:t>m</w:t>
      </w:r>
      <w:r w:rsidRPr="00CF1787">
        <w:rPr>
          <w:rFonts w:eastAsia="Verdana" w:cs="Verdana"/>
          <w:i/>
          <w:spacing w:val="-1"/>
          <w:sz w:val="16"/>
          <w:szCs w:val="16"/>
          <w:lang w:val="es-ES"/>
        </w:rPr>
        <w:t>ina</w:t>
      </w:r>
      <w:r w:rsidRPr="00CF1787">
        <w:rPr>
          <w:rFonts w:eastAsia="Verdana" w:cs="Verdana"/>
          <w:i/>
          <w:spacing w:val="1"/>
          <w:sz w:val="16"/>
          <w:szCs w:val="16"/>
          <w:lang w:val="es-ES"/>
        </w:rPr>
        <w:t>r</w:t>
      </w:r>
      <w:r w:rsidRPr="00CF1787">
        <w:rPr>
          <w:rFonts w:eastAsia="Verdana" w:cs="Verdana"/>
          <w:i/>
          <w:spacing w:val="-2"/>
          <w:sz w:val="16"/>
          <w:szCs w:val="16"/>
          <w:lang w:val="es-ES"/>
        </w:rPr>
        <w:t>e</w:t>
      </w:r>
      <w:r w:rsidRPr="00CF1787">
        <w:rPr>
          <w:rFonts w:eastAsia="Verdana" w:cs="Verdana"/>
          <w:i/>
          <w:sz w:val="16"/>
          <w:szCs w:val="16"/>
          <w:lang w:val="es-ES"/>
        </w:rPr>
        <w:t>s,</w:t>
      </w:r>
      <w:r w:rsidRPr="00CF1787">
        <w:rPr>
          <w:rFonts w:eastAsia="Verdana" w:cs="Verdana"/>
          <w:i/>
          <w:spacing w:val="1"/>
          <w:sz w:val="16"/>
          <w:szCs w:val="16"/>
          <w:lang w:val="es-ES"/>
        </w:rPr>
        <w:t xml:space="preserve"> </w:t>
      </w:r>
      <w:r w:rsidRPr="00CF1787">
        <w:rPr>
          <w:rFonts w:eastAsia="Verdana" w:cs="Verdana"/>
          <w:i/>
          <w:spacing w:val="-1"/>
          <w:sz w:val="16"/>
          <w:szCs w:val="16"/>
          <w:lang w:val="es-ES"/>
        </w:rPr>
        <w:t>F</w:t>
      </w:r>
      <w:r w:rsidRPr="00CF1787">
        <w:rPr>
          <w:rFonts w:eastAsia="Verdana" w:cs="Verdana"/>
          <w:i/>
          <w:spacing w:val="1"/>
          <w:sz w:val="16"/>
          <w:szCs w:val="16"/>
          <w:lang w:val="es-ES"/>
        </w:rPr>
        <w:t>o</w:t>
      </w:r>
      <w:r w:rsidRPr="00CF1787">
        <w:rPr>
          <w:rFonts w:eastAsia="Verdana" w:cs="Verdana"/>
          <w:i/>
          <w:spacing w:val="-1"/>
          <w:sz w:val="16"/>
          <w:szCs w:val="16"/>
          <w:lang w:val="es-ES"/>
        </w:rPr>
        <w:t>n</w:t>
      </w:r>
      <w:r w:rsidRPr="00CF1787">
        <w:rPr>
          <w:rFonts w:eastAsia="Verdana" w:cs="Verdana"/>
          <w:i/>
          <w:sz w:val="16"/>
          <w:szCs w:val="16"/>
          <w:lang w:val="es-ES"/>
        </w:rPr>
        <w:t>d</w:t>
      </w:r>
      <w:r w:rsidRPr="00CF1787">
        <w:rPr>
          <w:rFonts w:eastAsia="Verdana" w:cs="Verdana"/>
          <w:i/>
          <w:spacing w:val="1"/>
          <w:sz w:val="16"/>
          <w:szCs w:val="16"/>
          <w:lang w:val="es-ES"/>
        </w:rPr>
        <w:t>o</w:t>
      </w:r>
      <w:r w:rsidRPr="00CF1787">
        <w:rPr>
          <w:rFonts w:eastAsia="Verdana" w:cs="Verdana"/>
          <w:i/>
          <w:sz w:val="16"/>
          <w:szCs w:val="16"/>
          <w:lang w:val="es-ES"/>
        </w:rPr>
        <w:t xml:space="preserve">, </w:t>
      </w:r>
      <w:r w:rsidRPr="00CF1787">
        <w:rPr>
          <w:rFonts w:eastAsia="Verdana" w:cs="Verdana"/>
          <w:i/>
          <w:spacing w:val="1"/>
          <w:sz w:val="16"/>
          <w:szCs w:val="16"/>
          <w:lang w:val="es-ES"/>
        </w:rPr>
        <w:t>R</w:t>
      </w:r>
      <w:r w:rsidRPr="00CF1787">
        <w:rPr>
          <w:rFonts w:eastAsia="Verdana" w:cs="Verdana"/>
          <w:i/>
          <w:sz w:val="16"/>
          <w:szCs w:val="16"/>
          <w:lang w:val="es-ES"/>
        </w:rPr>
        <w:t>e</w:t>
      </w:r>
      <w:r w:rsidRPr="00CF1787">
        <w:rPr>
          <w:rFonts w:eastAsia="Verdana" w:cs="Verdana"/>
          <w:i/>
          <w:spacing w:val="1"/>
          <w:sz w:val="16"/>
          <w:szCs w:val="16"/>
          <w:lang w:val="es-ES"/>
        </w:rPr>
        <w:t>p</w:t>
      </w:r>
      <w:r w:rsidRPr="00CF1787">
        <w:rPr>
          <w:rFonts w:eastAsia="Verdana" w:cs="Verdana"/>
          <w:i/>
          <w:spacing w:val="-3"/>
          <w:sz w:val="16"/>
          <w:szCs w:val="16"/>
          <w:lang w:val="es-ES"/>
        </w:rPr>
        <w:t>a</w:t>
      </w:r>
      <w:r w:rsidRPr="00CF1787">
        <w:rPr>
          <w:rFonts w:eastAsia="Verdana" w:cs="Verdana"/>
          <w:i/>
          <w:spacing w:val="1"/>
          <w:sz w:val="16"/>
          <w:szCs w:val="16"/>
          <w:lang w:val="es-ES"/>
        </w:rPr>
        <w:t>r</w:t>
      </w:r>
      <w:r w:rsidRPr="00CF1787">
        <w:rPr>
          <w:rFonts w:eastAsia="Verdana" w:cs="Verdana"/>
          <w:i/>
          <w:spacing w:val="-1"/>
          <w:sz w:val="16"/>
          <w:szCs w:val="16"/>
          <w:lang w:val="es-ES"/>
        </w:rPr>
        <w:t>a</w:t>
      </w:r>
      <w:r w:rsidRPr="00CF1787">
        <w:rPr>
          <w:rFonts w:eastAsia="Verdana" w:cs="Verdana"/>
          <w:i/>
          <w:sz w:val="16"/>
          <w:szCs w:val="16"/>
          <w:lang w:val="es-ES"/>
        </w:rPr>
        <w:t>c</w:t>
      </w:r>
      <w:r w:rsidRPr="00CF1787">
        <w:rPr>
          <w:rFonts w:eastAsia="Verdana" w:cs="Verdana"/>
          <w:i/>
          <w:spacing w:val="-1"/>
          <w:sz w:val="16"/>
          <w:szCs w:val="16"/>
          <w:lang w:val="es-ES"/>
        </w:rPr>
        <w:t>i</w:t>
      </w:r>
      <w:r w:rsidRPr="00CF1787">
        <w:rPr>
          <w:rFonts w:eastAsia="Verdana" w:cs="Verdana"/>
          <w:i/>
          <w:spacing w:val="1"/>
          <w:sz w:val="16"/>
          <w:szCs w:val="16"/>
          <w:lang w:val="es-ES"/>
        </w:rPr>
        <w:t>o</w:t>
      </w:r>
      <w:r w:rsidRPr="00CF1787">
        <w:rPr>
          <w:rFonts w:eastAsia="Verdana" w:cs="Verdana"/>
          <w:i/>
          <w:spacing w:val="-1"/>
          <w:sz w:val="16"/>
          <w:szCs w:val="16"/>
          <w:lang w:val="es-ES"/>
        </w:rPr>
        <w:t>n</w:t>
      </w:r>
      <w:r w:rsidRPr="00CF1787">
        <w:rPr>
          <w:rFonts w:eastAsia="Verdana" w:cs="Verdana"/>
          <w:i/>
          <w:spacing w:val="-2"/>
          <w:sz w:val="16"/>
          <w:szCs w:val="16"/>
          <w:lang w:val="es-ES"/>
        </w:rPr>
        <w:t>e</w:t>
      </w:r>
      <w:r w:rsidRPr="00CF1787">
        <w:rPr>
          <w:rFonts w:eastAsia="Verdana" w:cs="Verdana"/>
          <w:i/>
          <w:sz w:val="16"/>
          <w:szCs w:val="16"/>
          <w:lang w:val="es-ES"/>
        </w:rPr>
        <w:t>s</w:t>
      </w:r>
      <w:r w:rsidRPr="00CF1787">
        <w:rPr>
          <w:rFonts w:eastAsia="Verdana" w:cs="Verdana"/>
          <w:i/>
          <w:spacing w:val="1"/>
          <w:sz w:val="16"/>
          <w:szCs w:val="16"/>
          <w:lang w:val="es-ES"/>
        </w:rPr>
        <w:t xml:space="preserve"> </w:t>
      </w:r>
      <w:r w:rsidRPr="00CF1787">
        <w:rPr>
          <w:rFonts w:eastAsia="Verdana" w:cs="Verdana"/>
          <w:i/>
          <w:sz w:val="16"/>
          <w:szCs w:val="16"/>
          <w:lang w:val="es-ES"/>
        </w:rPr>
        <w:t>y</w:t>
      </w:r>
      <w:r w:rsidRPr="00CF1787">
        <w:rPr>
          <w:rFonts w:eastAsia="Verdana" w:cs="Verdana"/>
          <w:i/>
          <w:spacing w:val="4"/>
          <w:sz w:val="16"/>
          <w:szCs w:val="16"/>
          <w:lang w:val="es-ES"/>
        </w:rPr>
        <w:t xml:space="preserve"> </w:t>
      </w:r>
      <w:r w:rsidRPr="00CF1787">
        <w:rPr>
          <w:rFonts w:eastAsia="Verdana" w:cs="Verdana"/>
          <w:i/>
          <w:spacing w:val="-2"/>
          <w:sz w:val="16"/>
          <w:szCs w:val="16"/>
          <w:lang w:val="es-ES"/>
        </w:rPr>
        <w:t>C</w:t>
      </w:r>
      <w:r w:rsidRPr="00CF1787">
        <w:rPr>
          <w:rFonts w:eastAsia="Verdana" w:cs="Verdana"/>
          <w:i/>
          <w:spacing w:val="1"/>
          <w:sz w:val="16"/>
          <w:szCs w:val="16"/>
          <w:lang w:val="es-ES"/>
        </w:rPr>
        <w:t>o</w:t>
      </w:r>
      <w:r w:rsidRPr="00CF1787">
        <w:rPr>
          <w:rFonts w:eastAsia="Verdana" w:cs="Verdana"/>
          <w:i/>
          <w:sz w:val="16"/>
          <w:szCs w:val="16"/>
          <w:lang w:val="es-ES"/>
        </w:rPr>
        <w:t>s</w:t>
      </w:r>
      <w:r w:rsidRPr="00CF1787">
        <w:rPr>
          <w:rFonts w:eastAsia="Verdana" w:cs="Verdana"/>
          <w:i/>
          <w:spacing w:val="-1"/>
          <w:sz w:val="16"/>
          <w:szCs w:val="16"/>
          <w:lang w:val="es-ES"/>
        </w:rPr>
        <w:t>ta</w:t>
      </w:r>
      <w:r w:rsidRPr="00CF1787">
        <w:rPr>
          <w:rFonts w:eastAsia="Verdana" w:cs="Verdana"/>
          <w:i/>
          <w:spacing w:val="2"/>
          <w:sz w:val="16"/>
          <w:szCs w:val="16"/>
          <w:lang w:val="es-ES"/>
        </w:rPr>
        <w:t>s</w:t>
      </w:r>
      <w:r w:rsidRPr="00CF1787">
        <w:rPr>
          <w:rFonts w:eastAsia="Verdana" w:cs="Verdana"/>
          <w:sz w:val="16"/>
          <w:szCs w:val="16"/>
          <w:lang w:val="es-ES"/>
        </w:rPr>
        <w:t>.</w:t>
      </w:r>
      <w:r w:rsidRPr="00CF1787">
        <w:rPr>
          <w:rFonts w:eastAsia="Verdana" w:cs="Verdana"/>
          <w:spacing w:val="2"/>
          <w:sz w:val="16"/>
          <w:szCs w:val="16"/>
          <w:lang w:val="es-ES"/>
        </w:rPr>
        <w:t xml:space="preserve"> </w:t>
      </w:r>
      <w:r w:rsidRPr="00CF1787">
        <w:rPr>
          <w:rFonts w:eastAsia="Verdana" w:cs="Verdana"/>
          <w:spacing w:val="-2"/>
          <w:sz w:val="16"/>
          <w:szCs w:val="16"/>
          <w:lang w:val="es-ES"/>
        </w:rPr>
        <w:t>S</w:t>
      </w:r>
      <w:r w:rsidRPr="00CF1787">
        <w:rPr>
          <w:rFonts w:eastAsia="Verdana" w:cs="Verdana"/>
          <w:sz w:val="16"/>
          <w:szCs w:val="16"/>
          <w:lang w:val="es-ES"/>
        </w:rPr>
        <w:t>e</w:t>
      </w:r>
      <w:r w:rsidRPr="00CF1787">
        <w:rPr>
          <w:rFonts w:eastAsia="Verdana" w:cs="Verdana"/>
          <w:spacing w:val="-1"/>
          <w:sz w:val="16"/>
          <w:szCs w:val="16"/>
          <w:lang w:val="es-ES"/>
        </w:rPr>
        <w:t>nt</w:t>
      </w:r>
      <w:r w:rsidRPr="00CF1787">
        <w:rPr>
          <w:rFonts w:eastAsia="Verdana" w:cs="Verdana"/>
          <w:sz w:val="16"/>
          <w:szCs w:val="16"/>
          <w:lang w:val="es-ES"/>
        </w:rPr>
        <w:t>e</w:t>
      </w:r>
      <w:r w:rsidRPr="00CF1787">
        <w:rPr>
          <w:rFonts w:eastAsia="Verdana" w:cs="Verdana"/>
          <w:spacing w:val="-1"/>
          <w:sz w:val="16"/>
          <w:szCs w:val="16"/>
          <w:lang w:val="es-ES"/>
        </w:rPr>
        <w:t>n</w:t>
      </w:r>
      <w:r w:rsidRPr="00CF1787">
        <w:rPr>
          <w:rFonts w:eastAsia="Verdana" w:cs="Verdana"/>
          <w:sz w:val="16"/>
          <w:szCs w:val="16"/>
          <w:lang w:val="es-ES"/>
        </w:rPr>
        <w:t>c</w:t>
      </w:r>
      <w:r w:rsidRPr="00CF1787">
        <w:rPr>
          <w:rFonts w:eastAsia="Verdana" w:cs="Verdana"/>
          <w:spacing w:val="-1"/>
          <w:sz w:val="16"/>
          <w:szCs w:val="16"/>
          <w:lang w:val="es-ES"/>
        </w:rPr>
        <w:t>i</w:t>
      </w:r>
      <w:r w:rsidRPr="00CF1787">
        <w:rPr>
          <w:rFonts w:eastAsia="Verdana" w:cs="Verdana"/>
          <w:sz w:val="16"/>
          <w:szCs w:val="16"/>
          <w:lang w:val="es-ES"/>
        </w:rPr>
        <w:t>a</w:t>
      </w:r>
      <w:r w:rsidRPr="00CF1787">
        <w:rPr>
          <w:rFonts w:eastAsia="Verdana" w:cs="Verdana"/>
          <w:spacing w:val="3"/>
          <w:sz w:val="16"/>
          <w:szCs w:val="16"/>
          <w:lang w:val="es-ES"/>
        </w:rPr>
        <w:t xml:space="preserve"> </w:t>
      </w:r>
      <w:r w:rsidRPr="00CF1787">
        <w:rPr>
          <w:rFonts w:eastAsia="Verdana" w:cs="Verdana"/>
          <w:sz w:val="16"/>
          <w:szCs w:val="16"/>
          <w:lang w:val="es-ES"/>
        </w:rPr>
        <w:t>de</w:t>
      </w:r>
      <w:r w:rsidRPr="00CF1787">
        <w:rPr>
          <w:rFonts w:eastAsia="Verdana" w:cs="Verdana"/>
          <w:spacing w:val="1"/>
          <w:sz w:val="16"/>
          <w:szCs w:val="16"/>
          <w:lang w:val="es-ES"/>
        </w:rPr>
        <w:t xml:space="preserve"> 2</w:t>
      </w:r>
      <w:r w:rsidRPr="00CF1787">
        <w:rPr>
          <w:rFonts w:eastAsia="Verdana" w:cs="Verdana"/>
          <w:sz w:val="16"/>
          <w:szCs w:val="16"/>
          <w:lang w:val="es-ES"/>
        </w:rPr>
        <w:t>4</w:t>
      </w:r>
      <w:r w:rsidRPr="00CF1787">
        <w:rPr>
          <w:rFonts w:eastAsia="Verdana" w:cs="Verdana"/>
          <w:spacing w:val="2"/>
          <w:sz w:val="16"/>
          <w:szCs w:val="16"/>
          <w:lang w:val="es-ES"/>
        </w:rPr>
        <w:t xml:space="preserve"> </w:t>
      </w:r>
      <w:r w:rsidRPr="00CF1787">
        <w:rPr>
          <w:rFonts w:eastAsia="Verdana" w:cs="Verdana"/>
          <w:sz w:val="16"/>
          <w:szCs w:val="16"/>
          <w:lang w:val="es-ES"/>
        </w:rPr>
        <w:t>de</w:t>
      </w:r>
      <w:r w:rsidRPr="00CF1787">
        <w:rPr>
          <w:rFonts w:eastAsia="Verdana" w:cs="Verdana"/>
          <w:spacing w:val="1"/>
          <w:sz w:val="16"/>
          <w:szCs w:val="16"/>
          <w:lang w:val="es-ES"/>
        </w:rPr>
        <w:t xml:space="preserve"> </w:t>
      </w:r>
      <w:r w:rsidRPr="00CF1787">
        <w:rPr>
          <w:rFonts w:eastAsia="Verdana" w:cs="Verdana"/>
          <w:spacing w:val="-1"/>
          <w:sz w:val="16"/>
          <w:szCs w:val="16"/>
          <w:lang w:val="es-ES"/>
        </w:rPr>
        <w:t>n</w:t>
      </w:r>
      <w:r w:rsidRPr="00CF1787">
        <w:rPr>
          <w:rFonts w:eastAsia="Verdana" w:cs="Verdana"/>
          <w:spacing w:val="-2"/>
          <w:sz w:val="16"/>
          <w:szCs w:val="16"/>
          <w:lang w:val="es-ES"/>
        </w:rPr>
        <w:t>o</w:t>
      </w:r>
      <w:r w:rsidRPr="00CF1787">
        <w:rPr>
          <w:rFonts w:eastAsia="Verdana" w:cs="Verdana"/>
          <w:spacing w:val="1"/>
          <w:sz w:val="16"/>
          <w:szCs w:val="16"/>
          <w:lang w:val="es-ES"/>
        </w:rPr>
        <w:t>v</w:t>
      </w:r>
      <w:r w:rsidRPr="00CF1787">
        <w:rPr>
          <w:rFonts w:eastAsia="Verdana" w:cs="Verdana"/>
          <w:spacing w:val="-1"/>
          <w:sz w:val="16"/>
          <w:szCs w:val="16"/>
          <w:lang w:val="es-ES"/>
        </w:rPr>
        <w:t>i</w:t>
      </w:r>
      <w:r w:rsidRPr="00CF1787">
        <w:rPr>
          <w:rFonts w:eastAsia="Verdana" w:cs="Verdana"/>
          <w:sz w:val="16"/>
          <w:szCs w:val="16"/>
          <w:lang w:val="es-ES"/>
        </w:rPr>
        <w:t>em</w:t>
      </w:r>
      <w:r w:rsidRPr="00CF1787">
        <w:rPr>
          <w:rFonts w:eastAsia="Verdana" w:cs="Verdana"/>
          <w:spacing w:val="-2"/>
          <w:sz w:val="16"/>
          <w:szCs w:val="16"/>
          <w:lang w:val="es-ES"/>
        </w:rPr>
        <w:t>b</w:t>
      </w:r>
      <w:r w:rsidRPr="00CF1787">
        <w:rPr>
          <w:rFonts w:eastAsia="Verdana" w:cs="Verdana"/>
          <w:spacing w:val="1"/>
          <w:sz w:val="16"/>
          <w:szCs w:val="16"/>
          <w:lang w:val="es-ES"/>
        </w:rPr>
        <w:t>r</w:t>
      </w:r>
      <w:r w:rsidRPr="00CF1787">
        <w:rPr>
          <w:rFonts w:eastAsia="Verdana" w:cs="Verdana"/>
          <w:sz w:val="16"/>
          <w:szCs w:val="16"/>
          <w:lang w:val="es-ES"/>
        </w:rPr>
        <w:t>e</w:t>
      </w:r>
      <w:r w:rsidRPr="00CF1787">
        <w:rPr>
          <w:rFonts w:eastAsia="Verdana" w:cs="Verdana"/>
          <w:spacing w:val="1"/>
          <w:sz w:val="16"/>
          <w:szCs w:val="16"/>
          <w:lang w:val="es-ES"/>
        </w:rPr>
        <w:t xml:space="preserve"> </w:t>
      </w:r>
      <w:r w:rsidRPr="00CF1787">
        <w:rPr>
          <w:rFonts w:eastAsia="Verdana" w:cs="Verdana"/>
          <w:spacing w:val="-2"/>
          <w:sz w:val="16"/>
          <w:szCs w:val="16"/>
          <w:lang w:val="es-ES"/>
        </w:rPr>
        <w:t>d</w:t>
      </w:r>
      <w:r w:rsidRPr="00CF1787">
        <w:rPr>
          <w:rFonts w:eastAsia="Verdana" w:cs="Verdana"/>
          <w:sz w:val="16"/>
          <w:szCs w:val="16"/>
          <w:lang w:val="es-ES"/>
        </w:rPr>
        <w:t>e</w:t>
      </w:r>
      <w:r w:rsidRPr="00CF1787">
        <w:rPr>
          <w:rFonts w:eastAsia="Verdana" w:cs="Verdana"/>
          <w:spacing w:val="4"/>
          <w:sz w:val="16"/>
          <w:szCs w:val="16"/>
          <w:lang w:val="es-ES"/>
        </w:rPr>
        <w:t xml:space="preserve"> </w:t>
      </w:r>
      <w:r w:rsidRPr="00CF1787">
        <w:rPr>
          <w:rFonts w:eastAsia="Verdana" w:cs="Verdana"/>
          <w:spacing w:val="-1"/>
          <w:sz w:val="16"/>
          <w:szCs w:val="16"/>
          <w:lang w:val="es-ES"/>
        </w:rPr>
        <w:t>2</w:t>
      </w:r>
      <w:r w:rsidRPr="00CF1787">
        <w:rPr>
          <w:rFonts w:eastAsia="Verdana" w:cs="Verdana"/>
          <w:spacing w:val="1"/>
          <w:sz w:val="16"/>
          <w:szCs w:val="16"/>
          <w:lang w:val="es-ES"/>
        </w:rPr>
        <w:t>0</w:t>
      </w:r>
      <w:r w:rsidRPr="00CF1787">
        <w:rPr>
          <w:rFonts w:eastAsia="Verdana" w:cs="Verdana"/>
          <w:spacing w:val="-1"/>
          <w:sz w:val="16"/>
          <w:szCs w:val="16"/>
          <w:lang w:val="es-ES"/>
        </w:rPr>
        <w:t>0</w:t>
      </w:r>
      <w:r w:rsidRPr="00CF1787">
        <w:rPr>
          <w:rFonts w:eastAsia="Verdana" w:cs="Verdana"/>
          <w:spacing w:val="1"/>
          <w:sz w:val="16"/>
          <w:szCs w:val="16"/>
          <w:lang w:val="es-ES"/>
        </w:rPr>
        <w:t>6</w:t>
      </w:r>
      <w:r w:rsidRPr="00CF1787">
        <w:rPr>
          <w:rFonts w:eastAsia="Verdana" w:cs="Verdana"/>
          <w:sz w:val="16"/>
          <w:szCs w:val="16"/>
          <w:lang w:val="es-ES"/>
        </w:rPr>
        <w:t>.</w:t>
      </w:r>
      <w:r w:rsidRPr="00CF1787">
        <w:rPr>
          <w:rFonts w:eastAsia="Verdana" w:cs="Verdana"/>
          <w:spacing w:val="2"/>
          <w:sz w:val="16"/>
          <w:szCs w:val="16"/>
          <w:lang w:val="es-ES"/>
        </w:rPr>
        <w:t xml:space="preserve"> </w:t>
      </w:r>
      <w:r w:rsidRPr="00CF1787">
        <w:rPr>
          <w:rFonts w:eastAsia="Verdana" w:cs="Verdana"/>
          <w:spacing w:val="-2"/>
          <w:sz w:val="16"/>
          <w:szCs w:val="16"/>
          <w:lang w:val="es-ES"/>
        </w:rPr>
        <w:t>S</w:t>
      </w:r>
      <w:r w:rsidRPr="00CF1787">
        <w:rPr>
          <w:rFonts w:eastAsia="Verdana" w:cs="Verdana"/>
          <w:sz w:val="16"/>
          <w:szCs w:val="16"/>
          <w:lang w:val="es-ES"/>
        </w:rPr>
        <w:t>e</w:t>
      </w:r>
      <w:r w:rsidRPr="00CF1787">
        <w:rPr>
          <w:rFonts w:eastAsia="Verdana" w:cs="Verdana"/>
          <w:spacing w:val="1"/>
          <w:sz w:val="16"/>
          <w:szCs w:val="16"/>
          <w:lang w:val="es-ES"/>
        </w:rPr>
        <w:t>r</w:t>
      </w:r>
      <w:r w:rsidRPr="00CF1787">
        <w:rPr>
          <w:rFonts w:eastAsia="Verdana" w:cs="Verdana"/>
          <w:spacing w:val="-1"/>
          <w:sz w:val="16"/>
          <w:szCs w:val="16"/>
          <w:lang w:val="es-ES"/>
        </w:rPr>
        <w:t>i</w:t>
      </w:r>
      <w:r w:rsidRPr="00CF1787">
        <w:rPr>
          <w:rFonts w:eastAsia="Verdana" w:cs="Verdana"/>
          <w:sz w:val="16"/>
          <w:szCs w:val="16"/>
          <w:lang w:val="es-ES"/>
        </w:rPr>
        <w:t>e</w:t>
      </w:r>
      <w:r w:rsidRPr="00CF1787">
        <w:rPr>
          <w:rFonts w:eastAsia="Verdana" w:cs="Verdana"/>
          <w:spacing w:val="1"/>
          <w:sz w:val="16"/>
          <w:szCs w:val="16"/>
          <w:lang w:val="es-ES"/>
        </w:rPr>
        <w:t xml:space="preserve"> </w:t>
      </w:r>
      <w:r w:rsidRPr="00CF1787">
        <w:rPr>
          <w:rFonts w:eastAsia="Verdana" w:cs="Verdana"/>
          <w:sz w:val="16"/>
          <w:szCs w:val="16"/>
          <w:lang w:val="es-ES"/>
        </w:rPr>
        <w:t>C</w:t>
      </w:r>
      <w:r w:rsidRPr="00CF1787">
        <w:rPr>
          <w:rFonts w:eastAsia="Verdana" w:cs="Verdana"/>
          <w:spacing w:val="4"/>
          <w:sz w:val="16"/>
          <w:szCs w:val="16"/>
          <w:lang w:val="es-ES"/>
        </w:rPr>
        <w:t xml:space="preserve"> </w:t>
      </w:r>
      <w:r w:rsidRPr="00CF1787">
        <w:rPr>
          <w:rFonts w:eastAsia="Verdana" w:cs="Verdana"/>
          <w:spacing w:val="-3"/>
          <w:sz w:val="16"/>
          <w:szCs w:val="16"/>
          <w:lang w:val="es-ES"/>
        </w:rPr>
        <w:t>N</w:t>
      </w:r>
      <w:r w:rsidRPr="00CF1787">
        <w:rPr>
          <w:rFonts w:eastAsia="Verdana" w:cs="Verdana"/>
          <w:spacing w:val="1"/>
          <w:sz w:val="16"/>
          <w:szCs w:val="16"/>
          <w:lang w:val="es-ES"/>
        </w:rPr>
        <w:t>o</w:t>
      </w:r>
      <w:r w:rsidRPr="00CF1787">
        <w:rPr>
          <w:rFonts w:eastAsia="Verdana" w:cs="Verdana"/>
          <w:sz w:val="16"/>
          <w:szCs w:val="16"/>
          <w:lang w:val="es-ES"/>
        </w:rPr>
        <w:t>.</w:t>
      </w:r>
      <w:r w:rsidRPr="00CF1787">
        <w:rPr>
          <w:rFonts w:eastAsia="Verdana" w:cs="Verdana"/>
          <w:spacing w:val="2"/>
          <w:sz w:val="16"/>
          <w:szCs w:val="16"/>
          <w:lang w:val="es-ES"/>
        </w:rPr>
        <w:t xml:space="preserve"> </w:t>
      </w:r>
      <w:r w:rsidRPr="00CF1787">
        <w:rPr>
          <w:rFonts w:eastAsia="Verdana" w:cs="Verdana"/>
          <w:spacing w:val="-1"/>
          <w:sz w:val="16"/>
          <w:szCs w:val="16"/>
          <w:lang w:val="es-ES"/>
        </w:rPr>
        <w:t>15</w:t>
      </w:r>
      <w:r w:rsidRPr="00CF1787">
        <w:rPr>
          <w:rFonts w:eastAsia="Verdana" w:cs="Verdana"/>
          <w:spacing w:val="1"/>
          <w:sz w:val="16"/>
          <w:szCs w:val="16"/>
          <w:lang w:val="es-ES"/>
        </w:rPr>
        <w:t>8</w:t>
      </w:r>
      <w:r w:rsidRPr="00CF1787">
        <w:rPr>
          <w:rFonts w:eastAsia="Verdana" w:cs="Verdana"/>
          <w:sz w:val="16"/>
          <w:szCs w:val="16"/>
          <w:lang w:val="es-ES"/>
        </w:rPr>
        <w:t>,</w:t>
      </w:r>
      <w:r w:rsidRPr="00CF1787">
        <w:rPr>
          <w:rFonts w:eastAsia="Verdana" w:cs="Verdana"/>
          <w:spacing w:val="2"/>
          <w:sz w:val="16"/>
          <w:szCs w:val="16"/>
          <w:lang w:val="es-ES"/>
        </w:rPr>
        <w:t xml:space="preserve"> </w:t>
      </w:r>
      <w:r w:rsidRPr="00CF1787">
        <w:rPr>
          <w:rFonts w:eastAsia="Verdana" w:cs="Verdana"/>
          <w:spacing w:val="-2"/>
          <w:sz w:val="16"/>
          <w:szCs w:val="16"/>
          <w:lang w:val="es-ES"/>
        </w:rPr>
        <w:t>p</w:t>
      </w:r>
      <w:r w:rsidRPr="00CF1787">
        <w:rPr>
          <w:rFonts w:eastAsia="Verdana" w:cs="Verdana"/>
          <w:spacing w:val="-1"/>
          <w:sz w:val="16"/>
          <w:szCs w:val="16"/>
          <w:lang w:val="es-ES"/>
        </w:rPr>
        <w:t>á</w:t>
      </w:r>
      <w:r w:rsidRPr="00CF1787">
        <w:rPr>
          <w:rFonts w:eastAsia="Verdana" w:cs="Verdana"/>
          <w:spacing w:val="1"/>
          <w:sz w:val="16"/>
          <w:szCs w:val="16"/>
          <w:lang w:val="es-ES"/>
        </w:rPr>
        <w:t>rr</w:t>
      </w:r>
      <w:r w:rsidRPr="00CF1787">
        <w:rPr>
          <w:rFonts w:eastAsia="Verdana" w:cs="Verdana"/>
          <w:sz w:val="16"/>
          <w:szCs w:val="16"/>
          <w:lang w:val="es-ES"/>
        </w:rPr>
        <w:t xml:space="preserve">. </w:t>
      </w:r>
      <w:r w:rsidRPr="00CF1787">
        <w:rPr>
          <w:rFonts w:eastAsia="Verdana" w:cs="Verdana"/>
          <w:spacing w:val="1"/>
          <w:sz w:val="16"/>
          <w:szCs w:val="16"/>
          <w:lang w:val="es-ES"/>
        </w:rPr>
        <w:t>66</w:t>
      </w:r>
      <w:r w:rsidRPr="00CF1787">
        <w:rPr>
          <w:rFonts w:eastAsia="Verdana" w:cs="Verdana"/>
          <w:sz w:val="16"/>
          <w:szCs w:val="16"/>
          <w:lang w:val="es-ES"/>
        </w:rPr>
        <w:t>, y</w:t>
      </w:r>
      <w:r w:rsidRPr="00CF1787">
        <w:rPr>
          <w:rFonts w:eastAsia="Verdana" w:cs="Verdana"/>
          <w:spacing w:val="10"/>
          <w:sz w:val="16"/>
          <w:szCs w:val="16"/>
          <w:lang w:val="es-ES"/>
        </w:rPr>
        <w:t xml:space="preserve"> </w:t>
      </w:r>
      <w:r w:rsidRPr="00CF1787">
        <w:rPr>
          <w:bCs/>
          <w:i/>
          <w:sz w:val="16"/>
          <w:szCs w:val="16"/>
          <w:lang w:val="es-CR"/>
        </w:rPr>
        <w:t>Caso García Ibarra y otros Vs. Ecuador, supra</w:t>
      </w:r>
      <w:r w:rsidRPr="00CF1787">
        <w:rPr>
          <w:bCs/>
          <w:sz w:val="16"/>
          <w:szCs w:val="16"/>
          <w:lang w:val="es-CR"/>
        </w:rPr>
        <w:t>, párr. 29.</w:t>
      </w:r>
    </w:p>
  </w:footnote>
  <w:footnote w:id="18">
    <w:p w14:paraId="2911A724" w14:textId="2B583A26" w:rsidR="00935D08" w:rsidRPr="00CF1787" w:rsidRDefault="00935D08" w:rsidP="00CA1834">
      <w:pPr>
        <w:tabs>
          <w:tab w:val="left" w:pos="426"/>
        </w:tabs>
        <w:spacing w:before="120" w:after="120"/>
        <w:ind w:right="32"/>
        <w:rPr>
          <w:rFonts w:eastAsia="Verdana" w:cs="Verdana"/>
          <w:sz w:val="16"/>
          <w:szCs w:val="16"/>
          <w:lang w:val="es-ES"/>
        </w:rPr>
      </w:pPr>
      <w:r w:rsidRPr="00CF1787">
        <w:rPr>
          <w:rStyle w:val="FootnoteReference"/>
        </w:rPr>
        <w:footnoteRef/>
      </w:r>
      <w:r w:rsidRPr="00CF1787">
        <w:rPr>
          <w:sz w:val="16"/>
          <w:szCs w:val="16"/>
          <w:lang w:val="es-CR"/>
        </w:rPr>
        <w:t xml:space="preserve"> </w:t>
      </w:r>
      <w:r w:rsidRPr="00CF1787">
        <w:rPr>
          <w:sz w:val="16"/>
          <w:szCs w:val="16"/>
          <w:lang w:val="es-CR"/>
        </w:rPr>
        <w:tab/>
      </w:r>
      <w:r w:rsidRPr="00CF1787">
        <w:rPr>
          <w:rFonts w:eastAsia="Verdana" w:cs="Verdana"/>
          <w:i/>
          <w:sz w:val="16"/>
          <w:szCs w:val="16"/>
          <w:lang w:val="es-ES"/>
        </w:rPr>
        <w:t>C</w:t>
      </w:r>
      <w:r w:rsidRPr="00CF1787">
        <w:rPr>
          <w:rFonts w:eastAsia="Verdana" w:cs="Verdana"/>
          <w:i/>
          <w:spacing w:val="-1"/>
          <w:sz w:val="16"/>
          <w:szCs w:val="16"/>
          <w:lang w:val="es-ES"/>
        </w:rPr>
        <w:t>f</w:t>
      </w:r>
      <w:r w:rsidRPr="00CF1787">
        <w:rPr>
          <w:rFonts w:eastAsia="Verdana" w:cs="Verdana"/>
          <w:i/>
          <w:spacing w:val="1"/>
          <w:sz w:val="16"/>
          <w:szCs w:val="16"/>
          <w:lang w:val="es-ES"/>
        </w:rPr>
        <w:t>r</w:t>
      </w:r>
      <w:r w:rsidRPr="00CF1787">
        <w:rPr>
          <w:rFonts w:eastAsia="Verdana" w:cs="Verdana"/>
          <w:i/>
          <w:sz w:val="16"/>
          <w:szCs w:val="16"/>
          <w:lang w:val="es-ES"/>
        </w:rPr>
        <w:t>.</w:t>
      </w:r>
      <w:r w:rsidRPr="00CF1787">
        <w:rPr>
          <w:rFonts w:eastAsia="Verdana" w:cs="Verdana"/>
          <w:i/>
          <w:spacing w:val="3"/>
          <w:sz w:val="16"/>
          <w:szCs w:val="16"/>
          <w:lang w:val="es-ES"/>
        </w:rPr>
        <w:t xml:space="preserve"> </w:t>
      </w:r>
      <w:r w:rsidRPr="00CF1787">
        <w:rPr>
          <w:rFonts w:eastAsia="Verdana" w:cs="Verdana"/>
          <w:i/>
          <w:sz w:val="16"/>
          <w:szCs w:val="16"/>
          <w:lang w:val="es-ES"/>
        </w:rPr>
        <w:t>C</w:t>
      </w:r>
      <w:r w:rsidRPr="00CF1787">
        <w:rPr>
          <w:rFonts w:eastAsia="Verdana" w:cs="Verdana"/>
          <w:i/>
          <w:spacing w:val="-1"/>
          <w:sz w:val="16"/>
          <w:szCs w:val="16"/>
          <w:lang w:val="es-ES"/>
        </w:rPr>
        <w:t>a</w:t>
      </w:r>
      <w:r w:rsidRPr="00CF1787">
        <w:rPr>
          <w:rFonts w:eastAsia="Verdana" w:cs="Verdana"/>
          <w:i/>
          <w:spacing w:val="-2"/>
          <w:sz w:val="16"/>
          <w:szCs w:val="16"/>
          <w:lang w:val="es-ES"/>
        </w:rPr>
        <w:t>s</w:t>
      </w:r>
      <w:r w:rsidRPr="00CF1787">
        <w:rPr>
          <w:rFonts w:eastAsia="Verdana" w:cs="Verdana"/>
          <w:i/>
          <w:sz w:val="16"/>
          <w:szCs w:val="16"/>
          <w:lang w:val="es-ES"/>
        </w:rPr>
        <w:t>o</w:t>
      </w:r>
      <w:r w:rsidRPr="00CF1787">
        <w:rPr>
          <w:rFonts w:eastAsia="Verdana" w:cs="Verdana"/>
          <w:i/>
          <w:spacing w:val="4"/>
          <w:sz w:val="16"/>
          <w:szCs w:val="16"/>
          <w:lang w:val="es-ES"/>
        </w:rPr>
        <w:t xml:space="preserve"> </w:t>
      </w:r>
      <w:r w:rsidRPr="00CF1787">
        <w:rPr>
          <w:rFonts w:eastAsia="Verdana" w:cs="Verdana"/>
          <w:i/>
          <w:sz w:val="16"/>
          <w:szCs w:val="16"/>
          <w:lang w:val="es-ES"/>
        </w:rPr>
        <w:t xml:space="preserve">Castañeda </w:t>
      </w:r>
      <w:proofErr w:type="spellStart"/>
      <w:r w:rsidRPr="00CF1787">
        <w:rPr>
          <w:rFonts w:eastAsia="Verdana" w:cs="Verdana"/>
          <w:i/>
          <w:sz w:val="16"/>
          <w:szCs w:val="16"/>
          <w:lang w:val="es-ES"/>
        </w:rPr>
        <w:t>Gutman</w:t>
      </w:r>
      <w:proofErr w:type="spellEnd"/>
      <w:r w:rsidRPr="00CF1787">
        <w:rPr>
          <w:rFonts w:eastAsia="Verdana" w:cs="Verdana"/>
          <w:i/>
          <w:sz w:val="16"/>
          <w:szCs w:val="16"/>
          <w:lang w:val="es-ES"/>
        </w:rPr>
        <w:t xml:space="preserve"> Vs. México, supra</w:t>
      </w:r>
      <w:r w:rsidRPr="00CF1787">
        <w:rPr>
          <w:rFonts w:eastAsia="Verdana" w:cs="Verdana"/>
          <w:sz w:val="16"/>
          <w:szCs w:val="16"/>
          <w:lang w:val="es-ES"/>
        </w:rPr>
        <w:t>,</w:t>
      </w:r>
      <w:r w:rsidRPr="00CF1787">
        <w:rPr>
          <w:rFonts w:eastAsia="Verdana" w:cs="Verdana"/>
          <w:spacing w:val="48"/>
          <w:sz w:val="16"/>
          <w:szCs w:val="16"/>
          <w:lang w:val="es-ES"/>
        </w:rPr>
        <w:t xml:space="preserve"> </w:t>
      </w:r>
      <w:r w:rsidRPr="00CF1787">
        <w:rPr>
          <w:rFonts w:eastAsia="Verdana" w:cs="Verdana"/>
          <w:sz w:val="16"/>
          <w:szCs w:val="16"/>
          <w:lang w:val="es-ES"/>
        </w:rPr>
        <w:t>p</w:t>
      </w:r>
      <w:r w:rsidRPr="00CF1787">
        <w:rPr>
          <w:rFonts w:eastAsia="Verdana" w:cs="Verdana"/>
          <w:spacing w:val="-1"/>
          <w:sz w:val="16"/>
          <w:szCs w:val="16"/>
          <w:lang w:val="es-ES"/>
        </w:rPr>
        <w:t>ár</w:t>
      </w:r>
      <w:r w:rsidRPr="00CF1787">
        <w:rPr>
          <w:rFonts w:eastAsia="Verdana" w:cs="Verdana"/>
          <w:spacing w:val="1"/>
          <w:sz w:val="16"/>
          <w:szCs w:val="16"/>
          <w:lang w:val="es-ES"/>
        </w:rPr>
        <w:t>r</w:t>
      </w:r>
      <w:r w:rsidRPr="00CF1787">
        <w:rPr>
          <w:rFonts w:eastAsia="Verdana" w:cs="Verdana"/>
          <w:sz w:val="16"/>
          <w:szCs w:val="16"/>
          <w:lang w:val="es-ES"/>
        </w:rPr>
        <w:t>.</w:t>
      </w:r>
      <w:r w:rsidRPr="00CF1787">
        <w:rPr>
          <w:rFonts w:eastAsia="Verdana" w:cs="Verdana"/>
          <w:spacing w:val="50"/>
          <w:sz w:val="16"/>
          <w:szCs w:val="16"/>
          <w:lang w:val="es-ES"/>
        </w:rPr>
        <w:t xml:space="preserve"> </w:t>
      </w:r>
      <w:r w:rsidRPr="00CF1787">
        <w:rPr>
          <w:rFonts w:eastAsia="Verdana" w:cs="Verdana"/>
          <w:spacing w:val="-1"/>
          <w:sz w:val="16"/>
          <w:szCs w:val="16"/>
          <w:lang w:val="es-ES"/>
        </w:rPr>
        <w:t>40</w:t>
      </w:r>
      <w:r w:rsidRPr="00CF1787">
        <w:rPr>
          <w:rFonts w:eastAsia="Verdana" w:cs="Verdana"/>
          <w:sz w:val="16"/>
          <w:szCs w:val="16"/>
          <w:lang w:val="es-ES"/>
        </w:rPr>
        <w:t>,</w:t>
      </w:r>
      <w:r w:rsidRPr="00CF1787">
        <w:rPr>
          <w:rFonts w:eastAsia="Verdana" w:cs="Verdana"/>
          <w:spacing w:val="50"/>
          <w:sz w:val="16"/>
          <w:szCs w:val="16"/>
          <w:lang w:val="es-ES"/>
        </w:rPr>
        <w:t xml:space="preserve"> </w:t>
      </w:r>
      <w:r w:rsidRPr="00CF1787">
        <w:rPr>
          <w:rFonts w:eastAsia="Verdana" w:cs="Verdana"/>
          <w:sz w:val="16"/>
          <w:szCs w:val="16"/>
          <w:lang w:val="es-ES"/>
        </w:rPr>
        <w:t>y</w:t>
      </w:r>
      <w:r w:rsidRPr="00CF1787">
        <w:rPr>
          <w:rFonts w:eastAsia="Verdana" w:cs="Verdana"/>
          <w:spacing w:val="10"/>
          <w:sz w:val="16"/>
          <w:szCs w:val="16"/>
          <w:lang w:val="es-ES"/>
        </w:rPr>
        <w:t xml:space="preserve"> </w:t>
      </w:r>
      <w:r w:rsidRPr="00CF1787">
        <w:rPr>
          <w:bCs/>
          <w:i/>
          <w:sz w:val="16"/>
          <w:szCs w:val="16"/>
          <w:lang w:val="es-CR"/>
        </w:rPr>
        <w:t>Caso Herrera Espinoza y otros Vs. Ecuador.</w:t>
      </w:r>
      <w:r w:rsidRPr="00CF1787">
        <w:rPr>
          <w:bCs/>
          <w:sz w:val="16"/>
          <w:szCs w:val="16"/>
          <w:lang w:val="es-CR"/>
        </w:rPr>
        <w:t xml:space="preserve"> </w:t>
      </w:r>
      <w:r w:rsidRPr="00CF1787">
        <w:rPr>
          <w:bCs/>
          <w:i/>
          <w:sz w:val="16"/>
          <w:szCs w:val="16"/>
          <w:lang w:val="es-CR"/>
        </w:rPr>
        <w:t xml:space="preserve">Excepciones Preliminares, Fondo, Reparaciones y Costas. </w:t>
      </w:r>
      <w:r w:rsidRPr="00CF1787">
        <w:rPr>
          <w:bCs/>
          <w:sz w:val="16"/>
          <w:szCs w:val="16"/>
          <w:lang w:val="es-CR"/>
        </w:rPr>
        <w:t>Sentencia de 1 de septiembre de 2016. Serie C No. 316, párr. 39.</w:t>
      </w:r>
    </w:p>
  </w:footnote>
  <w:footnote w:id="19">
    <w:p w14:paraId="2545D550" w14:textId="405DF3D8" w:rsidR="00935D08" w:rsidRPr="00CF1787" w:rsidRDefault="00935D08" w:rsidP="00CA1834">
      <w:pPr>
        <w:pStyle w:val="FootnoteText"/>
        <w:tabs>
          <w:tab w:val="clear" w:pos="567"/>
          <w:tab w:val="left" w:pos="426"/>
        </w:tabs>
        <w:spacing w:before="120" w:after="120"/>
        <w:ind w:right="32"/>
        <w:rPr>
          <w:lang w:val="es-CR"/>
        </w:rPr>
      </w:pPr>
      <w:r w:rsidRPr="00CF1787">
        <w:rPr>
          <w:rStyle w:val="FootnoteReference"/>
        </w:rPr>
        <w:footnoteRef/>
      </w:r>
      <w:r w:rsidRPr="00CF1787">
        <w:rPr>
          <w:lang w:val="es-CR"/>
        </w:rPr>
        <w:t xml:space="preserve"> </w:t>
      </w:r>
      <w:r w:rsidRPr="00CF1787">
        <w:rPr>
          <w:lang w:val="es-CR"/>
        </w:rPr>
        <w:tab/>
      </w:r>
      <w:r w:rsidRPr="00CF1787">
        <w:rPr>
          <w:rFonts w:eastAsia="Verdana"/>
          <w:i/>
          <w:lang w:val="es-ES"/>
        </w:rPr>
        <w:t>C</w:t>
      </w:r>
      <w:r w:rsidRPr="00CF1787">
        <w:rPr>
          <w:rFonts w:eastAsia="Verdana"/>
          <w:i/>
          <w:spacing w:val="-1"/>
          <w:lang w:val="es-ES"/>
        </w:rPr>
        <w:t>f</w:t>
      </w:r>
      <w:r w:rsidRPr="00CF1787">
        <w:rPr>
          <w:rFonts w:eastAsia="Verdana"/>
          <w:i/>
          <w:spacing w:val="1"/>
          <w:lang w:val="es-ES"/>
        </w:rPr>
        <w:t>r</w:t>
      </w:r>
      <w:r w:rsidRPr="00CF1787">
        <w:rPr>
          <w:rFonts w:eastAsia="Verdana"/>
          <w:i/>
          <w:lang w:val="es-ES"/>
        </w:rPr>
        <w:t>.</w:t>
      </w:r>
      <w:r w:rsidRPr="00CF1787">
        <w:rPr>
          <w:rFonts w:eastAsia="Verdana"/>
          <w:i/>
          <w:spacing w:val="3"/>
          <w:lang w:val="es-ES"/>
        </w:rPr>
        <w:t xml:space="preserve"> </w:t>
      </w:r>
      <w:r w:rsidRPr="00CF1787">
        <w:rPr>
          <w:rFonts w:eastAsia="Verdana"/>
          <w:i/>
          <w:lang w:val="es-ES"/>
        </w:rPr>
        <w:t>C</w:t>
      </w:r>
      <w:r w:rsidRPr="00CF1787">
        <w:rPr>
          <w:rFonts w:eastAsia="Verdana"/>
          <w:i/>
          <w:spacing w:val="-1"/>
          <w:lang w:val="es-ES"/>
        </w:rPr>
        <w:t>a</w:t>
      </w:r>
      <w:r w:rsidRPr="00CF1787">
        <w:rPr>
          <w:rFonts w:eastAsia="Verdana"/>
          <w:i/>
          <w:spacing w:val="-2"/>
          <w:lang w:val="es-ES"/>
        </w:rPr>
        <w:t>s</w:t>
      </w:r>
      <w:r w:rsidRPr="00CF1787">
        <w:rPr>
          <w:rFonts w:eastAsia="Verdana"/>
          <w:i/>
          <w:lang w:val="es-ES"/>
        </w:rPr>
        <w:t>o</w:t>
      </w:r>
      <w:r w:rsidRPr="00CF1787">
        <w:rPr>
          <w:rFonts w:eastAsia="Verdana"/>
          <w:i/>
          <w:spacing w:val="4"/>
          <w:lang w:val="es-ES"/>
        </w:rPr>
        <w:t xml:space="preserve"> </w:t>
      </w:r>
      <w:proofErr w:type="spellStart"/>
      <w:r w:rsidRPr="00CF1787">
        <w:rPr>
          <w:rFonts w:eastAsia="Verdana"/>
          <w:i/>
          <w:lang w:val="es-ES"/>
        </w:rPr>
        <w:t>C</w:t>
      </w:r>
      <w:r w:rsidRPr="00CF1787">
        <w:rPr>
          <w:rFonts w:eastAsia="Verdana"/>
          <w:i/>
          <w:spacing w:val="-3"/>
          <w:lang w:val="es-ES"/>
        </w:rPr>
        <w:t>a</w:t>
      </w:r>
      <w:r w:rsidRPr="00CF1787">
        <w:rPr>
          <w:rFonts w:eastAsia="Verdana"/>
          <w:i/>
          <w:spacing w:val="1"/>
          <w:lang w:val="es-ES"/>
        </w:rPr>
        <w:t>y</w:t>
      </w:r>
      <w:r w:rsidRPr="00CF1787">
        <w:rPr>
          <w:rFonts w:eastAsia="Verdana"/>
          <w:i/>
          <w:spacing w:val="-3"/>
          <w:lang w:val="es-ES"/>
        </w:rPr>
        <w:t>a</w:t>
      </w:r>
      <w:r w:rsidRPr="00CF1787">
        <w:rPr>
          <w:rFonts w:eastAsia="Verdana"/>
          <w:i/>
          <w:spacing w:val="1"/>
          <w:lang w:val="es-ES"/>
        </w:rPr>
        <w:t>r</w:t>
      </w:r>
      <w:r w:rsidRPr="00CF1787">
        <w:rPr>
          <w:rFonts w:eastAsia="Verdana"/>
          <w:i/>
          <w:lang w:val="es-ES"/>
        </w:rPr>
        <w:t>a</w:t>
      </w:r>
      <w:proofErr w:type="spellEnd"/>
      <w:r w:rsidRPr="00CF1787">
        <w:rPr>
          <w:rFonts w:eastAsia="Verdana"/>
          <w:i/>
          <w:spacing w:val="3"/>
          <w:lang w:val="es-ES"/>
        </w:rPr>
        <w:t xml:space="preserve"> </w:t>
      </w:r>
      <w:r w:rsidRPr="00CF1787">
        <w:rPr>
          <w:rFonts w:eastAsia="Verdana"/>
          <w:i/>
          <w:spacing w:val="1"/>
          <w:lang w:val="es-ES"/>
        </w:rPr>
        <w:t>V</w:t>
      </w:r>
      <w:r w:rsidRPr="00CF1787">
        <w:rPr>
          <w:rFonts w:eastAsia="Verdana"/>
          <w:i/>
          <w:spacing w:val="2"/>
          <w:lang w:val="es-ES"/>
        </w:rPr>
        <w:t>s</w:t>
      </w:r>
      <w:r w:rsidRPr="00CF1787">
        <w:rPr>
          <w:rFonts w:eastAsia="Verdana"/>
          <w:i/>
          <w:lang w:val="es-ES"/>
        </w:rPr>
        <w:t>.</w:t>
      </w:r>
      <w:r w:rsidRPr="00CF1787">
        <w:rPr>
          <w:rFonts w:eastAsia="Verdana"/>
          <w:i/>
          <w:spacing w:val="3"/>
          <w:lang w:val="es-ES"/>
        </w:rPr>
        <w:t xml:space="preserve"> </w:t>
      </w:r>
      <w:r w:rsidRPr="00CF1787">
        <w:rPr>
          <w:rFonts w:eastAsia="Verdana"/>
          <w:i/>
          <w:spacing w:val="-3"/>
          <w:lang w:val="es-ES"/>
        </w:rPr>
        <w:t>P</w:t>
      </w:r>
      <w:r w:rsidRPr="00CF1787">
        <w:rPr>
          <w:rFonts w:eastAsia="Verdana"/>
          <w:i/>
          <w:lang w:val="es-ES"/>
        </w:rPr>
        <w:t>e</w:t>
      </w:r>
      <w:r w:rsidRPr="00CF1787">
        <w:rPr>
          <w:rFonts w:eastAsia="Verdana"/>
          <w:i/>
          <w:spacing w:val="1"/>
          <w:lang w:val="es-ES"/>
        </w:rPr>
        <w:t>r</w:t>
      </w:r>
      <w:r w:rsidRPr="00CF1787">
        <w:rPr>
          <w:rFonts w:eastAsia="Verdana"/>
          <w:i/>
          <w:spacing w:val="-1"/>
          <w:lang w:val="es-ES"/>
        </w:rPr>
        <w:t>ú</w:t>
      </w:r>
      <w:r w:rsidRPr="00CF1787">
        <w:rPr>
          <w:rFonts w:eastAsia="Verdana"/>
          <w:i/>
          <w:lang w:val="es-ES"/>
        </w:rPr>
        <w:t>.</w:t>
      </w:r>
      <w:r w:rsidRPr="00CF1787">
        <w:rPr>
          <w:rFonts w:eastAsia="Verdana"/>
          <w:i/>
          <w:spacing w:val="3"/>
          <w:lang w:val="es-ES"/>
        </w:rPr>
        <w:t xml:space="preserve"> </w:t>
      </w:r>
      <w:r w:rsidRPr="00CF1787">
        <w:rPr>
          <w:rFonts w:eastAsia="Verdana"/>
          <w:i/>
          <w:spacing w:val="-1"/>
          <w:lang w:val="es-ES"/>
        </w:rPr>
        <w:t>E</w:t>
      </w:r>
      <w:r w:rsidRPr="00CF1787">
        <w:rPr>
          <w:rFonts w:eastAsia="Verdana"/>
          <w:i/>
          <w:spacing w:val="-2"/>
          <w:lang w:val="es-ES"/>
        </w:rPr>
        <w:t>x</w:t>
      </w:r>
      <w:r w:rsidRPr="00CF1787">
        <w:rPr>
          <w:rFonts w:eastAsia="Verdana"/>
          <w:i/>
          <w:lang w:val="es-ES"/>
        </w:rPr>
        <w:t>ce</w:t>
      </w:r>
      <w:r w:rsidRPr="00CF1787">
        <w:rPr>
          <w:rFonts w:eastAsia="Verdana"/>
          <w:i/>
          <w:spacing w:val="1"/>
          <w:lang w:val="es-ES"/>
        </w:rPr>
        <w:t>p</w:t>
      </w:r>
      <w:r w:rsidRPr="00CF1787">
        <w:rPr>
          <w:rFonts w:eastAsia="Verdana"/>
          <w:i/>
          <w:lang w:val="es-ES"/>
        </w:rPr>
        <w:t>c</w:t>
      </w:r>
      <w:r w:rsidRPr="00CF1787">
        <w:rPr>
          <w:rFonts w:eastAsia="Verdana"/>
          <w:i/>
          <w:spacing w:val="-3"/>
          <w:lang w:val="es-ES"/>
        </w:rPr>
        <w:t>i</w:t>
      </w:r>
      <w:r w:rsidRPr="00CF1787">
        <w:rPr>
          <w:rFonts w:eastAsia="Verdana"/>
          <w:i/>
          <w:spacing w:val="1"/>
          <w:lang w:val="es-ES"/>
        </w:rPr>
        <w:t>o</w:t>
      </w:r>
      <w:r w:rsidRPr="00CF1787">
        <w:rPr>
          <w:rFonts w:eastAsia="Verdana"/>
          <w:i/>
          <w:spacing w:val="-1"/>
          <w:lang w:val="es-ES"/>
        </w:rPr>
        <w:t>n</w:t>
      </w:r>
      <w:r w:rsidRPr="00CF1787">
        <w:rPr>
          <w:rFonts w:eastAsia="Verdana"/>
          <w:i/>
          <w:lang w:val="es-ES"/>
        </w:rPr>
        <w:t>es</w:t>
      </w:r>
      <w:r w:rsidRPr="00CF1787">
        <w:rPr>
          <w:rFonts w:eastAsia="Verdana"/>
          <w:i/>
          <w:spacing w:val="4"/>
          <w:lang w:val="es-ES"/>
        </w:rPr>
        <w:t xml:space="preserve"> </w:t>
      </w:r>
      <w:r w:rsidRPr="00CF1787">
        <w:rPr>
          <w:rFonts w:eastAsia="Verdana"/>
          <w:i/>
          <w:spacing w:val="-1"/>
          <w:lang w:val="es-ES"/>
        </w:rPr>
        <w:t>Pr</w:t>
      </w:r>
      <w:r w:rsidRPr="00CF1787">
        <w:rPr>
          <w:rFonts w:eastAsia="Verdana"/>
          <w:i/>
          <w:lang w:val="es-ES"/>
        </w:rPr>
        <w:t>e</w:t>
      </w:r>
      <w:r w:rsidRPr="00CF1787">
        <w:rPr>
          <w:rFonts w:eastAsia="Verdana"/>
          <w:i/>
          <w:spacing w:val="-1"/>
          <w:lang w:val="es-ES"/>
        </w:rPr>
        <w:t>li</w:t>
      </w:r>
      <w:r w:rsidRPr="00CF1787">
        <w:rPr>
          <w:rFonts w:eastAsia="Verdana"/>
          <w:i/>
          <w:lang w:val="es-ES"/>
        </w:rPr>
        <w:t>m</w:t>
      </w:r>
      <w:r w:rsidRPr="00CF1787">
        <w:rPr>
          <w:rFonts w:eastAsia="Verdana"/>
          <w:i/>
          <w:spacing w:val="-1"/>
          <w:lang w:val="es-ES"/>
        </w:rPr>
        <w:t>ina</w:t>
      </w:r>
      <w:r w:rsidRPr="00CF1787">
        <w:rPr>
          <w:rFonts w:eastAsia="Verdana"/>
          <w:i/>
          <w:spacing w:val="1"/>
          <w:lang w:val="es-ES"/>
        </w:rPr>
        <w:t>r</w:t>
      </w:r>
      <w:r w:rsidRPr="00CF1787">
        <w:rPr>
          <w:rFonts w:eastAsia="Verdana"/>
          <w:i/>
          <w:lang w:val="es-ES"/>
        </w:rPr>
        <w:t>e</w:t>
      </w:r>
      <w:r w:rsidRPr="00CF1787">
        <w:rPr>
          <w:rFonts w:eastAsia="Verdana"/>
          <w:i/>
          <w:spacing w:val="2"/>
          <w:lang w:val="es-ES"/>
        </w:rPr>
        <w:t>s</w:t>
      </w:r>
      <w:r w:rsidRPr="00CF1787">
        <w:rPr>
          <w:rFonts w:eastAsia="Verdana"/>
          <w:lang w:val="es-ES"/>
        </w:rPr>
        <w:t>.</w:t>
      </w:r>
      <w:r w:rsidRPr="00CF1787">
        <w:rPr>
          <w:rFonts w:eastAsia="Verdana"/>
          <w:spacing w:val="3"/>
          <w:lang w:val="es-ES"/>
        </w:rPr>
        <w:t xml:space="preserve"> </w:t>
      </w:r>
      <w:r w:rsidRPr="00CF1787">
        <w:rPr>
          <w:rFonts w:eastAsia="Verdana"/>
          <w:spacing w:val="-2"/>
          <w:lang w:val="es-ES"/>
        </w:rPr>
        <w:t>S</w:t>
      </w:r>
      <w:r w:rsidRPr="00CF1787">
        <w:rPr>
          <w:rFonts w:eastAsia="Verdana"/>
          <w:lang w:val="es-ES"/>
        </w:rPr>
        <w:t>e</w:t>
      </w:r>
      <w:r w:rsidRPr="00CF1787">
        <w:rPr>
          <w:rFonts w:eastAsia="Verdana"/>
          <w:spacing w:val="-1"/>
          <w:lang w:val="es-ES"/>
        </w:rPr>
        <w:t>nt</w:t>
      </w:r>
      <w:r w:rsidRPr="00CF1787">
        <w:rPr>
          <w:rFonts w:eastAsia="Verdana"/>
          <w:lang w:val="es-ES"/>
        </w:rPr>
        <w:t>e</w:t>
      </w:r>
      <w:r w:rsidRPr="00CF1787">
        <w:rPr>
          <w:rFonts w:eastAsia="Verdana"/>
          <w:spacing w:val="-1"/>
          <w:lang w:val="es-ES"/>
        </w:rPr>
        <w:t>n</w:t>
      </w:r>
      <w:r w:rsidRPr="00CF1787">
        <w:rPr>
          <w:rFonts w:eastAsia="Verdana"/>
          <w:lang w:val="es-ES"/>
        </w:rPr>
        <w:t>c</w:t>
      </w:r>
      <w:r w:rsidRPr="00CF1787">
        <w:rPr>
          <w:rFonts w:eastAsia="Verdana"/>
          <w:spacing w:val="-1"/>
          <w:lang w:val="es-ES"/>
        </w:rPr>
        <w:t>i</w:t>
      </w:r>
      <w:r w:rsidRPr="00CF1787">
        <w:rPr>
          <w:rFonts w:eastAsia="Verdana"/>
          <w:lang w:val="es-ES"/>
        </w:rPr>
        <w:t>a</w:t>
      </w:r>
      <w:r w:rsidRPr="00CF1787">
        <w:rPr>
          <w:rFonts w:eastAsia="Verdana"/>
          <w:spacing w:val="3"/>
          <w:lang w:val="es-ES"/>
        </w:rPr>
        <w:t xml:space="preserve"> </w:t>
      </w:r>
      <w:r w:rsidRPr="00CF1787">
        <w:rPr>
          <w:rFonts w:eastAsia="Verdana"/>
          <w:lang w:val="es-ES"/>
        </w:rPr>
        <w:t>de</w:t>
      </w:r>
      <w:r w:rsidRPr="00CF1787">
        <w:rPr>
          <w:rFonts w:eastAsia="Verdana"/>
          <w:spacing w:val="1"/>
          <w:lang w:val="es-ES"/>
        </w:rPr>
        <w:t xml:space="preserve"> </w:t>
      </w:r>
      <w:r w:rsidRPr="00CF1787">
        <w:rPr>
          <w:rFonts w:eastAsia="Verdana"/>
          <w:lang w:val="es-ES"/>
        </w:rPr>
        <w:t>3</w:t>
      </w:r>
      <w:r w:rsidRPr="00CF1787">
        <w:rPr>
          <w:rFonts w:eastAsia="Verdana"/>
          <w:spacing w:val="4"/>
          <w:lang w:val="es-ES"/>
        </w:rPr>
        <w:t xml:space="preserve"> </w:t>
      </w:r>
      <w:r w:rsidRPr="00CF1787">
        <w:rPr>
          <w:rFonts w:eastAsia="Verdana"/>
          <w:spacing w:val="-2"/>
          <w:lang w:val="es-ES"/>
        </w:rPr>
        <w:t>d</w:t>
      </w:r>
      <w:r w:rsidRPr="00CF1787">
        <w:rPr>
          <w:rFonts w:eastAsia="Verdana"/>
          <w:lang w:val="es-ES"/>
        </w:rPr>
        <w:t>e</w:t>
      </w:r>
      <w:r w:rsidRPr="00CF1787">
        <w:rPr>
          <w:rFonts w:eastAsia="Verdana"/>
          <w:spacing w:val="4"/>
          <w:lang w:val="es-ES"/>
        </w:rPr>
        <w:t xml:space="preserve"> </w:t>
      </w:r>
      <w:r w:rsidRPr="00CF1787">
        <w:rPr>
          <w:rFonts w:eastAsia="Verdana"/>
          <w:spacing w:val="-1"/>
          <w:lang w:val="es-ES"/>
        </w:rPr>
        <w:t>f</w:t>
      </w:r>
      <w:r w:rsidRPr="00CF1787">
        <w:rPr>
          <w:rFonts w:eastAsia="Verdana"/>
          <w:lang w:val="es-ES"/>
        </w:rPr>
        <w:t>e</w:t>
      </w:r>
      <w:r w:rsidRPr="00CF1787">
        <w:rPr>
          <w:rFonts w:eastAsia="Verdana"/>
          <w:spacing w:val="-2"/>
          <w:lang w:val="es-ES"/>
        </w:rPr>
        <w:t>b</w:t>
      </w:r>
      <w:r w:rsidRPr="00CF1787">
        <w:rPr>
          <w:rFonts w:eastAsia="Verdana"/>
          <w:spacing w:val="1"/>
          <w:lang w:val="es-ES"/>
        </w:rPr>
        <w:t>r</w:t>
      </w:r>
      <w:r w:rsidRPr="00CF1787">
        <w:rPr>
          <w:rFonts w:eastAsia="Verdana"/>
          <w:lang w:val="es-ES"/>
        </w:rPr>
        <w:t>e</w:t>
      </w:r>
      <w:r w:rsidRPr="00CF1787">
        <w:rPr>
          <w:rFonts w:eastAsia="Verdana"/>
          <w:spacing w:val="-1"/>
          <w:lang w:val="es-ES"/>
        </w:rPr>
        <w:t>r</w:t>
      </w:r>
      <w:r w:rsidRPr="00CF1787">
        <w:rPr>
          <w:rFonts w:eastAsia="Verdana"/>
          <w:lang w:val="es-ES"/>
        </w:rPr>
        <w:t>o</w:t>
      </w:r>
      <w:r w:rsidRPr="00CF1787">
        <w:rPr>
          <w:rFonts w:eastAsia="Verdana"/>
          <w:spacing w:val="2"/>
          <w:lang w:val="es-ES"/>
        </w:rPr>
        <w:t xml:space="preserve"> </w:t>
      </w:r>
      <w:r w:rsidRPr="00CF1787">
        <w:rPr>
          <w:rFonts w:eastAsia="Verdana"/>
          <w:lang w:val="es-ES"/>
        </w:rPr>
        <w:t>de</w:t>
      </w:r>
      <w:r w:rsidRPr="00CF1787">
        <w:rPr>
          <w:rFonts w:eastAsia="Verdana"/>
          <w:spacing w:val="1"/>
          <w:lang w:val="es-ES"/>
        </w:rPr>
        <w:t xml:space="preserve"> 1</w:t>
      </w:r>
      <w:r w:rsidRPr="00CF1787">
        <w:rPr>
          <w:rFonts w:eastAsia="Verdana"/>
          <w:spacing w:val="-1"/>
          <w:lang w:val="es-ES"/>
        </w:rPr>
        <w:t>99</w:t>
      </w:r>
      <w:r w:rsidRPr="00CF1787">
        <w:rPr>
          <w:rFonts w:eastAsia="Verdana"/>
          <w:spacing w:val="1"/>
          <w:lang w:val="es-ES"/>
        </w:rPr>
        <w:t>3</w:t>
      </w:r>
      <w:r w:rsidRPr="00CF1787">
        <w:rPr>
          <w:rFonts w:eastAsia="Verdana"/>
          <w:lang w:val="es-ES"/>
        </w:rPr>
        <w:t>.</w:t>
      </w:r>
      <w:r w:rsidRPr="00CF1787">
        <w:rPr>
          <w:rFonts w:eastAsia="Verdana"/>
          <w:spacing w:val="3"/>
          <w:lang w:val="es-ES"/>
        </w:rPr>
        <w:t xml:space="preserve"> </w:t>
      </w:r>
      <w:r w:rsidRPr="00CF1787">
        <w:rPr>
          <w:rFonts w:eastAsia="Verdana"/>
          <w:lang w:val="es-ES"/>
        </w:rPr>
        <w:t>S</w:t>
      </w:r>
      <w:r w:rsidRPr="00CF1787">
        <w:rPr>
          <w:rFonts w:eastAsia="Verdana"/>
          <w:spacing w:val="1"/>
          <w:lang w:val="es-ES"/>
        </w:rPr>
        <w:t>er</w:t>
      </w:r>
      <w:r w:rsidRPr="00CF1787">
        <w:rPr>
          <w:rFonts w:eastAsia="Verdana"/>
          <w:spacing w:val="-1"/>
          <w:lang w:val="es-ES"/>
        </w:rPr>
        <w:t>i</w:t>
      </w:r>
      <w:r w:rsidRPr="00CF1787">
        <w:rPr>
          <w:rFonts w:eastAsia="Verdana"/>
          <w:lang w:val="es-ES"/>
        </w:rPr>
        <w:t>e</w:t>
      </w:r>
      <w:r w:rsidRPr="00CF1787">
        <w:rPr>
          <w:rFonts w:eastAsia="Verdana"/>
          <w:spacing w:val="1"/>
          <w:lang w:val="es-ES"/>
        </w:rPr>
        <w:t xml:space="preserve"> </w:t>
      </w:r>
      <w:r w:rsidRPr="00CF1787">
        <w:rPr>
          <w:rFonts w:eastAsia="Verdana"/>
          <w:lang w:val="es-ES"/>
        </w:rPr>
        <w:t>C</w:t>
      </w:r>
      <w:r w:rsidRPr="00CF1787">
        <w:rPr>
          <w:rFonts w:eastAsia="Verdana"/>
          <w:spacing w:val="1"/>
          <w:lang w:val="es-ES"/>
        </w:rPr>
        <w:t xml:space="preserve"> </w:t>
      </w:r>
      <w:r w:rsidRPr="00CF1787">
        <w:rPr>
          <w:rFonts w:eastAsia="Verdana"/>
          <w:lang w:val="es-ES"/>
        </w:rPr>
        <w:t xml:space="preserve">No. </w:t>
      </w:r>
      <w:r w:rsidRPr="00CF1787">
        <w:rPr>
          <w:rFonts w:eastAsia="Verdana"/>
          <w:spacing w:val="1"/>
          <w:lang w:val="es-ES"/>
        </w:rPr>
        <w:t>14</w:t>
      </w:r>
      <w:r w:rsidRPr="00CF1787">
        <w:rPr>
          <w:rFonts w:eastAsia="Verdana"/>
          <w:lang w:val="es-ES"/>
        </w:rPr>
        <w:t>, p</w:t>
      </w:r>
      <w:r w:rsidRPr="00CF1787">
        <w:rPr>
          <w:rFonts w:eastAsia="Verdana"/>
          <w:spacing w:val="-1"/>
          <w:lang w:val="es-ES"/>
        </w:rPr>
        <w:t>ár</w:t>
      </w:r>
      <w:r w:rsidRPr="00CF1787">
        <w:rPr>
          <w:rFonts w:eastAsia="Verdana"/>
          <w:spacing w:val="1"/>
          <w:lang w:val="es-ES"/>
        </w:rPr>
        <w:t>r</w:t>
      </w:r>
      <w:r w:rsidRPr="00CF1787">
        <w:rPr>
          <w:rFonts w:eastAsia="Verdana"/>
          <w:lang w:val="es-ES"/>
        </w:rPr>
        <w:t>.</w:t>
      </w:r>
      <w:r w:rsidRPr="00CF1787">
        <w:rPr>
          <w:rFonts w:eastAsia="Verdana"/>
          <w:spacing w:val="3"/>
          <w:lang w:val="es-ES"/>
        </w:rPr>
        <w:t xml:space="preserve"> </w:t>
      </w:r>
      <w:r w:rsidRPr="00CF1787">
        <w:rPr>
          <w:rFonts w:eastAsia="Verdana"/>
          <w:spacing w:val="-1"/>
          <w:lang w:val="es-ES"/>
        </w:rPr>
        <w:t>6</w:t>
      </w:r>
      <w:r w:rsidRPr="00CF1787">
        <w:rPr>
          <w:rFonts w:eastAsia="Verdana"/>
          <w:spacing w:val="7"/>
          <w:lang w:val="es-ES"/>
        </w:rPr>
        <w:t>3</w:t>
      </w:r>
      <w:r w:rsidRPr="00CF1787">
        <w:rPr>
          <w:rFonts w:eastAsia="Verdana"/>
          <w:lang w:val="es-ES"/>
        </w:rPr>
        <w:t>, y</w:t>
      </w:r>
      <w:r w:rsidRPr="00CF1787">
        <w:rPr>
          <w:rFonts w:eastAsia="Verdana"/>
          <w:spacing w:val="10"/>
          <w:lang w:val="es-ES"/>
        </w:rPr>
        <w:t xml:space="preserve"> </w:t>
      </w:r>
      <w:r w:rsidRPr="00CF1787">
        <w:rPr>
          <w:bCs/>
          <w:i/>
          <w:lang w:val="es-CR"/>
        </w:rPr>
        <w:t>Caso García Ibarra y otros Vs. Ecuador, supra</w:t>
      </w:r>
      <w:r w:rsidRPr="00CF1787">
        <w:rPr>
          <w:bCs/>
          <w:lang w:val="es-CR"/>
        </w:rPr>
        <w:t>, párr. 29.</w:t>
      </w:r>
    </w:p>
  </w:footnote>
  <w:footnote w:id="20">
    <w:p w14:paraId="0315319D" w14:textId="4975B7CB" w:rsidR="00935D08" w:rsidRPr="00CF1787" w:rsidRDefault="00935D08" w:rsidP="00CA1834">
      <w:pPr>
        <w:pStyle w:val="FootnoteText"/>
        <w:tabs>
          <w:tab w:val="clear" w:pos="567"/>
          <w:tab w:val="left" w:pos="426"/>
        </w:tabs>
        <w:spacing w:before="120" w:after="120"/>
        <w:ind w:right="32"/>
        <w:rPr>
          <w:lang w:val="es-CR"/>
        </w:rPr>
      </w:pPr>
      <w:r w:rsidRPr="00CF1787">
        <w:rPr>
          <w:rStyle w:val="FootnoteReference"/>
        </w:rPr>
        <w:footnoteRef/>
      </w:r>
      <w:r w:rsidRPr="00CF1787">
        <w:rPr>
          <w:lang w:val="es-CR"/>
        </w:rPr>
        <w:t xml:space="preserve"> </w:t>
      </w:r>
      <w:r w:rsidRPr="00CF1787">
        <w:rPr>
          <w:lang w:val="es-CR"/>
        </w:rPr>
        <w:tab/>
      </w:r>
      <w:r w:rsidRPr="00CF1787">
        <w:rPr>
          <w:rFonts w:eastAsia="Verdana"/>
          <w:i/>
          <w:lang w:val="es-ES"/>
        </w:rPr>
        <w:t>C</w:t>
      </w:r>
      <w:r w:rsidRPr="00CF1787">
        <w:rPr>
          <w:rFonts w:eastAsia="Verdana"/>
          <w:i/>
          <w:spacing w:val="-1"/>
          <w:lang w:val="es-ES"/>
        </w:rPr>
        <w:t>f</w:t>
      </w:r>
      <w:r w:rsidRPr="00CF1787">
        <w:rPr>
          <w:rFonts w:eastAsia="Verdana"/>
          <w:i/>
          <w:spacing w:val="1"/>
          <w:lang w:val="es-ES"/>
        </w:rPr>
        <w:t>r</w:t>
      </w:r>
      <w:r w:rsidRPr="00CF1787">
        <w:rPr>
          <w:rFonts w:eastAsia="Verdana"/>
          <w:i/>
          <w:lang w:val="es-ES"/>
        </w:rPr>
        <w:t>.</w:t>
      </w:r>
      <w:r w:rsidRPr="00CF1787">
        <w:rPr>
          <w:rFonts w:eastAsia="Verdana"/>
          <w:i/>
          <w:spacing w:val="3"/>
          <w:lang w:val="es-ES"/>
        </w:rPr>
        <w:t xml:space="preserve"> </w:t>
      </w:r>
      <w:r w:rsidRPr="00CF1787">
        <w:rPr>
          <w:rFonts w:eastAsia="Verdana"/>
          <w:bCs/>
          <w:i/>
          <w:lang w:val="es-CR"/>
        </w:rPr>
        <w:t>Caso Trabajadores Cesados del Congreso (Aguado Alfaro y otros) Vs. Perú, supra</w:t>
      </w:r>
      <w:r w:rsidRPr="00CF1787">
        <w:rPr>
          <w:rFonts w:eastAsia="Verdana"/>
          <w:lang w:val="es-ES"/>
        </w:rPr>
        <w:t>, p</w:t>
      </w:r>
      <w:r w:rsidRPr="00CF1787">
        <w:rPr>
          <w:rFonts w:eastAsia="Verdana"/>
          <w:spacing w:val="-1"/>
          <w:lang w:val="es-ES"/>
        </w:rPr>
        <w:t>ár</w:t>
      </w:r>
      <w:r w:rsidRPr="00CF1787">
        <w:rPr>
          <w:rFonts w:eastAsia="Verdana"/>
          <w:spacing w:val="1"/>
          <w:lang w:val="es-ES"/>
        </w:rPr>
        <w:t>r</w:t>
      </w:r>
      <w:r w:rsidRPr="00CF1787">
        <w:rPr>
          <w:rFonts w:eastAsia="Verdana"/>
          <w:lang w:val="es-ES"/>
        </w:rPr>
        <w:t xml:space="preserve">. </w:t>
      </w:r>
      <w:r w:rsidRPr="00CF1787">
        <w:rPr>
          <w:rFonts w:eastAsia="Verdana"/>
          <w:spacing w:val="1"/>
          <w:lang w:val="es-ES"/>
        </w:rPr>
        <w:t>66</w:t>
      </w:r>
      <w:r w:rsidRPr="00CF1787">
        <w:rPr>
          <w:rFonts w:eastAsia="Verdana"/>
          <w:lang w:val="es-ES"/>
        </w:rPr>
        <w:t>, y</w:t>
      </w:r>
      <w:r w:rsidRPr="00CF1787">
        <w:rPr>
          <w:rFonts w:eastAsia="Verdana"/>
          <w:spacing w:val="10"/>
          <w:lang w:val="es-ES"/>
        </w:rPr>
        <w:t xml:space="preserve"> </w:t>
      </w:r>
      <w:r w:rsidRPr="00CF1787">
        <w:rPr>
          <w:bCs/>
          <w:i/>
          <w:lang w:val="es-CR"/>
        </w:rPr>
        <w:t>Caso García Ibarra y otros Vs. Ecuador, supra</w:t>
      </w:r>
      <w:r w:rsidRPr="00CF1787">
        <w:rPr>
          <w:bCs/>
          <w:lang w:val="es-CR"/>
        </w:rPr>
        <w:t>, párr. 29.</w:t>
      </w:r>
    </w:p>
  </w:footnote>
  <w:footnote w:id="21">
    <w:p w14:paraId="5F1CF574" w14:textId="24FCACAD" w:rsidR="00935D08" w:rsidRPr="00CF1787" w:rsidRDefault="00935D08" w:rsidP="00CA1834">
      <w:pPr>
        <w:tabs>
          <w:tab w:val="left" w:pos="426"/>
        </w:tabs>
        <w:spacing w:before="120" w:after="120"/>
        <w:ind w:right="32"/>
        <w:rPr>
          <w:rFonts w:eastAsia="Verdana" w:cs="Verdana"/>
          <w:sz w:val="16"/>
          <w:szCs w:val="16"/>
          <w:lang w:val="es-ES"/>
        </w:rPr>
      </w:pPr>
      <w:r w:rsidRPr="00CF1787">
        <w:rPr>
          <w:rStyle w:val="FootnoteReference"/>
        </w:rPr>
        <w:footnoteRef/>
      </w:r>
      <w:r w:rsidRPr="00CF1787">
        <w:rPr>
          <w:sz w:val="16"/>
          <w:szCs w:val="16"/>
          <w:lang w:val="es-CR"/>
        </w:rPr>
        <w:t xml:space="preserve"> </w:t>
      </w:r>
      <w:r w:rsidRPr="00CF1787">
        <w:rPr>
          <w:sz w:val="16"/>
          <w:szCs w:val="16"/>
          <w:lang w:val="es-CR"/>
        </w:rPr>
        <w:tab/>
      </w:r>
      <w:r w:rsidRPr="00CF1787">
        <w:rPr>
          <w:rFonts w:eastAsia="Verdana" w:cs="Verdana"/>
          <w:i/>
          <w:sz w:val="16"/>
          <w:szCs w:val="16"/>
          <w:lang w:val="es-ES"/>
        </w:rPr>
        <w:t>C</w:t>
      </w:r>
      <w:r w:rsidRPr="00CF1787">
        <w:rPr>
          <w:rFonts w:eastAsia="Verdana" w:cs="Verdana"/>
          <w:i/>
          <w:spacing w:val="-1"/>
          <w:sz w:val="16"/>
          <w:szCs w:val="16"/>
          <w:lang w:val="es-ES"/>
        </w:rPr>
        <w:t>f</w:t>
      </w:r>
      <w:r w:rsidRPr="00CF1787">
        <w:rPr>
          <w:rFonts w:eastAsia="Verdana" w:cs="Verdana"/>
          <w:i/>
          <w:spacing w:val="1"/>
          <w:sz w:val="16"/>
          <w:szCs w:val="16"/>
          <w:lang w:val="es-ES"/>
        </w:rPr>
        <w:t>r</w:t>
      </w:r>
      <w:r w:rsidRPr="00CF1787">
        <w:rPr>
          <w:rFonts w:eastAsia="Verdana" w:cs="Verdana"/>
          <w:i/>
          <w:sz w:val="16"/>
          <w:szCs w:val="16"/>
          <w:lang w:val="es-ES"/>
        </w:rPr>
        <w:t>.</w:t>
      </w:r>
      <w:r w:rsidRPr="00CF1787">
        <w:rPr>
          <w:rFonts w:eastAsia="Verdana" w:cs="Verdana"/>
          <w:i/>
          <w:spacing w:val="1"/>
          <w:sz w:val="16"/>
          <w:szCs w:val="16"/>
          <w:lang w:val="es-ES"/>
        </w:rPr>
        <w:t xml:space="preserve"> </w:t>
      </w:r>
      <w:r w:rsidRPr="00CF1787">
        <w:rPr>
          <w:rFonts w:eastAsia="Verdana" w:cs="Verdana"/>
          <w:bCs/>
          <w:i/>
          <w:sz w:val="16"/>
          <w:szCs w:val="16"/>
          <w:lang w:val="es-CR"/>
        </w:rPr>
        <w:t xml:space="preserve">Caso Castañeda </w:t>
      </w:r>
      <w:proofErr w:type="spellStart"/>
      <w:r w:rsidRPr="00CF1787">
        <w:rPr>
          <w:rFonts w:eastAsia="Verdana" w:cs="Verdana"/>
          <w:bCs/>
          <w:i/>
          <w:sz w:val="16"/>
          <w:szCs w:val="16"/>
          <w:lang w:val="es-CR"/>
        </w:rPr>
        <w:t>Gutman</w:t>
      </w:r>
      <w:proofErr w:type="spellEnd"/>
      <w:r w:rsidRPr="00CF1787">
        <w:rPr>
          <w:rFonts w:eastAsia="Verdana" w:cs="Verdana"/>
          <w:bCs/>
          <w:i/>
          <w:sz w:val="16"/>
          <w:szCs w:val="16"/>
          <w:lang w:val="es-CR"/>
        </w:rPr>
        <w:t xml:space="preserve"> Vs. México, supra</w:t>
      </w:r>
      <w:r w:rsidRPr="00CF1787">
        <w:rPr>
          <w:rFonts w:eastAsia="Verdana" w:cs="Verdana"/>
          <w:sz w:val="16"/>
          <w:szCs w:val="16"/>
          <w:lang w:val="es-ES"/>
        </w:rPr>
        <w:t>, p</w:t>
      </w:r>
      <w:r w:rsidRPr="00CF1787">
        <w:rPr>
          <w:rFonts w:eastAsia="Verdana" w:cs="Verdana"/>
          <w:spacing w:val="-1"/>
          <w:sz w:val="16"/>
          <w:szCs w:val="16"/>
          <w:lang w:val="es-ES"/>
        </w:rPr>
        <w:t>ár</w:t>
      </w:r>
      <w:r w:rsidRPr="00CF1787">
        <w:rPr>
          <w:rFonts w:eastAsia="Verdana" w:cs="Verdana"/>
          <w:spacing w:val="1"/>
          <w:sz w:val="16"/>
          <w:szCs w:val="16"/>
          <w:lang w:val="es-ES"/>
        </w:rPr>
        <w:t>r</w:t>
      </w:r>
      <w:r w:rsidRPr="00CF1787">
        <w:rPr>
          <w:rFonts w:eastAsia="Verdana" w:cs="Verdana"/>
          <w:sz w:val="16"/>
          <w:szCs w:val="16"/>
          <w:lang w:val="es-ES"/>
        </w:rPr>
        <w:t xml:space="preserve">. </w:t>
      </w:r>
      <w:r w:rsidRPr="00CF1787">
        <w:rPr>
          <w:rFonts w:eastAsia="Verdana" w:cs="Verdana"/>
          <w:spacing w:val="1"/>
          <w:sz w:val="16"/>
          <w:szCs w:val="16"/>
          <w:lang w:val="es-ES"/>
        </w:rPr>
        <w:t>42</w:t>
      </w:r>
      <w:r w:rsidRPr="00CF1787">
        <w:rPr>
          <w:rFonts w:eastAsia="Verdana" w:cs="Verdana"/>
          <w:sz w:val="16"/>
          <w:szCs w:val="16"/>
          <w:lang w:val="es-ES"/>
        </w:rPr>
        <w:t>, y</w:t>
      </w:r>
      <w:r w:rsidRPr="00CF1787">
        <w:rPr>
          <w:rFonts w:eastAsia="Verdana" w:cs="Verdana"/>
          <w:spacing w:val="10"/>
          <w:sz w:val="16"/>
          <w:szCs w:val="16"/>
          <w:lang w:val="es-ES"/>
        </w:rPr>
        <w:t xml:space="preserve"> </w:t>
      </w:r>
      <w:r w:rsidRPr="00CF1787">
        <w:rPr>
          <w:bCs/>
          <w:i/>
          <w:sz w:val="16"/>
          <w:szCs w:val="16"/>
          <w:lang w:val="es-CR"/>
        </w:rPr>
        <w:t>Caso García Ibarra y otros Vs. Ecuador, supra</w:t>
      </w:r>
      <w:r w:rsidRPr="00CF1787">
        <w:rPr>
          <w:bCs/>
          <w:sz w:val="16"/>
          <w:szCs w:val="16"/>
          <w:lang w:val="es-CR"/>
        </w:rPr>
        <w:t>, párr. 29.</w:t>
      </w:r>
    </w:p>
  </w:footnote>
  <w:footnote w:id="22">
    <w:p w14:paraId="75013D6E" w14:textId="77777777" w:rsidR="00935D08" w:rsidRPr="00CF1787" w:rsidRDefault="00935D08" w:rsidP="00CA1834">
      <w:pPr>
        <w:pStyle w:val="FootnoteText"/>
        <w:tabs>
          <w:tab w:val="clear" w:pos="567"/>
          <w:tab w:val="left" w:pos="426"/>
        </w:tabs>
        <w:spacing w:before="120" w:after="120"/>
        <w:rPr>
          <w:b/>
          <w:lang w:val="es-CR"/>
        </w:rPr>
      </w:pPr>
      <w:r w:rsidRPr="00CF1787">
        <w:rPr>
          <w:rStyle w:val="FootnoteReference"/>
        </w:rPr>
        <w:footnoteRef/>
      </w:r>
      <w:r w:rsidRPr="00CF1787">
        <w:rPr>
          <w:lang w:val="es-CR"/>
        </w:rPr>
        <w:t xml:space="preserve"> </w:t>
      </w:r>
      <w:r w:rsidRPr="00CF1787">
        <w:rPr>
          <w:lang w:val="es-CR"/>
        </w:rPr>
        <w:tab/>
      </w:r>
      <w:r w:rsidRPr="00CF1787">
        <w:rPr>
          <w:i/>
          <w:lang w:val="es-CR"/>
        </w:rPr>
        <w:t xml:space="preserve">Cfr. </w:t>
      </w:r>
      <w:r w:rsidRPr="00CF1787">
        <w:rPr>
          <w:lang w:val="es-CR"/>
        </w:rPr>
        <w:t>Carta de la Comisión Interamericana de Derechos Humanos de 8 de mayo de 2013 (expediente de prueba, folio 492).</w:t>
      </w:r>
    </w:p>
  </w:footnote>
  <w:footnote w:id="23">
    <w:p w14:paraId="4B9E9115" w14:textId="1F773F4E" w:rsidR="00935D08" w:rsidRPr="00CF1787" w:rsidRDefault="00935D08" w:rsidP="00CA1834">
      <w:pPr>
        <w:tabs>
          <w:tab w:val="left" w:pos="426"/>
        </w:tabs>
        <w:autoSpaceDE w:val="0"/>
        <w:autoSpaceDN w:val="0"/>
        <w:adjustRightInd w:val="0"/>
        <w:spacing w:before="120" w:after="120"/>
        <w:rPr>
          <w:rFonts w:cs="Times New Roman"/>
          <w:sz w:val="16"/>
          <w:szCs w:val="16"/>
          <w:lang w:val="es-CR"/>
        </w:rPr>
      </w:pPr>
      <w:r w:rsidRPr="00CF1787">
        <w:rPr>
          <w:rStyle w:val="FootnoteReference"/>
        </w:rPr>
        <w:footnoteRef/>
      </w:r>
      <w:r w:rsidRPr="00CF1787">
        <w:rPr>
          <w:sz w:val="16"/>
          <w:szCs w:val="16"/>
          <w:lang w:val="es-CR"/>
        </w:rPr>
        <w:t xml:space="preserve"> </w:t>
      </w:r>
      <w:r w:rsidRPr="00CF1787">
        <w:rPr>
          <w:sz w:val="16"/>
          <w:szCs w:val="16"/>
          <w:lang w:val="es-CR"/>
        </w:rPr>
        <w:tab/>
      </w:r>
      <w:r w:rsidRPr="00CF1787">
        <w:rPr>
          <w:rFonts w:cs="Times New Roman"/>
          <w:sz w:val="16"/>
          <w:szCs w:val="16"/>
          <w:lang w:val="es-CR"/>
        </w:rPr>
        <w:t xml:space="preserve">Reglamento de </w:t>
      </w:r>
      <w:r w:rsidRPr="00CF1787">
        <w:rPr>
          <w:rFonts w:cs="Arial"/>
          <w:sz w:val="16"/>
          <w:szCs w:val="16"/>
          <w:lang w:val="es-CR"/>
        </w:rPr>
        <w:t xml:space="preserve">la </w:t>
      </w:r>
      <w:r w:rsidRPr="00CF1787">
        <w:rPr>
          <w:rFonts w:cs="Times New Roman"/>
          <w:sz w:val="16"/>
          <w:szCs w:val="16"/>
          <w:lang w:val="es-CR"/>
        </w:rPr>
        <w:t>Comisión Interamericana. Aprobado por la Comisión en 109° período extraordinario de sesiones celebrado del 4 al 8 de diciembre de 2000, y modificado en su 116° periodo ordinaria de sesiones, celebrado del 7 al 25 de octubre de 2002, artículo 37.</w:t>
      </w:r>
    </w:p>
  </w:footnote>
  <w:footnote w:id="24">
    <w:p w14:paraId="1D30B0AB" w14:textId="57D33723" w:rsidR="00935D08" w:rsidRPr="00CF1787" w:rsidRDefault="00935D08" w:rsidP="00CA1834">
      <w:pPr>
        <w:pStyle w:val="FootnoteText"/>
        <w:tabs>
          <w:tab w:val="clear" w:pos="567"/>
          <w:tab w:val="left" w:pos="426"/>
        </w:tabs>
        <w:spacing w:before="120" w:after="120"/>
        <w:rPr>
          <w:lang w:val="es-CR"/>
        </w:rPr>
      </w:pPr>
      <w:r w:rsidRPr="00CF1787">
        <w:rPr>
          <w:rStyle w:val="FootnoteReference"/>
        </w:rPr>
        <w:footnoteRef/>
      </w:r>
      <w:r w:rsidRPr="00CF1787">
        <w:rPr>
          <w:lang w:val="es-CR"/>
        </w:rPr>
        <w:t xml:space="preserve"> </w:t>
      </w:r>
      <w:r w:rsidRPr="00CF1787">
        <w:rPr>
          <w:lang w:val="es-CR"/>
        </w:rPr>
        <w:tab/>
      </w:r>
      <w:r w:rsidRPr="00CF1787">
        <w:rPr>
          <w:i/>
          <w:lang w:val="es-CR"/>
        </w:rPr>
        <w:t xml:space="preserve">Cfr. </w:t>
      </w:r>
      <w:r w:rsidRPr="00CF1787">
        <w:rPr>
          <w:rFonts w:eastAsia="Verdana"/>
          <w:bCs/>
          <w:i/>
          <w:lang w:val="es-CR"/>
        </w:rPr>
        <w:t xml:space="preserve">Caso Castañeda </w:t>
      </w:r>
      <w:proofErr w:type="spellStart"/>
      <w:r w:rsidRPr="00CF1787">
        <w:rPr>
          <w:rFonts w:eastAsia="Verdana"/>
          <w:bCs/>
          <w:i/>
          <w:lang w:val="es-CR"/>
        </w:rPr>
        <w:t>Gutman</w:t>
      </w:r>
      <w:proofErr w:type="spellEnd"/>
      <w:r w:rsidRPr="00CF1787">
        <w:rPr>
          <w:rFonts w:eastAsia="Verdana"/>
          <w:bCs/>
          <w:i/>
          <w:lang w:val="es-CR"/>
        </w:rPr>
        <w:t xml:space="preserve"> Vs. México, supra</w:t>
      </w:r>
      <w:r w:rsidRPr="00CF1787">
        <w:rPr>
          <w:rFonts w:eastAsia="Verdana"/>
          <w:lang w:val="es-ES"/>
        </w:rPr>
        <w:t>, p</w:t>
      </w:r>
      <w:r w:rsidRPr="00CF1787">
        <w:rPr>
          <w:rFonts w:eastAsia="Verdana"/>
          <w:spacing w:val="-1"/>
          <w:lang w:val="es-ES"/>
        </w:rPr>
        <w:t>ár</w:t>
      </w:r>
      <w:r w:rsidRPr="00CF1787">
        <w:rPr>
          <w:rFonts w:eastAsia="Verdana"/>
          <w:spacing w:val="1"/>
          <w:lang w:val="es-ES"/>
        </w:rPr>
        <w:t>r</w:t>
      </w:r>
      <w:r w:rsidRPr="00CF1787">
        <w:rPr>
          <w:lang w:val="es-ES"/>
        </w:rPr>
        <w:t xml:space="preserve">. 55, y </w:t>
      </w:r>
      <w:r w:rsidRPr="00CF1787">
        <w:rPr>
          <w:bCs/>
          <w:i/>
          <w:lang w:val="es-CR"/>
        </w:rPr>
        <w:t>Caso García Ibarra y otros Vs. Ecuador, supra</w:t>
      </w:r>
      <w:r w:rsidRPr="00CF1787">
        <w:rPr>
          <w:bCs/>
          <w:lang w:val="es-CR"/>
        </w:rPr>
        <w:t>, párr. 33.</w:t>
      </w:r>
    </w:p>
  </w:footnote>
  <w:footnote w:id="25">
    <w:p w14:paraId="66D4A8BF" w14:textId="77777777" w:rsidR="00935D08" w:rsidRPr="00CF1787" w:rsidRDefault="00935D08" w:rsidP="00CA1834">
      <w:pPr>
        <w:pStyle w:val="Footnotes"/>
        <w:tabs>
          <w:tab w:val="clear" w:pos="567"/>
          <w:tab w:val="left" w:pos="426"/>
        </w:tabs>
        <w:spacing w:before="120" w:after="120"/>
      </w:pPr>
      <w:r w:rsidRPr="00CF1787">
        <w:rPr>
          <w:rStyle w:val="FootnoteReference"/>
        </w:rPr>
        <w:footnoteRef/>
      </w:r>
      <w:r w:rsidRPr="00CF1787">
        <w:t xml:space="preserve"> </w:t>
      </w:r>
      <w:r w:rsidRPr="00CF1787">
        <w:tab/>
        <w:t>Los objetos de estas declaraciones se encuentran establecidos en la Resolución de la Presidencia de 9 de marzo de 2016 (</w:t>
      </w:r>
      <w:r w:rsidRPr="00CF1787">
        <w:rPr>
          <w:i/>
        </w:rPr>
        <w:t>supra</w:t>
      </w:r>
      <w:r w:rsidRPr="00CF1787">
        <w:t xml:space="preserve"> nota </w:t>
      </w:r>
      <w:r w:rsidRPr="00CF1787">
        <w:fldChar w:fldCharType="begin"/>
      </w:r>
      <w:r w:rsidRPr="00CF1787">
        <w:instrText xml:space="preserve"> NOTEREF _Ref424783166 \h  \* MERGEFORMAT </w:instrText>
      </w:r>
      <w:r w:rsidRPr="00CF1787">
        <w:fldChar w:fldCharType="separate"/>
      </w:r>
      <w:r w:rsidR="00536893">
        <w:t>2</w:t>
      </w:r>
      <w:r w:rsidRPr="00CF1787">
        <w:fldChar w:fldCharType="end"/>
      </w:r>
      <w:r w:rsidRPr="00CF1787">
        <w:t xml:space="preserve">). </w:t>
      </w:r>
    </w:p>
  </w:footnote>
  <w:footnote w:id="26">
    <w:p w14:paraId="075A8AAC" w14:textId="68615640" w:rsidR="00935D08" w:rsidRPr="00CF1787" w:rsidRDefault="00935D08" w:rsidP="00CA1834">
      <w:pPr>
        <w:pStyle w:val="FootnoteText"/>
        <w:tabs>
          <w:tab w:val="clear" w:pos="567"/>
          <w:tab w:val="left" w:pos="426"/>
        </w:tabs>
        <w:spacing w:before="120" w:after="120"/>
      </w:pPr>
      <w:r w:rsidRPr="00CF1787">
        <w:rPr>
          <w:rStyle w:val="FootnoteReference"/>
        </w:rPr>
        <w:footnoteRef/>
      </w:r>
      <w:r w:rsidRPr="00CF1787">
        <w:t xml:space="preserve"> </w:t>
      </w:r>
      <w:r w:rsidRPr="00CF1787">
        <w:tab/>
        <w:t>Al finalizar su declaración en la audiencia pública, el perito presentó una “Ayuda de Memoria” escrita, así como documentación en respaldo a su peritaje, conforme se le había indicado podía hacer, siguiendo instrucciones del Presidente de la Corte, mediante nota de la Secretaría de 21 de abril de 2016.</w:t>
      </w:r>
    </w:p>
  </w:footnote>
  <w:footnote w:id="27">
    <w:p w14:paraId="37868F73" w14:textId="204C5283" w:rsidR="00935D08" w:rsidRPr="00CF1787" w:rsidRDefault="00935D08" w:rsidP="00CA1834">
      <w:pPr>
        <w:pStyle w:val="Footnotes"/>
        <w:tabs>
          <w:tab w:val="clear" w:pos="567"/>
          <w:tab w:val="left" w:pos="426"/>
        </w:tabs>
        <w:spacing w:before="120" w:after="120"/>
      </w:pPr>
      <w:r w:rsidRPr="00CF1787">
        <w:rPr>
          <w:rStyle w:val="FootnoteReference"/>
        </w:rPr>
        <w:footnoteRef/>
      </w:r>
      <w:r w:rsidRPr="00CF1787">
        <w:t xml:space="preserve"> </w:t>
      </w:r>
      <w:r w:rsidRPr="00CF1787">
        <w:tab/>
      </w:r>
      <w:r w:rsidRPr="00CF1787">
        <w:rPr>
          <w:i/>
        </w:rPr>
        <w:t>Cfr.</w:t>
      </w:r>
      <w:r w:rsidRPr="00CF1787">
        <w:t xml:space="preserve"> </w:t>
      </w:r>
      <w:r w:rsidRPr="00CF1787">
        <w:rPr>
          <w:rStyle w:val="Strong"/>
          <w:b w:val="0"/>
          <w:i/>
          <w:shd w:val="clear" w:color="auto" w:fill="FFFFFF"/>
          <w:lang w:val="es-CR"/>
        </w:rPr>
        <w:t>Caso Velásquez Rodríguez Vs. Honduras. Fondo.</w:t>
      </w:r>
      <w:r w:rsidRPr="00CF1787">
        <w:rPr>
          <w:rStyle w:val="Strong"/>
          <w:b w:val="0"/>
          <w:shd w:val="clear" w:color="auto" w:fill="FFFFFF"/>
          <w:lang w:val="es-CR"/>
        </w:rPr>
        <w:t xml:space="preserve"> Sentencia de 29 de julio de 1988. Serie C No. 4, párr. 140 y </w:t>
      </w:r>
      <w:r w:rsidRPr="00CF1787">
        <w:rPr>
          <w:rStyle w:val="Strong"/>
          <w:b w:val="0"/>
          <w:i/>
          <w:shd w:val="clear" w:color="auto" w:fill="FFFFFF"/>
          <w:lang w:val="es-CR"/>
        </w:rPr>
        <w:t>Caso Pollo Rivera y otros Vs. Perú. Fondo, Reparaciones y Costas</w:t>
      </w:r>
      <w:r w:rsidRPr="00CF1787">
        <w:rPr>
          <w:rStyle w:val="Strong"/>
          <w:b w:val="0"/>
          <w:shd w:val="clear" w:color="auto" w:fill="FFFFFF"/>
          <w:lang w:val="es-CR"/>
        </w:rPr>
        <w:t xml:space="preserve">. Sentencia de 21 de octubre de 2016. Serie C No. 319, </w:t>
      </w:r>
      <w:proofErr w:type="spellStart"/>
      <w:r w:rsidRPr="00CF1787">
        <w:rPr>
          <w:rStyle w:val="Strong"/>
          <w:b w:val="0"/>
          <w:shd w:val="clear" w:color="auto" w:fill="FFFFFF"/>
        </w:rPr>
        <w:t>párr</w:t>
      </w:r>
      <w:proofErr w:type="spellEnd"/>
      <w:r w:rsidRPr="00CF1787">
        <w:rPr>
          <w:rStyle w:val="Strong"/>
          <w:b w:val="0"/>
          <w:shd w:val="clear" w:color="auto" w:fill="FFFFFF"/>
        </w:rPr>
        <w:t xml:space="preserve"> 15.</w:t>
      </w:r>
    </w:p>
  </w:footnote>
  <w:footnote w:id="28">
    <w:p w14:paraId="4039F3A3" w14:textId="1CE1DD97" w:rsidR="00935D08" w:rsidRPr="00CF1787" w:rsidRDefault="00935D08" w:rsidP="00CA1834">
      <w:pPr>
        <w:pStyle w:val="FootnoteText"/>
        <w:tabs>
          <w:tab w:val="left" w:pos="426"/>
        </w:tabs>
        <w:spacing w:before="120" w:after="120"/>
        <w:rPr>
          <w:lang w:val="es-CR"/>
        </w:rPr>
      </w:pPr>
      <w:r w:rsidRPr="00CF1787">
        <w:rPr>
          <w:rStyle w:val="FootnoteReference"/>
        </w:rPr>
        <w:footnoteRef/>
      </w:r>
      <w:r w:rsidRPr="00CF1787">
        <w:t xml:space="preserve"> </w:t>
      </w:r>
      <w:r w:rsidRPr="00CF1787">
        <w:tab/>
        <w:t xml:space="preserve">Los referidos anexos son los siguientes: </w:t>
      </w:r>
      <w:r w:rsidRPr="00CF1787">
        <w:rPr>
          <w:lang w:val="es-CR"/>
        </w:rPr>
        <w:t>(Anexo 3) Policía Nacional del Ecuador. Hoja de vida del señor Luis Jorge Valencia Hinojosa;</w:t>
      </w:r>
      <w:r w:rsidRPr="00CF1787">
        <w:t xml:space="preserve"> </w:t>
      </w:r>
      <w:r w:rsidRPr="00CF1787">
        <w:rPr>
          <w:lang w:val="es-CR"/>
        </w:rPr>
        <w:t>(Anexo 5) Corte Suprema de Justicia. Juicio No. 592-00 competencia ente el Presidente de la Corte Superior de Tulcán y la Primera Corte Distrital de la Policía Nacional. Expediente 385; (Anexo 7)</w:t>
      </w:r>
      <w:r w:rsidRPr="00CF1787">
        <w:t xml:space="preserve"> Reglamento Orgánico Funcional del Ministerio de Gobierno; </w:t>
      </w:r>
      <w:r w:rsidRPr="00CF1787">
        <w:rPr>
          <w:lang w:val="es-CR"/>
        </w:rPr>
        <w:t>(Anexo 9) Instituto de Seguridad Social de la Policía Nacional. Oficio No. I-OF-2016- IOO9-DG-ISSPOL de 9 de septiembre de 2016 y (Anexo 10) Instituto de Seguridad Social Policía Nacional. Oficio No. 2016-0543-DPR-RP-ISPOL de 7 septiembre de 2016</w:t>
      </w:r>
      <w:r w:rsidRPr="00CF1787">
        <w:t>, y (</w:t>
      </w:r>
      <w:r w:rsidRPr="00CF1787">
        <w:rPr>
          <w:lang w:val="es-CR"/>
        </w:rPr>
        <w:t>Anexos 12 a 18) Pronunciamientos jurisprudenciales y constitucionales sobre el fuero policial y los nuevos jueces especializados de lo militar y policial.</w:t>
      </w:r>
    </w:p>
  </w:footnote>
  <w:footnote w:id="29">
    <w:p w14:paraId="0A448B49" w14:textId="3A5A6149" w:rsidR="00935D08" w:rsidRPr="00CF1787" w:rsidRDefault="00935D08" w:rsidP="00CA1834">
      <w:pPr>
        <w:pStyle w:val="FootnoteText"/>
        <w:tabs>
          <w:tab w:val="clear" w:pos="567"/>
          <w:tab w:val="left" w:pos="426"/>
        </w:tabs>
        <w:rPr>
          <w:lang w:val="es-CR"/>
        </w:rPr>
      </w:pPr>
      <w:r w:rsidRPr="00CF1787">
        <w:rPr>
          <w:rStyle w:val="FootnoteReference"/>
        </w:rPr>
        <w:footnoteRef/>
      </w:r>
      <w:r w:rsidRPr="00CF1787">
        <w:t xml:space="preserve"> </w:t>
      </w:r>
      <w:r w:rsidRPr="00CF1787">
        <w:tab/>
        <w:t xml:space="preserve">El Estado además aportó: (Anexo 1) </w:t>
      </w:r>
      <w:r w:rsidRPr="00CF1787">
        <w:rPr>
          <w:lang w:val="es-CR"/>
        </w:rPr>
        <w:t>Oficio No. 015- CEDHU-93 dirigido al Presidente de la Corte Justicia Policial de 20 de enero de 1993; (Anexo 2) Escrito del CEDHU dirigido al Juez del Segundo Distrito de la Policía Nacional de 21 de enero de 1993; (Anexo 4) Cámara Nacional de Representantes. Reformas a la Constitución Política del Estado. Registro Oficial No. 569 de 1 de septiembre de 1983; (Anexo 6)</w:t>
      </w:r>
      <w:r w:rsidRPr="00CF1787">
        <w:t xml:space="preserve"> </w:t>
      </w:r>
      <w:r w:rsidRPr="00CF1787">
        <w:rPr>
          <w:lang w:val="es-CR"/>
        </w:rPr>
        <w:t xml:space="preserve">Reglamento de Régimen Interno de las Unidades Policiales; </w:t>
      </w:r>
      <w:r w:rsidRPr="00CF1787">
        <w:t xml:space="preserve">(Anexo 8) Constancia del Sistema </w:t>
      </w:r>
      <w:r w:rsidRPr="00CF1787">
        <w:rPr>
          <w:lang w:val="es-CR"/>
        </w:rPr>
        <w:t xml:space="preserve">Nacional de Información de la Educación Superior sobre Patricia Trujillo, y (Anexo 11) Certificado Médico de la </w:t>
      </w:r>
      <w:proofErr w:type="spellStart"/>
      <w:r w:rsidRPr="00CF1787">
        <w:rPr>
          <w:lang w:val="es-CR"/>
        </w:rPr>
        <w:t>Clinica</w:t>
      </w:r>
      <w:proofErr w:type="spellEnd"/>
      <w:r w:rsidRPr="00CF1787">
        <w:rPr>
          <w:lang w:val="es-CR"/>
        </w:rPr>
        <w:t xml:space="preserve"> Chimborazo de 3 de diciembre de 1992. </w:t>
      </w:r>
    </w:p>
  </w:footnote>
  <w:footnote w:id="30">
    <w:p w14:paraId="02A0258C" w14:textId="745CC2DC" w:rsidR="00935D08" w:rsidRPr="00CF1787" w:rsidRDefault="00935D08" w:rsidP="00CA1834">
      <w:pPr>
        <w:pStyle w:val="Footnotes"/>
        <w:tabs>
          <w:tab w:val="clear" w:pos="567"/>
          <w:tab w:val="left" w:pos="426"/>
        </w:tabs>
        <w:spacing w:before="120" w:after="120"/>
      </w:pPr>
      <w:r w:rsidRPr="00CF1787">
        <w:rPr>
          <w:rStyle w:val="FootnoteReference"/>
        </w:rPr>
        <w:footnoteRef/>
      </w:r>
      <w:r w:rsidRPr="00CF1787">
        <w:t xml:space="preserve"> </w:t>
      </w:r>
      <w:r w:rsidRPr="00CF1787">
        <w:tab/>
      </w:r>
      <w:r w:rsidRPr="00CF1787">
        <w:rPr>
          <w:i/>
        </w:rPr>
        <w:t>Cfr. Caso de la “Panel Blanca” (Paniagua Morales y otros) Vs. Guatemala. Fondo.</w:t>
      </w:r>
      <w:r w:rsidRPr="00CF1787">
        <w:t xml:space="preserve"> Sentencia de 8 de marzo de 1998. Serie C No 37, párr. 69 al 76, y </w:t>
      </w:r>
      <w:r w:rsidRPr="00CF1787">
        <w:rPr>
          <w:rStyle w:val="Strong"/>
          <w:b w:val="0"/>
          <w:i/>
          <w:shd w:val="clear" w:color="auto" w:fill="FFFFFF"/>
          <w:lang w:val="es-CR"/>
        </w:rPr>
        <w:t>Caso Pollo Rivera y otros Vs. Perú, supra</w:t>
      </w:r>
      <w:r w:rsidRPr="00CF1787">
        <w:rPr>
          <w:rStyle w:val="Strong"/>
          <w:b w:val="0"/>
          <w:shd w:val="clear" w:color="auto" w:fill="FFFFFF"/>
          <w:lang w:val="es-CR"/>
        </w:rPr>
        <w:t xml:space="preserve">, </w:t>
      </w:r>
      <w:proofErr w:type="spellStart"/>
      <w:r w:rsidRPr="00CF1787">
        <w:rPr>
          <w:rStyle w:val="Strong"/>
          <w:b w:val="0"/>
          <w:shd w:val="clear" w:color="auto" w:fill="FFFFFF"/>
        </w:rPr>
        <w:t>párr</w:t>
      </w:r>
      <w:proofErr w:type="spellEnd"/>
      <w:r w:rsidRPr="00CF1787">
        <w:rPr>
          <w:rStyle w:val="Strong"/>
          <w:b w:val="0"/>
          <w:shd w:val="clear" w:color="auto" w:fill="FFFFFF"/>
        </w:rPr>
        <w:t xml:space="preserve"> 21.</w:t>
      </w:r>
    </w:p>
  </w:footnote>
  <w:footnote w:id="31">
    <w:p w14:paraId="54CD1DE9" w14:textId="0D096612" w:rsidR="00935D08" w:rsidRPr="00CF1787" w:rsidRDefault="00935D08" w:rsidP="00CA1834">
      <w:pPr>
        <w:pStyle w:val="Footnotes"/>
        <w:tabs>
          <w:tab w:val="clear" w:pos="567"/>
          <w:tab w:val="left" w:pos="426"/>
        </w:tabs>
        <w:spacing w:before="120" w:after="120"/>
      </w:pPr>
      <w:r w:rsidRPr="00CF1787">
        <w:rPr>
          <w:rStyle w:val="FootnoteReference"/>
        </w:rPr>
        <w:footnoteRef/>
      </w:r>
      <w:r w:rsidRPr="00CF1787">
        <w:t xml:space="preserve"> </w:t>
      </w:r>
      <w:r w:rsidRPr="00CF1787">
        <w:tab/>
      </w:r>
      <w:r w:rsidRPr="00CF1787">
        <w:rPr>
          <w:i/>
        </w:rPr>
        <w:t>Cfr. Caso de la “Panel Blanca” (Paniagua Morales y otros) Vs. Guatemala. Fondo, supra</w:t>
      </w:r>
      <w:r w:rsidRPr="00CF1787">
        <w:t xml:space="preserve">, párr. 69 al 76, </w:t>
      </w:r>
      <w:r w:rsidRPr="00CF1787">
        <w:rPr>
          <w:rStyle w:val="Strong"/>
          <w:b w:val="0"/>
          <w:shd w:val="clear" w:color="auto" w:fill="FFFFFF"/>
          <w:lang w:val="es-CR"/>
        </w:rPr>
        <w:t xml:space="preserve">y </w:t>
      </w:r>
      <w:r w:rsidRPr="00CF1787">
        <w:rPr>
          <w:rStyle w:val="Strong"/>
          <w:b w:val="0"/>
          <w:i/>
          <w:shd w:val="clear" w:color="auto" w:fill="FFFFFF"/>
          <w:lang w:val="es-CR"/>
        </w:rPr>
        <w:t>Caso Pollo Rivera y otros Vs. Perú, supra</w:t>
      </w:r>
      <w:r w:rsidRPr="00CF1787">
        <w:rPr>
          <w:rStyle w:val="Strong"/>
          <w:b w:val="0"/>
          <w:shd w:val="clear" w:color="auto" w:fill="FFFFFF"/>
          <w:lang w:val="es-CR"/>
        </w:rPr>
        <w:t xml:space="preserve">, </w:t>
      </w:r>
      <w:proofErr w:type="spellStart"/>
      <w:r w:rsidRPr="00CF1787">
        <w:rPr>
          <w:rStyle w:val="Strong"/>
          <w:b w:val="0"/>
          <w:shd w:val="clear" w:color="auto" w:fill="FFFFFF"/>
        </w:rPr>
        <w:t>párr</w:t>
      </w:r>
      <w:proofErr w:type="spellEnd"/>
      <w:r w:rsidRPr="00CF1787">
        <w:rPr>
          <w:rStyle w:val="Strong"/>
          <w:b w:val="0"/>
          <w:shd w:val="clear" w:color="auto" w:fill="FFFFFF"/>
        </w:rPr>
        <w:t xml:space="preserve"> 21.</w:t>
      </w:r>
    </w:p>
  </w:footnote>
  <w:footnote w:id="32">
    <w:p w14:paraId="5C015A5F" w14:textId="642C0F16" w:rsidR="00935D08" w:rsidRPr="00CF1787" w:rsidRDefault="00935D08" w:rsidP="00CA1834">
      <w:pPr>
        <w:pStyle w:val="Footnotes"/>
        <w:tabs>
          <w:tab w:val="clear" w:pos="567"/>
          <w:tab w:val="left" w:pos="426"/>
        </w:tabs>
        <w:spacing w:before="120" w:after="120"/>
      </w:pPr>
      <w:r w:rsidRPr="00CF1787">
        <w:rPr>
          <w:rStyle w:val="FootnoteReference"/>
        </w:rPr>
        <w:footnoteRef/>
      </w:r>
      <w:r w:rsidRPr="00CF1787">
        <w:t xml:space="preserve"> </w:t>
      </w:r>
      <w:r w:rsidRPr="00CF1787">
        <w:tab/>
      </w:r>
      <w:r w:rsidRPr="00CF1787">
        <w:rPr>
          <w:i/>
        </w:rPr>
        <w:t>Cfr. Caso Loayza Tamayo Vs. Perú. Fondo.</w:t>
      </w:r>
      <w:r w:rsidRPr="00CF1787">
        <w:t xml:space="preserve"> Sentencia de 17 de septiembre de 1997. Serie C No 33, párr. 43, y </w:t>
      </w:r>
      <w:r w:rsidRPr="00CF1787">
        <w:rPr>
          <w:rStyle w:val="Strong"/>
          <w:b w:val="0"/>
          <w:i/>
          <w:shd w:val="clear" w:color="auto" w:fill="FFFFFF"/>
          <w:lang w:val="es-CR"/>
        </w:rPr>
        <w:t>Caso Pollo Rivera y otros Vs. Perú, supra</w:t>
      </w:r>
      <w:r w:rsidRPr="00CF1787">
        <w:rPr>
          <w:rStyle w:val="Strong"/>
          <w:b w:val="0"/>
          <w:shd w:val="clear" w:color="auto" w:fill="FFFFFF"/>
          <w:lang w:val="es-CR"/>
        </w:rPr>
        <w:t xml:space="preserve">, </w:t>
      </w:r>
      <w:proofErr w:type="spellStart"/>
      <w:r w:rsidRPr="00CF1787">
        <w:rPr>
          <w:rStyle w:val="Strong"/>
          <w:b w:val="0"/>
          <w:shd w:val="clear" w:color="auto" w:fill="FFFFFF"/>
        </w:rPr>
        <w:t>párr</w:t>
      </w:r>
      <w:proofErr w:type="spellEnd"/>
      <w:r w:rsidRPr="00CF1787">
        <w:rPr>
          <w:rStyle w:val="Strong"/>
          <w:b w:val="0"/>
          <w:shd w:val="clear" w:color="auto" w:fill="FFFFFF"/>
        </w:rPr>
        <w:t xml:space="preserve"> 21.</w:t>
      </w:r>
    </w:p>
  </w:footnote>
  <w:footnote w:id="33">
    <w:p w14:paraId="3AF4E07A" w14:textId="77777777" w:rsidR="00935D08" w:rsidRPr="00CF1787" w:rsidRDefault="00935D08" w:rsidP="00CA1834">
      <w:pPr>
        <w:pStyle w:val="FootnoteText"/>
        <w:tabs>
          <w:tab w:val="left" w:pos="426"/>
        </w:tabs>
        <w:spacing w:before="120" w:after="120"/>
        <w:rPr>
          <w:lang w:val="es-CL"/>
        </w:rPr>
      </w:pPr>
      <w:r w:rsidRPr="00CF1787">
        <w:rPr>
          <w:rStyle w:val="FootnoteReference"/>
          <w:rFonts w:eastAsia="MS Mincho"/>
        </w:rPr>
        <w:footnoteRef/>
      </w:r>
      <w:r w:rsidRPr="00CF1787">
        <w:rPr>
          <w:i/>
          <w:lang w:val="es-CL"/>
        </w:rPr>
        <w:t xml:space="preserve"> </w:t>
      </w:r>
      <w:r w:rsidRPr="00CF1787">
        <w:rPr>
          <w:i/>
          <w:lang w:val="es-CL"/>
        </w:rPr>
        <w:tab/>
        <w:t xml:space="preserve">Cfr. </w:t>
      </w:r>
      <w:r w:rsidRPr="00CF1787">
        <w:rPr>
          <w:lang w:val="es-CL"/>
        </w:rPr>
        <w:t xml:space="preserve">Oficio del Comandante de la Policía de Chimborazo de 11 de diciembre de 1992 (expediente de prueba, folio 7); </w:t>
      </w:r>
      <w:r w:rsidRPr="00CF1787">
        <w:t xml:space="preserve">Acuerdo Ministerial No.2079 de 10 de noviembre de 2003 </w:t>
      </w:r>
      <w:r w:rsidRPr="00CF1787">
        <w:rPr>
          <w:lang w:val="es-CL"/>
        </w:rPr>
        <w:t>(expediente de prueba, folio 2694), y Hoja de Vida de la Policía Nacional del Ecuador, del Señor Jorge Luis Valencia Hinojosa (expediente de prueba, folio 7763).</w:t>
      </w:r>
    </w:p>
  </w:footnote>
  <w:footnote w:id="34">
    <w:p w14:paraId="5F548CB9" w14:textId="34871159" w:rsidR="00935D08" w:rsidRPr="00CF1787" w:rsidRDefault="00935D08" w:rsidP="00CA1834">
      <w:pPr>
        <w:pStyle w:val="FootnoteText"/>
        <w:tabs>
          <w:tab w:val="left" w:pos="426"/>
        </w:tabs>
        <w:spacing w:before="120" w:after="120"/>
        <w:rPr>
          <w:b/>
          <w:color w:val="00B050"/>
          <w:lang w:val="es-MX"/>
        </w:rPr>
      </w:pPr>
      <w:r w:rsidRPr="00CF1787">
        <w:rPr>
          <w:rStyle w:val="FootnoteReference"/>
        </w:rPr>
        <w:footnoteRef/>
      </w:r>
      <w:r w:rsidRPr="00CF1787">
        <w:t xml:space="preserve"> </w:t>
      </w:r>
      <w:r w:rsidRPr="00CF1787">
        <w:tab/>
      </w:r>
      <w:r w:rsidRPr="00CF1787">
        <w:rPr>
          <w:lang w:val="es-MX"/>
        </w:rPr>
        <w:t xml:space="preserve">No hay claridad sobre la edad exacta que tenía el señor Valencia Hinojosa al momento de su muerte. En el protocolo de autopsia el perito médico que examinó el cuerpo del señor Valencia afirmó que “se </w:t>
      </w:r>
      <w:proofErr w:type="gramStart"/>
      <w:r w:rsidRPr="00CF1787">
        <w:rPr>
          <w:lang w:val="es-MX"/>
        </w:rPr>
        <w:t>trata[</w:t>
      </w:r>
      <w:proofErr w:type="spellStart"/>
      <w:proofErr w:type="gramEnd"/>
      <w:r w:rsidRPr="00CF1787">
        <w:rPr>
          <w:lang w:val="es-MX"/>
        </w:rPr>
        <w:t>ba</w:t>
      </w:r>
      <w:proofErr w:type="spellEnd"/>
      <w:r w:rsidRPr="00CF1787">
        <w:rPr>
          <w:lang w:val="es-MX"/>
        </w:rPr>
        <w:t xml:space="preserve">] de un cadáver […] de unos 30 años de edad”, lo que coincide con la hoja de vida de la Policía Nacional del señor Valencia </w:t>
      </w:r>
      <w:proofErr w:type="spellStart"/>
      <w:r w:rsidRPr="00CF1787">
        <w:rPr>
          <w:lang w:val="es-MX"/>
        </w:rPr>
        <w:t>Hinjosa</w:t>
      </w:r>
      <w:proofErr w:type="spellEnd"/>
      <w:r w:rsidRPr="00CF1787">
        <w:rPr>
          <w:lang w:val="es-MX"/>
        </w:rPr>
        <w:t xml:space="preserve"> según la cual su fecha de nacimiento era el 17 de septiembre de 1962. Sin embargo, la Primera Corte Distrital de la Policía Nacional señala que al momento de su muerte, el señor Valencia tenía “32 años de edad aproximadamente”, mientras que su viuda declaró en la audiencia pública de este caso que el señor Valencia tenía 33 años al momento de su muerte. </w:t>
      </w:r>
      <w:r w:rsidRPr="00CF1787">
        <w:rPr>
          <w:i/>
          <w:lang w:val="es-CL"/>
        </w:rPr>
        <w:t xml:space="preserve">Cfr. </w:t>
      </w:r>
      <w:r w:rsidRPr="00CF1787">
        <w:rPr>
          <w:lang w:val="es-ES"/>
        </w:rPr>
        <w:t xml:space="preserve">Protocolo de Autopsia emitido por el Médico de la Policía Nacional de 4 de diciembre de 1992 </w:t>
      </w:r>
      <w:r w:rsidRPr="00CF1787">
        <w:rPr>
          <w:lang w:val="es-CL"/>
        </w:rPr>
        <w:t xml:space="preserve">(expediente de prueba, folio 101); Hoja de vida de la Policía Nacional del Ecuador del señor Luis Jorge Valencia Hinojosa (expediente de prueba, folio 7762); </w:t>
      </w:r>
      <w:r w:rsidRPr="00CF1787">
        <w:rPr>
          <w:lang w:val="es-MX"/>
        </w:rPr>
        <w:t xml:space="preserve">Sentencia de segunda instancia proferida por la Primera Corte Distrital de la Policía Nacional de 5 de marzo de 1997 </w:t>
      </w:r>
      <w:r w:rsidRPr="00CF1787">
        <w:rPr>
          <w:lang w:val="es-CL"/>
        </w:rPr>
        <w:t xml:space="preserve">(expediente de prueba, folio 11), y Declaración de la señora Patricia Trujillo Esparza en la audiencia pública celebrada en este caso. </w:t>
      </w:r>
    </w:p>
  </w:footnote>
  <w:footnote w:id="35">
    <w:p w14:paraId="49A77E55" w14:textId="77777777" w:rsidR="00935D08" w:rsidRPr="00CF1787" w:rsidRDefault="00935D08" w:rsidP="00CA1834">
      <w:pPr>
        <w:pStyle w:val="FootnoteText"/>
        <w:tabs>
          <w:tab w:val="left" w:pos="426"/>
        </w:tabs>
        <w:spacing w:before="120" w:after="120"/>
        <w:rPr>
          <w:b/>
          <w:lang w:val="es-CL"/>
        </w:rPr>
      </w:pPr>
      <w:r w:rsidRPr="00CF1787">
        <w:rPr>
          <w:rStyle w:val="FootnoteReference"/>
        </w:rPr>
        <w:footnoteRef/>
      </w:r>
      <w:r w:rsidRPr="00CF1787">
        <w:t xml:space="preserve"> </w:t>
      </w:r>
      <w:r w:rsidRPr="00CF1787">
        <w:tab/>
      </w:r>
      <w:r w:rsidRPr="00CF1787">
        <w:rPr>
          <w:i/>
        </w:rPr>
        <w:t>Cfr.</w:t>
      </w:r>
      <w:r w:rsidRPr="00CF1787">
        <w:t xml:space="preserve"> Acuerdo Ministerial No. 2079 de 10 de noviembre de 1993. Ministerio de Gobierno (expediente de prueba, folio 2694).</w:t>
      </w:r>
    </w:p>
  </w:footnote>
  <w:footnote w:id="36">
    <w:p w14:paraId="39A656A6" w14:textId="77777777" w:rsidR="00935D08" w:rsidRPr="00CF1787" w:rsidRDefault="00935D08" w:rsidP="00CA1834">
      <w:pPr>
        <w:pStyle w:val="FootnoteText"/>
        <w:tabs>
          <w:tab w:val="left" w:pos="426"/>
        </w:tabs>
        <w:spacing w:before="120" w:after="120"/>
        <w:rPr>
          <w:b/>
          <w:lang w:val="es-CL"/>
        </w:rPr>
      </w:pPr>
      <w:r w:rsidRPr="00CF1787">
        <w:rPr>
          <w:rStyle w:val="FootnoteReference"/>
        </w:rPr>
        <w:footnoteRef/>
      </w:r>
      <w:r w:rsidRPr="00CF1787">
        <w:t xml:space="preserve"> </w:t>
      </w:r>
      <w:r w:rsidRPr="00CF1787">
        <w:tab/>
      </w:r>
      <w:r w:rsidRPr="00CF1787">
        <w:rPr>
          <w:i/>
          <w:lang w:val="es-CL"/>
        </w:rPr>
        <w:t xml:space="preserve">Cfr. </w:t>
      </w:r>
      <w:r w:rsidRPr="00CF1787">
        <w:rPr>
          <w:lang w:val="es-CL"/>
        </w:rPr>
        <w:t>Oficio del Comandante de la Policía de Chimborazo de 11 de diciembre de 1992 (expediente de prueba, folio 7).</w:t>
      </w:r>
    </w:p>
  </w:footnote>
  <w:footnote w:id="37">
    <w:p w14:paraId="3D56FAFE" w14:textId="77777777" w:rsidR="00935D08" w:rsidRPr="00CF1787" w:rsidRDefault="00935D08" w:rsidP="00CA1834">
      <w:pPr>
        <w:pStyle w:val="FootnoteText"/>
        <w:tabs>
          <w:tab w:val="left" w:pos="426"/>
        </w:tabs>
        <w:spacing w:before="120" w:after="120"/>
        <w:rPr>
          <w:rFonts w:cs="Arial"/>
          <w:lang w:val="es-CL"/>
        </w:rPr>
      </w:pPr>
      <w:r w:rsidRPr="00CF1787">
        <w:rPr>
          <w:rStyle w:val="FootnoteReference"/>
        </w:rPr>
        <w:footnoteRef/>
      </w:r>
      <w:r w:rsidRPr="00CF1787">
        <w:t xml:space="preserve"> </w:t>
      </w:r>
      <w:r w:rsidRPr="00CF1787">
        <w:rPr>
          <w:lang w:val="es-CL"/>
        </w:rPr>
        <w:tab/>
      </w:r>
      <w:r w:rsidRPr="00CF1787">
        <w:rPr>
          <w:i/>
          <w:lang w:val="es-CL"/>
        </w:rPr>
        <w:t xml:space="preserve">Cfr. </w:t>
      </w:r>
      <w:r w:rsidRPr="00CF1787">
        <w:rPr>
          <w:lang w:val="es-CL"/>
        </w:rPr>
        <w:t xml:space="preserve">Resumen de declaración de la dueña del salón donde se encontraban inicialmente en el </w:t>
      </w:r>
      <w:r w:rsidRPr="00CF1787">
        <w:rPr>
          <w:lang w:val="es-ES"/>
        </w:rPr>
        <w:t xml:space="preserve">Informe Policial No. 1887-OID-CH de la Dirección Nacional de Investigaciones de la Policía Nacional del Ecuador de 17 de diciembre de 1992 </w:t>
      </w:r>
      <w:r w:rsidRPr="00CF1787">
        <w:rPr>
          <w:lang w:val="es-CL"/>
        </w:rPr>
        <w:t xml:space="preserve">(expediente de prueba, folio 30), e </w:t>
      </w:r>
      <w:r w:rsidRPr="00CF1787">
        <w:rPr>
          <w:lang w:val="es-ES"/>
        </w:rPr>
        <w:t xml:space="preserve">Informe Policial No. 1887-OID-CH de la Dirección Nacional de Investigaciones de la Policía Nacional del Ecuador de 17 de diciembre de 1992 </w:t>
      </w:r>
      <w:r w:rsidRPr="00CF1787">
        <w:rPr>
          <w:lang w:val="es-CL"/>
        </w:rPr>
        <w:t>(expediente de prueba, folio 33).</w:t>
      </w:r>
    </w:p>
  </w:footnote>
  <w:footnote w:id="38">
    <w:p w14:paraId="4CE7B033"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lang w:val="es-CL"/>
        </w:rPr>
        <w:t xml:space="preserve">Cfr. </w:t>
      </w:r>
      <w:r w:rsidRPr="00CF1787">
        <w:rPr>
          <w:lang w:val="es-ES"/>
        </w:rPr>
        <w:t xml:space="preserve">Informe Policial No. 1887-OID-CH de la Dirección Nacional de Investigaciones de la Policía Nacional del Ecuador de 17 de diciembre de 1992 </w:t>
      </w:r>
      <w:r w:rsidRPr="00CF1787">
        <w:rPr>
          <w:lang w:val="es-CL"/>
        </w:rPr>
        <w:t>(expediente de prueba, folio 33), y ampliación de declaración testimonial de un teniente (expediente de prueba, folio 49).</w:t>
      </w:r>
    </w:p>
  </w:footnote>
  <w:footnote w:id="39">
    <w:p w14:paraId="6F5F6AC4" w14:textId="1B527315"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lang w:val="es-CL"/>
        </w:rPr>
        <w:t>Cfr.</w:t>
      </w:r>
      <w:r w:rsidRPr="00CF1787">
        <w:rPr>
          <w:lang w:val="es-CL"/>
        </w:rPr>
        <w:t xml:space="preserve"> Ampliación de la declaración </w:t>
      </w:r>
      <w:r w:rsidRPr="00CF1787">
        <w:t>indagatoria de un teniente de 20 de diciembre de 1993</w:t>
      </w:r>
      <w:r w:rsidRPr="00CF1787">
        <w:rPr>
          <w:lang w:val="es-CL"/>
        </w:rPr>
        <w:t xml:space="preserve"> (expediente de prueba, folio 49), e Informe Policial No. 1887-OID-CH de la Dirección Nacional de Investigaciones de la Policía Nacional del Ecuador de 17 de diciembre de 1992 (expediente de prueba, folio 33).</w:t>
      </w:r>
    </w:p>
  </w:footnote>
  <w:footnote w:id="40">
    <w:p w14:paraId="3A8FE407" w14:textId="4515A640"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lang w:val="es-CL"/>
        </w:rPr>
        <w:t xml:space="preserve">Cfr. </w:t>
      </w:r>
      <w:r w:rsidRPr="00CF1787">
        <w:rPr>
          <w:lang w:val="es-CL"/>
        </w:rPr>
        <w:t xml:space="preserve">Ampliación de la declaración </w:t>
      </w:r>
      <w:r w:rsidRPr="00CF1787">
        <w:t>indagatoria de un teniente de 20 de diciembre de 1993</w:t>
      </w:r>
      <w:r w:rsidRPr="00CF1787">
        <w:rPr>
          <w:lang w:val="es-CL"/>
        </w:rPr>
        <w:t xml:space="preserve"> (expediente de prueba, folio 49), e Informe Policial No. 1887-OID-CH de la Dirección Nacional de Investigaciones de la Policía Nacional del Ecuador de 17 de diciembre de 1992 (expediente de prueba, folio 33).</w:t>
      </w:r>
    </w:p>
  </w:footnote>
  <w:footnote w:id="41">
    <w:p w14:paraId="3D2BC014" w14:textId="6A97B2E0"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lang w:val="es-CL"/>
        </w:rPr>
        <w:t>Cfr.</w:t>
      </w:r>
      <w:r w:rsidRPr="00CF1787">
        <w:t xml:space="preserve"> </w:t>
      </w:r>
      <w:r w:rsidRPr="00CF1787">
        <w:rPr>
          <w:lang w:val="es-CL"/>
        </w:rPr>
        <w:t xml:space="preserve">Ampliación de la declaración </w:t>
      </w:r>
      <w:r w:rsidRPr="00CF1787">
        <w:t>indagatoria de un teniente de 20 de diciembre de 1993</w:t>
      </w:r>
      <w:r w:rsidRPr="00CF1787">
        <w:rPr>
          <w:lang w:val="es-CL"/>
        </w:rPr>
        <w:t xml:space="preserve"> (expediente de prueba, folio 49); </w:t>
      </w:r>
      <w:r w:rsidRPr="00CF1787">
        <w:rPr>
          <w:lang w:val="es-ES"/>
        </w:rPr>
        <w:t>parte Informativo emitido por un subteniente de 3 de diciembre de 1992 (expediente de prueba, folio 76),</w:t>
      </w:r>
      <w:r w:rsidRPr="00CF1787">
        <w:rPr>
          <w:lang w:val="es-CL"/>
        </w:rPr>
        <w:t xml:space="preserve"> </w:t>
      </w:r>
      <w:proofErr w:type="spellStart"/>
      <w:r w:rsidRPr="00CF1787">
        <w:rPr>
          <w:lang w:val="es-CL"/>
        </w:rPr>
        <w:t>e</w:t>
      </w:r>
      <w:proofErr w:type="spellEnd"/>
      <w:r w:rsidRPr="00CF1787">
        <w:rPr>
          <w:lang w:val="es-CL"/>
        </w:rPr>
        <w:t xml:space="preserve"> Informe Policial No. 1887-OID-CH de la Dirección Nacional de Investigaciones de la Policía Nacional del Ecuador de 17 de diciembre de 1992 (expediente de prueba, folio 33).</w:t>
      </w:r>
    </w:p>
  </w:footnote>
  <w:footnote w:id="42">
    <w:p w14:paraId="52748972"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Cfr</w:t>
      </w:r>
      <w:r w:rsidRPr="00CF1787">
        <w:t xml:space="preserve">. </w:t>
      </w:r>
      <w:r w:rsidRPr="00CF1787">
        <w:rPr>
          <w:lang w:val="es-ES"/>
        </w:rPr>
        <w:t xml:space="preserve">Declaración testimonial de un Teniente Coronel de Policía de 31 de agosto de 1993 (expediente de prueba, folio 289), </w:t>
      </w:r>
      <w:proofErr w:type="spellStart"/>
      <w:r w:rsidRPr="00CF1787">
        <w:rPr>
          <w:lang w:val="es-CL"/>
        </w:rPr>
        <w:t>e</w:t>
      </w:r>
      <w:proofErr w:type="spellEnd"/>
      <w:r w:rsidRPr="00CF1787">
        <w:rPr>
          <w:lang w:val="es-CL"/>
        </w:rPr>
        <w:t xml:space="preserve"> Informe Policial No. 1887-OID-CH de la Dirección Nacional de Investigaciones de la Policía Nacional del Ecuador de 17 de diciembre de 1992 (expediente de prueba, folio 34).</w:t>
      </w:r>
    </w:p>
  </w:footnote>
  <w:footnote w:id="43">
    <w:p w14:paraId="5BC9AD82" w14:textId="0725A933"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Cfr</w:t>
      </w:r>
      <w:r w:rsidRPr="00CF1787">
        <w:t xml:space="preserve">. </w:t>
      </w:r>
      <w:r w:rsidRPr="00CF1787">
        <w:rPr>
          <w:lang w:val="es-CL"/>
        </w:rPr>
        <w:t xml:space="preserve">Informe Policial No. 1887-OID-CH de la Dirección Nacional de Investigaciones de la Policía Nacional del Ecuador de 17 de diciembre de 1992 (expediente de prueba, folio 34); declaración instructiva de Patricia Trujillo Esparza de 18 de agosto de 1993 ante el Juez del Segundo Distrito de la Policía Nacional (expediente de prueba, folios 23 y 24); </w:t>
      </w:r>
      <w:r w:rsidRPr="00CF1787">
        <w:t>declaración indagatoria de 31 de agosto de 1993 ante el Juez de Segundo Distrito de la Policía Nacional (expediente de prueba, folios 2089 y 2090); ampliación de la declaración indagatoria de 20 de diciembre de 1993, ante el Juez de Segundo Distrito de la Policía Nacional (expediente de prueba, folio 41), y declaración testimonial de 15 de diciembre de 1992 ante el Juez de Segundo Distrito de la Policía Nacional (expediente de prueba, folio 2003).</w:t>
      </w:r>
    </w:p>
  </w:footnote>
  <w:footnote w:id="44">
    <w:p w14:paraId="63123EEC" w14:textId="74B88794"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lang w:val="es-CL"/>
        </w:rPr>
        <w:t>Informe Policial No. 1887-OID-CH de la Dirección Nacional de Investigaciones de la Policía Nacional del Ecuador de 17 de diciembre de 1992 (expediente de prueba, folio 34).</w:t>
      </w:r>
    </w:p>
  </w:footnote>
  <w:footnote w:id="45">
    <w:p w14:paraId="4E04D6C0"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Cfr</w:t>
      </w:r>
      <w:r w:rsidRPr="00CF1787">
        <w:t xml:space="preserve">. </w:t>
      </w:r>
      <w:r w:rsidRPr="00CF1787">
        <w:rPr>
          <w:lang w:val="es-CL"/>
        </w:rPr>
        <w:t>Informe Policial No. 1887-OID-CH de la Dirección Nacional de Investigaciones de la Policía Nacional del Ecuador de 17 de diciembre de 1992 (expediente de prueba, folio 34).</w:t>
      </w:r>
    </w:p>
  </w:footnote>
  <w:footnote w:id="46">
    <w:p w14:paraId="2AAF569F" w14:textId="77777777" w:rsidR="00935D08" w:rsidRPr="00CF1787" w:rsidRDefault="00935D08" w:rsidP="00CA1834">
      <w:pPr>
        <w:pStyle w:val="FootnoteText"/>
        <w:tabs>
          <w:tab w:val="left" w:pos="426"/>
        </w:tabs>
        <w:spacing w:before="120" w:after="120"/>
        <w:rPr>
          <w:color w:val="FF0000"/>
        </w:rPr>
      </w:pPr>
      <w:r w:rsidRPr="00CF1787">
        <w:rPr>
          <w:rStyle w:val="FootnoteReference"/>
        </w:rPr>
        <w:footnoteRef/>
      </w:r>
      <w:r w:rsidRPr="00CF1787">
        <w:t xml:space="preserve"> </w:t>
      </w:r>
      <w:r w:rsidRPr="00CF1787">
        <w:tab/>
      </w:r>
      <w:r w:rsidRPr="00CF1787">
        <w:rPr>
          <w:i/>
        </w:rPr>
        <w:t xml:space="preserve">Cfr. </w:t>
      </w:r>
      <w:r w:rsidRPr="00CF1787">
        <w:t>Informe del</w:t>
      </w:r>
      <w:r w:rsidRPr="00CF1787">
        <w:rPr>
          <w:i/>
        </w:rPr>
        <w:t xml:space="preserve"> </w:t>
      </w:r>
      <w:r w:rsidRPr="00CF1787">
        <w:t xml:space="preserve">Laboratorio central y peritajes de 3 de junio de 1994 </w:t>
      </w:r>
      <w:r w:rsidRPr="00CF1787">
        <w:rPr>
          <w:rFonts w:eastAsiaTheme="minorHAnsi" w:cs="Arial"/>
          <w:lang w:val="es-CR" w:eastAsia="en-US"/>
        </w:rPr>
        <w:t xml:space="preserve">(expediente de prueba, folios 209 a 211).  Dicho informe fue posteriormente rectificado para corregir que el orificio de entrada del disparo se encuentra en el hueso temporal derecho del cráneo. </w:t>
      </w:r>
      <w:r w:rsidRPr="00CF1787">
        <w:rPr>
          <w:rFonts w:eastAsiaTheme="minorHAnsi" w:cs="Arial"/>
          <w:i/>
          <w:lang w:val="es-CR" w:eastAsia="en-US"/>
        </w:rPr>
        <w:t xml:space="preserve">Cfr. </w:t>
      </w:r>
      <w:r w:rsidRPr="00CF1787">
        <w:rPr>
          <w:rFonts w:eastAsiaTheme="minorHAnsi" w:cs="Arial"/>
          <w:lang w:val="es-CR" w:eastAsia="en-US"/>
        </w:rPr>
        <w:t>Oficio del Laboratorio Central y Peritajes de 18 de julio de 1994 (expediente de prueba, folio 215).</w:t>
      </w:r>
    </w:p>
  </w:footnote>
  <w:footnote w:id="47">
    <w:p w14:paraId="239AE78F" w14:textId="6636245C" w:rsidR="00935D08" w:rsidRPr="00CF1787" w:rsidRDefault="00935D08" w:rsidP="00CA1834">
      <w:pPr>
        <w:pStyle w:val="FootnoteText"/>
        <w:tabs>
          <w:tab w:val="left" w:pos="426"/>
        </w:tabs>
        <w:spacing w:before="120" w:after="120"/>
        <w:rPr>
          <w:color w:val="FF0000"/>
        </w:rPr>
      </w:pPr>
      <w:r w:rsidRPr="00CF1787">
        <w:rPr>
          <w:rStyle w:val="FootnoteReference"/>
        </w:rPr>
        <w:footnoteRef/>
      </w:r>
      <w:r w:rsidRPr="00CF1787">
        <w:t xml:space="preserve"> </w:t>
      </w:r>
      <w:r w:rsidRPr="00CF1787">
        <w:tab/>
      </w:r>
      <w:r w:rsidRPr="00CF1787">
        <w:rPr>
          <w:rFonts w:cs="Arial"/>
          <w:bCs/>
          <w:lang w:eastAsia="en-US"/>
        </w:rPr>
        <w:t>Informe de autopsia de</w:t>
      </w:r>
      <w:r w:rsidRPr="00CF1787">
        <w:t xml:space="preserve"> 7 de diciembre de 1992 (expediente de prueba, folio 1942).</w:t>
      </w:r>
    </w:p>
  </w:footnote>
  <w:footnote w:id="48">
    <w:p w14:paraId="08B20B9B" w14:textId="77777777" w:rsidR="00935D08" w:rsidRPr="00CF1787" w:rsidRDefault="00935D08" w:rsidP="00CA1834">
      <w:pPr>
        <w:pStyle w:val="FootnoteText"/>
        <w:tabs>
          <w:tab w:val="left" w:pos="426"/>
        </w:tabs>
        <w:spacing w:before="120" w:after="120"/>
        <w:rPr>
          <w:lang w:val="es-CR"/>
        </w:rPr>
      </w:pPr>
      <w:r w:rsidRPr="00CF1787">
        <w:rPr>
          <w:rStyle w:val="FootnoteReference"/>
        </w:rPr>
        <w:footnoteRef/>
      </w:r>
      <w:r w:rsidRPr="00CF1787">
        <w:t xml:space="preserve"> </w:t>
      </w:r>
      <w:r w:rsidRPr="00CF1787">
        <w:tab/>
      </w:r>
      <w:r w:rsidRPr="00CF1787">
        <w:rPr>
          <w:i/>
        </w:rPr>
        <w:t>Cfr</w:t>
      </w:r>
      <w:r w:rsidRPr="00CF1787">
        <w:t xml:space="preserve">. </w:t>
      </w:r>
      <w:r w:rsidRPr="00CF1787">
        <w:rPr>
          <w:rFonts w:cs="Arial"/>
          <w:bCs/>
          <w:lang w:eastAsia="en-US"/>
        </w:rPr>
        <w:t>Diligencia de reconocimiento, identificación y autopsia</w:t>
      </w:r>
      <w:r w:rsidRPr="00CF1787">
        <w:t xml:space="preserve"> de 4 de diciembre de 1992 (expediente de prueba, folios 105 y 106).</w:t>
      </w:r>
    </w:p>
  </w:footnote>
  <w:footnote w:id="49">
    <w:p w14:paraId="3173E4B1" w14:textId="461DD755"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t xml:space="preserve">Declaración ampliatoria de 28 de marzo de 1994 ante el Juez del Segundo Distrito de la Policía Nacional (expediente de prueba, folios 199 y 200). </w:t>
      </w:r>
    </w:p>
  </w:footnote>
  <w:footnote w:id="50">
    <w:p w14:paraId="46193AA9" w14:textId="77777777" w:rsidR="00935D08" w:rsidRPr="00CF1787" w:rsidRDefault="00935D08" w:rsidP="00CA1834">
      <w:pPr>
        <w:pStyle w:val="FootnoteText"/>
        <w:tabs>
          <w:tab w:val="left" w:pos="426"/>
        </w:tabs>
        <w:spacing w:before="120" w:after="120"/>
        <w:rPr>
          <w:lang w:val="es-CR"/>
        </w:rPr>
      </w:pPr>
      <w:r w:rsidRPr="00CF1787">
        <w:rPr>
          <w:rStyle w:val="FootnoteReference"/>
        </w:rPr>
        <w:footnoteRef/>
      </w:r>
      <w:r w:rsidRPr="00CF1787">
        <w:t xml:space="preserve"> </w:t>
      </w:r>
      <w:r w:rsidRPr="00CF1787">
        <w:tab/>
      </w:r>
      <w:r w:rsidRPr="00CF1787">
        <w:rPr>
          <w:rFonts w:cs="Arial"/>
          <w:bCs/>
          <w:lang w:eastAsia="en-US"/>
        </w:rPr>
        <w:t xml:space="preserve">Al respecto, los peritos designados aclararon que dicho médico “intervino en la diligencia de autopsia en calidad de Médico de la Policía Nacional Cuerpo Chimborazo”. </w:t>
      </w:r>
      <w:r w:rsidRPr="00CF1787">
        <w:rPr>
          <w:i/>
        </w:rPr>
        <w:t>Cfr</w:t>
      </w:r>
      <w:r w:rsidRPr="00CF1787">
        <w:t xml:space="preserve">. </w:t>
      </w:r>
      <w:r w:rsidRPr="00CF1787">
        <w:rPr>
          <w:rFonts w:cs="Arial"/>
          <w:bCs/>
          <w:lang w:eastAsia="en-US"/>
        </w:rPr>
        <w:t>Diligencia de reconocimiento, identificación y autopsia</w:t>
      </w:r>
      <w:r w:rsidRPr="00CF1787">
        <w:t xml:space="preserve"> de 4 de diciembre de 1992 (expediente de prueba, folio 106).</w:t>
      </w:r>
    </w:p>
  </w:footnote>
  <w:footnote w:id="51">
    <w:p w14:paraId="50EC2F7F" w14:textId="01DA9FAA" w:rsidR="00935D08" w:rsidRPr="00CF1787" w:rsidRDefault="00935D08" w:rsidP="00CA1834">
      <w:pPr>
        <w:pStyle w:val="FootnoteText"/>
        <w:tabs>
          <w:tab w:val="left" w:pos="426"/>
        </w:tabs>
        <w:spacing w:before="120" w:after="120"/>
        <w:rPr>
          <w:lang w:val="es-CR"/>
        </w:rPr>
      </w:pPr>
      <w:r w:rsidRPr="00CF1787">
        <w:rPr>
          <w:rStyle w:val="FootnoteReference"/>
        </w:rPr>
        <w:footnoteRef/>
      </w:r>
      <w:r w:rsidRPr="00CF1787">
        <w:t xml:space="preserve"> </w:t>
      </w:r>
      <w:r w:rsidRPr="00CF1787">
        <w:tab/>
        <w:t>Protocolo de Autopsia elaborado por el médico de la Policía Nacional (expediente de prueba, folio 103).</w:t>
      </w:r>
    </w:p>
  </w:footnote>
  <w:footnote w:id="52">
    <w:p w14:paraId="0FE70DA1" w14:textId="77777777" w:rsidR="00935D08" w:rsidRPr="00CF1787" w:rsidRDefault="00935D08" w:rsidP="00CA1834">
      <w:pPr>
        <w:pStyle w:val="FootnoteText"/>
        <w:tabs>
          <w:tab w:val="left" w:pos="426"/>
        </w:tabs>
        <w:spacing w:before="120" w:after="120"/>
        <w:rPr>
          <w:lang w:val="es-CR"/>
        </w:rPr>
      </w:pPr>
      <w:r w:rsidRPr="00CF1787">
        <w:rPr>
          <w:rStyle w:val="FootnoteReference"/>
        </w:rPr>
        <w:footnoteRef/>
      </w:r>
      <w:r w:rsidRPr="00CF1787">
        <w:t xml:space="preserve"> </w:t>
      </w:r>
      <w:r w:rsidRPr="00CF1787">
        <w:tab/>
      </w:r>
      <w:r w:rsidRPr="00CF1787">
        <w:rPr>
          <w:i/>
        </w:rPr>
        <w:t xml:space="preserve">Cfr. </w:t>
      </w:r>
      <w:r w:rsidRPr="00CF1787">
        <w:t>Protocolo de Autopsia elaborado por el médico de la Policía Nacional (expediente de prueba, folio 104).</w:t>
      </w:r>
    </w:p>
  </w:footnote>
  <w:footnote w:id="53">
    <w:p w14:paraId="2E02A1F2"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 xml:space="preserve">Cfr. </w:t>
      </w:r>
      <w:r w:rsidRPr="00CF1787">
        <w:t>Constitución Política de la República del Ecuador, Registro Oficial 763 de 12 de junio de 1984 (expediente de prueba, folios 2359 a 2372).</w:t>
      </w:r>
    </w:p>
  </w:footnote>
  <w:footnote w:id="54">
    <w:p w14:paraId="360B8D31"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Cfr.</w:t>
      </w:r>
      <w:r w:rsidRPr="00CF1787">
        <w:t xml:space="preserve"> Ley Orgánica de la Policía Nacional promulgada en el Registro Oficial </w:t>
      </w:r>
      <w:r w:rsidRPr="00CF1787">
        <w:rPr>
          <w:rFonts w:cs="Helvetica"/>
        </w:rPr>
        <w:t xml:space="preserve">757 de </w:t>
      </w:r>
      <w:r w:rsidRPr="00CF1787">
        <w:t>1975 (expediente de prueba, folios 2454 a 2469).</w:t>
      </w:r>
    </w:p>
  </w:footnote>
  <w:footnote w:id="55">
    <w:p w14:paraId="74346731"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Cfr.</w:t>
      </w:r>
      <w:r w:rsidRPr="00CF1787">
        <w:t xml:space="preserve"> Ley de la Función Judicial de la Policía Nacional. Registro Oficial Suplemento 1202 de 20 de agosto de 1960 (expediente de prueba, folios 2519 a 2527).</w:t>
      </w:r>
    </w:p>
  </w:footnote>
  <w:footnote w:id="56">
    <w:p w14:paraId="1967AD34"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 xml:space="preserve">Cfr. </w:t>
      </w:r>
      <w:r w:rsidRPr="00CF1787">
        <w:t>Código Penal de la Policía Civil Nacional. Registro Oficial Suplemento 1202 de 22 de agosto de 1960 (expediente de prueba, folio 291).</w:t>
      </w:r>
    </w:p>
  </w:footnote>
  <w:footnote w:id="57">
    <w:p w14:paraId="396C54AB" w14:textId="77777777" w:rsidR="00935D08" w:rsidRPr="00CF1787" w:rsidRDefault="00935D08" w:rsidP="00CA1834">
      <w:pPr>
        <w:pStyle w:val="FootnoteText"/>
        <w:tabs>
          <w:tab w:val="left" w:pos="426"/>
        </w:tabs>
        <w:spacing w:before="120" w:after="120"/>
        <w:rPr>
          <w:rFonts w:cs="Arial"/>
          <w:b/>
          <w:color w:val="FF0000"/>
          <w:lang w:val="es-ES"/>
        </w:rPr>
      </w:pPr>
      <w:r w:rsidRPr="00CF1787">
        <w:rPr>
          <w:rStyle w:val="FootnoteReference"/>
          <w:rFonts w:cs="Arial"/>
        </w:rPr>
        <w:footnoteRef/>
      </w:r>
      <w:r w:rsidRPr="00CF1787">
        <w:rPr>
          <w:i/>
        </w:rPr>
        <w:t xml:space="preserve"> </w:t>
      </w:r>
      <w:r w:rsidRPr="00CF1787">
        <w:rPr>
          <w:i/>
        </w:rPr>
        <w:tab/>
        <w:t xml:space="preserve">Cfr. </w:t>
      </w:r>
      <w:r w:rsidRPr="00CF1787">
        <w:rPr>
          <w:rFonts w:cs="Arial"/>
          <w:lang w:val="es-ES"/>
        </w:rPr>
        <w:t xml:space="preserve">Código de Procedimiento Penal de la Policía Nacional. Codificación No. 4 7. Registro Oficial Suplemento 1202. Publicado el 20 de agosto de 1960 (expediente de prueba, folios 2721 a 2768), y </w:t>
      </w:r>
      <w:r w:rsidRPr="00CF1787">
        <w:t>Ley Reformatoria</w:t>
      </w:r>
      <w:r w:rsidRPr="00CF1787">
        <w:rPr>
          <w:i/>
        </w:rPr>
        <w:t xml:space="preserve"> </w:t>
      </w:r>
      <w:r w:rsidRPr="00CF1787">
        <w:rPr>
          <w:rFonts w:cs="Arial"/>
          <w:lang w:val="es-ES"/>
        </w:rPr>
        <w:t xml:space="preserve">al Código de Procedimiento Penal </w:t>
      </w:r>
      <w:r w:rsidRPr="00CF1787">
        <w:rPr>
          <w:rFonts w:cs="Arial"/>
          <w:color w:val="000000"/>
          <w:lang w:val="es-ES"/>
        </w:rPr>
        <w:t>de la Policía Nacional. Registro Oficial 432. Publicado el 8 de mayo de 1990 (expediente de prueba, folios 2769 a 2772).</w:t>
      </w:r>
    </w:p>
  </w:footnote>
  <w:footnote w:id="58">
    <w:p w14:paraId="0BF9077B"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rFonts w:cs="Arial"/>
          <w:bCs/>
        </w:rPr>
        <w:t xml:space="preserve">Asimismo, la </w:t>
      </w:r>
      <w:r w:rsidRPr="00CF1787">
        <w:rPr>
          <w:rFonts w:cs="Arial"/>
          <w:lang w:val="es-CO"/>
        </w:rPr>
        <w:t xml:space="preserve">Constitución </w:t>
      </w:r>
      <w:r w:rsidRPr="00CF1787">
        <w:rPr>
          <w:rFonts w:cs="Arial"/>
          <w:bCs/>
          <w:lang w:val="es-CR"/>
        </w:rPr>
        <w:t>establecía que “</w:t>
      </w:r>
      <w:r w:rsidRPr="00CF1787">
        <w:rPr>
          <w:spacing w:val="-2"/>
        </w:rPr>
        <w:t xml:space="preserve">[e]l mando y jurisdicción militares y policiales se ejercen de acuerdo con la ley”. </w:t>
      </w:r>
      <w:r w:rsidRPr="00CF1787">
        <w:t>Constitución Política de la República del Ecuador, Registro Oficial 763 de 12 de junio de 1984, artículos 131 y 132 (expediente de prueba, folio 2371).</w:t>
      </w:r>
    </w:p>
  </w:footnote>
  <w:footnote w:id="59">
    <w:p w14:paraId="6BA0A79D" w14:textId="5CF74419"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t xml:space="preserve">Este código fue derogado por Ley Reformatoria al Código Penal para la tipificación de delitos cometidos en el Servicio militar y policial. Registro Oficial Suplemento 196. </w:t>
      </w:r>
      <w:r w:rsidRPr="00CF1787">
        <w:rPr>
          <w:i/>
        </w:rPr>
        <w:t xml:space="preserve">Cfr. </w:t>
      </w:r>
      <w:r w:rsidRPr="00CF1787">
        <w:t xml:space="preserve">Código Penal de la Policía Civil Nacional, artículo 4 (expediente de prueba, folio 291). Esta misma norma se encontraba tipificada en el artículo 7 del </w:t>
      </w:r>
      <w:r w:rsidRPr="00CF1787">
        <w:rPr>
          <w:rFonts w:cs="Arial"/>
          <w:lang w:val="es-ES"/>
        </w:rPr>
        <w:t xml:space="preserve">Código de Procedimiento Penal de la Policía Nacional. </w:t>
      </w:r>
      <w:r w:rsidRPr="00CF1787">
        <w:rPr>
          <w:rFonts w:cs="Arial"/>
          <w:i/>
          <w:lang w:val="es-ES"/>
        </w:rPr>
        <w:t xml:space="preserve">Cfr. </w:t>
      </w:r>
      <w:r w:rsidRPr="00CF1787">
        <w:rPr>
          <w:rFonts w:cs="Arial"/>
          <w:lang w:val="es-ES"/>
        </w:rPr>
        <w:t>Código de Procedimiento Penal de la Policía Nacional. Codificación No. 4 7. Registro Oficial Suplemento 1202. Publicado el 20 de agosto de 1960 (expediente de prueba, folio 2729).</w:t>
      </w:r>
    </w:p>
  </w:footnote>
  <w:footnote w:id="60">
    <w:p w14:paraId="0D4B1924"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Cfr.</w:t>
      </w:r>
      <w:r w:rsidRPr="00CF1787">
        <w:t xml:space="preserve"> Ley Orgánica de la Policía Nacional promulgada en el Registro Oficial </w:t>
      </w:r>
      <w:r w:rsidRPr="00CF1787">
        <w:rPr>
          <w:rFonts w:cs="Helvetica"/>
        </w:rPr>
        <w:t xml:space="preserve">757 de </w:t>
      </w:r>
      <w:r w:rsidRPr="00CF1787">
        <w:t>1975, artículos 62 a 78 (expediente de prueba, folios 2463 y 2464), y Ley de la Función Judicial de la Policía Nacional. Registro Oficial Suplemento 1202 de 20 de agosto de 1960 (expediente de prueba, folios 2519 a 2527).</w:t>
      </w:r>
    </w:p>
  </w:footnote>
  <w:footnote w:id="61">
    <w:p w14:paraId="15102B29" w14:textId="55230EAB" w:rsidR="00935D08" w:rsidRPr="00CF1787" w:rsidRDefault="00935D08" w:rsidP="00CA1834">
      <w:pPr>
        <w:pStyle w:val="FootnoteText"/>
        <w:tabs>
          <w:tab w:val="left" w:pos="426"/>
        </w:tabs>
        <w:spacing w:before="120" w:after="120"/>
        <w:rPr>
          <w:rFonts w:cs="Arial"/>
          <w:b/>
          <w:lang w:val="es-ES"/>
        </w:rPr>
      </w:pPr>
      <w:r w:rsidRPr="00CF1787">
        <w:rPr>
          <w:rStyle w:val="FootnoteReference"/>
          <w:rFonts w:cs="Arial"/>
        </w:rPr>
        <w:footnoteRef/>
      </w:r>
      <w:r w:rsidRPr="00CF1787">
        <w:rPr>
          <w:i/>
        </w:rPr>
        <w:t xml:space="preserve"> </w:t>
      </w:r>
      <w:r w:rsidRPr="00CF1787">
        <w:rPr>
          <w:i/>
        </w:rPr>
        <w:tab/>
        <w:t xml:space="preserve">Cfr. </w:t>
      </w:r>
      <w:r w:rsidRPr="00CF1787">
        <w:rPr>
          <w:rFonts w:cs="Arial"/>
          <w:lang w:val="es-ES"/>
        </w:rPr>
        <w:t>Código de Procedimiento Penal de la Policía Nacional. Codificación No. 4 7. Registro Oficial Suplemento 1202. Publicado el 20 de agosto de 1960, artículo 74 (expediente de prueba, folio 2742).</w:t>
      </w:r>
    </w:p>
  </w:footnote>
  <w:footnote w:id="62">
    <w:p w14:paraId="28547666" w14:textId="48D82066" w:rsidR="00935D08" w:rsidRPr="00CF1787" w:rsidRDefault="00935D08" w:rsidP="00CA1834">
      <w:pPr>
        <w:pStyle w:val="FootnoteText"/>
        <w:tabs>
          <w:tab w:val="left" w:pos="426"/>
        </w:tabs>
        <w:spacing w:before="120" w:after="120"/>
        <w:rPr>
          <w:rFonts w:cs="Arial"/>
          <w:lang w:val="es-ES"/>
        </w:rPr>
      </w:pPr>
      <w:r w:rsidRPr="00CF1787">
        <w:rPr>
          <w:rStyle w:val="FootnoteReference"/>
          <w:rFonts w:cs="Arial"/>
        </w:rPr>
        <w:footnoteRef/>
      </w:r>
      <w:r w:rsidRPr="00CF1787">
        <w:rPr>
          <w:i/>
        </w:rPr>
        <w:t xml:space="preserve"> </w:t>
      </w:r>
      <w:r w:rsidRPr="00CF1787">
        <w:rPr>
          <w:i/>
        </w:rPr>
        <w:tab/>
        <w:t xml:space="preserve">Cfr. </w:t>
      </w:r>
      <w:r w:rsidRPr="00CF1787">
        <w:rPr>
          <w:rFonts w:cs="Arial"/>
          <w:lang w:val="es-ES"/>
        </w:rPr>
        <w:t>Código de Procedimiento Penal de la Policía Nacional. Codificación No. 4 7. Registro Oficial Suplemento 1202. Publicado el 20 de agosto de 1960, artículo 111 (expediente de prueba, folio 2747).</w:t>
      </w:r>
    </w:p>
  </w:footnote>
  <w:footnote w:id="63">
    <w:p w14:paraId="4B4EEADD"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tab/>
      </w:r>
      <w:r w:rsidRPr="00CF1787">
        <w:rPr>
          <w:i/>
        </w:rPr>
        <w:t xml:space="preserve">Cfr. </w:t>
      </w:r>
      <w:r w:rsidRPr="00CF1787">
        <w:rPr>
          <w:rFonts w:cs="Arial"/>
          <w:lang w:val="es-ES"/>
        </w:rPr>
        <w:t>Código de Procedimiento Penal de la Policía Nacional. Codificación No. 4 7. Registro Oficial Suplemento 1202. Publicado el 20 de agosto de 1960, artículos 76, 154 y 156  (expediente de prueba, folios 2742 y 2754).</w:t>
      </w:r>
    </w:p>
  </w:footnote>
  <w:footnote w:id="64">
    <w:p w14:paraId="2D9508E3"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t xml:space="preserve">Los Tribunales del Crimen podían ser de oficiales y tropa, dependiendo de la categoría en la institución de los sujetos investigados. </w:t>
      </w:r>
      <w:r w:rsidRPr="00CF1787">
        <w:rPr>
          <w:i/>
        </w:rPr>
        <w:t>Cfr.</w:t>
      </w:r>
      <w:r w:rsidRPr="00CF1787">
        <w:t xml:space="preserve"> Ley de la Función Judicial de la Policía Nacional. Registro Oficial Suplemento 1202 de 20 de agosto de 1960, artículos 25 y 26 (expediente de prueba, folio 2522), y </w:t>
      </w:r>
      <w:r w:rsidRPr="00CF1787">
        <w:rPr>
          <w:rFonts w:cs="Arial"/>
          <w:lang w:val="es-ES"/>
        </w:rPr>
        <w:t>Código de Procedimiento Penal de la Policía Nacional. Codificación No. 4 7. Registro Oficial Suplemento 1202. Publicado el 20 de agosto de 1960, artículos 180, 214 y 215 (expediente de prueba, folios 2758 y 2763).</w:t>
      </w:r>
    </w:p>
  </w:footnote>
  <w:footnote w:id="65">
    <w:p w14:paraId="4982B5D2"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 xml:space="preserve">Cfr. </w:t>
      </w:r>
      <w:r w:rsidRPr="00CF1787">
        <w:rPr>
          <w:rFonts w:cs="Arial"/>
          <w:lang w:val="es-ES"/>
        </w:rPr>
        <w:t>Código de Procedimiento Penal de la Policía Nacional. Codificación No. 4 7. Registro Oficial Suplemento 1202. Publicado el 20 de agosto de 1960, artículos 183 a 218 (expediente de prueba, folios 2758 y 2763).</w:t>
      </w:r>
    </w:p>
  </w:footnote>
  <w:footnote w:id="66">
    <w:p w14:paraId="36860C76"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rPr>
          <w:lang w:val="es-ES"/>
        </w:rPr>
        <w:tab/>
      </w:r>
      <w:r w:rsidRPr="00CF1787">
        <w:rPr>
          <w:i/>
        </w:rPr>
        <w:t xml:space="preserve">Cfr. </w:t>
      </w:r>
      <w:r w:rsidRPr="00CF1787">
        <w:rPr>
          <w:rFonts w:cs="Arial"/>
          <w:lang w:val="es-ES"/>
        </w:rPr>
        <w:t xml:space="preserve">Código de </w:t>
      </w:r>
      <w:r w:rsidRPr="00CF1787">
        <w:rPr>
          <w:rFonts w:cs="Arial"/>
          <w:color w:val="000000"/>
          <w:lang w:val="es-ES"/>
        </w:rPr>
        <w:t xml:space="preserve">Procedimiento Penal de la Policía Nacional. Codificación No. 4 7. Registro Oficial Suplemento 1202. </w:t>
      </w:r>
      <w:r w:rsidRPr="00CF1787">
        <w:rPr>
          <w:rFonts w:cs="Arial"/>
          <w:lang w:val="es-ES"/>
        </w:rPr>
        <w:t>Publicado el 20 de agosto de 1960, artículos 212, 213, 217, 218, 224 (expediente de prueba, folios 2762, 2763 y 2764).</w:t>
      </w:r>
    </w:p>
  </w:footnote>
  <w:footnote w:id="67">
    <w:p w14:paraId="4F98D62B" w14:textId="5D6124C1" w:rsidR="00935D08" w:rsidRPr="00CF1787" w:rsidRDefault="00935D08" w:rsidP="00CA1834">
      <w:pPr>
        <w:pStyle w:val="FootnoteText"/>
        <w:tabs>
          <w:tab w:val="left" w:pos="426"/>
        </w:tabs>
        <w:spacing w:before="120" w:after="120"/>
        <w:rPr>
          <w:rFonts w:cs="Arial"/>
          <w:lang w:val="es-ES"/>
        </w:rPr>
      </w:pPr>
      <w:r w:rsidRPr="00CF1787">
        <w:rPr>
          <w:rStyle w:val="FootnoteReference"/>
          <w:rFonts w:cs="Arial"/>
        </w:rPr>
        <w:footnoteRef/>
      </w:r>
      <w:r w:rsidRPr="00CF1787">
        <w:rPr>
          <w:i/>
        </w:rPr>
        <w:t xml:space="preserve"> </w:t>
      </w:r>
      <w:r w:rsidRPr="00CF1787">
        <w:rPr>
          <w:i/>
        </w:rPr>
        <w:tab/>
        <w:t>Cfr.</w:t>
      </w:r>
      <w:r w:rsidRPr="00CF1787">
        <w:rPr>
          <w:rFonts w:cs="Arial"/>
          <w:lang w:val="es-ES"/>
        </w:rPr>
        <w:t xml:space="preserve"> Código de Procedimiento Penal de la Policía Nacional. Codificación No. 4 7. Registro Oficial Suplemento 1202. Publicado el 20 de agosto de 1960, artículo 224 (expediente de prueba, folios 2764);</w:t>
      </w:r>
      <w:r w:rsidRPr="00CF1787">
        <w:rPr>
          <w:i/>
        </w:rPr>
        <w:t xml:space="preserve"> </w:t>
      </w:r>
      <w:r w:rsidRPr="00CF1787">
        <w:t>Ley Reformatoria</w:t>
      </w:r>
      <w:r w:rsidRPr="00CF1787">
        <w:rPr>
          <w:i/>
        </w:rPr>
        <w:t xml:space="preserve"> </w:t>
      </w:r>
      <w:r w:rsidRPr="00CF1787">
        <w:rPr>
          <w:rFonts w:cs="Arial"/>
          <w:lang w:val="es-ES"/>
        </w:rPr>
        <w:t>al Código de Procedimiento Penal de la Policía Nacional. Registro Oficial 432. Publicado el 8 de mayo de 1990 (expediente de prueba, folios 2771 y 2772);</w:t>
      </w:r>
      <w:r w:rsidRPr="00CF1787">
        <w:t xml:space="preserve"> Ley Orgánica de la Policía Nacional promulgada en el Registro Oficial </w:t>
      </w:r>
      <w:r w:rsidRPr="00CF1787">
        <w:rPr>
          <w:rFonts w:cs="Helvetica"/>
        </w:rPr>
        <w:t xml:space="preserve">757 de 7 de marzo de </w:t>
      </w:r>
      <w:r w:rsidRPr="00CF1787">
        <w:t>1975, artículo 62</w:t>
      </w:r>
      <w:r w:rsidRPr="00CF1787">
        <w:rPr>
          <w:rFonts w:cs="Arial"/>
          <w:lang w:val="es-ES"/>
        </w:rPr>
        <w:t xml:space="preserve"> (expediente de prueba, folio 2463), y </w:t>
      </w:r>
      <w:r w:rsidRPr="00CF1787">
        <w:rPr>
          <w:lang w:val="es-ES"/>
        </w:rPr>
        <w:t xml:space="preserve">peritaje de Juan Pablo Albán </w:t>
      </w:r>
      <w:proofErr w:type="spellStart"/>
      <w:r w:rsidRPr="00CF1787">
        <w:rPr>
          <w:lang w:val="es-ES"/>
        </w:rPr>
        <w:t>Alencastro</w:t>
      </w:r>
      <w:proofErr w:type="spellEnd"/>
      <w:r w:rsidRPr="00CF1787">
        <w:rPr>
          <w:lang w:val="es-ES"/>
        </w:rPr>
        <w:t xml:space="preserve"> rendido en la audiencia pública celebrada ante la Corte en el presente caso.</w:t>
      </w:r>
    </w:p>
  </w:footnote>
  <w:footnote w:id="68">
    <w:p w14:paraId="355D1E84"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t xml:space="preserve">El artículo 159 del </w:t>
      </w:r>
      <w:r w:rsidRPr="00CF1787">
        <w:rPr>
          <w:rFonts w:cs="Arial"/>
          <w:lang w:val="es-ES"/>
        </w:rPr>
        <w:t>Código de Procedimiento Penal de la Policía Nacional</w:t>
      </w:r>
      <w:r w:rsidRPr="00CF1787">
        <w:t xml:space="preserve"> establecía expresamente que: “[h]</w:t>
      </w:r>
      <w:proofErr w:type="spellStart"/>
      <w:r w:rsidRPr="00CF1787">
        <w:t>aya</w:t>
      </w:r>
      <w:proofErr w:type="spellEnd"/>
      <w:r w:rsidRPr="00CF1787">
        <w:t xml:space="preserve"> o no acusación, si el sumario, en concepto del juez, no presta mérito para continuar la causa porque no se halle suficientemente comprobada la existencia del delito, o por no saberse quien sea el responsable de la infracción, o porque se hubieren desvanecido completamente las presunciones que había contra alguno, el juez dictará auto de sobreseimiento provisional, en el que declarará que, por lo pronto, no ha lugar a formación de causa”. </w:t>
      </w:r>
      <w:r w:rsidRPr="00CF1787">
        <w:rPr>
          <w:rFonts w:cs="Arial"/>
          <w:lang w:val="es-ES"/>
        </w:rPr>
        <w:t>Código de Procedimiento Penal de la Policía Nacional. Codificación No. 4 7. Registro Oficial Suplemento 1202. Publicado el 20 de agosto de 1960, artículo 159 (expediente de prueba, folio 2755).</w:t>
      </w:r>
    </w:p>
  </w:footnote>
  <w:footnote w:id="69">
    <w:p w14:paraId="50688133" w14:textId="78222980" w:rsidR="00935D08" w:rsidRPr="00CF1787" w:rsidRDefault="00935D08" w:rsidP="00CA1834">
      <w:pPr>
        <w:pStyle w:val="FootnoteText"/>
        <w:tabs>
          <w:tab w:val="left" w:pos="426"/>
        </w:tabs>
        <w:spacing w:before="120" w:after="120"/>
        <w:rPr>
          <w:i/>
        </w:rPr>
      </w:pPr>
      <w:r w:rsidRPr="00CF1787">
        <w:rPr>
          <w:rStyle w:val="FootnoteReference"/>
          <w:rFonts w:cs="Arial"/>
        </w:rPr>
        <w:footnoteRef/>
      </w:r>
      <w:r w:rsidRPr="00CF1787">
        <w:t xml:space="preserve"> </w:t>
      </w:r>
      <w:r w:rsidRPr="00CF1787">
        <w:tab/>
        <w:t xml:space="preserve">El artículo 160 del </w:t>
      </w:r>
      <w:r w:rsidRPr="00CF1787">
        <w:rPr>
          <w:rFonts w:cs="Arial"/>
          <w:lang w:val="es-ES"/>
        </w:rPr>
        <w:t>Código de Procedimiento Penal de la Policía Nacional</w:t>
      </w:r>
      <w:r w:rsidRPr="00CF1787">
        <w:t xml:space="preserve"> establecía expresamente que: “El sobreseimiento será́ definitivo cuando el fiscal no encontrare mérito para acusar y el juez, por su parte, observare que no se ha comprobado la existencia de la infracción; que no hay indicio alguno contra el enjuiciado; o que la circunstancia justificativa del acto, que exime de responsabilidad penal, está plenamente comprobada. Al pronunciar el juez sobreseimiento definitivo, declarará si la acusación particular, caso de haberla, ha sido o no maliciosa o temeraria”. </w:t>
      </w:r>
      <w:r w:rsidRPr="00CF1787">
        <w:rPr>
          <w:rFonts w:cs="Arial"/>
          <w:lang w:val="es-ES"/>
        </w:rPr>
        <w:t>Código de Procedimiento Penal de la Policía Nacional. Codificación No. 4 7. Registro Oficial Suplemento 1202. Publicado el 20 de agosto de 1960, artículo 160 (expediente de prueba, folio 2755).</w:t>
      </w:r>
    </w:p>
  </w:footnote>
  <w:footnote w:id="70">
    <w:p w14:paraId="543153CC" w14:textId="0D3D7EE8" w:rsidR="00935D08" w:rsidRPr="00CF1787" w:rsidRDefault="00935D08" w:rsidP="00CA1834">
      <w:pPr>
        <w:pStyle w:val="FootnoteText"/>
        <w:tabs>
          <w:tab w:val="left" w:pos="426"/>
        </w:tabs>
        <w:spacing w:before="120" w:after="120"/>
        <w:rPr>
          <w:rFonts w:cs="Arial"/>
          <w:lang w:val="es-ES"/>
        </w:rPr>
      </w:pPr>
      <w:r w:rsidRPr="00CF1787">
        <w:rPr>
          <w:rStyle w:val="FootnoteReference"/>
          <w:rFonts w:cs="Arial"/>
        </w:rPr>
        <w:footnoteRef/>
      </w:r>
      <w:r w:rsidRPr="00CF1787">
        <w:rPr>
          <w:i/>
        </w:rPr>
        <w:t xml:space="preserve"> </w:t>
      </w:r>
      <w:r w:rsidRPr="00CF1787">
        <w:rPr>
          <w:i/>
        </w:rPr>
        <w:tab/>
        <w:t xml:space="preserve">Cfr. </w:t>
      </w:r>
      <w:r w:rsidRPr="00CF1787">
        <w:rPr>
          <w:rFonts w:cs="Arial"/>
          <w:lang w:val="es-ES"/>
        </w:rPr>
        <w:t xml:space="preserve">Código de Procedimiento Penal de la Policía Nacional. Codificación No. 4 7. Registro Oficial Suplemento 1202. Publicado el 20 de agosto de 1960, artículo 165 (expediente de prueba, folio 2756). De acuerdo al Estado, esta acción de calumnia solo era posible si el juez de la causa declaraba previamente que la denuncia o acusación había sido maliciosa o temeraria. </w:t>
      </w:r>
      <w:r w:rsidRPr="00CF1787">
        <w:rPr>
          <w:rFonts w:cs="Arial"/>
          <w:i/>
          <w:lang w:val="es-ES"/>
        </w:rPr>
        <w:t xml:space="preserve">Cfr. </w:t>
      </w:r>
      <w:r w:rsidRPr="00CF1787">
        <w:rPr>
          <w:rFonts w:cs="Arial"/>
          <w:lang w:val="es-ES"/>
        </w:rPr>
        <w:t>Escrito del Estado sobre información y prueba para mejor resolver de 11 de agosto de 2016 (expediente de fondo, folio 712).</w:t>
      </w:r>
    </w:p>
  </w:footnote>
  <w:footnote w:id="71">
    <w:p w14:paraId="0368A3E3" w14:textId="77777777" w:rsidR="00935D08" w:rsidRPr="00CF1787" w:rsidRDefault="00935D08" w:rsidP="00CA1834">
      <w:pPr>
        <w:pStyle w:val="FootnoteText"/>
        <w:tabs>
          <w:tab w:val="left" w:pos="426"/>
        </w:tabs>
        <w:spacing w:before="120" w:after="120"/>
        <w:rPr>
          <w:rFonts w:cs="Arial"/>
        </w:rPr>
      </w:pPr>
      <w:r w:rsidRPr="00CF1787">
        <w:rPr>
          <w:rStyle w:val="FootnoteReference"/>
        </w:rPr>
        <w:footnoteRef/>
      </w:r>
      <w:r w:rsidRPr="00CF1787">
        <w:t xml:space="preserve"> </w:t>
      </w:r>
      <w:r w:rsidRPr="00CF1787">
        <w:rPr>
          <w:lang w:val="es-ES"/>
        </w:rPr>
        <w:tab/>
        <w:t xml:space="preserve">De acuerdo al artículo 162 del </w:t>
      </w:r>
      <w:r w:rsidRPr="00CF1787">
        <w:rPr>
          <w:rFonts w:cs="Arial"/>
          <w:color w:val="000000"/>
          <w:lang w:val="es-ES"/>
        </w:rPr>
        <w:t>Código de Procedimiento Penal de la Policía Nacional,</w:t>
      </w:r>
      <w:r w:rsidRPr="00CF1787">
        <w:rPr>
          <w:i/>
        </w:rPr>
        <w:t xml:space="preserve"> </w:t>
      </w:r>
      <w:r w:rsidRPr="00CF1787">
        <w:t>el recurso de apelación podía ser interpuesto por el acusador particular o el fiscal. Por otra parte, los artículos 219 y 224 admitían la posibilidad de interposición de un recurso de nulidad, conforme a las disposiciones del Código de Procedimiento Penal ordinario, el cual establecía la posibilidad de interposición de este recurso frente al auto de sobreseimiento por cualquiera de las partes, “cuando se h[</w:t>
      </w:r>
      <w:proofErr w:type="spellStart"/>
      <w:r w:rsidRPr="00CF1787">
        <w:t>ubiere</w:t>
      </w:r>
      <w:proofErr w:type="spellEnd"/>
      <w:r w:rsidRPr="00CF1787">
        <w:t>] omitido alguna de las solemnidades sustanciales prescritas”.</w:t>
      </w:r>
      <w:r w:rsidRPr="00CF1787">
        <w:rPr>
          <w:i/>
        </w:rPr>
        <w:t xml:space="preserve"> </w:t>
      </w:r>
      <w:r w:rsidRPr="00CF1787">
        <w:rPr>
          <w:rFonts w:cs="Arial"/>
          <w:color w:val="000000"/>
          <w:lang w:val="es-ES"/>
        </w:rPr>
        <w:t>Código de Procedimiento Penal de la Policía Nacional. Codificación No. 4 7. Registro Oficial Suplemento 1202. Publicado el 20 de agosto de 1960, artículos 162, 219 y 224 (expediente de prueba, folio 2755), y C</w:t>
      </w:r>
      <w:r w:rsidRPr="00CF1787">
        <w:rPr>
          <w:rFonts w:cs="Arial"/>
          <w:i/>
          <w:color w:val="000000"/>
          <w:lang w:val="es-ES"/>
        </w:rPr>
        <w:t xml:space="preserve">fr. </w:t>
      </w:r>
      <w:r w:rsidRPr="00CF1787">
        <w:rPr>
          <w:rFonts w:cs="Arial"/>
          <w:color w:val="000000"/>
        </w:rPr>
        <w:t>Código de Procedimiento Penal. Ley 134. Registro Oficial No. 511 de 10 de junio de 1983, artículo 362 (expediente de prueba, folio 2159).</w:t>
      </w:r>
    </w:p>
  </w:footnote>
  <w:footnote w:id="72">
    <w:p w14:paraId="6063E8B8" w14:textId="4C360C44" w:rsidR="00935D08" w:rsidRPr="00CF1787" w:rsidRDefault="00935D08" w:rsidP="00CA1834">
      <w:pPr>
        <w:pStyle w:val="FootnoteText"/>
        <w:tabs>
          <w:tab w:val="left" w:pos="426"/>
        </w:tabs>
        <w:spacing w:before="120" w:after="120"/>
        <w:rPr>
          <w:rFonts w:cs="Arial"/>
          <w:color w:val="FF0000"/>
          <w:lang w:val="es-ES"/>
        </w:rPr>
      </w:pPr>
      <w:r w:rsidRPr="00CF1787">
        <w:rPr>
          <w:rStyle w:val="FootnoteReference"/>
          <w:rFonts w:cs="Arial"/>
        </w:rPr>
        <w:footnoteRef/>
      </w:r>
      <w:r w:rsidRPr="00CF1787">
        <w:rPr>
          <w:i/>
        </w:rPr>
        <w:t xml:space="preserve"> </w:t>
      </w:r>
      <w:r w:rsidRPr="00CF1787">
        <w:rPr>
          <w:i/>
        </w:rPr>
        <w:tab/>
      </w:r>
      <w:r w:rsidRPr="00CF1787">
        <w:rPr>
          <w:rFonts w:cs="Arial"/>
          <w:lang w:val="es-ES"/>
        </w:rPr>
        <w:t xml:space="preserve">Código de Procedimiento Penal de la Policía Nacional. Codificación No. 4 7. Registro Oficial Suplemento 1202. Publicado el 20 de agosto de 1960, artículo </w:t>
      </w:r>
      <w:r w:rsidRPr="00CF1787">
        <w:rPr>
          <w:rFonts w:cs="Arial"/>
          <w:color w:val="000000"/>
          <w:lang w:val="es-ES"/>
        </w:rPr>
        <w:t>162 (expediente de prueba, folio 2755).</w:t>
      </w:r>
    </w:p>
  </w:footnote>
  <w:footnote w:id="73">
    <w:p w14:paraId="73E3CFF4" w14:textId="5821EA49"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tab/>
      </w:r>
      <w:r w:rsidRPr="00CF1787">
        <w:rPr>
          <w:rFonts w:cs="Arial"/>
          <w:lang w:val="es-ES"/>
        </w:rPr>
        <w:t>Código de Procedimiento Penal de la Policía Nacional. Codificación No. 4 7. Registro Oficial Suplemento 1202. Publicado el 20 de agosto de 1960, artículo 163 (expediente de prueba, folio 2755).</w:t>
      </w:r>
    </w:p>
  </w:footnote>
  <w:footnote w:id="74">
    <w:p w14:paraId="05ADC02D" w14:textId="77777777" w:rsidR="00935D08" w:rsidRPr="00CF1787" w:rsidRDefault="00935D08" w:rsidP="00CA1834">
      <w:pPr>
        <w:pStyle w:val="FootnoteText"/>
        <w:tabs>
          <w:tab w:val="left" w:pos="426"/>
        </w:tabs>
        <w:spacing w:before="120" w:after="120"/>
        <w:rPr>
          <w:color w:val="FF0000"/>
        </w:rPr>
      </w:pPr>
      <w:r w:rsidRPr="00CF1787">
        <w:rPr>
          <w:rStyle w:val="FootnoteReference"/>
        </w:rPr>
        <w:footnoteRef/>
      </w:r>
      <w:r w:rsidRPr="00CF1787">
        <w:t xml:space="preserve"> </w:t>
      </w:r>
      <w:r w:rsidRPr="00CF1787">
        <w:tab/>
      </w:r>
      <w:r w:rsidRPr="00CF1787">
        <w:rPr>
          <w:i/>
          <w:lang w:val="es-CL"/>
        </w:rPr>
        <w:t xml:space="preserve">Cfr. </w:t>
      </w:r>
      <w:r w:rsidRPr="00CF1787">
        <w:rPr>
          <w:rFonts w:cs="Arial"/>
          <w:lang w:val="es-ES"/>
        </w:rPr>
        <w:t xml:space="preserve">Acta de levantamiento de cadáver del Comisario Nacional del Juzgado de Instrucción “Comisaría Nacional del Cantón Riobamba”, de 3 de diciembre de 1992 </w:t>
      </w:r>
      <w:r w:rsidRPr="00CF1787">
        <w:rPr>
          <w:lang w:val="es-CL"/>
        </w:rPr>
        <w:t>(expediente de prueba, folio 93). El Comisario Nacional era uno de los funcionarios judiciales dentro de la jurisdicción penal ordinaria, a quien correspondía “instruir las sanciones penales por infracciones pesquisables de oficio” y “practicar las diligencias pre-procesales de prueba material”.</w:t>
      </w:r>
      <w:r w:rsidRPr="00CF1787">
        <w:rPr>
          <w:i/>
        </w:rPr>
        <w:t xml:space="preserve"> Cfr. </w:t>
      </w:r>
      <w:r w:rsidRPr="00CF1787">
        <w:t>Código de Procedimiento Penal. Ley 134. Registro Oficial No. 511 de 10 de junio de 1983, artículos 4 y 7 (expediente prueba, folio 7270 y 7271), y R</w:t>
      </w:r>
      <w:proofErr w:type="spellStart"/>
      <w:r w:rsidRPr="00CF1787">
        <w:rPr>
          <w:lang w:val="es-CL"/>
        </w:rPr>
        <w:t>eglamento</w:t>
      </w:r>
      <w:proofErr w:type="spellEnd"/>
      <w:r w:rsidRPr="00CF1787">
        <w:rPr>
          <w:lang w:val="es-CL"/>
        </w:rPr>
        <w:t xml:space="preserve"> Orgánico Funcional del Ministerio de Gobierno</w:t>
      </w:r>
      <w:r w:rsidRPr="00CF1787">
        <w:t>, publicado en el Registro Oficial No. 833 de 16 de diciembre de 1987, citado por el Estado en el escrito de información y prueba para mejor resolver de 11 de agosto de 2016 (expediente de fondo, folio 704). Además, el Estado aclaró que los Comisarios Nacionales “no mantenían ninguna relación con la Policía Nacional”.</w:t>
      </w:r>
    </w:p>
  </w:footnote>
  <w:footnote w:id="75">
    <w:p w14:paraId="75B22DA0"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Cfr</w:t>
      </w:r>
      <w:r w:rsidRPr="00CF1787">
        <w:t>. Auto cabeza de proceso del Juzgado de Instrucción “Comisaría Nacional del Cantón Riobamba” de 3 de diciembre de 1992 (expediente de prueba, folios 98 y 99).</w:t>
      </w:r>
    </w:p>
  </w:footnote>
  <w:footnote w:id="76">
    <w:p w14:paraId="4F8D4491" w14:textId="77777777" w:rsidR="00935D08" w:rsidRPr="00CF1787" w:rsidRDefault="00935D08" w:rsidP="00CA1834">
      <w:pPr>
        <w:pStyle w:val="FootnoteText"/>
        <w:tabs>
          <w:tab w:val="left" w:pos="426"/>
        </w:tabs>
        <w:spacing w:before="120" w:after="120"/>
        <w:rPr>
          <w:lang w:val="es-CL"/>
        </w:rPr>
      </w:pPr>
      <w:r w:rsidRPr="00CF1787">
        <w:rPr>
          <w:rStyle w:val="FootnoteReference"/>
          <w:rFonts w:eastAsia="MS Mincho"/>
        </w:rPr>
        <w:footnoteRef/>
      </w:r>
      <w:r w:rsidRPr="00CF1787">
        <w:t xml:space="preserve"> </w:t>
      </w:r>
      <w:r w:rsidRPr="00CF1787">
        <w:rPr>
          <w:lang w:val="es-CL"/>
        </w:rPr>
        <w:tab/>
      </w:r>
      <w:r w:rsidRPr="00CF1787">
        <w:rPr>
          <w:i/>
          <w:lang w:val="es-CL"/>
        </w:rPr>
        <w:t xml:space="preserve">Cfr. </w:t>
      </w:r>
      <w:r w:rsidRPr="00CF1787">
        <w:rPr>
          <w:rFonts w:cs="Arial"/>
          <w:lang w:val="es-ES"/>
        </w:rPr>
        <w:t xml:space="preserve">Auto cabeza de proceso de la Sala del Juzgado del Segundo Distrito de la Policía Nacional en Riobamba de 10 de diciembre de 1992 </w:t>
      </w:r>
      <w:r w:rsidRPr="00CF1787">
        <w:rPr>
          <w:lang w:val="es-CL"/>
        </w:rPr>
        <w:t>(expediente de prueba, folio 142). Véase, por ejemplo,</w:t>
      </w:r>
      <w:r w:rsidRPr="00CF1787">
        <w:rPr>
          <w:i/>
          <w:lang w:val="es-CL"/>
        </w:rPr>
        <w:t xml:space="preserve"> </w:t>
      </w:r>
      <w:r w:rsidRPr="00CF1787">
        <w:rPr>
          <w:lang w:val="es-CL"/>
        </w:rPr>
        <w:t xml:space="preserve">declaración de Márquez Rodríguez Lorenzo Celestino de 15 de diciembre de 1992 (expediente de fondo, folios 193 y 194). </w:t>
      </w:r>
    </w:p>
  </w:footnote>
  <w:footnote w:id="77">
    <w:p w14:paraId="798C48D0"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t>El 14 de diciembre de 1992 el Comisario Nacional ordenó que se “</w:t>
      </w:r>
      <w:proofErr w:type="spellStart"/>
      <w:proofErr w:type="gramStart"/>
      <w:r w:rsidRPr="00CF1787">
        <w:t>pas</w:t>
      </w:r>
      <w:proofErr w:type="spellEnd"/>
      <w:r w:rsidRPr="00CF1787">
        <w:t>[</w:t>
      </w:r>
      <w:proofErr w:type="gramEnd"/>
      <w:r w:rsidRPr="00CF1787">
        <w:t>ara] el proceso con todo lo actuado al Juzgado de Policía Nacional para los fines legales consiguientes”, lo cual se hizo efectivo el</w:t>
      </w:r>
      <w:r w:rsidRPr="00CF1787">
        <w:rPr>
          <w:rFonts w:cs="Arial"/>
          <w:bCs/>
          <w:lang w:eastAsia="en-US"/>
        </w:rPr>
        <w:t xml:space="preserve"> 4 de enero de 1993.</w:t>
      </w:r>
      <w:r w:rsidRPr="00CF1787">
        <w:rPr>
          <w:i/>
        </w:rPr>
        <w:t xml:space="preserve"> Cfr. </w:t>
      </w:r>
      <w:r w:rsidRPr="00CF1787">
        <w:t xml:space="preserve">Auto de inhibición del Comisario Nacional del Cantón de Riobamba de 14 de diciembre de 1992 (expediente de prueba, folio 2220), y </w:t>
      </w:r>
      <w:r w:rsidRPr="00CF1787">
        <w:rPr>
          <w:rFonts w:cs="Arial"/>
          <w:lang w:val="es-ES"/>
        </w:rPr>
        <w:t xml:space="preserve">Oficio del Comisario Nacional de Policía de 4 de enero de 1993 </w:t>
      </w:r>
      <w:r w:rsidRPr="00CF1787">
        <w:rPr>
          <w:lang w:val="es-CL"/>
        </w:rPr>
        <w:t>(expediente de prueba, folio 145).</w:t>
      </w:r>
    </w:p>
  </w:footnote>
  <w:footnote w:id="78">
    <w:p w14:paraId="15D2411C"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lang w:val="es-CL"/>
        </w:rPr>
        <w:t xml:space="preserve">Cfr. </w:t>
      </w:r>
      <w:r w:rsidRPr="00CF1787">
        <w:rPr>
          <w:rFonts w:cs="Arial"/>
          <w:lang w:val="es-ES"/>
        </w:rPr>
        <w:t xml:space="preserve">Acta de levantamiento de cadáver de 3 de diciembre de 1992 </w:t>
      </w:r>
      <w:r w:rsidRPr="00CF1787">
        <w:rPr>
          <w:lang w:val="es-CL"/>
        </w:rPr>
        <w:t>(expediente de prueba, folio 93).</w:t>
      </w:r>
    </w:p>
  </w:footnote>
  <w:footnote w:id="79">
    <w:p w14:paraId="3E18983A" w14:textId="77777777" w:rsidR="00935D08" w:rsidRPr="00CF1787" w:rsidRDefault="00935D08" w:rsidP="00CA1834">
      <w:pPr>
        <w:pStyle w:val="Footnotes"/>
        <w:tabs>
          <w:tab w:val="clear" w:pos="567"/>
          <w:tab w:val="left" w:pos="426"/>
        </w:tabs>
        <w:spacing w:before="120" w:after="120"/>
      </w:pPr>
      <w:r w:rsidRPr="00CF1787">
        <w:rPr>
          <w:rStyle w:val="FootnoteReference"/>
          <w:rFonts w:eastAsia="Calibri"/>
        </w:rPr>
        <w:footnoteRef/>
      </w:r>
      <w:r w:rsidRPr="00CF1787">
        <w:t xml:space="preserve"> </w:t>
      </w:r>
      <w:r w:rsidRPr="00CF1787">
        <w:tab/>
      </w:r>
      <w:r w:rsidRPr="00CF1787">
        <w:rPr>
          <w:i/>
          <w:lang w:val="es-CL"/>
        </w:rPr>
        <w:t xml:space="preserve">Cfr. </w:t>
      </w:r>
      <w:r w:rsidRPr="00CF1787">
        <w:t>Acta de reconocimiento, identificación y autopsia de Luis Jorge Valencia de 4 de diciembre de 1992 (expediente de prueba, folios 1937 a 1939).</w:t>
      </w:r>
    </w:p>
  </w:footnote>
  <w:footnote w:id="80">
    <w:p w14:paraId="5094C6BB" w14:textId="77777777" w:rsidR="00935D08" w:rsidRPr="00CF1787" w:rsidRDefault="00935D08" w:rsidP="00CA1834">
      <w:pPr>
        <w:pStyle w:val="Footnotes"/>
        <w:tabs>
          <w:tab w:val="clear" w:pos="567"/>
          <w:tab w:val="left" w:pos="426"/>
        </w:tabs>
        <w:spacing w:before="120" w:after="120"/>
      </w:pPr>
      <w:r w:rsidRPr="00CF1787">
        <w:rPr>
          <w:rStyle w:val="FootnoteReference"/>
          <w:rFonts w:eastAsia="Calibri"/>
        </w:rPr>
        <w:footnoteRef/>
      </w:r>
      <w:r w:rsidRPr="00CF1787">
        <w:t xml:space="preserve"> </w:t>
      </w:r>
      <w:r w:rsidRPr="00CF1787">
        <w:tab/>
      </w:r>
      <w:r w:rsidRPr="00CF1787">
        <w:rPr>
          <w:i/>
          <w:lang w:val="es-CL"/>
        </w:rPr>
        <w:t xml:space="preserve">Cfr. </w:t>
      </w:r>
      <w:r w:rsidRPr="00CF1787">
        <w:t>Lista de evidencias físicas de 4 de diciembre de 1992 (expediente de prueba, folio  108), y Policía Nacional de Ecuador, Evidencias, 15 de diciembre de 1992 (expediente de prueba, folio  110).</w:t>
      </w:r>
    </w:p>
  </w:footnote>
  <w:footnote w:id="81">
    <w:p w14:paraId="7698CFB8" w14:textId="77777777" w:rsidR="00935D08" w:rsidRPr="00CF1787" w:rsidRDefault="00935D08" w:rsidP="00CA1834">
      <w:pPr>
        <w:pStyle w:val="Footnotes"/>
        <w:tabs>
          <w:tab w:val="clear" w:pos="567"/>
          <w:tab w:val="left" w:pos="426"/>
        </w:tabs>
        <w:spacing w:before="120" w:after="120"/>
      </w:pPr>
      <w:r w:rsidRPr="00CF1787">
        <w:rPr>
          <w:rStyle w:val="FootnoteReference"/>
          <w:rFonts w:eastAsia="Calibri"/>
        </w:rPr>
        <w:footnoteRef/>
      </w:r>
      <w:r w:rsidRPr="00CF1787">
        <w:t xml:space="preserve"> </w:t>
      </w:r>
      <w:r w:rsidRPr="00CF1787">
        <w:tab/>
      </w:r>
      <w:r w:rsidRPr="00CF1787">
        <w:rPr>
          <w:i/>
          <w:lang w:val="es-CL"/>
        </w:rPr>
        <w:t xml:space="preserve">Cfr. </w:t>
      </w:r>
      <w:r w:rsidRPr="00CF1787">
        <w:t>Acta de reconocimiento del arma  del Comisario Nacional de 4 de diciembre de 1992 (expediente de prueba, folio 112).</w:t>
      </w:r>
    </w:p>
  </w:footnote>
  <w:footnote w:id="82">
    <w:p w14:paraId="5F65B33D" w14:textId="77777777" w:rsidR="00935D08" w:rsidRPr="00CF1787" w:rsidRDefault="00935D08" w:rsidP="00CA1834">
      <w:pPr>
        <w:pStyle w:val="Footnotes"/>
        <w:tabs>
          <w:tab w:val="clear" w:pos="567"/>
          <w:tab w:val="left" w:pos="426"/>
        </w:tabs>
        <w:spacing w:before="120" w:after="120"/>
      </w:pPr>
      <w:r w:rsidRPr="00CF1787">
        <w:rPr>
          <w:rStyle w:val="FootnoteReference"/>
          <w:rFonts w:eastAsia="Calibri"/>
        </w:rPr>
        <w:footnoteRef/>
      </w:r>
      <w:r w:rsidRPr="00CF1787">
        <w:t xml:space="preserve"> </w:t>
      </w:r>
      <w:r w:rsidRPr="00CF1787">
        <w:tab/>
      </w:r>
      <w:r w:rsidRPr="00CF1787">
        <w:rPr>
          <w:i/>
        </w:rPr>
        <w:t xml:space="preserve">Cfr. </w:t>
      </w:r>
      <w:r w:rsidRPr="00CF1787">
        <w:t>Informe del</w:t>
      </w:r>
      <w:r w:rsidRPr="00CF1787">
        <w:rPr>
          <w:i/>
        </w:rPr>
        <w:t xml:space="preserve"> </w:t>
      </w:r>
      <w:r w:rsidRPr="00CF1787">
        <w:t xml:space="preserve">Laboratorio central y peritaje de 3 de junio de 1994 </w:t>
      </w:r>
      <w:r w:rsidRPr="00CF1787">
        <w:rPr>
          <w:rFonts w:eastAsiaTheme="minorHAnsi" w:cs="Arial"/>
          <w:lang w:val="es-CR"/>
        </w:rPr>
        <w:t xml:space="preserve">(expediente de prueba, folios 209 a 211). Dicho informe fue posteriormente rectificado para corregir que el orificio de entrada del disparo se encuentra en el hueso temporal derecho del cráneo. </w:t>
      </w:r>
      <w:r w:rsidRPr="00CF1787">
        <w:rPr>
          <w:rFonts w:eastAsiaTheme="minorHAnsi" w:cs="Arial"/>
          <w:i/>
          <w:lang w:val="es-CR"/>
        </w:rPr>
        <w:t xml:space="preserve">Cfr. </w:t>
      </w:r>
      <w:r w:rsidRPr="00CF1787">
        <w:rPr>
          <w:rFonts w:eastAsiaTheme="minorHAnsi" w:cs="Arial"/>
          <w:lang w:val="es-CR"/>
        </w:rPr>
        <w:t>Oficio del Laboratorio Central y Peritajes de 18 de julio de 1994 (expediente de prueba, folio 215).</w:t>
      </w:r>
    </w:p>
  </w:footnote>
  <w:footnote w:id="83">
    <w:p w14:paraId="5B9A0C7E" w14:textId="77777777" w:rsidR="00935D08" w:rsidRPr="00CF1787" w:rsidRDefault="00935D08" w:rsidP="00CA1834">
      <w:pPr>
        <w:pStyle w:val="Footnotes"/>
        <w:tabs>
          <w:tab w:val="clear" w:pos="567"/>
          <w:tab w:val="left" w:pos="426"/>
        </w:tabs>
        <w:spacing w:before="120" w:after="120"/>
      </w:pPr>
      <w:r w:rsidRPr="00CF1787">
        <w:rPr>
          <w:rStyle w:val="FootnoteReference"/>
          <w:rFonts w:eastAsia="Calibri"/>
        </w:rPr>
        <w:footnoteRef/>
      </w:r>
      <w:r w:rsidRPr="00CF1787">
        <w:t xml:space="preserve"> </w:t>
      </w:r>
      <w:r w:rsidRPr="00CF1787">
        <w:tab/>
      </w:r>
      <w:r w:rsidRPr="00CF1787">
        <w:rPr>
          <w:i/>
          <w:lang w:val="es-CL"/>
        </w:rPr>
        <w:t xml:space="preserve">Cfr. </w:t>
      </w:r>
      <w:r w:rsidRPr="00CF1787">
        <w:t>Escrito del Comisario Nacional del Cantón de Riobamba en relación a resultados de laboratorio de estudio de vísceras de 29 de enero de 1993 (expediente de prueba, folios 154 a 160).</w:t>
      </w:r>
    </w:p>
  </w:footnote>
  <w:footnote w:id="84">
    <w:p w14:paraId="3FDE15BD" w14:textId="77777777" w:rsidR="00935D08" w:rsidRPr="00CF1787" w:rsidRDefault="00935D08" w:rsidP="00CA1834">
      <w:pPr>
        <w:pStyle w:val="FootnoteText"/>
        <w:tabs>
          <w:tab w:val="left" w:pos="426"/>
        </w:tabs>
        <w:spacing w:before="120" w:after="120"/>
        <w:rPr>
          <w:rFonts w:cs="Arial"/>
          <w:lang w:val="es-MX"/>
        </w:rPr>
      </w:pPr>
      <w:r w:rsidRPr="00CF1787">
        <w:rPr>
          <w:rStyle w:val="FootnoteReference"/>
        </w:rPr>
        <w:footnoteRef/>
      </w:r>
      <w:r w:rsidRPr="00CF1787">
        <w:t xml:space="preserve"> </w:t>
      </w:r>
      <w:r w:rsidRPr="00CF1787">
        <w:tab/>
      </w:r>
      <w:r w:rsidRPr="00CF1787">
        <w:rPr>
          <w:i/>
          <w:lang w:val="es-ES"/>
        </w:rPr>
        <w:t xml:space="preserve">Cfr. </w:t>
      </w:r>
      <w:r w:rsidRPr="00CF1787">
        <w:rPr>
          <w:rFonts w:cs="Arial"/>
          <w:lang w:val="es-MX"/>
        </w:rPr>
        <w:t>Informe pericial a la piel de mano derecha del señor Valencia Hinojosa para determinar la presencia de pólvora, de 8 de Diciembre de 1992 (expediente de prueba, folio 1979).</w:t>
      </w:r>
    </w:p>
  </w:footnote>
  <w:footnote w:id="85">
    <w:p w14:paraId="45F4D6F1" w14:textId="358E08D8"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lang w:val="es-CL"/>
        </w:rPr>
        <w:t xml:space="preserve">Cfr. </w:t>
      </w:r>
      <w:r w:rsidRPr="00CF1787">
        <w:rPr>
          <w:rFonts w:cs="Arial"/>
          <w:lang w:val="es-ES"/>
        </w:rPr>
        <w:t xml:space="preserve">Auto cabeza de proceso de la Sala del Juzgado del Segundo Distrito de la Policía Nacional en Riobamba de 10 de diciembre de 1992 </w:t>
      </w:r>
      <w:r w:rsidRPr="00CF1787">
        <w:rPr>
          <w:lang w:val="es-CL"/>
        </w:rPr>
        <w:t>(expediente de prueba, folio 142). Véase, por ejemplo</w:t>
      </w:r>
      <w:r w:rsidRPr="00CF1787">
        <w:rPr>
          <w:i/>
          <w:lang w:val="es-CL"/>
        </w:rPr>
        <w:t xml:space="preserve">, </w:t>
      </w:r>
      <w:r w:rsidRPr="00CF1787">
        <w:rPr>
          <w:lang w:val="es-CL"/>
        </w:rPr>
        <w:t>declaración de cabo segundo de policía de 15 de diciembre de 1992 (expediente de prueba, folios 193 y 194)</w:t>
      </w:r>
    </w:p>
  </w:footnote>
  <w:footnote w:id="86">
    <w:p w14:paraId="5CE6A8E0"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lang w:val="es-ES"/>
        </w:rPr>
        <w:t xml:space="preserve">Cfr. </w:t>
      </w:r>
      <w:r w:rsidRPr="00CF1787">
        <w:rPr>
          <w:rFonts w:cs="Arial"/>
          <w:lang w:val="es-ES"/>
        </w:rPr>
        <w:t xml:space="preserve">Acta de exhumación de cadáver de 25 de mayo de 1994 </w:t>
      </w:r>
      <w:r w:rsidRPr="00CF1787">
        <w:rPr>
          <w:lang w:val="es-CL"/>
        </w:rPr>
        <w:t>(expediente de prueba, folios 206 y 207)</w:t>
      </w:r>
      <w:r w:rsidRPr="00CF1787">
        <w:rPr>
          <w:rFonts w:cs="Arial"/>
          <w:lang w:val="es-ES"/>
        </w:rPr>
        <w:t>.</w:t>
      </w:r>
    </w:p>
  </w:footnote>
  <w:footnote w:id="87">
    <w:p w14:paraId="17E9849A" w14:textId="4AD8BF7A" w:rsidR="00935D08" w:rsidRPr="00CF1787" w:rsidRDefault="00935D08" w:rsidP="00CA1834">
      <w:pPr>
        <w:pStyle w:val="FootnoteText"/>
        <w:tabs>
          <w:tab w:val="left" w:pos="426"/>
        </w:tabs>
        <w:spacing w:before="120" w:after="120"/>
        <w:rPr>
          <w:rFonts w:cs="Arial"/>
          <w:lang w:val="es-CL"/>
        </w:rPr>
      </w:pPr>
      <w:r w:rsidRPr="00CF1787">
        <w:rPr>
          <w:rStyle w:val="FootnoteReference"/>
          <w:rFonts w:eastAsia="MS Mincho"/>
        </w:rPr>
        <w:footnoteRef/>
      </w:r>
      <w:r w:rsidRPr="00CF1787">
        <w:t xml:space="preserve"> </w:t>
      </w:r>
      <w:r w:rsidRPr="00CF1787">
        <w:rPr>
          <w:lang w:val="es-CL"/>
        </w:rPr>
        <w:tab/>
        <w:t xml:space="preserve">Dicha acusación fue presentada </w:t>
      </w:r>
      <w:r w:rsidRPr="00CF1787">
        <w:rPr>
          <w:bCs/>
          <w:lang w:val="es-MX"/>
        </w:rPr>
        <w:t xml:space="preserve">contra dos subtenientes, un capitán y tres policías. </w:t>
      </w:r>
      <w:r w:rsidRPr="00CF1787">
        <w:rPr>
          <w:i/>
          <w:lang w:val="es-CL"/>
        </w:rPr>
        <w:t xml:space="preserve">Cfr. </w:t>
      </w:r>
      <w:r w:rsidRPr="00CF1787">
        <w:rPr>
          <w:rFonts w:cs="Arial"/>
          <w:lang w:val="es-ES"/>
        </w:rPr>
        <w:t xml:space="preserve">Acusación particular de Patricia Trujillo Esparza presentada el 4 de enero de 1993 </w:t>
      </w:r>
      <w:r w:rsidRPr="00CF1787">
        <w:rPr>
          <w:lang w:val="es-CL"/>
        </w:rPr>
        <w:t>(expediente de prueba, folios 147 a 151).</w:t>
      </w:r>
    </w:p>
  </w:footnote>
  <w:footnote w:id="88">
    <w:p w14:paraId="7490B8A5" w14:textId="2A89BCE8" w:rsidR="00935D08" w:rsidRPr="00CF1787" w:rsidRDefault="00935D08" w:rsidP="00CA1834">
      <w:pPr>
        <w:pStyle w:val="FootnoteText"/>
        <w:tabs>
          <w:tab w:val="left" w:pos="426"/>
        </w:tabs>
        <w:spacing w:before="120" w:after="120"/>
        <w:rPr>
          <w:rFonts w:cs="Arial"/>
          <w:bCs/>
        </w:rPr>
      </w:pPr>
      <w:r w:rsidRPr="00CF1787">
        <w:rPr>
          <w:rStyle w:val="FootnoteReference"/>
        </w:rPr>
        <w:footnoteRef/>
      </w:r>
      <w:r w:rsidRPr="00CF1787">
        <w:t xml:space="preserve"> </w:t>
      </w:r>
      <w:r w:rsidRPr="00CF1787">
        <w:tab/>
      </w:r>
      <w:r w:rsidRPr="00CF1787">
        <w:rPr>
          <w:rFonts w:cs="Arial"/>
          <w:bCs/>
        </w:rPr>
        <w:t xml:space="preserve">El 20 de enero de 1993 desistió de dicha acción en lo referente al capitán. El 19 de julio de 1993 la señora Patricia Trujillo Esparza desistió de la acusación propuesta en contra de los dos subtenientes, ya que “el hecho no </w:t>
      </w:r>
      <w:proofErr w:type="spellStart"/>
      <w:proofErr w:type="gramStart"/>
      <w:r w:rsidRPr="00CF1787">
        <w:rPr>
          <w:rFonts w:cs="Arial"/>
          <w:bCs/>
        </w:rPr>
        <w:t>e</w:t>
      </w:r>
      <w:proofErr w:type="spellEnd"/>
      <w:r w:rsidRPr="00CF1787">
        <w:rPr>
          <w:rFonts w:cs="Arial"/>
          <w:bCs/>
        </w:rPr>
        <w:t>[</w:t>
      </w:r>
      <w:proofErr w:type="spellStart"/>
      <w:proofErr w:type="gramEnd"/>
      <w:r w:rsidRPr="00CF1787">
        <w:rPr>
          <w:rFonts w:cs="Arial"/>
          <w:bCs/>
        </w:rPr>
        <w:t>ra</w:t>
      </w:r>
      <w:proofErr w:type="spellEnd"/>
      <w:r w:rsidRPr="00CF1787">
        <w:rPr>
          <w:rFonts w:cs="Arial"/>
          <w:bCs/>
        </w:rPr>
        <w:t xml:space="preserve">] criminal”. </w:t>
      </w:r>
      <w:r w:rsidRPr="00CF1787">
        <w:rPr>
          <w:lang w:val="es-CR"/>
        </w:rPr>
        <w:t xml:space="preserve">Escrito de desistimiento de la señora Patricia Trujillo Esparza de 20 de enero de 1993 (expediente de prueba, folio 153); escrito de desistimiento de la señora Patricia Trujillo Esparza de </w:t>
      </w:r>
      <w:r w:rsidRPr="00CF1787">
        <w:rPr>
          <w:rFonts w:cs="Arial"/>
          <w:lang w:val="es-ES"/>
        </w:rPr>
        <w:t xml:space="preserve">19 de julio de 1993 </w:t>
      </w:r>
      <w:r w:rsidRPr="00CF1787">
        <w:rPr>
          <w:lang w:val="es-CR"/>
        </w:rPr>
        <w:t xml:space="preserve">(expediente de prueba, folio 167); </w:t>
      </w:r>
      <w:r w:rsidRPr="00CF1787">
        <w:t xml:space="preserve">razón del Secretario del Juzgado Segundo de la Policía Nacional de 13 de agosto de 1993 </w:t>
      </w:r>
      <w:r w:rsidRPr="00CF1787">
        <w:rPr>
          <w:lang w:val="es-CR"/>
        </w:rPr>
        <w:t>(expediente de prueba, folio 169); escrito de Patricia Trujillo Esparza de 1 de septiembre de 1993 (expediente de prueba, folio 171); e</w:t>
      </w:r>
      <w:proofErr w:type="spellStart"/>
      <w:r w:rsidRPr="00CF1787">
        <w:rPr>
          <w:rFonts w:cs="Arial"/>
          <w:lang w:val="es-ES"/>
        </w:rPr>
        <w:t>scrito</w:t>
      </w:r>
      <w:proofErr w:type="spellEnd"/>
      <w:r w:rsidRPr="00CF1787">
        <w:rPr>
          <w:rFonts w:cs="Arial"/>
          <w:lang w:val="es-ES"/>
        </w:rPr>
        <w:t xml:space="preserve"> de desistimiento de Patricia Trujillo Esparza de 2 de septiembre de 1993 (expediente de prueba, folios 173 y 174), y resolución del Juzgado Segundo de Distrito de la Policía Nacional de 24 de septiembre de 1993 </w:t>
      </w:r>
      <w:r w:rsidRPr="00CF1787">
        <w:rPr>
          <w:lang w:val="es-CL"/>
        </w:rPr>
        <w:t>(expediente de prueba, folio 178).</w:t>
      </w:r>
      <w:r w:rsidRPr="00CF1787">
        <w:rPr>
          <w:rFonts w:cs="Arial"/>
          <w:lang w:val="es-ES"/>
        </w:rPr>
        <w:t xml:space="preserve"> </w:t>
      </w:r>
      <w:r w:rsidRPr="00CF1787">
        <w:t xml:space="preserve"> </w:t>
      </w:r>
    </w:p>
  </w:footnote>
  <w:footnote w:id="89">
    <w:p w14:paraId="6F0894B0" w14:textId="77777777" w:rsidR="00935D08" w:rsidRPr="00CF1787" w:rsidRDefault="00935D08" w:rsidP="00CA1834">
      <w:pPr>
        <w:pStyle w:val="FootnoteText"/>
        <w:tabs>
          <w:tab w:val="left" w:pos="426"/>
        </w:tabs>
        <w:spacing w:before="120" w:after="120"/>
        <w:rPr>
          <w:i/>
          <w:lang w:val="es-CL"/>
        </w:rPr>
      </w:pPr>
      <w:r w:rsidRPr="00CF1787">
        <w:rPr>
          <w:rStyle w:val="FootnoteReference"/>
          <w:rFonts w:eastAsia="MS Mincho"/>
        </w:rPr>
        <w:footnoteRef/>
      </w:r>
      <w:r w:rsidRPr="00CF1787">
        <w:t xml:space="preserve"> </w:t>
      </w:r>
      <w:r w:rsidRPr="00CF1787">
        <w:rPr>
          <w:lang w:val="es-CL"/>
        </w:rPr>
        <w:tab/>
      </w:r>
      <w:r w:rsidRPr="00CF1787">
        <w:rPr>
          <w:i/>
          <w:lang w:val="es-CL"/>
        </w:rPr>
        <w:t xml:space="preserve">Cfr. </w:t>
      </w:r>
      <w:r w:rsidRPr="00CF1787">
        <w:rPr>
          <w:rFonts w:cs="Arial"/>
          <w:lang w:val="es-ES"/>
        </w:rPr>
        <w:t xml:space="preserve">Resolución del Juzgado Segundo de Distrito de la Policía Nacional de 3 de marzo de 1993 </w:t>
      </w:r>
      <w:r w:rsidRPr="00CF1787">
        <w:rPr>
          <w:lang w:val="es-CL"/>
        </w:rPr>
        <w:t xml:space="preserve">(expediente de prueba, folio 162 y 163). Posteriormente el Juez </w:t>
      </w:r>
      <w:r w:rsidRPr="00CF1787">
        <w:rPr>
          <w:rFonts w:cs="Arial"/>
          <w:bCs/>
        </w:rPr>
        <w:t xml:space="preserve">Segundo Distrito de la Policía Nacional se inhibió de conocer sobre las responsabilidades de dos de los sindicados por no ser miembros de la institución policial. </w:t>
      </w:r>
      <w:r w:rsidRPr="00CF1787">
        <w:rPr>
          <w:rFonts w:cs="Arial"/>
          <w:bCs/>
          <w:i/>
        </w:rPr>
        <w:t xml:space="preserve">Cfr. </w:t>
      </w:r>
      <w:r w:rsidRPr="00CF1787">
        <w:rPr>
          <w:rFonts w:cs="Arial"/>
          <w:lang w:val="es-ES"/>
        </w:rPr>
        <w:t xml:space="preserve">Resolución del Juzgado Segundo de Distrito de la Policía Nacional de 11 de febrero de 1994 </w:t>
      </w:r>
      <w:r w:rsidRPr="00CF1787">
        <w:rPr>
          <w:lang w:val="es-CL"/>
        </w:rPr>
        <w:t>(expediente de prueba, folio 190), y</w:t>
      </w:r>
      <w:r w:rsidRPr="00CF1787">
        <w:rPr>
          <w:i/>
          <w:lang w:val="es-CL"/>
        </w:rPr>
        <w:t xml:space="preserve"> </w:t>
      </w:r>
      <w:r w:rsidRPr="00CF1787">
        <w:rPr>
          <w:lang w:val="es-ES"/>
        </w:rPr>
        <w:t xml:space="preserve">resolución del Juzgado del Segundo Distrito de la Policía Nacional de 11 de noviembre de 1996 </w:t>
      </w:r>
      <w:r w:rsidRPr="00CF1787">
        <w:rPr>
          <w:lang w:val="es-CL"/>
        </w:rPr>
        <w:t>(expediente de prueba, folio 285)</w:t>
      </w:r>
      <w:r w:rsidRPr="00CF1787">
        <w:rPr>
          <w:rFonts w:cs="Arial"/>
          <w:lang w:val="es-ES"/>
        </w:rPr>
        <w:t>.</w:t>
      </w:r>
    </w:p>
  </w:footnote>
  <w:footnote w:id="90">
    <w:p w14:paraId="373D22CB" w14:textId="77777777" w:rsidR="00935D08" w:rsidRPr="00CF1787" w:rsidRDefault="00935D08" w:rsidP="00CA1834">
      <w:pPr>
        <w:pStyle w:val="FootnoteText"/>
        <w:tabs>
          <w:tab w:val="clear" w:pos="567"/>
          <w:tab w:val="left" w:pos="426"/>
        </w:tabs>
        <w:spacing w:before="120" w:after="120"/>
        <w:rPr>
          <w:i/>
        </w:rPr>
      </w:pPr>
      <w:r w:rsidRPr="00CF1787">
        <w:rPr>
          <w:rStyle w:val="FootnoteReference"/>
        </w:rPr>
        <w:footnoteRef/>
      </w:r>
      <w:r w:rsidRPr="00CF1787">
        <w:t xml:space="preserve"> </w:t>
      </w:r>
      <w:r w:rsidRPr="00CF1787">
        <w:tab/>
      </w:r>
      <w:r w:rsidRPr="00CF1787">
        <w:rPr>
          <w:i/>
        </w:rPr>
        <w:t xml:space="preserve">Cfr. </w:t>
      </w:r>
      <w:r w:rsidRPr="00CF1787">
        <w:rPr>
          <w:rFonts w:cs="Arial"/>
          <w:lang w:val="es-ES"/>
        </w:rPr>
        <w:t xml:space="preserve">Resolución del Juzgado del Segundo Distrito de la Policía Nacional de 30 de junio de 1994  </w:t>
      </w:r>
      <w:r w:rsidRPr="00CF1787">
        <w:rPr>
          <w:lang w:val="es-CL"/>
        </w:rPr>
        <w:t>(expediente de prueba, folio 224).</w:t>
      </w:r>
      <w:r w:rsidRPr="00CF1787">
        <w:rPr>
          <w:rFonts w:cs="Arial"/>
          <w:lang w:val="es-ES"/>
        </w:rPr>
        <w:t xml:space="preserve"> </w:t>
      </w:r>
      <w:r w:rsidRPr="00CF1787">
        <w:t xml:space="preserve"> </w:t>
      </w:r>
    </w:p>
  </w:footnote>
  <w:footnote w:id="91">
    <w:p w14:paraId="3F6C8D27" w14:textId="77777777" w:rsidR="00935D08" w:rsidRPr="00CF1787" w:rsidRDefault="00935D08" w:rsidP="00CA1834">
      <w:pPr>
        <w:pStyle w:val="FootnoteText"/>
        <w:tabs>
          <w:tab w:val="left" w:pos="426"/>
        </w:tabs>
        <w:spacing w:before="120" w:after="120"/>
        <w:rPr>
          <w:b/>
          <w:i/>
          <w:lang w:val="es-CL"/>
        </w:rPr>
      </w:pPr>
      <w:r w:rsidRPr="00CF1787">
        <w:rPr>
          <w:rStyle w:val="FootnoteReference"/>
          <w:rFonts w:eastAsia="MS Mincho"/>
        </w:rPr>
        <w:footnoteRef/>
      </w:r>
      <w:r w:rsidRPr="00CF1787">
        <w:t xml:space="preserve"> </w:t>
      </w:r>
      <w:r w:rsidRPr="00CF1787">
        <w:rPr>
          <w:lang w:val="es-CL"/>
        </w:rPr>
        <w:tab/>
        <w:t xml:space="preserve">En dicho dictamen, se concluye </w:t>
      </w:r>
      <w:r w:rsidRPr="00CF1787">
        <w:rPr>
          <w:rFonts w:cs="Arial"/>
          <w:bCs/>
        </w:rPr>
        <w:t xml:space="preserve">que “en virtud del principio </w:t>
      </w:r>
      <w:r w:rsidRPr="00CF1787">
        <w:rPr>
          <w:rFonts w:cs="Arial"/>
          <w:bCs/>
          <w:i/>
        </w:rPr>
        <w:t>in dubio pro reo</w:t>
      </w:r>
      <w:r w:rsidRPr="00CF1787">
        <w:rPr>
          <w:rFonts w:cs="Arial"/>
          <w:bCs/>
        </w:rPr>
        <w:t>, e[l] Ministerio Público se abstiene de acusar a los sindicados Subtenientes […] y los [tres] policías nacionales […]”.</w:t>
      </w:r>
      <w:r w:rsidRPr="00CF1787">
        <w:rPr>
          <w:i/>
          <w:lang w:val="es-CL"/>
        </w:rPr>
        <w:t xml:space="preserve"> </w:t>
      </w:r>
      <w:r w:rsidRPr="00CF1787">
        <w:rPr>
          <w:rFonts w:cs="Arial"/>
          <w:lang w:val="es-ES"/>
        </w:rPr>
        <w:t xml:space="preserve">Dictamen de la fiscalía presentado en el Juzgado del Segundo Distrito de la Policía Nacional el 3 de agosto de 1994 </w:t>
      </w:r>
      <w:r w:rsidRPr="00CF1787">
        <w:rPr>
          <w:lang w:val="es-CL"/>
        </w:rPr>
        <w:t xml:space="preserve">(expediente de prueba, folios </w:t>
      </w:r>
      <w:r w:rsidRPr="00CF1787">
        <w:rPr>
          <w:lang w:val="es-ES"/>
        </w:rPr>
        <w:t>238 y 239</w:t>
      </w:r>
      <w:r w:rsidRPr="00CF1787">
        <w:rPr>
          <w:lang w:val="es-CL"/>
        </w:rPr>
        <w:t>)</w:t>
      </w:r>
      <w:r w:rsidRPr="00CF1787">
        <w:rPr>
          <w:rFonts w:cs="Arial"/>
          <w:lang w:val="es-ES"/>
        </w:rPr>
        <w:t>.</w:t>
      </w:r>
    </w:p>
  </w:footnote>
  <w:footnote w:id="92">
    <w:p w14:paraId="426FEEFA" w14:textId="77777777" w:rsidR="00935D08" w:rsidRPr="00CF1787" w:rsidRDefault="00935D08" w:rsidP="00CA1834">
      <w:pPr>
        <w:pStyle w:val="FootnoteText"/>
        <w:tabs>
          <w:tab w:val="left" w:pos="426"/>
        </w:tabs>
        <w:spacing w:before="120" w:after="120"/>
        <w:rPr>
          <w:i/>
          <w:lang w:val="es-ES"/>
        </w:rPr>
      </w:pPr>
      <w:r w:rsidRPr="00CF1787">
        <w:rPr>
          <w:rStyle w:val="FootnoteReference"/>
          <w:rFonts w:eastAsia="MS Mincho"/>
        </w:rPr>
        <w:footnoteRef/>
      </w:r>
      <w:r w:rsidRPr="00CF1787">
        <w:t xml:space="preserve"> </w:t>
      </w:r>
      <w:r w:rsidRPr="00CF1787">
        <w:rPr>
          <w:lang w:val="es-CL"/>
        </w:rPr>
        <w:tab/>
      </w:r>
      <w:r w:rsidRPr="00CF1787">
        <w:rPr>
          <w:i/>
          <w:lang w:val="es-CL"/>
        </w:rPr>
        <w:t xml:space="preserve">Cfr. </w:t>
      </w:r>
      <w:r w:rsidRPr="00CF1787">
        <w:rPr>
          <w:rFonts w:cs="Arial"/>
          <w:lang w:val="es-ES"/>
        </w:rPr>
        <w:t xml:space="preserve">Resolución del Juzgado del Segundo Distrito de la Policía Nacional de 16 de agosto de 1994 </w:t>
      </w:r>
      <w:r w:rsidRPr="00CF1787">
        <w:rPr>
          <w:lang w:val="es-CL"/>
        </w:rPr>
        <w:t xml:space="preserve">(expediente de prueba, folios </w:t>
      </w:r>
      <w:r w:rsidRPr="00CF1787">
        <w:rPr>
          <w:lang w:val="es-ES"/>
        </w:rPr>
        <w:t>242 a 258</w:t>
      </w:r>
      <w:r w:rsidRPr="00CF1787">
        <w:rPr>
          <w:lang w:val="es-CL"/>
        </w:rPr>
        <w:t>)</w:t>
      </w:r>
      <w:r w:rsidRPr="00CF1787">
        <w:rPr>
          <w:rFonts w:cs="Arial"/>
          <w:lang w:val="es-ES"/>
        </w:rPr>
        <w:t>.</w:t>
      </w:r>
    </w:p>
  </w:footnote>
  <w:footnote w:id="93">
    <w:p w14:paraId="5B2FD68B" w14:textId="642D56AD" w:rsidR="00935D08" w:rsidRPr="00CF1787" w:rsidRDefault="00935D08" w:rsidP="00CA1834">
      <w:pPr>
        <w:pStyle w:val="FootnoteText"/>
        <w:tabs>
          <w:tab w:val="left" w:pos="426"/>
        </w:tabs>
        <w:spacing w:before="120" w:after="120"/>
        <w:rPr>
          <w:lang w:val="es-CL"/>
        </w:rPr>
      </w:pPr>
      <w:r w:rsidRPr="00CF1787">
        <w:rPr>
          <w:rStyle w:val="FootnoteReference"/>
          <w:rFonts w:eastAsia="MS Mincho"/>
        </w:rPr>
        <w:footnoteRef/>
      </w:r>
      <w:r w:rsidRPr="00CF1787">
        <w:t xml:space="preserve"> </w:t>
      </w:r>
      <w:r w:rsidRPr="00CF1787">
        <w:tab/>
        <w:t xml:space="preserve">De acuerdo a la </w:t>
      </w:r>
      <w:r w:rsidRPr="00CF1787">
        <w:rPr>
          <w:rFonts w:cs="Arial"/>
          <w:lang w:val="es-ES"/>
        </w:rPr>
        <w:t xml:space="preserve">Primera Corte Distrital de la Policía Nacional, el </w:t>
      </w:r>
      <w:r w:rsidRPr="00CF1787">
        <w:rPr>
          <w:rFonts w:cs="Arial"/>
          <w:bCs/>
        </w:rPr>
        <w:t xml:space="preserve">desistimiento incumplía la ley porque solo era posible si los acusados hubiesen consentido expresamente en ello, dentro del proceso (artículo 47 del Código de Procedimiento Penal Común), así como también con base en que al dictarse un auto de sobreseimiento definitivo, el juez estaba obligado a declarar si la acusación particular fue maliciosa o temeraria, acto que tampoco se cumplió. </w:t>
      </w:r>
      <w:r w:rsidRPr="00CF1787">
        <w:rPr>
          <w:i/>
          <w:lang w:val="es-CL"/>
        </w:rPr>
        <w:t xml:space="preserve">Cfr. </w:t>
      </w:r>
      <w:r w:rsidRPr="00CF1787">
        <w:rPr>
          <w:rFonts w:cs="Arial"/>
          <w:lang w:val="es-ES"/>
        </w:rPr>
        <w:t xml:space="preserve">Sentencia de la Primera Corte Distrital de la Policía Nacional de 20 de diciembre de 1994 </w:t>
      </w:r>
      <w:r w:rsidRPr="00CF1787">
        <w:rPr>
          <w:lang w:val="es-CL"/>
        </w:rPr>
        <w:t xml:space="preserve">(expediente de prueba, folio </w:t>
      </w:r>
      <w:r w:rsidRPr="00CF1787">
        <w:rPr>
          <w:lang w:val="es-ES"/>
        </w:rPr>
        <w:t>260</w:t>
      </w:r>
      <w:r w:rsidRPr="00CF1787">
        <w:rPr>
          <w:lang w:val="es-CL"/>
        </w:rPr>
        <w:t>)</w:t>
      </w:r>
      <w:r w:rsidRPr="00CF1787">
        <w:rPr>
          <w:rFonts w:cs="Arial"/>
          <w:lang w:val="es-ES"/>
        </w:rPr>
        <w:t>.</w:t>
      </w:r>
      <w:r w:rsidRPr="00CF1787">
        <w:rPr>
          <w:lang w:val="es-CL"/>
        </w:rPr>
        <w:tab/>
      </w:r>
    </w:p>
  </w:footnote>
  <w:footnote w:id="94">
    <w:p w14:paraId="554677A6" w14:textId="77777777" w:rsidR="00935D08" w:rsidRPr="00CF1787" w:rsidRDefault="00935D08" w:rsidP="00CA1834">
      <w:pPr>
        <w:pStyle w:val="FootnoteText"/>
        <w:tabs>
          <w:tab w:val="left" w:pos="426"/>
        </w:tabs>
        <w:spacing w:before="120" w:after="120"/>
        <w:rPr>
          <w:i/>
          <w:lang w:val="es-CL"/>
        </w:rPr>
      </w:pPr>
      <w:r w:rsidRPr="00CF1787">
        <w:rPr>
          <w:rStyle w:val="FootnoteReference"/>
          <w:rFonts w:eastAsia="MS Mincho"/>
        </w:rPr>
        <w:footnoteRef/>
      </w:r>
      <w:r w:rsidRPr="00CF1787">
        <w:t xml:space="preserve"> </w:t>
      </w:r>
      <w:r w:rsidRPr="00CF1787">
        <w:rPr>
          <w:lang w:val="es-CL"/>
        </w:rPr>
        <w:tab/>
      </w:r>
      <w:r w:rsidRPr="00CF1787">
        <w:rPr>
          <w:i/>
          <w:lang w:val="es-CL"/>
        </w:rPr>
        <w:t>Cfr.</w:t>
      </w:r>
      <w:r w:rsidRPr="00CF1787">
        <w:rPr>
          <w:lang w:val="es-CL"/>
        </w:rPr>
        <w:t xml:space="preserve"> </w:t>
      </w:r>
      <w:r w:rsidRPr="00CF1787">
        <w:rPr>
          <w:lang w:val="es-ES"/>
        </w:rPr>
        <w:t xml:space="preserve">Dictamen del Fiscal del Segundo Distrito de la Policía Nacional de 1 de octubre de 1996 </w:t>
      </w:r>
      <w:r w:rsidRPr="00CF1787">
        <w:rPr>
          <w:lang w:val="es-CL"/>
        </w:rPr>
        <w:t xml:space="preserve">(expediente de prueba, folio </w:t>
      </w:r>
      <w:r w:rsidRPr="00CF1787">
        <w:rPr>
          <w:lang w:val="es-ES"/>
        </w:rPr>
        <w:t>274</w:t>
      </w:r>
      <w:r w:rsidRPr="00CF1787">
        <w:rPr>
          <w:lang w:val="es-CL"/>
        </w:rPr>
        <w:t>)</w:t>
      </w:r>
      <w:r w:rsidRPr="00CF1787">
        <w:rPr>
          <w:rFonts w:cs="Arial"/>
          <w:lang w:val="es-ES"/>
        </w:rPr>
        <w:t>.</w:t>
      </w:r>
    </w:p>
  </w:footnote>
  <w:footnote w:id="95">
    <w:p w14:paraId="0B68FD64"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lang w:val="es-CL"/>
        </w:rPr>
        <w:t xml:space="preserve">Cfr. </w:t>
      </w:r>
      <w:r w:rsidRPr="00CF1787">
        <w:rPr>
          <w:lang w:val="es-ES"/>
        </w:rPr>
        <w:t xml:space="preserve">Resolución del Juzgado del Segundo Distrito de la Policía Nacional de 11 de noviembre de 1996 </w:t>
      </w:r>
      <w:r w:rsidRPr="00CF1787">
        <w:rPr>
          <w:lang w:val="es-CL"/>
        </w:rPr>
        <w:t xml:space="preserve">(expediente de prueba, folios </w:t>
      </w:r>
      <w:r w:rsidRPr="00CF1787">
        <w:rPr>
          <w:lang w:val="es-ES"/>
        </w:rPr>
        <w:t>285 y 286</w:t>
      </w:r>
      <w:r w:rsidRPr="00CF1787">
        <w:rPr>
          <w:lang w:val="es-CL"/>
        </w:rPr>
        <w:t>)</w:t>
      </w:r>
      <w:r w:rsidRPr="00CF1787">
        <w:rPr>
          <w:rFonts w:cs="Arial"/>
          <w:lang w:val="es-ES"/>
        </w:rPr>
        <w:t>. Respecto a dos de los encausados señaló que “no constan en el escalafón de la Institución, por lo que se ha mandado a conocimiento del Fuero Común”.</w:t>
      </w:r>
    </w:p>
  </w:footnote>
  <w:footnote w:id="96">
    <w:p w14:paraId="55CD8FE3" w14:textId="77777777" w:rsidR="00935D08" w:rsidRPr="00CF1787" w:rsidRDefault="00935D08" w:rsidP="00CA1834">
      <w:pPr>
        <w:pStyle w:val="FootnoteText"/>
        <w:tabs>
          <w:tab w:val="left" w:pos="426"/>
        </w:tabs>
        <w:spacing w:before="120" w:after="120"/>
        <w:rPr>
          <w:i/>
          <w:lang w:val="es-CL"/>
        </w:rPr>
      </w:pPr>
      <w:r w:rsidRPr="00CF1787">
        <w:rPr>
          <w:rStyle w:val="FootnoteReference"/>
          <w:rFonts w:eastAsia="MS Mincho"/>
        </w:rPr>
        <w:footnoteRef/>
      </w:r>
      <w:r w:rsidRPr="00CF1787">
        <w:t xml:space="preserve"> </w:t>
      </w:r>
      <w:r w:rsidRPr="00CF1787">
        <w:rPr>
          <w:lang w:val="es-CL"/>
        </w:rPr>
        <w:tab/>
      </w:r>
      <w:r w:rsidRPr="00CF1787">
        <w:rPr>
          <w:i/>
          <w:lang w:val="es-CL"/>
        </w:rPr>
        <w:t xml:space="preserve">Cfr. </w:t>
      </w:r>
      <w:r w:rsidRPr="00CF1787">
        <w:rPr>
          <w:lang w:val="es-ES"/>
        </w:rPr>
        <w:t xml:space="preserve">Sentencia de la Primera Corte Distrital de la Policía Nacional de 5 de marzo de 1997 </w:t>
      </w:r>
      <w:r w:rsidRPr="00CF1787">
        <w:rPr>
          <w:lang w:val="es-CL"/>
        </w:rPr>
        <w:t xml:space="preserve">(expediente de prueba, folio </w:t>
      </w:r>
      <w:r w:rsidRPr="00CF1787">
        <w:rPr>
          <w:lang w:val="es-ES"/>
        </w:rPr>
        <w:t>10</w:t>
      </w:r>
      <w:r w:rsidRPr="00CF1787">
        <w:rPr>
          <w:lang w:val="es-CL"/>
        </w:rPr>
        <w:t>)</w:t>
      </w:r>
      <w:r w:rsidRPr="00CF1787">
        <w:rPr>
          <w:rFonts w:cs="Arial"/>
          <w:lang w:val="es-ES"/>
        </w:rPr>
        <w:t>.</w:t>
      </w:r>
    </w:p>
  </w:footnote>
  <w:footnote w:id="97">
    <w:p w14:paraId="4A15D7E6" w14:textId="4E852334" w:rsidR="00935D08" w:rsidRPr="00CF1787" w:rsidRDefault="00935D08" w:rsidP="00CA1834">
      <w:pPr>
        <w:pStyle w:val="FootnoteText"/>
        <w:tabs>
          <w:tab w:val="left" w:pos="426"/>
        </w:tabs>
        <w:spacing w:before="120" w:after="120"/>
        <w:rPr>
          <w:i/>
          <w:lang w:val="es-CL"/>
        </w:rPr>
      </w:pPr>
      <w:r w:rsidRPr="00CF1787">
        <w:rPr>
          <w:rStyle w:val="FootnoteReference"/>
          <w:rFonts w:eastAsia="MS Mincho"/>
        </w:rPr>
        <w:footnoteRef/>
      </w:r>
      <w:r w:rsidRPr="00CF1787">
        <w:t xml:space="preserve"> </w:t>
      </w:r>
      <w:r w:rsidRPr="00CF1787">
        <w:rPr>
          <w:lang w:val="es-CL"/>
        </w:rPr>
        <w:tab/>
      </w:r>
      <w:r w:rsidRPr="00CF1787">
        <w:rPr>
          <w:i/>
          <w:lang w:val="es-CL"/>
        </w:rPr>
        <w:t xml:space="preserve">Cfr. </w:t>
      </w:r>
      <w:r w:rsidRPr="00CF1787">
        <w:rPr>
          <w:lang w:val="es-ES"/>
        </w:rPr>
        <w:t xml:space="preserve">Sentencia de la Primera Corte Distrital de la Policía Nacional de 5 de marzo de 1997 </w:t>
      </w:r>
      <w:r w:rsidRPr="00CF1787">
        <w:rPr>
          <w:lang w:val="es-CL"/>
        </w:rPr>
        <w:t xml:space="preserve">(expediente de prueba, folio </w:t>
      </w:r>
      <w:r w:rsidRPr="00CF1787">
        <w:rPr>
          <w:lang w:val="es-ES"/>
        </w:rPr>
        <w:t>10</w:t>
      </w:r>
      <w:r w:rsidRPr="00CF1787">
        <w:rPr>
          <w:lang w:val="es-CL"/>
        </w:rPr>
        <w:t>)</w:t>
      </w:r>
      <w:r w:rsidRPr="00CF1787">
        <w:rPr>
          <w:rFonts w:cs="Arial"/>
          <w:lang w:val="es-ES"/>
        </w:rPr>
        <w:t>.</w:t>
      </w:r>
    </w:p>
  </w:footnote>
  <w:footnote w:id="98">
    <w:p w14:paraId="430863A1" w14:textId="77777777" w:rsidR="00935D08" w:rsidRPr="00CF1787" w:rsidRDefault="00935D08" w:rsidP="00CA1834">
      <w:pPr>
        <w:pStyle w:val="FootnoteText"/>
        <w:tabs>
          <w:tab w:val="clear" w:pos="567"/>
          <w:tab w:val="left" w:pos="426"/>
        </w:tabs>
        <w:spacing w:before="120" w:after="120"/>
        <w:rPr>
          <w:i/>
          <w:color w:val="FF0000"/>
          <w:lang w:val="es-CL"/>
        </w:rPr>
      </w:pPr>
      <w:r w:rsidRPr="00CF1787">
        <w:rPr>
          <w:rStyle w:val="FootnoteReference"/>
          <w:rFonts w:eastAsia="MS Mincho"/>
        </w:rPr>
        <w:footnoteRef/>
      </w:r>
      <w:r w:rsidRPr="00CF1787">
        <w:t xml:space="preserve"> </w:t>
      </w:r>
      <w:r w:rsidRPr="00CF1787">
        <w:rPr>
          <w:lang w:val="es-CL"/>
        </w:rPr>
        <w:tab/>
      </w:r>
      <w:r w:rsidRPr="00CF1787">
        <w:rPr>
          <w:lang w:val="es-ES"/>
        </w:rPr>
        <w:t xml:space="preserve">Sentencia de la Primera Corte Distrital de la Policía Nacional de 5 de marzo de 1997 </w:t>
      </w:r>
      <w:r w:rsidRPr="00CF1787">
        <w:rPr>
          <w:lang w:val="es-CL"/>
        </w:rPr>
        <w:t xml:space="preserve">(expediente de prueba, folio </w:t>
      </w:r>
      <w:r w:rsidRPr="00CF1787">
        <w:rPr>
          <w:lang w:val="es-ES"/>
        </w:rPr>
        <w:t>20</w:t>
      </w:r>
      <w:r w:rsidRPr="00CF1787">
        <w:rPr>
          <w:lang w:val="es-CL"/>
        </w:rPr>
        <w:t>)</w:t>
      </w:r>
      <w:r w:rsidRPr="00CF1787">
        <w:rPr>
          <w:rFonts w:cs="Arial"/>
          <w:lang w:val="es-ES"/>
        </w:rPr>
        <w:t>.</w:t>
      </w:r>
    </w:p>
  </w:footnote>
  <w:footnote w:id="99">
    <w:p w14:paraId="33E2DF7F" w14:textId="39C7F236" w:rsidR="00935D08" w:rsidRPr="00CF1787" w:rsidRDefault="00935D08" w:rsidP="00CA1834">
      <w:pPr>
        <w:pStyle w:val="FootnoteText"/>
        <w:tabs>
          <w:tab w:val="left" w:pos="426"/>
        </w:tabs>
        <w:spacing w:before="120" w:after="120"/>
      </w:pPr>
      <w:r w:rsidRPr="00CF1787">
        <w:rPr>
          <w:rStyle w:val="FootnoteReference"/>
        </w:rPr>
        <w:footnoteRef/>
      </w:r>
      <w:r w:rsidRPr="00CF1787">
        <w:rPr>
          <w:lang w:val="es-CR"/>
        </w:rPr>
        <w:t xml:space="preserve"> </w:t>
      </w:r>
      <w:r w:rsidRPr="00CF1787">
        <w:rPr>
          <w:lang w:val="es-CR"/>
        </w:rPr>
        <w:tab/>
      </w:r>
      <w:r w:rsidRPr="00CF1787">
        <w:rPr>
          <w:i/>
          <w:lang w:val="es-CR"/>
        </w:rPr>
        <w:t xml:space="preserve">Cfr. </w:t>
      </w:r>
      <w:hyperlink r:id="rId2" w:history="1">
        <w:r w:rsidRPr="00CF1787">
          <w:rPr>
            <w:i/>
          </w:rPr>
          <w:t>Responsabilidad Internacional por Expedición y Aplicación de Leyes Violatorias de la Convención</w:t>
        </w:r>
      </w:hyperlink>
      <w:r w:rsidRPr="00CF1787">
        <w:rPr>
          <w:i/>
        </w:rPr>
        <w:t xml:space="preserve"> (Arts. 1 y 2 Convención Americana Sobre Derechos Humanos)</w:t>
      </w:r>
      <w:r w:rsidRPr="00CF1787">
        <w:t xml:space="preserve">, Opinión Consultiva OC-14/94 del 9 de diciembre de 1994, Serie A No. 14, párr. 35, y </w:t>
      </w:r>
      <w:r w:rsidRPr="00CF1787">
        <w:rPr>
          <w:i/>
        </w:rPr>
        <w:t>Caso Cabrera García y Montiel Flores Vs. México</w:t>
      </w:r>
      <w:r w:rsidRPr="00CF1787">
        <w:rPr>
          <w:i/>
          <w:lang w:val="es-ES"/>
        </w:rPr>
        <w:t>, supra</w:t>
      </w:r>
      <w:r w:rsidRPr="00CF1787">
        <w:t>, párr. 125.</w:t>
      </w:r>
    </w:p>
  </w:footnote>
  <w:footnote w:id="100">
    <w:p w14:paraId="0BD71240" w14:textId="73A2EA10" w:rsidR="00935D08" w:rsidRPr="00CF1787" w:rsidRDefault="00935D08" w:rsidP="00CA1834">
      <w:pPr>
        <w:pStyle w:val="FootnoteText"/>
        <w:tabs>
          <w:tab w:val="clear" w:pos="567"/>
          <w:tab w:val="left" w:pos="426"/>
        </w:tabs>
      </w:pPr>
      <w:r w:rsidRPr="00CF1787">
        <w:rPr>
          <w:rStyle w:val="FootnoteReference"/>
        </w:rPr>
        <w:footnoteRef/>
      </w:r>
      <w:r w:rsidRPr="00CF1787">
        <w:t xml:space="preserve">  </w:t>
      </w:r>
      <w:r w:rsidRPr="00CF1787">
        <w:tab/>
        <w:t xml:space="preserve">El artículo 27 de la Convención de Viena sobre el Derecho de los Tratados establece que: </w:t>
      </w:r>
      <w:r w:rsidRPr="00CF1787">
        <w:rPr>
          <w:bCs/>
          <w:color w:val="000000"/>
          <w:shd w:val="clear" w:color="auto" w:fill="FFFFFF"/>
        </w:rPr>
        <w:t>“</w:t>
      </w:r>
      <w:r w:rsidRPr="00CF1787">
        <w:rPr>
          <w:color w:val="000000"/>
          <w:shd w:val="clear" w:color="auto" w:fill="FFFFFF"/>
        </w:rPr>
        <w:t>Una parte no podrá invocar las disposiciones de su derecho interno como justificación del incumplimiento de un tratado. Esta norma se entenderá sin perjuicio de lo dispuesto en el artículo 46”.</w:t>
      </w:r>
    </w:p>
  </w:footnote>
  <w:footnote w:id="101">
    <w:p w14:paraId="098A68D8" w14:textId="3DED3DED" w:rsidR="00935D08" w:rsidRPr="00CF1787" w:rsidRDefault="00935D08" w:rsidP="00CA1834">
      <w:pPr>
        <w:pStyle w:val="FootnoteText"/>
        <w:tabs>
          <w:tab w:val="clear" w:pos="567"/>
          <w:tab w:val="left" w:pos="426"/>
        </w:tabs>
        <w:spacing w:before="120" w:after="120"/>
        <w:rPr>
          <w:rFonts w:cs="Tahoma"/>
          <w:color w:val="000000"/>
        </w:rPr>
      </w:pPr>
      <w:r w:rsidRPr="00CF1787">
        <w:rPr>
          <w:rStyle w:val="FootnoteReference"/>
        </w:rPr>
        <w:footnoteRef/>
      </w:r>
      <w:r w:rsidRPr="00CF1787">
        <w:t xml:space="preserve"> </w:t>
      </w:r>
      <w:r w:rsidRPr="00CF1787">
        <w:tab/>
        <w:t>El artículo 8.1 de la Convención establece que: “</w:t>
      </w:r>
      <w:r w:rsidRPr="00CF1787">
        <w:rPr>
          <w:rFonts w:cs="Tahoma"/>
          <w:color w:val="000000"/>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02">
    <w:p w14:paraId="6F5ECC86" w14:textId="53167AC2" w:rsidR="00935D08" w:rsidRPr="00CF1787" w:rsidRDefault="00935D08" w:rsidP="00CA1834">
      <w:pPr>
        <w:pStyle w:val="FootnoteText"/>
        <w:tabs>
          <w:tab w:val="clear" w:pos="567"/>
          <w:tab w:val="left" w:pos="426"/>
        </w:tabs>
        <w:spacing w:before="120" w:after="120"/>
        <w:rPr>
          <w:rFonts w:cs="Tahoma"/>
          <w:color w:val="000000"/>
        </w:rPr>
      </w:pPr>
      <w:r w:rsidRPr="00CF1787">
        <w:rPr>
          <w:rStyle w:val="FootnoteReference"/>
        </w:rPr>
        <w:footnoteRef/>
      </w:r>
      <w:r w:rsidRPr="00CF1787">
        <w:t xml:space="preserve"> </w:t>
      </w:r>
      <w:r w:rsidRPr="00CF1787">
        <w:rPr>
          <w:rFonts w:cs="Tahoma"/>
          <w:color w:val="000000"/>
        </w:rPr>
        <w:tab/>
        <w:t xml:space="preserve">El artículo 25.1 </w:t>
      </w:r>
      <w:r w:rsidRPr="00CF1787">
        <w:t>de la Convención establece que:</w:t>
      </w:r>
      <w:r w:rsidRPr="00CF1787">
        <w:rPr>
          <w:rFonts w:cs="Tahoma"/>
          <w:color w:val="000000"/>
        </w:rPr>
        <w:t xml:space="preserv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03">
    <w:p w14:paraId="3A4E3388" w14:textId="3B7F049E" w:rsidR="00935D08" w:rsidRPr="00CF1787" w:rsidRDefault="00935D08" w:rsidP="00CA1834">
      <w:pPr>
        <w:pStyle w:val="FootnoteText"/>
        <w:tabs>
          <w:tab w:val="clear" w:pos="567"/>
          <w:tab w:val="left" w:pos="426"/>
        </w:tabs>
        <w:spacing w:before="120" w:after="120"/>
        <w:rPr>
          <w:rFonts w:cs="Tahoma"/>
          <w:color w:val="000000"/>
        </w:rPr>
      </w:pPr>
      <w:r w:rsidRPr="00CF1787">
        <w:rPr>
          <w:rStyle w:val="FootnoteReference"/>
        </w:rPr>
        <w:footnoteRef/>
      </w:r>
      <w:r w:rsidRPr="00CF1787">
        <w:t xml:space="preserve"> </w:t>
      </w:r>
      <w:r w:rsidRPr="00CF1787">
        <w:rPr>
          <w:rFonts w:cs="Tahoma"/>
          <w:color w:val="000000"/>
        </w:rPr>
        <w:tab/>
        <w:t>El artículo 1.1 de la Convención establece que: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04">
    <w:p w14:paraId="5E3DD6C5" w14:textId="36177B98" w:rsidR="00935D08" w:rsidRPr="00CF1787" w:rsidRDefault="00935D08" w:rsidP="00CA1834">
      <w:pPr>
        <w:pStyle w:val="FootnoteText"/>
        <w:tabs>
          <w:tab w:val="clear" w:pos="567"/>
          <w:tab w:val="left" w:pos="426"/>
        </w:tabs>
        <w:spacing w:before="120" w:after="120"/>
        <w:rPr>
          <w:rFonts w:cs="Tahoma"/>
          <w:color w:val="000000"/>
        </w:rPr>
      </w:pPr>
      <w:r w:rsidRPr="00CF1787">
        <w:rPr>
          <w:rStyle w:val="FootnoteReference"/>
        </w:rPr>
        <w:footnoteRef/>
      </w:r>
      <w:r w:rsidRPr="00CF1787">
        <w:rPr>
          <w:rFonts w:cs="Tahoma"/>
          <w:color w:val="000000"/>
        </w:rPr>
        <w:t xml:space="preserve"> </w:t>
      </w:r>
      <w:r w:rsidRPr="00CF1787">
        <w:rPr>
          <w:rFonts w:cs="Tahoma"/>
          <w:color w:val="000000"/>
        </w:rPr>
        <w:tab/>
        <w:t>El artículo 2 de la Convención establece que: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05">
    <w:p w14:paraId="2D9C503B" w14:textId="77777777" w:rsidR="00935D08" w:rsidRPr="00CF1787" w:rsidRDefault="00935D08" w:rsidP="00CA1834">
      <w:pPr>
        <w:pStyle w:val="FootnoteText"/>
        <w:tabs>
          <w:tab w:val="left" w:pos="426"/>
        </w:tabs>
        <w:spacing w:before="120" w:after="120"/>
        <w:rPr>
          <w:lang w:val="es-MX"/>
        </w:rPr>
      </w:pPr>
      <w:r w:rsidRPr="00CF1787">
        <w:rPr>
          <w:rStyle w:val="FootnoteReference"/>
        </w:rPr>
        <w:footnoteRef/>
      </w:r>
      <w:r w:rsidRPr="00CF1787">
        <w:t xml:space="preserve"> </w:t>
      </w:r>
      <w:r w:rsidRPr="00CF1787">
        <w:tab/>
      </w:r>
      <w:r w:rsidRPr="00CF1787">
        <w:rPr>
          <w:i/>
        </w:rPr>
        <w:t xml:space="preserve">Cfr. </w:t>
      </w:r>
      <w:r w:rsidRPr="00CF1787">
        <w:t xml:space="preserve">Auto de inhibición del Comisario Nacional del Cantón de Riobamba de 14 de diciembre de 1992 (expediente de prueba, folio 8). </w:t>
      </w:r>
      <w:r w:rsidRPr="00CF1787">
        <w:rPr>
          <w:lang w:val="es-MX"/>
        </w:rPr>
        <w:t>El “oficio que antecede” se trata de un oficio librado el 11 de diciembre de 1992 dirigido al Comisario Nacional de Policía de Riobamba, mediante el cual el Comandante Provincial de Policía de Chimborazo, certifica que el señor Valencia Hinojosa se encontraba en servicio de primer turno (de las 6 a 14 horas) el 3 de diciembre de 1992 (expediente de prueba, folio 7).</w:t>
      </w:r>
    </w:p>
  </w:footnote>
  <w:footnote w:id="106">
    <w:p w14:paraId="60BEC0E5" w14:textId="77777777" w:rsidR="00935D08" w:rsidRPr="00CF1787" w:rsidRDefault="00935D08" w:rsidP="00CA1834">
      <w:pPr>
        <w:pStyle w:val="FootnoteText"/>
        <w:tabs>
          <w:tab w:val="clear" w:pos="567"/>
          <w:tab w:val="left" w:pos="426"/>
        </w:tabs>
        <w:spacing w:before="120" w:after="120"/>
      </w:pPr>
      <w:r w:rsidRPr="00CF1787">
        <w:rPr>
          <w:rStyle w:val="FootnoteReference"/>
        </w:rPr>
        <w:footnoteRef/>
      </w:r>
      <w:r w:rsidRPr="00CF1787">
        <w:t xml:space="preserve"> </w:t>
      </w:r>
      <w:r w:rsidRPr="00CF1787">
        <w:tab/>
      </w:r>
      <w:r w:rsidRPr="00CF1787">
        <w:rPr>
          <w:i/>
        </w:rPr>
        <w:t>Cfr.</w:t>
      </w:r>
      <w:r w:rsidRPr="00CF1787">
        <w:t xml:space="preserve"> Constitución Política de la República del Ecuador, Registro Oficial 763 de 12 de junio de 1984, artículos 126 a 136 (expediente de prueba, folio 2371). </w:t>
      </w:r>
    </w:p>
  </w:footnote>
  <w:footnote w:id="107">
    <w:p w14:paraId="10FB0CC0"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t>Artículo 126 de la Constitución Política de la República del Ecuador, Registro Oficial 763 de 12 de junio de 1984 (expediente de prueba, folio 2371).</w:t>
      </w:r>
    </w:p>
  </w:footnote>
  <w:footnote w:id="108">
    <w:p w14:paraId="0A24E963" w14:textId="77777777" w:rsidR="00935D08" w:rsidRPr="00CF1787" w:rsidRDefault="00935D08" w:rsidP="00CA1834">
      <w:pPr>
        <w:pStyle w:val="FootnoteText"/>
        <w:tabs>
          <w:tab w:val="clear" w:pos="567"/>
          <w:tab w:val="left" w:pos="426"/>
        </w:tabs>
        <w:spacing w:before="120" w:after="120"/>
      </w:pPr>
      <w:r w:rsidRPr="00CF1787">
        <w:rPr>
          <w:rStyle w:val="FootnoteReference"/>
        </w:rPr>
        <w:footnoteRef/>
      </w:r>
      <w:r w:rsidRPr="00CF1787">
        <w:t xml:space="preserve">  </w:t>
      </w:r>
      <w:r w:rsidRPr="00CF1787">
        <w:tab/>
      </w:r>
      <w:r w:rsidRPr="00CF1787">
        <w:rPr>
          <w:i/>
          <w:lang w:val="es-MX"/>
        </w:rPr>
        <w:t>Cfr.</w:t>
      </w:r>
      <w:r w:rsidRPr="00CF1787">
        <w:rPr>
          <w:lang w:val="es-MX"/>
        </w:rPr>
        <w:t xml:space="preserve"> Constitución Política de la República del Ecuador, Registro Oficial 763 de 12 de junio de 1984, artículos 126, 132 y 136 (expediente de prueba, folio 2371), y </w:t>
      </w:r>
      <w:r w:rsidRPr="00CF1787">
        <w:rPr>
          <w:lang w:val="es-CR"/>
        </w:rPr>
        <w:t>Ley Orgánica de la Policía Nacional. Registro Oficial No. 757 de 7 de marzo de 1975, artículo 2 (expediente de prueba, folio 2455).</w:t>
      </w:r>
    </w:p>
  </w:footnote>
  <w:footnote w:id="109">
    <w:p w14:paraId="451A20F4"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lang w:val="es-MX"/>
        </w:rPr>
        <w:t>Artículo 136 de la Constitución Política de la República del Ecuador, Registro Oficial 763 de 12 de junio de 1984 (expediente de prueba, folio 2371). Asimismo, la Constitución establecía que “La Fuerza Pública está destinada a la conservación de la soberanía nacional, a la defensa de la integridad e independencia del Estado y a la garantía de su ordenamiento jurídico. Sin menoscabo de su misión fundamental, la ley determina la colaboración que la Fuerza Pública debe prestar para el desarrollo social y económico del país y en los demás aspectos concernientes a la seguridad nacional”. “La Fuerza Pública no es deliberante. Sólo las autoridades emanantes son responsables por las órdenes contrarias a la Constitución y a la ley”. Artículos 128 y 129 de la Constitución Política de la República del Ecuador, Registro Oficial 763 de 12 de junio de 1984 (expediente de prueba, folio 2371).</w:t>
      </w:r>
    </w:p>
  </w:footnote>
  <w:footnote w:id="110">
    <w:p w14:paraId="166F0E01" w14:textId="77777777" w:rsidR="00935D08" w:rsidRPr="00CF1787" w:rsidRDefault="00935D08" w:rsidP="00CA1834">
      <w:pPr>
        <w:pStyle w:val="FootnoteText"/>
        <w:tabs>
          <w:tab w:val="clear" w:pos="567"/>
          <w:tab w:val="left" w:pos="426"/>
        </w:tabs>
        <w:spacing w:before="120" w:after="120"/>
        <w:rPr>
          <w:lang w:val="es-CR"/>
        </w:rPr>
      </w:pPr>
      <w:r w:rsidRPr="00CF1787">
        <w:rPr>
          <w:rStyle w:val="FootnoteReference"/>
          <w:rFonts w:eastAsia="MS Mincho"/>
        </w:rPr>
        <w:footnoteRef/>
      </w:r>
      <w:r w:rsidRPr="00CF1787">
        <w:rPr>
          <w:lang w:val="es-CR"/>
        </w:rPr>
        <w:t xml:space="preserve"> </w:t>
      </w:r>
      <w:r w:rsidRPr="00CF1787">
        <w:rPr>
          <w:lang w:val="es-CR"/>
        </w:rPr>
        <w:tab/>
        <w:t>Artículo 3 de la Ley Orgánica de la Policía Nacional. Registro Oficial No. 757 de 7 de marzo de 1975 (expediente de prueba, folio 2455).</w:t>
      </w:r>
    </w:p>
  </w:footnote>
  <w:footnote w:id="111">
    <w:p w14:paraId="3D78FC47" w14:textId="77777777" w:rsidR="00935D08" w:rsidRPr="00CF1787" w:rsidRDefault="00935D08" w:rsidP="00CA1834">
      <w:pPr>
        <w:pStyle w:val="FootnoteText"/>
        <w:tabs>
          <w:tab w:val="clear" w:pos="567"/>
          <w:tab w:val="left" w:pos="426"/>
        </w:tabs>
        <w:spacing w:before="120" w:after="120"/>
        <w:rPr>
          <w:lang w:val="es-MX"/>
        </w:rPr>
      </w:pPr>
      <w:r w:rsidRPr="00CF1787">
        <w:rPr>
          <w:rStyle w:val="FootnoteReference"/>
        </w:rPr>
        <w:footnoteRef/>
      </w:r>
      <w:r w:rsidRPr="00CF1787">
        <w:t xml:space="preserve"> </w:t>
      </w:r>
      <w:r w:rsidRPr="00CF1787">
        <w:tab/>
      </w:r>
      <w:r w:rsidRPr="00CF1787">
        <w:rPr>
          <w:rFonts w:cs="Arial"/>
          <w:bCs/>
          <w:lang w:val="es-MX"/>
        </w:rPr>
        <w:t xml:space="preserve">El Código de Ética Profesional de la Policía Nacional establecía que: “Artículo 3. Reglas fundamentales (…) Defenderé los derechos humanos de todas las personas, solo utilizaré la fuerza estrictamente cuando fuera necesaria en cumplimiento de la misión (…) Perseguiré el delincuente, haré cumplir la Ley con cortesía pero con firmeza, sin emplear la fuerza o violencia innecesaria, o peor esperando gratificaciones […]”. “Artículo 19. </w:t>
      </w:r>
      <w:r w:rsidRPr="00CF1787">
        <w:rPr>
          <w:rFonts w:cs="Arial"/>
          <w:bCs/>
          <w:lang w:val="es-CR"/>
        </w:rPr>
        <w:t>Es deber de todo Policía defender y respetar los derechos de las personas contempladas en la Constitución Política de la República del Ecuador, tales como: la inviolabilidad de la vida y la integridad personal; prohibición de las torturas y de todo procedimiento inhumano o degradante: la libertad y la seguridad personal. Nadie podrá ser privado de su libertad sino en virtud de orden escrita de autoridad competente, en los casos, por el tiempo y con las formalidades prescritas por la ley, salvo delito flagrante”. “</w:t>
      </w:r>
      <w:r w:rsidRPr="00CF1787">
        <w:rPr>
          <w:rFonts w:cs="Arial"/>
          <w:bCs/>
          <w:lang w:val="es-MX"/>
        </w:rPr>
        <w:t>Artículo 20. El miembro de la Institución Policial deberá siempre considerar que la vida, la libertad y la seguridad  son los bienes supremos del hombre a los cuales tiene derecho; en consecuencia guiará su conducta en el sentido de reducir al mínimo la posibilidad de violarlos o emplear la fuerza. Pero si debe intervenir, lo hará exactamente de acuerdo a los deberes que corresponden a su función y las limitaciones contempladas en la Ley. Así el Policía evitará actos arbitrarios”. Código de Ética Profesional de la Policía Nacional. Acuerdo de la Comandancia General de la Policía Nacional, 2 de marzo de 1992 (expediente de prueba, folios 2529 a 2536).</w:t>
      </w:r>
    </w:p>
  </w:footnote>
  <w:footnote w:id="112">
    <w:p w14:paraId="6573074F" w14:textId="3CD13A1F" w:rsidR="00935D08" w:rsidRPr="00CF1787" w:rsidRDefault="00935D08" w:rsidP="00CA1834">
      <w:pPr>
        <w:pStyle w:val="FootnoteText"/>
        <w:tabs>
          <w:tab w:val="clear" w:pos="567"/>
          <w:tab w:val="left" w:pos="426"/>
        </w:tabs>
        <w:spacing w:before="120" w:after="120"/>
        <w:rPr>
          <w:spacing w:val="-4"/>
        </w:rPr>
      </w:pPr>
      <w:r w:rsidRPr="00CF1787">
        <w:rPr>
          <w:rStyle w:val="FootnoteReference"/>
          <w:spacing w:val="-4"/>
        </w:rPr>
        <w:footnoteRef/>
      </w:r>
      <w:r w:rsidRPr="00CF1787">
        <w:rPr>
          <w:spacing w:val="-4"/>
        </w:rPr>
        <w:t xml:space="preserve"> </w:t>
      </w:r>
      <w:r w:rsidRPr="00CF1787">
        <w:rPr>
          <w:spacing w:val="-4"/>
        </w:rPr>
        <w:tab/>
      </w:r>
      <w:r w:rsidRPr="00CF1787">
        <w:rPr>
          <w:i/>
          <w:spacing w:val="-4"/>
        </w:rPr>
        <w:t xml:space="preserve">Cfr. Caso </w:t>
      </w:r>
      <w:proofErr w:type="spellStart"/>
      <w:r w:rsidRPr="00CF1787">
        <w:rPr>
          <w:i/>
          <w:spacing w:val="-4"/>
        </w:rPr>
        <w:t>Apitz</w:t>
      </w:r>
      <w:proofErr w:type="spellEnd"/>
      <w:r w:rsidRPr="00CF1787">
        <w:rPr>
          <w:i/>
          <w:spacing w:val="-4"/>
        </w:rPr>
        <w:t xml:space="preserve"> Barbera y otros (“Corte Primera de lo Contencioso Administrativo”) Vs. Venezuela. Excepción Preliminar, Fondo, Reparaciones y Costas.</w:t>
      </w:r>
      <w:r w:rsidRPr="00CF1787">
        <w:rPr>
          <w:spacing w:val="-4"/>
        </w:rPr>
        <w:t xml:space="preserve"> Sentencia de 5 de agosto de 2008. Serie C</w:t>
      </w:r>
      <w:r w:rsidRPr="00CF1787">
        <w:rPr>
          <w:b/>
          <w:spacing w:val="-4"/>
        </w:rPr>
        <w:t xml:space="preserve"> </w:t>
      </w:r>
      <w:r w:rsidRPr="00CF1787">
        <w:rPr>
          <w:rStyle w:val="Strong"/>
          <w:b w:val="0"/>
          <w:color w:val="000000"/>
          <w:shd w:val="clear" w:color="auto" w:fill="FFFFFF"/>
        </w:rPr>
        <w:t>No. 182</w:t>
      </w:r>
      <w:r w:rsidRPr="00CF1787">
        <w:rPr>
          <w:spacing w:val="-4"/>
        </w:rPr>
        <w:t xml:space="preserve">, párr. 56, </w:t>
      </w:r>
      <w:r w:rsidRPr="00CF1787">
        <w:rPr>
          <w:spacing w:val="-4"/>
          <w:lang w:val="es-CO"/>
        </w:rPr>
        <w:t>y</w:t>
      </w:r>
      <w:r w:rsidRPr="00CF1787">
        <w:rPr>
          <w:spacing w:val="-4"/>
        </w:rPr>
        <w:t xml:space="preserve"> </w:t>
      </w:r>
      <w:r w:rsidRPr="00CF1787">
        <w:rPr>
          <w:rStyle w:val="Strong"/>
          <w:b w:val="0"/>
          <w:i/>
          <w:color w:val="000000"/>
          <w:spacing w:val="-4"/>
          <w:shd w:val="clear" w:color="auto" w:fill="FFFFFF"/>
        </w:rPr>
        <w:t xml:space="preserve">Caso Flor Freire Vs. Ecuador. Excepción Preliminar, Fondo, Reparaciones y Costas. </w:t>
      </w:r>
      <w:r w:rsidRPr="00CF1787">
        <w:rPr>
          <w:rStyle w:val="Strong"/>
          <w:b w:val="0"/>
          <w:color w:val="000000"/>
          <w:spacing w:val="-4"/>
          <w:shd w:val="clear" w:color="auto" w:fill="FFFFFF"/>
        </w:rPr>
        <w:t xml:space="preserve">Sentencia de 31 de agosto de 2016. </w:t>
      </w:r>
      <w:r w:rsidRPr="00CF1787">
        <w:rPr>
          <w:rStyle w:val="Strong"/>
          <w:rFonts w:eastAsia="MS ????"/>
          <w:b w:val="0"/>
          <w:color w:val="000000"/>
          <w:shd w:val="clear" w:color="auto" w:fill="FFFFFF"/>
        </w:rPr>
        <w:t>Serie C No. 315, párr. 168.</w:t>
      </w:r>
    </w:p>
  </w:footnote>
  <w:footnote w:id="113">
    <w:p w14:paraId="08EC4189" w14:textId="16906969" w:rsidR="00935D08" w:rsidRPr="00CF1787" w:rsidRDefault="00935D08" w:rsidP="00CA1834">
      <w:pPr>
        <w:tabs>
          <w:tab w:val="left" w:pos="426"/>
        </w:tabs>
        <w:spacing w:before="120" w:after="120"/>
        <w:rPr>
          <w:rFonts w:eastAsia="Times New Roman" w:cs="Tahoma"/>
          <w:color w:val="000000"/>
          <w:sz w:val="16"/>
          <w:szCs w:val="16"/>
        </w:rPr>
      </w:pPr>
      <w:r w:rsidRPr="00CF1787">
        <w:rPr>
          <w:rStyle w:val="FootnoteReference"/>
        </w:rPr>
        <w:footnoteRef/>
      </w:r>
      <w:r w:rsidRPr="00CF1787">
        <w:rPr>
          <w:sz w:val="16"/>
          <w:szCs w:val="16"/>
          <w:lang w:val="es-ES_tradnl"/>
        </w:rPr>
        <w:t xml:space="preserve"> </w:t>
      </w:r>
      <w:r w:rsidRPr="00CF1787">
        <w:rPr>
          <w:sz w:val="16"/>
          <w:szCs w:val="16"/>
          <w:lang w:val="es-ES_tradnl"/>
        </w:rPr>
        <w:tab/>
      </w:r>
      <w:r w:rsidRPr="00CF1787">
        <w:rPr>
          <w:i/>
          <w:sz w:val="16"/>
          <w:szCs w:val="16"/>
          <w:lang w:val="es-ES_tradnl"/>
        </w:rPr>
        <w:t>Cfr.</w:t>
      </w:r>
      <w:r w:rsidRPr="00CF1787">
        <w:rPr>
          <w:sz w:val="16"/>
          <w:szCs w:val="16"/>
          <w:lang w:val="es-ES_tradnl"/>
        </w:rPr>
        <w:t xml:space="preserve"> </w:t>
      </w:r>
      <w:r w:rsidRPr="00CF1787">
        <w:rPr>
          <w:i/>
          <w:sz w:val="16"/>
          <w:szCs w:val="16"/>
          <w:lang w:val="es-ES_tradnl"/>
        </w:rPr>
        <w:t xml:space="preserve">Caso </w:t>
      </w:r>
      <w:proofErr w:type="spellStart"/>
      <w:r w:rsidRPr="00CF1787">
        <w:rPr>
          <w:i/>
          <w:sz w:val="16"/>
          <w:szCs w:val="16"/>
          <w:lang w:val="es-ES_tradnl"/>
        </w:rPr>
        <w:t>Palamara</w:t>
      </w:r>
      <w:proofErr w:type="spellEnd"/>
      <w:r w:rsidRPr="00CF1787">
        <w:rPr>
          <w:i/>
          <w:sz w:val="16"/>
          <w:szCs w:val="16"/>
          <w:lang w:val="es-ES_tradnl"/>
        </w:rPr>
        <w:t xml:space="preserve"> Iribarne Vs. </w:t>
      </w:r>
      <w:r w:rsidRPr="00CF1787">
        <w:rPr>
          <w:i/>
          <w:sz w:val="16"/>
          <w:szCs w:val="16"/>
        </w:rPr>
        <w:t>Chile. Fondo Reparaciones y Costas.</w:t>
      </w:r>
      <w:r w:rsidRPr="00CF1787">
        <w:rPr>
          <w:sz w:val="16"/>
          <w:szCs w:val="16"/>
        </w:rPr>
        <w:t xml:space="preserve"> Sentencia de 22 de noviembre de 2005. Serie C No. 135, párr. 155, y </w:t>
      </w:r>
      <w:r w:rsidRPr="00CF1787">
        <w:rPr>
          <w:rFonts w:eastAsia="Times New Roman" w:cs="Tahoma"/>
          <w:i/>
          <w:iCs/>
          <w:color w:val="000000"/>
          <w:sz w:val="16"/>
          <w:szCs w:val="16"/>
        </w:rPr>
        <w:t>Caso Argüelles y otros Vs. Argentina, supra,</w:t>
      </w:r>
      <w:r w:rsidRPr="00CF1787">
        <w:rPr>
          <w:rFonts w:eastAsia="Times New Roman" w:cs="Tahoma"/>
          <w:color w:val="000000"/>
          <w:sz w:val="16"/>
          <w:szCs w:val="16"/>
        </w:rPr>
        <w:t xml:space="preserve"> párr. 149.</w:t>
      </w:r>
    </w:p>
  </w:footnote>
  <w:footnote w:id="114">
    <w:p w14:paraId="6A9AE475" w14:textId="77777777" w:rsidR="00935D08" w:rsidRPr="00CF1787" w:rsidRDefault="00935D08" w:rsidP="00CA1834">
      <w:pPr>
        <w:pStyle w:val="NoSpacing"/>
        <w:tabs>
          <w:tab w:val="left" w:pos="426"/>
        </w:tabs>
        <w:rPr>
          <w:sz w:val="16"/>
          <w:szCs w:val="16"/>
        </w:rPr>
      </w:pPr>
      <w:r w:rsidRPr="00CF1787">
        <w:rPr>
          <w:rStyle w:val="FootnoteReference"/>
        </w:rPr>
        <w:footnoteRef/>
      </w:r>
      <w:r w:rsidRPr="00CF1787">
        <w:rPr>
          <w:sz w:val="16"/>
          <w:szCs w:val="16"/>
        </w:rPr>
        <w:t xml:space="preserve"> </w:t>
      </w:r>
      <w:r w:rsidRPr="00CF1787">
        <w:rPr>
          <w:sz w:val="16"/>
          <w:szCs w:val="16"/>
        </w:rPr>
        <w:tab/>
      </w:r>
      <w:bookmarkStart w:id="388" w:name="_Ref462091575"/>
      <w:r w:rsidRPr="00CF1787">
        <w:rPr>
          <w:sz w:val="16"/>
          <w:szCs w:val="16"/>
          <w:lang w:val="es-CR"/>
        </w:rPr>
        <w:t xml:space="preserve">De forma similar, el </w:t>
      </w:r>
      <w:r w:rsidRPr="00CF1787">
        <w:rPr>
          <w:rFonts w:cs="TimesNewRoman,Bold"/>
          <w:bCs/>
          <w:sz w:val="16"/>
          <w:szCs w:val="16"/>
          <w:lang w:val="es-ES"/>
        </w:rPr>
        <w:t>Proyecto de Principios sobre la Administración de Justicia por los Tribunales Militares presentado a la Comisión de Derechos Humanos por el Relator Especial de</w:t>
      </w:r>
      <w:r w:rsidRPr="00CF1787">
        <w:rPr>
          <w:rFonts w:cs="TimesNewRoman,Bold"/>
          <w:b/>
          <w:bCs/>
          <w:sz w:val="16"/>
          <w:szCs w:val="16"/>
          <w:lang w:val="es-ES"/>
        </w:rPr>
        <w:t xml:space="preserve"> </w:t>
      </w:r>
      <w:r w:rsidRPr="00CF1787">
        <w:rPr>
          <w:sz w:val="16"/>
          <w:szCs w:val="16"/>
          <w:lang w:val="es-ES"/>
        </w:rPr>
        <w:t>la Subcomisión de Promoción y Protección de los Derechos Humanos, establece, entre otros factores que deben ser tomados en cuenta, que:</w:t>
      </w:r>
      <w:bookmarkEnd w:id="388"/>
      <w:r w:rsidRPr="00CF1787">
        <w:rPr>
          <w:sz w:val="16"/>
          <w:szCs w:val="16"/>
          <w:lang w:val="es-ES"/>
        </w:rPr>
        <w:t xml:space="preserve"> (i) los tribunales militares deberían formar parte integrante del sistema judicial general; (ii) las personas seleccionadas para desempeñar funciones judiciales en los tribunales militares deberán ser íntegras y competentes, y poseer la formación y las calificaciones jurídicas necesarias; (iii) la independencia legal de los jueces con respecto a la jerarquía militar debe ser protegida estrictamente, evitando toda subordinación directa o indirecta, ya sea en cuanto a la organización y el funcionamiento de la propia justicia o en cuanto al desarrollo de la carrera de juez militar”, y (iv) los recursos, especialmente el de apelación, deberían ejercitarse ante los tribunales ordinarios. </w:t>
      </w:r>
      <w:r w:rsidRPr="00CF1787">
        <w:rPr>
          <w:sz w:val="16"/>
          <w:szCs w:val="16"/>
        </w:rPr>
        <w:t xml:space="preserve">Este proyecto de </w:t>
      </w:r>
      <w:r w:rsidRPr="00CF1787">
        <w:rPr>
          <w:sz w:val="16"/>
          <w:szCs w:val="16"/>
          <w:lang w:val="es-CR"/>
        </w:rPr>
        <w:t xml:space="preserve">principios no tiene, como tal, carácter vinculante. No obstante, constituyen una interpretación autorizada y un referente importante en el cual se codifican diversos estándares internacionales de derechos humanos, frente al funcionamiento de tribunales militares. Inicialmente elaborados en 2005 y sometidos por </w:t>
      </w:r>
      <w:r w:rsidRPr="00CF1787">
        <w:rPr>
          <w:sz w:val="16"/>
          <w:szCs w:val="16"/>
        </w:rPr>
        <w:t xml:space="preserve">el Relator Especial, Emmanuel </w:t>
      </w:r>
      <w:proofErr w:type="spellStart"/>
      <w:r w:rsidRPr="00CF1787">
        <w:rPr>
          <w:sz w:val="16"/>
          <w:szCs w:val="16"/>
        </w:rPr>
        <w:t>Decaux</w:t>
      </w:r>
      <w:proofErr w:type="spellEnd"/>
      <w:r w:rsidRPr="00CF1787">
        <w:rPr>
          <w:sz w:val="16"/>
          <w:szCs w:val="16"/>
        </w:rPr>
        <w:t>, de la Subcomisión de Promoción y Protección de los Derechos Humanos</w:t>
      </w:r>
      <w:r w:rsidRPr="00CF1787">
        <w:rPr>
          <w:sz w:val="16"/>
          <w:szCs w:val="16"/>
          <w:lang w:val="es-CR"/>
        </w:rPr>
        <w:t xml:space="preserve"> fueron sometidos en 2006 a la Comisión de Derechos Humanos, bajo la idea de que constituyeran “</w:t>
      </w:r>
      <w:r w:rsidRPr="00CF1787">
        <w:rPr>
          <w:sz w:val="16"/>
          <w:szCs w:val="16"/>
        </w:rPr>
        <w:t xml:space="preserve">normas mínimas, de carácter universal, que dejan abierta la posibilidad de definir normas más estrictas en el marco interno”. </w:t>
      </w:r>
      <w:r w:rsidRPr="00CF1787">
        <w:rPr>
          <w:i/>
          <w:sz w:val="16"/>
          <w:szCs w:val="16"/>
        </w:rPr>
        <w:t xml:space="preserve">Cfr. </w:t>
      </w:r>
      <w:r w:rsidRPr="00CF1787">
        <w:rPr>
          <w:sz w:val="16"/>
          <w:szCs w:val="16"/>
          <w:lang w:val="es-CO"/>
        </w:rPr>
        <w:t xml:space="preserve">ONU, Consejo Económico y Social, Comisión de Derechos Humanos. </w:t>
      </w:r>
      <w:r w:rsidRPr="00CF1787">
        <w:rPr>
          <w:i/>
          <w:sz w:val="16"/>
          <w:szCs w:val="16"/>
        </w:rPr>
        <w:t xml:space="preserve">Derechos civiles y políticos, en particular la independencia del poder judicial, la administración de justicia y la impunidad: La administración de justicia por los tribunales militares. </w:t>
      </w:r>
      <w:r w:rsidRPr="00CF1787">
        <w:rPr>
          <w:sz w:val="16"/>
          <w:szCs w:val="16"/>
        </w:rPr>
        <w:t xml:space="preserve">Informe presentado por el Relator Especial de la Subcomisión de Promoción y Protección de los Derechos Humanos, Emmanuel </w:t>
      </w:r>
      <w:proofErr w:type="spellStart"/>
      <w:r w:rsidRPr="00CF1787">
        <w:rPr>
          <w:sz w:val="16"/>
          <w:szCs w:val="16"/>
        </w:rPr>
        <w:t>Decaux</w:t>
      </w:r>
      <w:proofErr w:type="spellEnd"/>
      <w:r w:rsidRPr="00CF1787">
        <w:rPr>
          <w:sz w:val="16"/>
          <w:szCs w:val="16"/>
        </w:rPr>
        <w:t>. E/CN.4/2006/58, 13 de enero de 2006, principios 1, 13 y 17.</w:t>
      </w:r>
      <w:r w:rsidRPr="00CF1787">
        <w:rPr>
          <w:sz w:val="16"/>
          <w:szCs w:val="16"/>
          <w:lang w:val="es-CO"/>
        </w:rPr>
        <w:t xml:space="preserve"> Disponible en: </w:t>
      </w:r>
      <w:r w:rsidRPr="00CF1787">
        <w:rPr>
          <w:sz w:val="16"/>
          <w:szCs w:val="16"/>
        </w:rPr>
        <w:t>https://documents-dds-ny.un.org/doc/UNDOC/GEN/G06/106/80/PDF/G0610680.pdf?OpenElement</w:t>
      </w:r>
      <w:r w:rsidRPr="00CF1787">
        <w:rPr>
          <w:sz w:val="16"/>
          <w:szCs w:val="16"/>
          <w:lang w:val="es-AR"/>
        </w:rPr>
        <w:t>.</w:t>
      </w:r>
    </w:p>
  </w:footnote>
  <w:footnote w:id="115">
    <w:p w14:paraId="533B457A" w14:textId="77777777" w:rsidR="00935D08" w:rsidRPr="00CF1787" w:rsidRDefault="00935D08" w:rsidP="00CA1834">
      <w:pPr>
        <w:pStyle w:val="FootnoteText"/>
        <w:tabs>
          <w:tab w:val="clear" w:pos="567"/>
          <w:tab w:val="left" w:pos="426"/>
        </w:tabs>
        <w:spacing w:before="120" w:after="120"/>
        <w:rPr>
          <w:lang w:val="es-ES"/>
        </w:rPr>
      </w:pPr>
      <w:r w:rsidRPr="00CF1787">
        <w:rPr>
          <w:rStyle w:val="FootnoteReference"/>
        </w:rPr>
        <w:footnoteRef/>
      </w:r>
      <w:r w:rsidRPr="00CF1787">
        <w:t xml:space="preserve"> </w:t>
      </w:r>
      <w:r w:rsidRPr="00CF1787">
        <w:tab/>
      </w:r>
      <w:r w:rsidRPr="00CF1787">
        <w:rPr>
          <w:i/>
        </w:rPr>
        <w:t>Cfr.</w:t>
      </w:r>
      <w:r w:rsidRPr="00CF1787">
        <w:t xml:space="preserve"> </w:t>
      </w:r>
      <w:r w:rsidRPr="00CF1787">
        <w:rPr>
          <w:lang w:val="es-MX"/>
        </w:rPr>
        <w:t xml:space="preserve">Ley Orgánica de la Policía </w:t>
      </w:r>
      <w:proofErr w:type="spellStart"/>
      <w:r w:rsidRPr="00CF1787">
        <w:rPr>
          <w:lang w:val="es-MX"/>
        </w:rPr>
        <w:t>Nacional.Registro</w:t>
      </w:r>
      <w:proofErr w:type="spellEnd"/>
      <w:r w:rsidRPr="00CF1787">
        <w:rPr>
          <w:lang w:val="es-MX"/>
        </w:rPr>
        <w:t xml:space="preserve"> Oficial No 757 de 7 de marzo de 1975, artículos 4 y 5 (expediente de prueba, folio 2456).</w:t>
      </w:r>
    </w:p>
  </w:footnote>
  <w:footnote w:id="116">
    <w:p w14:paraId="23E54585"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rPr>
          <w:lang w:val="es-ES"/>
        </w:rPr>
        <w:tab/>
      </w:r>
      <w:r w:rsidRPr="00CF1787">
        <w:rPr>
          <w:rFonts w:eastAsiaTheme="minorHAnsi" w:cs="Times"/>
          <w:lang w:val="es-MX"/>
        </w:rPr>
        <w:t xml:space="preserve">Ley Orgánica de la Policía </w:t>
      </w:r>
      <w:proofErr w:type="spellStart"/>
      <w:r w:rsidRPr="00CF1787">
        <w:rPr>
          <w:rFonts w:eastAsiaTheme="minorHAnsi" w:cs="Times"/>
          <w:lang w:val="es-MX"/>
        </w:rPr>
        <w:t>Nacional.Registro</w:t>
      </w:r>
      <w:proofErr w:type="spellEnd"/>
      <w:r w:rsidRPr="00CF1787">
        <w:rPr>
          <w:rFonts w:eastAsiaTheme="minorHAnsi" w:cs="Times"/>
          <w:lang w:val="es-MX"/>
        </w:rPr>
        <w:t xml:space="preserve"> Oficial No 757 de 7 de marzo de 1975, artículo 62 (expediente de prueba, folio 2463).</w:t>
      </w:r>
    </w:p>
  </w:footnote>
  <w:footnote w:id="117">
    <w:p w14:paraId="2DA8BDE2"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rPr>
          <w:lang w:val="es-ES"/>
        </w:rPr>
        <w:tab/>
      </w:r>
      <w:r w:rsidRPr="00CF1787">
        <w:rPr>
          <w:lang w:val="es-MX"/>
        </w:rPr>
        <w:t>Ley de la Función Judicial de la Policía Nacional. Registro Oficial Suplemento 1202 de 20 de agosto de 1960, artículo 71 (expediente de prueba, folio 2527).</w:t>
      </w:r>
    </w:p>
  </w:footnote>
  <w:footnote w:id="118">
    <w:p w14:paraId="3D895447"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lang w:val="es-ES"/>
        </w:rPr>
        <w:t xml:space="preserve">Peritaje de Juan Pablo Albán </w:t>
      </w:r>
      <w:proofErr w:type="spellStart"/>
      <w:r w:rsidRPr="00CF1787">
        <w:rPr>
          <w:lang w:val="es-ES"/>
        </w:rPr>
        <w:t>Alencastro</w:t>
      </w:r>
      <w:proofErr w:type="spellEnd"/>
      <w:r w:rsidRPr="00CF1787">
        <w:rPr>
          <w:lang w:val="es-ES"/>
        </w:rPr>
        <w:t xml:space="preserve"> rendido en la audiencia pública celebrada ante la Corte en el presente caso.</w:t>
      </w:r>
    </w:p>
  </w:footnote>
  <w:footnote w:id="119">
    <w:p w14:paraId="58730514" w14:textId="77777777" w:rsidR="00935D08" w:rsidRPr="00CF1787" w:rsidRDefault="00935D08" w:rsidP="00CA1834">
      <w:pPr>
        <w:pStyle w:val="FootnoteText"/>
        <w:tabs>
          <w:tab w:val="clear" w:pos="567"/>
          <w:tab w:val="left" w:pos="426"/>
        </w:tabs>
        <w:rPr>
          <w:lang w:val="es-CR"/>
        </w:rPr>
      </w:pPr>
      <w:r w:rsidRPr="00CF1787">
        <w:rPr>
          <w:rStyle w:val="FootnoteReference"/>
        </w:rPr>
        <w:footnoteRef/>
      </w:r>
      <w:r w:rsidRPr="00CF1787">
        <w:t xml:space="preserve"> </w:t>
      </w:r>
      <w:r w:rsidRPr="00CF1787">
        <w:tab/>
      </w:r>
      <w:r w:rsidRPr="00CF1787">
        <w:rPr>
          <w:lang w:val="es-MX"/>
        </w:rPr>
        <w:t xml:space="preserve">Como fundamento de lo anterior, </w:t>
      </w:r>
      <w:r w:rsidRPr="00CF1787">
        <w:rPr>
          <w:lang w:val="es-CR"/>
        </w:rPr>
        <w:t xml:space="preserve">el Estado se refirió al artículo 14 de la Ley de la Función Judicial de la Policía que lista entre las atribuciones y deberes de los jueces policiales “exigir que no se les impida por ninguna autoridad el ejercicio de sus funciones judiciales”. Ley de la Función Judicial de la Policía Nacional. </w:t>
      </w:r>
      <w:r w:rsidRPr="00CF1787">
        <w:rPr>
          <w:lang w:val="es-MX"/>
        </w:rPr>
        <w:t>Registro Oficial Suplemento 1202 de 20 de agosto de 1960, artículo 71 (expediente de prueba, folio 2527).</w:t>
      </w:r>
    </w:p>
  </w:footnote>
  <w:footnote w:id="120">
    <w:p w14:paraId="4F96AF93" w14:textId="0935CEE9" w:rsidR="00935D08" w:rsidRPr="00CF1787" w:rsidRDefault="00935D08" w:rsidP="00CA1834">
      <w:pPr>
        <w:pStyle w:val="FootnoteText"/>
        <w:tabs>
          <w:tab w:val="left" w:pos="426"/>
        </w:tabs>
        <w:spacing w:before="120" w:after="120"/>
        <w:rPr>
          <w:bCs/>
          <w:color w:val="000000"/>
          <w:spacing w:val="-4"/>
          <w:shd w:val="clear" w:color="auto" w:fill="FFFFFF"/>
        </w:rPr>
      </w:pPr>
      <w:r w:rsidRPr="00CF1787">
        <w:rPr>
          <w:rStyle w:val="FootnoteReference"/>
          <w:spacing w:val="-4"/>
        </w:rPr>
        <w:footnoteRef/>
      </w:r>
      <w:r w:rsidRPr="00CF1787">
        <w:rPr>
          <w:spacing w:val="-4"/>
        </w:rPr>
        <w:t xml:space="preserve"> </w:t>
      </w:r>
      <w:r w:rsidRPr="00CF1787">
        <w:rPr>
          <w:b/>
          <w:spacing w:val="-4"/>
        </w:rPr>
        <w:tab/>
      </w:r>
      <w:r w:rsidRPr="00CF1787">
        <w:rPr>
          <w:i/>
          <w:spacing w:val="-4"/>
          <w:lang w:val="es-MX"/>
        </w:rPr>
        <w:t xml:space="preserve">Cfr. Caso </w:t>
      </w:r>
      <w:proofErr w:type="spellStart"/>
      <w:r w:rsidRPr="00CF1787">
        <w:rPr>
          <w:i/>
          <w:spacing w:val="-4"/>
          <w:lang w:val="es-MX"/>
        </w:rPr>
        <w:t>Apitz</w:t>
      </w:r>
      <w:proofErr w:type="spellEnd"/>
      <w:r w:rsidRPr="00CF1787">
        <w:rPr>
          <w:i/>
          <w:spacing w:val="-4"/>
          <w:lang w:val="es-MX"/>
        </w:rPr>
        <w:t xml:space="preserve"> Barbera y otros (“Corte Primera de lo Contencioso Administrativo”) Vs. Venezuela, supra</w:t>
      </w:r>
      <w:r w:rsidRPr="00CF1787">
        <w:rPr>
          <w:spacing w:val="-4"/>
          <w:lang w:val="es-MX"/>
        </w:rPr>
        <w:t>, párr. 55</w:t>
      </w:r>
      <w:r w:rsidRPr="00CF1787">
        <w:rPr>
          <w:bCs/>
          <w:spacing w:val="-4"/>
          <w:lang w:val="es-MX"/>
        </w:rPr>
        <w:t>, y</w:t>
      </w:r>
      <w:r w:rsidRPr="00CF1787">
        <w:rPr>
          <w:bCs/>
          <w:i/>
          <w:spacing w:val="-4"/>
          <w:lang w:val="es-MX"/>
        </w:rPr>
        <w:t xml:space="preserve"> </w:t>
      </w:r>
      <w:r w:rsidRPr="00CF1787">
        <w:rPr>
          <w:i/>
          <w:spacing w:val="-4"/>
          <w:lang w:val="es-ES"/>
        </w:rPr>
        <w:t xml:space="preserve">Caso López </w:t>
      </w:r>
      <w:proofErr w:type="spellStart"/>
      <w:r w:rsidRPr="00CF1787">
        <w:rPr>
          <w:i/>
          <w:spacing w:val="-4"/>
          <w:lang w:val="es-ES"/>
        </w:rPr>
        <w:t>Lone</w:t>
      </w:r>
      <w:proofErr w:type="spellEnd"/>
      <w:r w:rsidRPr="00CF1787">
        <w:rPr>
          <w:i/>
          <w:spacing w:val="-4"/>
          <w:lang w:val="es-ES"/>
        </w:rPr>
        <w:t xml:space="preserve"> y otros Vs. Honduras. Excepción Preliminar, Fondo, Reparaciones y Costas</w:t>
      </w:r>
      <w:r w:rsidRPr="00CF1787">
        <w:rPr>
          <w:spacing w:val="-4"/>
          <w:lang w:val="es-ES"/>
        </w:rPr>
        <w:t>. Sentencia de 5 de octubre de 2015. Serie C No. 302, párr. 218.</w:t>
      </w:r>
    </w:p>
  </w:footnote>
  <w:footnote w:id="121">
    <w:p w14:paraId="62DA760A" w14:textId="408478C3" w:rsidR="00935D08" w:rsidRPr="00CF1787" w:rsidRDefault="00935D08" w:rsidP="00CA1834">
      <w:pPr>
        <w:pStyle w:val="FootnoteText"/>
        <w:tabs>
          <w:tab w:val="left" w:pos="426"/>
        </w:tabs>
        <w:spacing w:before="120" w:after="120"/>
        <w:rPr>
          <w:spacing w:val="-4"/>
        </w:rPr>
      </w:pPr>
      <w:r w:rsidRPr="00CF1787">
        <w:rPr>
          <w:rStyle w:val="FootnoteReference"/>
          <w:spacing w:val="-4"/>
        </w:rPr>
        <w:footnoteRef/>
      </w:r>
      <w:r w:rsidRPr="00CF1787">
        <w:rPr>
          <w:spacing w:val="-4"/>
        </w:rPr>
        <w:t xml:space="preserve"> </w:t>
      </w:r>
      <w:r w:rsidRPr="00CF1787">
        <w:rPr>
          <w:spacing w:val="-4"/>
        </w:rPr>
        <w:tab/>
      </w:r>
      <w:r w:rsidRPr="00CF1787">
        <w:rPr>
          <w:i/>
          <w:spacing w:val="-4"/>
        </w:rPr>
        <w:t xml:space="preserve">Cfr. Caso </w:t>
      </w:r>
      <w:proofErr w:type="spellStart"/>
      <w:r w:rsidRPr="00CF1787">
        <w:rPr>
          <w:i/>
          <w:spacing w:val="-4"/>
        </w:rPr>
        <w:t>Reverón</w:t>
      </w:r>
      <w:proofErr w:type="spellEnd"/>
      <w:r w:rsidRPr="00CF1787">
        <w:rPr>
          <w:i/>
          <w:spacing w:val="-4"/>
        </w:rPr>
        <w:t xml:space="preserve"> Trujillo Vs. </w:t>
      </w:r>
      <w:proofErr w:type="spellStart"/>
      <w:r w:rsidRPr="00CF1787">
        <w:rPr>
          <w:i/>
          <w:spacing w:val="-4"/>
        </w:rPr>
        <w:t>Venezuela.Excepción</w:t>
      </w:r>
      <w:proofErr w:type="spellEnd"/>
      <w:r w:rsidRPr="00CF1787">
        <w:rPr>
          <w:i/>
          <w:spacing w:val="-4"/>
        </w:rPr>
        <w:t xml:space="preserve"> Preliminar, Fondo, Reparaciones y Costas.</w:t>
      </w:r>
      <w:r w:rsidRPr="00CF1787">
        <w:rPr>
          <w:spacing w:val="-4"/>
        </w:rPr>
        <w:t xml:space="preserve"> Sentencia de 30 de junio de 2009. Serie C</w:t>
      </w:r>
      <w:r w:rsidRPr="00CF1787">
        <w:rPr>
          <w:b/>
          <w:spacing w:val="-4"/>
        </w:rPr>
        <w:t xml:space="preserve"> </w:t>
      </w:r>
      <w:r w:rsidRPr="00CF1787">
        <w:rPr>
          <w:rStyle w:val="Strong"/>
          <w:b w:val="0"/>
          <w:color w:val="000000"/>
          <w:shd w:val="clear" w:color="auto" w:fill="FFFFFF"/>
        </w:rPr>
        <w:t>No. 197,</w:t>
      </w:r>
      <w:r w:rsidRPr="00CF1787">
        <w:rPr>
          <w:spacing w:val="-4"/>
        </w:rPr>
        <w:t xml:space="preserve"> párr. 114 y </w:t>
      </w:r>
      <w:r w:rsidRPr="00CF1787">
        <w:rPr>
          <w:i/>
          <w:spacing w:val="-4"/>
          <w:lang w:val="es-ES"/>
        </w:rPr>
        <w:t xml:space="preserve">Caso López </w:t>
      </w:r>
      <w:proofErr w:type="spellStart"/>
      <w:r w:rsidRPr="00CF1787">
        <w:rPr>
          <w:i/>
          <w:spacing w:val="-4"/>
          <w:lang w:val="es-ES"/>
        </w:rPr>
        <w:t>Lone</w:t>
      </w:r>
      <w:proofErr w:type="spellEnd"/>
      <w:r w:rsidRPr="00CF1787">
        <w:rPr>
          <w:i/>
          <w:spacing w:val="-4"/>
          <w:lang w:val="es-ES"/>
        </w:rPr>
        <w:t xml:space="preserve"> y otros Vs. Honduras, supra</w:t>
      </w:r>
      <w:r w:rsidRPr="00CF1787">
        <w:rPr>
          <w:spacing w:val="-4"/>
          <w:lang w:val="es-ES"/>
        </w:rPr>
        <w:t>, párr. 218.</w:t>
      </w:r>
    </w:p>
  </w:footnote>
  <w:footnote w:id="122">
    <w:p w14:paraId="71EF3D17"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lang w:val="es-ES"/>
        </w:rPr>
        <w:t xml:space="preserve">Peritaje de Juan Pablo Albán </w:t>
      </w:r>
      <w:proofErr w:type="spellStart"/>
      <w:r w:rsidRPr="00CF1787">
        <w:rPr>
          <w:lang w:val="es-ES"/>
        </w:rPr>
        <w:t>Alencastro</w:t>
      </w:r>
      <w:proofErr w:type="spellEnd"/>
      <w:r w:rsidRPr="00CF1787">
        <w:rPr>
          <w:lang w:val="es-ES"/>
        </w:rPr>
        <w:t xml:space="preserve"> rendido en la audiencia pública celebrada ante la Corte en el presente caso</w:t>
      </w:r>
      <w:r w:rsidRPr="00CF1787">
        <w:rPr>
          <w:lang w:val="es-CR"/>
        </w:rPr>
        <w:t xml:space="preserve">. Además, </w:t>
      </w:r>
      <w:r w:rsidRPr="00CF1787">
        <w:rPr>
          <w:i/>
          <w:lang w:val="es-CR"/>
        </w:rPr>
        <w:t>c</w:t>
      </w:r>
      <w:proofErr w:type="spellStart"/>
      <w:r w:rsidRPr="00CF1787">
        <w:rPr>
          <w:i/>
          <w:lang w:val="es-MX"/>
        </w:rPr>
        <w:t>fr.</w:t>
      </w:r>
      <w:proofErr w:type="spellEnd"/>
      <w:r w:rsidRPr="00CF1787">
        <w:rPr>
          <w:i/>
          <w:lang w:val="es-MX"/>
        </w:rPr>
        <w:t xml:space="preserve"> </w:t>
      </w:r>
      <w:r w:rsidRPr="00CF1787">
        <w:rPr>
          <w:lang w:val="es-ES"/>
        </w:rPr>
        <w:t xml:space="preserve">Código de Procedimiento Penal de la Policía Nacional. Registro Oficial Suplemento 1202. Publicado el 20 de agosto de 1960, artículos 74, 75 y 114 (expediente de prueba, folios 2742 y 2748), y </w:t>
      </w:r>
      <w:r w:rsidRPr="00CF1787">
        <w:rPr>
          <w:lang w:val="es-MX"/>
        </w:rPr>
        <w:t>Ley de la Función Judicial de la Policía Nacional. Registro Oficial Suplemento 1202 de 20 de agosto de 1960, artículo 42 (expediente de prueba, folios 3867 y 3868).</w:t>
      </w:r>
    </w:p>
  </w:footnote>
  <w:footnote w:id="123">
    <w:p w14:paraId="020784EF"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tab/>
      </w:r>
      <w:r w:rsidRPr="00CF1787">
        <w:rPr>
          <w:i/>
          <w:lang w:val="es-MX"/>
        </w:rPr>
        <w:t>Cfr.</w:t>
      </w:r>
      <w:r w:rsidRPr="00CF1787">
        <w:rPr>
          <w:lang w:val="es-MX"/>
        </w:rPr>
        <w:t xml:space="preserve"> </w:t>
      </w:r>
      <w:r w:rsidRPr="00CF1787">
        <w:rPr>
          <w:lang w:val="es-ES"/>
        </w:rPr>
        <w:t xml:space="preserve">Código de Procedimiento Penal de la Policía Nacional. Registro Oficial Suplemento 1202. Publicado el 20 de agosto de 1960, artículos 179 a 218 (expediente de prueba, folios 2758 a 2763), y </w:t>
      </w:r>
      <w:r w:rsidRPr="00CF1787">
        <w:rPr>
          <w:lang w:val="es-MX"/>
        </w:rPr>
        <w:t>Ley de la Función Judicial de la Policía Nacional. Registro Oficial Suplemento 1202 de 20 de agosto de 1960, artículo 24 a 31 (expediente de prueba, folio 3866).</w:t>
      </w:r>
    </w:p>
  </w:footnote>
  <w:footnote w:id="124">
    <w:p w14:paraId="758375C0"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rPr>
          <w:lang w:val="es-ES"/>
        </w:rPr>
        <w:tab/>
      </w:r>
      <w:r w:rsidRPr="00CF1787">
        <w:rPr>
          <w:i/>
          <w:lang w:val="es-ES"/>
        </w:rPr>
        <w:t>Cfr.</w:t>
      </w:r>
      <w:r w:rsidRPr="00CF1787">
        <w:rPr>
          <w:lang w:val="es-ES"/>
        </w:rPr>
        <w:t xml:space="preserve"> </w:t>
      </w:r>
      <w:r w:rsidRPr="00CF1787">
        <w:rPr>
          <w:lang w:val="es-MX"/>
        </w:rPr>
        <w:t>Ley de la Función Judicial de la Policía Nacional. Registro Oficial Suplemento 1202 de 20 de agosto de 1960, artículos 49 y 50 (expediente de prueba, folio 3868).</w:t>
      </w:r>
    </w:p>
  </w:footnote>
  <w:footnote w:id="125">
    <w:p w14:paraId="4F49380B"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lang w:val="es-ES"/>
        </w:rPr>
        <w:t xml:space="preserve">Peritaje de Juan Pablo Albán </w:t>
      </w:r>
      <w:proofErr w:type="spellStart"/>
      <w:r w:rsidRPr="00CF1787">
        <w:rPr>
          <w:lang w:val="es-ES"/>
        </w:rPr>
        <w:t>Alencastro</w:t>
      </w:r>
      <w:proofErr w:type="spellEnd"/>
      <w:r w:rsidRPr="00CF1787">
        <w:rPr>
          <w:lang w:val="es-ES"/>
        </w:rPr>
        <w:t xml:space="preserve"> rendido en la audiencia pública celebrada ante la Corte en el presente caso.</w:t>
      </w:r>
    </w:p>
  </w:footnote>
  <w:footnote w:id="126">
    <w:p w14:paraId="46F7E0FA"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tab/>
      </w:r>
      <w:r w:rsidRPr="00CF1787">
        <w:rPr>
          <w:i/>
        </w:rPr>
        <w:t>Cfr.</w:t>
      </w:r>
      <w:r w:rsidRPr="00CF1787">
        <w:t xml:space="preserve"> Ley de la Función Judicial de la Policía Nacional. Registro Oficial Suplemento 1202 de 20 de agosto de 1960, artículos 40 y 49 (expediente de prueba, folios 3868 y 3869), y </w:t>
      </w:r>
      <w:r w:rsidRPr="00CF1787">
        <w:rPr>
          <w:lang w:val="es-ES"/>
        </w:rPr>
        <w:t xml:space="preserve">peritaje de Juan Pablo Albán </w:t>
      </w:r>
      <w:proofErr w:type="spellStart"/>
      <w:r w:rsidRPr="00CF1787">
        <w:rPr>
          <w:lang w:val="es-ES"/>
        </w:rPr>
        <w:t>Alencastro</w:t>
      </w:r>
      <w:proofErr w:type="spellEnd"/>
      <w:r w:rsidRPr="00CF1787">
        <w:rPr>
          <w:lang w:val="es-ES"/>
        </w:rPr>
        <w:t xml:space="preserve"> rendido en la audiencia pública celebrada ante la Corte en el presente caso</w:t>
      </w:r>
      <w:r w:rsidRPr="00CF1787">
        <w:rPr>
          <w:lang w:val="es-CR"/>
        </w:rPr>
        <w:t>.</w:t>
      </w:r>
      <w:r w:rsidRPr="00CF1787">
        <w:rPr>
          <w:lang w:val="es-CO"/>
        </w:rPr>
        <w:t xml:space="preserve"> Los Tribunales del Crimen estaban conformados por vocales, que podían ser oficiales en servicio activo o pasivo y un auditor, quien los presidía y debía ser un oficial superior en servicio activo, con título de doctor en jurisprudencia y abogado de la República.</w:t>
      </w:r>
      <w:r w:rsidRPr="00CF1787">
        <w:rPr>
          <w:i/>
        </w:rPr>
        <w:t xml:space="preserve"> Cfr.</w:t>
      </w:r>
      <w:r w:rsidRPr="00CF1787">
        <w:t xml:space="preserve"> Ley de la Función Judicial de la Policía Nacional. Registro Oficial Suplemento 1202 de 20 de agosto de 1960, artículo 29 (expediente de prueba, folio 3866), y </w:t>
      </w:r>
      <w:r w:rsidRPr="00CF1787">
        <w:rPr>
          <w:rFonts w:eastAsiaTheme="minorHAnsi" w:cs="Times"/>
        </w:rPr>
        <w:t xml:space="preserve">Ley Orgánica de la Policía Nacional promulgada en el Registro Oficial </w:t>
      </w:r>
      <w:r w:rsidRPr="00CF1787">
        <w:rPr>
          <w:rFonts w:eastAsiaTheme="minorHAnsi" w:cs="Helvetica"/>
        </w:rPr>
        <w:t xml:space="preserve">757 de 7 de marzo de </w:t>
      </w:r>
      <w:r w:rsidRPr="00CF1787">
        <w:rPr>
          <w:rFonts w:eastAsiaTheme="minorHAnsi" w:cs="Times"/>
        </w:rPr>
        <w:t xml:space="preserve">1975, artículo 74 (expediente de prueba, folio 2463). </w:t>
      </w:r>
      <w:r w:rsidRPr="00CF1787">
        <w:t>De acuerdo a la Ley de la Función Judicial de la Policía Nacional</w:t>
      </w:r>
      <w:r w:rsidRPr="00CF1787">
        <w:rPr>
          <w:lang w:val="es-CO"/>
        </w:rPr>
        <w:t xml:space="preserve"> de 1960, además debía “tener mayor tiempo de servicio en la institución que los demás funcionarios de justicia”. No es claro si este requisito fue derogado con la Ley Orgánica de la Policía Nacional de 7 de marzo de 1975. </w:t>
      </w:r>
      <w:r w:rsidRPr="00CF1787">
        <w:rPr>
          <w:i/>
        </w:rPr>
        <w:t>Cfr.</w:t>
      </w:r>
      <w:r w:rsidRPr="00CF1787">
        <w:t xml:space="preserve"> Ley de la Función Judicial de la Policía Nacional. Registro Oficial Suplemento 1202 de 20 de agosto de 1960, artículo 55 (expediente de prueba, folio 3869).</w:t>
      </w:r>
    </w:p>
  </w:footnote>
  <w:footnote w:id="127">
    <w:p w14:paraId="2E7EAEA3" w14:textId="3A1B0A55"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rFonts w:eastAsiaTheme="minorHAnsi" w:cs="Times"/>
        </w:rPr>
        <w:t xml:space="preserve">Ley Orgánica de la Policía Nacional promulgada en el Registro Oficial </w:t>
      </w:r>
      <w:r w:rsidRPr="00CF1787">
        <w:rPr>
          <w:rFonts w:eastAsiaTheme="minorHAnsi" w:cs="Helvetica"/>
        </w:rPr>
        <w:t xml:space="preserve">757 de 7 de marzo de </w:t>
      </w:r>
      <w:r w:rsidRPr="00CF1787">
        <w:rPr>
          <w:rFonts w:eastAsiaTheme="minorHAnsi" w:cs="Times"/>
        </w:rPr>
        <w:t xml:space="preserve">1975, artículo 67 (expediente de prueba, folio 2463); </w:t>
      </w:r>
      <w:r w:rsidRPr="00CF1787">
        <w:t xml:space="preserve">Ley de la Función Judicial de la Policía Nacional. Registro Oficial Suplemento 1202 de 20 de agosto de 1960, artículos 21 y 29 (expediente de prueba, folios 2521 y 2522), y </w:t>
      </w:r>
      <w:r w:rsidRPr="00CF1787">
        <w:rPr>
          <w:lang w:val="es-ES"/>
        </w:rPr>
        <w:t xml:space="preserve">peritaje de Juan Pablo Albán </w:t>
      </w:r>
      <w:proofErr w:type="spellStart"/>
      <w:r w:rsidRPr="00CF1787">
        <w:rPr>
          <w:lang w:val="es-ES"/>
        </w:rPr>
        <w:t>Alencastro</w:t>
      </w:r>
      <w:proofErr w:type="spellEnd"/>
      <w:r w:rsidRPr="00CF1787">
        <w:rPr>
          <w:lang w:val="es-ES"/>
        </w:rPr>
        <w:t xml:space="preserve"> rendido en la audiencia pública celebrada ante la Corte en el presente caso</w:t>
      </w:r>
      <w:r w:rsidRPr="00CF1787">
        <w:rPr>
          <w:lang w:val="es-CR"/>
        </w:rPr>
        <w:t>. La Corte de Justicia de la Policía Nacional estaba integrada por: “</w:t>
      </w:r>
      <w:r w:rsidRPr="00CF1787">
        <w:t>dos Oficiales Generales de Línea de la Policía Nacional en Servicio Activo o en situación de Retiro y tres Abogados de la República, con títulos de Doctores en Jurisprudencia nombrados por el Ministro de Gobierno”. “La Corte [era] presidida por el Oficial de mayor jerarquía y antigüedad”</w:t>
      </w:r>
      <w:r w:rsidRPr="00CF1787">
        <w:rPr>
          <w:rFonts w:eastAsiaTheme="minorHAnsi" w:cs="Times"/>
          <w:i/>
        </w:rPr>
        <w:t xml:space="preserve">. </w:t>
      </w:r>
      <w:r w:rsidRPr="00CF1787">
        <w:rPr>
          <w:rFonts w:eastAsiaTheme="minorHAnsi" w:cs="Times"/>
        </w:rPr>
        <w:t>Además, al igual que los magistrados de las Cortes Superiores, los magistrados de la máxima instancia debían cumplir con los requisitos para ser ministros de la Corte Suprema.</w:t>
      </w:r>
      <w:r w:rsidRPr="00CF1787">
        <w:rPr>
          <w:rFonts w:eastAsiaTheme="minorHAnsi" w:cs="Times"/>
          <w:i/>
        </w:rPr>
        <w:t xml:space="preserve"> Cfr. </w:t>
      </w:r>
      <w:r w:rsidRPr="00CF1787">
        <w:rPr>
          <w:rFonts w:eastAsiaTheme="minorHAnsi" w:cs="Times"/>
        </w:rPr>
        <w:t xml:space="preserve">Ley Orgánica de la Policía Nacional promulgada en el Registro Oficial </w:t>
      </w:r>
      <w:r w:rsidRPr="00CF1787">
        <w:rPr>
          <w:rFonts w:eastAsiaTheme="minorHAnsi" w:cs="Helvetica"/>
        </w:rPr>
        <w:t xml:space="preserve">757 de 7 de marzo de </w:t>
      </w:r>
      <w:r w:rsidRPr="00CF1787">
        <w:rPr>
          <w:rFonts w:eastAsiaTheme="minorHAnsi" w:cs="Times"/>
        </w:rPr>
        <w:t xml:space="preserve">1975, artículos 63 y 72 (expediente de prueba, folio 2463), y </w:t>
      </w:r>
      <w:r w:rsidRPr="00CF1787">
        <w:t>Ley de la Función Judicial de la Policía Nacional. Registro Oficial Suplemento 1202 de 20 de agosto de 1960, artículos 21 y 29 (expediente de prueba, folio 2521).</w:t>
      </w:r>
    </w:p>
  </w:footnote>
  <w:footnote w:id="128">
    <w:p w14:paraId="4CFE788F"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rFonts w:eastAsiaTheme="minorHAnsi" w:cs="Times"/>
          <w:i/>
        </w:rPr>
        <w:t xml:space="preserve">Cfr. </w:t>
      </w:r>
      <w:r w:rsidRPr="00CF1787">
        <w:rPr>
          <w:rFonts w:eastAsiaTheme="minorHAnsi" w:cs="Times"/>
        </w:rPr>
        <w:t xml:space="preserve">Ley Orgánica de la Policía Nacional promulgada en el Registro Oficial </w:t>
      </w:r>
      <w:r w:rsidRPr="00CF1787">
        <w:rPr>
          <w:rFonts w:eastAsiaTheme="minorHAnsi" w:cs="Helvetica"/>
        </w:rPr>
        <w:t xml:space="preserve">757 de 7 de marzo de </w:t>
      </w:r>
      <w:r w:rsidRPr="00CF1787">
        <w:rPr>
          <w:rFonts w:eastAsiaTheme="minorHAnsi" w:cs="Times"/>
        </w:rPr>
        <w:t>1975, artículo 72 (expediente de prueba, folio 2463).</w:t>
      </w:r>
    </w:p>
  </w:footnote>
  <w:footnote w:id="129">
    <w:p w14:paraId="5963DB84"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rPr>
          <w:lang w:val="es-ES"/>
        </w:rPr>
        <w:tab/>
        <w:t>Al respecto, la Ley Orgánica de la Función Judicial establece: “</w:t>
      </w:r>
      <w:r w:rsidRPr="00CF1787">
        <w:rPr>
          <w:lang w:val="es-MX"/>
        </w:rPr>
        <w:t xml:space="preserve">Art. 12.- [...] Para ser Ministro de la Corte Suprema se requiere: Ser ecuatoriano por nacimiento; hallarse en ejercicio de los derechos de ciudadanía; ser doctor en Jurisprudencia y haber ejercido su profesión o magistratura de los juzgados o cortes superiores, por un tiempo no menor de doce años computados en total, y tener, por lo menos, treinta y cinco años de edad”. “Art. 22.- Para ser Ministro de una Corte Superior, se requieren las mismas condiciones fijadas para ser Ministro de la Corte Suprema, con excepción a las que se refieren a la edad y al libre ejercicio profesional o la judicatura, que se limitan a treinta y ocho años, respectivamente”. </w:t>
      </w:r>
      <w:r w:rsidRPr="00CF1787">
        <w:rPr>
          <w:lang w:val="es-ES"/>
        </w:rPr>
        <w:t xml:space="preserve">Ley Orgánica de la Función Judicial. Decreto Supremo 891. Registro Oficial 636, de 11 de septiembre de 1974, artículos 12 y 22 (expediente de fondo, folio 715). </w:t>
      </w:r>
    </w:p>
  </w:footnote>
  <w:footnote w:id="130">
    <w:p w14:paraId="66E9416D" w14:textId="77777777" w:rsidR="00935D08" w:rsidRPr="00CF1787" w:rsidRDefault="00935D08" w:rsidP="00CA1834">
      <w:pPr>
        <w:widowControl w:val="0"/>
        <w:tabs>
          <w:tab w:val="left" w:pos="426"/>
        </w:tabs>
        <w:autoSpaceDE w:val="0"/>
        <w:autoSpaceDN w:val="0"/>
        <w:adjustRightInd w:val="0"/>
        <w:spacing w:before="120" w:after="120"/>
        <w:rPr>
          <w:rFonts w:eastAsiaTheme="minorHAnsi" w:cs="Times"/>
          <w:sz w:val="16"/>
          <w:szCs w:val="16"/>
          <w:lang w:val="es-ES_tradnl"/>
        </w:rPr>
      </w:pPr>
      <w:r w:rsidRPr="00CF1787">
        <w:rPr>
          <w:rStyle w:val="FootnoteReference"/>
        </w:rPr>
        <w:footnoteRef/>
      </w:r>
      <w:r w:rsidRPr="00CF1787">
        <w:rPr>
          <w:sz w:val="16"/>
          <w:szCs w:val="16"/>
        </w:rPr>
        <w:t xml:space="preserve"> </w:t>
      </w:r>
      <w:r w:rsidRPr="00CF1787">
        <w:rPr>
          <w:sz w:val="16"/>
          <w:szCs w:val="16"/>
          <w:lang w:val="es-ES"/>
        </w:rPr>
        <w:tab/>
        <w:t xml:space="preserve">De acuerdo a la Ley de Personal de la Policía Nacional, el personal de la Policía Nacional se clasificada en: personal de línea y personal de servicios. El Personal de Servicios era “aquel que cumple con funciones destinadas a satisfacer las necesidades logísticas, de administración, de justicia y otras que se crearen de acuerdo a los requerimientos de la Policía Nacional”. </w:t>
      </w:r>
      <w:r w:rsidRPr="00CF1787">
        <w:rPr>
          <w:rFonts w:eastAsiaTheme="minorHAnsi" w:cs="Times"/>
          <w:sz w:val="16"/>
          <w:szCs w:val="16"/>
          <w:lang w:val="es-ES_tradnl"/>
        </w:rPr>
        <w:t>Ley de Personal de la Policía Nacional. Registro Oficial No. 710 de 14 de noviembre de 1978, artículo 13 (expediente de prueba, folio 2638).</w:t>
      </w:r>
    </w:p>
  </w:footnote>
  <w:footnote w:id="131">
    <w:p w14:paraId="1D7FD0B6"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tab/>
      </w:r>
      <w:r w:rsidRPr="00CF1787">
        <w:rPr>
          <w:lang w:val="es-MX"/>
        </w:rPr>
        <w:t>Ley Orgánica de la Policía Nacional promulgada en el Registro Oficial 757 de 7 de marzo de 1975, artículo 73 (expediente de prueba, folio 2463).</w:t>
      </w:r>
    </w:p>
  </w:footnote>
  <w:footnote w:id="132">
    <w:p w14:paraId="4B768EFD"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tab/>
      </w:r>
      <w:r w:rsidRPr="00CF1787">
        <w:rPr>
          <w:i/>
        </w:rPr>
        <w:t>Cfr.</w:t>
      </w:r>
      <w:r w:rsidRPr="00CF1787">
        <w:t xml:space="preserve"> P</w:t>
      </w:r>
      <w:proofErr w:type="spellStart"/>
      <w:r w:rsidRPr="00CF1787">
        <w:rPr>
          <w:lang w:val="es-ES"/>
        </w:rPr>
        <w:t>eritaje</w:t>
      </w:r>
      <w:proofErr w:type="spellEnd"/>
      <w:r w:rsidRPr="00CF1787">
        <w:rPr>
          <w:lang w:val="es-ES"/>
        </w:rPr>
        <w:t xml:space="preserve"> de Juan Pablo Albán </w:t>
      </w:r>
      <w:proofErr w:type="spellStart"/>
      <w:r w:rsidRPr="00CF1787">
        <w:rPr>
          <w:lang w:val="es-ES"/>
        </w:rPr>
        <w:t>Alencastro</w:t>
      </w:r>
      <w:proofErr w:type="spellEnd"/>
      <w:r w:rsidRPr="00CF1787">
        <w:rPr>
          <w:lang w:val="es-ES"/>
        </w:rPr>
        <w:t xml:space="preserve"> rendido en la audiencia pública celebrada ante la Corte en el presente caso</w:t>
      </w:r>
      <w:r w:rsidRPr="00CF1787">
        <w:rPr>
          <w:lang w:val="es-CR"/>
        </w:rPr>
        <w:t>.</w:t>
      </w:r>
    </w:p>
  </w:footnote>
  <w:footnote w:id="133">
    <w:p w14:paraId="4BC1534D" w14:textId="51F429EE" w:rsidR="00935D08" w:rsidRPr="00CF1787" w:rsidRDefault="00935D08" w:rsidP="00CA1834">
      <w:pPr>
        <w:pStyle w:val="FootnoteText"/>
        <w:tabs>
          <w:tab w:val="clear" w:pos="567"/>
          <w:tab w:val="left" w:pos="426"/>
        </w:tabs>
      </w:pPr>
      <w:r w:rsidRPr="00CF1787">
        <w:rPr>
          <w:rStyle w:val="FootnoteReference"/>
        </w:rPr>
        <w:footnoteRef/>
      </w:r>
      <w:r w:rsidRPr="00CF1787">
        <w:t xml:space="preserve"> </w:t>
      </w:r>
      <w:r w:rsidRPr="00CF1787">
        <w:tab/>
      </w:r>
      <w:r w:rsidRPr="00CF1787">
        <w:rPr>
          <w:i/>
        </w:rPr>
        <w:t>Cfr.</w:t>
      </w:r>
      <w:r w:rsidRPr="00CF1787">
        <w:t xml:space="preserve"> </w:t>
      </w:r>
      <w:r w:rsidRPr="00CF1787">
        <w:rPr>
          <w:lang w:val="es-ES"/>
        </w:rPr>
        <w:t>Escrito de información y prueba para mejor resolver presentado por el Estado el 11 de agosto de 2016 (expediente de fondo, folio 720).</w:t>
      </w:r>
    </w:p>
  </w:footnote>
  <w:footnote w:id="134">
    <w:p w14:paraId="1E585495" w14:textId="622F6865" w:rsidR="00935D08" w:rsidRPr="00CF1787" w:rsidRDefault="00935D08" w:rsidP="00CA1834">
      <w:pPr>
        <w:pStyle w:val="FootnoteText"/>
        <w:tabs>
          <w:tab w:val="clear" w:pos="567"/>
          <w:tab w:val="left" w:pos="426"/>
        </w:tabs>
        <w:spacing w:before="120" w:after="120"/>
      </w:pPr>
      <w:r w:rsidRPr="00CF1787">
        <w:rPr>
          <w:rStyle w:val="FootnoteReference"/>
        </w:rPr>
        <w:footnoteRef/>
      </w:r>
      <w:r w:rsidRPr="00CF1787">
        <w:t xml:space="preserve">  </w:t>
      </w:r>
      <w:r w:rsidRPr="00CF1787">
        <w:tab/>
        <w:t xml:space="preserve">Constitución Política de la República del Ecuador. Registro Oficial 763 de 12 de junio de 1984, artículos 126 132, 136 (expediente de prueba, folio 2371), y </w:t>
      </w:r>
      <w:r w:rsidRPr="00CF1787">
        <w:rPr>
          <w:lang w:val="es-CR"/>
        </w:rPr>
        <w:t>Ley Orgánica de la Policía Nacional. Registro Oficial No. 757 de 7 de marzo de 1975, artículo 2 (expediente de prueba, folio 2455).</w:t>
      </w:r>
    </w:p>
  </w:footnote>
  <w:footnote w:id="135">
    <w:p w14:paraId="3DB19559"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tab/>
      </w:r>
      <w:r w:rsidRPr="00CF1787">
        <w:rPr>
          <w:lang w:val="es-MX"/>
        </w:rPr>
        <w:t xml:space="preserve">Respecto de los vocales en los Tribunales del Crimen, </w:t>
      </w:r>
      <w:r w:rsidRPr="00CF1787">
        <w:rPr>
          <w:lang w:val="es-CO"/>
        </w:rPr>
        <w:t xml:space="preserve">el Ministro de Gobierno designaba a 20 oficiales superiores y 20 oficiales superiores o inferiores en servicio activo o pasivo que eran propuestos por el Comandante General para que ejerzan cargos de vocales en los Tribunales del Crimen de oficiales superiores y tropa, respectivamente por un período de un año, sujeto a reelección. </w:t>
      </w:r>
      <w:r w:rsidRPr="00CF1787">
        <w:rPr>
          <w:i/>
          <w:lang w:val="es-MX"/>
        </w:rPr>
        <w:t>Cfr.</w:t>
      </w:r>
      <w:r w:rsidRPr="00CF1787">
        <w:rPr>
          <w:lang w:val="es-MX"/>
        </w:rPr>
        <w:t xml:space="preserve"> Ley de la Función Judicial de la Policía Nacional. Registro Oficial Suplemento 1202 de 20 de agosto de 1960, artículos 22, 29 y 41 (expediente de prueba, folios 2521, 2522 y 2523), y Ley Orgánica de la </w:t>
      </w:r>
      <w:proofErr w:type="spellStart"/>
      <w:r w:rsidRPr="00CF1787">
        <w:rPr>
          <w:lang w:val="es-MX"/>
        </w:rPr>
        <w:t>Policia</w:t>
      </w:r>
      <w:proofErr w:type="spellEnd"/>
      <w:r w:rsidRPr="00CF1787">
        <w:rPr>
          <w:lang w:val="es-MX"/>
        </w:rPr>
        <w:t xml:space="preserve"> Nacional  promulgada en el Registro Oficial 757 de 7 de marzo de 1975, artículos</w:t>
      </w:r>
      <w:r w:rsidRPr="00CF1787">
        <w:rPr>
          <w:b/>
          <w:lang w:val="es-MX"/>
        </w:rPr>
        <w:t xml:space="preserve"> </w:t>
      </w:r>
      <w:r w:rsidRPr="00CF1787">
        <w:rPr>
          <w:lang w:val="es-MX"/>
        </w:rPr>
        <w:t>63 y 67 (expediente de prueba, folio 2463).</w:t>
      </w:r>
    </w:p>
  </w:footnote>
  <w:footnote w:id="136">
    <w:p w14:paraId="60BB3A2B"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bCs/>
          <w:lang w:val="es-MX"/>
        </w:rPr>
        <w:t xml:space="preserve">Los Magistrados de la Corte de Justicia de la Policía Nacional, a su vez, eran nombrados por el Ministro de Gobierno. </w:t>
      </w:r>
      <w:r w:rsidRPr="00CF1787">
        <w:rPr>
          <w:bCs/>
          <w:i/>
          <w:lang w:val="es-MX"/>
        </w:rPr>
        <w:t xml:space="preserve">Cfr. </w:t>
      </w:r>
      <w:r w:rsidRPr="00CF1787">
        <w:rPr>
          <w:bCs/>
          <w:lang w:val="es-MX"/>
        </w:rPr>
        <w:t>Ley Orgánica de la Policía Nacional promulgada en el Registro Oficial 757 de 7 de marzo de 1975, artículos 63 y 72 (expediente de prueba, folio 2463).</w:t>
      </w:r>
    </w:p>
  </w:footnote>
  <w:footnote w:id="137">
    <w:p w14:paraId="09B35E5D"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rFonts w:eastAsiaTheme="minorHAnsi" w:cs="Times"/>
          <w:i/>
          <w:lang w:val="es-MX"/>
        </w:rPr>
        <w:t>Cfr.</w:t>
      </w:r>
      <w:r w:rsidRPr="00CF1787">
        <w:rPr>
          <w:rFonts w:eastAsiaTheme="minorHAnsi" w:cs="Times"/>
          <w:lang w:val="es-MX"/>
        </w:rPr>
        <w:t xml:space="preserve"> Ley Orgánica de la Policía Nacional promulgada en el Registro Oficial 757 de 7 de marzo de 1975, artículo 67 (expediente de prueba, folio 2463). Ver también: Ley de la Función Judicial de la Policía Nacional. Registro Oficial Suplemento 1202 de 20 de agosto de 1960, artículos 21 y 29 (expediente de prueba, folios 2521y 2522), y </w:t>
      </w:r>
      <w:r w:rsidRPr="00CF1787">
        <w:rPr>
          <w:rFonts w:eastAsiaTheme="minorHAnsi" w:cs="Times"/>
          <w:lang w:val="es-ES"/>
        </w:rPr>
        <w:t xml:space="preserve">Peritaje de Juan Pablo Albán </w:t>
      </w:r>
      <w:proofErr w:type="spellStart"/>
      <w:r w:rsidRPr="00CF1787">
        <w:rPr>
          <w:rFonts w:eastAsiaTheme="minorHAnsi" w:cs="Times"/>
          <w:lang w:val="es-ES"/>
        </w:rPr>
        <w:t>Alencastro</w:t>
      </w:r>
      <w:proofErr w:type="spellEnd"/>
      <w:r w:rsidRPr="00CF1787">
        <w:rPr>
          <w:rFonts w:eastAsiaTheme="minorHAnsi" w:cs="Times"/>
          <w:lang w:val="es-ES"/>
        </w:rPr>
        <w:t xml:space="preserve"> rendido en la audiencia pública</w:t>
      </w:r>
      <w:r w:rsidRPr="00CF1787">
        <w:rPr>
          <w:lang w:val="es-ES"/>
        </w:rPr>
        <w:t xml:space="preserve"> celebrada ante la Corte en el presente caso</w:t>
      </w:r>
      <w:r w:rsidRPr="00CF1787">
        <w:rPr>
          <w:rFonts w:eastAsiaTheme="minorHAnsi" w:cs="Times"/>
          <w:lang w:val="es-ES"/>
        </w:rPr>
        <w:t xml:space="preserve">. </w:t>
      </w:r>
    </w:p>
  </w:footnote>
  <w:footnote w:id="138">
    <w:p w14:paraId="4137C7FD"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rPr>
          <w:lang w:val="es-ES"/>
        </w:rPr>
        <w:tab/>
        <w:t xml:space="preserve">Peritaje de Juan Pablo Albán </w:t>
      </w:r>
      <w:proofErr w:type="spellStart"/>
      <w:r w:rsidRPr="00CF1787">
        <w:rPr>
          <w:lang w:val="es-ES"/>
        </w:rPr>
        <w:t>Alencastro</w:t>
      </w:r>
      <w:proofErr w:type="spellEnd"/>
      <w:r w:rsidRPr="00CF1787">
        <w:rPr>
          <w:lang w:val="es-ES"/>
        </w:rPr>
        <w:t xml:space="preserve"> rendido en la audiencia pública celebrada ante la Corte en el presente caso</w:t>
      </w:r>
      <w:r w:rsidRPr="00CF1787">
        <w:rPr>
          <w:lang w:val="es-CR"/>
        </w:rPr>
        <w:t>.</w:t>
      </w:r>
    </w:p>
  </w:footnote>
  <w:footnote w:id="139">
    <w:p w14:paraId="14000337" w14:textId="0D0A45DA"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lang w:val="es-MX"/>
        </w:rPr>
        <w:t>Cfr. Caso del Tribunal Constitucional Vs. Perú. Fondo, Reparaciones y Costas</w:t>
      </w:r>
      <w:r w:rsidRPr="00CF1787">
        <w:rPr>
          <w:lang w:val="es-MX"/>
        </w:rPr>
        <w:t xml:space="preserve">. Sentencia de 31 de enero de 2001. </w:t>
      </w:r>
      <w:r w:rsidRPr="00CF1787">
        <w:rPr>
          <w:lang w:val="es-CR"/>
        </w:rPr>
        <w:t xml:space="preserve">Serie C No. 71, </w:t>
      </w:r>
      <w:r w:rsidRPr="00CF1787">
        <w:rPr>
          <w:lang w:val="es-MX"/>
        </w:rPr>
        <w:t xml:space="preserve">párr. 75, </w:t>
      </w:r>
      <w:r w:rsidRPr="00CF1787">
        <w:rPr>
          <w:i/>
          <w:lang w:val="es-MX"/>
        </w:rPr>
        <w:t xml:space="preserve">y </w:t>
      </w:r>
      <w:r w:rsidRPr="00CF1787">
        <w:rPr>
          <w:i/>
          <w:lang w:val="es-CR"/>
        </w:rPr>
        <w:t xml:space="preserve">Caso López </w:t>
      </w:r>
      <w:proofErr w:type="spellStart"/>
      <w:r w:rsidRPr="00CF1787">
        <w:rPr>
          <w:i/>
          <w:lang w:val="es-CR"/>
        </w:rPr>
        <w:t>Lone</w:t>
      </w:r>
      <w:proofErr w:type="spellEnd"/>
      <w:r w:rsidRPr="00CF1787">
        <w:rPr>
          <w:i/>
          <w:lang w:val="es-CR"/>
        </w:rPr>
        <w:t xml:space="preserve"> y otros Vs. Honduras</w:t>
      </w:r>
      <w:r w:rsidRPr="00CF1787">
        <w:rPr>
          <w:i/>
          <w:spacing w:val="-4"/>
          <w:lang w:val="es-ES"/>
        </w:rPr>
        <w:t>, supra</w:t>
      </w:r>
      <w:r w:rsidRPr="00CF1787">
        <w:rPr>
          <w:lang w:val="es-CR"/>
        </w:rPr>
        <w:t>, párr. 191.</w:t>
      </w:r>
    </w:p>
  </w:footnote>
  <w:footnote w:id="140">
    <w:p w14:paraId="5F880156" w14:textId="01C2603E" w:rsidR="00935D08" w:rsidRPr="00CF1787" w:rsidRDefault="00935D08" w:rsidP="00CA1834">
      <w:pPr>
        <w:pStyle w:val="FootnoteText"/>
        <w:tabs>
          <w:tab w:val="left" w:pos="426"/>
        </w:tabs>
        <w:spacing w:before="120" w:after="120"/>
        <w:rPr>
          <w:rFonts w:cs="Arial"/>
          <w:spacing w:val="-4"/>
          <w:lang w:val="es-CO"/>
        </w:rPr>
      </w:pPr>
      <w:r w:rsidRPr="00CF1787">
        <w:rPr>
          <w:rStyle w:val="FootnoteReference"/>
        </w:rPr>
        <w:footnoteRef/>
      </w:r>
      <w:r w:rsidRPr="00CF1787">
        <w:t xml:space="preserve"> </w:t>
      </w:r>
      <w:r w:rsidRPr="00CF1787">
        <w:tab/>
      </w:r>
      <w:r w:rsidRPr="00CF1787">
        <w:rPr>
          <w:i/>
        </w:rPr>
        <w:t xml:space="preserve">Cfr. </w:t>
      </w:r>
      <w:r w:rsidRPr="00CF1787">
        <w:rPr>
          <w:i/>
          <w:spacing w:val="-4"/>
          <w:lang w:val="es-CR"/>
        </w:rPr>
        <w:t xml:space="preserve">Caso López </w:t>
      </w:r>
      <w:proofErr w:type="spellStart"/>
      <w:r w:rsidRPr="00CF1787">
        <w:rPr>
          <w:i/>
          <w:spacing w:val="-4"/>
          <w:lang w:val="es-CR"/>
        </w:rPr>
        <w:t>Lone</w:t>
      </w:r>
      <w:proofErr w:type="spellEnd"/>
      <w:r w:rsidRPr="00CF1787">
        <w:rPr>
          <w:i/>
          <w:spacing w:val="-4"/>
          <w:lang w:val="es-CR"/>
        </w:rPr>
        <w:t xml:space="preserve"> y otros Vs. Honduras</w:t>
      </w:r>
      <w:r w:rsidRPr="00CF1787">
        <w:rPr>
          <w:i/>
          <w:spacing w:val="-4"/>
          <w:lang w:val="es-ES"/>
        </w:rPr>
        <w:t>, supra</w:t>
      </w:r>
      <w:r w:rsidRPr="00CF1787">
        <w:rPr>
          <w:spacing w:val="-4"/>
          <w:lang w:val="es-CR"/>
        </w:rPr>
        <w:t xml:space="preserve">, párr. 196 citando </w:t>
      </w:r>
      <w:r w:rsidRPr="00CF1787">
        <w:rPr>
          <w:rFonts w:cs="Arial"/>
          <w:spacing w:val="-4"/>
          <w:lang w:val="es-ES"/>
        </w:rPr>
        <w:t>Principio 11 de los Principios Básicos de las Naciones Unidas.</w:t>
      </w:r>
    </w:p>
  </w:footnote>
  <w:footnote w:id="141">
    <w:p w14:paraId="7FA82E75" w14:textId="7428E5D7" w:rsidR="00935D08" w:rsidRPr="00CF1787" w:rsidRDefault="00935D08" w:rsidP="00CA1834">
      <w:pPr>
        <w:pStyle w:val="FootnoteText"/>
        <w:tabs>
          <w:tab w:val="left" w:pos="426"/>
        </w:tabs>
        <w:spacing w:before="120" w:after="120"/>
        <w:rPr>
          <w:rFonts w:cs="Arial"/>
          <w:spacing w:val="-4"/>
          <w:lang w:val="es-CO"/>
        </w:rPr>
      </w:pPr>
      <w:r w:rsidRPr="00CF1787">
        <w:rPr>
          <w:rStyle w:val="FootnoteReference"/>
        </w:rPr>
        <w:footnoteRef/>
      </w:r>
      <w:r w:rsidRPr="00CF1787">
        <w:t xml:space="preserve"> </w:t>
      </w:r>
      <w:r w:rsidRPr="00CF1787">
        <w:tab/>
      </w:r>
      <w:r w:rsidRPr="00CF1787">
        <w:rPr>
          <w:i/>
        </w:rPr>
        <w:t xml:space="preserve">Cfr. Caso de la Corte Suprema de Justicia (Quintana Coello y otros) Vs. Perú. Excepción Preliminar, Fondo, Reparaciones y Costas. </w:t>
      </w:r>
      <w:r w:rsidRPr="00CF1787">
        <w:t xml:space="preserve">Sentencia de 23 de agosto de 2013. Serie </w:t>
      </w:r>
      <w:r w:rsidRPr="00CF1787">
        <w:rPr>
          <w:spacing w:val="-4"/>
          <w:lang w:val="es-CR"/>
        </w:rPr>
        <w:t>C No. 266, párr. 155, y</w:t>
      </w:r>
      <w:r w:rsidRPr="00CF1787">
        <w:rPr>
          <w:i/>
        </w:rPr>
        <w:t xml:space="preserve"> </w:t>
      </w:r>
      <w:r w:rsidRPr="00CF1787">
        <w:rPr>
          <w:i/>
          <w:spacing w:val="-4"/>
          <w:lang w:val="es-CR"/>
        </w:rPr>
        <w:t xml:space="preserve">Caso López </w:t>
      </w:r>
      <w:proofErr w:type="spellStart"/>
      <w:r w:rsidRPr="00CF1787">
        <w:rPr>
          <w:i/>
          <w:spacing w:val="-4"/>
          <w:lang w:val="es-CR"/>
        </w:rPr>
        <w:t>Lone</w:t>
      </w:r>
      <w:proofErr w:type="spellEnd"/>
      <w:r w:rsidRPr="00CF1787">
        <w:rPr>
          <w:i/>
          <w:spacing w:val="-4"/>
          <w:lang w:val="es-CR"/>
        </w:rPr>
        <w:t xml:space="preserve"> y otros Vs. Honduras</w:t>
      </w:r>
      <w:r w:rsidRPr="00CF1787">
        <w:rPr>
          <w:i/>
          <w:spacing w:val="-4"/>
          <w:lang w:val="es-ES"/>
        </w:rPr>
        <w:t>, supra</w:t>
      </w:r>
      <w:r w:rsidRPr="00CF1787">
        <w:rPr>
          <w:spacing w:val="-4"/>
          <w:lang w:val="es-CR"/>
        </w:rPr>
        <w:t>, párr. 200.</w:t>
      </w:r>
    </w:p>
  </w:footnote>
  <w:footnote w:id="142">
    <w:p w14:paraId="720B461F" w14:textId="3E3185C9" w:rsidR="00935D08" w:rsidRPr="00CF1787" w:rsidRDefault="00935D08" w:rsidP="00CA1834">
      <w:pPr>
        <w:pStyle w:val="FootnoteText"/>
        <w:tabs>
          <w:tab w:val="left" w:pos="426"/>
        </w:tabs>
        <w:spacing w:before="120" w:after="120"/>
        <w:rPr>
          <w:rFonts w:cs="Arial"/>
          <w:spacing w:val="-4"/>
          <w:lang w:val="es-ES"/>
        </w:rPr>
      </w:pPr>
      <w:r w:rsidRPr="00CF1787">
        <w:rPr>
          <w:rStyle w:val="FootnoteReference"/>
          <w:spacing w:val="-4"/>
        </w:rPr>
        <w:footnoteRef/>
      </w:r>
      <w:r w:rsidRPr="00CF1787">
        <w:rPr>
          <w:rFonts w:cs="Arial"/>
          <w:spacing w:val="-4"/>
          <w:vertAlign w:val="superscript"/>
          <w:lang w:val="es-CO"/>
        </w:rPr>
        <w:t xml:space="preserve"> </w:t>
      </w:r>
      <w:r w:rsidRPr="00CF1787">
        <w:rPr>
          <w:rFonts w:cs="Arial"/>
          <w:spacing w:val="-4"/>
          <w:lang w:val="es-CO"/>
        </w:rPr>
        <w:tab/>
      </w:r>
      <w:r w:rsidRPr="00CF1787">
        <w:rPr>
          <w:i/>
          <w:spacing w:val="-4"/>
        </w:rPr>
        <w:t xml:space="preserve">Cfr. Caso </w:t>
      </w:r>
      <w:proofErr w:type="spellStart"/>
      <w:r w:rsidRPr="00CF1787">
        <w:rPr>
          <w:i/>
          <w:spacing w:val="-4"/>
        </w:rPr>
        <w:t>Apitz</w:t>
      </w:r>
      <w:proofErr w:type="spellEnd"/>
      <w:r w:rsidRPr="00CF1787">
        <w:rPr>
          <w:i/>
          <w:spacing w:val="-4"/>
        </w:rPr>
        <w:t xml:space="preserve"> Barbera y otros (“Corte Primera de lo Contencioso Administrativo”) Vs. Venezuela, supra,</w:t>
      </w:r>
      <w:r w:rsidRPr="00CF1787">
        <w:rPr>
          <w:spacing w:val="-4"/>
        </w:rPr>
        <w:t xml:space="preserve"> </w:t>
      </w:r>
      <w:r w:rsidRPr="00CF1787">
        <w:rPr>
          <w:spacing w:val="-4"/>
          <w:lang w:val="es-CO"/>
        </w:rPr>
        <w:t>párr.</w:t>
      </w:r>
      <w:r w:rsidRPr="00CF1787">
        <w:rPr>
          <w:i/>
          <w:spacing w:val="-4"/>
          <w:lang w:val="es-CO"/>
        </w:rPr>
        <w:t xml:space="preserve"> </w:t>
      </w:r>
      <w:r w:rsidRPr="00CF1787">
        <w:rPr>
          <w:rFonts w:cs="Arial"/>
          <w:spacing w:val="-4"/>
          <w:lang w:val="es-CO"/>
        </w:rPr>
        <w:t xml:space="preserve">44, </w:t>
      </w:r>
      <w:r w:rsidRPr="00CF1787">
        <w:rPr>
          <w:spacing w:val="-4"/>
          <w:lang w:val="es-CR"/>
        </w:rPr>
        <w:t xml:space="preserve">y </w:t>
      </w:r>
      <w:r w:rsidRPr="00CF1787">
        <w:rPr>
          <w:i/>
          <w:spacing w:val="-4"/>
          <w:lang w:val="es-CR"/>
        </w:rPr>
        <w:t xml:space="preserve">Caso López </w:t>
      </w:r>
      <w:proofErr w:type="spellStart"/>
      <w:r w:rsidRPr="00CF1787">
        <w:rPr>
          <w:i/>
          <w:spacing w:val="-4"/>
          <w:lang w:val="es-CR"/>
        </w:rPr>
        <w:t>Lone</w:t>
      </w:r>
      <w:proofErr w:type="spellEnd"/>
      <w:r w:rsidRPr="00CF1787">
        <w:rPr>
          <w:i/>
          <w:spacing w:val="-4"/>
          <w:lang w:val="es-CR"/>
        </w:rPr>
        <w:t xml:space="preserve"> y otros Vs. Honduras</w:t>
      </w:r>
      <w:r w:rsidRPr="00CF1787">
        <w:rPr>
          <w:i/>
          <w:spacing w:val="-4"/>
          <w:lang w:val="es-ES"/>
        </w:rPr>
        <w:t>, supra</w:t>
      </w:r>
      <w:r w:rsidRPr="00CF1787">
        <w:rPr>
          <w:spacing w:val="-4"/>
          <w:lang w:val="es-CR"/>
        </w:rPr>
        <w:t>, párr. 196.</w:t>
      </w:r>
      <w:r w:rsidRPr="00CF1787">
        <w:rPr>
          <w:rFonts w:cs="Arial"/>
          <w:spacing w:val="-4"/>
        </w:rPr>
        <w:t xml:space="preserve"> </w:t>
      </w:r>
      <w:r w:rsidRPr="00CF1787">
        <w:rPr>
          <w:rFonts w:cs="Arial"/>
          <w:spacing w:val="-4"/>
          <w:lang w:val="es-CO"/>
        </w:rPr>
        <w:t>Ver también: Principios 2, 3 y 4 de los Principios Básicos de las Naciones Unidas</w:t>
      </w:r>
      <w:r w:rsidRPr="00CF1787">
        <w:rPr>
          <w:rFonts w:cs="Arial"/>
          <w:spacing w:val="-4"/>
          <w:lang w:val="es-ES"/>
        </w:rPr>
        <w:t>.</w:t>
      </w:r>
    </w:p>
  </w:footnote>
  <w:footnote w:id="143">
    <w:p w14:paraId="358E0AA0"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t>Artículo 132 de la Constitución Política de la República del Ecuador, Registro Oficial 763 de 12 de junio de 1984 (expediente de prueba, folio 2371).</w:t>
      </w:r>
    </w:p>
  </w:footnote>
  <w:footnote w:id="144">
    <w:p w14:paraId="253A5D3D"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t xml:space="preserve">El artículo 70 de la Ley Orgánica de la Policía establecía que: </w:t>
      </w:r>
      <w:r w:rsidRPr="00CF1787">
        <w:rPr>
          <w:lang w:val="es-CR"/>
        </w:rPr>
        <w:t>“Con salvedad de los Magistrados que ejercen tales funciones en calidad de Oficiales Generales Superiores o Subalternos en Servicio Activo, los Miembros de la Corte de Justicia Policial y de las Cortes Distritales de la Policía durarán dos años en sus funciones, pudiendo ser reelegidos”.</w:t>
      </w:r>
      <w:r w:rsidRPr="00CF1787">
        <w:rPr>
          <w:rFonts w:eastAsiaTheme="minorHAnsi" w:cs="Times"/>
          <w:i/>
        </w:rPr>
        <w:t xml:space="preserve"> </w:t>
      </w:r>
      <w:r w:rsidRPr="00CF1787">
        <w:rPr>
          <w:rFonts w:eastAsiaTheme="minorHAnsi" w:cs="Times"/>
        </w:rPr>
        <w:t xml:space="preserve">Ley Orgánica de la Policía Nacional promulgada en el Registro Oficial </w:t>
      </w:r>
      <w:r w:rsidRPr="00CF1787">
        <w:rPr>
          <w:rFonts w:eastAsiaTheme="minorHAnsi" w:cs="Helvetica"/>
        </w:rPr>
        <w:t xml:space="preserve">757 de 7 de marzo de </w:t>
      </w:r>
      <w:r w:rsidRPr="00CF1787">
        <w:rPr>
          <w:rFonts w:eastAsiaTheme="minorHAnsi" w:cs="Times"/>
        </w:rPr>
        <w:t>1975, artículo 70 (expediente de prueba, folio 2463).</w:t>
      </w:r>
    </w:p>
  </w:footnote>
  <w:footnote w:id="145">
    <w:p w14:paraId="4B17C114"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Cfr.</w:t>
      </w:r>
      <w:r w:rsidRPr="00CF1787">
        <w:t xml:space="preserve"> Ley de la Función Judicial de la Policía Nacional. Registro Oficial Suplemento 1202 de 20 de agosto de 1960, artículo 29 (expediente de prueba, folio 2522).</w:t>
      </w:r>
    </w:p>
  </w:footnote>
  <w:footnote w:id="146">
    <w:p w14:paraId="695706E3" w14:textId="7737B7EE" w:rsidR="00935D08" w:rsidRPr="00CF1787" w:rsidRDefault="00935D08" w:rsidP="00CA1834">
      <w:pPr>
        <w:pStyle w:val="FootnoteText"/>
        <w:tabs>
          <w:tab w:val="left" w:pos="426"/>
        </w:tabs>
        <w:spacing w:before="120" w:after="120"/>
        <w:rPr>
          <w:b/>
          <w:lang w:val="es-ES"/>
        </w:rPr>
      </w:pPr>
      <w:r w:rsidRPr="00CF1787">
        <w:rPr>
          <w:rStyle w:val="FootnoteReference"/>
        </w:rPr>
        <w:footnoteRef/>
      </w:r>
      <w:r w:rsidRPr="00CF1787">
        <w:t xml:space="preserve"> </w:t>
      </w:r>
      <w:r w:rsidRPr="00CF1787">
        <w:tab/>
      </w:r>
      <w:r w:rsidRPr="00CF1787">
        <w:rPr>
          <w:i/>
        </w:rPr>
        <w:t>Cfr.</w:t>
      </w:r>
      <w:r w:rsidRPr="00CF1787">
        <w:t xml:space="preserve"> </w:t>
      </w:r>
      <w:r w:rsidRPr="00CF1787">
        <w:rPr>
          <w:lang w:val="es-ES"/>
        </w:rPr>
        <w:t xml:space="preserve">Peritaje de Juan Pablo Albán </w:t>
      </w:r>
      <w:proofErr w:type="spellStart"/>
      <w:r w:rsidRPr="00CF1787">
        <w:rPr>
          <w:lang w:val="es-ES"/>
        </w:rPr>
        <w:t>Alencastro</w:t>
      </w:r>
      <w:proofErr w:type="spellEnd"/>
      <w:r w:rsidRPr="00CF1787">
        <w:rPr>
          <w:lang w:val="es-ES"/>
        </w:rPr>
        <w:t xml:space="preserve"> rendido en la audiencia pública celebrada ante la Corte en el presente caso, y</w:t>
      </w:r>
      <w:r w:rsidRPr="00CF1787">
        <w:rPr>
          <w:b/>
          <w:lang w:val="es-ES"/>
        </w:rPr>
        <w:t xml:space="preserve"> </w:t>
      </w:r>
      <w:r w:rsidRPr="00CF1787">
        <w:rPr>
          <w:lang w:val="es-ES"/>
        </w:rPr>
        <w:t xml:space="preserve">Ayuda de Memoria del perito Juan Pablo Albán </w:t>
      </w:r>
      <w:proofErr w:type="spellStart"/>
      <w:r w:rsidRPr="00CF1787">
        <w:rPr>
          <w:lang w:val="es-ES"/>
        </w:rPr>
        <w:t>Alencastro</w:t>
      </w:r>
      <w:proofErr w:type="spellEnd"/>
      <w:r w:rsidRPr="00CF1787">
        <w:rPr>
          <w:lang w:val="es-ES"/>
        </w:rPr>
        <w:t xml:space="preserve"> (expediente de prueba, folio 3880). De acuerdo al Estado, si bien no tenían una duración específica en el cargo, “en razón de los pases, éstos tenían una duración de dos años”. Escrito de información y prueba para mejor resolver presentado por el Estado el 11 de agosto de 2016 (expediente de fondo, folio 718).</w:t>
      </w:r>
      <w:r w:rsidRPr="00CF1787">
        <w:rPr>
          <w:b/>
          <w:lang w:val="es-ES"/>
        </w:rPr>
        <w:t xml:space="preserve"> </w:t>
      </w:r>
    </w:p>
  </w:footnote>
  <w:footnote w:id="147">
    <w:p w14:paraId="4AB01E83" w14:textId="77777777" w:rsidR="00935D08" w:rsidRPr="00CF1787" w:rsidRDefault="00935D08" w:rsidP="00CA1834">
      <w:pPr>
        <w:pStyle w:val="FootnoteText"/>
        <w:tabs>
          <w:tab w:val="left" w:pos="426"/>
        </w:tabs>
        <w:spacing w:after="120"/>
      </w:pPr>
      <w:r w:rsidRPr="00CF1787">
        <w:rPr>
          <w:rStyle w:val="FootnoteReference"/>
        </w:rPr>
        <w:footnoteRef/>
      </w:r>
      <w:r w:rsidRPr="00CF1787">
        <w:t xml:space="preserve"> </w:t>
      </w:r>
      <w:r w:rsidRPr="00CF1787">
        <w:tab/>
        <w:t>De acuerdo al artículo 6 de la Ley de la Función Judicial no podían ser jueces: “a) El absolutamente sordo; b) El mudo;</w:t>
      </w:r>
      <w:r w:rsidRPr="00CF1787">
        <w:rPr>
          <w:rFonts w:ascii="MS Gothic" w:eastAsia="MS Gothic" w:hAnsi="MS Gothic" w:cs="MS Gothic" w:hint="eastAsia"/>
        </w:rPr>
        <w:t> </w:t>
      </w:r>
      <w:r w:rsidRPr="00CF1787">
        <w:t>c) El ciego;</w:t>
      </w:r>
      <w:r w:rsidRPr="00CF1787">
        <w:rPr>
          <w:rFonts w:ascii="MS Gothic" w:eastAsia="MS Gothic" w:hAnsi="MS Gothic" w:cs="MS Gothic" w:hint="eastAsia"/>
        </w:rPr>
        <w:t> </w:t>
      </w:r>
      <w:r w:rsidRPr="00CF1787">
        <w:t>d) El valetudinario; e) El loco;</w:t>
      </w:r>
      <w:r w:rsidRPr="00CF1787">
        <w:rPr>
          <w:rFonts w:ascii="MS Gothic" w:eastAsia="MS Gothic" w:hAnsi="MS Gothic" w:cs="MS Gothic" w:hint="eastAsia"/>
        </w:rPr>
        <w:t> </w:t>
      </w:r>
      <w:r w:rsidRPr="00CF1787">
        <w:t>f) El toxicómano;</w:t>
      </w:r>
      <w:r w:rsidRPr="00CF1787">
        <w:rPr>
          <w:rFonts w:ascii="MS Gothic" w:eastAsia="MS Gothic" w:hAnsi="MS Gothic" w:cs="MS Gothic" w:hint="eastAsia"/>
        </w:rPr>
        <w:t> </w:t>
      </w:r>
      <w:r w:rsidRPr="00CF1787">
        <w:t>g) El rematador de algún ramo de la hacienda pública, sea nacional o seccional; h) El ministro de cualquier culto religioso; i) El que tenga establecida venta pública de licores;</w:t>
      </w:r>
      <w:r w:rsidRPr="00CF1787">
        <w:rPr>
          <w:rFonts w:ascii="MS Gothic" w:eastAsia="MS Gothic" w:hAnsi="MS Gothic" w:cs="MS Gothic" w:hint="eastAsia"/>
        </w:rPr>
        <w:t> </w:t>
      </w:r>
      <w:r w:rsidRPr="00CF1787">
        <w:t>j) El interdicto;</w:t>
      </w:r>
      <w:r w:rsidRPr="00CF1787">
        <w:rPr>
          <w:rFonts w:ascii="MS Gothic" w:eastAsia="MS Gothic" w:hAnsi="MS Gothic" w:cs="MS Gothic" w:hint="eastAsia"/>
        </w:rPr>
        <w:t> </w:t>
      </w:r>
      <w:r w:rsidRPr="00CF1787">
        <w:t>k) El reo contra quien se haya declarado, por providencia ejecutoriada, que hay lugar a formación de causa; o el que hubiere sido llamado a juicio plenario;</w:t>
      </w:r>
      <w:r w:rsidRPr="00CF1787">
        <w:rPr>
          <w:rFonts w:ascii="MS Gothic" w:eastAsia="MS Gothic" w:hAnsi="MS Gothic" w:cs="MS Gothic" w:hint="eastAsia"/>
        </w:rPr>
        <w:t> </w:t>
      </w:r>
      <w:r w:rsidRPr="00CF1787">
        <w:t>l) El condenado judicialmente, en última instancia, a pena de privación de la libertad, mientras dure la condena;</w:t>
      </w:r>
      <w:r w:rsidRPr="00CF1787">
        <w:rPr>
          <w:rFonts w:ascii="MS Gothic" w:eastAsia="MS Gothic" w:hAnsi="MS Gothic" w:cs="MS Gothic" w:hint="eastAsia"/>
        </w:rPr>
        <w:t> </w:t>
      </w:r>
      <w:r w:rsidRPr="00CF1787">
        <w:t>ll) El legalmente calificado de tinterillo;</w:t>
      </w:r>
      <w:r w:rsidRPr="00CF1787">
        <w:rPr>
          <w:rFonts w:ascii="MS Gothic" w:eastAsia="MS Gothic" w:hAnsi="MS Gothic" w:cs="MS Gothic" w:hint="eastAsia"/>
        </w:rPr>
        <w:t> </w:t>
      </w:r>
      <w:r w:rsidRPr="00CF1787">
        <w:t>m) El abogado a quien se le hubiere suspendido en el ejercicio de la profesión; y el oficial que se halle en situación transitoria, por causas disciplinarias;</w:t>
      </w:r>
      <w:r w:rsidRPr="00CF1787">
        <w:rPr>
          <w:rFonts w:ascii="MS Gothic" w:eastAsia="MS Gothic" w:hAnsi="MS Gothic" w:cs="MS Gothic" w:hint="eastAsia"/>
        </w:rPr>
        <w:t> </w:t>
      </w:r>
      <w:r w:rsidRPr="00CF1787">
        <w:t>n) El que estuviere desempeñando otro empleo o cargo público; y,</w:t>
      </w:r>
      <w:r w:rsidRPr="00CF1787">
        <w:rPr>
          <w:rFonts w:ascii="MS Gothic" w:eastAsia="MS Gothic" w:hAnsi="MS Gothic" w:cs="MS Gothic" w:hint="eastAsia"/>
        </w:rPr>
        <w:t> </w:t>
      </w:r>
      <w:r w:rsidRPr="00CF1787">
        <w:t>ñ) Los oficiales que no se encuentren en servicio activo, excepto los casos especialmente previstos en esta Ley y en las demás de la Institución”. Además el artículo 7 establecía que no podían ser “jueces, auditores, fiscales, ni secretarios, en el mismo distrito, las personas que sean entre si cónyuges, adoptante y adoptado, o parientes dentro del cuarto grado de consanguinidad o segundo de afinidad”. Ley de la Función Judicial de la Policía Nacional. Registro Oficial Suplemento 1202 de 20 de agosto de 1960, artículos 6 y 7 (expediente de prueba, folios 2519 y 2520).</w:t>
      </w:r>
    </w:p>
  </w:footnote>
  <w:footnote w:id="148">
    <w:p w14:paraId="618F5E94"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tab/>
        <w:t>Ley de la Función Judicial de la Policía Nacional. Registro Oficial Suplemento 1202 de 20 de agosto de 1960, artículo 18 (expediente de prueba, folio 2521).</w:t>
      </w:r>
    </w:p>
  </w:footnote>
  <w:footnote w:id="149">
    <w:p w14:paraId="542C4F8C"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tab/>
      </w:r>
      <w:r w:rsidRPr="00CF1787">
        <w:rPr>
          <w:i/>
          <w:lang w:val="es-MX"/>
        </w:rPr>
        <w:t>Cfr</w:t>
      </w:r>
      <w:r w:rsidRPr="00CF1787">
        <w:rPr>
          <w:lang w:val="es-MX"/>
        </w:rPr>
        <w:t>. Ley de la Función Judicial de la Policía Nacional. Registro Oficial Suplemento 1202 de 20 de agosto de 1960, artículos 10 a 12 (expediente de prueba, folio 2520).</w:t>
      </w:r>
    </w:p>
  </w:footnote>
  <w:footnote w:id="150">
    <w:p w14:paraId="42F48A65" w14:textId="77777777" w:rsidR="00935D08" w:rsidRPr="00CF1787" w:rsidRDefault="00935D08" w:rsidP="00CA1834">
      <w:pPr>
        <w:pStyle w:val="FootnoteText"/>
        <w:tabs>
          <w:tab w:val="clear" w:pos="567"/>
          <w:tab w:val="left" w:pos="426"/>
        </w:tabs>
        <w:spacing w:before="120" w:after="120"/>
        <w:rPr>
          <w:lang w:val="es-ES"/>
        </w:rPr>
      </w:pPr>
      <w:r w:rsidRPr="00CF1787">
        <w:rPr>
          <w:rStyle w:val="FootnoteReference"/>
        </w:rPr>
        <w:footnoteRef/>
      </w:r>
      <w:r w:rsidRPr="00CF1787">
        <w:t xml:space="preserve"> </w:t>
      </w:r>
      <w:r w:rsidRPr="00CF1787">
        <w:rPr>
          <w:lang w:val="es-ES"/>
        </w:rPr>
        <w:tab/>
        <w:t xml:space="preserve">Ni el Estado ni los representantes aportaron documentación probatoria al respecto, pero ambos afirmaron que las autoridades de la jurisdicción penal policial que estaban en servicio activo estaban sometidos al sistema de “pases”. </w:t>
      </w:r>
      <w:r w:rsidRPr="00CF1787">
        <w:rPr>
          <w:i/>
          <w:lang w:val="es-ES"/>
        </w:rPr>
        <w:t xml:space="preserve">Cfr. </w:t>
      </w:r>
      <w:r w:rsidRPr="00CF1787">
        <w:rPr>
          <w:lang w:val="es-ES"/>
        </w:rPr>
        <w:t>Escrito de alegatos finales de los representantes (expediente de fondo, folio 769), y escrito de información y prueba para mejor resolver aportado por el Estado el 11 de agosto de 2016 (expediente de fondo, folio 718).</w:t>
      </w:r>
    </w:p>
  </w:footnote>
  <w:footnote w:id="151">
    <w:p w14:paraId="3A6E2B0B" w14:textId="1C93F8F0" w:rsidR="00935D08" w:rsidRPr="00CF1787" w:rsidRDefault="00935D08" w:rsidP="00CA1834">
      <w:pPr>
        <w:pStyle w:val="FootnoteText"/>
        <w:tabs>
          <w:tab w:val="clear" w:pos="567"/>
          <w:tab w:val="left" w:pos="426"/>
        </w:tabs>
        <w:spacing w:before="120" w:after="120"/>
        <w:rPr>
          <w:rFonts w:cs="TimesNewRoman,Bold"/>
          <w:bCs/>
          <w:lang w:val="es-CR"/>
        </w:rPr>
      </w:pPr>
      <w:r w:rsidRPr="00CF1787">
        <w:rPr>
          <w:rStyle w:val="FootnoteReference"/>
        </w:rPr>
        <w:footnoteRef/>
      </w:r>
      <w:r w:rsidRPr="00CF1787">
        <w:t xml:space="preserve"> </w:t>
      </w:r>
      <w:r w:rsidRPr="00CF1787">
        <w:tab/>
        <w:t>En este sentido, ver el</w:t>
      </w:r>
      <w:r w:rsidRPr="00CF1787">
        <w:rPr>
          <w:i/>
        </w:rPr>
        <w:t xml:space="preserve"> </w:t>
      </w:r>
      <w:r w:rsidRPr="00CF1787">
        <w:t xml:space="preserve">principio No. 17 del </w:t>
      </w:r>
      <w:r w:rsidRPr="00CF1787">
        <w:rPr>
          <w:rFonts w:cs="TimesNewRoman,Bold"/>
          <w:bCs/>
          <w:lang w:val="es-ES"/>
        </w:rPr>
        <w:t>Proyecto de Principios sobre la Administración de Justicia por los Tribunales Militares y los comentarios al mismo, según los cuales “[</w:t>
      </w:r>
      <w:r w:rsidRPr="00CF1787">
        <w:rPr>
          <w:rFonts w:cs="TimesNewRoman,Bold"/>
          <w:bCs/>
          <w:lang w:val="es-CR"/>
        </w:rPr>
        <w:t xml:space="preserve">l]os imperativos de una buena administración de justicia por los tribunales militares implican […] que los recursos, en especial aquel por el que se impugna la legalidad, se ejerzan ante los tribunales de la jurisdicción ordinaria. De ese modo, en la fase de apelación o -como mínimo- de la casación, los órganos judiciales militares formarían ‘parte integrante del sistema judicial general’”. Asimismo, en dichos comentarios el Relator Especial de la Subcomisión de Promoción y Protección de los Derechos Humanos, Emmanuel </w:t>
      </w:r>
      <w:proofErr w:type="spellStart"/>
      <w:r w:rsidRPr="00CF1787">
        <w:rPr>
          <w:rFonts w:cs="TimesNewRoman,Bold"/>
          <w:bCs/>
          <w:lang w:val="es-CR"/>
        </w:rPr>
        <w:t>Decaux</w:t>
      </w:r>
      <w:proofErr w:type="spellEnd"/>
      <w:r w:rsidRPr="00CF1787">
        <w:rPr>
          <w:rFonts w:cs="TimesNewRoman,Bold"/>
          <w:bCs/>
          <w:lang w:val="es-CR"/>
        </w:rPr>
        <w:t xml:space="preserve"> explica que “se debe crear un mecanismo judicial imparcial encargado de resolver los conflictos de jurisdicción o de competencia. Este principio es esencial, ya que garantiza que los tribunales militares no constituyan un sistema de justicia paralelo, que se sustraiga al control del poder judicial”. </w:t>
      </w:r>
      <w:r w:rsidRPr="00CF1787">
        <w:rPr>
          <w:lang w:val="es-CO"/>
        </w:rPr>
        <w:t xml:space="preserve">ONU, Consejo Económico y Social, Comisión de Derechos Humanos. </w:t>
      </w:r>
      <w:r w:rsidRPr="00CF1787">
        <w:rPr>
          <w:rFonts w:cs="TimesNewRoman,Bold"/>
          <w:bCs/>
          <w:lang w:val="es-ES"/>
        </w:rPr>
        <w:t>Proyecto de Principios sobre la Administración de Justicia por los Tribunales Militares</w:t>
      </w:r>
      <w:r w:rsidRPr="00CF1787">
        <w:rPr>
          <w:i/>
        </w:rPr>
        <w:t xml:space="preserve"> </w:t>
      </w:r>
      <w:r w:rsidRPr="00CF1787">
        <w:t>E/CN.4/2006/58, 13 de enero de 2006.</w:t>
      </w:r>
      <w:r w:rsidRPr="00CF1787">
        <w:rPr>
          <w:lang w:val="es-CO"/>
        </w:rPr>
        <w:t xml:space="preserve"> Disponible en:</w:t>
      </w:r>
      <w:r w:rsidRPr="00CF1787">
        <w:t xml:space="preserve"> https://documents-dds-ny.un.org/doc/UNDOC/GEN/G06/106/80/PDF/G0610680.pdf?OpenElement</w:t>
      </w:r>
      <w:r w:rsidRPr="00CF1787">
        <w:rPr>
          <w:rFonts w:cs="TimesNewRoman,Bold"/>
          <w:bCs/>
          <w:lang w:val="es-ES"/>
        </w:rPr>
        <w:t xml:space="preserve">.  </w:t>
      </w:r>
    </w:p>
  </w:footnote>
  <w:footnote w:id="152">
    <w:p w14:paraId="2F76237B"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tab/>
      </w:r>
      <w:r w:rsidRPr="00CF1787">
        <w:rPr>
          <w:i/>
        </w:rPr>
        <w:t>Cfr.</w:t>
      </w:r>
      <w:r w:rsidRPr="00CF1787">
        <w:t xml:space="preserve"> </w:t>
      </w:r>
      <w:r w:rsidRPr="00CF1787">
        <w:rPr>
          <w:lang w:val="es-ES"/>
        </w:rPr>
        <w:t xml:space="preserve">Peritaje de Juan Pablo Albán </w:t>
      </w:r>
      <w:proofErr w:type="spellStart"/>
      <w:r w:rsidRPr="00CF1787">
        <w:rPr>
          <w:lang w:val="es-ES"/>
        </w:rPr>
        <w:t>Alencastro</w:t>
      </w:r>
      <w:proofErr w:type="spellEnd"/>
      <w:r w:rsidRPr="00CF1787">
        <w:rPr>
          <w:lang w:val="es-ES"/>
        </w:rPr>
        <w:t xml:space="preserve"> rendido en la audiencia pública celebrada ante la Corte en el presente caso.</w:t>
      </w:r>
    </w:p>
  </w:footnote>
  <w:footnote w:id="153">
    <w:p w14:paraId="623C0165" w14:textId="77777777" w:rsidR="00935D08" w:rsidRPr="00CF1787" w:rsidRDefault="00935D08" w:rsidP="00CA1834">
      <w:pPr>
        <w:pStyle w:val="FootnoteText"/>
        <w:tabs>
          <w:tab w:val="left" w:pos="426"/>
        </w:tabs>
        <w:spacing w:before="120" w:after="120"/>
        <w:rPr>
          <w:rFonts w:cs="Arial"/>
          <w:color w:val="000000" w:themeColor="text1"/>
          <w:lang w:val="es-CR"/>
        </w:rPr>
      </w:pPr>
      <w:r w:rsidRPr="00CF1787">
        <w:rPr>
          <w:rStyle w:val="FootnoteReference"/>
        </w:rPr>
        <w:footnoteRef/>
      </w:r>
      <w:r w:rsidRPr="00CF1787">
        <w:t xml:space="preserve"> </w:t>
      </w:r>
      <w:r w:rsidRPr="00CF1787">
        <w:tab/>
      </w:r>
      <w:r w:rsidRPr="00CF1787">
        <w:rPr>
          <w:i/>
        </w:rPr>
        <w:t xml:space="preserve">Cfr. </w:t>
      </w:r>
      <w:r w:rsidRPr="00CF1787">
        <w:rPr>
          <w:rFonts w:cs="Arial"/>
          <w:color w:val="000000" w:themeColor="text1"/>
          <w:lang w:val="es-ES"/>
        </w:rPr>
        <w:t xml:space="preserve">Código de Procedimiento Penal de la Policía Nacional. Codificación No. 4 7. Registro Oficial Suplemento 1202. Publicado el 20 de agosto de 1960, artículos  220 y 224 (expediente de prueba, folios 2763 y 2764); </w:t>
      </w:r>
      <w:r w:rsidRPr="00CF1787">
        <w:t>Ley Reformatoria</w:t>
      </w:r>
      <w:r w:rsidRPr="00CF1787">
        <w:rPr>
          <w:i/>
        </w:rPr>
        <w:t xml:space="preserve"> </w:t>
      </w:r>
      <w:r w:rsidRPr="00CF1787">
        <w:rPr>
          <w:rFonts w:cs="Arial"/>
          <w:color w:val="000000"/>
          <w:lang w:val="es-ES"/>
        </w:rPr>
        <w:t xml:space="preserve">al Código de Procedimiento Penal de la Policía Nacional. Registro Oficial 432. Publicado el 8 de mayo de 1990 (expediente de prueba, folios 2771 y 2772), </w:t>
      </w:r>
      <w:r w:rsidRPr="00CF1787">
        <w:rPr>
          <w:rFonts w:cs="Arial"/>
          <w:color w:val="000000" w:themeColor="text1"/>
          <w:lang w:val="es-ES"/>
        </w:rPr>
        <w:t xml:space="preserve">y </w:t>
      </w:r>
      <w:r w:rsidRPr="00CF1787">
        <w:rPr>
          <w:rFonts w:cs="Arial"/>
          <w:color w:val="000000" w:themeColor="text1"/>
          <w:lang w:val="es-CR"/>
        </w:rPr>
        <w:t>Código de Procedimiento Penal. Ley 134. Registro Oficial No. 511 de 10 de junio de 1983, artículos 344, 348.2, 362, 366, 385, 386 y 395 a 397 (expediente de prueba, folios 2157 a 2162).</w:t>
      </w:r>
    </w:p>
  </w:footnote>
  <w:footnote w:id="154">
    <w:p w14:paraId="330E661F" w14:textId="318B279B" w:rsidR="00935D08" w:rsidRPr="00CF1787" w:rsidRDefault="00935D08" w:rsidP="00CA1834">
      <w:pPr>
        <w:pStyle w:val="FootnoteText"/>
        <w:tabs>
          <w:tab w:val="clear" w:pos="567"/>
          <w:tab w:val="left" w:pos="426"/>
        </w:tabs>
        <w:rPr>
          <w:lang w:val="es-CR"/>
        </w:rPr>
      </w:pPr>
      <w:r w:rsidRPr="00CF1787">
        <w:rPr>
          <w:rStyle w:val="FootnoteReference"/>
        </w:rPr>
        <w:footnoteRef/>
      </w:r>
      <w:r w:rsidRPr="00CF1787">
        <w:t xml:space="preserve"> </w:t>
      </w:r>
      <w:r w:rsidRPr="00CF1787">
        <w:rPr>
          <w:lang w:val="es-CR"/>
        </w:rPr>
        <w:tab/>
        <w:t>En respuesta a otras preguntas del Tribunal, Ecuador indicó que los familiares del señor Valencia Hinojosa hubieran podido apelar el auto inhibitorio del Comisario Nacional (</w:t>
      </w:r>
      <w:r w:rsidRPr="00CF1787">
        <w:rPr>
          <w:i/>
        </w:rPr>
        <w:t>supra</w:t>
      </w:r>
      <w:r w:rsidRPr="00CF1787">
        <w:t xml:space="preserve"> párr. </w:t>
      </w:r>
      <w:r w:rsidRPr="00CF1787">
        <w:fldChar w:fldCharType="begin"/>
      </w:r>
      <w:r w:rsidRPr="00CF1787">
        <w:instrText xml:space="preserve"> REF _Ref462100080 \r \h  \* MERGEFORMAT </w:instrText>
      </w:r>
      <w:r w:rsidRPr="00CF1787">
        <w:fldChar w:fldCharType="separate"/>
      </w:r>
      <w:r w:rsidR="00536893">
        <w:t>83</w:t>
      </w:r>
      <w:r w:rsidRPr="00CF1787">
        <w:fldChar w:fldCharType="end"/>
      </w:r>
      <w:r w:rsidRPr="00CF1787">
        <w:t xml:space="preserve">). Ahora bien, la Corte nota que esto sería un recurso en el marco de la jurisdicción ordinaria y no tendría efecto de aportar garantías objetivas sobre la imparcialidad de la jurisdicción penal policial. Además, al momento que se emitió el auto </w:t>
      </w:r>
      <w:proofErr w:type="spellStart"/>
      <w:r w:rsidRPr="00CF1787">
        <w:t>inihibitorio</w:t>
      </w:r>
      <w:proofErr w:type="spellEnd"/>
      <w:r w:rsidRPr="00CF1787">
        <w:t xml:space="preserve"> ya se había iniciado la investigación en la jurisdicción policial y el Estado no ha demostrado que la señora Trujillo hubiera podido cuestionar esa competencia ante la jurisdicción ordinaria.</w:t>
      </w:r>
    </w:p>
  </w:footnote>
  <w:footnote w:id="155">
    <w:p w14:paraId="4A70725A" w14:textId="77777777" w:rsidR="00935D08" w:rsidRPr="00CF1787" w:rsidRDefault="00935D08" w:rsidP="00CA1834">
      <w:pPr>
        <w:pStyle w:val="FootnoteText"/>
        <w:tabs>
          <w:tab w:val="clear" w:pos="567"/>
          <w:tab w:val="left" w:pos="426"/>
        </w:tabs>
        <w:spacing w:before="120" w:after="120"/>
      </w:pPr>
      <w:r w:rsidRPr="00CF1787">
        <w:rPr>
          <w:rStyle w:val="FootnoteReference"/>
        </w:rPr>
        <w:footnoteRef/>
      </w:r>
      <w:r w:rsidRPr="00CF1787">
        <w:t xml:space="preserve"> </w:t>
      </w:r>
      <w:r w:rsidRPr="00CF1787">
        <w:tab/>
        <w:t xml:space="preserve">De acuerdo al Estado, la acción de daños y perjuicios estaba regulada por el artículo 1031 del Código de Procedimiento Civil, el cual establecía que: “Habrá lugar a la acción de daños y perjuicios contra el Juez o Magistrado que, en el ejercicio de su función causare perjuicio económico a las partes o a terceros interesados, por retardo o denegación de justicia, por quebrantamiento de leyes expresas, por usurpación de funciones, por concesión de recursos denegados o rechazo de recursos concedidos por la Ley, en forma expresa, o por alteración de sentencia al ejecutarla. Procede, asimismo esta acción contra los actuarios y demás empleados de la Función Jurisdiccional, que con su acción u omisión hubieran causado perjuicio económico, por mala fe o por negligencia […]”. Código de Procedimiento Civil, Registro Oficial Suplemento No. 687 de 18 de mayo de 1987, citado por el Estado en su escrito de información y prueba para mejor resolver de 11 de agosto de 2016 (expediente de fondo, folio 701). Asimismo, el Estado citó las causales de prevaricato, establecidas en el artículo 277 del Código Penal Ordinario: “Son prevaricadores y serán reprimidos con uno a cinco años de prisión: 1o.- Los jueces de derecho o árbitros </w:t>
      </w:r>
      <w:proofErr w:type="spellStart"/>
      <w:r w:rsidRPr="00CF1787">
        <w:rPr>
          <w:i/>
        </w:rPr>
        <w:t>juris</w:t>
      </w:r>
      <w:proofErr w:type="spellEnd"/>
      <w:r w:rsidRPr="00CF1787">
        <w:t xml:space="preserve"> que, por interés personal, por afecto o desafecto a alguna persona o corporación, o en perjuicio de la causa pública, o de un particular, fallaren contra Ley expresa, o procedieren penalmente contra alguno, conociendo que no lo merece; 2o.- Los jueces o árbitros que dieren consejo a una de las partes que litigan ante ellos, con perjuicio de la parte contraria; 3o.- Los jueces o árbitros que en la sustanciación de las causas procedieren maliciosamente contra leyes expresas, haciendo lo que prohíben o dejando de hacer lo que mandan; 4o.- Los empleados públicos de cualquier clase que, ejerciendo alguna autoridad judicial, gubernativa o administrativa, por interés personal, afecto o desafecto a alguna persona o corporación, nieguen, rehúsen o retarden la administración de justicia, o la protección u otro remedio que legalmente se les pida o que la causa pública exija, siempre que estén obligados a ello; o que, requeridos o advertidos en forma legal, por alguna autoridad legítima o legítimo interesado, rehúsen o retarden prestar la cooperación o auxilio que dependan de sus facultades, para la administración de justicia, o cualquiera necesidad del servicio público; 5o.- Los demás empleados, oficiales y curiales que, por cualquiera de las causas mencionadas en el numeral primero, abusen dolosamente de sus funciones, perjudicando a la causa pública o a alguna persona; y, 6o.- Los jueces o árbitros que conocieren en causas en las que patrocinaron a una de las partes como abogados o procuradores”.</w:t>
      </w:r>
      <w:r w:rsidRPr="00CF1787">
        <w:rPr>
          <w:rFonts w:eastAsiaTheme="minorHAnsi" w:cs="Times"/>
          <w:color w:val="3B3B3E"/>
        </w:rPr>
        <w:t xml:space="preserve"> </w:t>
      </w:r>
      <w:r w:rsidRPr="00CF1787">
        <w:t xml:space="preserve">Código Penal, Registro Oficial Suplemento No. 147 de 22 de enero de 1971, artículo 277 (expediente de prueba, folio 2404). </w:t>
      </w:r>
    </w:p>
  </w:footnote>
  <w:footnote w:id="156">
    <w:p w14:paraId="56DFBE49" w14:textId="09843956" w:rsidR="00935D08" w:rsidRPr="00CF1787" w:rsidRDefault="00935D08" w:rsidP="00CA1834">
      <w:pPr>
        <w:tabs>
          <w:tab w:val="left" w:pos="426"/>
          <w:tab w:val="left" w:pos="567"/>
        </w:tabs>
        <w:spacing w:before="120" w:after="120"/>
        <w:rPr>
          <w:spacing w:val="-4"/>
          <w:sz w:val="16"/>
          <w:szCs w:val="16"/>
        </w:rPr>
      </w:pPr>
      <w:r w:rsidRPr="00CF1787">
        <w:rPr>
          <w:rStyle w:val="FootnoteReference"/>
          <w:spacing w:val="-4"/>
          <w:lang w:val="es-ES"/>
        </w:rPr>
        <w:footnoteRef/>
      </w:r>
      <w:r w:rsidRPr="00CF1787">
        <w:rPr>
          <w:spacing w:val="-4"/>
          <w:sz w:val="16"/>
          <w:szCs w:val="16"/>
          <w:lang w:val="es-ES"/>
        </w:rPr>
        <w:tab/>
      </w:r>
      <w:r w:rsidRPr="00CF1787">
        <w:rPr>
          <w:bCs/>
          <w:i/>
          <w:color w:val="000000"/>
          <w:spacing w:val="-4"/>
          <w:sz w:val="16"/>
          <w:szCs w:val="16"/>
          <w:lang w:val="es-ES"/>
        </w:rPr>
        <w:t xml:space="preserve"> </w:t>
      </w:r>
      <w:r w:rsidRPr="00CF1787">
        <w:rPr>
          <w:i/>
          <w:sz w:val="16"/>
          <w:szCs w:val="16"/>
        </w:rPr>
        <w:t>Cfr.</w:t>
      </w:r>
      <w:r w:rsidRPr="00CF1787">
        <w:rPr>
          <w:sz w:val="16"/>
          <w:szCs w:val="16"/>
        </w:rPr>
        <w:t xml:space="preserve"> </w:t>
      </w:r>
      <w:r w:rsidRPr="00CF1787">
        <w:rPr>
          <w:i/>
          <w:sz w:val="16"/>
          <w:szCs w:val="16"/>
        </w:rPr>
        <w:t>Caso Velásquez Rodríguez Vs. Honduras. Fondo, supra</w:t>
      </w:r>
      <w:r w:rsidRPr="00CF1787">
        <w:rPr>
          <w:sz w:val="16"/>
          <w:szCs w:val="16"/>
        </w:rPr>
        <w:t xml:space="preserve">, párr. 63, </w:t>
      </w:r>
      <w:r w:rsidRPr="00CF1787">
        <w:rPr>
          <w:spacing w:val="-4"/>
          <w:sz w:val="16"/>
          <w:szCs w:val="16"/>
        </w:rPr>
        <w:t xml:space="preserve">y </w:t>
      </w:r>
      <w:r w:rsidRPr="00CF1787">
        <w:rPr>
          <w:i/>
          <w:sz w:val="16"/>
          <w:szCs w:val="16"/>
        </w:rPr>
        <w:t xml:space="preserve">Caso </w:t>
      </w:r>
      <w:proofErr w:type="spellStart"/>
      <w:r w:rsidRPr="00CF1787">
        <w:rPr>
          <w:i/>
          <w:sz w:val="16"/>
          <w:szCs w:val="16"/>
        </w:rPr>
        <w:t>Granier</w:t>
      </w:r>
      <w:proofErr w:type="spellEnd"/>
      <w:r w:rsidRPr="00CF1787">
        <w:rPr>
          <w:i/>
          <w:sz w:val="16"/>
          <w:szCs w:val="16"/>
        </w:rPr>
        <w:t xml:space="preserve"> y otros (Radio Caracas Televisión) Vs. Venezuela. Excepciones Preliminares, Fondo, Reparaciones y Costas</w:t>
      </w:r>
      <w:r w:rsidRPr="00CF1787">
        <w:rPr>
          <w:sz w:val="16"/>
          <w:szCs w:val="16"/>
        </w:rPr>
        <w:t xml:space="preserve">. Sentencia de 22 de junio de 2015. Serie C No. 293, </w:t>
      </w:r>
      <w:r w:rsidRPr="00CF1787">
        <w:rPr>
          <w:bCs/>
          <w:spacing w:val="-4"/>
          <w:sz w:val="16"/>
          <w:szCs w:val="16"/>
        </w:rPr>
        <w:t>párr. 282.</w:t>
      </w:r>
    </w:p>
  </w:footnote>
  <w:footnote w:id="157">
    <w:p w14:paraId="6093DD52"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t xml:space="preserve">Comisión de  la Verdad de Ecuador. </w:t>
      </w:r>
      <w:r w:rsidRPr="00CF1787">
        <w:rPr>
          <w:bCs/>
          <w:lang w:val="es-ES"/>
        </w:rPr>
        <w:t xml:space="preserve">Informe de la Comisión de la Verdad. </w:t>
      </w:r>
      <w:r w:rsidRPr="00CF1787">
        <w:rPr>
          <w:bCs/>
          <w:i/>
          <w:lang w:val="es-ES"/>
        </w:rPr>
        <w:t>Sin Verdad no hay justicia</w:t>
      </w:r>
      <w:r w:rsidRPr="00CF1787">
        <w:rPr>
          <w:bCs/>
          <w:lang w:val="es-ES"/>
        </w:rPr>
        <w:t xml:space="preserve"> </w:t>
      </w:r>
      <w:r w:rsidRPr="00CF1787">
        <w:t xml:space="preserve">(expediente de prueba, folio 3973). </w:t>
      </w:r>
      <w:r w:rsidRPr="00CF1787">
        <w:rPr>
          <w:bCs/>
          <w:lang w:val="es-ES"/>
        </w:rPr>
        <w:t xml:space="preserve">En el mismo sentido, se pronunció </w:t>
      </w:r>
      <w:r w:rsidRPr="00CF1787">
        <w:rPr>
          <w:lang w:val="es-CO"/>
        </w:rPr>
        <w:t>Amnistía Internacional.</w:t>
      </w:r>
      <w:r w:rsidRPr="00CF1787">
        <w:rPr>
          <w:i/>
          <w:lang w:val="es-CR"/>
        </w:rPr>
        <w:t xml:space="preserve"> Cfr.</w:t>
      </w:r>
      <w:r w:rsidRPr="00CF1787">
        <w:rPr>
          <w:lang w:val="es-CR"/>
        </w:rPr>
        <w:t xml:space="preserve"> Amnistía Internacional. </w:t>
      </w:r>
      <w:r w:rsidRPr="00CF1787">
        <w:rPr>
          <w:i/>
        </w:rPr>
        <w:t>Ecuador: impunidad: el largo camino de la justicia.</w:t>
      </w:r>
      <w:r w:rsidRPr="00CF1787">
        <w:t xml:space="preserve"> 15 marzo 2000 (expediente de prueba, folios 3900 a 3904), y </w:t>
      </w:r>
      <w:r w:rsidRPr="00CF1787">
        <w:rPr>
          <w:lang w:val="es-CR"/>
        </w:rPr>
        <w:t xml:space="preserve">Amnistía Internacional. </w:t>
      </w:r>
      <w:r w:rsidRPr="00CF1787">
        <w:rPr>
          <w:i/>
        </w:rPr>
        <w:t>Ecuador: Promesas Incumplidas. Continúa la Impunidad en el Fuero Policial.</w:t>
      </w:r>
      <w:r w:rsidRPr="00CF1787">
        <w:t xml:space="preserve"> Noviembre de 2004 (expediente de prueba, folios 3905 a 3934).</w:t>
      </w:r>
    </w:p>
  </w:footnote>
  <w:footnote w:id="158">
    <w:p w14:paraId="239E74B9" w14:textId="77777777" w:rsidR="00935D08" w:rsidRPr="00CF1787" w:rsidRDefault="00935D08" w:rsidP="00CA1834">
      <w:pPr>
        <w:pStyle w:val="FootnoteText"/>
        <w:tabs>
          <w:tab w:val="left" w:pos="426"/>
        </w:tabs>
        <w:spacing w:before="120" w:after="120"/>
        <w:rPr>
          <w:b/>
          <w:bCs/>
          <w:lang w:val="es-CR"/>
        </w:rPr>
      </w:pPr>
      <w:r w:rsidRPr="00CF1787">
        <w:rPr>
          <w:rStyle w:val="FootnoteReference"/>
        </w:rPr>
        <w:footnoteRef/>
      </w:r>
      <w:r w:rsidRPr="00CF1787">
        <w:t xml:space="preserve"> </w:t>
      </w:r>
      <w:r w:rsidRPr="00CF1787">
        <w:tab/>
      </w:r>
      <w:r w:rsidRPr="00CF1787">
        <w:rPr>
          <w:lang w:val="es-CR"/>
        </w:rPr>
        <w:t>Sentencia que resuelve los recursos de nulidad y apelación contra el auto de llamamiento a juicio.</w:t>
      </w:r>
      <w:r w:rsidRPr="00CF1787">
        <w:rPr>
          <w:b/>
          <w:lang w:val="es-CR"/>
        </w:rPr>
        <w:t xml:space="preserve"> </w:t>
      </w:r>
      <w:r w:rsidRPr="00CF1787">
        <w:rPr>
          <w:lang w:val="es-MX"/>
        </w:rPr>
        <w:t xml:space="preserve">Decisión de la Corte Nacional de Justicia. Sala Especializada de lo Penal, Penal Militar, Penal Policial y Tránsito de 3 de septiembre de 2014, en proceso contra Jorge Fernando Poveda Zuñiga y otros </w:t>
      </w:r>
      <w:r w:rsidRPr="00CF1787">
        <w:rPr>
          <w:bCs/>
          <w:lang w:val="es-CR"/>
        </w:rPr>
        <w:t>(expediente de prueba, folios 7135 a 7137), y Auto resolutorio de llamamiento a juicio de la Corte Nacional de Justicia Sala Especializada de lo Penal, Penal Militar, Penal Policial y Tránsito, Quito, 31 de julio de 2014 (expediente de prueba, folios 6867 y 6872).</w:t>
      </w:r>
    </w:p>
  </w:footnote>
  <w:footnote w:id="159">
    <w:p w14:paraId="10F0A032" w14:textId="3828E1EE" w:rsidR="00935D08" w:rsidRPr="00CF1787" w:rsidRDefault="00935D08" w:rsidP="00CA1834">
      <w:pPr>
        <w:tabs>
          <w:tab w:val="left" w:pos="426"/>
          <w:tab w:val="left" w:pos="567"/>
        </w:tabs>
        <w:autoSpaceDE w:val="0"/>
        <w:autoSpaceDN w:val="0"/>
        <w:spacing w:before="120" w:after="120"/>
        <w:rPr>
          <w:rFonts w:cs="Verdana"/>
          <w:i/>
          <w:spacing w:val="-4"/>
          <w:sz w:val="16"/>
          <w:szCs w:val="16"/>
          <w:lang w:val="es-CO"/>
        </w:rPr>
      </w:pPr>
      <w:r w:rsidRPr="00CF1787">
        <w:rPr>
          <w:rStyle w:val="FootnoteReference"/>
          <w:spacing w:val="-4"/>
        </w:rPr>
        <w:footnoteRef/>
      </w:r>
      <w:r w:rsidRPr="00CF1787">
        <w:rPr>
          <w:spacing w:val="-4"/>
          <w:sz w:val="16"/>
          <w:szCs w:val="16"/>
          <w:lang w:val="pt-BR"/>
        </w:rPr>
        <w:t xml:space="preserve"> </w:t>
      </w:r>
      <w:r w:rsidRPr="00CF1787">
        <w:rPr>
          <w:spacing w:val="-4"/>
          <w:sz w:val="16"/>
          <w:szCs w:val="16"/>
          <w:lang w:val="pt-BR"/>
        </w:rPr>
        <w:tab/>
      </w:r>
      <w:r w:rsidRPr="00CF1787">
        <w:rPr>
          <w:i/>
          <w:spacing w:val="-4"/>
          <w:sz w:val="16"/>
          <w:szCs w:val="16"/>
          <w:lang w:val="pt-BR"/>
        </w:rPr>
        <w:t xml:space="preserve">Cfr. Caso Gangaram Panday Vs. </w:t>
      </w:r>
      <w:r w:rsidRPr="00CF1787">
        <w:rPr>
          <w:i/>
          <w:spacing w:val="-4"/>
          <w:sz w:val="16"/>
          <w:szCs w:val="16"/>
          <w:lang w:val="es-CO"/>
        </w:rPr>
        <w:t>Surinam. Excepciones  Preliminares</w:t>
      </w:r>
      <w:r w:rsidRPr="00CF1787">
        <w:rPr>
          <w:spacing w:val="-4"/>
          <w:sz w:val="16"/>
          <w:szCs w:val="16"/>
          <w:lang w:val="es-CO"/>
        </w:rPr>
        <w:t xml:space="preserve">. Sentencia de 4 de diciembre de 1991. </w:t>
      </w:r>
      <w:r w:rsidRPr="00CF1787">
        <w:rPr>
          <w:spacing w:val="-4"/>
          <w:sz w:val="16"/>
          <w:szCs w:val="16"/>
        </w:rPr>
        <w:t xml:space="preserve">Serie C No. 12, párr. 50, y </w:t>
      </w:r>
      <w:r w:rsidRPr="00CF1787">
        <w:rPr>
          <w:rStyle w:val="Strong"/>
          <w:b w:val="0"/>
          <w:i/>
          <w:color w:val="000000"/>
          <w:spacing w:val="-4"/>
          <w:sz w:val="16"/>
          <w:szCs w:val="16"/>
          <w:shd w:val="clear" w:color="auto" w:fill="FFFFFF"/>
        </w:rPr>
        <w:t>Caso Flor Freire Vs. Ecuador, supra</w:t>
      </w:r>
      <w:r w:rsidRPr="00CF1787">
        <w:rPr>
          <w:rStyle w:val="Strong"/>
          <w:rFonts w:eastAsia="MS ????"/>
          <w:b w:val="0"/>
          <w:color w:val="000000"/>
          <w:sz w:val="16"/>
          <w:szCs w:val="16"/>
          <w:shd w:val="clear" w:color="auto" w:fill="FFFFFF"/>
        </w:rPr>
        <w:t>,</w:t>
      </w:r>
      <w:r w:rsidRPr="00CF1787">
        <w:rPr>
          <w:spacing w:val="-4"/>
          <w:sz w:val="16"/>
          <w:szCs w:val="16"/>
        </w:rPr>
        <w:t xml:space="preserve"> párr. 139.</w:t>
      </w:r>
    </w:p>
  </w:footnote>
  <w:footnote w:id="160">
    <w:p w14:paraId="7A3E6079"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Cfr.</w:t>
      </w:r>
      <w:r w:rsidRPr="00CF1787">
        <w:t xml:space="preserve"> </w:t>
      </w:r>
      <w:r w:rsidRPr="00CF1787">
        <w:rPr>
          <w:rFonts w:eastAsiaTheme="minorHAnsi" w:cs="Times New Roman"/>
          <w:lang w:val="es-CR"/>
        </w:rPr>
        <w:t>Constitución de la República del Ecuador. Decreto Legislativo O. Registro Oficial 449. 20 de octubre de 2008 (expediente de prueba, 2543 a 2633).</w:t>
      </w:r>
    </w:p>
  </w:footnote>
  <w:footnote w:id="161">
    <w:p w14:paraId="769265B1" w14:textId="06F938EB" w:rsidR="00935D08" w:rsidRPr="00CF1787" w:rsidRDefault="00935D08" w:rsidP="00CA1834">
      <w:pPr>
        <w:pStyle w:val="FootnoteText"/>
        <w:tabs>
          <w:tab w:val="left" w:pos="426"/>
        </w:tabs>
      </w:pPr>
      <w:r w:rsidRPr="00CF1787">
        <w:rPr>
          <w:rStyle w:val="FootnoteReference"/>
        </w:rPr>
        <w:footnoteRef/>
      </w:r>
      <w:r w:rsidRPr="00CF1787">
        <w:t xml:space="preserve"> </w:t>
      </w:r>
      <w:r w:rsidRPr="00CF1787">
        <w:tab/>
      </w:r>
      <w:r w:rsidRPr="00CF1787">
        <w:rPr>
          <w:rFonts w:cs="Tahoma"/>
          <w:color w:val="000000"/>
        </w:rPr>
        <w:t> El artículo 4.1 de la Convención establece que: “1. Toda persona tiene derecho a que se respete su vida.  Este derecho estará protegido por la ley y, en general, a partir del momento de la concepción.  Nadie puede ser privado de la vida arbitrariamente”.</w:t>
      </w:r>
    </w:p>
  </w:footnote>
  <w:footnote w:id="162">
    <w:p w14:paraId="26A64D02" w14:textId="0EDDE23C"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Cfr. Caso de los “Niños de la Calle” (Villagrán Morales y otros) Vs. Guatemala. Fondo, supra</w:t>
      </w:r>
      <w:r w:rsidRPr="00CF1787">
        <w:t>,</w:t>
      </w:r>
      <w:r w:rsidRPr="00CF1787">
        <w:rPr>
          <w:i/>
        </w:rPr>
        <w:t xml:space="preserve"> </w:t>
      </w:r>
      <w:r w:rsidRPr="00CF1787">
        <w:t xml:space="preserve">párr. 144, y </w:t>
      </w:r>
      <w:r w:rsidRPr="00CF1787">
        <w:rPr>
          <w:i/>
        </w:rPr>
        <w:t>Caso García Ibarra y otros Vs. Ecuador</w:t>
      </w:r>
      <w:r w:rsidRPr="00CF1787">
        <w:rPr>
          <w:bCs/>
          <w:i/>
          <w:lang w:val="es-CR"/>
        </w:rPr>
        <w:t>, supra</w:t>
      </w:r>
      <w:r w:rsidRPr="00CF1787">
        <w:t>, párr. 97.</w:t>
      </w:r>
    </w:p>
  </w:footnote>
  <w:footnote w:id="163">
    <w:p w14:paraId="733413B7" w14:textId="4A48CA46" w:rsidR="00935D08" w:rsidRPr="00CF1787" w:rsidRDefault="00935D08" w:rsidP="00CA1834">
      <w:pPr>
        <w:tabs>
          <w:tab w:val="left" w:pos="426"/>
        </w:tabs>
        <w:spacing w:before="120" w:after="120"/>
        <w:rPr>
          <w:i/>
          <w:spacing w:val="-2"/>
          <w:sz w:val="16"/>
          <w:szCs w:val="16"/>
        </w:rPr>
      </w:pPr>
      <w:r w:rsidRPr="00CF1787">
        <w:rPr>
          <w:rStyle w:val="FootnoteReference"/>
        </w:rPr>
        <w:footnoteRef/>
      </w:r>
      <w:r w:rsidRPr="00CF1787">
        <w:rPr>
          <w:sz w:val="16"/>
          <w:szCs w:val="16"/>
        </w:rPr>
        <w:t xml:space="preserve"> </w:t>
      </w:r>
      <w:r w:rsidRPr="00CF1787">
        <w:rPr>
          <w:sz w:val="16"/>
          <w:szCs w:val="16"/>
        </w:rPr>
        <w:tab/>
      </w:r>
      <w:r w:rsidRPr="00CF1787">
        <w:rPr>
          <w:i/>
          <w:sz w:val="16"/>
          <w:szCs w:val="16"/>
        </w:rPr>
        <w:t>Caso Velásquez Rodríguez Vs. Honduras. Fondo, supra</w:t>
      </w:r>
      <w:r w:rsidRPr="00CF1787">
        <w:rPr>
          <w:sz w:val="16"/>
          <w:szCs w:val="16"/>
        </w:rPr>
        <w:t xml:space="preserve">, </w:t>
      </w:r>
      <w:r w:rsidRPr="00CF1787">
        <w:rPr>
          <w:rFonts w:eastAsia="Times New Roman"/>
          <w:bCs/>
          <w:iCs/>
          <w:sz w:val="16"/>
          <w:szCs w:val="16"/>
          <w:lang w:val="es-GT" w:eastAsia="es-ES_tradnl"/>
        </w:rPr>
        <w:t xml:space="preserve">párr. 174, y </w:t>
      </w:r>
      <w:r w:rsidRPr="00CF1787">
        <w:rPr>
          <w:rFonts w:eastAsia="Times New Roman"/>
          <w:bCs/>
          <w:i/>
          <w:iCs/>
          <w:sz w:val="16"/>
          <w:szCs w:val="16"/>
          <w:lang w:eastAsia="es-ES_tradnl"/>
        </w:rPr>
        <w:t xml:space="preserve">Caso Tenorio Roca y otros Vs. Perú. Excepciones Preliminares, Fondo, Reparaciones y Costas. </w:t>
      </w:r>
      <w:r w:rsidRPr="00CF1787">
        <w:rPr>
          <w:rFonts w:eastAsia="Times New Roman"/>
          <w:bCs/>
          <w:iCs/>
          <w:sz w:val="16"/>
          <w:szCs w:val="16"/>
          <w:lang w:eastAsia="es-ES_tradnl"/>
        </w:rPr>
        <w:t>Sentencia de 22 de junio de 2016.</w:t>
      </w:r>
      <w:r w:rsidRPr="00CF1787">
        <w:rPr>
          <w:rFonts w:eastAsia="Times New Roman"/>
          <w:bCs/>
          <w:i/>
          <w:iCs/>
          <w:sz w:val="16"/>
          <w:szCs w:val="16"/>
          <w:lang w:eastAsia="es-ES_tradnl"/>
        </w:rPr>
        <w:t xml:space="preserve"> </w:t>
      </w:r>
      <w:r w:rsidRPr="00CF1787">
        <w:rPr>
          <w:rFonts w:eastAsia="Times New Roman"/>
          <w:bCs/>
          <w:iCs/>
          <w:sz w:val="16"/>
          <w:szCs w:val="16"/>
          <w:lang w:eastAsia="es-ES_tradnl"/>
        </w:rPr>
        <w:t>Serie C No. 314, párr. 142.</w:t>
      </w:r>
    </w:p>
  </w:footnote>
  <w:footnote w:id="164">
    <w:p w14:paraId="2FE53CFB" w14:textId="4AC68070"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 xml:space="preserve">Cfr. </w:t>
      </w:r>
      <w:r w:rsidRPr="00CF1787">
        <w:rPr>
          <w:rStyle w:val="Strong"/>
          <w:b w:val="0"/>
          <w:i/>
          <w:color w:val="000000"/>
          <w:shd w:val="clear" w:color="auto" w:fill="FFFFFF"/>
        </w:rPr>
        <w:t>Caso Zambrano Vélez y otros Vs. Ecuador. Fondo, Reparaciones y Costas.</w:t>
      </w:r>
      <w:r w:rsidRPr="00CF1787">
        <w:rPr>
          <w:rStyle w:val="Strong"/>
          <w:b w:val="0"/>
          <w:color w:val="000000"/>
          <w:shd w:val="clear" w:color="auto" w:fill="FFFFFF"/>
        </w:rPr>
        <w:t xml:space="preserve"> Sentencia de 4 de julio de 2007. Serie C No. 166</w:t>
      </w:r>
      <w:r w:rsidRPr="00CF1787">
        <w:t>, párr. 88</w:t>
      </w:r>
      <w:r w:rsidRPr="00CF1787">
        <w:rPr>
          <w:rFonts w:eastAsia="Times New Roman"/>
          <w:bCs/>
          <w:iCs/>
          <w:lang w:val="es-GT" w:eastAsia="es-ES_tradnl"/>
        </w:rPr>
        <w:t xml:space="preserve">, y </w:t>
      </w:r>
      <w:r w:rsidRPr="00CF1787">
        <w:rPr>
          <w:rFonts w:eastAsia="Times New Roman"/>
          <w:bCs/>
          <w:i/>
          <w:iCs/>
          <w:lang w:val="es-MX" w:eastAsia="es-ES_tradnl"/>
        </w:rPr>
        <w:t xml:space="preserve">Caso Chinchilla Sandoval Vs. Guatemala. Excepción Preliminar, Fondo, Reparaciones y Costas. </w:t>
      </w:r>
      <w:r w:rsidRPr="00CF1787">
        <w:rPr>
          <w:rFonts w:eastAsia="Times New Roman"/>
          <w:bCs/>
          <w:iCs/>
          <w:lang w:val="es-MX" w:eastAsia="es-ES_tradnl"/>
        </w:rPr>
        <w:t>Sentencia de 29 de febrero de 2016.</w:t>
      </w:r>
      <w:r w:rsidRPr="00CF1787">
        <w:rPr>
          <w:rFonts w:eastAsia="Times New Roman"/>
          <w:bCs/>
          <w:i/>
          <w:iCs/>
          <w:lang w:val="es-MX" w:eastAsia="es-ES_tradnl"/>
        </w:rPr>
        <w:t xml:space="preserve"> </w:t>
      </w:r>
      <w:r w:rsidRPr="00CF1787">
        <w:rPr>
          <w:rFonts w:eastAsia="Times New Roman"/>
          <w:bCs/>
          <w:iCs/>
          <w:lang w:val="es-MX" w:eastAsia="es-ES_tradnl"/>
        </w:rPr>
        <w:t>Serie C No. 312, párr. 257.</w:t>
      </w:r>
    </w:p>
  </w:footnote>
  <w:footnote w:id="165">
    <w:p w14:paraId="0861396F" w14:textId="7FB437F0"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ab/>
      </w:r>
      <w:r w:rsidRPr="00CF1787">
        <w:rPr>
          <w:i/>
        </w:rPr>
        <w:t>Cfr. Caso Velásquez Rodríguez Vs. Honduras. Fondo, supra</w:t>
      </w:r>
      <w:r w:rsidRPr="00CF1787">
        <w:t>, párr. 177</w:t>
      </w:r>
      <w:r w:rsidRPr="00CF1787">
        <w:rPr>
          <w:rFonts w:eastAsia="Times New Roman"/>
          <w:bCs/>
          <w:iCs/>
          <w:lang w:val="es-GT" w:eastAsia="es-ES_tradnl"/>
        </w:rPr>
        <w:t xml:space="preserve">, y </w:t>
      </w:r>
      <w:r w:rsidRPr="00CF1787">
        <w:rPr>
          <w:rFonts w:eastAsia="Times New Roman"/>
          <w:bCs/>
          <w:i/>
          <w:iCs/>
          <w:lang w:val="es-MX" w:eastAsia="es-ES_tradnl"/>
        </w:rPr>
        <w:t>Caso Tenorio Roca y otros Vs. Perú, supra</w:t>
      </w:r>
      <w:r w:rsidRPr="00CF1787">
        <w:rPr>
          <w:rFonts w:eastAsia="Times New Roman"/>
          <w:bCs/>
          <w:iCs/>
          <w:lang w:val="es-MX" w:eastAsia="es-ES_tradnl"/>
        </w:rPr>
        <w:t>, párr. 168.</w:t>
      </w:r>
    </w:p>
  </w:footnote>
  <w:footnote w:id="166">
    <w:p w14:paraId="14E51F68" w14:textId="26C66FB6"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Mutatis mutandis, Caso González y otras (“Campo Algodonero”) Vs. México, supra</w:t>
      </w:r>
      <w:r w:rsidRPr="00CF1787">
        <w:t>, párr. 242.</w:t>
      </w:r>
    </w:p>
  </w:footnote>
  <w:footnote w:id="167">
    <w:p w14:paraId="5C3A20C3" w14:textId="11F37DF1" w:rsidR="00935D08" w:rsidRPr="00CF1787" w:rsidRDefault="00935D08" w:rsidP="00CA1834">
      <w:pPr>
        <w:pStyle w:val="FootnoteText"/>
        <w:tabs>
          <w:tab w:val="left" w:pos="426"/>
        </w:tabs>
        <w:spacing w:before="120" w:after="120"/>
      </w:pPr>
      <w:r w:rsidRPr="00CF1787">
        <w:rPr>
          <w:rStyle w:val="Funotenzeichen"/>
          <w:vertAlign w:val="superscript"/>
        </w:rPr>
        <w:footnoteRef/>
      </w:r>
      <w:r w:rsidRPr="00CF1787">
        <w:tab/>
      </w:r>
      <w:r w:rsidRPr="00CF1787">
        <w:rPr>
          <w:i/>
        </w:rPr>
        <w:t>Cfr.</w:t>
      </w:r>
      <w:r w:rsidRPr="00CF1787">
        <w:t xml:space="preserve"> TEDH, </w:t>
      </w:r>
      <w:r w:rsidRPr="00CF1787">
        <w:rPr>
          <w:i/>
          <w:iCs/>
        </w:rPr>
        <w:t>Caso L.C.B. Vs. Reino Unido</w:t>
      </w:r>
      <w:r w:rsidRPr="00CF1787">
        <w:t xml:space="preserve">, No. 23413/94. Sentencia de 9 de junio de 1998, párr. 36; </w:t>
      </w:r>
      <w:r w:rsidRPr="00CF1787">
        <w:rPr>
          <w:i/>
          <w:iCs/>
        </w:rPr>
        <w:t xml:space="preserve">Caso </w:t>
      </w:r>
      <w:proofErr w:type="spellStart"/>
      <w:r w:rsidRPr="00CF1787">
        <w:rPr>
          <w:i/>
          <w:iCs/>
        </w:rPr>
        <w:t>Osman</w:t>
      </w:r>
      <w:proofErr w:type="spellEnd"/>
      <w:r w:rsidRPr="00CF1787">
        <w:rPr>
          <w:i/>
          <w:iCs/>
        </w:rPr>
        <w:t xml:space="preserve"> Vs. Reino Unido</w:t>
      </w:r>
      <w:r w:rsidRPr="00CF1787">
        <w:t xml:space="preserve">, No. 23452/94, Sentencia de 28 de octubre de 1998, párr. 115, y </w:t>
      </w:r>
      <w:r w:rsidRPr="00CF1787">
        <w:rPr>
          <w:i/>
          <w:iCs/>
        </w:rPr>
        <w:t xml:space="preserve">Caso </w:t>
      </w:r>
      <w:proofErr w:type="spellStart"/>
      <w:r w:rsidRPr="00CF1787">
        <w:rPr>
          <w:i/>
          <w:iCs/>
        </w:rPr>
        <w:t>Muradyan</w:t>
      </w:r>
      <w:proofErr w:type="spellEnd"/>
      <w:r w:rsidRPr="00CF1787">
        <w:rPr>
          <w:i/>
          <w:iCs/>
        </w:rPr>
        <w:t xml:space="preserve"> Vs. Armenia</w:t>
      </w:r>
      <w:r w:rsidRPr="00CF1787">
        <w:t>, No.11275/07. Sentencia de 24 noviembre de 2016, párr. 132.</w:t>
      </w:r>
    </w:p>
  </w:footnote>
  <w:footnote w:id="168">
    <w:p w14:paraId="3D07C15E" w14:textId="1D038472" w:rsidR="00935D08" w:rsidRPr="00CF1787" w:rsidRDefault="00935D08" w:rsidP="00CA1834">
      <w:pPr>
        <w:pStyle w:val="FootnoteText"/>
        <w:tabs>
          <w:tab w:val="left" w:pos="426"/>
        </w:tabs>
        <w:spacing w:before="120" w:after="120"/>
      </w:pPr>
      <w:r w:rsidRPr="00CF1787">
        <w:rPr>
          <w:rStyle w:val="Funotenzeichen"/>
          <w:vertAlign w:val="superscript"/>
        </w:rPr>
        <w:footnoteRef/>
      </w:r>
      <w:r w:rsidRPr="00CF1787">
        <w:rPr>
          <w:vertAlign w:val="superscript"/>
        </w:rPr>
        <w:tab/>
      </w:r>
      <w:r w:rsidRPr="00CF1787">
        <w:rPr>
          <w:i/>
        </w:rPr>
        <w:t>Cfr.</w:t>
      </w:r>
      <w:r w:rsidRPr="00CF1787">
        <w:t xml:space="preserve"> TEDH, </w:t>
      </w:r>
      <w:r w:rsidRPr="00CF1787">
        <w:rPr>
          <w:i/>
        </w:rPr>
        <w:t xml:space="preserve">Caso </w:t>
      </w:r>
      <w:proofErr w:type="spellStart"/>
      <w:r w:rsidRPr="00CF1787">
        <w:rPr>
          <w:i/>
        </w:rPr>
        <w:t>Muradyan</w:t>
      </w:r>
      <w:proofErr w:type="spellEnd"/>
      <w:r w:rsidRPr="00CF1787">
        <w:rPr>
          <w:i/>
        </w:rPr>
        <w:t xml:space="preserve"> Vs. Armenia</w:t>
      </w:r>
      <w:r w:rsidRPr="00CF1787">
        <w:t xml:space="preserve">, No.11275/07. Sentencia de 24 noviembre de 2016, párr. 134. Ver también: TEDH, </w:t>
      </w:r>
      <w:r w:rsidRPr="00CF1787">
        <w:rPr>
          <w:i/>
        </w:rPr>
        <w:t xml:space="preserve">Caso </w:t>
      </w:r>
      <w:proofErr w:type="spellStart"/>
      <w:r w:rsidRPr="00CF1787">
        <w:rPr>
          <w:i/>
        </w:rPr>
        <w:t>Mustafa</w:t>
      </w:r>
      <w:proofErr w:type="spellEnd"/>
      <w:r w:rsidRPr="00CF1787">
        <w:rPr>
          <w:i/>
        </w:rPr>
        <w:t xml:space="preserve"> </w:t>
      </w:r>
      <w:proofErr w:type="spellStart"/>
      <w:r w:rsidRPr="00CF1787">
        <w:rPr>
          <w:i/>
        </w:rPr>
        <w:t>Tunç</w:t>
      </w:r>
      <w:proofErr w:type="spellEnd"/>
      <w:r w:rsidRPr="00CF1787">
        <w:rPr>
          <w:i/>
        </w:rPr>
        <w:t xml:space="preserve"> y </w:t>
      </w:r>
      <w:proofErr w:type="spellStart"/>
      <w:r w:rsidRPr="00CF1787">
        <w:rPr>
          <w:i/>
        </w:rPr>
        <w:t>Fecire</w:t>
      </w:r>
      <w:proofErr w:type="spellEnd"/>
      <w:r w:rsidRPr="00CF1787">
        <w:rPr>
          <w:i/>
        </w:rPr>
        <w:t xml:space="preserve"> </w:t>
      </w:r>
      <w:proofErr w:type="spellStart"/>
      <w:r w:rsidRPr="00CF1787">
        <w:rPr>
          <w:i/>
        </w:rPr>
        <w:t>Tunç</w:t>
      </w:r>
      <w:proofErr w:type="spellEnd"/>
      <w:r w:rsidRPr="00CF1787">
        <w:rPr>
          <w:i/>
        </w:rPr>
        <w:t xml:space="preserve"> Vs. Turquía,</w:t>
      </w:r>
      <w:r w:rsidRPr="00CF1787">
        <w:t xml:space="preserve"> No. 24014/05. Sentencia de 14 de abril de 2015, párr. 171. El Tribunal Europeo ha indicado que el artículo 2 del Convenio Europeo de Derechos Humanos implica que “se debe proveer una investigación oficial, independiente e imparcial que cumpla con los estándares mínimos en lo concerniente a su efectividad, […] [y] que sea capaz de determinar las circunstancias de los sucesos, así como las deficiencias en el funcionamiento del sistema normativo, dado que en la práctica las verdaderas circunstancias de la muerte son, o pueden ser, de conocimiento exclusivo de los oficiales o autoridades estatales” (traducción realizada por la Secretaría de la Corte Interamericana). TEDH, </w:t>
      </w:r>
      <w:r w:rsidRPr="00CF1787">
        <w:rPr>
          <w:i/>
        </w:rPr>
        <w:t>Caso Kelly y otros Vs. Reino Unido</w:t>
      </w:r>
      <w:r w:rsidRPr="00CF1787">
        <w:t xml:space="preserve">, No. 30054/96. Sentencia de 4 de mayo de 2001, párr. 114; </w:t>
      </w:r>
      <w:r w:rsidRPr="00CF1787">
        <w:rPr>
          <w:i/>
        </w:rPr>
        <w:t xml:space="preserve">Caso </w:t>
      </w:r>
      <w:proofErr w:type="spellStart"/>
      <w:r w:rsidRPr="00CF1787">
        <w:rPr>
          <w:i/>
        </w:rPr>
        <w:t>Sergey</w:t>
      </w:r>
      <w:proofErr w:type="spellEnd"/>
      <w:r w:rsidRPr="00CF1787">
        <w:rPr>
          <w:i/>
        </w:rPr>
        <w:t xml:space="preserve"> Shevchenko Vs. Ucrania</w:t>
      </w:r>
      <w:r w:rsidRPr="00CF1787">
        <w:t xml:space="preserve">, No. 32478/02. Sentencia de 4 de abril de 2006, párr. 65; </w:t>
      </w:r>
      <w:r w:rsidRPr="00CF1787">
        <w:rPr>
          <w:i/>
        </w:rPr>
        <w:t xml:space="preserve">Caso </w:t>
      </w:r>
      <w:proofErr w:type="spellStart"/>
      <w:r w:rsidRPr="00CF1787">
        <w:rPr>
          <w:i/>
        </w:rPr>
        <w:t>Perevedentsevy</w:t>
      </w:r>
      <w:proofErr w:type="spellEnd"/>
      <w:r w:rsidRPr="00CF1787">
        <w:rPr>
          <w:i/>
        </w:rPr>
        <w:t xml:space="preserve"> Vs. Rusia</w:t>
      </w:r>
      <w:r w:rsidRPr="00CF1787">
        <w:t xml:space="preserve">, No. 39583/05. Sentencia de 24 de abril de 2014, párr. 104, y </w:t>
      </w:r>
      <w:r w:rsidRPr="00CF1787">
        <w:rPr>
          <w:i/>
        </w:rPr>
        <w:t xml:space="preserve">Caso </w:t>
      </w:r>
      <w:proofErr w:type="spellStart"/>
      <w:r w:rsidRPr="00CF1787">
        <w:rPr>
          <w:i/>
        </w:rPr>
        <w:t>Muradyan</w:t>
      </w:r>
      <w:proofErr w:type="spellEnd"/>
      <w:r w:rsidRPr="00CF1787">
        <w:rPr>
          <w:i/>
        </w:rPr>
        <w:t xml:space="preserve"> Vs. Armenia</w:t>
      </w:r>
      <w:r w:rsidRPr="00CF1787">
        <w:t xml:space="preserve">, No.11275/07. Sentencia de 24 noviembre de 2016, párr. 133. Como requisitos mínimos para un sistema judicial efectivo, ha indicado que se requiere que “las personas responsables de la investigación sean independientes de aquellas personas involucradas en los acontecimientos. Esto significa tanto independencia jerárquica e institucional, como independencia práctica” (traducción realizada por la Secretaría de la Corte Interamericana). TEDH, </w:t>
      </w:r>
      <w:r w:rsidRPr="00CF1787">
        <w:rPr>
          <w:i/>
        </w:rPr>
        <w:t>Caso Kelly y otros Vs. Reino Unido</w:t>
      </w:r>
      <w:r w:rsidRPr="00CF1787">
        <w:t xml:space="preserve">, No. 30054/96. Sentencia de 4 de mayo de 2001, párr. 95; </w:t>
      </w:r>
      <w:r w:rsidRPr="00CF1787">
        <w:rPr>
          <w:i/>
        </w:rPr>
        <w:t>Caso Paul y Audrey Edwards Vs. Reino Unido,</w:t>
      </w:r>
      <w:r w:rsidRPr="00CF1787">
        <w:t xml:space="preserve"> No. 46477/99. Sentencia de 14 de septiembre de 2002, párr. 70; </w:t>
      </w:r>
      <w:r w:rsidRPr="00CF1787">
        <w:rPr>
          <w:i/>
        </w:rPr>
        <w:t xml:space="preserve">Caso </w:t>
      </w:r>
      <w:proofErr w:type="spellStart"/>
      <w:r w:rsidRPr="00CF1787">
        <w:rPr>
          <w:i/>
        </w:rPr>
        <w:t>Mastromatteo</w:t>
      </w:r>
      <w:proofErr w:type="spellEnd"/>
      <w:r w:rsidRPr="00CF1787">
        <w:rPr>
          <w:i/>
        </w:rPr>
        <w:t xml:space="preserve"> Vs. Italia, </w:t>
      </w:r>
      <w:r w:rsidRPr="00CF1787">
        <w:t xml:space="preserve">No. 37703/97. Sentencia de 24 de octubre de 2002, párr. 91; </w:t>
      </w:r>
      <w:r w:rsidRPr="00CF1787">
        <w:rPr>
          <w:i/>
        </w:rPr>
        <w:t xml:space="preserve">Caso </w:t>
      </w:r>
      <w:proofErr w:type="spellStart"/>
      <w:r w:rsidRPr="00CF1787">
        <w:rPr>
          <w:i/>
        </w:rPr>
        <w:t>Sergey</w:t>
      </w:r>
      <w:proofErr w:type="spellEnd"/>
      <w:r w:rsidRPr="00CF1787">
        <w:rPr>
          <w:i/>
        </w:rPr>
        <w:t xml:space="preserve"> Shevchenko Vs. Ucrania</w:t>
      </w:r>
      <w:r w:rsidRPr="00CF1787">
        <w:t xml:space="preserve">, No. 32478/02. Sentencia de 4 de abril de 2006, párr. 64, y </w:t>
      </w:r>
      <w:r w:rsidRPr="00CF1787">
        <w:rPr>
          <w:i/>
        </w:rPr>
        <w:t xml:space="preserve">Caso </w:t>
      </w:r>
      <w:proofErr w:type="spellStart"/>
      <w:r w:rsidRPr="00CF1787">
        <w:rPr>
          <w:i/>
        </w:rPr>
        <w:t>Mikhalkova</w:t>
      </w:r>
      <w:proofErr w:type="spellEnd"/>
      <w:r w:rsidRPr="00CF1787">
        <w:rPr>
          <w:i/>
        </w:rPr>
        <w:t xml:space="preserve"> Vs. Ucrania</w:t>
      </w:r>
      <w:r w:rsidRPr="00CF1787">
        <w:t>, No 10919/05. Sentencia de 13 de enero de 2011, párr. 42.</w:t>
      </w:r>
    </w:p>
  </w:footnote>
  <w:footnote w:id="169">
    <w:p w14:paraId="6D91F588" w14:textId="5973EE25" w:rsidR="00935D08" w:rsidRPr="00CF1787" w:rsidRDefault="00935D08" w:rsidP="00CA1834">
      <w:pPr>
        <w:pStyle w:val="FootnoteText"/>
        <w:tabs>
          <w:tab w:val="left" w:pos="426"/>
        </w:tabs>
        <w:spacing w:before="120" w:after="120"/>
      </w:pPr>
      <w:r w:rsidRPr="00CF1787">
        <w:rPr>
          <w:rStyle w:val="Funotenzeichen"/>
          <w:vertAlign w:val="superscript"/>
        </w:rPr>
        <w:footnoteRef/>
      </w:r>
      <w:r w:rsidRPr="00CF1787">
        <w:tab/>
        <w:t xml:space="preserve">TEDH, </w:t>
      </w:r>
      <w:r w:rsidRPr="00CF1787">
        <w:rPr>
          <w:i/>
        </w:rPr>
        <w:t>Caso Paul y Audrey Edwards Vs. Reino Unido</w:t>
      </w:r>
      <w:r w:rsidRPr="00CF1787">
        <w:t xml:space="preserve">, No. 46477/99. Sentencia de 14 de septiembre de 2002, párr. 54; </w:t>
      </w:r>
      <w:r w:rsidRPr="00CF1787">
        <w:rPr>
          <w:i/>
        </w:rPr>
        <w:t xml:space="preserve">Caso </w:t>
      </w:r>
      <w:proofErr w:type="spellStart"/>
      <w:r w:rsidRPr="00CF1787">
        <w:rPr>
          <w:i/>
        </w:rPr>
        <w:t>Öneryildiz</w:t>
      </w:r>
      <w:proofErr w:type="spellEnd"/>
      <w:r w:rsidRPr="00CF1787">
        <w:rPr>
          <w:i/>
        </w:rPr>
        <w:t xml:space="preserve"> Vs. Turquía</w:t>
      </w:r>
      <w:r w:rsidRPr="00CF1787">
        <w:t xml:space="preserve">, No. 48939/99. Sentencia de 30 de noviembre de 2004, párr. 91, y </w:t>
      </w:r>
      <w:r w:rsidRPr="00CF1787">
        <w:rPr>
          <w:i/>
        </w:rPr>
        <w:t xml:space="preserve">Caso </w:t>
      </w:r>
      <w:proofErr w:type="spellStart"/>
      <w:r w:rsidRPr="00CF1787">
        <w:rPr>
          <w:i/>
        </w:rPr>
        <w:t>Sergey</w:t>
      </w:r>
      <w:proofErr w:type="spellEnd"/>
      <w:r w:rsidRPr="00CF1787">
        <w:rPr>
          <w:i/>
        </w:rPr>
        <w:t xml:space="preserve"> Shevchenko Vs. Ucrania</w:t>
      </w:r>
      <w:r w:rsidRPr="00CF1787">
        <w:t>, No. 32478/02. Sentencia de 4 de abril de 2006, párr. 63. (Traducción realizada por la Secretaría de la Corte Interamericana)</w:t>
      </w:r>
    </w:p>
  </w:footnote>
  <w:footnote w:id="170">
    <w:p w14:paraId="13856010" w14:textId="5666F973" w:rsidR="00935D08" w:rsidRPr="00CF1787" w:rsidRDefault="00935D08" w:rsidP="00CA1834">
      <w:pPr>
        <w:pStyle w:val="FootnoteText"/>
        <w:tabs>
          <w:tab w:val="left" w:pos="284"/>
          <w:tab w:val="left" w:pos="426"/>
        </w:tabs>
        <w:spacing w:before="120" w:after="120"/>
        <w:rPr>
          <w:lang w:val="es-MX"/>
        </w:rPr>
      </w:pPr>
      <w:r w:rsidRPr="00CF1787">
        <w:rPr>
          <w:rStyle w:val="FootnoteReference"/>
        </w:rPr>
        <w:footnoteRef/>
      </w:r>
      <w:r w:rsidRPr="00CF1787">
        <w:rPr>
          <w:lang w:val="es-MX"/>
        </w:rPr>
        <w:t xml:space="preserve"> </w:t>
      </w:r>
      <w:r w:rsidRPr="00CF1787">
        <w:rPr>
          <w:lang w:val="es-MX"/>
        </w:rPr>
        <w:tab/>
      </w:r>
      <w:r w:rsidRPr="00CF1787">
        <w:rPr>
          <w:lang w:val="es-MX"/>
        </w:rPr>
        <w:tab/>
      </w:r>
      <w:r w:rsidRPr="00CF1787">
        <w:rPr>
          <w:i/>
          <w:lang w:val="es-MX"/>
        </w:rPr>
        <w:t>Caso Montero Aranguren y Otros (</w:t>
      </w:r>
      <w:proofErr w:type="spellStart"/>
      <w:r w:rsidRPr="00CF1787">
        <w:rPr>
          <w:i/>
          <w:lang w:val="es-MX"/>
        </w:rPr>
        <w:t>Reten</w:t>
      </w:r>
      <w:proofErr w:type="spellEnd"/>
      <w:r w:rsidRPr="00CF1787">
        <w:rPr>
          <w:i/>
          <w:lang w:val="es-MX"/>
        </w:rPr>
        <w:t xml:space="preserve"> de Catia) Vs. Venezuela. Excepción Preliminar, Fondo, Reparaciones y Costas</w:t>
      </w:r>
      <w:r w:rsidRPr="00CF1787">
        <w:rPr>
          <w:lang w:val="es-MX"/>
        </w:rPr>
        <w:t xml:space="preserve">. Sentencia de 5 de julio de 2006. Serie C No. 150, párr. 66, y </w:t>
      </w:r>
      <w:r w:rsidRPr="00CF1787">
        <w:rPr>
          <w:i/>
        </w:rPr>
        <w:t>Caso Cruz Sánchez y otros Vs. Perú, supra</w:t>
      </w:r>
      <w:r w:rsidRPr="00CF1787">
        <w:t>, párr. 260.</w:t>
      </w:r>
    </w:p>
  </w:footnote>
  <w:footnote w:id="171">
    <w:p w14:paraId="7EC310D0" w14:textId="2F6FE579" w:rsidR="00935D08" w:rsidRPr="00CF1787" w:rsidRDefault="00935D08" w:rsidP="00CA1834">
      <w:pPr>
        <w:pStyle w:val="FootnoteText"/>
        <w:tabs>
          <w:tab w:val="left" w:pos="426"/>
        </w:tabs>
        <w:spacing w:before="120" w:after="120"/>
        <w:rPr>
          <w:u w:val="single"/>
        </w:rPr>
      </w:pPr>
      <w:r w:rsidRPr="00CF1787">
        <w:rPr>
          <w:rStyle w:val="FootnoteReference"/>
        </w:rPr>
        <w:footnoteRef/>
      </w:r>
      <w:r w:rsidRPr="00CF1787">
        <w:t xml:space="preserve"> </w:t>
      </w:r>
      <w:r w:rsidRPr="00CF1787">
        <w:tab/>
      </w:r>
      <w:r w:rsidRPr="00CF1787">
        <w:rPr>
          <w:i/>
          <w:lang w:val="es-MX"/>
        </w:rPr>
        <w:t>Cfr.</w:t>
      </w:r>
      <w:r w:rsidRPr="00CF1787">
        <w:rPr>
          <w:lang w:val="es-MX"/>
        </w:rPr>
        <w:t xml:space="preserve"> </w:t>
      </w:r>
      <w:r w:rsidRPr="00CF1787">
        <w:rPr>
          <w:i/>
          <w:lang w:val="es-MX"/>
        </w:rPr>
        <w:t>Caso Montero Aranguren y Otros, (</w:t>
      </w:r>
      <w:proofErr w:type="spellStart"/>
      <w:r w:rsidRPr="00CF1787">
        <w:rPr>
          <w:i/>
          <w:lang w:val="es-MX"/>
        </w:rPr>
        <w:t>Reten</w:t>
      </w:r>
      <w:proofErr w:type="spellEnd"/>
      <w:r w:rsidRPr="00CF1787">
        <w:rPr>
          <w:i/>
          <w:lang w:val="es-MX"/>
        </w:rPr>
        <w:t xml:space="preserve"> de Catia) Vs. Venezuela, supra</w:t>
      </w:r>
      <w:r w:rsidRPr="00CF1787">
        <w:rPr>
          <w:lang w:val="es-MX"/>
        </w:rPr>
        <w:t xml:space="preserve">, párr. 75, y </w:t>
      </w:r>
      <w:r w:rsidRPr="00CF1787">
        <w:rPr>
          <w:i/>
        </w:rPr>
        <w:t>Caso Familia Barrios Vs. Venezuela. Fondo, Reparaciones y Costas.</w:t>
      </w:r>
      <w:r w:rsidRPr="00CF1787">
        <w:t xml:space="preserve"> Sentencia de 24 de noviembre de 2011. Serie C No. 237, párr. 49. Siguiendo los “Principios sobre el empleo de la fuerza y de las armas de fuego por los funcionarios encargados de hacer cumplir la Ley”, las normas y reglamentaciones sobre el empleo de armas de fuego por los funcionarios encargados de hacer cumplir la ley deben contener directrices que: a) especifiquen las circunstancias en que tales funcionarios estarían autorizados a portar armas de fuego y prescriban los tipos de armas de fuego o municiones autorizados; b) aseguren que las armas de fuego se utilicen solamente en circunstancias apropiadas y de manera tal que disminuya el riesgo de daños innecesarios; c) prohíban el empleo de armas de fuego y municiones que puedan provocar lesiones no deseadas o signifiquen un riesgo injustificado; d) reglamenten el control, almacenamiento y distribución de armas de fuego, así como los procedimientos para asegurar que los funcionarios encargados de hacer cumplir la ley respondan de las armas de fuego o municiones que se les hayan entregado; e) señalen los avisos de advertencia que deberán darse, siempre que proceda, cuando se vaya a hacer uso de un arma de fuego, y f) establezcan un sistema de presentación de informes siempre que los funcionarios encargados de hacer cumplir la ley recurran al empleo de armas de fuego en el desempeño de sus funciones.</w:t>
      </w:r>
    </w:p>
  </w:footnote>
  <w:footnote w:id="172">
    <w:p w14:paraId="4051514F" w14:textId="11843416" w:rsidR="00935D08" w:rsidRPr="00CF1787" w:rsidRDefault="00935D08" w:rsidP="00CA1834">
      <w:pPr>
        <w:pStyle w:val="FootnoteText"/>
        <w:tabs>
          <w:tab w:val="left" w:pos="426"/>
        </w:tabs>
        <w:rPr>
          <w:lang w:val="es-MX"/>
        </w:rPr>
      </w:pPr>
      <w:r w:rsidRPr="00CF1787">
        <w:rPr>
          <w:rStyle w:val="FootnoteReference"/>
        </w:rPr>
        <w:footnoteRef/>
      </w:r>
      <w:r w:rsidRPr="00CF1787">
        <w:rPr>
          <w:lang w:val="es-MX"/>
        </w:rPr>
        <w:t xml:space="preserve"> </w:t>
      </w:r>
      <w:r w:rsidRPr="00CF1787">
        <w:rPr>
          <w:lang w:val="es-MX"/>
        </w:rPr>
        <w:tab/>
      </w:r>
      <w:r w:rsidRPr="00CF1787">
        <w:rPr>
          <w:i/>
          <w:lang w:val="es-MX"/>
        </w:rPr>
        <w:t>Cfr.</w:t>
      </w:r>
      <w:r w:rsidRPr="00CF1787">
        <w:rPr>
          <w:lang w:val="es-MX"/>
        </w:rPr>
        <w:t xml:space="preserve"> Principios básicos sobre el empleo de la fuerza y de armas de fuego por los funcionarios encargados de cumplir la ley, adoptados por el Octavo Congreso de las Naciones Unidas sobre Prevención del Delito y Tratamiento del Delincuente, celebrado en La Habana, Cuba, del 27 de agosto al 7 de septiembre de 1990, y Código de conducta para</w:t>
      </w:r>
    </w:p>
    <w:p w14:paraId="1C68F4F3" w14:textId="452179B4" w:rsidR="00935D08" w:rsidRPr="00CF1787" w:rsidRDefault="00935D08" w:rsidP="00CA1834">
      <w:pPr>
        <w:pStyle w:val="FootnoteText"/>
        <w:tabs>
          <w:tab w:val="left" w:pos="426"/>
        </w:tabs>
        <w:rPr>
          <w:lang w:val="es-MX"/>
        </w:rPr>
      </w:pPr>
      <w:r w:rsidRPr="00CF1787">
        <w:rPr>
          <w:lang w:val="es-MX"/>
        </w:rPr>
        <w:t xml:space="preserve">funcionarios encargados de hacer cumplir la ley, aprobado por la Asamblea General de las Naciones Unidas en su Resolución 34/169, de 17 de diciembre de 1979. Ver también, </w:t>
      </w:r>
      <w:r w:rsidRPr="00CF1787">
        <w:rPr>
          <w:i/>
          <w:lang w:val="es-MX"/>
        </w:rPr>
        <w:t>Caso Montero</w:t>
      </w:r>
      <w:r w:rsidRPr="00CF1787">
        <w:rPr>
          <w:lang w:val="es-MX"/>
        </w:rPr>
        <w:t xml:space="preserve"> </w:t>
      </w:r>
      <w:r w:rsidRPr="00CF1787">
        <w:rPr>
          <w:i/>
          <w:lang w:val="es-MX"/>
        </w:rPr>
        <w:t>Aranguren y Otros, (</w:t>
      </w:r>
      <w:proofErr w:type="spellStart"/>
      <w:r w:rsidRPr="00CF1787">
        <w:rPr>
          <w:i/>
          <w:lang w:val="es-MX"/>
        </w:rPr>
        <w:t>Reten</w:t>
      </w:r>
      <w:proofErr w:type="spellEnd"/>
      <w:r w:rsidRPr="00CF1787">
        <w:rPr>
          <w:i/>
          <w:lang w:val="es-MX"/>
        </w:rPr>
        <w:t xml:space="preserve"> de Catia) Vs. Venezuela, supra</w:t>
      </w:r>
      <w:r w:rsidRPr="00CF1787">
        <w:rPr>
          <w:lang w:val="es-MX"/>
        </w:rPr>
        <w:t xml:space="preserve">, párr. 75, y </w:t>
      </w:r>
      <w:r w:rsidRPr="00CF1787">
        <w:rPr>
          <w:i/>
          <w:lang w:val="es-MX"/>
        </w:rPr>
        <w:t>Caso García Ibarra y otros Vs. Ecuador</w:t>
      </w:r>
      <w:r w:rsidRPr="00CF1787">
        <w:rPr>
          <w:bCs/>
          <w:i/>
          <w:lang w:val="es-CR"/>
        </w:rPr>
        <w:t>, supra</w:t>
      </w:r>
      <w:r w:rsidRPr="00CF1787">
        <w:rPr>
          <w:lang w:val="es-MX"/>
        </w:rPr>
        <w:t>, párr. 111.</w:t>
      </w:r>
    </w:p>
  </w:footnote>
  <w:footnote w:id="173">
    <w:p w14:paraId="0189CBA6" w14:textId="77777777" w:rsidR="00935D08" w:rsidRPr="00CF1787" w:rsidRDefault="00935D08" w:rsidP="00CA1834">
      <w:pPr>
        <w:pStyle w:val="Footnotes"/>
        <w:tabs>
          <w:tab w:val="left" w:pos="426"/>
        </w:tabs>
        <w:spacing w:before="120" w:after="120"/>
      </w:pPr>
      <w:r w:rsidRPr="00CF1787">
        <w:rPr>
          <w:rStyle w:val="FootnoteReference"/>
          <w:rFonts w:eastAsia="Calibri"/>
        </w:rPr>
        <w:footnoteRef/>
      </w:r>
      <w:r w:rsidRPr="00CF1787">
        <w:t xml:space="preserve"> </w:t>
      </w:r>
      <w:r w:rsidRPr="00CF1787">
        <w:tab/>
      </w:r>
      <w:r w:rsidRPr="00CF1787">
        <w:rPr>
          <w:i/>
        </w:rPr>
        <w:t>Cfr.</w:t>
      </w:r>
      <w:r w:rsidRPr="00CF1787">
        <w:t xml:space="preserve"> </w:t>
      </w:r>
      <w:r w:rsidRPr="00CF1787">
        <w:rPr>
          <w:i/>
        </w:rPr>
        <w:t>Caso del Caracazo Vs. Venezuela.</w:t>
      </w:r>
      <w:r w:rsidRPr="00CF1787">
        <w:t xml:space="preserve"> </w:t>
      </w:r>
      <w:r w:rsidRPr="00CF1787">
        <w:rPr>
          <w:i/>
        </w:rPr>
        <w:t>Reparaciones</w:t>
      </w:r>
      <w:r w:rsidRPr="00CF1787">
        <w:t xml:space="preserve"> </w:t>
      </w:r>
      <w:r w:rsidRPr="00CF1787">
        <w:rPr>
          <w:i/>
        </w:rPr>
        <w:t>y Costas</w:t>
      </w:r>
      <w:r w:rsidRPr="00CF1787">
        <w:t xml:space="preserve">. Sentencia de 29 de agosto de 2002. Serie C No. 95, párr. 127, y </w:t>
      </w:r>
      <w:r w:rsidRPr="00CF1787">
        <w:rPr>
          <w:i/>
          <w:lang w:val="es-MX"/>
        </w:rPr>
        <w:t xml:space="preserve">Caso Hermanos Landaeta Mejías y otros Vs. Venezuela. Excepciones Preliminares, Fondo, Reparaciones y Costas. </w:t>
      </w:r>
      <w:r w:rsidRPr="00CF1787">
        <w:rPr>
          <w:lang w:val="es-MX"/>
        </w:rPr>
        <w:t>Sentencia de 27 de agosto de 2014. Serie C No. 281, párr. 126.</w:t>
      </w:r>
      <w:r w:rsidRPr="00CF1787">
        <w:t xml:space="preserve"> </w:t>
      </w:r>
    </w:p>
  </w:footnote>
  <w:footnote w:id="174">
    <w:p w14:paraId="1E5649B7" w14:textId="773CC70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t>La Constitución establecía que: “Sin perjuicio de otros derechos necesarios para el pleno desenvolvimiento moral y material que se deriva de la naturaleza de la persona, el Estado garantiza: 1. La inviolabilidad de la vida y la integridad personal. No hay pena de muerte. […]”. Constitución Política de la República del Ecuador, codificación 1984, artículo 19 (expediente de prueba, folio 2360).</w:t>
      </w:r>
    </w:p>
  </w:footnote>
  <w:footnote w:id="175">
    <w:p w14:paraId="6F56C3FA" w14:textId="46DB6CDD" w:rsidR="00935D08" w:rsidRPr="00CF1787" w:rsidRDefault="00935D08" w:rsidP="00CA1834">
      <w:pPr>
        <w:tabs>
          <w:tab w:val="left" w:pos="426"/>
        </w:tabs>
        <w:autoSpaceDE w:val="0"/>
        <w:autoSpaceDN w:val="0"/>
        <w:adjustRightInd w:val="0"/>
        <w:spacing w:before="120" w:after="120"/>
        <w:rPr>
          <w:rFonts w:eastAsiaTheme="minorHAnsi" w:cs="Arial"/>
          <w:sz w:val="16"/>
          <w:szCs w:val="16"/>
          <w:lang w:val="es-CR"/>
        </w:rPr>
      </w:pPr>
      <w:r w:rsidRPr="00CF1787">
        <w:rPr>
          <w:rStyle w:val="FootnoteReference"/>
        </w:rPr>
        <w:footnoteRef/>
      </w:r>
      <w:r w:rsidRPr="00CF1787">
        <w:rPr>
          <w:sz w:val="16"/>
          <w:szCs w:val="16"/>
        </w:rPr>
        <w:t xml:space="preserve"> </w:t>
      </w:r>
      <w:r w:rsidRPr="00CF1787">
        <w:rPr>
          <w:sz w:val="16"/>
          <w:szCs w:val="16"/>
        </w:rPr>
        <w:tab/>
        <w:t>El Código de Penal de la Policía establecía: “</w:t>
      </w:r>
      <w:r w:rsidRPr="00CF1787">
        <w:rPr>
          <w:rFonts w:eastAsiaTheme="minorHAnsi" w:cs="Times New Roman"/>
          <w:sz w:val="16"/>
          <w:szCs w:val="16"/>
          <w:lang w:val="es-CR"/>
        </w:rPr>
        <w:t xml:space="preserve">Art. </w:t>
      </w:r>
      <w:r w:rsidRPr="00CF1787">
        <w:rPr>
          <w:rFonts w:eastAsiaTheme="minorHAnsi" w:cs="Arial"/>
          <w:sz w:val="16"/>
          <w:szCs w:val="16"/>
          <w:lang w:val="es-CR"/>
        </w:rPr>
        <w:t xml:space="preserve">226.- Se </w:t>
      </w:r>
      <w:r w:rsidRPr="00CF1787">
        <w:rPr>
          <w:rFonts w:eastAsiaTheme="minorHAnsi" w:cs="Times New Roman"/>
          <w:sz w:val="16"/>
          <w:szCs w:val="16"/>
          <w:lang w:val="es-CR"/>
        </w:rPr>
        <w:t xml:space="preserve">califican </w:t>
      </w:r>
      <w:r w:rsidRPr="00CF1787">
        <w:rPr>
          <w:rFonts w:eastAsiaTheme="minorHAnsi" w:cs="Arial"/>
          <w:sz w:val="16"/>
          <w:szCs w:val="16"/>
          <w:lang w:val="es-CR"/>
        </w:rPr>
        <w:t xml:space="preserve">de voluntarios, </w:t>
      </w:r>
      <w:r w:rsidRPr="00CF1787">
        <w:rPr>
          <w:rFonts w:eastAsiaTheme="minorHAnsi" w:cs="Times New Roman"/>
          <w:sz w:val="16"/>
          <w:szCs w:val="16"/>
          <w:lang w:val="es-CR"/>
        </w:rPr>
        <w:t xml:space="preserve">el homicidio, las </w:t>
      </w:r>
      <w:r w:rsidRPr="00CF1787">
        <w:rPr>
          <w:rFonts w:eastAsiaTheme="minorHAnsi" w:cs="Arial"/>
          <w:sz w:val="16"/>
          <w:szCs w:val="16"/>
          <w:lang w:val="es-CR"/>
        </w:rPr>
        <w:t xml:space="preserve">heridas los golpes y las lesiones mientras no se pruebe lo contrario o conste la falta de intención, </w:t>
      </w:r>
      <w:r w:rsidRPr="00CF1787">
        <w:rPr>
          <w:rFonts w:eastAsiaTheme="minorHAnsi" w:cs="Times New Roman"/>
          <w:sz w:val="16"/>
          <w:szCs w:val="16"/>
          <w:lang w:val="es-CR"/>
        </w:rPr>
        <w:t xml:space="preserve">por las </w:t>
      </w:r>
      <w:r w:rsidRPr="00CF1787">
        <w:rPr>
          <w:rFonts w:eastAsiaTheme="minorHAnsi" w:cs="Arial"/>
          <w:sz w:val="16"/>
          <w:szCs w:val="16"/>
          <w:lang w:val="es-CR"/>
        </w:rPr>
        <w:t xml:space="preserve">circunstancias del </w:t>
      </w:r>
      <w:r w:rsidRPr="00CF1787">
        <w:rPr>
          <w:rFonts w:eastAsiaTheme="minorHAnsi" w:cs="Times New Roman"/>
          <w:sz w:val="16"/>
          <w:szCs w:val="16"/>
          <w:lang w:val="es-CR"/>
        </w:rPr>
        <w:t xml:space="preserve">hecho, calidad y </w:t>
      </w:r>
      <w:r w:rsidRPr="00CF1787">
        <w:rPr>
          <w:rFonts w:eastAsiaTheme="minorHAnsi" w:cs="Arial"/>
          <w:sz w:val="16"/>
          <w:szCs w:val="16"/>
          <w:lang w:val="es-CR"/>
        </w:rPr>
        <w:t xml:space="preserve">localización </w:t>
      </w:r>
      <w:r w:rsidRPr="00CF1787">
        <w:rPr>
          <w:rFonts w:eastAsiaTheme="minorHAnsi" w:cs="Times New Roman"/>
          <w:sz w:val="16"/>
          <w:szCs w:val="16"/>
          <w:lang w:val="es-CR"/>
        </w:rPr>
        <w:t xml:space="preserve">de las heridas, </w:t>
      </w:r>
      <w:r w:rsidRPr="00CF1787">
        <w:rPr>
          <w:rFonts w:eastAsiaTheme="minorHAnsi" w:cs="Arial"/>
          <w:sz w:val="16"/>
          <w:szCs w:val="16"/>
          <w:lang w:val="es-CR"/>
        </w:rPr>
        <w:t xml:space="preserve">o </w:t>
      </w:r>
      <w:r w:rsidRPr="00CF1787">
        <w:rPr>
          <w:rFonts w:eastAsiaTheme="minorHAnsi" w:cs="Times New Roman"/>
          <w:sz w:val="16"/>
          <w:szCs w:val="16"/>
          <w:lang w:val="es-CR"/>
        </w:rPr>
        <w:t xml:space="preserve">la calidad de los instrumentos con que se causaron. Art. </w:t>
      </w:r>
      <w:r w:rsidRPr="00CF1787">
        <w:rPr>
          <w:rFonts w:eastAsiaTheme="minorHAnsi" w:cs="Arial"/>
          <w:sz w:val="16"/>
          <w:szCs w:val="16"/>
          <w:lang w:val="es-CR"/>
        </w:rPr>
        <w:t xml:space="preserve">227.- El homicidio cometido por un policial civil </w:t>
      </w:r>
      <w:r w:rsidRPr="00CF1787">
        <w:rPr>
          <w:rFonts w:eastAsiaTheme="minorHAnsi" w:cs="Times New Roman"/>
          <w:sz w:val="16"/>
          <w:szCs w:val="16"/>
          <w:lang w:val="es-CR"/>
        </w:rPr>
        <w:t xml:space="preserve">nacional, con intención de </w:t>
      </w:r>
      <w:r w:rsidRPr="00CF1787">
        <w:rPr>
          <w:rFonts w:eastAsiaTheme="minorHAnsi" w:cs="Arial"/>
          <w:sz w:val="16"/>
          <w:szCs w:val="16"/>
          <w:lang w:val="es-CR"/>
        </w:rPr>
        <w:t xml:space="preserve">dar </w:t>
      </w:r>
      <w:r w:rsidRPr="00CF1787">
        <w:rPr>
          <w:rFonts w:eastAsiaTheme="minorHAnsi" w:cs="Times New Roman"/>
          <w:sz w:val="16"/>
          <w:szCs w:val="16"/>
          <w:lang w:val="es-CR"/>
        </w:rPr>
        <w:t xml:space="preserve">la muerte, pero </w:t>
      </w:r>
      <w:r w:rsidRPr="00CF1787">
        <w:rPr>
          <w:rFonts w:eastAsiaTheme="minorHAnsi" w:cs="Arial"/>
          <w:sz w:val="16"/>
          <w:szCs w:val="16"/>
          <w:lang w:val="es-CR"/>
        </w:rPr>
        <w:t>sin</w:t>
      </w:r>
      <w:r w:rsidRPr="00CF1787">
        <w:rPr>
          <w:rFonts w:eastAsiaTheme="minorHAnsi" w:cs="Times New Roman"/>
          <w:sz w:val="16"/>
          <w:szCs w:val="16"/>
          <w:lang w:val="es-CR"/>
        </w:rPr>
        <w:t xml:space="preserve"> ninguna </w:t>
      </w:r>
      <w:r w:rsidRPr="00CF1787">
        <w:rPr>
          <w:rFonts w:eastAsiaTheme="minorHAnsi" w:cs="Arial"/>
          <w:sz w:val="16"/>
          <w:szCs w:val="16"/>
          <w:lang w:val="es-CR"/>
        </w:rPr>
        <w:t xml:space="preserve">de </w:t>
      </w:r>
      <w:r w:rsidRPr="00CF1787">
        <w:rPr>
          <w:rFonts w:eastAsiaTheme="minorHAnsi" w:cs="Times New Roman"/>
          <w:sz w:val="16"/>
          <w:szCs w:val="16"/>
          <w:lang w:val="es-CR"/>
        </w:rPr>
        <w:t xml:space="preserve">las </w:t>
      </w:r>
      <w:r w:rsidRPr="00CF1787">
        <w:rPr>
          <w:rFonts w:eastAsiaTheme="minorHAnsi" w:cs="Arial"/>
          <w:sz w:val="16"/>
          <w:szCs w:val="16"/>
          <w:lang w:val="es-CR"/>
        </w:rPr>
        <w:t xml:space="preserve">circunstancias detallas en el artículo siguiente, es homicidio simple y será reprimido con reclusión mayor </w:t>
      </w:r>
      <w:r w:rsidRPr="00CF1787">
        <w:rPr>
          <w:rFonts w:eastAsiaTheme="minorHAnsi" w:cs="Times New Roman"/>
          <w:sz w:val="16"/>
          <w:szCs w:val="16"/>
          <w:lang w:val="es-CR"/>
        </w:rPr>
        <w:t xml:space="preserve">de ocho </w:t>
      </w:r>
      <w:r w:rsidRPr="00CF1787">
        <w:rPr>
          <w:rFonts w:eastAsiaTheme="minorHAnsi" w:cs="Arial"/>
          <w:sz w:val="16"/>
          <w:szCs w:val="16"/>
          <w:lang w:val="es-CR"/>
        </w:rPr>
        <w:t>a doce años. Art. 228. - Es asesinato y será reprimido con reclusión mayor extraordinaria, el homicidio que se cometa con alguna de las circunstancias siguientes: 1.- Con alevosía; 2.- Por precio o promesa remuneratoria; 3.- Por medio de inundación, veneno, incendio o descarrilamiento; 4.- Con ensañamiento, aumentando deliberada o inhumanamente el dolor del ofendido; 5.- Cuando se ha imposibilitado a la víctima para defenderse; 6.- Por un medio cualquiera capaz de causar grandes estragos; 7.- Buscando de propósito la noche o el despoblado para cometer el homicidio; 8.- Cuando el homicidio se ha perpetrado con el fin de que no se descubra o no se detenga al delincuente, excepto cuando el homicida es ascendiente, descendiente, adoptante, adoptado, cónyuge o hermano del delincuente al que se haya pretendido favorecer, y 9.- Cuando se cometa el homicidio como medio de preparar, facilitar, consumar u ocultar otro delito; o para asegurar sus resultados o impunidad; o por no haber obtenido los resultados que se propuso al intentar el hecho punible”.</w:t>
      </w:r>
      <w:r w:rsidRPr="00CF1787">
        <w:rPr>
          <w:sz w:val="16"/>
          <w:szCs w:val="16"/>
        </w:rPr>
        <w:t xml:space="preserve"> Código Penal de la Policía Civil Nacional de 1960 (expediente de prueba, folio 2351).</w:t>
      </w:r>
    </w:p>
  </w:footnote>
  <w:footnote w:id="176">
    <w:p w14:paraId="6EA932A2" w14:textId="77777777" w:rsidR="00935D08" w:rsidRPr="00CF1787" w:rsidRDefault="00935D08" w:rsidP="00CA1834">
      <w:pPr>
        <w:pStyle w:val="FootnoteText"/>
        <w:tabs>
          <w:tab w:val="left" w:pos="426"/>
        </w:tabs>
        <w:spacing w:before="120" w:after="120"/>
        <w:rPr>
          <w:lang w:val="es-ES"/>
        </w:rPr>
      </w:pPr>
      <w:r w:rsidRPr="00CF1787">
        <w:rPr>
          <w:rStyle w:val="FootnoteReference"/>
        </w:rPr>
        <w:footnoteRef/>
      </w:r>
      <w:r w:rsidRPr="00CF1787">
        <w:t xml:space="preserve"> </w:t>
      </w:r>
      <w:r w:rsidRPr="00CF1787">
        <w:tab/>
        <w:t>Informe escrito del perito Juan Pablo Albán presentado en la audiencia pública (expediente de prueba, folios 3896 y 3897).</w:t>
      </w:r>
    </w:p>
  </w:footnote>
  <w:footnote w:id="177">
    <w:p w14:paraId="6C086D28" w14:textId="077C3AE8" w:rsidR="00935D08" w:rsidRPr="00CF1787" w:rsidRDefault="00935D08" w:rsidP="00CA1834">
      <w:pPr>
        <w:pStyle w:val="FootnoteText"/>
        <w:tabs>
          <w:tab w:val="left" w:pos="426"/>
        </w:tabs>
        <w:spacing w:before="120" w:after="120"/>
        <w:rPr>
          <w:spacing w:val="-2"/>
        </w:rPr>
      </w:pPr>
      <w:r w:rsidRPr="00CF1787">
        <w:rPr>
          <w:rStyle w:val="FootnoteReference"/>
        </w:rPr>
        <w:footnoteRef/>
      </w:r>
      <w:r w:rsidRPr="00CF1787">
        <w:t xml:space="preserve"> </w:t>
      </w:r>
      <w:r w:rsidRPr="00CF1787">
        <w:tab/>
        <w:t>D</w:t>
      </w:r>
      <w:r w:rsidRPr="00CF1787">
        <w:rPr>
          <w:spacing w:val="-2"/>
        </w:rPr>
        <w:t>icho código establecía en su preámbulo que los policías “</w:t>
      </w:r>
      <w:r w:rsidRPr="00CF1787">
        <w:rPr>
          <w:rFonts w:eastAsiaTheme="minorHAnsi"/>
          <w:bCs/>
        </w:rPr>
        <w:t xml:space="preserve">solo </w:t>
      </w:r>
      <w:proofErr w:type="gramStart"/>
      <w:r w:rsidRPr="00CF1787">
        <w:rPr>
          <w:rFonts w:eastAsiaTheme="minorHAnsi"/>
          <w:bCs/>
        </w:rPr>
        <w:t>utilizar[</w:t>
      </w:r>
      <w:proofErr w:type="spellStart"/>
      <w:proofErr w:type="gramEnd"/>
      <w:r w:rsidRPr="00CF1787">
        <w:rPr>
          <w:rFonts w:eastAsiaTheme="minorHAnsi"/>
          <w:bCs/>
        </w:rPr>
        <w:t>an</w:t>
      </w:r>
      <w:proofErr w:type="spellEnd"/>
      <w:r w:rsidRPr="00CF1787">
        <w:rPr>
          <w:rFonts w:eastAsiaTheme="minorHAnsi"/>
          <w:bCs/>
        </w:rPr>
        <w:t>] la fuerza estrictamente cuando fuere necesaria en cumplimiento de la misión”. Además, en el artículo 20 el mencionado código establecía que:</w:t>
      </w:r>
      <w:r w:rsidRPr="00CF1787">
        <w:rPr>
          <w:rFonts w:eastAsiaTheme="minorHAnsi"/>
          <w:lang w:eastAsia="en-US"/>
        </w:rPr>
        <w:t xml:space="preserve"> “[e]l miembro de la Institución Policial deberá siempre considerar que la vida, la libertad </w:t>
      </w:r>
      <w:r w:rsidRPr="00CF1787">
        <w:rPr>
          <w:rFonts w:eastAsiaTheme="minorHAnsi" w:cs="Arial"/>
          <w:lang w:eastAsia="en-US"/>
        </w:rPr>
        <w:t xml:space="preserve">y </w:t>
      </w:r>
      <w:r w:rsidRPr="00CF1787">
        <w:rPr>
          <w:rFonts w:eastAsiaTheme="minorHAnsi"/>
          <w:lang w:eastAsia="en-US"/>
        </w:rPr>
        <w:t>la seguridad son los bienes supremos del hombre a los cuales tiene derecho; en consecuencia guiará su conducta en el sentido de reducir al mínimo la posibilidad de violarlos o emplear la fuerza. Pero si debe intervenir, lo hará exactamente de acuerdo con los deberes que corresponden a su función y las limitaciones contempladas en la Ley. Así el Policía evitará actos arbitrarios”.</w:t>
      </w:r>
      <w:r w:rsidRPr="00CF1787">
        <w:rPr>
          <w:spacing w:val="-2"/>
        </w:rPr>
        <w:t xml:space="preserve"> Asimismo, el artículo </w:t>
      </w:r>
      <w:r w:rsidRPr="00CF1787">
        <w:rPr>
          <w:spacing w:val="-2"/>
          <w:lang w:val="es-CR"/>
        </w:rPr>
        <w:t xml:space="preserve">19 establecía que “[e]s deber de todo Policía defender y respetar los derechos de las personas contemplados en la Constitución Política de la República del Ecuador, tales como: la inviolabilidad de la vida y la integridad personal; […]”. </w:t>
      </w:r>
      <w:r w:rsidRPr="00CF1787">
        <w:rPr>
          <w:spacing w:val="-2"/>
        </w:rPr>
        <w:t xml:space="preserve">Código de Ética Profesional de la Policía General, aprobado mediante el acuerdo de la Comandancia General de la Policía Nacional el 2 de marzo de 1992, preámbulo, arts. 19 y 20 (expediente de prueba, folios 2532 y 2536). Respecto del Código de Ética, el perito Albán señaló que “si bien es cierto al interior de la institución policial se había emitido directrices laxas que sugieren una intención de limitar el uso de la fuerza a supuestos excepcionales, como el Código de Ética Profesional de la Policía, tomando en cuenta que tales directrices carecían de fuerza legal o vinculante de algún tipo, eran constantemente inobservados por los miembros de la Policía como demuestran diversos episodios de gatillo fácil que todavía son investigados por la Fiscalía General del Estado”. </w:t>
      </w:r>
      <w:r w:rsidRPr="00CF1787">
        <w:t>Informe escrito del perito Juan Pablo Albán presentado en la audiencia pública (expediente de prueba, folio 3896).</w:t>
      </w:r>
    </w:p>
  </w:footnote>
  <w:footnote w:id="178">
    <w:p w14:paraId="1A507E8F" w14:textId="33F19786" w:rsidR="00935D08" w:rsidRPr="00CF1787" w:rsidRDefault="00935D08" w:rsidP="00CA1834">
      <w:pPr>
        <w:pStyle w:val="FootnoteText"/>
        <w:tabs>
          <w:tab w:val="left" w:pos="426"/>
        </w:tabs>
        <w:spacing w:before="120" w:after="120"/>
        <w:rPr>
          <w:b/>
          <w:color w:val="4F81BD" w:themeColor="accent1"/>
        </w:rPr>
      </w:pPr>
      <w:r w:rsidRPr="00CF1787">
        <w:rPr>
          <w:rStyle w:val="FootnoteReference"/>
        </w:rPr>
        <w:footnoteRef/>
      </w:r>
      <w:r w:rsidRPr="00CF1787">
        <w:t xml:space="preserve"> </w:t>
      </w:r>
      <w:r w:rsidRPr="00CF1787">
        <w:tab/>
      </w:r>
      <w:r w:rsidRPr="00CF1787">
        <w:rPr>
          <w:i/>
        </w:rPr>
        <w:t>Cfr.</w:t>
      </w:r>
      <w:r w:rsidRPr="00CF1787">
        <w:t xml:space="preserve"> </w:t>
      </w:r>
      <w:r w:rsidRPr="00CF1787">
        <w:rPr>
          <w:i/>
        </w:rPr>
        <w:t>C</w:t>
      </w:r>
      <w:r w:rsidRPr="00CF1787">
        <w:rPr>
          <w:rStyle w:val="Strong"/>
          <w:b w:val="0"/>
          <w:i/>
          <w:color w:val="000000"/>
          <w:shd w:val="clear" w:color="auto" w:fill="FFFFFF"/>
        </w:rPr>
        <w:t>aso Montero Aranguren y otros (Retén de Catia) Vs. Venezuela, supra</w:t>
      </w:r>
      <w:r w:rsidRPr="00CF1787">
        <w:t xml:space="preserve">, párr. 68; </w:t>
      </w:r>
      <w:r w:rsidRPr="00CF1787">
        <w:rPr>
          <w:i/>
        </w:rPr>
        <w:t>Caso Zambrano Vélez y otros Vs. Ecuador</w:t>
      </w:r>
      <w:r w:rsidRPr="00CF1787">
        <w:t xml:space="preserve">, </w:t>
      </w:r>
      <w:r w:rsidRPr="00CF1787">
        <w:rPr>
          <w:i/>
        </w:rPr>
        <w:t>supra</w:t>
      </w:r>
      <w:r w:rsidRPr="00CF1787">
        <w:t xml:space="preserve">, párr. 84; </w:t>
      </w:r>
      <w:r w:rsidRPr="00CF1787">
        <w:rPr>
          <w:i/>
        </w:rPr>
        <w:t>Caso Familia Barrios Vs. Venezuela, supra</w:t>
      </w:r>
      <w:r w:rsidRPr="00CF1787">
        <w:t xml:space="preserve">, párr. 49, y </w:t>
      </w:r>
      <w:r w:rsidRPr="00CF1787">
        <w:rPr>
          <w:i/>
        </w:rPr>
        <w:t>Caso Cruz Sánchez y otros Vs. Perú, supra</w:t>
      </w:r>
      <w:r w:rsidRPr="00CF1787">
        <w:t>, párr. 263.</w:t>
      </w:r>
    </w:p>
  </w:footnote>
  <w:footnote w:id="179">
    <w:p w14:paraId="63E6ED9B" w14:textId="29BBCD0E" w:rsidR="00935D08" w:rsidRPr="00CF1787" w:rsidRDefault="00935D08" w:rsidP="00CA1834">
      <w:pPr>
        <w:pStyle w:val="FootnoteText"/>
        <w:tabs>
          <w:tab w:val="clear" w:pos="567"/>
          <w:tab w:val="left" w:pos="426"/>
        </w:tabs>
      </w:pPr>
      <w:r w:rsidRPr="00CF1787">
        <w:rPr>
          <w:rStyle w:val="FootnoteReference"/>
        </w:rPr>
        <w:footnoteRef/>
      </w:r>
      <w:r w:rsidRPr="00CF1787">
        <w:t xml:space="preserve"> </w:t>
      </w:r>
      <w:r w:rsidRPr="00CF1787">
        <w:tab/>
        <w:t>El artículo 5.1 de la Convención establece que: “</w:t>
      </w:r>
      <w:r w:rsidRPr="00CF1787">
        <w:rPr>
          <w:lang w:val="es-MX"/>
        </w:rPr>
        <w:t>1. Toda persona tiene derecho a que se respete su integridad física, psíquica y moral”.</w:t>
      </w:r>
    </w:p>
  </w:footnote>
  <w:footnote w:id="180">
    <w:p w14:paraId="500AD6ED" w14:textId="0422F8DD" w:rsidR="00935D08" w:rsidRPr="00CF1787" w:rsidRDefault="00935D08" w:rsidP="00CA1834">
      <w:pPr>
        <w:tabs>
          <w:tab w:val="left" w:pos="426"/>
        </w:tabs>
        <w:spacing w:after="120"/>
        <w:rPr>
          <w:rFonts w:cs="Times New Roman"/>
          <w:sz w:val="16"/>
          <w:szCs w:val="16"/>
        </w:rPr>
      </w:pPr>
      <w:r w:rsidRPr="00CF1787">
        <w:rPr>
          <w:rStyle w:val="FootnoteReference"/>
        </w:rPr>
        <w:footnoteRef/>
      </w:r>
      <w:r w:rsidRPr="00CF1787">
        <w:rPr>
          <w:sz w:val="16"/>
          <w:szCs w:val="16"/>
        </w:rPr>
        <w:t xml:space="preserve"> </w:t>
      </w:r>
      <w:r w:rsidRPr="00CF1787">
        <w:rPr>
          <w:sz w:val="16"/>
          <w:szCs w:val="16"/>
        </w:rPr>
        <w:tab/>
      </w:r>
      <w:r w:rsidRPr="00CF1787">
        <w:rPr>
          <w:i/>
          <w:sz w:val="16"/>
          <w:szCs w:val="16"/>
        </w:rPr>
        <w:t>Cfr</w:t>
      </w:r>
      <w:r w:rsidRPr="00CF1787">
        <w:rPr>
          <w:sz w:val="16"/>
          <w:szCs w:val="16"/>
        </w:rPr>
        <w:t xml:space="preserve">. </w:t>
      </w:r>
      <w:r w:rsidRPr="00CF1787">
        <w:rPr>
          <w:i/>
          <w:sz w:val="16"/>
          <w:szCs w:val="16"/>
          <w:lang w:val="es-PR"/>
        </w:rPr>
        <w:t xml:space="preserve">Caso Castillo Páez Vs. Perú. Fondo. Sentencia de 3 de noviembre de 1997. </w:t>
      </w:r>
      <w:r w:rsidRPr="00CF1787">
        <w:rPr>
          <w:sz w:val="16"/>
          <w:szCs w:val="16"/>
          <w:lang w:val="es-PR"/>
        </w:rPr>
        <w:t>Serie C No. 34, punto resolutivo cuarto</w:t>
      </w:r>
      <w:r w:rsidRPr="00CF1787">
        <w:rPr>
          <w:sz w:val="16"/>
          <w:szCs w:val="16"/>
        </w:rPr>
        <w:t xml:space="preserve">, y </w:t>
      </w:r>
      <w:r w:rsidRPr="00CF1787">
        <w:rPr>
          <w:bCs/>
          <w:i/>
          <w:sz w:val="16"/>
          <w:szCs w:val="16"/>
          <w:lang w:val="es-ES_tradnl"/>
        </w:rPr>
        <w:t>Caso Pollo Rivera y otros Vs. Perú</w:t>
      </w:r>
      <w:r w:rsidRPr="00CF1787">
        <w:rPr>
          <w:bCs/>
          <w:i/>
          <w:sz w:val="16"/>
          <w:szCs w:val="16"/>
          <w:lang w:val="es-CR"/>
        </w:rPr>
        <w:t>, supra</w:t>
      </w:r>
      <w:r w:rsidRPr="00CF1787">
        <w:rPr>
          <w:bCs/>
          <w:sz w:val="16"/>
          <w:szCs w:val="16"/>
          <w:lang w:val="es-ES_tradnl"/>
        </w:rPr>
        <w:t>, párr. 261.</w:t>
      </w:r>
    </w:p>
  </w:footnote>
  <w:footnote w:id="181">
    <w:p w14:paraId="4AE41B7D" w14:textId="77777777" w:rsidR="00935D08" w:rsidRPr="00CF1787" w:rsidRDefault="00935D08" w:rsidP="00CA1834">
      <w:pPr>
        <w:pStyle w:val="Footer"/>
        <w:tabs>
          <w:tab w:val="left" w:pos="426"/>
          <w:tab w:val="left" w:pos="720"/>
        </w:tabs>
        <w:spacing w:after="120"/>
        <w:rPr>
          <w:szCs w:val="16"/>
        </w:rPr>
      </w:pPr>
      <w:r w:rsidRPr="00CF1787">
        <w:rPr>
          <w:rStyle w:val="FootnoteReference"/>
        </w:rPr>
        <w:footnoteRef/>
      </w:r>
      <w:r w:rsidRPr="00CF1787">
        <w:rPr>
          <w:szCs w:val="16"/>
        </w:rPr>
        <w:t xml:space="preserve"> </w:t>
      </w:r>
      <w:r w:rsidRPr="00CF1787">
        <w:rPr>
          <w:szCs w:val="16"/>
        </w:rPr>
        <w:tab/>
      </w:r>
      <w:r w:rsidRPr="00CF1787">
        <w:rPr>
          <w:i/>
          <w:szCs w:val="16"/>
        </w:rPr>
        <w:t xml:space="preserve">Cfr. Caso Blake Vs. Guatemala. Fondo. </w:t>
      </w:r>
      <w:r w:rsidRPr="00CF1787">
        <w:rPr>
          <w:szCs w:val="16"/>
        </w:rPr>
        <w:t>Sentencia de 24 de enero de 1998.</w:t>
      </w:r>
      <w:r w:rsidRPr="00CF1787">
        <w:rPr>
          <w:i/>
          <w:szCs w:val="16"/>
        </w:rPr>
        <w:t xml:space="preserve"> </w:t>
      </w:r>
      <w:r w:rsidRPr="00CF1787">
        <w:rPr>
          <w:szCs w:val="16"/>
        </w:rPr>
        <w:t xml:space="preserve">Serie C No. 36, párr. 114, y </w:t>
      </w:r>
      <w:r w:rsidRPr="00CF1787">
        <w:rPr>
          <w:bCs/>
          <w:i/>
          <w:szCs w:val="16"/>
          <w:lang w:val="es-ES_tradnl"/>
        </w:rPr>
        <w:t xml:space="preserve">Caso </w:t>
      </w:r>
      <w:proofErr w:type="spellStart"/>
      <w:r w:rsidRPr="00CF1787">
        <w:rPr>
          <w:bCs/>
          <w:i/>
          <w:szCs w:val="16"/>
          <w:lang w:val="es-ES_tradnl"/>
        </w:rPr>
        <w:t>Quispialaya</w:t>
      </w:r>
      <w:proofErr w:type="spellEnd"/>
      <w:r w:rsidRPr="00CF1787">
        <w:rPr>
          <w:bCs/>
          <w:i/>
          <w:szCs w:val="16"/>
          <w:lang w:val="es-ES_tradnl"/>
        </w:rPr>
        <w:t xml:space="preserve"> </w:t>
      </w:r>
      <w:proofErr w:type="spellStart"/>
      <w:r w:rsidRPr="00CF1787">
        <w:rPr>
          <w:bCs/>
          <w:i/>
          <w:szCs w:val="16"/>
          <w:lang w:val="es-ES_tradnl"/>
        </w:rPr>
        <w:t>Vilcapoma</w:t>
      </w:r>
      <w:proofErr w:type="spellEnd"/>
      <w:r w:rsidRPr="00CF1787">
        <w:rPr>
          <w:bCs/>
          <w:i/>
          <w:szCs w:val="16"/>
          <w:lang w:val="es-ES_tradnl"/>
        </w:rPr>
        <w:t xml:space="preserve"> Vs. Perú. Excepciones Preliminares, Fondo, Reparaciones y Costas. </w:t>
      </w:r>
      <w:r w:rsidRPr="00CF1787">
        <w:rPr>
          <w:bCs/>
          <w:szCs w:val="16"/>
          <w:lang w:val="es-ES_tradnl"/>
        </w:rPr>
        <w:t>Sentencia de 23 de noviembre de 2015. Serie C No. 308, párr. 244.</w:t>
      </w:r>
    </w:p>
  </w:footnote>
  <w:footnote w:id="182">
    <w:p w14:paraId="2BFF58A3" w14:textId="77777777" w:rsidR="00935D08" w:rsidRPr="00CF1787" w:rsidRDefault="00935D08" w:rsidP="00CA1834">
      <w:pPr>
        <w:tabs>
          <w:tab w:val="left" w:pos="426"/>
        </w:tabs>
        <w:spacing w:after="120"/>
        <w:rPr>
          <w:sz w:val="16"/>
          <w:szCs w:val="16"/>
        </w:rPr>
      </w:pPr>
      <w:r w:rsidRPr="00CF1787">
        <w:rPr>
          <w:rStyle w:val="FootnoteReference"/>
        </w:rPr>
        <w:footnoteRef/>
      </w:r>
      <w:r w:rsidRPr="00CF1787">
        <w:rPr>
          <w:sz w:val="16"/>
          <w:szCs w:val="16"/>
          <w:lang w:val="es-AR"/>
        </w:rPr>
        <w:tab/>
      </w:r>
      <w:r w:rsidRPr="00CF1787">
        <w:rPr>
          <w:i/>
          <w:sz w:val="16"/>
          <w:szCs w:val="16"/>
        </w:rPr>
        <w:t xml:space="preserve">Cfr. Caso </w:t>
      </w:r>
      <w:proofErr w:type="spellStart"/>
      <w:r w:rsidRPr="00CF1787">
        <w:rPr>
          <w:i/>
          <w:sz w:val="16"/>
          <w:szCs w:val="16"/>
        </w:rPr>
        <w:t>Bámaca</w:t>
      </w:r>
      <w:proofErr w:type="spellEnd"/>
      <w:r w:rsidRPr="00CF1787">
        <w:rPr>
          <w:i/>
          <w:sz w:val="16"/>
          <w:szCs w:val="16"/>
        </w:rPr>
        <w:t xml:space="preserve"> Velásquez Vs. Guatemala. Fondo.</w:t>
      </w:r>
      <w:r w:rsidRPr="00CF1787">
        <w:rPr>
          <w:sz w:val="16"/>
          <w:szCs w:val="16"/>
        </w:rPr>
        <w:t xml:space="preserve"> Sentencia de 25 de noviembre de 2000. Serie C No. 70, párr. 163, y</w:t>
      </w:r>
      <w:r w:rsidRPr="00CF1787">
        <w:rPr>
          <w:bCs/>
          <w:i/>
          <w:sz w:val="16"/>
          <w:szCs w:val="16"/>
          <w:lang w:val="es-ES_tradnl"/>
        </w:rPr>
        <w:t xml:space="preserve"> Caso Velásquez </w:t>
      </w:r>
      <w:proofErr w:type="spellStart"/>
      <w:r w:rsidRPr="00CF1787">
        <w:rPr>
          <w:bCs/>
          <w:i/>
          <w:sz w:val="16"/>
          <w:szCs w:val="16"/>
          <w:lang w:val="es-ES_tradnl"/>
        </w:rPr>
        <w:t>Paiz</w:t>
      </w:r>
      <w:proofErr w:type="spellEnd"/>
      <w:r w:rsidRPr="00CF1787">
        <w:rPr>
          <w:bCs/>
          <w:i/>
          <w:sz w:val="16"/>
          <w:szCs w:val="16"/>
          <w:lang w:val="es-ES_tradnl"/>
        </w:rPr>
        <w:t xml:space="preserve"> y otros Vs. Guatemala. Excepciones Preliminares, Fondo, Reparaciones y Costas. </w:t>
      </w:r>
      <w:r w:rsidRPr="00CF1787">
        <w:rPr>
          <w:bCs/>
          <w:sz w:val="16"/>
          <w:szCs w:val="16"/>
          <w:lang w:val="es-ES_tradnl"/>
        </w:rPr>
        <w:t>Sentencia de 19 de noviembre de 2015. Serie C No. 307, párr. 209.</w:t>
      </w:r>
    </w:p>
  </w:footnote>
  <w:footnote w:id="183">
    <w:p w14:paraId="7DF830F7" w14:textId="77777777" w:rsidR="00935D08" w:rsidRPr="00CF1787" w:rsidRDefault="00935D08" w:rsidP="00CA1834">
      <w:pPr>
        <w:pStyle w:val="Default"/>
        <w:tabs>
          <w:tab w:val="left" w:pos="426"/>
        </w:tabs>
        <w:spacing w:before="120" w:after="120"/>
        <w:jc w:val="both"/>
        <w:rPr>
          <w:rFonts w:ascii="Verdana" w:eastAsia="Batang" w:hAnsi="Verdana" w:cs="Times"/>
          <w:i/>
          <w:noProof/>
          <w:color w:val="auto"/>
          <w:sz w:val="16"/>
          <w:szCs w:val="16"/>
          <w:lang w:val="es-ES_tradnl"/>
        </w:rPr>
      </w:pPr>
      <w:r w:rsidRPr="00CF1787">
        <w:rPr>
          <w:rStyle w:val="FootnoteReference"/>
          <w:rFonts w:eastAsia="Batang"/>
          <w:color w:val="auto"/>
        </w:rPr>
        <w:footnoteRef/>
      </w:r>
      <w:r w:rsidRPr="00CF1787">
        <w:rPr>
          <w:rFonts w:ascii="Verdana" w:hAnsi="Verdana"/>
          <w:sz w:val="16"/>
          <w:szCs w:val="16"/>
        </w:rPr>
        <w:t xml:space="preserve"> </w:t>
      </w:r>
      <w:r w:rsidRPr="00CF1787">
        <w:rPr>
          <w:rFonts w:ascii="Verdana" w:hAnsi="Verdana"/>
          <w:sz w:val="16"/>
          <w:szCs w:val="16"/>
        </w:rPr>
        <w:tab/>
      </w:r>
      <w:r w:rsidRPr="00CF1787">
        <w:rPr>
          <w:rFonts w:ascii="Verdana" w:eastAsia="Batang" w:hAnsi="Verdana" w:cs="Times"/>
          <w:i/>
          <w:noProof/>
          <w:color w:val="auto"/>
          <w:sz w:val="16"/>
          <w:szCs w:val="16"/>
          <w:lang w:val="es-ES_tradnl"/>
        </w:rPr>
        <w:t>Cfr.</w:t>
      </w:r>
      <w:r w:rsidRPr="00CF1787">
        <w:rPr>
          <w:rFonts w:ascii="Verdana" w:hAnsi="Verdana"/>
          <w:sz w:val="16"/>
          <w:szCs w:val="16"/>
        </w:rPr>
        <w:t xml:space="preserve"> </w:t>
      </w:r>
      <w:r w:rsidRPr="00CF1787">
        <w:rPr>
          <w:rFonts w:ascii="Verdana" w:eastAsia="Batang" w:hAnsi="Verdana" w:cs="Times"/>
          <w:i/>
          <w:noProof/>
          <w:color w:val="auto"/>
          <w:sz w:val="16"/>
          <w:szCs w:val="16"/>
          <w:lang w:val="es-ES_tradnl"/>
        </w:rPr>
        <w:t>Caso Tarazona Arrieta y otros Vs. Perú. Excepción Preliminar, Fondo, Reparaciones y Costas</w:t>
      </w:r>
      <w:r w:rsidRPr="00CF1787">
        <w:rPr>
          <w:rFonts w:ascii="Verdana" w:eastAsia="Batang" w:hAnsi="Verdana" w:cs="Times"/>
          <w:noProof/>
          <w:color w:val="auto"/>
          <w:sz w:val="16"/>
          <w:szCs w:val="16"/>
          <w:lang w:val="es-ES_tradnl"/>
        </w:rPr>
        <w:t xml:space="preserve">. Sentencia de 15 de octubre de 2014. Serie C No. 286, párr. 146, y </w:t>
      </w:r>
      <w:r w:rsidRPr="00CF1787">
        <w:rPr>
          <w:rFonts w:ascii="Verdana" w:hAnsi="Verdana"/>
          <w:bCs/>
          <w:i/>
          <w:sz w:val="16"/>
          <w:szCs w:val="16"/>
          <w:lang w:val="es-ES_tradnl"/>
        </w:rPr>
        <w:t>Caso Ruano Torres y otros Vs. El Salvador</w:t>
      </w:r>
      <w:r w:rsidRPr="00CF1787">
        <w:rPr>
          <w:rFonts w:ascii="Verdana" w:hAnsi="Verdana"/>
          <w:bCs/>
          <w:sz w:val="16"/>
          <w:szCs w:val="16"/>
          <w:lang w:val="es-ES_tradnl"/>
        </w:rPr>
        <w:t>. Fondo, Reparaciones y Costas. Sentencia de 05 de octubre de 2015. Serie C No. 303, párr. 178.</w:t>
      </w:r>
    </w:p>
  </w:footnote>
  <w:footnote w:id="184">
    <w:p w14:paraId="357B6612" w14:textId="69E6C014" w:rsidR="00935D08" w:rsidRPr="00CF1787" w:rsidRDefault="00935D08" w:rsidP="00CA1834">
      <w:pPr>
        <w:pStyle w:val="FootnoteText"/>
        <w:tabs>
          <w:tab w:val="clear" w:pos="567"/>
          <w:tab w:val="left" w:pos="426"/>
        </w:tabs>
        <w:spacing w:after="120"/>
      </w:pPr>
      <w:r w:rsidRPr="00CF1787">
        <w:rPr>
          <w:rStyle w:val="FootnoteReference"/>
        </w:rPr>
        <w:footnoteRef/>
      </w:r>
      <w:r w:rsidRPr="00CF1787">
        <w:t xml:space="preserve"> </w:t>
      </w:r>
      <w:r w:rsidRPr="00CF1787">
        <w:tab/>
      </w:r>
      <w:r w:rsidRPr="00CF1787">
        <w:rPr>
          <w:i/>
        </w:rPr>
        <w:t xml:space="preserve">Cfr. Caso Valle Jaramillo y otros Vs. Colombia. Fondo, Reparaciones y Costas. Sentencia de 27 de noviembre de 2008. </w:t>
      </w:r>
      <w:r w:rsidRPr="00CF1787">
        <w:t xml:space="preserve">Serie C No. 192, párr. 119, y </w:t>
      </w:r>
      <w:r w:rsidRPr="00CF1787">
        <w:rPr>
          <w:bCs/>
          <w:i/>
        </w:rPr>
        <w:t>Caso Pollo Rivera y otros Vs. Perú</w:t>
      </w:r>
      <w:r w:rsidRPr="00CF1787">
        <w:rPr>
          <w:rStyle w:val="Strong"/>
          <w:b w:val="0"/>
          <w:i/>
          <w:shd w:val="clear" w:color="auto" w:fill="FFFFFF"/>
          <w:lang w:val="es-CR"/>
        </w:rPr>
        <w:t>, supra</w:t>
      </w:r>
      <w:r w:rsidRPr="00CF1787">
        <w:rPr>
          <w:bCs/>
        </w:rPr>
        <w:t>, párr. 261.</w:t>
      </w:r>
    </w:p>
  </w:footnote>
  <w:footnote w:id="185">
    <w:p w14:paraId="5A07A16C" w14:textId="6B010511" w:rsidR="00935D08" w:rsidRPr="00CF1787" w:rsidRDefault="00935D08" w:rsidP="00CA1834">
      <w:pPr>
        <w:pStyle w:val="FootnoteText"/>
        <w:tabs>
          <w:tab w:val="clear" w:pos="567"/>
          <w:tab w:val="left" w:pos="426"/>
        </w:tabs>
        <w:spacing w:after="120"/>
      </w:pPr>
      <w:r w:rsidRPr="00CF1787">
        <w:rPr>
          <w:rStyle w:val="FootnoteReference"/>
        </w:rPr>
        <w:footnoteRef/>
      </w:r>
      <w:r w:rsidRPr="00CF1787">
        <w:t xml:space="preserve"> </w:t>
      </w:r>
      <w:r w:rsidRPr="00CF1787">
        <w:tab/>
      </w:r>
      <w:r w:rsidRPr="00CF1787">
        <w:rPr>
          <w:i/>
        </w:rPr>
        <w:t xml:space="preserve">Cfr. Caso Valle Jaramillo y otros Vs. Colombia. Fondo, Reparaciones y Costas. Sentencia de 27 de noviembre de 2008. </w:t>
      </w:r>
      <w:r w:rsidRPr="00CF1787">
        <w:t xml:space="preserve">Serie C No. 192, párr. 119, y </w:t>
      </w:r>
      <w:r w:rsidRPr="00CF1787">
        <w:rPr>
          <w:bCs/>
          <w:i/>
        </w:rPr>
        <w:t>Caso Ruano Torres y otros Vs. El Salvador</w:t>
      </w:r>
      <w:r w:rsidRPr="00CF1787">
        <w:rPr>
          <w:bCs/>
        </w:rPr>
        <w:t xml:space="preserve">, </w:t>
      </w:r>
      <w:r w:rsidRPr="00CF1787">
        <w:rPr>
          <w:bCs/>
          <w:i/>
        </w:rPr>
        <w:t>supra</w:t>
      </w:r>
      <w:r w:rsidRPr="00CF1787">
        <w:rPr>
          <w:bCs/>
        </w:rPr>
        <w:t>, párr. 178.</w:t>
      </w:r>
    </w:p>
  </w:footnote>
  <w:footnote w:id="186">
    <w:p w14:paraId="71C880C0" w14:textId="33F8AC28" w:rsidR="00935D08" w:rsidRPr="00CF1787" w:rsidRDefault="00935D08" w:rsidP="00CA1834">
      <w:pPr>
        <w:pStyle w:val="FootnoteText"/>
        <w:tabs>
          <w:tab w:val="clear" w:pos="567"/>
          <w:tab w:val="left" w:pos="426"/>
        </w:tabs>
        <w:spacing w:before="120" w:after="120"/>
      </w:pPr>
      <w:r w:rsidRPr="00CF1787">
        <w:rPr>
          <w:rStyle w:val="FootnoteReference"/>
        </w:rPr>
        <w:footnoteRef/>
      </w:r>
      <w:r w:rsidRPr="00CF1787">
        <w:t xml:space="preserve"> </w:t>
      </w:r>
      <w:r w:rsidRPr="00CF1787">
        <w:tab/>
        <w:t xml:space="preserve">Si bien los representantes se refirieron a presuntos actos de hostigamiento y amenazas sufridas por la señora Trujillo, estos hechos no forman parte del marco fáctico sometido a la Corte por la Comisión en su Informe de Admisibilidad y Fondo, por lo cual este Tribunal no puede pronunciarse sobre los mismos. </w:t>
      </w:r>
    </w:p>
  </w:footnote>
  <w:footnote w:id="187">
    <w:p w14:paraId="340041C2" w14:textId="72CA6471" w:rsidR="00935D08" w:rsidRPr="00CF1787" w:rsidRDefault="00935D08" w:rsidP="00CA1834">
      <w:pPr>
        <w:pStyle w:val="FootnoteText"/>
        <w:tabs>
          <w:tab w:val="left" w:pos="426"/>
        </w:tabs>
      </w:pPr>
      <w:r w:rsidRPr="00CF1787">
        <w:rPr>
          <w:rStyle w:val="FootnoteReference"/>
        </w:rPr>
        <w:footnoteRef/>
      </w:r>
      <w:r w:rsidRPr="00CF1787">
        <w:t xml:space="preserve"> </w:t>
      </w:r>
      <w:r w:rsidRPr="00CF1787">
        <w:rPr>
          <w:lang w:val="es-ES"/>
        </w:rPr>
        <w:tab/>
        <w:t>Declaración de Patricia Trujillo Esparza en la audiencia pública celebrada en el presente caso ante la Corte.</w:t>
      </w:r>
      <w:r w:rsidRPr="00CF1787">
        <w:rPr>
          <w:b/>
          <w:lang w:val="es-ES"/>
        </w:rPr>
        <w:t xml:space="preserve"> </w:t>
      </w:r>
      <w:r w:rsidRPr="00CF1787">
        <w:rPr>
          <w:lang w:val="es-ES"/>
        </w:rPr>
        <w:t xml:space="preserve">En el mismo sentido, la hija de la señora Trujillo Esparza declaró que “prácticamente [se] </w:t>
      </w:r>
      <w:proofErr w:type="spellStart"/>
      <w:r w:rsidRPr="00CF1787">
        <w:rPr>
          <w:lang w:val="es-ES"/>
        </w:rPr>
        <w:t>cri</w:t>
      </w:r>
      <w:proofErr w:type="spellEnd"/>
      <w:r w:rsidRPr="00CF1787">
        <w:rPr>
          <w:lang w:val="es-ES"/>
        </w:rPr>
        <w:t>[</w:t>
      </w:r>
      <w:proofErr w:type="spellStart"/>
      <w:r w:rsidRPr="00CF1787">
        <w:rPr>
          <w:lang w:val="es-ES"/>
        </w:rPr>
        <w:t>ó</w:t>
      </w:r>
      <w:proofErr w:type="spellEnd"/>
      <w:r w:rsidRPr="00CF1787">
        <w:rPr>
          <w:lang w:val="es-ES"/>
        </w:rPr>
        <w:t xml:space="preserve">] abandonada de [su] mamá, solo al cuidado de [sus] abuelitos, siempre que preguntaba por [su] papá no había respuesta y cuando preguntaba dónde estaba [su] mamá la respuesta era [que] </w:t>
      </w:r>
      <w:proofErr w:type="gramStart"/>
      <w:r w:rsidRPr="00CF1787">
        <w:rPr>
          <w:lang w:val="es-ES"/>
        </w:rPr>
        <w:t>esta[</w:t>
      </w:r>
      <w:proofErr w:type="spellStart"/>
      <w:proofErr w:type="gramEnd"/>
      <w:r w:rsidRPr="00CF1787">
        <w:rPr>
          <w:lang w:val="es-ES"/>
        </w:rPr>
        <w:t>ba</w:t>
      </w:r>
      <w:proofErr w:type="spellEnd"/>
      <w:r w:rsidRPr="00CF1787">
        <w:rPr>
          <w:lang w:val="es-ES"/>
        </w:rPr>
        <w:t xml:space="preserve">] trabajando. […] </w:t>
      </w:r>
      <w:r w:rsidRPr="00CF1787">
        <w:t xml:space="preserve">[Su] mamá trabajaba lejos, era siempre fría, las pocas veces que la veía pasaba siempre triste, no le gustaba salir, no participaba de los programas familiares y [ella] no entendía porque esa actitud. […] [Su] madre desde la muerte de [su] padre se dedicó a estudiar y trabajar, por lo que se desentendió de [ella] por completo, </w:t>
      </w:r>
      <w:proofErr w:type="spellStart"/>
      <w:proofErr w:type="gramStart"/>
      <w:r w:rsidRPr="00CF1787">
        <w:t>crec</w:t>
      </w:r>
      <w:proofErr w:type="spellEnd"/>
      <w:r w:rsidRPr="00CF1787">
        <w:t>[</w:t>
      </w:r>
      <w:proofErr w:type="spellStart"/>
      <w:proofErr w:type="gramEnd"/>
      <w:r w:rsidRPr="00CF1787">
        <w:t>ió</w:t>
      </w:r>
      <w:proofErr w:type="spellEnd"/>
      <w:r w:rsidRPr="00CF1787">
        <w:t>] sin el amor de ambos”. Declaración rendida ante fedatario público por Karen Alejandra Valencia Trujillo el 6 de abril de 2016 (expediente de prueba, folio 2883). Asimismo, la madre de la señora Patricia Trujillo declaró que: “[Su] hija luego de aquel incidente, presentó la denuncia por la muerte de su marido Luis Jorge Valencia, con el abogado frecuentemente iba a los juzgados para hacer diversos trámites y como el caso luego pasó a la policía y la investigación no avanzaba por ser los acusados policías, se vio obligada a acudir semanalmente a la Ciudad de Quito con la foto del esposo, a pedir justicia al gobierno de turno: asistía a la Plaza Grande ahí se concentraban los casos a nivel nacional […] la[s] injusticia[s] se cometía[n] a diario, el dinero era la manera como se compraba a las autoridades. Como mi familia no era de posibilidades, no contamos con la dicha de ver que se haga justicia por la muerte de mi yerno. […] La muerte de su marido y las amenazas a ella y a la familia hizo que ella pase por muchos traumas psicológicos. Cada vez que veía a un miembro de la Policía sentía temor. No comía. No dormía, no hablaba con nadie, lloraba todo el día, se encerraba en su dormitorio, no hacía vida social, se volvió introvertida, desconfiada, y en un punto de su vida ya no le interesaba si su hija estaba bien o mal, tal es así que nunca quiso rehacer su vida y llegó a tal punto de no querer salir al mundo social y vivía obstinada en querer volverle a ver a su esposo. Durante largo tiempo tuvo crisis severas […]. Se deprimía, y no tenía ganas de vivir, en la noche acudía sola al cementerio junto a la tumba de su esposo”. Declaración rendida ante fedatario público por Rosa Elvira Esparza Hernández el 6 de abril de 2016 (expediente de prueba, folios 2877 y 2878).</w:t>
      </w:r>
    </w:p>
  </w:footnote>
  <w:footnote w:id="188">
    <w:p w14:paraId="53CFF55B" w14:textId="77777777"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t>El artículo 63.1 de la Convención Americana establece que: “[c]</w:t>
      </w:r>
      <w:proofErr w:type="spellStart"/>
      <w:r w:rsidRPr="00CF1787">
        <w:t>uando</w:t>
      </w:r>
      <w:proofErr w:type="spellEnd"/>
      <w:r w:rsidRPr="00CF1787">
        <w:t xml:space="preserve"> decida que hubo violación de un derecho o libertad protegidos en [la] Convención, la Corte dispondrá que se garantice al lesionado en el goce de su derecho o libertades conculcados. Dispondrá asimismo, si ello fuera procedente, que se reparen las consecuencias de la medida o situación que ha configurado la vulneración de esos derechos y el pago de una justa indemnización a la parte lesionada”. </w:t>
      </w:r>
    </w:p>
  </w:footnote>
  <w:footnote w:id="189">
    <w:p w14:paraId="06ABCC35" w14:textId="662D15F0"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 xml:space="preserve">Cfr. Caso Velásquez Rodríguez Vs. Honduras. Reparaciones y Costas. </w:t>
      </w:r>
      <w:r w:rsidRPr="00CF1787">
        <w:t xml:space="preserve">Sentencia de 21 de julio de 1989. Serie C No. 7, párr. 25, y </w:t>
      </w:r>
      <w:r w:rsidRPr="00CF1787">
        <w:rPr>
          <w:i/>
          <w:lang w:val="es-MX"/>
        </w:rPr>
        <w:t>Caso Herrera Espinoza y otros Vs. Ecuador</w:t>
      </w:r>
      <w:r w:rsidRPr="00CF1787">
        <w:rPr>
          <w:i/>
        </w:rPr>
        <w:t>, supra</w:t>
      </w:r>
      <w:r w:rsidRPr="00CF1787">
        <w:rPr>
          <w:lang w:val="es-MX"/>
        </w:rPr>
        <w:t>, párr. 210.</w:t>
      </w:r>
    </w:p>
  </w:footnote>
  <w:footnote w:id="190">
    <w:p w14:paraId="07C5D052" w14:textId="570D34AD" w:rsidR="00935D08" w:rsidRPr="00CF1787" w:rsidRDefault="00935D08" w:rsidP="00CA1834">
      <w:pPr>
        <w:tabs>
          <w:tab w:val="left" w:pos="426"/>
          <w:tab w:val="left" w:pos="567"/>
          <w:tab w:val="left" w:pos="720"/>
        </w:tabs>
        <w:spacing w:before="120" w:after="120"/>
        <w:rPr>
          <w:spacing w:val="-4"/>
          <w:sz w:val="16"/>
          <w:szCs w:val="16"/>
        </w:rPr>
      </w:pPr>
      <w:r w:rsidRPr="00CF1787">
        <w:rPr>
          <w:rStyle w:val="FootnoteReference"/>
          <w:rFonts w:eastAsia="MS Mincho"/>
          <w:spacing w:val="-4"/>
        </w:rPr>
        <w:footnoteRef/>
      </w:r>
      <w:r w:rsidRPr="00CF1787">
        <w:rPr>
          <w:spacing w:val="-4"/>
          <w:sz w:val="16"/>
          <w:szCs w:val="16"/>
          <w:lang w:val="es-ES"/>
        </w:rPr>
        <w:t xml:space="preserve"> </w:t>
      </w:r>
      <w:r w:rsidRPr="00CF1787">
        <w:rPr>
          <w:spacing w:val="-4"/>
          <w:sz w:val="16"/>
          <w:szCs w:val="16"/>
          <w:lang w:val="es-ES"/>
        </w:rPr>
        <w:tab/>
      </w:r>
      <w:r w:rsidRPr="00CF1787">
        <w:rPr>
          <w:i/>
          <w:iCs/>
          <w:spacing w:val="-4"/>
          <w:sz w:val="16"/>
          <w:szCs w:val="16"/>
        </w:rPr>
        <w:t>Cfr. Caso Velásquez Rodríguez Vs. Honduras. Reparaciones y Costas, supra</w:t>
      </w:r>
      <w:r w:rsidRPr="00CF1787">
        <w:rPr>
          <w:iCs/>
          <w:spacing w:val="-4"/>
          <w:sz w:val="16"/>
          <w:szCs w:val="16"/>
        </w:rPr>
        <w:t>, párr. 25</w:t>
      </w:r>
      <w:r w:rsidRPr="00CF1787">
        <w:rPr>
          <w:spacing w:val="-4"/>
          <w:sz w:val="16"/>
          <w:szCs w:val="16"/>
          <w:lang w:val="es-ES"/>
        </w:rPr>
        <w:t xml:space="preserve">, y </w:t>
      </w:r>
      <w:r w:rsidRPr="00CF1787">
        <w:rPr>
          <w:i/>
          <w:sz w:val="16"/>
          <w:szCs w:val="16"/>
        </w:rPr>
        <w:t>Caso Herrera Espinoza y otros Vs. Ecuador, supra</w:t>
      </w:r>
      <w:r w:rsidRPr="00CF1787">
        <w:rPr>
          <w:sz w:val="16"/>
          <w:szCs w:val="16"/>
        </w:rPr>
        <w:t>, párr. 210.</w:t>
      </w:r>
    </w:p>
  </w:footnote>
  <w:footnote w:id="191">
    <w:p w14:paraId="7B1DF7F4" w14:textId="7657D37A" w:rsidR="00935D08" w:rsidRPr="00CF1787" w:rsidRDefault="00935D08" w:rsidP="00CA1834">
      <w:pPr>
        <w:pStyle w:val="FootnoteText"/>
        <w:tabs>
          <w:tab w:val="left" w:pos="426"/>
          <w:tab w:val="left" w:pos="720"/>
        </w:tabs>
        <w:spacing w:before="120" w:after="120"/>
        <w:rPr>
          <w:bCs/>
          <w:spacing w:val="-4"/>
        </w:rPr>
      </w:pPr>
      <w:r w:rsidRPr="00CF1787">
        <w:rPr>
          <w:rStyle w:val="FootnoteReference"/>
          <w:spacing w:val="-4"/>
        </w:rPr>
        <w:footnoteRef/>
      </w:r>
      <w:r w:rsidRPr="00CF1787">
        <w:rPr>
          <w:spacing w:val="-4"/>
        </w:rPr>
        <w:tab/>
      </w:r>
      <w:r w:rsidRPr="00CF1787">
        <w:rPr>
          <w:rFonts w:cs="Calibri"/>
          <w:i/>
          <w:spacing w:val="-4"/>
          <w:lang w:val="es-ES"/>
        </w:rPr>
        <w:t xml:space="preserve">Cfr. Caso </w:t>
      </w:r>
      <w:proofErr w:type="spellStart"/>
      <w:r w:rsidRPr="00CF1787">
        <w:rPr>
          <w:rFonts w:cs="Calibri"/>
          <w:i/>
          <w:spacing w:val="-4"/>
          <w:lang w:val="es-ES"/>
        </w:rPr>
        <w:t>Ticona</w:t>
      </w:r>
      <w:proofErr w:type="spellEnd"/>
      <w:r w:rsidRPr="00CF1787">
        <w:rPr>
          <w:rFonts w:cs="Calibri"/>
          <w:i/>
          <w:spacing w:val="-4"/>
          <w:lang w:val="es-ES"/>
        </w:rPr>
        <w:t xml:space="preserve"> Estrada y otros Vs. Bolivia. Fondo, Reparaciones y Costas</w:t>
      </w:r>
      <w:r w:rsidRPr="00CF1787">
        <w:rPr>
          <w:rFonts w:cs="Calibri"/>
          <w:spacing w:val="-4"/>
          <w:lang w:val="es-ES"/>
        </w:rPr>
        <w:t xml:space="preserve">. Sentencia de 27 de noviembre de 2008. Serie C No. 191, párr. 110, y </w:t>
      </w:r>
      <w:r w:rsidRPr="00CF1787">
        <w:rPr>
          <w:i/>
          <w:lang w:val="es-MX"/>
        </w:rPr>
        <w:t>Caso Herrera Espinoza y otros Vs. Ecuador</w:t>
      </w:r>
      <w:r w:rsidRPr="00CF1787">
        <w:rPr>
          <w:i/>
        </w:rPr>
        <w:t>, supra</w:t>
      </w:r>
      <w:r w:rsidRPr="00CF1787">
        <w:rPr>
          <w:lang w:val="es-MX"/>
        </w:rPr>
        <w:t>, párr. 211.</w:t>
      </w:r>
    </w:p>
  </w:footnote>
  <w:footnote w:id="192">
    <w:p w14:paraId="6338890B" w14:textId="46ADB316"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iCs/>
          <w:lang w:val="es-CR"/>
        </w:rPr>
        <w:t>Cfr. Caso Neira Alegría y otros Vs. Perú. Reparaciones y Costas</w:t>
      </w:r>
      <w:r w:rsidRPr="00CF1787">
        <w:rPr>
          <w:lang w:val="es-CR"/>
        </w:rPr>
        <w:t xml:space="preserve">. Sentencia de 19 de septiembre de 1996. Serie C No. 29, párr. 56, y </w:t>
      </w:r>
      <w:r w:rsidRPr="00CF1787">
        <w:rPr>
          <w:i/>
          <w:spacing w:val="-4"/>
        </w:rPr>
        <w:t>Caso Herrera Espinoza y otros Vs. Ecuador</w:t>
      </w:r>
      <w:r w:rsidRPr="00CF1787">
        <w:rPr>
          <w:i/>
        </w:rPr>
        <w:t>, supra</w:t>
      </w:r>
      <w:r w:rsidRPr="00CF1787">
        <w:rPr>
          <w:spacing w:val="-4"/>
        </w:rPr>
        <w:t>, párr. 220.</w:t>
      </w:r>
      <w:r w:rsidRPr="00CF1787">
        <w:tab/>
      </w:r>
    </w:p>
  </w:footnote>
  <w:footnote w:id="193">
    <w:p w14:paraId="47BE416E" w14:textId="6D08CAE9" w:rsidR="00935D08" w:rsidRPr="00CF1787" w:rsidRDefault="00935D08" w:rsidP="00CA1834">
      <w:pPr>
        <w:pStyle w:val="FootnoteText"/>
        <w:tabs>
          <w:tab w:val="left" w:pos="426"/>
          <w:tab w:val="left" w:pos="720"/>
        </w:tabs>
        <w:spacing w:before="120" w:after="120"/>
        <w:rPr>
          <w:spacing w:val="-4"/>
        </w:rPr>
      </w:pPr>
      <w:r w:rsidRPr="00CF1787">
        <w:rPr>
          <w:rStyle w:val="FootnoteReference"/>
          <w:spacing w:val="-4"/>
        </w:rPr>
        <w:footnoteRef/>
      </w:r>
      <w:r w:rsidRPr="00CF1787">
        <w:rPr>
          <w:spacing w:val="-4"/>
        </w:rPr>
        <w:t xml:space="preserve"> </w:t>
      </w:r>
      <w:r w:rsidRPr="00CF1787">
        <w:rPr>
          <w:spacing w:val="-4"/>
        </w:rPr>
        <w:tab/>
      </w:r>
      <w:r w:rsidRPr="00CF1787">
        <w:rPr>
          <w:spacing w:val="-4"/>
        </w:rPr>
        <w:tab/>
      </w:r>
      <w:r w:rsidRPr="00CF1787">
        <w:rPr>
          <w:i/>
          <w:iCs/>
          <w:spacing w:val="-4"/>
          <w:lang w:val="es-MX"/>
        </w:rPr>
        <w:t>Cfr. Caso Velásquez Rodríguez Vs. Honduras. Reparaciones y Costas, supra</w:t>
      </w:r>
      <w:r w:rsidRPr="00CF1787">
        <w:rPr>
          <w:iCs/>
          <w:spacing w:val="-4"/>
          <w:lang w:val="es-MX"/>
        </w:rPr>
        <w:t>, párr. 25 a 27</w:t>
      </w:r>
      <w:r w:rsidRPr="00CF1787">
        <w:rPr>
          <w:iCs/>
          <w:spacing w:val="-4"/>
          <w:lang w:val="es-ES"/>
        </w:rPr>
        <w:t xml:space="preserve">, </w:t>
      </w:r>
      <w:r w:rsidRPr="00CF1787">
        <w:rPr>
          <w:rFonts w:cs="Calibri"/>
          <w:spacing w:val="-4"/>
          <w:lang w:val="es-ES"/>
        </w:rPr>
        <w:t xml:space="preserve">y </w:t>
      </w:r>
      <w:r w:rsidRPr="00CF1787">
        <w:rPr>
          <w:bCs/>
          <w:i/>
          <w:spacing w:val="-4"/>
        </w:rPr>
        <w:t>Caso Flor Freire Vs. Ecuador, supra</w:t>
      </w:r>
      <w:r w:rsidRPr="00CF1787">
        <w:rPr>
          <w:bCs/>
          <w:spacing w:val="-4"/>
        </w:rPr>
        <w:t>, párr. 215.</w:t>
      </w:r>
    </w:p>
  </w:footnote>
  <w:footnote w:id="194">
    <w:p w14:paraId="68E0E11D" w14:textId="3E6CCF04" w:rsidR="00935D08" w:rsidRPr="00CF1787" w:rsidRDefault="00935D08" w:rsidP="00CA1834">
      <w:pPr>
        <w:pStyle w:val="Footnotes"/>
        <w:tabs>
          <w:tab w:val="left" w:pos="426"/>
        </w:tabs>
        <w:spacing w:before="120" w:after="120"/>
        <w:rPr>
          <w:lang w:val="es-CR"/>
        </w:rPr>
      </w:pPr>
      <w:r w:rsidRPr="00CF1787">
        <w:rPr>
          <w:rStyle w:val="FootnoteReference"/>
        </w:rPr>
        <w:footnoteRef/>
      </w:r>
      <w:r w:rsidRPr="00CF1787">
        <w:t xml:space="preserve"> </w:t>
      </w:r>
      <w:r w:rsidRPr="00CF1787">
        <w:tab/>
      </w:r>
      <w:r w:rsidRPr="00CF1787">
        <w:rPr>
          <w:i/>
        </w:rPr>
        <w:t xml:space="preserve">Cfr., inter </w:t>
      </w:r>
      <w:proofErr w:type="spellStart"/>
      <w:r w:rsidRPr="00CF1787">
        <w:rPr>
          <w:i/>
        </w:rPr>
        <w:t>alia</w:t>
      </w:r>
      <w:proofErr w:type="spellEnd"/>
      <w:r w:rsidRPr="00CF1787">
        <w:rPr>
          <w:i/>
        </w:rPr>
        <w:t>, Caso Cantoral Benavides Vs. Perú. Reparaciones y Costas</w:t>
      </w:r>
      <w:r w:rsidRPr="00CF1787">
        <w:t xml:space="preserve">. Sentencia de 3 de diciembre de 2001. Serie C No. 88, párr. 79; </w:t>
      </w:r>
      <w:r w:rsidRPr="00CF1787">
        <w:rPr>
          <w:i/>
        </w:rPr>
        <w:t xml:space="preserve">Caso </w:t>
      </w:r>
      <w:proofErr w:type="spellStart"/>
      <w:r w:rsidRPr="00CF1787">
        <w:rPr>
          <w:i/>
        </w:rPr>
        <w:t>Granier</w:t>
      </w:r>
      <w:proofErr w:type="spellEnd"/>
      <w:r w:rsidRPr="00CF1787">
        <w:rPr>
          <w:i/>
        </w:rPr>
        <w:t xml:space="preserve"> y otros (Radio Caracas Televisión) Vs. Venezuela, supra</w:t>
      </w:r>
      <w:r w:rsidRPr="00CF1787">
        <w:t xml:space="preserve">, </w:t>
      </w:r>
      <w:proofErr w:type="spellStart"/>
      <w:r w:rsidRPr="00CF1787">
        <w:t>párr</w:t>
      </w:r>
      <w:proofErr w:type="spellEnd"/>
      <w:r w:rsidRPr="00CF1787">
        <w:t xml:space="preserve"> 386; </w:t>
      </w:r>
      <w:r w:rsidRPr="00CF1787">
        <w:rPr>
          <w:i/>
        </w:rPr>
        <w:t>Caso Omar Humberto Maldonado Vargas y otros Vs. Chile. Fondo, Reparaciones y Costas</w:t>
      </w:r>
      <w:r w:rsidRPr="00CF1787">
        <w:t xml:space="preserve">. Sentencia de 02 de septiembre de 2015. Serie C No. 300, párr. 162, y </w:t>
      </w:r>
      <w:r w:rsidRPr="00CF1787">
        <w:rPr>
          <w:i/>
          <w:lang w:val="es-MX"/>
        </w:rPr>
        <w:t>Caso Herrera Espinoza y otros Vs. Ecuador</w:t>
      </w:r>
      <w:r w:rsidRPr="00CF1787">
        <w:rPr>
          <w:i/>
        </w:rPr>
        <w:t>, supra</w:t>
      </w:r>
      <w:r w:rsidRPr="00CF1787">
        <w:rPr>
          <w:lang w:val="es-MX"/>
        </w:rPr>
        <w:t>, párr. 227.</w:t>
      </w:r>
    </w:p>
  </w:footnote>
  <w:footnote w:id="195">
    <w:p w14:paraId="162912AB" w14:textId="77777777" w:rsidR="00935D08" w:rsidRPr="00CF1787" w:rsidRDefault="00935D08" w:rsidP="00CA1834">
      <w:pPr>
        <w:pStyle w:val="FootnoteText"/>
        <w:tabs>
          <w:tab w:val="clear" w:pos="567"/>
          <w:tab w:val="left" w:pos="426"/>
        </w:tabs>
        <w:rPr>
          <w:lang w:val="es-ES"/>
        </w:rPr>
      </w:pPr>
      <w:r w:rsidRPr="00CF1787">
        <w:rPr>
          <w:rStyle w:val="FootnoteReference"/>
        </w:rPr>
        <w:footnoteRef/>
      </w:r>
      <w:r w:rsidRPr="00CF1787">
        <w:t xml:space="preserve"> </w:t>
      </w:r>
      <w:r w:rsidRPr="00CF1787">
        <w:rPr>
          <w:lang w:val="es-ES"/>
        </w:rPr>
        <w:tab/>
      </w:r>
      <w:r w:rsidRPr="00CF1787">
        <w:rPr>
          <w:i/>
          <w:lang w:val="es-ES"/>
        </w:rPr>
        <w:t>Cfr.</w:t>
      </w:r>
      <w:r w:rsidRPr="00CF1787">
        <w:rPr>
          <w:lang w:val="es-ES"/>
        </w:rPr>
        <w:t xml:space="preserve"> Informe escrito del peritaje de Juan Pablo Albán presentado en la audiencia pública (expediente de prueba, folio 3897).</w:t>
      </w:r>
    </w:p>
  </w:footnote>
  <w:footnote w:id="196">
    <w:p w14:paraId="6E7002CC" w14:textId="273FF08E" w:rsidR="00935D08" w:rsidRPr="00CF1787" w:rsidRDefault="00935D08" w:rsidP="00CA1834">
      <w:pPr>
        <w:pStyle w:val="Footnotes"/>
        <w:tabs>
          <w:tab w:val="left" w:pos="426"/>
        </w:tabs>
        <w:spacing w:before="120" w:after="120"/>
        <w:rPr>
          <w:lang w:val="es-ES_tradnl"/>
        </w:rPr>
      </w:pPr>
      <w:r w:rsidRPr="00CF1787">
        <w:rPr>
          <w:rStyle w:val="FootnoteReference"/>
        </w:rPr>
        <w:footnoteRef/>
      </w:r>
      <w:r w:rsidRPr="00CF1787">
        <w:t xml:space="preserve"> </w:t>
      </w:r>
      <w:r w:rsidRPr="00CF1787">
        <w:tab/>
      </w:r>
      <w:r w:rsidRPr="00CF1787">
        <w:rPr>
          <w:i/>
        </w:rPr>
        <w:t xml:space="preserve">Cfr. Caso </w:t>
      </w:r>
      <w:proofErr w:type="spellStart"/>
      <w:r w:rsidRPr="00CF1787">
        <w:rPr>
          <w:i/>
        </w:rPr>
        <w:t>Bámaca</w:t>
      </w:r>
      <w:proofErr w:type="spellEnd"/>
      <w:r w:rsidRPr="00CF1787">
        <w:rPr>
          <w:i/>
        </w:rPr>
        <w:t xml:space="preserve"> Velásquez Vs. Guatemala. Reparaciones y Costas</w:t>
      </w:r>
      <w:r w:rsidRPr="00CF1787">
        <w:t xml:space="preserve">. Sentencia de 22 de febrero de 2002. Serie C No. 91, párr. 43, y </w:t>
      </w:r>
      <w:r w:rsidRPr="00CF1787">
        <w:rPr>
          <w:bCs/>
          <w:i/>
        </w:rPr>
        <w:t>Caso Flor Freire Vs. Ecuador, supra</w:t>
      </w:r>
      <w:r w:rsidRPr="00CF1787">
        <w:rPr>
          <w:bCs/>
        </w:rPr>
        <w:t>, párr. 251.</w:t>
      </w:r>
    </w:p>
  </w:footnote>
  <w:footnote w:id="197">
    <w:p w14:paraId="1D8477FB" w14:textId="2D52D31D" w:rsidR="00935D08" w:rsidRPr="00CF1787" w:rsidRDefault="00935D08" w:rsidP="00CA1834">
      <w:pPr>
        <w:pStyle w:val="Footnotes"/>
        <w:tabs>
          <w:tab w:val="left" w:pos="426"/>
        </w:tabs>
        <w:spacing w:before="120" w:after="120"/>
        <w:rPr>
          <w:bCs/>
        </w:rPr>
      </w:pPr>
      <w:r w:rsidRPr="00CF1787">
        <w:rPr>
          <w:rStyle w:val="FootnoteReference"/>
        </w:rPr>
        <w:footnoteRef/>
      </w:r>
      <w:r w:rsidRPr="00CF1787">
        <w:t xml:space="preserve"> </w:t>
      </w:r>
      <w:r w:rsidRPr="00CF1787">
        <w:tab/>
      </w:r>
      <w:r w:rsidRPr="00CF1787">
        <w:rPr>
          <w:i/>
        </w:rPr>
        <w:t>Cfr. Caso de los “Niños de la Calle” (Villagrán Morales y otros) Vs. Guatemala. Reparaciones y Costas</w:t>
      </w:r>
      <w:r w:rsidRPr="00CF1787">
        <w:t xml:space="preserve">. Sentencia de 26 de mayo de 2001. Serie C No. 77, párr. 84, y </w:t>
      </w:r>
      <w:r w:rsidRPr="00CF1787">
        <w:rPr>
          <w:bCs/>
          <w:i/>
        </w:rPr>
        <w:t>Caso Flor Freire Vs. Ecuador, supra</w:t>
      </w:r>
      <w:r w:rsidRPr="00CF1787">
        <w:rPr>
          <w:bCs/>
        </w:rPr>
        <w:t>, párr. 256.</w:t>
      </w:r>
    </w:p>
  </w:footnote>
  <w:footnote w:id="198">
    <w:p w14:paraId="685DF171" w14:textId="4DB1F220" w:rsidR="00935D08" w:rsidRPr="00CF1787" w:rsidRDefault="00935D08" w:rsidP="00CA1834">
      <w:pPr>
        <w:pStyle w:val="FootnoteText"/>
        <w:tabs>
          <w:tab w:val="left" w:pos="426"/>
        </w:tabs>
        <w:spacing w:before="120" w:after="120"/>
        <w:rPr>
          <w:rFonts w:cs="ArialUnicodeMS"/>
          <w:lang w:bidi="en-US"/>
        </w:rPr>
      </w:pPr>
      <w:r w:rsidRPr="00CF1787">
        <w:rPr>
          <w:rStyle w:val="FootnoteReference"/>
        </w:rPr>
        <w:footnoteRef/>
      </w:r>
      <w:r w:rsidRPr="00CF1787">
        <w:t xml:space="preserve"> </w:t>
      </w:r>
      <w:r w:rsidRPr="00CF1787">
        <w:tab/>
        <w:t xml:space="preserve">De esta cantidad, solo remitieron prueba de los gastos incurridos para asistir a la audiencia pública por la Corte Interamericana, junto con sus alegatos finales escritos, los cuales fueron de 2.871,39 dólares. Al respecto, indicaron que estos gastos </w:t>
      </w:r>
      <w:r w:rsidRPr="00CF1787">
        <w:rPr>
          <w:rFonts w:cs="ArialUnicodeMS"/>
          <w:lang w:bidi="en-US"/>
        </w:rPr>
        <w:t>consistieron en pasajes de avión de tres personas (2.028,15 dólares), hospedaje de tres personas (615,26 dólares), gastos de alimentación de tres personas (170,67 dólares), movilización en taxis de tres personas del aeropuerto al hotel, a la reunión previa y al lugar de la audiencia (57,33 dólares).</w:t>
      </w:r>
      <w:r w:rsidRPr="00CF1787">
        <w:rPr>
          <w:rFonts w:cs="ArialUnicodeMS"/>
          <w:color w:val="00B050"/>
          <w:lang w:bidi="en-US"/>
        </w:rPr>
        <w:t xml:space="preserve"> </w:t>
      </w:r>
    </w:p>
  </w:footnote>
  <w:footnote w:id="199">
    <w:p w14:paraId="770476EE" w14:textId="67C16DEC"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Cfr. Caso Velásquez Rodríguez Vs. Honduras. Reparaciones y Costas, supra</w:t>
      </w:r>
      <w:r w:rsidRPr="00CF1787">
        <w:t>,</w:t>
      </w:r>
      <w:r w:rsidRPr="00CF1787">
        <w:rPr>
          <w:i/>
        </w:rPr>
        <w:t xml:space="preserve"> </w:t>
      </w:r>
      <w:r w:rsidRPr="00CF1787">
        <w:t xml:space="preserve">párr. 42, y </w:t>
      </w:r>
      <w:r w:rsidRPr="00CF1787">
        <w:rPr>
          <w:i/>
          <w:lang w:val="es-MX"/>
        </w:rPr>
        <w:t>Caso Herrera Espinoza y otros Vs. Ecuador</w:t>
      </w:r>
      <w:r w:rsidRPr="00CF1787">
        <w:rPr>
          <w:i/>
        </w:rPr>
        <w:t>, supra</w:t>
      </w:r>
      <w:r w:rsidRPr="00CF1787">
        <w:rPr>
          <w:lang w:val="es-MX"/>
        </w:rPr>
        <w:t>, párr. 2</w:t>
      </w:r>
      <w:r w:rsidRPr="00CF1787">
        <w:t>48</w:t>
      </w:r>
      <w:r w:rsidRPr="00CF1787">
        <w:rPr>
          <w:lang w:val="es-MX"/>
        </w:rPr>
        <w:t>.</w:t>
      </w:r>
    </w:p>
  </w:footnote>
  <w:footnote w:id="200">
    <w:p w14:paraId="01538479" w14:textId="4C07CAE1"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i/>
        </w:rPr>
        <w:t xml:space="preserve">Cfr. Caso Garrido y </w:t>
      </w:r>
      <w:proofErr w:type="spellStart"/>
      <w:r w:rsidRPr="00CF1787">
        <w:rPr>
          <w:i/>
        </w:rPr>
        <w:t>Baigorria</w:t>
      </w:r>
      <w:proofErr w:type="spellEnd"/>
      <w:r w:rsidRPr="00CF1787">
        <w:rPr>
          <w:i/>
        </w:rPr>
        <w:t xml:space="preserve"> Vs. Argentina. Reparaciones y Costas. </w:t>
      </w:r>
      <w:r w:rsidRPr="00CF1787">
        <w:t xml:space="preserve">Sentencia de 27 de agosto de 1998. Serie C No. 39, párr. 82, y </w:t>
      </w:r>
      <w:r w:rsidRPr="00CF1787">
        <w:rPr>
          <w:i/>
          <w:lang w:val="es-MX"/>
        </w:rPr>
        <w:t>Caso Herrera Espinoza y otros Vs. Ecuador</w:t>
      </w:r>
      <w:r w:rsidRPr="00CF1787">
        <w:rPr>
          <w:i/>
        </w:rPr>
        <w:t>, supra</w:t>
      </w:r>
      <w:r w:rsidRPr="00CF1787">
        <w:rPr>
          <w:lang w:val="es-MX"/>
        </w:rPr>
        <w:t>, párr. 2</w:t>
      </w:r>
      <w:r w:rsidRPr="00CF1787">
        <w:t>49</w:t>
      </w:r>
      <w:r w:rsidRPr="00CF1787">
        <w:rPr>
          <w:lang w:val="es-MX"/>
        </w:rPr>
        <w:t>.</w:t>
      </w:r>
    </w:p>
  </w:footnote>
  <w:footnote w:id="201">
    <w:p w14:paraId="7C0DBABE" w14:textId="37D096FB"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rFonts w:eastAsia="Verdana"/>
          <w:i/>
          <w:lang w:val="es-ES"/>
        </w:rPr>
        <w:t>C</w:t>
      </w:r>
      <w:r w:rsidRPr="00CF1787">
        <w:rPr>
          <w:rFonts w:eastAsia="Verdana"/>
          <w:i/>
          <w:spacing w:val="-1"/>
          <w:lang w:val="es-ES"/>
        </w:rPr>
        <w:t>a</w:t>
      </w:r>
      <w:r w:rsidRPr="00CF1787">
        <w:rPr>
          <w:rFonts w:eastAsia="Verdana"/>
          <w:i/>
          <w:lang w:val="es-ES"/>
        </w:rPr>
        <w:t>so</w:t>
      </w:r>
      <w:r w:rsidRPr="00CF1787">
        <w:rPr>
          <w:rFonts w:eastAsia="Verdana"/>
          <w:i/>
          <w:spacing w:val="35"/>
          <w:lang w:val="es-ES"/>
        </w:rPr>
        <w:t xml:space="preserve"> </w:t>
      </w:r>
      <w:r w:rsidRPr="00CF1787">
        <w:rPr>
          <w:rFonts w:eastAsia="Verdana"/>
          <w:i/>
          <w:lang w:val="es-ES"/>
        </w:rPr>
        <w:t>Ga</w:t>
      </w:r>
      <w:r w:rsidRPr="00CF1787">
        <w:rPr>
          <w:rFonts w:eastAsia="Verdana"/>
          <w:i/>
          <w:spacing w:val="-2"/>
          <w:lang w:val="es-ES"/>
        </w:rPr>
        <w:t>r</w:t>
      </w:r>
      <w:r w:rsidRPr="00CF1787">
        <w:rPr>
          <w:rFonts w:eastAsia="Verdana"/>
          <w:i/>
          <w:spacing w:val="1"/>
          <w:lang w:val="es-ES"/>
        </w:rPr>
        <w:t>r</w:t>
      </w:r>
      <w:r w:rsidRPr="00CF1787">
        <w:rPr>
          <w:rFonts w:eastAsia="Verdana"/>
          <w:i/>
          <w:spacing w:val="-1"/>
          <w:lang w:val="es-ES"/>
        </w:rPr>
        <w:t>i</w:t>
      </w:r>
      <w:r w:rsidRPr="00CF1787">
        <w:rPr>
          <w:rFonts w:eastAsia="Verdana"/>
          <w:i/>
          <w:lang w:val="es-ES"/>
        </w:rPr>
        <w:t>do</w:t>
      </w:r>
      <w:r w:rsidRPr="00CF1787">
        <w:rPr>
          <w:rFonts w:eastAsia="Verdana"/>
          <w:i/>
          <w:spacing w:val="35"/>
          <w:lang w:val="es-ES"/>
        </w:rPr>
        <w:t xml:space="preserve"> </w:t>
      </w:r>
      <w:r w:rsidRPr="00CF1787">
        <w:rPr>
          <w:rFonts w:eastAsia="Verdana"/>
          <w:i/>
          <w:lang w:val="es-ES"/>
        </w:rPr>
        <w:t>y</w:t>
      </w:r>
      <w:r w:rsidRPr="00CF1787">
        <w:rPr>
          <w:rFonts w:eastAsia="Verdana"/>
          <w:i/>
          <w:spacing w:val="38"/>
          <w:lang w:val="es-ES"/>
        </w:rPr>
        <w:t xml:space="preserve"> </w:t>
      </w:r>
      <w:proofErr w:type="spellStart"/>
      <w:r w:rsidRPr="00CF1787">
        <w:rPr>
          <w:rFonts w:eastAsia="Verdana"/>
          <w:i/>
          <w:lang w:val="es-ES"/>
        </w:rPr>
        <w:t>Ba</w:t>
      </w:r>
      <w:r w:rsidRPr="00CF1787">
        <w:rPr>
          <w:rFonts w:eastAsia="Verdana"/>
          <w:i/>
          <w:spacing w:val="-3"/>
          <w:lang w:val="es-ES"/>
        </w:rPr>
        <w:t>i</w:t>
      </w:r>
      <w:r w:rsidRPr="00CF1787">
        <w:rPr>
          <w:rFonts w:eastAsia="Verdana"/>
          <w:i/>
          <w:spacing w:val="1"/>
          <w:lang w:val="es-ES"/>
        </w:rPr>
        <w:t>g</w:t>
      </w:r>
      <w:r w:rsidRPr="00CF1787">
        <w:rPr>
          <w:rFonts w:eastAsia="Verdana"/>
          <w:i/>
          <w:spacing w:val="-2"/>
          <w:lang w:val="es-ES"/>
        </w:rPr>
        <w:t>o</w:t>
      </w:r>
      <w:r w:rsidRPr="00CF1787">
        <w:rPr>
          <w:rFonts w:eastAsia="Verdana"/>
          <w:i/>
          <w:spacing w:val="1"/>
          <w:lang w:val="es-ES"/>
        </w:rPr>
        <w:t>rr</w:t>
      </w:r>
      <w:r w:rsidRPr="00CF1787">
        <w:rPr>
          <w:rFonts w:eastAsia="Verdana"/>
          <w:i/>
          <w:spacing w:val="-1"/>
          <w:lang w:val="es-ES"/>
        </w:rPr>
        <w:t>i</w:t>
      </w:r>
      <w:r w:rsidRPr="00CF1787">
        <w:rPr>
          <w:rFonts w:eastAsia="Verdana"/>
          <w:i/>
          <w:lang w:val="es-ES"/>
        </w:rPr>
        <w:t>a</w:t>
      </w:r>
      <w:proofErr w:type="spellEnd"/>
      <w:r w:rsidRPr="00CF1787">
        <w:rPr>
          <w:rFonts w:eastAsia="Verdana"/>
          <w:i/>
          <w:spacing w:val="34"/>
          <w:lang w:val="es-ES"/>
        </w:rPr>
        <w:t xml:space="preserve"> </w:t>
      </w:r>
      <w:r w:rsidRPr="00CF1787">
        <w:rPr>
          <w:rFonts w:eastAsia="Verdana"/>
          <w:i/>
          <w:spacing w:val="1"/>
          <w:lang w:val="es-ES"/>
        </w:rPr>
        <w:t>V</w:t>
      </w:r>
      <w:r w:rsidRPr="00CF1787">
        <w:rPr>
          <w:rFonts w:eastAsia="Verdana"/>
          <w:i/>
          <w:lang w:val="es-ES"/>
        </w:rPr>
        <w:t>s.</w:t>
      </w:r>
      <w:r w:rsidRPr="00CF1787">
        <w:rPr>
          <w:rFonts w:eastAsia="Verdana"/>
          <w:i/>
          <w:spacing w:val="34"/>
          <w:lang w:val="es-ES"/>
        </w:rPr>
        <w:t xml:space="preserve"> </w:t>
      </w:r>
      <w:r w:rsidRPr="00CF1787">
        <w:rPr>
          <w:rFonts w:eastAsia="Verdana"/>
          <w:i/>
          <w:spacing w:val="1"/>
          <w:lang w:val="es-ES"/>
        </w:rPr>
        <w:t>A</w:t>
      </w:r>
      <w:r w:rsidRPr="00CF1787">
        <w:rPr>
          <w:rFonts w:eastAsia="Verdana"/>
          <w:i/>
          <w:spacing w:val="-1"/>
          <w:lang w:val="es-ES"/>
        </w:rPr>
        <w:t>r</w:t>
      </w:r>
      <w:r w:rsidRPr="00CF1787">
        <w:rPr>
          <w:rFonts w:eastAsia="Verdana"/>
          <w:i/>
          <w:spacing w:val="1"/>
          <w:lang w:val="es-ES"/>
        </w:rPr>
        <w:t>g</w:t>
      </w:r>
      <w:r w:rsidRPr="00CF1787">
        <w:rPr>
          <w:rFonts w:eastAsia="Verdana"/>
          <w:i/>
          <w:lang w:val="es-ES"/>
        </w:rPr>
        <w:t>e</w:t>
      </w:r>
      <w:r w:rsidRPr="00CF1787">
        <w:rPr>
          <w:rFonts w:eastAsia="Verdana"/>
          <w:i/>
          <w:spacing w:val="-1"/>
          <w:lang w:val="es-ES"/>
        </w:rPr>
        <w:t>ntina</w:t>
      </w:r>
      <w:r w:rsidRPr="00CF1787">
        <w:rPr>
          <w:rFonts w:eastAsia="Verdana"/>
          <w:i/>
          <w:lang w:val="es-ES"/>
        </w:rPr>
        <w:t>.</w:t>
      </w:r>
      <w:r w:rsidRPr="00CF1787">
        <w:rPr>
          <w:rFonts w:eastAsia="Verdana"/>
          <w:i/>
          <w:spacing w:val="36"/>
          <w:lang w:val="es-ES"/>
        </w:rPr>
        <w:t xml:space="preserve"> </w:t>
      </w:r>
      <w:r w:rsidRPr="00CF1787">
        <w:rPr>
          <w:rFonts w:eastAsia="Verdana"/>
          <w:i/>
          <w:spacing w:val="1"/>
          <w:lang w:val="es-ES"/>
        </w:rPr>
        <w:t>R</w:t>
      </w:r>
      <w:r w:rsidRPr="00CF1787">
        <w:rPr>
          <w:rFonts w:eastAsia="Verdana"/>
          <w:i/>
          <w:lang w:val="es-ES"/>
        </w:rPr>
        <w:t>e</w:t>
      </w:r>
      <w:r w:rsidRPr="00CF1787">
        <w:rPr>
          <w:rFonts w:eastAsia="Verdana"/>
          <w:i/>
          <w:spacing w:val="1"/>
          <w:lang w:val="es-ES"/>
        </w:rPr>
        <w:t>p</w:t>
      </w:r>
      <w:r w:rsidRPr="00CF1787">
        <w:rPr>
          <w:rFonts w:eastAsia="Verdana"/>
          <w:i/>
          <w:spacing w:val="-3"/>
          <w:lang w:val="es-ES"/>
        </w:rPr>
        <w:t>a</w:t>
      </w:r>
      <w:r w:rsidRPr="00CF1787">
        <w:rPr>
          <w:rFonts w:eastAsia="Verdana"/>
          <w:i/>
          <w:spacing w:val="1"/>
          <w:lang w:val="es-ES"/>
        </w:rPr>
        <w:t>r</w:t>
      </w:r>
      <w:r w:rsidRPr="00CF1787">
        <w:rPr>
          <w:rFonts w:eastAsia="Verdana"/>
          <w:i/>
          <w:spacing w:val="-1"/>
          <w:lang w:val="es-ES"/>
        </w:rPr>
        <w:t>a</w:t>
      </w:r>
      <w:r w:rsidRPr="00CF1787">
        <w:rPr>
          <w:rFonts w:eastAsia="Verdana"/>
          <w:i/>
          <w:lang w:val="es-ES"/>
        </w:rPr>
        <w:t>c</w:t>
      </w:r>
      <w:r w:rsidRPr="00CF1787">
        <w:rPr>
          <w:rFonts w:eastAsia="Verdana"/>
          <w:i/>
          <w:spacing w:val="-1"/>
          <w:lang w:val="es-ES"/>
        </w:rPr>
        <w:t>i</w:t>
      </w:r>
      <w:r w:rsidRPr="00CF1787">
        <w:rPr>
          <w:rFonts w:eastAsia="Verdana"/>
          <w:i/>
          <w:spacing w:val="1"/>
          <w:lang w:val="es-ES"/>
        </w:rPr>
        <w:t>o</w:t>
      </w:r>
      <w:r w:rsidRPr="00CF1787">
        <w:rPr>
          <w:rFonts w:eastAsia="Verdana"/>
          <w:i/>
          <w:spacing w:val="-1"/>
          <w:lang w:val="es-ES"/>
        </w:rPr>
        <w:t>n</w:t>
      </w:r>
      <w:r w:rsidRPr="00CF1787">
        <w:rPr>
          <w:rFonts w:eastAsia="Verdana"/>
          <w:i/>
          <w:spacing w:val="-2"/>
          <w:lang w:val="es-ES"/>
        </w:rPr>
        <w:t>e</w:t>
      </w:r>
      <w:r w:rsidRPr="00CF1787">
        <w:rPr>
          <w:rFonts w:eastAsia="Verdana"/>
          <w:i/>
          <w:lang w:val="es-ES"/>
        </w:rPr>
        <w:t>s</w:t>
      </w:r>
      <w:r w:rsidRPr="00CF1787">
        <w:rPr>
          <w:rFonts w:eastAsia="Verdana"/>
          <w:i/>
          <w:spacing w:val="37"/>
          <w:lang w:val="es-ES"/>
        </w:rPr>
        <w:t xml:space="preserve"> </w:t>
      </w:r>
      <w:r w:rsidRPr="00CF1787">
        <w:rPr>
          <w:rFonts w:eastAsia="Verdana"/>
          <w:i/>
          <w:lang w:val="es-ES"/>
        </w:rPr>
        <w:t>y</w:t>
      </w:r>
      <w:r w:rsidRPr="00CF1787">
        <w:rPr>
          <w:rFonts w:eastAsia="Verdana"/>
          <w:i/>
          <w:spacing w:val="35"/>
          <w:lang w:val="es-ES"/>
        </w:rPr>
        <w:t xml:space="preserve"> </w:t>
      </w:r>
      <w:r w:rsidRPr="00CF1787">
        <w:rPr>
          <w:rFonts w:eastAsia="Verdana"/>
          <w:i/>
          <w:lang w:val="es-ES"/>
        </w:rPr>
        <w:t>C</w:t>
      </w:r>
      <w:r w:rsidRPr="00CF1787">
        <w:rPr>
          <w:rFonts w:eastAsia="Verdana"/>
          <w:i/>
          <w:spacing w:val="1"/>
          <w:lang w:val="es-ES"/>
        </w:rPr>
        <w:t>o</w:t>
      </w:r>
      <w:r w:rsidRPr="00CF1787">
        <w:rPr>
          <w:rFonts w:eastAsia="Verdana"/>
          <w:i/>
          <w:lang w:val="es-ES"/>
        </w:rPr>
        <w:t>s</w:t>
      </w:r>
      <w:r w:rsidRPr="00CF1787">
        <w:rPr>
          <w:rFonts w:eastAsia="Verdana"/>
          <w:i/>
          <w:spacing w:val="-1"/>
          <w:lang w:val="es-ES"/>
        </w:rPr>
        <w:t>ta</w:t>
      </w:r>
      <w:r w:rsidRPr="00CF1787">
        <w:rPr>
          <w:rFonts w:eastAsia="Verdana"/>
          <w:i/>
          <w:lang w:val="es-ES"/>
        </w:rPr>
        <w:t>s, supra</w:t>
      </w:r>
      <w:r w:rsidRPr="00CF1787">
        <w:rPr>
          <w:rFonts w:eastAsia="Verdana"/>
          <w:lang w:val="es-ES"/>
        </w:rPr>
        <w:t>,</w:t>
      </w:r>
      <w:r w:rsidRPr="00CF1787">
        <w:rPr>
          <w:rFonts w:eastAsia="Verdana"/>
          <w:spacing w:val="36"/>
          <w:lang w:val="es-ES"/>
        </w:rPr>
        <w:t xml:space="preserve"> </w:t>
      </w:r>
      <w:r w:rsidRPr="00CF1787">
        <w:rPr>
          <w:rFonts w:eastAsia="Verdana"/>
          <w:lang w:val="es-ES"/>
        </w:rPr>
        <w:t>p</w:t>
      </w:r>
      <w:r w:rsidRPr="00CF1787">
        <w:rPr>
          <w:rFonts w:eastAsia="Verdana"/>
          <w:spacing w:val="-3"/>
          <w:lang w:val="es-ES"/>
        </w:rPr>
        <w:t>á</w:t>
      </w:r>
      <w:r w:rsidRPr="00CF1787">
        <w:rPr>
          <w:rFonts w:eastAsia="Verdana"/>
          <w:spacing w:val="1"/>
          <w:lang w:val="es-ES"/>
        </w:rPr>
        <w:t>rr</w:t>
      </w:r>
      <w:r w:rsidRPr="00CF1787">
        <w:rPr>
          <w:rFonts w:eastAsia="Verdana"/>
          <w:lang w:val="es-ES"/>
        </w:rPr>
        <w:t>.</w:t>
      </w:r>
      <w:r w:rsidRPr="00CF1787">
        <w:rPr>
          <w:rFonts w:eastAsia="Verdana"/>
          <w:spacing w:val="33"/>
          <w:lang w:val="es-ES"/>
        </w:rPr>
        <w:t xml:space="preserve"> </w:t>
      </w:r>
      <w:r w:rsidRPr="00CF1787">
        <w:rPr>
          <w:rFonts w:eastAsia="Verdana"/>
          <w:spacing w:val="-1"/>
          <w:lang w:val="es-ES"/>
        </w:rPr>
        <w:t>7</w:t>
      </w:r>
      <w:r w:rsidRPr="00CF1787">
        <w:rPr>
          <w:rFonts w:eastAsia="Verdana"/>
          <w:spacing w:val="1"/>
          <w:lang w:val="es-ES"/>
        </w:rPr>
        <w:t>9</w:t>
      </w:r>
      <w:r w:rsidRPr="00CF1787">
        <w:rPr>
          <w:rFonts w:eastAsia="Verdana"/>
          <w:lang w:val="es-ES"/>
        </w:rPr>
        <w:t>,</w:t>
      </w:r>
      <w:r w:rsidRPr="00CF1787">
        <w:rPr>
          <w:rFonts w:eastAsia="Verdana"/>
          <w:spacing w:val="36"/>
          <w:lang w:val="es-ES"/>
        </w:rPr>
        <w:t xml:space="preserve"> </w:t>
      </w:r>
      <w:r w:rsidRPr="00CF1787">
        <w:rPr>
          <w:rFonts w:eastAsia="Verdana"/>
          <w:lang w:val="es-ES"/>
        </w:rPr>
        <w:t>y</w:t>
      </w:r>
      <w:r w:rsidRPr="00CF1787">
        <w:rPr>
          <w:rFonts w:eastAsia="Verdana"/>
          <w:spacing w:val="37"/>
          <w:lang w:val="es-ES"/>
        </w:rPr>
        <w:t xml:space="preserve"> </w:t>
      </w:r>
      <w:r w:rsidRPr="00CF1787">
        <w:rPr>
          <w:rStyle w:val="Strong"/>
          <w:b w:val="0"/>
          <w:i/>
          <w:color w:val="000000"/>
          <w:shd w:val="clear" w:color="auto" w:fill="FFFFFF"/>
          <w:lang w:val="es-ES"/>
        </w:rPr>
        <w:t>Caso Tenorio Roca y otros Vs. Perú, supra</w:t>
      </w:r>
      <w:r w:rsidRPr="00CF1787">
        <w:rPr>
          <w:rStyle w:val="Strong"/>
          <w:b w:val="0"/>
          <w:color w:val="000000"/>
          <w:shd w:val="clear" w:color="auto" w:fill="FFFFFF"/>
          <w:lang w:val="es-ES"/>
        </w:rPr>
        <w:t>, párr. 343.</w:t>
      </w:r>
    </w:p>
  </w:footnote>
  <w:footnote w:id="202">
    <w:p w14:paraId="35C21259" w14:textId="0E76F38F" w:rsidR="00935D08" w:rsidRPr="00CF1787" w:rsidRDefault="00935D08" w:rsidP="00CA1834">
      <w:pPr>
        <w:pStyle w:val="FootnoteText"/>
        <w:tabs>
          <w:tab w:val="left" w:pos="426"/>
        </w:tabs>
        <w:spacing w:before="120" w:after="120"/>
      </w:pPr>
      <w:r w:rsidRPr="00CF1787">
        <w:rPr>
          <w:rStyle w:val="FootnoteReference"/>
        </w:rPr>
        <w:footnoteRef/>
      </w:r>
      <w:r w:rsidRPr="00CF1787">
        <w:t xml:space="preserve"> </w:t>
      </w:r>
      <w:r w:rsidRPr="00CF1787">
        <w:tab/>
      </w:r>
      <w:r w:rsidRPr="00CF1787">
        <w:rPr>
          <w:rFonts w:eastAsia="Verdana"/>
          <w:i/>
          <w:lang w:val="es-ES"/>
        </w:rPr>
        <w:t xml:space="preserve">Cfr. Caso Chaparro Álvarez y Lapo Íñiguez Vs. Ecuador. Excepciones Preliminares, Fondo, Reparaciones y Costas. </w:t>
      </w:r>
      <w:r w:rsidRPr="00CF1787">
        <w:rPr>
          <w:rFonts w:eastAsia="Verdana"/>
          <w:lang w:val="es-ES"/>
        </w:rPr>
        <w:t>Sentencia de 21 de noviembre de 2007. Serie C No. 17</w:t>
      </w:r>
      <w:r w:rsidRPr="00CF1787">
        <w:rPr>
          <w:rFonts w:eastAsia="Verdana"/>
          <w:i/>
          <w:lang w:val="es-ES"/>
        </w:rPr>
        <w:t>,</w:t>
      </w:r>
      <w:r w:rsidRPr="00CF1787">
        <w:rPr>
          <w:rFonts w:eastAsia="Verdana"/>
          <w:lang w:val="es-ES"/>
        </w:rPr>
        <w:t xml:space="preserve"> párr. 277, y </w:t>
      </w:r>
      <w:r w:rsidRPr="00CF1787">
        <w:rPr>
          <w:i/>
          <w:lang w:val="es-MX"/>
        </w:rPr>
        <w:t>Caso Herrera Espinoza y otros Vs. Ecuador</w:t>
      </w:r>
      <w:r w:rsidRPr="00CF1787">
        <w:rPr>
          <w:i/>
        </w:rPr>
        <w:t>, supra</w:t>
      </w:r>
      <w:r w:rsidRPr="00CF1787">
        <w:rPr>
          <w:lang w:val="es-MX"/>
        </w:rPr>
        <w:t>, párr. 2</w:t>
      </w:r>
      <w:r w:rsidRPr="00CF1787">
        <w:t>48</w:t>
      </w:r>
      <w:r w:rsidRPr="00CF1787">
        <w:rPr>
          <w:lang w:val="es-MX"/>
        </w:rPr>
        <w:t>.</w:t>
      </w:r>
    </w:p>
  </w:footnote>
  <w:footnote w:id="203">
    <w:p w14:paraId="7146A0FE" w14:textId="02F55B19" w:rsidR="00935D08" w:rsidRPr="00CA1834" w:rsidRDefault="00935D08" w:rsidP="00CA1834">
      <w:pPr>
        <w:pStyle w:val="Footnotes"/>
        <w:tabs>
          <w:tab w:val="left" w:pos="426"/>
        </w:tabs>
        <w:spacing w:before="120" w:after="120"/>
        <w:rPr>
          <w:i/>
          <w:lang w:val="es-CR"/>
        </w:rPr>
      </w:pPr>
      <w:r w:rsidRPr="00CF1787">
        <w:rPr>
          <w:rStyle w:val="FootnoteReference"/>
        </w:rPr>
        <w:footnoteRef/>
      </w:r>
      <w:r w:rsidRPr="00CF1787">
        <w:t xml:space="preserve"> </w:t>
      </w:r>
      <w:r w:rsidRPr="00CF1787">
        <w:tab/>
      </w:r>
      <w:r w:rsidRPr="00CF1787">
        <w:rPr>
          <w:i/>
        </w:rPr>
        <w:t xml:space="preserve">Cfr. </w:t>
      </w:r>
      <w:r w:rsidRPr="00CF1787">
        <w:rPr>
          <w:i/>
          <w:iCs w:val="0"/>
        </w:rPr>
        <w:t xml:space="preserve">Caso </w:t>
      </w:r>
      <w:proofErr w:type="spellStart"/>
      <w:r w:rsidRPr="00CF1787">
        <w:rPr>
          <w:i/>
          <w:iCs w:val="0"/>
        </w:rPr>
        <w:t>Ibsen</w:t>
      </w:r>
      <w:proofErr w:type="spellEnd"/>
      <w:r w:rsidRPr="00CF1787">
        <w:rPr>
          <w:i/>
          <w:iCs w:val="0"/>
        </w:rPr>
        <w:t xml:space="preserve"> Cárdenas e </w:t>
      </w:r>
      <w:proofErr w:type="spellStart"/>
      <w:r w:rsidRPr="00CF1787">
        <w:rPr>
          <w:i/>
          <w:iCs w:val="0"/>
        </w:rPr>
        <w:t>Ibsen</w:t>
      </w:r>
      <w:proofErr w:type="spellEnd"/>
      <w:r w:rsidRPr="00CF1787">
        <w:rPr>
          <w:i/>
          <w:iCs w:val="0"/>
        </w:rPr>
        <w:t xml:space="preserve"> Peña Vs. Bolivia. Fondo, Reparaciones y Costas. </w:t>
      </w:r>
      <w:r w:rsidRPr="00CF1787">
        <w:t xml:space="preserve">Sentencia de 1 de septiembre de 2010. Serie C No. 217, párr. 291, y </w:t>
      </w:r>
      <w:r w:rsidRPr="00CF1787">
        <w:rPr>
          <w:i/>
          <w:spacing w:val="0"/>
          <w:lang w:val="es-MX"/>
        </w:rPr>
        <w:t>Caso Herrera Espinoza y otros Vs. Ecuador</w:t>
      </w:r>
      <w:r w:rsidRPr="00CF1787">
        <w:rPr>
          <w:i/>
        </w:rPr>
        <w:t>, supra</w:t>
      </w:r>
      <w:r w:rsidRPr="00CF1787">
        <w:rPr>
          <w:spacing w:val="0"/>
          <w:lang w:val="es-MX"/>
        </w:rPr>
        <w:t>, párr. 2</w:t>
      </w:r>
      <w:r w:rsidRPr="00CF1787">
        <w:rPr>
          <w:spacing w:val="0"/>
        </w:rPr>
        <w:t>51</w:t>
      </w:r>
      <w:r w:rsidRPr="00CF1787">
        <w:rPr>
          <w:spacing w:val="0"/>
          <w:lang w:val="es-MX"/>
        </w:rPr>
        <w:t>.</w:t>
      </w:r>
    </w:p>
  </w:footnote>
  <w:footnote w:id="204">
    <w:p w14:paraId="5B347313" w14:textId="77777777" w:rsidR="00935D08" w:rsidRPr="00DA0DE9" w:rsidRDefault="00935D08" w:rsidP="008729EC">
      <w:pPr>
        <w:pStyle w:val="FootnoteText"/>
        <w:tabs>
          <w:tab w:val="center" w:pos="426"/>
        </w:tabs>
        <w:rPr>
          <w:b/>
          <w:lang w:val="es-CR"/>
        </w:rPr>
      </w:pPr>
      <w:r>
        <w:rPr>
          <w:rStyle w:val="FootnoteReference"/>
        </w:rPr>
        <w:footnoteRef/>
      </w:r>
      <w:r w:rsidRPr="00DA0DE9">
        <w:rPr>
          <w:lang w:val="es-CR"/>
        </w:rPr>
        <w:t xml:space="preserve"> </w:t>
      </w:r>
      <w:r>
        <w:rPr>
          <w:lang w:val="es-CR"/>
        </w:rPr>
        <w:tab/>
      </w:r>
      <w:r>
        <w:rPr>
          <w:lang w:val="es-CR"/>
        </w:rPr>
        <w:tab/>
      </w:r>
      <w:r w:rsidRPr="00DA0DE9">
        <w:rPr>
          <w:i/>
          <w:lang w:val="es-CR"/>
        </w:rPr>
        <w:t>Cfr</w:t>
      </w:r>
      <w:r w:rsidRPr="00DA0DE9">
        <w:rPr>
          <w:lang w:val="es-CR"/>
        </w:rPr>
        <w:t xml:space="preserve">. </w:t>
      </w:r>
      <w:r w:rsidRPr="00DA0DE9">
        <w:rPr>
          <w:i/>
          <w:lang w:val="es-CR"/>
        </w:rPr>
        <w:t xml:space="preserve">Caso Velásquez Rodríguez Vs. Honduras. Fondo. </w:t>
      </w:r>
      <w:r w:rsidRPr="00DA0DE9">
        <w:rPr>
          <w:lang w:val="es-CR"/>
        </w:rPr>
        <w:t>Sentencia de 29 de julio de 1988. Serie C No. 4,</w:t>
      </w:r>
      <w:r w:rsidRPr="00DA0DE9">
        <w:rPr>
          <w:bCs/>
          <w:lang w:val="es-CR"/>
        </w:rPr>
        <w:t xml:space="preserve">88, y </w:t>
      </w:r>
      <w:r w:rsidRPr="008729EC">
        <w:rPr>
          <w:rStyle w:val="Strong"/>
          <w:b w:val="0"/>
          <w:i/>
          <w:color w:val="000000"/>
          <w:shd w:val="clear" w:color="auto" w:fill="FFFFFF"/>
          <w:lang w:val="es-CR"/>
        </w:rPr>
        <w:t xml:space="preserve">Caso </w:t>
      </w:r>
      <w:proofErr w:type="spellStart"/>
      <w:r w:rsidRPr="008729EC">
        <w:rPr>
          <w:rStyle w:val="Strong"/>
          <w:b w:val="0"/>
          <w:i/>
          <w:color w:val="000000"/>
          <w:shd w:val="clear" w:color="auto" w:fill="FFFFFF"/>
          <w:lang w:val="es-CR"/>
        </w:rPr>
        <w:t>Nadege</w:t>
      </w:r>
      <w:proofErr w:type="spellEnd"/>
      <w:r w:rsidRPr="008729EC">
        <w:rPr>
          <w:rStyle w:val="Strong"/>
          <w:b w:val="0"/>
          <w:i/>
          <w:color w:val="000000"/>
          <w:shd w:val="clear" w:color="auto" w:fill="FFFFFF"/>
          <w:lang w:val="es-CR"/>
        </w:rPr>
        <w:t xml:space="preserve"> </w:t>
      </w:r>
      <w:proofErr w:type="spellStart"/>
      <w:r w:rsidRPr="008729EC">
        <w:rPr>
          <w:rStyle w:val="Strong"/>
          <w:b w:val="0"/>
          <w:i/>
          <w:color w:val="000000"/>
          <w:shd w:val="clear" w:color="auto" w:fill="FFFFFF"/>
          <w:lang w:val="es-CR"/>
        </w:rPr>
        <w:t>Dorzema</w:t>
      </w:r>
      <w:proofErr w:type="spellEnd"/>
      <w:r w:rsidRPr="008729EC">
        <w:rPr>
          <w:rStyle w:val="Strong"/>
          <w:b w:val="0"/>
          <w:i/>
          <w:color w:val="000000"/>
          <w:shd w:val="clear" w:color="auto" w:fill="FFFFFF"/>
          <w:lang w:val="es-CR"/>
        </w:rPr>
        <w:t xml:space="preserve"> y otros Vs. República Dominicana. Fondo Reparaciones y Costas.</w:t>
      </w:r>
      <w:r w:rsidRPr="008729EC">
        <w:rPr>
          <w:rStyle w:val="Strong"/>
          <w:b w:val="0"/>
          <w:color w:val="000000"/>
          <w:shd w:val="clear" w:color="auto" w:fill="FFFFFF"/>
          <w:lang w:val="es-CR"/>
        </w:rPr>
        <w:t xml:space="preserve"> Sentencia de 24 de octubre de 2012. Serie C No. 251, párr. </w:t>
      </w:r>
      <w:r w:rsidRPr="008729EC">
        <w:rPr>
          <w:rStyle w:val="Strong"/>
          <w:b w:val="0"/>
          <w:color w:val="000000"/>
          <w:shd w:val="clear" w:color="auto" w:fill="FFFFFF"/>
        </w:rPr>
        <w:t>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06540"/>
      <w:docPartObj>
        <w:docPartGallery w:val="Page Numbers (Top of Page)"/>
        <w:docPartUnique/>
      </w:docPartObj>
    </w:sdtPr>
    <w:sdtEndPr>
      <w:rPr>
        <w:noProof/>
      </w:rPr>
    </w:sdtEndPr>
    <w:sdtContent>
      <w:p w14:paraId="5B05156B" w14:textId="77777777" w:rsidR="00935D08" w:rsidRDefault="00935D08">
        <w:pPr>
          <w:pStyle w:val="Header"/>
          <w:jc w:val="center"/>
        </w:pPr>
        <w:r>
          <w:t xml:space="preserve"> - </w:t>
        </w:r>
        <w:r>
          <w:fldChar w:fldCharType="begin"/>
        </w:r>
        <w:r>
          <w:instrText xml:space="preserve"> PAGE   \* MERGEFORMAT </w:instrText>
        </w:r>
        <w:r>
          <w:fldChar w:fldCharType="separate"/>
        </w:r>
        <w:r w:rsidR="004730DA">
          <w:rPr>
            <w:noProof/>
          </w:rPr>
          <w:t>54</w:t>
        </w:r>
        <w:r>
          <w:rPr>
            <w:noProof/>
          </w:rPr>
          <w:fldChar w:fldCharType="end"/>
        </w:r>
        <w:r>
          <w:rPr>
            <w:noProof/>
          </w:rPr>
          <w:t xml:space="preserve"> -</w:t>
        </w:r>
      </w:p>
    </w:sdtContent>
  </w:sdt>
  <w:p w14:paraId="6D139ED5" w14:textId="77777777" w:rsidR="00935D08" w:rsidRDefault="00935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8762" w14:textId="77777777" w:rsidR="00935D08" w:rsidRDefault="00935D08">
    <w:pPr>
      <w:pStyle w:val="Header"/>
      <w:jc w:val="center"/>
    </w:pPr>
    <w:r>
      <w:t xml:space="preserve">- </w:t>
    </w:r>
    <w:sdt>
      <w:sdtPr>
        <w:id w:val="18856833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730DA">
          <w:rPr>
            <w:noProof/>
          </w:rPr>
          <w:t>3</w:t>
        </w:r>
        <w:r>
          <w:rPr>
            <w:noProof/>
          </w:rPr>
          <w:fldChar w:fldCharType="end"/>
        </w:r>
        <w:r>
          <w:rPr>
            <w:noProof/>
          </w:rPr>
          <w:t xml:space="preserve"> -</w:t>
        </w:r>
      </w:sdtContent>
    </w:sdt>
  </w:p>
  <w:p w14:paraId="68696828" w14:textId="77777777" w:rsidR="00935D08" w:rsidRDefault="00935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66"/>
    <w:multiLevelType w:val="hybridMultilevel"/>
    <w:tmpl w:val="6A6E934C"/>
    <w:lvl w:ilvl="0" w:tplc="6D5CE7FA">
      <w:start w:val="1"/>
      <w:numFmt w:val="decimal"/>
      <w:pStyle w:val="PrrafodeSentencia"/>
      <w:lvlText w:val="%1."/>
      <w:lvlJc w:val="left"/>
      <w:pPr>
        <w:ind w:left="5130" w:hanging="360"/>
      </w:pPr>
      <w:rPr>
        <w:rFonts w:hint="default"/>
        <w:b w:val="0"/>
        <w:i w:val="0"/>
        <w:strike w:val="0"/>
        <w:color w:val="auto"/>
        <w:sz w:val="20"/>
        <w:szCs w:val="20"/>
        <w:vertAlign w:val="baseline"/>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4C4005E"/>
    <w:multiLevelType w:val="hybridMultilevel"/>
    <w:tmpl w:val="9D6E2F56"/>
    <w:lvl w:ilvl="0" w:tplc="42566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15E9E"/>
    <w:multiLevelType w:val="hybridMultilevel"/>
    <w:tmpl w:val="FBFEF4EA"/>
    <w:lvl w:ilvl="0" w:tplc="4ACABA80">
      <w:start w:val="1"/>
      <w:numFmt w:val="decimal"/>
      <w:lvlText w:val="%1."/>
      <w:lvlJc w:val="left"/>
      <w:pPr>
        <w:ind w:left="720" w:hanging="360"/>
      </w:pPr>
      <w:rPr>
        <w:strike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9932B2"/>
    <w:multiLevelType w:val="hybridMultilevel"/>
    <w:tmpl w:val="3E34AC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1D672E9"/>
    <w:multiLevelType w:val="hybridMultilevel"/>
    <w:tmpl w:val="B934A17E"/>
    <w:lvl w:ilvl="0" w:tplc="99C22336">
      <w:start w:val="1"/>
      <w:numFmt w:val="upperLetter"/>
      <w:pStyle w:val="Heading2"/>
      <w:lvlText w:val="%1."/>
      <w:lvlJc w:val="left"/>
      <w:pPr>
        <w:ind w:left="1494" w:hanging="360"/>
      </w:pPr>
      <w:rPr>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5">
    <w:nsid w:val="18CD190A"/>
    <w:multiLevelType w:val="hybridMultilevel"/>
    <w:tmpl w:val="3E34AC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70D64E9"/>
    <w:multiLevelType w:val="hybridMultilevel"/>
    <w:tmpl w:val="413268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C6144C9"/>
    <w:multiLevelType w:val="hybridMultilevel"/>
    <w:tmpl w:val="DFC2C88C"/>
    <w:lvl w:ilvl="0" w:tplc="0D003964">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ES"/>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17D5093"/>
    <w:multiLevelType w:val="hybridMultilevel"/>
    <w:tmpl w:val="DCDA340A"/>
    <w:lvl w:ilvl="0" w:tplc="140A000F">
      <w:start w:val="1"/>
      <w:numFmt w:val="decimal"/>
      <w:lvlText w:val="%1."/>
      <w:lvlJc w:val="left"/>
      <w:pPr>
        <w:ind w:left="1428" w:hanging="360"/>
      </w:pPr>
      <w:rPr>
        <w:b w:val="0"/>
      </w:rPr>
    </w:lvl>
    <w:lvl w:ilvl="1" w:tplc="24ECE532" w:tentative="1">
      <w:start w:val="1"/>
      <w:numFmt w:val="lowerLetter"/>
      <w:lvlText w:val="%2."/>
      <w:lvlJc w:val="left"/>
      <w:pPr>
        <w:ind w:left="2148" w:hanging="360"/>
      </w:pPr>
    </w:lvl>
    <w:lvl w:ilvl="2" w:tplc="140A0005" w:tentative="1">
      <w:start w:val="1"/>
      <w:numFmt w:val="lowerRoman"/>
      <w:lvlText w:val="%3."/>
      <w:lvlJc w:val="right"/>
      <w:pPr>
        <w:ind w:left="2868" w:hanging="180"/>
      </w:pPr>
    </w:lvl>
    <w:lvl w:ilvl="3" w:tplc="140A0001" w:tentative="1">
      <w:start w:val="1"/>
      <w:numFmt w:val="decimal"/>
      <w:lvlText w:val="%4."/>
      <w:lvlJc w:val="left"/>
      <w:pPr>
        <w:ind w:left="3588" w:hanging="360"/>
      </w:pPr>
    </w:lvl>
    <w:lvl w:ilvl="4" w:tplc="140A0003" w:tentative="1">
      <w:start w:val="1"/>
      <w:numFmt w:val="lowerLetter"/>
      <w:lvlText w:val="%5."/>
      <w:lvlJc w:val="left"/>
      <w:pPr>
        <w:ind w:left="4308" w:hanging="360"/>
      </w:pPr>
    </w:lvl>
    <w:lvl w:ilvl="5" w:tplc="140A0005" w:tentative="1">
      <w:start w:val="1"/>
      <w:numFmt w:val="lowerRoman"/>
      <w:lvlText w:val="%6."/>
      <w:lvlJc w:val="right"/>
      <w:pPr>
        <w:ind w:left="5028" w:hanging="180"/>
      </w:pPr>
    </w:lvl>
    <w:lvl w:ilvl="6" w:tplc="140A0001" w:tentative="1">
      <w:start w:val="1"/>
      <w:numFmt w:val="decimal"/>
      <w:lvlText w:val="%7."/>
      <w:lvlJc w:val="left"/>
      <w:pPr>
        <w:ind w:left="5748" w:hanging="360"/>
      </w:pPr>
    </w:lvl>
    <w:lvl w:ilvl="7" w:tplc="140A0003" w:tentative="1">
      <w:start w:val="1"/>
      <w:numFmt w:val="lowerLetter"/>
      <w:lvlText w:val="%8."/>
      <w:lvlJc w:val="left"/>
      <w:pPr>
        <w:ind w:left="6468" w:hanging="360"/>
      </w:pPr>
    </w:lvl>
    <w:lvl w:ilvl="8" w:tplc="140A0005" w:tentative="1">
      <w:start w:val="1"/>
      <w:numFmt w:val="lowerRoman"/>
      <w:lvlText w:val="%9."/>
      <w:lvlJc w:val="right"/>
      <w:pPr>
        <w:ind w:left="7188" w:hanging="180"/>
      </w:pPr>
    </w:lvl>
  </w:abstractNum>
  <w:abstractNum w:abstractNumId="9">
    <w:nsid w:val="3EE223B8"/>
    <w:multiLevelType w:val="hybridMultilevel"/>
    <w:tmpl w:val="EFAE968A"/>
    <w:lvl w:ilvl="0" w:tplc="25D4B3F4">
      <w:start w:val="8"/>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3F0A2CE1"/>
    <w:multiLevelType w:val="hybridMultilevel"/>
    <w:tmpl w:val="14681A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1342F26"/>
    <w:multiLevelType w:val="hybridMultilevel"/>
    <w:tmpl w:val="34C01CC8"/>
    <w:lvl w:ilvl="0" w:tplc="A6DE4350">
      <w:start w:val="1"/>
      <w:numFmt w:val="decimal"/>
      <w:pStyle w:val="ListParagraph"/>
      <w:lvlText w:val="%1."/>
      <w:lvlJc w:val="left"/>
      <w:pPr>
        <w:ind w:left="720" w:hanging="360"/>
      </w:pPr>
      <w:rPr>
        <w:rFonts w:hint="default"/>
        <w:b w:val="0"/>
        <w:i w:val="0"/>
        <w:color w:val="auto"/>
        <w:lang w:val="es-E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429B75C9"/>
    <w:multiLevelType w:val="hybridMultilevel"/>
    <w:tmpl w:val="04A0B3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4A03290D"/>
    <w:multiLevelType w:val="hybridMultilevel"/>
    <w:tmpl w:val="213C7D2E"/>
    <w:lvl w:ilvl="0" w:tplc="25D4B3F4">
      <w:start w:val="8"/>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50562F06"/>
    <w:multiLevelType w:val="hybridMultilevel"/>
    <w:tmpl w:val="290044E0"/>
    <w:lvl w:ilvl="0" w:tplc="3EF25F7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1FE496F"/>
    <w:multiLevelType w:val="hybridMultilevel"/>
    <w:tmpl w:val="B6240700"/>
    <w:lvl w:ilvl="0" w:tplc="140A0015">
      <w:start w:val="1"/>
      <w:numFmt w:val="upperLetter"/>
      <w:lvlText w:val="%1."/>
      <w:lvlJc w:val="left"/>
      <w:pPr>
        <w:ind w:left="720" w:hanging="360"/>
      </w:pPr>
      <w:rPr>
        <w:rFonts w:hint="default"/>
      </w:rPr>
    </w:lvl>
    <w:lvl w:ilvl="1" w:tplc="F37A298C">
      <w:start w:val="1"/>
      <w:numFmt w:val="lowerLetter"/>
      <w:lvlText w:val="%2)"/>
      <w:lvlJc w:val="left"/>
      <w:pPr>
        <w:ind w:left="1455" w:hanging="3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582437F2"/>
    <w:multiLevelType w:val="hybridMultilevel"/>
    <w:tmpl w:val="482891FE"/>
    <w:lvl w:ilvl="0" w:tplc="5FB4F916">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92F3665"/>
    <w:multiLevelType w:val="hybridMultilevel"/>
    <w:tmpl w:val="A38470BE"/>
    <w:lvl w:ilvl="0" w:tplc="150A6194">
      <w:start w:val="1"/>
      <w:numFmt w:val="decimal"/>
      <w:lvlText w:val="%1."/>
      <w:lvlJc w:val="left"/>
      <w:pPr>
        <w:ind w:left="720" w:hanging="360"/>
      </w:pPr>
      <w:rPr>
        <w:b/>
      </w:rPr>
    </w:lvl>
    <w:lvl w:ilvl="1" w:tplc="140A000B">
      <w:start w:val="1"/>
      <w:numFmt w:val="bullet"/>
      <w:lvlText w:val=""/>
      <w:lvlJc w:val="left"/>
      <w:pPr>
        <w:ind w:left="1440" w:hanging="360"/>
      </w:pPr>
      <w:rPr>
        <w:rFonts w:ascii="Wingdings" w:hAnsi="Wingdings" w:hint="default"/>
      </w:rPr>
    </w:lvl>
    <w:lvl w:ilvl="2" w:tplc="C9B25032">
      <w:start w:val="1"/>
      <w:numFmt w:val="lowerRoman"/>
      <w:lvlText w:val="(%3)"/>
      <w:lvlJc w:val="left"/>
      <w:pPr>
        <w:ind w:left="1288" w:hanging="72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7847803"/>
    <w:multiLevelType w:val="hybridMultilevel"/>
    <w:tmpl w:val="4042965A"/>
    <w:lvl w:ilvl="0" w:tplc="BAF82D72">
      <w:start w:val="1"/>
      <w:numFmt w:val="decimal"/>
      <w:lvlText w:val="%1."/>
      <w:lvlJc w:val="left"/>
      <w:pPr>
        <w:ind w:left="930" w:hanging="570"/>
      </w:pPr>
      <w:rPr>
        <w:rFonts w:hint="default"/>
        <w:b w:val="0"/>
        <w:i w:val="0"/>
        <w:color w:val="auto"/>
        <w:lang w:val="es-CR"/>
      </w:rPr>
    </w:lvl>
    <w:lvl w:ilvl="1" w:tplc="35D2116E">
      <w:start w:val="1"/>
      <w:numFmt w:val="lowerLetter"/>
      <w:lvlText w:val="%2)"/>
      <w:lvlJc w:val="left"/>
      <w:pPr>
        <w:ind w:left="1530" w:hanging="360"/>
      </w:pPr>
      <w:rPr>
        <w:rFonts w:hint="default"/>
        <w:b w:val="0"/>
        <w:color w:val="000000" w:themeColor="text1"/>
      </w:rPr>
    </w:lvl>
    <w:lvl w:ilvl="2" w:tplc="70DAD76A">
      <w:start w:val="1"/>
      <w:numFmt w:val="upperLetter"/>
      <w:lvlText w:val="%3."/>
      <w:lvlJc w:val="left"/>
      <w:pPr>
        <w:ind w:left="2340" w:hanging="360"/>
      </w:pPr>
      <w:rPr>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tplc="4F28326A">
      <w:start w:val="1"/>
      <w:numFmt w:val="lowerRoman"/>
      <w:lvlText w:val="%4."/>
      <w:lvlJc w:val="left"/>
      <w:pPr>
        <w:ind w:left="3240" w:hanging="720"/>
      </w:pPr>
      <w:rPr>
        <w:rFonts w:hint="default"/>
        <w:i/>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7F0346A"/>
    <w:multiLevelType w:val="hybridMultilevel"/>
    <w:tmpl w:val="848EA0A8"/>
    <w:lvl w:ilvl="0" w:tplc="7D1E6566">
      <w:start w:val="1"/>
      <w:numFmt w:val="lowerRoman"/>
      <w:lvlText w:val="%1)"/>
      <w:lvlJc w:val="right"/>
      <w:pPr>
        <w:ind w:left="1428" w:hanging="360"/>
      </w:pPr>
      <w:rPr>
        <w:rFont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0">
    <w:nsid w:val="73526F07"/>
    <w:multiLevelType w:val="hybridMultilevel"/>
    <w:tmpl w:val="4A82EF4E"/>
    <w:lvl w:ilvl="0" w:tplc="25D4B3F4">
      <w:start w:val="8"/>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7CE64D32"/>
    <w:multiLevelType w:val="hybridMultilevel"/>
    <w:tmpl w:val="F84AD750"/>
    <w:lvl w:ilvl="0" w:tplc="93EAE40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MX"/>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21"/>
  </w:num>
  <w:num w:numId="2">
    <w:abstractNumId w:val="0"/>
  </w:num>
  <w:num w:numId="3">
    <w:abstractNumId w:val="8"/>
  </w:num>
  <w:num w:numId="4">
    <w:abstractNumId w:val="19"/>
  </w:num>
  <w:num w:numId="5">
    <w:abstractNumId w:val="18"/>
  </w:num>
  <w:num w:numId="6">
    <w:abstractNumId w:val="1"/>
  </w:num>
  <w:num w:numId="7">
    <w:abstractNumId w:val="4"/>
    <w:lvlOverride w:ilvl="0">
      <w:startOverride w:val="1"/>
    </w:lvlOverride>
  </w:num>
  <w:num w:numId="8">
    <w:abstractNumId w:val="17"/>
  </w:num>
  <w:num w:numId="9">
    <w:abstractNumId w:val="4"/>
  </w:num>
  <w:num w:numId="10">
    <w:abstractNumId w:val="11"/>
  </w:num>
  <w:num w:numId="11">
    <w:abstractNumId w:val="12"/>
  </w:num>
  <w:num w:numId="12">
    <w:abstractNumId w:val="3"/>
  </w:num>
  <w:num w:numId="13">
    <w:abstractNumId w:val="10"/>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6"/>
  </w:num>
  <w:num w:numId="18">
    <w:abstractNumId w:val="5"/>
  </w:num>
  <w:num w:numId="19">
    <w:abstractNumId w:val="20"/>
  </w:num>
  <w:num w:numId="20">
    <w:abstractNumId w:val="13"/>
  </w:num>
  <w:num w:numId="21">
    <w:abstractNumId w:val="9"/>
  </w:num>
  <w:num w:numId="22">
    <w:abstractNumId w:val="4"/>
    <w:lvlOverride w:ilvl="0">
      <w:startOverride w:val="1"/>
    </w:lvlOverride>
  </w:num>
  <w:num w:numId="23">
    <w:abstractNumId w:val="7"/>
  </w:num>
  <w:num w:numId="24">
    <w:abstractNumId w:val="2"/>
  </w:num>
  <w:num w:numId="25">
    <w:abstractNumId w:val="15"/>
  </w:num>
  <w:num w:numId="26">
    <w:abstractNumId w:val="16"/>
  </w:num>
  <w:num w:numId="27">
    <w:abstractNumId w:val="14"/>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7E"/>
    <w:rsid w:val="00000484"/>
    <w:rsid w:val="00000560"/>
    <w:rsid w:val="00001FBA"/>
    <w:rsid w:val="000022FE"/>
    <w:rsid w:val="00002BE4"/>
    <w:rsid w:val="00002C21"/>
    <w:rsid w:val="000036F0"/>
    <w:rsid w:val="000038FE"/>
    <w:rsid w:val="0000461F"/>
    <w:rsid w:val="00005E93"/>
    <w:rsid w:val="0001050F"/>
    <w:rsid w:val="00011AE3"/>
    <w:rsid w:val="00011BCE"/>
    <w:rsid w:val="00012557"/>
    <w:rsid w:val="00012946"/>
    <w:rsid w:val="00013131"/>
    <w:rsid w:val="00014CF2"/>
    <w:rsid w:val="00014F1F"/>
    <w:rsid w:val="00015A0E"/>
    <w:rsid w:val="000165CE"/>
    <w:rsid w:val="00017FF8"/>
    <w:rsid w:val="00022CF2"/>
    <w:rsid w:val="000230D7"/>
    <w:rsid w:val="00024BAD"/>
    <w:rsid w:val="00024BB4"/>
    <w:rsid w:val="00025734"/>
    <w:rsid w:val="0002595F"/>
    <w:rsid w:val="00027300"/>
    <w:rsid w:val="00030FAE"/>
    <w:rsid w:val="00032250"/>
    <w:rsid w:val="0003395B"/>
    <w:rsid w:val="00033D75"/>
    <w:rsid w:val="00035E08"/>
    <w:rsid w:val="00036EC7"/>
    <w:rsid w:val="00037575"/>
    <w:rsid w:val="00037AB6"/>
    <w:rsid w:val="00037C60"/>
    <w:rsid w:val="00040604"/>
    <w:rsid w:val="00040D27"/>
    <w:rsid w:val="000413E4"/>
    <w:rsid w:val="00041F13"/>
    <w:rsid w:val="00042B8C"/>
    <w:rsid w:val="00042E2E"/>
    <w:rsid w:val="00043D96"/>
    <w:rsid w:val="00044EEF"/>
    <w:rsid w:val="000473DD"/>
    <w:rsid w:val="00050911"/>
    <w:rsid w:val="00051D26"/>
    <w:rsid w:val="0005241D"/>
    <w:rsid w:val="000530A1"/>
    <w:rsid w:val="00053DE3"/>
    <w:rsid w:val="0005525F"/>
    <w:rsid w:val="0005622D"/>
    <w:rsid w:val="00056A53"/>
    <w:rsid w:val="00060786"/>
    <w:rsid w:val="000615A8"/>
    <w:rsid w:val="00063F66"/>
    <w:rsid w:val="00064646"/>
    <w:rsid w:val="00067688"/>
    <w:rsid w:val="00067BC8"/>
    <w:rsid w:val="00067D05"/>
    <w:rsid w:val="00071BC1"/>
    <w:rsid w:val="00071E61"/>
    <w:rsid w:val="00072819"/>
    <w:rsid w:val="00072B45"/>
    <w:rsid w:val="00073625"/>
    <w:rsid w:val="000746EA"/>
    <w:rsid w:val="00074B55"/>
    <w:rsid w:val="00074C7A"/>
    <w:rsid w:val="00074DFB"/>
    <w:rsid w:val="000758D2"/>
    <w:rsid w:val="00076274"/>
    <w:rsid w:val="000804BA"/>
    <w:rsid w:val="000825E2"/>
    <w:rsid w:val="00082D3E"/>
    <w:rsid w:val="00082FF9"/>
    <w:rsid w:val="0008488C"/>
    <w:rsid w:val="0008527E"/>
    <w:rsid w:val="00085667"/>
    <w:rsid w:val="000858A4"/>
    <w:rsid w:val="000908A9"/>
    <w:rsid w:val="00090CB0"/>
    <w:rsid w:val="000917E0"/>
    <w:rsid w:val="00092FAB"/>
    <w:rsid w:val="00093E5E"/>
    <w:rsid w:val="0009562D"/>
    <w:rsid w:val="0009584D"/>
    <w:rsid w:val="0009635C"/>
    <w:rsid w:val="000964F1"/>
    <w:rsid w:val="000A1031"/>
    <w:rsid w:val="000A347B"/>
    <w:rsid w:val="000A3724"/>
    <w:rsid w:val="000A3933"/>
    <w:rsid w:val="000A4699"/>
    <w:rsid w:val="000A5AA6"/>
    <w:rsid w:val="000A5EB8"/>
    <w:rsid w:val="000A62AC"/>
    <w:rsid w:val="000A7BFF"/>
    <w:rsid w:val="000B1044"/>
    <w:rsid w:val="000B1663"/>
    <w:rsid w:val="000B1DFF"/>
    <w:rsid w:val="000B48A5"/>
    <w:rsid w:val="000B4956"/>
    <w:rsid w:val="000B4D95"/>
    <w:rsid w:val="000B560C"/>
    <w:rsid w:val="000B6741"/>
    <w:rsid w:val="000B6919"/>
    <w:rsid w:val="000C1325"/>
    <w:rsid w:val="000C1B92"/>
    <w:rsid w:val="000C1D96"/>
    <w:rsid w:val="000C2F2B"/>
    <w:rsid w:val="000C5E1E"/>
    <w:rsid w:val="000C6619"/>
    <w:rsid w:val="000C6A90"/>
    <w:rsid w:val="000C7068"/>
    <w:rsid w:val="000C739D"/>
    <w:rsid w:val="000D0A32"/>
    <w:rsid w:val="000D1EF8"/>
    <w:rsid w:val="000D22C1"/>
    <w:rsid w:val="000D300B"/>
    <w:rsid w:val="000D43D6"/>
    <w:rsid w:val="000D4643"/>
    <w:rsid w:val="000D493E"/>
    <w:rsid w:val="000D4BD7"/>
    <w:rsid w:val="000D564D"/>
    <w:rsid w:val="000D57A4"/>
    <w:rsid w:val="000D5842"/>
    <w:rsid w:val="000D58ED"/>
    <w:rsid w:val="000D70BD"/>
    <w:rsid w:val="000D79B4"/>
    <w:rsid w:val="000D7F0A"/>
    <w:rsid w:val="000E0AAE"/>
    <w:rsid w:val="000E12B3"/>
    <w:rsid w:val="000E1506"/>
    <w:rsid w:val="000E1811"/>
    <w:rsid w:val="000E31E8"/>
    <w:rsid w:val="000E382E"/>
    <w:rsid w:val="000E3978"/>
    <w:rsid w:val="000E4F2D"/>
    <w:rsid w:val="000E60D0"/>
    <w:rsid w:val="000E63A0"/>
    <w:rsid w:val="000E78F8"/>
    <w:rsid w:val="000E7B56"/>
    <w:rsid w:val="000F11EB"/>
    <w:rsid w:val="000F3ACA"/>
    <w:rsid w:val="000F3D49"/>
    <w:rsid w:val="000F5805"/>
    <w:rsid w:val="000F60EC"/>
    <w:rsid w:val="000F6102"/>
    <w:rsid w:val="000F6162"/>
    <w:rsid w:val="000F7032"/>
    <w:rsid w:val="000F752E"/>
    <w:rsid w:val="00100340"/>
    <w:rsid w:val="001006A8"/>
    <w:rsid w:val="00101495"/>
    <w:rsid w:val="00101638"/>
    <w:rsid w:val="00101989"/>
    <w:rsid w:val="001023FF"/>
    <w:rsid w:val="001032A0"/>
    <w:rsid w:val="00103BA3"/>
    <w:rsid w:val="0010469C"/>
    <w:rsid w:val="00104B36"/>
    <w:rsid w:val="001054AA"/>
    <w:rsid w:val="00105E51"/>
    <w:rsid w:val="0011008B"/>
    <w:rsid w:val="001108A1"/>
    <w:rsid w:val="001141A6"/>
    <w:rsid w:val="00114B3C"/>
    <w:rsid w:val="00114D72"/>
    <w:rsid w:val="0011572A"/>
    <w:rsid w:val="0011576A"/>
    <w:rsid w:val="00115AC9"/>
    <w:rsid w:val="00115EF6"/>
    <w:rsid w:val="00117332"/>
    <w:rsid w:val="001179C9"/>
    <w:rsid w:val="0012479A"/>
    <w:rsid w:val="00125214"/>
    <w:rsid w:val="001265D5"/>
    <w:rsid w:val="00126C0C"/>
    <w:rsid w:val="0012731C"/>
    <w:rsid w:val="0012789D"/>
    <w:rsid w:val="00132120"/>
    <w:rsid w:val="00133AE7"/>
    <w:rsid w:val="0013437D"/>
    <w:rsid w:val="00135018"/>
    <w:rsid w:val="0013504C"/>
    <w:rsid w:val="00135ACC"/>
    <w:rsid w:val="001362BC"/>
    <w:rsid w:val="0013635D"/>
    <w:rsid w:val="001400FD"/>
    <w:rsid w:val="00140E00"/>
    <w:rsid w:val="00140F8F"/>
    <w:rsid w:val="00141004"/>
    <w:rsid w:val="00141E4A"/>
    <w:rsid w:val="00144671"/>
    <w:rsid w:val="0014478A"/>
    <w:rsid w:val="00144BB6"/>
    <w:rsid w:val="00145ABD"/>
    <w:rsid w:val="0014640D"/>
    <w:rsid w:val="00146B43"/>
    <w:rsid w:val="00146E87"/>
    <w:rsid w:val="0015009A"/>
    <w:rsid w:val="00151DEB"/>
    <w:rsid w:val="00152DD3"/>
    <w:rsid w:val="0015387C"/>
    <w:rsid w:val="00156FF8"/>
    <w:rsid w:val="00157DD2"/>
    <w:rsid w:val="001601E4"/>
    <w:rsid w:val="00160684"/>
    <w:rsid w:val="00161659"/>
    <w:rsid w:val="00162302"/>
    <w:rsid w:val="00163F2C"/>
    <w:rsid w:val="00164F47"/>
    <w:rsid w:val="00166327"/>
    <w:rsid w:val="00166935"/>
    <w:rsid w:val="00167264"/>
    <w:rsid w:val="0016746E"/>
    <w:rsid w:val="00167538"/>
    <w:rsid w:val="001702C3"/>
    <w:rsid w:val="001707F9"/>
    <w:rsid w:val="00170FC2"/>
    <w:rsid w:val="00171FE6"/>
    <w:rsid w:val="00172FDB"/>
    <w:rsid w:val="00176914"/>
    <w:rsid w:val="00177964"/>
    <w:rsid w:val="00177F35"/>
    <w:rsid w:val="00180C2A"/>
    <w:rsid w:val="00182404"/>
    <w:rsid w:val="00183489"/>
    <w:rsid w:val="00183658"/>
    <w:rsid w:val="00184D60"/>
    <w:rsid w:val="00185078"/>
    <w:rsid w:val="0018568D"/>
    <w:rsid w:val="001863BA"/>
    <w:rsid w:val="001867BD"/>
    <w:rsid w:val="00190178"/>
    <w:rsid w:val="0019090C"/>
    <w:rsid w:val="00192476"/>
    <w:rsid w:val="00192A85"/>
    <w:rsid w:val="00193580"/>
    <w:rsid w:val="00195770"/>
    <w:rsid w:val="00196998"/>
    <w:rsid w:val="00197449"/>
    <w:rsid w:val="001A35E1"/>
    <w:rsid w:val="001A511B"/>
    <w:rsid w:val="001A5C17"/>
    <w:rsid w:val="001A6FCA"/>
    <w:rsid w:val="001A71E4"/>
    <w:rsid w:val="001A72E8"/>
    <w:rsid w:val="001B235C"/>
    <w:rsid w:val="001B38FA"/>
    <w:rsid w:val="001B4736"/>
    <w:rsid w:val="001B5A21"/>
    <w:rsid w:val="001B5B7D"/>
    <w:rsid w:val="001B5E90"/>
    <w:rsid w:val="001C0429"/>
    <w:rsid w:val="001C241C"/>
    <w:rsid w:val="001C2ED0"/>
    <w:rsid w:val="001C35C0"/>
    <w:rsid w:val="001C42AD"/>
    <w:rsid w:val="001C4563"/>
    <w:rsid w:val="001C4FB3"/>
    <w:rsid w:val="001C546C"/>
    <w:rsid w:val="001C59CB"/>
    <w:rsid w:val="001C5A64"/>
    <w:rsid w:val="001C5C1F"/>
    <w:rsid w:val="001C69B6"/>
    <w:rsid w:val="001C6A29"/>
    <w:rsid w:val="001C75A6"/>
    <w:rsid w:val="001C7FFD"/>
    <w:rsid w:val="001D0932"/>
    <w:rsid w:val="001D1CF3"/>
    <w:rsid w:val="001D1EEF"/>
    <w:rsid w:val="001D29E7"/>
    <w:rsid w:val="001D4209"/>
    <w:rsid w:val="001D4D93"/>
    <w:rsid w:val="001D6E98"/>
    <w:rsid w:val="001E3BA2"/>
    <w:rsid w:val="001E4A09"/>
    <w:rsid w:val="001E4D4D"/>
    <w:rsid w:val="001E53CE"/>
    <w:rsid w:val="001F1EA7"/>
    <w:rsid w:val="001F25EB"/>
    <w:rsid w:val="001F38F7"/>
    <w:rsid w:val="001F590E"/>
    <w:rsid w:val="001F61CC"/>
    <w:rsid w:val="001F792F"/>
    <w:rsid w:val="001F7CD7"/>
    <w:rsid w:val="0020127E"/>
    <w:rsid w:val="0020264C"/>
    <w:rsid w:val="0020273C"/>
    <w:rsid w:val="00202BEE"/>
    <w:rsid w:val="00205429"/>
    <w:rsid w:val="00205A69"/>
    <w:rsid w:val="00206ADA"/>
    <w:rsid w:val="002072D4"/>
    <w:rsid w:val="00212397"/>
    <w:rsid w:val="00213E8C"/>
    <w:rsid w:val="0021486B"/>
    <w:rsid w:val="002170BA"/>
    <w:rsid w:val="0021747B"/>
    <w:rsid w:val="00217AAE"/>
    <w:rsid w:val="00217F93"/>
    <w:rsid w:val="0022064A"/>
    <w:rsid w:val="00221FAC"/>
    <w:rsid w:val="00222793"/>
    <w:rsid w:val="00223499"/>
    <w:rsid w:val="00223C09"/>
    <w:rsid w:val="002245F4"/>
    <w:rsid w:val="00225DE7"/>
    <w:rsid w:val="00226E5B"/>
    <w:rsid w:val="002277DB"/>
    <w:rsid w:val="0023125C"/>
    <w:rsid w:val="00231578"/>
    <w:rsid w:val="00231C59"/>
    <w:rsid w:val="00232B33"/>
    <w:rsid w:val="00232C46"/>
    <w:rsid w:val="00232C6E"/>
    <w:rsid w:val="00233AA0"/>
    <w:rsid w:val="00234356"/>
    <w:rsid w:val="0023443B"/>
    <w:rsid w:val="00235D24"/>
    <w:rsid w:val="002369D7"/>
    <w:rsid w:val="00236B5D"/>
    <w:rsid w:val="00236BF0"/>
    <w:rsid w:val="002373DF"/>
    <w:rsid w:val="00237E12"/>
    <w:rsid w:val="00245239"/>
    <w:rsid w:val="00247437"/>
    <w:rsid w:val="00250CA6"/>
    <w:rsid w:val="00252C9D"/>
    <w:rsid w:val="00252EF1"/>
    <w:rsid w:val="0025306E"/>
    <w:rsid w:val="00255812"/>
    <w:rsid w:val="00255AD7"/>
    <w:rsid w:val="00256123"/>
    <w:rsid w:val="002565B7"/>
    <w:rsid w:val="002571B6"/>
    <w:rsid w:val="002571CD"/>
    <w:rsid w:val="002606E4"/>
    <w:rsid w:val="00261D8F"/>
    <w:rsid w:val="0026227E"/>
    <w:rsid w:val="00262952"/>
    <w:rsid w:val="002637FC"/>
    <w:rsid w:val="0026392B"/>
    <w:rsid w:val="00264405"/>
    <w:rsid w:val="00264FC4"/>
    <w:rsid w:val="0026687E"/>
    <w:rsid w:val="00266CFF"/>
    <w:rsid w:val="0027036D"/>
    <w:rsid w:val="00271B9E"/>
    <w:rsid w:val="002739BC"/>
    <w:rsid w:val="00274A51"/>
    <w:rsid w:val="00274E1A"/>
    <w:rsid w:val="0027524E"/>
    <w:rsid w:val="002809FB"/>
    <w:rsid w:val="002816E9"/>
    <w:rsid w:val="002835F2"/>
    <w:rsid w:val="00284070"/>
    <w:rsid w:val="00284557"/>
    <w:rsid w:val="00284D34"/>
    <w:rsid w:val="0028653D"/>
    <w:rsid w:val="00287DFA"/>
    <w:rsid w:val="00290292"/>
    <w:rsid w:val="0029063C"/>
    <w:rsid w:val="0029140F"/>
    <w:rsid w:val="00291453"/>
    <w:rsid w:val="002918F7"/>
    <w:rsid w:val="00293EBF"/>
    <w:rsid w:val="00294E20"/>
    <w:rsid w:val="002A0C74"/>
    <w:rsid w:val="002A1078"/>
    <w:rsid w:val="002A1D38"/>
    <w:rsid w:val="002A52F8"/>
    <w:rsid w:val="002A58BD"/>
    <w:rsid w:val="002A6CC6"/>
    <w:rsid w:val="002A7083"/>
    <w:rsid w:val="002B1046"/>
    <w:rsid w:val="002B143B"/>
    <w:rsid w:val="002B1F3E"/>
    <w:rsid w:val="002B381B"/>
    <w:rsid w:val="002B3AEE"/>
    <w:rsid w:val="002B3D04"/>
    <w:rsid w:val="002B45F5"/>
    <w:rsid w:val="002B6177"/>
    <w:rsid w:val="002B6819"/>
    <w:rsid w:val="002B727B"/>
    <w:rsid w:val="002B7379"/>
    <w:rsid w:val="002C0298"/>
    <w:rsid w:val="002C0636"/>
    <w:rsid w:val="002C15FE"/>
    <w:rsid w:val="002C1E66"/>
    <w:rsid w:val="002C37A3"/>
    <w:rsid w:val="002C41DC"/>
    <w:rsid w:val="002C4F5F"/>
    <w:rsid w:val="002C5EEE"/>
    <w:rsid w:val="002C6521"/>
    <w:rsid w:val="002C6C69"/>
    <w:rsid w:val="002C7735"/>
    <w:rsid w:val="002C7C60"/>
    <w:rsid w:val="002C7EAC"/>
    <w:rsid w:val="002D0E9D"/>
    <w:rsid w:val="002D2062"/>
    <w:rsid w:val="002D25F7"/>
    <w:rsid w:val="002D2DC7"/>
    <w:rsid w:val="002D31DB"/>
    <w:rsid w:val="002D4375"/>
    <w:rsid w:val="002D4B56"/>
    <w:rsid w:val="002D52A8"/>
    <w:rsid w:val="002D5562"/>
    <w:rsid w:val="002D5B11"/>
    <w:rsid w:val="002D6BFC"/>
    <w:rsid w:val="002D74D4"/>
    <w:rsid w:val="002D7946"/>
    <w:rsid w:val="002E25B8"/>
    <w:rsid w:val="002E28C0"/>
    <w:rsid w:val="002E3068"/>
    <w:rsid w:val="002E3E8E"/>
    <w:rsid w:val="002E555C"/>
    <w:rsid w:val="002E6232"/>
    <w:rsid w:val="002E6868"/>
    <w:rsid w:val="002F020F"/>
    <w:rsid w:val="002F1E1C"/>
    <w:rsid w:val="002F2E89"/>
    <w:rsid w:val="002F3CA1"/>
    <w:rsid w:val="002F3F5C"/>
    <w:rsid w:val="002F6BAA"/>
    <w:rsid w:val="003000C2"/>
    <w:rsid w:val="003017CE"/>
    <w:rsid w:val="0030208B"/>
    <w:rsid w:val="003020DA"/>
    <w:rsid w:val="00303020"/>
    <w:rsid w:val="00303EC8"/>
    <w:rsid w:val="003040A6"/>
    <w:rsid w:val="003050D0"/>
    <w:rsid w:val="00306414"/>
    <w:rsid w:val="00307E91"/>
    <w:rsid w:val="003102A9"/>
    <w:rsid w:val="003118BF"/>
    <w:rsid w:val="00312831"/>
    <w:rsid w:val="00313267"/>
    <w:rsid w:val="003138B0"/>
    <w:rsid w:val="00313DB6"/>
    <w:rsid w:val="0032031C"/>
    <w:rsid w:val="003218A4"/>
    <w:rsid w:val="003223AE"/>
    <w:rsid w:val="00322F37"/>
    <w:rsid w:val="00323BFE"/>
    <w:rsid w:val="00323CBC"/>
    <w:rsid w:val="003246B9"/>
    <w:rsid w:val="00325DD2"/>
    <w:rsid w:val="00326329"/>
    <w:rsid w:val="003263B3"/>
    <w:rsid w:val="00326C2D"/>
    <w:rsid w:val="00326F0D"/>
    <w:rsid w:val="00330281"/>
    <w:rsid w:val="00330828"/>
    <w:rsid w:val="00330B06"/>
    <w:rsid w:val="003315CD"/>
    <w:rsid w:val="00331DEC"/>
    <w:rsid w:val="00331E69"/>
    <w:rsid w:val="003324B2"/>
    <w:rsid w:val="003331A7"/>
    <w:rsid w:val="003337BD"/>
    <w:rsid w:val="00333EC2"/>
    <w:rsid w:val="00334BF5"/>
    <w:rsid w:val="00335314"/>
    <w:rsid w:val="0033725C"/>
    <w:rsid w:val="0033798E"/>
    <w:rsid w:val="00340157"/>
    <w:rsid w:val="00340512"/>
    <w:rsid w:val="00340D22"/>
    <w:rsid w:val="003413CE"/>
    <w:rsid w:val="003438D8"/>
    <w:rsid w:val="00346721"/>
    <w:rsid w:val="00346A61"/>
    <w:rsid w:val="0034798D"/>
    <w:rsid w:val="00347E4F"/>
    <w:rsid w:val="00350276"/>
    <w:rsid w:val="00350C09"/>
    <w:rsid w:val="00353204"/>
    <w:rsid w:val="00353579"/>
    <w:rsid w:val="00353671"/>
    <w:rsid w:val="00353A0F"/>
    <w:rsid w:val="00354D41"/>
    <w:rsid w:val="003552CD"/>
    <w:rsid w:val="003559C6"/>
    <w:rsid w:val="0035697B"/>
    <w:rsid w:val="00357631"/>
    <w:rsid w:val="003603CA"/>
    <w:rsid w:val="003616CC"/>
    <w:rsid w:val="00361908"/>
    <w:rsid w:val="00361D95"/>
    <w:rsid w:val="003626BC"/>
    <w:rsid w:val="003628C0"/>
    <w:rsid w:val="00362DE3"/>
    <w:rsid w:val="0036421E"/>
    <w:rsid w:val="003654C4"/>
    <w:rsid w:val="003656CD"/>
    <w:rsid w:val="003658B5"/>
    <w:rsid w:val="0036648B"/>
    <w:rsid w:val="0036706C"/>
    <w:rsid w:val="00367D10"/>
    <w:rsid w:val="00367E81"/>
    <w:rsid w:val="00370A6E"/>
    <w:rsid w:val="00370DE4"/>
    <w:rsid w:val="00370F91"/>
    <w:rsid w:val="003712DA"/>
    <w:rsid w:val="0037137D"/>
    <w:rsid w:val="003726AD"/>
    <w:rsid w:val="003728F8"/>
    <w:rsid w:val="0037358B"/>
    <w:rsid w:val="0038153E"/>
    <w:rsid w:val="0038182F"/>
    <w:rsid w:val="003824AB"/>
    <w:rsid w:val="003838DD"/>
    <w:rsid w:val="00383EAF"/>
    <w:rsid w:val="00384222"/>
    <w:rsid w:val="00386AF4"/>
    <w:rsid w:val="003901F5"/>
    <w:rsid w:val="003904E5"/>
    <w:rsid w:val="00390B69"/>
    <w:rsid w:val="00391591"/>
    <w:rsid w:val="00393E65"/>
    <w:rsid w:val="00394018"/>
    <w:rsid w:val="003940D9"/>
    <w:rsid w:val="00394248"/>
    <w:rsid w:val="00395A01"/>
    <w:rsid w:val="00395D5D"/>
    <w:rsid w:val="0039668B"/>
    <w:rsid w:val="00396823"/>
    <w:rsid w:val="00397AC9"/>
    <w:rsid w:val="003A0FB2"/>
    <w:rsid w:val="003A1370"/>
    <w:rsid w:val="003A15ED"/>
    <w:rsid w:val="003A17F9"/>
    <w:rsid w:val="003A289F"/>
    <w:rsid w:val="003A54C5"/>
    <w:rsid w:val="003B06FF"/>
    <w:rsid w:val="003B130A"/>
    <w:rsid w:val="003B24AE"/>
    <w:rsid w:val="003B2655"/>
    <w:rsid w:val="003B2D8F"/>
    <w:rsid w:val="003B3B4D"/>
    <w:rsid w:val="003B54A6"/>
    <w:rsid w:val="003B69D4"/>
    <w:rsid w:val="003B7B2B"/>
    <w:rsid w:val="003B7CB7"/>
    <w:rsid w:val="003B7D90"/>
    <w:rsid w:val="003C02EA"/>
    <w:rsid w:val="003C0738"/>
    <w:rsid w:val="003C2634"/>
    <w:rsid w:val="003C41B7"/>
    <w:rsid w:val="003C45B9"/>
    <w:rsid w:val="003C58D0"/>
    <w:rsid w:val="003C6A5C"/>
    <w:rsid w:val="003C728C"/>
    <w:rsid w:val="003C7FDD"/>
    <w:rsid w:val="003D02C1"/>
    <w:rsid w:val="003D2833"/>
    <w:rsid w:val="003D2D93"/>
    <w:rsid w:val="003D3F24"/>
    <w:rsid w:val="003D4269"/>
    <w:rsid w:val="003D4819"/>
    <w:rsid w:val="003D5A5B"/>
    <w:rsid w:val="003D5B1F"/>
    <w:rsid w:val="003D5B54"/>
    <w:rsid w:val="003D60A4"/>
    <w:rsid w:val="003D717E"/>
    <w:rsid w:val="003D77BA"/>
    <w:rsid w:val="003D7AE8"/>
    <w:rsid w:val="003E0165"/>
    <w:rsid w:val="003E01C6"/>
    <w:rsid w:val="003E0E6C"/>
    <w:rsid w:val="003E0F64"/>
    <w:rsid w:val="003E127F"/>
    <w:rsid w:val="003E1431"/>
    <w:rsid w:val="003E205B"/>
    <w:rsid w:val="003E440A"/>
    <w:rsid w:val="003E4682"/>
    <w:rsid w:val="003E5F3A"/>
    <w:rsid w:val="003E6110"/>
    <w:rsid w:val="003E6E66"/>
    <w:rsid w:val="003E71BE"/>
    <w:rsid w:val="003E75E7"/>
    <w:rsid w:val="003E7F5A"/>
    <w:rsid w:val="003E7FB2"/>
    <w:rsid w:val="003F16C6"/>
    <w:rsid w:val="003F2AFC"/>
    <w:rsid w:val="003F3282"/>
    <w:rsid w:val="003F4AA8"/>
    <w:rsid w:val="003F4E16"/>
    <w:rsid w:val="003F5159"/>
    <w:rsid w:val="00401E82"/>
    <w:rsid w:val="00402214"/>
    <w:rsid w:val="004029F2"/>
    <w:rsid w:val="00403517"/>
    <w:rsid w:val="00403676"/>
    <w:rsid w:val="00404519"/>
    <w:rsid w:val="00404A0D"/>
    <w:rsid w:val="00405AFD"/>
    <w:rsid w:val="00406310"/>
    <w:rsid w:val="004071B1"/>
    <w:rsid w:val="00407237"/>
    <w:rsid w:val="00411138"/>
    <w:rsid w:val="004114E5"/>
    <w:rsid w:val="00411AEF"/>
    <w:rsid w:val="004123BA"/>
    <w:rsid w:val="00412676"/>
    <w:rsid w:val="0041293F"/>
    <w:rsid w:val="00412D9C"/>
    <w:rsid w:val="004143F0"/>
    <w:rsid w:val="00416E4C"/>
    <w:rsid w:val="00417133"/>
    <w:rsid w:val="004171A8"/>
    <w:rsid w:val="00417563"/>
    <w:rsid w:val="0042034D"/>
    <w:rsid w:val="004209EC"/>
    <w:rsid w:val="00420A78"/>
    <w:rsid w:val="00420CCE"/>
    <w:rsid w:val="004212FE"/>
    <w:rsid w:val="004218B5"/>
    <w:rsid w:val="00421D33"/>
    <w:rsid w:val="00422D2A"/>
    <w:rsid w:val="00422FE0"/>
    <w:rsid w:val="00424492"/>
    <w:rsid w:val="00426C6B"/>
    <w:rsid w:val="00427500"/>
    <w:rsid w:val="00427651"/>
    <w:rsid w:val="004278EF"/>
    <w:rsid w:val="00430536"/>
    <w:rsid w:val="00431C58"/>
    <w:rsid w:val="004326B3"/>
    <w:rsid w:val="00432B65"/>
    <w:rsid w:val="0043370D"/>
    <w:rsid w:val="004344EF"/>
    <w:rsid w:val="00435F5F"/>
    <w:rsid w:val="0043649C"/>
    <w:rsid w:val="0043719B"/>
    <w:rsid w:val="0043736F"/>
    <w:rsid w:val="004375DD"/>
    <w:rsid w:val="00437852"/>
    <w:rsid w:val="00437AC6"/>
    <w:rsid w:val="00440222"/>
    <w:rsid w:val="004416A6"/>
    <w:rsid w:val="00441F0B"/>
    <w:rsid w:val="00442B3D"/>
    <w:rsid w:val="0044309A"/>
    <w:rsid w:val="00443A81"/>
    <w:rsid w:val="00444168"/>
    <w:rsid w:val="00445888"/>
    <w:rsid w:val="004461DD"/>
    <w:rsid w:val="00446E12"/>
    <w:rsid w:val="00446EB3"/>
    <w:rsid w:val="00446F5D"/>
    <w:rsid w:val="00447AE3"/>
    <w:rsid w:val="00447E17"/>
    <w:rsid w:val="00447E9C"/>
    <w:rsid w:val="00451362"/>
    <w:rsid w:val="00453AA5"/>
    <w:rsid w:val="00454976"/>
    <w:rsid w:val="00454AB5"/>
    <w:rsid w:val="00460951"/>
    <w:rsid w:val="004614E3"/>
    <w:rsid w:val="00461CFF"/>
    <w:rsid w:val="00462008"/>
    <w:rsid w:val="0046276C"/>
    <w:rsid w:val="00462E41"/>
    <w:rsid w:val="0046400B"/>
    <w:rsid w:val="00464970"/>
    <w:rsid w:val="00465EA1"/>
    <w:rsid w:val="004677FE"/>
    <w:rsid w:val="00470023"/>
    <w:rsid w:val="0047098B"/>
    <w:rsid w:val="004709DD"/>
    <w:rsid w:val="004716E9"/>
    <w:rsid w:val="004728AB"/>
    <w:rsid w:val="004729A2"/>
    <w:rsid w:val="004730DA"/>
    <w:rsid w:val="00473F3B"/>
    <w:rsid w:val="00474186"/>
    <w:rsid w:val="00475108"/>
    <w:rsid w:val="004765C6"/>
    <w:rsid w:val="00477BA3"/>
    <w:rsid w:val="004806C3"/>
    <w:rsid w:val="00480985"/>
    <w:rsid w:val="00480B60"/>
    <w:rsid w:val="00481186"/>
    <w:rsid w:val="00481AEF"/>
    <w:rsid w:val="00483071"/>
    <w:rsid w:val="004837B3"/>
    <w:rsid w:val="00483C48"/>
    <w:rsid w:val="00484309"/>
    <w:rsid w:val="00485198"/>
    <w:rsid w:val="004857A4"/>
    <w:rsid w:val="004862A3"/>
    <w:rsid w:val="0048659D"/>
    <w:rsid w:val="004866E0"/>
    <w:rsid w:val="00487EA7"/>
    <w:rsid w:val="00490703"/>
    <w:rsid w:val="00490C73"/>
    <w:rsid w:val="00490D35"/>
    <w:rsid w:val="00490FAA"/>
    <w:rsid w:val="00491D80"/>
    <w:rsid w:val="00491E56"/>
    <w:rsid w:val="0049336A"/>
    <w:rsid w:val="00493415"/>
    <w:rsid w:val="00494B73"/>
    <w:rsid w:val="00495776"/>
    <w:rsid w:val="00495E79"/>
    <w:rsid w:val="00497DB1"/>
    <w:rsid w:val="004A0940"/>
    <w:rsid w:val="004A0B70"/>
    <w:rsid w:val="004A0C60"/>
    <w:rsid w:val="004A2062"/>
    <w:rsid w:val="004A4197"/>
    <w:rsid w:val="004A5626"/>
    <w:rsid w:val="004A6B43"/>
    <w:rsid w:val="004A7258"/>
    <w:rsid w:val="004B053B"/>
    <w:rsid w:val="004B1797"/>
    <w:rsid w:val="004B209D"/>
    <w:rsid w:val="004B22E1"/>
    <w:rsid w:val="004B2B2D"/>
    <w:rsid w:val="004B47A5"/>
    <w:rsid w:val="004B5905"/>
    <w:rsid w:val="004B5D13"/>
    <w:rsid w:val="004B5D25"/>
    <w:rsid w:val="004B638A"/>
    <w:rsid w:val="004B7282"/>
    <w:rsid w:val="004B73F2"/>
    <w:rsid w:val="004B7766"/>
    <w:rsid w:val="004C072E"/>
    <w:rsid w:val="004C0A3A"/>
    <w:rsid w:val="004C15FB"/>
    <w:rsid w:val="004C1891"/>
    <w:rsid w:val="004C2118"/>
    <w:rsid w:val="004C3B24"/>
    <w:rsid w:val="004C3F32"/>
    <w:rsid w:val="004C5F49"/>
    <w:rsid w:val="004C6863"/>
    <w:rsid w:val="004C6DD6"/>
    <w:rsid w:val="004C79D8"/>
    <w:rsid w:val="004D0281"/>
    <w:rsid w:val="004D030C"/>
    <w:rsid w:val="004D2661"/>
    <w:rsid w:val="004D3A13"/>
    <w:rsid w:val="004D5145"/>
    <w:rsid w:val="004D61EE"/>
    <w:rsid w:val="004D6AE5"/>
    <w:rsid w:val="004D7137"/>
    <w:rsid w:val="004E05D9"/>
    <w:rsid w:val="004E06FD"/>
    <w:rsid w:val="004E0A65"/>
    <w:rsid w:val="004E0F59"/>
    <w:rsid w:val="004E1A9B"/>
    <w:rsid w:val="004E2BDE"/>
    <w:rsid w:val="004E2FC4"/>
    <w:rsid w:val="004E338B"/>
    <w:rsid w:val="004E3F81"/>
    <w:rsid w:val="004E44B1"/>
    <w:rsid w:val="004E7306"/>
    <w:rsid w:val="004E7670"/>
    <w:rsid w:val="004F0960"/>
    <w:rsid w:val="004F0BBA"/>
    <w:rsid w:val="004F228D"/>
    <w:rsid w:val="004F343A"/>
    <w:rsid w:val="004F3B6C"/>
    <w:rsid w:val="004F4A02"/>
    <w:rsid w:val="004F4E08"/>
    <w:rsid w:val="004F562C"/>
    <w:rsid w:val="004F565F"/>
    <w:rsid w:val="004F5742"/>
    <w:rsid w:val="004F57A9"/>
    <w:rsid w:val="004F5B35"/>
    <w:rsid w:val="004F7227"/>
    <w:rsid w:val="004F7960"/>
    <w:rsid w:val="004F7D65"/>
    <w:rsid w:val="004F7F4F"/>
    <w:rsid w:val="005028F3"/>
    <w:rsid w:val="00505627"/>
    <w:rsid w:val="00505F8B"/>
    <w:rsid w:val="00506731"/>
    <w:rsid w:val="00506C7F"/>
    <w:rsid w:val="00506DE5"/>
    <w:rsid w:val="00507E79"/>
    <w:rsid w:val="00510D5E"/>
    <w:rsid w:val="00510DF3"/>
    <w:rsid w:val="00510FE9"/>
    <w:rsid w:val="005118FE"/>
    <w:rsid w:val="00512022"/>
    <w:rsid w:val="00512B60"/>
    <w:rsid w:val="00512FA4"/>
    <w:rsid w:val="00515796"/>
    <w:rsid w:val="0051579F"/>
    <w:rsid w:val="00515DB3"/>
    <w:rsid w:val="00516B7A"/>
    <w:rsid w:val="00520064"/>
    <w:rsid w:val="00521945"/>
    <w:rsid w:val="00532A3B"/>
    <w:rsid w:val="00532E14"/>
    <w:rsid w:val="00532EB2"/>
    <w:rsid w:val="0053560B"/>
    <w:rsid w:val="0053640B"/>
    <w:rsid w:val="00536882"/>
    <w:rsid w:val="00536893"/>
    <w:rsid w:val="005370D5"/>
    <w:rsid w:val="005378D0"/>
    <w:rsid w:val="005405BC"/>
    <w:rsid w:val="00540D6D"/>
    <w:rsid w:val="00541CE1"/>
    <w:rsid w:val="00542119"/>
    <w:rsid w:val="00542746"/>
    <w:rsid w:val="005459C2"/>
    <w:rsid w:val="005461E8"/>
    <w:rsid w:val="005472DB"/>
    <w:rsid w:val="005477E5"/>
    <w:rsid w:val="00551128"/>
    <w:rsid w:val="0055153B"/>
    <w:rsid w:val="00551898"/>
    <w:rsid w:val="005520DE"/>
    <w:rsid w:val="00552E0E"/>
    <w:rsid w:val="005535CA"/>
    <w:rsid w:val="00553824"/>
    <w:rsid w:val="00554842"/>
    <w:rsid w:val="00554D98"/>
    <w:rsid w:val="00555A0E"/>
    <w:rsid w:val="00555BEC"/>
    <w:rsid w:val="00555C02"/>
    <w:rsid w:val="00556735"/>
    <w:rsid w:val="00557951"/>
    <w:rsid w:val="005613D0"/>
    <w:rsid w:val="00561CC6"/>
    <w:rsid w:val="00561FEE"/>
    <w:rsid w:val="005634EA"/>
    <w:rsid w:val="00563F22"/>
    <w:rsid w:val="005642B6"/>
    <w:rsid w:val="00564370"/>
    <w:rsid w:val="00564A81"/>
    <w:rsid w:val="0056645C"/>
    <w:rsid w:val="00567A25"/>
    <w:rsid w:val="0057288D"/>
    <w:rsid w:val="005728E7"/>
    <w:rsid w:val="00573468"/>
    <w:rsid w:val="00575474"/>
    <w:rsid w:val="00575DDD"/>
    <w:rsid w:val="00577066"/>
    <w:rsid w:val="005806F4"/>
    <w:rsid w:val="005809CB"/>
    <w:rsid w:val="00580A00"/>
    <w:rsid w:val="00581B9D"/>
    <w:rsid w:val="00581D00"/>
    <w:rsid w:val="00582AFC"/>
    <w:rsid w:val="00583143"/>
    <w:rsid w:val="00584593"/>
    <w:rsid w:val="005852CD"/>
    <w:rsid w:val="00585831"/>
    <w:rsid w:val="0058729F"/>
    <w:rsid w:val="005908EA"/>
    <w:rsid w:val="00590AF1"/>
    <w:rsid w:val="005914CB"/>
    <w:rsid w:val="00591A9E"/>
    <w:rsid w:val="00591ADA"/>
    <w:rsid w:val="00591D1A"/>
    <w:rsid w:val="00591D77"/>
    <w:rsid w:val="00591E97"/>
    <w:rsid w:val="00593272"/>
    <w:rsid w:val="005934A2"/>
    <w:rsid w:val="00593B9D"/>
    <w:rsid w:val="00593FC2"/>
    <w:rsid w:val="005958FD"/>
    <w:rsid w:val="0059639B"/>
    <w:rsid w:val="0059668D"/>
    <w:rsid w:val="00596C5D"/>
    <w:rsid w:val="0059773A"/>
    <w:rsid w:val="00597DD5"/>
    <w:rsid w:val="005A0431"/>
    <w:rsid w:val="005A0CCD"/>
    <w:rsid w:val="005A15A3"/>
    <w:rsid w:val="005A1CD0"/>
    <w:rsid w:val="005A4487"/>
    <w:rsid w:val="005A4957"/>
    <w:rsid w:val="005A5183"/>
    <w:rsid w:val="005A7873"/>
    <w:rsid w:val="005B17B1"/>
    <w:rsid w:val="005B1F89"/>
    <w:rsid w:val="005B2277"/>
    <w:rsid w:val="005B2477"/>
    <w:rsid w:val="005B2671"/>
    <w:rsid w:val="005B2957"/>
    <w:rsid w:val="005B2B62"/>
    <w:rsid w:val="005B5891"/>
    <w:rsid w:val="005B6454"/>
    <w:rsid w:val="005B64C5"/>
    <w:rsid w:val="005B6DD1"/>
    <w:rsid w:val="005B7759"/>
    <w:rsid w:val="005B77B6"/>
    <w:rsid w:val="005C0CFF"/>
    <w:rsid w:val="005C0D3A"/>
    <w:rsid w:val="005C2B27"/>
    <w:rsid w:val="005C2C05"/>
    <w:rsid w:val="005C34FA"/>
    <w:rsid w:val="005C4937"/>
    <w:rsid w:val="005C7E94"/>
    <w:rsid w:val="005D3628"/>
    <w:rsid w:val="005D4810"/>
    <w:rsid w:val="005D4D34"/>
    <w:rsid w:val="005D55E1"/>
    <w:rsid w:val="005D6843"/>
    <w:rsid w:val="005D737E"/>
    <w:rsid w:val="005D7E37"/>
    <w:rsid w:val="005E02C7"/>
    <w:rsid w:val="005E03B0"/>
    <w:rsid w:val="005E054D"/>
    <w:rsid w:val="005E07A0"/>
    <w:rsid w:val="005E1269"/>
    <w:rsid w:val="005E145B"/>
    <w:rsid w:val="005E1C5D"/>
    <w:rsid w:val="005E2D1B"/>
    <w:rsid w:val="005E2EFF"/>
    <w:rsid w:val="005E35E4"/>
    <w:rsid w:val="005E3EEB"/>
    <w:rsid w:val="005E3FD3"/>
    <w:rsid w:val="005E5ACB"/>
    <w:rsid w:val="005E5BBC"/>
    <w:rsid w:val="005E68CD"/>
    <w:rsid w:val="005E6BEA"/>
    <w:rsid w:val="005F07F6"/>
    <w:rsid w:val="005F1345"/>
    <w:rsid w:val="005F16A4"/>
    <w:rsid w:val="005F1829"/>
    <w:rsid w:val="005F192F"/>
    <w:rsid w:val="005F2563"/>
    <w:rsid w:val="005F3267"/>
    <w:rsid w:val="005F32E7"/>
    <w:rsid w:val="005F3713"/>
    <w:rsid w:val="005F3B9C"/>
    <w:rsid w:val="005F3CD6"/>
    <w:rsid w:val="005F401D"/>
    <w:rsid w:val="005F4F35"/>
    <w:rsid w:val="005F5239"/>
    <w:rsid w:val="005F5382"/>
    <w:rsid w:val="005F5922"/>
    <w:rsid w:val="005F6F35"/>
    <w:rsid w:val="005F7B09"/>
    <w:rsid w:val="00600C86"/>
    <w:rsid w:val="0060277C"/>
    <w:rsid w:val="00602D3E"/>
    <w:rsid w:val="006040D2"/>
    <w:rsid w:val="00605F40"/>
    <w:rsid w:val="00611200"/>
    <w:rsid w:val="006138A7"/>
    <w:rsid w:val="00613D9B"/>
    <w:rsid w:val="0061418A"/>
    <w:rsid w:val="0061500B"/>
    <w:rsid w:val="00615A2F"/>
    <w:rsid w:val="006173A6"/>
    <w:rsid w:val="006178E9"/>
    <w:rsid w:val="00617D24"/>
    <w:rsid w:val="00621B0C"/>
    <w:rsid w:val="00621F9D"/>
    <w:rsid w:val="006228C4"/>
    <w:rsid w:val="00623450"/>
    <w:rsid w:val="00623625"/>
    <w:rsid w:val="006238BB"/>
    <w:rsid w:val="00624093"/>
    <w:rsid w:val="006242D5"/>
    <w:rsid w:val="00624BA9"/>
    <w:rsid w:val="0062526E"/>
    <w:rsid w:val="0062567F"/>
    <w:rsid w:val="0062649F"/>
    <w:rsid w:val="00627F85"/>
    <w:rsid w:val="00630CBD"/>
    <w:rsid w:val="0063321B"/>
    <w:rsid w:val="00633E24"/>
    <w:rsid w:val="00635742"/>
    <w:rsid w:val="00637D5F"/>
    <w:rsid w:val="00641B0D"/>
    <w:rsid w:val="00642151"/>
    <w:rsid w:val="006425D3"/>
    <w:rsid w:val="0064306D"/>
    <w:rsid w:val="006434A2"/>
    <w:rsid w:val="00643FE0"/>
    <w:rsid w:val="006444FA"/>
    <w:rsid w:val="006457C3"/>
    <w:rsid w:val="00645869"/>
    <w:rsid w:val="00645CD6"/>
    <w:rsid w:val="0065023F"/>
    <w:rsid w:val="006505C9"/>
    <w:rsid w:val="006505E8"/>
    <w:rsid w:val="00650A1D"/>
    <w:rsid w:val="00650FC3"/>
    <w:rsid w:val="006511CB"/>
    <w:rsid w:val="00651494"/>
    <w:rsid w:val="00651617"/>
    <w:rsid w:val="00651A2E"/>
    <w:rsid w:val="00652568"/>
    <w:rsid w:val="00652F09"/>
    <w:rsid w:val="00653544"/>
    <w:rsid w:val="006536A9"/>
    <w:rsid w:val="00653A71"/>
    <w:rsid w:val="0065444A"/>
    <w:rsid w:val="00654B6A"/>
    <w:rsid w:val="00660FD2"/>
    <w:rsid w:val="006619D3"/>
    <w:rsid w:val="00663CA0"/>
    <w:rsid w:val="00664E41"/>
    <w:rsid w:val="006721E2"/>
    <w:rsid w:val="00672CE9"/>
    <w:rsid w:val="00674891"/>
    <w:rsid w:val="00675448"/>
    <w:rsid w:val="006757F7"/>
    <w:rsid w:val="00676739"/>
    <w:rsid w:val="0068250B"/>
    <w:rsid w:val="006827BF"/>
    <w:rsid w:val="00684858"/>
    <w:rsid w:val="006850E7"/>
    <w:rsid w:val="00685B42"/>
    <w:rsid w:val="00687DDB"/>
    <w:rsid w:val="006905AF"/>
    <w:rsid w:val="00690767"/>
    <w:rsid w:val="00692E18"/>
    <w:rsid w:val="006955D8"/>
    <w:rsid w:val="006958F1"/>
    <w:rsid w:val="00695A3D"/>
    <w:rsid w:val="006962CE"/>
    <w:rsid w:val="00696EF1"/>
    <w:rsid w:val="006977F6"/>
    <w:rsid w:val="006A1700"/>
    <w:rsid w:val="006A2674"/>
    <w:rsid w:val="006A382C"/>
    <w:rsid w:val="006A3B18"/>
    <w:rsid w:val="006A3D3C"/>
    <w:rsid w:val="006A4059"/>
    <w:rsid w:val="006A5C96"/>
    <w:rsid w:val="006A6821"/>
    <w:rsid w:val="006A7766"/>
    <w:rsid w:val="006B0297"/>
    <w:rsid w:val="006B0627"/>
    <w:rsid w:val="006B06D0"/>
    <w:rsid w:val="006B1DF8"/>
    <w:rsid w:val="006B34C5"/>
    <w:rsid w:val="006B34D7"/>
    <w:rsid w:val="006B5151"/>
    <w:rsid w:val="006B52DD"/>
    <w:rsid w:val="006B5389"/>
    <w:rsid w:val="006B7CAC"/>
    <w:rsid w:val="006C03EA"/>
    <w:rsid w:val="006C2C45"/>
    <w:rsid w:val="006C33EE"/>
    <w:rsid w:val="006C38FD"/>
    <w:rsid w:val="006C47D9"/>
    <w:rsid w:val="006C5379"/>
    <w:rsid w:val="006C78DD"/>
    <w:rsid w:val="006D0193"/>
    <w:rsid w:val="006D0588"/>
    <w:rsid w:val="006D25C3"/>
    <w:rsid w:val="006D5BF0"/>
    <w:rsid w:val="006D701B"/>
    <w:rsid w:val="006E0BA8"/>
    <w:rsid w:val="006E1430"/>
    <w:rsid w:val="006E2E4D"/>
    <w:rsid w:val="006E31FE"/>
    <w:rsid w:val="006E3B08"/>
    <w:rsid w:val="006E4E05"/>
    <w:rsid w:val="006E588B"/>
    <w:rsid w:val="006E7126"/>
    <w:rsid w:val="006E71E9"/>
    <w:rsid w:val="006E77ED"/>
    <w:rsid w:val="006F0816"/>
    <w:rsid w:val="006F0B4B"/>
    <w:rsid w:val="006F0B4E"/>
    <w:rsid w:val="006F2144"/>
    <w:rsid w:val="006F24A8"/>
    <w:rsid w:val="006F3F0B"/>
    <w:rsid w:val="006F4268"/>
    <w:rsid w:val="00702158"/>
    <w:rsid w:val="007022BF"/>
    <w:rsid w:val="007023CE"/>
    <w:rsid w:val="00703B1A"/>
    <w:rsid w:val="00703C30"/>
    <w:rsid w:val="00704A5B"/>
    <w:rsid w:val="00704BD3"/>
    <w:rsid w:val="00704F46"/>
    <w:rsid w:val="00706464"/>
    <w:rsid w:val="007076F0"/>
    <w:rsid w:val="00715553"/>
    <w:rsid w:val="00715AEC"/>
    <w:rsid w:val="00716237"/>
    <w:rsid w:val="00717791"/>
    <w:rsid w:val="00721099"/>
    <w:rsid w:val="007215E8"/>
    <w:rsid w:val="0072164F"/>
    <w:rsid w:val="00721874"/>
    <w:rsid w:val="0072255D"/>
    <w:rsid w:val="00722C38"/>
    <w:rsid w:val="00724560"/>
    <w:rsid w:val="00724D6C"/>
    <w:rsid w:val="00725933"/>
    <w:rsid w:val="00725DFA"/>
    <w:rsid w:val="00727B1F"/>
    <w:rsid w:val="007305CC"/>
    <w:rsid w:val="007316A6"/>
    <w:rsid w:val="00732892"/>
    <w:rsid w:val="00732A19"/>
    <w:rsid w:val="00733342"/>
    <w:rsid w:val="0073432A"/>
    <w:rsid w:val="00734861"/>
    <w:rsid w:val="00734948"/>
    <w:rsid w:val="00734A70"/>
    <w:rsid w:val="0073587E"/>
    <w:rsid w:val="00735B98"/>
    <w:rsid w:val="00736ADC"/>
    <w:rsid w:val="007379EB"/>
    <w:rsid w:val="007405FA"/>
    <w:rsid w:val="00740C43"/>
    <w:rsid w:val="007414E8"/>
    <w:rsid w:val="007424E2"/>
    <w:rsid w:val="00744B7C"/>
    <w:rsid w:val="00745EA7"/>
    <w:rsid w:val="00746A36"/>
    <w:rsid w:val="00746BAF"/>
    <w:rsid w:val="00746DE8"/>
    <w:rsid w:val="00747206"/>
    <w:rsid w:val="00747B49"/>
    <w:rsid w:val="0075077D"/>
    <w:rsid w:val="00752FE6"/>
    <w:rsid w:val="00755CA3"/>
    <w:rsid w:val="00756654"/>
    <w:rsid w:val="00756EDB"/>
    <w:rsid w:val="00756F31"/>
    <w:rsid w:val="00757BC9"/>
    <w:rsid w:val="00760509"/>
    <w:rsid w:val="007605AF"/>
    <w:rsid w:val="00761C76"/>
    <w:rsid w:val="0076236C"/>
    <w:rsid w:val="007637E7"/>
    <w:rsid w:val="007639B0"/>
    <w:rsid w:val="00763C6E"/>
    <w:rsid w:val="007664A0"/>
    <w:rsid w:val="00767F14"/>
    <w:rsid w:val="007705E1"/>
    <w:rsid w:val="00774BB4"/>
    <w:rsid w:val="00774CE3"/>
    <w:rsid w:val="007754D7"/>
    <w:rsid w:val="0077577E"/>
    <w:rsid w:val="00775E59"/>
    <w:rsid w:val="00776D7E"/>
    <w:rsid w:val="00780DC5"/>
    <w:rsid w:val="007822DF"/>
    <w:rsid w:val="0078257F"/>
    <w:rsid w:val="00782857"/>
    <w:rsid w:val="00782BC6"/>
    <w:rsid w:val="00782C08"/>
    <w:rsid w:val="00783A25"/>
    <w:rsid w:val="00783D9F"/>
    <w:rsid w:val="00784D46"/>
    <w:rsid w:val="007936F2"/>
    <w:rsid w:val="00793BAA"/>
    <w:rsid w:val="00793CB7"/>
    <w:rsid w:val="00794080"/>
    <w:rsid w:val="007942A4"/>
    <w:rsid w:val="00794A72"/>
    <w:rsid w:val="00794F97"/>
    <w:rsid w:val="00795357"/>
    <w:rsid w:val="00796426"/>
    <w:rsid w:val="00796F87"/>
    <w:rsid w:val="00797027"/>
    <w:rsid w:val="00797862"/>
    <w:rsid w:val="007A2876"/>
    <w:rsid w:val="007A42EA"/>
    <w:rsid w:val="007A5083"/>
    <w:rsid w:val="007A556C"/>
    <w:rsid w:val="007A5BE9"/>
    <w:rsid w:val="007A5DB4"/>
    <w:rsid w:val="007A61E1"/>
    <w:rsid w:val="007A62C1"/>
    <w:rsid w:val="007B0745"/>
    <w:rsid w:val="007B08A2"/>
    <w:rsid w:val="007B115E"/>
    <w:rsid w:val="007B178C"/>
    <w:rsid w:val="007B2ACA"/>
    <w:rsid w:val="007B3481"/>
    <w:rsid w:val="007B386A"/>
    <w:rsid w:val="007B3A79"/>
    <w:rsid w:val="007B46D1"/>
    <w:rsid w:val="007B5261"/>
    <w:rsid w:val="007B6253"/>
    <w:rsid w:val="007B6946"/>
    <w:rsid w:val="007B748E"/>
    <w:rsid w:val="007B755B"/>
    <w:rsid w:val="007C262A"/>
    <w:rsid w:val="007C2BD5"/>
    <w:rsid w:val="007C30AF"/>
    <w:rsid w:val="007C4209"/>
    <w:rsid w:val="007C4270"/>
    <w:rsid w:val="007C50FA"/>
    <w:rsid w:val="007C5B2E"/>
    <w:rsid w:val="007D026A"/>
    <w:rsid w:val="007D0D64"/>
    <w:rsid w:val="007D4F35"/>
    <w:rsid w:val="007D5E30"/>
    <w:rsid w:val="007D64DF"/>
    <w:rsid w:val="007D6586"/>
    <w:rsid w:val="007E10FE"/>
    <w:rsid w:val="007E184C"/>
    <w:rsid w:val="007E1DF3"/>
    <w:rsid w:val="007E2006"/>
    <w:rsid w:val="007E29F9"/>
    <w:rsid w:val="007E2FB9"/>
    <w:rsid w:val="007E593F"/>
    <w:rsid w:val="007E5A0E"/>
    <w:rsid w:val="007E7377"/>
    <w:rsid w:val="007F21A5"/>
    <w:rsid w:val="007F47FF"/>
    <w:rsid w:val="007F5933"/>
    <w:rsid w:val="007F5EA0"/>
    <w:rsid w:val="007F6449"/>
    <w:rsid w:val="00801101"/>
    <w:rsid w:val="008025EC"/>
    <w:rsid w:val="008030AA"/>
    <w:rsid w:val="008032D6"/>
    <w:rsid w:val="00803861"/>
    <w:rsid w:val="008042D1"/>
    <w:rsid w:val="00805A31"/>
    <w:rsid w:val="008063DA"/>
    <w:rsid w:val="00806CBA"/>
    <w:rsid w:val="008128E3"/>
    <w:rsid w:val="00812D5A"/>
    <w:rsid w:val="008132F4"/>
    <w:rsid w:val="0081357D"/>
    <w:rsid w:val="008136C1"/>
    <w:rsid w:val="0081446F"/>
    <w:rsid w:val="0081538D"/>
    <w:rsid w:val="0081647C"/>
    <w:rsid w:val="00816CCF"/>
    <w:rsid w:val="0082348C"/>
    <w:rsid w:val="00823C52"/>
    <w:rsid w:val="008246A8"/>
    <w:rsid w:val="00824BD9"/>
    <w:rsid w:val="00825250"/>
    <w:rsid w:val="008274B8"/>
    <w:rsid w:val="00827665"/>
    <w:rsid w:val="00827724"/>
    <w:rsid w:val="00827A58"/>
    <w:rsid w:val="008301D0"/>
    <w:rsid w:val="00831979"/>
    <w:rsid w:val="008319FF"/>
    <w:rsid w:val="00832C30"/>
    <w:rsid w:val="00833C3B"/>
    <w:rsid w:val="00835C9A"/>
    <w:rsid w:val="00836BDB"/>
    <w:rsid w:val="008373E9"/>
    <w:rsid w:val="00837463"/>
    <w:rsid w:val="00837FBE"/>
    <w:rsid w:val="0084253D"/>
    <w:rsid w:val="0084323C"/>
    <w:rsid w:val="00843AD2"/>
    <w:rsid w:val="00843F24"/>
    <w:rsid w:val="00844504"/>
    <w:rsid w:val="0084495A"/>
    <w:rsid w:val="0084681D"/>
    <w:rsid w:val="0085146C"/>
    <w:rsid w:val="008514A5"/>
    <w:rsid w:val="00851D68"/>
    <w:rsid w:val="00852E78"/>
    <w:rsid w:val="008531FC"/>
    <w:rsid w:val="008538DF"/>
    <w:rsid w:val="00853F87"/>
    <w:rsid w:val="00854D5B"/>
    <w:rsid w:val="00854FBB"/>
    <w:rsid w:val="0085521A"/>
    <w:rsid w:val="008606C1"/>
    <w:rsid w:val="00860745"/>
    <w:rsid w:val="00861527"/>
    <w:rsid w:val="00862BC2"/>
    <w:rsid w:val="008636DC"/>
    <w:rsid w:val="0086419F"/>
    <w:rsid w:val="008641FF"/>
    <w:rsid w:val="00864689"/>
    <w:rsid w:val="008657AC"/>
    <w:rsid w:val="008657F0"/>
    <w:rsid w:val="0086612F"/>
    <w:rsid w:val="00867EF1"/>
    <w:rsid w:val="0087003A"/>
    <w:rsid w:val="00871864"/>
    <w:rsid w:val="008729EC"/>
    <w:rsid w:val="008732BC"/>
    <w:rsid w:val="0087437A"/>
    <w:rsid w:val="00874831"/>
    <w:rsid w:val="0087577E"/>
    <w:rsid w:val="00875E98"/>
    <w:rsid w:val="00875EA1"/>
    <w:rsid w:val="0087793E"/>
    <w:rsid w:val="00880025"/>
    <w:rsid w:val="0088145C"/>
    <w:rsid w:val="00881955"/>
    <w:rsid w:val="008822FF"/>
    <w:rsid w:val="008838B8"/>
    <w:rsid w:val="00883BDA"/>
    <w:rsid w:val="0088461E"/>
    <w:rsid w:val="00884661"/>
    <w:rsid w:val="00886085"/>
    <w:rsid w:val="00886324"/>
    <w:rsid w:val="0089057F"/>
    <w:rsid w:val="0089125C"/>
    <w:rsid w:val="00891388"/>
    <w:rsid w:val="008925DA"/>
    <w:rsid w:val="00892906"/>
    <w:rsid w:val="0089363E"/>
    <w:rsid w:val="00894050"/>
    <w:rsid w:val="00894300"/>
    <w:rsid w:val="00894435"/>
    <w:rsid w:val="00895BEA"/>
    <w:rsid w:val="008962B4"/>
    <w:rsid w:val="00896F56"/>
    <w:rsid w:val="00897D3E"/>
    <w:rsid w:val="008A030B"/>
    <w:rsid w:val="008A0998"/>
    <w:rsid w:val="008A272B"/>
    <w:rsid w:val="008A488E"/>
    <w:rsid w:val="008A61F1"/>
    <w:rsid w:val="008A6984"/>
    <w:rsid w:val="008A6ED3"/>
    <w:rsid w:val="008A7BC2"/>
    <w:rsid w:val="008B524D"/>
    <w:rsid w:val="008B563B"/>
    <w:rsid w:val="008B61E5"/>
    <w:rsid w:val="008C013B"/>
    <w:rsid w:val="008C0177"/>
    <w:rsid w:val="008C08F1"/>
    <w:rsid w:val="008C0CC5"/>
    <w:rsid w:val="008C2925"/>
    <w:rsid w:val="008C3032"/>
    <w:rsid w:val="008C3829"/>
    <w:rsid w:val="008C41C3"/>
    <w:rsid w:val="008C49A5"/>
    <w:rsid w:val="008C4B72"/>
    <w:rsid w:val="008C57D5"/>
    <w:rsid w:val="008C6548"/>
    <w:rsid w:val="008C7846"/>
    <w:rsid w:val="008D0C4D"/>
    <w:rsid w:val="008D131E"/>
    <w:rsid w:val="008D26FC"/>
    <w:rsid w:val="008D2A6E"/>
    <w:rsid w:val="008D37FC"/>
    <w:rsid w:val="008D6AA5"/>
    <w:rsid w:val="008D6ECB"/>
    <w:rsid w:val="008D7554"/>
    <w:rsid w:val="008D75C3"/>
    <w:rsid w:val="008D7A04"/>
    <w:rsid w:val="008E0FA2"/>
    <w:rsid w:val="008E1C81"/>
    <w:rsid w:val="008E202A"/>
    <w:rsid w:val="008E23CB"/>
    <w:rsid w:val="008E4AB6"/>
    <w:rsid w:val="008E4F84"/>
    <w:rsid w:val="008E5436"/>
    <w:rsid w:val="008E5D0C"/>
    <w:rsid w:val="008E6919"/>
    <w:rsid w:val="008E775E"/>
    <w:rsid w:val="008E7AC3"/>
    <w:rsid w:val="008F1E60"/>
    <w:rsid w:val="008F1F79"/>
    <w:rsid w:val="008F28E7"/>
    <w:rsid w:val="008F3223"/>
    <w:rsid w:val="008F3CE8"/>
    <w:rsid w:val="008F4C0E"/>
    <w:rsid w:val="008F4DEB"/>
    <w:rsid w:val="008F6922"/>
    <w:rsid w:val="008F697A"/>
    <w:rsid w:val="008F7DF2"/>
    <w:rsid w:val="008F7E35"/>
    <w:rsid w:val="008F7EA4"/>
    <w:rsid w:val="009002D2"/>
    <w:rsid w:val="0090160A"/>
    <w:rsid w:val="00903118"/>
    <w:rsid w:val="00903420"/>
    <w:rsid w:val="00904742"/>
    <w:rsid w:val="00904CC4"/>
    <w:rsid w:val="00904FA6"/>
    <w:rsid w:val="00906146"/>
    <w:rsid w:val="0090709A"/>
    <w:rsid w:val="00910184"/>
    <w:rsid w:val="0091127C"/>
    <w:rsid w:val="009126D0"/>
    <w:rsid w:val="00913154"/>
    <w:rsid w:val="00913ACC"/>
    <w:rsid w:val="00914671"/>
    <w:rsid w:val="0091583F"/>
    <w:rsid w:val="00915D76"/>
    <w:rsid w:val="009162BC"/>
    <w:rsid w:val="009174D7"/>
    <w:rsid w:val="0092187E"/>
    <w:rsid w:val="00921CF0"/>
    <w:rsid w:val="009225CF"/>
    <w:rsid w:val="00923EA8"/>
    <w:rsid w:val="00924387"/>
    <w:rsid w:val="00924E62"/>
    <w:rsid w:val="00925F52"/>
    <w:rsid w:val="009261F4"/>
    <w:rsid w:val="00930C85"/>
    <w:rsid w:val="00930E39"/>
    <w:rsid w:val="00930E53"/>
    <w:rsid w:val="00931E63"/>
    <w:rsid w:val="00931EC0"/>
    <w:rsid w:val="0093264C"/>
    <w:rsid w:val="009332C6"/>
    <w:rsid w:val="00933955"/>
    <w:rsid w:val="00935D08"/>
    <w:rsid w:val="009367E9"/>
    <w:rsid w:val="0094079A"/>
    <w:rsid w:val="00941713"/>
    <w:rsid w:val="009422C5"/>
    <w:rsid w:val="0094257E"/>
    <w:rsid w:val="00942EE5"/>
    <w:rsid w:val="00944330"/>
    <w:rsid w:val="00944338"/>
    <w:rsid w:val="00944904"/>
    <w:rsid w:val="00945313"/>
    <w:rsid w:val="00945679"/>
    <w:rsid w:val="00945BDF"/>
    <w:rsid w:val="00946A0F"/>
    <w:rsid w:val="00947072"/>
    <w:rsid w:val="00950184"/>
    <w:rsid w:val="00951DFF"/>
    <w:rsid w:val="009544FA"/>
    <w:rsid w:val="0096044A"/>
    <w:rsid w:val="00961591"/>
    <w:rsid w:val="00961F39"/>
    <w:rsid w:val="0096217A"/>
    <w:rsid w:val="00963913"/>
    <w:rsid w:val="0096472F"/>
    <w:rsid w:val="00964F0F"/>
    <w:rsid w:val="00965194"/>
    <w:rsid w:val="009660FC"/>
    <w:rsid w:val="0096689A"/>
    <w:rsid w:val="00967975"/>
    <w:rsid w:val="0097025E"/>
    <w:rsid w:val="0097258B"/>
    <w:rsid w:val="00972FCA"/>
    <w:rsid w:val="00973266"/>
    <w:rsid w:val="009738DD"/>
    <w:rsid w:val="0097453B"/>
    <w:rsid w:val="00974991"/>
    <w:rsid w:val="00974AE7"/>
    <w:rsid w:val="00974D72"/>
    <w:rsid w:val="00975378"/>
    <w:rsid w:val="00975FAD"/>
    <w:rsid w:val="009760C0"/>
    <w:rsid w:val="00976A79"/>
    <w:rsid w:val="009775A5"/>
    <w:rsid w:val="00980D53"/>
    <w:rsid w:val="009813F1"/>
    <w:rsid w:val="00981571"/>
    <w:rsid w:val="009824BE"/>
    <w:rsid w:val="009836A4"/>
    <w:rsid w:val="0098377D"/>
    <w:rsid w:val="00984B45"/>
    <w:rsid w:val="00984D28"/>
    <w:rsid w:val="00984E0B"/>
    <w:rsid w:val="00985C3B"/>
    <w:rsid w:val="009860D6"/>
    <w:rsid w:val="00986AA4"/>
    <w:rsid w:val="0098790F"/>
    <w:rsid w:val="00990009"/>
    <w:rsid w:val="00990621"/>
    <w:rsid w:val="0099283D"/>
    <w:rsid w:val="00992F66"/>
    <w:rsid w:val="0099405F"/>
    <w:rsid w:val="009940E5"/>
    <w:rsid w:val="009940F4"/>
    <w:rsid w:val="009947A8"/>
    <w:rsid w:val="00994D9F"/>
    <w:rsid w:val="00994F28"/>
    <w:rsid w:val="0099505C"/>
    <w:rsid w:val="00995361"/>
    <w:rsid w:val="00995BA5"/>
    <w:rsid w:val="00996836"/>
    <w:rsid w:val="00997370"/>
    <w:rsid w:val="00997BB6"/>
    <w:rsid w:val="00997BE3"/>
    <w:rsid w:val="009A117B"/>
    <w:rsid w:val="009A1986"/>
    <w:rsid w:val="009A26AF"/>
    <w:rsid w:val="009A2901"/>
    <w:rsid w:val="009A292F"/>
    <w:rsid w:val="009A2A90"/>
    <w:rsid w:val="009A2E2E"/>
    <w:rsid w:val="009A33E9"/>
    <w:rsid w:val="009A3C1E"/>
    <w:rsid w:val="009A420C"/>
    <w:rsid w:val="009A46FB"/>
    <w:rsid w:val="009A4E69"/>
    <w:rsid w:val="009A5815"/>
    <w:rsid w:val="009A6E6E"/>
    <w:rsid w:val="009A6ECD"/>
    <w:rsid w:val="009A7C22"/>
    <w:rsid w:val="009A7ED8"/>
    <w:rsid w:val="009B0CF4"/>
    <w:rsid w:val="009B1AA7"/>
    <w:rsid w:val="009B3767"/>
    <w:rsid w:val="009B3B38"/>
    <w:rsid w:val="009B40BD"/>
    <w:rsid w:val="009B4ECA"/>
    <w:rsid w:val="009B5CE4"/>
    <w:rsid w:val="009B6DBB"/>
    <w:rsid w:val="009B6F06"/>
    <w:rsid w:val="009B7532"/>
    <w:rsid w:val="009C1AB3"/>
    <w:rsid w:val="009C3A7C"/>
    <w:rsid w:val="009C4A95"/>
    <w:rsid w:val="009C4FC4"/>
    <w:rsid w:val="009C5372"/>
    <w:rsid w:val="009C55CA"/>
    <w:rsid w:val="009C629C"/>
    <w:rsid w:val="009C6713"/>
    <w:rsid w:val="009C73D4"/>
    <w:rsid w:val="009D00D4"/>
    <w:rsid w:val="009D0289"/>
    <w:rsid w:val="009D2567"/>
    <w:rsid w:val="009D2717"/>
    <w:rsid w:val="009D3844"/>
    <w:rsid w:val="009D3C94"/>
    <w:rsid w:val="009D4165"/>
    <w:rsid w:val="009D4673"/>
    <w:rsid w:val="009D4B00"/>
    <w:rsid w:val="009D5CD3"/>
    <w:rsid w:val="009D5F38"/>
    <w:rsid w:val="009D78DF"/>
    <w:rsid w:val="009D7F31"/>
    <w:rsid w:val="009E293D"/>
    <w:rsid w:val="009E38EF"/>
    <w:rsid w:val="009E4938"/>
    <w:rsid w:val="009E4994"/>
    <w:rsid w:val="009E4AB8"/>
    <w:rsid w:val="009E4AD2"/>
    <w:rsid w:val="009E55B2"/>
    <w:rsid w:val="009E5E62"/>
    <w:rsid w:val="009E6320"/>
    <w:rsid w:val="009E7135"/>
    <w:rsid w:val="009E795B"/>
    <w:rsid w:val="009E7EAD"/>
    <w:rsid w:val="009F0586"/>
    <w:rsid w:val="009F1502"/>
    <w:rsid w:val="009F2431"/>
    <w:rsid w:val="009F4422"/>
    <w:rsid w:val="009F5877"/>
    <w:rsid w:val="009F5D00"/>
    <w:rsid w:val="009F5DDE"/>
    <w:rsid w:val="009F64A6"/>
    <w:rsid w:val="009F683E"/>
    <w:rsid w:val="009F6AA5"/>
    <w:rsid w:val="009F6D5D"/>
    <w:rsid w:val="009F7AC6"/>
    <w:rsid w:val="00A03288"/>
    <w:rsid w:val="00A039E1"/>
    <w:rsid w:val="00A04680"/>
    <w:rsid w:val="00A065E3"/>
    <w:rsid w:val="00A07362"/>
    <w:rsid w:val="00A075C7"/>
    <w:rsid w:val="00A07F7B"/>
    <w:rsid w:val="00A11804"/>
    <w:rsid w:val="00A125A8"/>
    <w:rsid w:val="00A13127"/>
    <w:rsid w:val="00A13C29"/>
    <w:rsid w:val="00A14924"/>
    <w:rsid w:val="00A14DD6"/>
    <w:rsid w:val="00A15204"/>
    <w:rsid w:val="00A15E57"/>
    <w:rsid w:val="00A162E7"/>
    <w:rsid w:val="00A170F9"/>
    <w:rsid w:val="00A17384"/>
    <w:rsid w:val="00A17691"/>
    <w:rsid w:val="00A209BC"/>
    <w:rsid w:val="00A20E3A"/>
    <w:rsid w:val="00A20EE7"/>
    <w:rsid w:val="00A2143C"/>
    <w:rsid w:val="00A21F48"/>
    <w:rsid w:val="00A21FD6"/>
    <w:rsid w:val="00A22858"/>
    <w:rsid w:val="00A22A5B"/>
    <w:rsid w:val="00A22D88"/>
    <w:rsid w:val="00A2307B"/>
    <w:rsid w:val="00A2309D"/>
    <w:rsid w:val="00A24114"/>
    <w:rsid w:val="00A242EC"/>
    <w:rsid w:val="00A24F66"/>
    <w:rsid w:val="00A259DB"/>
    <w:rsid w:val="00A25E84"/>
    <w:rsid w:val="00A26939"/>
    <w:rsid w:val="00A26969"/>
    <w:rsid w:val="00A26E18"/>
    <w:rsid w:val="00A30F3B"/>
    <w:rsid w:val="00A34114"/>
    <w:rsid w:val="00A34945"/>
    <w:rsid w:val="00A3525B"/>
    <w:rsid w:val="00A35A68"/>
    <w:rsid w:val="00A37D9F"/>
    <w:rsid w:val="00A37F28"/>
    <w:rsid w:val="00A41A1B"/>
    <w:rsid w:val="00A41D75"/>
    <w:rsid w:val="00A42254"/>
    <w:rsid w:val="00A42BC5"/>
    <w:rsid w:val="00A42ED1"/>
    <w:rsid w:val="00A43CC2"/>
    <w:rsid w:val="00A451ED"/>
    <w:rsid w:val="00A46A5C"/>
    <w:rsid w:val="00A46ED2"/>
    <w:rsid w:val="00A471FD"/>
    <w:rsid w:val="00A50A61"/>
    <w:rsid w:val="00A50D56"/>
    <w:rsid w:val="00A5146A"/>
    <w:rsid w:val="00A51D4E"/>
    <w:rsid w:val="00A53534"/>
    <w:rsid w:val="00A53F24"/>
    <w:rsid w:val="00A54865"/>
    <w:rsid w:val="00A563E5"/>
    <w:rsid w:val="00A615A7"/>
    <w:rsid w:val="00A633BB"/>
    <w:rsid w:val="00A63DFE"/>
    <w:rsid w:val="00A64E88"/>
    <w:rsid w:val="00A703CE"/>
    <w:rsid w:val="00A70EF4"/>
    <w:rsid w:val="00A7142A"/>
    <w:rsid w:val="00A72307"/>
    <w:rsid w:val="00A7738C"/>
    <w:rsid w:val="00A77DCC"/>
    <w:rsid w:val="00A806E0"/>
    <w:rsid w:val="00A82B01"/>
    <w:rsid w:val="00A82B2B"/>
    <w:rsid w:val="00A8389D"/>
    <w:rsid w:val="00A84E3D"/>
    <w:rsid w:val="00A8624B"/>
    <w:rsid w:val="00A86F42"/>
    <w:rsid w:val="00A87127"/>
    <w:rsid w:val="00A917D7"/>
    <w:rsid w:val="00A91918"/>
    <w:rsid w:val="00A923E9"/>
    <w:rsid w:val="00A9395C"/>
    <w:rsid w:val="00A94D22"/>
    <w:rsid w:val="00A952CA"/>
    <w:rsid w:val="00A9532A"/>
    <w:rsid w:val="00A95C6A"/>
    <w:rsid w:val="00A96892"/>
    <w:rsid w:val="00A96CEC"/>
    <w:rsid w:val="00A96DB8"/>
    <w:rsid w:val="00A97EE6"/>
    <w:rsid w:val="00AA04FA"/>
    <w:rsid w:val="00AA07D6"/>
    <w:rsid w:val="00AA0FAF"/>
    <w:rsid w:val="00AA1772"/>
    <w:rsid w:val="00AA1D82"/>
    <w:rsid w:val="00AA32E1"/>
    <w:rsid w:val="00AA408D"/>
    <w:rsid w:val="00AA4338"/>
    <w:rsid w:val="00AA4B17"/>
    <w:rsid w:val="00AA4D69"/>
    <w:rsid w:val="00AA55F5"/>
    <w:rsid w:val="00AA6099"/>
    <w:rsid w:val="00AA7818"/>
    <w:rsid w:val="00AA7D4D"/>
    <w:rsid w:val="00AB0439"/>
    <w:rsid w:val="00AB06CB"/>
    <w:rsid w:val="00AB10C5"/>
    <w:rsid w:val="00AB1632"/>
    <w:rsid w:val="00AB466B"/>
    <w:rsid w:val="00AB48A3"/>
    <w:rsid w:val="00AB61F0"/>
    <w:rsid w:val="00AB697D"/>
    <w:rsid w:val="00AB7F81"/>
    <w:rsid w:val="00AC09CE"/>
    <w:rsid w:val="00AC1638"/>
    <w:rsid w:val="00AC2053"/>
    <w:rsid w:val="00AC3DC7"/>
    <w:rsid w:val="00AC3F67"/>
    <w:rsid w:val="00AC4042"/>
    <w:rsid w:val="00AC4A16"/>
    <w:rsid w:val="00AC6FD4"/>
    <w:rsid w:val="00AD2928"/>
    <w:rsid w:val="00AD3782"/>
    <w:rsid w:val="00AD3ADE"/>
    <w:rsid w:val="00AD3C52"/>
    <w:rsid w:val="00AD6570"/>
    <w:rsid w:val="00AD7302"/>
    <w:rsid w:val="00AD77BD"/>
    <w:rsid w:val="00AD7E3F"/>
    <w:rsid w:val="00AE06AA"/>
    <w:rsid w:val="00AE06CD"/>
    <w:rsid w:val="00AE0D5E"/>
    <w:rsid w:val="00AE2618"/>
    <w:rsid w:val="00AE5F08"/>
    <w:rsid w:val="00AE6C1C"/>
    <w:rsid w:val="00AE7691"/>
    <w:rsid w:val="00AF18E8"/>
    <w:rsid w:val="00AF305E"/>
    <w:rsid w:val="00AF309D"/>
    <w:rsid w:val="00AF421A"/>
    <w:rsid w:val="00AF4DA4"/>
    <w:rsid w:val="00AF5133"/>
    <w:rsid w:val="00AF5DDE"/>
    <w:rsid w:val="00AF698B"/>
    <w:rsid w:val="00B00659"/>
    <w:rsid w:val="00B00B3F"/>
    <w:rsid w:val="00B03574"/>
    <w:rsid w:val="00B0397E"/>
    <w:rsid w:val="00B040B1"/>
    <w:rsid w:val="00B058B9"/>
    <w:rsid w:val="00B058C8"/>
    <w:rsid w:val="00B06495"/>
    <w:rsid w:val="00B064B4"/>
    <w:rsid w:val="00B064BB"/>
    <w:rsid w:val="00B068C7"/>
    <w:rsid w:val="00B06FC6"/>
    <w:rsid w:val="00B0741F"/>
    <w:rsid w:val="00B1009C"/>
    <w:rsid w:val="00B101DF"/>
    <w:rsid w:val="00B10A42"/>
    <w:rsid w:val="00B11462"/>
    <w:rsid w:val="00B11929"/>
    <w:rsid w:val="00B1427D"/>
    <w:rsid w:val="00B1448D"/>
    <w:rsid w:val="00B16016"/>
    <w:rsid w:val="00B16099"/>
    <w:rsid w:val="00B16D56"/>
    <w:rsid w:val="00B21854"/>
    <w:rsid w:val="00B224E2"/>
    <w:rsid w:val="00B24A50"/>
    <w:rsid w:val="00B25344"/>
    <w:rsid w:val="00B255DC"/>
    <w:rsid w:val="00B26D93"/>
    <w:rsid w:val="00B27006"/>
    <w:rsid w:val="00B2762C"/>
    <w:rsid w:val="00B31452"/>
    <w:rsid w:val="00B32894"/>
    <w:rsid w:val="00B3297F"/>
    <w:rsid w:val="00B32B27"/>
    <w:rsid w:val="00B36590"/>
    <w:rsid w:val="00B369E4"/>
    <w:rsid w:val="00B375E3"/>
    <w:rsid w:val="00B375EB"/>
    <w:rsid w:val="00B37BBB"/>
    <w:rsid w:val="00B40C1B"/>
    <w:rsid w:val="00B41176"/>
    <w:rsid w:val="00B41C0B"/>
    <w:rsid w:val="00B41E84"/>
    <w:rsid w:val="00B42EC5"/>
    <w:rsid w:val="00B437BB"/>
    <w:rsid w:val="00B44027"/>
    <w:rsid w:val="00B460D5"/>
    <w:rsid w:val="00B46264"/>
    <w:rsid w:val="00B465EA"/>
    <w:rsid w:val="00B46A54"/>
    <w:rsid w:val="00B47E5A"/>
    <w:rsid w:val="00B51D96"/>
    <w:rsid w:val="00B51F55"/>
    <w:rsid w:val="00B5349E"/>
    <w:rsid w:val="00B54992"/>
    <w:rsid w:val="00B54FBA"/>
    <w:rsid w:val="00B5526F"/>
    <w:rsid w:val="00B552AE"/>
    <w:rsid w:val="00B55F6D"/>
    <w:rsid w:val="00B56337"/>
    <w:rsid w:val="00B57098"/>
    <w:rsid w:val="00B57D4F"/>
    <w:rsid w:val="00B607F8"/>
    <w:rsid w:val="00B6086D"/>
    <w:rsid w:val="00B60FA6"/>
    <w:rsid w:val="00B6210B"/>
    <w:rsid w:val="00B6333B"/>
    <w:rsid w:val="00B64832"/>
    <w:rsid w:val="00B64F0A"/>
    <w:rsid w:val="00B65208"/>
    <w:rsid w:val="00B65EA2"/>
    <w:rsid w:val="00B66079"/>
    <w:rsid w:val="00B66341"/>
    <w:rsid w:val="00B67A90"/>
    <w:rsid w:val="00B753D5"/>
    <w:rsid w:val="00B76207"/>
    <w:rsid w:val="00B80178"/>
    <w:rsid w:val="00B80361"/>
    <w:rsid w:val="00B8162A"/>
    <w:rsid w:val="00B821E9"/>
    <w:rsid w:val="00B8395F"/>
    <w:rsid w:val="00B84813"/>
    <w:rsid w:val="00B85D5E"/>
    <w:rsid w:val="00B86464"/>
    <w:rsid w:val="00B86487"/>
    <w:rsid w:val="00B86AA0"/>
    <w:rsid w:val="00B87611"/>
    <w:rsid w:val="00B87F81"/>
    <w:rsid w:val="00B90378"/>
    <w:rsid w:val="00B905AB"/>
    <w:rsid w:val="00B9199D"/>
    <w:rsid w:val="00B919F3"/>
    <w:rsid w:val="00B9234A"/>
    <w:rsid w:val="00B923DA"/>
    <w:rsid w:val="00B9253B"/>
    <w:rsid w:val="00B92E5F"/>
    <w:rsid w:val="00B93474"/>
    <w:rsid w:val="00B93520"/>
    <w:rsid w:val="00B93CC5"/>
    <w:rsid w:val="00B93D7A"/>
    <w:rsid w:val="00B94160"/>
    <w:rsid w:val="00B94236"/>
    <w:rsid w:val="00B948D9"/>
    <w:rsid w:val="00B9516C"/>
    <w:rsid w:val="00B95321"/>
    <w:rsid w:val="00B95656"/>
    <w:rsid w:val="00B95982"/>
    <w:rsid w:val="00B96E75"/>
    <w:rsid w:val="00B976CC"/>
    <w:rsid w:val="00B97A1F"/>
    <w:rsid w:val="00B97B52"/>
    <w:rsid w:val="00BA0E19"/>
    <w:rsid w:val="00BA1014"/>
    <w:rsid w:val="00BA1865"/>
    <w:rsid w:val="00BA27AD"/>
    <w:rsid w:val="00BA3961"/>
    <w:rsid w:val="00BA3F1D"/>
    <w:rsid w:val="00BA4F36"/>
    <w:rsid w:val="00BA5FE7"/>
    <w:rsid w:val="00BB1CF5"/>
    <w:rsid w:val="00BB2189"/>
    <w:rsid w:val="00BB2796"/>
    <w:rsid w:val="00BB2EAE"/>
    <w:rsid w:val="00BB3023"/>
    <w:rsid w:val="00BB443C"/>
    <w:rsid w:val="00BB55BC"/>
    <w:rsid w:val="00BB5607"/>
    <w:rsid w:val="00BB665F"/>
    <w:rsid w:val="00BB6B37"/>
    <w:rsid w:val="00BB6BBD"/>
    <w:rsid w:val="00BC1480"/>
    <w:rsid w:val="00BC1A50"/>
    <w:rsid w:val="00BC1C15"/>
    <w:rsid w:val="00BC216B"/>
    <w:rsid w:val="00BC2C80"/>
    <w:rsid w:val="00BC37FB"/>
    <w:rsid w:val="00BC3A50"/>
    <w:rsid w:val="00BC3D2A"/>
    <w:rsid w:val="00BC4191"/>
    <w:rsid w:val="00BC4EEF"/>
    <w:rsid w:val="00BC4F0E"/>
    <w:rsid w:val="00BC684E"/>
    <w:rsid w:val="00BC72CF"/>
    <w:rsid w:val="00BC74F3"/>
    <w:rsid w:val="00BD0214"/>
    <w:rsid w:val="00BD0EA8"/>
    <w:rsid w:val="00BD13C7"/>
    <w:rsid w:val="00BD1A41"/>
    <w:rsid w:val="00BD1E3C"/>
    <w:rsid w:val="00BD4EE3"/>
    <w:rsid w:val="00BD5F3C"/>
    <w:rsid w:val="00BD5FCD"/>
    <w:rsid w:val="00BD6E61"/>
    <w:rsid w:val="00BD7AD8"/>
    <w:rsid w:val="00BD7F4F"/>
    <w:rsid w:val="00BE1230"/>
    <w:rsid w:val="00BE1ADD"/>
    <w:rsid w:val="00BE27F6"/>
    <w:rsid w:val="00BE4173"/>
    <w:rsid w:val="00BE5180"/>
    <w:rsid w:val="00BE5E02"/>
    <w:rsid w:val="00BE7598"/>
    <w:rsid w:val="00BF135D"/>
    <w:rsid w:val="00BF1A97"/>
    <w:rsid w:val="00BF3653"/>
    <w:rsid w:val="00BF3A30"/>
    <w:rsid w:val="00BF46C1"/>
    <w:rsid w:val="00BF476C"/>
    <w:rsid w:val="00BF57ED"/>
    <w:rsid w:val="00BF6954"/>
    <w:rsid w:val="00C0063E"/>
    <w:rsid w:val="00C012F0"/>
    <w:rsid w:val="00C019BA"/>
    <w:rsid w:val="00C02D4D"/>
    <w:rsid w:val="00C03655"/>
    <w:rsid w:val="00C04114"/>
    <w:rsid w:val="00C10BFE"/>
    <w:rsid w:val="00C12096"/>
    <w:rsid w:val="00C12A89"/>
    <w:rsid w:val="00C13A10"/>
    <w:rsid w:val="00C13AA1"/>
    <w:rsid w:val="00C144B6"/>
    <w:rsid w:val="00C14BF4"/>
    <w:rsid w:val="00C16097"/>
    <w:rsid w:val="00C16D47"/>
    <w:rsid w:val="00C17811"/>
    <w:rsid w:val="00C2161D"/>
    <w:rsid w:val="00C21743"/>
    <w:rsid w:val="00C2218E"/>
    <w:rsid w:val="00C24348"/>
    <w:rsid w:val="00C243DF"/>
    <w:rsid w:val="00C24677"/>
    <w:rsid w:val="00C24C95"/>
    <w:rsid w:val="00C251C9"/>
    <w:rsid w:val="00C2524E"/>
    <w:rsid w:val="00C26800"/>
    <w:rsid w:val="00C2682D"/>
    <w:rsid w:val="00C2719F"/>
    <w:rsid w:val="00C302A4"/>
    <w:rsid w:val="00C3144D"/>
    <w:rsid w:val="00C3241D"/>
    <w:rsid w:val="00C35370"/>
    <w:rsid w:val="00C36863"/>
    <w:rsid w:val="00C377B7"/>
    <w:rsid w:val="00C41854"/>
    <w:rsid w:val="00C41C66"/>
    <w:rsid w:val="00C44137"/>
    <w:rsid w:val="00C46544"/>
    <w:rsid w:val="00C50379"/>
    <w:rsid w:val="00C50978"/>
    <w:rsid w:val="00C50C7B"/>
    <w:rsid w:val="00C527D7"/>
    <w:rsid w:val="00C52AB0"/>
    <w:rsid w:val="00C55EEA"/>
    <w:rsid w:val="00C565B2"/>
    <w:rsid w:val="00C57E3E"/>
    <w:rsid w:val="00C60699"/>
    <w:rsid w:val="00C6198D"/>
    <w:rsid w:val="00C626F5"/>
    <w:rsid w:val="00C646E7"/>
    <w:rsid w:val="00C65A7B"/>
    <w:rsid w:val="00C66E3C"/>
    <w:rsid w:val="00C679DB"/>
    <w:rsid w:val="00C7043C"/>
    <w:rsid w:val="00C712C2"/>
    <w:rsid w:val="00C721D2"/>
    <w:rsid w:val="00C72552"/>
    <w:rsid w:val="00C74B96"/>
    <w:rsid w:val="00C75193"/>
    <w:rsid w:val="00C753D9"/>
    <w:rsid w:val="00C75523"/>
    <w:rsid w:val="00C7598E"/>
    <w:rsid w:val="00C761F5"/>
    <w:rsid w:val="00C76BDB"/>
    <w:rsid w:val="00C77E8A"/>
    <w:rsid w:val="00C8170A"/>
    <w:rsid w:val="00C8210D"/>
    <w:rsid w:val="00C82E5C"/>
    <w:rsid w:val="00C831CA"/>
    <w:rsid w:val="00C83F0A"/>
    <w:rsid w:val="00C84CE9"/>
    <w:rsid w:val="00C85486"/>
    <w:rsid w:val="00C85B88"/>
    <w:rsid w:val="00C86CF4"/>
    <w:rsid w:val="00C87D6E"/>
    <w:rsid w:val="00C90201"/>
    <w:rsid w:val="00C91134"/>
    <w:rsid w:val="00C91D2B"/>
    <w:rsid w:val="00C92646"/>
    <w:rsid w:val="00C9401A"/>
    <w:rsid w:val="00C945F8"/>
    <w:rsid w:val="00C950CF"/>
    <w:rsid w:val="00C955A7"/>
    <w:rsid w:val="00C9610B"/>
    <w:rsid w:val="00C96CE7"/>
    <w:rsid w:val="00C97368"/>
    <w:rsid w:val="00CA1834"/>
    <w:rsid w:val="00CA2861"/>
    <w:rsid w:val="00CA32FF"/>
    <w:rsid w:val="00CA37A7"/>
    <w:rsid w:val="00CA46C0"/>
    <w:rsid w:val="00CA4D14"/>
    <w:rsid w:val="00CA4D53"/>
    <w:rsid w:val="00CA642E"/>
    <w:rsid w:val="00CA6E05"/>
    <w:rsid w:val="00CA7DE3"/>
    <w:rsid w:val="00CB12DE"/>
    <w:rsid w:val="00CB130B"/>
    <w:rsid w:val="00CB3340"/>
    <w:rsid w:val="00CB76BD"/>
    <w:rsid w:val="00CC0835"/>
    <w:rsid w:val="00CC27BD"/>
    <w:rsid w:val="00CC3006"/>
    <w:rsid w:val="00CC72B0"/>
    <w:rsid w:val="00CC76B4"/>
    <w:rsid w:val="00CC7B7F"/>
    <w:rsid w:val="00CD057B"/>
    <w:rsid w:val="00CD0A2B"/>
    <w:rsid w:val="00CD14E3"/>
    <w:rsid w:val="00CD1C04"/>
    <w:rsid w:val="00CD25B4"/>
    <w:rsid w:val="00CD32FD"/>
    <w:rsid w:val="00CD37A0"/>
    <w:rsid w:val="00CD3A7B"/>
    <w:rsid w:val="00CD5671"/>
    <w:rsid w:val="00CD755A"/>
    <w:rsid w:val="00CD7845"/>
    <w:rsid w:val="00CE2C18"/>
    <w:rsid w:val="00CE32B4"/>
    <w:rsid w:val="00CE413A"/>
    <w:rsid w:val="00CE4842"/>
    <w:rsid w:val="00CE5E44"/>
    <w:rsid w:val="00CE6EDF"/>
    <w:rsid w:val="00CE7213"/>
    <w:rsid w:val="00CE7503"/>
    <w:rsid w:val="00CF1022"/>
    <w:rsid w:val="00CF125B"/>
    <w:rsid w:val="00CF13D1"/>
    <w:rsid w:val="00CF1787"/>
    <w:rsid w:val="00CF1879"/>
    <w:rsid w:val="00CF3170"/>
    <w:rsid w:val="00CF450C"/>
    <w:rsid w:val="00CF451A"/>
    <w:rsid w:val="00CF6939"/>
    <w:rsid w:val="00CF73D3"/>
    <w:rsid w:val="00D00B6C"/>
    <w:rsid w:val="00D010F9"/>
    <w:rsid w:val="00D029C0"/>
    <w:rsid w:val="00D036F6"/>
    <w:rsid w:val="00D03982"/>
    <w:rsid w:val="00D03EDE"/>
    <w:rsid w:val="00D04B5E"/>
    <w:rsid w:val="00D04C20"/>
    <w:rsid w:val="00D04F4D"/>
    <w:rsid w:val="00D0548F"/>
    <w:rsid w:val="00D05D2C"/>
    <w:rsid w:val="00D06166"/>
    <w:rsid w:val="00D06BB7"/>
    <w:rsid w:val="00D102B7"/>
    <w:rsid w:val="00D10FAC"/>
    <w:rsid w:val="00D1253F"/>
    <w:rsid w:val="00D14C7A"/>
    <w:rsid w:val="00D157D7"/>
    <w:rsid w:val="00D1595F"/>
    <w:rsid w:val="00D1734E"/>
    <w:rsid w:val="00D1736F"/>
    <w:rsid w:val="00D17B62"/>
    <w:rsid w:val="00D2204F"/>
    <w:rsid w:val="00D2279D"/>
    <w:rsid w:val="00D228B9"/>
    <w:rsid w:val="00D238BB"/>
    <w:rsid w:val="00D245B6"/>
    <w:rsid w:val="00D25328"/>
    <w:rsid w:val="00D2565F"/>
    <w:rsid w:val="00D26399"/>
    <w:rsid w:val="00D2683F"/>
    <w:rsid w:val="00D27940"/>
    <w:rsid w:val="00D302A9"/>
    <w:rsid w:val="00D30960"/>
    <w:rsid w:val="00D31532"/>
    <w:rsid w:val="00D316A5"/>
    <w:rsid w:val="00D334A9"/>
    <w:rsid w:val="00D350C2"/>
    <w:rsid w:val="00D366D3"/>
    <w:rsid w:val="00D36960"/>
    <w:rsid w:val="00D41BE9"/>
    <w:rsid w:val="00D4269C"/>
    <w:rsid w:val="00D42990"/>
    <w:rsid w:val="00D42F62"/>
    <w:rsid w:val="00D437D7"/>
    <w:rsid w:val="00D44209"/>
    <w:rsid w:val="00D46FC5"/>
    <w:rsid w:val="00D4713B"/>
    <w:rsid w:val="00D50443"/>
    <w:rsid w:val="00D505F0"/>
    <w:rsid w:val="00D5270B"/>
    <w:rsid w:val="00D52AD2"/>
    <w:rsid w:val="00D5365B"/>
    <w:rsid w:val="00D5541E"/>
    <w:rsid w:val="00D55481"/>
    <w:rsid w:val="00D555EF"/>
    <w:rsid w:val="00D57C26"/>
    <w:rsid w:val="00D60C4D"/>
    <w:rsid w:val="00D6106B"/>
    <w:rsid w:val="00D6198D"/>
    <w:rsid w:val="00D62FFF"/>
    <w:rsid w:val="00D6314A"/>
    <w:rsid w:val="00D6338F"/>
    <w:rsid w:val="00D63730"/>
    <w:rsid w:val="00D65780"/>
    <w:rsid w:val="00D670C1"/>
    <w:rsid w:val="00D67542"/>
    <w:rsid w:val="00D6773C"/>
    <w:rsid w:val="00D67D50"/>
    <w:rsid w:val="00D67E3A"/>
    <w:rsid w:val="00D709AF"/>
    <w:rsid w:val="00D7119F"/>
    <w:rsid w:val="00D72753"/>
    <w:rsid w:val="00D73CC3"/>
    <w:rsid w:val="00D7536D"/>
    <w:rsid w:val="00D75CE8"/>
    <w:rsid w:val="00D75E69"/>
    <w:rsid w:val="00D75F95"/>
    <w:rsid w:val="00D80184"/>
    <w:rsid w:val="00D80A32"/>
    <w:rsid w:val="00D817D9"/>
    <w:rsid w:val="00D81FA2"/>
    <w:rsid w:val="00D822AC"/>
    <w:rsid w:val="00D85238"/>
    <w:rsid w:val="00D85258"/>
    <w:rsid w:val="00D86FA3"/>
    <w:rsid w:val="00D87517"/>
    <w:rsid w:val="00D87F34"/>
    <w:rsid w:val="00D90FE0"/>
    <w:rsid w:val="00D91308"/>
    <w:rsid w:val="00D91C6B"/>
    <w:rsid w:val="00D920B8"/>
    <w:rsid w:val="00D928EB"/>
    <w:rsid w:val="00D93E62"/>
    <w:rsid w:val="00D940A8"/>
    <w:rsid w:val="00D947E2"/>
    <w:rsid w:val="00D94CA2"/>
    <w:rsid w:val="00D95999"/>
    <w:rsid w:val="00D95E75"/>
    <w:rsid w:val="00D960CA"/>
    <w:rsid w:val="00D97392"/>
    <w:rsid w:val="00D97879"/>
    <w:rsid w:val="00D97B59"/>
    <w:rsid w:val="00DA20A5"/>
    <w:rsid w:val="00DA22A1"/>
    <w:rsid w:val="00DA2F26"/>
    <w:rsid w:val="00DA364F"/>
    <w:rsid w:val="00DA39F3"/>
    <w:rsid w:val="00DA3D4A"/>
    <w:rsid w:val="00DA4DF9"/>
    <w:rsid w:val="00DA69FF"/>
    <w:rsid w:val="00DA77F7"/>
    <w:rsid w:val="00DB21B2"/>
    <w:rsid w:val="00DB2A40"/>
    <w:rsid w:val="00DB3A3D"/>
    <w:rsid w:val="00DB3FC0"/>
    <w:rsid w:val="00DB41D5"/>
    <w:rsid w:val="00DB49AA"/>
    <w:rsid w:val="00DB6C85"/>
    <w:rsid w:val="00DB6EAA"/>
    <w:rsid w:val="00DB79D4"/>
    <w:rsid w:val="00DB7C9E"/>
    <w:rsid w:val="00DC0189"/>
    <w:rsid w:val="00DC1E39"/>
    <w:rsid w:val="00DC2A22"/>
    <w:rsid w:val="00DC443C"/>
    <w:rsid w:val="00DC5110"/>
    <w:rsid w:val="00DC67E1"/>
    <w:rsid w:val="00DC6860"/>
    <w:rsid w:val="00DC6B0A"/>
    <w:rsid w:val="00DC79AF"/>
    <w:rsid w:val="00DD0148"/>
    <w:rsid w:val="00DD307D"/>
    <w:rsid w:val="00DD67CA"/>
    <w:rsid w:val="00DD6A15"/>
    <w:rsid w:val="00DD6A6F"/>
    <w:rsid w:val="00DE055E"/>
    <w:rsid w:val="00DE0CC8"/>
    <w:rsid w:val="00DE2C69"/>
    <w:rsid w:val="00DE3B48"/>
    <w:rsid w:val="00DE4270"/>
    <w:rsid w:val="00DE4AD7"/>
    <w:rsid w:val="00DE572A"/>
    <w:rsid w:val="00DE58DC"/>
    <w:rsid w:val="00DE6BAE"/>
    <w:rsid w:val="00DE7A21"/>
    <w:rsid w:val="00DE7E87"/>
    <w:rsid w:val="00DF0404"/>
    <w:rsid w:val="00DF062C"/>
    <w:rsid w:val="00DF0E00"/>
    <w:rsid w:val="00DF0E2E"/>
    <w:rsid w:val="00DF2391"/>
    <w:rsid w:val="00DF3BF8"/>
    <w:rsid w:val="00E0081C"/>
    <w:rsid w:val="00E00BB4"/>
    <w:rsid w:val="00E01A0C"/>
    <w:rsid w:val="00E01F7C"/>
    <w:rsid w:val="00E054D1"/>
    <w:rsid w:val="00E069E2"/>
    <w:rsid w:val="00E07DA7"/>
    <w:rsid w:val="00E1156B"/>
    <w:rsid w:val="00E11E0C"/>
    <w:rsid w:val="00E12FF1"/>
    <w:rsid w:val="00E14949"/>
    <w:rsid w:val="00E151F9"/>
    <w:rsid w:val="00E16C36"/>
    <w:rsid w:val="00E17423"/>
    <w:rsid w:val="00E17F99"/>
    <w:rsid w:val="00E209E6"/>
    <w:rsid w:val="00E20E27"/>
    <w:rsid w:val="00E20E7A"/>
    <w:rsid w:val="00E244E4"/>
    <w:rsid w:val="00E25122"/>
    <w:rsid w:val="00E25C5A"/>
    <w:rsid w:val="00E26C10"/>
    <w:rsid w:val="00E27230"/>
    <w:rsid w:val="00E27698"/>
    <w:rsid w:val="00E27CB0"/>
    <w:rsid w:val="00E30EC3"/>
    <w:rsid w:val="00E31276"/>
    <w:rsid w:val="00E32057"/>
    <w:rsid w:val="00E33219"/>
    <w:rsid w:val="00E3458C"/>
    <w:rsid w:val="00E37646"/>
    <w:rsid w:val="00E37710"/>
    <w:rsid w:val="00E40122"/>
    <w:rsid w:val="00E41537"/>
    <w:rsid w:val="00E415FD"/>
    <w:rsid w:val="00E43547"/>
    <w:rsid w:val="00E43DE0"/>
    <w:rsid w:val="00E44D9F"/>
    <w:rsid w:val="00E461F6"/>
    <w:rsid w:val="00E47896"/>
    <w:rsid w:val="00E50181"/>
    <w:rsid w:val="00E50480"/>
    <w:rsid w:val="00E504DB"/>
    <w:rsid w:val="00E5402F"/>
    <w:rsid w:val="00E54CE6"/>
    <w:rsid w:val="00E56587"/>
    <w:rsid w:val="00E5705E"/>
    <w:rsid w:val="00E60BFB"/>
    <w:rsid w:val="00E60CE2"/>
    <w:rsid w:val="00E60E3F"/>
    <w:rsid w:val="00E61730"/>
    <w:rsid w:val="00E6221B"/>
    <w:rsid w:val="00E622CD"/>
    <w:rsid w:val="00E62DC2"/>
    <w:rsid w:val="00E634F9"/>
    <w:rsid w:val="00E63C8B"/>
    <w:rsid w:val="00E6788D"/>
    <w:rsid w:val="00E71AB3"/>
    <w:rsid w:val="00E743C5"/>
    <w:rsid w:val="00E74661"/>
    <w:rsid w:val="00E74ED6"/>
    <w:rsid w:val="00E75E81"/>
    <w:rsid w:val="00E7782F"/>
    <w:rsid w:val="00E8029E"/>
    <w:rsid w:val="00E803AC"/>
    <w:rsid w:val="00E81457"/>
    <w:rsid w:val="00E8163A"/>
    <w:rsid w:val="00E81A8A"/>
    <w:rsid w:val="00E81D75"/>
    <w:rsid w:val="00E829A6"/>
    <w:rsid w:val="00E84846"/>
    <w:rsid w:val="00E85CF0"/>
    <w:rsid w:val="00E85F87"/>
    <w:rsid w:val="00E860A1"/>
    <w:rsid w:val="00E86478"/>
    <w:rsid w:val="00E864D3"/>
    <w:rsid w:val="00E8729E"/>
    <w:rsid w:val="00E87496"/>
    <w:rsid w:val="00E87E77"/>
    <w:rsid w:val="00E92BA7"/>
    <w:rsid w:val="00E94097"/>
    <w:rsid w:val="00E96F3B"/>
    <w:rsid w:val="00EA1024"/>
    <w:rsid w:val="00EA1310"/>
    <w:rsid w:val="00EA15A6"/>
    <w:rsid w:val="00EA1BB7"/>
    <w:rsid w:val="00EA3139"/>
    <w:rsid w:val="00EA3C54"/>
    <w:rsid w:val="00EA3DDE"/>
    <w:rsid w:val="00EA4773"/>
    <w:rsid w:val="00EA4AF1"/>
    <w:rsid w:val="00EA56DA"/>
    <w:rsid w:val="00EA64BB"/>
    <w:rsid w:val="00EB054D"/>
    <w:rsid w:val="00EB136F"/>
    <w:rsid w:val="00EB1F0F"/>
    <w:rsid w:val="00EB3FD2"/>
    <w:rsid w:val="00EB580F"/>
    <w:rsid w:val="00EB5815"/>
    <w:rsid w:val="00EB6EAA"/>
    <w:rsid w:val="00EC03D6"/>
    <w:rsid w:val="00EC179D"/>
    <w:rsid w:val="00EC1DE2"/>
    <w:rsid w:val="00EC26A3"/>
    <w:rsid w:val="00EC4498"/>
    <w:rsid w:val="00EC5482"/>
    <w:rsid w:val="00EC551E"/>
    <w:rsid w:val="00EC5617"/>
    <w:rsid w:val="00EC5AE9"/>
    <w:rsid w:val="00EC5EAA"/>
    <w:rsid w:val="00ED0278"/>
    <w:rsid w:val="00ED17C0"/>
    <w:rsid w:val="00ED2BA9"/>
    <w:rsid w:val="00ED4312"/>
    <w:rsid w:val="00ED6094"/>
    <w:rsid w:val="00ED67E6"/>
    <w:rsid w:val="00ED68F6"/>
    <w:rsid w:val="00ED69A1"/>
    <w:rsid w:val="00ED7510"/>
    <w:rsid w:val="00ED7F73"/>
    <w:rsid w:val="00EE2E40"/>
    <w:rsid w:val="00EF19EA"/>
    <w:rsid w:val="00EF4309"/>
    <w:rsid w:val="00EF50DE"/>
    <w:rsid w:val="00EF5FD9"/>
    <w:rsid w:val="00EF6246"/>
    <w:rsid w:val="00EF7B53"/>
    <w:rsid w:val="00EF7DCF"/>
    <w:rsid w:val="00F01A67"/>
    <w:rsid w:val="00F0209B"/>
    <w:rsid w:val="00F02BF1"/>
    <w:rsid w:val="00F03603"/>
    <w:rsid w:val="00F049E3"/>
    <w:rsid w:val="00F04B43"/>
    <w:rsid w:val="00F067FC"/>
    <w:rsid w:val="00F07081"/>
    <w:rsid w:val="00F07A12"/>
    <w:rsid w:val="00F103E3"/>
    <w:rsid w:val="00F108E1"/>
    <w:rsid w:val="00F12509"/>
    <w:rsid w:val="00F1328D"/>
    <w:rsid w:val="00F1423B"/>
    <w:rsid w:val="00F14FBA"/>
    <w:rsid w:val="00F150F4"/>
    <w:rsid w:val="00F15635"/>
    <w:rsid w:val="00F1563B"/>
    <w:rsid w:val="00F15938"/>
    <w:rsid w:val="00F16315"/>
    <w:rsid w:val="00F1704A"/>
    <w:rsid w:val="00F17732"/>
    <w:rsid w:val="00F20162"/>
    <w:rsid w:val="00F20698"/>
    <w:rsid w:val="00F212A0"/>
    <w:rsid w:val="00F215CA"/>
    <w:rsid w:val="00F21DB9"/>
    <w:rsid w:val="00F2244B"/>
    <w:rsid w:val="00F22A0B"/>
    <w:rsid w:val="00F2305A"/>
    <w:rsid w:val="00F23477"/>
    <w:rsid w:val="00F2532A"/>
    <w:rsid w:val="00F254B3"/>
    <w:rsid w:val="00F2731E"/>
    <w:rsid w:val="00F27BDE"/>
    <w:rsid w:val="00F27F30"/>
    <w:rsid w:val="00F30615"/>
    <w:rsid w:val="00F31655"/>
    <w:rsid w:val="00F31796"/>
    <w:rsid w:val="00F31A91"/>
    <w:rsid w:val="00F32843"/>
    <w:rsid w:val="00F32EF2"/>
    <w:rsid w:val="00F33BC1"/>
    <w:rsid w:val="00F35172"/>
    <w:rsid w:val="00F36370"/>
    <w:rsid w:val="00F365FB"/>
    <w:rsid w:val="00F406A9"/>
    <w:rsid w:val="00F4081C"/>
    <w:rsid w:val="00F40839"/>
    <w:rsid w:val="00F413F5"/>
    <w:rsid w:val="00F428F2"/>
    <w:rsid w:val="00F4324F"/>
    <w:rsid w:val="00F44067"/>
    <w:rsid w:val="00F45A43"/>
    <w:rsid w:val="00F4630E"/>
    <w:rsid w:val="00F5103E"/>
    <w:rsid w:val="00F518DE"/>
    <w:rsid w:val="00F51F79"/>
    <w:rsid w:val="00F52058"/>
    <w:rsid w:val="00F52882"/>
    <w:rsid w:val="00F528C9"/>
    <w:rsid w:val="00F53382"/>
    <w:rsid w:val="00F5560C"/>
    <w:rsid w:val="00F60DA5"/>
    <w:rsid w:val="00F614FF"/>
    <w:rsid w:val="00F61BFA"/>
    <w:rsid w:val="00F61D77"/>
    <w:rsid w:val="00F624DA"/>
    <w:rsid w:val="00F62E77"/>
    <w:rsid w:val="00F63575"/>
    <w:rsid w:val="00F63C10"/>
    <w:rsid w:val="00F63C91"/>
    <w:rsid w:val="00F6429D"/>
    <w:rsid w:val="00F65DC7"/>
    <w:rsid w:val="00F661E8"/>
    <w:rsid w:val="00F664BC"/>
    <w:rsid w:val="00F711C1"/>
    <w:rsid w:val="00F71493"/>
    <w:rsid w:val="00F7175B"/>
    <w:rsid w:val="00F720B3"/>
    <w:rsid w:val="00F722DB"/>
    <w:rsid w:val="00F7342D"/>
    <w:rsid w:val="00F73C1B"/>
    <w:rsid w:val="00F74BE5"/>
    <w:rsid w:val="00F76C92"/>
    <w:rsid w:val="00F821DE"/>
    <w:rsid w:val="00F8526A"/>
    <w:rsid w:val="00F85798"/>
    <w:rsid w:val="00F86471"/>
    <w:rsid w:val="00F876F9"/>
    <w:rsid w:val="00F9147F"/>
    <w:rsid w:val="00F92178"/>
    <w:rsid w:val="00F9339B"/>
    <w:rsid w:val="00F94346"/>
    <w:rsid w:val="00F94AE7"/>
    <w:rsid w:val="00F94F67"/>
    <w:rsid w:val="00F95647"/>
    <w:rsid w:val="00F956FB"/>
    <w:rsid w:val="00F971CA"/>
    <w:rsid w:val="00FA08EB"/>
    <w:rsid w:val="00FA0F78"/>
    <w:rsid w:val="00FA17A6"/>
    <w:rsid w:val="00FA182C"/>
    <w:rsid w:val="00FA24FD"/>
    <w:rsid w:val="00FA28C4"/>
    <w:rsid w:val="00FA3374"/>
    <w:rsid w:val="00FA45CB"/>
    <w:rsid w:val="00FA5746"/>
    <w:rsid w:val="00FA5F5B"/>
    <w:rsid w:val="00FA6614"/>
    <w:rsid w:val="00FA71A5"/>
    <w:rsid w:val="00FA7FB8"/>
    <w:rsid w:val="00FB083E"/>
    <w:rsid w:val="00FB0FF2"/>
    <w:rsid w:val="00FB12C7"/>
    <w:rsid w:val="00FB29A6"/>
    <w:rsid w:val="00FB30AD"/>
    <w:rsid w:val="00FB401D"/>
    <w:rsid w:val="00FB50D5"/>
    <w:rsid w:val="00FB647E"/>
    <w:rsid w:val="00FB6CED"/>
    <w:rsid w:val="00FB7438"/>
    <w:rsid w:val="00FB7DC9"/>
    <w:rsid w:val="00FC103A"/>
    <w:rsid w:val="00FC19BA"/>
    <w:rsid w:val="00FC38CE"/>
    <w:rsid w:val="00FC408F"/>
    <w:rsid w:val="00FC6D1D"/>
    <w:rsid w:val="00FC71D0"/>
    <w:rsid w:val="00FD0931"/>
    <w:rsid w:val="00FD27FB"/>
    <w:rsid w:val="00FD54CD"/>
    <w:rsid w:val="00FD7855"/>
    <w:rsid w:val="00FE0E3A"/>
    <w:rsid w:val="00FE1B97"/>
    <w:rsid w:val="00FE2748"/>
    <w:rsid w:val="00FE2916"/>
    <w:rsid w:val="00FE29C9"/>
    <w:rsid w:val="00FE517C"/>
    <w:rsid w:val="00FE56C1"/>
    <w:rsid w:val="00FE59E0"/>
    <w:rsid w:val="00FE6C02"/>
    <w:rsid w:val="00FE7C36"/>
    <w:rsid w:val="00FF05C0"/>
    <w:rsid w:val="00FF0AC4"/>
    <w:rsid w:val="00FF1AA6"/>
    <w:rsid w:val="00FF1F8D"/>
    <w:rsid w:val="00FF28BC"/>
    <w:rsid w:val="00FF3D83"/>
    <w:rsid w:val="00FF4B03"/>
    <w:rsid w:val="00FF4C94"/>
    <w:rsid w:val="00FF51EC"/>
    <w:rsid w:val="00FF55DA"/>
    <w:rsid w:val="00FF65A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87"/>
    <w:pPr>
      <w:spacing w:after="0" w:line="240" w:lineRule="auto"/>
      <w:jc w:val="both"/>
    </w:pPr>
    <w:rPr>
      <w:rFonts w:ascii="Verdana" w:eastAsia="Calibri" w:hAnsi="Verdana" w:cs="Calibri"/>
      <w:sz w:val="20"/>
      <w:lang w:val="es-MX"/>
    </w:rPr>
  </w:style>
  <w:style w:type="paragraph" w:styleId="Heading1">
    <w:name w:val="heading 1"/>
    <w:aliases w:val="Título Verdana"/>
    <w:basedOn w:val="Normal"/>
    <w:next w:val="Normal"/>
    <w:link w:val="Heading1Char"/>
    <w:uiPriority w:val="9"/>
    <w:qFormat/>
    <w:rsid w:val="003D717E"/>
    <w:pPr>
      <w:jc w:val="center"/>
      <w:outlineLvl w:val="0"/>
    </w:pPr>
    <w:rPr>
      <w:b/>
      <w:lang w:eastAsia="es-CR"/>
    </w:rPr>
  </w:style>
  <w:style w:type="paragraph" w:styleId="Heading2">
    <w:name w:val="heading 2"/>
    <w:basedOn w:val="Normal"/>
    <w:next w:val="Normal"/>
    <w:link w:val="Heading2Char"/>
    <w:uiPriority w:val="9"/>
    <w:unhideWhenUsed/>
    <w:qFormat/>
    <w:rsid w:val="00EF4309"/>
    <w:pPr>
      <w:numPr>
        <w:numId w:val="9"/>
      </w:numPr>
      <w:tabs>
        <w:tab w:val="left" w:pos="1134"/>
      </w:tabs>
      <w:outlineLvl w:val="1"/>
    </w:pPr>
    <w:rPr>
      <w:b/>
      <w:i/>
      <w:lang w:val="es-ES" w:eastAsia="es-MX"/>
    </w:rPr>
  </w:style>
  <w:style w:type="paragraph" w:styleId="Heading3">
    <w:name w:val="heading 3"/>
    <w:basedOn w:val="Normal"/>
    <w:next w:val="Normal"/>
    <w:link w:val="Heading3Char"/>
    <w:uiPriority w:val="9"/>
    <w:unhideWhenUsed/>
    <w:qFormat/>
    <w:rsid w:val="00FA08EB"/>
    <w:pPr>
      <w:ind w:left="1276"/>
      <w:outlineLvl w:val="2"/>
    </w:pPr>
    <w:rPr>
      <w:b/>
      <w:lang w:val="es-ES"/>
    </w:rPr>
  </w:style>
  <w:style w:type="paragraph" w:styleId="Heading4">
    <w:name w:val="heading 4"/>
    <w:basedOn w:val="Heading3"/>
    <w:next w:val="Normal"/>
    <w:link w:val="Heading4Char"/>
    <w:uiPriority w:val="9"/>
    <w:unhideWhenUsed/>
    <w:qFormat/>
    <w:rsid w:val="003D717E"/>
    <w:pPr>
      <w:ind w:left="1418"/>
      <w:outlineLvl w:val="3"/>
    </w:pPr>
    <w:rPr>
      <w:b w:val="0"/>
      <w:u w:val="single"/>
    </w:rPr>
  </w:style>
  <w:style w:type="paragraph" w:styleId="Heading5">
    <w:name w:val="heading 5"/>
    <w:basedOn w:val="Normal"/>
    <w:next w:val="Normal"/>
    <w:link w:val="Heading5Char"/>
    <w:uiPriority w:val="9"/>
    <w:semiHidden/>
    <w:unhideWhenUsed/>
    <w:qFormat/>
    <w:rsid w:val="003D71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3D717E"/>
    <w:pPr>
      <w:keepNext w:val="0"/>
      <w:keepLines w:val="0"/>
      <w:numPr>
        <w:ilvl w:val="4"/>
        <w:numId w:val="1"/>
      </w:numPr>
      <w:spacing w:before="0"/>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3D717E"/>
    <w:rPr>
      <w:rFonts w:ascii="Verdana" w:eastAsia="Calibri" w:hAnsi="Verdana" w:cs="Calibri"/>
      <w:b/>
      <w:sz w:val="20"/>
      <w:lang w:val="es-MX" w:eastAsia="es-CR"/>
    </w:rPr>
  </w:style>
  <w:style w:type="character" w:customStyle="1" w:styleId="Heading2Char">
    <w:name w:val="Heading 2 Char"/>
    <w:basedOn w:val="DefaultParagraphFont"/>
    <w:link w:val="Heading2"/>
    <w:uiPriority w:val="9"/>
    <w:rsid w:val="00EF4309"/>
    <w:rPr>
      <w:rFonts w:ascii="Verdana" w:eastAsia="Calibri" w:hAnsi="Verdana" w:cs="Calibri"/>
      <w:b/>
      <w:i/>
      <w:sz w:val="20"/>
      <w:lang w:val="es-ES" w:eastAsia="es-MX"/>
    </w:rPr>
  </w:style>
  <w:style w:type="character" w:customStyle="1" w:styleId="Heading3Char">
    <w:name w:val="Heading 3 Char"/>
    <w:basedOn w:val="DefaultParagraphFont"/>
    <w:link w:val="Heading3"/>
    <w:uiPriority w:val="9"/>
    <w:rsid w:val="00FA08EB"/>
    <w:rPr>
      <w:rFonts w:ascii="Verdana" w:eastAsia="Calibri" w:hAnsi="Verdana" w:cs="Calibri"/>
      <w:b/>
      <w:sz w:val="20"/>
      <w:lang w:val="es-ES"/>
    </w:rPr>
  </w:style>
  <w:style w:type="character" w:customStyle="1" w:styleId="Heading4Char">
    <w:name w:val="Heading 4 Char"/>
    <w:basedOn w:val="DefaultParagraphFont"/>
    <w:link w:val="Heading4"/>
    <w:uiPriority w:val="9"/>
    <w:rsid w:val="003D717E"/>
    <w:rPr>
      <w:rFonts w:ascii="Verdana" w:eastAsia="Calibri" w:hAnsi="Verdana" w:cs="Calibri"/>
      <w:sz w:val="20"/>
      <w:u w:val="single"/>
      <w:lang w:val="es-ES"/>
    </w:rPr>
  </w:style>
  <w:style w:type="character" w:customStyle="1" w:styleId="Heading5Char">
    <w:name w:val="Heading 5 Char"/>
    <w:basedOn w:val="DefaultParagraphFont"/>
    <w:link w:val="Heading5"/>
    <w:uiPriority w:val="9"/>
    <w:semiHidden/>
    <w:rsid w:val="003D717E"/>
    <w:rPr>
      <w:rFonts w:asciiTheme="majorHAnsi" w:eastAsiaTheme="majorEastAsia" w:hAnsiTheme="majorHAnsi" w:cstheme="majorBidi"/>
      <w:color w:val="243F60" w:themeColor="accent1" w:themeShade="7F"/>
      <w:sz w:val="20"/>
      <w:lang w:val="es-MX"/>
    </w:rPr>
  </w:style>
  <w:style w:type="character" w:customStyle="1" w:styleId="Heading6Char">
    <w:name w:val="Heading 6 Char"/>
    <w:basedOn w:val="DefaultParagraphFont"/>
    <w:link w:val="Heading6"/>
    <w:uiPriority w:val="9"/>
    <w:rsid w:val="003D717E"/>
    <w:rPr>
      <w:rFonts w:ascii="Verdana" w:eastAsia="Times New Roman" w:hAnsi="Verdana" w:cs="Times New Roman"/>
      <w:spacing w:val="-2"/>
      <w:sz w:val="20"/>
      <w:szCs w:val="20"/>
      <w:lang w:val="es-ES_tradnl" w:eastAsia="es-CR"/>
    </w:rPr>
  </w:style>
  <w:style w:type="paragraph" w:styleId="Title">
    <w:name w:val="Title"/>
    <w:basedOn w:val="Normal"/>
    <w:next w:val="Normal"/>
    <w:link w:val="TitleChar"/>
    <w:uiPriority w:val="10"/>
    <w:qFormat/>
    <w:rsid w:val="003D717E"/>
    <w:pPr>
      <w:jc w:val="center"/>
    </w:pPr>
    <w:rPr>
      <w:b/>
    </w:rPr>
  </w:style>
  <w:style w:type="character" w:customStyle="1" w:styleId="TitleChar">
    <w:name w:val="Title Char"/>
    <w:basedOn w:val="DefaultParagraphFont"/>
    <w:link w:val="Title"/>
    <w:uiPriority w:val="10"/>
    <w:rsid w:val="003D717E"/>
    <w:rPr>
      <w:rFonts w:ascii="Verdana" w:eastAsia="Calibri" w:hAnsi="Verdana" w:cs="Calibri"/>
      <w:b/>
      <w:sz w:val="20"/>
      <w:lang w:val="es-MX"/>
    </w:rPr>
  </w:style>
  <w:style w:type="paragraph" w:styleId="ListParagraph">
    <w:name w:val="List Paragraph"/>
    <w:aliases w:val="Footnote,List Paragraph1,Párrafo de lista1,List Paragraph2"/>
    <w:basedOn w:val="Normal"/>
    <w:link w:val="ListParagraphChar"/>
    <w:uiPriority w:val="34"/>
    <w:qFormat/>
    <w:rsid w:val="003D717E"/>
    <w:pPr>
      <w:widowControl w:val="0"/>
      <w:numPr>
        <w:numId w:val="10"/>
      </w:numPr>
      <w:autoSpaceDE w:val="0"/>
      <w:autoSpaceDN w:val="0"/>
      <w:adjustRightInd w:val="0"/>
      <w:ind w:right="22"/>
    </w:pPr>
    <w:rPr>
      <w:rFonts w:cs="Verdana"/>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qFormat/>
    <w:rsid w:val="003D717E"/>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qFormat/>
    <w:rsid w:val="003D717E"/>
    <w:pPr>
      <w:tabs>
        <w:tab w:val="left" w:pos="567"/>
      </w:tabs>
    </w:pPr>
    <w:rPr>
      <w:rFonts w:cs="Verdana"/>
      <w:sz w:val="16"/>
      <w:szCs w:val="16"/>
      <w:lang w:val="es-ES_tradnl" w:eastAsia="es-ES"/>
    </w:rPr>
  </w:style>
  <w:style w:type="character" w:customStyle="1" w:styleId="FootnoteTextChar">
    <w:name w:val="Footnote Text Char"/>
    <w:aliases w:val="Footnote Text Cha Char,FA Fuﬂnotentext Char,Ca Char,C Char,2. Footnote Text Char,Footnote Tesina Char,FA Fu Char1,Footnote Text Char Char Char Char Char Char1,Footnote Text Char Char Char Char Char2,Footnote reference Char1,Ca Char1"/>
    <w:basedOn w:val="DefaultParagraphFont"/>
    <w:rsid w:val="003D717E"/>
    <w:rPr>
      <w:rFonts w:ascii="Verdana" w:eastAsia="Calibri" w:hAnsi="Verdana"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locked/>
    <w:rsid w:val="003D717E"/>
    <w:rPr>
      <w:rFonts w:ascii="Verdana" w:eastAsia="Calibri" w:hAnsi="Verdana" w:cs="Verdana"/>
      <w:sz w:val="16"/>
      <w:szCs w:val="16"/>
      <w:lang w:val="es-ES_tradnl" w:eastAsia="es-ES"/>
    </w:rPr>
  </w:style>
  <w:style w:type="paragraph" w:styleId="BodyText">
    <w:name w:val="Body Text"/>
    <w:basedOn w:val="Normal"/>
    <w:link w:val="BodyTextChar"/>
    <w:uiPriority w:val="99"/>
    <w:semiHidden/>
    <w:rsid w:val="003D717E"/>
    <w:pPr>
      <w:spacing w:after="120"/>
    </w:pPr>
    <w:rPr>
      <w:rFonts w:ascii="Times" w:hAnsi="Times" w:cs="Times"/>
      <w:sz w:val="24"/>
      <w:szCs w:val="24"/>
      <w:lang w:val="es-ES_tradnl" w:eastAsia="es-ES"/>
    </w:rPr>
  </w:style>
  <w:style w:type="character" w:customStyle="1" w:styleId="BodyTextChar">
    <w:name w:val="Body Text Char"/>
    <w:basedOn w:val="DefaultParagraphFont"/>
    <w:link w:val="BodyText"/>
    <w:uiPriority w:val="99"/>
    <w:semiHidden/>
    <w:rsid w:val="003D717E"/>
    <w:rPr>
      <w:rFonts w:ascii="Times" w:eastAsia="Calibri" w:hAnsi="Times" w:cs="Times"/>
      <w:sz w:val="24"/>
      <w:szCs w:val="24"/>
      <w:lang w:val="es-ES_tradnl" w:eastAsia="es-ES"/>
    </w:rPr>
  </w:style>
  <w:style w:type="paragraph" w:styleId="Header">
    <w:name w:val="header"/>
    <w:basedOn w:val="Normal"/>
    <w:link w:val="HeaderChar"/>
    <w:uiPriority w:val="99"/>
    <w:rsid w:val="003D717E"/>
    <w:pPr>
      <w:tabs>
        <w:tab w:val="center" w:pos="4252"/>
        <w:tab w:val="right" w:pos="8504"/>
      </w:tabs>
    </w:pPr>
  </w:style>
  <w:style w:type="character" w:customStyle="1" w:styleId="HeaderChar">
    <w:name w:val="Header Char"/>
    <w:basedOn w:val="DefaultParagraphFont"/>
    <w:link w:val="Header"/>
    <w:uiPriority w:val="99"/>
    <w:rsid w:val="003D717E"/>
    <w:rPr>
      <w:rFonts w:ascii="Verdana" w:eastAsia="Calibri" w:hAnsi="Verdana" w:cs="Calibri"/>
      <w:sz w:val="20"/>
      <w:lang w:val="es-MX"/>
    </w:rPr>
  </w:style>
  <w:style w:type="paragraph" w:customStyle="1" w:styleId="ColorfulList-Accent11">
    <w:name w:val="Colorful List - Accent 11"/>
    <w:basedOn w:val="Normal"/>
    <w:uiPriority w:val="99"/>
    <w:rsid w:val="003D717E"/>
    <w:pPr>
      <w:ind w:left="720"/>
    </w:pPr>
    <w:rPr>
      <w:rFonts w:ascii="Times" w:eastAsia="MS Mincho" w:hAnsi="Times" w:cs="Times"/>
      <w:sz w:val="24"/>
      <w:szCs w:val="24"/>
      <w:lang w:val="es-ES_tradnl"/>
    </w:rPr>
  </w:style>
  <w:style w:type="paragraph" w:customStyle="1" w:styleId="Default">
    <w:name w:val="Default"/>
    <w:rsid w:val="003D717E"/>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apple-converted-space">
    <w:name w:val="apple-converted-space"/>
    <w:basedOn w:val="DefaultParagraphFont"/>
    <w:rsid w:val="003D717E"/>
  </w:style>
  <w:style w:type="paragraph" w:styleId="BalloonText">
    <w:name w:val="Balloon Text"/>
    <w:basedOn w:val="Normal"/>
    <w:link w:val="BalloonTextChar"/>
    <w:uiPriority w:val="99"/>
    <w:semiHidden/>
    <w:unhideWhenUsed/>
    <w:rsid w:val="003D717E"/>
    <w:rPr>
      <w:rFonts w:ascii="Tahoma" w:hAnsi="Tahoma" w:cs="Tahoma"/>
      <w:sz w:val="16"/>
      <w:szCs w:val="16"/>
    </w:rPr>
  </w:style>
  <w:style w:type="character" w:customStyle="1" w:styleId="BalloonTextChar">
    <w:name w:val="Balloon Text Char"/>
    <w:basedOn w:val="DefaultParagraphFont"/>
    <w:link w:val="BalloonText"/>
    <w:uiPriority w:val="99"/>
    <w:semiHidden/>
    <w:rsid w:val="003D717E"/>
    <w:rPr>
      <w:rFonts w:ascii="Tahoma" w:eastAsia="Calibri" w:hAnsi="Tahoma" w:cs="Tahoma"/>
      <w:sz w:val="16"/>
      <w:szCs w:val="16"/>
      <w:lang w:val="es-MX"/>
    </w:rPr>
  </w:style>
  <w:style w:type="character" w:styleId="CommentReference">
    <w:name w:val="annotation reference"/>
    <w:basedOn w:val="DefaultParagraphFont"/>
    <w:uiPriority w:val="99"/>
    <w:unhideWhenUsed/>
    <w:rsid w:val="003D717E"/>
    <w:rPr>
      <w:sz w:val="18"/>
      <w:szCs w:val="18"/>
    </w:rPr>
  </w:style>
  <w:style w:type="paragraph" w:styleId="CommentText">
    <w:name w:val="annotation text"/>
    <w:basedOn w:val="Normal"/>
    <w:link w:val="CommentTextChar"/>
    <w:uiPriority w:val="99"/>
    <w:unhideWhenUsed/>
    <w:rsid w:val="003D717E"/>
    <w:rPr>
      <w:sz w:val="24"/>
      <w:szCs w:val="24"/>
    </w:rPr>
  </w:style>
  <w:style w:type="character" w:customStyle="1" w:styleId="CommentTextChar">
    <w:name w:val="Comment Text Char"/>
    <w:basedOn w:val="DefaultParagraphFont"/>
    <w:link w:val="CommentText"/>
    <w:uiPriority w:val="99"/>
    <w:rsid w:val="003D717E"/>
    <w:rPr>
      <w:rFonts w:ascii="Verdana" w:eastAsia="Calibri" w:hAnsi="Verdana" w:cs="Calibri"/>
      <w:sz w:val="24"/>
      <w:szCs w:val="24"/>
      <w:lang w:val="es-MX"/>
    </w:rPr>
  </w:style>
  <w:style w:type="paragraph" w:styleId="CommentSubject">
    <w:name w:val="annotation subject"/>
    <w:basedOn w:val="CommentText"/>
    <w:next w:val="CommentText"/>
    <w:link w:val="CommentSubjectChar"/>
    <w:uiPriority w:val="99"/>
    <w:unhideWhenUsed/>
    <w:rsid w:val="003D717E"/>
    <w:rPr>
      <w:b/>
      <w:bCs/>
      <w:sz w:val="20"/>
      <w:szCs w:val="20"/>
    </w:rPr>
  </w:style>
  <w:style w:type="character" w:customStyle="1" w:styleId="CommentSubjectChar">
    <w:name w:val="Comment Subject Char"/>
    <w:basedOn w:val="CommentTextChar"/>
    <w:link w:val="CommentSubject"/>
    <w:uiPriority w:val="99"/>
    <w:rsid w:val="003D717E"/>
    <w:rPr>
      <w:rFonts w:ascii="Verdana" w:eastAsia="Calibri" w:hAnsi="Verdana" w:cs="Calibri"/>
      <w:b/>
      <w:bCs/>
      <w:sz w:val="20"/>
      <w:szCs w:val="20"/>
      <w:lang w:val="es-MX"/>
    </w:rPr>
  </w:style>
  <w:style w:type="paragraph" w:styleId="NoSpacing">
    <w:name w:val="No Spacing"/>
    <w:uiPriority w:val="1"/>
    <w:qFormat/>
    <w:rsid w:val="003D717E"/>
    <w:pPr>
      <w:spacing w:after="0" w:line="240" w:lineRule="auto"/>
      <w:jc w:val="both"/>
    </w:pPr>
    <w:rPr>
      <w:rFonts w:ascii="Verdana" w:eastAsia="Calibri" w:hAnsi="Verdana" w:cs="Calibri"/>
      <w:sz w:val="20"/>
      <w:lang w:val="es-MX"/>
    </w:rPr>
  </w:style>
  <w:style w:type="paragraph" w:customStyle="1" w:styleId="citaindirecta">
    <w:name w:val="cita indirecta"/>
    <w:basedOn w:val="Normal"/>
    <w:rsid w:val="003D717E"/>
    <w:pPr>
      <w:ind w:left="708"/>
    </w:pPr>
    <w:rPr>
      <w:rFonts w:eastAsia="Times New Roman" w:cs="Times New Roman"/>
      <w:szCs w:val="20"/>
      <w:lang w:val="es-ES_tradnl" w:eastAsia="es-MX"/>
    </w:rPr>
  </w:style>
  <w:style w:type="paragraph" w:customStyle="1" w:styleId="Footnotes">
    <w:name w:val="**. Footnotes"/>
    <w:basedOn w:val="FootnoteText"/>
    <w:link w:val="FootnotesChar"/>
    <w:qFormat/>
    <w:rsid w:val="003D717E"/>
    <w:rPr>
      <w:rFonts w:eastAsia="Times New Roman" w:cs="Palatino-Italic"/>
      <w:iCs/>
      <w:spacing w:val="-4"/>
      <w:lang w:val="es-ES" w:eastAsia="en-US" w:bidi="en-US"/>
    </w:rPr>
  </w:style>
  <w:style w:type="character" w:customStyle="1" w:styleId="FootnotesChar">
    <w:name w:val="**. Footnotes Char"/>
    <w:basedOn w:val="DefaultParagraphFont"/>
    <w:link w:val="Footnotes"/>
    <w:rsid w:val="003D717E"/>
    <w:rPr>
      <w:rFonts w:ascii="Verdana" w:eastAsia="Times New Roman" w:hAnsi="Verdana" w:cs="Palatino-Italic"/>
      <w:iCs/>
      <w:spacing w:val="-4"/>
      <w:sz w:val="16"/>
      <w:szCs w:val="16"/>
      <w:lang w:val="es-ES" w:bidi="en-US"/>
    </w:rPr>
  </w:style>
  <w:style w:type="paragraph" w:styleId="DocumentMap">
    <w:name w:val="Document Map"/>
    <w:basedOn w:val="Normal"/>
    <w:link w:val="DocumentMapChar"/>
    <w:uiPriority w:val="99"/>
    <w:semiHidden/>
    <w:unhideWhenUsed/>
    <w:rsid w:val="003D717E"/>
    <w:rPr>
      <w:rFonts w:ascii="Tahoma" w:hAnsi="Tahoma" w:cs="Tahoma"/>
      <w:sz w:val="16"/>
      <w:szCs w:val="16"/>
    </w:rPr>
  </w:style>
  <w:style w:type="character" w:customStyle="1" w:styleId="DocumentMapChar">
    <w:name w:val="Document Map Char"/>
    <w:basedOn w:val="DefaultParagraphFont"/>
    <w:link w:val="DocumentMap"/>
    <w:uiPriority w:val="99"/>
    <w:semiHidden/>
    <w:rsid w:val="003D717E"/>
    <w:rPr>
      <w:rFonts w:ascii="Tahoma" w:eastAsia="Calibri" w:hAnsi="Tahoma" w:cs="Tahoma"/>
      <w:sz w:val="16"/>
      <w:szCs w:val="16"/>
      <w:lang w:val="es-MX"/>
    </w:rPr>
  </w:style>
  <w:style w:type="paragraph" w:styleId="NormalWeb">
    <w:name w:val="Normal (Web)"/>
    <w:basedOn w:val="Normal"/>
    <w:uiPriority w:val="99"/>
    <w:unhideWhenUsed/>
    <w:rsid w:val="003D717E"/>
    <w:pPr>
      <w:spacing w:before="100" w:beforeAutospacing="1" w:after="100" w:afterAutospacing="1"/>
      <w:jc w:val="left"/>
    </w:pPr>
    <w:rPr>
      <w:rFonts w:ascii="Times New Roman" w:eastAsia="Times New Roman" w:hAnsi="Times New Roman" w:cs="Times New Roman"/>
      <w:sz w:val="24"/>
      <w:szCs w:val="24"/>
      <w:lang w:val="en-US"/>
    </w:rPr>
  </w:style>
  <w:style w:type="character" w:styleId="Hyperlink">
    <w:name w:val="Hyperlink"/>
    <w:uiPriority w:val="99"/>
    <w:unhideWhenUsed/>
    <w:rsid w:val="003D717E"/>
    <w:rPr>
      <w:color w:val="0000FF"/>
      <w:u w:val="single"/>
    </w:rPr>
  </w:style>
  <w:style w:type="character" w:customStyle="1" w:styleId="ListParagraphChar">
    <w:name w:val="List Paragraph Char"/>
    <w:aliases w:val="Footnote Char,List Paragraph1 Char,Párrafo de lista1 Char,List Paragraph2 Char"/>
    <w:link w:val="ListParagraph"/>
    <w:uiPriority w:val="34"/>
    <w:rsid w:val="003D717E"/>
    <w:rPr>
      <w:rFonts w:ascii="Verdana" w:eastAsia="Calibri" w:hAnsi="Verdana" w:cs="Verdana"/>
      <w:sz w:val="20"/>
      <w:szCs w:val="20"/>
      <w:lang w:val="es-MX"/>
    </w:rPr>
  </w:style>
  <w:style w:type="paragraph" w:customStyle="1" w:styleId="PrrafodeSentencia">
    <w:name w:val="*. Párrafo de Sentencia"/>
    <w:basedOn w:val="Normal"/>
    <w:next w:val="Normal"/>
    <w:link w:val="PrrafodeSentenciaChar"/>
    <w:qFormat/>
    <w:rsid w:val="003D717E"/>
    <w:pPr>
      <w:numPr>
        <w:numId w:val="2"/>
      </w:numPr>
      <w:tabs>
        <w:tab w:val="left" w:pos="567"/>
      </w:tabs>
      <w:ind w:left="0" w:firstLine="0"/>
    </w:pPr>
    <w:rPr>
      <w:rFonts w:eastAsia="Batang" w:cs="Times New Roman"/>
      <w:spacing w:val="-4"/>
      <w:lang w:val="es-CR" w:eastAsia="es-MX"/>
    </w:rPr>
  </w:style>
  <w:style w:type="character" w:customStyle="1" w:styleId="PrrafodeSentenciaChar">
    <w:name w:val="*. Párrafo de Sentencia Char"/>
    <w:basedOn w:val="DefaultParagraphFont"/>
    <w:link w:val="PrrafodeSentencia"/>
    <w:rsid w:val="003D717E"/>
    <w:rPr>
      <w:rFonts w:ascii="Verdana" w:eastAsia="Batang" w:hAnsi="Verdana" w:cs="Times New Roman"/>
      <w:spacing w:val="-4"/>
      <w:sz w:val="20"/>
      <w:lang w:eastAsia="es-MX"/>
    </w:rPr>
  </w:style>
  <w:style w:type="character" w:styleId="Strong">
    <w:name w:val="Strong"/>
    <w:basedOn w:val="DefaultParagraphFont"/>
    <w:uiPriority w:val="22"/>
    <w:qFormat/>
    <w:rsid w:val="003D717E"/>
    <w:rPr>
      <w:b/>
      <w:bCs/>
    </w:rPr>
  </w:style>
  <w:style w:type="character" w:customStyle="1" w:styleId="ListParagraphChar1">
    <w:name w:val="List Paragraph Char1"/>
    <w:aliases w:val="Colorful List - Accent 11 Char1"/>
    <w:uiPriority w:val="99"/>
    <w:locked/>
    <w:rsid w:val="003D717E"/>
    <w:rPr>
      <w:rFonts w:ascii="Verdana" w:eastAsia="Times New Roman" w:hAnsi="Verdana"/>
      <w:lang w:val="es-ES_tradnl"/>
    </w:rPr>
  </w:style>
  <w:style w:type="character" w:customStyle="1" w:styleId="Refdenotaalpie1">
    <w:name w:val="Ref. de nota al pie1"/>
    <w:basedOn w:val="DefaultParagraphFont"/>
    <w:rsid w:val="003D717E"/>
    <w:rPr>
      <w:sz w:val="20"/>
      <w:vertAlign w:val="superscript"/>
    </w:rPr>
  </w:style>
  <w:style w:type="paragraph" w:styleId="EndnoteText">
    <w:name w:val="endnote text"/>
    <w:basedOn w:val="Normal"/>
    <w:link w:val="EndnoteTextChar"/>
    <w:uiPriority w:val="99"/>
    <w:semiHidden/>
    <w:unhideWhenUsed/>
    <w:rsid w:val="003D717E"/>
    <w:rPr>
      <w:szCs w:val="20"/>
    </w:rPr>
  </w:style>
  <w:style w:type="character" w:customStyle="1" w:styleId="EndnoteTextChar">
    <w:name w:val="Endnote Text Char"/>
    <w:basedOn w:val="DefaultParagraphFont"/>
    <w:link w:val="EndnoteText"/>
    <w:uiPriority w:val="99"/>
    <w:semiHidden/>
    <w:rsid w:val="003D717E"/>
    <w:rPr>
      <w:rFonts w:ascii="Verdana" w:eastAsia="Calibri" w:hAnsi="Verdana" w:cs="Calibri"/>
      <w:sz w:val="20"/>
      <w:szCs w:val="20"/>
      <w:lang w:val="es-MX"/>
    </w:rPr>
  </w:style>
  <w:style w:type="character" w:styleId="EndnoteReference">
    <w:name w:val="endnote reference"/>
    <w:basedOn w:val="DefaultParagraphFont"/>
    <w:uiPriority w:val="99"/>
    <w:semiHidden/>
    <w:unhideWhenUsed/>
    <w:rsid w:val="003D717E"/>
    <w:rPr>
      <w:vertAlign w:val="superscript"/>
    </w:rPr>
  </w:style>
  <w:style w:type="paragraph" w:styleId="Revision">
    <w:name w:val="Revision"/>
    <w:hidden/>
    <w:uiPriority w:val="99"/>
    <w:semiHidden/>
    <w:rsid w:val="003D717E"/>
    <w:pPr>
      <w:spacing w:after="0" w:line="240" w:lineRule="auto"/>
    </w:pPr>
    <w:rPr>
      <w:rFonts w:ascii="Verdana" w:eastAsia="Calibri" w:hAnsi="Verdana" w:cs="Calibri"/>
      <w:sz w:val="20"/>
      <w:lang w:val="es-MX"/>
    </w:rPr>
  </w:style>
  <w:style w:type="character" w:styleId="FollowedHyperlink">
    <w:name w:val="FollowedHyperlink"/>
    <w:basedOn w:val="DefaultParagraphFont"/>
    <w:uiPriority w:val="99"/>
    <w:semiHidden/>
    <w:unhideWhenUsed/>
    <w:rsid w:val="003D717E"/>
    <w:rPr>
      <w:color w:val="800080" w:themeColor="followedHyperlink"/>
      <w:u w:val="single"/>
    </w:rPr>
  </w:style>
  <w:style w:type="paragraph" w:styleId="Footer">
    <w:name w:val="footer"/>
    <w:basedOn w:val="Normal"/>
    <w:link w:val="FooterChar"/>
    <w:uiPriority w:val="99"/>
    <w:unhideWhenUsed/>
    <w:rsid w:val="00B97B52"/>
    <w:pPr>
      <w:tabs>
        <w:tab w:val="center" w:pos="4419"/>
        <w:tab w:val="right" w:pos="8838"/>
      </w:tabs>
    </w:pPr>
    <w:rPr>
      <w:rFonts w:eastAsiaTheme="minorEastAsia" w:cstheme="minorBidi"/>
      <w:sz w:val="16"/>
      <w:lang w:val="es-PE" w:eastAsia="es-PE"/>
    </w:rPr>
  </w:style>
  <w:style w:type="character" w:customStyle="1" w:styleId="FooterChar">
    <w:name w:val="Footer Char"/>
    <w:basedOn w:val="DefaultParagraphFont"/>
    <w:link w:val="Footer"/>
    <w:uiPriority w:val="99"/>
    <w:rsid w:val="00B97B52"/>
    <w:rPr>
      <w:rFonts w:ascii="Verdana" w:eastAsiaTheme="minorEastAsia" w:hAnsi="Verdana"/>
      <w:sz w:val="16"/>
      <w:lang w:val="es-PE" w:eastAsia="es-PE"/>
    </w:rPr>
  </w:style>
  <w:style w:type="character" w:customStyle="1" w:styleId="apple-style-span">
    <w:name w:val="apple-style-span"/>
    <w:basedOn w:val="DefaultParagraphFont"/>
    <w:rsid w:val="003D717E"/>
  </w:style>
  <w:style w:type="paragraph" w:styleId="TOC1">
    <w:name w:val="toc 1"/>
    <w:basedOn w:val="Normal"/>
    <w:next w:val="Normal"/>
    <w:autoRedefine/>
    <w:uiPriority w:val="39"/>
    <w:unhideWhenUsed/>
    <w:rsid w:val="00757BC9"/>
    <w:pPr>
      <w:tabs>
        <w:tab w:val="right" w:leader="dot" w:pos="9792"/>
      </w:tabs>
      <w:spacing w:before="120" w:after="120"/>
    </w:pPr>
    <w:rPr>
      <w:b/>
      <w:bCs/>
      <w:noProof/>
      <w:szCs w:val="20"/>
      <w:lang w:val="es-CR"/>
    </w:rPr>
  </w:style>
  <w:style w:type="paragraph" w:styleId="TOC2">
    <w:name w:val="toc 2"/>
    <w:basedOn w:val="Normal"/>
    <w:next w:val="Normal"/>
    <w:autoRedefine/>
    <w:uiPriority w:val="39"/>
    <w:unhideWhenUsed/>
    <w:rsid w:val="00F31A91"/>
    <w:pPr>
      <w:ind w:left="200"/>
      <w:jc w:val="left"/>
    </w:pPr>
    <w:rPr>
      <w:rFonts w:asciiTheme="minorHAnsi" w:hAnsiTheme="minorHAnsi"/>
      <w:smallCaps/>
      <w:szCs w:val="20"/>
    </w:rPr>
  </w:style>
  <w:style w:type="paragraph" w:styleId="TOC3">
    <w:name w:val="toc 3"/>
    <w:basedOn w:val="Normal"/>
    <w:next w:val="Normal"/>
    <w:autoRedefine/>
    <w:uiPriority w:val="39"/>
    <w:unhideWhenUsed/>
    <w:rsid w:val="003D717E"/>
    <w:pPr>
      <w:ind w:left="400"/>
      <w:jc w:val="left"/>
    </w:pPr>
    <w:rPr>
      <w:rFonts w:asciiTheme="minorHAnsi" w:hAnsiTheme="minorHAnsi"/>
      <w:i/>
      <w:iCs/>
      <w:szCs w:val="20"/>
    </w:rPr>
  </w:style>
  <w:style w:type="character" w:customStyle="1" w:styleId="sb8d990e2">
    <w:name w:val="sb8d990e2"/>
    <w:basedOn w:val="DefaultParagraphFont"/>
    <w:rsid w:val="003D717E"/>
  </w:style>
  <w:style w:type="character" w:customStyle="1" w:styleId="s6b621b36">
    <w:name w:val="s6b621b36"/>
    <w:basedOn w:val="DefaultParagraphFont"/>
    <w:rsid w:val="003D717E"/>
  </w:style>
  <w:style w:type="table" w:styleId="TableGrid">
    <w:name w:val="Table Grid"/>
    <w:basedOn w:val="TableNormal"/>
    <w:uiPriority w:val="59"/>
    <w:rsid w:val="003D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717E"/>
  </w:style>
  <w:style w:type="paragraph" w:customStyle="1" w:styleId="Prrafodelista2">
    <w:name w:val="Párrafo de lista2"/>
    <w:basedOn w:val="Normal"/>
    <w:uiPriority w:val="99"/>
    <w:rsid w:val="003D717E"/>
    <w:pPr>
      <w:ind w:left="720"/>
      <w:jc w:val="left"/>
    </w:pPr>
    <w:rPr>
      <w:rFonts w:eastAsia="MS Mincho" w:cs="Times New Roman"/>
      <w:szCs w:val="20"/>
      <w:lang w:val="es-ES_tradnl" w:bidi="en-US"/>
    </w:rPr>
  </w:style>
  <w:style w:type="character" w:styleId="Emphasis">
    <w:name w:val="Emphasis"/>
    <w:basedOn w:val="DefaultParagraphFont"/>
    <w:uiPriority w:val="20"/>
    <w:qFormat/>
    <w:rsid w:val="003D717E"/>
    <w:rPr>
      <w:i/>
      <w:iCs/>
    </w:rPr>
  </w:style>
  <w:style w:type="character" w:customStyle="1" w:styleId="documentbody1">
    <w:name w:val="documentbody1"/>
    <w:uiPriority w:val="99"/>
    <w:rsid w:val="003D717E"/>
    <w:rPr>
      <w:rFonts w:ascii="Verdana" w:hAnsi="Verdana"/>
      <w:sz w:val="19"/>
    </w:rPr>
  </w:style>
  <w:style w:type="character" w:customStyle="1" w:styleId="ju-005fpara--char">
    <w:name w:val="ju-005fpara--char"/>
    <w:basedOn w:val="DefaultParagraphFont"/>
    <w:rsid w:val="003D717E"/>
  </w:style>
  <w:style w:type="character" w:customStyle="1" w:styleId="normal--char">
    <w:name w:val="normal--char"/>
    <w:basedOn w:val="DefaultParagraphFont"/>
    <w:rsid w:val="003D717E"/>
  </w:style>
  <w:style w:type="paragraph" w:customStyle="1" w:styleId="Estilo1">
    <w:name w:val="Estilo1"/>
    <w:basedOn w:val="Normal"/>
    <w:link w:val="Estilo1Car"/>
    <w:qFormat/>
    <w:rsid w:val="003D717E"/>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3D717E"/>
    <w:rPr>
      <w:rFonts w:ascii="Verdana" w:eastAsia="Calibri" w:hAnsi="Verdana" w:cs="Times New Roman"/>
      <w:sz w:val="20"/>
      <w:szCs w:val="20"/>
      <w:lang w:val="es-ES"/>
    </w:rPr>
  </w:style>
  <w:style w:type="paragraph" w:customStyle="1" w:styleId="Estilo2">
    <w:name w:val="Estilo2"/>
    <w:basedOn w:val="Normal"/>
    <w:link w:val="Estilo2Car"/>
    <w:qFormat/>
    <w:rsid w:val="003D717E"/>
    <w:pPr>
      <w:tabs>
        <w:tab w:val="left" w:pos="567"/>
        <w:tab w:val="left" w:pos="1134"/>
        <w:tab w:val="num" w:pos="4767"/>
      </w:tabs>
      <w:spacing w:after="120"/>
      <w:ind w:firstLine="357"/>
    </w:pPr>
    <w:rPr>
      <w:rFonts w:cs="Times New Roman"/>
      <w:szCs w:val="20"/>
      <w:lang w:val="es-ES"/>
    </w:rPr>
  </w:style>
  <w:style w:type="paragraph" w:styleId="TOC4">
    <w:name w:val="toc 4"/>
    <w:basedOn w:val="Normal"/>
    <w:next w:val="Normal"/>
    <w:autoRedefine/>
    <w:uiPriority w:val="39"/>
    <w:unhideWhenUsed/>
    <w:rsid w:val="00930E53"/>
    <w:pPr>
      <w:ind w:left="600"/>
      <w:jc w:val="left"/>
    </w:pPr>
    <w:rPr>
      <w:rFonts w:asciiTheme="minorHAnsi" w:hAnsiTheme="minorHAnsi"/>
      <w:sz w:val="18"/>
      <w:szCs w:val="18"/>
    </w:rPr>
  </w:style>
  <w:style w:type="character" w:customStyle="1" w:styleId="s3">
    <w:name w:val="s3"/>
    <w:basedOn w:val="DefaultParagraphFont"/>
    <w:rsid w:val="009A1986"/>
  </w:style>
  <w:style w:type="character" w:styleId="PageNumber">
    <w:name w:val="page number"/>
    <w:basedOn w:val="DefaultParagraphFont"/>
    <w:uiPriority w:val="99"/>
    <w:semiHidden/>
    <w:unhideWhenUsed/>
    <w:rsid w:val="00D157D7"/>
  </w:style>
  <w:style w:type="character" w:customStyle="1" w:styleId="sf1c7242d">
    <w:name w:val="sf1c7242d"/>
    <w:basedOn w:val="DefaultParagraphFont"/>
    <w:rsid w:val="0084681D"/>
  </w:style>
  <w:style w:type="character" w:customStyle="1" w:styleId="st">
    <w:name w:val="st"/>
    <w:basedOn w:val="DefaultParagraphFont"/>
    <w:rsid w:val="00AB0439"/>
  </w:style>
  <w:style w:type="paragraph" w:styleId="Subtitle">
    <w:name w:val="Subtitle"/>
    <w:basedOn w:val="Normal"/>
    <w:next w:val="Normal"/>
    <w:link w:val="SubtitleChar"/>
    <w:uiPriority w:val="11"/>
    <w:qFormat/>
    <w:rsid w:val="00AB0439"/>
    <w:pPr>
      <w:numPr>
        <w:ilvl w:val="1"/>
      </w:numPr>
      <w:spacing w:after="200" w:line="276" w:lineRule="auto"/>
      <w:jc w:val="left"/>
    </w:pPr>
    <w:rPr>
      <w:rFonts w:eastAsiaTheme="majorEastAsia" w:cstheme="majorBidi"/>
      <w:i/>
      <w:iCs/>
      <w:spacing w:val="15"/>
      <w:szCs w:val="24"/>
      <w:lang w:val="en-US"/>
    </w:rPr>
  </w:style>
  <w:style w:type="character" w:customStyle="1" w:styleId="SubtitleChar">
    <w:name w:val="Subtitle Char"/>
    <w:basedOn w:val="DefaultParagraphFont"/>
    <w:link w:val="Subtitle"/>
    <w:uiPriority w:val="11"/>
    <w:rsid w:val="00AB0439"/>
    <w:rPr>
      <w:rFonts w:ascii="Verdana" w:eastAsiaTheme="majorEastAsia" w:hAnsi="Verdana" w:cstheme="majorBidi"/>
      <w:i/>
      <w:iCs/>
      <w:spacing w:val="15"/>
      <w:sz w:val="20"/>
      <w:szCs w:val="24"/>
      <w:lang w:val="en-US"/>
    </w:rPr>
  </w:style>
  <w:style w:type="character" w:customStyle="1" w:styleId="Smbolodenotaalpie">
    <w:name w:val="Símbolo de nota al pie"/>
    <w:basedOn w:val="DefaultParagraphFont"/>
    <w:rsid w:val="00AB0439"/>
    <w:rPr>
      <w:vertAlign w:val="superscript"/>
    </w:rPr>
  </w:style>
  <w:style w:type="character" w:styleId="SubtleEmphasis">
    <w:name w:val="Subtle Emphasis"/>
    <w:uiPriority w:val="19"/>
    <w:qFormat/>
    <w:rsid w:val="007754D7"/>
    <w:rPr>
      <w:rFonts w:ascii="Verdana" w:hAnsi="Verdana"/>
      <w:i/>
      <w:iCs/>
      <w:color w:val="808080"/>
      <w:sz w:val="20"/>
      <w:u w:val="single"/>
    </w:rPr>
  </w:style>
  <w:style w:type="table" w:styleId="LightGrid-Accent2">
    <w:name w:val="Light Grid Accent 2"/>
    <w:basedOn w:val="TableNormal"/>
    <w:uiPriority w:val="62"/>
    <w:rsid w:val="002622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DarkList-Accent2">
    <w:name w:val="Dark List Accent 2"/>
    <w:basedOn w:val="TableNormal"/>
    <w:uiPriority w:val="70"/>
    <w:rsid w:val="0026227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1">
    <w:name w:val="Colorful Shading Accent 1"/>
    <w:basedOn w:val="TableNormal"/>
    <w:uiPriority w:val="71"/>
    <w:rsid w:val="002622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6227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26227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DarkList-Accent1">
    <w:name w:val="Dark List Accent 1"/>
    <w:basedOn w:val="TableNormal"/>
    <w:uiPriority w:val="70"/>
    <w:rsid w:val="0026227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Shading1-Accent2">
    <w:name w:val="Medium Shading 1 Accent 2"/>
    <w:basedOn w:val="TableNormal"/>
    <w:uiPriority w:val="63"/>
    <w:rsid w:val="00DA77F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77F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77F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DA77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5oscura-nfasis11">
    <w:name w:val="Tabla de cuadrícula 5 oscura - Énfasis 11"/>
    <w:basedOn w:val="TableNormal"/>
    <w:uiPriority w:val="50"/>
    <w:rsid w:val="004B22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Estilo2Car">
    <w:name w:val="Estilo2 Car"/>
    <w:link w:val="Estilo2"/>
    <w:rsid w:val="00E87E77"/>
    <w:rPr>
      <w:rFonts w:ascii="Verdana" w:eastAsia="Calibri" w:hAnsi="Verdana" w:cs="Times New Roman"/>
      <w:sz w:val="20"/>
      <w:szCs w:val="20"/>
      <w:lang w:val="es-ES"/>
    </w:rPr>
  </w:style>
  <w:style w:type="character" w:customStyle="1" w:styleId="ListParagraphChar3">
    <w:name w:val="List Paragraph Char3"/>
    <w:aliases w:val="Footnote Char4,List Paragraph1 Char2,Colorful List - Accent 11 Char2,Párrafo de lista1 Char2"/>
    <w:basedOn w:val="DefaultParagraphFont"/>
    <w:uiPriority w:val="99"/>
    <w:locked/>
    <w:rsid w:val="00E87E77"/>
    <w:rPr>
      <w:rFonts w:ascii="Verdana" w:eastAsia="Times New Roman" w:hAnsi="Verdana" w:cs="Times New Roman"/>
      <w:sz w:val="20"/>
      <w:szCs w:val="24"/>
      <w:lang w:eastAsia="es-CR"/>
    </w:rPr>
  </w:style>
  <w:style w:type="paragraph" w:styleId="TOC5">
    <w:name w:val="toc 5"/>
    <w:basedOn w:val="Normal"/>
    <w:next w:val="Normal"/>
    <w:autoRedefine/>
    <w:uiPriority w:val="39"/>
    <w:unhideWhenUsed/>
    <w:rsid w:val="009D5CD3"/>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9D5CD3"/>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9D5CD3"/>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9D5CD3"/>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9D5CD3"/>
    <w:pPr>
      <w:ind w:left="1600"/>
      <w:jc w:val="left"/>
    </w:pPr>
    <w:rPr>
      <w:rFonts w:asciiTheme="minorHAnsi" w:hAnsiTheme="minorHAnsi"/>
      <w:sz w:val="18"/>
      <w:szCs w:val="18"/>
    </w:rPr>
  </w:style>
  <w:style w:type="character" w:styleId="PlaceholderText">
    <w:name w:val="Placeholder Text"/>
    <w:basedOn w:val="DefaultParagraphFont"/>
    <w:uiPriority w:val="99"/>
    <w:semiHidden/>
    <w:rsid w:val="00185078"/>
    <w:rPr>
      <w:color w:val="808080"/>
    </w:rPr>
  </w:style>
  <w:style w:type="character" w:customStyle="1" w:styleId="TextonotapieCar1Car">
    <w:name w:val="Texto nota pie Car1 Car"/>
    <w:aliases w:val="Footnote Text Char Char Char Char Char Car Car,Footnote Text Char Char Char Char Car Car,Footnote reference Car Car,Footnote Text Char Char Char Car Car,Footnote Text Cha Car Car,Ca Car Car"/>
    <w:basedOn w:val="DefaultParagraphFont"/>
    <w:rsid w:val="000B560C"/>
    <w:rPr>
      <w:rFonts w:ascii="Verdana" w:eastAsia="Calibri" w:hAnsi="Verdana" w:cs="Times New Roman"/>
      <w:sz w:val="16"/>
      <w:szCs w:val="20"/>
      <w:lang w:eastAsia="es-ES"/>
    </w:rPr>
  </w:style>
  <w:style w:type="character" w:customStyle="1" w:styleId="PiedepginaCar">
    <w:name w:val="Pie de página Car"/>
    <w:basedOn w:val="DefaultParagraphFont"/>
    <w:uiPriority w:val="99"/>
    <w:rsid w:val="00554D98"/>
    <w:rPr>
      <w:rFonts w:ascii="Verdana" w:eastAsia="Calibri" w:hAnsi="Verdana" w:cs="Verdana"/>
      <w:snapToGrid w:val="0"/>
      <w:sz w:val="20"/>
      <w:szCs w:val="20"/>
      <w:lang w:eastAsia="es-ES"/>
    </w:rPr>
  </w:style>
  <w:style w:type="character" w:customStyle="1" w:styleId="FootnoteTextCharCharCharCharCharCar">
    <w:name w:val="Footnote Text Char Char Char Char Char Car"/>
    <w:aliases w:val="Footnote Text Char Char Char Char Car,Footnote reference Car,Footnote Text Char Char Char Car,Footnote Text Cha Car,FA Fußnotentext Car,FA Fuﬂnotentext Car,FA Fu?notente Car,Ca Car"/>
    <w:basedOn w:val="DefaultParagraphFont"/>
    <w:rsid w:val="00992F66"/>
    <w:rPr>
      <w:rFonts w:ascii="Verdana" w:eastAsia="Times New Roman" w:hAnsi="Verdana" w:cs="Times New Roman"/>
      <w:sz w:val="16"/>
      <w:szCs w:val="20"/>
      <w:lang w:val="es-ES_tradnl" w:eastAsia="es-ES"/>
    </w:rPr>
  </w:style>
  <w:style w:type="character" w:customStyle="1" w:styleId="TextocomentarioCar">
    <w:name w:val="Texto comentario Car"/>
    <w:basedOn w:val="DefaultParagraphFont"/>
    <w:uiPriority w:val="99"/>
    <w:rsid w:val="00992F66"/>
    <w:rPr>
      <w:rFonts w:ascii="Verdana" w:eastAsia="Calibri" w:hAnsi="Verdana" w:cs="Calibri"/>
      <w:sz w:val="24"/>
      <w:szCs w:val="24"/>
      <w:lang w:val="es-MX"/>
    </w:rPr>
  </w:style>
  <w:style w:type="character" w:customStyle="1" w:styleId="PrrafodelistaCar">
    <w:name w:val="Párrafo de lista Car"/>
    <w:aliases w:val="List Paragraph1 Car,Párrafo de lista1 Car,List Paragraph2 Car"/>
    <w:uiPriority w:val="34"/>
    <w:locked/>
    <w:rsid w:val="00992F66"/>
    <w:rPr>
      <w:rFonts w:ascii="Verdana" w:eastAsia="Calibri" w:hAnsi="Verdana" w:cs="Calibri"/>
      <w:sz w:val="20"/>
      <w:lang w:val="es-MX"/>
    </w:rPr>
  </w:style>
  <w:style w:type="character" w:customStyle="1" w:styleId="Funotenzeichen">
    <w:name w:val="Fußnotenzeichen"/>
    <w:rsid w:val="00992F6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EC551E"/>
    <w:rPr>
      <w:rFonts w:eastAsiaTheme="minorHAnsi" w:cs="Verdana"/>
      <w:sz w:val="16"/>
      <w:szCs w:val="16"/>
      <w:vertAlign w:val="superscript"/>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87"/>
    <w:pPr>
      <w:spacing w:after="0" w:line="240" w:lineRule="auto"/>
      <w:jc w:val="both"/>
    </w:pPr>
    <w:rPr>
      <w:rFonts w:ascii="Verdana" w:eastAsia="Calibri" w:hAnsi="Verdana" w:cs="Calibri"/>
      <w:sz w:val="20"/>
      <w:lang w:val="es-MX"/>
    </w:rPr>
  </w:style>
  <w:style w:type="paragraph" w:styleId="Heading1">
    <w:name w:val="heading 1"/>
    <w:aliases w:val="Título Verdana"/>
    <w:basedOn w:val="Normal"/>
    <w:next w:val="Normal"/>
    <w:link w:val="Heading1Char"/>
    <w:uiPriority w:val="9"/>
    <w:qFormat/>
    <w:rsid w:val="003D717E"/>
    <w:pPr>
      <w:jc w:val="center"/>
      <w:outlineLvl w:val="0"/>
    </w:pPr>
    <w:rPr>
      <w:b/>
      <w:lang w:eastAsia="es-CR"/>
    </w:rPr>
  </w:style>
  <w:style w:type="paragraph" w:styleId="Heading2">
    <w:name w:val="heading 2"/>
    <w:basedOn w:val="Normal"/>
    <w:next w:val="Normal"/>
    <w:link w:val="Heading2Char"/>
    <w:uiPriority w:val="9"/>
    <w:unhideWhenUsed/>
    <w:qFormat/>
    <w:rsid w:val="00EF4309"/>
    <w:pPr>
      <w:numPr>
        <w:numId w:val="9"/>
      </w:numPr>
      <w:tabs>
        <w:tab w:val="left" w:pos="1134"/>
      </w:tabs>
      <w:outlineLvl w:val="1"/>
    </w:pPr>
    <w:rPr>
      <w:b/>
      <w:i/>
      <w:lang w:val="es-ES" w:eastAsia="es-MX"/>
    </w:rPr>
  </w:style>
  <w:style w:type="paragraph" w:styleId="Heading3">
    <w:name w:val="heading 3"/>
    <w:basedOn w:val="Normal"/>
    <w:next w:val="Normal"/>
    <w:link w:val="Heading3Char"/>
    <w:uiPriority w:val="9"/>
    <w:unhideWhenUsed/>
    <w:qFormat/>
    <w:rsid w:val="00FA08EB"/>
    <w:pPr>
      <w:ind w:left="1276"/>
      <w:outlineLvl w:val="2"/>
    </w:pPr>
    <w:rPr>
      <w:b/>
      <w:lang w:val="es-ES"/>
    </w:rPr>
  </w:style>
  <w:style w:type="paragraph" w:styleId="Heading4">
    <w:name w:val="heading 4"/>
    <w:basedOn w:val="Heading3"/>
    <w:next w:val="Normal"/>
    <w:link w:val="Heading4Char"/>
    <w:uiPriority w:val="9"/>
    <w:unhideWhenUsed/>
    <w:qFormat/>
    <w:rsid w:val="003D717E"/>
    <w:pPr>
      <w:ind w:left="1418"/>
      <w:outlineLvl w:val="3"/>
    </w:pPr>
    <w:rPr>
      <w:b w:val="0"/>
      <w:u w:val="single"/>
    </w:rPr>
  </w:style>
  <w:style w:type="paragraph" w:styleId="Heading5">
    <w:name w:val="heading 5"/>
    <w:basedOn w:val="Normal"/>
    <w:next w:val="Normal"/>
    <w:link w:val="Heading5Char"/>
    <w:uiPriority w:val="9"/>
    <w:semiHidden/>
    <w:unhideWhenUsed/>
    <w:qFormat/>
    <w:rsid w:val="003D71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3D717E"/>
    <w:pPr>
      <w:keepNext w:val="0"/>
      <w:keepLines w:val="0"/>
      <w:numPr>
        <w:ilvl w:val="4"/>
        <w:numId w:val="1"/>
      </w:numPr>
      <w:spacing w:before="0"/>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3D717E"/>
    <w:rPr>
      <w:rFonts w:ascii="Verdana" w:eastAsia="Calibri" w:hAnsi="Verdana" w:cs="Calibri"/>
      <w:b/>
      <w:sz w:val="20"/>
      <w:lang w:val="es-MX" w:eastAsia="es-CR"/>
    </w:rPr>
  </w:style>
  <w:style w:type="character" w:customStyle="1" w:styleId="Heading2Char">
    <w:name w:val="Heading 2 Char"/>
    <w:basedOn w:val="DefaultParagraphFont"/>
    <w:link w:val="Heading2"/>
    <w:uiPriority w:val="9"/>
    <w:rsid w:val="00EF4309"/>
    <w:rPr>
      <w:rFonts w:ascii="Verdana" w:eastAsia="Calibri" w:hAnsi="Verdana" w:cs="Calibri"/>
      <w:b/>
      <w:i/>
      <w:sz w:val="20"/>
      <w:lang w:val="es-ES" w:eastAsia="es-MX"/>
    </w:rPr>
  </w:style>
  <w:style w:type="character" w:customStyle="1" w:styleId="Heading3Char">
    <w:name w:val="Heading 3 Char"/>
    <w:basedOn w:val="DefaultParagraphFont"/>
    <w:link w:val="Heading3"/>
    <w:uiPriority w:val="9"/>
    <w:rsid w:val="00FA08EB"/>
    <w:rPr>
      <w:rFonts w:ascii="Verdana" w:eastAsia="Calibri" w:hAnsi="Verdana" w:cs="Calibri"/>
      <w:b/>
      <w:sz w:val="20"/>
      <w:lang w:val="es-ES"/>
    </w:rPr>
  </w:style>
  <w:style w:type="character" w:customStyle="1" w:styleId="Heading4Char">
    <w:name w:val="Heading 4 Char"/>
    <w:basedOn w:val="DefaultParagraphFont"/>
    <w:link w:val="Heading4"/>
    <w:uiPriority w:val="9"/>
    <w:rsid w:val="003D717E"/>
    <w:rPr>
      <w:rFonts w:ascii="Verdana" w:eastAsia="Calibri" w:hAnsi="Verdana" w:cs="Calibri"/>
      <w:sz w:val="20"/>
      <w:u w:val="single"/>
      <w:lang w:val="es-ES"/>
    </w:rPr>
  </w:style>
  <w:style w:type="character" w:customStyle="1" w:styleId="Heading5Char">
    <w:name w:val="Heading 5 Char"/>
    <w:basedOn w:val="DefaultParagraphFont"/>
    <w:link w:val="Heading5"/>
    <w:uiPriority w:val="9"/>
    <w:semiHidden/>
    <w:rsid w:val="003D717E"/>
    <w:rPr>
      <w:rFonts w:asciiTheme="majorHAnsi" w:eastAsiaTheme="majorEastAsia" w:hAnsiTheme="majorHAnsi" w:cstheme="majorBidi"/>
      <w:color w:val="243F60" w:themeColor="accent1" w:themeShade="7F"/>
      <w:sz w:val="20"/>
      <w:lang w:val="es-MX"/>
    </w:rPr>
  </w:style>
  <w:style w:type="character" w:customStyle="1" w:styleId="Heading6Char">
    <w:name w:val="Heading 6 Char"/>
    <w:basedOn w:val="DefaultParagraphFont"/>
    <w:link w:val="Heading6"/>
    <w:uiPriority w:val="9"/>
    <w:rsid w:val="003D717E"/>
    <w:rPr>
      <w:rFonts w:ascii="Verdana" w:eastAsia="Times New Roman" w:hAnsi="Verdana" w:cs="Times New Roman"/>
      <w:spacing w:val="-2"/>
      <w:sz w:val="20"/>
      <w:szCs w:val="20"/>
      <w:lang w:val="es-ES_tradnl" w:eastAsia="es-CR"/>
    </w:rPr>
  </w:style>
  <w:style w:type="paragraph" w:styleId="Title">
    <w:name w:val="Title"/>
    <w:basedOn w:val="Normal"/>
    <w:next w:val="Normal"/>
    <w:link w:val="TitleChar"/>
    <w:uiPriority w:val="10"/>
    <w:qFormat/>
    <w:rsid w:val="003D717E"/>
    <w:pPr>
      <w:jc w:val="center"/>
    </w:pPr>
    <w:rPr>
      <w:b/>
    </w:rPr>
  </w:style>
  <w:style w:type="character" w:customStyle="1" w:styleId="TitleChar">
    <w:name w:val="Title Char"/>
    <w:basedOn w:val="DefaultParagraphFont"/>
    <w:link w:val="Title"/>
    <w:uiPriority w:val="10"/>
    <w:rsid w:val="003D717E"/>
    <w:rPr>
      <w:rFonts w:ascii="Verdana" w:eastAsia="Calibri" w:hAnsi="Verdana" w:cs="Calibri"/>
      <w:b/>
      <w:sz w:val="20"/>
      <w:lang w:val="es-MX"/>
    </w:rPr>
  </w:style>
  <w:style w:type="paragraph" w:styleId="ListParagraph">
    <w:name w:val="List Paragraph"/>
    <w:aliases w:val="Footnote,List Paragraph1,Párrafo de lista1,List Paragraph2"/>
    <w:basedOn w:val="Normal"/>
    <w:link w:val="ListParagraphChar"/>
    <w:uiPriority w:val="34"/>
    <w:qFormat/>
    <w:rsid w:val="003D717E"/>
    <w:pPr>
      <w:widowControl w:val="0"/>
      <w:numPr>
        <w:numId w:val="10"/>
      </w:numPr>
      <w:autoSpaceDE w:val="0"/>
      <w:autoSpaceDN w:val="0"/>
      <w:adjustRightInd w:val="0"/>
      <w:ind w:right="22"/>
    </w:pPr>
    <w:rPr>
      <w:rFonts w:cs="Verdana"/>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qFormat/>
    <w:rsid w:val="003D717E"/>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qFormat/>
    <w:rsid w:val="003D717E"/>
    <w:pPr>
      <w:tabs>
        <w:tab w:val="left" w:pos="567"/>
      </w:tabs>
    </w:pPr>
    <w:rPr>
      <w:rFonts w:cs="Verdana"/>
      <w:sz w:val="16"/>
      <w:szCs w:val="16"/>
      <w:lang w:val="es-ES_tradnl" w:eastAsia="es-ES"/>
    </w:rPr>
  </w:style>
  <w:style w:type="character" w:customStyle="1" w:styleId="FootnoteTextChar">
    <w:name w:val="Footnote Text Char"/>
    <w:aliases w:val="Footnote Text Cha Char,FA Fuﬂnotentext Char,Ca Char,C Char,2. Footnote Text Char,Footnote Tesina Char,FA Fu Char1,Footnote Text Char Char Char Char Char Char1,Footnote Text Char Char Char Char Char2,Footnote reference Char1,Ca Char1"/>
    <w:basedOn w:val="DefaultParagraphFont"/>
    <w:rsid w:val="003D717E"/>
    <w:rPr>
      <w:rFonts w:ascii="Verdana" w:eastAsia="Calibri" w:hAnsi="Verdana"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locked/>
    <w:rsid w:val="003D717E"/>
    <w:rPr>
      <w:rFonts w:ascii="Verdana" w:eastAsia="Calibri" w:hAnsi="Verdana" w:cs="Verdana"/>
      <w:sz w:val="16"/>
      <w:szCs w:val="16"/>
      <w:lang w:val="es-ES_tradnl" w:eastAsia="es-ES"/>
    </w:rPr>
  </w:style>
  <w:style w:type="paragraph" w:styleId="BodyText">
    <w:name w:val="Body Text"/>
    <w:basedOn w:val="Normal"/>
    <w:link w:val="BodyTextChar"/>
    <w:uiPriority w:val="99"/>
    <w:semiHidden/>
    <w:rsid w:val="003D717E"/>
    <w:pPr>
      <w:spacing w:after="120"/>
    </w:pPr>
    <w:rPr>
      <w:rFonts w:ascii="Times" w:hAnsi="Times" w:cs="Times"/>
      <w:sz w:val="24"/>
      <w:szCs w:val="24"/>
      <w:lang w:val="es-ES_tradnl" w:eastAsia="es-ES"/>
    </w:rPr>
  </w:style>
  <w:style w:type="character" w:customStyle="1" w:styleId="BodyTextChar">
    <w:name w:val="Body Text Char"/>
    <w:basedOn w:val="DefaultParagraphFont"/>
    <w:link w:val="BodyText"/>
    <w:uiPriority w:val="99"/>
    <w:semiHidden/>
    <w:rsid w:val="003D717E"/>
    <w:rPr>
      <w:rFonts w:ascii="Times" w:eastAsia="Calibri" w:hAnsi="Times" w:cs="Times"/>
      <w:sz w:val="24"/>
      <w:szCs w:val="24"/>
      <w:lang w:val="es-ES_tradnl" w:eastAsia="es-ES"/>
    </w:rPr>
  </w:style>
  <w:style w:type="paragraph" w:styleId="Header">
    <w:name w:val="header"/>
    <w:basedOn w:val="Normal"/>
    <w:link w:val="HeaderChar"/>
    <w:uiPriority w:val="99"/>
    <w:rsid w:val="003D717E"/>
    <w:pPr>
      <w:tabs>
        <w:tab w:val="center" w:pos="4252"/>
        <w:tab w:val="right" w:pos="8504"/>
      </w:tabs>
    </w:pPr>
  </w:style>
  <w:style w:type="character" w:customStyle="1" w:styleId="HeaderChar">
    <w:name w:val="Header Char"/>
    <w:basedOn w:val="DefaultParagraphFont"/>
    <w:link w:val="Header"/>
    <w:uiPriority w:val="99"/>
    <w:rsid w:val="003D717E"/>
    <w:rPr>
      <w:rFonts w:ascii="Verdana" w:eastAsia="Calibri" w:hAnsi="Verdana" w:cs="Calibri"/>
      <w:sz w:val="20"/>
      <w:lang w:val="es-MX"/>
    </w:rPr>
  </w:style>
  <w:style w:type="paragraph" w:customStyle="1" w:styleId="ColorfulList-Accent11">
    <w:name w:val="Colorful List - Accent 11"/>
    <w:basedOn w:val="Normal"/>
    <w:uiPriority w:val="99"/>
    <w:rsid w:val="003D717E"/>
    <w:pPr>
      <w:ind w:left="720"/>
    </w:pPr>
    <w:rPr>
      <w:rFonts w:ascii="Times" w:eastAsia="MS Mincho" w:hAnsi="Times" w:cs="Times"/>
      <w:sz w:val="24"/>
      <w:szCs w:val="24"/>
      <w:lang w:val="es-ES_tradnl"/>
    </w:rPr>
  </w:style>
  <w:style w:type="paragraph" w:customStyle="1" w:styleId="Default">
    <w:name w:val="Default"/>
    <w:rsid w:val="003D717E"/>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apple-converted-space">
    <w:name w:val="apple-converted-space"/>
    <w:basedOn w:val="DefaultParagraphFont"/>
    <w:rsid w:val="003D717E"/>
  </w:style>
  <w:style w:type="paragraph" w:styleId="BalloonText">
    <w:name w:val="Balloon Text"/>
    <w:basedOn w:val="Normal"/>
    <w:link w:val="BalloonTextChar"/>
    <w:uiPriority w:val="99"/>
    <w:semiHidden/>
    <w:unhideWhenUsed/>
    <w:rsid w:val="003D717E"/>
    <w:rPr>
      <w:rFonts w:ascii="Tahoma" w:hAnsi="Tahoma" w:cs="Tahoma"/>
      <w:sz w:val="16"/>
      <w:szCs w:val="16"/>
    </w:rPr>
  </w:style>
  <w:style w:type="character" w:customStyle="1" w:styleId="BalloonTextChar">
    <w:name w:val="Balloon Text Char"/>
    <w:basedOn w:val="DefaultParagraphFont"/>
    <w:link w:val="BalloonText"/>
    <w:uiPriority w:val="99"/>
    <w:semiHidden/>
    <w:rsid w:val="003D717E"/>
    <w:rPr>
      <w:rFonts w:ascii="Tahoma" w:eastAsia="Calibri" w:hAnsi="Tahoma" w:cs="Tahoma"/>
      <w:sz w:val="16"/>
      <w:szCs w:val="16"/>
      <w:lang w:val="es-MX"/>
    </w:rPr>
  </w:style>
  <w:style w:type="character" w:styleId="CommentReference">
    <w:name w:val="annotation reference"/>
    <w:basedOn w:val="DefaultParagraphFont"/>
    <w:uiPriority w:val="99"/>
    <w:unhideWhenUsed/>
    <w:rsid w:val="003D717E"/>
    <w:rPr>
      <w:sz w:val="18"/>
      <w:szCs w:val="18"/>
    </w:rPr>
  </w:style>
  <w:style w:type="paragraph" w:styleId="CommentText">
    <w:name w:val="annotation text"/>
    <w:basedOn w:val="Normal"/>
    <w:link w:val="CommentTextChar"/>
    <w:uiPriority w:val="99"/>
    <w:unhideWhenUsed/>
    <w:rsid w:val="003D717E"/>
    <w:rPr>
      <w:sz w:val="24"/>
      <w:szCs w:val="24"/>
    </w:rPr>
  </w:style>
  <w:style w:type="character" w:customStyle="1" w:styleId="CommentTextChar">
    <w:name w:val="Comment Text Char"/>
    <w:basedOn w:val="DefaultParagraphFont"/>
    <w:link w:val="CommentText"/>
    <w:uiPriority w:val="99"/>
    <w:rsid w:val="003D717E"/>
    <w:rPr>
      <w:rFonts w:ascii="Verdana" w:eastAsia="Calibri" w:hAnsi="Verdana" w:cs="Calibri"/>
      <w:sz w:val="24"/>
      <w:szCs w:val="24"/>
      <w:lang w:val="es-MX"/>
    </w:rPr>
  </w:style>
  <w:style w:type="paragraph" w:styleId="CommentSubject">
    <w:name w:val="annotation subject"/>
    <w:basedOn w:val="CommentText"/>
    <w:next w:val="CommentText"/>
    <w:link w:val="CommentSubjectChar"/>
    <w:uiPriority w:val="99"/>
    <w:unhideWhenUsed/>
    <w:rsid w:val="003D717E"/>
    <w:rPr>
      <w:b/>
      <w:bCs/>
      <w:sz w:val="20"/>
      <w:szCs w:val="20"/>
    </w:rPr>
  </w:style>
  <w:style w:type="character" w:customStyle="1" w:styleId="CommentSubjectChar">
    <w:name w:val="Comment Subject Char"/>
    <w:basedOn w:val="CommentTextChar"/>
    <w:link w:val="CommentSubject"/>
    <w:uiPriority w:val="99"/>
    <w:rsid w:val="003D717E"/>
    <w:rPr>
      <w:rFonts w:ascii="Verdana" w:eastAsia="Calibri" w:hAnsi="Verdana" w:cs="Calibri"/>
      <w:b/>
      <w:bCs/>
      <w:sz w:val="20"/>
      <w:szCs w:val="20"/>
      <w:lang w:val="es-MX"/>
    </w:rPr>
  </w:style>
  <w:style w:type="paragraph" w:styleId="NoSpacing">
    <w:name w:val="No Spacing"/>
    <w:uiPriority w:val="1"/>
    <w:qFormat/>
    <w:rsid w:val="003D717E"/>
    <w:pPr>
      <w:spacing w:after="0" w:line="240" w:lineRule="auto"/>
      <w:jc w:val="both"/>
    </w:pPr>
    <w:rPr>
      <w:rFonts w:ascii="Verdana" w:eastAsia="Calibri" w:hAnsi="Verdana" w:cs="Calibri"/>
      <w:sz w:val="20"/>
      <w:lang w:val="es-MX"/>
    </w:rPr>
  </w:style>
  <w:style w:type="paragraph" w:customStyle="1" w:styleId="citaindirecta">
    <w:name w:val="cita indirecta"/>
    <w:basedOn w:val="Normal"/>
    <w:rsid w:val="003D717E"/>
    <w:pPr>
      <w:ind w:left="708"/>
    </w:pPr>
    <w:rPr>
      <w:rFonts w:eastAsia="Times New Roman" w:cs="Times New Roman"/>
      <w:szCs w:val="20"/>
      <w:lang w:val="es-ES_tradnl" w:eastAsia="es-MX"/>
    </w:rPr>
  </w:style>
  <w:style w:type="paragraph" w:customStyle="1" w:styleId="Footnotes">
    <w:name w:val="**. Footnotes"/>
    <w:basedOn w:val="FootnoteText"/>
    <w:link w:val="FootnotesChar"/>
    <w:qFormat/>
    <w:rsid w:val="003D717E"/>
    <w:rPr>
      <w:rFonts w:eastAsia="Times New Roman" w:cs="Palatino-Italic"/>
      <w:iCs/>
      <w:spacing w:val="-4"/>
      <w:lang w:val="es-ES" w:eastAsia="en-US" w:bidi="en-US"/>
    </w:rPr>
  </w:style>
  <w:style w:type="character" w:customStyle="1" w:styleId="FootnotesChar">
    <w:name w:val="**. Footnotes Char"/>
    <w:basedOn w:val="DefaultParagraphFont"/>
    <w:link w:val="Footnotes"/>
    <w:rsid w:val="003D717E"/>
    <w:rPr>
      <w:rFonts w:ascii="Verdana" w:eastAsia="Times New Roman" w:hAnsi="Verdana" w:cs="Palatino-Italic"/>
      <w:iCs/>
      <w:spacing w:val="-4"/>
      <w:sz w:val="16"/>
      <w:szCs w:val="16"/>
      <w:lang w:val="es-ES" w:bidi="en-US"/>
    </w:rPr>
  </w:style>
  <w:style w:type="paragraph" w:styleId="DocumentMap">
    <w:name w:val="Document Map"/>
    <w:basedOn w:val="Normal"/>
    <w:link w:val="DocumentMapChar"/>
    <w:uiPriority w:val="99"/>
    <w:semiHidden/>
    <w:unhideWhenUsed/>
    <w:rsid w:val="003D717E"/>
    <w:rPr>
      <w:rFonts w:ascii="Tahoma" w:hAnsi="Tahoma" w:cs="Tahoma"/>
      <w:sz w:val="16"/>
      <w:szCs w:val="16"/>
    </w:rPr>
  </w:style>
  <w:style w:type="character" w:customStyle="1" w:styleId="DocumentMapChar">
    <w:name w:val="Document Map Char"/>
    <w:basedOn w:val="DefaultParagraphFont"/>
    <w:link w:val="DocumentMap"/>
    <w:uiPriority w:val="99"/>
    <w:semiHidden/>
    <w:rsid w:val="003D717E"/>
    <w:rPr>
      <w:rFonts w:ascii="Tahoma" w:eastAsia="Calibri" w:hAnsi="Tahoma" w:cs="Tahoma"/>
      <w:sz w:val="16"/>
      <w:szCs w:val="16"/>
      <w:lang w:val="es-MX"/>
    </w:rPr>
  </w:style>
  <w:style w:type="paragraph" w:styleId="NormalWeb">
    <w:name w:val="Normal (Web)"/>
    <w:basedOn w:val="Normal"/>
    <w:uiPriority w:val="99"/>
    <w:unhideWhenUsed/>
    <w:rsid w:val="003D717E"/>
    <w:pPr>
      <w:spacing w:before="100" w:beforeAutospacing="1" w:after="100" w:afterAutospacing="1"/>
      <w:jc w:val="left"/>
    </w:pPr>
    <w:rPr>
      <w:rFonts w:ascii="Times New Roman" w:eastAsia="Times New Roman" w:hAnsi="Times New Roman" w:cs="Times New Roman"/>
      <w:sz w:val="24"/>
      <w:szCs w:val="24"/>
      <w:lang w:val="en-US"/>
    </w:rPr>
  </w:style>
  <w:style w:type="character" w:styleId="Hyperlink">
    <w:name w:val="Hyperlink"/>
    <w:uiPriority w:val="99"/>
    <w:unhideWhenUsed/>
    <w:rsid w:val="003D717E"/>
    <w:rPr>
      <w:color w:val="0000FF"/>
      <w:u w:val="single"/>
    </w:rPr>
  </w:style>
  <w:style w:type="character" w:customStyle="1" w:styleId="ListParagraphChar">
    <w:name w:val="List Paragraph Char"/>
    <w:aliases w:val="Footnote Char,List Paragraph1 Char,Párrafo de lista1 Char,List Paragraph2 Char"/>
    <w:link w:val="ListParagraph"/>
    <w:uiPriority w:val="34"/>
    <w:rsid w:val="003D717E"/>
    <w:rPr>
      <w:rFonts w:ascii="Verdana" w:eastAsia="Calibri" w:hAnsi="Verdana" w:cs="Verdana"/>
      <w:sz w:val="20"/>
      <w:szCs w:val="20"/>
      <w:lang w:val="es-MX"/>
    </w:rPr>
  </w:style>
  <w:style w:type="paragraph" w:customStyle="1" w:styleId="PrrafodeSentencia">
    <w:name w:val="*. Párrafo de Sentencia"/>
    <w:basedOn w:val="Normal"/>
    <w:next w:val="Normal"/>
    <w:link w:val="PrrafodeSentenciaChar"/>
    <w:qFormat/>
    <w:rsid w:val="003D717E"/>
    <w:pPr>
      <w:numPr>
        <w:numId w:val="2"/>
      </w:numPr>
      <w:tabs>
        <w:tab w:val="left" w:pos="567"/>
      </w:tabs>
      <w:ind w:left="0" w:firstLine="0"/>
    </w:pPr>
    <w:rPr>
      <w:rFonts w:eastAsia="Batang" w:cs="Times New Roman"/>
      <w:spacing w:val="-4"/>
      <w:lang w:val="es-CR" w:eastAsia="es-MX"/>
    </w:rPr>
  </w:style>
  <w:style w:type="character" w:customStyle="1" w:styleId="PrrafodeSentenciaChar">
    <w:name w:val="*. Párrafo de Sentencia Char"/>
    <w:basedOn w:val="DefaultParagraphFont"/>
    <w:link w:val="PrrafodeSentencia"/>
    <w:rsid w:val="003D717E"/>
    <w:rPr>
      <w:rFonts w:ascii="Verdana" w:eastAsia="Batang" w:hAnsi="Verdana" w:cs="Times New Roman"/>
      <w:spacing w:val="-4"/>
      <w:sz w:val="20"/>
      <w:lang w:eastAsia="es-MX"/>
    </w:rPr>
  </w:style>
  <w:style w:type="character" w:styleId="Strong">
    <w:name w:val="Strong"/>
    <w:basedOn w:val="DefaultParagraphFont"/>
    <w:uiPriority w:val="22"/>
    <w:qFormat/>
    <w:rsid w:val="003D717E"/>
    <w:rPr>
      <w:b/>
      <w:bCs/>
    </w:rPr>
  </w:style>
  <w:style w:type="character" w:customStyle="1" w:styleId="ListParagraphChar1">
    <w:name w:val="List Paragraph Char1"/>
    <w:aliases w:val="Colorful List - Accent 11 Char1"/>
    <w:uiPriority w:val="99"/>
    <w:locked/>
    <w:rsid w:val="003D717E"/>
    <w:rPr>
      <w:rFonts w:ascii="Verdana" w:eastAsia="Times New Roman" w:hAnsi="Verdana"/>
      <w:lang w:val="es-ES_tradnl"/>
    </w:rPr>
  </w:style>
  <w:style w:type="character" w:customStyle="1" w:styleId="Refdenotaalpie1">
    <w:name w:val="Ref. de nota al pie1"/>
    <w:basedOn w:val="DefaultParagraphFont"/>
    <w:rsid w:val="003D717E"/>
    <w:rPr>
      <w:sz w:val="20"/>
      <w:vertAlign w:val="superscript"/>
    </w:rPr>
  </w:style>
  <w:style w:type="paragraph" w:styleId="EndnoteText">
    <w:name w:val="endnote text"/>
    <w:basedOn w:val="Normal"/>
    <w:link w:val="EndnoteTextChar"/>
    <w:uiPriority w:val="99"/>
    <w:semiHidden/>
    <w:unhideWhenUsed/>
    <w:rsid w:val="003D717E"/>
    <w:rPr>
      <w:szCs w:val="20"/>
    </w:rPr>
  </w:style>
  <w:style w:type="character" w:customStyle="1" w:styleId="EndnoteTextChar">
    <w:name w:val="Endnote Text Char"/>
    <w:basedOn w:val="DefaultParagraphFont"/>
    <w:link w:val="EndnoteText"/>
    <w:uiPriority w:val="99"/>
    <w:semiHidden/>
    <w:rsid w:val="003D717E"/>
    <w:rPr>
      <w:rFonts w:ascii="Verdana" w:eastAsia="Calibri" w:hAnsi="Verdana" w:cs="Calibri"/>
      <w:sz w:val="20"/>
      <w:szCs w:val="20"/>
      <w:lang w:val="es-MX"/>
    </w:rPr>
  </w:style>
  <w:style w:type="character" w:styleId="EndnoteReference">
    <w:name w:val="endnote reference"/>
    <w:basedOn w:val="DefaultParagraphFont"/>
    <w:uiPriority w:val="99"/>
    <w:semiHidden/>
    <w:unhideWhenUsed/>
    <w:rsid w:val="003D717E"/>
    <w:rPr>
      <w:vertAlign w:val="superscript"/>
    </w:rPr>
  </w:style>
  <w:style w:type="paragraph" w:styleId="Revision">
    <w:name w:val="Revision"/>
    <w:hidden/>
    <w:uiPriority w:val="99"/>
    <w:semiHidden/>
    <w:rsid w:val="003D717E"/>
    <w:pPr>
      <w:spacing w:after="0" w:line="240" w:lineRule="auto"/>
    </w:pPr>
    <w:rPr>
      <w:rFonts w:ascii="Verdana" w:eastAsia="Calibri" w:hAnsi="Verdana" w:cs="Calibri"/>
      <w:sz w:val="20"/>
      <w:lang w:val="es-MX"/>
    </w:rPr>
  </w:style>
  <w:style w:type="character" w:styleId="FollowedHyperlink">
    <w:name w:val="FollowedHyperlink"/>
    <w:basedOn w:val="DefaultParagraphFont"/>
    <w:uiPriority w:val="99"/>
    <w:semiHidden/>
    <w:unhideWhenUsed/>
    <w:rsid w:val="003D717E"/>
    <w:rPr>
      <w:color w:val="800080" w:themeColor="followedHyperlink"/>
      <w:u w:val="single"/>
    </w:rPr>
  </w:style>
  <w:style w:type="paragraph" w:styleId="Footer">
    <w:name w:val="footer"/>
    <w:basedOn w:val="Normal"/>
    <w:link w:val="FooterChar"/>
    <w:uiPriority w:val="99"/>
    <w:unhideWhenUsed/>
    <w:rsid w:val="00B97B52"/>
    <w:pPr>
      <w:tabs>
        <w:tab w:val="center" w:pos="4419"/>
        <w:tab w:val="right" w:pos="8838"/>
      </w:tabs>
    </w:pPr>
    <w:rPr>
      <w:rFonts w:eastAsiaTheme="minorEastAsia" w:cstheme="minorBidi"/>
      <w:sz w:val="16"/>
      <w:lang w:val="es-PE" w:eastAsia="es-PE"/>
    </w:rPr>
  </w:style>
  <w:style w:type="character" w:customStyle="1" w:styleId="FooterChar">
    <w:name w:val="Footer Char"/>
    <w:basedOn w:val="DefaultParagraphFont"/>
    <w:link w:val="Footer"/>
    <w:uiPriority w:val="99"/>
    <w:rsid w:val="00B97B52"/>
    <w:rPr>
      <w:rFonts w:ascii="Verdana" w:eastAsiaTheme="minorEastAsia" w:hAnsi="Verdana"/>
      <w:sz w:val="16"/>
      <w:lang w:val="es-PE" w:eastAsia="es-PE"/>
    </w:rPr>
  </w:style>
  <w:style w:type="character" w:customStyle="1" w:styleId="apple-style-span">
    <w:name w:val="apple-style-span"/>
    <w:basedOn w:val="DefaultParagraphFont"/>
    <w:rsid w:val="003D717E"/>
  </w:style>
  <w:style w:type="paragraph" w:styleId="TOC1">
    <w:name w:val="toc 1"/>
    <w:basedOn w:val="Normal"/>
    <w:next w:val="Normal"/>
    <w:autoRedefine/>
    <w:uiPriority w:val="39"/>
    <w:unhideWhenUsed/>
    <w:rsid w:val="00757BC9"/>
    <w:pPr>
      <w:tabs>
        <w:tab w:val="right" w:leader="dot" w:pos="9792"/>
      </w:tabs>
      <w:spacing w:before="120" w:after="120"/>
    </w:pPr>
    <w:rPr>
      <w:b/>
      <w:bCs/>
      <w:noProof/>
      <w:szCs w:val="20"/>
      <w:lang w:val="es-CR"/>
    </w:rPr>
  </w:style>
  <w:style w:type="paragraph" w:styleId="TOC2">
    <w:name w:val="toc 2"/>
    <w:basedOn w:val="Normal"/>
    <w:next w:val="Normal"/>
    <w:autoRedefine/>
    <w:uiPriority w:val="39"/>
    <w:unhideWhenUsed/>
    <w:rsid w:val="00F31A91"/>
    <w:pPr>
      <w:ind w:left="200"/>
      <w:jc w:val="left"/>
    </w:pPr>
    <w:rPr>
      <w:rFonts w:asciiTheme="minorHAnsi" w:hAnsiTheme="minorHAnsi"/>
      <w:smallCaps/>
      <w:szCs w:val="20"/>
    </w:rPr>
  </w:style>
  <w:style w:type="paragraph" w:styleId="TOC3">
    <w:name w:val="toc 3"/>
    <w:basedOn w:val="Normal"/>
    <w:next w:val="Normal"/>
    <w:autoRedefine/>
    <w:uiPriority w:val="39"/>
    <w:unhideWhenUsed/>
    <w:rsid w:val="003D717E"/>
    <w:pPr>
      <w:ind w:left="400"/>
      <w:jc w:val="left"/>
    </w:pPr>
    <w:rPr>
      <w:rFonts w:asciiTheme="minorHAnsi" w:hAnsiTheme="minorHAnsi"/>
      <w:i/>
      <w:iCs/>
      <w:szCs w:val="20"/>
    </w:rPr>
  </w:style>
  <w:style w:type="character" w:customStyle="1" w:styleId="sb8d990e2">
    <w:name w:val="sb8d990e2"/>
    <w:basedOn w:val="DefaultParagraphFont"/>
    <w:rsid w:val="003D717E"/>
  </w:style>
  <w:style w:type="character" w:customStyle="1" w:styleId="s6b621b36">
    <w:name w:val="s6b621b36"/>
    <w:basedOn w:val="DefaultParagraphFont"/>
    <w:rsid w:val="003D717E"/>
  </w:style>
  <w:style w:type="table" w:styleId="TableGrid">
    <w:name w:val="Table Grid"/>
    <w:basedOn w:val="TableNormal"/>
    <w:uiPriority w:val="59"/>
    <w:rsid w:val="003D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717E"/>
  </w:style>
  <w:style w:type="paragraph" w:customStyle="1" w:styleId="Prrafodelista2">
    <w:name w:val="Párrafo de lista2"/>
    <w:basedOn w:val="Normal"/>
    <w:uiPriority w:val="99"/>
    <w:rsid w:val="003D717E"/>
    <w:pPr>
      <w:ind w:left="720"/>
      <w:jc w:val="left"/>
    </w:pPr>
    <w:rPr>
      <w:rFonts w:eastAsia="MS Mincho" w:cs="Times New Roman"/>
      <w:szCs w:val="20"/>
      <w:lang w:val="es-ES_tradnl" w:bidi="en-US"/>
    </w:rPr>
  </w:style>
  <w:style w:type="character" w:styleId="Emphasis">
    <w:name w:val="Emphasis"/>
    <w:basedOn w:val="DefaultParagraphFont"/>
    <w:uiPriority w:val="20"/>
    <w:qFormat/>
    <w:rsid w:val="003D717E"/>
    <w:rPr>
      <w:i/>
      <w:iCs/>
    </w:rPr>
  </w:style>
  <w:style w:type="character" w:customStyle="1" w:styleId="documentbody1">
    <w:name w:val="documentbody1"/>
    <w:uiPriority w:val="99"/>
    <w:rsid w:val="003D717E"/>
    <w:rPr>
      <w:rFonts w:ascii="Verdana" w:hAnsi="Verdana"/>
      <w:sz w:val="19"/>
    </w:rPr>
  </w:style>
  <w:style w:type="character" w:customStyle="1" w:styleId="ju-005fpara--char">
    <w:name w:val="ju-005fpara--char"/>
    <w:basedOn w:val="DefaultParagraphFont"/>
    <w:rsid w:val="003D717E"/>
  </w:style>
  <w:style w:type="character" w:customStyle="1" w:styleId="normal--char">
    <w:name w:val="normal--char"/>
    <w:basedOn w:val="DefaultParagraphFont"/>
    <w:rsid w:val="003D717E"/>
  </w:style>
  <w:style w:type="paragraph" w:customStyle="1" w:styleId="Estilo1">
    <w:name w:val="Estilo1"/>
    <w:basedOn w:val="Normal"/>
    <w:link w:val="Estilo1Car"/>
    <w:qFormat/>
    <w:rsid w:val="003D717E"/>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3D717E"/>
    <w:rPr>
      <w:rFonts w:ascii="Verdana" w:eastAsia="Calibri" w:hAnsi="Verdana" w:cs="Times New Roman"/>
      <w:sz w:val="20"/>
      <w:szCs w:val="20"/>
      <w:lang w:val="es-ES"/>
    </w:rPr>
  </w:style>
  <w:style w:type="paragraph" w:customStyle="1" w:styleId="Estilo2">
    <w:name w:val="Estilo2"/>
    <w:basedOn w:val="Normal"/>
    <w:link w:val="Estilo2Car"/>
    <w:qFormat/>
    <w:rsid w:val="003D717E"/>
    <w:pPr>
      <w:tabs>
        <w:tab w:val="left" w:pos="567"/>
        <w:tab w:val="left" w:pos="1134"/>
        <w:tab w:val="num" w:pos="4767"/>
      </w:tabs>
      <w:spacing w:after="120"/>
      <w:ind w:firstLine="357"/>
    </w:pPr>
    <w:rPr>
      <w:rFonts w:cs="Times New Roman"/>
      <w:szCs w:val="20"/>
      <w:lang w:val="es-ES"/>
    </w:rPr>
  </w:style>
  <w:style w:type="paragraph" w:styleId="TOC4">
    <w:name w:val="toc 4"/>
    <w:basedOn w:val="Normal"/>
    <w:next w:val="Normal"/>
    <w:autoRedefine/>
    <w:uiPriority w:val="39"/>
    <w:unhideWhenUsed/>
    <w:rsid w:val="00930E53"/>
    <w:pPr>
      <w:ind w:left="600"/>
      <w:jc w:val="left"/>
    </w:pPr>
    <w:rPr>
      <w:rFonts w:asciiTheme="minorHAnsi" w:hAnsiTheme="minorHAnsi"/>
      <w:sz w:val="18"/>
      <w:szCs w:val="18"/>
    </w:rPr>
  </w:style>
  <w:style w:type="character" w:customStyle="1" w:styleId="s3">
    <w:name w:val="s3"/>
    <w:basedOn w:val="DefaultParagraphFont"/>
    <w:rsid w:val="009A1986"/>
  </w:style>
  <w:style w:type="character" w:styleId="PageNumber">
    <w:name w:val="page number"/>
    <w:basedOn w:val="DefaultParagraphFont"/>
    <w:uiPriority w:val="99"/>
    <w:semiHidden/>
    <w:unhideWhenUsed/>
    <w:rsid w:val="00D157D7"/>
  </w:style>
  <w:style w:type="character" w:customStyle="1" w:styleId="sf1c7242d">
    <w:name w:val="sf1c7242d"/>
    <w:basedOn w:val="DefaultParagraphFont"/>
    <w:rsid w:val="0084681D"/>
  </w:style>
  <w:style w:type="character" w:customStyle="1" w:styleId="st">
    <w:name w:val="st"/>
    <w:basedOn w:val="DefaultParagraphFont"/>
    <w:rsid w:val="00AB0439"/>
  </w:style>
  <w:style w:type="paragraph" w:styleId="Subtitle">
    <w:name w:val="Subtitle"/>
    <w:basedOn w:val="Normal"/>
    <w:next w:val="Normal"/>
    <w:link w:val="SubtitleChar"/>
    <w:uiPriority w:val="11"/>
    <w:qFormat/>
    <w:rsid w:val="00AB0439"/>
    <w:pPr>
      <w:numPr>
        <w:ilvl w:val="1"/>
      </w:numPr>
      <w:spacing w:after="200" w:line="276" w:lineRule="auto"/>
      <w:jc w:val="left"/>
    </w:pPr>
    <w:rPr>
      <w:rFonts w:eastAsiaTheme="majorEastAsia" w:cstheme="majorBidi"/>
      <w:i/>
      <w:iCs/>
      <w:spacing w:val="15"/>
      <w:szCs w:val="24"/>
      <w:lang w:val="en-US"/>
    </w:rPr>
  </w:style>
  <w:style w:type="character" w:customStyle="1" w:styleId="SubtitleChar">
    <w:name w:val="Subtitle Char"/>
    <w:basedOn w:val="DefaultParagraphFont"/>
    <w:link w:val="Subtitle"/>
    <w:uiPriority w:val="11"/>
    <w:rsid w:val="00AB0439"/>
    <w:rPr>
      <w:rFonts w:ascii="Verdana" w:eastAsiaTheme="majorEastAsia" w:hAnsi="Verdana" w:cstheme="majorBidi"/>
      <w:i/>
      <w:iCs/>
      <w:spacing w:val="15"/>
      <w:sz w:val="20"/>
      <w:szCs w:val="24"/>
      <w:lang w:val="en-US"/>
    </w:rPr>
  </w:style>
  <w:style w:type="character" w:customStyle="1" w:styleId="Smbolodenotaalpie">
    <w:name w:val="Símbolo de nota al pie"/>
    <w:basedOn w:val="DefaultParagraphFont"/>
    <w:rsid w:val="00AB0439"/>
    <w:rPr>
      <w:vertAlign w:val="superscript"/>
    </w:rPr>
  </w:style>
  <w:style w:type="character" w:styleId="SubtleEmphasis">
    <w:name w:val="Subtle Emphasis"/>
    <w:uiPriority w:val="19"/>
    <w:qFormat/>
    <w:rsid w:val="007754D7"/>
    <w:rPr>
      <w:rFonts w:ascii="Verdana" w:hAnsi="Verdana"/>
      <w:i/>
      <w:iCs/>
      <w:color w:val="808080"/>
      <w:sz w:val="20"/>
      <w:u w:val="single"/>
    </w:rPr>
  </w:style>
  <w:style w:type="table" w:styleId="LightGrid-Accent2">
    <w:name w:val="Light Grid Accent 2"/>
    <w:basedOn w:val="TableNormal"/>
    <w:uiPriority w:val="62"/>
    <w:rsid w:val="002622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DarkList-Accent2">
    <w:name w:val="Dark List Accent 2"/>
    <w:basedOn w:val="TableNormal"/>
    <w:uiPriority w:val="70"/>
    <w:rsid w:val="0026227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1">
    <w:name w:val="Colorful Shading Accent 1"/>
    <w:basedOn w:val="TableNormal"/>
    <w:uiPriority w:val="71"/>
    <w:rsid w:val="002622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6227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26227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DarkList-Accent1">
    <w:name w:val="Dark List Accent 1"/>
    <w:basedOn w:val="TableNormal"/>
    <w:uiPriority w:val="70"/>
    <w:rsid w:val="0026227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Shading1-Accent2">
    <w:name w:val="Medium Shading 1 Accent 2"/>
    <w:basedOn w:val="TableNormal"/>
    <w:uiPriority w:val="63"/>
    <w:rsid w:val="00DA77F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77F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77F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DA77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5oscura-nfasis11">
    <w:name w:val="Tabla de cuadrícula 5 oscura - Énfasis 11"/>
    <w:basedOn w:val="TableNormal"/>
    <w:uiPriority w:val="50"/>
    <w:rsid w:val="004B22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Estilo2Car">
    <w:name w:val="Estilo2 Car"/>
    <w:link w:val="Estilo2"/>
    <w:rsid w:val="00E87E77"/>
    <w:rPr>
      <w:rFonts w:ascii="Verdana" w:eastAsia="Calibri" w:hAnsi="Verdana" w:cs="Times New Roman"/>
      <w:sz w:val="20"/>
      <w:szCs w:val="20"/>
      <w:lang w:val="es-ES"/>
    </w:rPr>
  </w:style>
  <w:style w:type="character" w:customStyle="1" w:styleId="ListParagraphChar3">
    <w:name w:val="List Paragraph Char3"/>
    <w:aliases w:val="Footnote Char4,List Paragraph1 Char2,Colorful List - Accent 11 Char2,Párrafo de lista1 Char2"/>
    <w:basedOn w:val="DefaultParagraphFont"/>
    <w:uiPriority w:val="99"/>
    <w:locked/>
    <w:rsid w:val="00E87E77"/>
    <w:rPr>
      <w:rFonts w:ascii="Verdana" w:eastAsia="Times New Roman" w:hAnsi="Verdana" w:cs="Times New Roman"/>
      <w:sz w:val="20"/>
      <w:szCs w:val="24"/>
      <w:lang w:eastAsia="es-CR"/>
    </w:rPr>
  </w:style>
  <w:style w:type="paragraph" w:styleId="TOC5">
    <w:name w:val="toc 5"/>
    <w:basedOn w:val="Normal"/>
    <w:next w:val="Normal"/>
    <w:autoRedefine/>
    <w:uiPriority w:val="39"/>
    <w:unhideWhenUsed/>
    <w:rsid w:val="009D5CD3"/>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9D5CD3"/>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9D5CD3"/>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9D5CD3"/>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9D5CD3"/>
    <w:pPr>
      <w:ind w:left="1600"/>
      <w:jc w:val="left"/>
    </w:pPr>
    <w:rPr>
      <w:rFonts w:asciiTheme="minorHAnsi" w:hAnsiTheme="minorHAnsi"/>
      <w:sz w:val="18"/>
      <w:szCs w:val="18"/>
    </w:rPr>
  </w:style>
  <w:style w:type="character" w:styleId="PlaceholderText">
    <w:name w:val="Placeholder Text"/>
    <w:basedOn w:val="DefaultParagraphFont"/>
    <w:uiPriority w:val="99"/>
    <w:semiHidden/>
    <w:rsid w:val="00185078"/>
    <w:rPr>
      <w:color w:val="808080"/>
    </w:rPr>
  </w:style>
  <w:style w:type="character" w:customStyle="1" w:styleId="TextonotapieCar1Car">
    <w:name w:val="Texto nota pie Car1 Car"/>
    <w:aliases w:val="Footnote Text Char Char Char Char Char Car Car,Footnote Text Char Char Char Char Car Car,Footnote reference Car Car,Footnote Text Char Char Char Car Car,Footnote Text Cha Car Car,Ca Car Car"/>
    <w:basedOn w:val="DefaultParagraphFont"/>
    <w:rsid w:val="000B560C"/>
    <w:rPr>
      <w:rFonts w:ascii="Verdana" w:eastAsia="Calibri" w:hAnsi="Verdana" w:cs="Times New Roman"/>
      <w:sz w:val="16"/>
      <w:szCs w:val="20"/>
      <w:lang w:eastAsia="es-ES"/>
    </w:rPr>
  </w:style>
  <w:style w:type="character" w:customStyle="1" w:styleId="PiedepginaCar">
    <w:name w:val="Pie de página Car"/>
    <w:basedOn w:val="DefaultParagraphFont"/>
    <w:uiPriority w:val="99"/>
    <w:rsid w:val="00554D98"/>
    <w:rPr>
      <w:rFonts w:ascii="Verdana" w:eastAsia="Calibri" w:hAnsi="Verdana" w:cs="Verdana"/>
      <w:snapToGrid w:val="0"/>
      <w:sz w:val="20"/>
      <w:szCs w:val="20"/>
      <w:lang w:eastAsia="es-ES"/>
    </w:rPr>
  </w:style>
  <w:style w:type="character" w:customStyle="1" w:styleId="FootnoteTextCharCharCharCharCharCar">
    <w:name w:val="Footnote Text Char Char Char Char Char Car"/>
    <w:aliases w:val="Footnote Text Char Char Char Char Car,Footnote reference Car,Footnote Text Char Char Char Car,Footnote Text Cha Car,FA Fußnotentext Car,FA Fuﬂnotentext Car,FA Fu?notente Car,Ca Car"/>
    <w:basedOn w:val="DefaultParagraphFont"/>
    <w:rsid w:val="00992F66"/>
    <w:rPr>
      <w:rFonts w:ascii="Verdana" w:eastAsia="Times New Roman" w:hAnsi="Verdana" w:cs="Times New Roman"/>
      <w:sz w:val="16"/>
      <w:szCs w:val="20"/>
      <w:lang w:val="es-ES_tradnl" w:eastAsia="es-ES"/>
    </w:rPr>
  </w:style>
  <w:style w:type="character" w:customStyle="1" w:styleId="TextocomentarioCar">
    <w:name w:val="Texto comentario Car"/>
    <w:basedOn w:val="DefaultParagraphFont"/>
    <w:uiPriority w:val="99"/>
    <w:rsid w:val="00992F66"/>
    <w:rPr>
      <w:rFonts w:ascii="Verdana" w:eastAsia="Calibri" w:hAnsi="Verdana" w:cs="Calibri"/>
      <w:sz w:val="24"/>
      <w:szCs w:val="24"/>
      <w:lang w:val="es-MX"/>
    </w:rPr>
  </w:style>
  <w:style w:type="character" w:customStyle="1" w:styleId="PrrafodelistaCar">
    <w:name w:val="Párrafo de lista Car"/>
    <w:aliases w:val="List Paragraph1 Car,Párrafo de lista1 Car,List Paragraph2 Car"/>
    <w:uiPriority w:val="34"/>
    <w:locked/>
    <w:rsid w:val="00992F66"/>
    <w:rPr>
      <w:rFonts w:ascii="Verdana" w:eastAsia="Calibri" w:hAnsi="Verdana" w:cs="Calibri"/>
      <w:sz w:val="20"/>
      <w:lang w:val="es-MX"/>
    </w:rPr>
  </w:style>
  <w:style w:type="character" w:customStyle="1" w:styleId="Funotenzeichen">
    <w:name w:val="Fußnotenzeichen"/>
    <w:rsid w:val="00992F6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EC551E"/>
    <w:rPr>
      <w:rFonts w:eastAsiaTheme="minorHAnsi" w:cs="Verdana"/>
      <w:sz w:val="16"/>
      <w:szCs w:val="16"/>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9713">
      <w:bodyDiv w:val="1"/>
      <w:marLeft w:val="0"/>
      <w:marRight w:val="0"/>
      <w:marTop w:val="0"/>
      <w:marBottom w:val="0"/>
      <w:divBdr>
        <w:top w:val="none" w:sz="0" w:space="0" w:color="auto"/>
        <w:left w:val="none" w:sz="0" w:space="0" w:color="auto"/>
        <w:bottom w:val="none" w:sz="0" w:space="0" w:color="auto"/>
        <w:right w:val="none" w:sz="0" w:space="0" w:color="auto"/>
      </w:divBdr>
    </w:div>
    <w:div w:id="39522281">
      <w:bodyDiv w:val="1"/>
      <w:marLeft w:val="0"/>
      <w:marRight w:val="0"/>
      <w:marTop w:val="0"/>
      <w:marBottom w:val="0"/>
      <w:divBdr>
        <w:top w:val="none" w:sz="0" w:space="0" w:color="auto"/>
        <w:left w:val="none" w:sz="0" w:space="0" w:color="auto"/>
        <w:bottom w:val="none" w:sz="0" w:space="0" w:color="auto"/>
        <w:right w:val="none" w:sz="0" w:space="0" w:color="auto"/>
      </w:divBdr>
    </w:div>
    <w:div w:id="72049602">
      <w:bodyDiv w:val="1"/>
      <w:marLeft w:val="0"/>
      <w:marRight w:val="0"/>
      <w:marTop w:val="0"/>
      <w:marBottom w:val="0"/>
      <w:divBdr>
        <w:top w:val="none" w:sz="0" w:space="0" w:color="auto"/>
        <w:left w:val="none" w:sz="0" w:space="0" w:color="auto"/>
        <w:bottom w:val="none" w:sz="0" w:space="0" w:color="auto"/>
        <w:right w:val="none" w:sz="0" w:space="0" w:color="auto"/>
      </w:divBdr>
    </w:div>
    <w:div w:id="96487400">
      <w:bodyDiv w:val="1"/>
      <w:marLeft w:val="0"/>
      <w:marRight w:val="0"/>
      <w:marTop w:val="0"/>
      <w:marBottom w:val="0"/>
      <w:divBdr>
        <w:top w:val="none" w:sz="0" w:space="0" w:color="auto"/>
        <w:left w:val="none" w:sz="0" w:space="0" w:color="auto"/>
        <w:bottom w:val="none" w:sz="0" w:space="0" w:color="auto"/>
        <w:right w:val="none" w:sz="0" w:space="0" w:color="auto"/>
      </w:divBdr>
    </w:div>
    <w:div w:id="194925403">
      <w:bodyDiv w:val="1"/>
      <w:marLeft w:val="0"/>
      <w:marRight w:val="0"/>
      <w:marTop w:val="0"/>
      <w:marBottom w:val="0"/>
      <w:divBdr>
        <w:top w:val="none" w:sz="0" w:space="0" w:color="auto"/>
        <w:left w:val="none" w:sz="0" w:space="0" w:color="auto"/>
        <w:bottom w:val="none" w:sz="0" w:space="0" w:color="auto"/>
        <w:right w:val="none" w:sz="0" w:space="0" w:color="auto"/>
      </w:divBdr>
    </w:div>
    <w:div w:id="208760478">
      <w:bodyDiv w:val="1"/>
      <w:marLeft w:val="0"/>
      <w:marRight w:val="0"/>
      <w:marTop w:val="0"/>
      <w:marBottom w:val="0"/>
      <w:divBdr>
        <w:top w:val="none" w:sz="0" w:space="0" w:color="auto"/>
        <w:left w:val="none" w:sz="0" w:space="0" w:color="auto"/>
        <w:bottom w:val="none" w:sz="0" w:space="0" w:color="auto"/>
        <w:right w:val="none" w:sz="0" w:space="0" w:color="auto"/>
      </w:divBdr>
    </w:div>
    <w:div w:id="250627025">
      <w:bodyDiv w:val="1"/>
      <w:marLeft w:val="0"/>
      <w:marRight w:val="0"/>
      <w:marTop w:val="0"/>
      <w:marBottom w:val="0"/>
      <w:divBdr>
        <w:top w:val="none" w:sz="0" w:space="0" w:color="auto"/>
        <w:left w:val="none" w:sz="0" w:space="0" w:color="auto"/>
        <w:bottom w:val="none" w:sz="0" w:space="0" w:color="auto"/>
        <w:right w:val="none" w:sz="0" w:space="0" w:color="auto"/>
      </w:divBdr>
    </w:div>
    <w:div w:id="285552548">
      <w:bodyDiv w:val="1"/>
      <w:marLeft w:val="0"/>
      <w:marRight w:val="0"/>
      <w:marTop w:val="0"/>
      <w:marBottom w:val="0"/>
      <w:divBdr>
        <w:top w:val="none" w:sz="0" w:space="0" w:color="auto"/>
        <w:left w:val="none" w:sz="0" w:space="0" w:color="auto"/>
        <w:bottom w:val="none" w:sz="0" w:space="0" w:color="auto"/>
        <w:right w:val="none" w:sz="0" w:space="0" w:color="auto"/>
      </w:divBdr>
    </w:div>
    <w:div w:id="305136020">
      <w:bodyDiv w:val="1"/>
      <w:marLeft w:val="0"/>
      <w:marRight w:val="0"/>
      <w:marTop w:val="0"/>
      <w:marBottom w:val="0"/>
      <w:divBdr>
        <w:top w:val="none" w:sz="0" w:space="0" w:color="auto"/>
        <w:left w:val="none" w:sz="0" w:space="0" w:color="auto"/>
        <w:bottom w:val="none" w:sz="0" w:space="0" w:color="auto"/>
        <w:right w:val="none" w:sz="0" w:space="0" w:color="auto"/>
      </w:divBdr>
    </w:div>
    <w:div w:id="317271948">
      <w:bodyDiv w:val="1"/>
      <w:marLeft w:val="0"/>
      <w:marRight w:val="0"/>
      <w:marTop w:val="0"/>
      <w:marBottom w:val="0"/>
      <w:divBdr>
        <w:top w:val="none" w:sz="0" w:space="0" w:color="auto"/>
        <w:left w:val="none" w:sz="0" w:space="0" w:color="auto"/>
        <w:bottom w:val="none" w:sz="0" w:space="0" w:color="auto"/>
        <w:right w:val="none" w:sz="0" w:space="0" w:color="auto"/>
      </w:divBdr>
    </w:div>
    <w:div w:id="442379675">
      <w:bodyDiv w:val="1"/>
      <w:marLeft w:val="0"/>
      <w:marRight w:val="0"/>
      <w:marTop w:val="0"/>
      <w:marBottom w:val="0"/>
      <w:divBdr>
        <w:top w:val="none" w:sz="0" w:space="0" w:color="auto"/>
        <w:left w:val="none" w:sz="0" w:space="0" w:color="auto"/>
        <w:bottom w:val="none" w:sz="0" w:space="0" w:color="auto"/>
        <w:right w:val="none" w:sz="0" w:space="0" w:color="auto"/>
      </w:divBdr>
      <w:divsChild>
        <w:div w:id="11884421">
          <w:marLeft w:val="547"/>
          <w:marRight w:val="0"/>
          <w:marTop w:val="0"/>
          <w:marBottom w:val="0"/>
          <w:divBdr>
            <w:top w:val="none" w:sz="0" w:space="0" w:color="auto"/>
            <w:left w:val="none" w:sz="0" w:space="0" w:color="auto"/>
            <w:bottom w:val="none" w:sz="0" w:space="0" w:color="auto"/>
            <w:right w:val="none" w:sz="0" w:space="0" w:color="auto"/>
          </w:divBdr>
        </w:div>
      </w:divsChild>
    </w:div>
    <w:div w:id="504438566">
      <w:bodyDiv w:val="1"/>
      <w:marLeft w:val="0"/>
      <w:marRight w:val="0"/>
      <w:marTop w:val="0"/>
      <w:marBottom w:val="0"/>
      <w:divBdr>
        <w:top w:val="none" w:sz="0" w:space="0" w:color="auto"/>
        <w:left w:val="none" w:sz="0" w:space="0" w:color="auto"/>
        <w:bottom w:val="none" w:sz="0" w:space="0" w:color="auto"/>
        <w:right w:val="none" w:sz="0" w:space="0" w:color="auto"/>
      </w:divBdr>
    </w:div>
    <w:div w:id="644360828">
      <w:bodyDiv w:val="1"/>
      <w:marLeft w:val="0"/>
      <w:marRight w:val="0"/>
      <w:marTop w:val="0"/>
      <w:marBottom w:val="0"/>
      <w:divBdr>
        <w:top w:val="none" w:sz="0" w:space="0" w:color="auto"/>
        <w:left w:val="none" w:sz="0" w:space="0" w:color="auto"/>
        <w:bottom w:val="none" w:sz="0" w:space="0" w:color="auto"/>
        <w:right w:val="none" w:sz="0" w:space="0" w:color="auto"/>
      </w:divBdr>
    </w:div>
    <w:div w:id="749615483">
      <w:bodyDiv w:val="1"/>
      <w:marLeft w:val="0"/>
      <w:marRight w:val="0"/>
      <w:marTop w:val="0"/>
      <w:marBottom w:val="0"/>
      <w:divBdr>
        <w:top w:val="none" w:sz="0" w:space="0" w:color="auto"/>
        <w:left w:val="none" w:sz="0" w:space="0" w:color="auto"/>
        <w:bottom w:val="none" w:sz="0" w:space="0" w:color="auto"/>
        <w:right w:val="none" w:sz="0" w:space="0" w:color="auto"/>
      </w:divBdr>
    </w:div>
    <w:div w:id="757600073">
      <w:bodyDiv w:val="1"/>
      <w:marLeft w:val="0"/>
      <w:marRight w:val="0"/>
      <w:marTop w:val="0"/>
      <w:marBottom w:val="0"/>
      <w:divBdr>
        <w:top w:val="none" w:sz="0" w:space="0" w:color="auto"/>
        <w:left w:val="none" w:sz="0" w:space="0" w:color="auto"/>
        <w:bottom w:val="none" w:sz="0" w:space="0" w:color="auto"/>
        <w:right w:val="none" w:sz="0" w:space="0" w:color="auto"/>
      </w:divBdr>
    </w:div>
    <w:div w:id="774517363">
      <w:bodyDiv w:val="1"/>
      <w:marLeft w:val="0"/>
      <w:marRight w:val="0"/>
      <w:marTop w:val="0"/>
      <w:marBottom w:val="0"/>
      <w:divBdr>
        <w:top w:val="none" w:sz="0" w:space="0" w:color="auto"/>
        <w:left w:val="none" w:sz="0" w:space="0" w:color="auto"/>
        <w:bottom w:val="none" w:sz="0" w:space="0" w:color="auto"/>
        <w:right w:val="none" w:sz="0" w:space="0" w:color="auto"/>
      </w:divBdr>
    </w:div>
    <w:div w:id="795488435">
      <w:bodyDiv w:val="1"/>
      <w:marLeft w:val="0"/>
      <w:marRight w:val="0"/>
      <w:marTop w:val="0"/>
      <w:marBottom w:val="0"/>
      <w:divBdr>
        <w:top w:val="none" w:sz="0" w:space="0" w:color="auto"/>
        <w:left w:val="none" w:sz="0" w:space="0" w:color="auto"/>
        <w:bottom w:val="none" w:sz="0" w:space="0" w:color="auto"/>
        <w:right w:val="none" w:sz="0" w:space="0" w:color="auto"/>
      </w:divBdr>
    </w:div>
    <w:div w:id="941693610">
      <w:bodyDiv w:val="1"/>
      <w:marLeft w:val="0"/>
      <w:marRight w:val="0"/>
      <w:marTop w:val="0"/>
      <w:marBottom w:val="0"/>
      <w:divBdr>
        <w:top w:val="none" w:sz="0" w:space="0" w:color="auto"/>
        <w:left w:val="none" w:sz="0" w:space="0" w:color="auto"/>
        <w:bottom w:val="none" w:sz="0" w:space="0" w:color="auto"/>
        <w:right w:val="none" w:sz="0" w:space="0" w:color="auto"/>
      </w:divBdr>
    </w:div>
    <w:div w:id="958222978">
      <w:bodyDiv w:val="1"/>
      <w:marLeft w:val="0"/>
      <w:marRight w:val="0"/>
      <w:marTop w:val="0"/>
      <w:marBottom w:val="0"/>
      <w:divBdr>
        <w:top w:val="none" w:sz="0" w:space="0" w:color="auto"/>
        <w:left w:val="none" w:sz="0" w:space="0" w:color="auto"/>
        <w:bottom w:val="none" w:sz="0" w:space="0" w:color="auto"/>
        <w:right w:val="none" w:sz="0" w:space="0" w:color="auto"/>
      </w:divBdr>
      <w:divsChild>
        <w:div w:id="1851407199">
          <w:marLeft w:val="0"/>
          <w:marRight w:val="0"/>
          <w:marTop w:val="0"/>
          <w:marBottom w:val="0"/>
          <w:divBdr>
            <w:top w:val="none" w:sz="0" w:space="0" w:color="auto"/>
            <w:left w:val="none" w:sz="0" w:space="0" w:color="auto"/>
            <w:bottom w:val="none" w:sz="0" w:space="0" w:color="auto"/>
            <w:right w:val="none" w:sz="0" w:space="0" w:color="auto"/>
          </w:divBdr>
          <w:divsChild>
            <w:div w:id="1714383395">
              <w:marLeft w:val="0"/>
              <w:marRight w:val="0"/>
              <w:marTop w:val="0"/>
              <w:marBottom w:val="0"/>
              <w:divBdr>
                <w:top w:val="none" w:sz="0" w:space="0" w:color="auto"/>
                <w:left w:val="none" w:sz="0" w:space="0" w:color="auto"/>
                <w:bottom w:val="none" w:sz="0" w:space="0" w:color="auto"/>
                <w:right w:val="none" w:sz="0" w:space="0" w:color="auto"/>
              </w:divBdr>
              <w:divsChild>
                <w:div w:id="9013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1676">
      <w:bodyDiv w:val="1"/>
      <w:marLeft w:val="0"/>
      <w:marRight w:val="0"/>
      <w:marTop w:val="0"/>
      <w:marBottom w:val="0"/>
      <w:divBdr>
        <w:top w:val="none" w:sz="0" w:space="0" w:color="auto"/>
        <w:left w:val="none" w:sz="0" w:space="0" w:color="auto"/>
        <w:bottom w:val="none" w:sz="0" w:space="0" w:color="auto"/>
        <w:right w:val="none" w:sz="0" w:space="0" w:color="auto"/>
      </w:divBdr>
    </w:div>
    <w:div w:id="997730403">
      <w:bodyDiv w:val="1"/>
      <w:marLeft w:val="0"/>
      <w:marRight w:val="0"/>
      <w:marTop w:val="0"/>
      <w:marBottom w:val="0"/>
      <w:divBdr>
        <w:top w:val="none" w:sz="0" w:space="0" w:color="auto"/>
        <w:left w:val="none" w:sz="0" w:space="0" w:color="auto"/>
        <w:bottom w:val="none" w:sz="0" w:space="0" w:color="auto"/>
        <w:right w:val="none" w:sz="0" w:space="0" w:color="auto"/>
      </w:divBdr>
    </w:div>
    <w:div w:id="1004892084">
      <w:bodyDiv w:val="1"/>
      <w:marLeft w:val="0"/>
      <w:marRight w:val="0"/>
      <w:marTop w:val="0"/>
      <w:marBottom w:val="0"/>
      <w:divBdr>
        <w:top w:val="none" w:sz="0" w:space="0" w:color="auto"/>
        <w:left w:val="none" w:sz="0" w:space="0" w:color="auto"/>
        <w:bottom w:val="none" w:sz="0" w:space="0" w:color="auto"/>
        <w:right w:val="none" w:sz="0" w:space="0" w:color="auto"/>
      </w:divBdr>
      <w:divsChild>
        <w:div w:id="1039090464">
          <w:marLeft w:val="547"/>
          <w:marRight w:val="0"/>
          <w:marTop w:val="0"/>
          <w:marBottom w:val="0"/>
          <w:divBdr>
            <w:top w:val="none" w:sz="0" w:space="0" w:color="auto"/>
            <w:left w:val="none" w:sz="0" w:space="0" w:color="auto"/>
            <w:bottom w:val="none" w:sz="0" w:space="0" w:color="auto"/>
            <w:right w:val="none" w:sz="0" w:space="0" w:color="auto"/>
          </w:divBdr>
        </w:div>
      </w:divsChild>
    </w:div>
    <w:div w:id="1013454609">
      <w:bodyDiv w:val="1"/>
      <w:marLeft w:val="0"/>
      <w:marRight w:val="0"/>
      <w:marTop w:val="0"/>
      <w:marBottom w:val="0"/>
      <w:divBdr>
        <w:top w:val="none" w:sz="0" w:space="0" w:color="auto"/>
        <w:left w:val="none" w:sz="0" w:space="0" w:color="auto"/>
        <w:bottom w:val="none" w:sz="0" w:space="0" w:color="auto"/>
        <w:right w:val="none" w:sz="0" w:space="0" w:color="auto"/>
      </w:divBdr>
    </w:div>
    <w:div w:id="1049571341">
      <w:bodyDiv w:val="1"/>
      <w:marLeft w:val="0"/>
      <w:marRight w:val="0"/>
      <w:marTop w:val="0"/>
      <w:marBottom w:val="0"/>
      <w:divBdr>
        <w:top w:val="none" w:sz="0" w:space="0" w:color="auto"/>
        <w:left w:val="none" w:sz="0" w:space="0" w:color="auto"/>
        <w:bottom w:val="none" w:sz="0" w:space="0" w:color="auto"/>
        <w:right w:val="none" w:sz="0" w:space="0" w:color="auto"/>
      </w:divBdr>
    </w:div>
    <w:div w:id="1051465389">
      <w:bodyDiv w:val="1"/>
      <w:marLeft w:val="0"/>
      <w:marRight w:val="0"/>
      <w:marTop w:val="0"/>
      <w:marBottom w:val="0"/>
      <w:divBdr>
        <w:top w:val="none" w:sz="0" w:space="0" w:color="auto"/>
        <w:left w:val="none" w:sz="0" w:space="0" w:color="auto"/>
        <w:bottom w:val="none" w:sz="0" w:space="0" w:color="auto"/>
        <w:right w:val="none" w:sz="0" w:space="0" w:color="auto"/>
      </w:divBdr>
    </w:div>
    <w:div w:id="1115252345">
      <w:bodyDiv w:val="1"/>
      <w:marLeft w:val="0"/>
      <w:marRight w:val="0"/>
      <w:marTop w:val="0"/>
      <w:marBottom w:val="0"/>
      <w:divBdr>
        <w:top w:val="none" w:sz="0" w:space="0" w:color="auto"/>
        <w:left w:val="none" w:sz="0" w:space="0" w:color="auto"/>
        <w:bottom w:val="none" w:sz="0" w:space="0" w:color="auto"/>
        <w:right w:val="none" w:sz="0" w:space="0" w:color="auto"/>
      </w:divBdr>
    </w:div>
    <w:div w:id="1122920787">
      <w:bodyDiv w:val="1"/>
      <w:marLeft w:val="0"/>
      <w:marRight w:val="0"/>
      <w:marTop w:val="0"/>
      <w:marBottom w:val="0"/>
      <w:divBdr>
        <w:top w:val="none" w:sz="0" w:space="0" w:color="auto"/>
        <w:left w:val="none" w:sz="0" w:space="0" w:color="auto"/>
        <w:bottom w:val="none" w:sz="0" w:space="0" w:color="auto"/>
        <w:right w:val="none" w:sz="0" w:space="0" w:color="auto"/>
      </w:divBdr>
      <w:divsChild>
        <w:div w:id="2109617768">
          <w:marLeft w:val="0"/>
          <w:marRight w:val="0"/>
          <w:marTop w:val="0"/>
          <w:marBottom w:val="0"/>
          <w:divBdr>
            <w:top w:val="none" w:sz="0" w:space="0" w:color="auto"/>
            <w:left w:val="none" w:sz="0" w:space="0" w:color="auto"/>
            <w:bottom w:val="none" w:sz="0" w:space="0" w:color="auto"/>
            <w:right w:val="none" w:sz="0" w:space="0" w:color="auto"/>
          </w:divBdr>
          <w:divsChild>
            <w:div w:id="1391267521">
              <w:marLeft w:val="0"/>
              <w:marRight w:val="0"/>
              <w:marTop w:val="0"/>
              <w:marBottom w:val="0"/>
              <w:divBdr>
                <w:top w:val="none" w:sz="0" w:space="0" w:color="auto"/>
                <w:left w:val="none" w:sz="0" w:space="0" w:color="auto"/>
                <w:bottom w:val="none" w:sz="0" w:space="0" w:color="auto"/>
                <w:right w:val="none" w:sz="0" w:space="0" w:color="auto"/>
              </w:divBdr>
              <w:divsChild>
                <w:div w:id="5183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2425">
      <w:bodyDiv w:val="1"/>
      <w:marLeft w:val="0"/>
      <w:marRight w:val="0"/>
      <w:marTop w:val="0"/>
      <w:marBottom w:val="0"/>
      <w:divBdr>
        <w:top w:val="none" w:sz="0" w:space="0" w:color="auto"/>
        <w:left w:val="none" w:sz="0" w:space="0" w:color="auto"/>
        <w:bottom w:val="none" w:sz="0" w:space="0" w:color="auto"/>
        <w:right w:val="none" w:sz="0" w:space="0" w:color="auto"/>
      </w:divBdr>
    </w:div>
    <w:div w:id="1128278192">
      <w:bodyDiv w:val="1"/>
      <w:marLeft w:val="0"/>
      <w:marRight w:val="0"/>
      <w:marTop w:val="0"/>
      <w:marBottom w:val="0"/>
      <w:divBdr>
        <w:top w:val="none" w:sz="0" w:space="0" w:color="auto"/>
        <w:left w:val="none" w:sz="0" w:space="0" w:color="auto"/>
        <w:bottom w:val="none" w:sz="0" w:space="0" w:color="auto"/>
        <w:right w:val="none" w:sz="0" w:space="0" w:color="auto"/>
      </w:divBdr>
    </w:div>
    <w:div w:id="1191796619">
      <w:bodyDiv w:val="1"/>
      <w:marLeft w:val="0"/>
      <w:marRight w:val="0"/>
      <w:marTop w:val="0"/>
      <w:marBottom w:val="0"/>
      <w:divBdr>
        <w:top w:val="none" w:sz="0" w:space="0" w:color="auto"/>
        <w:left w:val="none" w:sz="0" w:space="0" w:color="auto"/>
        <w:bottom w:val="none" w:sz="0" w:space="0" w:color="auto"/>
        <w:right w:val="none" w:sz="0" w:space="0" w:color="auto"/>
      </w:divBdr>
      <w:divsChild>
        <w:div w:id="799880397">
          <w:marLeft w:val="0"/>
          <w:marRight w:val="0"/>
          <w:marTop w:val="0"/>
          <w:marBottom w:val="0"/>
          <w:divBdr>
            <w:top w:val="none" w:sz="0" w:space="0" w:color="auto"/>
            <w:left w:val="none" w:sz="0" w:space="0" w:color="auto"/>
            <w:bottom w:val="none" w:sz="0" w:space="0" w:color="auto"/>
            <w:right w:val="none" w:sz="0" w:space="0" w:color="auto"/>
          </w:divBdr>
          <w:divsChild>
            <w:div w:id="1321231281">
              <w:marLeft w:val="0"/>
              <w:marRight w:val="0"/>
              <w:marTop w:val="0"/>
              <w:marBottom w:val="0"/>
              <w:divBdr>
                <w:top w:val="none" w:sz="0" w:space="0" w:color="auto"/>
                <w:left w:val="none" w:sz="0" w:space="0" w:color="auto"/>
                <w:bottom w:val="none" w:sz="0" w:space="0" w:color="auto"/>
                <w:right w:val="none" w:sz="0" w:space="0" w:color="auto"/>
              </w:divBdr>
              <w:divsChild>
                <w:div w:id="8040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7924">
      <w:bodyDiv w:val="1"/>
      <w:marLeft w:val="0"/>
      <w:marRight w:val="0"/>
      <w:marTop w:val="0"/>
      <w:marBottom w:val="0"/>
      <w:divBdr>
        <w:top w:val="none" w:sz="0" w:space="0" w:color="auto"/>
        <w:left w:val="none" w:sz="0" w:space="0" w:color="auto"/>
        <w:bottom w:val="none" w:sz="0" w:space="0" w:color="auto"/>
        <w:right w:val="none" w:sz="0" w:space="0" w:color="auto"/>
      </w:divBdr>
    </w:div>
    <w:div w:id="1230192797">
      <w:bodyDiv w:val="1"/>
      <w:marLeft w:val="0"/>
      <w:marRight w:val="0"/>
      <w:marTop w:val="0"/>
      <w:marBottom w:val="0"/>
      <w:divBdr>
        <w:top w:val="none" w:sz="0" w:space="0" w:color="auto"/>
        <w:left w:val="none" w:sz="0" w:space="0" w:color="auto"/>
        <w:bottom w:val="none" w:sz="0" w:space="0" w:color="auto"/>
        <w:right w:val="none" w:sz="0" w:space="0" w:color="auto"/>
      </w:divBdr>
    </w:div>
    <w:div w:id="1243300632">
      <w:bodyDiv w:val="1"/>
      <w:marLeft w:val="0"/>
      <w:marRight w:val="0"/>
      <w:marTop w:val="0"/>
      <w:marBottom w:val="0"/>
      <w:divBdr>
        <w:top w:val="none" w:sz="0" w:space="0" w:color="auto"/>
        <w:left w:val="none" w:sz="0" w:space="0" w:color="auto"/>
        <w:bottom w:val="none" w:sz="0" w:space="0" w:color="auto"/>
        <w:right w:val="none" w:sz="0" w:space="0" w:color="auto"/>
      </w:divBdr>
    </w:div>
    <w:div w:id="1334067417">
      <w:bodyDiv w:val="1"/>
      <w:marLeft w:val="0"/>
      <w:marRight w:val="0"/>
      <w:marTop w:val="0"/>
      <w:marBottom w:val="0"/>
      <w:divBdr>
        <w:top w:val="none" w:sz="0" w:space="0" w:color="auto"/>
        <w:left w:val="none" w:sz="0" w:space="0" w:color="auto"/>
        <w:bottom w:val="none" w:sz="0" w:space="0" w:color="auto"/>
        <w:right w:val="none" w:sz="0" w:space="0" w:color="auto"/>
      </w:divBdr>
    </w:div>
    <w:div w:id="1344285593">
      <w:bodyDiv w:val="1"/>
      <w:marLeft w:val="0"/>
      <w:marRight w:val="0"/>
      <w:marTop w:val="0"/>
      <w:marBottom w:val="0"/>
      <w:divBdr>
        <w:top w:val="none" w:sz="0" w:space="0" w:color="auto"/>
        <w:left w:val="none" w:sz="0" w:space="0" w:color="auto"/>
        <w:bottom w:val="none" w:sz="0" w:space="0" w:color="auto"/>
        <w:right w:val="none" w:sz="0" w:space="0" w:color="auto"/>
      </w:divBdr>
    </w:div>
    <w:div w:id="1390108539">
      <w:bodyDiv w:val="1"/>
      <w:marLeft w:val="0"/>
      <w:marRight w:val="0"/>
      <w:marTop w:val="0"/>
      <w:marBottom w:val="0"/>
      <w:divBdr>
        <w:top w:val="none" w:sz="0" w:space="0" w:color="auto"/>
        <w:left w:val="none" w:sz="0" w:space="0" w:color="auto"/>
        <w:bottom w:val="none" w:sz="0" w:space="0" w:color="auto"/>
        <w:right w:val="none" w:sz="0" w:space="0" w:color="auto"/>
      </w:divBdr>
    </w:div>
    <w:div w:id="1397514091">
      <w:bodyDiv w:val="1"/>
      <w:marLeft w:val="0"/>
      <w:marRight w:val="0"/>
      <w:marTop w:val="0"/>
      <w:marBottom w:val="0"/>
      <w:divBdr>
        <w:top w:val="none" w:sz="0" w:space="0" w:color="auto"/>
        <w:left w:val="none" w:sz="0" w:space="0" w:color="auto"/>
        <w:bottom w:val="none" w:sz="0" w:space="0" w:color="auto"/>
        <w:right w:val="none" w:sz="0" w:space="0" w:color="auto"/>
      </w:divBdr>
    </w:div>
    <w:div w:id="1460686126">
      <w:bodyDiv w:val="1"/>
      <w:marLeft w:val="0"/>
      <w:marRight w:val="0"/>
      <w:marTop w:val="0"/>
      <w:marBottom w:val="0"/>
      <w:divBdr>
        <w:top w:val="none" w:sz="0" w:space="0" w:color="auto"/>
        <w:left w:val="none" w:sz="0" w:space="0" w:color="auto"/>
        <w:bottom w:val="none" w:sz="0" w:space="0" w:color="auto"/>
        <w:right w:val="none" w:sz="0" w:space="0" w:color="auto"/>
      </w:divBdr>
    </w:div>
    <w:div w:id="1577594830">
      <w:bodyDiv w:val="1"/>
      <w:marLeft w:val="0"/>
      <w:marRight w:val="0"/>
      <w:marTop w:val="0"/>
      <w:marBottom w:val="0"/>
      <w:divBdr>
        <w:top w:val="none" w:sz="0" w:space="0" w:color="auto"/>
        <w:left w:val="none" w:sz="0" w:space="0" w:color="auto"/>
        <w:bottom w:val="none" w:sz="0" w:space="0" w:color="auto"/>
        <w:right w:val="none" w:sz="0" w:space="0" w:color="auto"/>
      </w:divBdr>
    </w:div>
    <w:div w:id="1584484765">
      <w:bodyDiv w:val="1"/>
      <w:marLeft w:val="0"/>
      <w:marRight w:val="0"/>
      <w:marTop w:val="0"/>
      <w:marBottom w:val="0"/>
      <w:divBdr>
        <w:top w:val="none" w:sz="0" w:space="0" w:color="auto"/>
        <w:left w:val="none" w:sz="0" w:space="0" w:color="auto"/>
        <w:bottom w:val="none" w:sz="0" w:space="0" w:color="auto"/>
        <w:right w:val="none" w:sz="0" w:space="0" w:color="auto"/>
      </w:divBdr>
    </w:div>
    <w:div w:id="1629822431">
      <w:bodyDiv w:val="1"/>
      <w:marLeft w:val="0"/>
      <w:marRight w:val="0"/>
      <w:marTop w:val="0"/>
      <w:marBottom w:val="0"/>
      <w:divBdr>
        <w:top w:val="none" w:sz="0" w:space="0" w:color="auto"/>
        <w:left w:val="none" w:sz="0" w:space="0" w:color="auto"/>
        <w:bottom w:val="none" w:sz="0" w:space="0" w:color="auto"/>
        <w:right w:val="none" w:sz="0" w:space="0" w:color="auto"/>
      </w:divBdr>
    </w:div>
    <w:div w:id="1633098176">
      <w:bodyDiv w:val="1"/>
      <w:marLeft w:val="0"/>
      <w:marRight w:val="0"/>
      <w:marTop w:val="0"/>
      <w:marBottom w:val="0"/>
      <w:divBdr>
        <w:top w:val="none" w:sz="0" w:space="0" w:color="auto"/>
        <w:left w:val="none" w:sz="0" w:space="0" w:color="auto"/>
        <w:bottom w:val="none" w:sz="0" w:space="0" w:color="auto"/>
        <w:right w:val="none" w:sz="0" w:space="0" w:color="auto"/>
      </w:divBdr>
    </w:div>
    <w:div w:id="1633244157">
      <w:bodyDiv w:val="1"/>
      <w:marLeft w:val="0"/>
      <w:marRight w:val="0"/>
      <w:marTop w:val="0"/>
      <w:marBottom w:val="0"/>
      <w:divBdr>
        <w:top w:val="none" w:sz="0" w:space="0" w:color="auto"/>
        <w:left w:val="none" w:sz="0" w:space="0" w:color="auto"/>
        <w:bottom w:val="none" w:sz="0" w:space="0" w:color="auto"/>
        <w:right w:val="none" w:sz="0" w:space="0" w:color="auto"/>
      </w:divBdr>
    </w:div>
    <w:div w:id="1778795224">
      <w:bodyDiv w:val="1"/>
      <w:marLeft w:val="0"/>
      <w:marRight w:val="0"/>
      <w:marTop w:val="0"/>
      <w:marBottom w:val="0"/>
      <w:divBdr>
        <w:top w:val="none" w:sz="0" w:space="0" w:color="auto"/>
        <w:left w:val="none" w:sz="0" w:space="0" w:color="auto"/>
        <w:bottom w:val="none" w:sz="0" w:space="0" w:color="auto"/>
        <w:right w:val="none" w:sz="0" w:space="0" w:color="auto"/>
      </w:divBdr>
    </w:div>
    <w:div w:id="1803424997">
      <w:bodyDiv w:val="1"/>
      <w:marLeft w:val="0"/>
      <w:marRight w:val="0"/>
      <w:marTop w:val="0"/>
      <w:marBottom w:val="0"/>
      <w:divBdr>
        <w:top w:val="none" w:sz="0" w:space="0" w:color="auto"/>
        <w:left w:val="none" w:sz="0" w:space="0" w:color="auto"/>
        <w:bottom w:val="none" w:sz="0" w:space="0" w:color="auto"/>
        <w:right w:val="none" w:sz="0" w:space="0" w:color="auto"/>
      </w:divBdr>
    </w:div>
    <w:div w:id="1833250406">
      <w:bodyDiv w:val="1"/>
      <w:marLeft w:val="0"/>
      <w:marRight w:val="0"/>
      <w:marTop w:val="0"/>
      <w:marBottom w:val="0"/>
      <w:divBdr>
        <w:top w:val="none" w:sz="0" w:space="0" w:color="auto"/>
        <w:left w:val="none" w:sz="0" w:space="0" w:color="auto"/>
        <w:bottom w:val="none" w:sz="0" w:space="0" w:color="auto"/>
        <w:right w:val="none" w:sz="0" w:space="0" w:color="auto"/>
      </w:divBdr>
    </w:div>
    <w:div w:id="1983268078">
      <w:bodyDiv w:val="1"/>
      <w:marLeft w:val="0"/>
      <w:marRight w:val="0"/>
      <w:marTop w:val="0"/>
      <w:marBottom w:val="0"/>
      <w:divBdr>
        <w:top w:val="none" w:sz="0" w:space="0" w:color="auto"/>
        <w:left w:val="none" w:sz="0" w:space="0" w:color="auto"/>
        <w:bottom w:val="none" w:sz="0" w:space="0" w:color="auto"/>
        <w:right w:val="none" w:sz="0" w:space="0" w:color="auto"/>
      </w:divBdr>
    </w:div>
    <w:div w:id="2072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u.or.cr/cd/PUBLICAC/SERIE_A/A_14_ESP.HTM" TargetMode="External"/><Relationship Id="rId1" Type="http://schemas.openxmlformats.org/officeDocument/2006/relationships/hyperlink" Target="http://www.corteidh.or.cr/docs/asuntos/hinojosa_09_03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F721-456F-453D-802B-E424A1E3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24196</Words>
  <Characters>127031</Characters>
  <Application>Microsoft Office Word</Application>
  <DocSecurity>0</DocSecurity>
  <Lines>2268</Lines>
  <Paragraphs>478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RELATOR: EDUARDO VIO GROSSI</vt:lpstr>
    </vt:vector>
  </TitlesOfParts>
  <Company>CONFIDENCIAL</Company>
  <LinksUpToDate>false</LinksUpToDate>
  <CharactersWithSpaces>150749</CharactersWithSpaces>
  <SharedDoc>false</SharedDoc>
  <HLinks>
    <vt:vector size="336" baseType="variant">
      <vt:variant>
        <vt:i4>1703939</vt:i4>
      </vt:variant>
      <vt:variant>
        <vt:i4>302</vt:i4>
      </vt:variant>
      <vt:variant>
        <vt:i4>0</vt:i4>
      </vt:variant>
      <vt:variant>
        <vt:i4>5</vt:i4>
      </vt:variant>
      <vt:variant>
        <vt:lpwstr/>
      </vt:variant>
      <vt:variant>
        <vt:lpwstr>_Toc462870032</vt:lpwstr>
      </vt:variant>
      <vt:variant>
        <vt:i4>1703936</vt:i4>
      </vt:variant>
      <vt:variant>
        <vt:i4>296</vt:i4>
      </vt:variant>
      <vt:variant>
        <vt:i4>0</vt:i4>
      </vt:variant>
      <vt:variant>
        <vt:i4>5</vt:i4>
      </vt:variant>
      <vt:variant>
        <vt:lpwstr/>
      </vt:variant>
      <vt:variant>
        <vt:lpwstr>_Toc462870031</vt:lpwstr>
      </vt:variant>
      <vt:variant>
        <vt:i4>1703937</vt:i4>
      </vt:variant>
      <vt:variant>
        <vt:i4>290</vt:i4>
      </vt:variant>
      <vt:variant>
        <vt:i4>0</vt:i4>
      </vt:variant>
      <vt:variant>
        <vt:i4>5</vt:i4>
      </vt:variant>
      <vt:variant>
        <vt:lpwstr/>
      </vt:variant>
      <vt:variant>
        <vt:lpwstr>_Toc462870030</vt:lpwstr>
      </vt:variant>
      <vt:variant>
        <vt:i4>1769480</vt:i4>
      </vt:variant>
      <vt:variant>
        <vt:i4>284</vt:i4>
      </vt:variant>
      <vt:variant>
        <vt:i4>0</vt:i4>
      </vt:variant>
      <vt:variant>
        <vt:i4>5</vt:i4>
      </vt:variant>
      <vt:variant>
        <vt:lpwstr/>
      </vt:variant>
      <vt:variant>
        <vt:lpwstr>_Toc462870029</vt:lpwstr>
      </vt:variant>
      <vt:variant>
        <vt:i4>1769481</vt:i4>
      </vt:variant>
      <vt:variant>
        <vt:i4>278</vt:i4>
      </vt:variant>
      <vt:variant>
        <vt:i4>0</vt:i4>
      </vt:variant>
      <vt:variant>
        <vt:i4>5</vt:i4>
      </vt:variant>
      <vt:variant>
        <vt:lpwstr/>
      </vt:variant>
      <vt:variant>
        <vt:lpwstr>_Toc462870028</vt:lpwstr>
      </vt:variant>
      <vt:variant>
        <vt:i4>1769478</vt:i4>
      </vt:variant>
      <vt:variant>
        <vt:i4>272</vt:i4>
      </vt:variant>
      <vt:variant>
        <vt:i4>0</vt:i4>
      </vt:variant>
      <vt:variant>
        <vt:i4>5</vt:i4>
      </vt:variant>
      <vt:variant>
        <vt:lpwstr/>
      </vt:variant>
      <vt:variant>
        <vt:lpwstr>_Toc462870027</vt:lpwstr>
      </vt:variant>
      <vt:variant>
        <vt:i4>1769479</vt:i4>
      </vt:variant>
      <vt:variant>
        <vt:i4>266</vt:i4>
      </vt:variant>
      <vt:variant>
        <vt:i4>0</vt:i4>
      </vt:variant>
      <vt:variant>
        <vt:i4>5</vt:i4>
      </vt:variant>
      <vt:variant>
        <vt:lpwstr/>
      </vt:variant>
      <vt:variant>
        <vt:lpwstr>_Toc462870026</vt:lpwstr>
      </vt:variant>
      <vt:variant>
        <vt:i4>1769476</vt:i4>
      </vt:variant>
      <vt:variant>
        <vt:i4>260</vt:i4>
      </vt:variant>
      <vt:variant>
        <vt:i4>0</vt:i4>
      </vt:variant>
      <vt:variant>
        <vt:i4>5</vt:i4>
      </vt:variant>
      <vt:variant>
        <vt:lpwstr/>
      </vt:variant>
      <vt:variant>
        <vt:lpwstr>_Toc462870025</vt:lpwstr>
      </vt:variant>
      <vt:variant>
        <vt:i4>1769477</vt:i4>
      </vt:variant>
      <vt:variant>
        <vt:i4>254</vt:i4>
      </vt:variant>
      <vt:variant>
        <vt:i4>0</vt:i4>
      </vt:variant>
      <vt:variant>
        <vt:i4>5</vt:i4>
      </vt:variant>
      <vt:variant>
        <vt:lpwstr/>
      </vt:variant>
      <vt:variant>
        <vt:lpwstr>_Toc462870024</vt:lpwstr>
      </vt:variant>
      <vt:variant>
        <vt:i4>1769474</vt:i4>
      </vt:variant>
      <vt:variant>
        <vt:i4>248</vt:i4>
      </vt:variant>
      <vt:variant>
        <vt:i4>0</vt:i4>
      </vt:variant>
      <vt:variant>
        <vt:i4>5</vt:i4>
      </vt:variant>
      <vt:variant>
        <vt:lpwstr/>
      </vt:variant>
      <vt:variant>
        <vt:lpwstr>_Toc462870023</vt:lpwstr>
      </vt:variant>
      <vt:variant>
        <vt:i4>1769475</vt:i4>
      </vt:variant>
      <vt:variant>
        <vt:i4>242</vt:i4>
      </vt:variant>
      <vt:variant>
        <vt:i4>0</vt:i4>
      </vt:variant>
      <vt:variant>
        <vt:i4>5</vt:i4>
      </vt:variant>
      <vt:variant>
        <vt:lpwstr/>
      </vt:variant>
      <vt:variant>
        <vt:lpwstr>_Toc462870022</vt:lpwstr>
      </vt:variant>
      <vt:variant>
        <vt:i4>1769472</vt:i4>
      </vt:variant>
      <vt:variant>
        <vt:i4>236</vt:i4>
      </vt:variant>
      <vt:variant>
        <vt:i4>0</vt:i4>
      </vt:variant>
      <vt:variant>
        <vt:i4>5</vt:i4>
      </vt:variant>
      <vt:variant>
        <vt:lpwstr/>
      </vt:variant>
      <vt:variant>
        <vt:lpwstr>_Toc462870021</vt:lpwstr>
      </vt:variant>
      <vt:variant>
        <vt:i4>1572872</vt:i4>
      </vt:variant>
      <vt:variant>
        <vt:i4>230</vt:i4>
      </vt:variant>
      <vt:variant>
        <vt:i4>0</vt:i4>
      </vt:variant>
      <vt:variant>
        <vt:i4>5</vt:i4>
      </vt:variant>
      <vt:variant>
        <vt:lpwstr/>
      </vt:variant>
      <vt:variant>
        <vt:lpwstr>_Toc462870019</vt:lpwstr>
      </vt:variant>
      <vt:variant>
        <vt:i4>1572873</vt:i4>
      </vt:variant>
      <vt:variant>
        <vt:i4>224</vt:i4>
      </vt:variant>
      <vt:variant>
        <vt:i4>0</vt:i4>
      </vt:variant>
      <vt:variant>
        <vt:i4>5</vt:i4>
      </vt:variant>
      <vt:variant>
        <vt:lpwstr/>
      </vt:variant>
      <vt:variant>
        <vt:lpwstr>_Toc462870018</vt:lpwstr>
      </vt:variant>
      <vt:variant>
        <vt:i4>1572870</vt:i4>
      </vt:variant>
      <vt:variant>
        <vt:i4>218</vt:i4>
      </vt:variant>
      <vt:variant>
        <vt:i4>0</vt:i4>
      </vt:variant>
      <vt:variant>
        <vt:i4>5</vt:i4>
      </vt:variant>
      <vt:variant>
        <vt:lpwstr/>
      </vt:variant>
      <vt:variant>
        <vt:lpwstr>_Toc462870017</vt:lpwstr>
      </vt:variant>
      <vt:variant>
        <vt:i4>1572868</vt:i4>
      </vt:variant>
      <vt:variant>
        <vt:i4>212</vt:i4>
      </vt:variant>
      <vt:variant>
        <vt:i4>0</vt:i4>
      </vt:variant>
      <vt:variant>
        <vt:i4>5</vt:i4>
      </vt:variant>
      <vt:variant>
        <vt:lpwstr/>
      </vt:variant>
      <vt:variant>
        <vt:lpwstr>_Toc462870015</vt:lpwstr>
      </vt:variant>
      <vt:variant>
        <vt:i4>1572869</vt:i4>
      </vt:variant>
      <vt:variant>
        <vt:i4>206</vt:i4>
      </vt:variant>
      <vt:variant>
        <vt:i4>0</vt:i4>
      </vt:variant>
      <vt:variant>
        <vt:i4>5</vt:i4>
      </vt:variant>
      <vt:variant>
        <vt:lpwstr/>
      </vt:variant>
      <vt:variant>
        <vt:lpwstr>_Toc462870014</vt:lpwstr>
      </vt:variant>
      <vt:variant>
        <vt:i4>1572866</vt:i4>
      </vt:variant>
      <vt:variant>
        <vt:i4>200</vt:i4>
      </vt:variant>
      <vt:variant>
        <vt:i4>0</vt:i4>
      </vt:variant>
      <vt:variant>
        <vt:i4>5</vt:i4>
      </vt:variant>
      <vt:variant>
        <vt:lpwstr/>
      </vt:variant>
      <vt:variant>
        <vt:lpwstr>_Toc462870013</vt:lpwstr>
      </vt:variant>
      <vt:variant>
        <vt:i4>1572865</vt:i4>
      </vt:variant>
      <vt:variant>
        <vt:i4>194</vt:i4>
      </vt:variant>
      <vt:variant>
        <vt:i4>0</vt:i4>
      </vt:variant>
      <vt:variant>
        <vt:i4>5</vt:i4>
      </vt:variant>
      <vt:variant>
        <vt:lpwstr/>
      </vt:variant>
      <vt:variant>
        <vt:lpwstr>_Toc462870010</vt:lpwstr>
      </vt:variant>
      <vt:variant>
        <vt:i4>1638408</vt:i4>
      </vt:variant>
      <vt:variant>
        <vt:i4>188</vt:i4>
      </vt:variant>
      <vt:variant>
        <vt:i4>0</vt:i4>
      </vt:variant>
      <vt:variant>
        <vt:i4>5</vt:i4>
      </vt:variant>
      <vt:variant>
        <vt:lpwstr/>
      </vt:variant>
      <vt:variant>
        <vt:lpwstr>_Toc462870009</vt:lpwstr>
      </vt:variant>
      <vt:variant>
        <vt:i4>1638409</vt:i4>
      </vt:variant>
      <vt:variant>
        <vt:i4>182</vt:i4>
      </vt:variant>
      <vt:variant>
        <vt:i4>0</vt:i4>
      </vt:variant>
      <vt:variant>
        <vt:i4>5</vt:i4>
      </vt:variant>
      <vt:variant>
        <vt:lpwstr/>
      </vt:variant>
      <vt:variant>
        <vt:lpwstr>_Toc462870008</vt:lpwstr>
      </vt:variant>
      <vt:variant>
        <vt:i4>1638406</vt:i4>
      </vt:variant>
      <vt:variant>
        <vt:i4>176</vt:i4>
      </vt:variant>
      <vt:variant>
        <vt:i4>0</vt:i4>
      </vt:variant>
      <vt:variant>
        <vt:i4>5</vt:i4>
      </vt:variant>
      <vt:variant>
        <vt:lpwstr/>
      </vt:variant>
      <vt:variant>
        <vt:lpwstr>_Toc462870007</vt:lpwstr>
      </vt:variant>
      <vt:variant>
        <vt:i4>1638407</vt:i4>
      </vt:variant>
      <vt:variant>
        <vt:i4>170</vt:i4>
      </vt:variant>
      <vt:variant>
        <vt:i4>0</vt:i4>
      </vt:variant>
      <vt:variant>
        <vt:i4>5</vt:i4>
      </vt:variant>
      <vt:variant>
        <vt:lpwstr/>
      </vt:variant>
      <vt:variant>
        <vt:lpwstr>_Toc462870006</vt:lpwstr>
      </vt:variant>
      <vt:variant>
        <vt:i4>1638404</vt:i4>
      </vt:variant>
      <vt:variant>
        <vt:i4>164</vt:i4>
      </vt:variant>
      <vt:variant>
        <vt:i4>0</vt:i4>
      </vt:variant>
      <vt:variant>
        <vt:i4>5</vt:i4>
      </vt:variant>
      <vt:variant>
        <vt:lpwstr/>
      </vt:variant>
      <vt:variant>
        <vt:lpwstr>_Toc462870005</vt:lpwstr>
      </vt:variant>
      <vt:variant>
        <vt:i4>1638405</vt:i4>
      </vt:variant>
      <vt:variant>
        <vt:i4>158</vt:i4>
      </vt:variant>
      <vt:variant>
        <vt:i4>0</vt:i4>
      </vt:variant>
      <vt:variant>
        <vt:i4>5</vt:i4>
      </vt:variant>
      <vt:variant>
        <vt:lpwstr/>
      </vt:variant>
      <vt:variant>
        <vt:lpwstr>_Toc462870004</vt:lpwstr>
      </vt:variant>
      <vt:variant>
        <vt:i4>1638402</vt:i4>
      </vt:variant>
      <vt:variant>
        <vt:i4>152</vt:i4>
      </vt:variant>
      <vt:variant>
        <vt:i4>0</vt:i4>
      </vt:variant>
      <vt:variant>
        <vt:i4>5</vt:i4>
      </vt:variant>
      <vt:variant>
        <vt:lpwstr/>
      </vt:variant>
      <vt:variant>
        <vt:lpwstr>_Toc462870003</vt:lpwstr>
      </vt:variant>
      <vt:variant>
        <vt:i4>1638403</vt:i4>
      </vt:variant>
      <vt:variant>
        <vt:i4>146</vt:i4>
      </vt:variant>
      <vt:variant>
        <vt:i4>0</vt:i4>
      </vt:variant>
      <vt:variant>
        <vt:i4>5</vt:i4>
      </vt:variant>
      <vt:variant>
        <vt:lpwstr/>
      </vt:variant>
      <vt:variant>
        <vt:lpwstr>_Toc462870002</vt:lpwstr>
      </vt:variant>
      <vt:variant>
        <vt:i4>1638400</vt:i4>
      </vt:variant>
      <vt:variant>
        <vt:i4>140</vt:i4>
      </vt:variant>
      <vt:variant>
        <vt:i4>0</vt:i4>
      </vt:variant>
      <vt:variant>
        <vt:i4>5</vt:i4>
      </vt:variant>
      <vt:variant>
        <vt:lpwstr/>
      </vt:variant>
      <vt:variant>
        <vt:lpwstr>_Toc462870001</vt:lpwstr>
      </vt:variant>
      <vt:variant>
        <vt:i4>1638400</vt:i4>
      </vt:variant>
      <vt:variant>
        <vt:i4>134</vt:i4>
      </vt:variant>
      <vt:variant>
        <vt:i4>0</vt:i4>
      </vt:variant>
      <vt:variant>
        <vt:i4>5</vt:i4>
      </vt:variant>
      <vt:variant>
        <vt:lpwstr/>
      </vt:variant>
      <vt:variant>
        <vt:lpwstr>_Toc462869999</vt:lpwstr>
      </vt:variant>
      <vt:variant>
        <vt:i4>1638414</vt:i4>
      </vt:variant>
      <vt:variant>
        <vt:i4>128</vt:i4>
      </vt:variant>
      <vt:variant>
        <vt:i4>0</vt:i4>
      </vt:variant>
      <vt:variant>
        <vt:i4>5</vt:i4>
      </vt:variant>
      <vt:variant>
        <vt:lpwstr/>
      </vt:variant>
      <vt:variant>
        <vt:lpwstr>_Toc462869997</vt:lpwstr>
      </vt:variant>
      <vt:variant>
        <vt:i4>1638415</vt:i4>
      </vt:variant>
      <vt:variant>
        <vt:i4>122</vt:i4>
      </vt:variant>
      <vt:variant>
        <vt:i4>0</vt:i4>
      </vt:variant>
      <vt:variant>
        <vt:i4>5</vt:i4>
      </vt:variant>
      <vt:variant>
        <vt:lpwstr/>
      </vt:variant>
      <vt:variant>
        <vt:lpwstr>_Toc462869996</vt:lpwstr>
      </vt:variant>
      <vt:variant>
        <vt:i4>1638412</vt:i4>
      </vt:variant>
      <vt:variant>
        <vt:i4>116</vt:i4>
      </vt:variant>
      <vt:variant>
        <vt:i4>0</vt:i4>
      </vt:variant>
      <vt:variant>
        <vt:i4>5</vt:i4>
      </vt:variant>
      <vt:variant>
        <vt:lpwstr/>
      </vt:variant>
      <vt:variant>
        <vt:lpwstr>_Toc462869995</vt:lpwstr>
      </vt:variant>
      <vt:variant>
        <vt:i4>1638413</vt:i4>
      </vt:variant>
      <vt:variant>
        <vt:i4>110</vt:i4>
      </vt:variant>
      <vt:variant>
        <vt:i4>0</vt:i4>
      </vt:variant>
      <vt:variant>
        <vt:i4>5</vt:i4>
      </vt:variant>
      <vt:variant>
        <vt:lpwstr/>
      </vt:variant>
      <vt:variant>
        <vt:lpwstr>_Toc462869994</vt:lpwstr>
      </vt:variant>
      <vt:variant>
        <vt:i4>1638411</vt:i4>
      </vt:variant>
      <vt:variant>
        <vt:i4>104</vt:i4>
      </vt:variant>
      <vt:variant>
        <vt:i4>0</vt:i4>
      </vt:variant>
      <vt:variant>
        <vt:i4>5</vt:i4>
      </vt:variant>
      <vt:variant>
        <vt:lpwstr/>
      </vt:variant>
      <vt:variant>
        <vt:lpwstr>_Toc462869992</vt:lpwstr>
      </vt:variant>
      <vt:variant>
        <vt:i4>1638408</vt:i4>
      </vt:variant>
      <vt:variant>
        <vt:i4>98</vt:i4>
      </vt:variant>
      <vt:variant>
        <vt:i4>0</vt:i4>
      </vt:variant>
      <vt:variant>
        <vt:i4>5</vt:i4>
      </vt:variant>
      <vt:variant>
        <vt:lpwstr/>
      </vt:variant>
      <vt:variant>
        <vt:lpwstr>_Toc462869991</vt:lpwstr>
      </vt:variant>
      <vt:variant>
        <vt:i4>1638409</vt:i4>
      </vt:variant>
      <vt:variant>
        <vt:i4>92</vt:i4>
      </vt:variant>
      <vt:variant>
        <vt:i4>0</vt:i4>
      </vt:variant>
      <vt:variant>
        <vt:i4>5</vt:i4>
      </vt:variant>
      <vt:variant>
        <vt:lpwstr/>
      </vt:variant>
      <vt:variant>
        <vt:lpwstr>_Toc462869990</vt:lpwstr>
      </vt:variant>
      <vt:variant>
        <vt:i4>1572864</vt:i4>
      </vt:variant>
      <vt:variant>
        <vt:i4>86</vt:i4>
      </vt:variant>
      <vt:variant>
        <vt:i4>0</vt:i4>
      </vt:variant>
      <vt:variant>
        <vt:i4>5</vt:i4>
      </vt:variant>
      <vt:variant>
        <vt:lpwstr/>
      </vt:variant>
      <vt:variant>
        <vt:lpwstr>_Toc462869989</vt:lpwstr>
      </vt:variant>
      <vt:variant>
        <vt:i4>1572865</vt:i4>
      </vt:variant>
      <vt:variant>
        <vt:i4>80</vt:i4>
      </vt:variant>
      <vt:variant>
        <vt:i4>0</vt:i4>
      </vt:variant>
      <vt:variant>
        <vt:i4>5</vt:i4>
      </vt:variant>
      <vt:variant>
        <vt:lpwstr/>
      </vt:variant>
      <vt:variant>
        <vt:lpwstr>_Toc462869988</vt:lpwstr>
      </vt:variant>
      <vt:variant>
        <vt:i4>1572878</vt:i4>
      </vt:variant>
      <vt:variant>
        <vt:i4>74</vt:i4>
      </vt:variant>
      <vt:variant>
        <vt:i4>0</vt:i4>
      </vt:variant>
      <vt:variant>
        <vt:i4>5</vt:i4>
      </vt:variant>
      <vt:variant>
        <vt:lpwstr/>
      </vt:variant>
      <vt:variant>
        <vt:lpwstr>_Toc462869987</vt:lpwstr>
      </vt:variant>
      <vt:variant>
        <vt:i4>1572876</vt:i4>
      </vt:variant>
      <vt:variant>
        <vt:i4>68</vt:i4>
      </vt:variant>
      <vt:variant>
        <vt:i4>0</vt:i4>
      </vt:variant>
      <vt:variant>
        <vt:i4>5</vt:i4>
      </vt:variant>
      <vt:variant>
        <vt:lpwstr/>
      </vt:variant>
      <vt:variant>
        <vt:lpwstr>_Toc462869985</vt:lpwstr>
      </vt:variant>
      <vt:variant>
        <vt:i4>1572877</vt:i4>
      </vt:variant>
      <vt:variant>
        <vt:i4>62</vt:i4>
      </vt:variant>
      <vt:variant>
        <vt:i4>0</vt:i4>
      </vt:variant>
      <vt:variant>
        <vt:i4>5</vt:i4>
      </vt:variant>
      <vt:variant>
        <vt:lpwstr/>
      </vt:variant>
      <vt:variant>
        <vt:lpwstr>_Toc462869984</vt:lpwstr>
      </vt:variant>
      <vt:variant>
        <vt:i4>1572874</vt:i4>
      </vt:variant>
      <vt:variant>
        <vt:i4>56</vt:i4>
      </vt:variant>
      <vt:variant>
        <vt:i4>0</vt:i4>
      </vt:variant>
      <vt:variant>
        <vt:i4>5</vt:i4>
      </vt:variant>
      <vt:variant>
        <vt:lpwstr/>
      </vt:variant>
      <vt:variant>
        <vt:lpwstr>_Toc462869983</vt:lpwstr>
      </vt:variant>
      <vt:variant>
        <vt:i4>1572875</vt:i4>
      </vt:variant>
      <vt:variant>
        <vt:i4>50</vt:i4>
      </vt:variant>
      <vt:variant>
        <vt:i4>0</vt:i4>
      </vt:variant>
      <vt:variant>
        <vt:i4>5</vt:i4>
      </vt:variant>
      <vt:variant>
        <vt:lpwstr/>
      </vt:variant>
      <vt:variant>
        <vt:lpwstr>_Toc462869982</vt:lpwstr>
      </vt:variant>
      <vt:variant>
        <vt:i4>1572872</vt:i4>
      </vt:variant>
      <vt:variant>
        <vt:i4>44</vt:i4>
      </vt:variant>
      <vt:variant>
        <vt:i4>0</vt:i4>
      </vt:variant>
      <vt:variant>
        <vt:i4>5</vt:i4>
      </vt:variant>
      <vt:variant>
        <vt:lpwstr/>
      </vt:variant>
      <vt:variant>
        <vt:lpwstr>_Toc462869981</vt:lpwstr>
      </vt:variant>
      <vt:variant>
        <vt:i4>1572873</vt:i4>
      </vt:variant>
      <vt:variant>
        <vt:i4>38</vt:i4>
      </vt:variant>
      <vt:variant>
        <vt:i4>0</vt:i4>
      </vt:variant>
      <vt:variant>
        <vt:i4>5</vt:i4>
      </vt:variant>
      <vt:variant>
        <vt:lpwstr/>
      </vt:variant>
      <vt:variant>
        <vt:lpwstr>_Toc462869980</vt:lpwstr>
      </vt:variant>
      <vt:variant>
        <vt:i4>1507328</vt:i4>
      </vt:variant>
      <vt:variant>
        <vt:i4>32</vt:i4>
      </vt:variant>
      <vt:variant>
        <vt:i4>0</vt:i4>
      </vt:variant>
      <vt:variant>
        <vt:i4>5</vt:i4>
      </vt:variant>
      <vt:variant>
        <vt:lpwstr/>
      </vt:variant>
      <vt:variant>
        <vt:lpwstr>_Toc462869979</vt:lpwstr>
      </vt:variant>
      <vt:variant>
        <vt:i4>1507329</vt:i4>
      </vt:variant>
      <vt:variant>
        <vt:i4>26</vt:i4>
      </vt:variant>
      <vt:variant>
        <vt:i4>0</vt:i4>
      </vt:variant>
      <vt:variant>
        <vt:i4>5</vt:i4>
      </vt:variant>
      <vt:variant>
        <vt:lpwstr/>
      </vt:variant>
      <vt:variant>
        <vt:lpwstr>_Toc462869978</vt:lpwstr>
      </vt:variant>
      <vt:variant>
        <vt:i4>1507343</vt:i4>
      </vt:variant>
      <vt:variant>
        <vt:i4>20</vt:i4>
      </vt:variant>
      <vt:variant>
        <vt:i4>0</vt:i4>
      </vt:variant>
      <vt:variant>
        <vt:i4>5</vt:i4>
      </vt:variant>
      <vt:variant>
        <vt:lpwstr/>
      </vt:variant>
      <vt:variant>
        <vt:lpwstr>_Toc462869976</vt:lpwstr>
      </vt:variant>
      <vt:variant>
        <vt:i4>1507341</vt:i4>
      </vt:variant>
      <vt:variant>
        <vt:i4>14</vt:i4>
      </vt:variant>
      <vt:variant>
        <vt:i4>0</vt:i4>
      </vt:variant>
      <vt:variant>
        <vt:i4>5</vt:i4>
      </vt:variant>
      <vt:variant>
        <vt:lpwstr/>
      </vt:variant>
      <vt:variant>
        <vt:lpwstr>_Toc462869974</vt:lpwstr>
      </vt:variant>
      <vt:variant>
        <vt:i4>1507339</vt:i4>
      </vt:variant>
      <vt:variant>
        <vt:i4>8</vt:i4>
      </vt:variant>
      <vt:variant>
        <vt:i4>0</vt:i4>
      </vt:variant>
      <vt:variant>
        <vt:i4>5</vt:i4>
      </vt:variant>
      <vt:variant>
        <vt:lpwstr/>
      </vt:variant>
      <vt:variant>
        <vt:lpwstr>_Toc462869972</vt:lpwstr>
      </vt:variant>
      <vt:variant>
        <vt:i4>1507337</vt:i4>
      </vt:variant>
      <vt:variant>
        <vt:i4>2</vt:i4>
      </vt:variant>
      <vt:variant>
        <vt:i4>0</vt:i4>
      </vt:variant>
      <vt:variant>
        <vt:i4>5</vt:i4>
      </vt:variant>
      <vt:variant>
        <vt:lpwstr/>
      </vt:variant>
      <vt:variant>
        <vt:lpwstr>_Toc462869970</vt:lpwstr>
      </vt:variant>
      <vt:variant>
        <vt:i4>5505136</vt:i4>
      </vt:variant>
      <vt:variant>
        <vt:i4>18</vt:i4>
      </vt:variant>
      <vt:variant>
        <vt:i4>0</vt:i4>
      </vt:variant>
      <vt:variant>
        <vt:i4>5</vt:i4>
      </vt:variant>
      <vt:variant>
        <vt:lpwstr>https://documents-dds-ny.un.org/doc/UNDOC/GEN/G06/121/64/PDF/G0612164.pdf?OpenElement</vt:lpwstr>
      </vt:variant>
      <vt:variant>
        <vt:lpwstr/>
      </vt:variant>
      <vt:variant>
        <vt:i4>6160506</vt:i4>
      </vt:variant>
      <vt:variant>
        <vt:i4>15</vt:i4>
      </vt:variant>
      <vt:variant>
        <vt:i4>0</vt:i4>
      </vt:variant>
      <vt:variant>
        <vt:i4>5</vt:i4>
      </vt:variant>
      <vt:variant>
        <vt:lpwstr>https://documents-dds-ny.un.org/doc/UNDOC/GEN/G06/106/80/PDF/G0610680.pdf?OpenElement</vt:lpwstr>
      </vt:variant>
      <vt:variant>
        <vt:lpwstr/>
      </vt:variant>
      <vt:variant>
        <vt:i4>5701747</vt:i4>
      </vt:variant>
      <vt:variant>
        <vt:i4>12</vt:i4>
      </vt:variant>
      <vt:variant>
        <vt:i4>0</vt:i4>
      </vt:variant>
      <vt:variant>
        <vt:i4>5</vt:i4>
      </vt:variant>
      <vt:variant>
        <vt:lpwstr>https://documents-dds-ny.un.org/doc/UNDOC/GEN/N08/467/71/PDF/N0846771.pdf?OpenElement</vt:lpwstr>
      </vt:variant>
      <vt:variant>
        <vt:lpwstr/>
      </vt:variant>
      <vt:variant>
        <vt:i4>6160506</vt:i4>
      </vt:variant>
      <vt:variant>
        <vt:i4>9</vt:i4>
      </vt:variant>
      <vt:variant>
        <vt:i4>0</vt:i4>
      </vt:variant>
      <vt:variant>
        <vt:i4>5</vt:i4>
      </vt:variant>
      <vt:variant>
        <vt:lpwstr>https://documents-dds-ny.un.org/doc/UNDOC/GEN/G06/106/80/PDF/G0610680.pdf?OpenElement</vt:lpwstr>
      </vt:variant>
      <vt:variant>
        <vt:lpwstr/>
      </vt:variant>
      <vt:variant>
        <vt:i4>1179683</vt:i4>
      </vt:variant>
      <vt:variant>
        <vt:i4>0</vt:i4>
      </vt:variant>
      <vt:variant>
        <vt:i4>0</vt:i4>
      </vt:variant>
      <vt:variant>
        <vt:i4>5</vt:i4>
      </vt:variant>
      <vt:variant>
        <vt:lpwstr>http://www.corteidh.or.cr/docs/asuntos/hinojosa_09_03_16.pdf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Ana Rita Ramirez</cp:lastModifiedBy>
  <cp:revision>2</cp:revision>
  <cp:lastPrinted>2016-12-22T17:13:00Z</cp:lastPrinted>
  <dcterms:created xsi:type="dcterms:W3CDTF">2018-05-14T18:06:00Z</dcterms:created>
  <dcterms:modified xsi:type="dcterms:W3CDTF">2018-05-14T18:06:00Z</dcterms:modified>
</cp:coreProperties>
</file>